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B00C57"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B00C57">
        <w:rPr>
          <w:rFonts w:ascii="Arial" w:hAnsi="Arial" w:cs="Arial"/>
          <w:bCs/>
          <w:color w:val="000000" w:themeColor="text1"/>
          <w:sz w:val="16"/>
          <w:szCs w:val="16"/>
          <w:lang w:val="es-ES_tradnl" w:eastAsia="es-ES"/>
        </w:rPr>
        <w:t>CCE-DES-FM-17</w:t>
      </w:r>
      <w:bookmarkEnd w:id="0"/>
      <w:bookmarkEnd w:id="1"/>
    </w:p>
    <w:p w14:paraId="55FBD910" w14:textId="77777777" w:rsidR="008536BB" w:rsidRPr="00B00C57" w:rsidRDefault="008536BB" w:rsidP="00B95C30">
      <w:pPr>
        <w:spacing w:line="276" w:lineRule="auto"/>
        <w:jc w:val="both"/>
        <w:rPr>
          <w:rFonts w:ascii="Arial" w:hAnsi="Arial" w:cs="Arial"/>
          <w:noProof/>
          <w:color w:val="000000" w:themeColor="text1"/>
          <w:sz w:val="22"/>
          <w:lang w:val="es-ES_tradnl"/>
        </w:rPr>
      </w:pPr>
    </w:p>
    <w:p w14:paraId="6DA9B6A5" w14:textId="4333434F" w:rsidR="00961D28" w:rsidRPr="00B00C57" w:rsidRDefault="00CD41E4" w:rsidP="00961D28">
      <w:pPr>
        <w:jc w:val="both"/>
        <w:rPr>
          <w:rFonts w:ascii="Arial" w:eastAsia="Calibri" w:hAnsi="Arial" w:cs="Arial"/>
          <w:b/>
          <w:sz w:val="22"/>
          <w:lang w:val="es-ES_tradnl"/>
        </w:rPr>
      </w:pPr>
      <w:r w:rsidRPr="00CD41E4">
        <w:rPr>
          <w:rFonts w:ascii="Arial" w:eastAsia="Calibri" w:hAnsi="Arial" w:cs="Arial"/>
          <w:b/>
          <w:sz w:val="22"/>
          <w:lang w:val="es-ES_tradnl"/>
        </w:rPr>
        <w:t>ENTIDADES</w:t>
      </w:r>
      <w:r>
        <w:rPr>
          <w:rFonts w:ascii="Arial" w:eastAsia="Calibri" w:hAnsi="Arial" w:cs="Arial"/>
          <w:b/>
          <w:sz w:val="22"/>
          <w:lang w:val="es-ES_tradnl"/>
        </w:rPr>
        <w:t xml:space="preserve"> EXCEPTUADAS</w:t>
      </w:r>
      <w:r w:rsidR="00961D28" w:rsidRPr="00CD41E4">
        <w:rPr>
          <w:rFonts w:ascii="Arial" w:eastAsia="Calibri" w:hAnsi="Arial" w:cs="Arial"/>
          <w:b/>
          <w:sz w:val="22"/>
          <w:lang w:val="es-ES_tradnl"/>
        </w:rPr>
        <w:t xml:space="preserve"> – </w:t>
      </w:r>
      <w:r>
        <w:rPr>
          <w:rFonts w:ascii="Arial" w:eastAsia="Calibri" w:hAnsi="Arial" w:cs="Arial"/>
          <w:b/>
          <w:sz w:val="22"/>
          <w:lang w:val="es-ES_tradnl"/>
        </w:rPr>
        <w:t>Régimen especial</w:t>
      </w:r>
      <w:r w:rsidR="00961D28" w:rsidRPr="00CD41E4">
        <w:rPr>
          <w:rFonts w:ascii="Arial" w:eastAsia="Calibri" w:hAnsi="Arial" w:cs="Arial"/>
          <w:b/>
          <w:sz w:val="22"/>
          <w:lang w:val="es-ES_tradnl"/>
        </w:rPr>
        <w:t xml:space="preserve"> – </w:t>
      </w:r>
      <w:r>
        <w:rPr>
          <w:rFonts w:ascii="Arial" w:eastAsia="Calibri" w:hAnsi="Arial" w:cs="Arial"/>
          <w:b/>
          <w:sz w:val="22"/>
          <w:lang w:val="es-ES_tradnl"/>
        </w:rPr>
        <w:t>Derecho privado</w:t>
      </w:r>
      <w:r w:rsidR="00756B6A">
        <w:rPr>
          <w:rFonts w:ascii="Arial" w:eastAsia="Calibri" w:hAnsi="Arial" w:cs="Arial"/>
          <w:b/>
          <w:sz w:val="22"/>
          <w:lang w:val="es-ES_tradnl"/>
        </w:rPr>
        <w:t xml:space="preserve"> </w:t>
      </w:r>
      <w:r w:rsidR="00756B6A" w:rsidRPr="00CD41E4">
        <w:rPr>
          <w:rFonts w:ascii="Arial" w:eastAsia="Calibri" w:hAnsi="Arial" w:cs="Arial"/>
          <w:b/>
          <w:sz w:val="22"/>
          <w:lang w:val="es-ES_tradnl"/>
        </w:rPr>
        <w:t>–</w:t>
      </w:r>
      <w:r w:rsidR="00756B6A">
        <w:rPr>
          <w:rFonts w:ascii="Arial" w:eastAsia="Calibri" w:hAnsi="Arial" w:cs="Arial"/>
          <w:b/>
          <w:sz w:val="22"/>
          <w:lang w:val="es-ES_tradnl"/>
        </w:rPr>
        <w:t xml:space="preserve"> Manuales de contratación</w:t>
      </w:r>
      <w:r w:rsidR="00961D28" w:rsidRPr="00B00C57">
        <w:rPr>
          <w:rFonts w:ascii="Arial" w:eastAsia="Calibri" w:hAnsi="Arial" w:cs="Arial"/>
          <w:b/>
          <w:sz w:val="22"/>
          <w:lang w:val="es-ES_tradnl"/>
        </w:rPr>
        <w:t xml:space="preserve"> </w:t>
      </w:r>
    </w:p>
    <w:p w14:paraId="22D0CF01" w14:textId="77777777" w:rsidR="00961D28" w:rsidRPr="00B00C57" w:rsidRDefault="00961D28" w:rsidP="00961D28">
      <w:pPr>
        <w:rPr>
          <w:rFonts w:ascii="Arial" w:hAnsi="Arial" w:cs="Arial"/>
          <w:sz w:val="20"/>
          <w:szCs w:val="20"/>
          <w:lang w:val="es-ES_tradnl"/>
        </w:rPr>
      </w:pPr>
    </w:p>
    <w:p w14:paraId="17F1A674" w14:textId="77777777" w:rsidR="00756B6A" w:rsidRDefault="00756B6A" w:rsidP="00756B6A">
      <w:pPr>
        <w:jc w:val="both"/>
        <w:rPr>
          <w:rFonts w:ascii="Arial" w:hAnsi="Arial" w:cs="Arial"/>
          <w:iCs/>
          <w:color w:val="000000" w:themeColor="text1"/>
          <w:sz w:val="20"/>
          <w:szCs w:val="20"/>
          <w:lang w:val="es-ES_tradnl"/>
        </w:rPr>
      </w:pPr>
      <w:r w:rsidRPr="00756B6A">
        <w:rPr>
          <w:rFonts w:ascii="Arial" w:hAnsi="Arial" w:cs="Arial"/>
          <w:iCs/>
          <w:color w:val="000000" w:themeColor="text1"/>
          <w:sz w:val="20"/>
          <w:szCs w:val="20"/>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7C090417" w14:textId="77777777" w:rsidR="00756B6A" w:rsidRDefault="00756B6A" w:rsidP="00756B6A">
      <w:pPr>
        <w:jc w:val="both"/>
        <w:rPr>
          <w:rFonts w:ascii="Arial" w:hAnsi="Arial" w:cs="Arial"/>
          <w:iCs/>
          <w:color w:val="000000" w:themeColor="text1"/>
          <w:sz w:val="20"/>
          <w:szCs w:val="20"/>
          <w:lang w:val="es-ES_tradnl"/>
        </w:rPr>
      </w:pPr>
    </w:p>
    <w:p w14:paraId="3FA224F7" w14:textId="00EEE8BC" w:rsidR="00961D28" w:rsidRPr="00756B6A" w:rsidRDefault="00756B6A" w:rsidP="00756B6A">
      <w:pPr>
        <w:jc w:val="both"/>
        <w:rPr>
          <w:rFonts w:ascii="Arial" w:hAnsi="Arial" w:cs="Arial"/>
          <w:iCs/>
          <w:color w:val="000000" w:themeColor="text1"/>
          <w:sz w:val="20"/>
          <w:szCs w:val="20"/>
          <w:lang w:val="es-ES_tradnl"/>
        </w:rPr>
      </w:pPr>
      <w:r w:rsidRPr="00756B6A">
        <w:rPr>
          <w:rFonts w:ascii="Arial" w:hAnsi="Arial" w:cs="Arial"/>
          <w:iCs/>
          <w:color w:val="000000" w:themeColor="text1"/>
          <w:sz w:val="20"/>
          <w:szCs w:val="20"/>
          <w:lang w:val="es-ES_tradnl"/>
        </w:rPr>
        <w:t>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p>
    <w:p w14:paraId="4A70FC22" w14:textId="3F4A24FB" w:rsidR="00961D28" w:rsidRDefault="00961D28" w:rsidP="00961D28">
      <w:pPr>
        <w:jc w:val="both"/>
        <w:rPr>
          <w:rFonts w:ascii="Arial" w:hAnsi="Arial" w:cs="Arial"/>
          <w:iCs/>
          <w:color w:val="000000" w:themeColor="text1"/>
          <w:sz w:val="20"/>
          <w:szCs w:val="20"/>
          <w:lang w:val="es-ES_tradnl"/>
        </w:rPr>
      </w:pPr>
    </w:p>
    <w:p w14:paraId="4572445C" w14:textId="71FB7982" w:rsidR="00756B6A" w:rsidRPr="00B00C57" w:rsidRDefault="00756B6A" w:rsidP="00756B6A">
      <w:pPr>
        <w:jc w:val="both"/>
        <w:rPr>
          <w:rFonts w:ascii="Arial" w:eastAsia="Calibri" w:hAnsi="Arial" w:cs="Arial"/>
          <w:b/>
          <w:sz w:val="22"/>
          <w:lang w:val="es-ES_tradnl"/>
        </w:rPr>
      </w:pPr>
      <w:r>
        <w:rPr>
          <w:rFonts w:ascii="Arial" w:eastAsia="Calibri" w:hAnsi="Arial" w:cs="Arial"/>
          <w:b/>
          <w:sz w:val="22"/>
          <w:lang w:val="es-ES_tradnl"/>
        </w:rPr>
        <w:t>MANUALES DE CONTRATACIÓN</w:t>
      </w:r>
      <w:r w:rsidRPr="00CD41E4">
        <w:rPr>
          <w:rFonts w:ascii="Arial" w:eastAsia="Calibri" w:hAnsi="Arial" w:cs="Arial"/>
          <w:b/>
          <w:sz w:val="22"/>
          <w:lang w:val="es-ES_tradnl"/>
        </w:rPr>
        <w:t xml:space="preserve"> – </w:t>
      </w:r>
      <w:r>
        <w:rPr>
          <w:rFonts w:ascii="Arial" w:eastAsia="Calibri" w:hAnsi="Arial" w:cs="Arial"/>
          <w:b/>
          <w:sz w:val="22"/>
          <w:lang w:val="es-ES_tradnl"/>
        </w:rPr>
        <w:t>Potestad reglamentaria</w:t>
      </w:r>
      <w:r w:rsidRPr="00CD41E4">
        <w:rPr>
          <w:rFonts w:ascii="Arial" w:eastAsia="Calibri" w:hAnsi="Arial" w:cs="Arial"/>
          <w:b/>
          <w:sz w:val="22"/>
          <w:lang w:val="es-ES_tradnl"/>
        </w:rPr>
        <w:t xml:space="preserve"> – </w:t>
      </w:r>
      <w:r>
        <w:rPr>
          <w:rFonts w:ascii="Arial" w:eastAsia="Calibri" w:hAnsi="Arial" w:cs="Arial"/>
          <w:b/>
          <w:sz w:val="22"/>
          <w:lang w:val="es-ES_tradnl"/>
        </w:rPr>
        <w:t>límites</w:t>
      </w:r>
      <w:r w:rsidRPr="00B00C57">
        <w:rPr>
          <w:rFonts w:ascii="Arial" w:eastAsia="Calibri" w:hAnsi="Arial" w:cs="Arial"/>
          <w:b/>
          <w:sz w:val="22"/>
          <w:lang w:val="es-ES_tradnl"/>
        </w:rPr>
        <w:t xml:space="preserve"> </w:t>
      </w:r>
    </w:p>
    <w:p w14:paraId="1A7995BD" w14:textId="77777777" w:rsidR="00756B6A" w:rsidRPr="00B00C57" w:rsidRDefault="00756B6A" w:rsidP="00961D28">
      <w:pPr>
        <w:jc w:val="both"/>
        <w:rPr>
          <w:rFonts w:ascii="Arial" w:hAnsi="Arial" w:cs="Arial"/>
          <w:iCs/>
          <w:color w:val="000000" w:themeColor="text1"/>
          <w:sz w:val="20"/>
          <w:szCs w:val="20"/>
          <w:lang w:val="es-ES_tradnl"/>
        </w:rPr>
      </w:pPr>
    </w:p>
    <w:p w14:paraId="35EC9EA4" w14:textId="5CB0CD0E" w:rsidR="00411D33" w:rsidRPr="00B00C57" w:rsidRDefault="00756B6A" w:rsidP="00D00684">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w:t>
      </w:r>
      <w:r w:rsidRPr="00756B6A">
        <w:rPr>
          <w:rFonts w:ascii="Arial" w:eastAsia="Calibri" w:hAnsi="Arial" w:cs="Arial"/>
          <w:color w:val="000000" w:themeColor="text1"/>
          <w:sz w:val="20"/>
          <w:szCs w:val="20"/>
          <w:lang w:val="es-ES_tradnl"/>
        </w:rPr>
        <w:t>,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ii) sanciones, sin perjuicio de las que pueden pactar de acuerdo con las normas civiles y comerciales, iii) procedimientos para su imposición, iv)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p>
    <w:p w14:paraId="2377E3C0" w14:textId="688356F7" w:rsidR="00D00684" w:rsidRDefault="00D00684" w:rsidP="004D5CD1">
      <w:pPr>
        <w:jc w:val="both"/>
        <w:rPr>
          <w:rFonts w:ascii="Arial" w:hAnsi="Arial" w:cs="Arial"/>
          <w:iCs/>
          <w:color w:val="000000" w:themeColor="text1"/>
          <w:sz w:val="20"/>
          <w:szCs w:val="20"/>
          <w:lang w:val="es-ES_tradnl"/>
        </w:rPr>
      </w:pPr>
    </w:p>
    <w:p w14:paraId="17592BC9" w14:textId="31154EC6" w:rsidR="00756B6A" w:rsidRPr="005B2BB7" w:rsidRDefault="00756B6A" w:rsidP="00756B6A">
      <w:pPr>
        <w:jc w:val="both"/>
        <w:rPr>
          <w:rFonts w:ascii="Arial" w:eastAsia="Calibri" w:hAnsi="Arial" w:cs="Arial"/>
          <w:b/>
          <w:sz w:val="22"/>
          <w:lang w:val="es-ES_tradnl"/>
        </w:rPr>
      </w:pPr>
      <w:r w:rsidRPr="005B2BB7">
        <w:rPr>
          <w:rFonts w:ascii="Arial" w:eastAsia="Calibri" w:hAnsi="Arial" w:cs="Arial"/>
          <w:b/>
          <w:sz w:val="22"/>
          <w:lang w:val="es-ES_tradnl"/>
        </w:rPr>
        <w:t xml:space="preserve">SECOP – Diferencias – SECOP I – SECOP II </w:t>
      </w:r>
    </w:p>
    <w:p w14:paraId="11AC3AD1" w14:textId="4770235F" w:rsidR="00756B6A" w:rsidRPr="00342ED2" w:rsidRDefault="00756B6A" w:rsidP="004D5CD1">
      <w:pPr>
        <w:jc w:val="both"/>
        <w:rPr>
          <w:rFonts w:ascii="Arial" w:hAnsi="Arial" w:cs="Arial"/>
          <w:iCs/>
          <w:color w:val="000000" w:themeColor="text1"/>
          <w:sz w:val="20"/>
          <w:szCs w:val="20"/>
        </w:rPr>
      </w:pPr>
    </w:p>
    <w:p w14:paraId="651A97A9" w14:textId="323516C1" w:rsidR="005B2BB7" w:rsidRPr="005B2BB7" w:rsidRDefault="005B2BB7" w:rsidP="005B2BB7">
      <w:pPr>
        <w:jc w:val="both"/>
        <w:rPr>
          <w:rFonts w:ascii="Arial" w:hAnsi="Arial" w:cs="Arial"/>
          <w:iCs/>
          <w:color w:val="000000" w:themeColor="text1"/>
          <w:sz w:val="20"/>
          <w:szCs w:val="20"/>
          <w:lang w:val="es-ES"/>
        </w:rPr>
      </w:pPr>
      <w:r w:rsidRPr="005B2BB7">
        <w:rPr>
          <w:rFonts w:ascii="Arial" w:hAnsi="Arial" w:cs="Arial"/>
          <w:iCs/>
          <w:color w:val="000000" w:themeColor="text1"/>
          <w:sz w:val="20"/>
          <w:szCs w:val="20"/>
          <w:lang w:val="es-ES"/>
        </w:rPr>
        <w:t>La Agencia Nacional de Contratación Pública – Colombia Compra Eficiente tiene como función  administrar el SECOP, por lo cual se desarrolló la primera versión  de la plataforma  –SECOP I–,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505F910F" w14:textId="77777777" w:rsidR="005B2BB7" w:rsidRDefault="005B2BB7" w:rsidP="005B2BB7">
      <w:pPr>
        <w:jc w:val="both"/>
        <w:rPr>
          <w:rFonts w:ascii="Arial" w:hAnsi="Arial" w:cs="Arial"/>
          <w:iCs/>
          <w:color w:val="000000" w:themeColor="text1"/>
          <w:sz w:val="20"/>
          <w:szCs w:val="20"/>
          <w:lang w:val="es-ES"/>
        </w:rPr>
      </w:pPr>
    </w:p>
    <w:p w14:paraId="3409C21D" w14:textId="52FD096E" w:rsidR="005B2BB7" w:rsidRPr="005B2BB7" w:rsidRDefault="005B2BB7" w:rsidP="005B2BB7">
      <w:pPr>
        <w:jc w:val="both"/>
        <w:rPr>
          <w:rFonts w:ascii="Arial" w:hAnsi="Arial" w:cs="Arial"/>
          <w:iCs/>
          <w:color w:val="000000" w:themeColor="text1"/>
          <w:sz w:val="20"/>
          <w:szCs w:val="20"/>
          <w:lang w:val="es-ES"/>
        </w:rPr>
      </w:pPr>
      <w:r w:rsidRPr="005B2BB7">
        <w:rPr>
          <w:rFonts w:ascii="Arial" w:hAnsi="Arial" w:cs="Arial"/>
          <w:iCs/>
          <w:color w:val="000000" w:themeColor="text1"/>
          <w:sz w:val="20"/>
          <w:szCs w:val="20"/>
          <w:lang w:val="es-ES"/>
        </w:rPr>
        <w:t>El SECOP II es una plataforma transaccional,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39D90AD1" w14:textId="77777777" w:rsidR="001677F3" w:rsidRDefault="001677F3" w:rsidP="0040293D">
      <w:pPr>
        <w:jc w:val="both"/>
        <w:rPr>
          <w:rFonts w:ascii="Arial" w:eastAsia="Calibri" w:hAnsi="Arial" w:cs="Arial"/>
          <w:color w:val="000000" w:themeColor="text1"/>
          <w:sz w:val="22"/>
        </w:rPr>
      </w:pPr>
    </w:p>
    <w:p w14:paraId="238E4A78" w14:textId="77777777" w:rsidR="001677F3" w:rsidRDefault="001677F3" w:rsidP="0040293D">
      <w:pPr>
        <w:jc w:val="both"/>
        <w:rPr>
          <w:rFonts w:ascii="Arial" w:eastAsia="Calibri" w:hAnsi="Arial" w:cs="Arial"/>
          <w:color w:val="000000" w:themeColor="text1"/>
          <w:sz w:val="22"/>
        </w:rPr>
      </w:pPr>
    </w:p>
    <w:p w14:paraId="1EF33EB9" w14:textId="5680BAE2" w:rsidR="0040293D" w:rsidRPr="005B2BB7" w:rsidRDefault="0040293D" w:rsidP="0040293D">
      <w:pPr>
        <w:jc w:val="both"/>
        <w:rPr>
          <w:rFonts w:ascii="Arial" w:eastAsia="Calibri" w:hAnsi="Arial" w:cs="Arial"/>
          <w:b/>
          <w:sz w:val="22"/>
          <w:lang w:val="es-ES_tradnl"/>
        </w:rPr>
      </w:pPr>
      <w:r w:rsidRPr="005B2BB7">
        <w:rPr>
          <w:rFonts w:ascii="Arial" w:eastAsia="Calibri" w:hAnsi="Arial" w:cs="Arial"/>
          <w:b/>
          <w:sz w:val="22"/>
          <w:lang w:val="es-ES_tradnl"/>
        </w:rPr>
        <w:lastRenderedPageBreak/>
        <w:t>SECOP</w:t>
      </w:r>
      <w:r>
        <w:rPr>
          <w:rFonts w:ascii="Arial" w:eastAsia="Calibri" w:hAnsi="Arial" w:cs="Arial"/>
          <w:b/>
          <w:sz w:val="22"/>
          <w:lang w:val="es-ES_tradnl"/>
        </w:rPr>
        <w:t xml:space="preserve"> II</w:t>
      </w:r>
      <w:r w:rsidRPr="005B2BB7">
        <w:rPr>
          <w:rFonts w:ascii="Arial" w:eastAsia="Calibri" w:hAnsi="Arial" w:cs="Arial"/>
          <w:b/>
          <w:sz w:val="22"/>
          <w:lang w:val="es-ES_tradnl"/>
        </w:rPr>
        <w:t xml:space="preserve"> – </w:t>
      </w:r>
      <w:r>
        <w:rPr>
          <w:rFonts w:ascii="Arial" w:eastAsia="Calibri" w:hAnsi="Arial" w:cs="Arial"/>
          <w:b/>
          <w:sz w:val="22"/>
          <w:lang w:val="es-ES_tradnl"/>
        </w:rPr>
        <w:t xml:space="preserve">Ley </w:t>
      </w:r>
      <w:r w:rsidR="001677F3">
        <w:rPr>
          <w:rFonts w:ascii="Arial" w:eastAsia="Calibri" w:hAnsi="Arial" w:cs="Arial"/>
          <w:b/>
          <w:sz w:val="22"/>
          <w:lang w:val="es-ES_tradnl"/>
        </w:rPr>
        <w:t>2195 de 2022</w:t>
      </w:r>
      <w:r w:rsidRPr="005B2BB7">
        <w:rPr>
          <w:rFonts w:ascii="Arial" w:eastAsia="Calibri" w:hAnsi="Arial" w:cs="Arial"/>
          <w:b/>
          <w:sz w:val="22"/>
          <w:lang w:val="es-ES_tradnl"/>
        </w:rPr>
        <w:t xml:space="preserve"> – </w:t>
      </w:r>
      <w:r w:rsidR="001677F3">
        <w:rPr>
          <w:rFonts w:ascii="Arial" w:eastAsia="Calibri" w:hAnsi="Arial" w:cs="Arial"/>
          <w:b/>
          <w:sz w:val="22"/>
          <w:lang w:val="es-ES_tradnl"/>
        </w:rPr>
        <w:t>Entidades exceptuadas</w:t>
      </w:r>
      <w:r w:rsidRPr="005B2BB7">
        <w:rPr>
          <w:rFonts w:ascii="Arial" w:eastAsia="Calibri" w:hAnsi="Arial" w:cs="Arial"/>
          <w:b/>
          <w:sz w:val="22"/>
          <w:lang w:val="es-ES_tradnl"/>
        </w:rPr>
        <w:t xml:space="preserve"> </w:t>
      </w:r>
    </w:p>
    <w:p w14:paraId="31C2F30E" w14:textId="77777777" w:rsidR="0040293D" w:rsidRPr="001677F3" w:rsidRDefault="0040293D" w:rsidP="00172944">
      <w:pPr>
        <w:spacing w:line="276" w:lineRule="auto"/>
        <w:jc w:val="both"/>
        <w:rPr>
          <w:rFonts w:ascii="Arial" w:eastAsia="Calibri" w:hAnsi="Arial" w:cs="Arial"/>
          <w:color w:val="000000" w:themeColor="text1"/>
          <w:sz w:val="22"/>
          <w:lang w:val="es-ES_tradnl"/>
        </w:rPr>
      </w:pPr>
    </w:p>
    <w:p w14:paraId="08ED35D6" w14:textId="77777777" w:rsidR="001677F3" w:rsidRDefault="001677F3" w:rsidP="001677F3">
      <w:pPr>
        <w:jc w:val="both"/>
        <w:rPr>
          <w:rFonts w:ascii="Arial" w:hAnsi="Arial" w:cs="Arial"/>
          <w:iCs/>
          <w:color w:val="000000" w:themeColor="text1"/>
          <w:sz w:val="20"/>
          <w:szCs w:val="20"/>
          <w:lang w:val="es-ES"/>
        </w:rPr>
      </w:pPr>
      <w:r w:rsidRPr="001677F3">
        <w:rPr>
          <w:rFonts w:ascii="Arial" w:hAnsi="Arial" w:cs="Arial"/>
          <w:iCs/>
          <w:color w:val="000000" w:themeColor="text1"/>
          <w:sz w:val="20"/>
          <w:szCs w:val="20"/>
          <w:lang w:val="es-ES"/>
        </w:rPr>
        <w:t>Como puede observarse, aunque la publicación en el SECOP I de los documentos relacionados con la actividad contractual ya era obligatoria para las entidades que cuentan con un régimen especial, el artículo 53 de la Ley 2195 de 2022 –que modifica el artículo 13 de la Ley 1150 de 2007– complementa ese deber con la exigencia de emplear el SECOP II. En otras palabras, en el artículo 53 de la Ley 2195 de 2022 el Congreso de la República dispone que las entidades estatales exceptuadas del Estatuto General de Contratación de la Administración Pública deben tramitar en el SECOP II –es decir en la plataforma transaccional vigente– su actividad contractual.</w:t>
      </w:r>
    </w:p>
    <w:p w14:paraId="573A9B64" w14:textId="1ECF11DE" w:rsidR="001677F3" w:rsidRPr="001677F3" w:rsidRDefault="001677F3" w:rsidP="001677F3">
      <w:pPr>
        <w:jc w:val="both"/>
        <w:rPr>
          <w:rFonts w:ascii="Arial" w:hAnsi="Arial" w:cs="Arial"/>
          <w:iCs/>
          <w:color w:val="000000" w:themeColor="text1"/>
          <w:sz w:val="20"/>
          <w:szCs w:val="20"/>
          <w:lang w:val="es-ES"/>
        </w:rPr>
      </w:pPr>
      <w:r w:rsidRPr="001677F3">
        <w:rPr>
          <w:rFonts w:ascii="Arial" w:hAnsi="Arial" w:cs="Arial"/>
          <w:iCs/>
          <w:color w:val="000000" w:themeColor="text1"/>
          <w:sz w:val="20"/>
          <w:szCs w:val="20"/>
          <w:lang w:val="es-ES"/>
        </w:rPr>
        <w:t xml:space="preserve"> </w:t>
      </w:r>
    </w:p>
    <w:p w14:paraId="07459730" w14:textId="7E682CBB" w:rsidR="00D6276C" w:rsidRPr="001677F3" w:rsidRDefault="001677F3" w:rsidP="001677F3">
      <w:pPr>
        <w:jc w:val="both"/>
        <w:rPr>
          <w:rFonts w:ascii="Arial" w:hAnsi="Arial" w:cs="Arial"/>
          <w:iCs/>
          <w:color w:val="000000" w:themeColor="text1"/>
          <w:sz w:val="20"/>
          <w:szCs w:val="20"/>
          <w:lang w:val="es-ES"/>
        </w:rPr>
      </w:pPr>
      <w:r w:rsidRPr="001677F3">
        <w:rPr>
          <w:rFonts w:ascii="Arial" w:hAnsi="Arial" w:cs="Arial"/>
          <w:iCs/>
          <w:color w:val="000000" w:themeColor="text1"/>
          <w:sz w:val="20"/>
          <w:szCs w:val="20"/>
          <w:lang w:val="es-ES"/>
        </w:rPr>
        <w:t>La Agencia Nacional de Contratación Pública – Colombia Compra Eficiente considera que al establecer el artículo 53 que este deber se debe cumplir en el SECOP II «o la plataforma transaccional que haga sus veces» esto debe interpretarse en el sentido en que a pesar de que en la actualidad es el SECOP II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 No considera esta Agencia que, al utilizar la norma la expresión indicada, deba entenderse que las entidades exceptuadas del Estatuto General de Contratación de la Administración Pública pueden emplear sus páginas web o sus propios portales electrónicos, para realizar, a través de ellos, el procedimiento contractual, pues, precisamente, el artículo 53 de la Ley 2195 de 2022 unifica el régimen transaccional de las entidades estatales en una sola plataforma, actualmente denominada SECOP II. Con esto se logra que la ciudadanía pueda encontrar en un mismo sistema la gestión de la actividad contractual del Estado, garantizándose en mayor grado la transparencia y el acceso a la documentación pública.</w:t>
      </w:r>
    </w:p>
    <w:p w14:paraId="54B92687" w14:textId="1B3F55FF" w:rsidR="006A103E" w:rsidRPr="005B2BB7" w:rsidRDefault="006A103E" w:rsidP="00B95C30">
      <w:pPr>
        <w:spacing w:line="276" w:lineRule="auto"/>
        <w:jc w:val="both"/>
        <w:rPr>
          <w:rFonts w:ascii="Arial" w:hAnsi="Arial" w:cs="Arial"/>
          <w:noProof/>
          <w:color w:val="000000" w:themeColor="text1"/>
          <w:sz w:val="22"/>
        </w:rPr>
      </w:pPr>
    </w:p>
    <w:p w14:paraId="17711B21" w14:textId="3B29A4C2" w:rsidR="00CD4357" w:rsidRDefault="00CD4357" w:rsidP="00B95C30">
      <w:pPr>
        <w:spacing w:line="276" w:lineRule="auto"/>
        <w:jc w:val="both"/>
        <w:rPr>
          <w:rFonts w:ascii="Arial" w:eastAsia="Calibri" w:hAnsi="Arial" w:cs="Arial"/>
          <w:b/>
          <w:sz w:val="22"/>
          <w:lang w:val="es-ES_tradnl"/>
        </w:rPr>
      </w:pPr>
    </w:p>
    <w:p w14:paraId="47A27CB8" w14:textId="3F9786C5" w:rsidR="00CC0144" w:rsidRDefault="00CC0144" w:rsidP="00B95C30">
      <w:pPr>
        <w:spacing w:line="276" w:lineRule="auto"/>
        <w:jc w:val="both"/>
        <w:rPr>
          <w:rFonts w:ascii="Arial" w:eastAsia="Calibri" w:hAnsi="Arial" w:cs="Arial"/>
          <w:b/>
          <w:sz w:val="22"/>
          <w:lang w:val="es-ES_tradnl"/>
        </w:rPr>
      </w:pPr>
    </w:p>
    <w:p w14:paraId="331A0AEF" w14:textId="092244B9" w:rsidR="00CC0144" w:rsidRDefault="00CC0144" w:rsidP="00B95C30">
      <w:pPr>
        <w:spacing w:line="276" w:lineRule="auto"/>
        <w:jc w:val="both"/>
        <w:rPr>
          <w:rFonts w:ascii="Arial" w:eastAsia="Calibri" w:hAnsi="Arial" w:cs="Arial"/>
          <w:b/>
          <w:sz w:val="22"/>
          <w:lang w:val="es-ES_tradnl"/>
        </w:rPr>
      </w:pPr>
    </w:p>
    <w:p w14:paraId="02B33524" w14:textId="300A67F1" w:rsidR="00CC0144" w:rsidRDefault="00CC0144" w:rsidP="00B95C30">
      <w:pPr>
        <w:spacing w:line="276" w:lineRule="auto"/>
        <w:jc w:val="both"/>
        <w:rPr>
          <w:rFonts w:ascii="Arial" w:eastAsia="Calibri" w:hAnsi="Arial" w:cs="Arial"/>
          <w:b/>
          <w:sz w:val="22"/>
          <w:lang w:val="es-ES_tradnl"/>
        </w:rPr>
      </w:pPr>
    </w:p>
    <w:p w14:paraId="1A42556F" w14:textId="7DD4355F" w:rsidR="00CC0144" w:rsidRDefault="00CC0144" w:rsidP="00B95C30">
      <w:pPr>
        <w:spacing w:line="276" w:lineRule="auto"/>
        <w:jc w:val="both"/>
        <w:rPr>
          <w:rFonts w:ascii="Arial" w:eastAsia="Calibri" w:hAnsi="Arial" w:cs="Arial"/>
          <w:b/>
          <w:sz w:val="22"/>
          <w:lang w:val="es-ES_tradnl"/>
        </w:rPr>
      </w:pPr>
    </w:p>
    <w:p w14:paraId="51108A9A" w14:textId="02A210FD" w:rsidR="00CC0144" w:rsidRDefault="00CC0144" w:rsidP="00B95C30">
      <w:pPr>
        <w:spacing w:line="276" w:lineRule="auto"/>
        <w:jc w:val="both"/>
        <w:rPr>
          <w:rFonts w:ascii="Arial" w:eastAsia="Calibri" w:hAnsi="Arial" w:cs="Arial"/>
          <w:b/>
          <w:sz w:val="22"/>
          <w:lang w:val="es-ES_tradnl"/>
        </w:rPr>
      </w:pPr>
    </w:p>
    <w:p w14:paraId="1E7261A0" w14:textId="2517F4F2" w:rsidR="00CC0144" w:rsidRDefault="00CC0144" w:rsidP="00B95C30">
      <w:pPr>
        <w:spacing w:line="276" w:lineRule="auto"/>
        <w:jc w:val="both"/>
        <w:rPr>
          <w:rFonts w:ascii="Arial" w:eastAsia="Calibri" w:hAnsi="Arial" w:cs="Arial"/>
          <w:b/>
          <w:sz w:val="22"/>
          <w:lang w:val="es-ES_tradnl"/>
        </w:rPr>
      </w:pPr>
    </w:p>
    <w:p w14:paraId="231CACC6" w14:textId="1E1CFF00" w:rsidR="00CC0144" w:rsidRDefault="00CC0144" w:rsidP="00B95C30">
      <w:pPr>
        <w:spacing w:line="276" w:lineRule="auto"/>
        <w:jc w:val="both"/>
        <w:rPr>
          <w:rFonts w:ascii="Arial" w:eastAsia="Calibri" w:hAnsi="Arial" w:cs="Arial"/>
          <w:b/>
          <w:sz w:val="22"/>
          <w:lang w:val="es-ES_tradnl"/>
        </w:rPr>
      </w:pPr>
    </w:p>
    <w:p w14:paraId="596F5906" w14:textId="1FB71399" w:rsidR="00CC0144" w:rsidRDefault="00CC0144" w:rsidP="00B95C30">
      <w:pPr>
        <w:spacing w:line="276" w:lineRule="auto"/>
        <w:jc w:val="both"/>
        <w:rPr>
          <w:rFonts w:ascii="Arial" w:eastAsia="Calibri" w:hAnsi="Arial" w:cs="Arial"/>
          <w:b/>
          <w:sz w:val="22"/>
          <w:lang w:val="es-ES_tradnl"/>
        </w:rPr>
      </w:pPr>
    </w:p>
    <w:p w14:paraId="4D7794F2" w14:textId="7F99E2E0" w:rsidR="00CC0144" w:rsidRDefault="00CC0144" w:rsidP="00B95C30">
      <w:pPr>
        <w:spacing w:line="276" w:lineRule="auto"/>
        <w:jc w:val="both"/>
        <w:rPr>
          <w:rFonts w:ascii="Arial" w:eastAsia="Calibri" w:hAnsi="Arial" w:cs="Arial"/>
          <w:b/>
          <w:sz w:val="22"/>
          <w:lang w:val="es-ES_tradnl"/>
        </w:rPr>
      </w:pPr>
    </w:p>
    <w:p w14:paraId="4DA198D8" w14:textId="4B717ED8" w:rsidR="00CC0144" w:rsidRDefault="00CC0144" w:rsidP="00B95C30">
      <w:pPr>
        <w:spacing w:line="276" w:lineRule="auto"/>
        <w:jc w:val="both"/>
        <w:rPr>
          <w:rFonts w:ascii="Arial" w:eastAsia="Calibri" w:hAnsi="Arial" w:cs="Arial"/>
          <w:b/>
          <w:sz w:val="22"/>
          <w:lang w:val="es-ES_tradnl"/>
        </w:rPr>
      </w:pPr>
    </w:p>
    <w:p w14:paraId="5C1BFF48" w14:textId="391D4CB1" w:rsidR="00CC0144" w:rsidRDefault="00CC0144" w:rsidP="00B95C30">
      <w:pPr>
        <w:spacing w:line="276" w:lineRule="auto"/>
        <w:jc w:val="both"/>
        <w:rPr>
          <w:rFonts w:ascii="Arial" w:eastAsia="Calibri" w:hAnsi="Arial" w:cs="Arial"/>
          <w:b/>
          <w:sz w:val="22"/>
          <w:lang w:val="es-ES_tradnl"/>
        </w:rPr>
      </w:pPr>
    </w:p>
    <w:p w14:paraId="3413EC7B" w14:textId="7B63FDC7" w:rsidR="00CC0144" w:rsidRDefault="00CC0144" w:rsidP="00B95C30">
      <w:pPr>
        <w:spacing w:line="276" w:lineRule="auto"/>
        <w:jc w:val="both"/>
        <w:rPr>
          <w:rFonts w:ascii="Arial" w:eastAsia="Calibri" w:hAnsi="Arial" w:cs="Arial"/>
          <w:b/>
          <w:sz w:val="22"/>
          <w:lang w:val="es-ES_tradnl"/>
        </w:rPr>
      </w:pPr>
    </w:p>
    <w:p w14:paraId="460BA5FE" w14:textId="47EBCDED" w:rsidR="00CC0144" w:rsidRDefault="00CC0144" w:rsidP="00B95C30">
      <w:pPr>
        <w:spacing w:line="276" w:lineRule="auto"/>
        <w:jc w:val="both"/>
        <w:rPr>
          <w:rFonts w:ascii="Arial" w:eastAsia="Calibri" w:hAnsi="Arial" w:cs="Arial"/>
          <w:b/>
          <w:sz w:val="22"/>
          <w:lang w:val="es-ES_tradnl"/>
        </w:rPr>
      </w:pPr>
    </w:p>
    <w:p w14:paraId="3C47CFF8" w14:textId="2A0232E3" w:rsidR="00CC0144" w:rsidRDefault="00CC0144" w:rsidP="00B95C30">
      <w:pPr>
        <w:spacing w:line="276" w:lineRule="auto"/>
        <w:jc w:val="both"/>
        <w:rPr>
          <w:rFonts w:ascii="Arial" w:eastAsia="Calibri" w:hAnsi="Arial" w:cs="Arial"/>
          <w:b/>
          <w:sz w:val="22"/>
          <w:lang w:val="es-ES_tradnl"/>
        </w:rPr>
      </w:pPr>
    </w:p>
    <w:p w14:paraId="3167077B" w14:textId="5896CB6E" w:rsidR="00CC0144" w:rsidRDefault="00CC0144" w:rsidP="00B95C30">
      <w:pPr>
        <w:spacing w:line="276" w:lineRule="auto"/>
        <w:jc w:val="both"/>
        <w:rPr>
          <w:rFonts w:ascii="Arial" w:eastAsia="Calibri" w:hAnsi="Arial" w:cs="Arial"/>
          <w:b/>
          <w:sz w:val="22"/>
          <w:lang w:val="es-ES_tradnl"/>
        </w:rPr>
      </w:pPr>
    </w:p>
    <w:p w14:paraId="2C071B52" w14:textId="27AFE2E5" w:rsidR="00CC0144" w:rsidRDefault="00CC0144" w:rsidP="00B95C30">
      <w:pPr>
        <w:spacing w:line="276" w:lineRule="auto"/>
        <w:jc w:val="both"/>
        <w:rPr>
          <w:rFonts w:ascii="Arial" w:eastAsia="Calibri" w:hAnsi="Arial" w:cs="Arial"/>
          <w:b/>
          <w:sz w:val="22"/>
          <w:lang w:val="es-ES_tradnl"/>
        </w:rPr>
      </w:pPr>
    </w:p>
    <w:p w14:paraId="21A03752" w14:textId="77777777" w:rsidR="00CC0144" w:rsidRPr="005E2A98" w:rsidRDefault="00CC0144" w:rsidP="00B95C30">
      <w:pPr>
        <w:spacing w:line="276" w:lineRule="auto"/>
        <w:jc w:val="both"/>
        <w:rPr>
          <w:rFonts w:ascii="Arial" w:hAnsi="Arial" w:cs="Arial"/>
          <w:noProof/>
          <w:color w:val="000000" w:themeColor="text1"/>
          <w:sz w:val="22"/>
          <w:lang w:val="es-ES"/>
        </w:rPr>
      </w:pPr>
    </w:p>
    <w:p w14:paraId="34CA7DC9" w14:textId="5748672D" w:rsidR="00197CF9" w:rsidRPr="005B2BB7" w:rsidRDefault="00197CF9" w:rsidP="00B95C30">
      <w:pPr>
        <w:spacing w:line="276" w:lineRule="auto"/>
        <w:jc w:val="both"/>
        <w:rPr>
          <w:rFonts w:ascii="Arial" w:hAnsi="Arial" w:cs="Arial"/>
          <w:noProof/>
          <w:color w:val="000000" w:themeColor="text1"/>
          <w:sz w:val="22"/>
        </w:rPr>
      </w:pPr>
    </w:p>
    <w:p w14:paraId="4EFCA9AA" w14:textId="77777777" w:rsidR="007B68EF" w:rsidRDefault="007B68EF" w:rsidP="006811FB">
      <w:pPr>
        <w:spacing w:line="276" w:lineRule="auto"/>
        <w:jc w:val="both"/>
        <w:rPr>
          <w:rFonts w:ascii="Arial" w:hAnsi="Arial" w:cs="Arial"/>
          <w:noProof/>
          <w:color w:val="000000" w:themeColor="text1"/>
          <w:sz w:val="22"/>
        </w:rPr>
      </w:pPr>
    </w:p>
    <w:p w14:paraId="7779C7C2" w14:textId="77777777" w:rsidR="004524FA" w:rsidRDefault="004524FA" w:rsidP="006811FB">
      <w:pPr>
        <w:spacing w:line="276" w:lineRule="auto"/>
        <w:jc w:val="both"/>
        <w:rPr>
          <w:rFonts w:ascii="Arial" w:hAnsi="Arial" w:cs="Arial"/>
          <w:noProof/>
          <w:color w:val="000000" w:themeColor="text1"/>
          <w:sz w:val="22"/>
          <w:lang w:val="es-ES_tradnl"/>
        </w:rPr>
      </w:pPr>
    </w:p>
    <w:p w14:paraId="5694BEAF" w14:textId="77777777" w:rsidR="004524FA" w:rsidRDefault="004524FA" w:rsidP="006811FB">
      <w:pPr>
        <w:spacing w:line="276" w:lineRule="auto"/>
        <w:jc w:val="both"/>
        <w:rPr>
          <w:rFonts w:ascii="Arial" w:hAnsi="Arial" w:cs="Arial"/>
          <w:noProof/>
          <w:color w:val="000000" w:themeColor="text1"/>
          <w:sz w:val="22"/>
          <w:lang w:val="es-ES_tradnl"/>
        </w:rPr>
      </w:pPr>
    </w:p>
    <w:p w14:paraId="6D942603" w14:textId="44713BA9" w:rsidR="006811FB" w:rsidRPr="00B00C57" w:rsidRDefault="006811FB" w:rsidP="006811FB">
      <w:pPr>
        <w:spacing w:line="276" w:lineRule="auto"/>
        <w:jc w:val="both"/>
        <w:rPr>
          <w:rFonts w:ascii="Arial" w:hAnsi="Arial" w:cs="Arial"/>
          <w:b/>
          <w:color w:val="000000" w:themeColor="text1"/>
          <w:sz w:val="22"/>
          <w:lang w:val="es-ES_tradnl"/>
        </w:rPr>
      </w:pPr>
      <w:r w:rsidRPr="00B00C57">
        <w:rPr>
          <w:rFonts w:ascii="Arial" w:hAnsi="Arial" w:cs="Arial"/>
          <w:noProof/>
          <w:color w:val="000000" w:themeColor="text1"/>
          <w:sz w:val="22"/>
          <w:lang w:val="es-ES_tradnl"/>
        </w:rPr>
        <w:t xml:space="preserve">Bogotá D.C., </w:t>
      </w:r>
      <w:r w:rsidR="001E6F05">
        <w:rPr>
          <w:rFonts w:ascii="Arial" w:hAnsi="Arial" w:cs="Arial"/>
          <w:b/>
          <w:color w:val="000000" w:themeColor="text1"/>
          <w:sz w:val="22"/>
          <w:lang w:val="es-ES_tradnl"/>
        </w:rPr>
        <w:t>28/03/2022</w:t>
      </w:r>
      <w:r w:rsidR="00141605">
        <w:rPr>
          <w:rFonts w:ascii="Arial" w:hAnsi="Arial" w:cs="Arial"/>
          <w:b/>
          <w:color w:val="000000" w:themeColor="text1"/>
          <w:sz w:val="22"/>
          <w:lang w:val="es-ES_tradnl"/>
        </w:rPr>
        <w:t xml:space="preserve"> 11:30:26</w:t>
      </w:r>
    </w:p>
    <w:p w14:paraId="67833FA4" w14:textId="77777777" w:rsidR="006811FB" w:rsidRPr="00B00C57" w:rsidRDefault="006811FB" w:rsidP="006811FB">
      <w:pPr>
        <w:spacing w:line="276" w:lineRule="auto"/>
        <w:jc w:val="both"/>
        <w:rPr>
          <w:rFonts w:ascii="Arial" w:eastAsia="Calibri" w:hAnsi="Arial" w:cs="Arial"/>
          <w:noProof/>
          <w:color w:val="000000" w:themeColor="text1"/>
          <w:sz w:val="22"/>
          <w:szCs w:val="22"/>
          <w:lang w:val="es-ES_tradnl"/>
        </w:rPr>
      </w:pPr>
    </w:p>
    <w:p w14:paraId="3AA56B6E" w14:textId="2CD95DB9" w:rsidR="001E6F05" w:rsidRDefault="001E6F05" w:rsidP="001E6F05">
      <w:pPr>
        <w:jc w:val="right"/>
      </w:pPr>
      <w:r>
        <w:fldChar w:fldCharType="begin"/>
      </w:r>
      <w:r>
        <w:instrText xml:space="preserve"> INCLUDEPICTURE "/var/folders/z2/mpmwzz0s3w31yr1_fh2qtrr80000gn/T/com.microsoft.Word/WebArchiveCopyPasteTempFiles/page1image3080235072" \* MERGEFORMATINET </w:instrText>
      </w:r>
      <w:r>
        <w:fldChar w:fldCharType="separate"/>
      </w:r>
      <w:r>
        <w:rPr>
          <w:noProof/>
        </w:rPr>
        <w:drawing>
          <wp:inline distT="0" distB="0" distL="0" distR="0" wp14:anchorId="282BFD69" wp14:editId="530CCB20">
            <wp:extent cx="2400300" cy="612140"/>
            <wp:effectExtent l="0" t="0" r="0" b="0"/>
            <wp:docPr id="1" name="Imagen 1" descr="page1image3080235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308023507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12140"/>
                    </a:xfrm>
                    <a:prstGeom prst="rect">
                      <a:avLst/>
                    </a:prstGeom>
                    <a:noFill/>
                    <a:ln>
                      <a:noFill/>
                    </a:ln>
                  </pic:spPr>
                </pic:pic>
              </a:graphicData>
            </a:graphic>
          </wp:inline>
        </w:drawing>
      </w:r>
      <w:r>
        <w:fldChar w:fldCharType="end"/>
      </w:r>
    </w:p>
    <w:p w14:paraId="3701F60A" w14:textId="77777777" w:rsidR="006811FB" w:rsidRPr="00B00C57" w:rsidRDefault="006811FB" w:rsidP="006811FB">
      <w:pPr>
        <w:jc w:val="both"/>
        <w:rPr>
          <w:rFonts w:ascii="Arial" w:hAnsi="Arial" w:cs="Arial"/>
          <w:bCs/>
          <w:color w:val="000000" w:themeColor="text1"/>
          <w:sz w:val="22"/>
          <w:lang w:val="es-ES_tradnl"/>
        </w:rPr>
      </w:pPr>
    </w:p>
    <w:p w14:paraId="61489F7E" w14:textId="77777777" w:rsidR="006811FB" w:rsidRPr="00B00C57" w:rsidRDefault="006811FB" w:rsidP="006811FB">
      <w:pPr>
        <w:jc w:val="both"/>
        <w:rPr>
          <w:rFonts w:ascii="Arial" w:hAnsi="Arial" w:cs="Arial"/>
          <w:bCs/>
          <w:color w:val="000000" w:themeColor="text1"/>
          <w:sz w:val="22"/>
          <w:lang w:val="es-ES_tradnl"/>
        </w:rPr>
      </w:pPr>
    </w:p>
    <w:p w14:paraId="5F5AE9EF" w14:textId="422564B1" w:rsidR="00B95C30" w:rsidRPr="00B00C57" w:rsidRDefault="00B95C30" w:rsidP="00B95C30">
      <w:pPr>
        <w:jc w:val="both"/>
        <w:rPr>
          <w:rFonts w:ascii="Arial" w:eastAsia="Calibri" w:hAnsi="Arial" w:cs="Arial"/>
          <w:color w:val="000000" w:themeColor="text1"/>
          <w:sz w:val="22"/>
          <w:lang w:val="es-ES_tradnl"/>
        </w:rPr>
      </w:pPr>
      <w:r w:rsidRPr="00B00C57">
        <w:rPr>
          <w:rFonts w:ascii="Arial" w:eastAsia="Calibri" w:hAnsi="Arial" w:cs="Arial"/>
          <w:color w:val="000000" w:themeColor="text1"/>
          <w:sz w:val="22"/>
          <w:lang w:val="es-ES_tradnl"/>
        </w:rPr>
        <w:t>Señor</w:t>
      </w:r>
      <w:r w:rsidR="00141226" w:rsidRPr="00B00C57">
        <w:rPr>
          <w:rFonts w:ascii="Arial" w:eastAsia="Calibri" w:hAnsi="Arial" w:cs="Arial"/>
          <w:color w:val="000000" w:themeColor="text1"/>
          <w:sz w:val="22"/>
          <w:lang w:val="es-ES_tradnl"/>
        </w:rPr>
        <w:t>a</w:t>
      </w:r>
    </w:p>
    <w:p w14:paraId="3DCD58CE" w14:textId="2BB454A0" w:rsidR="00B95C30" w:rsidRPr="00B00C57" w:rsidRDefault="00CD57BF" w:rsidP="00B95C30">
      <w:pPr>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Liliana Valentina Galindo Vesga</w:t>
      </w:r>
    </w:p>
    <w:p w14:paraId="09D4AEA8" w14:textId="41EB4D8B" w:rsidR="00B95C30" w:rsidRPr="00B00C57" w:rsidRDefault="00CD57BF" w:rsidP="00B95C30">
      <w:pPr>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Bogotá</w:t>
      </w:r>
      <w:r w:rsidR="00D866CA" w:rsidRPr="00B00C57">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D.C.</w:t>
      </w:r>
    </w:p>
    <w:p w14:paraId="793D7601" w14:textId="3DD45DF5" w:rsidR="004524FA" w:rsidRDefault="004524FA" w:rsidP="004524FA">
      <w:pPr>
        <w:rPr>
          <w:rFonts w:ascii="Arial" w:eastAsia="Calibri" w:hAnsi="Arial" w:cs="Arial"/>
          <w:b/>
          <w:bCs/>
          <w:color w:val="000000" w:themeColor="text1"/>
          <w:sz w:val="22"/>
          <w:lang w:val="es-ES_tradnl"/>
        </w:rPr>
      </w:pPr>
    </w:p>
    <w:p w14:paraId="17255341" w14:textId="77777777" w:rsidR="004524FA" w:rsidRPr="00B00C57" w:rsidRDefault="004524FA" w:rsidP="00D5452C">
      <w:pPr>
        <w:rPr>
          <w:rFonts w:ascii="Arial" w:eastAsia="Calibri" w:hAnsi="Arial" w:cs="Arial"/>
          <w:color w:val="000000" w:themeColor="text1"/>
          <w:sz w:val="22"/>
          <w:lang w:val="es-ES_tradnl"/>
        </w:rPr>
      </w:pPr>
    </w:p>
    <w:p w14:paraId="12E66182" w14:textId="4024AEA0" w:rsidR="00B95C30" w:rsidRPr="00B00C57" w:rsidRDefault="004524FA" w:rsidP="00D5452C">
      <w:pPr>
        <w:rPr>
          <w:rFonts w:ascii="Arial" w:eastAsia="Calibri" w:hAnsi="Arial" w:cs="Arial"/>
          <w:b/>
          <w:bCs/>
          <w:color w:val="000000" w:themeColor="text1"/>
          <w:sz w:val="22"/>
          <w:lang w:val="es-ES_tradnl"/>
        </w:rPr>
      </w:pPr>
      <w:r>
        <w:rPr>
          <w:rFonts w:ascii="Arial" w:eastAsia="Calibri" w:hAnsi="Arial" w:cs="Arial"/>
          <w:color w:val="000000" w:themeColor="text1"/>
          <w:sz w:val="22"/>
          <w:lang w:val="es-ES_tradnl"/>
        </w:rPr>
        <w:t xml:space="preserve">                                            </w:t>
      </w:r>
      <w:r w:rsidR="00B95C30" w:rsidRPr="0078266E">
        <w:rPr>
          <w:rFonts w:ascii="Arial" w:eastAsia="Calibri" w:hAnsi="Arial" w:cs="Arial"/>
          <w:b/>
          <w:bCs/>
          <w:color w:val="000000" w:themeColor="text1"/>
          <w:sz w:val="22"/>
          <w:lang w:val="es-ES_tradnl"/>
        </w:rPr>
        <w:t xml:space="preserve">Concepto C ‒ </w:t>
      </w:r>
      <w:r w:rsidR="0078266E" w:rsidRPr="0078266E">
        <w:rPr>
          <w:rFonts w:ascii="Arial" w:eastAsia="Calibri" w:hAnsi="Arial" w:cs="Arial"/>
          <w:b/>
          <w:bCs/>
          <w:color w:val="000000" w:themeColor="text1"/>
          <w:sz w:val="22"/>
          <w:lang w:val="es-ES_tradnl"/>
        </w:rPr>
        <w:t>132</w:t>
      </w:r>
      <w:r w:rsidR="00B95C30" w:rsidRPr="0078266E">
        <w:rPr>
          <w:rFonts w:ascii="Arial" w:eastAsia="Calibri" w:hAnsi="Arial" w:cs="Arial"/>
          <w:b/>
          <w:bCs/>
          <w:color w:val="000000" w:themeColor="text1"/>
          <w:sz w:val="22"/>
          <w:lang w:val="es-ES_tradnl"/>
        </w:rPr>
        <w:t xml:space="preserve"> de 202</w:t>
      </w:r>
      <w:r w:rsidR="008E04C3" w:rsidRPr="0078266E">
        <w:rPr>
          <w:rFonts w:ascii="Arial" w:eastAsia="Calibri" w:hAnsi="Arial" w:cs="Arial"/>
          <w:b/>
          <w:bCs/>
          <w:color w:val="000000" w:themeColor="text1"/>
          <w:sz w:val="22"/>
          <w:lang w:val="es-ES_tradnl"/>
        </w:rPr>
        <w:t>2</w:t>
      </w:r>
    </w:p>
    <w:p w14:paraId="1BD594F9" w14:textId="77777777" w:rsidR="00B95C30" w:rsidRPr="00B00C57"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B00C57" w14:paraId="19DFC051" w14:textId="77777777" w:rsidTr="002442D4">
        <w:tc>
          <w:tcPr>
            <w:tcW w:w="2689" w:type="dxa"/>
          </w:tcPr>
          <w:p w14:paraId="6BC0D1AC" w14:textId="77777777" w:rsidR="00B95C30" w:rsidRPr="00B00C57" w:rsidRDefault="00B95C30" w:rsidP="002442D4">
            <w:pPr>
              <w:jc w:val="both"/>
              <w:rPr>
                <w:rFonts w:ascii="Arial" w:eastAsia="Calibri" w:hAnsi="Arial" w:cs="Arial"/>
                <w:color w:val="000000" w:themeColor="text1"/>
                <w:sz w:val="22"/>
                <w:lang w:val="es-ES_tradnl"/>
              </w:rPr>
            </w:pPr>
            <w:r w:rsidRPr="00B00C57">
              <w:rPr>
                <w:rFonts w:ascii="Arial" w:eastAsia="Calibri" w:hAnsi="Arial" w:cs="Arial"/>
                <w:b/>
                <w:color w:val="000000" w:themeColor="text1"/>
                <w:sz w:val="22"/>
                <w:lang w:val="es-ES_tradnl"/>
              </w:rPr>
              <w:t>Temas:</w:t>
            </w:r>
            <w:r w:rsidRPr="00B00C57">
              <w:rPr>
                <w:rFonts w:ascii="Arial" w:eastAsia="Calibri" w:hAnsi="Arial" w:cs="Arial"/>
                <w:color w:val="000000" w:themeColor="text1"/>
                <w:sz w:val="22"/>
                <w:lang w:val="es-ES_tradnl"/>
              </w:rPr>
              <w:t xml:space="preserve">                                      </w:t>
            </w:r>
          </w:p>
        </w:tc>
        <w:tc>
          <w:tcPr>
            <w:tcW w:w="6237" w:type="dxa"/>
          </w:tcPr>
          <w:p w14:paraId="5F389CAF" w14:textId="1A770D3F" w:rsidR="00B95C30" w:rsidRPr="00A86DA1" w:rsidRDefault="007B68EF" w:rsidP="0038512F">
            <w:pPr>
              <w:pStyle w:val="Sinespaciado"/>
              <w:jc w:val="both"/>
              <w:rPr>
                <w:rFonts w:ascii="Arial" w:hAnsi="Arial" w:cs="Arial"/>
                <w:bCs/>
                <w:sz w:val="22"/>
                <w:lang w:val="es-ES_tradnl"/>
              </w:rPr>
            </w:pPr>
            <w:r w:rsidRPr="00A86DA1">
              <w:rPr>
                <w:rFonts w:ascii="Arial" w:eastAsia="Calibri" w:hAnsi="Arial" w:cs="Arial"/>
                <w:sz w:val="22"/>
                <w:lang w:val="es-ES_tradnl"/>
              </w:rPr>
              <w:t xml:space="preserve">ENTIDADES EXCEPTUADAS – Régimen especial – Derecho privado – Manuales de contratación </w:t>
            </w:r>
            <w:r w:rsidR="00C3237B" w:rsidRPr="00A86DA1">
              <w:rPr>
                <w:rFonts w:ascii="Arial" w:eastAsia="Calibri" w:hAnsi="Arial" w:cs="Arial"/>
                <w:sz w:val="22"/>
                <w:lang w:val="es-ES_tradnl"/>
              </w:rPr>
              <w:t>/</w:t>
            </w:r>
            <w:r w:rsidRPr="00A86DA1">
              <w:t xml:space="preserve"> </w:t>
            </w:r>
            <w:r w:rsidRPr="00A86DA1">
              <w:rPr>
                <w:rFonts w:ascii="Arial" w:eastAsia="Calibri" w:hAnsi="Arial" w:cs="Arial"/>
                <w:sz w:val="22"/>
                <w:lang w:val="es-ES_tradnl"/>
              </w:rPr>
              <w:t>MANUALES DE CONTRATACIÓN – Potestad reglamentaria – límites / SECOP – Diferencias – SECOP I – SECOP II / SECOP II – Ley 2195 de 2022 – Entidades exceptuadas.</w:t>
            </w:r>
          </w:p>
        </w:tc>
      </w:tr>
      <w:tr w:rsidR="00B95C30" w:rsidRPr="00B00C57" w14:paraId="27CD52AB" w14:textId="77777777" w:rsidTr="002442D4">
        <w:tc>
          <w:tcPr>
            <w:tcW w:w="2689" w:type="dxa"/>
          </w:tcPr>
          <w:p w14:paraId="37E195A1" w14:textId="4C368209" w:rsidR="00B95C30" w:rsidRPr="00B00C57" w:rsidRDefault="00B95C30" w:rsidP="002442D4">
            <w:pPr>
              <w:spacing w:before="120"/>
              <w:jc w:val="both"/>
              <w:rPr>
                <w:rFonts w:ascii="Arial" w:eastAsia="Calibri" w:hAnsi="Arial" w:cs="Arial"/>
                <w:b/>
                <w:color w:val="000000" w:themeColor="text1"/>
                <w:sz w:val="22"/>
                <w:lang w:val="es-ES_tradnl"/>
              </w:rPr>
            </w:pPr>
            <w:r w:rsidRPr="00B00C57">
              <w:rPr>
                <w:rFonts w:ascii="Arial" w:eastAsia="Calibri" w:hAnsi="Arial" w:cs="Arial"/>
                <w:b/>
                <w:color w:val="000000" w:themeColor="text1"/>
                <w:sz w:val="22"/>
                <w:lang w:val="es-ES_tradnl"/>
              </w:rPr>
              <w:t>Radicación:</w:t>
            </w:r>
            <w:r w:rsidRPr="00B00C57">
              <w:rPr>
                <w:rFonts w:ascii="Arial" w:eastAsia="Calibri" w:hAnsi="Arial" w:cs="Arial"/>
                <w:color w:val="000000" w:themeColor="text1"/>
                <w:sz w:val="22"/>
                <w:lang w:val="es-ES_tradnl"/>
              </w:rPr>
              <w:t xml:space="preserve">                              </w:t>
            </w:r>
          </w:p>
        </w:tc>
        <w:tc>
          <w:tcPr>
            <w:tcW w:w="6237" w:type="dxa"/>
          </w:tcPr>
          <w:p w14:paraId="09088B1B" w14:textId="5A40EC9F" w:rsidR="00B95C30" w:rsidRPr="00B00C57" w:rsidRDefault="00B95C30" w:rsidP="004524FA">
            <w:pPr>
              <w:spacing w:before="120"/>
              <w:jc w:val="both"/>
              <w:rPr>
                <w:rFonts w:ascii="Arial" w:eastAsia="Calibri" w:hAnsi="Arial" w:cs="Arial"/>
                <w:color w:val="000000" w:themeColor="text1"/>
                <w:sz w:val="22"/>
                <w:lang w:val="es-ES_tradnl"/>
              </w:rPr>
            </w:pPr>
            <w:r w:rsidRPr="00B00C57">
              <w:rPr>
                <w:rFonts w:ascii="Arial" w:eastAsia="Calibri" w:hAnsi="Arial" w:cs="Arial"/>
                <w:color w:val="000000" w:themeColor="text1"/>
                <w:sz w:val="22"/>
                <w:lang w:val="es-ES_tradnl"/>
              </w:rPr>
              <w:t xml:space="preserve">Respuesta a consulta # </w:t>
            </w:r>
            <w:r w:rsidR="004270D3" w:rsidRPr="004270D3">
              <w:rPr>
                <w:rFonts w:ascii="Arial" w:eastAsia="Calibri" w:hAnsi="Arial" w:cs="Arial"/>
                <w:color w:val="000000" w:themeColor="text1"/>
                <w:sz w:val="22"/>
                <w:lang w:val="es-ES_tradnl"/>
              </w:rPr>
              <w:t>P20220211001368</w:t>
            </w:r>
          </w:p>
        </w:tc>
      </w:tr>
    </w:tbl>
    <w:p w14:paraId="6F6EFEE5" w14:textId="77777777" w:rsidR="004524FA" w:rsidRDefault="004524FA" w:rsidP="003C3339">
      <w:pPr>
        <w:jc w:val="both"/>
        <w:rPr>
          <w:rFonts w:ascii="Arial" w:eastAsia="Calibri" w:hAnsi="Arial" w:cs="Arial"/>
          <w:color w:val="000000" w:themeColor="text1"/>
          <w:sz w:val="22"/>
          <w:lang w:val="es-ES_tradnl"/>
        </w:rPr>
      </w:pPr>
    </w:p>
    <w:p w14:paraId="032BAEF0" w14:textId="77777777" w:rsidR="004524FA" w:rsidRDefault="004524FA" w:rsidP="003C3339">
      <w:pPr>
        <w:jc w:val="both"/>
        <w:rPr>
          <w:rFonts w:ascii="Arial" w:eastAsia="Calibri" w:hAnsi="Arial" w:cs="Arial"/>
          <w:color w:val="000000" w:themeColor="text1"/>
          <w:sz w:val="22"/>
          <w:lang w:val="es-ES_tradnl"/>
        </w:rPr>
      </w:pPr>
    </w:p>
    <w:p w14:paraId="1CF4AEA0" w14:textId="6A9F7A82" w:rsidR="003C3339" w:rsidRPr="00B00C57" w:rsidRDefault="003C3339" w:rsidP="003C3339">
      <w:pPr>
        <w:jc w:val="both"/>
        <w:rPr>
          <w:rFonts w:ascii="Arial" w:eastAsia="Calibri" w:hAnsi="Arial" w:cs="Arial"/>
          <w:color w:val="000000" w:themeColor="text1"/>
          <w:sz w:val="22"/>
          <w:lang w:val="es-ES_tradnl"/>
        </w:rPr>
      </w:pPr>
      <w:r w:rsidRPr="00B00C57">
        <w:rPr>
          <w:rFonts w:ascii="Arial" w:eastAsia="Calibri" w:hAnsi="Arial" w:cs="Arial"/>
          <w:color w:val="000000" w:themeColor="text1"/>
          <w:sz w:val="22"/>
          <w:lang w:val="es-ES_tradnl"/>
        </w:rPr>
        <w:t>Estimad</w:t>
      </w:r>
      <w:r w:rsidR="0019178A" w:rsidRPr="00B00C57">
        <w:rPr>
          <w:rFonts w:ascii="Arial" w:eastAsia="Calibri" w:hAnsi="Arial" w:cs="Arial"/>
          <w:color w:val="000000" w:themeColor="text1"/>
          <w:sz w:val="22"/>
          <w:lang w:val="es-ES_tradnl"/>
        </w:rPr>
        <w:t>a</w:t>
      </w:r>
      <w:r w:rsidRPr="00B00C57">
        <w:rPr>
          <w:rFonts w:ascii="Arial" w:eastAsia="Calibri" w:hAnsi="Arial" w:cs="Arial"/>
          <w:color w:val="000000" w:themeColor="text1"/>
          <w:sz w:val="22"/>
          <w:lang w:val="es-ES_tradnl"/>
        </w:rPr>
        <w:t xml:space="preserve"> </w:t>
      </w:r>
      <w:r w:rsidR="00677E9C" w:rsidRPr="00B00C57">
        <w:rPr>
          <w:rFonts w:ascii="Arial" w:eastAsia="Calibri" w:hAnsi="Arial" w:cs="Arial"/>
          <w:color w:val="000000" w:themeColor="text1"/>
          <w:sz w:val="22"/>
          <w:lang w:val="es-ES_tradnl"/>
        </w:rPr>
        <w:t>señor</w:t>
      </w:r>
      <w:r w:rsidR="0019178A" w:rsidRPr="00B00C57">
        <w:rPr>
          <w:rFonts w:ascii="Arial" w:eastAsia="Calibri" w:hAnsi="Arial" w:cs="Arial"/>
          <w:color w:val="000000" w:themeColor="text1"/>
          <w:sz w:val="22"/>
          <w:lang w:val="es-ES_tradnl"/>
        </w:rPr>
        <w:t>a</w:t>
      </w:r>
      <w:r w:rsidR="00677E9C" w:rsidRPr="00B00C57">
        <w:rPr>
          <w:rFonts w:ascii="Arial" w:eastAsia="Calibri" w:hAnsi="Arial" w:cs="Arial"/>
          <w:color w:val="000000" w:themeColor="text1"/>
          <w:sz w:val="22"/>
          <w:lang w:val="es-ES_tradnl"/>
        </w:rPr>
        <w:t xml:space="preserve"> </w:t>
      </w:r>
      <w:r w:rsidR="00CD57BF">
        <w:rPr>
          <w:rFonts w:ascii="Arial" w:eastAsia="Calibri" w:hAnsi="Arial" w:cs="Arial"/>
          <w:color w:val="000000" w:themeColor="text1"/>
          <w:sz w:val="22"/>
          <w:lang w:val="es-ES_tradnl"/>
        </w:rPr>
        <w:t>Galindo</w:t>
      </w:r>
      <w:r w:rsidRPr="00B00C57">
        <w:rPr>
          <w:rFonts w:ascii="Arial" w:eastAsia="Calibri" w:hAnsi="Arial" w:cs="Arial"/>
          <w:color w:val="000000" w:themeColor="text1"/>
          <w:sz w:val="22"/>
          <w:lang w:val="es-ES_tradnl"/>
        </w:rPr>
        <w:t>:</w:t>
      </w:r>
    </w:p>
    <w:p w14:paraId="1EAE5543" w14:textId="77777777" w:rsidR="00DD5B04" w:rsidRPr="00B00C57" w:rsidRDefault="00DD5B04" w:rsidP="00DF76A2">
      <w:pPr>
        <w:jc w:val="both"/>
        <w:rPr>
          <w:rFonts w:ascii="Arial" w:eastAsia="Calibri" w:hAnsi="Arial" w:cs="Arial"/>
          <w:color w:val="000000" w:themeColor="text1"/>
          <w:sz w:val="22"/>
          <w:lang w:val="es-ES_tradnl"/>
        </w:rPr>
      </w:pPr>
    </w:p>
    <w:p w14:paraId="2109B2D3" w14:textId="4F6FAB7F" w:rsidR="00DD5B04" w:rsidRPr="00B00C57" w:rsidRDefault="00DD5B04" w:rsidP="00DF76A2">
      <w:pPr>
        <w:spacing w:line="276" w:lineRule="auto"/>
        <w:jc w:val="both"/>
        <w:rPr>
          <w:rFonts w:ascii="Arial" w:eastAsia="Calibri" w:hAnsi="Arial" w:cs="Arial"/>
          <w:color w:val="000000" w:themeColor="text1"/>
          <w:sz w:val="22"/>
          <w:lang w:val="es-ES_tradnl"/>
        </w:rPr>
      </w:pPr>
      <w:r w:rsidRPr="00B00C57">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B00C57">
        <w:rPr>
          <w:rFonts w:ascii="Arial" w:eastAsia="Calibri" w:hAnsi="Arial" w:cs="Arial"/>
          <w:color w:val="000000" w:themeColor="text1"/>
          <w:sz w:val="22"/>
          <w:lang w:val="es-ES_tradnl"/>
        </w:rPr>
        <w:t xml:space="preserve"> </w:t>
      </w:r>
      <w:r w:rsidRPr="00B00C57">
        <w:rPr>
          <w:rFonts w:ascii="Arial" w:eastAsia="Calibri" w:hAnsi="Arial" w:cs="Arial"/>
          <w:color w:val="000000" w:themeColor="text1"/>
          <w:sz w:val="22"/>
          <w:lang w:val="es-ES_tradnl"/>
        </w:rPr>
        <w:t xml:space="preserve">responde su consulta del </w:t>
      </w:r>
      <w:r w:rsidR="00CD57BF">
        <w:rPr>
          <w:rFonts w:ascii="Arial" w:eastAsia="Calibri" w:hAnsi="Arial" w:cs="Arial"/>
          <w:color w:val="000000" w:themeColor="text1"/>
          <w:sz w:val="22"/>
          <w:lang w:val="es-ES_tradnl"/>
        </w:rPr>
        <w:t>11</w:t>
      </w:r>
      <w:r w:rsidR="00FD4AF3" w:rsidRPr="00B00C57">
        <w:rPr>
          <w:rFonts w:ascii="Arial" w:eastAsia="Calibri" w:hAnsi="Arial" w:cs="Arial"/>
          <w:color w:val="000000" w:themeColor="text1"/>
          <w:sz w:val="22"/>
          <w:lang w:val="es-ES_tradnl"/>
        </w:rPr>
        <w:t xml:space="preserve"> de </w:t>
      </w:r>
      <w:r w:rsidR="00CD57BF">
        <w:rPr>
          <w:rFonts w:ascii="Arial" w:eastAsia="Calibri" w:hAnsi="Arial" w:cs="Arial"/>
          <w:color w:val="000000" w:themeColor="text1"/>
          <w:sz w:val="22"/>
          <w:lang w:val="es-ES_tradnl"/>
        </w:rPr>
        <w:t>febrero</w:t>
      </w:r>
      <w:r w:rsidRPr="00B00C57">
        <w:rPr>
          <w:rFonts w:ascii="Arial" w:eastAsia="Calibri" w:hAnsi="Arial" w:cs="Arial"/>
          <w:color w:val="000000" w:themeColor="text1"/>
          <w:sz w:val="22"/>
          <w:lang w:val="es-ES_tradnl"/>
        </w:rPr>
        <w:t xml:space="preserve"> de</w:t>
      </w:r>
      <w:r w:rsidR="007E74BF" w:rsidRPr="00B00C57">
        <w:rPr>
          <w:rFonts w:ascii="Arial" w:eastAsia="Calibri" w:hAnsi="Arial" w:cs="Arial"/>
          <w:color w:val="000000" w:themeColor="text1"/>
          <w:sz w:val="22"/>
          <w:lang w:val="es-ES_tradnl"/>
        </w:rPr>
        <w:t xml:space="preserve"> </w:t>
      </w:r>
      <w:r w:rsidRPr="00B00C57">
        <w:rPr>
          <w:rFonts w:ascii="Arial" w:eastAsia="Calibri" w:hAnsi="Arial" w:cs="Arial"/>
          <w:color w:val="000000" w:themeColor="text1"/>
          <w:sz w:val="22"/>
          <w:lang w:val="es-ES_tradnl"/>
        </w:rPr>
        <w:t>202</w:t>
      </w:r>
      <w:r w:rsidR="00154493" w:rsidRPr="00B00C57">
        <w:rPr>
          <w:rFonts w:ascii="Arial" w:eastAsia="Calibri" w:hAnsi="Arial" w:cs="Arial"/>
          <w:color w:val="000000" w:themeColor="text1"/>
          <w:sz w:val="22"/>
          <w:lang w:val="es-ES_tradnl"/>
        </w:rPr>
        <w:t>2</w:t>
      </w:r>
      <w:r w:rsidR="008C3C57" w:rsidRPr="00B00C57">
        <w:rPr>
          <w:rFonts w:ascii="Arial" w:eastAsia="Calibri" w:hAnsi="Arial" w:cs="Arial"/>
          <w:color w:val="000000" w:themeColor="text1"/>
          <w:sz w:val="22"/>
          <w:lang w:val="es-ES_tradnl"/>
        </w:rPr>
        <w:t>.</w:t>
      </w:r>
    </w:p>
    <w:p w14:paraId="0C1E0712" w14:textId="77777777" w:rsidR="00DD5B04" w:rsidRPr="00B00C57"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B00C57"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B00C57">
        <w:rPr>
          <w:rFonts w:ascii="Arial" w:eastAsia="Calibri" w:hAnsi="Arial" w:cs="Arial"/>
          <w:b/>
          <w:color w:val="000000" w:themeColor="text1"/>
          <w:sz w:val="22"/>
          <w:lang w:val="es-ES_tradnl"/>
        </w:rPr>
        <w:t xml:space="preserve">Problema planteado </w:t>
      </w:r>
    </w:p>
    <w:p w14:paraId="224B43D3" w14:textId="77777777" w:rsidR="00DD5B04" w:rsidRPr="00B00C57"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7D12B8D" w:rsidR="00443B55" w:rsidRPr="00B00C57" w:rsidRDefault="00DD5B04" w:rsidP="0099583D">
      <w:pPr>
        <w:spacing w:line="276" w:lineRule="auto"/>
        <w:jc w:val="both"/>
        <w:rPr>
          <w:rFonts w:ascii="Arial" w:hAnsi="Arial" w:cs="Arial"/>
          <w:color w:val="000000" w:themeColor="text1"/>
          <w:sz w:val="22"/>
          <w:lang w:val="es-ES_tradnl"/>
        </w:rPr>
      </w:pPr>
      <w:r w:rsidRPr="00B00C57">
        <w:rPr>
          <w:rFonts w:ascii="Arial" w:hAnsi="Arial" w:cs="Arial"/>
          <w:color w:val="000000" w:themeColor="text1"/>
          <w:sz w:val="22"/>
          <w:lang w:val="es-ES_tradnl"/>
        </w:rPr>
        <w:t xml:space="preserve">Usted </w:t>
      </w:r>
      <w:r w:rsidR="0086394C" w:rsidRPr="00B00C57">
        <w:rPr>
          <w:rFonts w:ascii="Arial" w:hAnsi="Arial" w:cs="Arial"/>
          <w:color w:val="000000" w:themeColor="text1"/>
          <w:sz w:val="22"/>
          <w:lang w:val="es-ES_tradnl"/>
        </w:rPr>
        <w:t>realiza</w:t>
      </w:r>
      <w:r w:rsidR="006D46A3" w:rsidRPr="00B00C57">
        <w:rPr>
          <w:rFonts w:ascii="Arial" w:hAnsi="Arial" w:cs="Arial"/>
          <w:color w:val="000000" w:themeColor="text1"/>
          <w:sz w:val="22"/>
          <w:lang w:val="es-ES_tradnl"/>
        </w:rPr>
        <w:t xml:space="preserve"> la siguiente </w:t>
      </w:r>
      <w:r w:rsidR="00B46915" w:rsidRPr="00B00C57">
        <w:rPr>
          <w:rFonts w:ascii="Arial" w:hAnsi="Arial" w:cs="Arial"/>
          <w:color w:val="000000" w:themeColor="text1"/>
          <w:sz w:val="22"/>
          <w:lang w:val="es-ES_tradnl"/>
        </w:rPr>
        <w:t>consulta</w:t>
      </w:r>
      <w:r w:rsidR="000314BD" w:rsidRPr="00B00C57">
        <w:rPr>
          <w:rFonts w:ascii="Arial" w:hAnsi="Arial" w:cs="Arial"/>
          <w:color w:val="000000" w:themeColor="text1"/>
          <w:sz w:val="22"/>
          <w:lang w:val="es-ES_tradnl"/>
        </w:rPr>
        <w:t>:</w:t>
      </w:r>
      <w:r w:rsidR="007E18DF" w:rsidRPr="00B00C57">
        <w:rPr>
          <w:rFonts w:ascii="Arial" w:hAnsi="Arial" w:cs="Arial"/>
          <w:color w:val="000000" w:themeColor="text1"/>
          <w:sz w:val="22"/>
          <w:lang w:val="es-ES_tradnl"/>
        </w:rPr>
        <w:t xml:space="preserve"> </w:t>
      </w:r>
    </w:p>
    <w:p w14:paraId="559EE20C" w14:textId="77777777" w:rsidR="00443B55" w:rsidRPr="00B00C57" w:rsidRDefault="00443B55" w:rsidP="0099583D">
      <w:pPr>
        <w:spacing w:line="276" w:lineRule="auto"/>
        <w:jc w:val="both"/>
        <w:rPr>
          <w:rFonts w:ascii="Arial" w:hAnsi="Arial" w:cs="Arial"/>
          <w:color w:val="000000" w:themeColor="text1"/>
          <w:sz w:val="22"/>
          <w:lang w:val="es-ES_tradnl"/>
        </w:rPr>
      </w:pPr>
    </w:p>
    <w:p w14:paraId="6B8A209D" w14:textId="2B1B7BB5" w:rsidR="002F26B5" w:rsidRPr="002F26B5" w:rsidRDefault="002F26B5" w:rsidP="002F26B5">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2F26B5">
        <w:rPr>
          <w:rFonts w:ascii="Arial" w:hAnsi="Arial" w:cs="Arial"/>
          <w:color w:val="000000" w:themeColor="text1"/>
          <w:sz w:val="21"/>
          <w:szCs w:val="21"/>
          <w:lang w:val="es-ES_tradnl"/>
        </w:rPr>
        <w:t>Quería saber si con la nueva ley de transparencia (Ley 2195 de 2022) los fondos mixtos/ corporaciones sin ánimo de lucro de régimen especial deben hacer sus procesos de contratación por medio del SECOP?</w:t>
      </w:r>
    </w:p>
    <w:p w14:paraId="49E2DBDD" w14:textId="77777777" w:rsidR="002F26B5" w:rsidRDefault="002F26B5" w:rsidP="002F26B5">
      <w:pPr>
        <w:ind w:left="709" w:right="709"/>
        <w:jc w:val="both"/>
        <w:rPr>
          <w:rFonts w:ascii="Arial" w:hAnsi="Arial" w:cs="Arial"/>
          <w:color w:val="000000" w:themeColor="text1"/>
          <w:sz w:val="21"/>
          <w:szCs w:val="21"/>
          <w:lang w:val="es-ES_tradnl"/>
        </w:rPr>
      </w:pPr>
    </w:p>
    <w:p w14:paraId="0DC03272" w14:textId="34596BB0" w:rsidR="00DB6009" w:rsidRPr="00B00C57" w:rsidRDefault="002F26B5" w:rsidP="002F26B5">
      <w:pPr>
        <w:ind w:left="709" w:right="709"/>
        <w:jc w:val="both"/>
        <w:rPr>
          <w:rFonts w:ascii="Arial" w:hAnsi="Arial" w:cs="Arial"/>
          <w:color w:val="000000" w:themeColor="text1"/>
          <w:sz w:val="21"/>
          <w:szCs w:val="21"/>
        </w:rPr>
      </w:pPr>
      <w:proofErr w:type="gramStart"/>
      <w:r>
        <w:rPr>
          <w:rFonts w:ascii="Arial" w:hAnsi="Arial" w:cs="Arial"/>
          <w:color w:val="000000" w:themeColor="text1"/>
          <w:sz w:val="21"/>
          <w:szCs w:val="21"/>
          <w:lang w:val="es-ES_tradnl"/>
        </w:rPr>
        <w:t>»</w:t>
      </w:r>
      <w:r w:rsidRPr="002F26B5">
        <w:rPr>
          <w:rFonts w:ascii="Arial" w:hAnsi="Arial" w:cs="Arial"/>
          <w:color w:val="000000" w:themeColor="text1"/>
          <w:sz w:val="21"/>
          <w:szCs w:val="21"/>
          <w:lang w:val="es-ES_tradnl"/>
        </w:rPr>
        <w:t>Si</w:t>
      </w:r>
      <w:proofErr w:type="gramEnd"/>
      <w:r w:rsidRPr="002F26B5">
        <w:rPr>
          <w:rFonts w:ascii="Arial" w:hAnsi="Arial" w:cs="Arial"/>
          <w:color w:val="000000" w:themeColor="text1"/>
          <w:sz w:val="21"/>
          <w:szCs w:val="21"/>
          <w:lang w:val="es-ES_tradnl"/>
        </w:rPr>
        <w:t xml:space="preserve"> ese es el caso, para el caso de </w:t>
      </w:r>
      <w:proofErr w:type="spellStart"/>
      <w:r w:rsidRPr="002F26B5">
        <w:rPr>
          <w:rFonts w:ascii="Arial" w:hAnsi="Arial" w:cs="Arial"/>
          <w:color w:val="000000" w:themeColor="text1"/>
          <w:sz w:val="21"/>
          <w:szCs w:val="21"/>
          <w:lang w:val="es-ES_tradnl"/>
        </w:rPr>
        <w:t>Proimágenes</w:t>
      </w:r>
      <w:proofErr w:type="spellEnd"/>
      <w:r w:rsidRPr="002F26B5">
        <w:rPr>
          <w:rFonts w:ascii="Arial" w:hAnsi="Arial" w:cs="Arial"/>
          <w:color w:val="000000" w:themeColor="text1"/>
          <w:sz w:val="21"/>
          <w:szCs w:val="21"/>
          <w:lang w:val="es-ES_tradnl"/>
        </w:rPr>
        <w:t xml:space="preserve"> cómo podríamos surtir nuestros procesos de contratación para el Fondo del </w:t>
      </w:r>
      <w:proofErr w:type="spellStart"/>
      <w:r w:rsidRPr="002F26B5">
        <w:rPr>
          <w:rFonts w:ascii="Arial" w:hAnsi="Arial" w:cs="Arial"/>
          <w:color w:val="000000" w:themeColor="text1"/>
          <w:sz w:val="21"/>
          <w:szCs w:val="21"/>
          <w:lang w:val="es-ES_tradnl"/>
        </w:rPr>
        <w:t>desarollo</w:t>
      </w:r>
      <w:proofErr w:type="spellEnd"/>
      <w:r w:rsidRPr="002F26B5">
        <w:rPr>
          <w:rFonts w:ascii="Arial" w:hAnsi="Arial" w:cs="Arial"/>
          <w:color w:val="000000" w:themeColor="text1"/>
          <w:sz w:val="21"/>
          <w:szCs w:val="21"/>
          <w:lang w:val="es-ES_tradnl"/>
        </w:rPr>
        <w:t xml:space="preserve"> fílmico o demás contratos relacionados con los incentivos y estímulos que tiene a cargo?</w:t>
      </w:r>
      <w:r>
        <w:rPr>
          <w:rFonts w:ascii="Arial" w:hAnsi="Arial" w:cs="Arial"/>
          <w:color w:val="000000" w:themeColor="text1"/>
          <w:sz w:val="21"/>
          <w:szCs w:val="21"/>
          <w:lang w:val="es-ES_tradnl"/>
        </w:rPr>
        <w:t>» (sic).</w:t>
      </w:r>
    </w:p>
    <w:p w14:paraId="771C5199" w14:textId="77777777" w:rsidR="00EE65C4" w:rsidRPr="00B00C57" w:rsidRDefault="00EE65C4" w:rsidP="000A4299">
      <w:pPr>
        <w:ind w:right="709"/>
        <w:jc w:val="both"/>
        <w:rPr>
          <w:rFonts w:ascii="Arial" w:hAnsi="Arial" w:cs="Arial"/>
          <w:color w:val="000000" w:themeColor="text1"/>
          <w:sz w:val="22"/>
        </w:rPr>
      </w:pPr>
    </w:p>
    <w:p w14:paraId="124D2DCA" w14:textId="77777777" w:rsidR="00DD5B04" w:rsidRPr="00B00C57"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B00C57">
        <w:rPr>
          <w:rFonts w:ascii="Arial" w:eastAsia="Calibri" w:hAnsi="Arial" w:cs="Arial"/>
          <w:b/>
          <w:color w:val="000000" w:themeColor="text1"/>
          <w:sz w:val="22"/>
          <w:lang w:val="es-ES_tradnl"/>
        </w:rPr>
        <w:t>Consideraciones</w:t>
      </w:r>
    </w:p>
    <w:p w14:paraId="7D050D2E" w14:textId="77777777" w:rsidR="00435703" w:rsidRPr="00B00C57" w:rsidRDefault="00435703" w:rsidP="00DF76A2">
      <w:pPr>
        <w:spacing w:line="276" w:lineRule="auto"/>
        <w:jc w:val="both"/>
        <w:rPr>
          <w:rFonts w:ascii="Arial" w:eastAsia="Calibri" w:hAnsi="Arial" w:cs="Arial"/>
          <w:color w:val="000000" w:themeColor="text1"/>
          <w:sz w:val="22"/>
          <w:szCs w:val="22"/>
          <w:lang w:val="es-ES_tradnl"/>
        </w:rPr>
      </w:pPr>
    </w:p>
    <w:p w14:paraId="2C24D99B" w14:textId="740A4596" w:rsidR="00D71A81" w:rsidRDefault="00D71A81" w:rsidP="00980206">
      <w:pPr>
        <w:spacing w:line="276" w:lineRule="auto"/>
        <w:jc w:val="both"/>
        <w:rPr>
          <w:rFonts w:ascii="Arial" w:hAnsi="Arial" w:cs="Arial"/>
          <w:sz w:val="22"/>
          <w:lang w:val="es-ES_tradnl"/>
        </w:rPr>
      </w:pPr>
      <w:r w:rsidRPr="00206D85">
        <w:rPr>
          <w:rFonts w:ascii="Arial" w:hAnsi="Arial" w:cs="Arial"/>
          <w:sz w:val="22"/>
          <w:lang w:val="es-ES_tradnl"/>
        </w:rPr>
        <w:t>Para resolver su consulta</w:t>
      </w:r>
      <w:r w:rsidR="002D3552" w:rsidRPr="00206D85">
        <w:rPr>
          <w:rFonts w:ascii="Arial" w:hAnsi="Arial" w:cs="Arial"/>
          <w:sz w:val="22"/>
          <w:lang w:val="es-ES_tradnl"/>
        </w:rPr>
        <w:t xml:space="preserve">, </w:t>
      </w:r>
      <w:r w:rsidR="00E368BD" w:rsidRPr="00206D85">
        <w:rPr>
          <w:rFonts w:ascii="Arial" w:hAnsi="Arial" w:cs="Arial"/>
          <w:sz w:val="22"/>
          <w:lang w:val="es-ES_tradnl"/>
        </w:rPr>
        <w:t xml:space="preserve">se analizarán los siguientes temas: i) </w:t>
      </w:r>
      <w:r w:rsidR="004C7AA7" w:rsidRPr="00206D85">
        <w:rPr>
          <w:rFonts w:ascii="Arial" w:hAnsi="Arial" w:cs="Arial"/>
          <w:sz w:val="22"/>
          <w:lang w:val="es-ES_tradnl"/>
        </w:rPr>
        <w:t>regímenes especiales en materia de contratación pública</w:t>
      </w:r>
      <w:r w:rsidR="00206D85" w:rsidRPr="00206D85">
        <w:rPr>
          <w:rFonts w:ascii="Arial" w:hAnsi="Arial" w:cs="Arial"/>
          <w:sz w:val="22"/>
          <w:lang w:val="es-ES_tradnl"/>
        </w:rPr>
        <w:t xml:space="preserve"> y</w:t>
      </w:r>
      <w:r w:rsidR="004C7AA7" w:rsidRPr="00206D85">
        <w:rPr>
          <w:rFonts w:ascii="Arial" w:hAnsi="Arial" w:cs="Arial"/>
          <w:sz w:val="22"/>
          <w:lang w:val="es-ES_tradnl"/>
        </w:rPr>
        <w:t xml:space="preserve"> ii) </w:t>
      </w:r>
      <w:r w:rsidR="00E255F5" w:rsidRPr="00206D85">
        <w:rPr>
          <w:rFonts w:ascii="Arial" w:hAnsi="Arial" w:cs="Arial"/>
          <w:sz w:val="22"/>
          <w:lang w:val="es-ES_tradnl"/>
        </w:rPr>
        <w:t>deber de las entidades</w:t>
      </w:r>
      <w:r w:rsidR="00C43511" w:rsidRPr="00206D85">
        <w:rPr>
          <w:rFonts w:ascii="Arial" w:hAnsi="Arial" w:cs="Arial"/>
          <w:sz w:val="22"/>
          <w:lang w:val="es-ES_tradnl"/>
        </w:rPr>
        <w:t xml:space="preserve"> estatales,</w:t>
      </w:r>
      <w:r w:rsidR="00E255F5" w:rsidRPr="00206D85">
        <w:rPr>
          <w:rFonts w:ascii="Arial" w:hAnsi="Arial" w:cs="Arial"/>
          <w:sz w:val="22"/>
          <w:lang w:val="es-ES_tradnl"/>
        </w:rPr>
        <w:t xml:space="preserve"> exceptuadas del Estatuto Genera</w:t>
      </w:r>
      <w:r w:rsidR="001A65CF" w:rsidRPr="00206D85">
        <w:rPr>
          <w:rFonts w:ascii="Arial" w:hAnsi="Arial" w:cs="Arial"/>
          <w:sz w:val="22"/>
          <w:lang w:val="es-ES_tradnl"/>
        </w:rPr>
        <w:t xml:space="preserve">l de Contratación de la Administración Pública, de </w:t>
      </w:r>
      <w:r w:rsidR="00D97BB7" w:rsidRPr="00206D85">
        <w:rPr>
          <w:rFonts w:ascii="Arial" w:hAnsi="Arial" w:cs="Arial"/>
          <w:sz w:val="22"/>
          <w:lang w:val="es-ES_tradnl"/>
        </w:rPr>
        <w:t>publicar los documentos relacionados con su actividad contractual en el SECOP II, previsto en el artículo 53</w:t>
      </w:r>
      <w:r w:rsidR="004330F5" w:rsidRPr="00206D85">
        <w:rPr>
          <w:rFonts w:ascii="Arial" w:hAnsi="Arial" w:cs="Arial"/>
          <w:sz w:val="22"/>
          <w:lang w:val="es-ES_tradnl"/>
        </w:rPr>
        <w:t xml:space="preserve"> de la Ley 2195 de 2022</w:t>
      </w:r>
      <w:r w:rsidR="00C43511" w:rsidRPr="00206D85">
        <w:rPr>
          <w:rFonts w:ascii="Arial" w:hAnsi="Arial" w:cs="Arial"/>
          <w:sz w:val="22"/>
          <w:lang w:val="es-ES_tradnl"/>
        </w:rPr>
        <w:t>.</w:t>
      </w:r>
    </w:p>
    <w:p w14:paraId="491C6E3F" w14:textId="6975EA2A" w:rsidR="004614E5" w:rsidRPr="007C6F02" w:rsidRDefault="004614E5" w:rsidP="004614E5">
      <w:pPr>
        <w:spacing w:before="120" w:line="276" w:lineRule="auto"/>
        <w:ind w:firstLine="709"/>
        <w:jc w:val="both"/>
        <w:rPr>
          <w:rFonts w:ascii="Arial" w:hAnsi="Arial" w:cs="Arial"/>
          <w:sz w:val="22"/>
          <w:lang w:val="es-ES_tradnl"/>
        </w:rPr>
      </w:pPr>
      <w:r>
        <w:rPr>
          <w:rFonts w:ascii="Arial" w:hAnsi="Arial" w:cs="Arial"/>
          <w:sz w:val="22"/>
          <w:lang w:val="es-ES_tradnl"/>
        </w:rPr>
        <w:t xml:space="preserve">El análisis que </w:t>
      </w:r>
      <w:r w:rsidR="004524FA">
        <w:rPr>
          <w:rFonts w:ascii="Arial" w:hAnsi="Arial" w:cs="Arial"/>
          <w:sz w:val="22"/>
          <w:lang w:val="es-ES_tradnl"/>
        </w:rPr>
        <w:t xml:space="preserve">se realiza </w:t>
      </w:r>
      <w:r>
        <w:rPr>
          <w:rFonts w:ascii="Arial" w:hAnsi="Arial" w:cs="Arial"/>
          <w:sz w:val="22"/>
          <w:lang w:val="es-ES_tradnl"/>
        </w:rPr>
        <w:t>a continuación prescinde de la consideración de las circunstancias particulares indicadas en el segundo párrafo de su con</w:t>
      </w:r>
      <w:r w:rsidR="008C02CD">
        <w:rPr>
          <w:rFonts w:ascii="Arial" w:hAnsi="Arial" w:cs="Arial"/>
          <w:sz w:val="22"/>
          <w:lang w:val="es-ES_tradnl"/>
        </w:rPr>
        <w:t xml:space="preserve">sulta, </w:t>
      </w:r>
      <w:r w:rsidR="007C6F02">
        <w:rPr>
          <w:rFonts w:ascii="Arial" w:hAnsi="Arial" w:cs="Arial"/>
          <w:sz w:val="22"/>
          <w:lang w:val="es-ES_tradnl"/>
        </w:rPr>
        <w:t xml:space="preserve">porque la Agencia Nacional de Contratación Pública – Colombia Compra Eficiente solo tiene competencia consultiva para emitir conceptos que contengan la interpretación, </w:t>
      </w:r>
      <w:r w:rsidR="007C6F02">
        <w:rPr>
          <w:rFonts w:ascii="Arial" w:hAnsi="Arial" w:cs="Arial"/>
          <w:i/>
          <w:iCs/>
          <w:sz w:val="22"/>
          <w:lang w:val="es-ES_tradnl"/>
        </w:rPr>
        <w:t>en abstracto</w:t>
      </w:r>
      <w:r w:rsidR="007C6F02">
        <w:rPr>
          <w:rFonts w:ascii="Arial" w:hAnsi="Arial" w:cs="Arial"/>
          <w:sz w:val="22"/>
          <w:lang w:val="es-ES_tradnl"/>
        </w:rPr>
        <w:t xml:space="preserve">, de las normas del sistema de compras y contratación </w:t>
      </w:r>
      <w:r w:rsidR="004524FA">
        <w:rPr>
          <w:rFonts w:ascii="Arial" w:hAnsi="Arial" w:cs="Arial"/>
          <w:sz w:val="22"/>
          <w:lang w:val="es-ES_tradnl"/>
        </w:rPr>
        <w:t>pública,</w:t>
      </w:r>
      <w:r w:rsidR="007C6F02">
        <w:rPr>
          <w:rFonts w:ascii="Arial" w:hAnsi="Arial" w:cs="Arial"/>
          <w:sz w:val="22"/>
          <w:lang w:val="es-ES_tradnl"/>
        </w:rPr>
        <w:t xml:space="preserve"> no para </w:t>
      </w:r>
      <w:r w:rsidR="00CF666E">
        <w:rPr>
          <w:rFonts w:ascii="Arial" w:hAnsi="Arial" w:cs="Arial"/>
          <w:sz w:val="22"/>
          <w:lang w:val="es-ES_tradnl"/>
        </w:rPr>
        <w:t xml:space="preserve">hacer valoraciones jurídicas o emitir directrices frente a casos particulares. Esto excedería las facultades previstas en el </w:t>
      </w:r>
      <w:r w:rsidR="00CF666E" w:rsidRPr="00B00C57">
        <w:rPr>
          <w:rFonts w:ascii="Arial" w:eastAsia="Calibri" w:hAnsi="Arial" w:cs="Arial"/>
          <w:color w:val="000000" w:themeColor="text1"/>
          <w:sz w:val="22"/>
          <w:lang w:val="es-ES_tradnl"/>
        </w:rPr>
        <w:t>numeral 8 del artículo 11 y el numeral 5 del artículo 3 del Decreto Ley 4170 de 2011</w:t>
      </w:r>
      <w:r w:rsidR="00CF666E">
        <w:rPr>
          <w:rFonts w:ascii="Arial" w:eastAsia="Calibri" w:hAnsi="Arial" w:cs="Arial"/>
          <w:color w:val="000000" w:themeColor="text1"/>
          <w:sz w:val="22"/>
          <w:lang w:val="es-ES_tradnl"/>
        </w:rPr>
        <w:t xml:space="preserve">. Por tal razón, se </w:t>
      </w:r>
      <w:r w:rsidR="00FD3731">
        <w:rPr>
          <w:rFonts w:ascii="Arial" w:eastAsia="Calibri" w:hAnsi="Arial" w:cs="Arial"/>
          <w:color w:val="000000" w:themeColor="text1"/>
          <w:sz w:val="22"/>
          <w:lang w:val="es-ES_tradnl"/>
        </w:rPr>
        <w:t>expresará</w:t>
      </w:r>
      <w:r w:rsidR="00CF666E">
        <w:rPr>
          <w:rFonts w:ascii="Arial" w:eastAsia="Calibri" w:hAnsi="Arial" w:cs="Arial"/>
          <w:color w:val="000000" w:themeColor="text1"/>
          <w:sz w:val="22"/>
          <w:lang w:val="es-ES_tradnl"/>
        </w:rPr>
        <w:t xml:space="preserve"> la interpretación</w:t>
      </w:r>
      <w:r w:rsidR="00FD3731">
        <w:rPr>
          <w:rFonts w:ascii="Arial" w:eastAsia="Calibri" w:hAnsi="Arial" w:cs="Arial"/>
          <w:color w:val="000000" w:themeColor="text1"/>
          <w:sz w:val="22"/>
          <w:lang w:val="es-ES_tradnl"/>
        </w:rPr>
        <w:t xml:space="preserve"> </w:t>
      </w:r>
      <w:r w:rsidR="00CF666E">
        <w:rPr>
          <w:rFonts w:ascii="Arial" w:eastAsia="Calibri" w:hAnsi="Arial" w:cs="Arial"/>
          <w:color w:val="000000" w:themeColor="text1"/>
          <w:sz w:val="22"/>
          <w:lang w:val="es-ES_tradnl"/>
        </w:rPr>
        <w:t xml:space="preserve">general </w:t>
      </w:r>
      <w:r w:rsidR="00FD3731">
        <w:rPr>
          <w:rFonts w:ascii="Arial" w:eastAsia="Calibri" w:hAnsi="Arial" w:cs="Arial"/>
          <w:color w:val="000000" w:themeColor="text1"/>
          <w:sz w:val="22"/>
          <w:lang w:val="es-ES_tradnl"/>
        </w:rPr>
        <w:t>que esta Agencia le otorga al</w:t>
      </w:r>
      <w:r w:rsidR="00CF666E">
        <w:rPr>
          <w:rFonts w:ascii="Arial" w:eastAsia="Calibri" w:hAnsi="Arial" w:cs="Arial"/>
          <w:color w:val="000000" w:themeColor="text1"/>
          <w:sz w:val="22"/>
          <w:lang w:val="es-ES_tradnl"/>
        </w:rPr>
        <w:t xml:space="preserve"> artículo </w:t>
      </w:r>
      <w:r w:rsidR="00C07225">
        <w:rPr>
          <w:rFonts w:ascii="Arial" w:eastAsia="Calibri" w:hAnsi="Arial" w:cs="Arial"/>
          <w:color w:val="000000" w:themeColor="text1"/>
          <w:sz w:val="22"/>
          <w:lang w:val="es-ES_tradnl"/>
        </w:rPr>
        <w:t>53 de la Ley 2195 de 2022</w:t>
      </w:r>
      <w:r w:rsidR="002B56EA">
        <w:rPr>
          <w:rFonts w:ascii="Arial" w:eastAsia="Calibri" w:hAnsi="Arial" w:cs="Arial"/>
          <w:color w:val="000000" w:themeColor="text1"/>
          <w:sz w:val="22"/>
          <w:lang w:val="es-ES_tradnl"/>
        </w:rPr>
        <w:t xml:space="preserve"> –recientemente expedida–</w:t>
      </w:r>
      <w:r w:rsidR="00C07225">
        <w:rPr>
          <w:rFonts w:ascii="Arial" w:eastAsia="Calibri" w:hAnsi="Arial" w:cs="Arial"/>
          <w:color w:val="000000" w:themeColor="text1"/>
          <w:sz w:val="22"/>
          <w:lang w:val="es-ES_tradnl"/>
        </w:rPr>
        <w:t xml:space="preserve">, correspondiéndole a la entidad en cuyo nombre usted formula la consulta determinar las medidas a adoptar en </w:t>
      </w:r>
      <w:r w:rsidR="004524FA">
        <w:rPr>
          <w:rFonts w:ascii="Arial" w:eastAsia="Calibri" w:hAnsi="Arial" w:cs="Arial"/>
          <w:color w:val="000000" w:themeColor="text1"/>
          <w:sz w:val="22"/>
          <w:lang w:val="es-ES_tradnl"/>
        </w:rPr>
        <w:t>cada caso concreto</w:t>
      </w:r>
      <w:r w:rsidR="00C07225">
        <w:rPr>
          <w:rFonts w:ascii="Arial" w:eastAsia="Calibri" w:hAnsi="Arial" w:cs="Arial"/>
          <w:color w:val="000000" w:themeColor="text1"/>
          <w:sz w:val="22"/>
          <w:lang w:val="es-ES_tradnl"/>
        </w:rPr>
        <w:t xml:space="preserve">. </w:t>
      </w:r>
    </w:p>
    <w:p w14:paraId="649BE2D8" w14:textId="132C55DA" w:rsidR="00023746" w:rsidRPr="009F2DBD" w:rsidRDefault="00E361DE" w:rsidP="009F2DBD">
      <w:pPr>
        <w:spacing w:before="120" w:line="276" w:lineRule="auto"/>
        <w:ind w:firstLine="709"/>
        <w:jc w:val="both"/>
        <w:rPr>
          <w:rFonts w:ascii="Arial" w:eastAsia="Calibri" w:hAnsi="Arial" w:cs="Arial"/>
          <w:sz w:val="22"/>
          <w:lang w:val="es-ES"/>
        </w:rPr>
      </w:pPr>
      <w:r w:rsidRPr="00B00C57">
        <w:rPr>
          <w:rFonts w:ascii="Arial" w:hAnsi="Arial" w:cs="Arial"/>
          <w:sz w:val="22"/>
          <w:lang w:val="es-ES_tradnl"/>
        </w:rPr>
        <w:t>La Agencia Nacional de Contratación Pública – Colombia Compra Eficiente</w:t>
      </w:r>
      <w:r w:rsidR="00B21916">
        <w:rPr>
          <w:rFonts w:ascii="Arial" w:hAnsi="Arial" w:cs="Arial"/>
          <w:sz w:val="22"/>
          <w:lang w:val="es-ES_tradnl"/>
        </w:rPr>
        <w:t xml:space="preserve"> </w:t>
      </w:r>
      <w:r w:rsidR="00B21916" w:rsidRPr="00B21916">
        <w:rPr>
          <w:rFonts w:ascii="Arial" w:hAnsi="Arial" w:cs="Arial"/>
          <w:sz w:val="22"/>
          <w:lang w:val="es-ES_tradnl"/>
        </w:rPr>
        <w:t xml:space="preserve">estudió </w:t>
      </w:r>
      <w:r w:rsidR="00B21916">
        <w:rPr>
          <w:rFonts w:ascii="Arial" w:hAnsi="Arial" w:cs="Arial"/>
          <w:sz w:val="22"/>
          <w:lang w:val="es-ES_tradnl"/>
        </w:rPr>
        <w:t>el régimen</w:t>
      </w:r>
      <w:r w:rsidR="00B21916" w:rsidRPr="00B21916">
        <w:rPr>
          <w:rFonts w:ascii="Arial" w:hAnsi="Arial" w:cs="Arial"/>
          <w:sz w:val="22"/>
          <w:lang w:val="es-ES_tradnl"/>
        </w:rPr>
        <w:t xml:space="preserve"> de las entidades exceptuadas de la aplicación del Estatuto General de Contratación de la Administración Pública</w:t>
      </w:r>
      <w:r w:rsidR="00B21916">
        <w:rPr>
          <w:rFonts w:ascii="Arial" w:hAnsi="Arial" w:cs="Arial"/>
          <w:sz w:val="22"/>
          <w:lang w:val="es-ES_tradnl"/>
        </w:rPr>
        <w:t>, entre otros,</w:t>
      </w:r>
      <w:r w:rsidR="00B21916" w:rsidRPr="00B21916">
        <w:rPr>
          <w:rFonts w:ascii="Arial" w:hAnsi="Arial" w:cs="Arial"/>
          <w:sz w:val="22"/>
          <w:lang w:val="es-ES_tradnl"/>
        </w:rPr>
        <w:t xml:space="preserve"> en los conceptos con radicado: C-147 del 17 de marzo de 2020, C-157 del 17 de marzo de 2020, C-191 del 16 de marzo de 2020 y C-168 del 31 de marzo de 2020, C-158 del 3 de abril de 2020</w:t>
      </w:r>
      <w:r w:rsidR="004514D8">
        <w:rPr>
          <w:rFonts w:ascii="Arial" w:hAnsi="Arial" w:cs="Arial"/>
          <w:sz w:val="22"/>
          <w:lang w:val="es-ES_tradnl"/>
        </w:rPr>
        <w:t xml:space="preserve"> y C-717 del 21 de enero de 2022</w:t>
      </w:r>
      <w:r w:rsidR="00B21916" w:rsidRPr="00B21916">
        <w:rPr>
          <w:rFonts w:ascii="Arial" w:hAnsi="Arial" w:cs="Arial"/>
          <w:sz w:val="22"/>
          <w:lang w:val="es-ES_tradnl"/>
        </w:rPr>
        <w:t>.</w:t>
      </w:r>
      <w:r w:rsidRPr="00B00C57">
        <w:rPr>
          <w:rFonts w:ascii="Arial" w:hAnsi="Arial" w:cs="Arial"/>
          <w:sz w:val="22"/>
          <w:lang w:val="es-ES_tradnl"/>
        </w:rPr>
        <w:t xml:space="preserve"> </w:t>
      </w:r>
      <w:r w:rsidR="00294503">
        <w:rPr>
          <w:rFonts w:ascii="Arial" w:hAnsi="Arial" w:cs="Arial"/>
          <w:sz w:val="22"/>
        </w:rPr>
        <w:t xml:space="preserve">Adicionalmente, se ha pronunciado en múltiples ocasiones sobre </w:t>
      </w:r>
      <w:r w:rsidR="00F53F53">
        <w:rPr>
          <w:rFonts w:ascii="Arial" w:hAnsi="Arial" w:cs="Arial"/>
          <w:sz w:val="22"/>
        </w:rPr>
        <w:t>los</w:t>
      </w:r>
      <w:r w:rsidR="00294503">
        <w:rPr>
          <w:rFonts w:ascii="Arial" w:hAnsi="Arial" w:cs="Arial"/>
          <w:sz w:val="22"/>
        </w:rPr>
        <w:t xml:space="preserve"> principio</w:t>
      </w:r>
      <w:r w:rsidR="00F53F53">
        <w:rPr>
          <w:rFonts w:ascii="Arial" w:hAnsi="Arial" w:cs="Arial"/>
          <w:sz w:val="22"/>
        </w:rPr>
        <w:t>s</w:t>
      </w:r>
      <w:r w:rsidR="00294503">
        <w:rPr>
          <w:rFonts w:ascii="Arial" w:hAnsi="Arial" w:cs="Arial"/>
          <w:sz w:val="22"/>
        </w:rPr>
        <w:t xml:space="preserve"> de publicidad y </w:t>
      </w:r>
      <w:r w:rsidR="00F53F53">
        <w:rPr>
          <w:rFonts w:ascii="Arial" w:hAnsi="Arial" w:cs="Arial"/>
          <w:sz w:val="22"/>
        </w:rPr>
        <w:t xml:space="preserve">de </w:t>
      </w:r>
      <w:r w:rsidR="00294503">
        <w:rPr>
          <w:rFonts w:ascii="Arial" w:hAnsi="Arial" w:cs="Arial"/>
          <w:sz w:val="22"/>
        </w:rPr>
        <w:t>acceso a la información pública en la contratación</w:t>
      </w:r>
      <w:r w:rsidR="00F53F53">
        <w:rPr>
          <w:rFonts w:ascii="Arial" w:hAnsi="Arial" w:cs="Arial"/>
          <w:sz w:val="22"/>
        </w:rPr>
        <w:t xml:space="preserve"> estatal</w:t>
      </w:r>
      <w:r w:rsidR="005818B9">
        <w:rPr>
          <w:rFonts w:ascii="Arial" w:hAnsi="Arial" w:cs="Arial"/>
          <w:sz w:val="22"/>
        </w:rPr>
        <w:t xml:space="preserve">, </w:t>
      </w:r>
      <w:r w:rsidR="00A37D4F">
        <w:rPr>
          <w:rFonts w:ascii="Arial" w:hAnsi="Arial" w:cs="Arial"/>
          <w:sz w:val="22"/>
        </w:rPr>
        <w:t xml:space="preserve">y </w:t>
      </w:r>
      <w:r w:rsidR="00F53F53">
        <w:rPr>
          <w:rFonts w:ascii="Arial" w:hAnsi="Arial" w:cs="Arial"/>
          <w:sz w:val="22"/>
        </w:rPr>
        <w:t>sobre</w:t>
      </w:r>
      <w:r w:rsidR="005818B9">
        <w:rPr>
          <w:rFonts w:ascii="Arial" w:hAnsi="Arial" w:cs="Arial"/>
          <w:sz w:val="22"/>
        </w:rPr>
        <w:t xml:space="preserve"> </w:t>
      </w:r>
      <w:r w:rsidR="005818B9" w:rsidRPr="004E4309">
        <w:rPr>
          <w:rFonts w:ascii="Arial" w:eastAsia="Calibri" w:hAnsi="Arial" w:cs="Arial"/>
          <w:sz w:val="22"/>
          <w:lang w:val="es-ES"/>
        </w:rPr>
        <w:t>l</w:t>
      </w:r>
      <w:r w:rsidR="005818B9">
        <w:rPr>
          <w:rFonts w:ascii="Arial" w:eastAsia="Calibri" w:hAnsi="Arial" w:cs="Arial"/>
          <w:sz w:val="22"/>
          <w:lang w:val="es-ES"/>
        </w:rPr>
        <w:t>os fundamentos normativos d</w:t>
      </w:r>
      <w:r w:rsidR="00A37D4F">
        <w:rPr>
          <w:rFonts w:ascii="Arial" w:eastAsia="Calibri" w:hAnsi="Arial" w:cs="Arial"/>
          <w:sz w:val="22"/>
          <w:lang w:val="es-ES"/>
        </w:rPr>
        <w:t>el deber de publicar</w:t>
      </w:r>
      <w:r w:rsidR="005818B9" w:rsidRPr="004E4309">
        <w:rPr>
          <w:rFonts w:ascii="Arial" w:eastAsia="Calibri" w:hAnsi="Arial" w:cs="Arial"/>
          <w:sz w:val="22"/>
          <w:lang w:val="es-ES"/>
        </w:rPr>
        <w:t xml:space="preserve"> </w:t>
      </w:r>
      <w:r w:rsidR="00A37D4F">
        <w:rPr>
          <w:rFonts w:ascii="Arial" w:eastAsia="Calibri" w:hAnsi="Arial" w:cs="Arial"/>
          <w:sz w:val="22"/>
          <w:lang w:val="es-ES"/>
        </w:rPr>
        <w:t xml:space="preserve">la </w:t>
      </w:r>
      <w:r w:rsidR="005818B9" w:rsidRPr="004E4309">
        <w:rPr>
          <w:rFonts w:ascii="Arial" w:eastAsia="Calibri" w:hAnsi="Arial" w:cs="Arial"/>
          <w:sz w:val="22"/>
          <w:lang w:val="es-ES"/>
        </w:rPr>
        <w:t>documentación contractual en las plataformas SECOP I y SECOP II</w:t>
      </w:r>
      <w:r w:rsidR="009F2DBD">
        <w:rPr>
          <w:rFonts w:ascii="Arial" w:eastAsia="Calibri" w:hAnsi="Arial" w:cs="Arial"/>
          <w:sz w:val="22"/>
          <w:lang w:val="es-ES"/>
        </w:rPr>
        <w:t xml:space="preserve">. Así lo analizó la Agencia en </w:t>
      </w:r>
      <w:r w:rsidR="00A37D4F">
        <w:rPr>
          <w:rFonts w:ascii="Arial" w:eastAsia="Calibri" w:hAnsi="Arial" w:cs="Arial"/>
          <w:sz w:val="22"/>
          <w:lang w:val="es-ES"/>
        </w:rPr>
        <w:t>el</w:t>
      </w:r>
      <w:r w:rsidR="009F2DBD">
        <w:rPr>
          <w:rFonts w:ascii="Arial" w:eastAsia="Calibri" w:hAnsi="Arial" w:cs="Arial"/>
          <w:sz w:val="22"/>
          <w:lang w:val="es-ES"/>
        </w:rPr>
        <w:t xml:space="preserve"> concepto </w:t>
      </w:r>
      <w:r w:rsidR="00294503">
        <w:rPr>
          <w:rFonts w:ascii="Arial" w:hAnsi="Arial" w:cs="Arial"/>
          <w:sz w:val="22"/>
        </w:rPr>
        <w:t>CU-367 del 23 de julio de 2020, reiterado en los conceptos</w:t>
      </w:r>
      <w:r w:rsidR="00A37D4F">
        <w:rPr>
          <w:rFonts w:ascii="Arial" w:hAnsi="Arial" w:cs="Arial"/>
          <w:sz w:val="22"/>
        </w:rPr>
        <w:t xml:space="preserve">: </w:t>
      </w:r>
      <w:r w:rsidR="00294503" w:rsidRPr="00E73877">
        <w:rPr>
          <w:rFonts w:ascii="Arial" w:hAnsi="Arial" w:cs="Arial"/>
          <w:sz w:val="22"/>
        </w:rPr>
        <w:t>C−433 de 2</w:t>
      </w:r>
      <w:r w:rsidR="00294503">
        <w:rPr>
          <w:rFonts w:ascii="Arial" w:hAnsi="Arial" w:cs="Arial"/>
          <w:sz w:val="22"/>
        </w:rPr>
        <w:t xml:space="preserve">4 de julio de </w:t>
      </w:r>
      <w:r w:rsidR="00294503" w:rsidRPr="00E73877">
        <w:rPr>
          <w:rFonts w:ascii="Arial" w:hAnsi="Arial" w:cs="Arial"/>
          <w:sz w:val="22"/>
        </w:rPr>
        <w:t>2020, C−468 del 24</w:t>
      </w:r>
      <w:r w:rsidR="00294503">
        <w:rPr>
          <w:rFonts w:ascii="Arial" w:hAnsi="Arial" w:cs="Arial"/>
          <w:sz w:val="22"/>
        </w:rPr>
        <w:t xml:space="preserve"> de julio de </w:t>
      </w:r>
      <w:r w:rsidR="00294503" w:rsidRPr="00E73877">
        <w:rPr>
          <w:rFonts w:ascii="Arial" w:hAnsi="Arial" w:cs="Arial"/>
          <w:sz w:val="22"/>
        </w:rPr>
        <w:t>2020, C−474 de 24</w:t>
      </w:r>
      <w:r w:rsidR="00294503">
        <w:rPr>
          <w:rFonts w:ascii="Arial" w:hAnsi="Arial" w:cs="Arial"/>
          <w:sz w:val="22"/>
        </w:rPr>
        <w:t xml:space="preserve"> de julio de </w:t>
      </w:r>
      <w:r w:rsidR="00294503" w:rsidRPr="00E73877">
        <w:rPr>
          <w:rFonts w:ascii="Arial" w:hAnsi="Arial" w:cs="Arial"/>
          <w:sz w:val="22"/>
        </w:rPr>
        <w:t>2020, C−488 del 28</w:t>
      </w:r>
      <w:r w:rsidR="00294503">
        <w:rPr>
          <w:rFonts w:ascii="Arial" w:hAnsi="Arial" w:cs="Arial"/>
          <w:sz w:val="22"/>
        </w:rPr>
        <w:t xml:space="preserve"> de julio de </w:t>
      </w:r>
      <w:r w:rsidR="00294503" w:rsidRPr="00E73877">
        <w:rPr>
          <w:rFonts w:ascii="Arial" w:hAnsi="Arial" w:cs="Arial"/>
          <w:sz w:val="22"/>
        </w:rPr>
        <w:t>2020, C−544 del 21</w:t>
      </w:r>
      <w:r w:rsidR="00294503">
        <w:rPr>
          <w:rFonts w:ascii="Arial" w:hAnsi="Arial" w:cs="Arial"/>
          <w:sz w:val="22"/>
        </w:rPr>
        <w:t xml:space="preserve"> de agosto de </w:t>
      </w:r>
      <w:r w:rsidR="00294503" w:rsidRPr="00E73877">
        <w:rPr>
          <w:rFonts w:ascii="Arial" w:hAnsi="Arial" w:cs="Arial"/>
          <w:sz w:val="22"/>
        </w:rPr>
        <w:t>2020, C−575 del 27</w:t>
      </w:r>
      <w:r w:rsidR="00294503">
        <w:rPr>
          <w:rFonts w:ascii="Arial" w:hAnsi="Arial" w:cs="Arial"/>
          <w:sz w:val="22"/>
        </w:rPr>
        <w:t xml:space="preserve"> de agosto de </w:t>
      </w:r>
      <w:r w:rsidR="00294503" w:rsidRPr="00E73877">
        <w:rPr>
          <w:rFonts w:ascii="Arial" w:hAnsi="Arial" w:cs="Arial"/>
          <w:sz w:val="22"/>
        </w:rPr>
        <w:t>2020, C−643 del 26</w:t>
      </w:r>
      <w:r w:rsidR="00294503">
        <w:rPr>
          <w:rFonts w:ascii="Arial" w:hAnsi="Arial" w:cs="Arial"/>
          <w:sz w:val="22"/>
        </w:rPr>
        <w:t xml:space="preserve"> de octubre de </w:t>
      </w:r>
      <w:r w:rsidR="00294503" w:rsidRPr="00E73877">
        <w:rPr>
          <w:rFonts w:ascii="Arial" w:hAnsi="Arial" w:cs="Arial"/>
          <w:sz w:val="22"/>
        </w:rPr>
        <w:t>2020, C−661 del 17</w:t>
      </w:r>
      <w:r w:rsidR="00294503">
        <w:rPr>
          <w:rFonts w:ascii="Arial" w:hAnsi="Arial" w:cs="Arial"/>
          <w:sz w:val="22"/>
        </w:rPr>
        <w:t xml:space="preserve"> de noviembre de </w:t>
      </w:r>
      <w:r w:rsidR="00294503" w:rsidRPr="00E73877">
        <w:rPr>
          <w:rFonts w:ascii="Arial" w:hAnsi="Arial" w:cs="Arial"/>
          <w:sz w:val="22"/>
        </w:rPr>
        <w:t>2020, C-094 del 13</w:t>
      </w:r>
      <w:r w:rsidR="00294503">
        <w:rPr>
          <w:rFonts w:ascii="Arial" w:hAnsi="Arial" w:cs="Arial"/>
          <w:sz w:val="22"/>
        </w:rPr>
        <w:t xml:space="preserve"> de abril de </w:t>
      </w:r>
      <w:r w:rsidR="00294503" w:rsidRPr="00E73877">
        <w:rPr>
          <w:rFonts w:ascii="Arial" w:hAnsi="Arial" w:cs="Arial"/>
          <w:sz w:val="22"/>
        </w:rPr>
        <w:t>2021, C−068 del 22</w:t>
      </w:r>
      <w:r w:rsidR="00294503">
        <w:rPr>
          <w:rFonts w:ascii="Arial" w:hAnsi="Arial" w:cs="Arial"/>
          <w:sz w:val="22"/>
        </w:rPr>
        <w:t xml:space="preserve"> de abril de </w:t>
      </w:r>
      <w:r w:rsidR="00294503" w:rsidRPr="00E73877">
        <w:rPr>
          <w:rFonts w:ascii="Arial" w:hAnsi="Arial" w:cs="Arial"/>
          <w:sz w:val="22"/>
        </w:rPr>
        <w:t>2021, C-185 del 29</w:t>
      </w:r>
      <w:r w:rsidR="00294503">
        <w:rPr>
          <w:rFonts w:ascii="Arial" w:hAnsi="Arial" w:cs="Arial"/>
          <w:sz w:val="22"/>
        </w:rPr>
        <w:t xml:space="preserve"> de abril de 2</w:t>
      </w:r>
      <w:r w:rsidR="00294503" w:rsidRPr="00E73877">
        <w:rPr>
          <w:rFonts w:ascii="Arial" w:hAnsi="Arial" w:cs="Arial"/>
          <w:sz w:val="22"/>
        </w:rPr>
        <w:t>021</w:t>
      </w:r>
      <w:r w:rsidR="007E208E">
        <w:rPr>
          <w:rFonts w:ascii="Arial" w:hAnsi="Arial" w:cs="Arial"/>
          <w:sz w:val="22"/>
        </w:rPr>
        <w:t xml:space="preserve"> y C-472 del 6 de septiembre de 2021</w:t>
      </w:r>
      <w:r w:rsidR="00830D29" w:rsidRPr="00B00C57">
        <w:rPr>
          <w:rFonts w:ascii="Arial" w:hAnsi="Arial" w:cs="Arial"/>
          <w:sz w:val="22"/>
          <w:lang w:val="es-ES_tradnl"/>
        </w:rPr>
        <w:t>.</w:t>
      </w:r>
      <w:r w:rsidR="007A3898">
        <w:rPr>
          <w:rFonts w:ascii="Arial" w:hAnsi="Arial" w:cs="Arial"/>
          <w:sz w:val="22"/>
          <w:lang w:val="es-ES_tradnl"/>
        </w:rPr>
        <w:t xml:space="preserve"> </w:t>
      </w:r>
      <w:r w:rsidR="0007050F">
        <w:rPr>
          <w:rFonts w:ascii="Arial" w:hAnsi="Arial" w:cs="Arial"/>
          <w:sz w:val="22"/>
          <w:lang w:val="es-ES_tradnl"/>
        </w:rPr>
        <w:t xml:space="preserve">De igual manera, recientemente se pronunció sobre la interpretación del artículo 53 de la Ley 2195 de 2022, en los conceptos C-049 del </w:t>
      </w:r>
      <w:r w:rsidR="00B17566">
        <w:rPr>
          <w:rFonts w:ascii="Arial" w:hAnsi="Arial" w:cs="Arial"/>
          <w:sz w:val="22"/>
          <w:lang w:val="es-ES_tradnl"/>
        </w:rPr>
        <w:t xml:space="preserve">7 de marzo de 2022 y C-120 del 22 de marzo de 2022. </w:t>
      </w:r>
      <w:r w:rsidR="00A45346" w:rsidRPr="00B00C57">
        <w:rPr>
          <w:rFonts w:ascii="Arial" w:hAnsi="Arial" w:cs="Arial"/>
          <w:sz w:val="22"/>
          <w:lang w:val="es-ES_tradnl"/>
        </w:rPr>
        <w:t>Las ideas expuestas en dichas oportunidades se reiteran a continuación</w:t>
      </w:r>
      <w:r w:rsidR="004804BA" w:rsidRPr="00B00C57">
        <w:rPr>
          <w:rFonts w:ascii="Arial" w:hAnsi="Arial" w:cs="Arial"/>
          <w:sz w:val="22"/>
          <w:lang w:val="es-ES_tradnl"/>
        </w:rPr>
        <w:t>.</w:t>
      </w:r>
    </w:p>
    <w:p w14:paraId="24852DD3" w14:textId="77777777" w:rsidR="009415BB" w:rsidRPr="007A3898" w:rsidRDefault="009415BB" w:rsidP="009415BB">
      <w:pPr>
        <w:spacing w:line="276" w:lineRule="auto"/>
        <w:jc w:val="both"/>
        <w:rPr>
          <w:rFonts w:ascii="Arial" w:eastAsia="Calibri" w:hAnsi="Arial" w:cs="Arial"/>
          <w:b/>
          <w:color w:val="000000" w:themeColor="text1"/>
          <w:sz w:val="22"/>
          <w:lang w:val="es-ES"/>
        </w:rPr>
      </w:pPr>
    </w:p>
    <w:p w14:paraId="7894462D" w14:textId="5C61F6CA" w:rsidR="00B90171" w:rsidRPr="00B00C57" w:rsidRDefault="00B90171" w:rsidP="00DA3A15">
      <w:pPr>
        <w:spacing w:line="276" w:lineRule="auto"/>
        <w:jc w:val="both"/>
        <w:rPr>
          <w:rFonts w:ascii="Arial" w:hAnsi="Arial" w:cs="Arial"/>
          <w:b/>
          <w:bCs/>
          <w:iCs/>
          <w:color w:val="000000" w:themeColor="text1"/>
          <w:sz w:val="22"/>
          <w:lang w:val="es-ES_tradnl"/>
        </w:rPr>
      </w:pPr>
      <w:r w:rsidRPr="00B00C57">
        <w:rPr>
          <w:rFonts w:ascii="Arial" w:hAnsi="Arial" w:cs="Arial"/>
          <w:b/>
          <w:bCs/>
          <w:iCs/>
          <w:color w:val="000000" w:themeColor="text1"/>
          <w:sz w:val="22"/>
          <w:lang w:val="es-ES_tradnl"/>
        </w:rPr>
        <w:t xml:space="preserve">2.1. </w:t>
      </w:r>
      <w:r w:rsidR="00B00C57">
        <w:rPr>
          <w:rFonts w:ascii="Arial" w:hAnsi="Arial" w:cs="Arial"/>
          <w:b/>
          <w:bCs/>
          <w:iCs/>
          <w:color w:val="000000" w:themeColor="text1"/>
          <w:sz w:val="22"/>
          <w:lang w:val="es-ES_tradnl"/>
        </w:rPr>
        <w:t>Consideraciones generales sobre los r</w:t>
      </w:r>
      <w:r w:rsidRPr="00B00C57">
        <w:rPr>
          <w:rFonts w:ascii="Arial" w:hAnsi="Arial" w:cs="Arial"/>
          <w:b/>
          <w:bCs/>
          <w:iCs/>
          <w:color w:val="000000" w:themeColor="text1"/>
          <w:sz w:val="22"/>
          <w:lang w:val="es-ES_tradnl"/>
        </w:rPr>
        <w:t xml:space="preserve">egímenes especiales en materia de contratación pública </w:t>
      </w:r>
    </w:p>
    <w:p w14:paraId="3BC3842E" w14:textId="4241AA73" w:rsidR="00B90171" w:rsidRPr="00B00C57" w:rsidRDefault="00B90171" w:rsidP="00DA3A15">
      <w:pPr>
        <w:spacing w:line="276" w:lineRule="auto"/>
        <w:jc w:val="both"/>
        <w:rPr>
          <w:rFonts w:ascii="Arial" w:hAnsi="Arial" w:cs="Arial"/>
          <w:b/>
          <w:bCs/>
          <w:iCs/>
          <w:color w:val="000000" w:themeColor="text1"/>
          <w:sz w:val="22"/>
          <w:lang w:val="es-ES_tradnl"/>
        </w:rPr>
      </w:pPr>
    </w:p>
    <w:p w14:paraId="0D351B8D" w14:textId="5C502DC4" w:rsidR="00493FA0" w:rsidRDefault="00F34DB6" w:rsidP="009A7FDE">
      <w:pPr>
        <w:tabs>
          <w:tab w:val="left" w:pos="426"/>
        </w:tabs>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lastRenderedPageBreak/>
        <w:t>La consulta se realiza</w:t>
      </w:r>
      <w:r w:rsidR="00825EA0">
        <w:rPr>
          <w:rFonts w:ascii="Arial" w:eastAsia="Calibri" w:hAnsi="Arial" w:cs="Arial"/>
          <w:color w:val="000000" w:themeColor="text1"/>
          <w:sz w:val="22"/>
          <w:lang w:val="es-ES_tradnl"/>
        </w:rPr>
        <w:t xml:space="preserve"> </w:t>
      </w:r>
      <w:r w:rsidR="005C692A">
        <w:rPr>
          <w:rFonts w:ascii="Arial" w:eastAsia="Calibri" w:hAnsi="Arial" w:cs="Arial"/>
          <w:color w:val="000000" w:themeColor="text1"/>
          <w:sz w:val="22"/>
          <w:lang w:val="es-ES_tradnl"/>
        </w:rPr>
        <w:t xml:space="preserve">en alusión </w:t>
      </w:r>
      <w:r w:rsidR="00825EA0">
        <w:rPr>
          <w:rFonts w:ascii="Arial" w:eastAsia="Calibri" w:hAnsi="Arial" w:cs="Arial"/>
          <w:color w:val="000000" w:themeColor="text1"/>
          <w:sz w:val="22"/>
          <w:lang w:val="es-ES_tradnl"/>
        </w:rPr>
        <w:t xml:space="preserve">a </w:t>
      </w:r>
      <w:r w:rsidR="005C692A">
        <w:rPr>
          <w:rFonts w:ascii="Arial" w:eastAsia="Calibri" w:hAnsi="Arial" w:cs="Arial"/>
          <w:color w:val="000000" w:themeColor="text1"/>
          <w:sz w:val="22"/>
          <w:lang w:val="es-ES_tradnl"/>
        </w:rPr>
        <w:t xml:space="preserve">la </w:t>
      </w:r>
      <w:r w:rsidR="00825EA0">
        <w:rPr>
          <w:rFonts w:ascii="Arial" w:eastAsia="Calibri" w:hAnsi="Arial" w:cs="Arial"/>
          <w:color w:val="000000" w:themeColor="text1"/>
          <w:sz w:val="22"/>
          <w:lang w:val="es-ES_tradnl"/>
        </w:rPr>
        <w:t>normativa contractual aplicable a las entidades sin ánimo de lucro, integrad</w:t>
      </w:r>
      <w:r w:rsidR="00601B39">
        <w:rPr>
          <w:rFonts w:ascii="Arial" w:eastAsia="Calibri" w:hAnsi="Arial" w:cs="Arial"/>
          <w:color w:val="000000" w:themeColor="text1"/>
          <w:sz w:val="22"/>
          <w:lang w:val="es-ES_tradnl"/>
        </w:rPr>
        <w:t>a</w:t>
      </w:r>
      <w:r w:rsidR="00825EA0">
        <w:rPr>
          <w:rFonts w:ascii="Arial" w:eastAsia="Calibri" w:hAnsi="Arial" w:cs="Arial"/>
          <w:color w:val="000000" w:themeColor="text1"/>
          <w:sz w:val="22"/>
          <w:lang w:val="es-ES_tradnl"/>
        </w:rPr>
        <w:t>, considerablemente, por normas de derecho privado.</w:t>
      </w:r>
      <w:r w:rsidR="00C13FCC">
        <w:rPr>
          <w:rFonts w:ascii="Arial" w:eastAsia="Calibri" w:hAnsi="Arial" w:cs="Arial"/>
          <w:color w:val="000000" w:themeColor="text1"/>
          <w:sz w:val="22"/>
          <w:lang w:val="es-ES_tradnl"/>
        </w:rPr>
        <w:t xml:space="preserve"> Este es el caso del Fondo Mixto de Promoción Cinematográfica </w:t>
      </w:r>
      <w:r w:rsidR="00CD3F4F">
        <w:rPr>
          <w:rFonts w:ascii="Arial" w:eastAsia="Calibri" w:hAnsi="Arial" w:cs="Arial"/>
          <w:color w:val="000000" w:themeColor="text1"/>
          <w:sz w:val="22"/>
          <w:lang w:val="es-ES_tradnl"/>
        </w:rPr>
        <w:t>«</w:t>
      </w:r>
      <w:proofErr w:type="spellStart"/>
      <w:r w:rsidR="00C13FCC">
        <w:rPr>
          <w:rFonts w:ascii="Arial" w:eastAsia="Calibri" w:hAnsi="Arial" w:cs="Arial"/>
          <w:color w:val="000000" w:themeColor="text1"/>
          <w:sz w:val="22"/>
          <w:lang w:val="es-ES_tradnl"/>
        </w:rPr>
        <w:t>Proimágenes</w:t>
      </w:r>
      <w:proofErr w:type="spellEnd"/>
      <w:r w:rsidR="00C13FCC">
        <w:rPr>
          <w:rFonts w:ascii="Arial" w:eastAsia="Calibri" w:hAnsi="Arial" w:cs="Arial"/>
          <w:color w:val="000000" w:themeColor="text1"/>
          <w:sz w:val="22"/>
          <w:lang w:val="es-ES_tradnl"/>
        </w:rPr>
        <w:t xml:space="preserve"> Colombia</w:t>
      </w:r>
      <w:r w:rsidR="00CD3F4F">
        <w:rPr>
          <w:rFonts w:ascii="Arial" w:eastAsia="Calibri" w:hAnsi="Arial" w:cs="Arial"/>
          <w:color w:val="000000" w:themeColor="text1"/>
          <w:sz w:val="22"/>
          <w:lang w:val="es-ES_tradnl"/>
        </w:rPr>
        <w:t>»</w:t>
      </w:r>
      <w:r w:rsidR="00C13FCC">
        <w:rPr>
          <w:rFonts w:ascii="Arial" w:eastAsia="Calibri" w:hAnsi="Arial" w:cs="Arial"/>
          <w:color w:val="000000" w:themeColor="text1"/>
          <w:sz w:val="22"/>
          <w:lang w:val="es-ES_tradnl"/>
        </w:rPr>
        <w:t xml:space="preserve">; corporación civil sin ánimo de lucro, cuya naturaleza y régimen jurídico se encuentra previsto en el artículo </w:t>
      </w:r>
      <w:r w:rsidR="00493FA0">
        <w:rPr>
          <w:rFonts w:ascii="Arial" w:eastAsia="Calibri" w:hAnsi="Arial" w:cs="Arial"/>
          <w:color w:val="000000" w:themeColor="text1"/>
          <w:sz w:val="22"/>
          <w:lang w:val="es-ES_tradnl"/>
        </w:rPr>
        <w:t>46 de la Ley 397 de 1997, que, en sus dos primeros incisos, dispone:</w:t>
      </w:r>
    </w:p>
    <w:p w14:paraId="0AF8951E" w14:textId="7D7D5C5D" w:rsidR="00493FA0" w:rsidRDefault="00493FA0" w:rsidP="009A7FDE">
      <w:pPr>
        <w:tabs>
          <w:tab w:val="left" w:pos="426"/>
        </w:tabs>
        <w:spacing w:line="276" w:lineRule="auto"/>
        <w:jc w:val="both"/>
        <w:rPr>
          <w:rFonts w:ascii="Arial" w:eastAsia="Calibri" w:hAnsi="Arial" w:cs="Arial"/>
          <w:color w:val="000000" w:themeColor="text1"/>
          <w:sz w:val="22"/>
          <w:lang w:val="es-ES_tradnl"/>
        </w:rPr>
      </w:pPr>
    </w:p>
    <w:p w14:paraId="2CC38C47" w14:textId="5FF0BE91" w:rsidR="00493FA0" w:rsidRPr="00493FA0" w:rsidRDefault="00493FA0" w:rsidP="00D5452C">
      <w:pPr>
        <w:tabs>
          <w:tab w:val="left" w:pos="426"/>
        </w:tabs>
        <w:spacing w:after="120"/>
        <w:ind w:left="709" w:right="709"/>
        <w:jc w:val="both"/>
        <w:rPr>
          <w:rFonts w:ascii="Arial" w:eastAsia="Calibri" w:hAnsi="Arial" w:cs="Arial"/>
          <w:color w:val="000000" w:themeColor="text1"/>
          <w:sz w:val="21"/>
          <w:szCs w:val="21"/>
        </w:rPr>
      </w:pPr>
      <w:r w:rsidRPr="00493FA0">
        <w:rPr>
          <w:rFonts w:ascii="Arial" w:eastAsia="Calibri" w:hAnsi="Arial" w:cs="Arial"/>
          <w:color w:val="000000" w:themeColor="text1"/>
          <w:sz w:val="21"/>
          <w:szCs w:val="21"/>
        </w:rPr>
        <w:t>Autorizase al Ministro de Cultura para crear el Fondo Mixto de Promoción Cinematográfica, y para aportar recursos del presupuesto.</w:t>
      </w:r>
    </w:p>
    <w:p w14:paraId="64E93BCF" w14:textId="1359370E" w:rsidR="00493FA0" w:rsidRPr="00493FA0" w:rsidRDefault="00493FA0" w:rsidP="00493FA0">
      <w:pPr>
        <w:tabs>
          <w:tab w:val="left" w:pos="426"/>
        </w:tabs>
        <w:ind w:left="709" w:right="709"/>
        <w:jc w:val="both"/>
        <w:rPr>
          <w:rFonts w:ascii="Arial" w:eastAsia="Calibri" w:hAnsi="Arial" w:cs="Arial"/>
          <w:color w:val="000000" w:themeColor="text1"/>
          <w:sz w:val="21"/>
          <w:szCs w:val="21"/>
        </w:rPr>
      </w:pPr>
      <w:r w:rsidRPr="00493FA0">
        <w:rPr>
          <w:rFonts w:ascii="Arial" w:eastAsia="Calibri" w:hAnsi="Arial" w:cs="Arial"/>
          <w:color w:val="000000" w:themeColor="text1"/>
          <w:sz w:val="21"/>
          <w:szCs w:val="21"/>
        </w:rPr>
        <w:t>El fondo funcionará como entidad autónoma, con personería jurídica propia, y en lo referente a su organización, funcionamiento y contratación, se regirá por el derecho privado</w:t>
      </w:r>
      <w:r>
        <w:rPr>
          <w:rFonts w:ascii="Arial" w:eastAsia="Calibri" w:hAnsi="Arial" w:cs="Arial"/>
          <w:color w:val="000000" w:themeColor="text1"/>
          <w:sz w:val="21"/>
          <w:szCs w:val="21"/>
        </w:rPr>
        <w:t xml:space="preserve"> (énfasis fuera de texto)</w:t>
      </w:r>
      <w:r w:rsidRPr="00C13FCC">
        <w:rPr>
          <w:rFonts w:ascii="Arial" w:eastAsia="Calibri" w:hAnsi="Arial" w:cs="Arial"/>
          <w:color w:val="000000" w:themeColor="text1"/>
          <w:sz w:val="21"/>
          <w:szCs w:val="21"/>
        </w:rPr>
        <w:t>.</w:t>
      </w:r>
    </w:p>
    <w:p w14:paraId="1B2D20E9" w14:textId="77777777" w:rsidR="00493FA0" w:rsidRDefault="00493FA0" w:rsidP="009A7FDE">
      <w:pPr>
        <w:tabs>
          <w:tab w:val="left" w:pos="426"/>
        </w:tabs>
        <w:spacing w:line="276" w:lineRule="auto"/>
        <w:jc w:val="both"/>
        <w:rPr>
          <w:rFonts w:ascii="Arial" w:eastAsia="Calibri" w:hAnsi="Arial" w:cs="Arial"/>
          <w:color w:val="000000" w:themeColor="text1"/>
          <w:sz w:val="22"/>
          <w:lang w:val="es-ES_tradnl"/>
        </w:rPr>
      </w:pPr>
    </w:p>
    <w:p w14:paraId="0086D4EB" w14:textId="35190474" w:rsidR="00C13FCC" w:rsidRDefault="00493FA0" w:rsidP="00493FA0">
      <w:pPr>
        <w:tabs>
          <w:tab w:val="left" w:pos="426"/>
        </w:tabs>
        <w:spacing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Esto lo complementa el artículo </w:t>
      </w:r>
      <w:r w:rsidR="00C13FCC">
        <w:rPr>
          <w:rFonts w:ascii="Arial" w:eastAsia="Calibri" w:hAnsi="Arial" w:cs="Arial"/>
          <w:color w:val="000000" w:themeColor="text1"/>
          <w:sz w:val="22"/>
          <w:lang w:val="es-ES_tradnl"/>
        </w:rPr>
        <w:t xml:space="preserve">63 </w:t>
      </w:r>
      <w:proofErr w:type="spellStart"/>
      <w:r w:rsidR="00811F70" w:rsidRPr="00D5452C">
        <w:rPr>
          <w:rFonts w:ascii="Arial" w:eastAsia="Calibri" w:hAnsi="Arial" w:cs="Arial"/>
          <w:i/>
          <w:iCs/>
          <w:color w:val="000000" w:themeColor="text1"/>
          <w:sz w:val="22"/>
          <w:lang w:val="es-ES_tradnl"/>
        </w:rPr>
        <w:t>ibidem</w:t>
      </w:r>
      <w:proofErr w:type="spellEnd"/>
      <w:r w:rsidR="00C13FCC">
        <w:rPr>
          <w:rFonts w:ascii="Arial" w:eastAsia="Calibri" w:hAnsi="Arial" w:cs="Arial"/>
          <w:color w:val="000000" w:themeColor="text1"/>
          <w:sz w:val="22"/>
          <w:lang w:val="es-ES_tradnl"/>
        </w:rPr>
        <w:t>, en los siguientes términos:</w:t>
      </w:r>
    </w:p>
    <w:p w14:paraId="655B843B" w14:textId="02ECB40A" w:rsidR="00C13FCC" w:rsidRDefault="00C13FCC" w:rsidP="009A7FDE">
      <w:pPr>
        <w:tabs>
          <w:tab w:val="left" w:pos="426"/>
        </w:tabs>
        <w:spacing w:line="276" w:lineRule="auto"/>
        <w:jc w:val="both"/>
        <w:rPr>
          <w:rFonts w:ascii="Arial" w:eastAsia="Calibri" w:hAnsi="Arial" w:cs="Arial"/>
          <w:color w:val="000000" w:themeColor="text1"/>
          <w:sz w:val="22"/>
          <w:lang w:val="es-ES_tradnl"/>
        </w:rPr>
      </w:pPr>
    </w:p>
    <w:p w14:paraId="76BE3F03" w14:textId="7F064480" w:rsidR="00C13FCC" w:rsidRPr="00C13FCC" w:rsidRDefault="00C13FCC" w:rsidP="00D5452C">
      <w:pPr>
        <w:tabs>
          <w:tab w:val="left" w:pos="426"/>
        </w:tabs>
        <w:spacing w:after="120"/>
        <w:ind w:left="709" w:right="709"/>
        <w:jc w:val="both"/>
        <w:rPr>
          <w:rFonts w:ascii="Arial" w:eastAsia="Calibri" w:hAnsi="Arial" w:cs="Arial"/>
          <w:color w:val="000000" w:themeColor="text1"/>
          <w:sz w:val="21"/>
          <w:szCs w:val="21"/>
        </w:rPr>
      </w:pPr>
      <w:r w:rsidRPr="00C13FCC">
        <w:rPr>
          <w:rFonts w:ascii="Arial" w:eastAsia="Calibri" w:hAnsi="Arial" w:cs="Arial"/>
          <w:color w:val="000000" w:themeColor="text1"/>
          <w:sz w:val="21"/>
          <w:szCs w:val="21"/>
        </w:rPr>
        <w:t>Con el fin de promover la creación, la investigación y la difusión de las diversas manifestaciones artísticas y culturales, créase el Fondo Mixto Nacional de Promoción de la Cultura y las Artes.</w:t>
      </w:r>
    </w:p>
    <w:p w14:paraId="4D683ED0" w14:textId="179811F8" w:rsidR="00C13FCC" w:rsidRPr="00C13FCC" w:rsidRDefault="00C13FCC" w:rsidP="00D5452C">
      <w:pPr>
        <w:tabs>
          <w:tab w:val="left" w:pos="426"/>
        </w:tabs>
        <w:spacing w:after="120"/>
        <w:ind w:left="709" w:right="709"/>
        <w:jc w:val="both"/>
        <w:rPr>
          <w:rFonts w:ascii="Arial" w:eastAsia="Calibri" w:hAnsi="Arial" w:cs="Arial"/>
          <w:color w:val="000000" w:themeColor="text1"/>
          <w:sz w:val="21"/>
          <w:szCs w:val="21"/>
        </w:rPr>
      </w:pPr>
      <w:r w:rsidRPr="00C13FCC">
        <w:rPr>
          <w:rFonts w:ascii="Arial" w:eastAsia="Calibri" w:hAnsi="Arial" w:cs="Arial"/>
          <w:color w:val="000000" w:themeColor="text1"/>
          <w:sz w:val="21"/>
          <w:szCs w:val="21"/>
        </w:rPr>
        <w:t>Autorizase al Ministerio de Cultura, para participar en la creación de los fondos mixtos departamentales, distritales, municipales y de los territorios indígenas conforme a la reglamentación que para tal efecto expida el Gobierno Nacional, así como para realizar aportes y celebrar convenios de fomento y promoción de las artes y la cultura con dichos fondos.</w:t>
      </w:r>
    </w:p>
    <w:p w14:paraId="4DC386A0" w14:textId="69A7E7E0" w:rsidR="00C13FCC" w:rsidRPr="00C13FCC" w:rsidRDefault="00C13FCC" w:rsidP="00C627EA">
      <w:pPr>
        <w:tabs>
          <w:tab w:val="left" w:pos="426"/>
        </w:tabs>
        <w:ind w:left="709" w:right="709"/>
        <w:jc w:val="both"/>
        <w:rPr>
          <w:rFonts w:ascii="Arial" w:eastAsia="Calibri" w:hAnsi="Arial" w:cs="Arial"/>
          <w:color w:val="000000" w:themeColor="text1"/>
          <w:sz w:val="21"/>
          <w:szCs w:val="21"/>
        </w:rPr>
      </w:pPr>
      <w:r w:rsidRPr="00C13FCC">
        <w:rPr>
          <w:rFonts w:ascii="Arial" w:eastAsia="Calibri" w:hAnsi="Arial" w:cs="Arial"/>
          <w:color w:val="000000" w:themeColor="text1"/>
          <w:sz w:val="21"/>
          <w:szCs w:val="21"/>
        </w:rPr>
        <w:t xml:space="preserve">Los fondos mixtos son entidades sin ánimo de lucro, dotadas de personería jurídica, constituidas por aportes públicos y privados y regidos en su dirección, administración </w:t>
      </w:r>
      <w:r w:rsidRPr="00C627EA">
        <w:rPr>
          <w:rFonts w:ascii="Arial" w:eastAsia="Calibri" w:hAnsi="Arial" w:cs="Arial"/>
          <w:i/>
          <w:iCs/>
          <w:color w:val="000000" w:themeColor="text1"/>
          <w:sz w:val="21"/>
          <w:szCs w:val="21"/>
        </w:rPr>
        <w:t>y contratación por el Derecho Privado</w:t>
      </w:r>
      <w:r w:rsidRPr="00C13FCC">
        <w:rPr>
          <w:rFonts w:ascii="Arial" w:eastAsia="Calibri" w:hAnsi="Arial" w:cs="Arial"/>
          <w:color w:val="000000" w:themeColor="text1"/>
          <w:sz w:val="21"/>
          <w:szCs w:val="21"/>
        </w:rPr>
        <w:t xml:space="preserve"> sin perjuicio del control fiscal que ejercen las respectivas Contralorías sobre los dineros públicos</w:t>
      </w:r>
      <w:r w:rsidR="00C627EA">
        <w:rPr>
          <w:rFonts w:ascii="Arial" w:eastAsia="Calibri" w:hAnsi="Arial" w:cs="Arial"/>
          <w:color w:val="000000" w:themeColor="text1"/>
          <w:sz w:val="21"/>
          <w:szCs w:val="21"/>
        </w:rPr>
        <w:t xml:space="preserve"> (énfasis fuera de texto)</w:t>
      </w:r>
      <w:r w:rsidRPr="00C13FCC">
        <w:rPr>
          <w:rFonts w:ascii="Arial" w:eastAsia="Calibri" w:hAnsi="Arial" w:cs="Arial"/>
          <w:color w:val="000000" w:themeColor="text1"/>
          <w:sz w:val="21"/>
          <w:szCs w:val="21"/>
        </w:rPr>
        <w:t>.</w:t>
      </w:r>
    </w:p>
    <w:p w14:paraId="62381601" w14:textId="77777777" w:rsidR="00C13FCC" w:rsidRDefault="00C13FCC" w:rsidP="009A7FDE">
      <w:pPr>
        <w:tabs>
          <w:tab w:val="left" w:pos="426"/>
        </w:tabs>
        <w:spacing w:line="276" w:lineRule="auto"/>
        <w:jc w:val="both"/>
        <w:rPr>
          <w:rFonts w:ascii="Arial" w:eastAsia="Calibri" w:hAnsi="Arial" w:cs="Arial"/>
          <w:color w:val="000000" w:themeColor="text1"/>
          <w:sz w:val="22"/>
          <w:lang w:val="es-ES_tradnl"/>
        </w:rPr>
      </w:pPr>
    </w:p>
    <w:p w14:paraId="3F97C238" w14:textId="632C20DB" w:rsidR="005C692A" w:rsidRDefault="00CB254C" w:rsidP="00D5452C">
      <w:pPr>
        <w:tabs>
          <w:tab w:val="left" w:pos="426"/>
        </w:tabs>
        <w:spacing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Por su parte, el </w:t>
      </w:r>
      <w:r w:rsidR="00811F70">
        <w:rPr>
          <w:rFonts w:ascii="Arial" w:eastAsia="Calibri" w:hAnsi="Arial" w:cs="Arial"/>
          <w:color w:val="000000" w:themeColor="text1"/>
          <w:sz w:val="22"/>
          <w:lang w:val="es-ES_tradnl"/>
        </w:rPr>
        <w:t xml:space="preserve">penúltimo inciso del </w:t>
      </w:r>
      <w:r>
        <w:rPr>
          <w:rFonts w:ascii="Arial" w:eastAsia="Calibri" w:hAnsi="Arial" w:cs="Arial"/>
          <w:color w:val="000000" w:themeColor="text1"/>
          <w:sz w:val="22"/>
          <w:lang w:val="es-ES_tradnl"/>
        </w:rPr>
        <w:t>artículo 10 de la Ley 814 de 2003, «</w:t>
      </w:r>
      <w:r w:rsidRPr="00CB254C">
        <w:rPr>
          <w:rFonts w:ascii="Arial" w:eastAsia="Calibri" w:hAnsi="Arial" w:cs="Arial"/>
          <w:color w:val="000000" w:themeColor="text1"/>
          <w:sz w:val="22"/>
          <w:lang w:val="es-ES_tradnl"/>
        </w:rPr>
        <w:t>Por la cual se dictan normas para el fomento de la actividad cinematográfica en Colombia</w:t>
      </w:r>
      <w:r>
        <w:rPr>
          <w:rFonts w:ascii="Arial" w:eastAsia="Calibri" w:hAnsi="Arial" w:cs="Arial"/>
          <w:color w:val="000000" w:themeColor="text1"/>
          <w:sz w:val="22"/>
          <w:lang w:val="es-ES_tradnl"/>
        </w:rPr>
        <w:t>»</w:t>
      </w:r>
      <w:r w:rsidR="005F639F">
        <w:rPr>
          <w:rFonts w:ascii="Arial" w:eastAsia="Calibri" w:hAnsi="Arial" w:cs="Arial"/>
          <w:color w:val="000000" w:themeColor="text1"/>
          <w:sz w:val="22"/>
          <w:lang w:val="es-ES_tradnl"/>
        </w:rPr>
        <w:t xml:space="preserve">, </w:t>
      </w:r>
      <w:r w:rsidR="00811F70">
        <w:rPr>
          <w:rFonts w:ascii="Arial" w:eastAsia="Calibri" w:hAnsi="Arial" w:cs="Arial"/>
          <w:color w:val="000000" w:themeColor="text1"/>
          <w:sz w:val="22"/>
          <w:lang w:val="es-ES_tradnl"/>
        </w:rPr>
        <w:t>dispone</w:t>
      </w:r>
      <w:r w:rsidR="005F639F">
        <w:rPr>
          <w:rFonts w:ascii="Arial" w:eastAsia="Calibri" w:hAnsi="Arial" w:cs="Arial"/>
          <w:color w:val="000000" w:themeColor="text1"/>
          <w:sz w:val="22"/>
          <w:lang w:val="es-ES_tradnl"/>
        </w:rPr>
        <w:t xml:space="preserve"> que «</w:t>
      </w:r>
      <w:r w:rsidR="005F639F" w:rsidRPr="005F639F">
        <w:rPr>
          <w:rFonts w:ascii="Arial" w:eastAsia="Calibri" w:hAnsi="Arial" w:cs="Arial"/>
          <w:color w:val="000000" w:themeColor="text1"/>
          <w:sz w:val="22"/>
          <w:lang w:val="es-ES_tradnl"/>
        </w:rPr>
        <w:t>Los recursos del Fondo para el Desarrollo Cinematográfico serán ejecutados de conformidad con las normas del derecho privado y de contratación entre particulares y se manejarán separadamente de los demás recursos del Fondo Mixto de Promoción Cinematográfica</w:t>
      </w:r>
      <w:r w:rsidR="005F639F">
        <w:rPr>
          <w:rFonts w:ascii="Arial" w:eastAsia="Calibri" w:hAnsi="Arial" w:cs="Arial"/>
          <w:color w:val="000000" w:themeColor="text1"/>
          <w:sz w:val="22"/>
          <w:lang w:val="es-ES_tradnl"/>
        </w:rPr>
        <w:t>»</w:t>
      </w:r>
      <w:r w:rsidR="005F639F" w:rsidRPr="005F639F">
        <w:rPr>
          <w:rFonts w:ascii="Arial" w:eastAsia="Calibri" w:hAnsi="Arial" w:cs="Arial"/>
          <w:color w:val="000000" w:themeColor="text1"/>
          <w:sz w:val="22"/>
          <w:lang w:val="es-ES_tradnl"/>
        </w:rPr>
        <w:t>.</w:t>
      </w:r>
      <w:r w:rsidR="00811F70">
        <w:rPr>
          <w:rFonts w:ascii="Arial" w:eastAsia="Calibri" w:hAnsi="Arial" w:cs="Arial"/>
          <w:color w:val="000000" w:themeColor="text1"/>
          <w:sz w:val="22"/>
          <w:lang w:val="es-ES_tradnl"/>
        </w:rPr>
        <w:t xml:space="preserve"> </w:t>
      </w:r>
      <w:r w:rsidR="00825EA0">
        <w:rPr>
          <w:rFonts w:ascii="Arial" w:eastAsia="Calibri" w:hAnsi="Arial" w:cs="Arial"/>
          <w:color w:val="000000" w:themeColor="text1"/>
          <w:sz w:val="22"/>
          <w:lang w:val="es-ES_tradnl"/>
        </w:rPr>
        <w:t xml:space="preserve">En tal sentido, </w:t>
      </w:r>
      <w:r w:rsidR="00CD3F4F">
        <w:rPr>
          <w:rFonts w:ascii="Arial" w:eastAsia="Calibri" w:hAnsi="Arial" w:cs="Arial"/>
          <w:color w:val="000000" w:themeColor="text1"/>
          <w:sz w:val="22"/>
          <w:lang w:val="es-ES_tradnl"/>
        </w:rPr>
        <w:t>una vez precisado que el Fondo Mixto de Promoción Cinematográfica «</w:t>
      </w:r>
      <w:proofErr w:type="spellStart"/>
      <w:r w:rsidR="00CD3F4F">
        <w:rPr>
          <w:rFonts w:ascii="Arial" w:eastAsia="Calibri" w:hAnsi="Arial" w:cs="Arial"/>
          <w:color w:val="000000" w:themeColor="text1"/>
          <w:sz w:val="22"/>
          <w:lang w:val="es-ES_tradnl"/>
        </w:rPr>
        <w:t>Proimágenes</w:t>
      </w:r>
      <w:proofErr w:type="spellEnd"/>
      <w:r w:rsidR="00CD3F4F">
        <w:rPr>
          <w:rFonts w:ascii="Arial" w:eastAsia="Calibri" w:hAnsi="Arial" w:cs="Arial"/>
          <w:color w:val="000000" w:themeColor="text1"/>
          <w:sz w:val="22"/>
          <w:lang w:val="es-ES_tradnl"/>
        </w:rPr>
        <w:t xml:space="preserve"> Colombia» es una entidad que goza de una normativa especial en materia contractual</w:t>
      </w:r>
      <w:r w:rsidR="005F639F">
        <w:rPr>
          <w:rFonts w:ascii="Arial" w:eastAsia="Calibri" w:hAnsi="Arial" w:cs="Arial"/>
          <w:color w:val="000000" w:themeColor="text1"/>
          <w:sz w:val="22"/>
          <w:lang w:val="es-ES_tradnl"/>
        </w:rPr>
        <w:t xml:space="preserve"> –de derecho privado–</w:t>
      </w:r>
      <w:r w:rsidR="00CD3F4F">
        <w:rPr>
          <w:rFonts w:ascii="Arial" w:eastAsia="Calibri" w:hAnsi="Arial" w:cs="Arial"/>
          <w:color w:val="000000" w:themeColor="text1"/>
          <w:sz w:val="22"/>
          <w:lang w:val="es-ES_tradnl"/>
        </w:rPr>
        <w:t xml:space="preserve">, </w:t>
      </w:r>
      <w:r w:rsidR="00825EA0">
        <w:rPr>
          <w:rFonts w:ascii="Arial" w:eastAsia="Calibri" w:hAnsi="Arial" w:cs="Arial"/>
          <w:color w:val="000000" w:themeColor="text1"/>
          <w:sz w:val="22"/>
          <w:lang w:val="es-ES_tradnl"/>
        </w:rPr>
        <w:t xml:space="preserve">conviene efectuar algunos comentarios </w:t>
      </w:r>
      <w:r w:rsidR="005C692A">
        <w:rPr>
          <w:rFonts w:ascii="Arial" w:eastAsia="Calibri" w:hAnsi="Arial" w:cs="Arial"/>
          <w:color w:val="000000" w:themeColor="text1"/>
          <w:sz w:val="22"/>
          <w:lang w:val="es-ES_tradnl"/>
        </w:rPr>
        <w:t>sobre los regímenes exceptuados del Estatuto General de Contratación de la Administración Pública, que permitan comprender el alcance del artículo 53 de la Ley 2195 de 2022.</w:t>
      </w:r>
    </w:p>
    <w:p w14:paraId="393E34D5" w14:textId="6F8FACEC" w:rsidR="009A7FDE" w:rsidRPr="005C692A" w:rsidRDefault="009A7FDE" w:rsidP="00D5452C">
      <w:pPr>
        <w:tabs>
          <w:tab w:val="left" w:pos="709"/>
        </w:tabs>
        <w:spacing w:before="120" w:line="276" w:lineRule="auto"/>
        <w:ind w:firstLine="709"/>
        <w:jc w:val="both"/>
        <w:rPr>
          <w:rFonts w:ascii="Arial" w:eastAsia="Calibri" w:hAnsi="Arial" w:cs="Arial"/>
          <w:color w:val="000000" w:themeColor="text1"/>
          <w:sz w:val="22"/>
          <w:lang w:val="es-ES_tradnl"/>
        </w:rPr>
      </w:pPr>
      <w:r w:rsidRPr="00B00C57">
        <w:rPr>
          <w:rFonts w:ascii="Arial" w:eastAsia="Calibri" w:hAnsi="Arial" w:cs="Arial"/>
          <w:color w:val="000000" w:themeColor="text1"/>
          <w:sz w:val="22"/>
          <w:lang w:val="es-ES_tradnl"/>
        </w:rPr>
        <w:t xml:space="preserve">Las entidades de régimen especial son aquellas que, por expresa disposición legal y por su naturaleza o situación de competencia, tienen condiciones diferenciales respecto de la normativa de contratación pública. Esto quiere decir que no están sometidas al </w:t>
      </w:r>
      <w:r w:rsidRPr="00B00C57">
        <w:rPr>
          <w:rFonts w:ascii="Arial" w:eastAsia="Calibri" w:hAnsi="Arial" w:cs="Arial"/>
          <w:color w:val="000000" w:themeColor="text1"/>
          <w:sz w:val="22"/>
          <w:lang w:val="es-ES_tradnl"/>
        </w:rPr>
        <w:lastRenderedPageBreak/>
        <w:t>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227DA639" w14:textId="77777777" w:rsidR="009A7FDE" w:rsidRPr="00B00C57" w:rsidRDefault="009A7FDE" w:rsidP="009A7FDE">
      <w:pPr>
        <w:spacing w:before="120" w:after="120" w:line="276" w:lineRule="auto"/>
        <w:jc w:val="both"/>
        <w:rPr>
          <w:rFonts w:ascii="Arial" w:eastAsia="Calibri" w:hAnsi="Arial" w:cs="Arial"/>
          <w:color w:val="000000" w:themeColor="text1"/>
          <w:sz w:val="22"/>
          <w:lang w:val="es-ES_tradnl"/>
        </w:rPr>
      </w:pPr>
      <w:r w:rsidRPr="00B00C57">
        <w:rPr>
          <w:rFonts w:ascii="Arial" w:eastAsia="Calibri" w:hAnsi="Arial" w:cs="Arial"/>
          <w:color w:val="000000" w:themeColor="text1"/>
          <w:sz w:val="22"/>
          <w:lang w:val="es-ES_tradnl"/>
        </w:rPr>
        <w:tab/>
        <w:t>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B00C57">
        <w:rPr>
          <w:rStyle w:val="Refdenotaalpie"/>
          <w:rFonts w:ascii="Arial" w:eastAsia="Calibri" w:hAnsi="Arial" w:cs="Arial"/>
          <w:color w:val="000000" w:themeColor="text1"/>
          <w:sz w:val="22"/>
          <w:lang w:val="es-ES_tradnl"/>
        </w:rPr>
        <w:footnoteReference w:id="2"/>
      </w:r>
      <w:r w:rsidRPr="00B00C57">
        <w:rPr>
          <w:rFonts w:ascii="Arial" w:eastAsia="Calibri" w:hAnsi="Arial" w:cs="Arial"/>
          <w:color w:val="000000" w:themeColor="text1"/>
          <w:sz w:val="22"/>
          <w:lang w:val="es-ES_tradnl"/>
        </w:rPr>
        <w:t>.</w:t>
      </w:r>
    </w:p>
    <w:p w14:paraId="495EA030" w14:textId="77777777" w:rsidR="009A7FDE" w:rsidRPr="00B00C57" w:rsidRDefault="009A7FDE" w:rsidP="009A7FDE">
      <w:pPr>
        <w:spacing w:line="276" w:lineRule="auto"/>
        <w:jc w:val="both"/>
        <w:rPr>
          <w:rFonts w:ascii="Arial" w:eastAsia="Calibri" w:hAnsi="Arial" w:cs="Arial"/>
          <w:color w:val="000000" w:themeColor="text1"/>
          <w:sz w:val="22"/>
          <w:lang w:val="es-ES_tradnl"/>
        </w:rPr>
      </w:pPr>
      <w:r w:rsidRPr="00B00C57">
        <w:rPr>
          <w:rFonts w:ascii="Arial" w:eastAsia="Calibri" w:hAnsi="Arial" w:cs="Arial"/>
          <w:color w:val="000000" w:themeColor="text1"/>
          <w:sz w:val="22"/>
          <w:lang w:val="es-ES_tradnl"/>
        </w:rPr>
        <w:tab/>
        <w:t xml:space="preserve">No </w:t>
      </w:r>
      <w:proofErr w:type="gramStart"/>
      <w:r w:rsidRPr="00B00C57">
        <w:rPr>
          <w:rFonts w:ascii="Arial" w:eastAsia="Calibri" w:hAnsi="Arial" w:cs="Arial"/>
          <w:color w:val="000000" w:themeColor="text1"/>
          <w:sz w:val="22"/>
          <w:lang w:val="es-ES_tradnl"/>
        </w:rPr>
        <w:t>obstante</w:t>
      </w:r>
      <w:proofErr w:type="gramEnd"/>
      <w:r w:rsidRPr="00B00C57">
        <w:rPr>
          <w:rFonts w:ascii="Arial" w:eastAsia="Calibri" w:hAnsi="Arial" w:cs="Arial"/>
          <w:color w:val="000000" w:themeColor="text1"/>
          <w:sz w:val="22"/>
          <w:lang w:val="es-ES_tradnl"/>
        </w:rPr>
        <w:t xml:space="preserve"> lo anterior, las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4E343637" w14:textId="77777777" w:rsidR="009A7FDE" w:rsidRPr="00B00C57" w:rsidRDefault="009A7FDE" w:rsidP="009A7FDE">
      <w:pPr>
        <w:jc w:val="both"/>
        <w:rPr>
          <w:rFonts w:ascii="Arial" w:eastAsia="Calibri" w:hAnsi="Arial" w:cs="Arial"/>
          <w:color w:val="000000" w:themeColor="text1"/>
          <w:sz w:val="22"/>
          <w:lang w:val="es-ES_tradnl"/>
        </w:rPr>
      </w:pPr>
    </w:p>
    <w:p w14:paraId="51DF56A8" w14:textId="27C85F20" w:rsidR="009A7FDE" w:rsidRPr="00B00C57" w:rsidRDefault="009A7FDE" w:rsidP="00D5452C">
      <w:pPr>
        <w:spacing w:after="120"/>
        <w:ind w:left="709" w:right="709"/>
        <w:jc w:val="both"/>
        <w:rPr>
          <w:rFonts w:ascii="Arial" w:eastAsia="Calibri" w:hAnsi="Arial" w:cs="Arial"/>
          <w:color w:val="000000" w:themeColor="text1"/>
          <w:sz w:val="21"/>
          <w:szCs w:val="21"/>
          <w:lang w:val="es-ES_tradnl"/>
        </w:rPr>
      </w:pPr>
      <w:r w:rsidRPr="00B00C57">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72700889" w14:textId="7B180E88" w:rsidR="009A7FDE" w:rsidRPr="00B00C57" w:rsidRDefault="009A7FDE" w:rsidP="00D5452C">
      <w:pPr>
        <w:spacing w:after="120"/>
        <w:ind w:left="709" w:right="709"/>
        <w:jc w:val="both"/>
        <w:rPr>
          <w:rFonts w:ascii="Arial" w:eastAsia="Calibri" w:hAnsi="Arial" w:cs="Arial"/>
          <w:color w:val="000000" w:themeColor="text1"/>
          <w:sz w:val="21"/>
          <w:szCs w:val="21"/>
          <w:lang w:val="es-ES_tradnl"/>
        </w:rPr>
      </w:pPr>
      <w:r w:rsidRPr="00B00C57">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w:t>
      </w:r>
      <w:proofErr w:type="gramStart"/>
      <w:r w:rsidRPr="00B00C57">
        <w:rPr>
          <w:rFonts w:ascii="Arial" w:eastAsia="Calibri" w:hAnsi="Arial" w:cs="Arial"/>
          <w:color w:val="000000" w:themeColor="text1"/>
          <w:sz w:val="21"/>
          <w:szCs w:val="21"/>
          <w:lang w:val="es-ES_tradnl"/>
        </w:rPr>
        <w:t>interpretar</w:t>
      </w:r>
      <w:proofErr w:type="gramEnd"/>
      <w:r w:rsidRPr="00B00C57">
        <w:rPr>
          <w:rFonts w:ascii="Arial" w:eastAsia="Calibri" w:hAnsi="Arial" w:cs="Arial"/>
          <w:color w:val="000000" w:themeColor="text1"/>
          <w:sz w:val="21"/>
          <w:szCs w:val="21"/>
          <w:lang w:val="es-ES_tradnl"/>
        </w:rPr>
        <w:t xml:space="preserve"> pero también transforma parte de esas instituciones, porque se suma a ellas, lo que no siempre se logra conservando intacta la institución privada sino introduciéndole modificaciones. </w:t>
      </w:r>
    </w:p>
    <w:p w14:paraId="4F045214" w14:textId="77777777" w:rsidR="009A7FDE" w:rsidRPr="00B00C57" w:rsidRDefault="009A7FDE" w:rsidP="009A7FDE">
      <w:pPr>
        <w:ind w:left="709" w:right="709"/>
        <w:jc w:val="both"/>
        <w:rPr>
          <w:rFonts w:ascii="Arial" w:eastAsia="Calibri" w:hAnsi="Arial" w:cs="Arial"/>
          <w:color w:val="000000" w:themeColor="text1"/>
          <w:sz w:val="22"/>
          <w:lang w:val="es-ES_tradnl"/>
        </w:rPr>
      </w:pPr>
      <w:r w:rsidRPr="00B00C57">
        <w:rPr>
          <w:rFonts w:ascii="Arial" w:eastAsia="Calibri" w:hAnsi="Arial" w:cs="Arial"/>
          <w:color w:val="000000" w:themeColor="text1"/>
          <w:sz w:val="21"/>
          <w:szCs w:val="21"/>
          <w:lang w:val="es-ES_tradnl"/>
        </w:rPr>
        <w:t xml:space="preserve">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w:t>
      </w:r>
      <w:r w:rsidRPr="00B00C57">
        <w:rPr>
          <w:rFonts w:ascii="Arial" w:eastAsia="Calibri" w:hAnsi="Arial" w:cs="Arial"/>
          <w:color w:val="000000" w:themeColor="text1"/>
          <w:sz w:val="21"/>
          <w:szCs w:val="21"/>
          <w:lang w:val="es-ES_tradnl"/>
        </w:rPr>
        <w:lastRenderedPageBreak/>
        <w:t>de acceso a los negocios del Estado, la trasparencia y en general los demás valores propios de la gestión de lo público</w:t>
      </w:r>
      <w:r w:rsidRPr="00B00C57">
        <w:rPr>
          <w:rStyle w:val="Refdenotaalpie"/>
          <w:rFonts w:ascii="Arial" w:eastAsia="Calibri" w:hAnsi="Arial" w:cs="Arial"/>
          <w:color w:val="000000" w:themeColor="text1"/>
          <w:sz w:val="22"/>
          <w:lang w:val="es-ES_tradnl"/>
        </w:rPr>
        <w:footnoteReference w:id="3"/>
      </w:r>
      <w:r w:rsidRPr="00B00C57">
        <w:rPr>
          <w:rFonts w:ascii="Arial" w:eastAsia="Calibri" w:hAnsi="Arial" w:cs="Arial"/>
          <w:color w:val="000000" w:themeColor="text1"/>
          <w:sz w:val="22"/>
          <w:lang w:val="es-ES_tradnl"/>
        </w:rPr>
        <w:t>.</w:t>
      </w:r>
    </w:p>
    <w:p w14:paraId="73CD9684" w14:textId="77777777" w:rsidR="009A7FDE" w:rsidRPr="00B00C57" w:rsidRDefault="009A7FDE" w:rsidP="009A7FDE">
      <w:pPr>
        <w:spacing w:line="276" w:lineRule="auto"/>
        <w:jc w:val="both"/>
        <w:rPr>
          <w:rFonts w:ascii="Arial" w:eastAsia="Calibri" w:hAnsi="Arial" w:cs="Arial"/>
          <w:color w:val="000000" w:themeColor="text1"/>
          <w:sz w:val="22"/>
          <w:lang w:val="es-ES_tradnl"/>
        </w:rPr>
      </w:pPr>
    </w:p>
    <w:p w14:paraId="31142A35" w14:textId="64F27F40" w:rsidR="009A7FDE" w:rsidRPr="00B00C57" w:rsidRDefault="009A7FDE" w:rsidP="009A7FDE">
      <w:pPr>
        <w:spacing w:line="276" w:lineRule="auto"/>
        <w:ind w:firstLine="708"/>
        <w:jc w:val="both"/>
        <w:rPr>
          <w:rFonts w:ascii="Arial" w:eastAsia="Calibri" w:hAnsi="Arial" w:cs="Arial"/>
          <w:color w:val="000000" w:themeColor="text1"/>
          <w:sz w:val="22"/>
          <w:lang w:val="es-ES_tradnl"/>
        </w:rPr>
      </w:pPr>
      <w:r w:rsidRPr="00B00C57">
        <w:rPr>
          <w:rFonts w:ascii="Arial" w:eastAsia="Calibri" w:hAnsi="Arial" w:cs="Arial"/>
          <w:color w:val="000000" w:themeColor="text1"/>
          <w:sz w:val="22"/>
          <w:lang w:val="es-ES_tradnl"/>
        </w:rPr>
        <w:t xml:space="preserve">Considerando que las entidades de régimen especial administran recursos públicos, sus manuales de contratación deben </w:t>
      </w:r>
      <w:r w:rsidR="00A3006C">
        <w:rPr>
          <w:rFonts w:ascii="Arial" w:eastAsia="Calibri" w:hAnsi="Arial" w:cs="Arial"/>
          <w:color w:val="000000" w:themeColor="text1"/>
          <w:sz w:val="22"/>
          <w:lang w:val="es-ES_tradnl"/>
        </w:rPr>
        <w:t>ajusta</w:t>
      </w:r>
      <w:r w:rsidR="00A3006C" w:rsidRPr="00B00C57">
        <w:rPr>
          <w:rFonts w:ascii="Arial" w:eastAsia="Calibri" w:hAnsi="Arial" w:cs="Arial"/>
          <w:color w:val="000000" w:themeColor="text1"/>
          <w:sz w:val="22"/>
          <w:lang w:val="es-ES_tradnl"/>
        </w:rPr>
        <w:t xml:space="preserve">rse </w:t>
      </w:r>
      <w:r w:rsidRPr="00B00C57">
        <w:rPr>
          <w:rFonts w:ascii="Arial" w:eastAsia="Calibri" w:hAnsi="Arial" w:cs="Arial"/>
          <w:color w:val="000000" w:themeColor="text1"/>
          <w:sz w:val="22"/>
          <w:lang w:val="es-ES_tradnl"/>
        </w:rPr>
        <w:t>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6DA40E97" w14:textId="53F7B313" w:rsidR="009A7FDE" w:rsidRPr="00B00C57" w:rsidRDefault="009A7FDE" w:rsidP="009A7FDE">
      <w:pPr>
        <w:spacing w:before="120" w:after="120" w:line="276" w:lineRule="auto"/>
        <w:ind w:firstLine="708"/>
        <w:jc w:val="both"/>
        <w:rPr>
          <w:rFonts w:ascii="Arial" w:eastAsia="Calibri" w:hAnsi="Arial" w:cs="Arial"/>
          <w:color w:val="000000" w:themeColor="text1"/>
          <w:sz w:val="22"/>
          <w:lang w:val="es-ES_tradnl"/>
        </w:rPr>
      </w:pPr>
      <w:r w:rsidRPr="00B00C57">
        <w:rPr>
          <w:rFonts w:ascii="Arial" w:eastAsia="Calibri" w:hAnsi="Arial" w:cs="Arial"/>
          <w:color w:val="000000" w:themeColor="text1"/>
          <w:sz w:val="22"/>
          <w:lang w:val="es-ES_tradnl"/>
        </w:rPr>
        <w:t xml:space="preserve">Así mismo, estas entidades deben cumplir unas obligaciones transversales a la contratación pública, entre ellas la elaboración del Plan Anual de Adquisiciones, la publicación de sus procedimientos de selección a través de la herramienta SECOP </w:t>
      </w:r>
      <w:r w:rsidR="00A3006C">
        <w:rPr>
          <w:rFonts w:ascii="Arial" w:eastAsia="Calibri" w:hAnsi="Arial" w:cs="Arial"/>
          <w:color w:val="000000" w:themeColor="text1"/>
          <w:sz w:val="22"/>
          <w:lang w:val="es-ES_tradnl"/>
        </w:rPr>
        <w:t>–</w:t>
      </w:r>
      <w:r w:rsidRPr="00B00C57">
        <w:rPr>
          <w:rFonts w:ascii="Arial" w:eastAsia="Calibri" w:hAnsi="Arial" w:cs="Arial"/>
          <w:color w:val="000000" w:themeColor="text1"/>
          <w:sz w:val="22"/>
          <w:lang w:val="es-ES_tradnl"/>
        </w:rPr>
        <w:t>en la sección Régimen Especial</w:t>
      </w:r>
      <w:r w:rsidR="00A3006C">
        <w:rPr>
          <w:rFonts w:ascii="Arial" w:eastAsia="Calibri" w:hAnsi="Arial" w:cs="Arial"/>
          <w:color w:val="000000" w:themeColor="text1"/>
          <w:sz w:val="22"/>
          <w:lang w:val="es-ES_tradnl"/>
        </w:rPr>
        <w:t>–</w:t>
      </w:r>
      <w:r w:rsidRPr="00B00C57">
        <w:rPr>
          <w:rFonts w:ascii="Arial" w:eastAsia="Calibri" w:hAnsi="Arial" w:cs="Arial"/>
          <w:color w:val="000000" w:themeColor="text1"/>
          <w:sz w:val="22"/>
          <w:lang w:val="es-ES_tradnl"/>
        </w:rPr>
        <w:t>, hacer uso del clasificador de bienes y servicios de las Naciones Unidas, reportar inhabilidades e incompatibilidades de los proveedores de la entidad y analizar el sector económico de los oferentes, entre otras.</w:t>
      </w:r>
    </w:p>
    <w:p w14:paraId="49D0A0CE" w14:textId="2912C041" w:rsidR="009A7FDE" w:rsidRPr="00B00C57" w:rsidRDefault="009A7FDE" w:rsidP="009A7FDE">
      <w:pPr>
        <w:spacing w:line="276" w:lineRule="auto"/>
        <w:ind w:firstLine="709"/>
        <w:jc w:val="both"/>
        <w:rPr>
          <w:rFonts w:ascii="Arial" w:eastAsia="Calibri" w:hAnsi="Arial" w:cs="Arial"/>
          <w:color w:val="000000" w:themeColor="text1"/>
          <w:sz w:val="22"/>
          <w:lang w:val="es-ES_tradnl"/>
        </w:rPr>
      </w:pPr>
      <w:r w:rsidRPr="00B00C57">
        <w:rPr>
          <w:rFonts w:ascii="Arial" w:eastAsia="Calibri" w:hAnsi="Arial" w:cs="Arial"/>
          <w:color w:val="000000" w:themeColor="text1"/>
          <w:sz w:val="22"/>
          <w:lang w:val="es-ES_tradnl"/>
        </w:rPr>
        <w:t>Además, debe tener</w:t>
      </w:r>
      <w:r w:rsidR="00A3006C">
        <w:rPr>
          <w:rFonts w:ascii="Arial" w:eastAsia="Calibri" w:hAnsi="Arial" w:cs="Arial"/>
          <w:color w:val="000000" w:themeColor="text1"/>
          <w:sz w:val="22"/>
          <w:lang w:val="es-ES_tradnl"/>
        </w:rPr>
        <w:t>se</w:t>
      </w:r>
      <w:r w:rsidRPr="00B00C57">
        <w:rPr>
          <w:rFonts w:ascii="Arial" w:eastAsia="Calibri" w:hAnsi="Arial" w:cs="Arial"/>
          <w:color w:val="000000" w:themeColor="text1"/>
          <w:sz w:val="22"/>
          <w:lang w:val="es-ES_tradnl"/>
        </w:rPr>
        <w:t xml:space="preserve"> en cuenta que las cláusulas excepcionales no están contempladas en el derecho común. Estas se encuentran limitadas no solo </w:t>
      </w:r>
      <w:r w:rsidR="00A3006C">
        <w:rPr>
          <w:rFonts w:ascii="Arial" w:eastAsia="Calibri" w:hAnsi="Arial" w:cs="Arial"/>
          <w:color w:val="000000" w:themeColor="text1"/>
          <w:sz w:val="22"/>
          <w:lang w:val="es-ES_tradnl"/>
        </w:rPr>
        <w:t>a las entidades sometidas</w:t>
      </w:r>
      <w:r w:rsidRPr="00B00C57">
        <w:rPr>
          <w:rFonts w:ascii="Arial" w:eastAsia="Calibri" w:hAnsi="Arial" w:cs="Arial"/>
          <w:color w:val="000000" w:themeColor="text1"/>
          <w:sz w:val="22"/>
          <w:lang w:val="es-ES_tradnl"/>
        </w:rPr>
        <w:t xml:space="preserve"> </w:t>
      </w:r>
      <w:r w:rsidR="00A3006C">
        <w:rPr>
          <w:rFonts w:ascii="Arial" w:eastAsia="Calibri" w:hAnsi="Arial" w:cs="Arial"/>
          <w:color w:val="000000" w:themeColor="text1"/>
          <w:sz w:val="22"/>
          <w:lang w:val="es-ES_tradnl"/>
        </w:rPr>
        <w:t>a</w:t>
      </w:r>
      <w:r w:rsidRPr="00B00C57">
        <w:rPr>
          <w:rFonts w:ascii="Arial" w:eastAsia="Calibri" w:hAnsi="Arial" w:cs="Arial"/>
          <w:color w:val="000000" w:themeColor="text1"/>
          <w:sz w:val="22"/>
          <w:lang w:val="es-ES_tradnl"/>
        </w:rPr>
        <w:t xml:space="preserve">l Estatuto General de Contratación de la Administración Pública sino a algunos tipos de contratos específicos. En ese sentido, la única forma en que una entidad sujeta a un régimen especial pueda usar estas cláusulas es si su norma de creación lo establece, como sucede con las empresas sociales del Estado. De modo </w:t>
      </w:r>
      <w:proofErr w:type="gramStart"/>
      <w:r w:rsidRPr="00B00C57">
        <w:rPr>
          <w:rFonts w:ascii="Arial" w:eastAsia="Calibri" w:hAnsi="Arial" w:cs="Arial"/>
          <w:color w:val="000000" w:themeColor="text1"/>
          <w:sz w:val="22"/>
          <w:lang w:val="es-ES_tradnl"/>
        </w:rPr>
        <w:t>que</w:t>
      </w:r>
      <w:proofErr w:type="gramEnd"/>
      <w:r w:rsidRPr="00B00C57">
        <w:rPr>
          <w:rFonts w:ascii="Arial" w:eastAsia="Calibri" w:hAnsi="Arial" w:cs="Arial"/>
          <w:color w:val="000000" w:themeColor="text1"/>
          <w:sz w:val="22"/>
          <w:lang w:val="es-ES_tradnl"/>
        </w:rPr>
        <w:t xml:space="preserve"> si una Entidad sujeta al régimen especial requiere sancionar o dar por terminado el contrato, por regla general, debe acudir al juez competente</w:t>
      </w:r>
      <w:r w:rsidRPr="00B00C57">
        <w:rPr>
          <w:rStyle w:val="Refdenotaalpie"/>
          <w:rFonts w:ascii="Arial" w:eastAsia="Calibri" w:hAnsi="Arial" w:cs="Arial"/>
          <w:color w:val="000000" w:themeColor="text1"/>
          <w:sz w:val="22"/>
          <w:lang w:val="es-ES_tradnl"/>
        </w:rPr>
        <w:footnoteReference w:id="4"/>
      </w:r>
      <w:r w:rsidRPr="00B00C57">
        <w:rPr>
          <w:rFonts w:ascii="Arial" w:eastAsia="Calibri" w:hAnsi="Arial" w:cs="Arial"/>
          <w:color w:val="000000" w:themeColor="text1"/>
          <w:sz w:val="22"/>
          <w:lang w:val="es-ES_tradnl"/>
        </w:rPr>
        <w:t>.</w:t>
      </w:r>
    </w:p>
    <w:p w14:paraId="63B5D2AE" w14:textId="41D30EF9" w:rsidR="009A7FDE" w:rsidRPr="00B00C57" w:rsidRDefault="009A7FDE" w:rsidP="009A7FDE">
      <w:pPr>
        <w:spacing w:before="120" w:line="276" w:lineRule="auto"/>
        <w:ind w:firstLine="709"/>
        <w:jc w:val="both"/>
        <w:rPr>
          <w:rFonts w:ascii="Arial" w:eastAsia="Calibri" w:hAnsi="Arial" w:cs="Arial"/>
          <w:color w:val="000000" w:themeColor="text1"/>
          <w:sz w:val="22"/>
          <w:lang w:val="es-ES_tradnl"/>
        </w:rPr>
      </w:pPr>
      <w:r w:rsidRPr="00B00C57">
        <w:rPr>
          <w:rFonts w:ascii="Arial" w:eastAsia="Calibri" w:hAnsi="Arial" w:cs="Arial"/>
          <w:color w:val="000000" w:themeColor="text1"/>
          <w:sz w:val="22"/>
          <w:lang w:val="es-ES_tradnl"/>
        </w:rPr>
        <w:t xml:space="preserve">Como se explicó, el hecho de que algunas entidades estatales se rijan por el derecho privado en materia contractual no puede entenderse como una negación de lo que establece el artículo 13 de la Ley 1150 de 2007. Este enunciado 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w:t>
      </w:r>
      <w:r w:rsidRPr="00B00C57">
        <w:rPr>
          <w:rFonts w:ascii="Arial" w:eastAsia="Calibri" w:hAnsi="Arial" w:cs="Arial"/>
          <w:color w:val="000000" w:themeColor="text1"/>
          <w:sz w:val="22"/>
          <w:lang w:val="es-ES_tradnl"/>
        </w:rPr>
        <w:lastRenderedPageBreak/>
        <w:t>contratación estatal</w:t>
      </w:r>
      <w:r w:rsidR="002F53AF">
        <w:rPr>
          <w:rFonts w:ascii="Arial" w:eastAsia="Calibri" w:hAnsi="Arial" w:cs="Arial"/>
          <w:color w:val="000000" w:themeColor="text1"/>
          <w:sz w:val="22"/>
          <w:lang w:val="es-ES_tradnl"/>
        </w:rPr>
        <w:t xml:space="preserve">; y ahora también </w:t>
      </w:r>
      <w:r w:rsidR="004526F1">
        <w:rPr>
          <w:rFonts w:ascii="Arial" w:eastAsia="Calibri" w:hAnsi="Arial" w:cs="Arial"/>
          <w:color w:val="000000" w:themeColor="text1"/>
          <w:sz w:val="22"/>
          <w:lang w:val="es-ES_tradnl"/>
        </w:rPr>
        <w:t>publicar su actividad contractual en el SECOP II, a partir del artículo 53 de la Ley 2195 de 2022</w:t>
      </w:r>
      <w:r w:rsidRPr="00B00C57">
        <w:rPr>
          <w:rStyle w:val="Refdenotaalpie"/>
          <w:rFonts w:ascii="Arial" w:eastAsia="Calibri" w:hAnsi="Arial" w:cs="Arial"/>
          <w:color w:val="000000" w:themeColor="text1"/>
          <w:sz w:val="22"/>
          <w:lang w:val="es-ES_tradnl"/>
        </w:rPr>
        <w:footnoteReference w:id="5"/>
      </w:r>
      <w:r w:rsidRPr="00B00C57">
        <w:rPr>
          <w:rFonts w:ascii="Arial" w:eastAsia="Calibri" w:hAnsi="Arial" w:cs="Arial"/>
          <w:color w:val="000000" w:themeColor="text1"/>
          <w:sz w:val="22"/>
          <w:lang w:val="es-ES_tradnl"/>
        </w:rPr>
        <w:t xml:space="preserve">. </w:t>
      </w:r>
    </w:p>
    <w:p w14:paraId="516040DD" w14:textId="77777777" w:rsidR="009A7FDE" w:rsidRPr="00B00C57" w:rsidRDefault="009A7FDE" w:rsidP="009A7FDE">
      <w:pPr>
        <w:spacing w:before="120" w:line="276" w:lineRule="auto"/>
        <w:ind w:firstLine="709"/>
        <w:jc w:val="both"/>
        <w:rPr>
          <w:rFonts w:ascii="Arial" w:eastAsia="Calibri" w:hAnsi="Arial" w:cs="Arial"/>
          <w:color w:val="000000" w:themeColor="text1"/>
          <w:sz w:val="22"/>
          <w:lang w:val="es-ES_tradnl"/>
        </w:rPr>
      </w:pPr>
      <w:r w:rsidRPr="00B00C57">
        <w:rPr>
          <w:rFonts w:ascii="Arial" w:eastAsia="Calibri" w:hAnsi="Arial" w:cs="Arial"/>
          <w:color w:val="000000" w:themeColor="text1"/>
          <w:sz w:val="22"/>
          <w:lang w:val="es-ES_tradnl"/>
        </w:rPr>
        <w:t>Adicionalmente, las entidades estatales que, por disposición legal, cuentan con un régimen especial</w:t>
      </w:r>
      <w:r w:rsidRPr="00B00C57">
        <w:rPr>
          <w:rStyle w:val="Refdenotaalpie"/>
          <w:rFonts w:ascii="Arial" w:eastAsia="Calibri" w:hAnsi="Arial" w:cs="Arial"/>
          <w:color w:val="000000" w:themeColor="text1"/>
          <w:sz w:val="22"/>
          <w:lang w:val="es-ES_tradnl"/>
        </w:rPr>
        <w:footnoteReference w:id="6"/>
      </w:r>
      <w:r w:rsidRPr="00B00C57">
        <w:rPr>
          <w:rFonts w:ascii="Arial" w:eastAsia="Calibri" w:hAnsi="Arial" w:cs="Arial"/>
          <w:color w:val="000000" w:themeColor="text1"/>
          <w:sz w:val="22"/>
          <w:lang w:val="es-ES_tradnl"/>
        </w:rPr>
        <w:t>, exceptuado del Estatuto General de Contratación de la Administración Pública –Leyes 80 de 1993, 1150 de 2007 y normas complementarias</w:t>
      </w:r>
      <w:r w:rsidRPr="00B00C57">
        <w:rPr>
          <w:rStyle w:val="Refdenotaalpie"/>
          <w:rFonts w:ascii="Arial" w:eastAsia="Calibri" w:hAnsi="Arial" w:cs="Arial"/>
          <w:color w:val="000000" w:themeColor="text1"/>
          <w:sz w:val="22"/>
          <w:lang w:val="es-ES_tradnl"/>
        </w:rPr>
        <w:footnoteReference w:id="7"/>
      </w:r>
      <w:r w:rsidRPr="00B00C57">
        <w:rPr>
          <w:rFonts w:ascii="Arial" w:eastAsia="Calibri" w:hAnsi="Arial" w:cs="Arial"/>
          <w:color w:val="000000" w:themeColor="text1"/>
          <w:sz w:val="22"/>
          <w:lang w:val="es-ES_tradnl"/>
        </w:rPr>
        <w:t xml:space="preserve">– pueden expedir un reglamento interno de contratación –comúnmente denominado </w:t>
      </w:r>
      <w:r w:rsidRPr="00B00C57">
        <w:rPr>
          <w:rFonts w:ascii="Arial" w:eastAsia="Calibri" w:hAnsi="Arial" w:cs="Arial"/>
          <w:i/>
          <w:color w:val="000000" w:themeColor="text1"/>
          <w:sz w:val="22"/>
          <w:lang w:val="es-ES_tradnl"/>
        </w:rPr>
        <w:t>manual de contratación</w:t>
      </w:r>
      <w:r w:rsidRPr="00B00C57">
        <w:rPr>
          <w:rFonts w:ascii="Arial" w:eastAsia="Calibri" w:hAnsi="Arial" w:cs="Arial"/>
          <w:color w:val="000000" w:themeColor="text1"/>
          <w:sz w:val="22"/>
          <w:lang w:val="es-ES_tradnl"/>
        </w:rPr>
        <w:t xml:space="preserve">–,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 </w:t>
      </w:r>
    </w:p>
    <w:p w14:paraId="6C34C99A" w14:textId="2210C784" w:rsidR="0032022F" w:rsidRDefault="009A7FDE" w:rsidP="00D5558D">
      <w:pPr>
        <w:spacing w:before="120" w:line="276" w:lineRule="auto"/>
        <w:ind w:firstLine="709"/>
        <w:jc w:val="both"/>
        <w:rPr>
          <w:rFonts w:ascii="Arial" w:eastAsia="Calibri" w:hAnsi="Arial" w:cs="Arial"/>
          <w:color w:val="000000" w:themeColor="text1"/>
          <w:sz w:val="22"/>
          <w:lang w:val="es-ES_tradnl"/>
        </w:rPr>
      </w:pPr>
      <w:r w:rsidRPr="00B00C57">
        <w:rPr>
          <w:rFonts w:ascii="Arial" w:eastAsia="Calibri" w:hAnsi="Arial" w:cs="Arial"/>
          <w:color w:val="000000" w:themeColor="text1"/>
          <w:sz w:val="22"/>
          <w:lang w:val="es-ES_tradnl"/>
        </w:rPr>
        <w:t>Sin embargo, la libertad de configuración reglamentaria de las entidades estatales, expresada en el manual de contratación, no es absoluta</w:t>
      </w:r>
      <w:r w:rsidR="00A3006C">
        <w:rPr>
          <w:rFonts w:ascii="Arial" w:eastAsia="Calibri" w:hAnsi="Arial" w:cs="Arial"/>
          <w:color w:val="000000" w:themeColor="text1"/>
          <w:sz w:val="22"/>
          <w:lang w:val="es-ES_tradnl"/>
        </w:rPr>
        <w:t>. Lo anterior</w:t>
      </w:r>
      <w:r w:rsidRPr="00B00C57">
        <w:rPr>
          <w:rFonts w:ascii="Arial" w:eastAsia="Calibri" w:hAnsi="Arial" w:cs="Arial"/>
          <w:color w:val="000000" w:themeColor="text1"/>
          <w:sz w:val="22"/>
          <w:lang w:val="es-ES_tradnl"/>
        </w:rPr>
        <w:t>,</w:t>
      </w:r>
      <w:r w:rsidR="00A3006C">
        <w:rPr>
          <w:rFonts w:ascii="Arial" w:eastAsia="Calibri" w:hAnsi="Arial" w:cs="Arial"/>
          <w:color w:val="000000" w:themeColor="text1"/>
          <w:sz w:val="22"/>
          <w:lang w:val="es-ES_tradnl"/>
        </w:rPr>
        <w:t xml:space="preserve"> en la medida que</w:t>
      </w:r>
      <w:r w:rsidRPr="00B00C57">
        <w:rPr>
          <w:rFonts w:ascii="Arial" w:eastAsia="Calibri" w:hAnsi="Arial" w:cs="Arial"/>
          <w:color w:val="000000" w:themeColor="text1"/>
          <w:sz w:val="22"/>
          <w:lang w:val="es-ES_tradnl"/>
        </w:rPr>
        <w:t xml:space="preserve"> a pesar de que están facultadas para regular ciertos temas relacionados con la actividad contractual, deben hacerlo respetando la reserva legal de la que gozan ciertas materias. En tal sentido, asuntos como: i) los requisitos de existencia y validez del contrato, ii) sanciones, sin perjuicio de las que pueden pactar de acuerdo con las normas civiles y comerciales, iii) procedimientos para su imposición, iv) causales de inhabilidad e incompatibilidad, v) el principio de anualidad del gasto, y vi) restricciones al acceso a la administración de justicia para discutir las controversias contractuales, entre otros,</w:t>
      </w:r>
      <w:r w:rsidR="00A3006C">
        <w:rPr>
          <w:rFonts w:ascii="Arial" w:eastAsia="Calibri" w:hAnsi="Arial" w:cs="Arial"/>
          <w:color w:val="000000" w:themeColor="text1"/>
          <w:sz w:val="22"/>
          <w:lang w:val="es-ES_tradnl"/>
        </w:rPr>
        <w:t xml:space="preserve"> </w:t>
      </w:r>
      <w:r w:rsidR="00A3006C" w:rsidRPr="00B00C57">
        <w:rPr>
          <w:rFonts w:ascii="Arial" w:eastAsia="Calibri" w:hAnsi="Arial" w:cs="Arial"/>
          <w:color w:val="000000" w:themeColor="text1"/>
          <w:sz w:val="22"/>
          <w:lang w:val="es-ES_tradnl"/>
        </w:rPr>
        <w:t>son</w:t>
      </w:r>
      <w:r w:rsidRPr="00B00C57">
        <w:rPr>
          <w:rFonts w:ascii="Arial" w:eastAsia="Calibri" w:hAnsi="Arial" w:cs="Arial"/>
          <w:color w:val="000000" w:themeColor="text1"/>
          <w:sz w:val="22"/>
          <w:lang w:val="es-ES_tradnl"/>
        </w:rPr>
        <w:t xml:space="preserve"> temas cuya regulación está </w:t>
      </w:r>
      <w:r w:rsidRPr="00B00C57">
        <w:rPr>
          <w:rFonts w:ascii="Arial" w:eastAsia="Calibri" w:hAnsi="Arial" w:cs="Arial"/>
          <w:color w:val="000000" w:themeColor="text1"/>
          <w:sz w:val="22"/>
          <w:lang w:val="es-ES_tradnl"/>
        </w:rPr>
        <w:lastRenderedPageBreak/>
        <w:t>reservada al legislador y que, por tanto, las entidades exceptuadas no pueden reglamentar en su manual de contratación</w:t>
      </w:r>
      <w:r w:rsidRPr="00B00C57">
        <w:rPr>
          <w:rStyle w:val="Refdenotaalpie"/>
          <w:rFonts w:ascii="Arial" w:eastAsia="Calibri" w:hAnsi="Arial" w:cs="Arial"/>
          <w:color w:val="000000" w:themeColor="text1"/>
          <w:sz w:val="22"/>
          <w:lang w:val="es-ES_tradnl"/>
        </w:rPr>
        <w:footnoteReference w:id="8"/>
      </w:r>
      <w:r w:rsidRPr="00B00C57">
        <w:rPr>
          <w:rFonts w:ascii="Arial" w:eastAsia="Calibri" w:hAnsi="Arial" w:cs="Arial"/>
          <w:color w:val="000000" w:themeColor="text1"/>
          <w:sz w:val="22"/>
          <w:lang w:val="es-ES_tradnl"/>
        </w:rPr>
        <w:t>.</w:t>
      </w:r>
    </w:p>
    <w:p w14:paraId="6FBEDC56" w14:textId="77777777" w:rsidR="00D5558D" w:rsidRPr="00B00C57" w:rsidRDefault="00D5558D" w:rsidP="00DA3A15">
      <w:pPr>
        <w:spacing w:line="276" w:lineRule="auto"/>
        <w:jc w:val="both"/>
        <w:rPr>
          <w:rFonts w:ascii="Arial" w:hAnsi="Arial" w:cs="Arial"/>
          <w:b/>
          <w:bCs/>
          <w:iCs/>
          <w:color w:val="000000" w:themeColor="text1"/>
          <w:sz w:val="22"/>
          <w:lang w:val="es-ES_tradnl"/>
        </w:rPr>
      </w:pPr>
    </w:p>
    <w:p w14:paraId="4AE8B6B9" w14:textId="2B08129D" w:rsidR="00DA3A15" w:rsidRPr="00B00C57" w:rsidRDefault="00DA3A15" w:rsidP="00DA3A15">
      <w:pPr>
        <w:spacing w:line="276" w:lineRule="auto"/>
        <w:jc w:val="both"/>
        <w:rPr>
          <w:rFonts w:ascii="Arial" w:hAnsi="Arial" w:cs="Arial"/>
          <w:b/>
          <w:bCs/>
          <w:iCs/>
          <w:color w:val="000000" w:themeColor="text1"/>
          <w:sz w:val="22"/>
          <w:lang w:val="es-ES_tradnl"/>
        </w:rPr>
      </w:pPr>
      <w:r w:rsidRPr="00B00C57">
        <w:rPr>
          <w:rFonts w:ascii="Arial" w:hAnsi="Arial" w:cs="Arial"/>
          <w:b/>
          <w:bCs/>
          <w:iCs/>
          <w:color w:val="000000" w:themeColor="text1"/>
          <w:sz w:val="22"/>
          <w:lang w:val="es-ES_tradnl"/>
        </w:rPr>
        <w:t>2.</w:t>
      </w:r>
      <w:r w:rsidR="00B90171" w:rsidRPr="00B00C57">
        <w:rPr>
          <w:rFonts w:ascii="Arial" w:hAnsi="Arial" w:cs="Arial"/>
          <w:b/>
          <w:bCs/>
          <w:iCs/>
          <w:color w:val="000000" w:themeColor="text1"/>
          <w:sz w:val="22"/>
          <w:lang w:val="es-ES_tradnl"/>
        </w:rPr>
        <w:t>2</w:t>
      </w:r>
      <w:r w:rsidRPr="00B00C57">
        <w:rPr>
          <w:rFonts w:ascii="Arial" w:hAnsi="Arial" w:cs="Arial"/>
          <w:b/>
          <w:bCs/>
          <w:iCs/>
          <w:color w:val="000000" w:themeColor="text1"/>
          <w:sz w:val="22"/>
          <w:lang w:val="es-ES_tradnl"/>
        </w:rPr>
        <w:t xml:space="preserve">. </w:t>
      </w:r>
      <w:r w:rsidR="00E5647F" w:rsidRPr="00B00C57">
        <w:rPr>
          <w:rFonts w:ascii="Arial" w:hAnsi="Arial" w:cs="Arial"/>
          <w:b/>
          <w:bCs/>
          <w:iCs/>
          <w:color w:val="000000" w:themeColor="text1"/>
          <w:sz w:val="22"/>
          <w:lang w:val="es-ES_tradnl"/>
        </w:rPr>
        <w:t xml:space="preserve">Deber de las entidades estatales, exceptuadas del Estatuto General de Contratación de la Administración Pública, de publicar los documentos relacionados con su actividad contractual en el SECOP II. Artículo </w:t>
      </w:r>
      <w:r w:rsidR="00BA5C3B" w:rsidRPr="00B00C57">
        <w:rPr>
          <w:rFonts w:ascii="Arial" w:hAnsi="Arial" w:cs="Arial"/>
          <w:b/>
          <w:bCs/>
          <w:iCs/>
          <w:color w:val="000000" w:themeColor="text1"/>
          <w:sz w:val="22"/>
          <w:lang w:val="es-ES_tradnl"/>
        </w:rPr>
        <w:t>53 de la Ley 2195 de 2022</w:t>
      </w:r>
    </w:p>
    <w:p w14:paraId="0D1935FA" w14:textId="2EDCFCAB" w:rsidR="00826C98" w:rsidRDefault="00826C98" w:rsidP="00826C98">
      <w:pPr>
        <w:spacing w:line="276" w:lineRule="auto"/>
        <w:jc w:val="both"/>
        <w:rPr>
          <w:rFonts w:ascii="Arial" w:eastAsia="Calibri" w:hAnsi="Arial" w:cs="Arial"/>
          <w:color w:val="000000" w:themeColor="text1"/>
          <w:sz w:val="22"/>
          <w:lang w:val="es-ES_tradnl"/>
        </w:rPr>
      </w:pPr>
    </w:p>
    <w:p w14:paraId="227ECDC0" w14:textId="182D8706" w:rsidR="00BE5679" w:rsidRPr="00A14734" w:rsidRDefault="00BE5679" w:rsidP="00BE5679">
      <w:pPr>
        <w:spacing w:after="120" w:line="276" w:lineRule="auto"/>
        <w:jc w:val="both"/>
        <w:rPr>
          <w:rFonts w:ascii="Arial" w:eastAsia="Calibri" w:hAnsi="Arial" w:cs="Arial"/>
          <w:sz w:val="22"/>
          <w:lang w:val="es-ES"/>
        </w:rPr>
      </w:pPr>
      <w:r w:rsidRPr="000D08C1">
        <w:rPr>
          <w:rFonts w:ascii="Arial" w:eastAsia="Calibri" w:hAnsi="Arial" w:cs="Arial"/>
          <w:sz w:val="22"/>
          <w:lang w:val="es-ES"/>
        </w:rPr>
        <w:t>La Agencia Nacional de Contratación Pública – Colombia Compra Eficiente tiene como función  administrar el SECOP</w:t>
      </w:r>
      <w:r w:rsidRPr="000D08C1">
        <w:rPr>
          <w:rFonts w:ascii="Arial" w:eastAsia="Calibri" w:hAnsi="Arial" w:cs="Arial"/>
          <w:sz w:val="22"/>
          <w:vertAlign w:val="superscript"/>
          <w:lang w:val="es-ES"/>
        </w:rPr>
        <w:footnoteReference w:id="9"/>
      </w:r>
      <w:r w:rsidRPr="000D08C1">
        <w:rPr>
          <w:rFonts w:ascii="Arial" w:eastAsia="Calibri" w:hAnsi="Arial" w:cs="Arial"/>
          <w:sz w:val="22"/>
          <w:lang w:val="es-ES"/>
        </w:rPr>
        <w:t>, por lo cual se desarrolló la primera versión  de la plataforma</w:t>
      </w:r>
      <w:r w:rsidR="003F0C1B">
        <w:rPr>
          <w:rFonts w:ascii="Arial" w:eastAsia="Calibri" w:hAnsi="Arial" w:cs="Arial"/>
          <w:sz w:val="22"/>
          <w:lang w:val="es-ES"/>
        </w:rPr>
        <w:t xml:space="preserve"> </w:t>
      </w:r>
      <w:r w:rsidRPr="000D08C1">
        <w:rPr>
          <w:rFonts w:ascii="Arial" w:eastAsia="Calibri" w:hAnsi="Arial" w:cs="Arial"/>
          <w:sz w:val="22"/>
          <w:lang w:val="es-ES"/>
        </w:rPr>
        <w:t xml:space="preserve"> </w:t>
      </w:r>
      <w:r w:rsidR="003F0C1B">
        <w:rPr>
          <w:rFonts w:ascii="Arial" w:eastAsia="Calibri" w:hAnsi="Arial" w:cs="Arial"/>
          <w:sz w:val="22"/>
          <w:lang w:val="es-ES"/>
        </w:rPr>
        <w:t>–</w:t>
      </w:r>
      <w:r w:rsidRPr="000D08C1">
        <w:rPr>
          <w:rFonts w:ascii="Arial" w:eastAsia="Calibri" w:hAnsi="Arial" w:cs="Arial"/>
          <w:sz w:val="22"/>
          <w:lang w:val="es-ES"/>
        </w:rPr>
        <w:t>SECOP I</w:t>
      </w:r>
      <w:r w:rsidR="003F0C1B">
        <w:rPr>
          <w:rFonts w:ascii="Arial" w:eastAsia="Calibri" w:hAnsi="Arial" w:cs="Arial"/>
          <w:sz w:val="22"/>
          <w:lang w:val="es-ES"/>
        </w:rPr>
        <w:t>–</w:t>
      </w:r>
      <w:r w:rsidRPr="000D08C1">
        <w:rPr>
          <w:rFonts w:ascii="Arial" w:eastAsia="Calibri" w:hAnsi="Arial" w:cs="Arial"/>
          <w:sz w:val="22"/>
          <w:lang w:val="es-ES"/>
        </w:rPr>
        <w:t>, que solo funciona como medio de publicidad, es decir, no es transaccional, lo que significa que el procedimiento contractual ocurre fuera de la plataforma y a través de un expediente físico en la entidad, pero las actuaciones</w:t>
      </w:r>
      <w:r w:rsidRPr="00A14734">
        <w:rPr>
          <w:rFonts w:ascii="Arial" w:eastAsia="Calibri" w:hAnsi="Arial" w:cs="Arial"/>
          <w:sz w:val="22"/>
          <w:lang w:val="es-ES"/>
        </w:rPr>
        <w:t xml:space="preserve"> y los documentos se convierten en </w:t>
      </w:r>
      <w:r w:rsidRPr="00A14734">
        <w:rPr>
          <w:rFonts w:ascii="Arial" w:eastAsia="Calibri" w:hAnsi="Arial" w:cs="Arial"/>
          <w:sz w:val="22"/>
          <w:lang w:val="es-ES"/>
        </w:rPr>
        <w:lastRenderedPageBreak/>
        <w:t>electrónicos para ser cargados a la plataforma, por quien tenga la función dentro de la entidad, de acuerdo con su organización interna.</w:t>
      </w:r>
    </w:p>
    <w:p w14:paraId="75A8009C" w14:textId="77777777" w:rsidR="00BE5679" w:rsidRPr="00A14734" w:rsidRDefault="00BE5679" w:rsidP="00BE5679">
      <w:pPr>
        <w:spacing w:before="120" w:after="120" w:line="276" w:lineRule="auto"/>
        <w:ind w:firstLine="708"/>
        <w:jc w:val="both"/>
        <w:rPr>
          <w:rFonts w:ascii="Arial" w:eastAsia="Calibri" w:hAnsi="Arial" w:cs="Arial"/>
          <w:sz w:val="22"/>
          <w:lang w:val="es-ES"/>
        </w:rPr>
      </w:pPr>
      <w:r w:rsidRPr="00A14734">
        <w:rPr>
          <w:rFonts w:ascii="Arial" w:eastAsia="Calibri" w:hAnsi="Arial" w:cs="Arial"/>
          <w:sz w:val="22"/>
          <w:lang w:val="es-ES"/>
        </w:rPr>
        <w:t xml:space="preserve">El SECOP II es una plataforma </w:t>
      </w:r>
      <w:r w:rsidRPr="001E1215">
        <w:rPr>
          <w:rFonts w:ascii="Arial" w:eastAsia="Calibri" w:hAnsi="Arial" w:cs="Arial"/>
          <w:i/>
          <w:iCs/>
          <w:sz w:val="22"/>
          <w:lang w:val="es-ES"/>
        </w:rPr>
        <w:t>transaccional</w:t>
      </w:r>
      <w:r w:rsidRPr="00A14734">
        <w:rPr>
          <w:rFonts w:ascii="Arial" w:eastAsia="Calibri" w:hAnsi="Arial" w:cs="Arial"/>
          <w:sz w:val="22"/>
          <w:lang w:val="es-ES"/>
        </w:rPr>
        <w:t>, que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492C53E9" w14:textId="2C0FFFC6" w:rsidR="00BE5679" w:rsidRPr="00F51A7F" w:rsidRDefault="00BE5679" w:rsidP="00BE5679">
      <w:pPr>
        <w:spacing w:before="120" w:after="120" w:line="276" w:lineRule="auto"/>
        <w:ind w:firstLine="708"/>
        <w:jc w:val="both"/>
        <w:rPr>
          <w:rFonts w:ascii="Arial" w:eastAsia="Calibri" w:hAnsi="Arial" w:cs="Arial"/>
          <w:color w:val="000000" w:themeColor="text1"/>
          <w:sz w:val="22"/>
          <w:lang w:val="es-ES"/>
        </w:rPr>
      </w:pPr>
      <w:r w:rsidRPr="00F51A7F">
        <w:rPr>
          <w:rFonts w:ascii="Arial" w:eastAsia="Calibri" w:hAnsi="Arial" w:cs="Arial"/>
          <w:color w:val="000000" w:themeColor="text1"/>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que </w:t>
      </w:r>
      <w:r w:rsidR="00F51A7F" w:rsidRPr="00F51A7F">
        <w:rPr>
          <w:rFonts w:ascii="Arial" w:eastAsia="Calibri" w:hAnsi="Arial" w:cs="Arial"/>
          <w:color w:val="000000" w:themeColor="text1"/>
          <w:sz w:val="22"/>
          <w:lang w:val="es-ES"/>
        </w:rPr>
        <w:t>dispuso</w:t>
      </w:r>
      <w:r w:rsidRPr="00F51A7F">
        <w:rPr>
          <w:rFonts w:ascii="Arial" w:eastAsia="Calibri" w:hAnsi="Arial" w:cs="Arial"/>
          <w:color w:val="000000" w:themeColor="text1"/>
          <w:sz w:val="22"/>
          <w:lang w:val="es-ES"/>
        </w:rPr>
        <w:t>: «A partir del 1 de enero de 2020, todos los procesos de contratación de las entidades relacionadas en el Anexo 1 de esta circular deberán gestionarse, exclusivamente, en el SECOP ll»</w:t>
      </w:r>
      <w:r w:rsidR="00F51A7F" w:rsidRPr="00F51A7F">
        <w:rPr>
          <w:rFonts w:ascii="Arial" w:eastAsia="Calibri" w:hAnsi="Arial" w:cs="Arial"/>
          <w:color w:val="000000" w:themeColor="text1"/>
          <w:sz w:val="22"/>
          <w:lang w:val="es-ES"/>
        </w:rPr>
        <w:t>.</w:t>
      </w:r>
      <w:r w:rsidRPr="00F51A7F">
        <w:rPr>
          <w:rFonts w:ascii="Arial" w:eastAsia="Calibri" w:hAnsi="Arial" w:cs="Arial"/>
          <w:color w:val="000000" w:themeColor="text1"/>
          <w:sz w:val="22"/>
          <w:lang w:val="es-ES"/>
        </w:rPr>
        <w:t xml:space="preserve"> </w:t>
      </w:r>
      <w:r w:rsidR="00F51A7F" w:rsidRPr="00F51A7F">
        <w:rPr>
          <w:rFonts w:ascii="Arial" w:eastAsia="Calibri" w:hAnsi="Arial" w:cs="Arial"/>
          <w:color w:val="000000" w:themeColor="text1"/>
          <w:sz w:val="22"/>
          <w:lang w:val="es-ES"/>
        </w:rPr>
        <w:t>Esta</w:t>
      </w:r>
      <w:r w:rsidRPr="00F51A7F">
        <w:rPr>
          <w:rFonts w:ascii="Arial" w:eastAsia="Calibri" w:hAnsi="Arial" w:cs="Arial"/>
          <w:color w:val="000000" w:themeColor="text1"/>
          <w:sz w:val="22"/>
          <w:lang w:val="es-ES"/>
        </w:rPr>
        <w:t xml:space="preserve"> se modificó parcialmente, mediante la Circular Externa No. 3 de 2020. Finalmente, esta Agencia expidió la Circular Externa No. 1 de 2021, «[…] </w:t>
      </w:r>
      <w:r w:rsidRPr="00F51A7F">
        <w:rPr>
          <w:rFonts w:ascii="Arial" w:hAnsi="Arial" w:cs="Arial"/>
          <w:color w:val="000000" w:themeColor="text1"/>
          <w:sz w:val="22"/>
          <w:szCs w:val="20"/>
          <w:shd w:val="clear" w:color="auto" w:fill="FFFFFF"/>
        </w:rPr>
        <w:t>con el fin de dar directrices sobre la obligatoriedad del uso del SECOP II en 2021</w:t>
      </w:r>
      <w:r w:rsidRPr="00F51A7F">
        <w:rPr>
          <w:rFonts w:ascii="Arial" w:eastAsia="Calibri" w:hAnsi="Arial" w:cs="Arial"/>
          <w:color w:val="000000" w:themeColor="text1"/>
          <w:sz w:val="22"/>
          <w:lang w:val="es-ES"/>
        </w:rPr>
        <w:t>»</w:t>
      </w:r>
      <w:r w:rsidR="0020390E">
        <w:rPr>
          <w:rFonts w:ascii="Arial" w:eastAsia="Calibri" w:hAnsi="Arial" w:cs="Arial"/>
          <w:color w:val="000000" w:themeColor="text1"/>
          <w:sz w:val="22"/>
          <w:lang w:val="es-ES"/>
        </w:rPr>
        <w:t xml:space="preserve">, modificada </w:t>
      </w:r>
      <w:r w:rsidR="009A0EDF">
        <w:rPr>
          <w:rFonts w:ascii="Arial" w:eastAsia="Calibri" w:hAnsi="Arial" w:cs="Arial"/>
          <w:color w:val="000000" w:themeColor="text1"/>
          <w:sz w:val="22"/>
          <w:lang w:val="es-ES"/>
        </w:rPr>
        <w:t>posteriormente</w:t>
      </w:r>
      <w:r w:rsidR="00E04765">
        <w:rPr>
          <w:rFonts w:ascii="Arial" w:eastAsia="Calibri" w:hAnsi="Arial" w:cs="Arial"/>
          <w:color w:val="000000" w:themeColor="text1"/>
          <w:sz w:val="22"/>
          <w:lang w:val="es-ES"/>
        </w:rPr>
        <w:t xml:space="preserve"> por</w:t>
      </w:r>
      <w:r w:rsidR="009A0EDF">
        <w:rPr>
          <w:rFonts w:ascii="Arial" w:eastAsia="Calibri" w:hAnsi="Arial" w:cs="Arial"/>
          <w:color w:val="000000" w:themeColor="text1"/>
          <w:sz w:val="22"/>
          <w:lang w:val="es-ES"/>
        </w:rPr>
        <w:t xml:space="preserve"> </w:t>
      </w:r>
      <w:r w:rsidR="008344DB">
        <w:rPr>
          <w:rFonts w:ascii="Arial" w:eastAsia="Calibri" w:hAnsi="Arial" w:cs="Arial"/>
          <w:color w:val="000000" w:themeColor="text1"/>
          <w:sz w:val="22"/>
          <w:lang w:val="es-ES"/>
        </w:rPr>
        <w:t>la Circular No. 2 de 2021</w:t>
      </w:r>
      <w:r w:rsidR="0020390E">
        <w:rPr>
          <w:rFonts w:ascii="Arial" w:eastAsia="Calibri" w:hAnsi="Arial" w:cs="Arial"/>
          <w:color w:val="000000" w:themeColor="text1"/>
          <w:sz w:val="22"/>
          <w:lang w:val="es-ES"/>
        </w:rPr>
        <w:t>, en relación con la publicación de los procesos de contratación</w:t>
      </w:r>
      <w:r w:rsidR="00866954">
        <w:rPr>
          <w:rFonts w:ascii="Arial" w:eastAsia="Calibri" w:hAnsi="Arial" w:cs="Arial"/>
          <w:color w:val="000000" w:themeColor="text1"/>
          <w:sz w:val="22"/>
          <w:lang w:val="es-ES"/>
        </w:rPr>
        <w:t xml:space="preserve"> bajo la modalidad de concurso de méritos.</w:t>
      </w:r>
    </w:p>
    <w:p w14:paraId="0AFC9C4F" w14:textId="78C2D9D5" w:rsidR="00BE5679" w:rsidRPr="00A14734" w:rsidRDefault="00BE5679" w:rsidP="00BE5679">
      <w:pPr>
        <w:spacing w:line="276" w:lineRule="auto"/>
        <w:ind w:firstLine="708"/>
        <w:jc w:val="both"/>
        <w:rPr>
          <w:rFonts w:ascii="Arial" w:eastAsia="Calibri" w:hAnsi="Arial" w:cs="Arial"/>
          <w:sz w:val="22"/>
          <w:lang w:val="es-ES"/>
        </w:rPr>
      </w:pPr>
      <w:r w:rsidRPr="0055273E">
        <w:rPr>
          <w:rFonts w:ascii="Arial" w:eastAsia="Calibri" w:hAnsi="Arial" w:cs="Arial"/>
          <w:sz w:val="22"/>
          <w:lang w:val="es-ES"/>
        </w:rPr>
        <w:t>Sobre la utilización de SECOP II, es necesario aclarar que el procedimiento contractual se desarrolla en línea y dentro de la plataforma, conformándose un expediente electrónico, lo cual denota una diferencia con el SECOP I, donde el procedimiento es físico, esto es, con documentos escritos que se publican para cumplir las obligaciones de las entidades antes señaladas conforme al artículo 2.2.1.1.1.7.1 del Decreto 1082 de 2015. Al existir esa diferencia entre las dos versiones del SECOP, el cumplimiento del deber de publicidad de las actuaciones contractuales en SECOP II tiene ciertas particularidades respecto de lo precisado en el acápite anterior sobre la publicación en SECOP I.</w:t>
      </w:r>
      <w:r w:rsidRPr="00A14734">
        <w:rPr>
          <w:rFonts w:ascii="Arial" w:eastAsia="Calibri" w:hAnsi="Arial" w:cs="Arial"/>
          <w:sz w:val="22"/>
          <w:lang w:val="es-ES"/>
        </w:rPr>
        <w:t xml:space="preserve"> </w:t>
      </w:r>
    </w:p>
    <w:p w14:paraId="18052937" w14:textId="71A2E571" w:rsidR="00BE5679" w:rsidRPr="00A14734" w:rsidRDefault="00BE5679" w:rsidP="00BE5679">
      <w:pPr>
        <w:spacing w:before="120" w:after="120" w:line="276" w:lineRule="auto"/>
        <w:ind w:firstLine="709"/>
        <w:jc w:val="both"/>
        <w:rPr>
          <w:rFonts w:ascii="Arial" w:eastAsia="Calibri" w:hAnsi="Arial" w:cs="Arial"/>
          <w:sz w:val="22"/>
          <w:lang w:val="es-ES"/>
        </w:rPr>
      </w:pPr>
      <w:r w:rsidRPr="000D08C1">
        <w:rPr>
          <w:rFonts w:ascii="Arial" w:eastAsia="Calibri" w:hAnsi="Arial" w:cs="Arial"/>
          <w:sz w:val="22"/>
          <w:lang w:val="es-ES"/>
        </w:rPr>
        <w:t>Si bien los documentos</w:t>
      </w:r>
      <w:r w:rsidRPr="000D08C1">
        <w:rPr>
          <w:rFonts w:ascii="Arial" w:eastAsia="Calibri" w:hAnsi="Arial" w:cs="Arial"/>
          <w:i/>
          <w:iCs/>
          <w:sz w:val="22"/>
          <w:lang w:val="es-ES"/>
        </w:rPr>
        <w:t xml:space="preserve"> </w:t>
      </w:r>
      <w:r w:rsidRPr="000D08C1">
        <w:rPr>
          <w:rFonts w:ascii="Arial" w:eastAsia="Calibri" w:hAnsi="Arial" w:cs="Arial"/>
          <w:sz w:val="22"/>
          <w:lang w:val="es-ES"/>
        </w:rPr>
        <w:t xml:space="preserve">que deben publicarse en el SECOP II corresponden a los mismos que deben publicarse en el SECOP I, esto es, todos los expedidos con ocasión el </w:t>
      </w:r>
      <w:r w:rsidRPr="000D08C1">
        <w:rPr>
          <w:rFonts w:ascii="Arial" w:eastAsia="Calibri" w:hAnsi="Arial" w:cs="Arial"/>
          <w:i/>
          <w:iCs/>
          <w:sz w:val="22"/>
          <w:lang w:val="es-ES"/>
        </w:rPr>
        <w:t xml:space="preserve">Proceso de Contratación </w:t>
      </w:r>
      <w:r w:rsidRPr="000D08C1">
        <w:rPr>
          <w:rFonts w:ascii="Arial" w:eastAsia="Calibri" w:hAnsi="Arial" w:cs="Arial"/>
          <w:sz w:val="22"/>
          <w:lang w:val="es-ES"/>
        </w:rPr>
        <w:t>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w:t>
      </w:r>
      <w:r>
        <w:rPr>
          <w:rFonts w:ascii="Arial" w:eastAsia="Calibri" w:hAnsi="Arial" w:cs="Arial"/>
          <w:sz w:val="22"/>
          <w:lang w:val="es-ES"/>
        </w:rPr>
        <w:t>. Esto</w:t>
      </w:r>
      <w:r w:rsidRPr="000D08C1">
        <w:rPr>
          <w:rFonts w:ascii="Arial" w:eastAsia="Calibri" w:hAnsi="Arial" w:cs="Arial"/>
          <w:sz w:val="22"/>
          <w:lang w:val="es-ES"/>
        </w:rPr>
        <w:t xml:space="preserve"> a diferencia de los procesos publicados en el SECOP I, en los que primero se generan los documentos escritos y luego se publican en la plataforma dentro del plazo de tres</w:t>
      </w:r>
      <w:r>
        <w:rPr>
          <w:rFonts w:ascii="Arial" w:eastAsia="Calibri" w:hAnsi="Arial" w:cs="Arial"/>
          <w:sz w:val="22"/>
          <w:lang w:val="es-ES"/>
        </w:rPr>
        <w:t xml:space="preserve"> </w:t>
      </w:r>
      <w:r w:rsidRPr="000D08C1">
        <w:rPr>
          <w:rFonts w:ascii="Arial" w:eastAsia="Calibri" w:hAnsi="Arial" w:cs="Arial"/>
          <w:sz w:val="22"/>
          <w:lang w:val="es-ES"/>
        </w:rPr>
        <w:t>(3) días previsto en el artículo 2.2.1.1.1.7.1 del Decreto 1082 de 2015. Esto significa que</w:t>
      </w:r>
      <w:r>
        <w:rPr>
          <w:rFonts w:ascii="Arial" w:eastAsia="Calibri" w:hAnsi="Arial" w:cs="Arial"/>
          <w:sz w:val="22"/>
          <w:lang w:val="es-ES"/>
        </w:rPr>
        <w:t>,</w:t>
      </w:r>
      <w:r w:rsidRPr="000D08C1">
        <w:rPr>
          <w:rFonts w:ascii="Arial" w:eastAsia="Calibri" w:hAnsi="Arial" w:cs="Arial"/>
          <w:sz w:val="22"/>
          <w:lang w:val="es-ES"/>
        </w:rPr>
        <w:t xml:space="preserve"> el término </w:t>
      </w:r>
      <w:r w:rsidRPr="000D08C1">
        <w:rPr>
          <w:rFonts w:ascii="Arial" w:eastAsia="Calibri" w:hAnsi="Arial" w:cs="Arial"/>
          <w:sz w:val="22"/>
          <w:lang w:val="es-ES"/>
        </w:rPr>
        <w:lastRenderedPageBreak/>
        <w:t>de tres (3) días para publicar</w:t>
      </w:r>
      <w:r>
        <w:rPr>
          <w:rFonts w:ascii="Arial" w:eastAsia="Calibri" w:hAnsi="Arial" w:cs="Arial"/>
          <w:sz w:val="22"/>
          <w:lang w:val="es-ES"/>
        </w:rPr>
        <w:t>, en la práctica,</w:t>
      </w:r>
      <w:r w:rsidRPr="000D08C1">
        <w:rPr>
          <w:rFonts w:ascii="Arial" w:eastAsia="Calibri" w:hAnsi="Arial" w:cs="Arial"/>
          <w:sz w:val="22"/>
          <w:lang w:val="es-ES"/>
        </w:rPr>
        <w:t xml:space="preserve"> no </w:t>
      </w:r>
      <w:r>
        <w:rPr>
          <w:rFonts w:ascii="Arial" w:eastAsia="Calibri" w:hAnsi="Arial" w:cs="Arial"/>
          <w:sz w:val="22"/>
          <w:lang w:val="es-ES"/>
        </w:rPr>
        <w:t>opera en</w:t>
      </w:r>
      <w:r w:rsidRPr="000D08C1">
        <w:rPr>
          <w:rFonts w:ascii="Arial" w:eastAsia="Calibri" w:hAnsi="Arial" w:cs="Arial"/>
          <w:sz w:val="22"/>
          <w:lang w:val="es-ES"/>
        </w:rPr>
        <w:t xml:space="preserve">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w:t>
      </w:r>
      <w:r w:rsidRPr="00A14734">
        <w:rPr>
          <w:rFonts w:ascii="Arial" w:eastAsia="Calibri" w:hAnsi="Arial" w:cs="Arial"/>
          <w:sz w:val="22"/>
          <w:lang w:val="es-ES"/>
        </w:rPr>
        <w:t xml:space="preserve"> </w:t>
      </w:r>
    </w:p>
    <w:p w14:paraId="6ABCE207" w14:textId="77777777" w:rsidR="00BE5679" w:rsidRDefault="00BE5679" w:rsidP="00BE5679">
      <w:pPr>
        <w:spacing w:line="276" w:lineRule="auto"/>
        <w:ind w:firstLine="708"/>
        <w:jc w:val="both"/>
        <w:rPr>
          <w:rFonts w:ascii="Arial" w:eastAsia="Calibri" w:hAnsi="Arial" w:cs="Arial"/>
          <w:sz w:val="22"/>
          <w:lang w:val="es-ES"/>
        </w:rPr>
      </w:pPr>
      <w:bookmarkStart w:id="2" w:name="_Hlk46402307"/>
      <w:r w:rsidRPr="0055273E">
        <w:rPr>
          <w:rFonts w:ascii="Arial" w:eastAsia="Calibri" w:hAnsi="Arial" w:cs="Arial"/>
          <w:sz w:val="22"/>
          <w:lang w:val="es-ES"/>
        </w:rPr>
        <w:t xml:space="preserve">En ese orden, el carácter transaccional de SECOP II, como herramienta que permite no solo publicar sino también gestionar y crear </w:t>
      </w:r>
      <w:r w:rsidRPr="0055273E">
        <w:rPr>
          <w:rFonts w:ascii="Arial" w:eastAsia="Calibri" w:hAnsi="Arial" w:cs="Arial"/>
          <w:i/>
          <w:iCs/>
          <w:sz w:val="22"/>
          <w:lang w:val="es-ES"/>
        </w:rPr>
        <w:t xml:space="preserve">Documentos del Proceso, </w:t>
      </w:r>
      <w:r w:rsidRPr="0055273E">
        <w:rPr>
          <w:rFonts w:ascii="Arial" w:eastAsia="Calibri" w:hAnsi="Arial" w:cs="Arial"/>
          <w:sz w:val="22"/>
          <w:lang w:val="es-ES"/>
        </w:rPr>
        <w:t>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 En ese sentido, la Agencia Nacional de Contratación Pública, en los conceptos C–110 del 13 de marzo de 2020, C–170 y C–172 del 6 de abril de 2020 –radicados No.</w:t>
      </w:r>
      <w:r w:rsidRPr="0055273E">
        <w:rPr>
          <w:rFonts w:ascii="Arial" w:eastAsia="Calibri" w:hAnsi="Arial" w:cs="Arial"/>
          <w:lang w:val="es-ES"/>
        </w:rPr>
        <w:t xml:space="preserve"> </w:t>
      </w:r>
      <w:r w:rsidRPr="0055273E">
        <w:rPr>
          <w:rFonts w:ascii="Arial" w:eastAsia="Calibri" w:hAnsi="Arial" w:cs="Arial"/>
          <w:sz w:val="22"/>
          <w:lang w:val="es-ES"/>
        </w:rPr>
        <w:t>2202013000001886, 2202013000002450 y 2202013000002449, respectivamente–, ejemplificó algunas de estas actuaciones identificando las que pasan a señalarse a título enunciativo y con el propósito de ilustrar, con mayor claridad, las particularidades del deber de publicidad de las actuaciones contractuales en la plataforma SECOP II, sin perjuicio de que existan otras situaciones que además de su generación electrónica ameriten una publicación distinta de la realizada a través de SECOP I</w:t>
      </w:r>
      <w:r>
        <w:rPr>
          <w:rStyle w:val="Refdenotaalpie"/>
          <w:rFonts w:ascii="Arial" w:eastAsia="Calibri" w:hAnsi="Arial" w:cs="Arial"/>
          <w:sz w:val="22"/>
          <w:lang w:val="es-ES"/>
        </w:rPr>
        <w:footnoteReference w:id="10"/>
      </w:r>
      <w:r w:rsidRPr="0055273E">
        <w:rPr>
          <w:rFonts w:ascii="Arial" w:eastAsia="Calibri" w:hAnsi="Arial" w:cs="Arial"/>
          <w:sz w:val="22"/>
          <w:lang w:val="es-ES"/>
        </w:rPr>
        <w:t>.</w:t>
      </w:r>
      <w:bookmarkEnd w:id="2"/>
    </w:p>
    <w:p w14:paraId="260AB894" w14:textId="3690B100" w:rsidR="00B441D0" w:rsidRDefault="004D7098" w:rsidP="00BE5679">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Ahora bien, e</w:t>
      </w:r>
      <w:r w:rsidR="00E15896" w:rsidRPr="003F0C1B">
        <w:rPr>
          <w:rFonts w:ascii="Arial" w:eastAsia="Calibri" w:hAnsi="Arial" w:cs="Arial"/>
          <w:color w:val="000000" w:themeColor="text1"/>
          <w:sz w:val="22"/>
          <w:szCs w:val="22"/>
          <w:lang w:val="es-ES_tradnl"/>
        </w:rPr>
        <w:t xml:space="preserve">l 18 de enero del año en curso </w:t>
      </w:r>
      <w:r w:rsidR="00E36719" w:rsidRPr="003F0C1B">
        <w:rPr>
          <w:rFonts w:ascii="Arial" w:eastAsia="Calibri" w:hAnsi="Arial" w:cs="Arial"/>
          <w:color w:val="000000" w:themeColor="text1"/>
          <w:sz w:val="22"/>
          <w:szCs w:val="22"/>
          <w:lang w:val="es-ES_tradnl"/>
        </w:rPr>
        <w:t>se promulgó l</w:t>
      </w:r>
      <w:r w:rsidR="00B441D0" w:rsidRPr="003F0C1B">
        <w:rPr>
          <w:rFonts w:ascii="Arial" w:eastAsia="Calibri" w:hAnsi="Arial" w:cs="Arial"/>
          <w:color w:val="000000" w:themeColor="text1"/>
          <w:sz w:val="22"/>
          <w:szCs w:val="22"/>
          <w:lang w:val="es-ES_tradnl"/>
        </w:rPr>
        <w:t>a Ley 2195</w:t>
      </w:r>
      <w:r w:rsidR="00CF6EC4" w:rsidRPr="003F0C1B">
        <w:rPr>
          <w:rFonts w:ascii="Arial" w:eastAsia="Calibri" w:hAnsi="Arial" w:cs="Arial"/>
          <w:color w:val="000000" w:themeColor="text1"/>
          <w:sz w:val="22"/>
          <w:szCs w:val="22"/>
          <w:lang w:val="es-ES_tradnl"/>
        </w:rPr>
        <w:t xml:space="preserve"> de 2022</w:t>
      </w:r>
      <w:r w:rsidR="00E36719" w:rsidRPr="003F0C1B">
        <w:rPr>
          <w:rFonts w:ascii="Arial" w:eastAsia="Calibri" w:hAnsi="Arial" w:cs="Arial"/>
          <w:color w:val="000000" w:themeColor="text1"/>
          <w:sz w:val="22"/>
          <w:szCs w:val="22"/>
          <w:lang w:val="es-ES_tradnl"/>
        </w:rPr>
        <w:t>.</w:t>
      </w:r>
      <w:r w:rsidR="00CF6EC4" w:rsidRPr="003F0C1B">
        <w:rPr>
          <w:rFonts w:ascii="Arial" w:eastAsia="Calibri" w:hAnsi="Arial" w:cs="Arial"/>
          <w:color w:val="000000" w:themeColor="text1"/>
          <w:sz w:val="22"/>
          <w:szCs w:val="22"/>
          <w:lang w:val="es-ES_tradnl"/>
        </w:rPr>
        <w:t xml:space="preserve"> </w:t>
      </w:r>
      <w:r w:rsidR="00E36719" w:rsidRPr="003F0C1B">
        <w:rPr>
          <w:rFonts w:ascii="Arial" w:eastAsia="Calibri" w:hAnsi="Arial" w:cs="Arial"/>
          <w:color w:val="000000" w:themeColor="text1"/>
          <w:sz w:val="22"/>
          <w:szCs w:val="22"/>
          <w:lang w:val="es-ES_tradnl"/>
        </w:rPr>
        <w:t xml:space="preserve">Según </w:t>
      </w:r>
      <w:r w:rsidR="00761202">
        <w:rPr>
          <w:rFonts w:ascii="Arial" w:eastAsia="Calibri" w:hAnsi="Arial" w:cs="Arial"/>
          <w:color w:val="000000" w:themeColor="text1"/>
          <w:sz w:val="22"/>
          <w:szCs w:val="22"/>
          <w:lang w:val="es-ES_tradnl"/>
        </w:rPr>
        <w:t>el</w:t>
      </w:r>
      <w:r w:rsidR="00CF6EC4" w:rsidRPr="003F0C1B">
        <w:rPr>
          <w:rFonts w:ascii="Arial" w:eastAsia="Calibri" w:hAnsi="Arial" w:cs="Arial"/>
          <w:color w:val="000000" w:themeColor="text1"/>
          <w:sz w:val="22"/>
          <w:szCs w:val="22"/>
          <w:lang w:val="es-ES_tradnl"/>
        </w:rPr>
        <w:t xml:space="preserve"> artículo 1</w:t>
      </w:r>
      <w:r w:rsidR="007A7E1A">
        <w:rPr>
          <w:rFonts w:ascii="Arial" w:eastAsia="Calibri" w:hAnsi="Arial" w:cs="Arial"/>
          <w:color w:val="000000" w:themeColor="text1"/>
          <w:sz w:val="22"/>
          <w:szCs w:val="22"/>
          <w:lang w:val="es-ES_tradnl"/>
        </w:rPr>
        <w:t>,</w:t>
      </w:r>
      <w:r w:rsidR="00E36719" w:rsidRPr="003F0C1B">
        <w:rPr>
          <w:rFonts w:ascii="Arial" w:eastAsia="Calibri" w:hAnsi="Arial" w:cs="Arial"/>
          <w:color w:val="000000" w:themeColor="text1"/>
          <w:sz w:val="22"/>
          <w:szCs w:val="22"/>
          <w:lang w:val="es-ES_tradnl"/>
        </w:rPr>
        <w:t xml:space="preserve"> esta Ley</w:t>
      </w:r>
      <w:r w:rsidR="00CF6EC4" w:rsidRPr="003F0C1B">
        <w:rPr>
          <w:rFonts w:ascii="Arial" w:eastAsia="Calibri" w:hAnsi="Arial" w:cs="Arial"/>
          <w:color w:val="000000" w:themeColor="text1"/>
          <w:sz w:val="22"/>
          <w:szCs w:val="22"/>
          <w:lang w:val="es-ES_tradnl"/>
        </w:rPr>
        <w:t xml:space="preserve"> </w:t>
      </w:r>
      <w:r w:rsidR="00ED1B4C" w:rsidRPr="003F0C1B">
        <w:rPr>
          <w:rFonts w:ascii="Arial" w:eastAsia="Calibri" w:hAnsi="Arial" w:cs="Arial"/>
          <w:color w:val="000000" w:themeColor="text1"/>
          <w:sz w:val="22"/>
          <w:szCs w:val="22"/>
          <w:lang w:val="es-ES_tradnl"/>
        </w:rPr>
        <w:t>«</w:t>
      </w:r>
      <w:r w:rsidR="00ED1B4C" w:rsidRPr="003F0C1B">
        <w:rPr>
          <w:rFonts w:ascii="Arial" w:hAnsi="Arial" w:cs="Arial"/>
          <w:sz w:val="22"/>
          <w:szCs w:val="22"/>
          <w:lang w:val="es-ES_tradnl"/>
        </w:rPr>
        <w:t>[…]</w:t>
      </w:r>
      <w:r w:rsidR="002F6BE2">
        <w:rPr>
          <w:rFonts w:ascii="Arial" w:hAnsi="Arial" w:cs="Arial"/>
          <w:sz w:val="22"/>
          <w:szCs w:val="22"/>
          <w:lang w:val="es-ES_tradnl"/>
        </w:rPr>
        <w:t xml:space="preserve"> </w:t>
      </w:r>
      <w:r w:rsidR="00ED1B4C" w:rsidRPr="003F0C1B">
        <w:rPr>
          <w:rFonts w:ascii="Arial" w:eastAsia="Calibri" w:hAnsi="Arial" w:cs="Arial"/>
          <w:color w:val="000000" w:themeColor="text1"/>
          <w:sz w:val="22"/>
          <w:szCs w:val="22"/>
          <w:lang w:val="es-ES_tradnl"/>
        </w:rPr>
        <w:t>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w:t>
      </w:r>
      <w:r w:rsidR="005C2EB1" w:rsidRPr="003F0C1B">
        <w:rPr>
          <w:rFonts w:ascii="Arial" w:eastAsia="Calibri" w:hAnsi="Arial" w:cs="Arial"/>
          <w:color w:val="000000" w:themeColor="text1"/>
          <w:sz w:val="22"/>
          <w:szCs w:val="22"/>
          <w:lang w:val="es-ES_tradnl"/>
        </w:rPr>
        <w:t xml:space="preserve"> Dentro del capítulo VIII de esta Ley</w:t>
      </w:r>
      <w:r w:rsidR="00A614DA" w:rsidRPr="003F0C1B">
        <w:rPr>
          <w:rFonts w:ascii="Arial" w:eastAsia="Calibri" w:hAnsi="Arial" w:cs="Arial"/>
          <w:color w:val="000000" w:themeColor="text1"/>
          <w:sz w:val="22"/>
          <w:szCs w:val="22"/>
          <w:lang w:val="es-ES_tradnl"/>
        </w:rPr>
        <w:t>, que lleva por título «Disposiciones en materia contractual</w:t>
      </w:r>
      <w:r w:rsidR="007E182B" w:rsidRPr="003F0C1B">
        <w:rPr>
          <w:rFonts w:ascii="Arial" w:eastAsia="Calibri" w:hAnsi="Arial" w:cs="Arial"/>
          <w:color w:val="000000" w:themeColor="text1"/>
          <w:sz w:val="22"/>
          <w:szCs w:val="22"/>
          <w:lang w:val="es-ES_tradnl"/>
        </w:rPr>
        <w:t xml:space="preserve"> para la moralización y la transparencia</w:t>
      </w:r>
      <w:r w:rsidR="00CE45FC">
        <w:rPr>
          <w:rFonts w:ascii="Arial" w:eastAsia="Calibri" w:hAnsi="Arial" w:cs="Arial"/>
          <w:color w:val="000000" w:themeColor="text1"/>
          <w:sz w:val="22"/>
          <w:szCs w:val="22"/>
          <w:lang w:val="es-ES_tradnl"/>
        </w:rPr>
        <w:t>»</w:t>
      </w:r>
      <w:r w:rsidR="00600344" w:rsidRPr="003F0C1B">
        <w:rPr>
          <w:rFonts w:ascii="Arial" w:eastAsia="Calibri" w:hAnsi="Arial" w:cs="Arial"/>
          <w:color w:val="000000" w:themeColor="text1"/>
          <w:sz w:val="22"/>
          <w:szCs w:val="22"/>
          <w:lang w:val="es-ES_tradnl"/>
        </w:rPr>
        <w:t>,</w:t>
      </w:r>
      <w:r w:rsidR="005C2EB1" w:rsidRPr="003F0C1B">
        <w:rPr>
          <w:rFonts w:ascii="Arial" w:eastAsia="Calibri" w:hAnsi="Arial" w:cs="Arial"/>
          <w:color w:val="000000" w:themeColor="text1"/>
          <w:sz w:val="22"/>
          <w:szCs w:val="22"/>
          <w:lang w:val="es-ES_tradnl"/>
        </w:rPr>
        <w:t xml:space="preserve"> se ubican</w:t>
      </w:r>
      <w:r w:rsidR="007E182B" w:rsidRPr="003F0C1B">
        <w:rPr>
          <w:rFonts w:ascii="Arial" w:eastAsia="Calibri" w:hAnsi="Arial" w:cs="Arial"/>
          <w:color w:val="000000" w:themeColor="text1"/>
          <w:sz w:val="22"/>
          <w:szCs w:val="22"/>
          <w:lang w:val="es-ES_tradnl"/>
        </w:rPr>
        <w:t xml:space="preserve"> los artículos 50 al 58, que</w:t>
      </w:r>
      <w:r w:rsidR="00600344" w:rsidRPr="003F0C1B">
        <w:rPr>
          <w:rFonts w:ascii="Arial" w:eastAsia="Calibri" w:hAnsi="Arial" w:cs="Arial"/>
          <w:color w:val="000000" w:themeColor="text1"/>
          <w:sz w:val="22"/>
          <w:szCs w:val="22"/>
          <w:lang w:val="es-ES_tradnl"/>
        </w:rPr>
        <w:t>,</w:t>
      </w:r>
      <w:r w:rsidR="007E182B" w:rsidRPr="003F0C1B">
        <w:rPr>
          <w:rFonts w:ascii="Arial" w:eastAsia="Calibri" w:hAnsi="Arial" w:cs="Arial"/>
          <w:color w:val="000000" w:themeColor="text1"/>
          <w:sz w:val="22"/>
          <w:szCs w:val="22"/>
          <w:lang w:val="es-ES_tradnl"/>
        </w:rPr>
        <w:t xml:space="preserve"> en su conjunto</w:t>
      </w:r>
      <w:r w:rsidR="00600344" w:rsidRPr="003F0C1B">
        <w:rPr>
          <w:rFonts w:ascii="Arial" w:eastAsia="Calibri" w:hAnsi="Arial" w:cs="Arial"/>
          <w:color w:val="000000" w:themeColor="text1"/>
          <w:sz w:val="22"/>
          <w:szCs w:val="22"/>
          <w:lang w:val="es-ES_tradnl"/>
        </w:rPr>
        <w:t>,</w:t>
      </w:r>
      <w:r w:rsidR="007E182B" w:rsidRPr="003F0C1B">
        <w:rPr>
          <w:rFonts w:ascii="Arial" w:eastAsia="Calibri" w:hAnsi="Arial" w:cs="Arial"/>
          <w:color w:val="000000" w:themeColor="text1"/>
          <w:sz w:val="22"/>
          <w:szCs w:val="22"/>
          <w:lang w:val="es-ES_tradnl"/>
        </w:rPr>
        <w:t xml:space="preserve"> regulan los siguientes aspectos: i) </w:t>
      </w:r>
      <w:r w:rsidR="0051430A" w:rsidRPr="003F0C1B">
        <w:rPr>
          <w:rFonts w:ascii="Arial" w:eastAsia="Calibri" w:hAnsi="Arial" w:cs="Arial"/>
          <w:color w:val="000000" w:themeColor="text1"/>
          <w:sz w:val="22"/>
          <w:szCs w:val="22"/>
          <w:lang w:val="es-ES_tradnl"/>
        </w:rPr>
        <w:t xml:space="preserve">el registro de </w:t>
      </w:r>
      <w:r w:rsidR="00600344" w:rsidRPr="003F0C1B">
        <w:rPr>
          <w:rFonts w:ascii="Arial" w:eastAsia="Calibri" w:hAnsi="Arial" w:cs="Arial"/>
          <w:color w:val="000000" w:themeColor="text1"/>
          <w:sz w:val="22"/>
          <w:szCs w:val="22"/>
          <w:lang w:val="es-ES_tradnl"/>
        </w:rPr>
        <w:t>la</w:t>
      </w:r>
      <w:r w:rsidR="0051430A" w:rsidRPr="003F0C1B">
        <w:rPr>
          <w:rFonts w:ascii="Arial" w:eastAsia="Calibri" w:hAnsi="Arial" w:cs="Arial"/>
          <w:color w:val="000000" w:themeColor="text1"/>
          <w:sz w:val="22"/>
          <w:szCs w:val="22"/>
          <w:lang w:val="es-ES_tradnl"/>
        </w:rPr>
        <w:t xml:space="preserve"> contabilidad, por parte de los contratistas del Estado obligados a ello</w:t>
      </w:r>
      <w:r w:rsidR="00996E3D" w:rsidRPr="003F0C1B">
        <w:rPr>
          <w:rFonts w:ascii="Arial" w:eastAsia="Calibri" w:hAnsi="Arial" w:cs="Arial"/>
          <w:color w:val="000000" w:themeColor="text1"/>
          <w:sz w:val="22"/>
          <w:szCs w:val="22"/>
          <w:lang w:val="es-ES_tradnl"/>
        </w:rPr>
        <w:t>, que ejecuten recursos públicos</w:t>
      </w:r>
      <w:r w:rsidR="0051430A" w:rsidRPr="003F0C1B">
        <w:rPr>
          <w:rFonts w:ascii="Arial" w:eastAsia="Calibri" w:hAnsi="Arial" w:cs="Arial"/>
          <w:color w:val="000000" w:themeColor="text1"/>
          <w:sz w:val="22"/>
          <w:szCs w:val="22"/>
          <w:lang w:val="es-ES_tradnl"/>
        </w:rPr>
        <w:t xml:space="preserve"> –artículo 50–, ii)</w:t>
      </w:r>
      <w:r w:rsidR="00996E3D" w:rsidRPr="003F0C1B">
        <w:rPr>
          <w:rFonts w:ascii="Arial" w:eastAsia="Calibri" w:hAnsi="Arial" w:cs="Arial"/>
          <w:color w:val="000000" w:themeColor="text1"/>
          <w:sz w:val="22"/>
          <w:szCs w:val="22"/>
          <w:lang w:val="es-ES_tradnl"/>
        </w:rPr>
        <w:t xml:space="preserve"> la inhabilidad por incumplimiento reiterado en los contratos de alimentación escolar –artículo 51–, iii) </w:t>
      </w:r>
      <w:r w:rsidR="005423F4" w:rsidRPr="003F0C1B">
        <w:rPr>
          <w:rFonts w:ascii="Arial" w:eastAsia="Calibri" w:hAnsi="Arial" w:cs="Arial"/>
          <w:color w:val="000000" w:themeColor="text1"/>
          <w:sz w:val="22"/>
          <w:szCs w:val="22"/>
          <w:lang w:val="es-ES_tradnl"/>
        </w:rPr>
        <w:t xml:space="preserve">las cláusulas </w:t>
      </w:r>
      <w:r w:rsidR="00DF7F2B" w:rsidRPr="003F0C1B">
        <w:rPr>
          <w:rFonts w:ascii="Arial" w:eastAsia="Calibri" w:hAnsi="Arial" w:cs="Arial"/>
          <w:color w:val="000000" w:themeColor="text1"/>
          <w:sz w:val="22"/>
          <w:szCs w:val="22"/>
          <w:lang w:val="es-ES_tradnl"/>
        </w:rPr>
        <w:t xml:space="preserve">excepcionales </w:t>
      </w:r>
      <w:r w:rsidR="005423F4" w:rsidRPr="003F0C1B">
        <w:rPr>
          <w:rFonts w:ascii="Arial" w:eastAsia="Calibri" w:hAnsi="Arial" w:cs="Arial"/>
          <w:color w:val="000000" w:themeColor="text1"/>
          <w:sz w:val="22"/>
          <w:szCs w:val="22"/>
          <w:lang w:val="es-ES_tradnl"/>
        </w:rPr>
        <w:t xml:space="preserve">en </w:t>
      </w:r>
      <w:r w:rsidR="00DF7F2B" w:rsidRPr="003F0C1B">
        <w:rPr>
          <w:rFonts w:ascii="Arial" w:eastAsia="Calibri" w:hAnsi="Arial" w:cs="Arial"/>
          <w:color w:val="000000" w:themeColor="text1"/>
          <w:sz w:val="22"/>
          <w:szCs w:val="22"/>
          <w:lang w:val="es-ES_tradnl"/>
        </w:rPr>
        <w:t xml:space="preserve">los </w:t>
      </w:r>
      <w:r w:rsidR="005423F4" w:rsidRPr="003F0C1B">
        <w:rPr>
          <w:rFonts w:ascii="Arial" w:eastAsia="Calibri" w:hAnsi="Arial" w:cs="Arial"/>
          <w:color w:val="000000" w:themeColor="text1"/>
          <w:sz w:val="22"/>
          <w:szCs w:val="22"/>
          <w:lang w:val="es-ES_tradnl"/>
        </w:rPr>
        <w:t xml:space="preserve">contratos </w:t>
      </w:r>
      <w:r w:rsidR="00DF7F2B" w:rsidRPr="003F0C1B">
        <w:rPr>
          <w:rFonts w:ascii="Arial" w:eastAsia="Calibri" w:hAnsi="Arial" w:cs="Arial"/>
          <w:color w:val="000000" w:themeColor="text1"/>
          <w:sz w:val="22"/>
          <w:szCs w:val="22"/>
          <w:lang w:val="es-ES_tradnl"/>
        </w:rPr>
        <w:t xml:space="preserve">celebrados </w:t>
      </w:r>
      <w:r w:rsidR="005423F4" w:rsidRPr="003F0C1B">
        <w:rPr>
          <w:rFonts w:ascii="Arial" w:eastAsia="Calibri" w:hAnsi="Arial" w:cs="Arial"/>
          <w:color w:val="000000" w:themeColor="text1"/>
          <w:sz w:val="22"/>
          <w:szCs w:val="22"/>
          <w:lang w:val="es-ES_tradnl"/>
        </w:rPr>
        <w:t xml:space="preserve">con el objeto señalado </w:t>
      </w:r>
      <w:r w:rsidR="00DF7F2B" w:rsidRPr="003F0C1B">
        <w:rPr>
          <w:rFonts w:ascii="Arial" w:eastAsia="Calibri" w:hAnsi="Arial" w:cs="Arial"/>
          <w:color w:val="000000" w:themeColor="text1"/>
          <w:sz w:val="22"/>
          <w:szCs w:val="22"/>
          <w:lang w:val="es-ES_tradnl"/>
        </w:rPr>
        <w:t>anteriormente</w:t>
      </w:r>
      <w:r w:rsidR="005423F4" w:rsidRPr="003F0C1B">
        <w:rPr>
          <w:rFonts w:ascii="Arial" w:eastAsia="Calibri" w:hAnsi="Arial" w:cs="Arial"/>
          <w:color w:val="000000" w:themeColor="text1"/>
          <w:sz w:val="22"/>
          <w:szCs w:val="22"/>
          <w:lang w:val="es-ES_tradnl"/>
        </w:rPr>
        <w:t xml:space="preserve"> –artículo 52–, iv)</w:t>
      </w:r>
      <w:r w:rsidR="00854A18" w:rsidRPr="003F0C1B">
        <w:rPr>
          <w:rFonts w:ascii="Arial" w:eastAsia="Calibri" w:hAnsi="Arial" w:cs="Arial"/>
          <w:color w:val="000000" w:themeColor="text1"/>
          <w:sz w:val="22"/>
          <w:szCs w:val="22"/>
          <w:lang w:val="es-ES_tradnl"/>
        </w:rPr>
        <w:t xml:space="preserve"> el deber de las entidades que cuentan con un régimen contractual especial, de publicar </w:t>
      </w:r>
      <w:r w:rsidR="002F6B0D" w:rsidRPr="003F0C1B">
        <w:rPr>
          <w:rFonts w:ascii="Arial" w:eastAsia="Calibri" w:hAnsi="Arial" w:cs="Arial"/>
          <w:color w:val="000000" w:themeColor="text1"/>
          <w:sz w:val="22"/>
          <w:szCs w:val="22"/>
          <w:lang w:val="es-ES_tradnl"/>
        </w:rPr>
        <w:t>los documentos relacionados con su actividad contractual en el SECO</w:t>
      </w:r>
      <w:r w:rsidR="001757EF" w:rsidRPr="003F0C1B">
        <w:rPr>
          <w:rFonts w:ascii="Arial" w:eastAsia="Calibri" w:hAnsi="Arial" w:cs="Arial"/>
          <w:color w:val="000000" w:themeColor="text1"/>
          <w:sz w:val="22"/>
          <w:szCs w:val="22"/>
          <w:lang w:val="es-ES_tradnl"/>
        </w:rPr>
        <w:t>P II –artículo 53–</w:t>
      </w:r>
      <w:r w:rsidR="00282AF6" w:rsidRPr="003F0C1B">
        <w:rPr>
          <w:rFonts w:ascii="Arial" w:eastAsia="Calibri" w:hAnsi="Arial" w:cs="Arial"/>
          <w:color w:val="000000" w:themeColor="text1"/>
          <w:sz w:val="22"/>
          <w:szCs w:val="22"/>
          <w:lang w:val="es-ES_tradnl"/>
        </w:rPr>
        <w:t>, v) la nueva causal de selección abreviada</w:t>
      </w:r>
      <w:r w:rsidR="002F29EF" w:rsidRPr="003F0C1B">
        <w:rPr>
          <w:rFonts w:ascii="Arial" w:eastAsia="Calibri" w:hAnsi="Arial" w:cs="Arial"/>
          <w:color w:val="000000" w:themeColor="text1"/>
          <w:sz w:val="22"/>
          <w:szCs w:val="22"/>
          <w:lang w:val="es-ES_tradnl"/>
        </w:rPr>
        <w:t xml:space="preserve"> para la adquisición de bienes o servicios </w:t>
      </w:r>
      <w:r w:rsidR="002F29EF" w:rsidRPr="003F0C1B">
        <w:rPr>
          <w:rFonts w:ascii="Arial" w:eastAsia="Calibri" w:hAnsi="Arial" w:cs="Arial"/>
          <w:i/>
          <w:iCs/>
          <w:color w:val="000000" w:themeColor="text1"/>
          <w:sz w:val="22"/>
          <w:szCs w:val="22"/>
          <w:lang w:val="es-ES_tradnl"/>
        </w:rPr>
        <w:t>no</w:t>
      </w:r>
      <w:r w:rsidR="002F29EF" w:rsidRPr="003F0C1B">
        <w:rPr>
          <w:rFonts w:ascii="Arial" w:eastAsia="Calibri" w:hAnsi="Arial" w:cs="Arial"/>
          <w:color w:val="000000" w:themeColor="text1"/>
          <w:sz w:val="22"/>
          <w:szCs w:val="22"/>
          <w:lang w:val="es-ES_tradnl"/>
        </w:rPr>
        <w:t xml:space="preserve"> uniformes de común utilización</w:t>
      </w:r>
      <w:r w:rsidR="0066444B" w:rsidRPr="003F0C1B">
        <w:rPr>
          <w:rFonts w:ascii="Arial" w:eastAsia="Calibri" w:hAnsi="Arial" w:cs="Arial"/>
          <w:color w:val="000000" w:themeColor="text1"/>
          <w:sz w:val="22"/>
          <w:szCs w:val="22"/>
          <w:lang w:val="es-ES_tradnl"/>
        </w:rPr>
        <w:t xml:space="preserve"> –artículo 54–, vi) </w:t>
      </w:r>
      <w:r w:rsidR="001F7374" w:rsidRPr="003F0C1B">
        <w:rPr>
          <w:rFonts w:ascii="Arial" w:eastAsia="Calibri" w:hAnsi="Arial" w:cs="Arial"/>
          <w:color w:val="000000" w:themeColor="text1"/>
          <w:sz w:val="22"/>
          <w:szCs w:val="22"/>
          <w:lang w:val="es-ES_tradnl"/>
        </w:rPr>
        <w:t xml:space="preserve">la obligación de </w:t>
      </w:r>
      <w:r w:rsidR="00EC6283" w:rsidRPr="003F0C1B">
        <w:rPr>
          <w:rFonts w:ascii="Arial" w:eastAsia="Calibri" w:hAnsi="Arial" w:cs="Arial"/>
          <w:color w:val="000000" w:themeColor="text1"/>
          <w:sz w:val="22"/>
          <w:szCs w:val="22"/>
          <w:lang w:val="es-ES_tradnl"/>
        </w:rPr>
        <w:t>adoptar</w:t>
      </w:r>
      <w:r w:rsidR="001F7374" w:rsidRPr="003F0C1B">
        <w:rPr>
          <w:rFonts w:ascii="Arial" w:eastAsia="Calibri" w:hAnsi="Arial" w:cs="Arial"/>
          <w:color w:val="000000" w:themeColor="text1"/>
          <w:sz w:val="22"/>
          <w:szCs w:val="22"/>
          <w:lang w:val="es-ES_tradnl"/>
        </w:rPr>
        <w:t xml:space="preserve"> el modelo de autoevaluación periódico</w:t>
      </w:r>
      <w:r w:rsidR="00EC6283" w:rsidRPr="003F0C1B">
        <w:rPr>
          <w:rFonts w:ascii="Arial" w:eastAsia="Calibri" w:hAnsi="Arial" w:cs="Arial"/>
          <w:color w:val="000000" w:themeColor="text1"/>
          <w:sz w:val="22"/>
          <w:szCs w:val="22"/>
          <w:lang w:val="es-ES_tradnl"/>
        </w:rPr>
        <w:t xml:space="preserve"> para los sujetos obligados a implementar políticas de transparencia y ética empresarial –artículo 55–, vii) </w:t>
      </w:r>
      <w:r w:rsidR="00572198" w:rsidRPr="003F0C1B">
        <w:rPr>
          <w:rFonts w:ascii="Arial" w:eastAsia="Calibri" w:hAnsi="Arial" w:cs="Arial"/>
          <w:color w:val="000000" w:themeColor="text1"/>
          <w:sz w:val="22"/>
          <w:szCs w:val="22"/>
          <w:lang w:val="es-ES_tradnl"/>
        </w:rPr>
        <w:t>la aplicación de los documentos tipo a entidades con régimen especial –artículo 56–</w:t>
      </w:r>
      <w:r w:rsidR="00DA2715" w:rsidRPr="003F0C1B">
        <w:rPr>
          <w:rFonts w:ascii="Arial" w:eastAsia="Calibri" w:hAnsi="Arial" w:cs="Arial"/>
          <w:color w:val="000000" w:themeColor="text1"/>
          <w:sz w:val="22"/>
          <w:szCs w:val="22"/>
          <w:lang w:val="es-ES_tradnl"/>
        </w:rPr>
        <w:t xml:space="preserve">, viii) la obligación, </w:t>
      </w:r>
      <w:r w:rsidR="00DA2715" w:rsidRPr="003F0C1B">
        <w:rPr>
          <w:rFonts w:ascii="Arial" w:eastAsia="Calibri" w:hAnsi="Arial" w:cs="Arial"/>
          <w:color w:val="000000" w:themeColor="text1"/>
          <w:sz w:val="22"/>
          <w:szCs w:val="22"/>
          <w:lang w:val="es-ES_tradnl"/>
        </w:rPr>
        <w:lastRenderedPageBreak/>
        <w:t>radicada en los revisores fiscales, de denunciar los actos de corrupción</w:t>
      </w:r>
      <w:r w:rsidR="00FE181B" w:rsidRPr="003F0C1B">
        <w:rPr>
          <w:rFonts w:ascii="Arial" w:eastAsia="Calibri" w:hAnsi="Arial" w:cs="Arial"/>
          <w:color w:val="000000" w:themeColor="text1"/>
          <w:sz w:val="22"/>
          <w:szCs w:val="22"/>
          <w:lang w:val="es-ES_tradnl"/>
        </w:rPr>
        <w:t xml:space="preserve"> –artículo 57–</w:t>
      </w:r>
      <w:r w:rsidR="00DA2715" w:rsidRPr="003F0C1B">
        <w:rPr>
          <w:rFonts w:ascii="Arial" w:eastAsia="Calibri" w:hAnsi="Arial" w:cs="Arial"/>
          <w:color w:val="000000" w:themeColor="text1"/>
          <w:sz w:val="22"/>
          <w:szCs w:val="22"/>
          <w:lang w:val="es-ES_tradnl"/>
        </w:rPr>
        <w:t xml:space="preserve">, y </w:t>
      </w:r>
      <w:r w:rsidR="005E72B9" w:rsidRPr="003F0C1B">
        <w:rPr>
          <w:rFonts w:ascii="Arial" w:eastAsia="Calibri" w:hAnsi="Arial" w:cs="Arial"/>
          <w:color w:val="000000" w:themeColor="text1"/>
          <w:sz w:val="22"/>
          <w:szCs w:val="22"/>
          <w:lang w:val="es-ES_tradnl"/>
        </w:rPr>
        <w:t>ix) la reducción de puntaje por incumplimiento de contratos</w:t>
      </w:r>
      <w:r w:rsidR="00FE181B" w:rsidRPr="003F0C1B">
        <w:rPr>
          <w:rFonts w:ascii="Arial" w:eastAsia="Calibri" w:hAnsi="Arial" w:cs="Arial"/>
          <w:color w:val="000000" w:themeColor="text1"/>
          <w:sz w:val="22"/>
          <w:szCs w:val="22"/>
          <w:lang w:val="es-ES_tradnl"/>
        </w:rPr>
        <w:t xml:space="preserve"> –artículo 58–</w:t>
      </w:r>
      <w:r w:rsidR="005E72B9" w:rsidRPr="003F0C1B">
        <w:rPr>
          <w:rFonts w:ascii="Arial" w:eastAsia="Calibri" w:hAnsi="Arial" w:cs="Arial"/>
          <w:color w:val="000000" w:themeColor="text1"/>
          <w:sz w:val="22"/>
          <w:szCs w:val="22"/>
          <w:lang w:val="es-ES_tradnl"/>
        </w:rPr>
        <w:t>.</w:t>
      </w:r>
    </w:p>
    <w:p w14:paraId="6CAE54B7" w14:textId="6A9165AB" w:rsidR="006E088C" w:rsidRDefault="006D291B" w:rsidP="00BE5679">
      <w:pPr>
        <w:spacing w:before="120" w:line="276" w:lineRule="auto"/>
        <w:ind w:firstLine="709"/>
        <w:jc w:val="both"/>
        <w:rPr>
          <w:rFonts w:ascii="Arial" w:eastAsia="Calibri" w:hAnsi="Arial" w:cs="Arial"/>
          <w:color w:val="000000" w:themeColor="text1"/>
          <w:sz w:val="22"/>
          <w:szCs w:val="22"/>
          <w:lang w:val="es-ES_tradnl"/>
        </w:rPr>
      </w:pPr>
      <w:r w:rsidRPr="006D291B">
        <w:rPr>
          <w:rFonts w:ascii="Arial" w:eastAsia="Calibri" w:hAnsi="Arial" w:cs="Arial"/>
          <w:color w:val="000000" w:themeColor="text1"/>
          <w:sz w:val="22"/>
          <w:szCs w:val="22"/>
          <w:lang w:val="es-ES_tradnl"/>
        </w:rPr>
        <w:t xml:space="preserve">Según se indicó, </w:t>
      </w:r>
      <w:r w:rsidR="006E088C" w:rsidRPr="006D291B">
        <w:rPr>
          <w:rFonts w:ascii="Arial" w:eastAsia="Calibri" w:hAnsi="Arial" w:cs="Arial"/>
          <w:color w:val="000000" w:themeColor="text1"/>
          <w:sz w:val="22"/>
          <w:szCs w:val="22"/>
          <w:lang w:val="es-ES_tradnl"/>
        </w:rPr>
        <w:t>el artículo 53</w:t>
      </w:r>
      <w:r>
        <w:rPr>
          <w:rFonts w:ascii="Arial" w:eastAsia="Calibri" w:hAnsi="Arial" w:cs="Arial"/>
          <w:color w:val="000000" w:themeColor="text1"/>
          <w:sz w:val="22"/>
          <w:szCs w:val="22"/>
          <w:lang w:val="es-ES_tradnl"/>
        </w:rPr>
        <w:t xml:space="preserve"> de la Ley 2195 de 2022</w:t>
      </w:r>
      <w:r w:rsidR="00E51C5C">
        <w:rPr>
          <w:rFonts w:ascii="Arial" w:eastAsia="Calibri" w:hAnsi="Arial" w:cs="Arial"/>
          <w:color w:val="000000" w:themeColor="text1"/>
          <w:sz w:val="22"/>
          <w:szCs w:val="22"/>
          <w:lang w:val="es-ES_tradnl"/>
        </w:rPr>
        <w:t xml:space="preserve"> hace obligatorio el SECOP II para las entidades exceptuadas del Estatuto General de Contratación de la Administración Pública. En efecto, esta norma dispone:</w:t>
      </w:r>
    </w:p>
    <w:p w14:paraId="66F62E54" w14:textId="0D5C4B39" w:rsidR="00814F1E" w:rsidRPr="00814F1E" w:rsidRDefault="00814F1E" w:rsidP="00814F1E">
      <w:pPr>
        <w:ind w:left="709" w:right="709"/>
        <w:jc w:val="both"/>
        <w:rPr>
          <w:rFonts w:ascii="Arial" w:eastAsia="Calibri" w:hAnsi="Arial" w:cs="Arial"/>
          <w:color w:val="000000" w:themeColor="text1"/>
          <w:sz w:val="21"/>
          <w:szCs w:val="21"/>
          <w:lang w:val="es-ES_tradnl"/>
        </w:rPr>
      </w:pPr>
    </w:p>
    <w:p w14:paraId="645BA8CE" w14:textId="42EC71D0" w:rsidR="007874FB" w:rsidRDefault="007874FB" w:rsidP="00D5452C">
      <w:pPr>
        <w:spacing w:after="120"/>
        <w:ind w:left="709" w:right="709"/>
        <w:jc w:val="both"/>
        <w:rPr>
          <w:rFonts w:ascii="Arial" w:eastAsia="Calibri" w:hAnsi="Arial" w:cs="Arial"/>
          <w:sz w:val="21"/>
          <w:szCs w:val="21"/>
        </w:rPr>
      </w:pPr>
      <w:r w:rsidRPr="00814F1E">
        <w:rPr>
          <w:rFonts w:ascii="Arial" w:eastAsia="Calibri" w:hAnsi="Arial" w:cs="Arial"/>
          <w:sz w:val="21"/>
          <w:szCs w:val="21"/>
        </w:rPr>
        <w:t>Adiciónese</w:t>
      </w:r>
      <w:r w:rsidR="00814F1E" w:rsidRPr="00814F1E">
        <w:rPr>
          <w:rFonts w:ascii="Arial" w:eastAsia="Calibri" w:hAnsi="Arial" w:cs="Arial"/>
          <w:sz w:val="21"/>
          <w:szCs w:val="21"/>
        </w:rPr>
        <w:t xml:space="preserve"> los siguientes incisos al </w:t>
      </w:r>
      <w:r w:rsidRPr="00814F1E">
        <w:rPr>
          <w:rFonts w:ascii="Arial" w:eastAsia="Calibri" w:hAnsi="Arial" w:cs="Arial"/>
          <w:sz w:val="21"/>
          <w:szCs w:val="21"/>
        </w:rPr>
        <w:t>artículo</w:t>
      </w:r>
      <w:r w:rsidR="00814F1E" w:rsidRPr="00814F1E">
        <w:rPr>
          <w:rFonts w:ascii="Arial" w:eastAsia="Calibri" w:hAnsi="Arial" w:cs="Arial"/>
          <w:sz w:val="21"/>
          <w:szCs w:val="21"/>
        </w:rPr>
        <w:t xml:space="preserve"> 13 de la Ley 1150 de 2007, el cual quedará </w:t>
      </w:r>
      <w:r w:rsidRPr="00814F1E">
        <w:rPr>
          <w:rFonts w:ascii="Arial" w:eastAsia="Calibri" w:hAnsi="Arial" w:cs="Arial"/>
          <w:sz w:val="21"/>
          <w:szCs w:val="21"/>
        </w:rPr>
        <w:t>así</w:t>
      </w:r>
      <w:r w:rsidR="00814F1E" w:rsidRPr="00814F1E">
        <w:rPr>
          <w:rFonts w:ascii="Arial" w:eastAsia="Calibri" w:hAnsi="Arial" w:cs="Arial"/>
          <w:sz w:val="21"/>
          <w:szCs w:val="21"/>
        </w:rPr>
        <w:t>:</w:t>
      </w:r>
    </w:p>
    <w:p w14:paraId="6820B9E9" w14:textId="27459D66" w:rsidR="003A762D" w:rsidRPr="00814F1E" w:rsidRDefault="007874FB" w:rsidP="00D5452C">
      <w:pPr>
        <w:spacing w:after="120"/>
        <w:ind w:left="709" w:right="709"/>
        <w:jc w:val="both"/>
        <w:rPr>
          <w:rFonts w:ascii="Arial" w:eastAsia="Calibri" w:hAnsi="Arial" w:cs="Arial"/>
          <w:sz w:val="21"/>
          <w:szCs w:val="21"/>
        </w:rPr>
      </w:pPr>
      <w:r w:rsidRPr="00814F1E">
        <w:rPr>
          <w:rFonts w:ascii="Arial" w:eastAsia="Calibri" w:hAnsi="Arial" w:cs="Arial"/>
          <w:sz w:val="21"/>
          <w:szCs w:val="21"/>
        </w:rPr>
        <w:t>Artículo</w:t>
      </w:r>
      <w:r w:rsidR="00814F1E" w:rsidRPr="00814F1E">
        <w:rPr>
          <w:rFonts w:ascii="Arial" w:eastAsia="Calibri" w:hAnsi="Arial" w:cs="Arial"/>
          <w:sz w:val="21"/>
          <w:szCs w:val="21"/>
        </w:rPr>
        <w:t xml:space="preserve"> 13. PRINCIPIOS GENERALES DE LA ACTIVIDAD CONTRACTUAL PARA ENTIDADES NO SOMETIDAS AL ESTATUTO GENERAL DE </w:t>
      </w:r>
      <w:r w:rsidR="00687792" w:rsidRPr="00814F1E">
        <w:rPr>
          <w:rFonts w:ascii="Arial" w:eastAsia="Calibri" w:hAnsi="Arial" w:cs="Arial"/>
          <w:sz w:val="21"/>
          <w:szCs w:val="21"/>
        </w:rPr>
        <w:t xml:space="preserve">CONTRATACIÓN </w:t>
      </w:r>
      <w:r w:rsidR="00814F1E" w:rsidRPr="00814F1E">
        <w:rPr>
          <w:rFonts w:ascii="Arial" w:eastAsia="Calibri" w:hAnsi="Arial" w:cs="Arial"/>
          <w:sz w:val="21"/>
          <w:szCs w:val="21"/>
        </w:rPr>
        <w:t xml:space="preserve">DE LA </w:t>
      </w:r>
      <w:r w:rsidR="00687792" w:rsidRPr="00814F1E">
        <w:rPr>
          <w:rFonts w:ascii="Arial" w:eastAsia="Calibri" w:hAnsi="Arial" w:cs="Arial"/>
          <w:sz w:val="21"/>
          <w:szCs w:val="21"/>
        </w:rPr>
        <w:t xml:space="preserve">ADMINISTRACIÓN </w:t>
      </w:r>
      <w:r w:rsidR="00814F1E" w:rsidRPr="00814F1E">
        <w:rPr>
          <w:rFonts w:ascii="Arial" w:eastAsia="Calibri" w:hAnsi="Arial" w:cs="Arial"/>
          <w:sz w:val="21"/>
          <w:szCs w:val="21"/>
        </w:rPr>
        <w:t xml:space="preserve">PÚBLICA. Las entidades estatales que por </w:t>
      </w:r>
      <w:r w:rsidR="00687792" w:rsidRPr="00814F1E">
        <w:rPr>
          <w:rFonts w:ascii="Arial" w:eastAsia="Calibri" w:hAnsi="Arial" w:cs="Arial"/>
          <w:sz w:val="21"/>
          <w:szCs w:val="21"/>
        </w:rPr>
        <w:t>disposición</w:t>
      </w:r>
      <w:r w:rsidR="00814F1E" w:rsidRPr="00814F1E">
        <w:rPr>
          <w:rFonts w:ascii="Arial" w:eastAsia="Calibri" w:hAnsi="Arial" w:cs="Arial"/>
          <w:sz w:val="21"/>
          <w:szCs w:val="21"/>
        </w:rPr>
        <w:t xml:space="preserve"> legal cuenten con un </w:t>
      </w:r>
      <w:r w:rsidR="00687792" w:rsidRPr="00814F1E">
        <w:rPr>
          <w:rFonts w:ascii="Arial" w:eastAsia="Calibri" w:hAnsi="Arial" w:cs="Arial"/>
          <w:sz w:val="21"/>
          <w:szCs w:val="21"/>
        </w:rPr>
        <w:t>régimen</w:t>
      </w:r>
      <w:r w:rsidR="00814F1E" w:rsidRPr="00814F1E">
        <w:rPr>
          <w:rFonts w:ascii="Arial" w:eastAsia="Calibri" w:hAnsi="Arial" w:cs="Arial"/>
          <w:sz w:val="21"/>
          <w:szCs w:val="21"/>
        </w:rPr>
        <w:t xml:space="preserve"> contractual excepcional al del Estatuto General de </w:t>
      </w:r>
      <w:r w:rsidR="00687792" w:rsidRPr="00814F1E">
        <w:rPr>
          <w:rFonts w:ascii="Arial" w:eastAsia="Calibri" w:hAnsi="Arial" w:cs="Arial"/>
          <w:sz w:val="21"/>
          <w:szCs w:val="21"/>
        </w:rPr>
        <w:t>Contratación</w:t>
      </w:r>
      <w:r w:rsidR="00814F1E" w:rsidRPr="00814F1E">
        <w:rPr>
          <w:rFonts w:ascii="Arial" w:eastAsia="Calibri" w:hAnsi="Arial" w:cs="Arial"/>
          <w:sz w:val="21"/>
          <w:szCs w:val="21"/>
        </w:rPr>
        <w:t xml:space="preserve"> de la </w:t>
      </w:r>
      <w:r w:rsidR="00687792" w:rsidRPr="00814F1E">
        <w:rPr>
          <w:rFonts w:ascii="Arial" w:eastAsia="Calibri" w:hAnsi="Arial" w:cs="Arial"/>
          <w:sz w:val="21"/>
          <w:szCs w:val="21"/>
        </w:rPr>
        <w:t>Administración</w:t>
      </w:r>
      <w:r w:rsidR="00814F1E" w:rsidRPr="00814F1E">
        <w:rPr>
          <w:rFonts w:ascii="Arial" w:eastAsia="Calibri" w:hAnsi="Arial" w:cs="Arial"/>
          <w:sz w:val="21"/>
          <w:szCs w:val="21"/>
        </w:rPr>
        <w:t xml:space="preserve"> </w:t>
      </w:r>
      <w:r w:rsidR="00687792" w:rsidRPr="00814F1E">
        <w:rPr>
          <w:rFonts w:ascii="Arial" w:eastAsia="Calibri" w:hAnsi="Arial" w:cs="Arial"/>
          <w:sz w:val="21"/>
          <w:szCs w:val="21"/>
        </w:rPr>
        <w:t>P</w:t>
      </w:r>
      <w:r w:rsidR="003A762D">
        <w:rPr>
          <w:rFonts w:ascii="Arial" w:eastAsia="Calibri" w:hAnsi="Arial" w:cs="Arial"/>
          <w:sz w:val="21"/>
          <w:szCs w:val="21"/>
        </w:rPr>
        <w:t>ú</w:t>
      </w:r>
      <w:r w:rsidR="00687792" w:rsidRPr="00814F1E">
        <w:rPr>
          <w:rFonts w:ascii="Arial" w:eastAsia="Calibri" w:hAnsi="Arial" w:cs="Arial"/>
          <w:sz w:val="21"/>
          <w:szCs w:val="21"/>
        </w:rPr>
        <w:t>blica</w:t>
      </w:r>
      <w:r w:rsidR="00814F1E" w:rsidRPr="00814F1E">
        <w:rPr>
          <w:rFonts w:ascii="Arial" w:eastAsia="Calibri" w:hAnsi="Arial" w:cs="Arial"/>
          <w:sz w:val="21"/>
          <w:szCs w:val="21"/>
        </w:rPr>
        <w:t xml:space="preserve">, </w:t>
      </w:r>
      <w:r w:rsidR="003A762D" w:rsidRPr="00814F1E">
        <w:rPr>
          <w:rFonts w:ascii="Arial" w:eastAsia="Calibri" w:hAnsi="Arial" w:cs="Arial"/>
          <w:sz w:val="21"/>
          <w:szCs w:val="21"/>
        </w:rPr>
        <w:t>aplicarán</w:t>
      </w:r>
      <w:r w:rsidR="00814F1E" w:rsidRPr="00814F1E">
        <w:rPr>
          <w:rFonts w:ascii="Arial" w:eastAsia="Calibri" w:hAnsi="Arial" w:cs="Arial"/>
          <w:sz w:val="21"/>
          <w:szCs w:val="21"/>
        </w:rPr>
        <w:t xml:space="preserve"> en desarrollo de su actividad contractual, acorde con su </w:t>
      </w:r>
      <w:r w:rsidR="003A762D" w:rsidRPr="00814F1E">
        <w:rPr>
          <w:rFonts w:ascii="Arial" w:eastAsia="Calibri" w:hAnsi="Arial" w:cs="Arial"/>
          <w:sz w:val="21"/>
          <w:szCs w:val="21"/>
        </w:rPr>
        <w:t>régimen</w:t>
      </w:r>
      <w:r w:rsidR="00814F1E" w:rsidRPr="00814F1E">
        <w:rPr>
          <w:rFonts w:ascii="Arial" w:eastAsia="Calibri" w:hAnsi="Arial" w:cs="Arial"/>
          <w:sz w:val="21"/>
          <w:szCs w:val="21"/>
        </w:rPr>
        <w:t xml:space="preserve"> legal especial, los principios de la </w:t>
      </w:r>
      <w:r w:rsidR="003A762D" w:rsidRPr="00814F1E">
        <w:rPr>
          <w:rFonts w:ascii="Arial" w:eastAsia="Calibri" w:hAnsi="Arial" w:cs="Arial"/>
          <w:sz w:val="21"/>
          <w:szCs w:val="21"/>
        </w:rPr>
        <w:t>función</w:t>
      </w:r>
      <w:r w:rsidR="00814F1E" w:rsidRPr="00814F1E">
        <w:rPr>
          <w:rFonts w:ascii="Arial" w:eastAsia="Calibri" w:hAnsi="Arial" w:cs="Arial"/>
          <w:sz w:val="21"/>
          <w:szCs w:val="21"/>
        </w:rPr>
        <w:t xml:space="preserve"> administrativa y de la </w:t>
      </w:r>
      <w:r w:rsidR="003A762D" w:rsidRPr="00814F1E">
        <w:rPr>
          <w:rFonts w:ascii="Arial" w:eastAsia="Calibri" w:hAnsi="Arial" w:cs="Arial"/>
          <w:sz w:val="21"/>
          <w:szCs w:val="21"/>
        </w:rPr>
        <w:t>gestión</w:t>
      </w:r>
      <w:r w:rsidR="00814F1E" w:rsidRPr="00814F1E">
        <w:rPr>
          <w:rFonts w:ascii="Arial" w:eastAsia="Calibri" w:hAnsi="Arial" w:cs="Arial"/>
          <w:sz w:val="21"/>
          <w:szCs w:val="21"/>
        </w:rPr>
        <w:t xml:space="preserve"> fiscal de que tratan los </w:t>
      </w:r>
      <w:r w:rsidR="003A762D" w:rsidRPr="00814F1E">
        <w:rPr>
          <w:rFonts w:ascii="Arial" w:eastAsia="Calibri" w:hAnsi="Arial" w:cs="Arial"/>
          <w:sz w:val="21"/>
          <w:szCs w:val="21"/>
        </w:rPr>
        <w:t>artículos</w:t>
      </w:r>
      <w:r w:rsidR="00814F1E" w:rsidRPr="00814F1E">
        <w:rPr>
          <w:rFonts w:ascii="Arial" w:eastAsia="Calibri" w:hAnsi="Arial" w:cs="Arial"/>
          <w:sz w:val="21"/>
          <w:szCs w:val="21"/>
        </w:rPr>
        <w:t xml:space="preserve"> 209 y 267 de la </w:t>
      </w:r>
      <w:r w:rsidR="003A762D" w:rsidRPr="00814F1E">
        <w:rPr>
          <w:rFonts w:ascii="Arial" w:eastAsia="Calibri" w:hAnsi="Arial" w:cs="Arial"/>
          <w:sz w:val="21"/>
          <w:szCs w:val="21"/>
        </w:rPr>
        <w:t>Constitución</w:t>
      </w:r>
      <w:r w:rsidR="00814F1E" w:rsidRPr="00814F1E">
        <w:rPr>
          <w:rFonts w:ascii="Arial" w:eastAsia="Calibri" w:hAnsi="Arial" w:cs="Arial"/>
          <w:sz w:val="21"/>
          <w:szCs w:val="21"/>
        </w:rPr>
        <w:t xml:space="preserve"> </w:t>
      </w:r>
      <w:r w:rsidR="003A762D" w:rsidRPr="00814F1E">
        <w:rPr>
          <w:rFonts w:ascii="Arial" w:eastAsia="Calibri" w:hAnsi="Arial" w:cs="Arial"/>
          <w:sz w:val="21"/>
          <w:szCs w:val="21"/>
        </w:rPr>
        <w:t>Política</w:t>
      </w:r>
      <w:r w:rsidR="00814F1E" w:rsidRPr="00814F1E">
        <w:rPr>
          <w:rFonts w:ascii="Arial" w:eastAsia="Calibri" w:hAnsi="Arial" w:cs="Arial"/>
          <w:sz w:val="21"/>
          <w:szCs w:val="21"/>
        </w:rPr>
        <w:t xml:space="preserve">, respectivamente </w:t>
      </w:r>
      <w:r w:rsidR="003A762D">
        <w:rPr>
          <w:rFonts w:ascii="Arial" w:eastAsia="Calibri" w:hAnsi="Arial" w:cs="Arial"/>
          <w:sz w:val="21"/>
          <w:szCs w:val="21"/>
        </w:rPr>
        <w:t>según</w:t>
      </w:r>
      <w:r w:rsidR="00814F1E" w:rsidRPr="00814F1E">
        <w:rPr>
          <w:rFonts w:ascii="Arial" w:eastAsia="Calibri" w:hAnsi="Arial" w:cs="Arial"/>
          <w:sz w:val="21"/>
          <w:szCs w:val="21"/>
        </w:rPr>
        <w:t xml:space="preserve"> sea el caso y </w:t>
      </w:r>
      <w:r w:rsidR="003A762D" w:rsidRPr="00814F1E">
        <w:rPr>
          <w:rFonts w:ascii="Arial" w:eastAsia="Calibri" w:hAnsi="Arial" w:cs="Arial"/>
          <w:sz w:val="21"/>
          <w:szCs w:val="21"/>
        </w:rPr>
        <w:t>estarán</w:t>
      </w:r>
      <w:r w:rsidR="00814F1E" w:rsidRPr="00814F1E">
        <w:rPr>
          <w:rFonts w:ascii="Arial" w:eastAsia="Calibri" w:hAnsi="Arial" w:cs="Arial"/>
          <w:sz w:val="21"/>
          <w:szCs w:val="21"/>
        </w:rPr>
        <w:t xml:space="preserve"> sometidas al </w:t>
      </w:r>
      <w:r w:rsidR="003A762D" w:rsidRPr="00814F1E">
        <w:rPr>
          <w:rFonts w:ascii="Arial" w:eastAsia="Calibri" w:hAnsi="Arial" w:cs="Arial"/>
          <w:sz w:val="21"/>
          <w:szCs w:val="21"/>
        </w:rPr>
        <w:t>régimen</w:t>
      </w:r>
      <w:r w:rsidR="00814F1E" w:rsidRPr="00814F1E">
        <w:rPr>
          <w:rFonts w:ascii="Arial" w:eastAsia="Calibri" w:hAnsi="Arial" w:cs="Arial"/>
          <w:sz w:val="21"/>
          <w:szCs w:val="21"/>
        </w:rPr>
        <w:t xml:space="preserve"> de inhabilidades e incompatibilidades previsto legalmente para la </w:t>
      </w:r>
      <w:r w:rsidR="003A762D" w:rsidRPr="00814F1E">
        <w:rPr>
          <w:rFonts w:ascii="Arial" w:eastAsia="Calibri" w:hAnsi="Arial" w:cs="Arial"/>
          <w:sz w:val="21"/>
          <w:szCs w:val="21"/>
        </w:rPr>
        <w:t>contratación</w:t>
      </w:r>
      <w:r w:rsidR="00814F1E" w:rsidRPr="00814F1E">
        <w:rPr>
          <w:rFonts w:ascii="Arial" w:eastAsia="Calibri" w:hAnsi="Arial" w:cs="Arial"/>
          <w:sz w:val="21"/>
          <w:szCs w:val="21"/>
        </w:rPr>
        <w:t xml:space="preserve"> estatal.</w:t>
      </w:r>
    </w:p>
    <w:p w14:paraId="70B6F155" w14:textId="0EBD06CB" w:rsidR="00F34035" w:rsidRDefault="00814F1E" w:rsidP="00D5452C">
      <w:pPr>
        <w:spacing w:after="120"/>
        <w:ind w:left="709" w:right="709"/>
        <w:jc w:val="both"/>
        <w:rPr>
          <w:rFonts w:ascii="Arial" w:eastAsia="Calibri" w:hAnsi="Arial" w:cs="Arial"/>
          <w:sz w:val="21"/>
          <w:szCs w:val="21"/>
        </w:rPr>
      </w:pPr>
      <w:r w:rsidRPr="00814F1E">
        <w:rPr>
          <w:rFonts w:ascii="Arial" w:eastAsia="Calibri" w:hAnsi="Arial" w:cs="Arial"/>
          <w:sz w:val="21"/>
          <w:szCs w:val="21"/>
        </w:rPr>
        <w:t xml:space="preserve">En desarrollo de los anteriores principios, </w:t>
      </w:r>
      <w:r w:rsidR="003A762D" w:rsidRPr="00814F1E">
        <w:rPr>
          <w:rFonts w:ascii="Arial" w:eastAsia="Calibri" w:hAnsi="Arial" w:cs="Arial"/>
          <w:sz w:val="21"/>
          <w:szCs w:val="21"/>
        </w:rPr>
        <w:t>deberán</w:t>
      </w:r>
      <w:r w:rsidRPr="00814F1E">
        <w:rPr>
          <w:rFonts w:ascii="Arial" w:eastAsia="Calibri" w:hAnsi="Arial" w:cs="Arial"/>
          <w:sz w:val="21"/>
          <w:szCs w:val="21"/>
        </w:rPr>
        <w:t xml:space="preserve"> publicar los documentos relacionados con su actividad contractual en el Sistema </w:t>
      </w:r>
      <w:r w:rsidR="003A762D" w:rsidRPr="00814F1E">
        <w:rPr>
          <w:rFonts w:ascii="Arial" w:eastAsia="Calibri" w:hAnsi="Arial" w:cs="Arial"/>
          <w:sz w:val="21"/>
          <w:szCs w:val="21"/>
        </w:rPr>
        <w:t>Electrónico</w:t>
      </w:r>
      <w:r w:rsidRPr="00814F1E">
        <w:rPr>
          <w:rFonts w:ascii="Arial" w:eastAsia="Calibri" w:hAnsi="Arial" w:cs="Arial"/>
          <w:sz w:val="21"/>
          <w:szCs w:val="21"/>
        </w:rPr>
        <w:t xml:space="preserve"> para la </w:t>
      </w:r>
      <w:r w:rsidR="003A762D" w:rsidRPr="00814F1E">
        <w:rPr>
          <w:rFonts w:ascii="Arial" w:eastAsia="Calibri" w:hAnsi="Arial" w:cs="Arial"/>
          <w:sz w:val="21"/>
          <w:szCs w:val="21"/>
        </w:rPr>
        <w:t>Contratación</w:t>
      </w:r>
      <w:r w:rsidRPr="00814F1E">
        <w:rPr>
          <w:rFonts w:ascii="Arial" w:eastAsia="Calibri" w:hAnsi="Arial" w:cs="Arial"/>
          <w:sz w:val="21"/>
          <w:szCs w:val="21"/>
        </w:rPr>
        <w:t xml:space="preserve"> </w:t>
      </w:r>
      <w:r w:rsidR="00C207A0" w:rsidRPr="00814F1E">
        <w:rPr>
          <w:rFonts w:ascii="Arial" w:eastAsia="Calibri" w:hAnsi="Arial" w:cs="Arial"/>
          <w:sz w:val="21"/>
          <w:szCs w:val="21"/>
        </w:rPr>
        <w:t xml:space="preserve">PÚBLICA </w:t>
      </w:r>
      <w:r w:rsidR="00C207A0">
        <w:rPr>
          <w:rFonts w:ascii="Arial" w:eastAsia="Calibri" w:hAnsi="Arial" w:cs="Arial"/>
          <w:sz w:val="21"/>
          <w:szCs w:val="21"/>
        </w:rPr>
        <w:t>–</w:t>
      </w:r>
      <w:r w:rsidRPr="00814F1E">
        <w:rPr>
          <w:rFonts w:ascii="Arial" w:eastAsia="Calibri" w:hAnsi="Arial" w:cs="Arial"/>
          <w:sz w:val="21"/>
          <w:szCs w:val="21"/>
        </w:rPr>
        <w:t xml:space="preserve">SECOP </w:t>
      </w:r>
      <w:r w:rsidR="00C207A0">
        <w:rPr>
          <w:rFonts w:ascii="Arial" w:eastAsia="Calibri" w:hAnsi="Arial" w:cs="Arial"/>
          <w:sz w:val="21"/>
          <w:szCs w:val="21"/>
        </w:rPr>
        <w:t>II–</w:t>
      </w:r>
      <w:r w:rsidRPr="00814F1E">
        <w:rPr>
          <w:rFonts w:ascii="Arial" w:eastAsia="Calibri" w:hAnsi="Arial" w:cs="Arial"/>
          <w:sz w:val="21"/>
          <w:szCs w:val="21"/>
        </w:rPr>
        <w:t xml:space="preserve"> o la plataforma transaccional que haga sus veces. Para los efectos de este </w:t>
      </w:r>
      <w:r w:rsidR="00C207A0" w:rsidRPr="00814F1E">
        <w:rPr>
          <w:rFonts w:ascii="Arial" w:eastAsia="Calibri" w:hAnsi="Arial" w:cs="Arial"/>
          <w:sz w:val="21"/>
          <w:szCs w:val="21"/>
        </w:rPr>
        <w:t>artículo</w:t>
      </w:r>
      <w:r w:rsidRPr="00814F1E">
        <w:rPr>
          <w:rFonts w:ascii="Arial" w:eastAsia="Calibri" w:hAnsi="Arial" w:cs="Arial"/>
          <w:sz w:val="21"/>
          <w:szCs w:val="21"/>
        </w:rPr>
        <w:t xml:space="preserve">, se entiende por actividad contractual los documentos, contratos, actos e </w:t>
      </w:r>
      <w:r w:rsidR="00C207A0" w:rsidRPr="00814F1E">
        <w:rPr>
          <w:rFonts w:ascii="Arial" w:eastAsia="Calibri" w:hAnsi="Arial" w:cs="Arial"/>
          <w:sz w:val="21"/>
          <w:szCs w:val="21"/>
        </w:rPr>
        <w:t>información</w:t>
      </w:r>
      <w:r w:rsidRPr="00814F1E">
        <w:rPr>
          <w:rFonts w:ascii="Arial" w:eastAsia="Calibri" w:hAnsi="Arial" w:cs="Arial"/>
          <w:sz w:val="21"/>
          <w:szCs w:val="21"/>
        </w:rPr>
        <w:t xml:space="preserve"> generada por oferentes, contratista, contratante, supervisor o interventor, tanto en la etapa precontractual, como en la contractual y la postcontractual.</w:t>
      </w:r>
    </w:p>
    <w:p w14:paraId="28BE831B" w14:textId="0BA6ACC2" w:rsidR="00814F1E" w:rsidRPr="00814F1E" w:rsidRDefault="00814F1E" w:rsidP="00814F1E">
      <w:pPr>
        <w:ind w:left="709" w:right="709"/>
        <w:jc w:val="both"/>
        <w:rPr>
          <w:rFonts w:ascii="Arial" w:eastAsia="Calibri" w:hAnsi="Arial" w:cs="Arial"/>
          <w:sz w:val="21"/>
          <w:szCs w:val="21"/>
        </w:rPr>
      </w:pPr>
      <w:r w:rsidRPr="00814F1E">
        <w:rPr>
          <w:rFonts w:ascii="Arial" w:eastAsia="Calibri" w:hAnsi="Arial" w:cs="Arial"/>
          <w:sz w:val="21"/>
          <w:szCs w:val="21"/>
        </w:rPr>
        <w:t xml:space="preserve">A partir de la entrada en vigencia de la presente Ley, se </w:t>
      </w:r>
      <w:r w:rsidR="00F34035" w:rsidRPr="00814F1E">
        <w:rPr>
          <w:rFonts w:ascii="Arial" w:eastAsia="Calibri" w:hAnsi="Arial" w:cs="Arial"/>
          <w:sz w:val="21"/>
          <w:szCs w:val="21"/>
        </w:rPr>
        <w:t>establecerá</w:t>
      </w:r>
      <w:r w:rsidRPr="00814F1E">
        <w:rPr>
          <w:rFonts w:ascii="Arial" w:eastAsia="Calibri" w:hAnsi="Arial" w:cs="Arial"/>
          <w:sz w:val="21"/>
          <w:szCs w:val="21"/>
        </w:rPr>
        <w:t xml:space="preserve"> un periodo de </w:t>
      </w:r>
      <w:r w:rsidR="00F34035" w:rsidRPr="00814F1E">
        <w:rPr>
          <w:rFonts w:ascii="Arial" w:eastAsia="Calibri" w:hAnsi="Arial" w:cs="Arial"/>
          <w:sz w:val="21"/>
          <w:szCs w:val="21"/>
        </w:rPr>
        <w:t>transición</w:t>
      </w:r>
      <w:r w:rsidRPr="00814F1E">
        <w:rPr>
          <w:rFonts w:ascii="Arial" w:eastAsia="Calibri" w:hAnsi="Arial" w:cs="Arial"/>
          <w:sz w:val="21"/>
          <w:szCs w:val="21"/>
        </w:rPr>
        <w:t xml:space="preserve"> de seis (6) meses, para que las entidades den cumplimiento efectivo a lo </w:t>
      </w:r>
      <w:r w:rsidR="00F34035" w:rsidRPr="00814F1E">
        <w:rPr>
          <w:rFonts w:ascii="Arial" w:eastAsia="Calibri" w:hAnsi="Arial" w:cs="Arial"/>
          <w:sz w:val="21"/>
          <w:szCs w:val="21"/>
        </w:rPr>
        <w:t>aquí</w:t>
      </w:r>
      <w:r w:rsidR="00F34035">
        <w:rPr>
          <w:rFonts w:ascii="Arial" w:eastAsia="Calibri" w:hAnsi="Arial" w:cs="Arial"/>
          <w:sz w:val="21"/>
          <w:szCs w:val="21"/>
        </w:rPr>
        <w:t xml:space="preserve"> </w:t>
      </w:r>
      <w:r w:rsidRPr="00814F1E">
        <w:rPr>
          <w:rFonts w:ascii="Arial" w:eastAsia="Calibri" w:hAnsi="Arial" w:cs="Arial"/>
          <w:sz w:val="21"/>
          <w:szCs w:val="21"/>
        </w:rPr>
        <w:t>establecido.</w:t>
      </w:r>
    </w:p>
    <w:p w14:paraId="2C30B7DD" w14:textId="77777777" w:rsidR="00FC1F6A" w:rsidRDefault="00FC1F6A" w:rsidP="00FC1F6A">
      <w:pPr>
        <w:spacing w:line="276" w:lineRule="auto"/>
        <w:ind w:firstLine="709"/>
        <w:jc w:val="both"/>
        <w:rPr>
          <w:rFonts w:ascii="Arial" w:eastAsia="Calibri" w:hAnsi="Arial" w:cs="Arial"/>
          <w:color w:val="000000" w:themeColor="text1"/>
          <w:sz w:val="22"/>
          <w:szCs w:val="22"/>
          <w:lang w:val="es-ES_tradnl"/>
        </w:rPr>
      </w:pPr>
    </w:p>
    <w:p w14:paraId="70A51580" w14:textId="2644DC6E" w:rsidR="00163E3A" w:rsidRDefault="00FC1F6A" w:rsidP="00DA37FA">
      <w:pPr>
        <w:spacing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 xml:space="preserve">Como puede observarse, aunque </w:t>
      </w:r>
      <w:r w:rsidR="004C46F5">
        <w:rPr>
          <w:rFonts w:ascii="Arial" w:eastAsia="Calibri" w:hAnsi="Arial" w:cs="Arial"/>
          <w:color w:val="000000" w:themeColor="text1"/>
          <w:sz w:val="22"/>
          <w:szCs w:val="22"/>
          <w:lang w:val="es-ES_tradnl"/>
        </w:rPr>
        <w:t>la publicación en el SECOP I de los documentos relacionados con la actividad contractual ya era obligatoria para las entidades que cuentan con un régimen especial</w:t>
      </w:r>
      <w:r w:rsidR="00CC4344">
        <w:rPr>
          <w:rStyle w:val="Refdenotaalpie"/>
          <w:rFonts w:ascii="Arial" w:eastAsia="Calibri" w:hAnsi="Arial" w:cs="Arial"/>
          <w:color w:val="000000" w:themeColor="text1"/>
          <w:sz w:val="22"/>
          <w:szCs w:val="22"/>
          <w:lang w:val="es-ES_tradnl"/>
        </w:rPr>
        <w:footnoteReference w:id="11"/>
      </w:r>
      <w:r w:rsidR="004C46F5">
        <w:rPr>
          <w:rFonts w:ascii="Arial" w:eastAsia="Calibri" w:hAnsi="Arial" w:cs="Arial"/>
          <w:color w:val="000000" w:themeColor="text1"/>
          <w:sz w:val="22"/>
          <w:szCs w:val="22"/>
          <w:lang w:val="es-ES_tradnl"/>
        </w:rPr>
        <w:t xml:space="preserve">, el artículo </w:t>
      </w:r>
      <w:r w:rsidR="00895817">
        <w:rPr>
          <w:rFonts w:ascii="Arial" w:eastAsia="Calibri" w:hAnsi="Arial" w:cs="Arial"/>
          <w:color w:val="000000" w:themeColor="text1"/>
          <w:sz w:val="22"/>
          <w:szCs w:val="22"/>
          <w:lang w:val="es-ES_tradnl"/>
        </w:rPr>
        <w:t xml:space="preserve">53 de la Ley 2195 de 2022 –que modifica el artículo </w:t>
      </w:r>
      <w:r w:rsidR="00895817">
        <w:rPr>
          <w:rFonts w:ascii="Arial" w:eastAsia="Calibri" w:hAnsi="Arial" w:cs="Arial"/>
          <w:color w:val="000000" w:themeColor="text1"/>
          <w:sz w:val="22"/>
          <w:szCs w:val="22"/>
          <w:lang w:val="es-ES_tradnl"/>
        </w:rPr>
        <w:lastRenderedPageBreak/>
        <w:t xml:space="preserve">13 de la Ley 1150 de 2007– </w:t>
      </w:r>
      <w:r w:rsidR="00B637ED">
        <w:rPr>
          <w:rFonts w:ascii="Arial" w:eastAsia="Calibri" w:hAnsi="Arial" w:cs="Arial"/>
          <w:color w:val="000000" w:themeColor="text1"/>
          <w:sz w:val="22"/>
          <w:szCs w:val="22"/>
          <w:lang w:val="es-ES_tradnl"/>
        </w:rPr>
        <w:t xml:space="preserve">complementa ese deber con la exigencia de emplear el SECOP II. En otras palabras, </w:t>
      </w:r>
      <w:r w:rsidR="000A32D4">
        <w:rPr>
          <w:rFonts w:ascii="Arial" w:eastAsia="Calibri" w:hAnsi="Arial" w:cs="Arial"/>
          <w:color w:val="000000" w:themeColor="text1"/>
          <w:sz w:val="22"/>
          <w:szCs w:val="22"/>
          <w:lang w:val="es-ES_tradnl"/>
        </w:rPr>
        <w:t xml:space="preserve">en el artículo 53 de la Ley 2195 de 2022 el Congreso de la República dispone que las entidades estatales exceptuadas del Estatuto General de Contratación de la Administración Pública </w:t>
      </w:r>
      <w:r w:rsidR="00775467">
        <w:rPr>
          <w:rFonts w:ascii="Arial" w:eastAsia="Calibri" w:hAnsi="Arial" w:cs="Arial"/>
          <w:color w:val="000000" w:themeColor="text1"/>
          <w:sz w:val="22"/>
          <w:szCs w:val="22"/>
          <w:lang w:val="es-ES_tradnl"/>
        </w:rPr>
        <w:t xml:space="preserve">deben tramitar en el SECOP II –es decir en la plataforma transaccional vigente– </w:t>
      </w:r>
      <w:r w:rsidR="0063008E">
        <w:rPr>
          <w:rFonts w:ascii="Arial" w:eastAsia="Calibri" w:hAnsi="Arial" w:cs="Arial"/>
          <w:color w:val="000000" w:themeColor="text1"/>
          <w:sz w:val="22"/>
          <w:szCs w:val="22"/>
          <w:lang w:val="es-ES_tradnl"/>
        </w:rPr>
        <w:t>su actividad contractual.</w:t>
      </w:r>
      <w:r w:rsidR="00DA37FA">
        <w:rPr>
          <w:rFonts w:ascii="Arial" w:eastAsia="Calibri" w:hAnsi="Arial" w:cs="Arial"/>
          <w:color w:val="000000" w:themeColor="text1"/>
          <w:sz w:val="22"/>
          <w:szCs w:val="22"/>
          <w:lang w:val="es-ES_tradnl"/>
        </w:rPr>
        <w:t xml:space="preserve"> </w:t>
      </w:r>
    </w:p>
    <w:p w14:paraId="015531A4" w14:textId="07AC36F7" w:rsidR="00FC3E45" w:rsidRDefault="00CE5988" w:rsidP="00FC3E45">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La Agencia Nacional de Contratación Pública – Colombia Compra Eficiente considera que a</w:t>
      </w:r>
      <w:r w:rsidR="00DA37FA">
        <w:rPr>
          <w:rFonts w:ascii="Arial" w:eastAsia="Calibri" w:hAnsi="Arial" w:cs="Arial"/>
          <w:color w:val="000000" w:themeColor="text1"/>
          <w:sz w:val="22"/>
          <w:szCs w:val="22"/>
          <w:lang w:val="es-ES_tradnl"/>
        </w:rPr>
        <w:t xml:space="preserve">l establecer el artículo </w:t>
      </w:r>
      <w:r>
        <w:rPr>
          <w:rFonts w:ascii="Arial" w:eastAsia="Calibri" w:hAnsi="Arial" w:cs="Arial"/>
          <w:color w:val="000000" w:themeColor="text1"/>
          <w:sz w:val="22"/>
          <w:szCs w:val="22"/>
          <w:lang w:val="es-ES_tradnl"/>
        </w:rPr>
        <w:t>53 que este deber se debe cumplir en el SECOP II «</w:t>
      </w:r>
      <w:r w:rsidRPr="00CE5988">
        <w:rPr>
          <w:rFonts w:ascii="Arial" w:eastAsia="Calibri" w:hAnsi="Arial" w:cs="Arial"/>
          <w:color w:val="000000" w:themeColor="text1"/>
          <w:sz w:val="22"/>
          <w:szCs w:val="22"/>
          <w:lang w:val="es-ES_tradnl"/>
        </w:rPr>
        <w:t>o la plataforma transaccional que haga sus veces</w:t>
      </w:r>
      <w:r>
        <w:rPr>
          <w:rFonts w:ascii="Arial" w:eastAsia="Calibri" w:hAnsi="Arial" w:cs="Arial"/>
          <w:color w:val="000000" w:themeColor="text1"/>
          <w:sz w:val="22"/>
          <w:szCs w:val="22"/>
          <w:lang w:val="es-ES_tradnl"/>
        </w:rPr>
        <w:t>»</w:t>
      </w:r>
      <w:r w:rsidR="00423412">
        <w:rPr>
          <w:rFonts w:ascii="Arial" w:eastAsia="Calibri" w:hAnsi="Arial" w:cs="Arial"/>
          <w:color w:val="000000" w:themeColor="text1"/>
          <w:sz w:val="22"/>
          <w:szCs w:val="22"/>
          <w:lang w:val="es-ES_tradnl"/>
        </w:rPr>
        <w:t xml:space="preserve"> </w:t>
      </w:r>
      <w:r w:rsidR="003073E9">
        <w:rPr>
          <w:rFonts w:ascii="Arial" w:eastAsia="Calibri" w:hAnsi="Arial" w:cs="Arial"/>
          <w:color w:val="000000" w:themeColor="text1"/>
          <w:sz w:val="22"/>
          <w:szCs w:val="22"/>
          <w:lang w:val="es-ES_tradnl"/>
        </w:rPr>
        <w:t xml:space="preserve">esto debe interpretarse en el sentido en que a pesar de que en la actualidad es el SECOP II la plataforma transaccional vigente en el Estado colombiano, si en el futuro esta es reemplazada por otra que tenga otra denominación, las entidades </w:t>
      </w:r>
      <w:r w:rsidR="00AB4E0A">
        <w:rPr>
          <w:rFonts w:ascii="Arial" w:eastAsia="Calibri" w:hAnsi="Arial" w:cs="Arial"/>
          <w:color w:val="000000" w:themeColor="text1"/>
          <w:sz w:val="22"/>
          <w:szCs w:val="22"/>
          <w:lang w:val="es-ES_tradnl"/>
        </w:rPr>
        <w:t>que tienen un régimen especial de contratación pública deben continuar publicando la documentación de su actividad transaccional en la nueva</w:t>
      </w:r>
      <w:r w:rsidR="00EA4B9A">
        <w:rPr>
          <w:rFonts w:ascii="Arial" w:eastAsia="Calibri" w:hAnsi="Arial" w:cs="Arial"/>
          <w:color w:val="000000" w:themeColor="text1"/>
          <w:sz w:val="22"/>
          <w:szCs w:val="22"/>
          <w:lang w:val="es-ES_tradnl"/>
        </w:rPr>
        <w:t xml:space="preserve"> plataforma. No considera esta Agencia que</w:t>
      </w:r>
      <w:r w:rsidR="007F2358">
        <w:rPr>
          <w:rFonts w:ascii="Arial" w:eastAsia="Calibri" w:hAnsi="Arial" w:cs="Arial"/>
          <w:color w:val="000000" w:themeColor="text1"/>
          <w:sz w:val="22"/>
          <w:szCs w:val="22"/>
          <w:lang w:val="es-ES_tradnl"/>
        </w:rPr>
        <w:t>,</w:t>
      </w:r>
      <w:r w:rsidR="00EA4B9A">
        <w:rPr>
          <w:rFonts w:ascii="Arial" w:eastAsia="Calibri" w:hAnsi="Arial" w:cs="Arial"/>
          <w:color w:val="000000" w:themeColor="text1"/>
          <w:sz w:val="22"/>
          <w:szCs w:val="22"/>
          <w:lang w:val="es-ES_tradnl"/>
        </w:rPr>
        <w:t xml:space="preserve"> al utilizar la norma la expresión indicada</w:t>
      </w:r>
      <w:r w:rsidR="007F2358">
        <w:rPr>
          <w:rFonts w:ascii="Arial" w:eastAsia="Calibri" w:hAnsi="Arial" w:cs="Arial"/>
          <w:color w:val="000000" w:themeColor="text1"/>
          <w:sz w:val="22"/>
          <w:szCs w:val="22"/>
          <w:lang w:val="es-ES_tradnl"/>
        </w:rPr>
        <w:t>,</w:t>
      </w:r>
      <w:r w:rsidR="00EA4B9A">
        <w:rPr>
          <w:rFonts w:ascii="Arial" w:eastAsia="Calibri" w:hAnsi="Arial" w:cs="Arial"/>
          <w:color w:val="000000" w:themeColor="text1"/>
          <w:sz w:val="22"/>
          <w:szCs w:val="22"/>
          <w:lang w:val="es-ES_tradnl"/>
        </w:rPr>
        <w:t xml:space="preserve"> deb</w:t>
      </w:r>
      <w:r w:rsidR="001409A9">
        <w:rPr>
          <w:rFonts w:ascii="Arial" w:eastAsia="Calibri" w:hAnsi="Arial" w:cs="Arial"/>
          <w:color w:val="000000" w:themeColor="text1"/>
          <w:sz w:val="22"/>
          <w:szCs w:val="22"/>
          <w:lang w:val="es-ES_tradnl"/>
        </w:rPr>
        <w:t>a</w:t>
      </w:r>
      <w:r w:rsidR="00EA4B9A">
        <w:rPr>
          <w:rFonts w:ascii="Arial" w:eastAsia="Calibri" w:hAnsi="Arial" w:cs="Arial"/>
          <w:color w:val="000000" w:themeColor="text1"/>
          <w:sz w:val="22"/>
          <w:szCs w:val="22"/>
          <w:lang w:val="es-ES_tradnl"/>
        </w:rPr>
        <w:t xml:space="preserve"> entenderse</w:t>
      </w:r>
      <w:r w:rsidR="007F2358">
        <w:rPr>
          <w:rFonts w:ascii="Arial" w:eastAsia="Calibri" w:hAnsi="Arial" w:cs="Arial"/>
          <w:color w:val="000000" w:themeColor="text1"/>
          <w:sz w:val="22"/>
          <w:szCs w:val="22"/>
          <w:lang w:val="es-ES_tradnl"/>
        </w:rPr>
        <w:t xml:space="preserve"> que las entidades exceptuadas del Estatuto General de Contratación de la Administración Pública pueden</w:t>
      </w:r>
      <w:r w:rsidR="004D26FE">
        <w:rPr>
          <w:rFonts w:ascii="Arial" w:eastAsia="Calibri" w:hAnsi="Arial" w:cs="Arial"/>
          <w:color w:val="000000" w:themeColor="text1"/>
          <w:sz w:val="22"/>
          <w:szCs w:val="22"/>
          <w:lang w:val="es-ES_tradnl"/>
        </w:rPr>
        <w:t xml:space="preserve"> emplear sus páginas web o sus propios portales electrónicos</w:t>
      </w:r>
      <w:r w:rsidR="007B53B8">
        <w:rPr>
          <w:rFonts w:ascii="Arial" w:eastAsia="Calibri" w:hAnsi="Arial" w:cs="Arial"/>
          <w:color w:val="000000" w:themeColor="text1"/>
          <w:sz w:val="22"/>
          <w:szCs w:val="22"/>
          <w:lang w:val="es-ES_tradnl"/>
        </w:rPr>
        <w:t xml:space="preserve">, </w:t>
      </w:r>
      <w:r w:rsidR="004D26FE">
        <w:rPr>
          <w:rFonts w:ascii="Arial" w:eastAsia="Calibri" w:hAnsi="Arial" w:cs="Arial"/>
          <w:color w:val="000000" w:themeColor="text1"/>
          <w:sz w:val="22"/>
          <w:szCs w:val="22"/>
          <w:lang w:val="es-ES_tradnl"/>
        </w:rPr>
        <w:t>para realizar</w:t>
      </w:r>
      <w:r w:rsidR="001409A9">
        <w:rPr>
          <w:rFonts w:ascii="Arial" w:eastAsia="Calibri" w:hAnsi="Arial" w:cs="Arial"/>
          <w:color w:val="000000" w:themeColor="text1"/>
          <w:sz w:val="22"/>
          <w:szCs w:val="22"/>
          <w:lang w:val="es-ES_tradnl"/>
        </w:rPr>
        <w:t>,</w:t>
      </w:r>
      <w:r w:rsidR="004D26FE">
        <w:rPr>
          <w:rFonts w:ascii="Arial" w:eastAsia="Calibri" w:hAnsi="Arial" w:cs="Arial"/>
          <w:color w:val="000000" w:themeColor="text1"/>
          <w:sz w:val="22"/>
          <w:szCs w:val="22"/>
          <w:lang w:val="es-ES_tradnl"/>
        </w:rPr>
        <w:t xml:space="preserve"> a través de ellos</w:t>
      </w:r>
      <w:r w:rsidR="001409A9">
        <w:rPr>
          <w:rFonts w:ascii="Arial" w:eastAsia="Calibri" w:hAnsi="Arial" w:cs="Arial"/>
          <w:color w:val="000000" w:themeColor="text1"/>
          <w:sz w:val="22"/>
          <w:szCs w:val="22"/>
          <w:lang w:val="es-ES_tradnl"/>
        </w:rPr>
        <w:t xml:space="preserve">, </w:t>
      </w:r>
      <w:r w:rsidR="004D26FE">
        <w:rPr>
          <w:rFonts w:ascii="Arial" w:eastAsia="Calibri" w:hAnsi="Arial" w:cs="Arial"/>
          <w:color w:val="000000" w:themeColor="text1"/>
          <w:sz w:val="22"/>
          <w:szCs w:val="22"/>
          <w:lang w:val="es-ES_tradnl"/>
        </w:rPr>
        <w:t xml:space="preserve">el procedimiento contractual, pues, precisamente, el artículo 53 de la Ley </w:t>
      </w:r>
      <w:r w:rsidR="009B0048">
        <w:rPr>
          <w:rFonts w:ascii="Arial" w:eastAsia="Calibri" w:hAnsi="Arial" w:cs="Arial"/>
          <w:color w:val="000000" w:themeColor="text1"/>
          <w:sz w:val="22"/>
          <w:szCs w:val="22"/>
          <w:lang w:val="es-ES_tradnl"/>
        </w:rPr>
        <w:t>2195 de 2022 unifica el régimen transaccional de las entidades estatales</w:t>
      </w:r>
      <w:r w:rsidR="00423412">
        <w:rPr>
          <w:rFonts w:ascii="Arial" w:eastAsia="Calibri" w:hAnsi="Arial" w:cs="Arial"/>
          <w:color w:val="000000" w:themeColor="text1"/>
          <w:sz w:val="22"/>
          <w:szCs w:val="22"/>
          <w:lang w:val="es-ES_tradnl"/>
        </w:rPr>
        <w:t xml:space="preserve"> en una sola plataforma, actualmente denominada SECOP II.</w:t>
      </w:r>
      <w:r w:rsidR="001409A9">
        <w:rPr>
          <w:rFonts w:ascii="Arial" w:eastAsia="Calibri" w:hAnsi="Arial" w:cs="Arial"/>
          <w:color w:val="000000" w:themeColor="text1"/>
          <w:sz w:val="22"/>
          <w:szCs w:val="22"/>
          <w:lang w:val="es-ES_tradnl"/>
        </w:rPr>
        <w:t xml:space="preserve"> Con esto se logra </w:t>
      </w:r>
      <w:r w:rsidR="00E535BB">
        <w:rPr>
          <w:rFonts w:ascii="Arial" w:eastAsia="Calibri" w:hAnsi="Arial" w:cs="Arial"/>
          <w:color w:val="000000" w:themeColor="text1"/>
          <w:sz w:val="22"/>
          <w:szCs w:val="22"/>
          <w:lang w:val="es-ES_tradnl"/>
        </w:rPr>
        <w:t xml:space="preserve">que la ciudadanía pueda encontrar en un mismo sistema la gestión de la actividad contractual del Estado, </w:t>
      </w:r>
      <w:r w:rsidR="00EC3B9A">
        <w:rPr>
          <w:rFonts w:ascii="Arial" w:eastAsia="Calibri" w:hAnsi="Arial" w:cs="Arial"/>
          <w:color w:val="000000" w:themeColor="text1"/>
          <w:sz w:val="22"/>
          <w:szCs w:val="22"/>
          <w:lang w:val="es-ES_tradnl"/>
        </w:rPr>
        <w:t>garantizándose en mayor grado la transparencia y el acceso a la documentación pública.</w:t>
      </w:r>
    </w:p>
    <w:p w14:paraId="38E1E405" w14:textId="011081B3" w:rsidR="00DA37FA" w:rsidRDefault="00FC3E45" w:rsidP="00FC3E45">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El referido artículo dispone, en el inciso final, que «</w:t>
      </w:r>
      <w:r w:rsidRPr="00FC3E45">
        <w:rPr>
          <w:rFonts w:ascii="Arial" w:eastAsia="Calibri" w:hAnsi="Arial" w:cs="Arial"/>
          <w:color w:val="000000" w:themeColor="text1"/>
          <w:sz w:val="22"/>
          <w:szCs w:val="22"/>
          <w:lang w:val="es-ES_tradnl"/>
        </w:rPr>
        <w:t xml:space="preserve">A partir de la </w:t>
      </w:r>
      <w:proofErr w:type="gramStart"/>
      <w:r w:rsidRPr="00FC3E45">
        <w:rPr>
          <w:rFonts w:ascii="Arial" w:eastAsia="Calibri" w:hAnsi="Arial" w:cs="Arial"/>
          <w:color w:val="000000" w:themeColor="text1"/>
          <w:sz w:val="22"/>
          <w:szCs w:val="22"/>
          <w:lang w:val="es-ES_tradnl"/>
        </w:rPr>
        <w:t>entrada en vigencia</w:t>
      </w:r>
      <w:proofErr w:type="gramEnd"/>
      <w:r w:rsidRPr="00FC3E45">
        <w:rPr>
          <w:rFonts w:ascii="Arial" w:eastAsia="Calibri" w:hAnsi="Arial" w:cs="Arial"/>
          <w:color w:val="000000" w:themeColor="text1"/>
          <w:sz w:val="22"/>
          <w:szCs w:val="22"/>
          <w:lang w:val="es-ES_tradnl"/>
        </w:rPr>
        <w:t xml:space="preserve"> de la presente Ley, se establecerá un periodo de transición de seis (6) meses, para que las entidades den cumplimiento efectivo a lo aquí establecido</w:t>
      </w:r>
      <w:r>
        <w:rPr>
          <w:rFonts w:ascii="Arial" w:eastAsia="Calibri" w:hAnsi="Arial" w:cs="Arial"/>
          <w:color w:val="000000" w:themeColor="text1"/>
          <w:sz w:val="22"/>
          <w:szCs w:val="22"/>
          <w:lang w:val="es-ES_tradnl"/>
        </w:rPr>
        <w:t>»</w:t>
      </w:r>
      <w:r w:rsidRPr="00FC3E45">
        <w:rPr>
          <w:rFonts w:ascii="Arial" w:eastAsia="Calibri" w:hAnsi="Arial" w:cs="Arial"/>
          <w:color w:val="000000" w:themeColor="text1"/>
          <w:sz w:val="22"/>
          <w:szCs w:val="22"/>
          <w:lang w:val="es-ES_tradnl"/>
        </w:rPr>
        <w:t>.</w:t>
      </w:r>
      <w:r w:rsidR="00855973">
        <w:rPr>
          <w:rFonts w:ascii="Arial" w:eastAsia="Calibri" w:hAnsi="Arial" w:cs="Arial"/>
          <w:color w:val="000000" w:themeColor="text1"/>
          <w:sz w:val="22"/>
          <w:szCs w:val="22"/>
          <w:lang w:val="es-ES_tradnl"/>
        </w:rPr>
        <w:t xml:space="preserve"> Es decir que se trata un período concedido por el Legislador a las entidades que tienen un régimen especial de contratación para</w:t>
      </w:r>
      <w:r w:rsidR="00081BB9">
        <w:rPr>
          <w:rFonts w:ascii="Arial" w:eastAsia="Calibri" w:hAnsi="Arial" w:cs="Arial"/>
          <w:color w:val="000000" w:themeColor="text1"/>
          <w:sz w:val="22"/>
          <w:szCs w:val="22"/>
          <w:lang w:val="es-ES_tradnl"/>
        </w:rPr>
        <w:t xml:space="preserve"> adelantar las gestiones administrativas, técnicas y jurídicas pertinentes, </w:t>
      </w:r>
      <w:r w:rsidR="00955DEC">
        <w:rPr>
          <w:rFonts w:ascii="Arial" w:eastAsia="Calibri" w:hAnsi="Arial" w:cs="Arial"/>
          <w:color w:val="000000" w:themeColor="text1"/>
          <w:sz w:val="22"/>
          <w:szCs w:val="22"/>
          <w:lang w:val="es-ES_tradnl"/>
        </w:rPr>
        <w:t>a fin de</w:t>
      </w:r>
      <w:r w:rsidR="00081BB9">
        <w:rPr>
          <w:rFonts w:ascii="Arial" w:eastAsia="Calibri" w:hAnsi="Arial" w:cs="Arial"/>
          <w:color w:val="000000" w:themeColor="text1"/>
          <w:sz w:val="22"/>
          <w:szCs w:val="22"/>
          <w:lang w:val="es-ES_tradnl"/>
        </w:rPr>
        <w:t xml:space="preserve"> </w:t>
      </w:r>
      <w:r w:rsidR="00BC2FF2">
        <w:rPr>
          <w:rFonts w:ascii="Arial" w:eastAsia="Calibri" w:hAnsi="Arial" w:cs="Arial"/>
          <w:color w:val="000000" w:themeColor="text1"/>
          <w:sz w:val="22"/>
          <w:szCs w:val="22"/>
          <w:lang w:val="es-ES_tradnl"/>
        </w:rPr>
        <w:t>cumplir lo establecido en el artículo 53.</w:t>
      </w:r>
      <w:r w:rsidR="00955DEC">
        <w:rPr>
          <w:rFonts w:ascii="Arial" w:eastAsia="Calibri" w:hAnsi="Arial" w:cs="Arial"/>
          <w:color w:val="000000" w:themeColor="text1"/>
          <w:sz w:val="22"/>
          <w:szCs w:val="22"/>
          <w:lang w:val="es-ES_tradnl"/>
        </w:rPr>
        <w:t xml:space="preserve"> </w:t>
      </w:r>
      <w:r w:rsidR="00F341F9">
        <w:rPr>
          <w:rFonts w:ascii="Arial" w:eastAsia="Calibri" w:hAnsi="Arial" w:cs="Arial"/>
          <w:color w:val="000000" w:themeColor="text1"/>
          <w:sz w:val="22"/>
          <w:szCs w:val="22"/>
          <w:lang w:val="es-ES_tradnl"/>
        </w:rPr>
        <w:t xml:space="preserve">La Agencia Nacional de Contratación Pública – Colombia Compra Eficiente también </w:t>
      </w:r>
      <w:r w:rsidR="00446CA4">
        <w:rPr>
          <w:rFonts w:ascii="Arial" w:eastAsia="Calibri" w:hAnsi="Arial" w:cs="Arial"/>
          <w:color w:val="000000" w:themeColor="text1"/>
          <w:sz w:val="22"/>
          <w:szCs w:val="22"/>
          <w:lang w:val="es-ES_tradnl"/>
        </w:rPr>
        <w:t xml:space="preserve">puede </w:t>
      </w:r>
      <w:r w:rsidR="00F341F9">
        <w:rPr>
          <w:rFonts w:ascii="Arial" w:eastAsia="Calibri" w:hAnsi="Arial" w:cs="Arial"/>
          <w:color w:val="000000" w:themeColor="text1"/>
          <w:sz w:val="22"/>
          <w:szCs w:val="22"/>
          <w:lang w:val="es-ES_tradnl"/>
        </w:rPr>
        <w:t>impartir directrices sobre este tema a través de sus instrumentos doctrinarios y reglamentarios.</w:t>
      </w:r>
    </w:p>
    <w:p w14:paraId="1999E2AD" w14:textId="77777777" w:rsidR="00A773E0" w:rsidRPr="00D5452C" w:rsidRDefault="00A773E0" w:rsidP="00A773E0">
      <w:pPr>
        <w:spacing w:before="120" w:line="276" w:lineRule="auto"/>
        <w:ind w:firstLine="709"/>
        <w:jc w:val="both"/>
        <w:rPr>
          <w:rFonts w:ascii="Arial" w:eastAsia="Calibri" w:hAnsi="Arial" w:cs="Arial"/>
          <w:color w:val="000000"/>
          <w:sz w:val="22"/>
          <w:szCs w:val="22"/>
          <w:lang w:val="es-ES_tradnl"/>
        </w:rPr>
      </w:pPr>
      <w:r w:rsidRPr="00A773E0">
        <w:rPr>
          <w:rFonts w:ascii="Arial" w:eastAsia="Calibri" w:hAnsi="Arial" w:cs="Arial"/>
          <w:color w:val="000000" w:themeColor="text1"/>
          <w:sz w:val="22"/>
          <w:szCs w:val="22"/>
          <w:lang w:val="es-ES_tradnl"/>
        </w:rPr>
        <w:t>En efecto</w:t>
      </w:r>
      <w:r w:rsidRPr="00446CA4">
        <w:rPr>
          <w:rFonts w:ascii="Arial" w:eastAsia="Calibri" w:hAnsi="Arial" w:cs="Arial"/>
          <w:color w:val="000000" w:themeColor="text1"/>
          <w:sz w:val="22"/>
          <w:szCs w:val="22"/>
          <w:lang w:val="es-ES_tradnl"/>
        </w:rPr>
        <w:t xml:space="preserve">, </w:t>
      </w:r>
      <w:r w:rsidRPr="00D5452C">
        <w:rPr>
          <w:rFonts w:ascii="Arial" w:eastAsia="Calibri" w:hAnsi="Arial" w:cs="Arial"/>
          <w:color w:val="000000"/>
          <w:sz w:val="22"/>
          <w:szCs w:val="22"/>
          <w:lang w:val="es-ES_tradnl"/>
        </w:rPr>
        <w:t>la Agencia tiene la facultad de establecer instrumentos jurídicos para el manejo, uso e implementación del Sistema Electrónico de Contratación Pública – SECOP</w:t>
      </w:r>
      <w:r w:rsidRPr="00A773E0">
        <w:rPr>
          <w:rFonts w:ascii="Arial" w:eastAsia="Calibri" w:hAnsi="Arial" w:cs="Arial"/>
          <w:color w:val="000000"/>
          <w:sz w:val="22"/>
          <w:szCs w:val="22"/>
          <w:lang w:val="es-ES_tradnl"/>
        </w:rPr>
        <w:t>.</w:t>
      </w:r>
      <w:r w:rsidRPr="00D5452C">
        <w:rPr>
          <w:rFonts w:ascii="Arial" w:eastAsia="Calibri" w:hAnsi="Arial" w:cs="Arial"/>
          <w:color w:val="000000"/>
          <w:sz w:val="22"/>
          <w:szCs w:val="22"/>
          <w:lang w:val="es-ES_tradnl"/>
        </w:rPr>
        <w:t xml:space="preserve"> Bajo este entendimiento, la Agencia Nacional de Contratación Pública – Colombia Compra </w:t>
      </w:r>
      <w:r w:rsidRPr="00D5452C">
        <w:rPr>
          <w:rFonts w:ascii="Arial" w:eastAsia="Calibri" w:hAnsi="Arial" w:cs="Arial"/>
          <w:color w:val="000000"/>
          <w:sz w:val="22"/>
          <w:szCs w:val="22"/>
          <w:lang w:val="es-ES_tradnl"/>
        </w:rPr>
        <w:lastRenderedPageBreak/>
        <w:t>Eficiente expidió la Circular Externa 002 del 17 de marzo de 2022</w:t>
      </w:r>
      <w:r w:rsidRPr="00A773E0">
        <w:rPr>
          <w:rStyle w:val="Refdenotaalpie"/>
          <w:rFonts w:ascii="Arial" w:eastAsia="Calibri" w:hAnsi="Arial" w:cs="Arial"/>
          <w:color w:val="000000"/>
          <w:sz w:val="22"/>
          <w:szCs w:val="22"/>
          <w:lang w:val="es-ES_tradnl"/>
        </w:rPr>
        <w:footnoteReference w:id="12"/>
      </w:r>
      <w:r w:rsidRPr="00D5452C">
        <w:rPr>
          <w:rFonts w:ascii="Arial" w:eastAsia="Calibri" w:hAnsi="Arial" w:cs="Arial"/>
          <w:color w:val="000000"/>
          <w:sz w:val="22"/>
          <w:szCs w:val="22"/>
          <w:lang w:val="es-ES_tradnl"/>
        </w:rPr>
        <w:t>, en la que impartió directrices sobre este tema</w:t>
      </w:r>
      <w:r w:rsidRPr="00A773E0">
        <w:rPr>
          <w:rFonts w:ascii="Arial" w:eastAsia="Calibri" w:hAnsi="Arial" w:cs="Arial"/>
          <w:color w:val="000000"/>
          <w:sz w:val="22"/>
          <w:szCs w:val="22"/>
          <w:lang w:val="es-ES_tradnl"/>
        </w:rPr>
        <w:t>,</w:t>
      </w:r>
      <w:r w:rsidRPr="00D5452C">
        <w:rPr>
          <w:rFonts w:ascii="Arial" w:eastAsia="Calibri" w:hAnsi="Arial" w:cs="Arial"/>
          <w:color w:val="000000"/>
          <w:sz w:val="22"/>
          <w:szCs w:val="22"/>
          <w:lang w:val="es-ES_tradnl"/>
        </w:rPr>
        <w:t xml:space="preserve"> indicando que:</w:t>
      </w:r>
    </w:p>
    <w:p w14:paraId="3F99C1E4" w14:textId="77777777" w:rsidR="00A773E0" w:rsidRPr="00D5452C" w:rsidRDefault="00A773E0" w:rsidP="00A773E0">
      <w:pPr>
        <w:spacing w:before="120" w:line="276" w:lineRule="auto"/>
        <w:ind w:left="709" w:right="709"/>
        <w:jc w:val="both"/>
        <w:rPr>
          <w:rFonts w:ascii="Arial" w:hAnsi="Arial" w:cs="Arial"/>
          <w:sz w:val="21"/>
          <w:szCs w:val="21"/>
        </w:rPr>
      </w:pPr>
      <w:r w:rsidRPr="00D5452C">
        <w:rPr>
          <w:rFonts w:ascii="Arial" w:hAnsi="Arial" w:cs="Arial"/>
          <w:sz w:val="21"/>
          <w:szCs w:val="21"/>
        </w:rPr>
        <w:t xml:space="preserve">En ese orden de ideas, las entidades estatales que tengan un régimen especial de contratación y que actualmente no se encuentran en la obligación de utilizar para estos efectos esta plataforma transaccional, tienen un plazo de seis (6) meses para empezar a publicar sus procesos por medio del SECOP II. </w:t>
      </w:r>
    </w:p>
    <w:p w14:paraId="08B026C4" w14:textId="77777777" w:rsidR="00A773E0" w:rsidRPr="00D5452C" w:rsidRDefault="00A773E0" w:rsidP="00A773E0">
      <w:pPr>
        <w:spacing w:before="120" w:line="276" w:lineRule="auto"/>
        <w:ind w:left="709" w:right="709"/>
        <w:jc w:val="both"/>
        <w:rPr>
          <w:rFonts w:ascii="Arial" w:hAnsi="Arial" w:cs="Arial"/>
          <w:b/>
          <w:bCs/>
          <w:sz w:val="21"/>
          <w:szCs w:val="21"/>
        </w:rPr>
      </w:pPr>
      <w:r w:rsidRPr="00D5452C">
        <w:rPr>
          <w:rFonts w:ascii="Arial" w:hAnsi="Arial" w:cs="Arial"/>
          <w:b/>
          <w:bCs/>
          <w:sz w:val="21"/>
          <w:szCs w:val="21"/>
        </w:rPr>
        <w:t>1.1. Fecha y alcance de la obligatoriedad del SECOP 11 en 2022 para las entidades estatales que en su gestión contractual cuentan con un régimen excepcional al del Estatuto General de Contratación de la Administración Pública.</w:t>
      </w:r>
    </w:p>
    <w:p w14:paraId="68CBE5FF" w14:textId="77777777" w:rsidR="00A773E0" w:rsidRPr="00D5452C" w:rsidRDefault="00A773E0" w:rsidP="00A773E0">
      <w:pPr>
        <w:spacing w:before="120" w:line="276" w:lineRule="auto"/>
        <w:ind w:left="709" w:right="709"/>
        <w:jc w:val="both"/>
        <w:rPr>
          <w:rFonts w:ascii="Arial" w:hAnsi="Arial" w:cs="Arial"/>
          <w:sz w:val="21"/>
          <w:szCs w:val="21"/>
        </w:rPr>
      </w:pPr>
      <w:r w:rsidRPr="00D5452C">
        <w:rPr>
          <w:rFonts w:ascii="Arial" w:hAnsi="Arial" w:cs="Arial"/>
          <w:sz w:val="21"/>
          <w:szCs w:val="21"/>
        </w:rPr>
        <w:t xml:space="preserve">Para la vigencia 2022 las entidades que apliquen un régimen especial de contratación de acuerdo con lo preceptuado en la Ley 2195 de 2022, tienen un período de transición de seis (6) meses para publicar todos los documentos relacionados con su actividad contractual en la plataforma del SECOP II. </w:t>
      </w:r>
    </w:p>
    <w:p w14:paraId="71435BB3" w14:textId="77777777" w:rsidR="00A773E0" w:rsidRPr="00D5452C" w:rsidRDefault="00A773E0" w:rsidP="00A773E0">
      <w:pPr>
        <w:spacing w:before="120" w:line="276" w:lineRule="auto"/>
        <w:ind w:left="709" w:right="709"/>
        <w:jc w:val="both"/>
        <w:rPr>
          <w:rFonts w:ascii="Arial" w:hAnsi="Arial" w:cs="Arial"/>
          <w:sz w:val="21"/>
          <w:szCs w:val="21"/>
        </w:rPr>
      </w:pPr>
      <w:r w:rsidRPr="00D5452C">
        <w:rPr>
          <w:rFonts w:ascii="Arial" w:hAnsi="Arial" w:cs="Arial"/>
          <w:sz w:val="21"/>
          <w:szCs w:val="21"/>
        </w:rPr>
        <w:t>En consecuencia, su uso obligatorio empezará a regir a partir del 18 de julio de 2022, 23:59 horas, sin que sea posible por vía reglamentaria o en sus reglamentos internos de contratación -también conocidos como “Manuales de Contratación"-</w:t>
      </w:r>
      <w:r w:rsidRPr="00A773E0">
        <w:rPr>
          <w:rFonts w:ascii="Arial" w:hAnsi="Arial" w:cs="Arial"/>
          <w:sz w:val="21"/>
          <w:szCs w:val="21"/>
        </w:rPr>
        <w:t xml:space="preserve"> </w:t>
      </w:r>
      <w:r w:rsidRPr="00D5452C">
        <w:rPr>
          <w:rFonts w:ascii="Arial" w:hAnsi="Arial" w:cs="Arial"/>
          <w:sz w:val="21"/>
          <w:szCs w:val="21"/>
        </w:rPr>
        <w:t xml:space="preserve">hacer extensivo el plazo previsto en la Ley. </w:t>
      </w:r>
    </w:p>
    <w:p w14:paraId="498010F1" w14:textId="495AD004" w:rsidR="00A773E0" w:rsidRPr="00D5452C" w:rsidRDefault="00A773E0" w:rsidP="00D5452C">
      <w:pPr>
        <w:spacing w:before="120" w:line="276" w:lineRule="auto"/>
        <w:ind w:left="709" w:right="709"/>
        <w:jc w:val="both"/>
        <w:rPr>
          <w:rFonts w:ascii="Arial" w:eastAsia="Calibri" w:hAnsi="Arial" w:cs="Arial"/>
          <w:color w:val="000000"/>
          <w:sz w:val="21"/>
          <w:szCs w:val="21"/>
          <w:lang w:val="es-ES_tradnl"/>
        </w:rPr>
      </w:pPr>
      <w:r w:rsidRPr="00D5452C">
        <w:rPr>
          <w:rFonts w:ascii="Arial" w:hAnsi="Arial" w:cs="Arial"/>
          <w:sz w:val="21"/>
          <w:szCs w:val="21"/>
        </w:rPr>
        <w:t>Todos los procesos de contratación creados en el SECOP I antes del 18 de julio de 2022, 23:59 horas, por parte de estas entidades estatales, podrán continuar siendo gestionados en esta plataforma.</w:t>
      </w:r>
    </w:p>
    <w:p w14:paraId="7BF3CC03" w14:textId="77777777" w:rsidR="006E088C" w:rsidRPr="00B00C57" w:rsidRDefault="006E088C" w:rsidP="00822257">
      <w:pPr>
        <w:spacing w:line="276" w:lineRule="auto"/>
        <w:jc w:val="both"/>
        <w:rPr>
          <w:rFonts w:ascii="Arial" w:eastAsia="Calibri" w:hAnsi="Arial" w:cs="Arial"/>
          <w:b/>
          <w:bCs/>
          <w:color w:val="000000" w:themeColor="text1"/>
          <w:sz w:val="22"/>
          <w:lang w:val="es-ES"/>
        </w:rPr>
      </w:pPr>
    </w:p>
    <w:p w14:paraId="37CA9805" w14:textId="7E6B1FAB" w:rsidR="00DD5B04" w:rsidRPr="00B00C57" w:rsidRDefault="004177A6" w:rsidP="00510DE9">
      <w:pPr>
        <w:tabs>
          <w:tab w:val="left" w:pos="0"/>
        </w:tabs>
        <w:jc w:val="both"/>
        <w:rPr>
          <w:rFonts w:ascii="Arial" w:eastAsia="Calibri" w:hAnsi="Arial" w:cs="Arial"/>
          <w:b/>
          <w:color w:val="000000" w:themeColor="text1"/>
          <w:sz w:val="22"/>
          <w:lang w:val="es-ES_tradnl"/>
        </w:rPr>
      </w:pPr>
      <w:r w:rsidRPr="00B00C57">
        <w:rPr>
          <w:rFonts w:ascii="Arial" w:eastAsia="Calibri" w:hAnsi="Arial" w:cs="Arial"/>
          <w:b/>
          <w:color w:val="000000" w:themeColor="text1"/>
          <w:sz w:val="22"/>
          <w:lang w:val="es-ES_tradnl"/>
        </w:rPr>
        <w:t>3</w:t>
      </w:r>
      <w:r w:rsidR="00B011A9" w:rsidRPr="00B00C57">
        <w:rPr>
          <w:rFonts w:ascii="Arial" w:eastAsia="Calibri" w:hAnsi="Arial" w:cs="Arial"/>
          <w:b/>
          <w:color w:val="000000" w:themeColor="text1"/>
          <w:sz w:val="22"/>
          <w:lang w:val="es-ES_tradnl"/>
        </w:rPr>
        <w:t xml:space="preserve">. </w:t>
      </w:r>
      <w:r w:rsidR="00DD5B04" w:rsidRPr="00B00C57">
        <w:rPr>
          <w:rFonts w:ascii="Arial" w:eastAsia="Calibri" w:hAnsi="Arial" w:cs="Arial"/>
          <w:b/>
          <w:color w:val="000000" w:themeColor="text1"/>
          <w:sz w:val="22"/>
          <w:lang w:val="es-ES_tradnl"/>
        </w:rPr>
        <w:t>Respuest</w:t>
      </w:r>
      <w:r w:rsidR="00BF0E64" w:rsidRPr="00B00C57">
        <w:rPr>
          <w:rFonts w:ascii="Arial" w:eastAsia="Calibri" w:hAnsi="Arial" w:cs="Arial"/>
          <w:b/>
          <w:color w:val="000000" w:themeColor="text1"/>
          <w:sz w:val="22"/>
          <w:lang w:val="es-ES_tradnl"/>
        </w:rPr>
        <w:t>a</w:t>
      </w:r>
    </w:p>
    <w:p w14:paraId="0B74D5B8" w14:textId="7F0A7F13" w:rsidR="00C4581D" w:rsidRPr="00B00C57" w:rsidRDefault="00C4581D" w:rsidP="00510DE9">
      <w:pPr>
        <w:tabs>
          <w:tab w:val="left" w:pos="0"/>
        </w:tabs>
        <w:jc w:val="both"/>
        <w:rPr>
          <w:rFonts w:ascii="Arial" w:eastAsia="Calibri" w:hAnsi="Arial" w:cs="Arial"/>
          <w:color w:val="000000" w:themeColor="text1"/>
          <w:sz w:val="22"/>
          <w:lang w:val="es-ES_tradnl"/>
        </w:rPr>
      </w:pPr>
    </w:p>
    <w:p w14:paraId="73BB5719" w14:textId="77777777" w:rsidR="002F26B5" w:rsidRPr="002F26B5" w:rsidRDefault="002F26B5" w:rsidP="002F26B5">
      <w:pPr>
        <w:ind w:left="709" w:right="709"/>
        <w:jc w:val="both"/>
        <w:rPr>
          <w:rFonts w:ascii="Arial" w:hAnsi="Arial" w:cs="Arial"/>
          <w:color w:val="000000" w:themeColor="text1"/>
          <w:sz w:val="21"/>
          <w:szCs w:val="21"/>
          <w:lang w:val="es-ES_tradnl"/>
        </w:rPr>
      </w:pPr>
      <w:r>
        <w:rPr>
          <w:rFonts w:ascii="Arial" w:hAnsi="Arial" w:cs="Arial"/>
          <w:color w:val="000000" w:themeColor="text1"/>
          <w:sz w:val="21"/>
          <w:szCs w:val="21"/>
          <w:lang w:val="es-ES_tradnl"/>
        </w:rPr>
        <w:t>«</w:t>
      </w:r>
      <w:r w:rsidRPr="002F26B5">
        <w:rPr>
          <w:rFonts w:ascii="Arial" w:hAnsi="Arial" w:cs="Arial"/>
          <w:color w:val="000000" w:themeColor="text1"/>
          <w:sz w:val="21"/>
          <w:szCs w:val="21"/>
          <w:lang w:val="es-ES_tradnl"/>
        </w:rPr>
        <w:t>Quería saber si con la nueva ley de transparencia (Ley 2195 de 2022) los fondos mixtos/ corporaciones sin ánimo de lucro de régimen especial deben hacer sus procesos de contratación por medio del SECOP?</w:t>
      </w:r>
    </w:p>
    <w:p w14:paraId="7509436E" w14:textId="77777777" w:rsidR="002F26B5" w:rsidRDefault="002F26B5" w:rsidP="002F26B5">
      <w:pPr>
        <w:ind w:left="709" w:right="709"/>
        <w:jc w:val="both"/>
        <w:rPr>
          <w:rFonts w:ascii="Arial" w:hAnsi="Arial" w:cs="Arial"/>
          <w:color w:val="000000" w:themeColor="text1"/>
          <w:sz w:val="21"/>
          <w:szCs w:val="21"/>
          <w:lang w:val="es-ES_tradnl"/>
        </w:rPr>
      </w:pPr>
    </w:p>
    <w:p w14:paraId="7F6CBBC8" w14:textId="77777777" w:rsidR="002F26B5" w:rsidRPr="00B00C57" w:rsidRDefault="002F26B5" w:rsidP="002F26B5">
      <w:pPr>
        <w:ind w:left="709" w:right="709"/>
        <w:jc w:val="both"/>
        <w:rPr>
          <w:rFonts w:ascii="Arial" w:hAnsi="Arial" w:cs="Arial"/>
          <w:color w:val="000000" w:themeColor="text1"/>
          <w:sz w:val="21"/>
          <w:szCs w:val="21"/>
        </w:rPr>
      </w:pPr>
      <w:proofErr w:type="gramStart"/>
      <w:r>
        <w:rPr>
          <w:rFonts w:ascii="Arial" w:hAnsi="Arial" w:cs="Arial"/>
          <w:color w:val="000000" w:themeColor="text1"/>
          <w:sz w:val="21"/>
          <w:szCs w:val="21"/>
          <w:lang w:val="es-ES_tradnl"/>
        </w:rPr>
        <w:t>»</w:t>
      </w:r>
      <w:r w:rsidRPr="002F26B5">
        <w:rPr>
          <w:rFonts w:ascii="Arial" w:hAnsi="Arial" w:cs="Arial"/>
          <w:color w:val="000000" w:themeColor="text1"/>
          <w:sz w:val="21"/>
          <w:szCs w:val="21"/>
          <w:lang w:val="es-ES_tradnl"/>
        </w:rPr>
        <w:t>Si</w:t>
      </w:r>
      <w:proofErr w:type="gramEnd"/>
      <w:r w:rsidRPr="002F26B5">
        <w:rPr>
          <w:rFonts w:ascii="Arial" w:hAnsi="Arial" w:cs="Arial"/>
          <w:color w:val="000000" w:themeColor="text1"/>
          <w:sz w:val="21"/>
          <w:szCs w:val="21"/>
          <w:lang w:val="es-ES_tradnl"/>
        </w:rPr>
        <w:t xml:space="preserve"> ese es el caso, para el caso de </w:t>
      </w:r>
      <w:proofErr w:type="spellStart"/>
      <w:r w:rsidRPr="002F26B5">
        <w:rPr>
          <w:rFonts w:ascii="Arial" w:hAnsi="Arial" w:cs="Arial"/>
          <w:color w:val="000000" w:themeColor="text1"/>
          <w:sz w:val="21"/>
          <w:szCs w:val="21"/>
          <w:lang w:val="es-ES_tradnl"/>
        </w:rPr>
        <w:t>Proimágenes</w:t>
      </w:r>
      <w:proofErr w:type="spellEnd"/>
      <w:r w:rsidRPr="002F26B5">
        <w:rPr>
          <w:rFonts w:ascii="Arial" w:hAnsi="Arial" w:cs="Arial"/>
          <w:color w:val="000000" w:themeColor="text1"/>
          <w:sz w:val="21"/>
          <w:szCs w:val="21"/>
          <w:lang w:val="es-ES_tradnl"/>
        </w:rPr>
        <w:t xml:space="preserve"> cómo podríamos surtir nuestros procesos de contratación para el Fondo del </w:t>
      </w:r>
      <w:proofErr w:type="spellStart"/>
      <w:r w:rsidRPr="002F26B5">
        <w:rPr>
          <w:rFonts w:ascii="Arial" w:hAnsi="Arial" w:cs="Arial"/>
          <w:color w:val="000000" w:themeColor="text1"/>
          <w:sz w:val="21"/>
          <w:szCs w:val="21"/>
          <w:lang w:val="es-ES_tradnl"/>
        </w:rPr>
        <w:t>desarollo</w:t>
      </w:r>
      <w:proofErr w:type="spellEnd"/>
      <w:r w:rsidRPr="002F26B5">
        <w:rPr>
          <w:rFonts w:ascii="Arial" w:hAnsi="Arial" w:cs="Arial"/>
          <w:color w:val="000000" w:themeColor="text1"/>
          <w:sz w:val="21"/>
          <w:szCs w:val="21"/>
          <w:lang w:val="es-ES_tradnl"/>
        </w:rPr>
        <w:t xml:space="preserve"> fílmico o demás contratos relacionados con los incentivos y estímulos que tiene a cargo?</w:t>
      </w:r>
      <w:r>
        <w:rPr>
          <w:rFonts w:ascii="Arial" w:hAnsi="Arial" w:cs="Arial"/>
          <w:color w:val="000000" w:themeColor="text1"/>
          <w:sz w:val="21"/>
          <w:szCs w:val="21"/>
          <w:lang w:val="es-ES_tradnl"/>
        </w:rPr>
        <w:t>» (sic).</w:t>
      </w:r>
    </w:p>
    <w:p w14:paraId="2A6A4B21" w14:textId="4FBE9EB5" w:rsidR="00E24FDC" w:rsidRDefault="00E24FDC" w:rsidP="00E24FDC">
      <w:pPr>
        <w:ind w:left="709" w:right="709"/>
        <w:jc w:val="both"/>
        <w:rPr>
          <w:rFonts w:ascii="Arial" w:hAnsi="Arial" w:cs="Arial"/>
          <w:color w:val="000000" w:themeColor="text1"/>
          <w:sz w:val="21"/>
          <w:szCs w:val="21"/>
          <w:lang w:val="es-ES_tradnl"/>
        </w:rPr>
      </w:pPr>
    </w:p>
    <w:p w14:paraId="24A69116" w14:textId="762F96C1" w:rsidR="00CA0646" w:rsidRDefault="00CA0646" w:rsidP="00D5452C">
      <w:pPr>
        <w:spacing w:line="276" w:lineRule="auto"/>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 xml:space="preserve">Aunque la publicación en el SECOP I de los documentos relacionados con la actividad contractual ya era obligatoria para las entidades que cuentan con un régimen especial, el artículo 53 de la Ley 2195 de 2022 –que modifica el artículo 13 de la Ley 1150 de 2007– complementa ese deber con la exigencia de emplear el SECOP II. En otras palabras, en el artículo 53 de la Ley 2195 de 2022 el Congreso de la República dispone que las entidades </w:t>
      </w:r>
      <w:r>
        <w:rPr>
          <w:rFonts w:ascii="Arial" w:eastAsia="Calibri" w:hAnsi="Arial" w:cs="Arial"/>
          <w:color w:val="000000" w:themeColor="text1"/>
          <w:sz w:val="22"/>
          <w:szCs w:val="22"/>
          <w:lang w:val="es-ES_tradnl"/>
        </w:rPr>
        <w:lastRenderedPageBreak/>
        <w:t xml:space="preserve">estatales exceptuadas del Estatuto General de Contratación de la Administración Pública deben tramitar en el SECOP II –es decir en la plataforma transaccional vigente– su actividad contractual. </w:t>
      </w:r>
    </w:p>
    <w:p w14:paraId="2518BD07" w14:textId="77777777" w:rsidR="00CA0646" w:rsidRDefault="00CA0646" w:rsidP="00CA0646">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La Agencia Nacional de Contratación Pública – Colombia Compra Eficiente considera que al establecer el artículo 53 que este deber se debe cumplir en el SECOP II «</w:t>
      </w:r>
      <w:r w:rsidRPr="00CE5988">
        <w:rPr>
          <w:rFonts w:ascii="Arial" w:eastAsia="Calibri" w:hAnsi="Arial" w:cs="Arial"/>
          <w:color w:val="000000" w:themeColor="text1"/>
          <w:sz w:val="22"/>
          <w:szCs w:val="22"/>
          <w:lang w:val="es-ES_tradnl"/>
        </w:rPr>
        <w:t>o la plataforma transaccional que haga sus veces</w:t>
      </w:r>
      <w:r>
        <w:rPr>
          <w:rFonts w:ascii="Arial" w:eastAsia="Calibri" w:hAnsi="Arial" w:cs="Arial"/>
          <w:color w:val="000000" w:themeColor="text1"/>
          <w:sz w:val="22"/>
          <w:szCs w:val="22"/>
          <w:lang w:val="es-ES_tradnl"/>
        </w:rPr>
        <w:t>» esto debe interpretarse en el sentido en que a pesar de que en la actualidad es el SECOP II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 No considera esta Agencia que, al utilizar la norma la expresión indicada, deba entenderse que las entidades exceptuadas del Estatuto General de Contratación de la Administración Pública pueden emplear sus páginas web o sus propios portales electrónicos, para realizar, a través de ellos, el procedimiento contractual, pues, precisamente, el artículo 53 de la Ley 2195 de 2022 unifica el régimen transaccional de las entidades estatales en una sola plataforma, actualmente denominada SECOP II. Con esto se logra que la ciudadanía pueda encontrar en un mismo sistema la gestión de la actividad contractual del Estado, garantizándose en mayor grado la transparencia y el acceso a la documentación pública.</w:t>
      </w:r>
    </w:p>
    <w:p w14:paraId="41188CAF" w14:textId="1B753352" w:rsidR="00CA0646" w:rsidRDefault="00CA0646" w:rsidP="00CA0646">
      <w:pPr>
        <w:spacing w:before="120" w:line="276" w:lineRule="auto"/>
        <w:ind w:firstLine="709"/>
        <w:jc w:val="both"/>
        <w:rPr>
          <w:rFonts w:ascii="Arial" w:eastAsia="Calibri" w:hAnsi="Arial" w:cs="Arial"/>
          <w:color w:val="000000" w:themeColor="text1"/>
          <w:sz w:val="22"/>
          <w:szCs w:val="22"/>
          <w:lang w:val="es-ES_tradnl"/>
        </w:rPr>
      </w:pPr>
      <w:r>
        <w:rPr>
          <w:rFonts w:ascii="Arial" w:eastAsia="Calibri" w:hAnsi="Arial" w:cs="Arial"/>
          <w:color w:val="000000" w:themeColor="text1"/>
          <w:sz w:val="22"/>
          <w:szCs w:val="22"/>
          <w:lang w:val="es-ES_tradnl"/>
        </w:rPr>
        <w:t>El referido artículo dispone, en el inciso final, que «</w:t>
      </w:r>
      <w:r w:rsidRPr="00FC3E45">
        <w:rPr>
          <w:rFonts w:ascii="Arial" w:eastAsia="Calibri" w:hAnsi="Arial" w:cs="Arial"/>
          <w:color w:val="000000" w:themeColor="text1"/>
          <w:sz w:val="22"/>
          <w:szCs w:val="22"/>
          <w:lang w:val="es-ES_tradnl"/>
        </w:rPr>
        <w:t xml:space="preserve">A partir de la </w:t>
      </w:r>
      <w:proofErr w:type="gramStart"/>
      <w:r w:rsidRPr="00FC3E45">
        <w:rPr>
          <w:rFonts w:ascii="Arial" w:eastAsia="Calibri" w:hAnsi="Arial" w:cs="Arial"/>
          <w:color w:val="000000" w:themeColor="text1"/>
          <w:sz w:val="22"/>
          <w:szCs w:val="22"/>
          <w:lang w:val="es-ES_tradnl"/>
        </w:rPr>
        <w:t>entrada en vigencia</w:t>
      </w:r>
      <w:proofErr w:type="gramEnd"/>
      <w:r w:rsidRPr="00FC3E45">
        <w:rPr>
          <w:rFonts w:ascii="Arial" w:eastAsia="Calibri" w:hAnsi="Arial" w:cs="Arial"/>
          <w:color w:val="000000" w:themeColor="text1"/>
          <w:sz w:val="22"/>
          <w:szCs w:val="22"/>
          <w:lang w:val="es-ES_tradnl"/>
        </w:rPr>
        <w:t xml:space="preserve"> de la presente Ley, se establecerá un periodo de transición de seis (6) meses, para que las entidades den cumplimiento efectivo a lo aquí establecido</w:t>
      </w:r>
      <w:r>
        <w:rPr>
          <w:rFonts w:ascii="Arial" w:eastAsia="Calibri" w:hAnsi="Arial" w:cs="Arial"/>
          <w:color w:val="000000" w:themeColor="text1"/>
          <w:sz w:val="22"/>
          <w:szCs w:val="22"/>
          <w:lang w:val="es-ES_tradnl"/>
        </w:rPr>
        <w:t>»</w:t>
      </w:r>
      <w:r w:rsidRPr="00FC3E45">
        <w:rPr>
          <w:rFonts w:ascii="Arial" w:eastAsia="Calibri" w:hAnsi="Arial" w:cs="Arial"/>
          <w:color w:val="000000" w:themeColor="text1"/>
          <w:sz w:val="22"/>
          <w:szCs w:val="22"/>
          <w:lang w:val="es-ES_tradnl"/>
        </w:rPr>
        <w:t>.</w:t>
      </w:r>
      <w:r>
        <w:rPr>
          <w:rFonts w:ascii="Arial" w:eastAsia="Calibri" w:hAnsi="Arial" w:cs="Arial"/>
          <w:color w:val="000000" w:themeColor="text1"/>
          <w:sz w:val="22"/>
          <w:szCs w:val="22"/>
          <w:lang w:val="es-ES_tradnl"/>
        </w:rPr>
        <w:t xml:space="preserve"> Es decir que se trata un período concedido por el Legislador a las entidades que tienen un régimen especial de contratación para adelantar las gestiones administrativas, técnicas y jurídicas pertinentes, a fin de cumplir lo establecido en el artículo 53. La Agencia Nacional de Contratación Pública – Colombia Compra Eficiente también </w:t>
      </w:r>
      <w:r w:rsidR="00446CA4">
        <w:rPr>
          <w:rFonts w:ascii="Arial" w:eastAsia="Calibri" w:hAnsi="Arial" w:cs="Arial"/>
          <w:color w:val="000000" w:themeColor="text1"/>
          <w:sz w:val="22"/>
          <w:szCs w:val="22"/>
          <w:lang w:val="es-ES_tradnl"/>
        </w:rPr>
        <w:t xml:space="preserve">puede </w:t>
      </w:r>
      <w:r>
        <w:rPr>
          <w:rFonts w:ascii="Arial" w:eastAsia="Calibri" w:hAnsi="Arial" w:cs="Arial"/>
          <w:color w:val="000000" w:themeColor="text1"/>
          <w:sz w:val="22"/>
          <w:szCs w:val="22"/>
          <w:lang w:val="es-ES_tradnl"/>
        </w:rPr>
        <w:t>impartir directrices sobre este tema a través de sus instrumentos doctrinarios y reglamentarios.</w:t>
      </w:r>
    </w:p>
    <w:p w14:paraId="5760A6AA" w14:textId="77777777" w:rsidR="00446CA4" w:rsidRPr="007D3C7F" w:rsidRDefault="00446CA4" w:rsidP="00446CA4">
      <w:pPr>
        <w:spacing w:before="120" w:line="276" w:lineRule="auto"/>
        <w:ind w:firstLine="709"/>
        <w:jc w:val="both"/>
        <w:rPr>
          <w:rFonts w:ascii="Arial" w:eastAsia="Calibri" w:hAnsi="Arial" w:cs="Arial"/>
          <w:color w:val="000000"/>
          <w:sz w:val="22"/>
          <w:szCs w:val="22"/>
          <w:lang w:val="es-ES_tradnl"/>
        </w:rPr>
      </w:pPr>
      <w:r w:rsidRPr="00A773E0">
        <w:rPr>
          <w:rFonts w:ascii="Arial" w:eastAsia="Calibri" w:hAnsi="Arial" w:cs="Arial"/>
          <w:color w:val="000000" w:themeColor="text1"/>
          <w:sz w:val="22"/>
          <w:szCs w:val="22"/>
          <w:lang w:val="es-ES_tradnl"/>
        </w:rPr>
        <w:t>En efecto</w:t>
      </w:r>
      <w:r w:rsidRPr="00446CA4">
        <w:rPr>
          <w:rFonts w:ascii="Arial" w:eastAsia="Calibri" w:hAnsi="Arial" w:cs="Arial"/>
          <w:color w:val="000000" w:themeColor="text1"/>
          <w:sz w:val="22"/>
          <w:szCs w:val="22"/>
          <w:lang w:val="es-ES_tradnl"/>
        </w:rPr>
        <w:t xml:space="preserve">, </w:t>
      </w:r>
      <w:r w:rsidRPr="007D3C7F">
        <w:rPr>
          <w:rFonts w:ascii="Arial" w:eastAsia="Calibri" w:hAnsi="Arial" w:cs="Arial"/>
          <w:color w:val="000000"/>
          <w:sz w:val="22"/>
          <w:szCs w:val="22"/>
          <w:lang w:val="es-ES_tradnl"/>
        </w:rPr>
        <w:t>la Agencia tiene la facultad de establecer instrumentos jurídicos para el manejo, uso e implementación del Sistema Electrónico de Contratación Pública – SECOP</w:t>
      </w:r>
      <w:r w:rsidRPr="00A773E0">
        <w:rPr>
          <w:rFonts w:ascii="Arial" w:eastAsia="Calibri" w:hAnsi="Arial" w:cs="Arial"/>
          <w:color w:val="000000"/>
          <w:sz w:val="22"/>
          <w:szCs w:val="22"/>
          <w:lang w:val="es-ES_tradnl"/>
        </w:rPr>
        <w:t>.</w:t>
      </w:r>
      <w:r w:rsidRPr="007D3C7F">
        <w:rPr>
          <w:rFonts w:ascii="Arial" w:eastAsia="Calibri" w:hAnsi="Arial" w:cs="Arial"/>
          <w:color w:val="000000"/>
          <w:sz w:val="22"/>
          <w:szCs w:val="22"/>
          <w:lang w:val="es-ES_tradnl"/>
        </w:rPr>
        <w:t xml:space="preserve"> Bajo este entendimiento, la Agencia Nacional de Contratación Pública – Colombia Compra Eficiente expidió la Circular Externa 002 del 17 de marzo de 2022</w:t>
      </w:r>
      <w:r w:rsidRPr="00A773E0">
        <w:rPr>
          <w:rStyle w:val="Refdenotaalpie"/>
          <w:rFonts w:ascii="Arial" w:eastAsia="Calibri" w:hAnsi="Arial" w:cs="Arial"/>
          <w:color w:val="000000"/>
          <w:sz w:val="22"/>
          <w:szCs w:val="22"/>
          <w:lang w:val="es-ES_tradnl"/>
        </w:rPr>
        <w:footnoteReference w:id="13"/>
      </w:r>
      <w:r w:rsidRPr="007D3C7F">
        <w:rPr>
          <w:rFonts w:ascii="Arial" w:eastAsia="Calibri" w:hAnsi="Arial" w:cs="Arial"/>
          <w:color w:val="000000"/>
          <w:sz w:val="22"/>
          <w:szCs w:val="22"/>
          <w:lang w:val="es-ES_tradnl"/>
        </w:rPr>
        <w:t>, en la que impartió directrices sobre este tema</w:t>
      </w:r>
      <w:r w:rsidRPr="00A773E0">
        <w:rPr>
          <w:rFonts w:ascii="Arial" w:eastAsia="Calibri" w:hAnsi="Arial" w:cs="Arial"/>
          <w:color w:val="000000"/>
          <w:sz w:val="22"/>
          <w:szCs w:val="22"/>
          <w:lang w:val="es-ES_tradnl"/>
        </w:rPr>
        <w:t>,</w:t>
      </w:r>
      <w:r w:rsidRPr="007D3C7F">
        <w:rPr>
          <w:rFonts w:ascii="Arial" w:eastAsia="Calibri" w:hAnsi="Arial" w:cs="Arial"/>
          <w:color w:val="000000"/>
          <w:sz w:val="22"/>
          <w:szCs w:val="22"/>
          <w:lang w:val="es-ES_tradnl"/>
        </w:rPr>
        <w:t xml:space="preserve"> indicando que:</w:t>
      </w:r>
    </w:p>
    <w:p w14:paraId="31E69D1A" w14:textId="77777777" w:rsidR="00446CA4" w:rsidRPr="007D3C7F" w:rsidRDefault="00446CA4" w:rsidP="00446CA4">
      <w:pPr>
        <w:spacing w:before="120" w:line="276" w:lineRule="auto"/>
        <w:ind w:left="709" w:right="709"/>
        <w:jc w:val="both"/>
        <w:rPr>
          <w:rFonts w:ascii="Arial" w:hAnsi="Arial" w:cs="Arial"/>
          <w:sz w:val="21"/>
          <w:szCs w:val="21"/>
        </w:rPr>
      </w:pPr>
      <w:r w:rsidRPr="007D3C7F">
        <w:rPr>
          <w:rFonts w:ascii="Arial" w:hAnsi="Arial" w:cs="Arial"/>
          <w:sz w:val="21"/>
          <w:szCs w:val="21"/>
        </w:rPr>
        <w:t xml:space="preserve">En ese orden de ideas, las entidades estatales que tengan un régimen especial de contratación y que actualmente no se encuentran en la obligación de utilizar </w:t>
      </w:r>
      <w:r w:rsidRPr="007D3C7F">
        <w:rPr>
          <w:rFonts w:ascii="Arial" w:hAnsi="Arial" w:cs="Arial"/>
          <w:sz w:val="21"/>
          <w:szCs w:val="21"/>
        </w:rPr>
        <w:lastRenderedPageBreak/>
        <w:t xml:space="preserve">para estos efectos esta plataforma transaccional, tienen un plazo de seis (6) meses para empezar a publicar sus procesos por medio del SECOP II. </w:t>
      </w:r>
    </w:p>
    <w:p w14:paraId="7725C403" w14:textId="77777777" w:rsidR="00446CA4" w:rsidRPr="007D3C7F" w:rsidRDefault="00446CA4" w:rsidP="00446CA4">
      <w:pPr>
        <w:spacing w:before="120" w:line="276" w:lineRule="auto"/>
        <w:ind w:left="709" w:right="709"/>
        <w:jc w:val="both"/>
        <w:rPr>
          <w:rFonts w:ascii="Arial" w:hAnsi="Arial" w:cs="Arial"/>
          <w:b/>
          <w:bCs/>
          <w:sz w:val="21"/>
          <w:szCs w:val="21"/>
        </w:rPr>
      </w:pPr>
      <w:r w:rsidRPr="007D3C7F">
        <w:rPr>
          <w:rFonts w:ascii="Arial" w:hAnsi="Arial" w:cs="Arial"/>
          <w:b/>
          <w:bCs/>
          <w:sz w:val="21"/>
          <w:szCs w:val="21"/>
        </w:rPr>
        <w:t>1.1. Fecha y alcance de la obligatoriedad del SECOP 11 en 2022 para las entidades estatales que en su gestión contractual cuentan con un régimen excepcional al del Estatuto General de Contratación de la Administración Pública.</w:t>
      </w:r>
    </w:p>
    <w:p w14:paraId="7EDD918F" w14:textId="77777777" w:rsidR="00446CA4" w:rsidRPr="007D3C7F" w:rsidRDefault="00446CA4" w:rsidP="00446CA4">
      <w:pPr>
        <w:spacing w:before="120" w:line="276" w:lineRule="auto"/>
        <w:ind w:left="709" w:right="709"/>
        <w:jc w:val="both"/>
        <w:rPr>
          <w:rFonts w:ascii="Arial" w:hAnsi="Arial" w:cs="Arial"/>
          <w:sz w:val="21"/>
          <w:szCs w:val="21"/>
        </w:rPr>
      </w:pPr>
      <w:r w:rsidRPr="007D3C7F">
        <w:rPr>
          <w:rFonts w:ascii="Arial" w:hAnsi="Arial" w:cs="Arial"/>
          <w:sz w:val="21"/>
          <w:szCs w:val="21"/>
        </w:rPr>
        <w:t xml:space="preserve">Para la vigencia 2022 las entidades que apliquen un régimen especial de contratación de acuerdo con lo preceptuado en la Ley 2195 de 2022, tienen un período de transición de seis (6) meses para publicar todos los documentos relacionados con su actividad contractual en la plataforma del SECOP II. </w:t>
      </w:r>
    </w:p>
    <w:p w14:paraId="15261F80" w14:textId="77777777" w:rsidR="00446CA4" w:rsidRPr="007D3C7F" w:rsidRDefault="00446CA4" w:rsidP="00446CA4">
      <w:pPr>
        <w:spacing w:before="120" w:line="276" w:lineRule="auto"/>
        <w:ind w:left="709" w:right="709"/>
        <w:jc w:val="both"/>
        <w:rPr>
          <w:rFonts w:ascii="Arial" w:hAnsi="Arial" w:cs="Arial"/>
          <w:sz w:val="21"/>
          <w:szCs w:val="21"/>
        </w:rPr>
      </w:pPr>
      <w:r w:rsidRPr="007D3C7F">
        <w:rPr>
          <w:rFonts w:ascii="Arial" w:hAnsi="Arial" w:cs="Arial"/>
          <w:sz w:val="21"/>
          <w:szCs w:val="21"/>
        </w:rPr>
        <w:t>En consecuencia, su uso obligatorio empezará a regir a partir del 18 de julio de 2022, 23:59 horas, sin que sea posible por vía reglamentaria o en sus reglamentos internos de contratación -también conocidos como “Manuales de Contratación"-</w:t>
      </w:r>
      <w:r w:rsidRPr="00A773E0">
        <w:rPr>
          <w:rFonts w:ascii="Arial" w:hAnsi="Arial" w:cs="Arial"/>
          <w:sz w:val="21"/>
          <w:szCs w:val="21"/>
        </w:rPr>
        <w:t xml:space="preserve"> </w:t>
      </w:r>
      <w:r w:rsidRPr="007D3C7F">
        <w:rPr>
          <w:rFonts w:ascii="Arial" w:hAnsi="Arial" w:cs="Arial"/>
          <w:sz w:val="21"/>
          <w:szCs w:val="21"/>
        </w:rPr>
        <w:t xml:space="preserve">hacer extensivo el plazo previsto en la Ley. </w:t>
      </w:r>
    </w:p>
    <w:p w14:paraId="72933169" w14:textId="77777777" w:rsidR="00446CA4" w:rsidRPr="007D3C7F" w:rsidRDefault="00446CA4" w:rsidP="00446CA4">
      <w:pPr>
        <w:spacing w:before="120" w:line="276" w:lineRule="auto"/>
        <w:ind w:left="709" w:right="709"/>
        <w:jc w:val="both"/>
        <w:rPr>
          <w:rFonts w:ascii="Arial" w:eastAsia="Calibri" w:hAnsi="Arial" w:cs="Arial"/>
          <w:color w:val="000000"/>
          <w:sz w:val="21"/>
          <w:szCs w:val="21"/>
          <w:lang w:val="es-ES_tradnl"/>
        </w:rPr>
      </w:pPr>
      <w:r w:rsidRPr="007D3C7F">
        <w:rPr>
          <w:rFonts w:ascii="Arial" w:hAnsi="Arial" w:cs="Arial"/>
          <w:sz w:val="21"/>
          <w:szCs w:val="21"/>
        </w:rPr>
        <w:t>Todos los procesos de contratación creados en el SECOP I antes del 18 de julio de 2022, 23:59 horas, por parte de estas entidades estatales, podrán continuar siendo gestionados en esta plataforma.</w:t>
      </w:r>
    </w:p>
    <w:p w14:paraId="2575AFEB" w14:textId="1521C262" w:rsidR="00103849" w:rsidRPr="00A86DA1" w:rsidRDefault="00103849" w:rsidP="00A86DA1">
      <w:pPr>
        <w:spacing w:before="120" w:line="276" w:lineRule="auto"/>
        <w:jc w:val="both"/>
        <w:rPr>
          <w:rFonts w:ascii="Arial" w:eastAsia="Calibri" w:hAnsi="Arial" w:cs="Arial"/>
          <w:color w:val="000000"/>
          <w:sz w:val="22"/>
          <w:szCs w:val="22"/>
          <w:lang w:val="es-ES" w:eastAsia="es-ES"/>
        </w:rPr>
      </w:pPr>
    </w:p>
    <w:p w14:paraId="7B2C921D" w14:textId="52F1E89D" w:rsidR="00DD5B04" w:rsidRPr="00B00C57" w:rsidRDefault="00DD5B04" w:rsidP="00DF76A2">
      <w:pPr>
        <w:spacing w:line="276" w:lineRule="auto"/>
        <w:jc w:val="both"/>
        <w:rPr>
          <w:rFonts w:ascii="Arial" w:hAnsi="Arial" w:cs="Arial"/>
          <w:color w:val="000000" w:themeColor="text1"/>
          <w:sz w:val="22"/>
          <w:lang w:val="es-ES_tradnl"/>
        </w:rPr>
      </w:pPr>
      <w:r w:rsidRPr="00B00C57">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B00C5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7B8CF213" w:rsidR="00DD5B04" w:rsidRPr="00B00C57"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B00C57">
        <w:rPr>
          <w:rFonts w:ascii="Arial" w:hAnsi="Arial" w:cs="Arial"/>
          <w:color w:val="000000" w:themeColor="text1"/>
          <w:sz w:val="22"/>
          <w:szCs w:val="22"/>
          <w:lang w:val="es-ES_tradnl"/>
        </w:rPr>
        <w:t>Atentamente,</w:t>
      </w:r>
    </w:p>
    <w:p w14:paraId="692FC307" w14:textId="210AA6B5" w:rsidR="00921304" w:rsidRPr="00B00C57" w:rsidRDefault="009213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7680E04" w14:textId="77777777" w:rsidR="00550E0F" w:rsidRPr="00B00C57" w:rsidRDefault="00550E0F" w:rsidP="00550E0F">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3DEE5704" w14:textId="63323244" w:rsidR="00550E0F" w:rsidRPr="00B00C57" w:rsidRDefault="008231E0" w:rsidP="008231E0">
      <w:pPr>
        <w:pStyle w:val="NormalWeb"/>
        <w:spacing w:before="0" w:beforeAutospacing="0" w:after="0" w:afterAutospacing="0" w:line="276" w:lineRule="auto"/>
        <w:jc w:val="center"/>
        <w:rPr>
          <w:rFonts w:ascii="Arial" w:hAnsi="Arial" w:cs="Arial"/>
          <w:color w:val="000000" w:themeColor="text1"/>
          <w:lang w:val="es-ES_tradnl"/>
        </w:rPr>
      </w:pPr>
      <w:r>
        <w:rPr>
          <w:noProof/>
        </w:rPr>
        <w:drawing>
          <wp:inline distT="0" distB="0" distL="0" distR="0" wp14:anchorId="17BF530A" wp14:editId="21E17589">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7B8D0AB1" w14:textId="77777777" w:rsidR="00550E0F" w:rsidRPr="00B00C57" w:rsidRDefault="00550E0F" w:rsidP="00550E0F">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50E0F" w:rsidRPr="00B00C57" w14:paraId="548478F1" w14:textId="77777777" w:rsidTr="000C1AFE">
        <w:trPr>
          <w:trHeight w:val="315"/>
        </w:trPr>
        <w:tc>
          <w:tcPr>
            <w:tcW w:w="812" w:type="dxa"/>
            <w:vAlign w:val="center"/>
            <w:hideMark/>
          </w:tcPr>
          <w:p w14:paraId="6CE02B20" w14:textId="77777777" w:rsidR="00550E0F" w:rsidRPr="00B00C57" w:rsidRDefault="00550E0F" w:rsidP="000C1AFE">
            <w:pPr>
              <w:jc w:val="both"/>
              <w:rPr>
                <w:rFonts w:ascii="Arial" w:hAnsi="Arial" w:cs="Arial"/>
                <w:color w:val="000000" w:themeColor="text1"/>
                <w:sz w:val="16"/>
                <w:szCs w:val="16"/>
                <w:lang w:val="es-ES_tradnl" w:eastAsia="es-ES"/>
              </w:rPr>
            </w:pPr>
            <w:r w:rsidRPr="00B00C5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6EE34A28" w14:textId="77777777" w:rsidR="00550E0F" w:rsidRPr="00B00C57" w:rsidRDefault="00550E0F" w:rsidP="000C1AFE">
            <w:pPr>
              <w:jc w:val="both"/>
              <w:rPr>
                <w:rFonts w:ascii="Arial" w:hAnsi="Arial" w:cs="Arial"/>
                <w:color w:val="000000" w:themeColor="text1"/>
                <w:sz w:val="16"/>
                <w:szCs w:val="16"/>
                <w:lang w:val="es-ES_tradnl" w:eastAsia="es-ES"/>
              </w:rPr>
            </w:pPr>
            <w:r w:rsidRPr="00B00C57">
              <w:rPr>
                <w:rFonts w:ascii="Arial" w:hAnsi="Arial" w:cs="Arial"/>
                <w:color w:val="000000" w:themeColor="text1"/>
                <w:sz w:val="16"/>
                <w:szCs w:val="16"/>
                <w:lang w:val="es-ES_tradnl" w:eastAsia="es-ES"/>
              </w:rPr>
              <w:t>Cristian Andrés Díaz Díez</w:t>
            </w:r>
          </w:p>
          <w:p w14:paraId="20A0D127" w14:textId="77777777" w:rsidR="00550E0F" w:rsidRPr="00B00C57" w:rsidRDefault="00550E0F" w:rsidP="000C1AFE">
            <w:pPr>
              <w:jc w:val="both"/>
              <w:rPr>
                <w:rFonts w:ascii="Arial" w:hAnsi="Arial" w:cs="Arial"/>
                <w:color w:val="000000" w:themeColor="text1"/>
                <w:sz w:val="16"/>
                <w:szCs w:val="16"/>
                <w:lang w:val="es-ES_tradnl" w:eastAsia="es-ES"/>
              </w:rPr>
            </w:pPr>
            <w:r w:rsidRPr="00B00C57">
              <w:rPr>
                <w:rFonts w:ascii="Arial" w:hAnsi="Arial" w:cs="Arial"/>
                <w:color w:val="000000" w:themeColor="text1"/>
                <w:sz w:val="16"/>
                <w:szCs w:val="16"/>
                <w:lang w:val="es-ES_tradnl" w:eastAsia="es-ES"/>
              </w:rPr>
              <w:t>Contratista de la Subdirección de Gestión Contractual</w:t>
            </w:r>
          </w:p>
        </w:tc>
      </w:tr>
      <w:tr w:rsidR="00550E0F" w:rsidRPr="00B00C57" w14:paraId="66AB6DD3" w14:textId="77777777" w:rsidTr="000C1AFE">
        <w:trPr>
          <w:trHeight w:val="330"/>
        </w:trPr>
        <w:tc>
          <w:tcPr>
            <w:tcW w:w="812" w:type="dxa"/>
            <w:vAlign w:val="center"/>
            <w:hideMark/>
          </w:tcPr>
          <w:p w14:paraId="7920A318" w14:textId="77777777" w:rsidR="00550E0F" w:rsidRPr="00B00C57" w:rsidRDefault="00550E0F" w:rsidP="000C1AFE">
            <w:pPr>
              <w:jc w:val="both"/>
              <w:rPr>
                <w:rFonts w:ascii="Arial" w:hAnsi="Arial" w:cs="Arial"/>
                <w:color w:val="000000" w:themeColor="text1"/>
                <w:sz w:val="16"/>
                <w:szCs w:val="16"/>
                <w:lang w:val="es-ES_tradnl" w:eastAsia="es-ES"/>
              </w:rPr>
            </w:pPr>
            <w:r w:rsidRPr="00B00C5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41DBEFC" w14:textId="0E808C19" w:rsidR="00550E0F" w:rsidRPr="00B00C57" w:rsidRDefault="00001B5D" w:rsidP="000C1AFE">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Montoya Penagos</w:t>
            </w:r>
          </w:p>
          <w:p w14:paraId="3434BFB6" w14:textId="1EA7AE42" w:rsidR="00550E0F" w:rsidRPr="00001B5D" w:rsidRDefault="00001B5D" w:rsidP="000C1AFE">
            <w:pPr>
              <w:jc w:val="both"/>
              <w:rPr>
                <w:rFonts w:ascii="Arial" w:hAnsi="Arial" w:cs="Arial"/>
                <w:color w:val="000000" w:themeColor="text1"/>
                <w:sz w:val="16"/>
                <w:szCs w:val="16"/>
                <w:lang w:eastAsia="es-ES"/>
              </w:rPr>
            </w:pPr>
            <w:r w:rsidRPr="00001B5D">
              <w:rPr>
                <w:rFonts w:ascii="Arial" w:hAnsi="Arial" w:cs="Arial"/>
                <w:color w:val="000000" w:themeColor="text1"/>
                <w:sz w:val="16"/>
                <w:szCs w:val="16"/>
                <w:lang w:val="es-ES_tradnl" w:eastAsia="es-ES"/>
              </w:rPr>
              <w:t>Gestor T1-15 de la Subdirección de Gestión Contractual</w:t>
            </w:r>
          </w:p>
        </w:tc>
      </w:tr>
      <w:tr w:rsidR="00550E0F" w:rsidRPr="00B00C57" w14:paraId="77FD8DA8" w14:textId="77777777" w:rsidTr="000C1AFE">
        <w:trPr>
          <w:trHeight w:val="300"/>
        </w:trPr>
        <w:tc>
          <w:tcPr>
            <w:tcW w:w="812" w:type="dxa"/>
            <w:vAlign w:val="center"/>
            <w:hideMark/>
          </w:tcPr>
          <w:p w14:paraId="59A12725" w14:textId="77777777" w:rsidR="00550E0F" w:rsidRPr="00B00C57" w:rsidRDefault="00550E0F" w:rsidP="000C1AFE">
            <w:pPr>
              <w:jc w:val="both"/>
              <w:rPr>
                <w:rFonts w:ascii="Arial" w:hAnsi="Arial" w:cs="Arial"/>
                <w:color w:val="000000" w:themeColor="text1"/>
                <w:sz w:val="16"/>
                <w:szCs w:val="16"/>
                <w:lang w:val="es-ES_tradnl" w:eastAsia="es-ES"/>
              </w:rPr>
            </w:pPr>
            <w:r w:rsidRPr="00B00C5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6679B13" w14:textId="77777777" w:rsidR="00550E0F" w:rsidRPr="00B00C57" w:rsidRDefault="00550E0F" w:rsidP="000C1AFE">
            <w:pPr>
              <w:jc w:val="both"/>
              <w:rPr>
                <w:rFonts w:ascii="Arial" w:hAnsi="Arial" w:cs="Arial"/>
                <w:color w:val="000000" w:themeColor="text1"/>
                <w:sz w:val="16"/>
                <w:szCs w:val="16"/>
                <w:lang w:val="es-ES_tradnl" w:eastAsia="es-ES"/>
              </w:rPr>
            </w:pPr>
            <w:r w:rsidRPr="00B00C57">
              <w:rPr>
                <w:rFonts w:ascii="Arial" w:hAnsi="Arial" w:cs="Arial"/>
                <w:color w:val="000000" w:themeColor="text1"/>
                <w:sz w:val="16"/>
                <w:szCs w:val="16"/>
                <w:lang w:val="es-ES_tradnl" w:eastAsia="es-ES"/>
              </w:rPr>
              <w:t>Jorge Augusto Tirado Navarro</w:t>
            </w:r>
          </w:p>
          <w:p w14:paraId="1FB4D935" w14:textId="77777777" w:rsidR="00550E0F" w:rsidRPr="00B00C57" w:rsidRDefault="00550E0F" w:rsidP="000C1AFE">
            <w:pPr>
              <w:jc w:val="both"/>
              <w:rPr>
                <w:rFonts w:ascii="Arial" w:hAnsi="Arial" w:cs="Arial"/>
                <w:color w:val="000000" w:themeColor="text1"/>
                <w:sz w:val="16"/>
                <w:szCs w:val="16"/>
                <w:lang w:val="es-ES_tradnl" w:eastAsia="es-ES"/>
              </w:rPr>
            </w:pPr>
            <w:r w:rsidRPr="00B00C57">
              <w:rPr>
                <w:rFonts w:ascii="Arial" w:hAnsi="Arial" w:cs="Arial"/>
                <w:color w:val="000000" w:themeColor="text1"/>
                <w:sz w:val="16"/>
                <w:szCs w:val="16"/>
                <w:lang w:val="es-ES_tradnl" w:eastAsia="es-ES"/>
              </w:rPr>
              <w:t>Subdirector de Gestión Contractual ANCP – CCE</w:t>
            </w:r>
          </w:p>
        </w:tc>
      </w:tr>
    </w:tbl>
    <w:p w14:paraId="55306A34" w14:textId="77777777" w:rsidR="00550E0F" w:rsidRPr="00B00C57" w:rsidRDefault="00550E0F" w:rsidP="00550E0F">
      <w:pPr>
        <w:rPr>
          <w:rFonts w:ascii="Arial" w:hAnsi="Arial" w:cs="Arial"/>
          <w:color w:val="000000" w:themeColor="text1"/>
          <w:lang w:val="es-ES_tradnl"/>
        </w:rPr>
      </w:pPr>
    </w:p>
    <w:p w14:paraId="3D67369D" w14:textId="77777777" w:rsidR="00550E0F" w:rsidRPr="00B00C57" w:rsidRDefault="00550E0F" w:rsidP="00550E0F">
      <w:pPr>
        <w:tabs>
          <w:tab w:val="left" w:pos="3795"/>
        </w:tabs>
        <w:rPr>
          <w:rFonts w:ascii="Arial" w:hAnsi="Arial" w:cs="Arial"/>
          <w:color w:val="000000" w:themeColor="text1"/>
          <w:lang w:val="es-ES_tradnl"/>
        </w:rPr>
      </w:pPr>
      <w:r w:rsidRPr="00B00C57">
        <w:rPr>
          <w:rFonts w:ascii="Arial" w:hAnsi="Arial" w:cs="Arial"/>
          <w:color w:val="000000" w:themeColor="text1"/>
          <w:lang w:val="es-ES_tradnl"/>
        </w:rPr>
        <w:tab/>
      </w:r>
    </w:p>
    <w:p w14:paraId="35B56F46" w14:textId="77777777" w:rsidR="00746E08" w:rsidRPr="00B00C57" w:rsidRDefault="00746E08" w:rsidP="00215B8E">
      <w:pPr>
        <w:jc w:val="both"/>
        <w:rPr>
          <w:rFonts w:ascii="Arial" w:hAnsi="Arial" w:cs="Arial"/>
          <w:lang w:val="es-ES_tradnl"/>
        </w:rPr>
      </w:pPr>
    </w:p>
    <w:sectPr w:rsidR="00746E08" w:rsidRPr="00B00C57"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28377" w14:textId="77777777" w:rsidR="00935B94" w:rsidRDefault="00935B94">
      <w:r>
        <w:separator/>
      </w:r>
    </w:p>
  </w:endnote>
  <w:endnote w:type="continuationSeparator" w:id="0">
    <w:p w14:paraId="1BCC22E5" w14:textId="77777777" w:rsidR="00935B94" w:rsidRDefault="00935B94">
      <w:r>
        <w:continuationSeparator/>
      </w:r>
    </w:p>
  </w:endnote>
  <w:endnote w:type="continuationNotice" w:id="1">
    <w:p w14:paraId="61103FCB" w14:textId="77777777" w:rsidR="00935B94" w:rsidRDefault="00935B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6A59DE" w:rsidRDefault="006A59DE" w:rsidP="00322937">
    <w:pPr>
      <w:pStyle w:val="Sinespaciado"/>
      <w:jc w:val="right"/>
      <w:rPr>
        <w:rFonts w:ascii="Arial" w:hAnsi="Arial" w:cs="Arial"/>
        <w:sz w:val="18"/>
        <w:szCs w:val="18"/>
      </w:rPr>
    </w:pPr>
  </w:p>
  <w:p w14:paraId="7A3785F3" w14:textId="2EF28465"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5714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EF818" w14:textId="77777777" w:rsidR="00935B94" w:rsidRDefault="00935B94">
      <w:r>
        <w:separator/>
      </w:r>
    </w:p>
  </w:footnote>
  <w:footnote w:type="continuationSeparator" w:id="0">
    <w:p w14:paraId="1CD27A66" w14:textId="77777777" w:rsidR="00935B94" w:rsidRDefault="00935B94">
      <w:r>
        <w:continuationSeparator/>
      </w:r>
    </w:p>
  </w:footnote>
  <w:footnote w:type="continuationNotice" w:id="1">
    <w:p w14:paraId="27DF1F61" w14:textId="77777777" w:rsidR="00935B94" w:rsidRDefault="00935B94"/>
  </w:footnote>
  <w:footnote w:id="2">
    <w:p w14:paraId="1978C249" w14:textId="77777777" w:rsidR="009A7FDE" w:rsidRPr="00457258" w:rsidRDefault="009A7FDE" w:rsidP="00CC4344">
      <w:pPr>
        <w:pStyle w:val="Textonotapie"/>
        <w:ind w:firstLine="709"/>
        <w:jc w:val="both"/>
        <w:rPr>
          <w:rFonts w:ascii="Arial" w:hAnsi="Arial" w:cs="Arial"/>
          <w:color w:val="000000" w:themeColor="text1"/>
          <w:sz w:val="19"/>
          <w:szCs w:val="19"/>
        </w:rPr>
      </w:pPr>
      <w:r w:rsidRPr="00457258">
        <w:rPr>
          <w:rStyle w:val="Refdenotaalpie"/>
          <w:rFonts w:ascii="Arial" w:hAnsi="Arial" w:cs="Arial"/>
          <w:color w:val="000000" w:themeColor="text1"/>
          <w:sz w:val="19"/>
          <w:szCs w:val="19"/>
        </w:rPr>
        <w:footnoteRef/>
      </w:r>
      <w:r w:rsidRPr="00457258">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p w14:paraId="48C22F14" w14:textId="77777777" w:rsidR="009A7FDE" w:rsidRPr="00457258" w:rsidRDefault="009A7FDE" w:rsidP="00CC4344">
      <w:pPr>
        <w:pStyle w:val="Textonotapie"/>
        <w:ind w:firstLine="709"/>
        <w:jc w:val="both"/>
        <w:rPr>
          <w:rFonts w:ascii="Arial" w:hAnsi="Arial" w:cs="Arial"/>
          <w:color w:val="000000" w:themeColor="text1"/>
          <w:sz w:val="19"/>
          <w:szCs w:val="19"/>
        </w:rPr>
      </w:pPr>
    </w:p>
  </w:footnote>
  <w:footnote w:id="3">
    <w:p w14:paraId="5C94F3D2" w14:textId="77777777" w:rsidR="009A7FDE" w:rsidRPr="00457258" w:rsidRDefault="009A7FDE" w:rsidP="00CC4344">
      <w:pPr>
        <w:pStyle w:val="Textonotapie"/>
        <w:ind w:firstLine="709"/>
        <w:jc w:val="both"/>
        <w:rPr>
          <w:rFonts w:ascii="Arial" w:hAnsi="Arial" w:cs="Arial"/>
          <w:color w:val="000000" w:themeColor="text1"/>
          <w:sz w:val="19"/>
          <w:szCs w:val="19"/>
        </w:rPr>
      </w:pPr>
      <w:r w:rsidRPr="00457258">
        <w:rPr>
          <w:rStyle w:val="Refdenotaalpie"/>
          <w:rFonts w:ascii="Arial" w:hAnsi="Arial" w:cs="Arial"/>
          <w:color w:val="000000" w:themeColor="text1"/>
          <w:sz w:val="19"/>
          <w:szCs w:val="19"/>
        </w:rPr>
        <w:footnoteRef/>
      </w:r>
      <w:r w:rsidRPr="00457258">
        <w:rPr>
          <w:rFonts w:ascii="Arial" w:hAnsi="Arial" w:cs="Arial"/>
          <w:color w:val="000000" w:themeColor="text1"/>
          <w:sz w:val="19"/>
          <w:szCs w:val="19"/>
        </w:rPr>
        <w:t xml:space="preserve"> </w:t>
      </w:r>
      <w:r w:rsidRPr="00457258">
        <w:rPr>
          <w:rFonts w:ascii="Arial" w:hAnsi="Arial" w:cs="Arial"/>
          <w:color w:val="000000" w:themeColor="text1"/>
          <w:sz w:val="19"/>
          <w:szCs w:val="19"/>
        </w:rPr>
        <w:t>Consejo de Estado. Sección Tercera. Radicado No. 45.607 del 24 de octubre de 2016. Consejera Ponente: María Nubia Velásquez Rico.</w:t>
      </w:r>
    </w:p>
    <w:p w14:paraId="595AAC29" w14:textId="77777777" w:rsidR="009A7FDE" w:rsidRPr="00457258" w:rsidRDefault="009A7FDE" w:rsidP="00CC4344">
      <w:pPr>
        <w:pStyle w:val="Textonotapie"/>
        <w:ind w:firstLine="709"/>
        <w:jc w:val="both"/>
        <w:rPr>
          <w:rFonts w:ascii="Arial" w:hAnsi="Arial" w:cs="Arial"/>
          <w:color w:val="000000" w:themeColor="text1"/>
          <w:sz w:val="19"/>
          <w:szCs w:val="19"/>
          <w:lang w:val="es-ES"/>
        </w:rPr>
      </w:pPr>
    </w:p>
  </w:footnote>
  <w:footnote w:id="4">
    <w:p w14:paraId="068B77D1" w14:textId="77777777" w:rsidR="009A7FDE" w:rsidRPr="00457258" w:rsidRDefault="009A7FDE" w:rsidP="00CC4344">
      <w:pPr>
        <w:pStyle w:val="Textonotapie"/>
        <w:ind w:firstLine="709"/>
        <w:jc w:val="both"/>
        <w:rPr>
          <w:rFonts w:ascii="Arial" w:hAnsi="Arial" w:cs="Arial"/>
          <w:color w:val="000000" w:themeColor="text1"/>
          <w:sz w:val="19"/>
          <w:szCs w:val="19"/>
        </w:rPr>
      </w:pPr>
      <w:r w:rsidRPr="00457258">
        <w:rPr>
          <w:rStyle w:val="Refdenotaalpie"/>
          <w:rFonts w:ascii="Arial" w:hAnsi="Arial" w:cs="Arial"/>
          <w:color w:val="000000" w:themeColor="text1"/>
          <w:sz w:val="19"/>
          <w:szCs w:val="19"/>
        </w:rPr>
        <w:footnoteRef/>
      </w:r>
      <w:r w:rsidRPr="00457258">
        <w:rPr>
          <w:rFonts w:ascii="Arial" w:hAnsi="Arial" w:cs="Arial"/>
          <w:color w:val="000000" w:themeColor="text1"/>
          <w:sz w:val="19"/>
          <w:szCs w:val="19"/>
        </w:rPr>
        <w:t xml:space="preserve"> </w:t>
      </w:r>
      <w:r w:rsidRPr="00457258">
        <w:rPr>
          <w:rFonts w:ascii="Arial" w:hAnsi="Arial" w:cs="Arial"/>
          <w:color w:val="000000" w:themeColor="text1"/>
          <w:sz w:val="19"/>
          <w:szCs w:val="19"/>
        </w:rPr>
        <w:t>Sobre las entidades de régimen especial, se puede consultar su definición y un listado aproximado de este tipo de entidades en: BARRETO MORENO, Antonio A. El derecho de la compra pública. Legis - Universidad de la Sabana, primera edición, Bogotá, 2019.</w:t>
      </w:r>
    </w:p>
    <w:p w14:paraId="2F803504" w14:textId="77777777" w:rsidR="009A7FDE" w:rsidRPr="00457258" w:rsidRDefault="009A7FDE" w:rsidP="00CC4344">
      <w:pPr>
        <w:pStyle w:val="Textonotapie"/>
        <w:ind w:firstLine="709"/>
        <w:jc w:val="both"/>
        <w:rPr>
          <w:rFonts w:ascii="Arial" w:hAnsi="Arial" w:cs="Arial"/>
          <w:color w:val="000000" w:themeColor="text1"/>
          <w:sz w:val="19"/>
          <w:szCs w:val="19"/>
          <w:lang w:val="es-ES"/>
        </w:rPr>
      </w:pPr>
      <w:r w:rsidRPr="00457258">
        <w:rPr>
          <w:rFonts w:ascii="Arial" w:hAnsi="Arial" w:cs="Arial"/>
          <w:color w:val="000000" w:themeColor="text1"/>
          <w:sz w:val="19"/>
          <w:szCs w:val="19"/>
        </w:rPr>
        <w:t xml:space="preserve"> </w:t>
      </w:r>
    </w:p>
  </w:footnote>
  <w:footnote w:id="5">
    <w:p w14:paraId="647E94BF" w14:textId="77777777" w:rsidR="009A7FDE" w:rsidRPr="00457258" w:rsidRDefault="009A7FDE" w:rsidP="00CC4344">
      <w:pPr>
        <w:pStyle w:val="Textonotapie"/>
        <w:ind w:firstLine="709"/>
        <w:jc w:val="both"/>
        <w:rPr>
          <w:rFonts w:ascii="Arial" w:hAnsi="Arial" w:cs="Arial"/>
          <w:color w:val="000000" w:themeColor="text1"/>
          <w:sz w:val="19"/>
          <w:szCs w:val="19"/>
        </w:rPr>
      </w:pPr>
      <w:r w:rsidRPr="00457258">
        <w:rPr>
          <w:rStyle w:val="Refdenotaalpie"/>
          <w:rFonts w:ascii="Arial" w:hAnsi="Arial" w:cs="Arial"/>
          <w:color w:val="000000" w:themeColor="text1"/>
          <w:sz w:val="19"/>
          <w:szCs w:val="19"/>
        </w:rPr>
        <w:footnoteRef/>
      </w:r>
      <w:r w:rsidRPr="00457258">
        <w:rPr>
          <w:rFonts w:ascii="Arial" w:hAnsi="Arial" w:cs="Arial"/>
          <w:color w:val="000000" w:themeColor="text1"/>
          <w:sz w:val="19"/>
          <w:szCs w:val="19"/>
        </w:rPr>
        <w:t xml:space="preserve"> </w:t>
      </w:r>
      <w:r w:rsidRPr="00457258">
        <w:rPr>
          <w:rFonts w:ascii="Arial" w:hAnsi="Arial" w:cs="Arial"/>
          <w:color w:val="000000" w:themeColor="text1"/>
          <w:sz w:val="19"/>
          <w:szCs w:val="19"/>
        </w:rPr>
        <w:t>Este fenómeno también se ha presentado, en los últimos años, en España. Al respecto, ver: SÁNCHEZ MORÓN, Miguel. El retorno del derecho administrativo. En: Revista de Administración Pública. Nº 216 (2018). Disponible en: https://recyt.fecyt.es/index.php/RAP/article/view/67033.</w:t>
      </w:r>
    </w:p>
  </w:footnote>
  <w:footnote w:id="6">
    <w:p w14:paraId="671D495D" w14:textId="77777777" w:rsidR="009A7FDE" w:rsidRPr="00457258" w:rsidRDefault="009A7FDE" w:rsidP="00CC4344">
      <w:pPr>
        <w:pStyle w:val="Textonotapie"/>
        <w:ind w:firstLine="709"/>
        <w:jc w:val="both"/>
        <w:rPr>
          <w:rFonts w:ascii="Arial" w:hAnsi="Arial" w:cs="Arial"/>
          <w:color w:val="000000" w:themeColor="text1"/>
          <w:sz w:val="19"/>
          <w:szCs w:val="19"/>
        </w:rPr>
      </w:pPr>
    </w:p>
    <w:p w14:paraId="699456CA" w14:textId="77777777" w:rsidR="009A7FDE" w:rsidRPr="00457258" w:rsidRDefault="009A7FDE" w:rsidP="00CC4344">
      <w:pPr>
        <w:pStyle w:val="Textonotapie"/>
        <w:ind w:firstLine="709"/>
        <w:jc w:val="both"/>
        <w:rPr>
          <w:rFonts w:ascii="Arial" w:hAnsi="Arial" w:cs="Arial"/>
          <w:color w:val="000000" w:themeColor="text1"/>
          <w:sz w:val="19"/>
          <w:szCs w:val="19"/>
          <w:lang w:val="es-ES"/>
        </w:rPr>
      </w:pPr>
      <w:r w:rsidRPr="00457258">
        <w:rPr>
          <w:rStyle w:val="Refdenotaalpie"/>
          <w:rFonts w:ascii="Arial" w:hAnsi="Arial" w:cs="Arial"/>
          <w:color w:val="000000" w:themeColor="text1"/>
          <w:sz w:val="19"/>
          <w:szCs w:val="19"/>
        </w:rPr>
        <w:footnoteRef/>
      </w:r>
      <w:r w:rsidRPr="00457258">
        <w:rPr>
          <w:rFonts w:ascii="Arial" w:hAnsi="Arial" w:cs="Arial"/>
          <w:color w:val="000000" w:themeColor="text1"/>
          <w:sz w:val="19"/>
          <w:szCs w:val="19"/>
        </w:rPr>
        <w:t xml:space="preserve"> </w:t>
      </w:r>
      <w:r w:rsidRPr="00457258">
        <w:rPr>
          <w:rFonts w:ascii="Arial" w:hAnsi="Arial" w:cs="Arial"/>
          <w:color w:val="000000" w:themeColor="text1"/>
          <w:sz w:val="19"/>
          <w:szCs w:val="19"/>
          <w:lang w:val="es-ES"/>
        </w:rPr>
        <w:t xml:space="preserve">Es el caso de: i) las empresas sociales del Estado (art. 195, </w:t>
      </w:r>
      <w:proofErr w:type="spellStart"/>
      <w:r w:rsidRPr="00457258">
        <w:rPr>
          <w:rFonts w:ascii="Arial" w:hAnsi="Arial" w:cs="Arial"/>
          <w:color w:val="000000" w:themeColor="text1"/>
          <w:sz w:val="19"/>
          <w:szCs w:val="19"/>
          <w:lang w:val="es-ES"/>
        </w:rPr>
        <w:t>num</w:t>
      </w:r>
      <w:proofErr w:type="spellEnd"/>
      <w:r w:rsidRPr="00457258">
        <w:rPr>
          <w:rFonts w:ascii="Arial" w:hAnsi="Arial" w:cs="Arial"/>
          <w:color w:val="000000" w:themeColor="text1"/>
          <w:sz w:val="19"/>
          <w:szCs w:val="19"/>
          <w:lang w:val="es-ES"/>
        </w:rPr>
        <w:t>.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w:t>
      </w:r>
    </w:p>
    <w:p w14:paraId="7AD273B2" w14:textId="77777777" w:rsidR="009A7FDE" w:rsidRPr="00457258" w:rsidRDefault="009A7FDE" w:rsidP="00CC4344">
      <w:pPr>
        <w:pStyle w:val="Textonotapie"/>
        <w:ind w:firstLine="709"/>
        <w:jc w:val="both"/>
        <w:rPr>
          <w:rFonts w:ascii="Arial" w:hAnsi="Arial" w:cs="Arial"/>
          <w:color w:val="000000" w:themeColor="text1"/>
          <w:sz w:val="19"/>
          <w:szCs w:val="19"/>
          <w:lang w:val="es-ES"/>
        </w:rPr>
      </w:pPr>
      <w:r w:rsidRPr="00457258">
        <w:rPr>
          <w:rFonts w:ascii="Arial" w:hAnsi="Arial" w:cs="Arial"/>
          <w:color w:val="000000" w:themeColor="text1"/>
          <w:sz w:val="19"/>
          <w:szCs w:val="19"/>
          <w:lang w:val="es-ES"/>
        </w:rPr>
        <w:t xml:space="preserve"> </w:t>
      </w:r>
    </w:p>
  </w:footnote>
  <w:footnote w:id="7">
    <w:p w14:paraId="76AD7E94" w14:textId="3EFC23D1" w:rsidR="009A7FDE" w:rsidRPr="00457258" w:rsidRDefault="009A7FDE" w:rsidP="00CC4344">
      <w:pPr>
        <w:pStyle w:val="Textonotapie"/>
        <w:ind w:firstLine="709"/>
        <w:jc w:val="both"/>
        <w:rPr>
          <w:rFonts w:ascii="Arial" w:hAnsi="Arial" w:cs="Arial"/>
          <w:color w:val="000000" w:themeColor="text1"/>
          <w:sz w:val="19"/>
          <w:szCs w:val="19"/>
          <w:lang w:val="es-ES"/>
        </w:rPr>
      </w:pPr>
      <w:r w:rsidRPr="00457258">
        <w:rPr>
          <w:rStyle w:val="Refdenotaalpie"/>
          <w:rFonts w:ascii="Arial" w:hAnsi="Arial" w:cs="Arial"/>
          <w:color w:val="000000" w:themeColor="text1"/>
          <w:sz w:val="19"/>
          <w:szCs w:val="19"/>
        </w:rPr>
        <w:footnoteRef/>
      </w:r>
      <w:r w:rsidRPr="00457258">
        <w:rPr>
          <w:rFonts w:ascii="Arial" w:hAnsi="Arial" w:cs="Arial"/>
          <w:color w:val="000000" w:themeColor="text1"/>
          <w:sz w:val="19"/>
          <w:szCs w:val="19"/>
        </w:rPr>
        <w:t xml:space="preserve"> </w:t>
      </w:r>
      <w:r w:rsidRPr="00457258">
        <w:rPr>
          <w:rFonts w:ascii="Arial" w:hAnsi="Arial" w:cs="Arial"/>
          <w:color w:val="000000" w:themeColor="text1"/>
          <w:sz w:val="19"/>
          <w:szCs w:val="19"/>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p w14:paraId="69F6E8C2" w14:textId="77777777" w:rsidR="002B56EA" w:rsidRPr="00457258" w:rsidRDefault="002B56EA" w:rsidP="00CC4344">
      <w:pPr>
        <w:pStyle w:val="Textonotapie"/>
        <w:ind w:firstLine="709"/>
        <w:jc w:val="both"/>
        <w:rPr>
          <w:rFonts w:ascii="Arial" w:hAnsi="Arial" w:cs="Arial"/>
          <w:color w:val="000000" w:themeColor="text1"/>
          <w:sz w:val="19"/>
          <w:szCs w:val="19"/>
          <w:lang w:val="es-ES"/>
        </w:rPr>
      </w:pPr>
    </w:p>
  </w:footnote>
  <w:footnote w:id="8">
    <w:p w14:paraId="78DDEAF9" w14:textId="77777777" w:rsidR="009A7FDE" w:rsidRPr="00457258" w:rsidRDefault="009A7FDE" w:rsidP="00CC4344">
      <w:pPr>
        <w:pStyle w:val="Textonotapie"/>
        <w:ind w:firstLine="709"/>
        <w:jc w:val="both"/>
        <w:rPr>
          <w:rFonts w:ascii="Arial" w:hAnsi="Arial" w:cs="Arial"/>
          <w:color w:val="000000" w:themeColor="text1"/>
          <w:sz w:val="19"/>
          <w:szCs w:val="19"/>
        </w:rPr>
      </w:pPr>
      <w:r w:rsidRPr="00457258">
        <w:rPr>
          <w:rStyle w:val="Refdenotaalpie"/>
          <w:rFonts w:ascii="Arial" w:hAnsi="Arial" w:cs="Arial"/>
          <w:color w:val="000000" w:themeColor="text1"/>
          <w:sz w:val="19"/>
          <w:szCs w:val="19"/>
        </w:rPr>
        <w:footnoteRef/>
      </w:r>
      <w:r w:rsidRPr="00457258">
        <w:rPr>
          <w:rFonts w:ascii="Arial" w:hAnsi="Arial" w:cs="Arial"/>
          <w:color w:val="000000" w:themeColor="text1"/>
          <w:sz w:val="19"/>
          <w:szCs w:val="19"/>
        </w:rPr>
        <w:t xml:space="preserve"> </w:t>
      </w:r>
      <w:r w:rsidRPr="00457258">
        <w:rPr>
          <w:rFonts w:ascii="Arial" w:hAnsi="Arial" w:cs="Arial"/>
          <w:color w:val="000000" w:themeColor="text1"/>
          <w:sz w:val="19"/>
          <w:szCs w:val="19"/>
        </w:rPr>
        <w:t xml:space="preserve">Así lo sostuvo el Consejo de Estado: «Esta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748C525B" w14:textId="77777777" w:rsidR="009A7FDE" w:rsidRPr="00457258" w:rsidRDefault="009A7FDE" w:rsidP="00CC4344">
      <w:pPr>
        <w:pStyle w:val="Textonotapie"/>
        <w:ind w:firstLine="709"/>
        <w:jc w:val="both"/>
        <w:rPr>
          <w:rFonts w:ascii="Arial" w:hAnsi="Arial" w:cs="Arial"/>
          <w:color w:val="000000" w:themeColor="text1"/>
          <w:sz w:val="19"/>
          <w:szCs w:val="19"/>
        </w:rPr>
      </w:pPr>
      <w:r w:rsidRPr="00457258">
        <w:rPr>
          <w:rFonts w:ascii="Arial" w:hAnsi="Arial" w:cs="Arial"/>
          <w:color w:val="000000" w:themeColor="text1"/>
          <w:sz w:val="19"/>
          <w:szCs w:val="19"/>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46406FA9" w14:textId="77777777" w:rsidR="009A7FDE" w:rsidRPr="00457258" w:rsidRDefault="009A7FDE" w:rsidP="00CC4344">
      <w:pPr>
        <w:pStyle w:val="Textonotapie"/>
        <w:ind w:firstLine="709"/>
        <w:jc w:val="both"/>
        <w:rPr>
          <w:rFonts w:ascii="Arial" w:hAnsi="Arial" w:cs="Arial"/>
          <w:color w:val="000000" w:themeColor="text1"/>
          <w:sz w:val="19"/>
          <w:szCs w:val="19"/>
        </w:rPr>
      </w:pPr>
      <w:r w:rsidRPr="00457258">
        <w:rPr>
          <w:rFonts w:ascii="Arial" w:hAnsi="Arial" w:cs="Arial"/>
          <w:color w:val="000000" w:themeColor="text1"/>
          <w:sz w:val="19"/>
          <w:szCs w:val="19"/>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310870F3" w14:textId="77777777" w:rsidR="009A7FDE" w:rsidRPr="00457258" w:rsidRDefault="009A7FDE" w:rsidP="00CC4344">
      <w:pPr>
        <w:pStyle w:val="Textonotapie"/>
        <w:ind w:firstLine="709"/>
        <w:jc w:val="both"/>
        <w:rPr>
          <w:rFonts w:ascii="Arial" w:hAnsi="Arial" w:cs="Arial"/>
          <w:color w:val="000000" w:themeColor="text1"/>
          <w:sz w:val="19"/>
          <w:szCs w:val="19"/>
        </w:rPr>
      </w:pPr>
      <w:r w:rsidRPr="00457258">
        <w:rPr>
          <w:rFonts w:ascii="Arial" w:hAnsi="Arial" w:cs="Arial"/>
          <w:color w:val="000000" w:themeColor="text1"/>
          <w:sz w:val="19"/>
          <w:szCs w:val="19"/>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2BE1E9DA" w14:textId="77777777" w:rsidR="009A7FDE" w:rsidRPr="00457258" w:rsidRDefault="009A7FDE" w:rsidP="00CC4344">
      <w:pPr>
        <w:pStyle w:val="Textonotapie"/>
        <w:ind w:firstLine="709"/>
        <w:jc w:val="both"/>
        <w:rPr>
          <w:rFonts w:ascii="Arial" w:hAnsi="Arial" w:cs="Arial"/>
          <w:color w:val="000000" w:themeColor="text1"/>
          <w:sz w:val="19"/>
          <w:szCs w:val="19"/>
        </w:rPr>
      </w:pPr>
      <w:r w:rsidRPr="00457258">
        <w:rPr>
          <w:rFonts w:ascii="Arial" w:hAnsi="Arial" w:cs="Arial"/>
          <w:color w:val="000000" w:themeColor="text1"/>
          <w:sz w:val="19"/>
          <w:szCs w:val="19"/>
        </w:rPr>
        <w:t xml:space="preserve">»c.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 (Consejo de Estado. Sección Tercera. Subsección C. Sentencia del 8 de abril de 2014. Exp. 25.801 C.P. Enrique Gil Botero). </w:t>
      </w:r>
    </w:p>
    <w:p w14:paraId="14D5264A" w14:textId="77777777" w:rsidR="009A7FDE" w:rsidRPr="00457258" w:rsidRDefault="009A7FDE" w:rsidP="00CC4344">
      <w:pPr>
        <w:pStyle w:val="Textonotapie"/>
        <w:ind w:firstLine="709"/>
        <w:jc w:val="both"/>
        <w:rPr>
          <w:rFonts w:ascii="Arial" w:hAnsi="Arial" w:cs="Arial"/>
          <w:color w:val="000000" w:themeColor="text1"/>
          <w:sz w:val="19"/>
          <w:szCs w:val="19"/>
          <w:lang w:val="es-ES"/>
        </w:rPr>
      </w:pPr>
    </w:p>
  </w:footnote>
  <w:footnote w:id="9">
    <w:p w14:paraId="51E8C01F" w14:textId="77777777" w:rsidR="00BE5679" w:rsidRPr="00457258" w:rsidRDefault="00BE5679" w:rsidP="00CC4344">
      <w:pPr>
        <w:pStyle w:val="Textonotapie"/>
        <w:ind w:firstLine="709"/>
        <w:jc w:val="both"/>
        <w:rPr>
          <w:rFonts w:ascii="Arial" w:hAnsi="Arial" w:cs="Arial"/>
          <w:color w:val="000000" w:themeColor="text1"/>
          <w:sz w:val="19"/>
          <w:szCs w:val="19"/>
        </w:rPr>
      </w:pPr>
      <w:r w:rsidRPr="00457258">
        <w:rPr>
          <w:rStyle w:val="Refdenotaalpie"/>
          <w:rFonts w:ascii="Arial" w:hAnsi="Arial" w:cs="Arial"/>
          <w:color w:val="000000" w:themeColor="text1"/>
          <w:sz w:val="19"/>
          <w:szCs w:val="19"/>
        </w:rPr>
        <w:footnoteRef/>
      </w:r>
      <w:r w:rsidRPr="00457258">
        <w:rPr>
          <w:rFonts w:ascii="Arial" w:hAnsi="Arial" w:cs="Arial"/>
          <w:color w:val="000000" w:themeColor="text1"/>
          <w:sz w:val="19"/>
          <w:szCs w:val="19"/>
        </w:rPr>
        <w:t xml:space="preserve"> </w:t>
      </w:r>
      <w:r w:rsidRPr="00457258">
        <w:rPr>
          <w:rFonts w:ascii="Arial" w:hAnsi="Arial" w:cs="Arial"/>
          <w:color w:val="000000" w:themeColor="text1"/>
          <w:sz w:val="19"/>
          <w:szCs w:val="19"/>
        </w:rPr>
        <w:t>Decreto 4170 de 2011: «Artículo 3. Funciones: La Agencia Nacional de Contratación Pública –Colombia Compra Eficiente– ejercerá las siguientes funciones: [...]</w:t>
      </w:r>
    </w:p>
    <w:p w14:paraId="691F3F66" w14:textId="77777777" w:rsidR="00BE5679" w:rsidRPr="00457258" w:rsidRDefault="00BE5679" w:rsidP="00CC4344">
      <w:pPr>
        <w:pStyle w:val="Textonotapie"/>
        <w:ind w:firstLine="709"/>
        <w:jc w:val="both"/>
        <w:rPr>
          <w:rFonts w:ascii="Arial" w:hAnsi="Arial" w:cs="Arial"/>
          <w:color w:val="000000" w:themeColor="text1"/>
          <w:sz w:val="19"/>
          <w:szCs w:val="19"/>
        </w:rPr>
      </w:pPr>
      <w:r w:rsidRPr="00457258">
        <w:rPr>
          <w:rFonts w:ascii="Arial" w:hAnsi="Arial" w:cs="Arial"/>
          <w:color w:val="000000" w:themeColor="text1"/>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w:t>
      </w:r>
    </w:p>
  </w:footnote>
  <w:footnote w:id="10">
    <w:p w14:paraId="6ED01999" w14:textId="6048AEB7" w:rsidR="00BE5679" w:rsidRPr="00457258" w:rsidRDefault="00BE5679" w:rsidP="00CC4344">
      <w:pPr>
        <w:pStyle w:val="Textonotapie"/>
        <w:ind w:firstLine="709"/>
        <w:jc w:val="both"/>
        <w:rPr>
          <w:rFonts w:ascii="Arial" w:hAnsi="Arial" w:cs="Arial"/>
          <w:color w:val="000000" w:themeColor="text1"/>
          <w:sz w:val="19"/>
          <w:szCs w:val="19"/>
        </w:rPr>
      </w:pPr>
      <w:r w:rsidRPr="00457258">
        <w:rPr>
          <w:rStyle w:val="Refdenotaalpie"/>
          <w:rFonts w:ascii="Arial" w:hAnsi="Arial" w:cs="Arial"/>
          <w:color w:val="000000" w:themeColor="text1"/>
          <w:sz w:val="19"/>
          <w:szCs w:val="19"/>
        </w:rPr>
        <w:footnoteRef/>
      </w:r>
      <w:r w:rsidRPr="00457258">
        <w:rPr>
          <w:rFonts w:ascii="Arial" w:hAnsi="Arial" w:cs="Arial"/>
          <w:color w:val="000000" w:themeColor="text1"/>
          <w:sz w:val="19"/>
          <w:szCs w:val="19"/>
        </w:rPr>
        <w:t xml:space="preserve"> </w:t>
      </w:r>
      <w:r w:rsidRPr="00457258">
        <w:rPr>
          <w:rFonts w:ascii="Arial" w:hAnsi="Arial" w:cs="Arial"/>
          <w:color w:val="000000" w:themeColor="text1"/>
          <w:sz w:val="19"/>
          <w:szCs w:val="19"/>
        </w:rPr>
        <w:t xml:space="preserve">Estos y los otros demás conceptos mencionados pueden ser consultados en la plataforma relatoría de la Agencia, a través del siguiente enlace: </w:t>
      </w:r>
      <w:r w:rsidR="00115B6A" w:rsidRPr="00457258">
        <w:rPr>
          <w:rFonts w:ascii="Arial" w:hAnsi="Arial" w:cs="Arial"/>
          <w:color w:val="000000" w:themeColor="text1"/>
          <w:sz w:val="19"/>
          <w:szCs w:val="19"/>
        </w:rPr>
        <w:t>https://relatoria.colombiacompra.gov.co/busqueda/conceptos</w:t>
      </w:r>
    </w:p>
  </w:footnote>
  <w:footnote w:id="11">
    <w:p w14:paraId="60A1C800" w14:textId="749F055D" w:rsidR="00CC4344" w:rsidRPr="00457258" w:rsidRDefault="00CC4344" w:rsidP="00CC4344">
      <w:pPr>
        <w:ind w:firstLine="709"/>
        <w:jc w:val="both"/>
        <w:rPr>
          <w:rFonts w:ascii="Arial" w:hAnsi="Arial" w:cs="Arial"/>
          <w:color w:val="000000" w:themeColor="text1"/>
          <w:sz w:val="19"/>
          <w:szCs w:val="19"/>
          <w:lang w:val="es-ES_tradnl"/>
        </w:rPr>
      </w:pPr>
      <w:r w:rsidRPr="00457258">
        <w:rPr>
          <w:rStyle w:val="Refdenotaalpie"/>
          <w:rFonts w:ascii="Arial" w:hAnsi="Arial" w:cs="Arial"/>
          <w:color w:val="000000" w:themeColor="text1"/>
          <w:sz w:val="19"/>
          <w:szCs w:val="19"/>
        </w:rPr>
        <w:footnoteRef/>
      </w:r>
      <w:r w:rsidRPr="00457258">
        <w:rPr>
          <w:rFonts w:ascii="Arial" w:hAnsi="Arial" w:cs="Arial"/>
          <w:color w:val="000000" w:themeColor="text1"/>
          <w:sz w:val="19"/>
          <w:szCs w:val="19"/>
        </w:rPr>
        <w:t xml:space="preserve"> </w:t>
      </w:r>
      <w:r w:rsidRPr="00457258">
        <w:rPr>
          <w:rFonts w:ascii="Arial" w:hAnsi="Arial" w:cs="Arial"/>
          <w:color w:val="000000" w:themeColor="text1"/>
          <w:sz w:val="19"/>
          <w:szCs w:val="19"/>
          <w:lang w:val="es-ES"/>
        </w:rPr>
        <w:t xml:space="preserve">Al respecto, basta remitirse a las consideraciones efectuadas por esta Agencia en el </w:t>
      </w:r>
      <w:r w:rsidR="00761202" w:rsidRPr="00457258">
        <w:rPr>
          <w:rFonts w:ascii="Arial" w:hAnsi="Arial" w:cs="Arial"/>
          <w:color w:val="000000" w:themeColor="text1"/>
          <w:sz w:val="19"/>
          <w:szCs w:val="19"/>
          <w:lang w:val="es-ES"/>
        </w:rPr>
        <w:t>C</w:t>
      </w:r>
      <w:r w:rsidRPr="00457258">
        <w:rPr>
          <w:rFonts w:ascii="Arial" w:hAnsi="Arial" w:cs="Arial"/>
          <w:color w:val="000000" w:themeColor="text1"/>
          <w:sz w:val="19"/>
          <w:szCs w:val="19"/>
          <w:lang w:val="es-ES"/>
        </w:rPr>
        <w:t xml:space="preserve">oncepto C-172 del 13 de abril de 2021, en el cual se indicó que las entidades </w:t>
      </w:r>
      <w:r w:rsidR="009F0676" w:rsidRPr="00457258">
        <w:rPr>
          <w:rFonts w:ascii="Arial" w:hAnsi="Arial" w:cs="Arial"/>
          <w:color w:val="000000" w:themeColor="text1"/>
          <w:sz w:val="19"/>
          <w:szCs w:val="19"/>
          <w:lang w:val="es-ES"/>
        </w:rPr>
        <w:t>estatales exceptuadas del Estatuto General de Contratación de la Administración Pública también deben publicar la información oficial de su contratación</w:t>
      </w:r>
      <w:r w:rsidRPr="00457258">
        <w:rPr>
          <w:rFonts w:ascii="Arial" w:hAnsi="Arial" w:cs="Arial"/>
          <w:color w:val="000000" w:themeColor="text1"/>
          <w:sz w:val="19"/>
          <w:szCs w:val="19"/>
          <w:lang w:val="es-ES"/>
        </w:rPr>
        <w:t xml:space="preserve"> «</w:t>
      </w:r>
      <w:r w:rsidRPr="00457258">
        <w:rPr>
          <w:rFonts w:ascii="Arial" w:hAnsi="Arial" w:cs="Arial"/>
          <w:color w:val="000000" w:themeColor="text1"/>
          <w:sz w:val="19"/>
          <w:szCs w:val="19"/>
          <w:lang w:val="es-ES_tradnl"/>
        </w:rPr>
        <w:t xml:space="preserve">Primero, porque </w:t>
      </w:r>
      <w:r w:rsidR="00DA6A95" w:rsidRPr="00457258">
        <w:rPr>
          <w:rFonts w:ascii="Arial" w:hAnsi="Arial" w:cs="Arial"/>
          <w:color w:val="000000" w:themeColor="text1"/>
          <w:sz w:val="19"/>
          <w:szCs w:val="19"/>
          <w:lang w:val="es-ES_tradnl"/>
        </w:rPr>
        <w:t xml:space="preserve">[…] </w:t>
      </w:r>
      <w:r w:rsidRPr="00457258">
        <w:rPr>
          <w:rFonts w:ascii="Arial" w:hAnsi="Arial" w:cs="Arial"/>
          <w:color w:val="000000" w:themeColor="text1"/>
          <w:sz w:val="19"/>
          <w:szCs w:val="19"/>
          <w:lang w:val="es-ES_tradnl"/>
        </w:rPr>
        <w:t xml:space="preserve">el artículo 3, literal c), de la Ley 1150 de 2007 también les resulta aplicable a dichas entidades, independientemente de su régimen contractual. Segundo, porque estas deben garantizar los principios de publicidad y transparencia, previstos en los artículos 209 y 74 de la Constitución Política. Tercero, porque las entidades estatales –incluidas las que se rigen generalmente por el derecho privado en materia contractual–, al ser </w:t>
      </w:r>
      <w:r w:rsidRPr="00457258">
        <w:rPr>
          <w:rFonts w:ascii="Arial" w:hAnsi="Arial" w:cs="Arial"/>
          <w:i/>
          <w:iCs/>
          <w:color w:val="000000" w:themeColor="text1"/>
          <w:sz w:val="19"/>
          <w:szCs w:val="19"/>
          <w:lang w:val="es-ES_tradnl"/>
        </w:rPr>
        <w:t>sujetos obligados</w:t>
      </w:r>
      <w:r w:rsidRPr="00457258">
        <w:rPr>
          <w:rFonts w:ascii="Arial" w:hAnsi="Arial" w:cs="Arial"/>
          <w:color w:val="000000" w:themeColor="text1"/>
          <w:sz w:val="19"/>
          <w:szCs w:val="19"/>
          <w:lang w:val="es-ES_tradnl"/>
        </w:rPr>
        <w:t xml:space="preserve"> a garantizar el derecho de acceso a la información y a los documentos públicos, deben publicar en el SECOP los documentos a los que se refiere el literal e), del artículo 9 y el </w:t>
      </w:r>
      <w:r w:rsidRPr="00457258">
        <w:rPr>
          <w:rFonts w:ascii="Arial" w:eastAsia="Calibri" w:hAnsi="Arial" w:cs="Arial"/>
          <w:color w:val="000000" w:themeColor="text1"/>
          <w:sz w:val="19"/>
          <w:szCs w:val="19"/>
          <w:lang w:val="es-ES_tradnl"/>
        </w:rPr>
        <w:t>literal g), del artículo 11, de la Ley 1712 de 2014, como los artículos 7 al 10 del Decreto 103 de 2015 –compilado en los artículos 2.1.1.1.1. al 2.1.1.6.1. del Decreto 1081 de 2015–</w:t>
      </w:r>
      <w:r w:rsidRPr="00457258">
        <w:rPr>
          <w:rFonts w:ascii="Arial" w:hAnsi="Arial" w:cs="Arial"/>
          <w:color w:val="000000" w:themeColor="text1"/>
          <w:sz w:val="19"/>
          <w:szCs w:val="19"/>
          <w:lang w:val="es-ES_tradnl"/>
        </w:rPr>
        <w:t xml:space="preserve">. Cuarto, porque, el auto del 25 de febrero de 2021 no suspende todo el contenido de las circulares </w:t>
      </w:r>
      <w:r w:rsidRPr="00457258">
        <w:rPr>
          <w:rFonts w:ascii="Arial" w:eastAsia="Arial" w:hAnsi="Arial" w:cs="Arial"/>
          <w:color w:val="000000" w:themeColor="text1"/>
          <w:sz w:val="19"/>
          <w:szCs w:val="19"/>
          <w:lang w:val="es-ES_tradnl"/>
        </w:rPr>
        <w:t xml:space="preserve">No. 1 del 21 de junio de 2013 y No. 20 del 27 de agosto de 2015, sino solo las expresiones que utilizan la frase «actividad contractual», quedando vigente lo demás –que continúa estableciendo el referido deber–. Quinto, porque el imperativo de publicar en el SECOP la información oficial de la contratación se desprende además de las circulares </w:t>
      </w:r>
      <w:r w:rsidRPr="00457258">
        <w:rPr>
          <w:rFonts w:ascii="Arial" w:hAnsi="Arial" w:cs="Arial"/>
          <w:bCs/>
          <w:color w:val="000000" w:themeColor="text1"/>
          <w:sz w:val="19"/>
          <w:szCs w:val="19"/>
          <w:lang w:val="es-ES_tradnl"/>
        </w:rPr>
        <w:t>No. 23 del 16 de marzo de 2017 y No. 007 de 2020, así como de la Circular Externa Única –actualizada el 16 de abril de 2019–, las cuales se encuentran vigentes».</w:t>
      </w:r>
      <w:r w:rsidRPr="00457258">
        <w:rPr>
          <w:rFonts w:ascii="Arial" w:hAnsi="Arial" w:cs="Arial"/>
          <w:color w:val="000000" w:themeColor="text1"/>
          <w:sz w:val="19"/>
          <w:szCs w:val="19"/>
          <w:lang w:val="es-ES_tradnl"/>
        </w:rPr>
        <w:t xml:space="preserve"> </w:t>
      </w:r>
    </w:p>
    <w:p w14:paraId="3AC925B4" w14:textId="398288A9" w:rsidR="00CC4344" w:rsidRPr="00457258" w:rsidRDefault="00CC4344" w:rsidP="00CC4344">
      <w:pPr>
        <w:pStyle w:val="Textonotapie"/>
        <w:ind w:firstLine="709"/>
        <w:jc w:val="both"/>
        <w:rPr>
          <w:rFonts w:ascii="Arial" w:hAnsi="Arial" w:cs="Arial"/>
          <w:color w:val="000000" w:themeColor="text1"/>
          <w:sz w:val="19"/>
          <w:szCs w:val="19"/>
          <w:lang w:val="es-ES_tradnl"/>
        </w:rPr>
      </w:pPr>
    </w:p>
  </w:footnote>
  <w:footnote w:id="12">
    <w:p w14:paraId="498879F3" w14:textId="77777777" w:rsidR="00A773E0" w:rsidRPr="00457258" w:rsidRDefault="00A773E0" w:rsidP="00A773E0">
      <w:pPr>
        <w:pStyle w:val="Textonotapie"/>
        <w:ind w:firstLine="709"/>
        <w:jc w:val="both"/>
        <w:rPr>
          <w:rFonts w:ascii="Arial" w:hAnsi="Arial" w:cs="Arial"/>
          <w:color w:val="000000" w:themeColor="text1"/>
          <w:sz w:val="19"/>
          <w:szCs w:val="19"/>
          <w:lang w:val="es-CO"/>
        </w:rPr>
      </w:pPr>
      <w:r w:rsidRPr="00457258">
        <w:rPr>
          <w:rStyle w:val="Refdenotaalpie"/>
          <w:rFonts w:ascii="Arial" w:hAnsi="Arial" w:cs="Arial"/>
          <w:color w:val="000000" w:themeColor="text1"/>
          <w:sz w:val="19"/>
          <w:szCs w:val="19"/>
        </w:rPr>
        <w:footnoteRef/>
      </w:r>
      <w:r w:rsidRPr="00457258">
        <w:rPr>
          <w:rFonts w:ascii="Arial" w:hAnsi="Arial" w:cs="Arial"/>
          <w:color w:val="000000" w:themeColor="text1"/>
          <w:sz w:val="19"/>
          <w:szCs w:val="19"/>
        </w:rPr>
        <w:t xml:space="preserve"> </w:t>
      </w:r>
      <w:r w:rsidRPr="00457258">
        <w:rPr>
          <w:rFonts w:ascii="Arial" w:hAnsi="Arial" w:cs="Arial"/>
          <w:color w:val="000000" w:themeColor="text1"/>
          <w:sz w:val="19"/>
          <w:szCs w:val="19"/>
        </w:rPr>
        <w:t xml:space="preserve">La Circular Externa 002 del 17 de marzo de 2022, de la Agencia Nacional de Contratación Pública – Colombia Compra Eficiente, puede ser consultada en: </w:t>
      </w:r>
      <w:hyperlink r:id="rId1" w:history="1">
        <w:r w:rsidRPr="00457258">
          <w:rPr>
            <w:rStyle w:val="Hipervnculo"/>
            <w:rFonts w:ascii="Arial" w:hAnsi="Arial" w:cs="Arial"/>
            <w:color w:val="000000" w:themeColor="text1"/>
            <w:sz w:val="19"/>
            <w:szCs w:val="19"/>
          </w:rPr>
          <w:t>https://www.colombiacompra.gov.co/circulares</w:t>
        </w:r>
      </w:hyperlink>
      <w:r w:rsidRPr="00457258">
        <w:rPr>
          <w:rFonts w:ascii="Arial" w:hAnsi="Arial" w:cs="Arial"/>
          <w:color w:val="000000" w:themeColor="text1"/>
          <w:sz w:val="19"/>
          <w:szCs w:val="19"/>
        </w:rPr>
        <w:t xml:space="preserve">. </w:t>
      </w:r>
    </w:p>
  </w:footnote>
  <w:footnote w:id="13">
    <w:p w14:paraId="13DB8707" w14:textId="77777777" w:rsidR="00446CA4" w:rsidRPr="00457258" w:rsidRDefault="00446CA4" w:rsidP="00446CA4">
      <w:pPr>
        <w:pStyle w:val="Textonotapie"/>
        <w:ind w:firstLine="709"/>
        <w:jc w:val="both"/>
        <w:rPr>
          <w:rFonts w:ascii="Arial" w:hAnsi="Arial" w:cs="Arial"/>
          <w:color w:val="000000" w:themeColor="text1"/>
          <w:sz w:val="19"/>
          <w:szCs w:val="19"/>
          <w:lang w:val="es-CO"/>
        </w:rPr>
      </w:pPr>
      <w:r w:rsidRPr="00756057">
        <w:rPr>
          <w:rStyle w:val="Refdenotaalpie"/>
          <w:rFonts w:ascii="Arial" w:hAnsi="Arial" w:cs="Arial"/>
          <w:color w:val="000000" w:themeColor="text1"/>
          <w:sz w:val="19"/>
          <w:szCs w:val="19"/>
        </w:rPr>
        <w:footnoteRef/>
      </w:r>
      <w:r w:rsidRPr="00756057">
        <w:rPr>
          <w:rFonts w:ascii="Arial" w:hAnsi="Arial" w:cs="Arial"/>
          <w:color w:val="000000" w:themeColor="text1"/>
          <w:sz w:val="19"/>
          <w:szCs w:val="19"/>
        </w:rPr>
        <w:t xml:space="preserve"> </w:t>
      </w:r>
      <w:r w:rsidRPr="00642C41">
        <w:rPr>
          <w:rFonts w:ascii="Arial" w:hAnsi="Arial" w:cs="Arial"/>
          <w:color w:val="000000" w:themeColor="text1"/>
          <w:sz w:val="19"/>
          <w:szCs w:val="19"/>
        </w:rPr>
        <w:t xml:space="preserve">La Circular Externa 002 del 17 de marzo de 2022, de la Agencia Nacional de Contratación Pública – Colombia Compra Eficiente, puede ser consultada en: </w:t>
      </w:r>
      <w:hyperlink r:id="rId2" w:history="1">
        <w:r w:rsidRPr="00642C41">
          <w:rPr>
            <w:rFonts w:ascii="Arial" w:hAnsi="Arial" w:cs="Arial"/>
          </w:rPr>
          <w:t>https://www.colombiacompra.gov.co/circulares</w:t>
        </w:r>
      </w:hyperlink>
      <w:r w:rsidRPr="00642C41">
        <w:rPr>
          <w:rFonts w:ascii="Arial" w:hAnsi="Arial" w:cs="Arial"/>
          <w:color w:val="000000" w:themeColor="text1"/>
          <w:sz w:val="19"/>
          <w:szCs w:val="19"/>
        </w:rPr>
        <w:t>.</w:t>
      </w:r>
      <w:r w:rsidRPr="00756057">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A59DE" w:rsidRDefault="006A59DE">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4023316"/>
    <w:multiLevelType w:val="multilevel"/>
    <w:tmpl w:val="27FE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C0214E0"/>
    <w:multiLevelType w:val="hybridMultilevel"/>
    <w:tmpl w:val="449C713E"/>
    <w:lvl w:ilvl="0" w:tplc="E8E686F8">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9DF3375"/>
    <w:multiLevelType w:val="multilevel"/>
    <w:tmpl w:val="7FCE6E46"/>
    <w:lvl w:ilvl="0">
      <w:start w:val="2"/>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1"/>
  </w:num>
  <w:num w:numId="2">
    <w:abstractNumId w:val="9"/>
  </w:num>
  <w:num w:numId="3">
    <w:abstractNumId w:val="14"/>
  </w:num>
  <w:num w:numId="4">
    <w:abstractNumId w:val="17"/>
  </w:num>
  <w:num w:numId="5">
    <w:abstractNumId w:val="2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num>
  <w:num w:numId="8">
    <w:abstractNumId w:val="0"/>
  </w:num>
  <w:num w:numId="9">
    <w:abstractNumId w:val="4"/>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num>
  <w:num w:numId="13">
    <w:abstractNumId w:val="13"/>
  </w:num>
  <w:num w:numId="14">
    <w:abstractNumId w:val="8"/>
  </w:num>
  <w:num w:numId="1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5"/>
  </w:num>
  <w:num w:numId="19">
    <w:abstractNumId w:val="3"/>
  </w:num>
  <w:num w:numId="20">
    <w:abstractNumId w:val="24"/>
  </w:num>
  <w:num w:numId="21">
    <w:abstractNumId w:val="16"/>
  </w:num>
  <w:num w:numId="22">
    <w:abstractNumId w:val="6"/>
  </w:num>
  <w:num w:numId="23">
    <w:abstractNumId w:val="5"/>
  </w:num>
  <w:num w:numId="24">
    <w:abstractNumId w:val="22"/>
  </w:num>
  <w:num w:numId="25">
    <w:abstractNumId w:val="18"/>
  </w:num>
  <w:num w:numId="26">
    <w:abstractNumId w:val="25"/>
  </w:num>
  <w:num w:numId="27">
    <w:abstractNumId w:val="7"/>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004"/>
    <w:rsid w:val="0000162E"/>
    <w:rsid w:val="00001A1C"/>
    <w:rsid w:val="00001B5D"/>
    <w:rsid w:val="00001FFD"/>
    <w:rsid w:val="00002027"/>
    <w:rsid w:val="000020FE"/>
    <w:rsid w:val="00002173"/>
    <w:rsid w:val="000031A8"/>
    <w:rsid w:val="00003C5C"/>
    <w:rsid w:val="00003EFA"/>
    <w:rsid w:val="000040D7"/>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BA"/>
    <w:rsid w:val="00013C6B"/>
    <w:rsid w:val="0001406B"/>
    <w:rsid w:val="000143F8"/>
    <w:rsid w:val="00014624"/>
    <w:rsid w:val="00015B44"/>
    <w:rsid w:val="00016081"/>
    <w:rsid w:val="000165AC"/>
    <w:rsid w:val="00016651"/>
    <w:rsid w:val="00016FE3"/>
    <w:rsid w:val="000171A2"/>
    <w:rsid w:val="00017B65"/>
    <w:rsid w:val="00020158"/>
    <w:rsid w:val="000207E0"/>
    <w:rsid w:val="000209E2"/>
    <w:rsid w:val="00020F8F"/>
    <w:rsid w:val="00021A95"/>
    <w:rsid w:val="0002256F"/>
    <w:rsid w:val="00023746"/>
    <w:rsid w:val="00023DAE"/>
    <w:rsid w:val="00024896"/>
    <w:rsid w:val="00025D0A"/>
    <w:rsid w:val="000263F0"/>
    <w:rsid w:val="00026407"/>
    <w:rsid w:val="00026608"/>
    <w:rsid w:val="00027787"/>
    <w:rsid w:val="000278D2"/>
    <w:rsid w:val="0003095C"/>
    <w:rsid w:val="00031158"/>
    <w:rsid w:val="00031364"/>
    <w:rsid w:val="000314BD"/>
    <w:rsid w:val="000315E1"/>
    <w:rsid w:val="00031FF6"/>
    <w:rsid w:val="0003236E"/>
    <w:rsid w:val="000323B0"/>
    <w:rsid w:val="0003339A"/>
    <w:rsid w:val="0003370C"/>
    <w:rsid w:val="0003377C"/>
    <w:rsid w:val="000341F2"/>
    <w:rsid w:val="000343F8"/>
    <w:rsid w:val="00035046"/>
    <w:rsid w:val="000351F2"/>
    <w:rsid w:val="00036E03"/>
    <w:rsid w:val="00037D48"/>
    <w:rsid w:val="000406DB"/>
    <w:rsid w:val="0004094D"/>
    <w:rsid w:val="00041029"/>
    <w:rsid w:val="00041210"/>
    <w:rsid w:val="0004149B"/>
    <w:rsid w:val="00042961"/>
    <w:rsid w:val="00042C25"/>
    <w:rsid w:val="00042D03"/>
    <w:rsid w:val="00043086"/>
    <w:rsid w:val="000430A0"/>
    <w:rsid w:val="00043D3B"/>
    <w:rsid w:val="0004418C"/>
    <w:rsid w:val="00044204"/>
    <w:rsid w:val="000449D4"/>
    <w:rsid w:val="00045A00"/>
    <w:rsid w:val="000463B5"/>
    <w:rsid w:val="00046717"/>
    <w:rsid w:val="00046A63"/>
    <w:rsid w:val="00046C09"/>
    <w:rsid w:val="0004716A"/>
    <w:rsid w:val="00047385"/>
    <w:rsid w:val="000473E8"/>
    <w:rsid w:val="00047F84"/>
    <w:rsid w:val="000504DE"/>
    <w:rsid w:val="00050C5A"/>
    <w:rsid w:val="00051074"/>
    <w:rsid w:val="0005168F"/>
    <w:rsid w:val="000526F0"/>
    <w:rsid w:val="0005273D"/>
    <w:rsid w:val="00052B79"/>
    <w:rsid w:val="00052EA0"/>
    <w:rsid w:val="000536A7"/>
    <w:rsid w:val="000536E3"/>
    <w:rsid w:val="00053896"/>
    <w:rsid w:val="0005474D"/>
    <w:rsid w:val="00055CB9"/>
    <w:rsid w:val="00056CD0"/>
    <w:rsid w:val="00056F66"/>
    <w:rsid w:val="0005702F"/>
    <w:rsid w:val="00061010"/>
    <w:rsid w:val="00061D06"/>
    <w:rsid w:val="0006274A"/>
    <w:rsid w:val="00062CDD"/>
    <w:rsid w:val="000635D9"/>
    <w:rsid w:val="000640AF"/>
    <w:rsid w:val="00064940"/>
    <w:rsid w:val="00064CAE"/>
    <w:rsid w:val="00064DB7"/>
    <w:rsid w:val="00064FA7"/>
    <w:rsid w:val="00065195"/>
    <w:rsid w:val="0006536C"/>
    <w:rsid w:val="0007050F"/>
    <w:rsid w:val="00070AF1"/>
    <w:rsid w:val="000714DE"/>
    <w:rsid w:val="0007254F"/>
    <w:rsid w:val="00073C30"/>
    <w:rsid w:val="00074305"/>
    <w:rsid w:val="000744D0"/>
    <w:rsid w:val="00074B2A"/>
    <w:rsid w:val="00074EEE"/>
    <w:rsid w:val="000753D5"/>
    <w:rsid w:val="00075B3E"/>
    <w:rsid w:val="00076456"/>
    <w:rsid w:val="00077173"/>
    <w:rsid w:val="0007779B"/>
    <w:rsid w:val="000777E7"/>
    <w:rsid w:val="0007790A"/>
    <w:rsid w:val="0008017B"/>
    <w:rsid w:val="000808C5"/>
    <w:rsid w:val="00080ACD"/>
    <w:rsid w:val="000811ED"/>
    <w:rsid w:val="00081BB9"/>
    <w:rsid w:val="00081D62"/>
    <w:rsid w:val="00082B74"/>
    <w:rsid w:val="00083099"/>
    <w:rsid w:val="00083452"/>
    <w:rsid w:val="00083EDC"/>
    <w:rsid w:val="000842BE"/>
    <w:rsid w:val="00084B97"/>
    <w:rsid w:val="0008510E"/>
    <w:rsid w:val="000856DE"/>
    <w:rsid w:val="00085F17"/>
    <w:rsid w:val="00085FB0"/>
    <w:rsid w:val="00085FB3"/>
    <w:rsid w:val="0008686B"/>
    <w:rsid w:val="00086B2A"/>
    <w:rsid w:val="00086ED2"/>
    <w:rsid w:val="000914D6"/>
    <w:rsid w:val="00091569"/>
    <w:rsid w:val="00092BD0"/>
    <w:rsid w:val="00092CDB"/>
    <w:rsid w:val="00092DCA"/>
    <w:rsid w:val="000942EB"/>
    <w:rsid w:val="00095B70"/>
    <w:rsid w:val="0009617E"/>
    <w:rsid w:val="0009628D"/>
    <w:rsid w:val="0009670F"/>
    <w:rsid w:val="00097342"/>
    <w:rsid w:val="000979CF"/>
    <w:rsid w:val="00097FCD"/>
    <w:rsid w:val="000A03C8"/>
    <w:rsid w:val="000A05F2"/>
    <w:rsid w:val="000A06C4"/>
    <w:rsid w:val="000A0861"/>
    <w:rsid w:val="000A0ED1"/>
    <w:rsid w:val="000A12DB"/>
    <w:rsid w:val="000A17C8"/>
    <w:rsid w:val="000A1B74"/>
    <w:rsid w:val="000A20D7"/>
    <w:rsid w:val="000A2128"/>
    <w:rsid w:val="000A32D4"/>
    <w:rsid w:val="000A362F"/>
    <w:rsid w:val="000A3B49"/>
    <w:rsid w:val="000A4299"/>
    <w:rsid w:val="000A47E6"/>
    <w:rsid w:val="000A52C0"/>
    <w:rsid w:val="000A5AAF"/>
    <w:rsid w:val="000A5F97"/>
    <w:rsid w:val="000A648E"/>
    <w:rsid w:val="000A73BB"/>
    <w:rsid w:val="000A7EF4"/>
    <w:rsid w:val="000B0A15"/>
    <w:rsid w:val="000B103F"/>
    <w:rsid w:val="000B1437"/>
    <w:rsid w:val="000B1470"/>
    <w:rsid w:val="000B244D"/>
    <w:rsid w:val="000B2570"/>
    <w:rsid w:val="000B2B86"/>
    <w:rsid w:val="000B3051"/>
    <w:rsid w:val="000B419B"/>
    <w:rsid w:val="000B5781"/>
    <w:rsid w:val="000B5CB1"/>
    <w:rsid w:val="000B6D08"/>
    <w:rsid w:val="000C0185"/>
    <w:rsid w:val="000C0F81"/>
    <w:rsid w:val="000C128D"/>
    <w:rsid w:val="000C17A3"/>
    <w:rsid w:val="000C1D4B"/>
    <w:rsid w:val="000C2DC4"/>
    <w:rsid w:val="000C3260"/>
    <w:rsid w:val="000C3B77"/>
    <w:rsid w:val="000C3F6D"/>
    <w:rsid w:val="000C4F49"/>
    <w:rsid w:val="000C5861"/>
    <w:rsid w:val="000C5BDE"/>
    <w:rsid w:val="000C639D"/>
    <w:rsid w:val="000C6946"/>
    <w:rsid w:val="000C6C31"/>
    <w:rsid w:val="000C6DBC"/>
    <w:rsid w:val="000C6F79"/>
    <w:rsid w:val="000C7476"/>
    <w:rsid w:val="000C75A0"/>
    <w:rsid w:val="000C7711"/>
    <w:rsid w:val="000C7AA2"/>
    <w:rsid w:val="000D0462"/>
    <w:rsid w:val="000D053D"/>
    <w:rsid w:val="000D0ED2"/>
    <w:rsid w:val="000D1CE1"/>
    <w:rsid w:val="000D1CEB"/>
    <w:rsid w:val="000D2563"/>
    <w:rsid w:val="000D25BF"/>
    <w:rsid w:val="000D3282"/>
    <w:rsid w:val="000D3FDC"/>
    <w:rsid w:val="000D490B"/>
    <w:rsid w:val="000D4E38"/>
    <w:rsid w:val="000D50DB"/>
    <w:rsid w:val="000D5EF9"/>
    <w:rsid w:val="000D6288"/>
    <w:rsid w:val="000D7541"/>
    <w:rsid w:val="000D75E1"/>
    <w:rsid w:val="000D79F4"/>
    <w:rsid w:val="000E047D"/>
    <w:rsid w:val="000E22CF"/>
    <w:rsid w:val="000E2977"/>
    <w:rsid w:val="000E2CC0"/>
    <w:rsid w:val="000E30AC"/>
    <w:rsid w:val="000E3B46"/>
    <w:rsid w:val="000E3E11"/>
    <w:rsid w:val="000E4596"/>
    <w:rsid w:val="000E5768"/>
    <w:rsid w:val="000E5843"/>
    <w:rsid w:val="000E6139"/>
    <w:rsid w:val="000E6BE1"/>
    <w:rsid w:val="000E7E0B"/>
    <w:rsid w:val="000F0136"/>
    <w:rsid w:val="000F078A"/>
    <w:rsid w:val="000F122D"/>
    <w:rsid w:val="000F1450"/>
    <w:rsid w:val="000F14E8"/>
    <w:rsid w:val="000F1BBD"/>
    <w:rsid w:val="000F290F"/>
    <w:rsid w:val="000F4403"/>
    <w:rsid w:val="000F4702"/>
    <w:rsid w:val="000F480B"/>
    <w:rsid w:val="000F4E17"/>
    <w:rsid w:val="000F5D2E"/>
    <w:rsid w:val="000F6578"/>
    <w:rsid w:val="000F7E8F"/>
    <w:rsid w:val="000F7FBB"/>
    <w:rsid w:val="001000FB"/>
    <w:rsid w:val="00100A9E"/>
    <w:rsid w:val="00100F6A"/>
    <w:rsid w:val="001021FA"/>
    <w:rsid w:val="00102605"/>
    <w:rsid w:val="00102686"/>
    <w:rsid w:val="00102745"/>
    <w:rsid w:val="00103795"/>
    <w:rsid w:val="00103849"/>
    <w:rsid w:val="00103915"/>
    <w:rsid w:val="00103EA0"/>
    <w:rsid w:val="00104F1C"/>
    <w:rsid w:val="001051E5"/>
    <w:rsid w:val="00105A74"/>
    <w:rsid w:val="00105ACB"/>
    <w:rsid w:val="00105AEF"/>
    <w:rsid w:val="00106259"/>
    <w:rsid w:val="001068EB"/>
    <w:rsid w:val="001078CE"/>
    <w:rsid w:val="00107AAF"/>
    <w:rsid w:val="00107C9F"/>
    <w:rsid w:val="00110F61"/>
    <w:rsid w:val="001111BD"/>
    <w:rsid w:val="0011165A"/>
    <w:rsid w:val="001116C6"/>
    <w:rsid w:val="00111B2B"/>
    <w:rsid w:val="00112774"/>
    <w:rsid w:val="00112B2E"/>
    <w:rsid w:val="00112B7F"/>
    <w:rsid w:val="00113003"/>
    <w:rsid w:val="00113062"/>
    <w:rsid w:val="00113705"/>
    <w:rsid w:val="00113871"/>
    <w:rsid w:val="00113975"/>
    <w:rsid w:val="00113CFC"/>
    <w:rsid w:val="00113FEA"/>
    <w:rsid w:val="00114631"/>
    <w:rsid w:val="00114A22"/>
    <w:rsid w:val="00114E9D"/>
    <w:rsid w:val="0011507B"/>
    <w:rsid w:val="00115B6A"/>
    <w:rsid w:val="0011627A"/>
    <w:rsid w:val="00116328"/>
    <w:rsid w:val="001163CF"/>
    <w:rsid w:val="001174C9"/>
    <w:rsid w:val="00117E69"/>
    <w:rsid w:val="001204D2"/>
    <w:rsid w:val="00121103"/>
    <w:rsid w:val="001215B2"/>
    <w:rsid w:val="00121BAB"/>
    <w:rsid w:val="00121E3C"/>
    <w:rsid w:val="001221A5"/>
    <w:rsid w:val="00122B23"/>
    <w:rsid w:val="00122B7E"/>
    <w:rsid w:val="00123FB5"/>
    <w:rsid w:val="0012400F"/>
    <w:rsid w:val="001245D6"/>
    <w:rsid w:val="001249DC"/>
    <w:rsid w:val="0012572D"/>
    <w:rsid w:val="00125BED"/>
    <w:rsid w:val="00125C59"/>
    <w:rsid w:val="00125D4F"/>
    <w:rsid w:val="00125DDE"/>
    <w:rsid w:val="00127004"/>
    <w:rsid w:val="00127AF2"/>
    <w:rsid w:val="00127EDC"/>
    <w:rsid w:val="00127F6D"/>
    <w:rsid w:val="00127FF6"/>
    <w:rsid w:val="001300C2"/>
    <w:rsid w:val="00130355"/>
    <w:rsid w:val="00130365"/>
    <w:rsid w:val="00131B5A"/>
    <w:rsid w:val="00132C30"/>
    <w:rsid w:val="00132EFD"/>
    <w:rsid w:val="00133AED"/>
    <w:rsid w:val="00134E09"/>
    <w:rsid w:val="00134E7E"/>
    <w:rsid w:val="00135DB9"/>
    <w:rsid w:val="0013695C"/>
    <w:rsid w:val="00136BF7"/>
    <w:rsid w:val="001378B9"/>
    <w:rsid w:val="00137FFA"/>
    <w:rsid w:val="00140109"/>
    <w:rsid w:val="0014029B"/>
    <w:rsid w:val="00140464"/>
    <w:rsid w:val="001406A0"/>
    <w:rsid w:val="00140832"/>
    <w:rsid w:val="001409A9"/>
    <w:rsid w:val="00140A4F"/>
    <w:rsid w:val="001411A6"/>
    <w:rsid w:val="00141226"/>
    <w:rsid w:val="001413AB"/>
    <w:rsid w:val="00141605"/>
    <w:rsid w:val="00141DBF"/>
    <w:rsid w:val="00142EFD"/>
    <w:rsid w:val="00142F55"/>
    <w:rsid w:val="00143A58"/>
    <w:rsid w:val="00144335"/>
    <w:rsid w:val="0014502F"/>
    <w:rsid w:val="00145282"/>
    <w:rsid w:val="001453B0"/>
    <w:rsid w:val="001454D9"/>
    <w:rsid w:val="00145D8E"/>
    <w:rsid w:val="00146083"/>
    <w:rsid w:val="001462F7"/>
    <w:rsid w:val="00147F35"/>
    <w:rsid w:val="00150005"/>
    <w:rsid w:val="001518D7"/>
    <w:rsid w:val="00151AEB"/>
    <w:rsid w:val="00151B99"/>
    <w:rsid w:val="001521B2"/>
    <w:rsid w:val="00152EDD"/>
    <w:rsid w:val="00153491"/>
    <w:rsid w:val="0015361C"/>
    <w:rsid w:val="0015372F"/>
    <w:rsid w:val="00153BFB"/>
    <w:rsid w:val="0015407E"/>
    <w:rsid w:val="0015448E"/>
    <w:rsid w:val="00154493"/>
    <w:rsid w:val="00154A6F"/>
    <w:rsid w:val="00155D08"/>
    <w:rsid w:val="00156BE5"/>
    <w:rsid w:val="00156DC0"/>
    <w:rsid w:val="00157232"/>
    <w:rsid w:val="00160401"/>
    <w:rsid w:val="00160D4E"/>
    <w:rsid w:val="00160DF9"/>
    <w:rsid w:val="00161DDA"/>
    <w:rsid w:val="00161E62"/>
    <w:rsid w:val="00161F1C"/>
    <w:rsid w:val="0016200B"/>
    <w:rsid w:val="00162013"/>
    <w:rsid w:val="0016229A"/>
    <w:rsid w:val="00162A3A"/>
    <w:rsid w:val="00163D7A"/>
    <w:rsid w:val="00163E3A"/>
    <w:rsid w:val="00164281"/>
    <w:rsid w:val="00165703"/>
    <w:rsid w:val="00166601"/>
    <w:rsid w:val="0016685F"/>
    <w:rsid w:val="0016712F"/>
    <w:rsid w:val="00167503"/>
    <w:rsid w:val="001676A9"/>
    <w:rsid w:val="001677F3"/>
    <w:rsid w:val="00167A15"/>
    <w:rsid w:val="00167A50"/>
    <w:rsid w:val="00167DF5"/>
    <w:rsid w:val="00170001"/>
    <w:rsid w:val="00172198"/>
    <w:rsid w:val="00172612"/>
    <w:rsid w:val="00172817"/>
    <w:rsid w:val="00172944"/>
    <w:rsid w:val="001734E3"/>
    <w:rsid w:val="001742BF"/>
    <w:rsid w:val="001757EF"/>
    <w:rsid w:val="00175E49"/>
    <w:rsid w:val="0017649F"/>
    <w:rsid w:val="001764FD"/>
    <w:rsid w:val="0017655D"/>
    <w:rsid w:val="001802DE"/>
    <w:rsid w:val="001805C1"/>
    <w:rsid w:val="00180A2E"/>
    <w:rsid w:val="001813AF"/>
    <w:rsid w:val="001829CD"/>
    <w:rsid w:val="00182F01"/>
    <w:rsid w:val="001838F9"/>
    <w:rsid w:val="00184902"/>
    <w:rsid w:val="00184F27"/>
    <w:rsid w:val="0018519B"/>
    <w:rsid w:val="00185966"/>
    <w:rsid w:val="00185A2D"/>
    <w:rsid w:val="00185AFE"/>
    <w:rsid w:val="00185E78"/>
    <w:rsid w:val="00187061"/>
    <w:rsid w:val="00187177"/>
    <w:rsid w:val="00187ABD"/>
    <w:rsid w:val="001904E3"/>
    <w:rsid w:val="0019087A"/>
    <w:rsid w:val="0019178A"/>
    <w:rsid w:val="00191C5A"/>
    <w:rsid w:val="00191CEB"/>
    <w:rsid w:val="00191E63"/>
    <w:rsid w:val="00192154"/>
    <w:rsid w:val="00192531"/>
    <w:rsid w:val="0019258A"/>
    <w:rsid w:val="00192D68"/>
    <w:rsid w:val="0019388B"/>
    <w:rsid w:val="00193B9A"/>
    <w:rsid w:val="001940ED"/>
    <w:rsid w:val="001946AE"/>
    <w:rsid w:val="001946D5"/>
    <w:rsid w:val="00194804"/>
    <w:rsid w:val="00194E8C"/>
    <w:rsid w:val="001962EC"/>
    <w:rsid w:val="001963DD"/>
    <w:rsid w:val="001965DB"/>
    <w:rsid w:val="00196D01"/>
    <w:rsid w:val="00196DC9"/>
    <w:rsid w:val="00196E95"/>
    <w:rsid w:val="00197CF9"/>
    <w:rsid w:val="001A0236"/>
    <w:rsid w:val="001A0427"/>
    <w:rsid w:val="001A0930"/>
    <w:rsid w:val="001A0AF8"/>
    <w:rsid w:val="001A18D5"/>
    <w:rsid w:val="001A1A38"/>
    <w:rsid w:val="001A1BE0"/>
    <w:rsid w:val="001A1D4A"/>
    <w:rsid w:val="001A3011"/>
    <w:rsid w:val="001A4A9B"/>
    <w:rsid w:val="001A4DAF"/>
    <w:rsid w:val="001A54CD"/>
    <w:rsid w:val="001A65CF"/>
    <w:rsid w:val="001A66DF"/>
    <w:rsid w:val="001A67D0"/>
    <w:rsid w:val="001A6863"/>
    <w:rsid w:val="001A7591"/>
    <w:rsid w:val="001A75B1"/>
    <w:rsid w:val="001A7B06"/>
    <w:rsid w:val="001B0366"/>
    <w:rsid w:val="001B0444"/>
    <w:rsid w:val="001B096B"/>
    <w:rsid w:val="001B0F9F"/>
    <w:rsid w:val="001B123C"/>
    <w:rsid w:val="001B1A0D"/>
    <w:rsid w:val="001B1BF1"/>
    <w:rsid w:val="001B1C97"/>
    <w:rsid w:val="001B2456"/>
    <w:rsid w:val="001B246B"/>
    <w:rsid w:val="001B255B"/>
    <w:rsid w:val="001B3C0E"/>
    <w:rsid w:val="001B449C"/>
    <w:rsid w:val="001B4AA2"/>
    <w:rsid w:val="001B4ADE"/>
    <w:rsid w:val="001B5EA7"/>
    <w:rsid w:val="001B5EF8"/>
    <w:rsid w:val="001B615D"/>
    <w:rsid w:val="001B625D"/>
    <w:rsid w:val="001C07C6"/>
    <w:rsid w:val="001C19CD"/>
    <w:rsid w:val="001C22D5"/>
    <w:rsid w:val="001C2515"/>
    <w:rsid w:val="001C26FB"/>
    <w:rsid w:val="001C2BE4"/>
    <w:rsid w:val="001C33C1"/>
    <w:rsid w:val="001C3E30"/>
    <w:rsid w:val="001C3E5C"/>
    <w:rsid w:val="001C5072"/>
    <w:rsid w:val="001C57F4"/>
    <w:rsid w:val="001C5B2A"/>
    <w:rsid w:val="001C600B"/>
    <w:rsid w:val="001C6898"/>
    <w:rsid w:val="001C6DD8"/>
    <w:rsid w:val="001C6DFF"/>
    <w:rsid w:val="001C7C7B"/>
    <w:rsid w:val="001D068D"/>
    <w:rsid w:val="001D12D1"/>
    <w:rsid w:val="001D15DF"/>
    <w:rsid w:val="001D26A6"/>
    <w:rsid w:val="001D30F3"/>
    <w:rsid w:val="001D31A0"/>
    <w:rsid w:val="001D338E"/>
    <w:rsid w:val="001D3EF9"/>
    <w:rsid w:val="001D4F13"/>
    <w:rsid w:val="001D56E9"/>
    <w:rsid w:val="001D5922"/>
    <w:rsid w:val="001D5C1F"/>
    <w:rsid w:val="001D5EE1"/>
    <w:rsid w:val="001D796A"/>
    <w:rsid w:val="001D7A84"/>
    <w:rsid w:val="001D7C79"/>
    <w:rsid w:val="001E003B"/>
    <w:rsid w:val="001E1215"/>
    <w:rsid w:val="001E12FF"/>
    <w:rsid w:val="001E1CC4"/>
    <w:rsid w:val="001E1D38"/>
    <w:rsid w:val="001E28A0"/>
    <w:rsid w:val="001E2ECF"/>
    <w:rsid w:val="001E34BD"/>
    <w:rsid w:val="001E3911"/>
    <w:rsid w:val="001E3F3C"/>
    <w:rsid w:val="001E4258"/>
    <w:rsid w:val="001E44EA"/>
    <w:rsid w:val="001E50BA"/>
    <w:rsid w:val="001E5AEF"/>
    <w:rsid w:val="001E5D6A"/>
    <w:rsid w:val="001E6A94"/>
    <w:rsid w:val="001E6F05"/>
    <w:rsid w:val="001E70FB"/>
    <w:rsid w:val="001E780A"/>
    <w:rsid w:val="001F08E8"/>
    <w:rsid w:val="001F0ADD"/>
    <w:rsid w:val="001F0FA0"/>
    <w:rsid w:val="001F1349"/>
    <w:rsid w:val="001F1863"/>
    <w:rsid w:val="001F2356"/>
    <w:rsid w:val="001F2A68"/>
    <w:rsid w:val="001F4773"/>
    <w:rsid w:val="001F5008"/>
    <w:rsid w:val="001F51A9"/>
    <w:rsid w:val="001F56AA"/>
    <w:rsid w:val="001F58AA"/>
    <w:rsid w:val="001F5A4E"/>
    <w:rsid w:val="001F5EF6"/>
    <w:rsid w:val="001F657F"/>
    <w:rsid w:val="001F6FB6"/>
    <w:rsid w:val="001F72BB"/>
    <w:rsid w:val="001F7374"/>
    <w:rsid w:val="001F7978"/>
    <w:rsid w:val="001F7A0E"/>
    <w:rsid w:val="0020022E"/>
    <w:rsid w:val="0020054E"/>
    <w:rsid w:val="00201260"/>
    <w:rsid w:val="00201AC4"/>
    <w:rsid w:val="00201F1E"/>
    <w:rsid w:val="0020299B"/>
    <w:rsid w:val="00202E44"/>
    <w:rsid w:val="002037AA"/>
    <w:rsid w:val="0020390E"/>
    <w:rsid w:val="00203FE3"/>
    <w:rsid w:val="002042D8"/>
    <w:rsid w:val="00204515"/>
    <w:rsid w:val="00204BF5"/>
    <w:rsid w:val="00204E6B"/>
    <w:rsid w:val="00204EF3"/>
    <w:rsid w:val="002053EF"/>
    <w:rsid w:val="002058D4"/>
    <w:rsid w:val="0020632A"/>
    <w:rsid w:val="0020697F"/>
    <w:rsid w:val="00206D85"/>
    <w:rsid w:val="002110EB"/>
    <w:rsid w:val="00211338"/>
    <w:rsid w:val="00211388"/>
    <w:rsid w:val="0021148C"/>
    <w:rsid w:val="00211694"/>
    <w:rsid w:val="0021201A"/>
    <w:rsid w:val="002138FE"/>
    <w:rsid w:val="00213A1F"/>
    <w:rsid w:val="00213C63"/>
    <w:rsid w:val="00214502"/>
    <w:rsid w:val="00214741"/>
    <w:rsid w:val="0021539A"/>
    <w:rsid w:val="00215852"/>
    <w:rsid w:val="00215B8E"/>
    <w:rsid w:val="00216264"/>
    <w:rsid w:val="002176B6"/>
    <w:rsid w:val="0021792D"/>
    <w:rsid w:val="00217DB8"/>
    <w:rsid w:val="002202CE"/>
    <w:rsid w:val="0022032A"/>
    <w:rsid w:val="0022194E"/>
    <w:rsid w:val="002220B1"/>
    <w:rsid w:val="002221CE"/>
    <w:rsid w:val="00222BE8"/>
    <w:rsid w:val="00223102"/>
    <w:rsid w:val="002232CB"/>
    <w:rsid w:val="00224022"/>
    <w:rsid w:val="00224A66"/>
    <w:rsid w:val="00226055"/>
    <w:rsid w:val="0022613F"/>
    <w:rsid w:val="00226236"/>
    <w:rsid w:val="002269B2"/>
    <w:rsid w:val="002270C9"/>
    <w:rsid w:val="00227A8B"/>
    <w:rsid w:val="0023146B"/>
    <w:rsid w:val="002315A0"/>
    <w:rsid w:val="0023161C"/>
    <w:rsid w:val="00231748"/>
    <w:rsid w:val="00231BDE"/>
    <w:rsid w:val="00231EC7"/>
    <w:rsid w:val="00232E15"/>
    <w:rsid w:val="00233079"/>
    <w:rsid w:val="0023382C"/>
    <w:rsid w:val="00233977"/>
    <w:rsid w:val="00233C58"/>
    <w:rsid w:val="00233C71"/>
    <w:rsid w:val="002345B6"/>
    <w:rsid w:val="002347A6"/>
    <w:rsid w:val="00234B84"/>
    <w:rsid w:val="00236016"/>
    <w:rsid w:val="00237065"/>
    <w:rsid w:val="00237436"/>
    <w:rsid w:val="00237589"/>
    <w:rsid w:val="0023758D"/>
    <w:rsid w:val="002375A7"/>
    <w:rsid w:val="0023798D"/>
    <w:rsid w:val="0024019A"/>
    <w:rsid w:val="0024094F"/>
    <w:rsid w:val="00241146"/>
    <w:rsid w:val="0024120F"/>
    <w:rsid w:val="0024131D"/>
    <w:rsid w:val="002415B8"/>
    <w:rsid w:val="00242D62"/>
    <w:rsid w:val="002430BF"/>
    <w:rsid w:val="002430D0"/>
    <w:rsid w:val="002431D7"/>
    <w:rsid w:val="00244058"/>
    <w:rsid w:val="00244869"/>
    <w:rsid w:val="00245718"/>
    <w:rsid w:val="00245E07"/>
    <w:rsid w:val="00246AEC"/>
    <w:rsid w:val="00247712"/>
    <w:rsid w:val="00250EC6"/>
    <w:rsid w:val="002515C7"/>
    <w:rsid w:val="00251866"/>
    <w:rsid w:val="00251A9F"/>
    <w:rsid w:val="00252492"/>
    <w:rsid w:val="00252B35"/>
    <w:rsid w:val="0025316D"/>
    <w:rsid w:val="00253A02"/>
    <w:rsid w:val="00253B81"/>
    <w:rsid w:val="002553E3"/>
    <w:rsid w:val="002554DE"/>
    <w:rsid w:val="00255575"/>
    <w:rsid w:val="00255E11"/>
    <w:rsid w:val="00256835"/>
    <w:rsid w:val="002569F0"/>
    <w:rsid w:val="00256E1A"/>
    <w:rsid w:val="00256ECF"/>
    <w:rsid w:val="00257730"/>
    <w:rsid w:val="00257999"/>
    <w:rsid w:val="002604AA"/>
    <w:rsid w:val="002611A6"/>
    <w:rsid w:val="0026129B"/>
    <w:rsid w:val="00261560"/>
    <w:rsid w:val="00261715"/>
    <w:rsid w:val="00261CF9"/>
    <w:rsid w:val="00261EC0"/>
    <w:rsid w:val="0026231B"/>
    <w:rsid w:val="00263101"/>
    <w:rsid w:val="002631D1"/>
    <w:rsid w:val="00263201"/>
    <w:rsid w:val="00263224"/>
    <w:rsid w:val="002634CA"/>
    <w:rsid w:val="00263A37"/>
    <w:rsid w:val="0026478A"/>
    <w:rsid w:val="0026480D"/>
    <w:rsid w:val="002653A6"/>
    <w:rsid w:val="00265D28"/>
    <w:rsid w:val="002661F1"/>
    <w:rsid w:val="00266DB6"/>
    <w:rsid w:val="00270802"/>
    <w:rsid w:val="002711A4"/>
    <w:rsid w:val="00271ECB"/>
    <w:rsid w:val="00271F13"/>
    <w:rsid w:val="0027278E"/>
    <w:rsid w:val="00272B0F"/>
    <w:rsid w:val="002744D2"/>
    <w:rsid w:val="0027482E"/>
    <w:rsid w:val="00274DB5"/>
    <w:rsid w:val="00275423"/>
    <w:rsid w:val="00275BB1"/>
    <w:rsid w:val="00277933"/>
    <w:rsid w:val="00277F8D"/>
    <w:rsid w:val="00277FA7"/>
    <w:rsid w:val="00280046"/>
    <w:rsid w:val="00280B4F"/>
    <w:rsid w:val="00280F3D"/>
    <w:rsid w:val="0028106A"/>
    <w:rsid w:val="00281EB4"/>
    <w:rsid w:val="00282AF6"/>
    <w:rsid w:val="0028308E"/>
    <w:rsid w:val="002834E9"/>
    <w:rsid w:val="00283975"/>
    <w:rsid w:val="00283A52"/>
    <w:rsid w:val="00283C5E"/>
    <w:rsid w:val="00283DE0"/>
    <w:rsid w:val="00283E26"/>
    <w:rsid w:val="0028428F"/>
    <w:rsid w:val="00284CB5"/>
    <w:rsid w:val="00284CFC"/>
    <w:rsid w:val="00285832"/>
    <w:rsid w:val="00285969"/>
    <w:rsid w:val="00286151"/>
    <w:rsid w:val="0028663B"/>
    <w:rsid w:val="00286CEC"/>
    <w:rsid w:val="002870F9"/>
    <w:rsid w:val="002871A9"/>
    <w:rsid w:val="00287505"/>
    <w:rsid w:val="00287B25"/>
    <w:rsid w:val="00290781"/>
    <w:rsid w:val="00291784"/>
    <w:rsid w:val="002920DF"/>
    <w:rsid w:val="00292647"/>
    <w:rsid w:val="0029273C"/>
    <w:rsid w:val="002929BB"/>
    <w:rsid w:val="00294368"/>
    <w:rsid w:val="00294503"/>
    <w:rsid w:val="00294B78"/>
    <w:rsid w:val="00294FA4"/>
    <w:rsid w:val="00295264"/>
    <w:rsid w:val="00295416"/>
    <w:rsid w:val="00295949"/>
    <w:rsid w:val="0029624A"/>
    <w:rsid w:val="00296922"/>
    <w:rsid w:val="00297098"/>
    <w:rsid w:val="002A05D4"/>
    <w:rsid w:val="002A06DB"/>
    <w:rsid w:val="002A09FF"/>
    <w:rsid w:val="002A0E60"/>
    <w:rsid w:val="002A1683"/>
    <w:rsid w:val="002A1A58"/>
    <w:rsid w:val="002A1B02"/>
    <w:rsid w:val="002A1C53"/>
    <w:rsid w:val="002A244B"/>
    <w:rsid w:val="002A28FC"/>
    <w:rsid w:val="002A2B44"/>
    <w:rsid w:val="002A2EA5"/>
    <w:rsid w:val="002A3D94"/>
    <w:rsid w:val="002A4736"/>
    <w:rsid w:val="002A4A93"/>
    <w:rsid w:val="002A4B1C"/>
    <w:rsid w:val="002A55D9"/>
    <w:rsid w:val="002A55FE"/>
    <w:rsid w:val="002A6AFB"/>
    <w:rsid w:val="002A733D"/>
    <w:rsid w:val="002A774A"/>
    <w:rsid w:val="002A78F3"/>
    <w:rsid w:val="002A7E5C"/>
    <w:rsid w:val="002A7F6D"/>
    <w:rsid w:val="002B1342"/>
    <w:rsid w:val="002B1F83"/>
    <w:rsid w:val="002B27C8"/>
    <w:rsid w:val="002B2A7F"/>
    <w:rsid w:val="002B330B"/>
    <w:rsid w:val="002B39BE"/>
    <w:rsid w:val="002B438C"/>
    <w:rsid w:val="002B48DB"/>
    <w:rsid w:val="002B4B34"/>
    <w:rsid w:val="002B541A"/>
    <w:rsid w:val="002B56EA"/>
    <w:rsid w:val="002B5EAB"/>
    <w:rsid w:val="002B6407"/>
    <w:rsid w:val="002B6416"/>
    <w:rsid w:val="002B6459"/>
    <w:rsid w:val="002B7014"/>
    <w:rsid w:val="002B73B0"/>
    <w:rsid w:val="002C0594"/>
    <w:rsid w:val="002C24B4"/>
    <w:rsid w:val="002C2B3A"/>
    <w:rsid w:val="002C2B87"/>
    <w:rsid w:val="002C2D41"/>
    <w:rsid w:val="002C3CF4"/>
    <w:rsid w:val="002C441A"/>
    <w:rsid w:val="002C4A73"/>
    <w:rsid w:val="002C4B84"/>
    <w:rsid w:val="002C4C0C"/>
    <w:rsid w:val="002C5016"/>
    <w:rsid w:val="002C5C2F"/>
    <w:rsid w:val="002C5D0F"/>
    <w:rsid w:val="002C60B9"/>
    <w:rsid w:val="002C6882"/>
    <w:rsid w:val="002C6F77"/>
    <w:rsid w:val="002C704D"/>
    <w:rsid w:val="002D0845"/>
    <w:rsid w:val="002D0933"/>
    <w:rsid w:val="002D0CE3"/>
    <w:rsid w:val="002D19BB"/>
    <w:rsid w:val="002D1A9B"/>
    <w:rsid w:val="002D20F8"/>
    <w:rsid w:val="002D22BD"/>
    <w:rsid w:val="002D22C5"/>
    <w:rsid w:val="002D302A"/>
    <w:rsid w:val="002D3552"/>
    <w:rsid w:val="002D36C6"/>
    <w:rsid w:val="002D37C1"/>
    <w:rsid w:val="002D3822"/>
    <w:rsid w:val="002D444B"/>
    <w:rsid w:val="002D4A45"/>
    <w:rsid w:val="002D4B42"/>
    <w:rsid w:val="002D4B43"/>
    <w:rsid w:val="002D5A10"/>
    <w:rsid w:val="002D5A1B"/>
    <w:rsid w:val="002D65BC"/>
    <w:rsid w:val="002D6A45"/>
    <w:rsid w:val="002E055C"/>
    <w:rsid w:val="002E0774"/>
    <w:rsid w:val="002E1050"/>
    <w:rsid w:val="002E107E"/>
    <w:rsid w:val="002E18E5"/>
    <w:rsid w:val="002E1953"/>
    <w:rsid w:val="002E1E30"/>
    <w:rsid w:val="002E2CB5"/>
    <w:rsid w:val="002E2D7D"/>
    <w:rsid w:val="002E32D0"/>
    <w:rsid w:val="002E372E"/>
    <w:rsid w:val="002E3D76"/>
    <w:rsid w:val="002E40A1"/>
    <w:rsid w:val="002E48EC"/>
    <w:rsid w:val="002E4B44"/>
    <w:rsid w:val="002E4ECB"/>
    <w:rsid w:val="002E4F23"/>
    <w:rsid w:val="002E6089"/>
    <w:rsid w:val="002E635A"/>
    <w:rsid w:val="002E6D68"/>
    <w:rsid w:val="002E7847"/>
    <w:rsid w:val="002E7F03"/>
    <w:rsid w:val="002E7F26"/>
    <w:rsid w:val="002F0073"/>
    <w:rsid w:val="002F1C67"/>
    <w:rsid w:val="002F240B"/>
    <w:rsid w:val="002F26B5"/>
    <w:rsid w:val="002F26B7"/>
    <w:rsid w:val="002F29EF"/>
    <w:rsid w:val="002F2F50"/>
    <w:rsid w:val="002F33EC"/>
    <w:rsid w:val="002F34E3"/>
    <w:rsid w:val="002F3601"/>
    <w:rsid w:val="002F45F6"/>
    <w:rsid w:val="002F4B0A"/>
    <w:rsid w:val="002F5143"/>
    <w:rsid w:val="002F53AF"/>
    <w:rsid w:val="002F5A6F"/>
    <w:rsid w:val="002F692F"/>
    <w:rsid w:val="002F6B0D"/>
    <w:rsid w:val="002F6BE2"/>
    <w:rsid w:val="002F7B66"/>
    <w:rsid w:val="00300CB4"/>
    <w:rsid w:val="00300E24"/>
    <w:rsid w:val="003033BA"/>
    <w:rsid w:val="00303C19"/>
    <w:rsid w:val="003043A3"/>
    <w:rsid w:val="00304BD4"/>
    <w:rsid w:val="0030500A"/>
    <w:rsid w:val="003052EB"/>
    <w:rsid w:val="00305FCB"/>
    <w:rsid w:val="003063C3"/>
    <w:rsid w:val="003069DC"/>
    <w:rsid w:val="00306B44"/>
    <w:rsid w:val="00306C82"/>
    <w:rsid w:val="003073E9"/>
    <w:rsid w:val="00307BE8"/>
    <w:rsid w:val="00307C44"/>
    <w:rsid w:val="0031088E"/>
    <w:rsid w:val="00310D01"/>
    <w:rsid w:val="00311376"/>
    <w:rsid w:val="00311A1F"/>
    <w:rsid w:val="00311B47"/>
    <w:rsid w:val="00311D52"/>
    <w:rsid w:val="00312015"/>
    <w:rsid w:val="00312190"/>
    <w:rsid w:val="003125E0"/>
    <w:rsid w:val="0031271D"/>
    <w:rsid w:val="003129FB"/>
    <w:rsid w:val="003132BB"/>
    <w:rsid w:val="00313337"/>
    <w:rsid w:val="00313447"/>
    <w:rsid w:val="00313748"/>
    <w:rsid w:val="00313EA3"/>
    <w:rsid w:val="00315365"/>
    <w:rsid w:val="00315457"/>
    <w:rsid w:val="003161A4"/>
    <w:rsid w:val="00316955"/>
    <w:rsid w:val="0031720A"/>
    <w:rsid w:val="0031749B"/>
    <w:rsid w:val="003174E5"/>
    <w:rsid w:val="00317C9D"/>
    <w:rsid w:val="00317CD2"/>
    <w:rsid w:val="00317D99"/>
    <w:rsid w:val="0032022F"/>
    <w:rsid w:val="0032078D"/>
    <w:rsid w:val="00320ADF"/>
    <w:rsid w:val="0032137B"/>
    <w:rsid w:val="0032196D"/>
    <w:rsid w:val="00321BD6"/>
    <w:rsid w:val="00321FA3"/>
    <w:rsid w:val="003227D3"/>
    <w:rsid w:val="00322937"/>
    <w:rsid w:val="00323881"/>
    <w:rsid w:val="003247ED"/>
    <w:rsid w:val="003251A8"/>
    <w:rsid w:val="003254B1"/>
    <w:rsid w:val="00325D98"/>
    <w:rsid w:val="0032682A"/>
    <w:rsid w:val="00327A5C"/>
    <w:rsid w:val="0033092C"/>
    <w:rsid w:val="0033122A"/>
    <w:rsid w:val="003315AC"/>
    <w:rsid w:val="00331932"/>
    <w:rsid w:val="00332382"/>
    <w:rsid w:val="00332453"/>
    <w:rsid w:val="0033251B"/>
    <w:rsid w:val="00332F8C"/>
    <w:rsid w:val="00332FCC"/>
    <w:rsid w:val="00333196"/>
    <w:rsid w:val="00333A88"/>
    <w:rsid w:val="00335B15"/>
    <w:rsid w:val="00335B21"/>
    <w:rsid w:val="00335D3F"/>
    <w:rsid w:val="00336104"/>
    <w:rsid w:val="00336729"/>
    <w:rsid w:val="0033726D"/>
    <w:rsid w:val="00337CA8"/>
    <w:rsid w:val="00340D3F"/>
    <w:rsid w:val="0034174B"/>
    <w:rsid w:val="0034177C"/>
    <w:rsid w:val="003420E9"/>
    <w:rsid w:val="00342345"/>
    <w:rsid w:val="0034274A"/>
    <w:rsid w:val="00342C27"/>
    <w:rsid w:val="00342ED2"/>
    <w:rsid w:val="003430C8"/>
    <w:rsid w:val="003432C8"/>
    <w:rsid w:val="003434B3"/>
    <w:rsid w:val="00343536"/>
    <w:rsid w:val="00343EFB"/>
    <w:rsid w:val="00344760"/>
    <w:rsid w:val="003454E8"/>
    <w:rsid w:val="00345574"/>
    <w:rsid w:val="0034680A"/>
    <w:rsid w:val="00346C62"/>
    <w:rsid w:val="00347202"/>
    <w:rsid w:val="0034778E"/>
    <w:rsid w:val="00347A5A"/>
    <w:rsid w:val="003501E2"/>
    <w:rsid w:val="00351E10"/>
    <w:rsid w:val="003533F4"/>
    <w:rsid w:val="003536F6"/>
    <w:rsid w:val="00353DD5"/>
    <w:rsid w:val="00355131"/>
    <w:rsid w:val="00355C52"/>
    <w:rsid w:val="00355F74"/>
    <w:rsid w:val="003560DB"/>
    <w:rsid w:val="003563A1"/>
    <w:rsid w:val="003564DB"/>
    <w:rsid w:val="00356F87"/>
    <w:rsid w:val="00360CF3"/>
    <w:rsid w:val="00361A59"/>
    <w:rsid w:val="00363348"/>
    <w:rsid w:val="00363857"/>
    <w:rsid w:val="00363D59"/>
    <w:rsid w:val="003640F7"/>
    <w:rsid w:val="00365D3A"/>
    <w:rsid w:val="00366314"/>
    <w:rsid w:val="003664FF"/>
    <w:rsid w:val="00366BD2"/>
    <w:rsid w:val="003670B8"/>
    <w:rsid w:val="00367519"/>
    <w:rsid w:val="003704A3"/>
    <w:rsid w:val="003706F2"/>
    <w:rsid w:val="0037124F"/>
    <w:rsid w:val="003722B3"/>
    <w:rsid w:val="00373827"/>
    <w:rsid w:val="0037401C"/>
    <w:rsid w:val="00374D49"/>
    <w:rsid w:val="0037507B"/>
    <w:rsid w:val="00375C7C"/>
    <w:rsid w:val="00377027"/>
    <w:rsid w:val="00377135"/>
    <w:rsid w:val="00380272"/>
    <w:rsid w:val="003805DB"/>
    <w:rsid w:val="003811F4"/>
    <w:rsid w:val="0038152A"/>
    <w:rsid w:val="00382BAD"/>
    <w:rsid w:val="00382F03"/>
    <w:rsid w:val="003835FD"/>
    <w:rsid w:val="00384DF1"/>
    <w:rsid w:val="00384FF3"/>
    <w:rsid w:val="0038512F"/>
    <w:rsid w:val="00385BC4"/>
    <w:rsid w:val="00386456"/>
    <w:rsid w:val="003865A9"/>
    <w:rsid w:val="00386ADD"/>
    <w:rsid w:val="00387C75"/>
    <w:rsid w:val="0039092B"/>
    <w:rsid w:val="00390DB1"/>
    <w:rsid w:val="00390F32"/>
    <w:rsid w:val="0039135E"/>
    <w:rsid w:val="0039319C"/>
    <w:rsid w:val="00393577"/>
    <w:rsid w:val="00393CAE"/>
    <w:rsid w:val="003945F4"/>
    <w:rsid w:val="00394849"/>
    <w:rsid w:val="00394EB5"/>
    <w:rsid w:val="00394F19"/>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851"/>
    <w:rsid w:val="003A39DD"/>
    <w:rsid w:val="003A4199"/>
    <w:rsid w:val="003A4A8E"/>
    <w:rsid w:val="003A563C"/>
    <w:rsid w:val="003A581E"/>
    <w:rsid w:val="003A6160"/>
    <w:rsid w:val="003A65A5"/>
    <w:rsid w:val="003A72F5"/>
    <w:rsid w:val="003A73EE"/>
    <w:rsid w:val="003A762D"/>
    <w:rsid w:val="003A78E5"/>
    <w:rsid w:val="003B0341"/>
    <w:rsid w:val="003B1E57"/>
    <w:rsid w:val="003B29D4"/>
    <w:rsid w:val="003B2B6C"/>
    <w:rsid w:val="003B2EF3"/>
    <w:rsid w:val="003B48CE"/>
    <w:rsid w:val="003B4A4D"/>
    <w:rsid w:val="003B534F"/>
    <w:rsid w:val="003B5391"/>
    <w:rsid w:val="003B58CE"/>
    <w:rsid w:val="003B65D7"/>
    <w:rsid w:val="003B65E0"/>
    <w:rsid w:val="003B6BD4"/>
    <w:rsid w:val="003B6F4D"/>
    <w:rsid w:val="003B6FE7"/>
    <w:rsid w:val="003B731B"/>
    <w:rsid w:val="003C0D1F"/>
    <w:rsid w:val="003C116A"/>
    <w:rsid w:val="003C1AF4"/>
    <w:rsid w:val="003C1C9C"/>
    <w:rsid w:val="003C1CB8"/>
    <w:rsid w:val="003C22DA"/>
    <w:rsid w:val="003C2550"/>
    <w:rsid w:val="003C287F"/>
    <w:rsid w:val="003C3339"/>
    <w:rsid w:val="003C375A"/>
    <w:rsid w:val="003C4D9F"/>
    <w:rsid w:val="003C5247"/>
    <w:rsid w:val="003C622C"/>
    <w:rsid w:val="003C626E"/>
    <w:rsid w:val="003C64C7"/>
    <w:rsid w:val="003C6505"/>
    <w:rsid w:val="003C73C7"/>
    <w:rsid w:val="003C7CFB"/>
    <w:rsid w:val="003D050B"/>
    <w:rsid w:val="003D0B98"/>
    <w:rsid w:val="003D0C38"/>
    <w:rsid w:val="003D0C3C"/>
    <w:rsid w:val="003D0DE5"/>
    <w:rsid w:val="003D0F81"/>
    <w:rsid w:val="003D1351"/>
    <w:rsid w:val="003D21C1"/>
    <w:rsid w:val="003D3B15"/>
    <w:rsid w:val="003D3B2E"/>
    <w:rsid w:val="003D4101"/>
    <w:rsid w:val="003D484D"/>
    <w:rsid w:val="003D49CB"/>
    <w:rsid w:val="003D6B8F"/>
    <w:rsid w:val="003D7566"/>
    <w:rsid w:val="003D7FB3"/>
    <w:rsid w:val="003E0224"/>
    <w:rsid w:val="003E09BB"/>
    <w:rsid w:val="003E159D"/>
    <w:rsid w:val="003E20EA"/>
    <w:rsid w:val="003E210C"/>
    <w:rsid w:val="003E2F55"/>
    <w:rsid w:val="003E3239"/>
    <w:rsid w:val="003E34DB"/>
    <w:rsid w:val="003E3833"/>
    <w:rsid w:val="003E3AF9"/>
    <w:rsid w:val="003E4170"/>
    <w:rsid w:val="003E4A70"/>
    <w:rsid w:val="003E4C48"/>
    <w:rsid w:val="003E4CD9"/>
    <w:rsid w:val="003E52C2"/>
    <w:rsid w:val="003E54B3"/>
    <w:rsid w:val="003E5780"/>
    <w:rsid w:val="003E5B9F"/>
    <w:rsid w:val="003E6072"/>
    <w:rsid w:val="003E6AB6"/>
    <w:rsid w:val="003E6E0B"/>
    <w:rsid w:val="003E71CD"/>
    <w:rsid w:val="003E72F0"/>
    <w:rsid w:val="003E78DA"/>
    <w:rsid w:val="003E7A8B"/>
    <w:rsid w:val="003F0506"/>
    <w:rsid w:val="003F060E"/>
    <w:rsid w:val="003F0C1B"/>
    <w:rsid w:val="003F0F7F"/>
    <w:rsid w:val="003F115C"/>
    <w:rsid w:val="003F155A"/>
    <w:rsid w:val="003F16E9"/>
    <w:rsid w:val="003F2A95"/>
    <w:rsid w:val="003F300D"/>
    <w:rsid w:val="003F391F"/>
    <w:rsid w:val="003F4599"/>
    <w:rsid w:val="003F45E1"/>
    <w:rsid w:val="003F4F6C"/>
    <w:rsid w:val="003F559E"/>
    <w:rsid w:val="003F6181"/>
    <w:rsid w:val="003F6BFC"/>
    <w:rsid w:val="003F7343"/>
    <w:rsid w:val="00400002"/>
    <w:rsid w:val="00400054"/>
    <w:rsid w:val="004006E8"/>
    <w:rsid w:val="004012E8"/>
    <w:rsid w:val="004016A3"/>
    <w:rsid w:val="00401B31"/>
    <w:rsid w:val="0040202B"/>
    <w:rsid w:val="0040279A"/>
    <w:rsid w:val="0040293D"/>
    <w:rsid w:val="00402DE1"/>
    <w:rsid w:val="00402EEB"/>
    <w:rsid w:val="004037C2"/>
    <w:rsid w:val="00404041"/>
    <w:rsid w:val="004047DF"/>
    <w:rsid w:val="00404B43"/>
    <w:rsid w:val="00404C61"/>
    <w:rsid w:val="00405487"/>
    <w:rsid w:val="00405B8A"/>
    <w:rsid w:val="0040602B"/>
    <w:rsid w:val="00406DF5"/>
    <w:rsid w:val="00406F35"/>
    <w:rsid w:val="00407A7A"/>
    <w:rsid w:val="00407ABC"/>
    <w:rsid w:val="00407F1E"/>
    <w:rsid w:val="004107C1"/>
    <w:rsid w:val="00410A88"/>
    <w:rsid w:val="00411317"/>
    <w:rsid w:val="00411692"/>
    <w:rsid w:val="00411A9E"/>
    <w:rsid w:val="00411D33"/>
    <w:rsid w:val="0041259F"/>
    <w:rsid w:val="00412A07"/>
    <w:rsid w:val="00412B4D"/>
    <w:rsid w:val="00412C51"/>
    <w:rsid w:val="00413262"/>
    <w:rsid w:val="0041329C"/>
    <w:rsid w:val="00413920"/>
    <w:rsid w:val="004139F4"/>
    <w:rsid w:val="00413FFA"/>
    <w:rsid w:val="00414229"/>
    <w:rsid w:val="00414246"/>
    <w:rsid w:val="00414D9A"/>
    <w:rsid w:val="00415194"/>
    <w:rsid w:val="00415816"/>
    <w:rsid w:val="00415B88"/>
    <w:rsid w:val="00415D32"/>
    <w:rsid w:val="004160A2"/>
    <w:rsid w:val="004170D7"/>
    <w:rsid w:val="004177A6"/>
    <w:rsid w:val="00417C23"/>
    <w:rsid w:val="00417EFD"/>
    <w:rsid w:val="004200EE"/>
    <w:rsid w:val="004209D2"/>
    <w:rsid w:val="00420D6E"/>
    <w:rsid w:val="0042158C"/>
    <w:rsid w:val="00421BD2"/>
    <w:rsid w:val="00421E00"/>
    <w:rsid w:val="00421FCB"/>
    <w:rsid w:val="00422DCA"/>
    <w:rsid w:val="00423412"/>
    <w:rsid w:val="00423562"/>
    <w:rsid w:val="004236BF"/>
    <w:rsid w:val="00423B86"/>
    <w:rsid w:val="00423F9F"/>
    <w:rsid w:val="00425C43"/>
    <w:rsid w:val="004270D3"/>
    <w:rsid w:val="004273FA"/>
    <w:rsid w:val="004275A7"/>
    <w:rsid w:val="00430186"/>
    <w:rsid w:val="00430682"/>
    <w:rsid w:val="00431017"/>
    <w:rsid w:val="00431C0B"/>
    <w:rsid w:val="0043269A"/>
    <w:rsid w:val="004330F5"/>
    <w:rsid w:val="004333C2"/>
    <w:rsid w:val="00434787"/>
    <w:rsid w:val="00434C13"/>
    <w:rsid w:val="004351CF"/>
    <w:rsid w:val="00435703"/>
    <w:rsid w:val="00435BD5"/>
    <w:rsid w:val="00435CF0"/>
    <w:rsid w:val="00436323"/>
    <w:rsid w:val="004363D3"/>
    <w:rsid w:val="00436674"/>
    <w:rsid w:val="0043683F"/>
    <w:rsid w:val="00436F40"/>
    <w:rsid w:val="004370FA"/>
    <w:rsid w:val="004377CF"/>
    <w:rsid w:val="00440096"/>
    <w:rsid w:val="004403DD"/>
    <w:rsid w:val="00440CF3"/>
    <w:rsid w:val="00440DB0"/>
    <w:rsid w:val="00440DDC"/>
    <w:rsid w:val="00440FAD"/>
    <w:rsid w:val="00441291"/>
    <w:rsid w:val="00441E04"/>
    <w:rsid w:val="004420AB"/>
    <w:rsid w:val="004422D6"/>
    <w:rsid w:val="004427AC"/>
    <w:rsid w:val="00442C7D"/>
    <w:rsid w:val="00442D4D"/>
    <w:rsid w:val="0044374D"/>
    <w:rsid w:val="00443B55"/>
    <w:rsid w:val="00443D27"/>
    <w:rsid w:val="0044500B"/>
    <w:rsid w:val="00446037"/>
    <w:rsid w:val="00446268"/>
    <w:rsid w:val="0044642F"/>
    <w:rsid w:val="00446CA4"/>
    <w:rsid w:val="0044772C"/>
    <w:rsid w:val="00447D53"/>
    <w:rsid w:val="00450846"/>
    <w:rsid w:val="004514D8"/>
    <w:rsid w:val="00451A52"/>
    <w:rsid w:val="004524FA"/>
    <w:rsid w:val="004526F1"/>
    <w:rsid w:val="0045271D"/>
    <w:rsid w:val="00452755"/>
    <w:rsid w:val="00452803"/>
    <w:rsid w:val="004529C6"/>
    <w:rsid w:val="00452BA5"/>
    <w:rsid w:val="00452EAD"/>
    <w:rsid w:val="004533D1"/>
    <w:rsid w:val="004534D1"/>
    <w:rsid w:val="00454548"/>
    <w:rsid w:val="00454717"/>
    <w:rsid w:val="00455004"/>
    <w:rsid w:val="00455047"/>
    <w:rsid w:val="00455354"/>
    <w:rsid w:val="0045558D"/>
    <w:rsid w:val="00455B70"/>
    <w:rsid w:val="00455BD3"/>
    <w:rsid w:val="00456970"/>
    <w:rsid w:val="00456BB1"/>
    <w:rsid w:val="00456CD4"/>
    <w:rsid w:val="00456DDB"/>
    <w:rsid w:val="00457031"/>
    <w:rsid w:val="00457258"/>
    <w:rsid w:val="00460915"/>
    <w:rsid w:val="00460946"/>
    <w:rsid w:val="00460CCD"/>
    <w:rsid w:val="004614A9"/>
    <w:rsid w:val="004614E5"/>
    <w:rsid w:val="0046165E"/>
    <w:rsid w:val="00461E97"/>
    <w:rsid w:val="0046268F"/>
    <w:rsid w:val="0046284F"/>
    <w:rsid w:val="00462B10"/>
    <w:rsid w:val="00462C04"/>
    <w:rsid w:val="0046320A"/>
    <w:rsid w:val="004632E2"/>
    <w:rsid w:val="00463473"/>
    <w:rsid w:val="004638E2"/>
    <w:rsid w:val="00464030"/>
    <w:rsid w:val="004647F8"/>
    <w:rsid w:val="004647FB"/>
    <w:rsid w:val="00465347"/>
    <w:rsid w:val="00465677"/>
    <w:rsid w:val="00466616"/>
    <w:rsid w:val="00466A0C"/>
    <w:rsid w:val="00466A53"/>
    <w:rsid w:val="004673A8"/>
    <w:rsid w:val="0046753A"/>
    <w:rsid w:val="00467D4E"/>
    <w:rsid w:val="0047098A"/>
    <w:rsid w:val="00470A6A"/>
    <w:rsid w:val="00470D73"/>
    <w:rsid w:val="00470D92"/>
    <w:rsid w:val="00471DF7"/>
    <w:rsid w:val="004734CF"/>
    <w:rsid w:val="004737EA"/>
    <w:rsid w:val="00475C5A"/>
    <w:rsid w:val="00475C9C"/>
    <w:rsid w:val="0047676B"/>
    <w:rsid w:val="0047773C"/>
    <w:rsid w:val="00477C5F"/>
    <w:rsid w:val="00480050"/>
    <w:rsid w:val="0048011C"/>
    <w:rsid w:val="004804BA"/>
    <w:rsid w:val="004808DE"/>
    <w:rsid w:val="00481AC4"/>
    <w:rsid w:val="00481DC1"/>
    <w:rsid w:val="00482507"/>
    <w:rsid w:val="0048268A"/>
    <w:rsid w:val="004835CA"/>
    <w:rsid w:val="004836F8"/>
    <w:rsid w:val="004836FE"/>
    <w:rsid w:val="00484F0F"/>
    <w:rsid w:val="00484F40"/>
    <w:rsid w:val="0048540C"/>
    <w:rsid w:val="004861B4"/>
    <w:rsid w:val="004868DD"/>
    <w:rsid w:val="00486BD0"/>
    <w:rsid w:val="00486D00"/>
    <w:rsid w:val="00487263"/>
    <w:rsid w:val="0048734F"/>
    <w:rsid w:val="0049029D"/>
    <w:rsid w:val="0049030C"/>
    <w:rsid w:val="004903C0"/>
    <w:rsid w:val="0049114B"/>
    <w:rsid w:val="004912A8"/>
    <w:rsid w:val="00491577"/>
    <w:rsid w:val="0049196A"/>
    <w:rsid w:val="0049196E"/>
    <w:rsid w:val="00491B54"/>
    <w:rsid w:val="0049241A"/>
    <w:rsid w:val="00492C1F"/>
    <w:rsid w:val="00492E4C"/>
    <w:rsid w:val="00493664"/>
    <w:rsid w:val="00493961"/>
    <w:rsid w:val="00493E04"/>
    <w:rsid w:val="00493FA0"/>
    <w:rsid w:val="004940E3"/>
    <w:rsid w:val="00494120"/>
    <w:rsid w:val="0049530F"/>
    <w:rsid w:val="004957D0"/>
    <w:rsid w:val="00496664"/>
    <w:rsid w:val="00496786"/>
    <w:rsid w:val="0049695B"/>
    <w:rsid w:val="00496B9C"/>
    <w:rsid w:val="00496D8F"/>
    <w:rsid w:val="00497463"/>
    <w:rsid w:val="004A054C"/>
    <w:rsid w:val="004A070C"/>
    <w:rsid w:val="004A08D1"/>
    <w:rsid w:val="004A16C1"/>
    <w:rsid w:val="004A1CE2"/>
    <w:rsid w:val="004A34D2"/>
    <w:rsid w:val="004A4301"/>
    <w:rsid w:val="004A48D9"/>
    <w:rsid w:val="004A4D93"/>
    <w:rsid w:val="004A58EE"/>
    <w:rsid w:val="004A59B7"/>
    <w:rsid w:val="004A6051"/>
    <w:rsid w:val="004A623B"/>
    <w:rsid w:val="004A6A04"/>
    <w:rsid w:val="004A6A52"/>
    <w:rsid w:val="004B086E"/>
    <w:rsid w:val="004B0A44"/>
    <w:rsid w:val="004B0F0B"/>
    <w:rsid w:val="004B2197"/>
    <w:rsid w:val="004B298A"/>
    <w:rsid w:val="004B34C4"/>
    <w:rsid w:val="004B50CB"/>
    <w:rsid w:val="004B578D"/>
    <w:rsid w:val="004B5BE7"/>
    <w:rsid w:val="004B5E2D"/>
    <w:rsid w:val="004B66CD"/>
    <w:rsid w:val="004B6C07"/>
    <w:rsid w:val="004B74D3"/>
    <w:rsid w:val="004B788E"/>
    <w:rsid w:val="004B7E5D"/>
    <w:rsid w:val="004C2180"/>
    <w:rsid w:val="004C22F7"/>
    <w:rsid w:val="004C230E"/>
    <w:rsid w:val="004C2B27"/>
    <w:rsid w:val="004C3219"/>
    <w:rsid w:val="004C3929"/>
    <w:rsid w:val="004C46F5"/>
    <w:rsid w:val="004C5212"/>
    <w:rsid w:val="004C580A"/>
    <w:rsid w:val="004C5EF0"/>
    <w:rsid w:val="004C64C9"/>
    <w:rsid w:val="004C7226"/>
    <w:rsid w:val="004C74C9"/>
    <w:rsid w:val="004C7915"/>
    <w:rsid w:val="004C7AA7"/>
    <w:rsid w:val="004C7D70"/>
    <w:rsid w:val="004D02F9"/>
    <w:rsid w:val="004D03FE"/>
    <w:rsid w:val="004D0446"/>
    <w:rsid w:val="004D06A3"/>
    <w:rsid w:val="004D0F95"/>
    <w:rsid w:val="004D106A"/>
    <w:rsid w:val="004D1335"/>
    <w:rsid w:val="004D1C7E"/>
    <w:rsid w:val="004D245A"/>
    <w:rsid w:val="004D26FE"/>
    <w:rsid w:val="004D2E95"/>
    <w:rsid w:val="004D31EE"/>
    <w:rsid w:val="004D36AF"/>
    <w:rsid w:val="004D3BD1"/>
    <w:rsid w:val="004D4BA1"/>
    <w:rsid w:val="004D4EC1"/>
    <w:rsid w:val="004D584D"/>
    <w:rsid w:val="004D5A7E"/>
    <w:rsid w:val="004D5CD1"/>
    <w:rsid w:val="004D6120"/>
    <w:rsid w:val="004D6826"/>
    <w:rsid w:val="004D6D7F"/>
    <w:rsid w:val="004D7098"/>
    <w:rsid w:val="004E023F"/>
    <w:rsid w:val="004E0546"/>
    <w:rsid w:val="004E0742"/>
    <w:rsid w:val="004E0C64"/>
    <w:rsid w:val="004E0F6B"/>
    <w:rsid w:val="004E1545"/>
    <w:rsid w:val="004E1F1C"/>
    <w:rsid w:val="004E2A35"/>
    <w:rsid w:val="004E40CE"/>
    <w:rsid w:val="004E5736"/>
    <w:rsid w:val="004E5A3C"/>
    <w:rsid w:val="004E5B36"/>
    <w:rsid w:val="004E5D5D"/>
    <w:rsid w:val="004E6045"/>
    <w:rsid w:val="004E6F43"/>
    <w:rsid w:val="004E7200"/>
    <w:rsid w:val="004E787E"/>
    <w:rsid w:val="004E7F77"/>
    <w:rsid w:val="004F0960"/>
    <w:rsid w:val="004F0A5C"/>
    <w:rsid w:val="004F163F"/>
    <w:rsid w:val="004F18A0"/>
    <w:rsid w:val="004F1A08"/>
    <w:rsid w:val="004F2B64"/>
    <w:rsid w:val="004F2EC2"/>
    <w:rsid w:val="004F31B8"/>
    <w:rsid w:val="004F375E"/>
    <w:rsid w:val="004F3764"/>
    <w:rsid w:val="004F3C90"/>
    <w:rsid w:val="004F3DB4"/>
    <w:rsid w:val="004F3EEF"/>
    <w:rsid w:val="004F5180"/>
    <w:rsid w:val="004F53D6"/>
    <w:rsid w:val="004F57C9"/>
    <w:rsid w:val="004F5930"/>
    <w:rsid w:val="004F5970"/>
    <w:rsid w:val="004F5F0C"/>
    <w:rsid w:val="004F5F46"/>
    <w:rsid w:val="004F6121"/>
    <w:rsid w:val="004F6161"/>
    <w:rsid w:val="004F66BC"/>
    <w:rsid w:val="004F6B63"/>
    <w:rsid w:val="004F6C26"/>
    <w:rsid w:val="004F6F65"/>
    <w:rsid w:val="004F7AC9"/>
    <w:rsid w:val="004F7DCB"/>
    <w:rsid w:val="0050062F"/>
    <w:rsid w:val="00500E74"/>
    <w:rsid w:val="0050160F"/>
    <w:rsid w:val="0050284E"/>
    <w:rsid w:val="00502993"/>
    <w:rsid w:val="0050306F"/>
    <w:rsid w:val="00505DCB"/>
    <w:rsid w:val="0050703E"/>
    <w:rsid w:val="00507353"/>
    <w:rsid w:val="005075CA"/>
    <w:rsid w:val="00507B06"/>
    <w:rsid w:val="00507BF1"/>
    <w:rsid w:val="0051047A"/>
    <w:rsid w:val="0051074C"/>
    <w:rsid w:val="00510DE9"/>
    <w:rsid w:val="00510F21"/>
    <w:rsid w:val="005111E2"/>
    <w:rsid w:val="00511231"/>
    <w:rsid w:val="00512C4F"/>
    <w:rsid w:val="00513042"/>
    <w:rsid w:val="0051334F"/>
    <w:rsid w:val="00513399"/>
    <w:rsid w:val="00513AF2"/>
    <w:rsid w:val="0051430A"/>
    <w:rsid w:val="00514575"/>
    <w:rsid w:val="00514C03"/>
    <w:rsid w:val="00514D67"/>
    <w:rsid w:val="0051522A"/>
    <w:rsid w:val="00515515"/>
    <w:rsid w:val="0051635C"/>
    <w:rsid w:val="0051690A"/>
    <w:rsid w:val="00516C5B"/>
    <w:rsid w:val="00517612"/>
    <w:rsid w:val="00517CFB"/>
    <w:rsid w:val="00517F85"/>
    <w:rsid w:val="00520235"/>
    <w:rsid w:val="00520899"/>
    <w:rsid w:val="00520922"/>
    <w:rsid w:val="005209FC"/>
    <w:rsid w:val="00520FCA"/>
    <w:rsid w:val="00521A30"/>
    <w:rsid w:val="005224E5"/>
    <w:rsid w:val="00523903"/>
    <w:rsid w:val="00523993"/>
    <w:rsid w:val="005239B6"/>
    <w:rsid w:val="00523C45"/>
    <w:rsid w:val="00524165"/>
    <w:rsid w:val="005246E7"/>
    <w:rsid w:val="00524B08"/>
    <w:rsid w:val="00524C38"/>
    <w:rsid w:val="00524FD2"/>
    <w:rsid w:val="00525621"/>
    <w:rsid w:val="005257E5"/>
    <w:rsid w:val="00526431"/>
    <w:rsid w:val="00527015"/>
    <w:rsid w:val="00527532"/>
    <w:rsid w:val="00527703"/>
    <w:rsid w:val="00527DEB"/>
    <w:rsid w:val="00527E57"/>
    <w:rsid w:val="00527F2C"/>
    <w:rsid w:val="00530405"/>
    <w:rsid w:val="00530522"/>
    <w:rsid w:val="005305E5"/>
    <w:rsid w:val="00530CBA"/>
    <w:rsid w:val="00530DBD"/>
    <w:rsid w:val="00530F38"/>
    <w:rsid w:val="00531F26"/>
    <w:rsid w:val="00532299"/>
    <w:rsid w:val="0053277C"/>
    <w:rsid w:val="005327C0"/>
    <w:rsid w:val="00533101"/>
    <w:rsid w:val="00533CA9"/>
    <w:rsid w:val="00533D28"/>
    <w:rsid w:val="005346AD"/>
    <w:rsid w:val="00534EFB"/>
    <w:rsid w:val="00534F60"/>
    <w:rsid w:val="005357F1"/>
    <w:rsid w:val="00536053"/>
    <w:rsid w:val="00536344"/>
    <w:rsid w:val="00536985"/>
    <w:rsid w:val="005369E6"/>
    <w:rsid w:val="005371AC"/>
    <w:rsid w:val="00537672"/>
    <w:rsid w:val="0053772F"/>
    <w:rsid w:val="00537B77"/>
    <w:rsid w:val="00540C4C"/>
    <w:rsid w:val="005411F3"/>
    <w:rsid w:val="00541469"/>
    <w:rsid w:val="00541571"/>
    <w:rsid w:val="005415F8"/>
    <w:rsid w:val="00541B1F"/>
    <w:rsid w:val="005423F4"/>
    <w:rsid w:val="0054275A"/>
    <w:rsid w:val="0054285A"/>
    <w:rsid w:val="005428B8"/>
    <w:rsid w:val="00542BD7"/>
    <w:rsid w:val="00543084"/>
    <w:rsid w:val="00543314"/>
    <w:rsid w:val="00543584"/>
    <w:rsid w:val="00543A9E"/>
    <w:rsid w:val="0054413A"/>
    <w:rsid w:val="00544288"/>
    <w:rsid w:val="005446BB"/>
    <w:rsid w:val="005448C8"/>
    <w:rsid w:val="00544DA5"/>
    <w:rsid w:val="00544F43"/>
    <w:rsid w:val="00545E30"/>
    <w:rsid w:val="00545EA3"/>
    <w:rsid w:val="00546C9B"/>
    <w:rsid w:val="00547BF6"/>
    <w:rsid w:val="00547D1A"/>
    <w:rsid w:val="00547FB3"/>
    <w:rsid w:val="00550E0F"/>
    <w:rsid w:val="00551098"/>
    <w:rsid w:val="00551598"/>
    <w:rsid w:val="0055162B"/>
    <w:rsid w:val="00551BFF"/>
    <w:rsid w:val="00551D68"/>
    <w:rsid w:val="00551DFF"/>
    <w:rsid w:val="005525C9"/>
    <w:rsid w:val="00552B3E"/>
    <w:rsid w:val="00554D57"/>
    <w:rsid w:val="005551AA"/>
    <w:rsid w:val="00555913"/>
    <w:rsid w:val="0055636A"/>
    <w:rsid w:val="005564CA"/>
    <w:rsid w:val="005568EA"/>
    <w:rsid w:val="00557140"/>
    <w:rsid w:val="00557984"/>
    <w:rsid w:val="00557A05"/>
    <w:rsid w:val="00560C87"/>
    <w:rsid w:val="00560F51"/>
    <w:rsid w:val="00561249"/>
    <w:rsid w:val="0056182B"/>
    <w:rsid w:val="00561AF3"/>
    <w:rsid w:val="00561E0B"/>
    <w:rsid w:val="00562141"/>
    <w:rsid w:val="00562D86"/>
    <w:rsid w:val="00563784"/>
    <w:rsid w:val="00564704"/>
    <w:rsid w:val="00564712"/>
    <w:rsid w:val="005657A8"/>
    <w:rsid w:val="00565952"/>
    <w:rsid w:val="00566866"/>
    <w:rsid w:val="00566E76"/>
    <w:rsid w:val="005670A5"/>
    <w:rsid w:val="00567285"/>
    <w:rsid w:val="00567723"/>
    <w:rsid w:val="0056772D"/>
    <w:rsid w:val="00567AB8"/>
    <w:rsid w:val="00570A26"/>
    <w:rsid w:val="00570CFD"/>
    <w:rsid w:val="00571872"/>
    <w:rsid w:val="00572198"/>
    <w:rsid w:val="005721D5"/>
    <w:rsid w:val="0057221F"/>
    <w:rsid w:val="00572539"/>
    <w:rsid w:val="00573355"/>
    <w:rsid w:val="0057337D"/>
    <w:rsid w:val="00573504"/>
    <w:rsid w:val="00573BA3"/>
    <w:rsid w:val="00573C8C"/>
    <w:rsid w:val="005745F3"/>
    <w:rsid w:val="00574708"/>
    <w:rsid w:val="00574D81"/>
    <w:rsid w:val="005756AA"/>
    <w:rsid w:val="0057696F"/>
    <w:rsid w:val="005774FE"/>
    <w:rsid w:val="0058040C"/>
    <w:rsid w:val="00580D6D"/>
    <w:rsid w:val="005813DE"/>
    <w:rsid w:val="00581796"/>
    <w:rsid w:val="005818B9"/>
    <w:rsid w:val="00581B45"/>
    <w:rsid w:val="00582480"/>
    <w:rsid w:val="00582805"/>
    <w:rsid w:val="0058290E"/>
    <w:rsid w:val="00582CAB"/>
    <w:rsid w:val="00582D08"/>
    <w:rsid w:val="00582FA6"/>
    <w:rsid w:val="0058375E"/>
    <w:rsid w:val="00584233"/>
    <w:rsid w:val="005842D0"/>
    <w:rsid w:val="005845FB"/>
    <w:rsid w:val="005846F3"/>
    <w:rsid w:val="00585154"/>
    <w:rsid w:val="005855AE"/>
    <w:rsid w:val="00585829"/>
    <w:rsid w:val="00585CA8"/>
    <w:rsid w:val="005860F5"/>
    <w:rsid w:val="00586412"/>
    <w:rsid w:val="005864B9"/>
    <w:rsid w:val="005866C4"/>
    <w:rsid w:val="005906E8"/>
    <w:rsid w:val="005908E7"/>
    <w:rsid w:val="00590F1A"/>
    <w:rsid w:val="00591C03"/>
    <w:rsid w:val="00591D9E"/>
    <w:rsid w:val="00591E2A"/>
    <w:rsid w:val="005923C4"/>
    <w:rsid w:val="00593EA2"/>
    <w:rsid w:val="00593F75"/>
    <w:rsid w:val="005940A0"/>
    <w:rsid w:val="0059429A"/>
    <w:rsid w:val="00594462"/>
    <w:rsid w:val="00594CBE"/>
    <w:rsid w:val="00596AF7"/>
    <w:rsid w:val="00596B47"/>
    <w:rsid w:val="00596CCE"/>
    <w:rsid w:val="005A1976"/>
    <w:rsid w:val="005A2120"/>
    <w:rsid w:val="005A2501"/>
    <w:rsid w:val="005A2C80"/>
    <w:rsid w:val="005A3066"/>
    <w:rsid w:val="005A3B35"/>
    <w:rsid w:val="005A3C4B"/>
    <w:rsid w:val="005A3E5A"/>
    <w:rsid w:val="005A43F3"/>
    <w:rsid w:val="005A496F"/>
    <w:rsid w:val="005A4A56"/>
    <w:rsid w:val="005A5608"/>
    <w:rsid w:val="005A5A3D"/>
    <w:rsid w:val="005A6035"/>
    <w:rsid w:val="005A69FC"/>
    <w:rsid w:val="005A6B75"/>
    <w:rsid w:val="005A6E00"/>
    <w:rsid w:val="005A718A"/>
    <w:rsid w:val="005A7752"/>
    <w:rsid w:val="005A7885"/>
    <w:rsid w:val="005B12B2"/>
    <w:rsid w:val="005B143B"/>
    <w:rsid w:val="005B19BD"/>
    <w:rsid w:val="005B1E45"/>
    <w:rsid w:val="005B1F31"/>
    <w:rsid w:val="005B21C4"/>
    <w:rsid w:val="005B2A28"/>
    <w:rsid w:val="005B2BB7"/>
    <w:rsid w:val="005B3621"/>
    <w:rsid w:val="005B4948"/>
    <w:rsid w:val="005B501D"/>
    <w:rsid w:val="005B54CC"/>
    <w:rsid w:val="005B74AD"/>
    <w:rsid w:val="005B7E96"/>
    <w:rsid w:val="005C0429"/>
    <w:rsid w:val="005C084F"/>
    <w:rsid w:val="005C0EE9"/>
    <w:rsid w:val="005C16A8"/>
    <w:rsid w:val="005C1716"/>
    <w:rsid w:val="005C1954"/>
    <w:rsid w:val="005C1C0B"/>
    <w:rsid w:val="005C2011"/>
    <w:rsid w:val="005C2EB1"/>
    <w:rsid w:val="005C3EA3"/>
    <w:rsid w:val="005C44DE"/>
    <w:rsid w:val="005C5011"/>
    <w:rsid w:val="005C5241"/>
    <w:rsid w:val="005C529E"/>
    <w:rsid w:val="005C57BA"/>
    <w:rsid w:val="005C5C52"/>
    <w:rsid w:val="005C5D3D"/>
    <w:rsid w:val="005C5EC1"/>
    <w:rsid w:val="005C5F05"/>
    <w:rsid w:val="005C6186"/>
    <w:rsid w:val="005C692A"/>
    <w:rsid w:val="005C7E45"/>
    <w:rsid w:val="005C7F3E"/>
    <w:rsid w:val="005D06D3"/>
    <w:rsid w:val="005D0C3B"/>
    <w:rsid w:val="005D1051"/>
    <w:rsid w:val="005D1606"/>
    <w:rsid w:val="005D2044"/>
    <w:rsid w:val="005D2917"/>
    <w:rsid w:val="005D2EB2"/>
    <w:rsid w:val="005D2F48"/>
    <w:rsid w:val="005D3B32"/>
    <w:rsid w:val="005D464B"/>
    <w:rsid w:val="005D466F"/>
    <w:rsid w:val="005D49F0"/>
    <w:rsid w:val="005D51F7"/>
    <w:rsid w:val="005D51FA"/>
    <w:rsid w:val="005D53E8"/>
    <w:rsid w:val="005D5A9D"/>
    <w:rsid w:val="005D6651"/>
    <w:rsid w:val="005D691D"/>
    <w:rsid w:val="005D6A72"/>
    <w:rsid w:val="005D6BD6"/>
    <w:rsid w:val="005D6D48"/>
    <w:rsid w:val="005D6F38"/>
    <w:rsid w:val="005D7279"/>
    <w:rsid w:val="005D791B"/>
    <w:rsid w:val="005D7CF2"/>
    <w:rsid w:val="005D7F92"/>
    <w:rsid w:val="005E0D7B"/>
    <w:rsid w:val="005E1595"/>
    <w:rsid w:val="005E182D"/>
    <w:rsid w:val="005E1F1D"/>
    <w:rsid w:val="005E273D"/>
    <w:rsid w:val="005E2A98"/>
    <w:rsid w:val="005E3164"/>
    <w:rsid w:val="005E3278"/>
    <w:rsid w:val="005E363B"/>
    <w:rsid w:val="005E3736"/>
    <w:rsid w:val="005E3D22"/>
    <w:rsid w:val="005E4A3E"/>
    <w:rsid w:val="005E72B9"/>
    <w:rsid w:val="005F305B"/>
    <w:rsid w:val="005F3081"/>
    <w:rsid w:val="005F3361"/>
    <w:rsid w:val="005F3B47"/>
    <w:rsid w:val="005F4481"/>
    <w:rsid w:val="005F47AC"/>
    <w:rsid w:val="005F49AF"/>
    <w:rsid w:val="005F4A58"/>
    <w:rsid w:val="005F54DF"/>
    <w:rsid w:val="005F5888"/>
    <w:rsid w:val="005F5984"/>
    <w:rsid w:val="005F5EAB"/>
    <w:rsid w:val="005F639F"/>
    <w:rsid w:val="005F6926"/>
    <w:rsid w:val="005F6CE2"/>
    <w:rsid w:val="005F6F24"/>
    <w:rsid w:val="005F72E9"/>
    <w:rsid w:val="005F780B"/>
    <w:rsid w:val="00600344"/>
    <w:rsid w:val="00600473"/>
    <w:rsid w:val="0060139A"/>
    <w:rsid w:val="006013C9"/>
    <w:rsid w:val="00601B39"/>
    <w:rsid w:val="00602B45"/>
    <w:rsid w:val="00602FC7"/>
    <w:rsid w:val="006032AB"/>
    <w:rsid w:val="00603499"/>
    <w:rsid w:val="006035F5"/>
    <w:rsid w:val="00603CC2"/>
    <w:rsid w:val="006047D1"/>
    <w:rsid w:val="00604A55"/>
    <w:rsid w:val="00604B75"/>
    <w:rsid w:val="00604D4E"/>
    <w:rsid w:val="00604E3E"/>
    <w:rsid w:val="00604EFB"/>
    <w:rsid w:val="00605AC3"/>
    <w:rsid w:val="00606908"/>
    <w:rsid w:val="00607996"/>
    <w:rsid w:val="00607A37"/>
    <w:rsid w:val="00607E0A"/>
    <w:rsid w:val="00607E9F"/>
    <w:rsid w:val="0061085E"/>
    <w:rsid w:val="00611398"/>
    <w:rsid w:val="00612322"/>
    <w:rsid w:val="006123C0"/>
    <w:rsid w:val="00612DF1"/>
    <w:rsid w:val="00613191"/>
    <w:rsid w:val="006133F9"/>
    <w:rsid w:val="006134B3"/>
    <w:rsid w:val="00613685"/>
    <w:rsid w:val="00613DE1"/>
    <w:rsid w:val="0061401F"/>
    <w:rsid w:val="00614166"/>
    <w:rsid w:val="00614817"/>
    <w:rsid w:val="006149CC"/>
    <w:rsid w:val="006157A9"/>
    <w:rsid w:val="0061591D"/>
    <w:rsid w:val="00615ED0"/>
    <w:rsid w:val="0061604C"/>
    <w:rsid w:val="00616C2B"/>
    <w:rsid w:val="00616D7F"/>
    <w:rsid w:val="006178D1"/>
    <w:rsid w:val="00620719"/>
    <w:rsid w:val="006212C9"/>
    <w:rsid w:val="00621D0C"/>
    <w:rsid w:val="00622470"/>
    <w:rsid w:val="00622725"/>
    <w:rsid w:val="0062296B"/>
    <w:rsid w:val="006231AA"/>
    <w:rsid w:val="00623482"/>
    <w:rsid w:val="00623AC2"/>
    <w:rsid w:val="00623EBC"/>
    <w:rsid w:val="0062527C"/>
    <w:rsid w:val="00625497"/>
    <w:rsid w:val="006266D7"/>
    <w:rsid w:val="00626D42"/>
    <w:rsid w:val="00626EE3"/>
    <w:rsid w:val="006274AD"/>
    <w:rsid w:val="00627519"/>
    <w:rsid w:val="00627532"/>
    <w:rsid w:val="0063008E"/>
    <w:rsid w:val="006302AA"/>
    <w:rsid w:val="006310C3"/>
    <w:rsid w:val="0063161E"/>
    <w:rsid w:val="00631660"/>
    <w:rsid w:val="00631908"/>
    <w:rsid w:val="00631BB5"/>
    <w:rsid w:val="00631DD0"/>
    <w:rsid w:val="0063307A"/>
    <w:rsid w:val="00633DBF"/>
    <w:rsid w:val="00634122"/>
    <w:rsid w:val="00634261"/>
    <w:rsid w:val="00635E32"/>
    <w:rsid w:val="006360FC"/>
    <w:rsid w:val="006364DB"/>
    <w:rsid w:val="006365DE"/>
    <w:rsid w:val="00636BE4"/>
    <w:rsid w:val="00636F88"/>
    <w:rsid w:val="0063732C"/>
    <w:rsid w:val="00637802"/>
    <w:rsid w:val="00637836"/>
    <w:rsid w:val="00637C26"/>
    <w:rsid w:val="00637F44"/>
    <w:rsid w:val="00640084"/>
    <w:rsid w:val="00641078"/>
    <w:rsid w:val="00641242"/>
    <w:rsid w:val="006424AA"/>
    <w:rsid w:val="00642A32"/>
    <w:rsid w:val="00642C41"/>
    <w:rsid w:val="006433D5"/>
    <w:rsid w:val="00643412"/>
    <w:rsid w:val="00643D16"/>
    <w:rsid w:val="00645C53"/>
    <w:rsid w:val="00645CEB"/>
    <w:rsid w:val="00645E6E"/>
    <w:rsid w:val="00646B20"/>
    <w:rsid w:val="00646D0F"/>
    <w:rsid w:val="00647A36"/>
    <w:rsid w:val="00647DCC"/>
    <w:rsid w:val="00647EFA"/>
    <w:rsid w:val="00647F14"/>
    <w:rsid w:val="00650027"/>
    <w:rsid w:val="00651B9C"/>
    <w:rsid w:val="00651C47"/>
    <w:rsid w:val="00652E70"/>
    <w:rsid w:val="0065339A"/>
    <w:rsid w:val="00653469"/>
    <w:rsid w:val="006548B8"/>
    <w:rsid w:val="00654A38"/>
    <w:rsid w:val="00655301"/>
    <w:rsid w:val="00655371"/>
    <w:rsid w:val="00655507"/>
    <w:rsid w:val="00656C4B"/>
    <w:rsid w:val="006573EA"/>
    <w:rsid w:val="0066073F"/>
    <w:rsid w:val="00660D2A"/>
    <w:rsid w:val="00661029"/>
    <w:rsid w:val="0066135A"/>
    <w:rsid w:val="00661A38"/>
    <w:rsid w:val="0066272D"/>
    <w:rsid w:val="00662E58"/>
    <w:rsid w:val="00662F39"/>
    <w:rsid w:val="0066339A"/>
    <w:rsid w:val="006635A0"/>
    <w:rsid w:val="00664351"/>
    <w:rsid w:val="0066444B"/>
    <w:rsid w:val="00665875"/>
    <w:rsid w:val="00665968"/>
    <w:rsid w:val="00665B1E"/>
    <w:rsid w:val="00665BF7"/>
    <w:rsid w:val="00666178"/>
    <w:rsid w:val="0066639E"/>
    <w:rsid w:val="00666473"/>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F1C"/>
    <w:rsid w:val="006754F8"/>
    <w:rsid w:val="00675BD6"/>
    <w:rsid w:val="00676127"/>
    <w:rsid w:val="00676AED"/>
    <w:rsid w:val="00677E9C"/>
    <w:rsid w:val="00677F26"/>
    <w:rsid w:val="006800EE"/>
    <w:rsid w:val="006802A7"/>
    <w:rsid w:val="006811C9"/>
    <w:rsid w:val="006811FB"/>
    <w:rsid w:val="006812CE"/>
    <w:rsid w:val="006826C1"/>
    <w:rsid w:val="00682C89"/>
    <w:rsid w:val="006832B8"/>
    <w:rsid w:val="006837B2"/>
    <w:rsid w:val="00683800"/>
    <w:rsid w:val="00684462"/>
    <w:rsid w:val="00684C8A"/>
    <w:rsid w:val="00684CF5"/>
    <w:rsid w:val="0068553E"/>
    <w:rsid w:val="00685E7B"/>
    <w:rsid w:val="00686551"/>
    <w:rsid w:val="00686CAB"/>
    <w:rsid w:val="00686E4D"/>
    <w:rsid w:val="0068717F"/>
    <w:rsid w:val="0068719A"/>
    <w:rsid w:val="0068727C"/>
    <w:rsid w:val="0068730C"/>
    <w:rsid w:val="00687504"/>
    <w:rsid w:val="00687792"/>
    <w:rsid w:val="00687A14"/>
    <w:rsid w:val="00687A8C"/>
    <w:rsid w:val="00690839"/>
    <w:rsid w:val="006908DB"/>
    <w:rsid w:val="00690DE9"/>
    <w:rsid w:val="00691DE9"/>
    <w:rsid w:val="00691EAA"/>
    <w:rsid w:val="00692245"/>
    <w:rsid w:val="00692FFA"/>
    <w:rsid w:val="00693772"/>
    <w:rsid w:val="00693984"/>
    <w:rsid w:val="00693B77"/>
    <w:rsid w:val="00694160"/>
    <w:rsid w:val="006959A5"/>
    <w:rsid w:val="00695C0C"/>
    <w:rsid w:val="00696736"/>
    <w:rsid w:val="00696A05"/>
    <w:rsid w:val="00697665"/>
    <w:rsid w:val="006979BF"/>
    <w:rsid w:val="00697C9A"/>
    <w:rsid w:val="00697E68"/>
    <w:rsid w:val="00697FC1"/>
    <w:rsid w:val="006A0274"/>
    <w:rsid w:val="006A103E"/>
    <w:rsid w:val="006A27BC"/>
    <w:rsid w:val="006A2A43"/>
    <w:rsid w:val="006A2A98"/>
    <w:rsid w:val="006A2BF1"/>
    <w:rsid w:val="006A2F9A"/>
    <w:rsid w:val="006A34E4"/>
    <w:rsid w:val="006A3A5A"/>
    <w:rsid w:val="006A44CF"/>
    <w:rsid w:val="006A457D"/>
    <w:rsid w:val="006A4C06"/>
    <w:rsid w:val="006A55EE"/>
    <w:rsid w:val="006A575B"/>
    <w:rsid w:val="006A59DE"/>
    <w:rsid w:val="006A64C6"/>
    <w:rsid w:val="006A6655"/>
    <w:rsid w:val="006A6BF9"/>
    <w:rsid w:val="006A7CB5"/>
    <w:rsid w:val="006A7FD0"/>
    <w:rsid w:val="006B00E4"/>
    <w:rsid w:val="006B025C"/>
    <w:rsid w:val="006B08ED"/>
    <w:rsid w:val="006B2534"/>
    <w:rsid w:val="006B2CB2"/>
    <w:rsid w:val="006B347D"/>
    <w:rsid w:val="006B359F"/>
    <w:rsid w:val="006B3E19"/>
    <w:rsid w:val="006B4488"/>
    <w:rsid w:val="006B49FC"/>
    <w:rsid w:val="006B50C4"/>
    <w:rsid w:val="006B53AE"/>
    <w:rsid w:val="006B58B4"/>
    <w:rsid w:val="006B67AC"/>
    <w:rsid w:val="006B6DB3"/>
    <w:rsid w:val="006B786A"/>
    <w:rsid w:val="006B7A03"/>
    <w:rsid w:val="006B7D67"/>
    <w:rsid w:val="006B7E4E"/>
    <w:rsid w:val="006C003A"/>
    <w:rsid w:val="006C074F"/>
    <w:rsid w:val="006C107C"/>
    <w:rsid w:val="006C240D"/>
    <w:rsid w:val="006C2454"/>
    <w:rsid w:val="006C2551"/>
    <w:rsid w:val="006C37CA"/>
    <w:rsid w:val="006C40D2"/>
    <w:rsid w:val="006C4BBD"/>
    <w:rsid w:val="006C4C26"/>
    <w:rsid w:val="006C506D"/>
    <w:rsid w:val="006C5B15"/>
    <w:rsid w:val="006C5D32"/>
    <w:rsid w:val="006C5DCB"/>
    <w:rsid w:val="006C6475"/>
    <w:rsid w:val="006C70C4"/>
    <w:rsid w:val="006C741F"/>
    <w:rsid w:val="006D04DA"/>
    <w:rsid w:val="006D10F6"/>
    <w:rsid w:val="006D1544"/>
    <w:rsid w:val="006D1688"/>
    <w:rsid w:val="006D1DD3"/>
    <w:rsid w:val="006D1FF3"/>
    <w:rsid w:val="006D291B"/>
    <w:rsid w:val="006D2C65"/>
    <w:rsid w:val="006D2DE3"/>
    <w:rsid w:val="006D32C6"/>
    <w:rsid w:val="006D3491"/>
    <w:rsid w:val="006D360E"/>
    <w:rsid w:val="006D3697"/>
    <w:rsid w:val="006D39D2"/>
    <w:rsid w:val="006D3F2A"/>
    <w:rsid w:val="006D4370"/>
    <w:rsid w:val="006D46A3"/>
    <w:rsid w:val="006D62E0"/>
    <w:rsid w:val="006D658F"/>
    <w:rsid w:val="006D6A12"/>
    <w:rsid w:val="006D712D"/>
    <w:rsid w:val="006D7687"/>
    <w:rsid w:val="006D7D1F"/>
    <w:rsid w:val="006D7D8A"/>
    <w:rsid w:val="006E0572"/>
    <w:rsid w:val="006E05D8"/>
    <w:rsid w:val="006E088C"/>
    <w:rsid w:val="006E08EE"/>
    <w:rsid w:val="006E155A"/>
    <w:rsid w:val="006E2C34"/>
    <w:rsid w:val="006E359B"/>
    <w:rsid w:val="006E39D1"/>
    <w:rsid w:val="006E3B05"/>
    <w:rsid w:val="006E437F"/>
    <w:rsid w:val="006E4D5B"/>
    <w:rsid w:val="006E602F"/>
    <w:rsid w:val="006E6720"/>
    <w:rsid w:val="006E7275"/>
    <w:rsid w:val="006E77B8"/>
    <w:rsid w:val="006F13BA"/>
    <w:rsid w:val="006F15CC"/>
    <w:rsid w:val="006F15F6"/>
    <w:rsid w:val="006F36EA"/>
    <w:rsid w:val="006F4147"/>
    <w:rsid w:val="006F4315"/>
    <w:rsid w:val="006F4CB0"/>
    <w:rsid w:val="006F4F78"/>
    <w:rsid w:val="006F547E"/>
    <w:rsid w:val="006F5CCF"/>
    <w:rsid w:val="006F6F04"/>
    <w:rsid w:val="006F71F5"/>
    <w:rsid w:val="00700610"/>
    <w:rsid w:val="00700B9C"/>
    <w:rsid w:val="0070138A"/>
    <w:rsid w:val="0070157E"/>
    <w:rsid w:val="007030D4"/>
    <w:rsid w:val="00703279"/>
    <w:rsid w:val="00703B61"/>
    <w:rsid w:val="00703E11"/>
    <w:rsid w:val="00704102"/>
    <w:rsid w:val="0070437C"/>
    <w:rsid w:val="0070461C"/>
    <w:rsid w:val="00704A91"/>
    <w:rsid w:val="00705631"/>
    <w:rsid w:val="00705818"/>
    <w:rsid w:val="00705F62"/>
    <w:rsid w:val="0070773F"/>
    <w:rsid w:val="007078BD"/>
    <w:rsid w:val="00707ED3"/>
    <w:rsid w:val="007101B7"/>
    <w:rsid w:val="00710668"/>
    <w:rsid w:val="007110F4"/>
    <w:rsid w:val="007112B1"/>
    <w:rsid w:val="0071130F"/>
    <w:rsid w:val="0071143C"/>
    <w:rsid w:val="00711B11"/>
    <w:rsid w:val="00712714"/>
    <w:rsid w:val="007129AB"/>
    <w:rsid w:val="00712B63"/>
    <w:rsid w:val="00713526"/>
    <w:rsid w:val="00713724"/>
    <w:rsid w:val="00713FC5"/>
    <w:rsid w:val="00714DCA"/>
    <w:rsid w:val="00715BBF"/>
    <w:rsid w:val="00715C29"/>
    <w:rsid w:val="00715CBD"/>
    <w:rsid w:val="00715EAA"/>
    <w:rsid w:val="007166C2"/>
    <w:rsid w:val="00716CAD"/>
    <w:rsid w:val="00716F18"/>
    <w:rsid w:val="00717363"/>
    <w:rsid w:val="00717786"/>
    <w:rsid w:val="00717ACB"/>
    <w:rsid w:val="0072138B"/>
    <w:rsid w:val="00721BFF"/>
    <w:rsid w:val="00723475"/>
    <w:rsid w:val="007236C4"/>
    <w:rsid w:val="00723917"/>
    <w:rsid w:val="00723D80"/>
    <w:rsid w:val="007242A2"/>
    <w:rsid w:val="00724635"/>
    <w:rsid w:val="00724F21"/>
    <w:rsid w:val="00725134"/>
    <w:rsid w:val="0072554B"/>
    <w:rsid w:val="00725AFD"/>
    <w:rsid w:val="00726603"/>
    <w:rsid w:val="007270EF"/>
    <w:rsid w:val="00727B1D"/>
    <w:rsid w:val="00727DDC"/>
    <w:rsid w:val="00730CD6"/>
    <w:rsid w:val="00730F74"/>
    <w:rsid w:val="00730F87"/>
    <w:rsid w:val="0073114B"/>
    <w:rsid w:val="00732151"/>
    <w:rsid w:val="0073373A"/>
    <w:rsid w:val="007339EC"/>
    <w:rsid w:val="00734952"/>
    <w:rsid w:val="00734990"/>
    <w:rsid w:val="00734FF5"/>
    <w:rsid w:val="00735B78"/>
    <w:rsid w:val="00735DA7"/>
    <w:rsid w:val="007368B4"/>
    <w:rsid w:val="007378E0"/>
    <w:rsid w:val="00737B4A"/>
    <w:rsid w:val="00737D92"/>
    <w:rsid w:val="00740529"/>
    <w:rsid w:val="00740876"/>
    <w:rsid w:val="00741358"/>
    <w:rsid w:val="00741626"/>
    <w:rsid w:val="00742332"/>
    <w:rsid w:val="00742886"/>
    <w:rsid w:val="00742C76"/>
    <w:rsid w:val="00742DD2"/>
    <w:rsid w:val="00742F60"/>
    <w:rsid w:val="007437C6"/>
    <w:rsid w:val="007441A2"/>
    <w:rsid w:val="00744E80"/>
    <w:rsid w:val="00745035"/>
    <w:rsid w:val="0074531C"/>
    <w:rsid w:val="00745547"/>
    <w:rsid w:val="007459D0"/>
    <w:rsid w:val="0074608B"/>
    <w:rsid w:val="0074623A"/>
    <w:rsid w:val="00746420"/>
    <w:rsid w:val="00746A60"/>
    <w:rsid w:val="00746E04"/>
    <w:rsid w:val="00746E08"/>
    <w:rsid w:val="00746E3D"/>
    <w:rsid w:val="007473B9"/>
    <w:rsid w:val="0074740B"/>
    <w:rsid w:val="00747C96"/>
    <w:rsid w:val="00750075"/>
    <w:rsid w:val="007502EC"/>
    <w:rsid w:val="00750382"/>
    <w:rsid w:val="0075094E"/>
    <w:rsid w:val="00750C88"/>
    <w:rsid w:val="00750FA8"/>
    <w:rsid w:val="00750FB5"/>
    <w:rsid w:val="007520F0"/>
    <w:rsid w:val="007522E8"/>
    <w:rsid w:val="00753BAC"/>
    <w:rsid w:val="00754A0B"/>
    <w:rsid w:val="00754DFE"/>
    <w:rsid w:val="007552DB"/>
    <w:rsid w:val="00755B08"/>
    <w:rsid w:val="00755DD0"/>
    <w:rsid w:val="00756057"/>
    <w:rsid w:val="0075647A"/>
    <w:rsid w:val="00756A2F"/>
    <w:rsid w:val="00756B6A"/>
    <w:rsid w:val="007573E1"/>
    <w:rsid w:val="0075749E"/>
    <w:rsid w:val="00757722"/>
    <w:rsid w:val="00757B2D"/>
    <w:rsid w:val="00757BAD"/>
    <w:rsid w:val="00757D62"/>
    <w:rsid w:val="00760021"/>
    <w:rsid w:val="00760561"/>
    <w:rsid w:val="00760867"/>
    <w:rsid w:val="00760EB6"/>
    <w:rsid w:val="00761202"/>
    <w:rsid w:val="007616DB"/>
    <w:rsid w:val="00761AB7"/>
    <w:rsid w:val="00761CE6"/>
    <w:rsid w:val="0076228A"/>
    <w:rsid w:val="00762440"/>
    <w:rsid w:val="00762499"/>
    <w:rsid w:val="007629B7"/>
    <w:rsid w:val="00762E60"/>
    <w:rsid w:val="007634AD"/>
    <w:rsid w:val="0076445F"/>
    <w:rsid w:val="00764EC5"/>
    <w:rsid w:val="0076535B"/>
    <w:rsid w:val="00766ECC"/>
    <w:rsid w:val="007672F3"/>
    <w:rsid w:val="007677B5"/>
    <w:rsid w:val="007678B1"/>
    <w:rsid w:val="007708A8"/>
    <w:rsid w:val="0077184A"/>
    <w:rsid w:val="00772100"/>
    <w:rsid w:val="00772275"/>
    <w:rsid w:val="007734E4"/>
    <w:rsid w:val="0077380D"/>
    <w:rsid w:val="00773BC8"/>
    <w:rsid w:val="0077466F"/>
    <w:rsid w:val="007752B7"/>
    <w:rsid w:val="00775467"/>
    <w:rsid w:val="00775597"/>
    <w:rsid w:val="007759A8"/>
    <w:rsid w:val="00775C27"/>
    <w:rsid w:val="00775D98"/>
    <w:rsid w:val="0077644C"/>
    <w:rsid w:val="00776FE5"/>
    <w:rsid w:val="00777101"/>
    <w:rsid w:val="007774E7"/>
    <w:rsid w:val="0077768C"/>
    <w:rsid w:val="00777696"/>
    <w:rsid w:val="00777FF4"/>
    <w:rsid w:val="00780251"/>
    <w:rsid w:val="007804FE"/>
    <w:rsid w:val="00780F32"/>
    <w:rsid w:val="0078122E"/>
    <w:rsid w:val="00781939"/>
    <w:rsid w:val="00781D29"/>
    <w:rsid w:val="007825EF"/>
    <w:rsid w:val="0078266E"/>
    <w:rsid w:val="0078286B"/>
    <w:rsid w:val="00782D2C"/>
    <w:rsid w:val="00782FC2"/>
    <w:rsid w:val="0078328D"/>
    <w:rsid w:val="0078347A"/>
    <w:rsid w:val="007842D6"/>
    <w:rsid w:val="00784FC4"/>
    <w:rsid w:val="00785353"/>
    <w:rsid w:val="00785BBB"/>
    <w:rsid w:val="00786937"/>
    <w:rsid w:val="00786FAD"/>
    <w:rsid w:val="007874FB"/>
    <w:rsid w:val="00787D90"/>
    <w:rsid w:val="00787F5E"/>
    <w:rsid w:val="00790164"/>
    <w:rsid w:val="00790A24"/>
    <w:rsid w:val="00790A37"/>
    <w:rsid w:val="00790A60"/>
    <w:rsid w:val="007913E3"/>
    <w:rsid w:val="0079146D"/>
    <w:rsid w:val="00791728"/>
    <w:rsid w:val="00791C32"/>
    <w:rsid w:val="00791F57"/>
    <w:rsid w:val="00791FF0"/>
    <w:rsid w:val="007923D0"/>
    <w:rsid w:val="007930D3"/>
    <w:rsid w:val="0079381F"/>
    <w:rsid w:val="00793A57"/>
    <w:rsid w:val="00793B2E"/>
    <w:rsid w:val="007948F5"/>
    <w:rsid w:val="00795647"/>
    <w:rsid w:val="007963F6"/>
    <w:rsid w:val="007968B8"/>
    <w:rsid w:val="00796AFE"/>
    <w:rsid w:val="00796DC8"/>
    <w:rsid w:val="00796E80"/>
    <w:rsid w:val="0079744F"/>
    <w:rsid w:val="007979AD"/>
    <w:rsid w:val="00797A9C"/>
    <w:rsid w:val="007A00FA"/>
    <w:rsid w:val="007A0EAB"/>
    <w:rsid w:val="007A0FEC"/>
    <w:rsid w:val="007A2341"/>
    <w:rsid w:val="007A2754"/>
    <w:rsid w:val="007A3898"/>
    <w:rsid w:val="007A38A1"/>
    <w:rsid w:val="007A3BBE"/>
    <w:rsid w:val="007A3F8D"/>
    <w:rsid w:val="007A4766"/>
    <w:rsid w:val="007A5747"/>
    <w:rsid w:val="007A5947"/>
    <w:rsid w:val="007A5C22"/>
    <w:rsid w:val="007A5DB3"/>
    <w:rsid w:val="007A687F"/>
    <w:rsid w:val="007A717B"/>
    <w:rsid w:val="007A76E6"/>
    <w:rsid w:val="007A7E1A"/>
    <w:rsid w:val="007B0313"/>
    <w:rsid w:val="007B0854"/>
    <w:rsid w:val="007B0E48"/>
    <w:rsid w:val="007B1D1B"/>
    <w:rsid w:val="007B303E"/>
    <w:rsid w:val="007B32C0"/>
    <w:rsid w:val="007B32F7"/>
    <w:rsid w:val="007B3659"/>
    <w:rsid w:val="007B38B5"/>
    <w:rsid w:val="007B3BF3"/>
    <w:rsid w:val="007B431B"/>
    <w:rsid w:val="007B4558"/>
    <w:rsid w:val="007B4632"/>
    <w:rsid w:val="007B46A2"/>
    <w:rsid w:val="007B4828"/>
    <w:rsid w:val="007B4B2D"/>
    <w:rsid w:val="007B4D4A"/>
    <w:rsid w:val="007B513D"/>
    <w:rsid w:val="007B53B8"/>
    <w:rsid w:val="007B53DA"/>
    <w:rsid w:val="007B5428"/>
    <w:rsid w:val="007B59B7"/>
    <w:rsid w:val="007B618D"/>
    <w:rsid w:val="007B68EF"/>
    <w:rsid w:val="007B6C64"/>
    <w:rsid w:val="007B6EC8"/>
    <w:rsid w:val="007B6F81"/>
    <w:rsid w:val="007B7EA2"/>
    <w:rsid w:val="007C097D"/>
    <w:rsid w:val="007C0AF2"/>
    <w:rsid w:val="007C11CE"/>
    <w:rsid w:val="007C1672"/>
    <w:rsid w:val="007C312A"/>
    <w:rsid w:val="007C34A9"/>
    <w:rsid w:val="007C3570"/>
    <w:rsid w:val="007C3F3B"/>
    <w:rsid w:val="007C4241"/>
    <w:rsid w:val="007C425E"/>
    <w:rsid w:val="007C55FF"/>
    <w:rsid w:val="007C6339"/>
    <w:rsid w:val="007C6F02"/>
    <w:rsid w:val="007C753F"/>
    <w:rsid w:val="007C7C43"/>
    <w:rsid w:val="007C7F0D"/>
    <w:rsid w:val="007D06E3"/>
    <w:rsid w:val="007D1134"/>
    <w:rsid w:val="007D17F0"/>
    <w:rsid w:val="007D23F7"/>
    <w:rsid w:val="007D2566"/>
    <w:rsid w:val="007D2C18"/>
    <w:rsid w:val="007D2D74"/>
    <w:rsid w:val="007D3693"/>
    <w:rsid w:val="007D3C6D"/>
    <w:rsid w:val="007D3EE2"/>
    <w:rsid w:val="007D42D3"/>
    <w:rsid w:val="007D481A"/>
    <w:rsid w:val="007D4ED0"/>
    <w:rsid w:val="007D5648"/>
    <w:rsid w:val="007D58C5"/>
    <w:rsid w:val="007D5DE8"/>
    <w:rsid w:val="007D7CFC"/>
    <w:rsid w:val="007E0812"/>
    <w:rsid w:val="007E182B"/>
    <w:rsid w:val="007E18DF"/>
    <w:rsid w:val="007E208E"/>
    <w:rsid w:val="007E2C36"/>
    <w:rsid w:val="007E3309"/>
    <w:rsid w:val="007E350D"/>
    <w:rsid w:val="007E36C1"/>
    <w:rsid w:val="007E3A0A"/>
    <w:rsid w:val="007E3ACA"/>
    <w:rsid w:val="007E564D"/>
    <w:rsid w:val="007E5C4A"/>
    <w:rsid w:val="007E64D4"/>
    <w:rsid w:val="007E66E9"/>
    <w:rsid w:val="007E69F2"/>
    <w:rsid w:val="007E6A03"/>
    <w:rsid w:val="007E7432"/>
    <w:rsid w:val="007E74BF"/>
    <w:rsid w:val="007F14D3"/>
    <w:rsid w:val="007F1D9D"/>
    <w:rsid w:val="007F1E28"/>
    <w:rsid w:val="007F1F63"/>
    <w:rsid w:val="007F221F"/>
    <w:rsid w:val="007F22A0"/>
    <w:rsid w:val="007F2358"/>
    <w:rsid w:val="007F2903"/>
    <w:rsid w:val="007F2F90"/>
    <w:rsid w:val="007F3320"/>
    <w:rsid w:val="007F3AC1"/>
    <w:rsid w:val="007F4976"/>
    <w:rsid w:val="007F52AF"/>
    <w:rsid w:val="007F5A56"/>
    <w:rsid w:val="007F616E"/>
    <w:rsid w:val="007F6790"/>
    <w:rsid w:val="007F6B46"/>
    <w:rsid w:val="007F72CB"/>
    <w:rsid w:val="007F736A"/>
    <w:rsid w:val="007F7635"/>
    <w:rsid w:val="007F785F"/>
    <w:rsid w:val="007F7961"/>
    <w:rsid w:val="007F7AF6"/>
    <w:rsid w:val="007F7E36"/>
    <w:rsid w:val="00800E6D"/>
    <w:rsid w:val="008014D9"/>
    <w:rsid w:val="0080150F"/>
    <w:rsid w:val="0080153A"/>
    <w:rsid w:val="00801A2A"/>
    <w:rsid w:val="00801C48"/>
    <w:rsid w:val="00802041"/>
    <w:rsid w:val="008022C9"/>
    <w:rsid w:val="00802605"/>
    <w:rsid w:val="00802F9E"/>
    <w:rsid w:val="00803700"/>
    <w:rsid w:val="00803D9D"/>
    <w:rsid w:val="0080543F"/>
    <w:rsid w:val="008059C6"/>
    <w:rsid w:val="00805AD7"/>
    <w:rsid w:val="00805BD6"/>
    <w:rsid w:val="00805DE3"/>
    <w:rsid w:val="00807A5C"/>
    <w:rsid w:val="00807C35"/>
    <w:rsid w:val="00807F35"/>
    <w:rsid w:val="00807F69"/>
    <w:rsid w:val="008100F7"/>
    <w:rsid w:val="00810206"/>
    <w:rsid w:val="00811898"/>
    <w:rsid w:val="00811CDC"/>
    <w:rsid w:val="00811F70"/>
    <w:rsid w:val="008124D8"/>
    <w:rsid w:val="0081250A"/>
    <w:rsid w:val="00812AB0"/>
    <w:rsid w:val="00813A7B"/>
    <w:rsid w:val="00813F04"/>
    <w:rsid w:val="00814F1E"/>
    <w:rsid w:val="0081513E"/>
    <w:rsid w:val="00815DA5"/>
    <w:rsid w:val="00816221"/>
    <w:rsid w:val="00817063"/>
    <w:rsid w:val="0081766B"/>
    <w:rsid w:val="00820705"/>
    <w:rsid w:val="00820BA7"/>
    <w:rsid w:val="00820CBF"/>
    <w:rsid w:val="00820DBC"/>
    <w:rsid w:val="00820FA8"/>
    <w:rsid w:val="008212FD"/>
    <w:rsid w:val="00821489"/>
    <w:rsid w:val="008214DC"/>
    <w:rsid w:val="008217B7"/>
    <w:rsid w:val="00822257"/>
    <w:rsid w:val="0082239B"/>
    <w:rsid w:val="0082292E"/>
    <w:rsid w:val="00822D06"/>
    <w:rsid w:val="00822EC4"/>
    <w:rsid w:val="008231E0"/>
    <w:rsid w:val="0082348D"/>
    <w:rsid w:val="008236BE"/>
    <w:rsid w:val="008241CE"/>
    <w:rsid w:val="00825240"/>
    <w:rsid w:val="00825B43"/>
    <w:rsid w:val="00825EA0"/>
    <w:rsid w:val="00826C98"/>
    <w:rsid w:val="00826F71"/>
    <w:rsid w:val="00827CC0"/>
    <w:rsid w:val="00830D29"/>
    <w:rsid w:val="00831026"/>
    <w:rsid w:val="0083119B"/>
    <w:rsid w:val="00831BAE"/>
    <w:rsid w:val="00832216"/>
    <w:rsid w:val="00832CD0"/>
    <w:rsid w:val="00833430"/>
    <w:rsid w:val="0083382A"/>
    <w:rsid w:val="00834128"/>
    <w:rsid w:val="0083417F"/>
    <w:rsid w:val="008344DB"/>
    <w:rsid w:val="00835143"/>
    <w:rsid w:val="0083569B"/>
    <w:rsid w:val="00835741"/>
    <w:rsid w:val="00836AB8"/>
    <w:rsid w:val="00836E74"/>
    <w:rsid w:val="00836EAB"/>
    <w:rsid w:val="00836FDF"/>
    <w:rsid w:val="00837673"/>
    <w:rsid w:val="00837937"/>
    <w:rsid w:val="00837D82"/>
    <w:rsid w:val="00840893"/>
    <w:rsid w:val="00840E88"/>
    <w:rsid w:val="0084120E"/>
    <w:rsid w:val="008423EC"/>
    <w:rsid w:val="008429A6"/>
    <w:rsid w:val="00842FE0"/>
    <w:rsid w:val="00843615"/>
    <w:rsid w:val="00843698"/>
    <w:rsid w:val="00843A4B"/>
    <w:rsid w:val="00843B57"/>
    <w:rsid w:val="00843B60"/>
    <w:rsid w:val="00843D33"/>
    <w:rsid w:val="008440DF"/>
    <w:rsid w:val="008444F0"/>
    <w:rsid w:val="00844562"/>
    <w:rsid w:val="00844D4F"/>
    <w:rsid w:val="00845AE3"/>
    <w:rsid w:val="008466A0"/>
    <w:rsid w:val="00847535"/>
    <w:rsid w:val="00847B6D"/>
    <w:rsid w:val="0085092D"/>
    <w:rsid w:val="00850C79"/>
    <w:rsid w:val="00850D82"/>
    <w:rsid w:val="00850F79"/>
    <w:rsid w:val="0085100B"/>
    <w:rsid w:val="00852C43"/>
    <w:rsid w:val="0085304C"/>
    <w:rsid w:val="008536BB"/>
    <w:rsid w:val="00853A3C"/>
    <w:rsid w:val="008548CA"/>
    <w:rsid w:val="00854A18"/>
    <w:rsid w:val="00855973"/>
    <w:rsid w:val="00856B9F"/>
    <w:rsid w:val="00856C06"/>
    <w:rsid w:val="00857381"/>
    <w:rsid w:val="008578B1"/>
    <w:rsid w:val="0085790B"/>
    <w:rsid w:val="008579B9"/>
    <w:rsid w:val="00857C95"/>
    <w:rsid w:val="00857E78"/>
    <w:rsid w:val="00860AEF"/>
    <w:rsid w:val="00860B18"/>
    <w:rsid w:val="00860D5E"/>
    <w:rsid w:val="0086122C"/>
    <w:rsid w:val="00861310"/>
    <w:rsid w:val="00861F53"/>
    <w:rsid w:val="0086289E"/>
    <w:rsid w:val="008629CB"/>
    <w:rsid w:val="0086394C"/>
    <w:rsid w:val="0086394E"/>
    <w:rsid w:val="00863F8A"/>
    <w:rsid w:val="00863FE3"/>
    <w:rsid w:val="00864241"/>
    <w:rsid w:val="0086468A"/>
    <w:rsid w:val="008650BE"/>
    <w:rsid w:val="0086633B"/>
    <w:rsid w:val="00866495"/>
    <w:rsid w:val="00866881"/>
    <w:rsid w:val="00866931"/>
    <w:rsid w:val="00866954"/>
    <w:rsid w:val="00867512"/>
    <w:rsid w:val="008678A3"/>
    <w:rsid w:val="00867C13"/>
    <w:rsid w:val="00867C1D"/>
    <w:rsid w:val="0087033C"/>
    <w:rsid w:val="00870B93"/>
    <w:rsid w:val="008715ED"/>
    <w:rsid w:val="008717D8"/>
    <w:rsid w:val="00871E3C"/>
    <w:rsid w:val="00872CC1"/>
    <w:rsid w:val="00872F97"/>
    <w:rsid w:val="00874607"/>
    <w:rsid w:val="00874915"/>
    <w:rsid w:val="00874B89"/>
    <w:rsid w:val="00875403"/>
    <w:rsid w:val="00875434"/>
    <w:rsid w:val="00875AC6"/>
    <w:rsid w:val="00875C1F"/>
    <w:rsid w:val="00876215"/>
    <w:rsid w:val="0087646C"/>
    <w:rsid w:val="00876815"/>
    <w:rsid w:val="00877932"/>
    <w:rsid w:val="008808C7"/>
    <w:rsid w:val="00880FB5"/>
    <w:rsid w:val="0088106B"/>
    <w:rsid w:val="0088107D"/>
    <w:rsid w:val="00881E64"/>
    <w:rsid w:val="00882D24"/>
    <w:rsid w:val="00882E39"/>
    <w:rsid w:val="008850EB"/>
    <w:rsid w:val="00885228"/>
    <w:rsid w:val="00885CE5"/>
    <w:rsid w:val="00886C32"/>
    <w:rsid w:val="00886DF2"/>
    <w:rsid w:val="00886FB9"/>
    <w:rsid w:val="00887057"/>
    <w:rsid w:val="00887080"/>
    <w:rsid w:val="00887C79"/>
    <w:rsid w:val="0089107B"/>
    <w:rsid w:val="008913CC"/>
    <w:rsid w:val="008914AE"/>
    <w:rsid w:val="008919CF"/>
    <w:rsid w:val="00891F84"/>
    <w:rsid w:val="008928EC"/>
    <w:rsid w:val="00892E5D"/>
    <w:rsid w:val="008935CF"/>
    <w:rsid w:val="0089436B"/>
    <w:rsid w:val="00894436"/>
    <w:rsid w:val="0089494C"/>
    <w:rsid w:val="00894BB1"/>
    <w:rsid w:val="008951D0"/>
    <w:rsid w:val="00895817"/>
    <w:rsid w:val="00895828"/>
    <w:rsid w:val="0089582D"/>
    <w:rsid w:val="008959C6"/>
    <w:rsid w:val="0089606D"/>
    <w:rsid w:val="00896129"/>
    <w:rsid w:val="00896316"/>
    <w:rsid w:val="0089774F"/>
    <w:rsid w:val="00897875"/>
    <w:rsid w:val="00897B8F"/>
    <w:rsid w:val="008A00D9"/>
    <w:rsid w:val="008A07D5"/>
    <w:rsid w:val="008A15D3"/>
    <w:rsid w:val="008A1FB7"/>
    <w:rsid w:val="008A229A"/>
    <w:rsid w:val="008A2A23"/>
    <w:rsid w:val="008A2AF5"/>
    <w:rsid w:val="008A2B5A"/>
    <w:rsid w:val="008A3F9D"/>
    <w:rsid w:val="008A4B42"/>
    <w:rsid w:val="008A5474"/>
    <w:rsid w:val="008A5990"/>
    <w:rsid w:val="008A5C9A"/>
    <w:rsid w:val="008A6005"/>
    <w:rsid w:val="008A614F"/>
    <w:rsid w:val="008A6A55"/>
    <w:rsid w:val="008A6DF0"/>
    <w:rsid w:val="008A6F6E"/>
    <w:rsid w:val="008A73C4"/>
    <w:rsid w:val="008A7888"/>
    <w:rsid w:val="008A796E"/>
    <w:rsid w:val="008B0862"/>
    <w:rsid w:val="008B088C"/>
    <w:rsid w:val="008B1BF5"/>
    <w:rsid w:val="008B263F"/>
    <w:rsid w:val="008B3045"/>
    <w:rsid w:val="008B47A6"/>
    <w:rsid w:val="008B4B94"/>
    <w:rsid w:val="008B672C"/>
    <w:rsid w:val="008C02CD"/>
    <w:rsid w:val="008C065F"/>
    <w:rsid w:val="008C0743"/>
    <w:rsid w:val="008C0B4C"/>
    <w:rsid w:val="008C11F0"/>
    <w:rsid w:val="008C1DBA"/>
    <w:rsid w:val="008C24E7"/>
    <w:rsid w:val="008C2500"/>
    <w:rsid w:val="008C2CAC"/>
    <w:rsid w:val="008C2E00"/>
    <w:rsid w:val="008C3C57"/>
    <w:rsid w:val="008C3E2A"/>
    <w:rsid w:val="008C45BD"/>
    <w:rsid w:val="008C4B19"/>
    <w:rsid w:val="008C62D4"/>
    <w:rsid w:val="008C6B89"/>
    <w:rsid w:val="008D18AA"/>
    <w:rsid w:val="008D1A2A"/>
    <w:rsid w:val="008D1ADE"/>
    <w:rsid w:val="008D2668"/>
    <w:rsid w:val="008D26F0"/>
    <w:rsid w:val="008D347A"/>
    <w:rsid w:val="008D35D9"/>
    <w:rsid w:val="008D3B85"/>
    <w:rsid w:val="008D462D"/>
    <w:rsid w:val="008D560B"/>
    <w:rsid w:val="008D6084"/>
    <w:rsid w:val="008D64AC"/>
    <w:rsid w:val="008D66CA"/>
    <w:rsid w:val="008D69B1"/>
    <w:rsid w:val="008D7338"/>
    <w:rsid w:val="008D785E"/>
    <w:rsid w:val="008E0012"/>
    <w:rsid w:val="008E04C3"/>
    <w:rsid w:val="008E0DF7"/>
    <w:rsid w:val="008E0FAD"/>
    <w:rsid w:val="008E11E4"/>
    <w:rsid w:val="008E1252"/>
    <w:rsid w:val="008E1347"/>
    <w:rsid w:val="008E16E0"/>
    <w:rsid w:val="008E1C15"/>
    <w:rsid w:val="008E1C9A"/>
    <w:rsid w:val="008E28BD"/>
    <w:rsid w:val="008E30C4"/>
    <w:rsid w:val="008E38B4"/>
    <w:rsid w:val="008E3BA4"/>
    <w:rsid w:val="008E44AB"/>
    <w:rsid w:val="008E5179"/>
    <w:rsid w:val="008E56C6"/>
    <w:rsid w:val="008E57FE"/>
    <w:rsid w:val="008E6226"/>
    <w:rsid w:val="008E6598"/>
    <w:rsid w:val="008E7214"/>
    <w:rsid w:val="008E7884"/>
    <w:rsid w:val="008E7D6E"/>
    <w:rsid w:val="008F1056"/>
    <w:rsid w:val="008F2E8D"/>
    <w:rsid w:val="008F361D"/>
    <w:rsid w:val="008F387B"/>
    <w:rsid w:val="008F3DD9"/>
    <w:rsid w:val="008F4814"/>
    <w:rsid w:val="008F4DA6"/>
    <w:rsid w:val="008F538E"/>
    <w:rsid w:val="008F5A20"/>
    <w:rsid w:val="008F5ABA"/>
    <w:rsid w:val="008F71AB"/>
    <w:rsid w:val="008F71D8"/>
    <w:rsid w:val="008F7905"/>
    <w:rsid w:val="008F7989"/>
    <w:rsid w:val="008F7F45"/>
    <w:rsid w:val="00901F1D"/>
    <w:rsid w:val="009020B3"/>
    <w:rsid w:val="009028E8"/>
    <w:rsid w:val="00902E5C"/>
    <w:rsid w:val="00903128"/>
    <w:rsid w:val="0090363E"/>
    <w:rsid w:val="009046E5"/>
    <w:rsid w:val="009047C5"/>
    <w:rsid w:val="00905C37"/>
    <w:rsid w:val="00905F59"/>
    <w:rsid w:val="00910683"/>
    <w:rsid w:val="00910E00"/>
    <w:rsid w:val="009116CE"/>
    <w:rsid w:val="00911714"/>
    <w:rsid w:val="00911D04"/>
    <w:rsid w:val="00911EFF"/>
    <w:rsid w:val="009136D4"/>
    <w:rsid w:val="00914B9A"/>
    <w:rsid w:val="00914C3F"/>
    <w:rsid w:val="00914F33"/>
    <w:rsid w:val="00915FCE"/>
    <w:rsid w:val="00916AFE"/>
    <w:rsid w:val="00916FC8"/>
    <w:rsid w:val="009170D3"/>
    <w:rsid w:val="0091759C"/>
    <w:rsid w:val="00917CCE"/>
    <w:rsid w:val="00920026"/>
    <w:rsid w:val="009203E2"/>
    <w:rsid w:val="00920F61"/>
    <w:rsid w:val="00921304"/>
    <w:rsid w:val="00921395"/>
    <w:rsid w:val="00921805"/>
    <w:rsid w:val="00921BFC"/>
    <w:rsid w:val="00921C94"/>
    <w:rsid w:val="00921E63"/>
    <w:rsid w:val="009231E6"/>
    <w:rsid w:val="00923396"/>
    <w:rsid w:val="00923F56"/>
    <w:rsid w:val="00925346"/>
    <w:rsid w:val="00925743"/>
    <w:rsid w:val="0092579F"/>
    <w:rsid w:val="00926729"/>
    <w:rsid w:val="00926C40"/>
    <w:rsid w:val="00927E8D"/>
    <w:rsid w:val="00927F23"/>
    <w:rsid w:val="009307CD"/>
    <w:rsid w:val="00931365"/>
    <w:rsid w:val="00931451"/>
    <w:rsid w:val="009314FA"/>
    <w:rsid w:val="0093194F"/>
    <w:rsid w:val="00931BF3"/>
    <w:rsid w:val="00931C55"/>
    <w:rsid w:val="00933333"/>
    <w:rsid w:val="0093349A"/>
    <w:rsid w:val="009338BA"/>
    <w:rsid w:val="00933FCB"/>
    <w:rsid w:val="00934CEC"/>
    <w:rsid w:val="00934E69"/>
    <w:rsid w:val="00935B94"/>
    <w:rsid w:val="00935E70"/>
    <w:rsid w:val="0093609A"/>
    <w:rsid w:val="00937401"/>
    <w:rsid w:val="009375AD"/>
    <w:rsid w:val="009376FB"/>
    <w:rsid w:val="00937D6B"/>
    <w:rsid w:val="00937E6C"/>
    <w:rsid w:val="00940477"/>
    <w:rsid w:val="00940876"/>
    <w:rsid w:val="00940A53"/>
    <w:rsid w:val="00940F3C"/>
    <w:rsid w:val="009410E0"/>
    <w:rsid w:val="009413C0"/>
    <w:rsid w:val="009415BB"/>
    <w:rsid w:val="00941FA9"/>
    <w:rsid w:val="009444B4"/>
    <w:rsid w:val="00944644"/>
    <w:rsid w:val="00945681"/>
    <w:rsid w:val="00946A24"/>
    <w:rsid w:val="009470D4"/>
    <w:rsid w:val="00947337"/>
    <w:rsid w:val="00947E6E"/>
    <w:rsid w:val="00950ABC"/>
    <w:rsid w:val="009512FA"/>
    <w:rsid w:val="009516A9"/>
    <w:rsid w:val="00951E57"/>
    <w:rsid w:val="00952505"/>
    <w:rsid w:val="00953018"/>
    <w:rsid w:val="009533E2"/>
    <w:rsid w:val="00953554"/>
    <w:rsid w:val="0095385A"/>
    <w:rsid w:val="00953F49"/>
    <w:rsid w:val="00955272"/>
    <w:rsid w:val="00955DEC"/>
    <w:rsid w:val="0095780A"/>
    <w:rsid w:val="009578C3"/>
    <w:rsid w:val="009579E4"/>
    <w:rsid w:val="00957AA4"/>
    <w:rsid w:val="00957ACB"/>
    <w:rsid w:val="00957F27"/>
    <w:rsid w:val="00960156"/>
    <w:rsid w:val="00960BDB"/>
    <w:rsid w:val="00960D2E"/>
    <w:rsid w:val="0096105C"/>
    <w:rsid w:val="0096147D"/>
    <w:rsid w:val="00961D28"/>
    <w:rsid w:val="00961D53"/>
    <w:rsid w:val="00961E5F"/>
    <w:rsid w:val="009625C6"/>
    <w:rsid w:val="009629B5"/>
    <w:rsid w:val="00962A50"/>
    <w:rsid w:val="0096409A"/>
    <w:rsid w:val="00964138"/>
    <w:rsid w:val="009648D6"/>
    <w:rsid w:val="00964B3F"/>
    <w:rsid w:val="00964C98"/>
    <w:rsid w:val="00971441"/>
    <w:rsid w:val="009715D4"/>
    <w:rsid w:val="0097179A"/>
    <w:rsid w:val="009732A4"/>
    <w:rsid w:val="00973312"/>
    <w:rsid w:val="009739A8"/>
    <w:rsid w:val="00973C05"/>
    <w:rsid w:val="0097494E"/>
    <w:rsid w:val="00974999"/>
    <w:rsid w:val="00974B58"/>
    <w:rsid w:val="00975445"/>
    <w:rsid w:val="00975868"/>
    <w:rsid w:val="009761ED"/>
    <w:rsid w:val="00980206"/>
    <w:rsid w:val="0098022F"/>
    <w:rsid w:val="00980EAB"/>
    <w:rsid w:val="009810DE"/>
    <w:rsid w:val="00981B91"/>
    <w:rsid w:val="00981DFC"/>
    <w:rsid w:val="009822D7"/>
    <w:rsid w:val="009827E6"/>
    <w:rsid w:val="00982F84"/>
    <w:rsid w:val="009836FA"/>
    <w:rsid w:val="009841D6"/>
    <w:rsid w:val="0098427D"/>
    <w:rsid w:val="00984567"/>
    <w:rsid w:val="00984B16"/>
    <w:rsid w:val="00985102"/>
    <w:rsid w:val="009854BC"/>
    <w:rsid w:val="00985DF5"/>
    <w:rsid w:val="0098606C"/>
    <w:rsid w:val="009865D5"/>
    <w:rsid w:val="00986DF4"/>
    <w:rsid w:val="009876F2"/>
    <w:rsid w:val="00987C77"/>
    <w:rsid w:val="00987FED"/>
    <w:rsid w:val="00990345"/>
    <w:rsid w:val="00990395"/>
    <w:rsid w:val="0099042D"/>
    <w:rsid w:val="00990701"/>
    <w:rsid w:val="0099119C"/>
    <w:rsid w:val="0099137A"/>
    <w:rsid w:val="0099211C"/>
    <w:rsid w:val="0099349E"/>
    <w:rsid w:val="00993B78"/>
    <w:rsid w:val="00993DBE"/>
    <w:rsid w:val="00995119"/>
    <w:rsid w:val="0099531F"/>
    <w:rsid w:val="009953AD"/>
    <w:rsid w:val="0099583D"/>
    <w:rsid w:val="00996020"/>
    <w:rsid w:val="00996992"/>
    <w:rsid w:val="00996E1E"/>
    <w:rsid w:val="00996E3D"/>
    <w:rsid w:val="00997148"/>
    <w:rsid w:val="00997392"/>
    <w:rsid w:val="0099747C"/>
    <w:rsid w:val="0099771C"/>
    <w:rsid w:val="009A01E4"/>
    <w:rsid w:val="009A0917"/>
    <w:rsid w:val="009A0A33"/>
    <w:rsid w:val="009A0EDF"/>
    <w:rsid w:val="009A1351"/>
    <w:rsid w:val="009A2435"/>
    <w:rsid w:val="009A254A"/>
    <w:rsid w:val="009A35DC"/>
    <w:rsid w:val="009A38AB"/>
    <w:rsid w:val="009A3D47"/>
    <w:rsid w:val="009A4D63"/>
    <w:rsid w:val="009A5356"/>
    <w:rsid w:val="009A5468"/>
    <w:rsid w:val="009A5D99"/>
    <w:rsid w:val="009A608C"/>
    <w:rsid w:val="009A6FDF"/>
    <w:rsid w:val="009A715F"/>
    <w:rsid w:val="009A76D6"/>
    <w:rsid w:val="009A7FDE"/>
    <w:rsid w:val="009B0048"/>
    <w:rsid w:val="009B2374"/>
    <w:rsid w:val="009B2A8C"/>
    <w:rsid w:val="009B2E29"/>
    <w:rsid w:val="009B3163"/>
    <w:rsid w:val="009B38A8"/>
    <w:rsid w:val="009B422F"/>
    <w:rsid w:val="009B46BC"/>
    <w:rsid w:val="009B4D1A"/>
    <w:rsid w:val="009B4D85"/>
    <w:rsid w:val="009B502F"/>
    <w:rsid w:val="009B558B"/>
    <w:rsid w:val="009B5F29"/>
    <w:rsid w:val="009B6A34"/>
    <w:rsid w:val="009B6D21"/>
    <w:rsid w:val="009B78ED"/>
    <w:rsid w:val="009C181C"/>
    <w:rsid w:val="009C1A44"/>
    <w:rsid w:val="009C1C7F"/>
    <w:rsid w:val="009C1EC7"/>
    <w:rsid w:val="009C28A2"/>
    <w:rsid w:val="009C3239"/>
    <w:rsid w:val="009C37CE"/>
    <w:rsid w:val="009C3828"/>
    <w:rsid w:val="009C3AD3"/>
    <w:rsid w:val="009C3AF4"/>
    <w:rsid w:val="009C3D2C"/>
    <w:rsid w:val="009C3FBB"/>
    <w:rsid w:val="009C4987"/>
    <w:rsid w:val="009C4FDE"/>
    <w:rsid w:val="009C523F"/>
    <w:rsid w:val="009C59BF"/>
    <w:rsid w:val="009C5E4F"/>
    <w:rsid w:val="009C5F64"/>
    <w:rsid w:val="009C5F82"/>
    <w:rsid w:val="009C60EA"/>
    <w:rsid w:val="009C6BFC"/>
    <w:rsid w:val="009C70F8"/>
    <w:rsid w:val="009C72FA"/>
    <w:rsid w:val="009C78A3"/>
    <w:rsid w:val="009C7E68"/>
    <w:rsid w:val="009D00D7"/>
    <w:rsid w:val="009D0156"/>
    <w:rsid w:val="009D05DA"/>
    <w:rsid w:val="009D11F6"/>
    <w:rsid w:val="009D1A14"/>
    <w:rsid w:val="009D1E2A"/>
    <w:rsid w:val="009D1FA0"/>
    <w:rsid w:val="009D2BDF"/>
    <w:rsid w:val="009D3736"/>
    <w:rsid w:val="009D4529"/>
    <w:rsid w:val="009D604F"/>
    <w:rsid w:val="009D61BB"/>
    <w:rsid w:val="009D6410"/>
    <w:rsid w:val="009D68BB"/>
    <w:rsid w:val="009D70C2"/>
    <w:rsid w:val="009D7ADB"/>
    <w:rsid w:val="009D7B33"/>
    <w:rsid w:val="009E06C3"/>
    <w:rsid w:val="009E0703"/>
    <w:rsid w:val="009E08C2"/>
    <w:rsid w:val="009E1035"/>
    <w:rsid w:val="009E16DA"/>
    <w:rsid w:val="009E1CD4"/>
    <w:rsid w:val="009E2391"/>
    <w:rsid w:val="009E2EF9"/>
    <w:rsid w:val="009E34A5"/>
    <w:rsid w:val="009E42B7"/>
    <w:rsid w:val="009E476A"/>
    <w:rsid w:val="009E4E05"/>
    <w:rsid w:val="009E56FF"/>
    <w:rsid w:val="009E5CB1"/>
    <w:rsid w:val="009E5E56"/>
    <w:rsid w:val="009E61EA"/>
    <w:rsid w:val="009E6343"/>
    <w:rsid w:val="009E6990"/>
    <w:rsid w:val="009E6FEE"/>
    <w:rsid w:val="009F00B9"/>
    <w:rsid w:val="009F060F"/>
    <w:rsid w:val="009F0676"/>
    <w:rsid w:val="009F0781"/>
    <w:rsid w:val="009F0850"/>
    <w:rsid w:val="009F1BDF"/>
    <w:rsid w:val="009F1EAE"/>
    <w:rsid w:val="009F2DBD"/>
    <w:rsid w:val="009F369D"/>
    <w:rsid w:val="009F36FE"/>
    <w:rsid w:val="009F4990"/>
    <w:rsid w:val="009F4F25"/>
    <w:rsid w:val="009F59C2"/>
    <w:rsid w:val="009F5A5A"/>
    <w:rsid w:val="009F7263"/>
    <w:rsid w:val="009F76EA"/>
    <w:rsid w:val="009F78EB"/>
    <w:rsid w:val="009F7F32"/>
    <w:rsid w:val="009F7FEB"/>
    <w:rsid w:val="00A003D5"/>
    <w:rsid w:val="00A01852"/>
    <w:rsid w:val="00A0188B"/>
    <w:rsid w:val="00A01E73"/>
    <w:rsid w:val="00A023E7"/>
    <w:rsid w:val="00A02B88"/>
    <w:rsid w:val="00A03160"/>
    <w:rsid w:val="00A036AC"/>
    <w:rsid w:val="00A03C54"/>
    <w:rsid w:val="00A03DE5"/>
    <w:rsid w:val="00A041BC"/>
    <w:rsid w:val="00A0447F"/>
    <w:rsid w:val="00A046D2"/>
    <w:rsid w:val="00A04A54"/>
    <w:rsid w:val="00A05B4B"/>
    <w:rsid w:val="00A066C3"/>
    <w:rsid w:val="00A06754"/>
    <w:rsid w:val="00A069E0"/>
    <w:rsid w:val="00A06A55"/>
    <w:rsid w:val="00A06E4A"/>
    <w:rsid w:val="00A06EE8"/>
    <w:rsid w:val="00A070E9"/>
    <w:rsid w:val="00A078FB"/>
    <w:rsid w:val="00A1036D"/>
    <w:rsid w:val="00A1069F"/>
    <w:rsid w:val="00A10ACA"/>
    <w:rsid w:val="00A10D08"/>
    <w:rsid w:val="00A11E78"/>
    <w:rsid w:val="00A12355"/>
    <w:rsid w:val="00A12411"/>
    <w:rsid w:val="00A127D2"/>
    <w:rsid w:val="00A13CF5"/>
    <w:rsid w:val="00A143EC"/>
    <w:rsid w:val="00A149E8"/>
    <w:rsid w:val="00A1500F"/>
    <w:rsid w:val="00A15621"/>
    <w:rsid w:val="00A15670"/>
    <w:rsid w:val="00A157A0"/>
    <w:rsid w:val="00A1585B"/>
    <w:rsid w:val="00A15C19"/>
    <w:rsid w:val="00A15FE9"/>
    <w:rsid w:val="00A16052"/>
    <w:rsid w:val="00A16809"/>
    <w:rsid w:val="00A17769"/>
    <w:rsid w:val="00A17934"/>
    <w:rsid w:val="00A17EA2"/>
    <w:rsid w:val="00A20264"/>
    <w:rsid w:val="00A20997"/>
    <w:rsid w:val="00A213DD"/>
    <w:rsid w:val="00A21454"/>
    <w:rsid w:val="00A216CE"/>
    <w:rsid w:val="00A22025"/>
    <w:rsid w:val="00A22498"/>
    <w:rsid w:val="00A22571"/>
    <w:rsid w:val="00A2298D"/>
    <w:rsid w:val="00A24560"/>
    <w:rsid w:val="00A25B0F"/>
    <w:rsid w:val="00A25BBB"/>
    <w:rsid w:val="00A27036"/>
    <w:rsid w:val="00A27207"/>
    <w:rsid w:val="00A27FB6"/>
    <w:rsid w:val="00A3006C"/>
    <w:rsid w:val="00A30121"/>
    <w:rsid w:val="00A30368"/>
    <w:rsid w:val="00A3043A"/>
    <w:rsid w:val="00A30E02"/>
    <w:rsid w:val="00A30F6A"/>
    <w:rsid w:val="00A31C3E"/>
    <w:rsid w:val="00A32D39"/>
    <w:rsid w:val="00A34538"/>
    <w:rsid w:val="00A34677"/>
    <w:rsid w:val="00A3540F"/>
    <w:rsid w:val="00A35630"/>
    <w:rsid w:val="00A35914"/>
    <w:rsid w:val="00A36189"/>
    <w:rsid w:val="00A37893"/>
    <w:rsid w:val="00A37D4F"/>
    <w:rsid w:val="00A37E73"/>
    <w:rsid w:val="00A37FB6"/>
    <w:rsid w:val="00A40159"/>
    <w:rsid w:val="00A409E2"/>
    <w:rsid w:val="00A4104A"/>
    <w:rsid w:val="00A41081"/>
    <w:rsid w:val="00A411CA"/>
    <w:rsid w:val="00A42080"/>
    <w:rsid w:val="00A42096"/>
    <w:rsid w:val="00A426F3"/>
    <w:rsid w:val="00A42E8D"/>
    <w:rsid w:val="00A42FDF"/>
    <w:rsid w:val="00A430A9"/>
    <w:rsid w:val="00A431FE"/>
    <w:rsid w:val="00A439E5"/>
    <w:rsid w:val="00A4497A"/>
    <w:rsid w:val="00A44BE8"/>
    <w:rsid w:val="00A44C96"/>
    <w:rsid w:val="00A44CDD"/>
    <w:rsid w:val="00A44F54"/>
    <w:rsid w:val="00A45346"/>
    <w:rsid w:val="00A45EC5"/>
    <w:rsid w:val="00A45F9B"/>
    <w:rsid w:val="00A46574"/>
    <w:rsid w:val="00A475BC"/>
    <w:rsid w:val="00A500B1"/>
    <w:rsid w:val="00A52A53"/>
    <w:rsid w:val="00A52EE5"/>
    <w:rsid w:val="00A53037"/>
    <w:rsid w:val="00A532B9"/>
    <w:rsid w:val="00A5351D"/>
    <w:rsid w:val="00A53E79"/>
    <w:rsid w:val="00A54031"/>
    <w:rsid w:val="00A5426D"/>
    <w:rsid w:val="00A5471D"/>
    <w:rsid w:val="00A548FA"/>
    <w:rsid w:val="00A54FC2"/>
    <w:rsid w:val="00A55122"/>
    <w:rsid w:val="00A55CEA"/>
    <w:rsid w:val="00A56DE7"/>
    <w:rsid w:val="00A57EB2"/>
    <w:rsid w:val="00A6009E"/>
    <w:rsid w:val="00A60265"/>
    <w:rsid w:val="00A60B1F"/>
    <w:rsid w:val="00A613E5"/>
    <w:rsid w:val="00A614DA"/>
    <w:rsid w:val="00A61C60"/>
    <w:rsid w:val="00A62589"/>
    <w:rsid w:val="00A62AD0"/>
    <w:rsid w:val="00A62C3A"/>
    <w:rsid w:val="00A6319C"/>
    <w:rsid w:val="00A63812"/>
    <w:rsid w:val="00A63DF7"/>
    <w:rsid w:val="00A6454D"/>
    <w:rsid w:val="00A64F18"/>
    <w:rsid w:val="00A64F2F"/>
    <w:rsid w:val="00A65505"/>
    <w:rsid w:val="00A6611E"/>
    <w:rsid w:val="00A6634D"/>
    <w:rsid w:val="00A668BA"/>
    <w:rsid w:val="00A66FA7"/>
    <w:rsid w:val="00A67E16"/>
    <w:rsid w:val="00A67E2C"/>
    <w:rsid w:val="00A67EB1"/>
    <w:rsid w:val="00A703CC"/>
    <w:rsid w:val="00A70C5C"/>
    <w:rsid w:val="00A710A2"/>
    <w:rsid w:val="00A719D1"/>
    <w:rsid w:val="00A71EA7"/>
    <w:rsid w:val="00A730AD"/>
    <w:rsid w:val="00A730EE"/>
    <w:rsid w:val="00A73855"/>
    <w:rsid w:val="00A73D64"/>
    <w:rsid w:val="00A74216"/>
    <w:rsid w:val="00A744B4"/>
    <w:rsid w:val="00A751E3"/>
    <w:rsid w:val="00A75504"/>
    <w:rsid w:val="00A75FD7"/>
    <w:rsid w:val="00A766DA"/>
    <w:rsid w:val="00A77168"/>
    <w:rsid w:val="00A7723B"/>
    <w:rsid w:val="00A773E0"/>
    <w:rsid w:val="00A7793C"/>
    <w:rsid w:val="00A77D21"/>
    <w:rsid w:val="00A77FDE"/>
    <w:rsid w:val="00A80040"/>
    <w:rsid w:val="00A80085"/>
    <w:rsid w:val="00A8043B"/>
    <w:rsid w:val="00A80DA0"/>
    <w:rsid w:val="00A81323"/>
    <w:rsid w:val="00A820CB"/>
    <w:rsid w:val="00A82342"/>
    <w:rsid w:val="00A83BEF"/>
    <w:rsid w:val="00A84443"/>
    <w:rsid w:val="00A8487F"/>
    <w:rsid w:val="00A849A3"/>
    <w:rsid w:val="00A849D9"/>
    <w:rsid w:val="00A84A0E"/>
    <w:rsid w:val="00A84ECB"/>
    <w:rsid w:val="00A86DA1"/>
    <w:rsid w:val="00A86E0B"/>
    <w:rsid w:val="00A874BB"/>
    <w:rsid w:val="00A90F12"/>
    <w:rsid w:val="00A91DAA"/>
    <w:rsid w:val="00A92261"/>
    <w:rsid w:val="00A93101"/>
    <w:rsid w:val="00A9413E"/>
    <w:rsid w:val="00A94281"/>
    <w:rsid w:val="00A94293"/>
    <w:rsid w:val="00A9496E"/>
    <w:rsid w:val="00A949F0"/>
    <w:rsid w:val="00A94BDE"/>
    <w:rsid w:val="00A94FCA"/>
    <w:rsid w:val="00A95E4C"/>
    <w:rsid w:val="00A96484"/>
    <w:rsid w:val="00A96C60"/>
    <w:rsid w:val="00A9740B"/>
    <w:rsid w:val="00A9766C"/>
    <w:rsid w:val="00A977F8"/>
    <w:rsid w:val="00A979DB"/>
    <w:rsid w:val="00A97C93"/>
    <w:rsid w:val="00AA08E7"/>
    <w:rsid w:val="00AA0A06"/>
    <w:rsid w:val="00AA1351"/>
    <w:rsid w:val="00AA184C"/>
    <w:rsid w:val="00AA1C84"/>
    <w:rsid w:val="00AA20FA"/>
    <w:rsid w:val="00AA3D7B"/>
    <w:rsid w:val="00AA42A0"/>
    <w:rsid w:val="00AA442B"/>
    <w:rsid w:val="00AA46A4"/>
    <w:rsid w:val="00AA568B"/>
    <w:rsid w:val="00AA5779"/>
    <w:rsid w:val="00AA58A1"/>
    <w:rsid w:val="00AA59B5"/>
    <w:rsid w:val="00AA5C67"/>
    <w:rsid w:val="00AA61C7"/>
    <w:rsid w:val="00AA669D"/>
    <w:rsid w:val="00AA66ED"/>
    <w:rsid w:val="00AA6B59"/>
    <w:rsid w:val="00AA6BE1"/>
    <w:rsid w:val="00AA7416"/>
    <w:rsid w:val="00AA7A60"/>
    <w:rsid w:val="00AA7B42"/>
    <w:rsid w:val="00AB041C"/>
    <w:rsid w:val="00AB14E8"/>
    <w:rsid w:val="00AB1B1D"/>
    <w:rsid w:val="00AB2216"/>
    <w:rsid w:val="00AB358D"/>
    <w:rsid w:val="00AB37A1"/>
    <w:rsid w:val="00AB3BAD"/>
    <w:rsid w:val="00AB3CFD"/>
    <w:rsid w:val="00AB4244"/>
    <w:rsid w:val="00AB49BC"/>
    <w:rsid w:val="00AB4DEE"/>
    <w:rsid w:val="00AB4E0A"/>
    <w:rsid w:val="00AB4E32"/>
    <w:rsid w:val="00AB5C19"/>
    <w:rsid w:val="00AB6F0D"/>
    <w:rsid w:val="00AB724B"/>
    <w:rsid w:val="00AB726C"/>
    <w:rsid w:val="00AB72B4"/>
    <w:rsid w:val="00AC02AA"/>
    <w:rsid w:val="00AC0537"/>
    <w:rsid w:val="00AC0A27"/>
    <w:rsid w:val="00AC0A84"/>
    <w:rsid w:val="00AC1508"/>
    <w:rsid w:val="00AC2A0B"/>
    <w:rsid w:val="00AC2BEE"/>
    <w:rsid w:val="00AC2E53"/>
    <w:rsid w:val="00AC484F"/>
    <w:rsid w:val="00AC4B20"/>
    <w:rsid w:val="00AC56F2"/>
    <w:rsid w:val="00AC6988"/>
    <w:rsid w:val="00AC71C3"/>
    <w:rsid w:val="00AC7E3D"/>
    <w:rsid w:val="00AD04AE"/>
    <w:rsid w:val="00AD09F7"/>
    <w:rsid w:val="00AD1EFA"/>
    <w:rsid w:val="00AD2072"/>
    <w:rsid w:val="00AD28C4"/>
    <w:rsid w:val="00AD2DBD"/>
    <w:rsid w:val="00AD2FBF"/>
    <w:rsid w:val="00AD340E"/>
    <w:rsid w:val="00AD3E34"/>
    <w:rsid w:val="00AD455D"/>
    <w:rsid w:val="00AD463C"/>
    <w:rsid w:val="00AD4F60"/>
    <w:rsid w:val="00AD5044"/>
    <w:rsid w:val="00AD5114"/>
    <w:rsid w:val="00AD6236"/>
    <w:rsid w:val="00AD69D5"/>
    <w:rsid w:val="00AD6FD3"/>
    <w:rsid w:val="00AD7252"/>
    <w:rsid w:val="00AD7619"/>
    <w:rsid w:val="00AD7770"/>
    <w:rsid w:val="00AE1772"/>
    <w:rsid w:val="00AE1990"/>
    <w:rsid w:val="00AE1D23"/>
    <w:rsid w:val="00AE1D93"/>
    <w:rsid w:val="00AE25C0"/>
    <w:rsid w:val="00AE25E8"/>
    <w:rsid w:val="00AE2AD4"/>
    <w:rsid w:val="00AE2CA7"/>
    <w:rsid w:val="00AE2F1D"/>
    <w:rsid w:val="00AE4C81"/>
    <w:rsid w:val="00AE586F"/>
    <w:rsid w:val="00AE6582"/>
    <w:rsid w:val="00AE6DC5"/>
    <w:rsid w:val="00AE7686"/>
    <w:rsid w:val="00AE799A"/>
    <w:rsid w:val="00AF041E"/>
    <w:rsid w:val="00AF0E81"/>
    <w:rsid w:val="00AF117A"/>
    <w:rsid w:val="00AF16CA"/>
    <w:rsid w:val="00AF186E"/>
    <w:rsid w:val="00AF19DF"/>
    <w:rsid w:val="00AF1D41"/>
    <w:rsid w:val="00AF26CF"/>
    <w:rsid w:val="00AF344D"/>
    <w:rsid w:val="00AF39B3"/>
    <w:rsid w:val="00AF3E1D"/>
    <w:rsid w:val="00AF4402"/>
    <w:rsid w:val="00AF4639"/>
    <w:rsid w:val="00AF4A1E"/>
    <w:rsid w:val="00AF4E92"/>
    <w:rsid w:val="00AF554B"/>
    <w:rsid w:val="00AF5C9B"/>
    <w:rsid w:val="00AF5CED"/>
    <w:rsid w:val="00AF5D53"/>
    <w:rsid w:val="00AF5E2D"/>
    <w:rsid w:val="00AF644B"/>
    <w:rsid w:val="00AF69EB"/>
    <w:rsid w:val="00AF6CA6"/>
    <w:rsid w:val="00AF6EB6"/>
    <w:rsid w:val="00AF7796"/>
    <w:rsid w:val="00AF7E9B"/>
    <w:rsid w:val="00B00199"/>
    <w:rsid w:val="00B008C1"/>
    <w:rsid w:val="00B00C57"/>
    <w:rsid w:val="00B011A7"/>
    <w:rsid w:val="00B011A9"/>
    <w:rsid w:val="00B01BAF"/>
    <w:rsid w:val="00B024ED"/>
    <w:rsid w:val="00B026B8"/>
    <w:rsid w:val="00B02EB3"/>
    <w:rsid w:val="00B02FCB"/>
    <w:rsid w:val="00B033F8"/>
    <w:rsid w:val="00B03690"/>
    <w:rsid w:val="00B03C1E"/>
    <w:rsid w:val="00B04400"/>
    <w:rsid w:val="00B04835"/>
    <w:rsid w:val="00B05041"/>
    <w:rsid w:val="00B05A55"/>
    <w:rsid w:val="00B05DE1"/>
    <w:rsid w:val="00B06595"/>
    <w:rsid w:val="00B10109"/>
    <w:rsid w:val="00B10776"/>
    <w:rsid w:val="00B1085E"/>
    <w:rsid w:val="00B10FD1"/>
    <w:rsid w:val="00B1219D"/>
    <w:rsid w:val="00B1268D"/>
    <w:rsid w:val="00B12735"/>
    <w:rsid w:val="00B12F44"/>
    <w:rsid w:val="00B13C48"/>
    <w:rsid w:val="00B13E35"/>
    <w:rsid w:val="00B13EC0"/>
    <w:rsid w:val="00B14102"/>
    <w:rsid w:val="00B14D32"/>
    <w:rsid w:val="00B1557C"/>
    <w:rsid w:val="00B155DC"/>
    <w:rsid w:val="00B15766"/>
    <w:rsid w:val="00B15E4A"/>
    <w:rsid w:val="00B1666A"/>
    <w:rsid w:val="00B1686D"/>
    <w:rsid w:val="00B16BF7"/>
    <w:rsid w:val="00B17129"/>
    <w:rsid w:val="00B1741D"/>
    <w:rsid w:val="00B17447"/>
    <w:rsid w:val="00B17566"/>
    <w:rsid w:val="00B1771D"/>
    <w:rsid w:val="00B1789A"/>
    <w:rsid w:val="00B17B91"/>
    <w:rsid w:val="00B20209"/>
    <w:rsid w:val="00B203C9"/>
    <w:rsid w:val="00B2088D"/>
    <w:rsid w:val="00B208FF"/>
    <w:rsid w:val="00B20943"/>
    <w:rsid w:val="00B21916"/>
    <w:rsid w:val="00B22E22"/>
    <w:rsid w:val="00B22F5F"/>
    <w:rsid w:val="00B230C9"/>
    <w:rsid w:val="00B231D9"/>
    <w:rsid w:val="00B23640"/>
    <w:rsid w:val="00B23813"/>
    <w:rsid w:val="00B23FD9"/>
    <w:rsid w:val="00B24591"/>
    <w:rsid w:val="00B245D5"/>
    <w:rsid w:val="00B245EF"/>
    <w:rsid w:val="00B24C36"/>
    <w:rsid w:val="00B24F94"/>
    <w:rsid w:val="00B25126"/>
    <w:rsid w:val="00B25A52"/>
    <w:rsid w:val="00B25FC3"/>
    <w:rsid w:val="00B27211"/>
    <w:rsid w:val="00B27875"/>
    <w:rsid w:val="00B27BB5"/>
    <w:rsid w:val="00B3008D"/>
    <w:rsid w:val="00B30E11"/>
    <w:rsid w:val="00B30EAE"/>
    <w:rsid w:val="00B30EEB"/>
    <w:rsid w:val="00B31339"/>
    <w:rsid w:val="00B31423"/>
    <w:rsid w:val="00B319B1"/>
    <w:rsid w:val="00B323E0"/>
    <w:rsid w:val="00B32DC0"/>
    <w:rsid w:val="00B3346C"/>
    <w:rsid w:val="00B335E4"/>
    <w:rsid w:val="00B33C23"/>
    <w:rsid w:val="00B345B4"/>
    <w:rsid w:val="00B348B1"/>
    <w:rsid w:val="00B34A28"/>
    <w:rsid w:val="00B35046"/>
    <w:rsid w:val="00B35B6A"/>
    <w:rsid w:val="00B35C51"/>
    <w:rsid w:val="00B35DAA"/>
    <w:rsid w:val="00B36D2B"/>
    <w:rsid w:val="00B37657"/>
    <w:rsid w:val="00B37AFD"/>
    <w:rsid w:val="00B37B07"/>
    <w:rsid w:val="00B4046F"/>
    <w:rsid w:val="00B406B3"/>
    <w:rsid w:val="00B40900"/>
    <w:rsid w:val="00B40A36"/>
    <w:rsid w:val="00B40DCB"/>
    <w:rsid w:val="00B41D39"/>
    <w:rsid w:val="00B422C0"/>
    <w:rsid w:val="00B426CA"/>
    <w:rsid w:val="00B426E1"/>
    <w:rsid w:val="00B4284A"/>
    <w:rsid w:val="00B42F6D"/>
    <w:rsid w:val="00B43449"/>
    <w:rsid w:val="00B4387A"/>
    <w:rsid w:val="00B441D0"/>
    <w:rsid w:val="00B44746"/>
    <w:rsid w:val="00B44854"/>
    <w:rsid w:val="00B44BA5"/>
    <w:rsid w:val="00B458D0"/>
    <w:rsid w:val="00B46915"/>
    <w:rsid w:val="00B4738E"/>
    <w:rsid w:val="00B4792C"/>
    <w:rsid w:val="00B47E46"/>
    <w:rsid w:val="00B50CAE"/>
    <w:rsid w:val="00B50E01"/>
    <w:rsid w:val="00B512AD"/>
    <w:rsid w:val="00B5196C"/>
    <w:rsid w:val="00B525CB"/>
    <w:rsid w:val="00B52697"/>
    <w:rsid w:val="00B54D8F"/>
    <w:rsid w:val="00B55857"/>
    <w:rsid w:val="00B55C69"/>
    <w:rsid w:val="00B56851"/>
    <w:rsid w:val="00B569D4"/>
    <w:rsid w:val="00B56BA8"/>
    <w:rsid w:val="00B56D6E"/>
    <w:rsid w:val="00B572F7"/>
    <w:rsid w:val="00B57B9D"/>
    <w:rsid w:val="00B57C61"/>
    <w:rsid w:val="00B57DAF"/>
    <w:rsid w:val="00B60094"/>
    <w:rsid w:val="00B6022C"/>
    <w:rsid w:val="00B614F8"/>
    <w:rsid w:val="00B61994"/>
    <w:rsid w:val="00B61AB7"/>
    <w:rsid w:val="00B61C1F"/>
    <w:rsid w:val="00B61FD4"/>
    <w:rsid w:val="00B62880"/>
    <w:rsid w:val="00B637ED"/>
    <w:rsid w:val="00B63872"/>
    <w:rsid w:val="00B63CB2"/>
    <w:rsid w:val="00B64246"/>
    <w:rsid w:val="00B64EDB"/>
    <w:rsid w:val="00B65938"/>
    <w:rsid w:val="00B65C8A"/>
    <w:rsid w:val="00B65CE2"/>
    <w:rsid w:val="00B65F6A"/>
    <w:rsid w:val="00B660AD"/>
    <w:rsid w:val="00B66109"/>
    <w:rsid w:val="00B66349"/>
    <w:rsid w:val="00B66CB4"/>
    <w:rsid w:val="00B67903"/>
    <w:rsid w:val="00B67FBF"/>
    <w:rsid w:val="00B70832"/>
    <w:rsid w:val="00B71376"/>
    <w:rsid w:val="00B71617"/>
    <w:rsid w:val="00B716D7"/>
    <w:rsid w:val="00B72110"/>
    <w:rsid w:val="00B72B91"/>
    <w:rsid w:val="00B73019"/>
    <w:rsid w:val="00B7315F"/>
    <w:rsid w:val="00B7323A"/>
    <w:rsid w:val="00B7353B"/>
    <w:rsid w:val="00B737FB"/>
    <w:rsid w:val="00B73E5D"/>
    <w:rsid w:val="00B73EF3"/>
    <w:rsid w:val="00B7423D"/>
    <w:rsid w:val="00B74D05"/>
    <w:rsid w:val="00B75893"/>
    <w:rsid w:val="00B75C5A"/>
    <w:rsid w:val="00B766DC"/>
    <w:rsid w:val="00B777FA"/>
    <w:rsid w:val="00B77850"/>
    <w:rsid w:val="00B7796B"/>
    <w:rsid w:val="00B80C72"/>
    <w:rsid w:val="00B81964"/>
    <w:rsid w:val="00B81E6F"/>
    <w:rsid w:val="00B82123"/>
    <w:rsid w:val="00B8225B"/>
    <w:rsid w:val="00B82BB5"/>
    <w:rsid w:val="00B83182"/>
    <w:rsid w:val="00B839F0"/>
    <w:rsid w:val="00B851E4"/>
    <w:rsid w:val="00B854CE"/>
    <w:rsid w:val="00B85681"/>
    <w:rsid w:val="00B857EB"/>
    <w:rsid w:val="00B86162"/>
    <w:rsid w:val="00B86877"/>
    <w:rsid w:val="00B8695D"/>
    <w:rsid w:val="00B86E66"/>
    <w:rsid w:val="00B873BA"/>
    <w:rsid w:val="00B8746F"/>
    <w:rsid w:val="00B8760D"/>
    <w:rsid w:val="00B87706"/>
    <w:rsid w:val="00B90171"/>
    <w:rsid w:val="00B90A49"/>
    <w:rsid w:val="00B90A73"/>
    <w:rsid w:val="00B91B8E"/>
    <w:rsid w:val="00B92531"/>
    <w:rsid w:val="00B92618"/>
    <w:rsid w:val="00B92751"/>
    <w:rsid w:val="00B92B69"/>
    <w:rsid w:val="00B92CC6"/>
    <w:rsid w:val="00B935C9"/>
    <w:rsid w:val="00B93E3D"/>
    <w:rsid w:val="00B95220"/>
    <w:rsid w:val="00B95464"/>
    <w:rsid w:val="00B95C30"/>
    <w:rsid w:val="00B95D2F"/>
    <w:rsid w:val="00B95E3D"/>
    <w:rsid w:val="00B9691F"/>
    <w:rsid w:val="00B96EEC"/>
    <w:rsid w:val="00B97392"/>
    <w:rsid w:val="00B976C7"/>
    <w:rsid w:val="00BA0B40"/>
    <w:rsid w:val="00BA0C54"/>
    <w:rsid w:val="00BA1382"/>
    <w:rsid w:val="00BA15E3"/>
    <w:rsid w:val="00BA1A8C"/>
    <w:rsid w:val="00BA20D8"/>
    <w:rsid w:val="00BA22FC"/>
    <w:rsid w:val="00BA2C2A"/>
    <w:rsid w:val="00BA2F30"/>
    <w:rsid w:val="00BA3982"/>
    <w:rsid w:val="00BA4771"/>
    <w:rsid w:val="00BA5027"/>
    <w:rsid w:val="00BA59F2"/>
    <w:rsid w:val="00BA5C3B"/>
    <w:rsid w:val="00BA665B"/>
    <w:rsid w:val="00BA686B"/>
    <w:rsid w:val="00BA6FE8"/>
    <w:rsid w:val="00BA732D"/>
    <w:rsid w:val="00BA7370"/>
    <w:rsid w:val="00BA778B"/>
    <w:rsid w:val="00BB0888"/>
    <w:rsid w:val="00BB0DF1"/>
    <w:rsid w:val="00BB0E9B"/>
    <w:rsid w:val="00BB2841"/>
    <w:rsid w:val="00BB2A74"/>
    <w:rsid w:val="00BB300F"/>
    <w:rsid w:val="00BB32C9"/>
    <w:rsid w:val="00BB35C5"/>
    <w:rsid w:val="00BB4C8E"/>
    <w:rsid w:val="00BB57ED"/>
    <w:rsid w:val="00BB65C3"/>
    <w:rsid w:val="00BB662E"/>
    <w:rsid w:val="00BB67A9"/>
    <w:rsid w:val="00BB6C01"/>
    <w:rsid w:val="00BB748C"/>
    <w:rsid w:val="00BB7942"/>
    <w:rsid w:val="00BB7CD1"/>
    <w:rsid w:val="00BC0F33"/>
    <w:rsid w:val="00BC11F8"/>
    <w:rsid w:val="00BC14A7"/>
    <w:rsid w:val="00BC17CC"/>
    <w:rsid w:val="00BC273A"/>
    <w:rsid w:val="00BC2898"/>
    <w:rsid w:val="00BC2928"/>
    <w:rsid w:val="00BC29BD"/>
    <w:rsid w:val="00BC2BB1"/>
    <w:rsid w:val="00BC2FF2"/>
    <w:rsid w:val="00BC34A3"/>
    <w:rsid w:val="00BC3FF9"/>
    <w:rsid w:val="00BC4112"/>
    <w:rsid w:val="00BC4834"/>
    <w:rsid w:val="00BC4A97"/>
    <w:rsid w:val="00BC4E15"/>
    <w:rsid w:val="00BC4FE1"/>
    <w:rsid w:val="00BC520E"/>
    <w:rsid w:val="00BC5A25"/>
    <w:rsid w:val="00BC5FDD"/>
    <w:rsid w:val="00BC68B4"/>
    <w:rsid w:val="00BD0140"/>
    <w:rsid w:val="00BD02CC"/>
    <w:rsid w:val="00BD088E"/>
    <w:rsid w:val="00BD0C47"/>
    <w:rsid w:val="00BD0F18"/>
    <w:rsid w:val="00BD2063"/>
    <w:rsid w:val="00BD33D9"/>
    <w:rsid w:val="00BD38C5"/>
    <w:rsid w:val="00BD3DEA"/>
    <w:rsid w:val="00BD3E97"/>
    <w:rsid w:val="00BD40E4"/>
    <w:rsid w:val="00BD48E5"/>
    <w:rsid w:val="00BD52FE"/>
    <w:rsid w:val="00BD59CA"/>
    <w:rsid w:val="00BD62CF"/>
    <w:rsid w:val="00BD67B2"/>
    <w:rsid w:val="00BD68E2"/>
    <w:rsid w:val="00BD76E5"/>
    <w:rsid w:val="00BD78FE"/>
    <w:rsid w:val="00BD7D10"/>
    <w:rsid w:val="00BE0149"/>
    <w:rsid w:val="00BE0767"/>
    <w:rsid w:val="00BE12D7"/>
    <w:rsid w:val="00BE1372"/>
    <w:rsid w:val="00BE1775"/>
    <w:rsid w:val="00BE18DA"/>
    <w:rsid w:val="00BE26C0"/>
    <w:rsid w:val="00BE3442"/>
    <w:rsid w:val="00BE37CD"/>
    <w:rsid w:val="00BE47B2"/>
    <w:rsid w:val="00BE48C7"/>
    <w:rsid w:val="00BE4C4F"/>
    <w:rsid w:val="00BE4F66"/>
    <w:rsid w:val="00BE51EE"/>
    <w:rsid w:val="00BE5238"/>
    <w:rsid w:val="00BE5679"/>
    <w:rsid w:val="00BE6074"/>
    <w:rsid w:val="00BE7257"/>
    <w:rsid w:val="00BF020D"/>
    <w:rsid w:val="00BF0609"/>
    <w:rsid w:val="00BF0E64"/>
    <w:rsid w:val="00BF0EE8"/>
    <w:rsid w:val="00BF1DD2"/>
    <w:rsid w:val="00BF23A3"/>
    <w:rsid w:val="00BF2A7E"/>
    <w:rsid w:val="00BF3331"/>
    <w:rsid w:val="00BF3A45"/>
    <w:rsid w:val="00BF436F"/>
    <w:rsid w:val="00BF4484"/>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39F8"/>
    <w:rsid w:val="00C043F5"/>
    <w:rsid w:val="00C044E3"/>
    <w:rsid w:val="00C04607"/>
    <w:rsid w:val="00C04BDB"/>
    <w:rsid w:val="00C052A4"/>
    <w:rsid w:val="00C052C6"/>
    <w:rsid w:val="00C05A61"/>
    <w:rsid w:val="00C05AD5"/>
    <w:rsid w:val="00C05FEE"/>
    <w:rsid w:val="00C06CCF"/>
    <w:rsid w:val="00C06FB0"/>
    <w:rsid w:val="00C07225"/>
    <w:rsid w:val="00C0794D"/>
    <w:rsid w:val="00C10B33"/>
    <w:rsid w:val="00C10E78"/>
    <w:rsid w:val="00C1159D"/>
    <w:rsid w:val="00C1233E"/>
    <w:rsid w:val="00C123F6"/>
    <w:rsid w:val="00C12FB3"/>
    <w:rsid w:val="00C138BC"/>
    <w:rsid w:val="00C13D85"/>
    <w:rsid w:val="00C13FCC"/>
    <w:rsid w:val="00C14639"/>
    <w:rsid w:val="00C14E82"/>
    <w:rsid w:val="00C14FF6"/>
    <w:rsid w:val="00C15A85"/>
    <w:rsid w:val="00C1637C"/>
    <w:rsid w:val="00C1641B"/>
    <w:rsid w:val="00C165FC"/>
    <w:rsid w:val="00C176D5"/>
    <w:rsid w:val="00C17D24"/>
    <w:rsid w:val="00C207A0"/>
    <w:rsid w:val="00C2082C"/>
    <w:rsid w:val="00C20EB0"/>
    <w:rsid w:val="00C21004"/>
    <w:rsid w:val="00C21005"/>
    <w:rsid w:val="00C2136E"/>
    <w:rsid w:val="00C220B6"/>
    <w:rsid w:val="00C22D7C"/>
    <w:rsid w:val="00C22DDE"/>
    <w:rsid w:val="00C2338B"/>
    <w:rsid w:val="00C233CE"/>
    <w:rsid w:val="00C237DD"/>
    <w:rsid w:val="00C238F4"/>
    <w:rsid w:val="00C23A99"/>
    <w:rsid w:val="00C23FBF"/>
    <w:rsid w:val="00C245EE"/>
    <w:rsid w:val="00C24AE1"/>
    <w:rsid w:val="00C24B8D"/>
    <w:rsid w:val="00C24BD7"/>
    <w:rsid w:val="00C25813"/>
    <w:rsid w:val="00C27143"/>
    <w:rsid w:val="00C272CE"/>
    <w:rsid w:val="00C27490"/>
    <w:rsid w:val="00C27712"/>
    <w:rsid w:val="00C27D37"/>
    <w:rsid w:val="00C309E8"/>
    <w:rsid w:val="00C32017"/>
    <w:rsid w:val="00C3237B"/>
    <w:rsid w:val="00C32571"/>
    <w:rsid w:val="00C325CD"/>
    <w:rsid w:val="00C3322E"/>
    <w:rsid w:val="00C337F5"/>
    <w:rsid w:val="00C33B90"/>
    <w:rsid w:val="00C34161"/>
    <w:rsid w:val="00C342FF"/>
    <w:rsid w:val="00C34B5F"/>
    <w:rsid w:val="00C358D4"/>
    <w:rsid w:val="00C36462"/>
    <w:rsid w:val="00C365C6"/>
    <w:rsid w:val="00C366F4"/>
    <w:rsid w:val="00C36785"/>
    <w:rsid w:val="00C3711C"/>
    <w:rsid w:val="00C371D9"/>
    <w:rsid w:val="00C37256"/>
    <w:rsid w:val="00C37A7B"/>
    <w:rsid w:val="00C37FFE"/>
    <w:rsid w:val="00C40B50"/>
    <w:rsid w:val="00C419E3"/>
    <w:rsid w:val="00C419F4"/>
    <w:rsid w:val="00C41E6A"/>
    <w:rsid w:val="00C42247"/>
    <w:rsid w:val="00C43511"/>
    <w:rsid w:val="00C439BE"/>
    <w:rsid w:val="00C44622"/>
    <w:rsid w:val="00C4494B"/>
    <w:rsid w:val="00C4539B"/>
    <w:rsid w:val="00C45466"/>
    <w:rsid w:val="00C455C1"/>
    <w:rsid w:val="00C4581D"/>
    <w:rsid w:val="00C47472"/>
    <w:rsid w:val="00C500F0"/>
    <w:rsid w:val="00C504A7"/>
    <w:rsid w:val="00C506C9"/>
    <w:rsid w:val="00C50A16"/>
    <w:rsid w:val="00C51C9A"/>
    <w:rsid w:val="00C52C68"/>
    <w:rsid w:val="00C52D98"/>
    <w:rsid w:val="00C52DA1"/>
    <w:rsid w:val="00C53D24"/>
    <w:rsid w:val="00C54640"/>
    <w:rsid w:val="00C547A6"/>
    <w:rsid w:val="00C54A3A"/>
    <w:rsid w:val="00C55B52"/>
    <w:rsid w:val="00C55C32"/>
    <w:rsid w:val="00C56976"/>
    <w:rsid w:val="00C56A67"/>
    <w:rsid w:val="00C56CC2"/>
    <w:rsid w:val="00C57498"/>
    <w:rsid w:val="00C5763C"/>
    <w:rsid w:val="00C5780C"/>
    <w:rsid w:val="00C5796B"/>
    <w:rsid w:val="00C612C4"/>
    <w:rsid w:val="00C619A1"/>
    <w:rsid w:val="00C62370"/>
    <w:rsid w:val="00C627EA"/>
    <w:rsid w:val="00C62BBB"/>
    <w:rsid w:val="00C6305F"/>
    <w:rsid w:val="00C6325B"/>
    <w:rsid w:val="00C63E99"/>
    <w:rsid w:val="00C649B8"/>
    <w:rsid w:val="00C64A64"/>
    <w:rsid w:val="00C65151"/>
    <w:rsid w:val="00C657F4"/>
    <w:rsid w:val="00C6598D"/>
    <w:rsid w:val="00C660FE"/>
    <w:rsid w:val="00C66119"/>
    <w:rsid w:val="00C66292"/>
    <w:rsid w:val="00C66D0A"/>
    <w:rsid w:val="00C672A3"/>
    <w:rsid w:val="00C672F1"/>
    <w:rsid w:val="00C673D0"/>
    <w:rsid w:val="00C6742E"/>
    <w:rsid w:val="00C67B0B"/>
    <w:rsid w:val="00C70012"/>
    <w:rsid w:val="00C708AA"/>
    <w:rsid w:val="00C71E2A"/>
    <w:rsid w:val="00C733BA"/>
    <w:rsid w:val="00C74219"/>
    <w:rsid w:val="00C7595C"/>
    <w:rsid w:val="00C760B0"/>
    <w:rsid w:val="00C760DC"/>
    <w:rsid w:val="00C8082B"/>
    <w:rsid w:val="00C81A88"/>
    <w:rsid w:val="00C81D46"/>
    <w:rsid w:val="00C82298"/>
    <w:rsid w:val="00C833B4"/>
    <w:rsid w:val="00C836E9"/>
    <w:rsid w:val="00C84284"/>
    <w:rsid w:val="00C84E33"/>
    <w:rsid w:val="00C85D99"/>
    <w:rsid w:val="00C85FFC"/>
    <w:rsid w:val="00C861FC"/>
    <w:rsid w:val="00C86C87"/>
    <w:rsid w:val="00C9005E"/>
    <w:rsid w:val="00C90111"/>
    <w:rsid w:val="00C9038E"/>
    <w:rsid w:val="00C9077B"/>
    <w:rsid w:val="00C90CA9"/>
    <w:rsid w:val="00C90F88"/>
    <w:rsid w:val="00C9144F"/>
    <w:rsid w:val="00C915F2"/>
    <w:rsid w:val="00C917B1"/>
    <w:rsid w:val="00C9193C"/>
    <w:rsid w:val="00C91B77"/>
    <w:rsid w:val="00C920E2"/>
    <w:rsid w:val="00C935A0"/>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646"/>
    <w:rsid w:val="00CA0E51"/>
    <w:rsid w:val="00CA1691"/>
    <w:rsid w:val="00CA2737"/>
    <w:rsid w:val="00CA2738"/>
    <w:rsid w:val="00CA2D2E"/>
    <w:rsid w:val="00CA41E7"/>
    <w:rsid w:val="00CA4A99"/>
    <w:rsid w:val="00CA5520"/>
    <w:rsid w:val="00CA5812"/>
    <w:rsid w:val="00CA5BD4"/>
    <w:rsid w:val="00CA5C14"/>
    <w:rsid w:val="00CA76FC"/>
    <w:rsid w:val="00CA7E7B"/>
    <w:rsid w:val="00CB0236"/>
    <w:rsid w:val="00CB18C7"/>
    <w:rsid w:val="00CB1969"/>
    <w:rsid w:val="00CB19E3"/>
    <w:rsid w:val="00CB254C"/>
    <w:rsid w:val="00CB2C3A"/>
    <w:rsid w:val="00CB2D38"/>
    <w:rsid w:val="00CB4137"/>
    <w:rsid w:val="00CB52D0"/>
    <w:rsid w:val="00CB5578"/>
    <w:rsid w:val="00CB5671"/>
    <w:rsid w:val="00CB591C"/>
    <w:rsid w:val="00CB5943"/>
    <w:rsid w:val="00CB61B3"/>
    <w:rsid w:val="00CB6F83"/>
    <w:rsid w:val="00CB72AE"/>
    <w:rsid w:val="00CC00CD"/>
    <w:rsid w:val="00CC0144"/>
    <w:rsid w:val="00CC0579"/>
    <w:rsid w:val="00CC0AF3"/>
    <w:rsid w:val="00CC0BC6"/>
    <w:rsid w:val="00CC0E68"/>
    <w:rsid w:val="00CC1780"/>
    <w:rsid w:val="00CC194E"/>
    <w:rsid w:val="00CC1ED2"/>
    <w:rsid w:val="00CC21AC"/>
    <w:rsid w:val="00CC232E"/>
    <w:rsid w:val="00CC2514"/>
    <w:rsid w:val="00CC2B1A"/>
    <w:rsid w:val="00CC2D34"/>
    <w:rsid w:val="00CC2F69"/>
    <w:rsid w:val="00CC315F"/>
    <w:rsid w:val="00CC3D38"/>
    <w:rsid w:val="00CC40C3"/>
    <w:rsid w:val="00CC4344"/>
    <w:rsid w:val="00CC4E5D"/>
    <w:rsid w:val="00CC50AE"/>
    <w:rsid w:val="00CC5FFE"/>
    <w:rsid w:val="00CC61B7"/>
    <w:rsid w:val="00CC61CA"/>
    <w:rsid w:val="00CC69EC"/>
    <w:rsid w:val="00CC71D3"/>
    <w:rsid w:val="00CC743D"/>
    <w:rsid w:val="00CC7A62"/>
    <w:rsid w:val="00CD00C3"/>
    <w:rsid w:val="00CD050A"/>
    <w:rsid w:val="00CD1017"/>
    <w:rsid w:val="00CD205D"/>
    <w:rsid w:val="00CD2A22"/>
    <w:rsid w:val="00CD2B50"/>
    <w:rsid w:val="00CD2C67"/>
    <w:rsid w:val="00CD2FD9"/>
    <w:rsid w:val="00CD3172"/>
    <w:rsid w:val="00CD3F4F"/>
    <w:rsid w:val="00CD41E4"/>
    <w:rsid w:val="00CD4357"/>
    <w:rsid w:val="00CD4506"/>
    <w:rsid w:val="00CD520B"/>
    <w:rsid w:val="00CD57BF"/>
    <w:rsid w:val="00CD592E"/>
    <w:rsid w:val="00CD5982"/>
    <w:rsid w:val="00CD5A1A"/>
    <w:rsid w:val="00CD7EFA"/>
    <w:rsid w:val="00CE020E"/>
    <w:rsid w:val="00CE0566"/>
    <w:rsid w:val="00CE1CD4"/>
    <w:rsid w:val="00CE207C"/>
    <w:rsid w:val="00CE2761"/>
    <w:rsid w:val="00CE28FC"/>
    <w:rsid w:val="00CE314E"/>
    <w:rsid w:val="00CE3D5C"/>
    <w:rsid w:val="00CE3E09"/>
    <w:rsid w:val="00CE3E14"/>
    <w:rsid w:val="00CE44C7"/>
    <w:rsid w:val="00CE45FC"/>
    <w:rsid w:val="00CE53CC"/>
    <w:rsid w:val="00CE559D"/>
    <w:rsid w:val="00CE5988"/>
    <w:rsid w:val="00CE65A7"/>
    <w:rsid w:val="00CE68FE"/>
    <w:rsid w:val="00CE69CC"/>
    <w:rsid w:val="00CE6EC4"/>
    <w:rsid w:val="00CE7F26"/>
    <w:rsid w:val="00CF0A8D"/>
    <w:rsid w:val="00CF1226"/>
    <w:rsid w:val="00CF193C"/>
    <w:rsid w:val="00CF1ABB"/>
    <w:rsid w:val="00CF1E1D"/>
    <w:rsid w:val="00CF24FE"/>
    <w:rsid w:val="00CF287F"/>
    <w:rsid w:val="00CF35D0"/>
    <w:rsid w:val="00CF3B57"/>
    <w:rsid w:val="00CF3DD5"/>
    <w:rsid w:val="00CF481B"/>
    <w:rsid w:val="00CF4AF7"/>
    <w:rsid w:val="00CF4D20"/>
    <w:rsid w:val="00CF666E"/>
    <w:rsid w:val="00CF6EC4"/>
    <w:rsid w:val="00CF73F8"/>
    <w:rsid w:val="00CF7928"/>
    <w:rsid w:val="00CF7CA2"/>
    <w:rsid w:val="00D00684"/>
    <w:rsid w:val="00D00911"/>
    <w:rsid w:val="00D00A8E"/>
    <w:rsid w:val="00D00DE0"/>
    <w:rsid w:val="00D00F79"/>
    <w:rsid w:val="00D012BF"/>
    <w:rsid w:val="00D01760"/>
    <w:rsid w:val="00D030BD"/>
    <w:rsid w:val="00D0368E"/>
    <w:rsid w:val="00D0393E"/>
    <w:rsid w:val="00D03AC3"/>
    <w:rsid w:val="00D03D2D"/>
    <w:rsid w:val="00D03E16"/>
    <w:rsid w:val="00D03E7B"/>
    <w:rsid w:val="00D0401A"/>
    <w:rsid w:val="00D046C1"/>
    <w:rsid w:val="00D047E0"/>
    <w:rsid w:val="00D04B9F"/>
    <w:rsid w:val="00D04E8D"/>
    <w:rsid w:val="00D04FFB"/>
    <w:rsid w:val="00D055FE"/>
    <w:rsid w:val="00D058E9"/>
    <w:rsid w:val="00D0612A"/>
    <w:rsid w:val="00D06E6B"/>
    <w:rsid w:val="00D07315"/>
    <w:rsid w:val="00D1060D"/>
    <w:rsid w:val="00D10E7C"/>
    <w:rsid w:val="00D11182"/>
    <w:rsid w:val="00D1137B"/>
    <w:rsid w:val="00D11807"/>
    <w:rsid w:val="00D11DB3"/>
    <w:rsid w:val="00D12D82"/>
    <w:rsid w:val="00D12F77"/>
    <w:rsid w:val="00D1306E"/>
    <w:rsid w:val="00D134CD"/>
    <w:rsid w:val="00D14A38"/>
    <w:rsid w:val="00D14B5F"/>
    <w:rsid w:val="00D14E13"/>
    <w:rsid w:val="00D14F23"/>
    <w:rsid w:val="00D15A63"/>
    <w:rsid w:val="00D160F6"/>
    <w:rsid w:val="00D16740"/>
    <w:rsid w:val="00D16A8B"/>
    <w:rsid w:val="00D16E39"/>
    <w:rsid w:val="00D172A4"/>
    <w:rsid w:val="00D17951"/>
    <w:rsid w:val="00D17AD8"/>
    <w:rsid w:val="00D2104A"/>
    <w:rsid w:val="00D21BB5"/>
    <w:rsid w:val="00D21FFC"/>
    <w:rsid w:val="00D223B6"/>
    <w:rsid w:val="00D223E8"/>
    <w:rsid w:val="00D224E1"/>
    <w:rsid w:val="00D22DC8"/>
    <w:rsid w:val="00D2477B"/>
    <w:rsid w:val="00D2522A"/>
    <w:rsid w:val="00D2531C"/>
    <w:rsid w:val="00D2553E"/>
    <w:rsid w:val="00D25A71"/>
    <w:rsid w:val="00D25CFA"/>
    <w:rsid w:val="00D2742F"/>
    <w:rsid w:val="00D2754F"/>
    <w:rsid w:val="00D277C5"/>
    <w:rsid w:val="00D279D9"/>
    <w:rsid w:val="00D312DC"/>
    <w:rsid w:val="00D31B84"/>
    <w:rsid w:val="00D31C6A"/>
    <w:rsid w:val="00D31EDF"/>
    <w:rsid w:val="00D31FF9"/>
    <w:rsid w:val="00D32149"/>
    <w:rsid w:val="00D32256"/>
    <w:rsid w:val="00D32A27"/>
    <w:rsid w:val="00D32ABC"/>
    <w:rsid w:val="00D33FA4"/>
    <w:rsid w:val="00D34B25"/>
    <w:rsid w:val="00D34F4E"/>
    <w:rsid w:val="00D357F3"/>
    <w:rsid w:val="00D35C0E"/>
    <w:rsid w:val="00D373A8"/>
    <w:rsid w:val="00D379A5"/>
    <w:rsid w:val="00D401BE"/>
    <w:rsid w:val="00D4043A"/>
    <w:rsid w:val="00D40DB0"/>
    <w:rsid w:val="00D41093"/>
    <w:rsid w:val="00D410DC"/>
    <w:rsid w:val="00D416D5"/>
    <w:rsid w:val="00D41858"/>
    <w:rsid w:val="00D422DB"/>
    <w:rsid w:val="00D42303"/>
    <w:rsid w:val="00D424EB"/>
    <w:rsid w:val="00D42AC2"/>
    <w:rsid w:val="00D4498E"/>
    <w:rsid w:val="00D4515F"/>
    <w:rsid w:val="00D451E8"/>
    <w:rsid w:val="00D46185"/>
    <w:rsid w:val="00D466C9"/>
    <w:rsid w:val="00D47275"/>
    <w:rsid w:val="00D50689"/>
    <w:rsid w:val="00D51064"/>
    <w:rsid w:val="00D517F6"/>
    <w:rsid w:val="00D51E15"/>
    <w:rsid w:val="00D5210F"/>
    <w:rsid w:val="00D52B7E"/>
    <w:rsid w:val="00D52E2F"/>
    <w:rsid w:val="00D52F59"/>
    <w:rsid w:val="00D53445"/>
    <w:rsid w:val="00D53E3E"/>
    <w:rsid w:val="00D5452C"/>
    <w:rsid w:val="00D54620"/>
    <w:rsid w:val="00D54FEE"/>
    <w:rsid w:val="00D5558D"/>
    <w:rsid w:val="00D55904"/>
    <w:rsid w:val="00D5616F"/>
    <w:rsid w:val="00D563D7"/>
    <w:rsid w:val="00D56CFC"/>
    <w:rsid w:val="00D56D5C"/>
    <w:rsid w:val="00D57940"/>
    <w:rsid w:val="00D60327"/>
    <w:rsid w:val="00D61384"/>
    <w:rsid w:val="00D61526"/>
    <w:rsid w:val="00D61F81"/>
    <w:rsid w:val="00D6276C"/>
    <w:rsid w:val="00D62BE6"/>
    <w:rsid w:val="00D63766"/>
    <w:rsid w:val="00D63912"/>
    <w:rsid w:val="00D63923"/>
    <w:rsid w:val="00D6451B"/>
    <w:rsid w:val="00D64B57"/>
    <w:rsid w:val="00D651A1"/>
    <w:rsid w:val="00D65DEA"/>
    <w:rsid w:val="00D66579"/>
    <w:rsid w:val="00D676D3"/>
    <w:rsid w:val="00D67B06"/>
    <w:rsid w:val="00D67BC7"/>
    <w:rsid w:val="00D701F1"/>
    <w:rsid w:val="00D705D3"/>
    <w:rsid w:val="00D70E00"/>
    <w:rsid w:val="00D70F7C"/>
    <w:rsid w:val="00D715AC"/>
    <w:rsid w:val="00D71851"/>
    <w:rsid w:val="00D718CF"/>
    <w:rsid w:val="00D71A81"/>
    <w:rsid w:val="00D71ACF"/>
    <w:rsid w:val="00D728F5"/>
    <w:rsid w:val="00D72E9D"/>
    <w:rsid w:val="00D73249"/>
    <w:rsid w:val="00D73419"/>
    <w:rsid w:val="00D73CA9"/>
    <w:rsid w:val="00D751B7"/>
    <w:rsid w:val="00D7524B"/>
    <w:rsid w:val="00D75396"/>
    <w:rsid w:val="00D759C0"/>
    <w:rsid w:val="00D75E99"/>
    <w:rsid w:val="00D765CE"/>
    <w:rsid w:val="00D766C7"/>
    <w:rsid w:val="00D7692B"/>
    <w:rsid w:val="00D7734F"/>
    <w:rsid w:val="00D8044C"/>
    <w:rsid w:val="00D805D6"/>
    <w:rsid w:val="00D8075E"/>
    <w:rsid w:val="00D80860"/>
    <w:rsid w:val="00D808B7"/>
    <w:rsid w:val="00D80D4C"/>
    <w:rsid w:val="00D8184D"/>
    <w:rsid w:val="00D81A7B"/>
    <w:rsid w:val="00D8223C"/>
    <w:rsid w:val="00D82B57"/>
    <w:rsid w:val="00D82CE5"/>
    <w:rsid w:val="00D831E3"/>
    <w:rsid w:val="00D8342C"/>
    <w:rsid w:val="00D85494"/>
    <w:rsid w:val="00D8582C"/>
    <w:rsid w:val="00D858B1"/>
    <w:rsid w:val="00D85D61"/>
    <w:rsid w:val="00D8616D"/>
    <w:rsid w:val="00D86363"/>
    <w:rsid w:val="00D866CA"/>
    <w:rsid w:val="00D8711B"/>
    <w:rsid w:val="00D87384"/>
    <w:rsid w:val="00D9052A"/>
    <w:rsid w:val="00D90683"/>
    <w:rsid w:val="00D90B2A"/>
    <w:rsid w:val="00D91483"/>
    <w:rsid w:val="00D915C8"/>
    <w:rsid w:val="00D92AAA"/>
    <w:rsid w:val="00D9310B"/>
    <w:rsid w:val="00D931F3"/>
    <w:rsid w:val="00D933FF"/>
    <w:rsid w:val="00D93726"/>
    <w:rsid w:val="00D93F3E"/>
    <w:rsid w:val="00D9405B"/>
    <w:rsid w:val="00D94345"/>
    <w:rsid w:val="00D94942"/>
    <w:rsid w:val="00D950A1"/>
    <w:rsid w:val="00D95145"/>
    <w:rsid w:val="00D951DA"/>
    <w:rsid w:val="00D95360"/>
    <w:rsid w:val="00D96594"/>
    <w:rsid w:val="00D967CB"/>
    <w:rsid w:val="00D968D4"/>
    <w:rsid w:val="00D96EE0"/>
    <w:rsid w:val="00D97BB7"/>
    <w:rsid w:val="00D97BD1"/>
    <w:rsid w:val="00D97DAD"/>
    <w:rsid w:val="00DA06B8"/>
    <w:rsid w:val="00DA14A9"/>
    <w:rsid w:val="00DA2715"/>
    <w:rsid w:val="00DA2862"/>
    <w:rsid w:val="00DA286D"/>
    <w:rsid w:val="00DA2969"/>
    <w:rsid w:val="00DA29B7"/>
    <w:rsid w:val="00DA337C"/>
    <w:rsid w:val="00DA37FA"/>
    <w:rsid w:val="00DA385C"/>
    <w:rsid w:val="00DA3A15"/>
    <w:rsid w:val="00DA4842"/>
    <w:rsid w:val="00DA5989"/>
    <w:rsid w:val="00DA5AB1"/>
    <w:rsid w:val="00DA5F9D"/>
    <w:rsid w:val="00DA5FFB"/>
    <w:rsid w:val="00DA69B2"/>
    <w:rsid w:val="00DA6A95"/>
    <w:rsid w:val="00DA7462"/>
    <w:rsid w:val="00DA7AD0"/>
    <w:rsid w:val="00DB02D7"/>
    <w:rsid w:val="00DB03CC"/>
    <w:rsid w:val="00DB0EBE"/>
    <w:rsid w:val="00DB12D4"/>
    <w:rsid w:val="00DB14F0"/>
    <w:rsid w:val="00DB1745"/>
    <w:rsid w:val="00DB19BB"/>
    <w:rsid w:val="00DB1AFF"/>
    <w:rsid w:val="00DB219A"/>
    <w:rsid w:val="00DB27BD"/>
    <w:rsid w:val="00DB3165"/>
    <w:rsid w:val="00DB4292"/>
    <w:rsid w:val="00DB5023"/>
    <w:rsid w:val="00DB56B0"/>
    <w:rsid w:val="00DB6009"/>
    <w:rsid w:val="00DB629E"/>
    <w:rsid w:val="00DB6381"/>
    <w:rsid w:val="00DB6E46"/>
    <w:rsid w:val="00DB7117"/>
    <w:rsid w:val="00DB7760"/>
    <w:rsid w:val="00DB7DD4"/>
    <w:rsid w:val="00DC00B4"/>
    <w:rsid w:val="00DC0954"/>
    <w:rsid w:val="00DC0DF8"/>
    <w:rsid w:val="00DC15BA"/>
    <w:rsid w:val="00DC18CD"/>
    <w:rsid w:val="00DC1A68"/>
    <w:rsid w:val="00DC30B8"/>
    <w:rsid w:val="00DC478F"/>
    <w:rsid w:val="00DC62E5"/>
    <w:rsid w:val="00DC6D70"/>
    <w:rsid w:val="00DC6F33"/>
    <w:rsid w:val="00DC7349"/>
    <w:rsid w:val="00DD14D8"/>
    <w:rsid w:val="00DD1599"/>
    <w:rsid w:val="00DD1B03"/>
    <w:rsid w:val="00DD1E43"/>
    <w:rsid w:val="00DD2A62"/>
    <w:rsid w:val="00DD2F2F"/>
    <w:rsid w:val="00DD2F7A"/>
    <w:rsid w:val="00DD3885"/>
    <w:rsid w:val="00DD5808"/>
    <w:rsid w:val="00DD5946"/>
    <w:rsid w:val="00DD5B04"/>
    <w:rsid w:val="00DD5DAE"/>
    <w:rsid w:val="00DD5EC6"/>
    <w:rsid w:val="00DD605F"/>
    <w:rsid w:val="00DD6141"/>
    <w:rsid w:val="00DD72A0"/>
    <w:rsid w:val="00DD735D"/>
    <w:rsid w:val="00DE0159"/>
    <w:rsid w:val="00DE064A"/>
    <w:rsid w:val="00DE082D"/>
    <w:rsid w:val="00DE1410"/>
    <w:rsid w:val="00DE2078"/>
    <w:rsid w:val="00DE20C6"/>
    <w:rsid w:val="00DE2AEA"/>
    <w:rsid w:val="00DE3119"/>
    <w:rsid w:val="00DE3FF0"/>
    <w:rsid w:val="00DE4105"/>
    <w:rsid w:val="00DE41C4"/>
    <w:rsid w:val="00DE5189"/>
    <w:rsid w:val="00DE7108"/>
    <w:rsid w:val="00DE78D1"/>
    <w:rsid w:val="00DE78FF"/>
    <w:rsid w:val="00DF0263"/>
    <w:rsid w:val="00DF0EB4"/>
    <w:rsid w:val="00DF158B"/>
    <w:rsid w:val="00DF193C"/>
    <w:rsid w:val="00DF1D63"/>
    <w:rsid w:val="00DF1E36"/>
    <w:rsid w:val="00DF236B"/>
    <w:rsid w:val="00DF2A91"/>
    <w:rsid w:val="00DF3889"/>
    <w:rsid w:val="00DF3CC9"/>
    <w:rsid w:val="00DF4451"/>
    <w:rsid w:val="00DF49FF"/>
    <w:rsid w:val="00DF4FFB"/>
    <w:rsid w:val="00DF5236"/>
    <w:rsid w:val="00DF651F"/>
    <w:rsid w:val="00DF6F43"/>
    <w:rsid w:val="00DF752F"/>
    <w:rsid w:val="00DF76A2"/>
    <w:rsid w:val="00DF7F2B"/>
    <w:rsid w:val="00E00B7A"/>
    <w:rsid w:val="00E01FDD"/>
    <w:rsid w:val="00E02186"/>
    <w:rsid w:val="00E026BB"/>
    <w:rsid w:val="00E027C5"/>
    <w:rsid w:val="00E03124"/>
    <w:rsid w:val="00E031C3"/>
    <w:rsid w:val="00E03951"/>
    <w:rsid w:val="00E03DB8"/>
    <w:rsid w:val="00E03F17"/>
    <w:rsid w:val="00E04115"/>
    <w:rsid w:val="00E0420C"/>
    <w:rsid w:val="00E04765"/>
    <w:rsid w:val="00E04EDD"/>
    <w:rsid w:val="00E05E70"/>
    <w:rsid w:val="00E064BC"/>
    <w:rsid w:val="00E07225"/>
    <w:rsid w:val="00E076B4"/>
    <w:rsid w:val="00E07B55"/>
    <w:rsid w:val="00E10579"/>
    <w:rsid w:val="00E109DD"/>
    <w:rsid w:val="00E11229"/>
    <w:rsid w:val="00E114CA"/>
    <w:rsid w:val="00E11FE2"/>
    <w:rsid w:val="00E1397F"/>
    <w:rsid w:val="00E13AB8"/>
    <w:rsid w:val="00E1482E"/>
    <w:rsid w:val="00E153AE"/>
    <w:rsid w:val="00E15523"/>
    <w:rsid w:val="00E15896"/>
    <w:rsid w:val="00E15BB1"/>
    <w:rsid w:val="00E16382"/>
    <w:rsid w:val="00E1699C"/>
    <w:rsid w:val="00E16E75"/>
    <w:rsid w:val="00E1714E"/>
    <w:rsid w:val="00E1746D"/>
    <w:rsid w:val="00E2012A"/>
    <w:rsid w:val="00E205A2"/>
    <w:rsid w:val="00E20BA4"/>
    <w:rsid w:val="00E2302A"/>
    <w:rsid w:val="00E23137"/>
    <w:rsid w:val="00E23980"/>
    <w:rsid w:val="00E241E9"/>
    <w:rsid w:val="00E24FDC"/>
    <w:rsid w:val="00E255F5"/>
    <w:rsid w:val="00E257C3"/>
    <w:rsid w:val="00E25CB3"/>
    <w:rsid w:val="00E25DA4"/>
    <w:rsid w:val="00E25DA7"/>
    <w:rsid w:val="00E26237"/>
    <w:rsid w:val="00E26CB8"/>
    <w:rsid w:val="00E26D16"/>
    <w:rsid w:val="00E26D41"/>
    <w:rsid w:val="00E26FCF"/>
    <w:rsid w:val="00E27165"/>
    <w:rsid w:val="00E275D9"/>
    <w:rsid w:val="00E27988"/>
    <w:rsid w:val="00E3044A"/>
    <w:rsid w:val="00E30E49"/>
    <w:rsid w:val="00E3174A"/>
    <w:rsid w:val="00E31A4A"/>
    <w:rsid w:val="00E3344A"/>
    <w:rsid w:val="00E33B29"/>
    <w:rsid w:val="00E33B62"/>
    <w:rsid w:val="00E3403D"/>
    <w:rsid w:val="00E344BD"/>
    <w:rsid w:val="00E34E6C"/>
    <w:rsid w:val="00E353E2"/>
    <w:rsid w:val="00E35E65"/>
    <w:rsid w:val="00E361DE"/>
    <w:rsid w:val="00E36345"/>
    <w:rsid w:val="00E36719"/>
    <w:rsid w:val="00E368BD"/>
    <w:rsid w:val="00E36C86"/>
    <w:rsid w:val="00E36CEB"/>
    <w:rsid w:val="00E37387"/>
    <w:rsid w:val="00E37A28"/>
    <w:rsid w:val="00E40430"/>
    <w:rsid w:val="00E40690"/>
    <w:rsid w:val="00E40AEB"/>
    <w:rsid w:val="00E4143A"/>
    <w:rsid w:val="00E424C8"/>
    <w:rsid w:val="00E4251D"/>
    <w:rsid w:val="00E43D00"/>
    <w:rsid w:val="00E443B4"/>
    <w:rsid w:val="00E445E4"/>
    <w:rsid w:val="00E457CB"/>
    <w:rsid w:val="00E45D47"/>
    <w:rsid w:val="00E45DE4"/>
    <w:rsid w:val="00E45E63"/>
    <w:rsid w:val="00E462F0"/>
    <w:rsid w:val="00E46836"/>
    <w:rsid w:val="00E46BBC"/>
    <w:rsid w:val="00E46C95"/>
    <w:rsid w:val="00E4759C"/>
    <w:rsid w:val="00E50A7B"/>
    <w:rsid w:val="00E50B0B"/>
    <w:rsid w:val="00E510FE"/>
    <w:rsid w:val="00E516C7"/>
    <w:rsid w:val="00E51C5C"/>
    <w:rsid w:val="00E51E25"/>
    <w:rsid w:val="00E5205B"/>
    <w:rsid w:val="00E521AE"/>
    <w:rsid w:val="00E52212"/>
    <w:rsid w:val="00E529A3"/>
    <w:rsid w:val="00E535BB"/>
    <w:rsid w:val="00E538AD"/>
    <w:rsid w:val="00E53A21"/>
    <w:rsid w:val="00E53BCA"/>
    <w:rsid w:val="00E53DE2"/>
    <w:rsid w:val="00E53F02"/>
    <w:rsid w:val="00E54534"/>
    <w:rsid w:val="00E548C3"/>
    <w:rsid w:val="00E54C5A"/>
    <w:rsid w:val="00E54F27"/>
    <w:rsid w:val="00E5501D"/>
    <w:rsid w:val="00E55E1C"/>
    <w:rsid w:val="00E55FF1"/>
    <w:rsid w:val="00E56057"/>
    <w:rsid w:val="00E56090"/>
    <w:rsid w:val="00E5647F"/>
    <w:rsid w:val="00E565B9"/>
    <w:rsid w:val="00E56E7B"/>
    <w:rsid w:val="00E5733B"/>
    <w:rsid w:val="00E5756C"/>
    <w:rsid w:val="00E57811"/>
    <w:rsid w:val="00E601BE"/>
    <w:rsid w:val="00E60B5F"/>
    <w:rsid w:val="00E613AE"/>
    <w:rsid w:val="00E61429"/>
    <w:rsid w:val="00E61ABB"/>
    <w:rsid w:val="00E61FD7"/>
    <w:rsid w:val="00E623E6"/>
    <w:rsid w:val="00E630C0"/>
    <w:rsid w:val="00E63107"/>
    <w:rsid w:val="00E6312C"/>
    <w:rsid w:val="00E634E6"/>
    <w:rsid w:val="00E63DCE"/>
    <w:rsid w:val="00E6453E"/>
    <w:rsid w:val="00E64700"/>
    <w:rsid w:val="00E65074"/>
    <w:rsid w:val="00E6526E"/>
    <w:rsid w:val="00E65E70"/>
    <w:rsid w:val="00E66087"/>
    <w:rsid w:val="00E66A24"/>
    <w:rsid w:val="00E66C2D"/>
    <w:rsid w:val="00E66D79"/>
    <w:rsid w:val="00E66FF9"/>
    <w:rsid w:val="00E6706F"/>
    <w:rsid w:val="00E67856"/>
    <w:rsid w:val="00E679C8"/>
    <w:rsid w:val="00E70314"/>
    <w:rsid w:val="00E724E7"/>
    <w:rsid w:val="00E72B41"/>
    <w:rsid w:val="00E7347B"/>
    <w:rsid w:val="00E73792"/>
    <w:rsid w:val="00E73D03"/>
    <w:rsid w:val="00E74040"/>
    <w:rsid w:val="00E7471C"/>
    <w:rsid w:val="00E7498A"/>
    <w:rsid w:val="00E7514E"/>
    <w:rsid w:val="00E760A4"/>
    <w:rsid w:val="00E76537"/>
    <w:rsid w:val="00E77784"/>
    <w:rsid w:val="00E77AF5"/>
    <w:rsid w:val="00E823F9"/>
    <w:rsid w:val="00E82C1F"/>
    <w:rsid w:val="00E83671"/>
    <w:rsid w:val="00E83F7C"/>
    <w:rsid w:val="00E840EE"/>
    <w:rsid w:val="00E84A71"/>
    <w:rsid w:val="00E85170"/>
    <w:rsid w:val="00E86556"/>
    <w:rsid w:val="00E86D35"/>
    <w:rsid w:val="00E86DC2"/>
    <w:rsid w:val="00E86E32"/>
    <w:rsid w:val="00E86F2E"/>
    <w:rsid w:val="00E8732E"/>
    <w:rsid w:val="00E87E9C"/>
    <w:rsid w:val="00E9011F"/>
    <w:rsid w:val="00E906EB"/>
    <w:rsid w:val="00E90A66"/>
    <w:rsid w:val="00E919FB"/>
    <w:rsid w:val="00E91B82"/>
    <w:rsid w:val="00E9241E"/>
    <w:rsid w:val="00E92460"/>
    <w:rsid w:val="00E92E62"/>
    <w:rsid w:val="00E9366C"/>
    <w:rsid w:val="00E93804"/>
    <w:rsid w:val="00E9429D"/>
    <w:rsid w:val="00E95434"/>
    <w:rsid w:val="00E96467"/>
    <w:rsid w:val="00E9660E"/>
    <w:rsid w:val="00E966DA"/>
    <w:rsid w:val="00E96948"/>
    <w:rsid w:val="00E9737B"/>
    <w:rsid w:val="00E97A3F"/>
    <w:rsid w:val="00E97F0A"/>
    <w:rsid w:val="00EA0100"/>
    <w:rsid w:val="00EA0BCE"/>
    <w:rsid w:val="00EA2744"/>
    <w:rsid w:val="00EA37B9"/>
    <w:rsid w:val="00EA39F7"/>
    <w:rsid w:val="00EA3DC2"/>
    <w:rsid w:val="00EA434E"/>
    <w:rsid w:val="00EA4757"/>
    <w:rsid w:val="00EA4B9A"/>
    <w:rsid w:val="00EA560B"/>
    <w:rsid w:val="00EA5669"/>
    <w:rsid w:val="00EA5CC6"/>
    <w:rsid w:val="00EA63EF"/>
    <w:rsid w:val="00EB0A89"/>
    <w:rsid w:val="00EB12E2"/>
    <w:rsid w:val="00EB1573"/>
    <w:rsid w:val="00EB1910"/>
    <w:rsid w:val="00EB2D83"/>
    <w:rsid w:val="00EB2E97"/>
    <w:rsid w:val="00EB3416"/>
    <w:rsid w:val="00EB48E9"/>
    <w:rsid w:val="00EB4AE1"/>
    <w:rsid w:val="00EB52F4"/>
    <w:rsid w:val="00EB5694"/>
    <w:rsid w:val="00EB5779"/>
    <w:rsid w:val="00EB5D15"/>
    <w:rsid w:val="00EB5D2F"/>
    <w:rsid w:val="00EB67F1"/>
    <w:rsid w:val="00EB72CD"/>
    <w:rsid w:val="00EB749A"/>
    <w:rsid w:val="00EB76B6"/>
    <w:rsid w:val="00EB7D8A"/>
    <w:rsid w:val="00EC05E2"/>
    <w:rsid w:val="00EC08AC"/>
    <w:rsid w:val="00EC0B18"/>
    <w:rsid w:val="00EC0E84"/>
    <w:rsid w:val="00EC16E2"/>
    <w:rsid w:val="00EC1CE7"/>
    <w:rsid w:val="00EC26F1"/>
    <w:rsid w:val="00EC3B9A"/>
    <w:rsid w:val="00EC3C94"/>
    <w:rsid w:val="00EC44DF"/>
    <w:rsid w:val="00EC4FB9"/>
    <w:rsid w:val="00EC5393"/>
    <w:rsid w:val="00EC5741"/>
    <w:rsid w:val="00EC5DA3"/>
    <w:rsid w:val="00EC6014"/>
    <w:rsid w:val="00EC6283"/>
    <w:rsid w:val="00EC6656"/>
    <w:rsid w:val="00EC6B3E"/>
    <w:rsid w:val="00EC73DE"/>
    <w:rsid w:val="00EC7637"/>
    <w:rsid w:val="00EC7CF2"/>
    <w:rsid w:val="00ED046C"/>
    <w:rsid w:val="00ED053A"/>
    <w:rsid w:val="00ED1220"/>
    <w:rsid w:val="00ED15DF"/>
    <w:rsid w:val="00ED1B4C"/>
    <w:rsid w:val="00ED1F03"/>
    <w:rsid w:val="00ED2932"/>
    <w:rsid w:val="00ED2D27"/>
    <w:rsid w:val="00ED3347"/>
    <w:rsid w:val="00ED3441"/>
    <w:rsid w:val="00ED3860"/>
    <w:rsid w:val="00ED3954"/>
    <w:rsid w:val="00ED43A2"/>
    <w:rsid w:val="00ED4967"/>
    <w:rsid w:val="00ED5140"/>
    <w:rsid w:val="00ED538C"/>
    <w:rsid w:val="00ED5771"/>
    <w:rsid w:val="00ED587F"/>
    <w:rsid w:val="00ED5964"/>
    <w:rsid w:val="00ED5F29"/>
    <w:rsid w:val="00ED6147"/>
    <w:rsid w:val="00ED623F"/>
    <w:rsid w:val="00ED63A5"/>
    <w:rsid w:val="00ED69BA"/>
    <w:rsid w:val="00ED6D1A"/>
    <w:rsid w:val="00ED72E9"/>
    <w:rsid w:val="00ED732E"/>
    <w:rsid w:val="00ED77F0"/>
    <w:rsid w:val="00ED7C60"/>
    <w:rsid w:val="00ED7FBC"/>
    <w:rsid w:val="00EE0253"/>
    <w:rsid w:val="00EE0297"/>
    <w:rsid w:val="00EE1258"/>
    <w:rsid w:val="00EE13DA"/>
    <w:rsid w:val="00EE1668"/>
    <w:rsid w:val="00EE1EDB"/>
    <w:rsid w:val="00EE24E2"/>
    <w:rsid w:val="00EE366D"/>
    <w:rsid w:val="00EE4CDF"/>
    <w:rsid w:val="00EE5454"/>
    <w:rsid w:val="00EE59B5"/>
    <w:rsid w:val="00EE5FB7"/>
    <w:rsid w:val="00EE65C4"/>
    <w:rsid w:val="00EE6783"/>
    <w:rsid w:val="00EE7B54"/>
    <w:rsid w:val="00EE7C47"/>
    <w:rsid w:val="00EE7C88"/>
    <w:rsid w:val="00EE7C8B"/>
    <w:rsid w:val="00EF0209"/>
    <w:rsid w:val="00EF05C0"/>
    <w:rsid w:val="00EF0EA4"/>
    <w:rsid w:val="00EF1E97"/>
    <w:rsid w:val="00EF2436"/>
    <w:rsid w:val="00EF2547"/>
    <w:rsid w:val="00EF296B"/>
    <w:rsid w:val="00EF2B2B"/>
    <w:rsid w:val="00EF2E1C"/>
    <w:rsid w:val="00EF2FD6"/>
    <w:rsid w:val="00EF326A"/>
    <w:rsid w:val="00EF3ECF"/>
    <w:rsid w:val="00EF427A"/>
    <w:rsid w:val="00EF45DF"/>
    <w:rsid w:val="00EF477D"/>
    <w:rsid w:val="00EF4952"/>
    <w:rsid w:val="00EF498F"/>
    <w:rsid w:val="00EF4A42"/>
    <w:rsid w:val="00EF510C"/>
    <w:rsid w:val="00EF55C4"/>
    <w:rsid w:val="00EF57BC"/>
    <w:rsid w:val="00EF6784"/>
    <w:rsid w:val="00EF688A"/>
    <w:rsid w:val="00EF6A03"/>
    <w:rsid w:val="00EF6DC2"/>
    <w:rsid w:val="00EF7506"/>
    <w:rsid w:val="00EF7BF4"/>
    <w:rsid w:val="00F0030F"/>
    <w:rsid w:val="00F00674"/>
    <w:rsid w:val="00F012C6"/>
    <w:rsid w:val="00F01657"/>
    <w:rsid w:val="00F01E67"/>
    <w:rsid w:val="00F02744"/>
    <w:rsid w:val="00F02BFD"/>
    <w:rsid w:val="00F02D25"/>
    <w:rsid w:val="00F03C3D"/>
    <w:rsid w:val="00F0435D"/>
    <w:rsid w:val="00F04580"/>
    <w:rsid w:val="00F04ECA"/>
    <w:rsid w:val="00F04F8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A42"/>
    <w:rsid w:val="00F13E62"/>
    <w:rsid w:val="00F148B7"/>
    <w:rsid w:val="00F14EA9"/>
    <w:rsid w:val="00F15505"/>
    <w:rsid w:val="00F15BFF"/>
    <w:rsid w:val="00F16E4F"/>
    <w:rsid w:val="00F17244"/>
    <w:rsid w:val="00F2134C"/>
    <w:rsid w:val="00F213A0"/>
    <w:rsid w:val="00F21D54"/>
    <w:rsid w:val="00F21EF4"/>
    <w:rsid w:val="00F23113"/>
    <w:rsid w:val="00F23255"/>
    <w:rsid w:val="00F23393"/>
    <w:rsid w:val="00F23759"/>
    <w:rsid w:val="00F24644"/>
    <w:rsid w:val="00F256F3"/>
    <w:rsid w:val="00F25947"/>
    <w:rsid w:val="00F262D6"/>
    <w:rsid w:val="00F26F33"/>
    <w:rsid w:val="00F2748A"/>
    <w:rsid w:val="00F27A2B"/>
    <w:rsid w:val="00F300A8"/>
    <w:rsid w:val="00F302C6"/>
    <w:rsid w:val="00F303C6"/>
    <w:rsid w:val="00F30400"/>
    <w:rsid w:val="00F3079E"/>
    <w:rsid w:val="00F33968"/>
    <w:rsid w:val="00F3399B"/>
    <w:rsid w:val="00F33F4B"/>
    <w:rsid w:val="00F34035"/>
    <w:rsid w:val="00F341F9"/>
    <w:rsid w:val="00F346ED"/>
    <w:rsid w:val="00F34945"/>
    <w:rsid w:val="00F34DB6"/>
    <w:rsid w:val="00F34E1E"/>
    <w:rsid w:val="00F3570C"/>
    <w:rsid w:val="00F363A4"/>
    <w:rsid w:val="00F36765"/>
    <w:rsid w:val="00F368FF"/>
    <w:rsid w:val="00F36CF5"/>
    <w:rsid w:val="00F37068"/>
    <w:rsid w:val="00F37F3F"/>
    <w:rsid w:val="00F40992"/>
    <w:rsid w:val="00F40F72"/>
    <w:rsid w:val="00F40FD8"/>
    <w:rsid w:val="00F41596"/>
    <w:rsid w:val="00F41D8B"/>
    <w:rsid w:val="00F42121"/>
    <w:rsid w:val="00F424B3"/>
    <w:rsid w:val="00F428B1"/>
    <w:rsid w:val="00F428B4"/>
    <w:rsid w:val="00F4345D"/>
    <w:rsid w:val="00F4387B"/>
    <w:rsid w:val="00F448EE"/>
    <w:rsid w:val="00F451D4"/>
    <w:rsid w:val="00F45921"/>
    <w:rsid w:val="00F45B91"/>
    <w:rsid w:val="00F46639"/>
    <w:rsid w:val="00F46DBB"/>
    <w:rsid w:val="00F476FD"/>
    <w:rsid w:val="00F47716"/>
    <w:rsid w:val="00F50183"/>
    <w:rsid w:val="00F50D92"/>
    <w:rsid w:val="00F51765"/>
    <w:rsid w:val="00F51A51"/>
    <w:rsid w:val="00F51A7F"/>
    <w:rsid w:val="00F51BC6"/>
    <w:rsid w:val="00F51CB4"/>
    <w:rsid w:val="00F52324"/>
    <w:rsid w:val="00F52950"/>
    <w:rsid w:val="00F52C9D"/>
    <w:rsid w:val="00F533F1"/>
    <w:rsid w:val="00F53F53"/>
    <w:rsid w:val="00F55679"/>
    <w:rsid w:val="00F561E3"/>
    <w:rsid w:val="00F565E6"/>
    <w:rsid w:val="00F56AFA"/>
    <w:rsid w:val="00F575E2"/>
    <w:rsid w:val="00F579FF"/>
    <w:rsid w:val="00F600E0"/>
    <w:rsid w:val="00F605EC"/>
    <w:rsid w:val="00F60F60"/>
    <w:rsid w:val="00F612CE"/>
    <w:rsid w:val="00F6133C"/>
    <w:rsid w:val="00F623D7"/>
    <w:rsid w:val="00F624A7"/>
    <w:rsid w:val="00F62AB6"/>
    <w:rsid w:val="00F65A3C"/>
    <w:rsid w:val="00F65CF6"/>
    <w:rsid w:val="00F65D0E"/>
    <w:rsid w:val="00F66282"/>
    <w:rsid w:val="00F6639E"/>
    <w:rsid w:val="00F670E9"/>
    <w:rsid w:val="00F674BB"/>
    <w:rsid w:val="00F67AF1"/>
    <w:rsid w:val="00F67D8B"/>
    <w:rsid w:val="00F701C5"/>
    <w:rsid w:val="00F70961"/>
    <w:rsid w:val="00F70A8F"/>
    <w:rsid w:val="00F70E36"/>
    <w:rsid w:val="00F71397"/>
    <w:rsid w:val="00F72389"/>
    <w:rsid w:val="00F72516"/>
    <w:rsid w:val="00F72FB4"/>
    <w:rsid w:val="00F735E5"/>
    <w:rsid w:val="00F73E80"/>
    <w:rsid w:val="00F7469C"/>
    <w:rsid w:val="00F7492E"/>
    <w:rsid w:val="00F74945"/>
    <w:rsid w:val="00F749A3"/>
    <w:rsid w:val="00F74AE8"/>
    <w:rsid w:val="00F76B5A"/>
    <w:rsid w:val="00F76C11"/>
    <w:rsid w:val="00F77021"/>
    <w:rsid w:val="00F77E61"/>
    <w:rsid w:val="00F77E9A"/>
    <w:rsid w:val="00F80221"/>
    <w:rsid w:val="00F80632"/>
    <w:rsid w:val="00F80C81"/>
    <w:rsid w:val="00F81265"/>
    <w:rsid w:val="00F815AC"/>
    <w:rsid w:val="00F8187D"/>
    <w:rsid w:val="00F83B33"/>
    <w:rsid w:val="00F83CAE"/>
    <w:rsid w:val="00F840BF"/>
    <w:rsid w:val="00F8427A"/>
    <w:rsid w:val="00F843DF"/>
    <w:rsid w:val="00F84899"/>
    <w:rsid w:val="00F85585"/>
    <w:rsid w:val="00F859F0"/>
    <w:rsid w:val="00F85CC1"/>
    <w:rsid w:val="00F86B5D"/>
    <w:rsid w:val="00F875E1"/>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4699"/>
    <w:rsid w:val="00F952E4"/>
    <w:rsid w:val="00F9537B"/>
    <w:rsid w:val="00F955B6"/>
    <w:rsid w:val="00F963FC"/>
    <w:rsid w:val="00F97CF1"/>
    <w:rsid w:val="00FA015F"/>
    <w:rsid w:val="00FA0160"/>
    <w:rsid w:val="00FA0FAC"/>
    <w:rsid w:val="00FA10F7"/>
    <w:rsid w:val="00FA1DA2"/>
    <w:rsid w:val="00FA3414"/>
    <w:rsid w:val="00FA347A"/>
    <w:rsid w:val="00FA3CDE"/>
    <w:rsid w:val="00FA40FC"/>
    <w:rsid w:val="00FA49B7"/>
    <w:rsid w:val="00FA5043"/>
    <w:rsid w:val="00FA6F8B"/>
    <w:rsid w:val="00FA727C"/>
    <w:rsid w:val="00FA7A30"/>
    <w:rsid w:val="00FB033F"/>
    <w:rsid w:val="00FB12E3"/>
    <w:rsid w:val="00FB1570"/>
    <w:rsid w:val="00FB193B"/>
    <w:rsid w:val="00FB1FBC"/>
    <w:rsid w:val="00FB27B7"/>
    <w:rsid w:val="00FB35E3"/>
    <w:rsid w:val="00FB4C98"/>
    <w:rsid w:val="00FB4CE3"/>
    <w:rsid w:val="00FB583C"/>
    <w:rsid w:val="00FB630E"/>
    <w:rsid w:val="00FB6738"/>
    <w:rsid w:val="00FB691B"/>
    <w:rsid w:val="00FB6BE6"/>
    <w:rsid w:val="00FB731C"/>
    <w:rsid w:val="00FB7628"/>
    <w:rsid w:val="00FC05A0"/>
    <w:rsid w:val="00FC0811"/>
    <w:rsid w:val="00FC1196"/>
    <w:rsid w:val="00FC15EB"/>
    <w:rsid w:val="00FC162C"/>
    <w:rsid w:val="00FC18DC"/>
    <w:rsid w:val="00FC1ABF"/>
    <w:rsid w:val="00FC1F6A"/>
    <w:rsid w:val="00FC2477"/>
    <w:rsid w:val="00FC2AC4"/>
    <w:rsid w:val="00FC2CAC"/>
    <w:rsid w:val="00FC2F73"/>
    <w:rsid w:val="00FC3A9B"/>
    <w:rsid w:val="00FC3AE1"/>
    <w:rsid w:val="00FC3DFC"/>
    <w:rsid w:val="00FC3E45"/>
    <w:rsid w:val="00FC3EF4"/>
    <w:rsid w:val="00FC431B"/>
    <w:rsid w:val="00FC434C"/>
    <w:rsid w:val="00FC472C"/>
    <w:rsid w:val="00FC4FDF"/>
    <w:rsid w:val="00FC5CF4"/>
    <w:rsid w:val="00FC5D64"/>
    <w:rsid w:val="00FC6A39"/>
    <w:rsid w:val="00FC76A9"/>
    <w:rsid w:val="00FC79AB"/>
    <w:rsid w:val="00FC7BE7"/>
    <w:rsid w:val="00FC7D25"/>
    <w:rsid w:val="00FC7DAC"/>
    <w:rsid w:val="00FD005D"/>
    <w:rsid w:val="00FD023A"/>
    <w:rsid w:val="00FD04AE"/>
    <w:rsid w:val="00FD0DFA"/>
    <w:rsid w:val="00FD128D"/>
    <w:rsid w:val="00FD140A"/>
    <w:rsid w:val="00FD1890"/>
    <w:rsid w:val="00FD1994"/>
    <w:rsid w:val="00FD3275"/>
    <w:rsid w:val="00FD3508"/>
    <w:rsid w:val="00FD3731"/>
    <w:rsid w:val="00FD393C"/>
    <w:rsid w:val="00FD3AFF"/>
    <w:rsid w:val="00FD43BB"/>
    <w:rsid w:val="00FD48CD"/>
    <w:rsid w:val="00FD4AF3"/>
    <w:rsid w:val="00FD798D"/>
    <w:rsid w:val="00FE0B4F"/>
    <w:rsid w:val="00FE141E"/>
    <w:rsid w:val="00FE144E"/>
    <w:rsid w:val="00FE1768"/>
    <w:rsid w:val="00FE181B"/>
    <w:rsid w:val="00FE24F4"/>
    <w:rsid w:val="00FE252F"/>
    <w:rsid w:val="00FE2560"/>
    <w:rsid w:val="00FE35D0"/>
    <w:rsid w:val="00FE42ED"/>
    <w:rsid w:val="00FE4E06"/>
    <w:rsid w:val="00FE55A7"/>
    <w:rsid w:val="00FE5C5A"/>
    <w:rsid w:val="00FE6432"/>
    <w:rsid w:val="00FE72A0"/>
    <w:rsid w:val="00FE76F9"/>
    <w:rsid w:val="00FF0050"/>
    <w:rsid w:val="00FF045F"/>
    <w:rsid w:val="00FF12AD"/>
    <w:rsid w:val="00FF13D4"/>
    <w:rsid w:val="00FF2053"/>
    <w:rsid w:val="00FF228B"/>
    <w:rsid w:val="00FF26B3"/>
    <w:rsid w:val="00FF3B37"/>
    <w:rsid w:val="00FF3CC7"/>
    <w:rsid w:val="00FF3D6F"/>
    <w:rsid w:val="00FF4489"/>
    <w:rsid w:val="00FF4BD8"/>
    <w:rsid w:val="00FF4D11"/>
    <w:rsid w:val="00FF5214"/>
    <w:rsid w:val="00FF596E"/>
    <w:rsid w:val="00FF5B59"/>
    <w:rsid w:val="00FF5BFD"/>
    <w:rsid w:val="00FF6095"/>
    <w:rsid w:val="00FF62FE"/>
    <w:rsid w:val="00FF6553"/>
    <w:rsid w:val="00FF7086"/>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6F0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paragraph" w:customStyle="1" w:styleId="Cuadrculamedia1-nfasis21">
    <w:name w:val="Cuadrícula media 1 - Énfasis 21"/>
    <w:basedOn w:val="Normal"/>
    <w:uiPriority w:val="34"/>
    <w:qFormat/>
    <w:rsid w:val="003F155A"/>
    <w:pPr>
      <w:spacing w:after="160" w:line="259" w:lineRule="auto"/>
      <w:ind w:left="720"/>
      <w:contextualSpacing/>
    </w:pPr>
    <w:rPr>
      <w:rFonts w:ascii="Calibri" w:eastAsia="Calibri" w:hAnsi="Calibri"/>
      <w:sz w:val="22"/>
      <w:szCs w:val="22"/>
      <w:lang w:eastAsia="en-US"/>
    </w:rPr>
  </w:style>
  <w:style w:type="character" w:styleId="Refdenotaalfinal">
    <w:name w:val="endnote reference"/>
    <w:basedOn w:val="Fuentedeprrafopredeter"/>
    <w:uiPriority w:val="99"/>
    <w:semiHidden/>
    <w:unhideWhenUsed/>
    <w:rsid w:val="00B441D0"/>
    <w:rPr>
      <w:vertAlign w:val="superscript"/>
    </w:rPr>
  </w:style>
  <w:style w:type="paragraph" w:styleId="Revisin">
    <w:name w:val="Revision"/>
    <w:hidden/>
    <w:uiPriority w:val="99"/>
    <w:semiHidden/>
    <w:rsid w:val="004524FA"/>
    <w:pPr>
      <w:spacing w:after="0" w:line="240" w:lineRule="auto"/>
    </w:pPr>
    <w:rPr>
      <w:rFonts w:ascii="Times New Roman" w:eastAsia="Times New Roman" w:hAnsi="Times New Roman" w:cs="Times New Roman"/>
      <w:sz w:val="24"/>
      <w:szCs w:val="24"/>
      <w:lang w:eastAsia="es-ES_tradnl"/>
    </w:rPr>
  </w:style>
  <w:style w:type="character" w:styleId="Hipervnculovisitado">
    <w:name w:val="FollowedHyperlink"/>
    <w:basedOn w:val="Fuentedeprrafopredeter"/>
    <w:uiPriority w:val="99"/>
    <w:semiHidden/>
    <w:unhideWhenUsed/>
    <w:rsid w:val="00457258"/>
    <w:rPr>
      <w:color w:val="F2F2F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6393276">
      <w:bodyDiv w:val="1"/>
      <w:marLeft w:val="0"/>
      <w:marRight w:val="0"/>
      <w:marTop w:val="0"/>
      <w:marBottom w:val="0"/>
      <w:divBdr>
        <w:top w:val="none" w:sz="0" w:space="0" w:color="auto"/>
        <w:left w:val="none" w:sz="0" w:space="0" w:color="auto"/>
        <w:bottom w:val="none" w:sz="0" w:space="0" w:color="auto"/>
        <w:right w:val="none" w:sz="0" w:space="0" w:color="auto"/>
      </w:divBdr>
      <w:divsChild>
        <w:div w:id="1934698579">
          <w:marLeft w:val="0"/>
          <w:marRight w:val="0"/>
          <w:marTop w:val="0"/>
          <w:marBottom w:val="0"/>
          <w:divBdr>
            <w:top w:val="none" w:sz="0" w:space="0" w:color="auto"/>
            <w:left w:val="none" w:sz="0" w:space="0" w:color="auto"/>
            <w:bottom w:val="none" w:sz="0" w:space="0" w:color="auto"/>
            <w:right w:val="none" w:sz="0" w:space="0" w:color="auto"/>
          </w:divBdr>
          <w:divsChild>
            <w:div w:id="349989662">
              <w:marLeft w:val="0"/>
              <w:marRight w:val="0"/>
              <w:marTop w:val="0"/>
              <w:marBottom w:val="0"/>
              <w:divBdr>
                <w:top w:val="none" w:sz="0" w:space="0" w:color="auto"/>
                <w:left w:val="none" w:sz="0" w:space="0" w:color="auto"/>
                <w:bottom w:val="none" w:sz="0" w:space="0" w:color="auto"/>
                <w:right w:val="none" w:sz="0" w:space="0" w:color="auto"/>
              </w:divBdr>
              <w:divsChild>
                <w:div w:id="215820258">
                  <w:marLeft w:val="0"/>
                  <w:marRight w:val="0"/>
                  <w:marTop w:val="0"/>
                  <w:marBottom w:val="0"/>
                  <w:divBdr>
                    <w:top w:val="none" w:sz="0" w:space="0" w:color="auto"/>
                    <w:left w:val="none" w:sz="0" w:space="0" w:color="auto"/>
                    <w:bottom w:val="none" w:sz="0" w:space="0" w:color="auto"/>
                    <w:right w:val="none" w:sz="0" w:space="0" w:color="auto"/>
                  </w:divBdr>
                  <w:divsChild>
                    <w:div w:id="103461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5714384">
      <w:bodyDiv w:val="1"/>
      <w:marLeft w:val="0"/>
      <w:marRight w:val="0"/>
      <w:marTop w:val="0"/>
      <w:marBottom w:val="0"/>
      <w:divBdr>
        <w:top w:val="none" w:sz="0" w:space="0" w:color="auto"/>
        <w:left w:val="none" w:sz="0" w:space="0" w:color="auto"/>
        <w:bottom w:val="none" w:sz="0" w:space="0" w:color="auto"/>
        <w:right w:val="none" w:sz="0" w:space="0" w:color="auto"/>
      </w:divBdr>
    </w:div>
    <w:div w:id="10750456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812000">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3465072">
      <w:bodyDiv w:val="1"/>
      <w:marLeft w:val="0"/>
      <w:marRight w:val="0"/>
      <w:marTop w:val="0"/>
      <w:marBottom w:val="0"/>
      <w:divBdr>
        <w:top w:val="none" w:sz="0" w:space="0" w:color="auto"/>
        <w:left w:val="none" w:sz="0" w:space="0" w:color="auto"/>
        <w:bottom w:val="none" w:sz="0" w:space="0" w:color="auto"/>
        <w:right w:val="none" w:sz="0" w:space="0" w:color="auto"/>
      </w:divBdr>
      <w:divsChild>
        <w:div w:id="2039310680">
          <w:marLeft w:val="0"/>
          <w:marRight w:val="0"/>
          <w:marTop w:val="0"/>
          <w:marBottom w:val="0"/>
          <w:divBdr>
            <w:top w:val="none" w:sz="0" w:space="0" w:color="auto"/>
            <w:left w:val="none" w:sz="0" w:space="0" w:color="auto"/>
            <w:bottom w:val="none" w:sz="0" w:space="0" w:color="auto"/>
            <w:right w:val="none" w:sz="0" w:space="0" w:color="auto"/>
          </w:divBdr>
          <w:divsChild>
            <w:div w:id="1116144250">
              <w:marLeft w:val="0"/>
              <w:marRight w:val="0"/>
              <w:marTop w:val="0"/>
              <w:marBottom w:val="0"/>
              <w:divBdr>
                <w:top w:val="none" w:sz="0" w:space="0" w:color="auto"/>
                <w:left w:val="none" w:sz="0" w:space="0" w:color="auto"/>
                <w:bottom w:val="none" w:sz="0" w:space="0" w:color="auto"/>
                <w:right w:val="none" w:sz="0" w:space="0" w:color="auto"/>
              </w:divBdr>
              <w:divsChild>
                <w:div w:id="1445225717">
                  <w:marLeft w:val="0"/>
                  <w:marRight w:val="0"/>
                  <w:marTop w:val="0"/>
                  <w:marBottom w:val="0"/>
                  <w:divBdr>
                    <w:top w:val="none" w:sz="0" w:space="0" w:color="auto"/>
                    <w:left w:val="none" w:sz="0" w:space="0" w:color="auto"/>
                    <w:bottom w:val="none" w:sz="0" w:space="0" w:color="auto"/>
                    <w:right w:val="none" w:sz="0" w:space="0" w:color="auto"/>
                  </w:divBdr>
                  <w:divsChild>
                    <w:div w:id="150963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3385160">
      <w:bodyDiv w:val="1"/>
      <w:marLeft w:val="0"/>
      <w:marRight w:val="0"/>
      <w:marTop w:val="0"/>
      <w:marBottom w:val="0"/>
      <w:divBdr>
        <w:top w:val="none" w:sz="0" w:space="0" w:color="auto"/>
        <w:left w:val="none" w:sz="0" w:space="0" w:color="auto"/>
        <w:bottom w:val="none" w:sz="0" w:space="0" w:color="auto"/>
        <w:right w:val="none" w:sz="0" w:space="0" w:color="auto"/>
      </w:divBdr>
      <w:divsChild>
        <w:div w:id="350298098">
          <w:marLeft w:val="0"/>
          <w:marRight w:val="0"/>
          <w:marTop w:val="0"/>
          <w:marBottom w:val="0"/>
          <w:divBdr>
            <w:top w:val="none" w:sz="0" w:space="0" w:color="auto"/>
            <w:left w:val="none" w:sz="0" w:space="0" w:color="auto"/>
            <w:bottom w:val="none" w:sz="0" w:space="0" w:color="auto"/>
            <w:right w:val="none" w:sz="0" w:space="0" w:color="auto"/>
          </w:divBdr>
          <w:divsChild>
            <w:div w:id="191496306">
              <w:marLeft w:val="0"/>
              <w:marRight w:val="0"/>
              <w:marTop w:val="0"/>
              <w:marBottom w:val="0"/>
              <w:divBdr>
                <w:top w:val="none" w:sz="0" w:space="0" w:color="auto"/>
                <w:left w:val="none" w:sz="0" w:space="0" w:color="auto"/>
                <w:bottom w:val="none" w:sz="0" w:space="0" w:color="auto"/>
                <w:right w:val="none" w:sz="0" w:space="0" w:color="auto"/>
              </w:divBdr>
              <w:divsChild>
                <w:div w:id="481655950">
                  <w:marLeft w:val="0"/>
                  <w:marRight w:val="0"/>
                  <w:marTop w:val="0"/>
                  <w:marBottom w:val="0"/>
                  <w:divBdr>
                    <w:top w:val="none" w:sz="0" w:space="0" w:color="auto"/>
                    <w:left w:val="none" w:sz="0" w:space="0" w:color="auto"/>
                    <w:bottom w:val="none" w:sz="0" w:space="0" w:color="auto"/>
                    <w:right w:val="none" w:sz="0" w:space="0" w:color="auto"/>
                  </w:divBdr>
                  <w:divsChild>
                    <w:div w:id="87878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7778021">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79550618">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4283268">
      <w:bodyDiv w:val="1"/>
      <w:marLeft w:val="0"/>
      <w:marRight w:val="0"/>
      <w:marTop w:val="0"/>
      <w:marBottom w:val="0"/>
      <w:divBdr>
        <w:top w:val="none" w:sz="0" w:space="0" w:color="auto"/>
        <w:left w:val="none" w:sz="0" w:space="0" w:color="auto"/>
        <w:bottom w:val="none" w:sz="0" w:space="0" w:color="auto"/>
        <w:right w:val="none" w:sz="0" w:space="0" w:color="auto"/>
      </w:divBdr>
    </w:div>
    <w:div w:id="42194841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846707">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2896448">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7835514">
      <w:bodyDiv w:val="1"/>
      <w:marLeft w:val="0"/>
      <w:marRight w:val="0"/>
      <w:marTop w:val="0"/>
      <w:marBottom w:val="0"/>
      <w:divBdr>
        <w:top w:val="none" w:sz="0" w:space="0" w:color="auto"/>
        <w:left w:val="none" w:sz="0" w:space="0" w:color="auto"/>
        <w:bottom w:val="none" w:sz="0" w:space="0" w:color="auto"/>
        <w:right w:val="none" w:sz="0" w:space="0" w:color="auto"/>
      </w:divBdr>
      <w:divsChild>
        <w:div w:id="1343358740">
          <w:marLeft w:val="0"/>
          <w:marRight w:val="0"/>
          <w:marTop w:val="0"/>
          <w:marBottom w:val="0"/>
          <w:divBdr>
            <w:top w:val="none" w:sz="0" w:space="0" w:color="auto"/>
            <w:left w:val="none" w:sz="0" w:space="0" w:color="auto"/>
            <w:bottom w:val="none" w:sz="0" w:space="0" w:color="auto"/>
            <w:right w:val="none" w:sz="0" w:space="0" w:color="auto"/>
          </w:divBdr>
          <w:divsChild>
            <w:div w:id="1209103500">
              <w:marLeft w:val="0"/>
              <w:marRight w:val="0"/>
              <w:marTop w:val="0"/>
              <w:marBottom w:val="0"/>
              <w:divBdr>
                <w:top w:val="none" w:sz="0" w:space="0" w:color="auto"/>
                <w:left w:val="none" w:sz="0" w:space="0" w:color="auto"/>
                <w:bottom w:val="none" w:sz="0" w:space="0" w:color="auto"/>
                <w:right w:val="none" w:sz="0" w:space="0" w:color="auto"/>
              </w:divBdr>
              <w:divsChild>
                <w:div w:id="179197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7418480">
      <w:bodyDiv w:val="1"/>
      <w:marLeft w:val="0"/>
      <w:marRight w:val="0"/>
      <w:marTop w:val="0"/>
      <w:marBottom w:val="0"/>
      <w:divBdr>
        <w:top w:val="none" w:sz="0" w:space="0" w:color="auto"/>
        <w:left w:val="none" w:sz="0" w:space="0" w:color="auto"/>
        <w:bottom w:val="none" w:sz="0" w:space="0" w:color="auto"/>
        <w:right w:val="none" w:sz="0" w:space="0" w:color="auto"/>
      </w:divBdr>
      <w:divsChild>
        <w:div w:id="133331227">
          <w:marLeft w:val="0"/>
          <w:marRight w:val="0"/>
          <w:marTop w:val="0"/>
          <w:marBottom w:val="0"/>
          <w:divBdr>
            <w:top w:val="none" w:sz="0" w:space="0" w:color="auto"/>
            <w:left w:val="none" w:sz="0" w:space="0" w:color="auto"/>
            <w:bottom w:val="none" w:sz="0" w:space="0" w:color="auto"/>
            <w:right w:val="none" w:sz="0" w:space="0" w:color="auto"/>
          </w:divBdr>
          <w:divsChild>
            <w:div w:id="1117915273">
              <w:marLeft w:val="0"/>
              <w:marRight w:val="0"/>
              <w:marTop w:val="0"/>
              <w:marBottom w:val="0"/>
              <w:divBdr>
                <w:top w:val="none" w:sz="0" w:space="0" w:color="auto"/>
                <w:left w:val="none" w:sz="0" w:space="0" w:color="auto"/>
                <w:bottom w:val="none" w:sz="0" w:space="0" w:color="auto"/>
                <w:right w:val="none" w:sz="0" w:space="0" w:color="auto"/>
              </w:divBdr>
              <w:divsChild>
                <w:div w:id="107743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8147473">
      <w:bodyDiv w:val="1"/>
      <w:marLeft w:val="0"/>
      <w:marRight w:val="0"/>
      <w:marTop w:val="0"/>
      <w:marBottom w:val="0"/>
      <w:divBdr>
        <w:top w:val="none" w:sz="0" w:space="0" w:color="auto"/>
        <w:left w:val="none" w:sz="0" w:space="0" w:color="auto"/>
        <w:bottom w:val="none" w:sz="0" w:space="0" w:color="auto"/>
        <w:right w:val="none" w:sz="0" w:space="0" w:color="auto"/>
      </w:divBdr>
      <w:divsChild>
        <w:div w:id="1482426068">
          <w:marLeft w:val="0"/>
          <w:marRight w:val="0"/>
          <w:marTop w:val="0"/>
          <w:marBottom w:val="0"/>
          <w:divBdr>
            <w:top w:val="none" w:sz="0" w:space="0" w:color="auto"/>
            <w:left w:val="none" w:sz="0" w:space="0" w:color="auto"/>
            <w:bottom w:val="none" w:sz="0" w:space="0" w:color="auto"/>
            <w:right w:val="none" w:sz="0" w:space="0" w:color="auto"/>
          </w:divBdr>
        </w:div>
        <w:div w:id="1786777220">
          <w:marLeft w:val="0"/>
          <w:marRight w:val="0"/>
          <w:marTop w:val="0"/>
          <w:marBottom w:val="0"/>
          <w:divBdr>
            <w:top w:val="none" w:sz="0" w:space="0" w:color="auto"/>
            <w:left w:val="none" w:sz="0" w:space="0" w:color="auto"/>
            <w:bottom w:val="none" w:sz="0" w:space="0" w:color="auto"/>
            <w:right w:val="none" w:sz="0" w:space="0" w:color="auto"/>
          </w:divBdr>
        </w:div>
        <w:div w:id="1973706903">
          <w:marLeft w:val="0"/>
          <w:marRight w:val="0"/>
          <w:marTop w:val="0"/>
          <w:marBottom w:val="0"/>
          <w:divBdr>
            <w:top w:val="none" w:sz="0" w:space="0" w:color="auto"/>
            <w:left w:val="none" w:sz="0" w:space="0" w:color="auto"/>
            <w:bottom w:val="none" w:sz="0" w:space="0" w:color="auto"/>
            <w:right w:val="none" w:sz="0" w:space="0" w:color="auto"/>
          </w:divBdr>
        </w:div>
        <w:div w:id="704401714">
          <w:marLeft w:val="0"/>
          <w:marRight w:val="0"/>
          <w:marTop w:val="0"/>
          <w:marBottom w:val="0"/>
          <w:divBdr>
            <w:top w:val="none" w:sz="0" w:space="0" w:color="auto"/>
            <w:left w:val="none" w:sz="0" w:space="0" w:color="auto"/>
            <w:bottom w:val="none" w:sz="0" w:space="0" w:color="auto"/>
            <w:right w:val="none" w:sz="0" w:space="0" w:color="auto"/>
          </w:divBdr>
        </w:div>
        <w:div w:id="113255144">
          <w:marLeft w:val="0"/>
          <w:marRight w:val="0"/>
          <w:marTop w:val="0"/>
          <w:marBottom w:val="0"/>
          <w:divBdr>
            <w:top w:val="none" w:sz="0" w:space="0" w:color="auto"/>
            <w:left w:val="none" w:sz="0" w:space="0" w:color="auto"/>
            <w:bottom w:val="none" w:sz="0" w:space="0" w:color="auto"/>
            <w:right w:val="none" w:sz="0" w:space="0" w:color="auto"/>
          </w:divBdr>
        </w:div>
      </w:divsChild>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8359637">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8767226">
      <w:bodyDiv w:val="1"/>
      <w:marLeft w:val="0"/>
      <w:marRight w:val="0"/>
      <w:marTop w:val="0"/>
      <w:marBottom w:val="0"/>
      <w:divBdr>
        <w:top w:val="none" w:sz="0" w:space="0" w:color="auto"/>
        <w:left w:val="none" w:sz="0" w:space="0" w:color="auto"/>
        <w:bottom w:val="none" w:sz="0" w:space="0" w:color="auto"/>
        <w:right w:val="none" w:sz="0" w:space="0" w:color="auto"/>
      </w:divBdr>
    </w:div>
    <w:div w:id="784075727">
      <w:bodyDiv w:val="1"/>
      <w:marLeft w:val="0"/>
      <w:marRight w:val="0"/>
      <w:marTop w:val="0"/>
      <w:marBottom w:val="0"/>
      <w:divBdr>
        <w:top w:val="none" w:sz="0" w:space="0" w:color="auto"/>
        <w:left w:val="none" w:sz="0" w:space="0" w:color="auto"/>
        <w:bottom w:val="none" w:sz="0" w:space="0" w:color="auto"/>
        <w:right w:val="none" w:sz="0" w:space="0" w:color="auto"/>
      </w:divBdr>
      <w:divsChild>
        <w:div w:id="1422146355">
          <w:marLeft w:val="0"/>
          <w:marRight w:val="0"/>
          <w:marTop w:val="0"/>
          <w:marBottom w:val="0"/>
          <w:divBdr>
            <w:top w:val="none" w:sz="0" w:space="0" w:color="auto"/>
            <w:left w:val="none" w:sz="0" w:space="0" w:color="auto"/>
            <w:bottom w:val="none" w:sz="0" w:space="0" w:color="auto"/>
            <w:right w:val="none" w:sz="0" w:space="0" w:color="auto"/>
          </w:divBdr>
          <w:divsChild>
            <w:div w:id="1420909987">
              <w:marLeft w:val="0"/>
              <w:marRight w:val="0"/>
              <w:marTop w:val="0"/>
              <w:marBottom w:val="0"/>
              <w:divBdr>
                <w:top w:val="none" w:sz="0" w:space="0" w:color="auto"/>
                <w:left w:val="none" w:sz="0" w:space="0" w:color="auto"/>
                <w:bottom w:val="none" w:sz="0" w:space="0" w:color="auto"/>
                <w:right w:val="none" w:sz="0" w:space="0" w:color="auto"/>
              </w:divBdr>
              <w:divsChild>
                <w:div w:id="5741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55534726">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543579">
      <w:bodyDiv w:val="1"/>
      <w:marLeft w:val="0"/>
      <w:marRight w:val="0"/>
      <w:marTop w:val="0"/>
      <w:marBottom w:val="0"/>
      <w:divBdr>
        <w:top w:val="none" w:sz="0" w:space="0" w:color="auto"/>
        <w:left w:val="none" w:sz="0" w:space="0" w:color="auto"/>
        <w:bottom w:val="none" w:sz="0" w:space="0" w:color="auto"/>
        <w:right w:val="none" w:sz="0" w:space="0" w:color="auto"/>
      </w:divBdr>
      <w:divsChild>
        <w:div w:id="1855731931">
          <w:marLeft w:val="0"/>
          <w:marRight w:val="0"/>
          <w:marTop w:val="0"/>
          <w:marBottom w:val="0"/>
          <w:divBdr>
            <w:top w:val="none" w:sz="0" w:space="0" w:color="auto"/>
            <w:left w:val="none" w:sz="0" w:space="0" w:color="auto"/>
            <w:bottom w:val="none" w:sz="0" w:space="0" w:color="auto"/>
            <w:right w:val="none" w:sz="0" w:space="0" w:color="auto"/>
          </w:divBdr>
          <w:divsChild>
            <w:div w:id="869297362">
              <w:marLeft w:val="0"/>
              <w:marRight w:val="0"/>
              <w:marTop w:val="0"/>
              <w:marBottom w:val="0"/>
              <w:divBdr>
                <w:top w:val="none" w:sz="0" w:space="0" w:color="auto"/>
                <w:left w:val="none" w:sz="0" w:space="0" w:color="auto"/>
                <w:bottom w:val="none" w:sz="0" w:space="0" w:color="auto"/>
                <w:right w:val="none" w:sz="0" w:space="0" w:color="auto"/>
              </w:divBdr>
              <w:divsChild>
                <w:div w:id="871502947">
                  <w:marLeft w:val="0"/>
                  <w:marRight w:val="0"/>
                  <w:marTop w:val="0"/>
                  <w:marBottom w:val="0"/>
                  <w:divBdr>
                    <w:top w:val="none" w:sz="0" w:space="0" w:color="auto"/>
                    <w:left w:val="none" w:sz="0" w:space="0" w:color="auto"/>
                    <w:bottom w:val="none" w:sz="0" w:space="0" w:color="auto"/>
                    <w:right w:val="none" w:sz="0" w:space="0" w:color="auto"/>
                  </w:divBdr>
                  <w:divsChild>
                    <w:div w:id="22349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4432504">
      <w:bodyDiv w:val="1"/>
      <w:marLeft w:val="0"/>
      <w:marRight w:val="0"/>
      <w:marTop w:val="0"/>
      <w:marBottom w:val="0"/>
      <w:divBdr>
        <w:top w:val="none" w:sz="0" w:space="0" w:color="auto"/>
        <w:left w:val="none" w:sz="0" w:space="0" w:color="auto"/>
        <w:bottom w:val="none" w:sz="0" w:space="0" w:color="auto"/>
        <w:right w:val="none" w:sz="0" w:space="0" w:color="auto"/>
      </w:divBdr>
    </w:div>
    <w:div w:id="1065647423">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5266405">
      <w:bodyDiv w:val="1"/>
      <w:marLeft w:val="0"/>
      <w:marRight w:val="0"/>
      <w:marTop w:val="0"/>
      <w:marBottom w:val="0"/>
      <w:divBdr>
        <w:top w:val="none" w:sz="0" w:space="0" w:color="auto"/>
        <w:left w:val="none" w:sz="0" w:space="0" w:color="auto"/>
        <w:bottom w:val="none" w:sz="0" w:space="0" w:color="auto"/>
        <w:right w:val="none" w:sz="0" w:space="0" w:color="auto"/>
      </w:divBdr>
      <w:divsChild>
        <w:div w:id="203563606">
          <w:marLeft w:val="0"/>
          <w:marRight w:val="0"/>
          <w:marTop w:val="0"/>
          <w:marBottom w:val="0"/>
          <w:divBdr>
            <w:top w:val="none" w:sz="0" w:space="0" w:color="auto"/>
            <w:left w:val="none" w:sz="0" w:space="0" w:color="auto"/>
            <w:bottom w:val="none" w:sz="0" w:space="0" w:color="auto"/>
            <w:right w:val="none" w:sz="0" w:space="0" w:color="auto"/>
          </w:divBdr>
          <w:divsChild>
            <w:div w:id="1000544668">
              <w:marLeft w:val="0"/>
              <w:marRight w:val="0"/>
              <w:marTop w:val="0"/>
              <w:marBottom w:val="0"/>
              <w:divBdr>
                <w:top w:val="none" w:sz="0" w:space="0" w:color="auto"/>
                <w:left w:val="none" w:sz="0" w:space="0" w:color="auto"/>
                <w:bottom w:val="none" w:sz="0" w:space="0" w:color="auto"/>
                <w:right w:val="none" w:sz="0" w:space="0" w:color="auto"/>
              </w:divBdr>
              <w:divsChild>
                <w:div w:id="2112898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8147298">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8823452">
      <w:bodyDiv w:val="1"/>
      <w:marLeft w:val="0"/>
      <w:marRight w:val="0"/>
      <w:marTop w:val="0"/>
      <w:marBottom w:val="0"/>
      <w:divBdr>
        <w:top w:val="none" w:sz="0" w:space="0" w:color="auto"/>
        <w:left w:val="none" w:sz="0" w:space="0" w:color="auto"/>
        <w:bottom w:val="none" w:sz="0" w:space="0" w:color="auto"/>
        <w:right w:val="none" w:sz="0" w:space="0" w:color="auto"/>
      </w:divBdr>
    </w:div>
    <w:div w:id="133537628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7714898">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00639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009443">
      <w:bodyDiv w:val="1"/>
      <w:marLeft w:val="0"/>
      <w:marRight w:val="0"/>
      <w:marTop w:val="0"/>
      <w:marBottom w:val="0"/>
      <w:divBdr>
        <w:top w:val="none" w:sz="0" w:space="0" w:color="auto"/>
        <w:left w:val="none" w:sz="0" w:space="0" w:color="auto"/>
        <w:bottom w:val="none" w:sz="0" w:space="0" w:color="auto"/>
        <w:right w:val="none" w:sz="0" w:space="0" w:color="auto"/>
      </w:divBdr>
      <w:divsChild>
        <w:div w:id="529606614">
          <w:marLeft w:val="0"/>
          <w:marRight w:val="0"/>
          <w:marTop w:val="0"/>
          <w:marBottom w:val="0"/>
          <w:divBdr>
            <w:top w:val="none" w:sz="0" w:space="0" w:color="auto"/>
            <w:left w:val="none" w:sz="0" w:space="0" w:color="auto"/>
            <w:bottom w:val="none" w:sz="0" w:space="0" w:color="auto"/>
            <w:right w:val="none" w:sz="0" w:space="0" w:color="auto"/>
          </w:divBdr>
          <w:divsChild>
            <w:div w:id="1904292211">
              <w:marLeft w:val="0"/>
              <w:marRight w:val="0"/>
              <w:marTop w:val="0"/>
              <w:marBottom w:val="0"/>
              <w:divBdr>
                <w:top w:val="none" w:sz="0" w:space="0" w:color="auto"/>
                <w:left w:val="none" w:sz="0" w:space="0" w:color="auto"/>
                <w:bottom w:val="none" w:sz="0" w:space="0" w:color="auto"/>
                <w:right w:val="none" w:sz="0" w:space="0" w:color="auto"/>
              </w:divBdr>
              <w:divsChild>
                <w:div w:id="785540650">
                  <w:marLeft w:val="0"/>
                  <w:marRight w:val="0"/>
                  <w:marTop w:val="0"/>
                  <w:marBottom w:val="0"/>
                  <w:divBdr>
                    <w:top w:val="none" w:sz="0" w:space="0" w:color="auto"/>
                    <w:left w:val="none" w:sz="0" w:space="0" w:color="auto"/>
                    <w:bottom w:val="none" w:sz="0" w:space="0" w:color="auto"/>
                    <w:right w:val="none" w:sz="0" w:space="0" w:color="auto"/>
                  </w:divBdr>
                  <w:divsChild>
                    <w:div w:id="144928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6309266">
      <w:bodyDiv w:val="1"/>
      <w:marLeft w:val="0"/>
      <w:marRight w:val="0"/>
      <w:marTop w:val="0"/>
      <w:marBottom w:val="0"/>
      <w:divBdr>
        <w:top w:val="none" w:sz="0" w:space="0" w:color="auto"/>
        <w:left w:val="none" w:sz="0" w:space="0" w:color="auto"/>
        <w:bottom w:val="none" w:sz="0" w:space="0" w:color="auto"/>
        <w:right w:val="none" w:sz="0" w:space="0" w:color="auto"/>
      </w:divBdr>
    </w:div>
    <w:div w:id="1538470206">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76209857">
      <w:bodyDiv w:val="1"/>
      <w:marLeft w:val="0"/>
      <w:marRight w:val="0"/>
      <w:marTop w:val="0"/>
      <w:marBottom w:val="0"/>
      <w:divBdr>
        <w:top w:val="none" w:sz="0" w:space="0" w:color="auto"/>
        <w:left w:val="none" w:sz="0" w:space="0" w:color="auto"/>
        <w:bottom w:val="none" w:sz="0" w:space="0" w:color="auto"/>
        <w:right w:val="none" w:sz="0" w:space="0" w:color="auto"/>
      </w:divBdr>
    </w:div>
    <w:div w:id="1578320843">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875713">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29506235">
      <w:bodyDiv w:val="1"/>
      <w:marLeft w:val="0"/>
      <w:marRight w:val="0"/>
      <w:marTop w:val="0"/>
      <w:marBottom w:val="0"/>
      <w:divBdr>
        <w:top w:val="none" w:sz="0" w:space="0" w:color="auto"/>
        <w:left w:val="none" w:sz="0" w:space="0" w:color="auto"/>
        <w:bottom w:val="none" w:sz="0" w:space="0" w:color="auto"/>
        <w:right w:val="none" w:sz="0" w:space="0" w:color="auto"/>
      </w:divBdr>
      <w:divsChild>
        <w:div w:id="1633628713">
          <w:marLeft w:val="0"/>
          <w:marRight w:val="0"/>
          <w:marTop w:val="0"/>
          <w:marBottom w:val="0"/>
          <w:divBdr>
            <w:top w:val="none" w:sz="0" w:space="0" w:color="auto"/>
            <w:left w:val="none" w:sz="0" w:space="0" w:color="auto"/>
            <w:bottom w:val="none" w:sz="0" w:space="0" w:color="auto"/>
            <w:right w:val="none" w:sz="0" w:space="0" w:color="auto"/>
          </w:divBdr>
          <w:divsChild>
            <w:div w:id="1760829705">
              <w:marLeft w:val="0"/>
              <w:marRight w:val="0"/>
              <w:marTop w:val="0"/>
              <w:marBottom w:val="0"/>
              <w:divBdr>
                <w:top w:val="none" w:sz="0" w:space="0" w:color="auto"/>
                <w:left w:val="none" w:sz="0" w:space="0" w:color="auto"/>
                <w:bottom w:val="none" w:sz="0" w:space="0" w:color="auto"/>
                <w:right w:val="none" w:sz="0" w:space="0" w:color="auto"/>
              </w:divBdr>
              <w:divsChild>
                <w:div w:id="154999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7058485">
      <w:bodyDiv w:val="1"/>
      <w:marLeft w:val="0"/>
      <w:marRight w:val="0"/>
      <w:marTop w:val="0"/>
      <w:marBottom w:val="0"/>
      <w:divBdr>
        <w:top w:val="none" w:sz="0" w:space="0" w:color="auto"/>
        <w:left w:val="none" w:sz="0" w:space="0" w:color="auto"/>
        <w:bottom w:val="none" w:sz="0" w:space="0" w:color="auto"/>
        <w:right w:val="none" w:sz="0" w:space="0" w:color="auto"/>
      </w:divBdr>
      <w:divsChild>
        <w:div w:id="2046828689">
          <w:marLeft w:val="0"/>
          <w:marRight w:val="0"/>
          <w:marTop w:val="0"/>
          <w:marBottom w:val="0"/>
          <w:divBdr>
            <w:top w:val="none" w:sz="0" w:space="0" w:color="auto"/>
            <w:left w:val="none" w:sz="0" w:space="0" w:color="auto"/>
            <w:bottom w:val="none" w:sz="0" w:space="0" w:color="auto"/>
            <w:right w:val="none" w:sz="0" w:space="0" w:color="auto"/>
          </w:divBdr>
        </w:div>
      </w:divsChild>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3340090">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5877358">
      <w:bodyDiv w:val="1"/>
      <w:marLeft w:val="0"/>
      <w:marRight w:val="0"/>
      <w:marTop w:val="0"/>
      <w:marBottom w:val="0"/>
      <w:divBdr>
        <w:top w:val="none" w:sz="0" w:space="0" w:color="auto"/>
        <w:left w:val="none" w:sz="0" w:space="0" w:color="auto"/>
        <w:bottom w:val="none" w:sz="0" w:space="0" w:color="auto"/>
        <w:right w:val="none" w:sz="0" w:space="0" w:color="auto"/>
      </w:divBdr>
      <w:divsChild>
        <w:div w:id="753939402">
          <w:marLeft w:val="0"/>
          <w:marRight w:val="0"/>
          <w:marTop w:val="0"/>
          <w:marBottom w:val="0"/>
          <w:divBdr>
            <w:top w:val="none" w:sz="0" w:space="0" w:color="auto"/>
            <w:left w:val="none" w:sz="0" w:space="0" w:color="auto"/>
            <w:bottom w:val="none" w:sz="0" w:space="0" w:color="auto"/>
            <w:right w:val="none" w:sz="0" w:space="0" w:color="auto"/>
          </w:divBdr>
          <w:divsChild>
            <w:div w:id="2058116227">
              <w:marLeft w:val="0"/>
              <w:marRight w:val="0"/>
              <w:marTop w:val="0"/>
              <w:marBottom w:val="0"/>
              <w:divBdr>
                <w:top w:val="none" w:sz="0" w:space="0" w:color="auto"/>
                <w:left w:val="none" w:sz="0" w:space="0" w:color="auto"/>
                <w:bottom w:val="none" w:sz="0" w:space="0" w:color="auto"/>
                <w:right w:val="none" w:sz="0" w:space="0" w:color="auto"/>
              </w:divBdr>
              <w:divsChild>
                <w:div w:id="134193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583900">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3356704">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94997725">
      <w:bodyDiv w:val="1"/>
      <w:marLeft w:val="0"/>
      <w:marRight w:val="0"/>
      <w:marTop w:val="0"/>
      <w:marBottom w:val="0"/>
      <w:divBdr>
        <w:top w:val="none" w:sz="0" w:space="0" w:color="auto"/>
        <w:left w:val="none" w:sz="0" w:space="0" w:color="auto"/>
        <w:bottom w:val="none" w:sz="0" w:space="0" w:color="auto"/>
        <w:right w:val="none" w:sz="0" w:space="0" w:color="auto"/>
      </w:divBdr>
      <w:divsChild>
        <w:div w:id="1748071415">
          <w:marLeft w:val="0"/>
          <w:marRight w:val="0"/>
          <w:marTop w:val="0"/>
          <w:marBottom w:val="0"/>
          <w:divBdr>
            <w:top w:val="none" w:sz="0" w:space="0" w:color="auto"/>
            <w:left w:val="none" w:sz="0" w:space="0" w:color="auto"/>
            <w:bottom w:val="none" w:sz="0" w:space="0" w:color="auto"/>
            <w:right w:val="none" w:sz="0" w:space="0" w:color="auto"/>
          </w:divBdr>
          <w:divsChild>
            <w:div w:id="445195109">
              <w:marLeft w:val="0"/>
              <w:marRight w:val="0"/>
              <w:marTop w:val="0"/>
              <w:marBottom w:val="0"/>
              <w:divBdr>
                <w:top w:val="none" w:sz="0" w:space="0" w:color="auto"/>
                <w:left w:val="none" w:sz="0" w:space="0" w:color="auto"/>
                <w:bottom w:val="none" w:sz="0" w:space="0" w:color="auto"/>
                <w:right w:val="none" w:sz="0" w:space="0" w:color="auto"/>
              </w:divBdr>
              <w:divsChild>
                <w:div w:id="36466643">
                  <w:marLeft w:val="0"/>
                  <w:marRight w:val="0"/>
                  <w:marTop w:val="0"/>
                  <w:marBottom w:val="0"/>
                  <w:divBdr>
                    <w:top w:val="none" w:sz="0" w:space="0" w:color="auto"/>
                    <w:left w:val="none" w:sz="0" w:space="0" w:color="auto"/>
                    <w:bottom w:val="none" w:sz="0" w:space="0" w:color="auto"/>
                    <w:right w:val="none" w:sz="0" w:space="0" w:color="auto"/>
                  </w:divBdr>
                  <w:divsChild>
                    <w:div w:id="63564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5815225">
      <w:bodyDiv w:val="1"/>
      <w:marLeft w:val="0"/>
      <w:marRight w:val="0"/>
      <w:marTop w:val="0"/>
      <w:marBottom w:val="0"/>
      <w:divBdr>
        <w:top w:val="none" w:sz="0" w:space="0" w:color="auto"/>
        <w:left w:val="none" w:sz="0" w:space="0" w:color="auto"/>
        <w:bottom w:val="none" w:sz="0" w:space="0" w:color="auto"/>
        <w:right w:val="none" w:sz="0" w:space="0" w:color="auto"/>
      </w:divBdr>
      <w:divsChild>
        <w:div w:id="1418945597">
          <w:marLeft w:val="0"/>
          <w:marRight w:val="0"/>
          <w:marTop w:val="0"/>
          <w:marBottom w:val="0"/>
          <w:divBdr>
            <w:top w:val="none" w:sz="0" w:space="0" w:color="auto"/>
            <w:left w:val="none" w:sz="0" w:space="0" w:color="auto"/>
            <w:bottom w:val="none" w:sz="0" w:space="0" w:color="auto"/>
            <w:right w:val="none" w:sz="0" w:space="0" w:color="auto"/>
          </w:divBdr>
          <w:divsChild>
            <w:div w:id="1531139627">
              <w:marLeft w:val="0"/>
              <w:marRight w:val="0"/>
              <w:marTop w:val="0"/>
              <w:marBottom w:val="0"/>
              <w:divBdr>
                <w:top w:val="none" w:sz="0" w:space="0" w:color="auto"/>
                <w:left w:val="none" w:sz="0" w:space="0" w:color="auto"/>
                <w:bottom w:val="none" w:sz="0" w:space="0" w:color="auto"/>
                <w:right w:val="none" w:sz="0" w:space="0" w:color="auto"/>
              </w:divBdr>
              <w:divsChild>
                <w:div w:id="2048066693">
                  <w:marLeft w:val="0"/>
                  <w:marRight w:val="0"/>
                  <w:marTop w:val="0"/>
                  <w:marBottom w:val="0"/>
                  <w:divBdr>
                    <w:top w:val="none" w:sz="0" w:space="0" w:color="auto"/>
                    <w:left w:val="none" w:sz="0" w:space="0" w:color="auto"/>
                    <w:bottom w:val="none" w:sz="0" w:space="0" w:color="auto"/>
                    <w:right w:val="none" w:sz="0" w:space="0" w:color="auto"/>
                  </w:divBdr>
                  <w:divsChild>
                    <w:div w:id="29190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777324">
          <w:marLeft w:val="0"/>
          <w:marRight w:val="0"/>
          <w:marTop w:val="0"/>
          <w:marBottom w:val="0"/>
          <w:divBdr>
            <w:top w:val="none" w:sz="0" w:space="0" w:color="auto"/>
            <w:left w:val="none" w:sz="0" w:space="0" w:color="auto"/>
            <w:bottom w:val="none" w:sz="0" w:space="0" w:color="auto"/>
            <w:right w:val="none" w:sz="0" w:space="0" w:color="auto"/>
          </w:divBdr>
          <w:divsChild>
            <w:div w:id="726802757">
              <w:marLeft w:val="0"/>
              <w:marRight w:val="0"/>
              <w:marTop w:val="0"/>
              <w:marBottom w:val="0"/>
              <w:divBdr>
                <w:top w:val="none" w:sz="0" w:space="0" w:color="auto"/>
                <w:left w:val="none" w:sz="0" w:space="0" w:color="auto"/>
                <w:bottom w:val="none" w:sz="0" w:space="0" w:color="auto"/>
                <w:right w:val="none" w:sz="0" w:space="0" w:color="auto"/>
              </w:divBdr>
              <w:divsChild>
                <w:div w:id="902760746">
                  <w:marLeft w:val="0"/>
                  <w:marRight w:val="0"/>
                  <w:marTop w:val="0"/>
                  <w:marBottom w:val="0"/>
                  <w:divBdr>
                    <w:top w:val="none" w:sz="0" w:space="0" w:color="auto"/>
                    <w:left w:val="none" w:sz="0" w:space="0" w:color="auto"/>
                    <w:bottom w:val="none" w:sz="0" w:space="0" w:color="auto"/>
                    <w:right w:val="none" w:sz="0" w:space="0" w:color="auto"/>
                  </w:divBdr>
                  <w:divsChild>
                    <w:div w:id="7630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180688">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1987972508">
      <w:bodyDiv w:val="1"/>
      <w:marLeft w:val="0"/>
      <w:marRight w:val="0"/>
      <w:marTop w:val="0"/>
      <w:marBottom w:val="0"/>
      <w:divBdr>
        <w:top w:val="none" w:sz="0" w:space="0" w:color="auto"/>
        <w:left w:val="none" w:sz="0" w:space="0" w:color="auto"/>
        <w:bottom w:val="none" w:sz="0" w:space="0" w:color="auto"/>
        <w:right w:val="none" w:sz="0" w:space="0" w:color="auto"/>
      </w:divBdr>
    </w:div>
    <w:div w:id="2007584518">
      <w:bodyDiv w:val="1"/>
      <w:marLeft w:val="0"/>
      <w:marRight w:val="0"/>
      <w:marTop w:val="0"/>
      <w:marBottom w:val="0"/>
      <w:divBdr>
        <w:top w:val="none" w:sz="0" w:space="0" w:color="auto"/>
        <w:left w:val="none" w:sz="0" w:space="0" w:color="auto"/>
        <w:bottom w:val="none" w:sz="0" w:space="0" w:color="auto"/>
        <w:right w:val="none" w:sz="0" w:space="0" w:color="auto"/>
      </w:divBdr>
      <w:divsChild>
        <w:div w:id="56590101">
          <w:marLeft w:val="0"/>
          <w:marRight w:val="0"/>
          <w:marTop w:val="0"/>
          <w:marBottom w:val="0"/>
          <w:divBdr>
            <w:top w:val="none" w:sz="0" w:space="0" w:color="auto"/>
            <w:left w:val="none" w:sz="0" w:space="0" w:color="auto"/>
            <w:bottom w:val="none" w:sz="0" w:space="0" w:color="auto"/>
            <w:right w:val="none" w:sz="0" w:space="0" w:color="auto"/>
          </w:divBdr>
        </w:div>
      </w:divsChild>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279528">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 w:id="2140605020">
      <w:bodyDiv w:val="1"/>
      <w:marLeft w:val="0"/>
      <w:marRight w:val="0"/>
      <w:marTop w:val="0"/>
      <w:marBottom w:val="0"/>
      <w:divBdr>
        <w:top w:val="none" w:sz="0" w:space="0" w:color="auto"/>
        <w:left w:val="none" w:sz="0" w:space="0" w:color="auto"/>
        <w:bottom w:val="none" w:sz="0" w:space="0" w:color="auto"/>
        <w:right w:val="none" w:sz="0" w:space="0" w:color="auto"/>
      </w:divBdr>
    </w:div>
    <w:div w:id="2145192874">
      <w:bodyDiv w:val="1"/>
      <w:marLeft w:val="0"/>
      <w:marRight w:val="0"/>
      <w:marTop w:val="0"/>
      <w:marBottom w:val="0"/>
      <w:divBdr>
        <w:top w:val="none" w:sz="0" w:space="0" w:color="auto"/>
        <w:left w:val="none" w:sz="0" w:space="0" w:color="auto"/>
        <w:bottom w:val="none" w:sz="0" w:space="0" w:color="auto"/>
        <w:right w:val="none" w:sz="0" w:space="0" w:color="auto"/>
      </w:divBdr>
      <w:divsChild>
        <w:div w:id="831994217">
          <w:marLeft w:val="0"/>
          <w:marRight w:val="0"/>
          <w:marTop w:val="0"/>
          <w:marBottom w:val="0"/>
          <w:divBdr>
            <w:top w:val="none" w:sz="0" w:space="0" w:color="auto"/>
            <w:left w:val="none" w:sz="0" w:space="0" w:color="auto"/>
            <w:bottom w:val="none" w:sz="0" w:space="0" w:color="auto"/>
            <w:right w:val="none" w:sz="0" w:space="0" w:color="auto"/>
          </w:divBdr>
          <w:divsChild>
            <w:div w:id="247428045">
              <w:marLeft w:val="0"/>
              <w:marRight w:val="0"/>
              <w:marTop w:val="0"/>
              <w:marBottom w:val="0"/>
              <w:divBdr>
                <w:top w:val="none" w:sz="0" w:space="0" w:color="auto"/>
                <w:left w:val="none" w:sz="0" w:space="0" w:color="auto"/>
                <w:bottom w:val="none" w:sz="0" w:space="0" w:color="auto"/>
                <w:right w:val="none" w:sz="0" w:space="0" w:color="auto"/>
              </w:divBdr>
              <w:divsChild>
                <w:div w:id="18430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circulares" TargetMode="External"/><Relationship Id="rId1" Type="http://schemas.openxmlformats.org/officeDocument/2006/relationships/hyperlink" Target="https://www.colombiacompra.gov.co/circula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2.xml><?xml version="1.0" encoding="utf-8"?>
<ds:datastoreItem xmlns:ds="http://schemas.openxmlformats.org/officeDocument/2006/customXml" ds:itemID="{CEBBB804-56BC-4242-BD66-8B85878496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756</TotalTime>
  <Pages>16</Pages>
  <Words>5946</Words>
  <Characters>32708</Characters>
  <Application>Microsoft Office Word</Application>
  <DocSecurity>0</DocSecurity>
  <Lines>272</Lines>
  <Paragraphs>77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713</cp:revision>
  <cp:lastPrinted>2020-01-30T15:05:00Z</cp:lastPrinted>
  <dcterms:created xsi:type="dcterms:W3CDTF">2021-04-05T23:25:00Z</dcterms:created>
  <dcterms:modified xsi:type="dcterms:W3CDTF">2022-03-28T16:35:00Z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