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1A5C" w14:textId="66D5FCCF" w:rsidR="00383AEB" w:rsidRPr="00F32C60" w:rsidRDefault="003332C9" w:rsidP="00180CBF">
      <w:pPr>
        <w:spacing w:after="0" w:line="240" w:lineRule="auto"/>
        <w:jc w:val="both"/>
        <w:rPr>
          <w:rFonts w:ascii="Verdana" w:eastAsia="Times New Roman" w:hAnsi="Verdana"/>
          <w:b/>
          <w:bCs/>
          <w:color w:val="000000" w:themeColor="text1"/>
          <w:lang w:val="es-ES_tradnl" w:eastAsia="es-ES_tradnl"/>
        </w:rPr>
      </w:pPr>
      <w:bookmarkStart w:id="0" w:name="_Hlk143780582"/>
      <w:r w:rsidRPr="003332C9">
        <w:rPr>
          <w:rFonts w:ascii="Verdana" w:eastAsia="Times New Roman" w:hAnsi="Verdana"/>
          <w:b/>
          <w:bCs/>
          <w:color w:val="000000" w:themeColor="text1"/>
          <w:lang w:val="es-ES_tradnl" w:eastAsia="es-ES_tradnl"/>
        </w:rPr>
        <w:t>R</w:t>
      </w:r>
      <w:r w:rsidR="00C711D1">
        <w:rPr>
          <w:rFonts w:ascii="Verdana" w:eastAsia="Times New Roman" w:hAnsi="Verdana"/>
          <w:b/>
          <w:bCs/>
          <w:color w:val="000000" w:themeColor="text1"/>
          <w:lang w:val="es-ES_tradnl" w:eastAsia="es-ES_tradnl"/>
        </w:rPr>
        <w:t>É</w:t>
      </w:r>
      <w:r w:rsidRPr="003332C9">
        <w:rPr>
          <w:rFonts w:ascii="Verdana" w:eastAsia="Times New Roman" w:hAnsi="Verdana"/>
          <w:b/>
          <w:bCs/>
          <w:color w:val="000000" w:themeColor="text1"/>
          <w:lang w:val="es-ES_tradnl" w:eastAsia="es-ES_tradnl"/>
        </w:rPr>
        <w:t>GIMEN DE INHABILIDADES E INCOMPATIBILIDADES – Concepto – Principio de legalidad – Interpretación restrictiva</w:t>
      </w:r>
    </w:p>
    <w:p w14:paraId="05C9A5D1" w14:textId="77777777" w:rsidR="003332C9" w:rsidRDefault="003332C9" w:rsidP="00180CBF">
      <w:pPr>
        <w:spacing w:after="0" w:line="240" w:lineRule="auto"/>
        <w:jc w:val="both"/>
        <w:rPr>
          <w:rFonts w:ascii="Verdana" w:eastAsia="Times New Roman" w:hAnsi="Verdana"/>
          <w:color w:val="000000" w:themeColor="text1"/>
          <w:sz w:val="20"/>
          <w:szCs w:val="20"/>
          <w:lang w:val="es-ES_tradnl" w:eastAsia="es-ES_tradnl"/>
        </w:rPr>
      </w:pPr>
    </w:p>
    <w:p w14:paraId="25E94106" w14:textId="2237263C" w:rsidR="00381FF0" w:rsidRPr="00381FF0" w:rsidRDefault="00381FF0" w:rsidP="00180CBF">
      <w:pPr>
        <w:spacing w:after="0" w:line="240" w:lineRule="auto"/>
        <w:jc w:val="both"/>
        <w:rPr>
          <w:rFonts w:ascii="Verdana" w:eastAsia="Times New Roman" w:hAnsi="Verdana"/>
          <w:color w:val="000000" w:themeColor="text1"/>
          <w:sz w:val="20"/>
          <w:szCs w:val="20"/>
          <w:lang w:val="es-ES_tradnl" w:eastAsia="es-ES_tradnl"/>
        </w:rPr>
      </w:pPr>
      <w:r w:rsidRPr="00381FF0">
        <w:rPr>
          <w:rFonts w:ascii="Verdana" w:eastAsia="Calibri" w:hAnsi="Verdana"/>
          <w:color w:val="000000" w:themeColor="text1"/>
          <w:sz w:val="20"/>
          <w:szCs w:val="20"/>
          <w:lang w:val="es-ES" w:eastAsia="es-ES_tradnl"/>
        </w:rPr>
        <w:t>El régimen de inhabilidades e incompatibilidades opera como un límite o restricción a la capacidad para presentar ofertas en los procedimientos de selección y para celebrar contratos estatales, que busca salvaguardar principios como la probidad y la transparencia en la actividad de adquisición de bienes y servicios por parte de las entidades públicas.</w:t>
      </w:r>
    </w:p>
    <w:p w14:paraId="0070451F" w14:textId="77777777" w:rsidR="00381FF0" w:rsidRPr="00381FF0" w:rsidRDefault="00381FF0" w:rsidP="00E047EC">
      <w:pPr>
        <w:spacing w:after="120" w:line="240" w:lineRule="auto"/>
        <w:jc w:val="both"/>
        <w:rPr>
          <w:rFonts w:ascii="Verdana" w:eastAsia="Calibri" w:hAnsi="Verdana"/>
          <w:color w:val="000000" w:themeColor="text1"/>
          <w:sz w:val="20"/>
          <w:szCs w:val="20"/>
          <w:lang w:val="es-ES" w:eastAsia="es-ES_tradnl"/>
        </w:rPr>
      </w:pPr>
      <w:r w:rsidRPr="00381FF0">
        <w:rPr>
          <w:rFonts w:ascii="Verdana" w:eastAsia="Calibri" w:hAnsi="Verdana"/>
          <w:color w:val="000000" w:themeColor="text1"/>
          <w:sz w:val="20"/>
          <w:szCs w:val="20"/>
          <w:lang w:val="es-ES" w:eastAsia="es-ES_tradnl"/>
        </w:rPr>
        <w:t>[…]</w:t>
      </w:r>
    </w:p>
    <w:p w14:paraId="6E1863BE" w14:textId="77777777" w:rsidR="00381FF0" w:rsidRPr="00381FF0" w:rsidRDefault="00381FF0" w:rsidP="00180CBF">
      <w:pPr>
        <w:spacing w:after="0" w:line="240" w:lineRule="auto"/>
        <w:jc w:val="both"/>
        <w:rPr>
          <w:rFonts w:ascii="Verdana" w:eastAsia="Calibri" w:hAnsi="Verdana"/>
          <w:color w:val="000000" w:themeColor="text1"/>
          <w:sz w:val="20"/>
          <w:szCs w:val="20"/>
          <w:lang w:val="es-ES" w:eastAsia="es-ES_tradnl"/>
        </w:rPr>
      </w:pPr>
      <w:r w:rsidRPr="00381FF0">
        <w:rPr>
          <w:rFonts w:ascii="Verdana" w:eastAsia="Calibri" w:hAnsi="Verdana"/>
          <w:color w:val="000000" w:themeColor="text1"/>
          <w:sz w:val="20"/>
          <w:szCs w:val="20"/>
          <w:lang w:val="es-ES" w:eastAsia="es-ES_tradnl"/>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381FF0">
        <w:rPr>
          <w:rFonts w:ascii="Verdana" w:eastAsia="Calibri" w:hAnsi="Verdana"/>
          <w:color w:val="000000" w:themeColor="text1"/>
          <w:sz w:val="20"/>
          <w:szCs w:val="20"/>
          <w:lang w:val="es-ES" w:eastAsia="es-ES_tradnl"/>
        </w:rPr>
        <w:t>ii</w:t>
      </w:r>
      <w:proofErr w:type="spellEnd"/>
      <w:r w:rsidRPr="00381FF0">
        <w:rPr>
          <w:rFonts w:ascii="Verdana" w:eastAsia="Calibri" w:hAnsi="Verdana"/>
          <w:color w:val="000000" w:themeColor="text1"/>
          <w:sz w:val="20"/>
          <w:szCs w:val="20"/>
          <w:lang w:val="es-ES" w:eastAsia="es-ES_tradnl"/>
        </w:rPr>
        <w:t xml:space="preserve">) de vínculos personales relativos al parentesco o al estado civil o </w:t>
      </w:r>
      <w:proofErr w:type="spellStart"/>
      <w:r w:rsidRPr="00381FF0">
        <w:rPr>
          <w:rFonts w:ascii="Verdana" w:eastAsia="Calibri" w:hAnsi="Verdana"/>
          <w:color w:val="000000" w:themeColor="text1"/>
          <w:sz w:val="20"/>
          <w:szCs w:val="20"/>
          <w:lang w:val="es-ES" w:eastAsia="es-ES_tradnl"/>
        </w:rPr>
        <w:t>iii</w:t>
      </w:r>
      <w:proofErr w:type="spellEnd"/>
      <w:r w:rsidRPr="00381FF0">
        <w:rPr>
          <w:rFonts w:ascii="Verdana" w:eastAsia="Calibri" w:hAnsi="Verdana"/>
          <w:color w:val="000000" w:themeColor="text1"/>
          <w:sz w:val="20"/>
          <w:szCs w:val="20"/>
          <w:lang w:val="es-ES" w:eastAsia="es-ES_tradnl"/>
        </w:rPr>
        <w:t xml:space="preserve">)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38B753AE" w14:textId="77777777" w:rsidR="00381FF0" w:rsidRPr="00381FF0" w:rsidRDefault="00381FF0" w:rsidP="003E3756">
      <w:pPr>
        <w:spacing w:after="120" w:line="240" w:lineRule="auto"/>
        <w:jc w:val="both"/>
        <w:rPr>
          <w:rFonts w:ascii="Verdana" w:eastAsia="Calibri" w:hAnsi="Verdana"/>
          <w:color w:val="000000" w:themeColor="text1"/>
          <w:sz w:val="20"/>
          <w:szCs w:val="20"/>
          <w:lang w:val="es-ES" w:eastAsia="es-ES_tradnl"/>
        </w:rPr>
      </w:pPr>
      <w:r w:rsidRPr="00381FF0">
        <w:rPr>
          <w:rFonts w:ascii="Verdana" w:eastAsia="Calibri" w:hAnsi="Verdana"/>
          <w:color w:val="000000" w:themeColor="text1"/>
          <w:sz w:val="20"/>
          <w:szCs w:val="20"/>
          <w:lang w:val="es-ES" w:eastAsia="es-ES_tradnl"/>
        </w:rPr>
        <w:t>[…]</w:t>
      </w:r>
    </w:p>
    <w:p w14:paraId="1F6AD550" w14:textId="6C120F8D" w:rsidR="005C06ED" w:rsidRPr="00F32C60" w:rsidRDefault="00381FF0" w:rsidP="00180CBF">
      <w:pPr>
        <w:spacing w:after="0" w:line="240" w:lineRule="auto"/>
        <w:jc w:val="both"/>
        <w:rPr>
          <w:rFonts w:ascii="Verdana" w:eastAsia="Calibri" w:hAnsi="Verdana"/>
          <w:color w:val="000000" w:themeColor="text1"/>
          <w:sz w:val="20"/>
          <w:szCs w:val="20"/>
          <w:highlight w:val="yellow"/>
          <w:lang w:val="es-ES" w:eastAsia="es-ES_tradnl"/>
        </w:rPr>
      </w:pPr>
      <w:r w:rsidRPr="00381FF0">
        <w:rPr>
          <w:rFonts w:ascii="Verdana" w:eastAsia="Calibri" w:hAnsi="Verdana"/>
          <w:color w:val="000000" w:themeColor="text1"/>
          <w:sz w:val="20"/>
          <w:szCs w:val="20"/>
          <w:lang w:val="es-ES" w:eastAsia="es-ES_tradnl"/>
        </w:rPr>
        <w:t>Ahora bien, al ser las inhabilidades e incompatibilidades –como ya se dijo–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14:paraId="133BE2B8" w14:textId="77777777" w:rsidR="005C06ED" w:rsidRPr="00F32C60" w:rsidRDefault="005C06ED" w:rsidP="00180CBF">
      <w:pPr>
        <w:spacing w:after="0" w:line="240" w:lineRule="auto"/>
        <w:jc w:val="both"/>
        <w:rPr>
          <w:rFonts w:ascii="Verdana" w:eastAsia="Calibri" w:hAnsi="Verdana"/>
          <w:color w:val="000000" w:themeColor="text1"/>
          <w:sz w:val="20"/>
          <w:szCs w:val="20"/>
          <w:highlight w:val="yellow"/>
          <w:lang w:val="es-ES" w:eastAsia="es-ES_tradnl"/>
        </w:rPr>
      </w:pPr>
    </w:p>
    <w:p w14:paraId="0AE75D49" w14:textId="77777777" w:rsidR="00975B80" w:rsidRPr="00975B80" w:rsidRDefault="00975B80" w:rsidP="00180CBF">
      <w:pPr>
        <w:spacing w:after="0" w:line="240" w:lineRule="auto"/>
        <w:jc w:val="both"/>
        <w:rPr>
          <w:rFonts w:ascii="Verdana" w:eastAsia="Times New Roman" w:hAnsi="Verdana"/>
          <w:b/>
          <w:bCs/>
          <w:color w:val="000000" w:themeColor="text1"/>
          <w:lang w:val="es-ES_tradnl" w:eastAsia="es-ES_tradnl"/>
        </w:rPr>
      </w:pPr>
      <w:r w:rsidRPr="00975B80">
        <w:rPr>
          <w:rFonts w:ascii="Verdana" w:eastAsia="Times New Roman" w:hAnsi="Verdana"/>
          <w:b/>
          <w:bCs/>
          <w:color w:val="000000" w:themeColor="text1"/>
          <w:lang w:val="es-ES_tradnl" w:eastAsia="es-ES_tradnl"/>
        </w:rPr>
        <w:t>CONTRATO INTERADMINISTRATIVO – Concepto – Régimen – Criterio orgánico</w:t>
      </w:r>
    </w:p>
    <w:p w14:paraId="68F27024" w14:textId="77777777" w:rsidR="00975B80" w:rsidRDefault="00975B80" w:rsidP="00180CBF">
      <w:pPr>
        <w:tabs>
          <w:tab w:val="left" w:pos="709"/>
        </w:tabs>
        <w:spacing w:after="0" w:line="240" w:lineRule="auto"/>
        <w:jc w:val="both"/>
        <w:rPr>
          <w:rFonts w:ascii="Arial" w:eastAsia="Arial" w:hAnsi="Arial" w:cs="Arial"/>
          <w:sz w:val="20"/>
          <w:szCs w:val="20"/>
          <w:lang w:val="es-ES_tradnl"/>
        </w:rPr>
      </w:pPr>
    </w:p>
    <w:p w14:paraId="1B72C380" w14:textId="78E36170" w:rsidR="00975B80" w:rsidRPr="00975B80" w:rsidRDefault="00975B80" w:rsidP="002868EF">
      <w:pPr>
        <w:spacing w:after="120" w:line="240" w:lineRule="auto"/>
        <w:jc w:val="both"/>
        <w:rPr>
          <w:rFonts w:ascii="Verdana" w:eastAsia="Calibri" w:hAnsi="Verdana"/>
          <w:color w:val="000000" w:themeColor="text1"/>
          <w:sz w:val="20"/>
          <w:szCs w:val="20"/>
          <w:lang w:val="es-ES" w:eastAsia="es-ES_tradnl"/>
        </w:rPr>
      </w:pPr>
      <w:r w:rsidRPr="00975B80">
        <w:rPr>
          <w:rFonts w:ascii="Verdana" w:eastAsia="Calibri" w:hAnsi="Verdana"/>
          <w:color w:val="000000" w:themeColor="text1"/>
          <w:sz w:val="20"/>
          <w:szCs w:val="20"/>
          <w:lang w:val="es-ES" w:eastAsia="es-ES_tradnl"/>
        </w:rPr>
        <w:t xml:space="preserve">La tipología de convenio interadministrativo fue creada en la Ley 80 de 1993, y aunque no lo definió ni desarrolló, el Decreto 1082 de 2015, </w:t>
      </w:r>
      <w:r w:rsidR="00934619">
        <w:rPr>
          <w:rFonts w:ascii="Verdana" w:eastAsia="Calibri" w:hAnsi="Verdana"/>
          <w:color w:val="000000" w:themeColor="text1"/>
          <w:sz w:val="20"/>
          <w:szCs w:val="20"/>
          <w:lang w:val="es-ES" w:eastAsia="es-ES_tradnl"/>
        </w:rPr>
        <w:t>“</w:t>
      </w:r>
      <w:r w:rsidRPr="00975B80">
        <w:rPr>
          <w:rFonts w:ascii="Verdana" w:eastAsia="Calibri" w:hAnsi="Verdana"/>
          <w:color w:val="000000" w:themeColor="text1"/>
          <w:sz w:val="20"/>
          <w:szCs w:val="20"/>
          <w:lang w:val="es-ES" w:eastAsia="es-ES_tradnl"/>
        </w:rPr>
        <w:t>Por medio del cual se expide el Decreto único reglamentario del sector administrativo de planeación nacional</w:t>
      </w:r>
      <w:r w:rsidR="00934619">
        <w:rPr>
          <w:rFonts w:ascii="Verdana" w:eastAsia="Calibri" w:hAnsi="Verdana"/>
          <w:color w:val="000000" w:themeColor="text1"/>
          <w:sz w:val="20"/>
          <w:szCs w:val="20"/>
          <w:lang w:val="es-ES" w:eastAsia="es-ES_tradnl"/>
        </w:rPr>
        <w:t>”</w:t>
      </w:r>
      <w:r w:rsidRPr="00975B80">
        <w:rPr>
          <w:rFonts w:ascii="Verdana" w:eastAsia="Calibri" w:hAnsi="Verdana"/>
          <w:color w:val="000000" w:themeColor="text1"/>
          <w:sz w:val="20"/>
          <w:szCs w:val="20"/>
          <w:lang w:val="es-ES" w:eastAsia="es-ES_tradnl"/>
        </w:rPr>
        <w:t>, califica a los convenios o contratos interadministrativos como aquella contratación entre entidades estatales.</w:t>
      </w:r>
    </w:p>
    <w:p w14:paraId="1CC2BD19" w14:textId="2AE57A7D" w:rsidR="00975B80" w:rsidRDefault="00975B80" w:rsidP="00180CBF">
      <w:pPr>
        <w:spacing w:after="0" w:line="240" w:lineRule="auto"/>
        <w:jc w:val="both"/>
        <w:rPr>
          <w:rFonts w:ascii="Verdana" w:eastAsia="Calibri" w:hAnsi="Verdana"/>
          <w:color w:val="000000" w:themeColor="text1"/>
          <w:sz w:val="20"/>
          <w:szCs w:val="20"/>
          <w:lang w:val="es-ES" w:eastAsia="es-ES_tradnl"/>
        </w:rPr>
      </w:pPr>
      <w:r w:rsidRPr="00975B80">
        <w:rPr>
          <w:rFonts w:ascii="Verdana" w:eastAsia="Calibri" w:hAnsi="Verdana"/>
          <w:color w:val="000000" w:themeColor="text1"/>
          <w:sz w:val="20"/>
          <w:szCs w:val="20"/>
          <w:lang w:val="es-ES" w:eastAsia="es-ES_tradnl"/>
        </w:rPr>
        <w:t xml:space="preserve">De acuerdo con lo anterior, el contrato o el convenio interadministrativo es el acuerdo donde concurre la voluntad de dos o más </w:t>
      </w:r>
      <w:r w:rsidR="004F2A92">
        <w:rPr>
          <w:rFonts w:ascii="Verdana" w:eastAsia="Calibri" w:hAnsi="Verdana"/>
          <w:color w:val="000000" w:themeColor="text1"/>
          <w:sz w:val="20"/>
          <w:szCs w:val="20"/>
          <w:lang w:val="es-ES" w:eastAsia="es-ES_tradnl"/>
        </w:rPr>
        <w:t>órganos</w:t>
      </w:r>
      <w:r w:rsidRPr="00975B80">
        <w:rPr>
          <w:rFonts w:ascii="Verdana" w:eastAsia="Calibri" w:hAnsi="Verdana"/>
          <w:color w:val="000000" w:themeColor="text1"/>
          <w:sz w:val="20"/>
          <w:szCs w:val="20"/>
          <w:lang w:val="es-ES" w:eastAsia="es-ES_tradnl"/>
        </w:rPr>
        <w:t xml:space="preserve">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40CD6362" w14:textId="77777777" w:rsidR="004F2A92" w:rsidRPr="00975B80" w:rsidRDefault="004F2A92" w:rsidP="00180CBF">
      <w:pPr>
        <w:spacing w:after="0" w:line="240" w:lineRule="auto"/>
        <w:jc w:val="both"/>
        <w:rPr>
          <w:rFonts w:ascii="Verdana" w:eastAsia="Calibri" w:hAnsi="Verdana"/>
          <w:color w:val="000000" w:themeColor="text1"/>
          <w:sz w:val="20"/>
          <w:szCs w:val="20"/>
          <w:lang w:val="es-ES" w:eastAsia="es-ES_tradnl"/>
        </w:rPr>
      </w:pPr>
    </w:p>
    <w:p w14:paraId="647DD31C" w14:textId="77777777" w:rsidR="005C06ED" w:rsidRPr="00F32C60" w:rsidRDefault="005C06ED" w:rsidP="00180CBF">
      <w:pPr>
        <w:spacing w:after="0" w:line="240" w:lineRule="auto"/>
        <w:jc w:val="both"/>
        <w:rPr>
          <w:rFonts w:ascii="Verdana" w:eastAsia="Calibri" w:hAnsi="Verdana"/>
          <w:color w:val="000000" w:themeColor="text1"/>
          <w:sz w:val="20"/>
          <w:szCs w:val="20"/>
          <w:highlight w:val="yellow"/>
          <w:lang w:val="es-ES" w:eastAsia="es-ES_tradnl"/>
        </w:rPr>
      </w:pPr>
    </w:p>
    <w:p w14:paraId="1CD3F265" w14:textId="77777777" w:rsidR="00CB0B04" w:rsidRPr="00CB0B04" w:rsidRDefault="00CB0B04" w:rsidP="00180CBF">
      <w:pPr>
        <w:spacing w:after="0" w:line="240" w:lineRule="auto"/>
        <w:jc w:val="both"/>
        <w:rPr>
          <w:rFonts w:ascii="Verdana" w:eastAsia="Times New Roman" w:hAnsi="Verdana"/>
          <w:b/>
          <w:bCs/>
          <w:color w:val="000000" w:themeColor="text1"/>
          <w:lang w:val="es-ES_tradnl" w:eastAsia="es-ES_tradnl"/>
        </w:rPr>
      </w:pPr>
      <w:r w:rsidRPr="00CB0B04">
        <w:rPr>
          <w:rFonts w:ascii="Verdana" w:eastAsia="Times New Roman" w:hAnsi="Verdana"/>
          <w:b/>
          <w:bCs/>
          <w:color w:val="000000" w:themeColor="text1"/>
          <w:lang w:val="es-ES_tradnl" w:eastAsia="es-ES_tradnl"/>
        </w:rPr>
        <w:lastRenderedPageBreak/>
        <w:t>ADMINISTRACIÓN DELEGADA</w:t>
      </w:r>
      <w:bookmarkStart w:id="1" w:name="_Hlk39676694"/>
      <w:r w:rsidRPr="00CB0B04">
        <w:rPr>
          <w:rFonts w:ascii="Verdana" w:eastAsia="Times New Roman" w:hAnsi="Verdana"/>
          <w:b/>
          <w:bCs/>
          <w:color w:val="000000" w:themeColor="text1"/>
          <w:lang w:val="es-ES_tradnl" w:eastAsia="es-ES_tradnl"/>
        </w:rPr>
        <w:t xml:space="preserve"> –</w:t>
      </w:r>
      <w:bookmarkEnd w:id="1"/>
      <w:r w:rsidRPr="00CB0B04">
        <w:rPr>
          <w:rFonts w:ascii="Verdana" w:eastAsia="Times New Roman" w:hAnsi="Verdana"/>
          <w:b/>
          <w:bCs/>
          <w:color w:val="000000" w:themeColor="text1"/>
          <w:lang w:val="es-ES_tradnl" w:eastAsia="es-ES_tradnl"/>
        </w:rPr>
        <w:t xml:space="preserve"> Noción – Definición – Mandato – Administración y pago</w:t>
      </w:r>
    </w:p>
    <w:p w14:paraId="0A06DA8C" w14:textId="77777777" w:rsidR="00CB0B04" w:rsidRPr="00C041E0" w:rsidRDefault="00CB0B04" w:rsidP="00180CBF">
      <w:pPr>
        <w:spacing w:after="0" w:line="240" w:lineRule="auto"/>
        <w:jc w:val="both"/>
        <w:rPr>
          <w:rFonts w:ascii="Arial" w:eastAsia="Calibri" w:hAnsi="Arial" w:cs="Arial"/>
          <w:b/>
          <w:sz w:val="20"/>
          <w:szCs w:val="20"/>
          <w:lang w:val="es-ES_tradnl"/>
        </w:rPr>
      </w:pPr>
    </w:p>
    <w:p w14:paraId="43FAD5C5" w14:textId="3CF92A2B" w:rsidR="00CB0B04" w:rsidRPr="00CB0B04" w:rsidRDefault="00CB0B04" w:rsidP="00180CBF">
      <w:pPr>
        <w:spacing w:after="0" w:line="240" w:lineRule="auto"/>
        <w:jc w:val="both"/>
        <w:rPr>
          <w:rFonts w:ascii="Verdana" w:eastAsia="Calibri" w:hAnsi="Verdana"/>
          <w:color w:val="000000" w:themeColor="text1"/>
          <w:sz w:val="20"/>
          <w:szCs w:val="20"/>
          <w:lang w:val="es-ES" w:eastAsia="es-ES_tradnl"/>
        </w:rPr>
      </w:pPr>
      <w:r w:rsidRPr="00CB0B04">
        <w:rPr>
          <w:rFonts w:ascii="Verdana" w:eastAsia="Calibri" w:hAnsi="Verdana"/>
          <w:color w:val="000000" w:themeColor="text1"/>
          <w:sz w:val="20"/>
          <w:szCs w:val="20"/>
          <w:lang w:val="es-ES" w:eastAsia="es-ES_tradnl"/>
        </w:rPr>
        <w:t xml:space="preserve">[…] Además del contrato de mandato, la administración delegada puede concebirse como una forma de pago de contratos como el de obra pública o de interventoría. En efecto, dentro de la forma de pactar la metodología de ejecución y el precio de los contratos estatales de obra pública, las partes pueden emplear distintos sistemas, como, por ejemplo, i) el </w:t>
      </w:r>
      <w:r w:rsidR="00934619">
        <w:rPr>
          <w:rFonts w:ascii="Verdana" w:eastAsia="Calibri" w:hAnsi="Verdana"/>
          <w:color w:val="000000" w:themeColor="text1"/>
          <w:sz w:val="20"/>
          <w:szCs w:val="20"/>
          <w:lang w:val="es-ES" w:eastAsia="es-ES_tradnl"/>
        </w:rPr>
        <w:t>“</w:t>
      </w:r>
      <w:r w:rsidRPr="00CB0B04">
        <w:rPr>
          <w:rFonts w:ascii="Verdana" w:eastAsia="Calibri" w:hAnsi="Verdana"/>
          <w:color w:val="000000" w:themeColor="text1"/>
          <w:sz w:val="20"/>
          <w:szCs w:val="20"/>
          <w:lang w:val="es-ES" w:eastAsia="es-ES_tradnl"/>
        </w:rPr>
        <w:t>precio global</w:t>
      </w:r>
      <w:r w:rsidR="00934619">
        <w:rPr>
          <w:rFonts w:ascii="Verdana" w:eastAsia="Calibri" w:hAnsi="Verdana"/>
          <w:color w:val="000000" w:themeColor="text1"/>
          <w:sz w:val="20"/>
          <w:szCs w:val="20"/>
          <w:lang w:val="es-ES" w:eastAsia="es-ES_tradnl"/>
        </w:rPr>
        <w:t>”</w:t>
      </w:r>
      <w:r w:rsidRPr="00CB0B04">
        <w:rPr>
          <w:rFonts w:ascii="Verdana" w:eastAsia="Calibri" w:hAnsi="Verdana"/>
          <w:color w:val="000000" w:themeColor="text1"/>
          <w:sz w:val="20"/>
          <w:szCs w:val="20"/>
          <w:lang w:val="es-ES" w:eastAsia="es-ES_tradnl"/>
        </w:rPr>
        <w:t xml:space="preserve"> –en el que se paga </w:t>
      </w:r>
      <w:r w:rsidR="00934619">
        <w:rPr>
          <w:rFonts w:ascii="Verdana" w:eastAsia="Calibri" w:hAnsi="Verdana"/>
          <w:color w:val="000000" w:themeColor="text1"/>
          <w:sz w:val="20"/>
          <w:szCs w:val="20"/>
          <w:lang w:val="es-ES" w:eastAsia="es-ES_tradnl"/>
        </w:rPr>
        <w:t>“</w:t>
      </w:r>
      <w:r w:rsidRPr="00CB0B04">
        <w:rPr>
          <w:rFonts w:ascii="Verdana" w:eastAsia="Calibri" w:hAnsi="Verdana"/>
          <w:color w:val="000000" w:themeColor="text1"/>
          <w:sz w:val="20"/>
          <w:szCs w:val="20"/>
          <w:lang w:val="es-ES" w:eastAsia="es-ES_tradnl"/>
        </w:rPr>
        <w:t>a mano alzada</w:t>
      </w:r>
      <w:r w:rsidR="00934619">
        <w:rPr>
          <w:rFonts w:ascii="Verdana" w:eastAsia="Calibri" w:hAnsi="Verdana"/>
          <w:color w:val="000000" w:themeColor="text1"/>
          <w:sz w:val="20"/>
          <w:szCs w:val="20"/>
          <w:lang w:val="es-ES" w:eastAsia="es-ES_tradnl"/>
        </w:rPr>
        <w:t>”</w:t>
      </w:r>
      <w:r w:rsidRPr="00CB0B04">
        <w:rPr>
          <w:rFonts w:ascii="Verdana" w:eastAsia="Calibri" w:hAnsi="Verdana"/>
          <w:color w:val="000000" w:themeColor="text1"/>
          <w:sz w:val="20"/>
          <w:szCs w:val="20"/>
          <w:lang w:val="es-ES" w:eastAsia="es-ES_tradnl"/>
        </w:rPr>
        <w:t xml:space="preserve"> el objeto del contrato–; </w:t>
      </w:r>
      <w:proofErr w:type="spellStart"/>
      <w:r w:rsidRPr="00CB0B04">
        <w:rPr>
          <w:rFonts w:ascii="Verdana" w:eastAsia="Calibri" w:hAnsi="Verdana"/>
          <w:color w:val="000000" w:themeColor="text1"/>
          <w:sz w:val="20"/>
          <w:szCs w:val="20"/>
          <w:lang w:val="es-ES" w:eastAsia="es-ES_tradnl"/>
        </w:rPr>
        <w:t>ii</w:t>
      </w:r>
      <w:proofErr w:type="spellEnd"/>
      <w:r w:rsidRPr="00CB0B04">
        <w:rPr>
          <w:rFonts w:ascii="Verdana" w:eastAsia="Calibri" w:hAnsi="Verdana"/>
          <w:color w:val="000000" w:themeColor="text1"/>
          <w:sz w:val="20"/>
          <w:szCs w:val="20"/>
          <w:lang w:val="es-ES" w:eastAsia="es-ES_tradnl"/>
        </w:rPr>
        <w:t xml:space="preserve">) los </w:t>
      </w:r>
      <w:r w:rsidR="00934619">
        <w:rPr>
          <w:rFonts w:ascii="Verdana" w:eastAsia="Calibri" w:hAnsi="Verdana"/>
          <w:color w:val="000000" w:themeColor="text1"/>
          <w:sz w:val="20"/>
          <w:szCs w:val="20"/>
          <w:lang w:val="es-ES" w:eastAsia="es-ES_tradnl"/>
        </w:rPr>
        <w:t>“</w:t>
      </w:r>
      <w:r w:rsidRPr="00CB0B04">
        <w:rPr>
          <w:rFonts w:ascii="Verdana" w:eastAsia="Calibri" w:hAnsi="Verdana"/>
          <w:color w:val="000000" w:themeColor="text1"/>
          <w:sz w:val="20"/>
          <w:szCs w:val="20"/>
          <w:lang w:val="es-ES" w:eastAsia="es-ES_tradnl"/>
        </w:rPr>
        <w:t>precios unitarios</w:t>
      </w:r>
      <w:r w:rsidR="00934619">
        <w:rPr>
          <w:rFonts w:ascii="Verdana" w:eastAsia="Calibri" w:hAnsi="Verdana"/>
          <w:color w:val="000000" w:themeColor="text1"/>
          <w:sz w:val="20"/>
          <w:szCs w:val="20"/>
          <w:lang w:val="es-ES" w:eastAsia="es-ES_tradnl"/>
        </w:rPr>
        <w:t>”</w:t>
      </w:r>
      <w:r w:rsidRPr="00CB0B04">
        <w:rPr>
          <w:rFonts w:ascii="Verdana" w:eastAsia="Calibri" w:hAnsi="Verdana"/>
          <w:color w:val="000000" w:themeColor="text1"/>
          <w:sz w:val="20"/>
          <w:szCs w:val="20"/>
          <w:lang w:val="es-ES" w:eastAsia="es-ES_tradnl"/>
        </w:rPr>
        <w:t xml:space="preserve"> –en los cuales se suelen detallar los costos directos, diferenciándolos de los costos indirectos de administración (A), imprevistos (I) y utilidades (U)–, o </w:t>
      </w:r>
      <w:proofErr w:type="spellStart"/>
      <w:r w:rsidRPr="00CB0B04">
        <w:rPr>
          <w:rFonts w:ascii="Verdana" w:eastAsia="Calibri" w:hAnsi="Verdana"/>
          <w:color w:val="000000" w:themeColor="text1"/>
          <w:sz w:val="20"/>
          <w:szCs w:val="20"/>
          <w:lang w:val="es-ES" w:eastAsia="es-ES_tradnl"/>
        </w:rPr>
        <w:t>iii</w:t>
      </w:r>
      <w:proofErr w:type="spellEnd"/>
      <w:r w:rsidRPr="00CB0B04">
        <w:rPr>
          <w:rFonts w:ascii="Verdana" w:eastAsia="Calibri" w:hAnsi="Verdana"/>
          <w:color w:val="000000" w:themeColor="text1"/>
          <w:sz w:val="20"/>
          <w:szCs w:val="20"/>
          <w:lang w:val="es-ES" w:eastAsia="es-ES_tradnl"/>
        </w:rPr>
        <w:t xml:space="preserve">) la </w:t>
      </w:r>
      <w:r w:rsidR="00934619">
        <w:rPr>
          <w:rFonts w:ascii="Verdana" w:eastAsia="Calibri" w:hAnsi="Verdana"/>
          <w:color w:val="000000" w:themeColor="text1"/>
          <w:sz w:val="20"/>
          <w:szCs w:val="20"/>
          <w:lang w:val="es-ES" w:eastAsia="es-ES_tradnl"/>
        </w:rPr>
        <w:t>“</w:t>
      </w:r>
      <w:r w:rsidRPr="00CB0B04">
        <w:rPr>
          <w:rFonts w:ascii="Verdana" w:eastAsia="Calibri" w:hAnsi="Verdana"/>
          <w:color w:val="000000" w:themeColor="text1"/>
          <w:sz w:val="20"/>
          <w:szCs w:val="20"/>
          <w:lang w:val="es-ES" w:eastAsia="es-ES_tradnl"/>
        </w:rPr>
        <w:t>administración delegada</w:t>
      </w:r>
      <w:r w:rsidR="00934619">
        <w:rPr>
          <w:rFonts w:ascii="Verdana" w:eastAsia="Calibri" w:hAnsi="Verdana"/>
          <w:color w:val="000000" w:themeColor="text1"/>
          <w:sz w:val="20"/>
          <w:szCs w:val="20"/>
          <w:lang w:val="es-ES" w:eastAsia="es-ES_tradnl"/>
        </w:rPr>
        <w:t>”</w:t>
      </w:r>
      <w:r w:rsidRPr="00CB0B04">
        <w:rPr>
          <w:rFonts w:ascii="Verdana" w:eastAsia="Calibri" w:hAnsi="Verdana"/>
          <w:color w:val="000000" w:themeColor="text1"/>
          <w:sz w:val="20"/>
          <w:szCs w:val="20"/>
          <w:lang w:val="es-ES" w:eastAsia="es-ES_tradnl"/>
        </w:rPr>
        <w:t>, que consiste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w:t>
      </w:r>
    </w:p>
    <w:p w14:paraId="334FEC77" w14:textId="77777777" w:rsidR="005C06ED" w:rsidRDefault="005C06ED" w:rsidP="00180CBF">
      <w:pPr>
        <w:spacing w:after="0" w:line="240" w:lineRule="auto"/>
        <w:jc w:val="both"/>
        <w:rPr>
          <w:rFonts w:ascii="Verdana" w:eastAsia="Calibri" w:hAnsi="Verdana"/>
          <w:color w:val="000000" w:themeColor="text1"/>
          <w:sz w:val="20"/>
          <w:szCs w:val="20"/>
          <w:highlight w:val="yellow"/>
          <w:lang w:val="es-ES" w:eastAsia="es-ES_tradnl"/>
        </w:rPr>
      </w:pPr>
    </w:p>
    <w:p w14:paraId="105BDF64" w14:textId="77777777" w:rsidR="00180CBF" w:rsidRPr="00180CBF" w:rsidRDefault="00180CBF" w:rsidP="00180CBF">
      <w:pPr>
        <w:spacing w:after="0" w:line="240" w:lineRule="auto"/>
        <w:jc w:val="both"/>
        <w:rPr>
          <w:rFonts w:ascii="Verdana" w:eastAsia="Times New Roman" w:hAnsi="Verdana"/>
          <w:b/>
          <w:bCs/>
          <w:color w:val="000000" w:themeColor="text1"/>
          <w:lang w:val="es-ES_tradnl" w:eastAsia="es-ES_tradnl"/>
        </w:rPr>
      </w:pPr>
      <w:r w:rsidRPr="00180CBF">
        <w:rPr>
          <w:rFonts w:ascii="Verdana" w:eastAsia="Times New Roman" w:hAnsi="Verdana"/>
          <w:b/>
          <w:bCs/>
          <w:color w:val="000000" w:themeColor="text1"/>
          <w:lang w:val="es-ES_tradnl" w:eastAsia="es-ES_tradnl"/>
        </w:rPr>
        <w:t>INHABILIDAD PARA CONTRATAR – Contrato de Interventoría – Suscripción – Contratos previos – Alcance</w:t>
      </w:r>
    </w:p>
    <w:p w14:paraId="2E04FC9D" w14:textId="77777777" w:rsidR="00180CBF" w:rsidRPr="00F32C60" w:rsidRDefault="00180CBF" w:rsidP="00180CBF">
      <w:pPr>
        <w:spacing w:after="0" w:line="240" w:lineRule="auto"/>
        <w:jc w:val="both"/>
        <w:rPr>
          <w:rFonts w:ascii="Verdana" w:eastAsia="Calibri" w:hAnsi="Verdana"/>
          <w:color w:val="000000" w:themeColor="text1"/>
          <w:sz w:val="20"/>
          <w:szCs w:val="20"/>
          <w:highlight w:val="yellow"/>
          <w:lang w:val="es-ES" w:eastAsia="es-ES_tradnl"/>
        </w:rPr>
      </w:pPr>
    </w:p>
    <w:p w14:paraId="263622AA" w14:textId="7C9A75C2" w:rsidR="00E857F9" w:rsidRPr="00E857F9" w:rsidRDefault="00E857F9" w:rsidP="00F56517">
      <w:pPr>
        <w:snapToGrid w:val="0"/>
        <w:spacing w:after="120" w:line="240" w:lineRule="auto"/>
        <w:jc w:val="both"/>
        <w:rPr>
          <w:rFonts w:ascii="Verdana" w:eastAsia="Calibri" w:hAnsi="Verdana"/>
          <w:color w:val="000000" w:themeColor="text1"/>
          <w:sz w:val="20"/>
          <w:szCs w:val="20"/>
          <w:lang w:val="es-ES" w:eastAsia="es-ES_tradnl"/>
        </w:rPr>
      </w:pPr>
      <w:r w:rsidRPr="00E857F9">
        <w:rPr>
          <w:rFonts w:ascii="Verdana" w:eastAsia="Calibri" w:hAnsi="Verdana"/>
          <w:color w:val="000000" w:themeColor="text1"/>
          <w:sz w:val="20"/>
          <w:szCs w:val="20"/>
          <w:lang w:val="es-ES" w:eastAsia="es-ES_tradnl"/>
        </w:rPr>
        <w:t xml:space="preserve">En este orden de ideas, la inhabilidad del artículo 5 de la Ley 1474 de 2011 se origina por el hecho de que el interesado en participar en un proceso que tiene por objeto celebrar un contrato de interventoría se encuentra ejecutando con la misma entidad contratos de obra, de concesión o de suministro de medicamentos y alimentos, o que habiéndose ejecutado no se han liquidado. Es decir, por haber suscrito uno </w:t>
      </w:r>
      <w:r w:rsidR="007057CE">
        <w:rPr>
          <w:rFonts w:ascii="Verdana" w:eastAsia="Calibri" w:hAnsi="Verdana"/>
          <w:color w:val="000000" w:themeColor="text1"/>
          <w:sz w:val="20"/>
          <w:szCs w:val="20"/>
          <w:lang w:val="es-ES" w:eastAsia="es-ES_tradnl"/>
        </w:rPr>
        <w:t xml:space="preserve">de </w:t>
      </w:r>
      <w:r w:rsidRPr="00E857F9">
        <w:rPr>
          <w:rFonts w:ascii="Verdana" w:eastAsia="Calibri" w:hAnsi="Verdana"/>
          <w:color w:val="000000" w:themeColor="text1"/>
          <w:sz w:val="20"/>
          <w:szCs w:val="20"/>
          <w:lang w:val="es-ES" w:eastAsia="es-ES_tradnl"/>
        </w:rPr>
        <w:t>estos contratos con anterioridad a la interventoría este contratista no puede suscribir contratos de interventoría con la misma entidad, sin que sea necesaria la existencia de relación entre la interventoría y los demás contratos previstos en esta norma.</w:t>
      </w:r>
    </w:p>
    <w:p w14:paraId="05DC9553" w14:textId="7B98844C" w:rsidR="00E857F9" w:rsidRPr="00E857F9" w:rsidRDefault="00E857F9" w:rsidP="00180CBF">
      <w:pPr>
        <w:spacing w:after="0" w:line="240" w:lineRule="auto"/>
        <w:jc w:val="both"/>
        <w:rPr>
          <w:rFonts w:ascii="Verdana" w:eastAsia="Calibri" w:hAnsi="Verdana"/>
          <w:color w:val="000000" w:themeColor="text1"/>
          <w:sz w:val="20"/>
          <w:szCs w:val="20"/>
          <w:lang w:val="es-ES" w:eastAsia="es-ES_tradnl"/>
        </w:rPr>
      </w:pPr>
      <w:r w:rsidRPr="00E857F9">
        <w:rPr>
          <w:rFonts w:ascii="Verdana" w:eastAsia="Calibri" w:hAnsi="Verdana"/>
          <w:color w:val="000000" w:themeColor="text1"/>
          <w:sz w:val="20"/>
          <w:szCs w:val="20"/>
          <w:lang w:val="es-ES" w:eastAsia="es-ES_tradnl"/>
        </w:rPr>
        <w:t xml:space="preserve">Por otro lado, esta prohibición no puede extenderse a otros contratos que no están previstos en el artículo 5 de la Ley 1474 de 2011, ni a los contratos de obra, de concesión, de suministro de medicamentos y de alimentos que ya se encuentran </w:t>
      </w:r>
      <w:r w:rsidR="00F56517">
        <w:rPr>
          <w:rFonts w:ascii="Verdana" w:eastAsia="Calibri" w:hAnsi="Verdana"/>
          <w:color w:val="000000" w:themeColor="text1"/>
          <w:sz w:val="20"/>
          <w:szCs w:val="20"/>
          <w:lang w:val="es-ES" w:eastAsia="es-ES_tradnl"/>
        </w:rPr>
        <w:t>liquidados</w:t>
      </w:r>
      <w:r w:rsidRPr="00E857F9">
        <w:rPr>
          <w:rFonts w:ascii="Verdana" w:eastAsia="Calibri" w:hAnsi="Verdana"/>
          <w:color w:val="000000" w:themeColor="text1"/>
          <w:sz w:val="20"/>
          <w:szCs w:val="20"/>
          <w:lang w:val="es-ES" w:eastAsia="es-ES_tradnl"/>
        </w:rPr>
        <w:t>, toda vez que, como se mencionó, las inhabilidades e incompatibilidades son de aplicación restrictiva.</w:t>
      </w:r>
    </w:p>
    <w:p w14:paraId="621FE3BA" w14:textId="77777777" w:rsidR="005C06ED" w:rsidRPr="00F32C60" w:rsidRDefault="005C06ED" w:rsidP="00383AEB">
      <w:pPr>
        <w:spacing w:after="0" w:line="240" w:lineRule="auto"/>
        <w:jc w:val="both"/>
        <w:rPr>
          <w:rFonts w:ascii="Verdana" w:eastAsia="Calibri" w:hAnsi="Verdana"/>
          <w:color w:val="000000" w:themeColor="text1"/>
          <w:sz w:val="20"/>
          <w:szCs w:val="20"/>
          <w:highlight w:val="yellow"/>
          <w:lang w:val="es-ES" w:eastAsia="es-ES_tradnl"/>
        </w:rPr>
      </w:pPr>
    </w:p>
    <w:p w14:paraId="79652223" w14:textId="77777777" w:rsidR="005C06ED" w:rsidRPr="00F32C60" w:rsidRDefault="005C06ED" w:rsidP="00383AEB">
      <w:pPr>
        <w:spacing w:after="0" w:line="240" w:lineRule="auto"/>
        <w:jc w:val="both"/>
        <w:rPr>
          <w:rFonts w:ascii="Verdana" w:eastAsia="Calibri" w:hAnsi="Verdana"/>
          <w:color w:val="000000" w:themeColor="text1"/>
          <w:sz w:val="20"/>
          <w:szCs w:val="20"/>
          <w:highlight w:val="yellow"/>
          <w:lang w:val="es-ES" w:eastAsia="es-ES_tradnl"/>
        </w:rPr>
      </w:pPr>
    </w:p>
    <w:p w14:paraId="7E86411D" w14:textId="77777777" w:rsidR="005C06ED" w:rsidRPr="00F32C60" w:rsidRDefault="005C06ED" w:rsidP="00383AEB">
      <w:pPr>
        <w:spacing w:after="0" w:line="240" w:lineRule="auto"/>
        <w:jc w:val="both"/>
        <w:rPr>
          <w:rFonts w:ascii="Verdana" w:eastAsia="Calibri" w:hAnsi="Verdana"/>
          <w:color w:val="000000" w:themeColor="text1"/>
          <w:sz w:val="20"/>
          <w:szCs w:val="20"/>
          <w:highlight w:val="yellow"/>
          <w:lang w:val="es-ES" w:eastAsia="es-ES_tradnl"/>
        </w:rPr>
      </w:pPr>
    </w:p>
    <w:p w14:paraId="78E63A14" w14:textId="77777777" w:rsidR="005C06ED" w:rsidRPr="00F32C60" w:rsidRDefault="005C06ED" w:rsidP="00383AEB">
      <w:pPr>
        <w:spacing w:after="0" w:line="240" w:lineRule="auto"/>
        <w:jc w:val="both"/>
        <w:rPr>
          <w:rFonts w:ascii="Verdana" w:eastAsia="Calibri" w:hAnsi="Verdana"/>
          <w:color w:val="000000" w:themeColor="text1"/>
          <w:sz w:val="20"/>
          <w:szCs w:val="20"/>
          <w:highlight w:val="yellow"/>
          <w:lang w:val="es-ES" w:eastAsia="es-ES_tradnl"/>
        </w:rPr>
      </w:pPr>
    </w:p>
    <w:p w14:paraId="7952D1E0" w14:textId="77777777" w:rsidR="005C06ED" w:rsidRPr="00F32C60" w:rsidRDefault="005C06ED" w:rsidP="00383AEB">
      <w:pPr>
        <w:spacing w:after="0" w:line="240" w:lineRule="auto"/>
        <w:jc w:val="both"/>
        <w:rPr>
          <w:rFonts w:ascii="Verdana" w:eastAsia="Calibri" w:hAnsi="Verdana"/>
          <w:color w:val="000000" w:themeColor="text1"/>
          <w:sz w:val="20"/>
          <w:szCs w:val="20"/>
          <w:highlight w:val="yellow"/>
          <w:lang w:val="es-ES" w:eastAsia="es-ES_tradnl"/>
        </w:rPr>
      </w:pPr>
    </w:p>
    <w:p w14:paraId="384BB7EF" w14:textId="77777777" w:rsidR="005C06ED" w:rsidRPr="00F32C60" w:rsidRDefault="005C06ED" w:rsidP="00383AEB">
      <w:pPr>
        <w:spacing w:after="0" w:line="240" w:lineRule="auto"/>
        <w:jc w:val="both"/>
        <w:rPr>
          <w:rFonts w:ascii="Verdana" w:eastAsia="Calibri" w:hAnsi="Verdana"/>
          <w:color w:val="000000" w:themeColor="text1"/>
          <w:sz w:val="20"/>
          <w:szCs w:val="20"/>
          <w:highlight w:val="yellow"/>
          <w:lang w:val="es-ES" w:eastAsia="es-ES_tradnl"/>
        </w:rPr>
      </w:pPr>
    </w:p>
    <w:p w14:paraId="53E3675D" w14:textId="77777777" w:rsidR="005C06ED" w:rsidRPr="00F32C60" w:rsidRDefault="005C06ED" w:rsidP="00383AEB">
      <w:pPr>
        <w:spacing w:after="0" w:line="240" w:lineRule="auto"/>
        <w:jc w:val="both"/>
        <w:rPr>
          <w:rFonts w:ascii="Verdana" w:eastAsia="Calibri" w:hAnsi="Verdana"/>
          <w:color w:val="000000" w:themeColor="text1"/>
          <w:sz w:val="20"/>
          <w:szCs w:val="20"/>
          <w:highlight w:val="yellow"/>
          <w:lang w:val="es-ES" w:eastAsia="es-ES_tradnl"/>
        </w:rPr>
      </w:pPr>
    </w:p>
    <w:p w14:paraId="0B0CC49B" w14:textId="77777777" w:rsidR="005C06ED" w:rsidRPr="00F32C60" w:rsidRDefault="005C06ED" w:rsidP="00383AEB">
      <w:pPr>
        <w:spacing w:after="0" w:line="240" w:lineRule="auto"/>
        <w:jc w:val="both"/>
        <w:rPr>
          <w:rFonts w:ascii="Verdana" w:eastAsia="Calibri" w:hAnsi="Verdana"/>
          <w:color w:val="000000" w:themeColor="text1"/>
          <w:sz w:val="20"/>
          <w:szCs w:val="20"/>
          <w:highlight w:val="yellow"/>
          <w:lang w:val="es-ES" w:eastAsia="es-ES_tradnl"/>
        </w:rPr>
      </w:pPr>
    </w:p>
    <w:p w14:paraId="22C0E674" w14:textId="77777777" w:rsidR="005C06ED" w:rsidRDefault="005C06ED" w:rsidP="00383AEB">
      <w:pPr>
        <w:spacing w:after="0" w:line="240" w:lineRule="auto"/>
        <w:jc w:val="both"/>
        <w:rPr>
          <w:rFonts w:ascii="Verdana" w:eastAsia="Calibri" w:hAnsi="Verdana"/>
          <w:color w:val="000000" w:themeColor="text1"/>
          <w:sz w:val="20"/>
          <w:szCs w:val="20"/>
          <w:highlight w:val="yellow"/>
          <w:lang w:val="es-ES" w:eastAsia="es-ES_tradnl"/>
        </w:rPr>
      </w:pPr>
    </w:p>
    <w:p w14:paraId="2E30634D" w14:textId="77777777" w:rsidR="00F56517" w:rsidRDefault="00F56517" w:rsidP="00383AEB">
      <w:pPr>
        <w:spacing w:after="0" w:line="240" w:lineRule="auto"/>
        <w:jc w:val="both"/>
        <w:rPr>
          <w:rFonts w:ascii="Verdana" w:eastAsia="Calibri" w:hAnsi="Verdana"/>
          <w:color w:val="000000" w:themeColor="text1"/>
          <w:sz w:val="20"/>
          <w:szCs w:val="20"/>
          <w:highlight w:val="yellow"/>
          <w:lang w:val="es-ES" w:eastAsia="es-ES_tradnl"/>
        </w:rPr>
      </w:pPr>
    </w:p>
    <w:p w14:paraId="6A6D1F24" w14:textId="77777777" w:rsidR="00F56517" w:rsidRDefault="00F56517" w:rsidP="00383AEB">
      <w:pPr>
        <w:spacing w:after="0" w:line="240" w:lineRule="auto"/>
        <w:jc w:val="both"/>
        <w:rPr>
          <w:rFonts w:ascii="Verdana" w:eastAsia="Calibri" w:hAnsi="Verdana"/>
          <w:color w:val="000000" w:themeColor="text1"/>
          <w:sz w:val="20"/>
          <w:szCs w:val="20"/>
          <w:highlight w:val="yellow"/>
          <w:lang w:val="es-ES" w:eastAsia="es-ES_tradnl"/>
        </w:rPr>
      </w:pPr>
    </w:p>
    <w:p w14:paraId="67BCF8B8" w14:textId="77777777" w:rsidR="00F56517" w:rsidRDefault="00F56517" w:rsidP="00383AEB">
      <w:pPr>
        <w:spacing w:after="0" w:line="240" w:lineRule="auto"/>
        <w:jc w:val="both"/>
        <w:rPr>
          <w:rFonts w:ascii="Verdana" w:eastAsia="Calibri" w:hAnsi="Verdana"/>
          <w:color w:val="000000" w:themeColor="text1"/>
          <w:sz w:val="20"/>
          <w:szCs w:val="20"/>
          <w:highlight w:val="yellow"/>
          <w:lang w:val="es-ES" w:eastAsia="es-ES_tradnl"/>
        </w:rPr>
      </w:pPr>
    </w:p>
    <w:p w14:paraId="7CA781F1" w14:textId="77777777" w:rsidR="00F56517" w:rsidRPr="00F32C60" w:rsidRDefault="00F56517" w:rsidP="00383AEB">
      <w:pPr>
        <w:spacing w:after="0" w:line="240" w:lineRule="auto"/>
        <w:jc w:val="both"/>
        <w:rPr>
          <w:rFonts w:ascii="Verdana" w:eastAsia="Calibri" w:hAnsi="Verdana"/>
          <w:color w:val="000000" w:themeColor="text1"/>
          <w:sz w:val="20"/>
          <w:szCs w:val="20"/>
          <w:highlight w:val="yellow"/>
          <w:lang w:val="es-ES" w:eastAsia="es-ES_tradnl"/>
        </w:rPr>
      </w:pPr>
    </w:p>
    <w:p w14:paraId="2099498F" w14:textId="77777777" w:rsidR="00180CBF" w:rsidRDefault="00180CBF" w:rsidP="005C06ED">
      <w:pPr>
        <w:spacing w:after="0" w:line="240" w:lineRule="auto"/>
        <w:rPr>
          <w:rFonts w:ascii="Verdana" w:eastAsia="Calibri" w:hAnsi="Verdana"/>
          <w:color w:val="000000" w:themeColor="text1"/>
          <w:sz w:val="20"/>
          <w:szCs w:val="20"/>
          <w:lang w:val="es-ES" w:eastAsia="es-ES_tradnl"/>
        </w:rPr>
      </w:pPr>
    </w:p>
    <w:p w14:paraId="0CE7BCB8" w14:textId="4DAD3E4B" w:rsidR="005C06ED" w:rsidRDefault="005C06ED" w:rsidP="005C06ED">
      <w:pPr>
        <w:spacing w:after="0" w:line="240" w:lineRule="auto"/>
        <w:rPr>
          <w:rFonts w:ascii="Verdana" w:eastAsia="Times New Roman" w:hAnsi="Verdana" w:cs="Arial"/>
          <w:lang w:eastAsia="es-ES_tradnl"/>
        </w:rPr>
      </w:pPr>
      <w:r w:rsidRPr="00F32C60">
        <w:rPr>
          <w:rFonts w:ascii="Verdana" w:eastAsia="Times New Roman" w:hAnsi="Verdana" w:cs="Arial"/>
          <w:lang w:eastAsia="es-ES_tradnl"/>
        </w:rPr>
        <w:lastRenderedPageBreak/>
        <w:t>Bogotá D.C., </w:t>
      </w:r>
      <w:r w:rsidR="0061389F">
        <w:rPr>
          <w:rFonts w:ascii="Verdana" w:eastAsia="Times New Roman" w:hAnsi="Verdana" w:cs="Arial"/>
          <w:lang w:eastAsia="es-ES_tradnl"/>
        </w:rPr>
        <w:t>24</w:t>
      </w:r>
      <w:r w:rsidRPr="00F32C60">
        <w:rPr>
          <w:rFonts w:ascii="Verdana" w:eastAsia="Times New Roman" w:hAnsi="Verdana" w:cs="Arial"/>
          <w:lang w:eastAsia="es-ES_tradnl"/>
        </w:rPr>
        <w:t xml:space="preserve"> de </w:t>
      </w:r>
      <w:r w:rsidR="0061389F">
        <w:rPr>
          <w:rFonts w:ascii="Verdana" w:eastAsia="Times New Roman" w:hAnsi="Verdana" w:cs="Arial"/>
          <w:lang w:eastAsia="es-ES_tradnl"/>
        </w:rPr>
        <w:t>febrero</w:t>
      </w:r>
      <w:r w:rsidRPr="00F32C60">
        <w:rPr>
          <w:rFonts w:ascii="Verdana" w:eastAsia="Times New Roman" w:hAnsi="Verdana" w:cs="Arial"/>
          <w:lang w:eastAsia="es-ES_tradnl"/>
        </w:rPr>
        <w:t xml:space="preserve"> de</w:t>
      </w:r>
      <w:r w:rsidR="0061389F">
        <w:rPr>
          <w:rFonts w:ascii="Verdana" w:eastAsia="Times New Roman" w:hAnsi="Verdana" w:cs="Arial"/>
          <w:lang w:eastAsia="es-ES_tradnl"/>
        </w:rPr>
        <w:t xml:space="preserve"> 2025</w:t>
      </w:r>
    </w:p>
    <w:p w14:paraId="1F60020A" w14:textId="77777777" w:rsidR="0061389F" w:rsidRPr="00F32C60" w:rsidRDefault="0061389F" w:rsidP="005C06ED">
      <w:pPr>
        <w:spacing w:after="0" w:line="240" w:lineRule="auto"/>
        <w:rPr>
          <w:rFonts w:ascii="Verdana" w:eastAsia="Times New Roman" w:hAnsi="Verdana" w:cs="Arial"/>
          <w:lang w:eastAsia="es-ES_tradnl"/>
        </w:rPr>
      </w:pPr>
    </w:p>
    <w:p w14:paraId="5FCADBF9" w14:textId="4A21E60E" w:rsidR="00E245AB" w:rsidRPr="00F32C60" w:rsidRDefault="0061389F" w:rsidP="00FA7BA2">
      <w:pPr>
        <w:spacing w:after="0"/>
        <w:jc w:val="right"/>
        <w:rPr>
          <w:rFonts w:ascii="Verdana" w:hAnsi="Verdana"/>
          <w:color w:val="000000" w:themeColor="text1"/>
        </w:rPr>
      </w:pPr>
      <w:proofErr w:type="spellStart"/>
      <w:r w:rsidRPr="0061389F">
        <w:rPr>
          <w:rFonts w:ascii="Verdana" w:hAnsi="Verdana"/>
          <w:color w:val="000000" w:themeColor="text1"/>
        </w:rPr>
        <w:drawing>
          <wp:inline distT="0" distB="0" distL="0" distR="0" wp14:anchorId="11838F9D" wp14:editId="546864D9">
            <wp:extent cx="3404235" cy="1184703"/>
            <wp:effectExtent l="0" t="0" r="0" b="0"/>
            <wp:docPr id="14000069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06933" name=""/>
                    <pic:cNvPicPr/>
                  </pic:nvPicPr>
                  <pic:blipFill>
                    <a:blip r:embed="rId11"/>
                    <a:stretch>
                      <a:fillRect/>
                    </a:stretch>
                  </pic:blipFill>
                  <pic:spPr>
                    <a:xfrm>
                      <a:off x="0" y="0"/>
                      <a:ext cx="3507939" cy="1220793"/>
                    </a:xfrm>
                    <a:prstGeom prst="rect">
                      <a:avLst/>
                    </a:prstGeom>
                  </pic:spPr>
                </pic:pic>
              </a:graphicData>
            </a:graphic>
          </wp:inline>
        </w:drawing>
      </w:r>
    </w:p>
    <w:p w14:paraId="417C0863" w14:textId="2B0B8793" w:rsidR="00AF4EF0" w:rsidRPr="00F32C60" w:rsidRDefault="00C51EBE" w:rsidP="00AF4EF0">
      <w:pPr>
        <w:spacing w:after="0" w:line="240" w:lineRule="auto"/>
        <w:jc w:val="both"/>
        <w:rPr>
          <w:rFonts w:ascii="Verdana" w:eastAsia="Calibri" w:hAnsi="Verdana" w:cs="Arial"/>
          <w:color w:val="000000" w:themeColor="text1"/>
          <w:lang w:val="es-ES" w:eastAsia="es-ES"/>
        </w:rPr>
      </w:pPr>
      <w:r w:rsidRPr="00F32C60">
        <w:rPr>
          <w:rFonts w:ascii="Verdana" w:eastAsia="Calibri" w:hAnsi="Verdana" w:cs="Arial"/>
          <w:color w:val="000000" w:themeColor="text1"/>
          <w:lang w:val="es-ES" w:eastAsia="es-ES"/>
        </w:rPr>
        <w:t>Do</w:t>
      </w:r>
      <w:proofErr w:type="spellEnd"/>
      <w:r w:rsidRPr="00F32C60">
        <w:rPr>
          <w:rFonts w:ascii="Verdana" w:eastAsia="Calibri" w:hAnsi="Verdana" w:cs="Arial"/>
          <w:color w:val="000000" w:themeColor="text1"/>
          <w:lang w:val="es-ES" w:eastAsia="es-ES"/>
        </w:rPr>
        <w:t>ctora</w:t>
      </w:r>
    </w:p>
    <w:p w14:paraId="0198ECE1" w14:textId="38F6149B" w:rsidR="00AF4EF0" w:rsidRPr="00F32C60" w:rsidRDefault="00C51EBE" w:rsidP="00AF4EF0">
      <w:pPr>
        <w:spacing w:after="0" w:line="240" w:lineRule="auto"/>
        <w:jc w:val="both"/>
        <w:rPr>
          <w:rFonts w:ascii="Verdana" w:eastAsia="Calibri" w:hAnsi="Verdana" w:cs="Arial"/>
          <w:b/>
          <w:bCs/>
          <w:color w:val="000000" w:themeColor="text1"/>
          <w:lang w:val="es-ES" w:eastAsia="es-ES"/>
        </w:rPr>
      </w:pPr>
      <w:r w:rsidRPr="00F32C60">
        <w:rPr>
          <w:rFonts w:ascii="Verdana" w:eastAsia="Calibri" w:hAnsi="Verdana" w:cs="Arial"/>
          <w:b/>
          <w:bCs/>
          <w:color w:val="000000" w:themeColor="text1"/>
          <w:lang w:val="es-ES" w:eastAsia="es-ES"/>
        </w:rPr>
        <w:t>Dania Aurora</w:t>
      </w:r>
      <w:r w:rsidR="005B487F" w:rsidRPr="00F32C60">
        <w:rPr>
          <w:rFonts w:ascii="Verdana" w:eastAsia="Calibri" w:hAnsi="Verdana" w:cs="Arial"/>
          <w:b/>
          <w:bCs/>
          <w:color w:val="000000" w:themeColor="text1"/>
          <w:lang w:val="es-ES" w:eastAsia="es-ES"/>
        </w:rPr>
        <w:t xml:space="preserve"> Garzón Castellanos</w:t>
      </w:r>
    </w:p>
    <w:p w14:paraId="5B9F5031" w14:textId="3DF23D1D" w:rsidR="00663B47" w:rsidRPr="00F32C60" w:rsidRDefault="00663B47" w:rsidP="00AF4EF0">
      <w:pPr>
        <w:spacing w:after="0" w:line="240" w:lineRule="auto"/>
        <w:jc w:val="both"/>
        <w:rPr>
          <w:rFonts w:ascii="Verdana" w:hAnsi="Verdana"/>
        </w:rPr>
      </w:pPr>
      <w:hyperlink r:id="rId12" w:history="1">
        <w:r w:rsidRPr="00F32C60">
          <w:rPr>
            <w:rStyle w:val="Hipervnculo"/>
            <w:rFonts w:ascii="Verdana" w:hAnsi="Verdana"/>
          </w:rPr>
          <w:t>contratacion@alcaldiaelcarmen.gov.co</w:t>
        </w:r>
      </w:hyperlink>
    </w:p>
    <w:p w14:paraId="186C4E50" w14:textId="2D2BAF84" w:rsidR="00AF4EF0" w:rsidRPr="00F32C60" w:rsidRDefault="00D00A41" w:rsidP="00AF4EF0">
      <w:pPr>
        <w:spacing w:after="0" w:line="240" w:lineRule="auto"/>
        <w:jc w:val="both"/>
        <w:rPr>
          <w:rFonts w:ascii="Verdana" w:eastAsia="Calibri" w:hAnsi="Verdana" w:cs="Arial"/>
          <w:b/>
          <w:bCs/>
          <w:color w:val="000000" w:themeColor="text1"/>
          <w:lang w:val="es-ES_tradnl" w:eastAsia="es-ES_tradnl"/>
        </w:rPr>
      </w:pPr>
      <w:r w:rsidRPr="00F32C60">
        <w:rPr>
          <w:rFonts w:ascii="Verdana" w:eastAsia="Calibri" w:hAnsi="Verdana" w:cs="Arial"/>
          <w:color w:val="000000" w:themeColor="text1"/>
          <w:lang w:val="es-ES" w:eastAsia="es-ES"/>
        </w:rPr>
        <w:t>Carmen de Viboral</w:t>
      </w:r>
    </w:p>
    <w:p w14:paraId="0E051E25" w14:textId="77777777" w:rsidR="00AF4EF0" w:rsidRPr="00F32C60" w:rsidRDefault="00AF4EF0" w:rsidP="00AF4EF0">
      <w:pPr>
        <w:spacing w:after="0" w:line="240" w:lineRule="auto"/>
        <w:jc w:val="both"/>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32183" w:rsidRPr="00F32C60" w14:paraId="46392C98" w14:textId="77777777" w:rsidTr="00891EDB">
        <w:trPr>
          <w:trHeight w:val="243"/>
        </w:trPr>
        <w:tc>
          <w:tcPr>
            <w:tcW w:w="2689" w:type="dxa"/>
          </w:tcPr>
          <w:p w14:paraId="75622510" w14:textId="77777777" w:rsidR="00AF4EF0" w:rsidRPr="00F32C60" w:rsidRDefault="00AF4EF0" w:rsidP="00891EDB">
            <w:pPr>
              <w:jc w:val="both"/>
              <w:rPr>
                <w:rFonts w:ascii="Verdana" w:eastAsia="Calibri" w:hAnsi="Verdana" w:cs="Arial"/>
                <w:b/>
                <w:bCs/>
                <w:color w:val="000000" w:themeColor="text1"/>
                <w:lang w:val="es-ES_tradnl" w:eastAsia="es-ES_tradnl"/>
              </w:rPr>
            </w:pPr>
          </w:p>
        </w:tc>
        <w:tc>
          <w:tcPr>
            <w:tcW w:w="6100" w:type="dxa"/>
          </w:tcPr>
          <w:p w14:paraId="5134DCC9" w14:textId="42ACD3D2" w:rsidR="00AF4EF0" w:rsidRPr="00F32C60" w:rsidRDefault="00AF4EF0" w:rsidP="00891EDB">
            <w:pPr>
              <w:jc w:val="both"/>
              <w:rPr>
                <w:rFonts w:ascii="Verdana" w:eastAsia="Calibri" w:hAnsi="Verdana" w:cs="Arial"/>
                <w:b/>
                <w:bCs/>
                <w:color w:val="000000" w:themeColor="text1"/>
                <w:lang w:val="es-ES" w:eastAsia="es-ES"/>
              </w:rPr>
            </w:pPr>
            <w:r w:rsidRPr="00F32C60">
              <w:rPr>
                <w:rFonts w:ascii="Verdana" w:eastAsia="Calibri" w:hAnsi="Verdana" w:cs="Arial"/>
                <w:b/>
                <w:bCs/>
                <w:color w:val="000000" w:themeColor="text1"/>
                <w:lang w:val="es-ES" w:eastAsia="es-ES"/>
              </w:rPr>
              <w:t xml:space="preserve">Concepto C- </w:t>
            </w:r>
            <w:r w:rsidR="00841CC7">
              <w:rPr>
                <w:rFonts w:ascii="Verdana" w:eastAsia="Calibri" w:hAnsi="Verdana" w:cs="Arial"/>
                <w:b/>
                <w:bCs/>
                <w:color w:val="000000" w:themeColor="text1"/>
                <w:lang w:val="es-ES" w:eastAsia="es-ES"/>
              </w:rPr>
              <w:t>132</w:t>
            </w:r>
            <w:r w:rsidRPr="00F32C60">
              <w:rPr>
                <w:rFonts w:ascii="Verdana" w:eastAsia="Calibri" w:hAnsi="Verdana" w:cs="Arial"/>
                <w:b/>
                <w:bCs/>
                <w:color w:val="000000" w:themeColor="text1"/>
                <w:lang w:val="es-ES" w:eastAsia="es-ES"/>
              </w:rPr>
              <w:t xml:space="preserve"> de 202</w:t>
            </w:r>
            <w:r w:rsidR="00E106EE" w:rsidRPr="00F32C60">
              <w:rPr>
                <w:rFonts w:ascii="Verdana" w:eastAsia="Calibri" w:hAnsi="Verdana" w:cs="Arial"/>
                <w:b/>
                <w:bCs/>
                <w:color w:val="000000" w:themeColor="text1"/>
                <w:lang w:val="es-ES" w:eastAsia="es-ES"/>
              </w:rPr>
              <w:t>5</w:t>
            </w:r>
          </w:p>
          <w:p w14:paraId="7406DC2A" w14:textId="77777777" w:rsidR="00AF4EF0" w:rsidRPr="00F32C60" w:rsidRDefault="00AF4EF0" w:rsidP="00891EDB">
            <w:pPr>
              <w:jc w:val="both"/>
              <w:rPr>
                <w:rFonts w:ascii="Verdana" w:eastAsia="Calibri" w:hAnsi="Verdana" w:cs="Arial"/>
                <w:b/>
                <w:bCs/>
                <w:color w:val="000000" w:themeColor="text1"/>
                <w:lang w:val="es-ES" w:eastAsia="es-ES"/>
              </w:rPr>
            </w:pPr>
          </w:p>
        </w:tc>
      </w:tr>
      <w:tr w:rsidR="00E32183" w:rsidRPr="00F32C60" w14:paraId="7999B402" w14:textId="77777777" w:rsidTr="00891EDB">
        <w:trPr>
          <w:trHeight w:val="884"/>
        </w:trPr>
        <w:tc>
          <w:tcPr>
            <w:tcW w:w="2689" w:type="dxa"/>
          </w:tcPr>
          <w:p w14:paraId="1A70AE72" w14:textId="77777777" w:rsidR="00AF4EF0" w:rsidRPr="00F32C60" w:rsidRDefault="00AF4EF0" w:rsidP="00891EDB">
            <w:pPr>
              <w:jc w:val="both"/>
              <w:rPr>
                <w:rFonts w:ascii="Verdana" w:eastAsia="Calibri" w:hAnsi="Verdana" w:cs="Arial"/>
                <w:color w:val="000000" w:themeColor="text1"/>
                <w:lang w:val="es-ES_tradnl" w:eastAsia="es-ES_tradnl"/>
              </w:rPr>
            </w:pPr>
            <w:r w:rsidRPr="00F32C60">
              <w:rPr>
                <w:rFonts w:ascii="Verdana" w:eastAsia="Calibri" w:hAnsi="Verdana" w:cs="Arial"/>
                <w:b/>
                <w:color w:val="000000" w:themeColor="text1"/>
                <w:lang w:val="es-ES_tradnl" w:eastAsia="es-ES_tradnl"/>
              </w:rPr>
              <w:t>Temas:</w:t>
            </w:r>
            <w:r w:rsidRPr="00F32C60">
              <w:rPr>
                <w:rFonts w:ascii="Verdana" w:eastAsia="Calibri" w:hAnsi="Verdana" w:cs="Arial"/>
                <w:color w:val="000000" w:themeColor="text1"/>
                <w:lang w:val="es-ES_tradnl" w:eastAsia="es-ES_tradnl"/>
              </w:rPr>
              <w:t xml:space="preserve">                   </w:t>
            </w:r>
          </w:p>
        </w:tc>
        <w:tc>
          <w:tcPr>
            <w:tcW w:w="6100" w:type="dxa"/>
          </w:tcPr>
          <w:p w14:paraId="6FE0FC1D" w14:textId="0B69B1F0" w:rsidR="00AF4EF0" w:rsidRPr="00F32C60" w:rsidRDefault="00AC60E9" w:rsidP="00D27482">
            <w:pPr>
              <w:spacing w:line="276" w:lineRule="auto"/>
              <w:jc w:val="both"/>
              <w:rPr>
                <w:rFonts w:ascii="Verdana" w:eastAsia="Calibri" w:hAnsi="Verdana"/>
                <w:color w:val="000000" w:themeColor="text1"/>
                <w:lang w:val="es-ES_tradnl" w:eastAsia="es-ES_tradnl"/>
              </w:rPr>
            </w:pPr>
            <w:r w:rsidRPr="00AC60E9">
              <w:rPr>
                <w:rFonts w:ascii="Verdana" w:eastAsia="Times New Roman" w:hAnsi="Verdana"/>
                <w:color w:val="000000" w:themeColor="text1"/>
                <w:lang w:val="es-ES_tradnl" w:eastAsia="es-ES_tradnl"/>
              </w:rPr>
              <w:t>R</w:t>
            </w:r>
            <w:r w:rsidR="00C711D1">
              <w:rPr>
                <w:rFonts w:ascii="Verdana" w:eastAsia="Times New Roman" w:hAnsi="Verdana"/>
                <w:color w:val="000000" w:themeColor="text1"/>
                <w:lang w:val="es-ES_tradnl" w:eastAsia="es-ES_tradnl"/>
              </w:rPr>
              <w:t>É</w:t>
            </w:r>
            <w:r w:rsidRPr="00AC60E9">
              <w:rPr>
                <w:rFonts w:ascii="Verdana" w:eastAsia="Times New Roman" w:hAnsi="Verdana"/>
                <w:color w:val="000000" w:themeColor="text1"/>
                <w:lang w:val="es-ES_tradnl" w:eastAsia="es-ES_tradnl"/>
              </w:rPr>
              <w:t>GIMEN DE INHABILIDADES E INCOMPATIBILIDADES – Concepto – Principio de legalidad – Interpretación restrictiva</w:t>
            </w:r>
            <w:r w:rsidR="00E32183" w:rsidRPr="00F32C60">
              <w:rPr>
                <w:rFonts w:ascii="Verdana" w:eastAsia="Times New Roman" w:hAnsi="Verdana"/>
                <w:color w:val="000000" w:themeColor="text1"/>
                <w:lang w:val="es-ES_tradnl" w:eastAsia="es-ES_tradnl"/>
              </w:rPr>
              <w:t xml:space="preserve"> </w:t>
            </w:r>
            <w:r w:rsidR="00AF4EF0" w:rsidRPr="00F32C60">
              <w:rPr>
                <w:rFonts w:ascii="Verdana" w:eastAsia="Calibri" w:hAnsi="Verdana"/>
                <w:color w:val="000000" w:themeColor="text1"/>
                <w:lang w:val="es-ES_tradnl" w:eastAsia="es-ES_tradnl"/>
              </w:rPr>
              <w:t>/</w:t>
            </w:r>
            <w:r>
              <w:rPr>
                <w:rFonts w:ascii="Verdana" w:eastAsia="Calibri" w:hAnsi="Verdana"/>
                <w:color w:val="000000" w:themeColor="text1"/>
                <w:lang w:val="es-ES_tradnl" w:eastAsia="es-ES_tradnl"/>
              </w:rPr>
              <w:t xml:space="preserve"> </w:t>
            </w:r>
            <w:r w:rsidRPr="00AC60E9">
              <w:rPr>
                <w:rFonts w:ascii="Verdana" w:eastAsia="Calibri" w:hAnsi="Verdana"/>
                <w:color w:val="000000" w:themeColor="text1"/>
                <w:lang w:val="es-ES_tradnl" w:eastAsia="es-ES_tradnl"/>
              </w:rPr>
              <w:t>CONTRATO INTERADMINISTRATIVO – Concepto – Régimen – Criterio orgánico</w:t>
            </w:r>
            <w:r>
              <w:rPr>
                <w:rFonts w:ascii="Verdana" w:eastAsia="Calibri" w:hAnsi="Verdana"/>
                <w:color w:val="000000" w:themeColor="text1"/>
                <w:lang w:val="es-ES_tradnl" w:eastAsia="es-ES_tradnl"/>
              </w:rPr>
              <w:t xml:space="preserve"> / </w:t>
            </w:r>
            <w:r w:rsidRPr="00AC60E9">
              <w:rPr>
                <w:rFonts w:ascii="Verdana" w:eastAsia="Calibri" w:hAnsi="Verdana"/>
                <w:color w:val="000000" w:themeColor="text1"/>
                <w:lang w:val="es-ES_tradnl" w:eastAsia="es-ES_tradnl"/>
              </w:rPr>
              <w:t>ADMINISTRACIÓN DELEGADA – Noción – Definición – Mandato – Administración y pago</w:t>
            </w:r>
            <w:r>
              <w:rPr>
                <w:rFonts w:ascii="Verdana" w:eastAsia="Calibri" w:hAnsi="Verdana"/>
                <w:color w:val="000000" w:themeColor="text1"/>
                <w:lang w:val="es-ES_tradnl" w:eastAsia="es-ES_tradnl"/>
              </w:rPr>
              <w:t xml:space="preserve"> / </w:t>
            </w:r>
            <w:r w:rsidRPr="00AC60E9">
              <w:rPr>
                <w:rFonts w:ascii="Verdana" w:eastAsia="Calibri" w:hAnsi="Verdana"/>
                <w:color w:val="000000" w:themeColor="text1"/>
                <w:lang w:val="es-ES_tradnl" w:eastAsia="es-ES_tradnl"/>
              </w:rPr>
              <w:t>INHABILIDAD PARA CONTRATAR – Contrato de Interventoría – Suscripción – Contratos previos – Alcance</w:t>
            </w:r>
          </w:p>
          <w:p w14:paraId="2534E749" w14:textId="77777777" w:rsidR="00AF4EF0" w:rsidRPr="00F32C60" w:rsidRDefault="00AF4EF0" w:rsidP="00891EDB">
            <w:pPr>
              <w:jc w:val="both"/>
              <w:rPr>
                <w:rFonts w:ascii="Verdana" w:eastAsia="Calibri" w:hAnsi="Verdana" w:cs="Arial"/>
                <w:color w:val="000000" w:themeColor="text1"/>
                <w:lang w:val="es-ES" w:eastAsia="es-ES"/>
              </w:rPr>
            </w:pPr>
          </w:p>
        </w:tc>
      </w:tr>
      <w:tr w:rsidR="00E32183" w:rsidRPr="00F32C60" w14:paraId="5B5402BF" w14:textId="77777777" w:rsidTr="00891EDB">
        <w:trPr>
          <w:trHeight w:val="377"/>
        </w:trPr>
        <w:tc>
          <w:tcPr>
            <w:tcW w:w="2689" w:type="dxa"/>
          </w:tcPr>
          <w:p w14:paraId="189B9E6D" w14:textId="77777777" w:rsidR="00AF4EF0" w:rsidRPr="00F32C60" w:rsidRDefault="00AF4EF0" w:rsidP="00891EDB">
            <w:pPr>
              <w:jc w:val="both"/>
              <w:rPr>
                <w:rFonts w:ascii="Verdana" w:eastAsia="Calibri" w:hAnsi="Verdana" w:cs="Arial"/>
                <w:b/>
                <w:color w:val="000000" w:themeColor="text1"/>
                <w:lang w:val="es-ES_tradnl" w:eastAsia="es-ES_tradnl"/>
              </w:rPr>
            </w:pPr>
            <w:r w:rsidRPr="00F32C60">
              <w:rPr>
                <w:rFonts w:ascii="Verdana" w:eastAsia="Calibri" w:hAnsi="Verdana" w:cs="Arial"/>
                <w:b/>
                <w:color w:val="000000" w:themeColor="text1"/>
                <w:lang w:val="es-ES_tradnl" w:eastAsia="es-ES_tradnl"/>
              </w:rPr>
              <w:t>Radicación:</w:t>
            </w:r>
            <w:r w:rsidRPr="00F32C60">
              <w:rPr>
                <w:rFonts w:ascii="Verdana" w:eastAsia="Calibri" w:hAnsi="Verdana" w:cs="Arial"/>
                <w:color w:val="000000" w:themeColor="text1"/>
                <w:lang w:val="es-ES_tradnl" w:eastAsia="es-ES_tradnl"/>
              </w:rPr>
              <w:t xml:space="preserve">               </w:t>
            </w:r>
          </w:p>
        </w:tc>
        <w:tc>
          <w:tcPr>
            <w:tcW w:w="6100" w:type="dxa"/>
          </w:tcPr>
          <w:p w14:paraId="25196C14" w14:textId="14894AE1" w:rsidR="00AF4EF0" w:rsidRPr="00F32C60" w:rsidRDefault="00AF4EF0" w:rsidP="00891EDB">
            <w:pPr>
              <w:jc w:val="both"/>
              <w:rPr>
                <w:rFonts w:ascii="Verdana" w:hAnsi="Verdana" w:cs="Calibri"/>
                <w:color w:val="000000" w:themeColor="text1"/>
              </w:rPr>
            </w:pPr>
            <w:r w:rsidRPr="00F32C60">
              <w:rPr>
                <w:rFonts w:ascii="Verdana" w:eastAsia="Calibri" w:hAnsi="Verdana" w:cs="Arial"/>
                <w:color w:val="000000" w:themeColor="text1"/>
                <w:lang w:val="es-ES_tradnl" w:eastAsia="es-ES_tradnl"/>
              </w:rPr>
              <w:t xml:space="preserve">Respuesta a consulta con radicado No. </w:t>
            </w:r>
            <w:r w:rsidR="00D00A41" w:rsidRPr="00F32C60">
              <w:rPr>
                <w:rFonts w:ascii="Verdana" w:hAnsi="Verdana" w:cs="Calibri"/>
                <w:color w:val="000000" w:themeColor="text1"/>
              </w:rPr>
              <w:t>P20250205001054</w:t>
            </w:r>
            <w:r w:rsidR="002D5E9A" w:rsidRPr="00F32C60">
              <w:rPr>
                <w:rFonts w:ascii="Verdana" w:hAnsi="Verdana" w:cs="Calibri"/>
                <w:color w:val="000000" w:themeColor="text1"/>
              </w:rPr>
              <w:t xml:space="preserve"> </w:t>
            </w:r>
          </w:p>
        </w:tc>
      </w:tr>
      <w:tr w:rsidR="00E32183" w:rsidRPr="00F32C60" w14:paraId="65694956" w14:textId="77777777" w:rsidTr="00891EDB">
        <w:trPr>
          <w:trHeight w:val="377"/>
        </w:trPr>
        <w:tc>
          <w:tcPr>
            <w:tcW w:w="2689" w:type="dxa"/>
          </w:tcPr>
          <w:p w14:paraId="40FA3E2A" w14:textId="77777777" w:rsidR="00AF4EF0" w:rsidRPr="00F32C60" w:rsidRDefault="00AF4EF0" w:rsidP="00891EDB">
            <w:pPr>
              <w:jc w:val="both"/>
              <w:rPr>
                <w:rFonts w:ascii="Verdana" w:eastAsia="Calibri" w:hAnsi="Verdana" w:cs="Arial"/>
                <w:b/>
                <w:color w:val="000000" w:themeColor="text1"/>
                <w:lang w:val="es-ES_tradnl" w:eastAsia="es-ES_tradnl"/>
              </w:rPr>
            </w:pPr>
          </w:p>
          <w:p w14:paraId="5B2FB6DC" w14:textId="77777777" w:rsidR="00AF4EF0" w:rsidRPr="00F32C60" w:rsidRDefault="00AF4EF0" w:rsidP="00891EDB">
            <w:pPr>
              <w:jc w:val="both"/>
              <w:rPr>
                <w:rFonts w:ascii="Verdana" w:eastAsia="Calibri" w:hAnsi="Verdana" w:cs="Arial"/>
                <w:b/>
                <w:color w:val="000000" w:themeColor="text1"/>
                <w:lang w:val="es-ES_tradnl" w:eastAsia="es-ES_tradnl"/>
              </w:rPr>
            </w:pPr>
          </w:p>
        </w:tc>
        <w:tc>
          <w:tcPr>
            <w:tcW w:w="6100" w:type="dxa"/>
          </w:tcPr>
          <w:p w14:paraId="5086FB73" w14:textId="77777777" w:rsidR="00AF4EF0" w:rsidRPr="00F32C60" w:rsidRDefault="00AF4EF0" w:rsidP="00891EDB">
            <w:pPr>
              <w:jc w:val="both"/>
              <w:rPr>
                <w:rFonts w:ascii="Verdana" w:eastAsia="Calibri" w:hAnsi="Verdana" w:cs="Arial"/>
                <w:color w:val="000000" w:themeColor="text1"/>
                <w:lang w:val="es-ES_tradnl" w:eastAsia="es-ES_tradnl"/>
              </w:rPr>
            </w:pPr>
          </w:p>
        </w:tc>
      </w:tr>
    </w:tbl>
    <w:p w14:paraId="132F4AED" w14:textId="0D45262F" w:rsidR="00AF4EF0" w:rsidRPr="00F32C60" w:rsidRDefault="00AF4EF0" w:rsidP="00AF4EF0">
      <w:pPr>
        <w:spacing w:after="0" w:line="276" w:lineRule="auto"/>
        <w:jc w:val="both"/>
        <w:rPr>
          <w:rFonts w:ascii="Verdana" w:eastAsia="Calibri" w:hAnsi="Verdana" w:cs="Arial"/>
          <w:color w:val="000000" w:themeColor="text1"/>
          <w:lang w:val="es-ES" w:eastAsia="es-ES"/>
        </w:rPr>
      </w:pPr>
      <w:r w:rsidRPr="00F32C60">
        <w:rPr>
          <w:rFonts w:ascii="Verdana" w:eastAsia="Calibri" w:hAnsi="Verdana" w:cs="Arial"/>
          <w:color w:val="000000" w:themeColor="text1"/>
          <w:lang w:val="es-ES" w:eastAsia="es-ES"/>
        </w:rPr>
        <w:t>Estimad</w:t>
      </w:r>
      <w:r w:rsidR="00D00A41" w:rsidRPr="00F32C60">
        <w:rPr>
          <w:rFonts w:ascii="Verdana" w:eastAsia="Calibri" w:hAnsi="Verdana" w:cs="Arial"/>
          <w:color w:val="000000" w:themeColor="text1"/>
          <w:lang w:val="es-ES" w:eastAsia="es-ES"/>
        </w:rPr>
        <w:t>a</w:t>
      </w:r>
      <w:r w:rsidRPr="00F32C60">
        <w:rPr>
          <w:rFonts w:ascii="Verdana" w:eastAsia="Calibri" w:hAnsi="Verdana" w:cs="Arial"/>
          <w:color w:val="000000" w:themeColor="text1"/>
          <w:lang w:val="es-ES" w:eastAsia="es-ES"/>
        </w:rPr>
        <w:t xml:space="preserve"> </w:t>
      </w:r>
      <w:r w:rsidR="00D00A41" w:rsidRPr="00F32C60">
        <w:rPr>
          <w:rFonts w:ascii="Verdana" w:eastAsia="Calibri" w:hAnsi="Verdana" w:cs="Arial"/>
          <w:color w:val="000000" w:themeColor="text1"/>
          <w:lang w:val="es-ES" w:eastAsia="es-ES"/>
        </w:rPr>
        <w:t>doctora</w:t>
      </w:r>
      <w:r w:rsidRPr="00F32C60">
        <w:rPr>
          <w:rFonts w:ascii="Verdana" w:eastAsia="Calibri" w:hAnsi="Verdana" w:cs="Arial"/>
          <w:color w:val="000000" w:themeColor="text1"/>
          <w:lang w:val="es-ES" w:eastAsia="es-ES"/>
        </w:rPr>
        <w:t xml:space="preserve"> </w:t>
      </w:r>
      <w:r w:rsidR="00D00A41" w:rsidRPr="00F32C60">
        <w:rPr>
          <w:rFonts w:ascii="Verdana" w:eastAsia="Calibri" w:hAnsi="Verdana" w:cs="Arial"/>
          <w:color w:val="000000" w:themeColor="text1"/>
          <w:lang w:val="es-ES" w:eastAsia="es-ES"/>
        </w:rPr>
        <w:t>Garzón Castellanos</w:t>
      </w:r>
      <w:r w:rsidR="002D5E9A" w:rsidRPr="00F32C60">
        <w:rPr>
          <w:rFonts w:ascii="Verdana" w:eastAsia="Calibri" w:hAnsi="Verdana" w:cs="Arial"/>
          <w:color w:val="000000" w:themeColor="text1"/>
          <w:lang w:val="es-ES" w:eastAsia="es-ES"/>
        </w:rPr>
        <w:t>:</w:t>
      </w:r>
      <w:r w:rsidRPr="00F32C60">
        <w:rPr>
          <w:rFonts w:ascii="Verdana" w:eastAsia="Calibri" w:hAnsi="Verdana" w:cs="Arial"/>
          <w:color w:val="000000" w:themeColor="text1"/>
          <w:lang w:val="es-ES" w:eastAsia="es-ES"/>
        </w:rPr>
        <w:t xml:space="preserve"> </w:t>
      </w:r>
    </w:p>
    <w:p w14:paraId="185A220B" w14:textId="77777777" w:rsidR="00AF4EF0" w:rsidRPr="00F32C60" w:rsidRDefault="00AF4EF0" w:rsidP="00AF4EF0">
      <w:pPr>
        <w:tabs>
          <w:tab w:val="left" w:pos="3768"/>
        </w:tabs>
        <w:spacing w:after="0" w:line="276" w:lineRule="auto"/>
        <w:jc w:val="both"/>
        <w:rPr>
          <w:rFonts w:ascii="Verdana" w:eastAsia="Calibri" w:hAnsi="Verdana" w:cs="Arial"/>
          <w:color w:val="000000" w:themeColor="text1"/>
          <w:lang w:val="es-ES" w:eastAsia="es-ES"/>
        </w:rPr>
      </w:pPr>
      <w:r w:rsidRPr="00F32C60">
        <w:rPr>
          <w:rFonts w:ascii="Verdana" w:eastAsia="Calibri" w:hAnsi="Verdana" w:cs="Arial"/>
          <w:color w:val="000000" w:themeColor="text1"/>
          <w:lang w:val="es-ES" w:eastAsia="es-ES"/>
        </w:rPr>
        <w:tab/>
      </w:r>
    </w:p>
    <w:p w14:paraId="54D8BF76" w14:textId="3E374DB1" w:rsidR="00AF4EF0" w:rsidRPr="00F32C60" w:rsidRDefault="00AF4EF0" w:rsidP="00AF4EF0">
      <w:pPr>
        <w:spacing w:after="0" w:line="276" w:lineRule="auto"/>
        <w:jc w:val="both"/>
        <w:rPr>
          <w:rFonts w:ascii="Verdana" w:eastAsia="Calibri" w:hAnsi="Verdana" w:cs="Arial"/>
          <w:color w:val="000000" w:themeColor="text1"/>
          <w:lang w:val="es-ES" w:eastAsia="es-ES"/>
        </w:rPr>
      </w:pPr>
      <w:r w:rsidRPr="00F32C60">
        <w:rPr>
          <w:rFonts w:ascii="Verdana" w:eastAsia="Calibri" w:hAnsi="Verdana" w:cs="Arial"/>
          <w:color w:val="000000" w:themeColor="text1"/>
          <w:lang w:val="es-ES" w:eastAsia="es-ES"/>
        </w:rPr>
        <w:t>En ejercicio de la competencia otorgada por los artículos 3, numeral 5º, y 11, numeral 8º, del Decreto Ley 4170 de 2011,</w:t>
      </w:r>
      <w:r w:rsidRPr="00F32C60">
        <w:rPr>
          <w:rFonts w:ascii="Verdana" w:eastAsia="Arial MT" w:hAnsi="Verdana" w:cs="Arial MT"/>
          <w:color w:val="000000" w:themeColor="text1"/>
          <w:lang w:val="es-ES" w:eastAsia="es-ES"/>
        </w:rPr>
        <w:t xml:space="preserve"> </w:t>
      </w:r>
      <w:r w:rsidRPr="00F32C60">
        <w:rPr>
          <w:rFonts w:ascii="Verdana" w:hAnsi="Verdana" w:cs="Arial"/>
          <w:color w:val="000000" w:themeColor="text1"/>
        </w:rPr>
        <w:t xml:space="preserve">así como lo establecido en el artículo 4 de la Resolución 1707 de 2018 expedida por esta Entidad, </w:t>
      </w:r>
      <w:r w:rsidRPr="00F32C60">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300A7A" w:rsidRPr="00F32C60">
        <w:rPr>
          <w:rFonts w:ascii="Verdana" w:eastAsia="Calibri" w:hAnsi="Verdana" w:cs="Arial"/>
          <w:color w:val="000000" w:themeColor="text1"/>
          <w:lang w:val="es-ES" w:eastAsia="es-ES"/>
        </w:rPr>
        <w:t>5</w:t>
      </w:r>
      <w:r w:rsidRPr="00F32C60">
        <w:rPr>
          <w:rFonts w:ascii="Verdana" w:eastAsia="Calibri" w:hAnsi="Verdana" w:cs="Arial"/>
          <w:color w:val="000000" w:themeColor="text1"/>
          <w:lang w:val="es-ES" w:eastAsia="es-ES"/>
        </w:rPr>
        <w:t xml:space="preserve"> de </w:t>
      </w:r>
      <w:r w:rsidR="005D6FF1" w:rsidRPr="00F32C60">
        <w:rPr>
          <w:rFonts w:ascii="Verdana" w:eastAsia="Calibri" w:hAnsi="Verdana" w:cs="Arial"/>
          <w:color w:val="000000" w:themeColor="text1"/>
          <w:lang w:val="es-ES" w:eastAsia="es-ES"/>
        </w:rPr>
        <w:t>febrero</w:t>
      </w:r>
      <w:r w:rsidRPr="00F32C60">
        <w:rPr>
          <w:rFonts w:ascii="Verdana" w:eastAsia="Calibri" w:hAnsi="Verdana" w:cs="Arial"/>
          <w:color w:val="000000" w:themeColor="text1"/>
          <w:lang w:val="es-ES" w:eastAsia="es-ES"/>
        </w:rPr>
        <w:t xml:space="preserve"> de 202</w:t>
      </w:r>
      <w:r w:rsidR="00E04AFA" w:rsidRPr="00F32C60">
        <w:rPr>
          <w:rFonts w:ascii="Verdana" w:eastAsia="Calibri" w:hAnsi="Verdana" w:cs="Arial"/>
          <w:color w:val="000000" w:themeColor="text1"/>
          <w:lang w:val="es-ES" w:eastAsia="es-ES"/>
        </w:rPr>
        <w:t>5</w:t>
      </w:r>
      <w:r w:rsidRPr="00F32C60">
        <w:rPr>
          <w:rFonts w:ascii="Verdana" w:eastAsia="Calibri" w:hAnsi="Verdana" w:cs="Arial"/>
          <w:color w:val="000000" w:themeColor="text1"/>
          <w:lang w:val="es-ES" w:eastAsia="es-ES"/>
        </w:rPr>
        <w:t xml:space="preserve">, en la cual manifiesta lo siguiente: </w:t>
      </w:r>
    </w:p>
    <w:p w14:paraId="1A35E5F0" w14:textId="77777777" w:rsidR="00AF4EF0" w:rsidRPr="00F32C60" w:rsidRDefault="00AF4EF0" w:rsidP="00E410DB">
      <w:pPr>
        <w:pStyle w:val="Prrafodelista"/>
        <w:tabs>
          <w:tab w:val="left" w:pos="142"/>
          <w:tab w:val="left" w:pos="284"/>
        </w:tabs>
        <w:spacing w:after="0" w:line="240" w:lineRule="auto"/>
        <w:ind w:left="0"/>
        <w:contextualSpacing w:val="0"/>
        <w:jc w:val="both"/>
        <w:rPr>
          <w:rFonts w:ascii="Verdana" w:eastAsia="Century Gothic" w:hAnsi="Verdana" w:cs="Century Gothic"/>
          <w:b/>
          <w:bCs/>
          <w:color w:val="000000" w:themeColor="text1"/>
        </w:rPr>
      </w:pPr>
    </w:p>
    <w:p w14:paraId="4D5C9CCF" w14:textId="77777777" w:rsidR="004753F9" w:rsidRPr="00F32C60" w:rsidRDefault="00D56CEB" w:rsidP="00E50BB0">
      <w:pPr>
        <w:spacing w:after="120" w:line="240" w:lineRule="auto"/>
        <w:ind w:left="709" w:right="709"/>
        <w:jc w:val="both"/>
        <w:rPr>
          <w:rFonts w:ascii="Verdana" w:eastAsia="Century Gothic" w:hAnsi="Verdana" w:cs="Century Gothic"/>
          <w:color w:val="000000" w:themeColor="text1"/>
          <w:sz w:val="21"/>
          <w:szCs w:val="21"/>
        </w:rPr>
      </w:pPr>
      <w:r w:rsidRPr="00F32C60">
        <w:rPr>
          <w:rFonts w:ascii="Verdana" w:eastAsia="Century Gothic" w:hAnsi="Verdana" w:cs="Century Gothic"/>
          <w:color w:val="000000" w:themeColor="text1"/>
          <w:sz w:val="21"/>
          <w:szCs w:val="21"/>
        </w:rPr>
        <w:t>“</w:t>
      </w:r>
      <w:r w:rsidR="004753F9" w:rsidRPr="00F32C60">
        <w:rPr>
          <w:rFonts w:ascii="Verdana" w:eastAsia="Century Gothic" w:hAnsi="Verdana" w:cs="Century Gothic"/>
          <w:color w:val="000000" w:themeColor="text1"/>
          <w:sz w:val="21"/>
          <w:szCs w:val="21"/>
        </w:rPr>
        <w:t xml:space="preserve">Amablemente, me permito formular los siguientes interrogantes, teniendo en cuenta, lo previsto en el </w:t>
      </w:r>
      <w:proofErr w:type="spellStart"/>
      <w:r w:rsidR="004753F9" w:rsidRPr="00F32C60">
        <w:rPr>
          <w:rFonts w:ascii="Verdana" w:eastAsia="Century Gothic" w:hAnsi="Verdana" w:cs="Century Gothic"/>
          <w:color w:val="000000" w:themeColor="text1"/>
          <w:sz w:val="21"/>
          <w:szCs w:val="21"/>
        </w:rPr>
        <w:t>articulo</w:t>
      </w:r>
      <w:proofErr w:type="spellEnd"/>
      <w:r w:rsidR="004753F9" w:rsidRPr="00F32C60">
        <w:rPr>
          <w:rFonts w:ascii="Verdana" w:eastAsia="Century Gothic" w:hAnsi="Verdana" w:cs="Century Gothic"/>
          <w:color w:val="000000" w:themeColor="text1"/>
          <w:sz w:val="21"/>
          <w:szCs w:val="21"/>
        </w:rPr>
        <w:t xml:space="preserve"> 5 de la ley 1474 de 2011, la cual dispone:</w:t>
      </w:r>
    </w:p>
    <w:p w14:paraId="016FCA07" w14:textId="77777777" w:rsidR="004753F9" w:rsidRPr="00F32C60" w:rsidRDefault="004753F9" w:rsidP="00E50BB0">
      <w:pPr>
        <w:spacing w:after="120" w:line="240" w:lineRule="auto"/>
        <w:ind w:left="709" w:right="709"/>
        <w:jc w:val="both"/>
        <w:rPr>
          <w:rFonts w:ascii="Verdana" w:eastAsia="Century Gothic" w:hAnsi="Verdana" w:cs="Century Gothic"/>
          <w:color w:val="000000" w:themeColor="text1"/>
          <w:sz w:val="21"/>
          <w:szCs w:val="21"/>
        </w:rPr>
      </w:pPr>
      <w:r w:rsidRPr="00F32C60">
        <w:rPr>
          <w:rFonts w:ascii="Verdana" w:eastAsia="Century Gothic" w:hAnsi="Verdana" w:cs="Century Gothic"/>
          <w:color w:val="000000" w:themeColor="text1"/>
          <w:sz w:val="21"/>
          <w:szCs w:val="21"/>
        </w:rPr>
        <w:lastRenderedPageBreak/>
        <w:t>(…) ARTÍCULO 5. Quien haya celebrado un contrato estatal de obra pública, de concesión, suministro de medicamentos y de alimentos o su cónyuge, compañero o compañera permanente, pariente hasta el segundo grado de consanguinidad, segundo de afinidad y/o primero civil o sus socios en sociedades distintas de las anónimas abiertas, con las entidades a que se refiere el artículo 2 de la Ley 80 de 1993, durante el plazo de ejecución y hasta la liquidación del mismo, no podrán celebrar contratos de interventoría con la misma entidad.</w:t>
      </w:r>
    </w:p>
    <w:p w14:paraId="5E19D239" w14:textId="77777777" w:rsidR="004753F9" w:rsidRPr="00F32C60" w:rsidRDefault="004753F9" w:rsidP="00E50BB0">
      <w:pPr>
        <w:spacing w:after="120" w:line="240" w:lineRule="auto"/>
        <w:ind w:left="709" w:right="709"/>
        <w:jc w:val="both"/>
        <w:rPr>
          <w:rFonts w:ascii="Verdana" w:eastAsia="Century Gothic" w:hAnsi="Verdana" w:cs="Century Gothic"/>
          <w:color w:val="000000" w:themeColor="text1"/>
          <w:sz w:val="21"/>
          <w:szCs w:val="21"/>
        </w:rPr>
      </w:pPr>
      <w:r w:rsidRPr="00F32C60">
        <w:rPr>
          <w:rFonts w:ascii="Verdana" w:eastAsia="Century Gothic" w:hAnsi="Verdana" w:cs="Century Gothic"/>
          <w:color w:val="000000" w:themeColor="text1"/>
          <w:sz w:val="21"/>
          <w:szCs w:val="21"/>
        </w:rPr>
        <w:t>(Nota: Declarado EXEQUIBLE por la Corte Constitucional mediante Sentencia C-618 de 2012.) (…)</w:t>
      </w:r>
    </w:p>
    <w:p w14:paraId="71C13A73" w14:textId="77777777" w:rsidR="004753F9" w:rsidRPr="00F32C60" w:rsidRDefault="004753F9" w:rsidP="00E50BB0">
      <w:pPr>
        <w:spacing w:after="120" w:line="240" w:lineRule="auto"/>
        <w:ind w:left="709" w:right="709"/>
        <w:jc w:val="both"/>
        <w:rPr>
          <w:rFonts w:ascii="Verdana" w:eastAsia="Century Gothic" w:hAnsi="Verdana" w:cs="Century Gothic"/>
          <w:color w:val="000000" w:themeColor="text1"/>
          <w:sz w:val="21"/>
          <w:szCs w:val="21"/>
        </w:rPr>
      </w:pPr>
      <w:r w:rsidRPr="00F32C60">
        <w:rPr>
          <w:rFonts w:ascii="Verdana" w:eastAsia="Century Gothic" w:hAnsi="Verdana" w:cs="Century Gothic"/>
          <w:color w:val="000000" w:themeColor="text1"/>
          <w:sz w:val="21"/>
          <w:szCs w:val="21"/>
        </w:rPr>
        <w:t>Amablemente, me permito formular los siguientes interrogantes:</w:t>
      </w:r>
    </w:p>
    <w:p w14:paraId="0EBACAB7" w14:textId="77777777" w:rsidR="004753F9" w:rsidRPr="00F32C60" w:rsidRDefault="004753F9" w:rsidP="00E50BB0">
      <w:pPr>
        <w:spacing w:after="120" w:line="240" w:lineRule="auto"/>
        <w:ind w:left="709" w:right="709"/>
        <w:jc w:val="both"/>
        <w:rPr>
          <w:rFonts w:ascii="Verdana" w:eastAsia="Century Gothic" w:hAnsi="Verdana" w:cs="Century Gothic"/>
          <w:color w:val="000000" w:themeColor="text1"/>
          <w:sz w:val="21"/>
          <w:szCs w:val="21"/>
        </w:rPr>
      </w:pPr>
      <w:r w:rsidRPr="00F32C60">
        <w:rPr>
          <w:rFonts w:ascii="Verdana" w:eastAsia="Century Gothic" w:hAnsi="Verdana" w:cs="Century Gothic"/>
          <w:color w:val="000000" w:themeColor="text1"/>
          <w:sz w:val="21"/>
          <w:szCs w:val="21"/>
        </w:rPr>
        <w:t>1. Tratándose de contratos interadministrativos de administración delegada para la ejecución de proyectos de obra.</w:t>
      </w:r>
    </w:p>
    <w:p w14:paraId="6940212C" w14:textId="77777777" w:rsidR="004753F9" w:rsidRPr="00F32C60" w:rsidRDefault="004753F9" w:rsidP="00E50BB0">
      <w:pPr>
        <w:spacing w:after="120" w:line="240" w:lineRule="auto"/>
        <w:ind w:left="709" w:right="709"/>
        <w:jc w:val="both"/>
        <w:rPr>
          <w:rFonts w:ascii="Verdana" w:eastAsia="Century Gothic" w:hAnsi="Verdana" w:cs="Century Gothic"/>
          <w:color w:val="000000" w:themeColor="text1"/>
          <w:sz w:val="21"/>
          <w:szCs w:val="21"/>
        </w:rPr>
      </w:pPr>
      <w:r w:rsidRPr="00F32C60">
        <w:rPr>
          <w:rFonts w:ascii="Verdana" w:eastAsia="Century Gothic" w:hAnsi="Verdana" w:cs="Century Gothic"/>
          <w:color w:val="000000" w:themeColor="text1"/>
          <w:sz w:val="21"/>
          <w:szCs w:val="21"/>
        </w:rPr>
        <w:t>¿Puede interpretarse que esta inhabilidad también aplica, si la Administración Municipal pretende adelantar un contrato interadministrativo de administración delegada para la interventoría de un proyecto de obra, con la misma entidad (Empresa industrial y comercial del Estado), con la que previamente ha suscrito otros contratos interadministrativos de administración delegada para la ejecución de proyectos de obra?</w:t>
      </w:r>
    </w:p>
    <w:p w14:paraId="648E415F" w14:textId="77777777" w:rsidR="004753F9" w:rsidRPr="00F32C60" w:rsidRDefault="004753F9" w:rsidP="00E50BB0">
      <w:pPr>
        <w:spacing w:after="120" w:line="240" w:lineRule="auto"/>
        <w:ind w:left="709" w:right="709"/>
        <w:jc w:val="both"/>
        <w:rPr>
          <w:rFonts w:ascii="Verdana" w:eastAsia="Century Gothic" w:hAnsi="Verdana" w:cs="Century Gothic"/>
          <w:color w:val="000000" w:themeColor="text1"/>
          <w:sz w:val="21"/>
          <w:szCs w:val="21"/>
        </w:rPr>
      </w:pPr>
      <w:r w:rsidRPr="00F32C60">
        <w:rPr>
          <w:rFonts w:ascii="Verdana" w:eastAsia="Century Gothic" w:hAnsi="Verdana" w:cs="Century Gothic"/>
          <w:color w:val="000000" w:themeColor="text1"/>
          <w:sz w:val="21"/>
          <w:szCs w:val="21"/>
        </w:rPr>
        <w:t>2. Ahora bien, partiendo de la premisa:</w:t>
      </w:r>
    </w:p>
    <w:p w14:paraId="39BE423A" w14:textId="77777777" w:rsidR="00663C75" w:rsidRPr="00F32C60" w:rsidRDefault="004753F9" w:rsidP="00E50BB0">
      <w:pPr>
        <w:spacing w:after="120" w:line="240" w:lineRule="auto"/>
        <w:ind w:left="709" w:right="709"/>
        <w:jc w:val="both"/>
        <w:rPr>
          <w:rFonts w:ascii="Verdana" w:eastAsia="Century Gothic" w:hAnsi="Verdana" w:cs="Century Gothic"/>
          <w:color w:val="000000" w:themeColor="text1"/>
          <w:sz w:val="21"/>
          <w:szCs w:val="21"/>
        </w:rPr>
      </w:pPr>
      <w:r w:rsidRPr="00F32C60">
        <w:rPr>
          <w:rFonts w:ascii="Verdana" w:eastAsia="Century Gothic" w:hAnsi="Verdana" w:cs="Century Gothic"/>
          <w:color w:val="000000" w:themeColor="text1"/>
          <w:sz w:val="21"/>
          <w:szCs w:val="21"/>
        </w:rPr>
        <w:t>“El interventor es un contratista externo a la entidad estatal y al contratista vigilado, de manera que es seleccionado por la entidad estatal mediante los procedimientos de selección establecidos en el EGCAP. En todo caso, si la entidad estatal requiere contratar con otra entidad pública, podrá celebrar un convenio o contrato interadministrativo en el que se puede incluir la administración delegada, bien como forma de mandato o como modalidad de administración de los recursos de inversión de la obra o interventoría y de pago de los honorarios.” Concepto C ‒ 691 de 2020 – Colombia Compra Eficiente.”</w:t>
      </w:r>
    </w:p>
    <w:p w14:paraId="6E3410D1" w14:textId="77777777" w:rsidR="00663C75" w:rsidRPr="00F32C60" w:rsidRDefault="004753F9" w:rsidP="00E50BB0">
      <w:pPr>
        <w:spacing w:after="120" w:line="240" w:lineRule="auto"/>
        <w:ind w:left="709" w:right="709"/>
        <w:jc w:val="both"/>
        <w:rPr>
          <w:rFonts w:ascii="Verdana" w:eastAsia="Century Gothic" w:hAnsi="Verdana" w:cs="Century Gothic"/>
          <w:color w:val="000000" w:themeColor="text1"/>
          <w:sz w:val="21"/>
          <w:szCs w:val="21"/>
        </w:rPr>
      </w:pPr>
      <w:r w:rsidRPr="00F32C60">
        <w:rPr>
          <w:rFonts w:ascii="Verdana" w:eastAsia="Century Gothic" w:hAnsi="Verdana" w:cs="Century Gothic"/>
          <w:color w:val="000000" w:themeColor="text1"/>
          <w:sz w:val="21"/>
          <w:szCs w:val="21"/>
        </w:rPr>
        <w:t>¿Si una entidad pública, suscribe un contrato interadministrativo de administración delegada de</w:t>
      </w:r>
      <w:r w:rsidR="00663C75" w:rsidRPr="00F32C60">
        <w:rPr>
          <w:rFonts w:ascii="Verdana" w:eastAsia="Century Gothic" w:hAnsi="Verdana" w:cs="Century Gothic"/>
          <w:color w:val="000000" w:themeColor="text1"/>
          <w:sz w:val="21"/>
          <w:szCs w:val="21"/>
        </w:rPr>
        <w:t xml:space="preserve"> </w:t>
      </w:r>
      <w:r w:rsidRPr="00F32C60">
        <w:rPr>
          <w:rFonts w:ascii="Verdana" w:eastAsia="Century Gothic" w:hAnsi="Verdana" w:cs="Century Gothic"/>
          <w:color w:val="000000" w:themeColor="text1"/>
          <w:sz w:val="21"/>
          <w:szCs w:val="21"/>
        </w:rPr>
        <w:t>recursos de una obra pública, posteriormente no podrá suscribir un contrato interadministrativo de</w:t>
      </w:r>
      <w:r w:rsidR="00663C75" w:rsidRPr="00F32C60">
        <w:rPr>
          <w:rFonts w:ascii="Verdana" w:eastAsia="Century Gothic" w:hAnsi="Verdana" w:cs="Century Gothic"/>
          <w:color w:val="000000" w:themeColor="text1"/>
          <w:sz w:val="21"/>
          <w:szCs w:val="21"/>
        </w:rPr>
        <w:t xml:space="preserve"> </w:t>
      </w:r>
      <w:r w:rsidRPr="00F32C60">
        <w:rPr>
          <w:rFonts w:ascii="Verdana" w:eastAsia="Century Gothic" w:hAnsi="Verdana" w:cs="Century Gothic"/>
          <w:color w:val="000000" w:themeColor="text1"/>
          <w:sz w:val="21"/>
          <w:szCs w:val="21"/>
        </w:rPr>
        <w:t>administración delegada para la interventoría de un proyecto de obra</w:t>
      </w:r>
      <w:r w:rsidR="00663C75" w:rsidRPr="00F32C60">
        <w:rPr>
          <w:rFonts w:ascii="Verdana" w:eastAsia="Century Gothic" w:hAnsi="Verdana" w:cs="Century Gothic"/>
          <w:color w:val="000000" w:themeColor="text1"/>
          <w:sz w:val="21"/>
          <w:szCs w:val="21"/>
        </w:rPr>
        <w:t xml:space="preserve"> </w:t>
      </w:r>
      <w:r w:rsidRPr="00F32C60">
        <w:rPr>
          <w:rFonts w:ascii="Verdana" w:eastAsia="Century Gothic" w:hAnsi="Verdana" w:cs="Century Gothic"/>
          <w:color w:val="000000" w:themeColor="text1"/>
          <w:sz w:val="21"/>
          <w:szCs w:val="21"/>
        </w:rPr>
        <w:t>con la misma entidad,</w:t>
      </w:r>
      <w:r w:rsidR="00663C75" w:rsidRPr="00F32C60">
        <w:rPr>
          <w:rFonts w:ascii="Verdana" w:eastAsia="Century Gothic" w:hAnsi="Verdana" w:cs="Century Gothic"/>
          <w:color w:val="000000" w:themeColor="text1"/>
          <w:sz w:val="21"/>
          <w:szCs w:val="21"/>
        </w:rPr>
        <w:t xml:space="preserve"> </w:t>
      </w:r>
      <w:r w:rsidRPr="00F32C60">
        <w:rPr>
          <w:rFonts w:ascii="Verdana" w:eastAsia="Century Gothic" w:hAnsi="Verdana" w:cs="Century Gothic"/>
          <w:color w:val="000000" w:themeColor="text1"/>
          <w:sz w:val="21"/>
          <w:szCs w:val="21"/>
        </w:rPr>
        <w:t>conforme lo dispone el articulo 5 de la ley 1474</w:t>
      </w:r>
      <w:r w:rsidR="00663C75" w:rsidRPr="00F32C60">
        <w:rPr>
          <w:rFonts w:ascii="Verdana" w:eastAsia="Century Gothic" w:hAnsi="Verdana" w:cs="Century Gothic"/>
          <w:color w:val="000000" w:themeColor="text1"/>
          <w:sz w:val="21"/>
          <w:szCs w:val="21"/>
        </w:rPr>
        <w:t xml:space="preserve"> </w:t>
      </w:r>
      <w:r w:rsidRPr="00F32C60">
        <w:rPr>
          <w:rFonts w:ascii="Verdana" w:eastAsia="Century Gothic" w:hAnsi="Verdana" w:cs="Century Gothic"/>
          <w:color w:val="000000" w:themeColor="text1"/>
          <w:sz w:val="21"/>
          <w:szCs w:val="21"/>
        </w:rPr>
        <w:t>de 2011?</w:t>
      </w:r>
    </w:p>
    <w:p w14:paraId="36FFDFD5" w14:textId="72AAED2A" w:rsidR="00E410DB" w:rsidRPr="00F32C60" w:rsidRDefault="004753F9" w:rsidP="00E50BB0">
      <w:pPr>
        <w:spacing w:after="0" w:line="240" w:lineRule="auto"/>
        <w:ind w:left="709" w:right="709"/>
        <w:jc w:val="both"/>
        <w:rPr>
          <w:rFonts w:ascii="Verdana" w:eastAsia="Century Gothic" w:hAnsi="Verdana" w:cs="Century Gothic"/>
          <w:color w:val="000000" w:themeColor="text1"/>
          <w:sz w:val="21"/>
          <w:szCs w:val="21"/>
        </w:rPr>
      </w:pPr>
      <w:r w:rsidRPr="00F32C60">
        <w:rPr>
          <w:rFonts w:ascii="Verdana" w:eastAsia="Century Gothic" w:hAnsi="Verdana" w:cs="Century Gothic"/>
          <w:color w:val="000000" w:themeColor="text1"/>
          <w:sz w:val="21"/>
          <w:szCs w:val="21"/>
        </w:rPr>
        <w:t>Con el propósito de cumplir con los principios que rigen las actuaciones</w:t>
      </w:r>
      <w:r w:rsidR="00663C75" w:rsidRPr="00F32C60">
        <w:rPr>
          <w:rFonts w:ascii="Verdana" w:eastAsia="Century Gothic" w:hAnsi="Verdana" w:cs="Century Gothic"/>
          <w:color w:val="000000" w:themeColor="text1"/>
          <w:sz w:val="21"/>
          <w:szCs w:val="21"/>
        </w:rPr>
        <w:t xml:space="preserve"> </w:t>
      </w:r>
      <w:r w:rsidRPr="00F32C60">
        <w:rPr>
          <w:rFonts w:ascii="Verdana" w:eastAsia="Century Gothic" w:hAnsi="Verdana" w:cs="Century Gothic"/>
          <w:color w:val="000000" w:themeColor="text1"/>
          <w:sz w:val="21"/>
          <w:szCs w:val="21"/>
        </w:rPr>
        <w:t>contractuales y las buenas</w:t>
      </w:r>
      <w:r w:rsidR="00663C75" w:rsidRPr="00F32C60">
        <w:rPr>
          <w:rFonts w:ascii="Verdana" w:eastAsia="Century Gothic" w:hAnsi="Verdana" w:cs="Century Gothic"/>
          <w:color w:val="000000" w:themeColor="text1"/>
          <w:sz w:val="21"/>
          <w:szCs w:val="21"/>
        </w:rPr>
        <w:t xml:space="preserve"> </w:t>
      </w:r>
      <w:proofErr w:type="spellStart"/>
      <w:r w:rsidRPr="00F32C60">
        <w:rPr>
          <w:rFonts w:ascii="Verdana" w:eastAsia="Century Gothic" w:hAnsi="Verdana" w:cs="Century Gothic"/>
          <w:color w:val="000000" w:themeColor="text1"/>
          <w:sz w:val="21"/>
          <w:szCs w:val="21"/>
        </w:rPr>
        <w:t>practicas</w:t>
      </w:r>
      <w:proofErr w:type="spellEnd"/>
      <w:r w:rsidRPr="00F32C60">
        <w:rPr>
          <w:rFonts w:ascii="Verdana" w:eastAsia="Century Gothic" w:hAnsi="Verdana" w:cs="Century Gothic"/>
          <w:color w:val="000000" w:themeColor="text1"/>
          <w:sz w:val="21"/>
          <w:szCs w:val="21"/>
        </w:rPr>
        <w:t xml:space="preserve"> en la entidad, amablemente</w:t>
      </w:r>
      <w:r w:rsidR="00663C75" w:rsidRPr="00F32C60">
        <w:rPr>
          <w:rFonts w:ascii="Verdana" w:eastAsia="Century Gothic" w:hAnsi="Verdana" w:cs="Century Gothic"/>
          <w:color w:val="000000" w:themeColor="text1"/>
          <w:sz w:val="21"/>
          <w:szCs w:val="21"/>
        </w:rPr>
        <w:t xml:space="preserve"> </w:t>
      </w:r>
      <w:r w:rsidRPr="00F32C60">
        <w:rPr>
          <w:rFonts w:ascii="Verdana" w:eastAsia="Century Gothic" w:hAnsi="Verdana" w:cs="Century Gothic"/>
          <w:color w:val="000000" w:themeColor="text1"/>
          <w:sz w:val="21"/>
          <w:szCs w:val="21"/>
        </w:rPr>
        <w:t>solicito se dé respuesta oportuna y de fondo a los</w:t>
      </w:r>
      <w:r w:rsidR="00663C75" w:rsidRPr="00F32C60">
        <w:rPr>
          <w:rFonts w:ascii="Verdana" w:eastAsia="Century Gothic" w:hAnsi="Verdana" w:cs="Century Gothic"/>
          <w:color w:val="000000" w:themeColor="text1"/>
          <w:sz w:val="21"/>
          <w:szCs w:val="21"/>
        </w:rPr>
        <w:t xml:space="preserve"> </w:t>
      </w:r>
      <w:r w:rsidRPr="00F32C60">
        <w:rPr>
          <w:rFonts w:ascii="Verdana" w:eastAsia="Century Gothic" w:hAnsi="Verdana" w:cs="Century Gothic"/>
          <w:color w:val="000000" w:themeColor="text1"/>
          <w:sz w:val="21"/>
          <w:szCs w:val="21"/>
        </w:rPr>
        <w:t>interrogantes planteados</w:t>
      </w:r>
      <w:r w:rsidR="00663C75" w:rsidRPr="00F32C60">
        <w:rPr>
          <w:rFonts w:ascii="Verdana" w:eastAsia="Century Gothic" w:hAnsi="Verdana" w:cs="Century Gothic"/>
          <w:color w:val="000000" w:themeColor="text1"/>
          <w:sz w:val="21"/>
          <w:szCs w:val="21"/>
        </w:rPr>
        <w:t>” (sic)</w:t>
      </w:r>
      <w:r w:rsidRPr="00F32C60">
        <w:rPr>
          <w:rFonts w:ascii="Verdana" w:eastAsia="Century Gothic" w:hAnsi="Verdana" w:cs="Century Gothic"/>
          <w:color w:val="000000" w:themeColor="text1"/>
          <w:sz w:val="21"/>
          <w:szCs w:val="21"/>
        </w:rPr>
        <w:t>.</w:t>
      </w:r>
    </w:p>
    <w:p w14:paraId="183892C1" w14:textId="77777777" w:rsidR="00443FE3" w:rsidRPr="00F32C60" w:rsidRDefault="00443FE3" w:rsidP="00443FE3">
      <w:pPr>
        <w:spacing w:after="0" w:line="276" w:lineRule="auto"/>
        <w:jc w:val="both"/>
        <w:rPr>
          <w:rFonts w:ascii="Verdana" w:eastAsia="Calibri" w:hAnsi="Verdana" w:cs="Arial"/>
          <w:color w:val="000000" w:themeColor="text1"/>
          <w:lang w:val="es-ES" w:eastAsia="es-ES"/>
        </w:rPr>
      </w:pPr>
    </w:p>
    <w:p w14:paraId="71A7A2EF" w14:textId="7AEE04BC" w:rsidR="00AF4EF0" w:rsidRPr="00F32C60" w:rsidRDefault="00AF4EF0" w:rsidP="002B223E">
      <w:pPr>
        <w:spacing w:after="120" w:line="276" w:lineRule="auto"/>
        <w:ind w:firstLine="709"/>
        <w:jc w:val="both"/>
        <w:rPr>
          <w:rFonts w:ascii="Verdana" w:eastAsia="Calibri" w:hAnsi="Verdana" w:cs="Arial"/>
          <w:color w:val="000000" w:themeColor="text1"/>
          <w:lang w:val="es-ES_tradnl" w:eastAsia="es-ES_tradnl"/>
        </w:rPr>
      </w:pPr>
      <w:r w:rsidRPr="00F32C60">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32C60">
        <w:rPr>
          <w:rFonts w:ascii="Verdana" w:eastAsia="Calibri" w:hAnsi="Verdana" w:cs="Arial"/>
          <w:color w:val="000000" w:themeColor="text1"/>
          <w:lang w:val="es-ES_tradnl" w:eastAsia="es-ES_tradnl"/>
        </w:rPr>
        <w:tab/>
      </w:r>
    </w:p>
    <w:p w14:paraId="4722AFD2" w14:textId="781D9533" w:rsidR="00AF4EF0" w:rsidRPr="00F32C60" w:rsidRDefault="00AF4EF0" w:rsidP="00AF4EF0">
      <w:pPr>
        <w:spacing w:after="0" w:line="276" w:lineRule="auto"/>
        <w:ind w:firstLine="709"/>
        <w:jc w:val="both"/>
        <w:rPr>
          <w:rFonts w:ascii="Verdana" w:eastAsia="Calibri" w:hAnsi="Verdana" w:cs="Arial"/>
          <w:color w:val="000000" w:themeColor="text1"/>
          <w:lang w:val="es-ES" w:eastAsia="es-ES"/>
        </w:rPr>
      </w:pPr>
      <w:r w:rsidRPr="00F32C60">
        <w:rPr>
          <w:rFonts w:ascii="Verdana" w:eastAsia="Calibri" w:hAnsi="Verdana" w:cs="Arial"/>
          <w:color w:val="000000" w:themeColor="text1"/>
          <w:lang w:val="es-ES" w:eastAsia="es-ES"/>
        </w:rPr>
        <w:t xml:space="preserve">Conforme lo expuesto, </w:t>
      </w:r>
      <w:r w:rsidR="009617D5" w:rsidRPr="00F32C60">
        <w:rPr>
          <w:rFonts w:ascii="Verdana" w:eastAsia="Calibri" w:hAnsi="Verdana" w:cs="Arial"/>
          <w:color w:val="000000" w:themeColor="text1"/>
          <w:lang w:val="es-ES" w:eastAsia="es-ES"/>
        </w:rPr>
        <w:t>para</w:t>
      </w:r>
      <w:r w:rsidRPr="00F32C60">
        <w:rPr>
          <w:rFonts w:ascii="Verdana" w:eastAsia="Calibri" w:hAnsi="Verdana" w:cs="Arial"/>
          <w:color w:val="000000" w:themeColor="text1"/>
          <w:lang w:val="es-ES" w:eastAsia="es-ES"/>
        </w:rPr>
        <w:t xml:space="preserve"> satisfacer el derecho fundamental de petición se resolverá su consulta dentro de los límites de la referida competencia consultiva, esto es, haciendo algunas consideraciones sobre las normas generales relacionadas con el problema jurídico de su consulta. </w:t>
      </w:r>
    </w:p>
    <w:p w14:paraId="18BFF504" w14:textId="77777777" w:rsidR="00AF4EF0" w:rsidRPr="00F32C60" w:rsidRDefault="00AF4EF0" w:rsidP="00AF4EF0">
      <w:pPr>
        <w:spacing w:after="0" w:line="276" w:lineRule="auto"/>
        <w:ind w:firstLine="709"/>
        <w:jc w:val="both"/>
        <w:rPr>
          <w:rFonts w:ascii="Verdana" w:eastAsia="Calibri" w:hAnsi="Verdana" w:cs="Arial"/>
          <w:color w:val="000000" w:themeColor="text1"/>
          <w:lang w:val="es-ES" w:eastAsia="es-ES"/>
        </w:rPr>
      </w:pPr>
    </w:p>
    <w:p w14:paraId="1727593F" w14:textId="546F11B2" w:rsidR="00AF4EF0" w:rsidRPr="00F32C60" w:rsidRDefault="00AF4EF0" w:rsidP="00AF4EF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32C60">
        <w:rPr>
          <w:rFonts w:ascii="Verdana" w:eastAsia="Century Gothic" w:hAnsi="Verdana" w:cs="Century Gothic"/>
          <w:b/>
          <w:bCs/>
          <w:color w:val="000000" w:themeColor="text1"/>
        </w:rPr>
        <w:t>Problema</w:t>
      </w:r>
      <w:r w:rsidR="009617D5" w:rsidRPr="00F32C60">
        <w:rPr>
          <w:rFonts w:ascii="Verdana" w:eastAsia="Century Gothic" w:hAnsi="Verdana" w:cs="Century Gothic"/>
          <w:b/>
          <w:bCs/>
          <w:color w:val="000000" w:themeColor="text1"/>
        </w:rPr>
        <w:t>s</w:t>
      </w:r>
      <w:r w:rsidRPr="00F32C60">
        <w:rPr>
          <w:rFonts w:ascii="Verdana" w:eastAsia="Century Gothic" w:hAnsi="Verdana" w:cs="Century Gothic"/>
          <w:b/>
          <w:bCs/>
          <w:color w:val="000000" w:themeColor="text1"/>
        </w:rPr>
        <w:t xml:space="preserve"> planteado</w:t>
      </w:r>
      <w:r w:rsidR="009617D5" w:rsidRPr="00F32C60">
        <w:rPr>
          <w:rFonts w:ascii="Verdana" w:eastAsia="Century Gothic" w:hAnsi="Verdana" w:cs="Century Gothic"/>
          <w:b/>
          <w:bCs/>
          <w:color w:val="000000" w:themeColor="text1"/>
        </w:rPr>
        <w:t>s</w:t>
      </w:r>
      <w:r w:rsidRPr="00F32C60">
        <w:rPr>
          <w:rFonts w:ascii="Verdana" w:eastAsia="Century Gothic" w:hAnsi="Verdana" w:cs="Century Gothic"/>
          <w:b/>
          <w:bCs/>
          <w:color w:val="000000" w:themeColor="text1"/>
        </w:rPr>
        <w:t>:</w:t>
      </w:r>
    </w:p>
    <w:p w14:paraId="5B97819A" w14:textId="77777777" w:rsidR="00AF4EF0" w:rsidRPr="00F32C60" w:rsidRDefault="00AF4EF0" w:rsidP="00AF4EF0">
      <w:pPr>
        <w:tabs>
          <w:tab w:val="left" w:pos="426"/>
        </w:tabs>
        <w:spacing w:after="0" w:line="276" w:lineRule="auto"/>
        <w:jc w:val="both"/>
        <w:rPr>
          <w:rFonts w:ascii="Verdana" w:eastAsia="Century Gothic" w:hAnsi="Verdana" w:cs="Century Gothic"/>
          <w:color w:val="000000" w:themeColor="text1"/>
          <w:lang w:val="es-ES"/>
        </w:rPr>
      </w:pPr>
    </w:p>
    <w:p w14:paraId="5E53E83B" w14:textId="48B0F917" w:rsidR="00AF4EF0" w:rsidRPr="00F32C60" w:rsidRDefault="00AF4EF0" w:rsidP="00AF4EF0">
      <w:pPr>
        <w:spacing w:after="0" w:line="276" w:lineRule="auto"/>
        <w:jc w:val="both"/>
        <w:rPr>
          <w:rFonts w:ascii="Verdana" w:eastAsia="Century Gothic" w:hAnsi="Verdana" w:cs="Century Gothic"/>
          <w:color w:val="000000" w:themeColor="text1"/>
        </w:rPr>
      </w:pPr>
      <w:r w:rsidRPr="00F32C60">
        <w:rPr>
          <w:rFonts w:ascii="Verdana" w:eastAsia="Century Gothic" w:hAnsi="Verdana" w:cs="Century Gothic"/>
          <w:color w:val="000000" w:themeColor="text1"/>
        </w:rPr>
        <w:t xml:space="preserve">De acuerdo con el contenido de su solicitud, esta Agencia resolverá </w:t>
      </w:r>
      <w:r w:rsidR="00F10556" w:rsidRPr="00F32C60">
        <w:rPr>
          <w:rFonts w:ascii="Verdana" w:eastAsia="Century Gothic" w:hAnsi="Verdana" w:cs="Century Gothic"/>
          <w:color w:val="000000" w:themeColor="text1"/>
        </w:rPr>
        <w:t>el</w:t>
      </w:r>
      <w:r w:rsidRPr="00F32C60">
        <w:rPr>
          <w:rFonts w:ascii="Verdana" w:eastAsia="Century Gothic" w:hAnsi="Verdana" w:cs="Century Gothic"/>
          <w:color w:val="000000" w:themeColor="text1"/>
        </w:rPr>
        <w:t xml:space="preserve"> siguiente problema</w:t>
      </w:r>
      <w:r w:rsidR="009617D5" w:rsidRPr="00F32C60">
        <w:rPr>
          <w:rFonts w:ascii="Verdana" w:eastAsia="Century Gothic" w:hAnsi="Verdana" w:cs="Century Gothic"/>
          <w:color w:val="000000" w:themeColor="text1"/>
        </w:rPr>
        <w:t>s</w:t>
      </w:r>
      <w:r w:rsidRPr="00F32C60">
        <w:rPr>
          <w:rFonts w:ascii="Verdana" w:eastAsia="Century Gothic" w:hAnsi="Verdana" w:cs="Century Gothic"/>
          <w:color w:val="000000" w:themeColor="text1"/>
        </w:rPr>
        <w:t xml:space="preserve"> jurídico</w:t>
      </w:r>
      <w:r w:rsidR="009617D5" w:rsidRPr="00F32C60">
        <w:rPr>
          <w:rFonts w:ascii="Verdana" w:eastAsia="Century Gothic" w:hAnsi="Verdana" w:cs="Century Gothic"/>
          <w:color w:val="000000" w:themeColor="text1"/>
        </w:rPr>
        <w:t>s</w:t>
      </w:r>
      <w:r w:rsidRPr="00F32C60">
        <w:rPr>
          <w:rFonts w:ascii="Verdana" w:eastAsia="Century Gothic" w:hAnsi="Verdana" w:cs="Century Gothic"/>
          <w:color w:val="000000" w:themeColor="text1"/>
        </w:rPr>
        <w:t>:</w:t>
      </w:r>
      <w:r w:rsidR="00F10556" w:rsidRPr="00F32C60">
        <w:rPr>
          <w:rFonts w:ascii="Verdana" w:eastAsia="Century Gothic" w:hAnsi="Verdana" w:cs="Century Gothic"/>
          <w:color w:val="000000" w:themeColor="text1"/>
        </w:rPr>
        <w:t xml:space="preserve"> ¿la causal de inhabilidad prevista en el artículo</w:t>
      </w:r>
      <w:r w:rsidR="006B2A39" w:rsidRPr="00F32C60">
        <w:rPr>
          <w:rFonts w:ascii="Verdana" w:eastAsia="Century Gothic" w:hAnsi="Verdana" w:cs="Century Gothic"/>
          <w:color w:val="000000" w:themeColor="text1"/>
        </w:rPr>
        <w:t xml:space="preserve"> 5 de la Ley 1474 de 2011</w:t>
      </w:r>
      <w:r w:rsidR="0088537C" w:rsidRPr="00F32C60">
        <w:rPr>
          <w:rFonts w:ascii="Verdana" w:eastAsia="Century Gothic" w:hAnsi="Verdana" w:cs="Century Gothic"/>
          <w:color w:val="000000" w:themeColor="text1"/>
        </w:rPr>
        <w:t xml:space="preserve"> aplica cuando se pretende celebrar un contrato</w:t>
      </w:r>
      <w:r w:rsidR="00564E4F" w:rsidRPr="00F32C60">
        <w:rPr>
          <w:rFonts w:ascii="Verdana" w:eastAsia="Century Gothic" w:hAnsi="Verdana" w:cs="Century Gothic"/>
          <w:color w:val="000000" w:themeColor="text1"/>
        </w:rPr>
        <w:t xml:space="preserve"> interadministrativo</w:t>
      </w:r>
      <w:r w:rsidR="0088537C" w:rsidRPr="00F32C60">
        <w:rPr>
          <w:rFonts w:ascii="Verdana" w:eastAsia="Century Gothic" w:hAnsi="Verdana" w:cs="Century Gothic"/>
          <w:color w:val="000000" w:themeColor="text1"/>
        </w:rPr>
        <w:t xml:space="preserve"> </w:t>
      </w:r>
      <w:r w:rsidR="00581900" w:rsidRPr="00F32C60">
        <w:rPr>
          <w:rFonts w:ascii="Verdana" w:eastAsia="Century Gothic" w:hAnsi="Verdana" w:cs="Century Gothic"/>
          <w:color w:val="000000" w:themeColor="text1"/>
        </w:rPr>
        <w:t>de administración delegada</w:t>
      </w:r>
      <w:r w:rsidR="00564E4F" w:rsidRPr="00F32C60">
        <w:rPr>
          <w:rFonts w:ascii="Verdana" w:eastAsia="Century Gothic" w:hAnsi="Verdana" w:cs="Century Gothic"/>
          <w:color w:val="000000" w:themeColor="text1"/>
        </w:rPr>
        <w:t xml:space="preserve"> para la interventoría si previamente se suscribió con la misma entidad estatal un contrato interadministrativo de administración delegada para </w:t>
      </w:r>
      <w:r w:rsidR="00DA0972" w:rsidRPr="00F32C60">
        <w:rPr>
          <w:rFonts w:ascii="Verdana" w:eastAsia="Century Gothic" w:hAnsi="Verdana" w:cs="Century Gothic"/>
          <w:color w:val="000000" w:themeColor="text1"/>
        </w:rPr>
        <w:t>proyectos de</w:t>
      </w:r>
      <w:r w:rsidR="00564E4F" w:rsidRPr="00F32C60">
        <w:rPr>
          <w:rFonts w:ascii="Verdana" w:eastAsia="Century Gothic" w:hAnsi="Verdana" w:cs="Century Gothic"/>
          <w:color w:val="000000" w:themeColor="text1"/>
        </w:rPr>
        <w:t xml:space="preserve"> obra?</w:t>
      </w:r>
      <w:r w:rsidR="00F10556" w:rsidRPr="00F32C60">
        <w:rPr>
          <w:rFonts w:ascii="Verdana" w:eastAsia="Century Gothic" w:hAnsi="Verdana" w:cs="Century Gothic"/>
          <w:color w:val="000000" w:themeColor="text1"/>
        </w:rPr>
        <w:t xml:space="preserve"> </w:t>
      </w:r>
      <w:r w:rsidRPr="00F32C60">
        <w:rPr>
          <w:rFonts w:ascii="Verdana" w:eastAsia="Century Gothic" w:hAnsi="Verdana" w:cs="Century Gothic"/>
          <w:color w:val="000000" w:themeColor="text1"/>
        </w:rPr>
        <w:t xml:space="preserve"> </w:t>
      </w:r>
    </w:p>
    <w:p w14:paraId="5400FFDE" w14:textId="77777777" w:rsidR="00AF4EF0" w:rsidRPr="00F32C60" w:rsidRDefault="00AF4EF0" w:rsidP="00AF4EF0">
      <w:pPr>
        <w:spacing w:after="0" w:line="276" w:lineRule="auto"/>
        <w:jc w:val="both"/>
        <w:rPr>
          <w:rFonts w:ascii="Verdana" w:eastAsia="Calibri" w:hAnsi="Verdana" w:cs="Arial"/>
          <w:color w:val="000000" w:themeColor="text1"/>
        </w:rPr>
      </w:pPr>
    </w:p>
    <w:p w14:paraId="4564B8B9" w14:textId="77777777" w:rsidR="00AF4EF0" w:rsidRPr="00F32C60" w:rsidRDefault="00AF4EF0" w:rsidP="00AF4EF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32C60">
        <w:rPr>
          <w:rFonts w:ascii="Verdana" w:eastAsia="Century Gothic" w:hAnsi="Verdana" w:cs="Century Gothic"/>
          <w:b/>
          <w:bCs/>
          <w:color w:val="000000" w:themeColor="text1"/>
        </w:rPr>
        <w:t>Respuesta:</w:t>
      </w:r>
    </w:p>
    <w:p w14:paraId="440F5937" w14:textId="77777777" w:rsidR="00AF4EF0" w:rsidRPr="00F32C60" w:rsidRDefault="00AF4EF0" w:rsidP="00AF4EF0">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F4EF0" w:rsidRPr="00F32C60" w14:paraId="635C1A34" w14:textId="77777777" w:rsidTr="00891EDB">
        <w:tc>
          <w:tcPr>
            <w:tcW w:w="8828" w:type="dxa"/>
            <w:shd w:val="clear" w:color="auto" w:fill="auto"/>
          </w:tcPr>
          <w:p w14:paraId="6D0A2981" w14:textId="77777777" w:rsidR="00523DAD" w:rsidRDefault="00523DAD" w:rsidP="00523DAD">
            <w:pPr>
              <w:spacing w:after="120" w:line="276" w:lineRule="auto"/>
              <w:jc w:val="both"/>
              <w:rPr>
                <w:rFonts w:ascii="Verdana" w:eastAsia="Century Gothic" w:hAnsi="Verdana" w:cs="Century Gothic"/>
                <w:color w:val="000000" w:themeColor="text1"/>
              </w:rPr>
            </w:pPr>
            <w:r>
              <w:rPr>
                <w:rFonts w:ascii="Verdana" w:eastAsia="Century Gothic" w:hAnsi="Verdana" w:cs="Century Gothic"/>
                <w:color w:val="000000" w:themeColor="text1"/>
              </w:rPr>
              <w:t>En relación con la consulta, s</w:t>
            </w:r>
            <w:r w:rsidR="00CC4277" w:rsidRPr="00F32C60">
              <w:rPr>
                <w:rFonts w:ascii="Verdana" w:eastAsia="Century Gothic" w:hAnsi="Verdana" w:cs="Century Gothic"/>
                <w:color w:val="000000" w:themeColor="text1"/>
              </w:rPr>
              <w:t xml:space="preserve">e deben distinguir dos circunstancias. </w:t>
            </w:r>
          </w:p>
          <w:p w14:paraId="1CE34582" w14:textId="4232E163" w:rsidR="0099235A" w:rsidRPr="00F32C60" w:rsidRDefault="00523DAD" w:rsidP="002048BF">
            <w:pPr>
              <w:spacing w:after="120" w:line="276" w:lineRule="auto"/>
              <w:ind w:firstLine="709"/>
              <w:jc w:val="both"/>
              <w:rPr>
                <w:rFonts w:ascii="Verdana" w:eastAsia="Century Gothic" w:hAnsi="Verdana" w:cs="Century Gothic"/>
                <w:color w:val="000000" w:themeColor="text1"/>
              </w:rPr>
            </w:pPr>
            <w:r>
              <w:rPr>
                <w:rFonts w:ascii="Verdana" w:eastAsia="Century Gothic" w:hAnsi="Verdana" w:cs="Century Gothic"/>
                <w:color w:val="000000" w:themeColor="text1"/>
              </w:rPr>
              <w:t xml:space="preserve">i) </w:t>
            </w:r>
            <w:r w:rsidR="00CC4277" w:rsidRPr="00F32C60">
              <w:rPr>
                <w:rFonts w:ascii="Verdana" w:eastAsia="Century Gothic" w:hAnsi="Verdana" w:cs="Century Gothic"/>
                <w:color w:val="000000" w:themeColor="text1"/>
              </w:rPr>
              <w:t xml:space="preserve">Por una parte, </w:t>
            </w:r>
            <w:r w:rsidR="001F4240">
              <w:rPr>
                <w:rFonts w:ascii="Verdana" w:eastAsia="Century Gothic" w:hAnsi="Verdana" w:cs="Century Gothic"/>
                <w:color w:val="000000" w:themeColor="text1"/>
              </w:rPr>
              <w:t>circunscribiendo la respuesta al supuesto que usted expone</w:t>
            </w:r>
            <w:r w:rsidR="00220110">
              <w:rPr>
                <w:rFonts w:ascii="Verdana" w:eastAsia="Century Gothic" w:hAnsi="Verdana" w:cs="Century Gothic"/>
                <w:color w:val="000000" w:themeColor="text1"/>
              </w:rPr>
              <w:t xml:space="preserve"> y a los contratos que enuncia</w:t>
            </w:r>
            <w:r w:rsidR="001F4240">
              <w:rPr>
                <w:rFonts w:ascii="Verdana" w:eastAsia="Century Gothic" w:hAnsi="Verdana" w:cs="Century Gothic"/>
                <w:color w:val="000000" w:themeColor="text1"/>
              </w:rPr>
              <w:t xml:space="preserve">, </w:t>
            </w:r>
            <w:r w:rsidR="00CC4277" w:rsidRPr="00F32C60">
              <w:rPr>
                <w:rFonts w:ascii="Verdana" w:eastAsia="Century Gothic" w:hAnsi="Verdana" w:cs="Century Gothic"/>
                <w:color w:val="000000" w:themeColor="text1"/>
              </w:rPr>
              <w:t>l</w:t>
            </w:r>
            <w:r w:rsidR="00157F02" w:rsidRPr="00F32C60">
              <w:rPr>
                <w:rFonts w:ascii="Verdana" w:eastAsia="Century Gothic" w:hAnsi="Verdana" w:cs="Century Gothic"/>
                <w:color w:val="000000" w:themeColor="text1"/>
              </w:rPr>
              <w:t>a causal de inhabilidad del artículo 5 de la Ley 1474 de 2011 aplica</w:t>
            </w:r>
            <w:r w:rsidR="00220110">
              <w:rPr>
                <w:rFonts w:ascii="Verdana" w:eastAsia="Century Gothic" w:hAnsi="Verdana" w:cs="Century Gothic"/>
                <w:color w:val="000000" w:themeColor="text1"/>
              </w:rPr>
              <w:t>ría</w:t>
            </w:r>
            <w:r w:rsidR="00157F02" w:rsidRPr="00F32C60">
              <w:rPr>
                <w:rFonts w:ascii="Verdana" w:eastAsia="Century Gothic" w:hAnsi="Verdana" w:cs="Century Gothic"/>
                <w:color w:val="000000" w:themeColor="text1"/>
              </w:rPr>
              <w:t xml:space="preserve"> en aquellos casos en que la entidad estatal contratante pretend</w:t>
            </w:r>
            <w:r w:rsidR="00917180">
              <w:rPr>
                <w:rFonts w:ascii="Verdana" w:eastAsia="Century Gothic" w:hAnsi="Verdana" w:cs="Century Gothic"/>
                <w:color w:val="000000" w:themeColor="text1"/>
              </w:rPr>
              <w:t>a</w:t>
            </w:r>
            <w:r w:rsidR="00157F02" w:rsidRPr="00F32C60">
              <w:rPr>
                <w:rFonts w:ascii="Verdana" w:eastAsia="Century Gothic" w:hAnsi="Verdana" w:cs="Century Gothic"/>
                <w:color w:val="000000" w:themeColor="text1"/>
              </w:rPr>
              <w:t xml:space="preserve"> celebrar un contrato </w:t>
            </w:r>
            <w:r w:rsidR="00FA2CAC" w:rsidRPr="00F32C60">
              <w:rPr>
                <w:rFonts w:ascii="Verdana" w:eastAsia="Century Gothic" w:hAnsi="Verdana" w:cs="Century Gothic"/>
                <w:color w:val="000000" w:themeColor="text1"/>
              </w:rPr>
              <w:t>de administración delegada</w:t>
            </w:r>
            <w:r w:rsidR="00EA3946" w:rsidRPr="00F32C60">
              <w:rPr>
                <w:rFonts w:ascii="Verdana" w:eastAsia="Century Gothic" w:hAnsi="Verdana" w:cs="Century Gothic"/>
                <w:color w:val="000000" w:themeColor="text1"/>
              </w:rPr>
              <w:t xml:space="preserve"> de interventoría con la misma entidad </w:t>
            </w:r>
            <w:r w:rsidR="009904E1" w:rsidRPr="00F32C60">
              <w:rPr>
                <w:rFonts w:ascii="Verdana" w:eastAsia="Century Gothic" w:hAnsi="Verdana" w:cs="Century Gothic"/>
                <w:color w:val="000000" w:themeColor="text1"/>
              </w:rPr>
              <w:t xml:space="preserve">estatal </w:t>
            </w:r>
            <w:r w:rsidR="00EA3946" w:rsidRPr="00F32C60">
              <w:rPr>
                <w:rFonts w:ascii="Verdana" w:eastAsia="Century Gothic" w:hAnsi="Verdana" w:cs="Century Gothic"/>
                <w:color w:val="000000" w:themeColor="text1"/>
              </w:rPr>
              <w:t xml:space="preserve">con que ha celebrado </w:t>
            </w:r>
            <w:r w:rsidR="00736713" w:rsidRPr="00F32C60">
              <w:rPr>
                <w:rFonts w:ascii="Verdana" w:eastAsia="Century Gothic" w:hAnsi="Verdana" w:cs="Century Gothic"/>
                <w:color w:val="000000" w:themeColor="text1"/>
              </w:rPr>
              <w:t>un contrato</w:t>
            </w:r>
            <w:r w:rsidR="00EA3946" w:rsidRPr="00F32C60">
              <w:rPr>
                <w:rFonts w:ascii="Verdana" w:eastAsia="Century Gothic" w:hAnsi="Verdana" w:cs="Century Gothic"/>
                <w:color w:val="000000" w:themeColor="text1"/>
              </w:rPr>
              <w:t xml:space="preserve"> </w:t>
            </w:r>
            <w:r w:rsidR="00EA3946" w:rsidRPr="00F32C60">
              <w:rPr>
                <w:rFonts w:ascii="Verdana" w:eastAsia="Century Gothic" w:hAnsi="Verdana" w:cs="Century Gothic"/>
                <w:color w:val="000000" w:themeColor="text1"/>
              </w:rPr>
              <w:lastRenderedPageBreak/>
              <w:t xml:space="preserve">de administración delegada de </w:t>
            </w:r>
            <w:r w:rsidR="00C50FBE" w:rsidRPr="00F32C60">
              <w:rPr>
                <w:rFonts w:ascii="Verdana" w:eastAsia="Century Gothic" w:hAnsi="Verdana" w:cs="Century Gothic"/>
                <w:color w:val="000000" w:themeColor="text1"/>
              </w:rPr>
              <w:t xml:space="preserve">obra, durante el plazo de ejecución y </w:t>
            </w:r>
            <w:r w:rsidR="00917180">
              <w:rPr>
                <w:rFonts w:ascii="Verdana" w:eastAsia="Century Gothic" w:hAnsi="Verdana" w:cs="Century Gothic"/>
                <w:color w:val="000000" w:themeColor="text1"/>
              </w:rPr>
              <w:t xml:space="preserve">hasta </w:t>
            </w:r>
            <w:r w:rsidR="00C50FBE" w:rsidRPr="00F32C60">
              <w:rPr>
                <w:rFonts w:ascii="Verdana" w:eastAsia="Century Gothic" w:hAnsi="Verdana" w:cs="Century Gothic"/>
                <w:color w:val="000000" w:themeColor="text1"/>
              </w:rPr>
              <w:t xml:space="preserve">la liquidación de </w:t>
            </w:r>
            <w:r w:rsidR="00736713" w:rsidRPr="00F32C60">
              <w:rPr>
                <w:rFonts w:ascii="Verdana" w:eastAsia="Century Gothic" w:hAnsi="Verdana" w:cs="Century Gothic"/>
                <w:color w:val="000000" w:themeColor="text1"/>
              </w:rPr>
              <w:t>es</w:t>
            </w:r>
            <w:r w:rsidR="00147382" w:rsidRPr="00F32C60">
              <w:rPr>
                <w:rFonts w:ascii="Verdana" w:eastAsia="Century Gothic" w:hAnsi="Verdana" w:cs="Century Gothic"/>
                <w:color w:val="000000" w:themeColor="text1"/>
              </w:rPr>
              <w:t>t</w:t>
            </w:r>
            <w:r w:rsidR="00736713" w:rsidRPr="00F32C60">
              <w:rPr>
                <w:rFonts w:ascii="Verdana" w:eastAsia="Century Gothic" w:hAnsi="Verdana" w:cs="Century Gothic"/>
                <w:color w:val="000000" w:themeColor="text1"/>
              </w:rPr>
              <w:t>e</w:t>
            </w:r>
            <w:r w:rsidR="00C50FBE" w:rsidRPr="00F32C60">
              <w:rPr>
                <w:rFonts w:ascii="Verdana" w:eastAsia="Century Gothic" w:hAnsi="Verdana" w:cs="Century Gothic"/>
                <w:color w:val="000000" w:themeColor="text1"/>
              </w:rPr>
              <w:t>,</w:t>
            </w:r>
            <w:r w:rsidR="009904E1" w:rsidRPr="00F32C60">
              <w:rPr>
                <w:rFonts w:ascii="Verdana" w:eastAsia="Century Gothic" w:hAnsi="Verdana" w:cs="Century Gothic"/>
                <w:color w:val="000000" w:themeColor="text1"/>
              </w:rPr>
              <w:t xml:space="preserve"> </w:t>
            </w:r>
            <w:r w:rsidR="00220110">
              <w:rPr>
                <w:rFonts w:ascii="Verdana" w:eastAsia="Century Gothic" w:hAnsi="Verdana" w:cs="Century Gothic"/>
                <w:color w:val="000000" w:themeColor="text1"/>
              </w:rPr>
              <w:t>siempre que</w:t>
            </w:r>
            <w:r w:rsidR="009904E1" w:rsidRPr="00F32C60">
              <w:rPr>
                <w:rFonts w:ascii="Verdana" w:eastAsia="Century Gothic" w:hAnsi="Verdana" w:cs="Century Gothic"/>
                <w:color w:val="000000" w:themeColor="text1"/>
              </w:rPr>
              <w:t xml:space="preserve"> la administración delegada se haya pactado </w:t>
            </w:r>
            <w:r w:rsidR="00147382" w:rsidRPr="00F32C60">
              <w:rPr>
                <w:rFonts w:ascii="Verdana" w:eastAsia="Century Gothic" w:hAnsi="Verdana" w:cs="Century Gothic"/>
                <w:color w:val="000000" w:themeColor="text1"/>
              </w:rPr>
              <w:t xml:space="preserve">únicamente </w:t>
            </w:r>
            <w:r w:rsidR="009904E1" w:rsidRPr="00F32C60">
              <w:rPr>
                <w:rFonts w:ascii="Verdana" w:eastAsia="Century Gothic" w:hAnsi="Verdana" w:cs="Century Gothic"/>
                <w:color w:val="000000" w:themeColor="text1"/>
              </w:rPr>
              <w:t xml:space="preserve">como </w:t>
            </w:r>
            <w:r w:rsidR="00984805" w:rsidRPr="00F32C60">
              <w:rPr>
                <w:rFonts w:ascii="Verdana" w:eastAsia="Century Gothic" w:hAnsi="Verdana" w:cs="Century Gothic"/>
                <w:i/>
                <w:iCs/>
                <w:color w:val="000000" w:themeColor="text1"/>
              </w:rPr>
              <w:t>forma de pago</w:t>
            </w:r>
            <w:r w:rsidR="00984805" w:rsidRPr="00F32C60">
              <w:rPr>
                <w:rFonts w:ascii="Verdana" w:eastAsia="Century Gothic" w:hAnsi="Verdana" w:cs="Century Gothic"/>
                <w:color w:val="000000" w:themeColor="text1"/>
              </w:rPr>
              <w:t xml:space="preserve"> </w:t>
            </w:r>
            <w:r w:rsidR="00736713" w:rsidRPr="00F32C60">
              <w:rPr>
                <w:rFonts w:ascii="Verdana" w:eastAsia="Century Gothic" w:hAnsi="Verdana" w:cs="Century Gothic"/>
                <w:color w:val="000000" w:themeColor="text1"/>
              </w:rPr>
              <w:t xml:space="preserve">del </w:t>
            </w:r>
            <w:r w:rsidR="00736713" w:rsidRPr="00F32C60">
              <w:rPr>
                <w:rFonts w:ascii="Verdana" w:eastAsia="Century Gothic" w:hAnsi="Verdana" w:cs="Century Gothic"/>
                <w:i/>
                <w:iCs/>
                <w:color w:val="000000" w:themeColor="text1"/>
              </w:rPr>
              <w:t>contrato de obra</w:t>
            </w:r>
            <w:r w:rsidR="00984805" w:rsidRPr="00F32C60">
              <w:rPr>
                <w:rFonts w:ascii="Verdana" w:eastAsia="Century Gothic" w:hAnsi="Verdana" w:cs="Century Gothic"/>
                <w:color w:val="000000" w:themeColor="text1"/>
              </w:rPr>
              <w:t xml:space="preserve"> y</w:t>
            </w:r>
            <w:r w:rsidR="00B57852" w:rsidRPr="00F32C60">
              <w:rPr>
                <w:rFonts w:ascii="Verdana" w:eastAsia="Century Gothic" w:hAnsi="Verdana" w:cs="Century Gothic"/>
                <w:color w:val="000000" w:themeColor="text1"/>
              </w:rPr>
              <w:t xml:space="preserve"> </w:t>
            </w:r>
            <w:r w:rsidR="008D52F2">
              <w:rPr>
                <w:rFonts w:ascii="Verdana" w:eastAsia="Century Gothic" w:hAnsi="Verdana" w:cs="Century Gothic"/>
                <w:color w:val="000000" w:themeColor="text1"/>
              </w:rPr>
              <w:t>fuese a adoptar</w:t>
            </w:r>
            <w:r w:rsidR="00995CC6" w:rsidRPr="00F32C60">
              <w:rPr>
                <w:rFonts w:ascii="Verdana" w:eastAsia="Century Gothic" w:hAnsi="Verdana" w:cs="Century Gothic"/>
                <w:color w:val="000000" w:themeColor="text1"/>
              </w:rPr>
              <w:t xml:space="preserve"> también esa naturaleza</w:t>
            </w:r>
            <w:r w:rsidR="00082F1F" w:rsidRPr="00F32C60">
              <w:rPr>
                <w:rFonts w:ascii="Verdana" w:eastAsia="Century Gothic" w:hAnsi="Verdana" w:cs="Century Gothic"/>
                <w:color w:val="000000" w:themeColor="text1"/>
              </w:rPr>
              <w:t xml:space="preserve"> </w:t>
            </w:r>
            <w:r w:rsidR="00995CC6" w:rsidRPr="00F32C60">
              <w:rPr>
                <w:rFonts w:ascii="Verdana" w:eastAsia="Century Gothic" w:hAnsi="Verdana" w:cs="Century Gothic"/>
                <w:color w:val="000000" w:themeColor="text1"/>
              </w:rPr>
              <w:t>en el</w:t>
            </w:r>
            <w:r w:rsidR="00736713" w:rsidRPr="00F32C60">
              <w:rPr>
                <w:rFonts w:ascii="Verdana" w:eastAsia="Century Gothic" w:hAnsi="Verdana" w:cs="Century Gothic"/>
                <w:color w:val="000000" w:themeColor="text1"/>
              </w:rPr>
              <w:t xml:space="preserve"> contrato de </w:t>
            </w:r>
            <w:r w:rsidR="00B57852" w:rsidRPr="00F32C60">
              <w:rPr>
                <w:rFonts w:ascii="Verdana" w:eastAsia="Century Gothic" w:hAnsi="Verdana" w:cs="Century Gothic"/>
                <w:i/>
                <w:iCs/>
                <w:color w:val="000000" w:themeColor="text1"/>
              </w:rPr>
              <w:t>interventoría</w:t>
            </w:r>
            <w:r w:rsidR="00147382" w:rsidRPr="00F32C60">
              <w:rPr>
                <w:rFonts w:ascii="Verdana" w:eastAsia="Century Gothic" w:hAnsi="Verdana" w:cs="Century Gothic"/>
                <w:color w:val="000000" w:themeColor="text1"/>
              </w:rPr>
              <w:t>.</w:t>
            </w:r>
            <w:r w:rsidR="00442816" w:rsidRPr="00F32C60">
              <w:rPr>
                <w:rFonts w:ascii="Verdana" w:eastAsia="Century Gothic" w:hAnsi="Verdana" w:cs="Century Gothic"/>
                <w:color w:val="000000" w:themeColor="text1"/>
              </w:rPr>
              <w:t xml:space="preserve"> En este caso la administración delegada no sería un contrato sino una metodología de pago</w:t>
            </w:r>
            <w:r w:rsidR="003F1228" w:rsidRPr="00F32C60">
              <w:rPr>
                <w:rFonts w:ascii="Verdana" w:eastAsia="Century Gothic" w:hAnsi="Verdana" w:cs="Century Gothic"/>
                <w:color w:val="000000" w:themeColor="text1"/>
              </w:rPr>
              <w:t xml:space="preserve"> de la obra y de la interventoría</w:t>
            </w:r>
            <w:r w:rsidR="00C9322D" w:rsidRPr="00F32C60">
              <w:rPr>
                <w:rFonts w:ascii="Verdana" w:eastAsia="Century Gothic" w:hAnsi="Verdana" w:cs="Century Gothic"/>
                <w:color w:val="000000" w:themeColor="text1"/>
              </w:rPr>
              <w:t xml:space="preserve">. Por tanto, al ser el contrato anteriormente celebrado un contrato de obra y el segundo que pretende suscribirse un contrato de interventoría, </w:t>
            </w:r>
            <w:r w:rsidR="003F1228" w:rsidRPr="00F32C60">
              <w:rPr>
                <w:rFonts w:ascii="Verdana" w:eastAsia="Century Gothic" w:hAnsi="Verdana" w:cs="Century Gothic"/>
                <w:color w:val="000000" w:themeColor="text1"/>
              </w:rPr>
              <w:t>el supuesto ingresaría en el ámbito de aplicación de la causal de inhabilidad.</w:t>
            </w:r>
          </w:p>
          <w:p w14:paraId="3D99EFB5" w14:textId="56139379" w:rsidR="00361F9E" w:rsidRPr="00F32C60" w:rsidRDefault="00361F9E" w:rsidP="00361F9E">
            <w:pPr>
              <w:spacing w:before="120" w:line="276" w:lineRule="auto"/>
              <w:ind w:firstLine="709"/>
              <w:jc w:val="both"/>
              <w:rPr>
                <w:rFonts w:ascii="Verdana" w:eastAsia="Century Gothic" w:hAnsi="Verdana" w:cs="Century Gothic"/>
                <w:color w:val="000000" w:themeColor="text1"/>
              </w:rPr>
            </w:pPr>
            <w:proofErr w:type="spellStart"/>
            <w:r w:rsidRPr="00F32C60">
              <w:rPr>
                <w:rFonts w:ascii="Verdana" w:eastAsia="Century Gothic" w:hAnsi="Verdana" w:cs="Century Gothic"/>
                <w:color w:val="000000" w:themeColor="text1"/>
              </w:rPr>
              <w:t>ii</w:t>
            </w:r>
            <w:proofErr w:type="spellEnd"/>
            <w:r w:rsidRPr="00F32C60">
              <w:rPr>
                <w:rFonts w:ascii="Verdana" w:eastAsia="Century Gothic" w:hAnsi="Verdana" w:cs="Century Gothic"/>
                <w:color w:val="000000" w:themeColor="text1"/>
              </w:rPr>
              <w:t xml:space="preserve">) Por el contrario, </w:t>
            </w:r>
            <w:r w:rsidR="002B768B" w:rsidRPr="00F32C60">
              <w:rPr>
                <w:rFonts w:ascii="Verdana" w:eastAsia="Century Gothic" w:hAnsi="Verdana" w:cs="Century Gothic"/>
                <w:color w:val="000000" w:themeColor="text1"/>
              </w:rPr>
              <w:t>dicha causal no aplica cuando</w:t>
            </w:r>
            <w:r w:rsidRPr="00F32C60">
              <w:rPr>
                <w:rFonts w:ascii="Verdana" w:eastAsia="Century Gothic" w:hAnsi="Verdana" w:cs="Century Gothic"/>
                <w:color w:val="000000" w:themeColor="text1"/>
              </w:rPr>
              <w:t xml:space="preserve"> </w:t>
            </w:r>
            <w:r w:rsidR="002B768B" w:rsidRPr="00F32C60">
              <w:rPr>
                <w:rFonts w:ascii="Verdana" w:eastAsia="Century Gothic" w:hAnsi="Verdana" w:cs="Century Gothic"/>
                <w:color w:val="000000" w:themeColor="text1"/>
              </w:rPr>
              <w:t xml:space="preserve">la </w:t>
            </w:r>
            <w:r w:rsidRPr="00F32C60">
              <w:rPr>
                <w:rFonts w:ascii="Verdana" w:eastAsia="Century Gothic" w:hAnsi="Verdana" w:cs="Century Gothic"/>
                <w:color w:val="000000" w:themeColor="text1"/>
              </w:rPr>
              <w:t xml:space="preserve">entidad estatal </w:t>
            </w:r>
            <w:r w:rsidR="002B768B" w:rsidRPr="00F32C60">
              <w:rPr>
                <w:rFonts w:ascii="Verdana" w:eastAsia="Century Gothic" w:hAnsi="Verdana" w:cs="Century Gothic"/>
                <w:color w:val="000000" w:themeColor="text1"/>
              </w:rPr>
              <w:t xml:space="preserve">contratante </w:t>
            </w:r>
            <w:r w:rsidRPr="00F32C60">
              <w:rPr>
                <w:rFonts w:ascii="Verdana" w:eastAsia="Century Gothic" w:hAnsi="Verdana" w:cs="Century Gothic"/>
                <w:color w:val="000000" w:themeColor="text1"/>
              </w:rPr>
              <w:t xml:space="preserve">ha celebrado </w:t>
            </w:r>
            <w:r w:rsidR="00E43D1F" w:rsidRPr="00F32C60">
              <w:rPr>
                <w:rFonts w:ascii="Verdana" w:eastAsia="Century Gothic" w:hAnsi="Verdana" w:cs="Century Gothic"/>
                <w:color w:val="000000" w:themeColor="text1"/>
              </w:rPr>
              <w:t xml:space="preserve">un contrato de administración delegada para </w:t>
            </w:r>
            <w:r w:rsidR="00025F10" w:rsidRPr="00F32C60">
              <w:rPr>
                <w:rFonts w:ascii="Verdana" w:eastAsia="Century Gothic" w:hAnsi="Verdana" w:cs="Century Gothic"/>
                <w:color w:val="000000" w:themeColor="text1"/>
              </w:rPr>
              <w:t>la gestión de un proyecto de obra pública</w:t>
            </w:r>
            <w:r w:rsidR="002B768B" w:rsidRPr="00F32C60">
              <w:rPr>
                <w:rFonts w:ascii="Verdana" w:eastAsia="Century Gothic" w:hAnsi="Verdana" w:cs="Century Gothic"/>
                <w:color w:val="000000" w:themeColor="text1"/>
              </w:rPr>
              <w:t xml:space="preserve"> y pretende celebrar otros contratos de administración delegada par</w:t>
            </w:r>
            <w:r w:rsidR="00252810" w:rsidRPr="00F32C60">
              <w:rPr>
                <w:rFonts w:ascii="Verdana" w:eastAsia="Century Gothic" w:hAnsi="Verdana" w:cs="Century Gothic"/>
                <w:color w:val="000000" w:themeColor="text1"/>
              </w:rPr>
              <w:t xml:space="preserve">a la interventoría de proyectos con la misma entidad estatal contratista si </w:t>
            </w:r>
            <w:r w:rsidR="00D35CD3" w:rsidRPr="00F32C60">
              <w:rPr>
                <w:rFonts w:ascii="Verdana" w:eastAsia="Century Gothic" w:hAnsi="Verdana" w:cs="Century Gothic"/>
                <w:color w:val="000000" w:themeColor="text1"/>
              </w:rPr>
              <w:t xml:space="preserve">la administración delegada ha sido o será un </w:t>
            </w:r>
            <w:r w:rsidR="00D35CD3" w:rsidRPr="006A532A">
              <w:rPr>
                <w:rFonts w:ascii="Verdana" w:eastAsia="Century Gothic" w:hAnsi="Verdana" w:cs="Century Gothic"/>
                <w:i/>
                <w:iCs/>
                <w:color w:val="000000" w:themeColor="text1"/>
              </w:rPr>
              <w:t>contrato de mandato</w:t>
            </w:r>
            <w:r w:rsidR="00D35CD3" w:rsidRPr="00F32C60">
              <w:rPr>
                <w:rFonts w:ascii="Verdana" w:eastAsia="Century Gothic" w:hAnsi="Verdana" w:cs="Century Gothic"/>
                <w:color w:val="000000" w:themeColor="text1"/>
              </w:rPr>
              <w:t>.</w:t>
            </w:r>
            <w:r w:rsidR="00CA633F" w:rsidRPr="00F32C60">
              <w:rPr>
                <w:rFonts w:ascii="Verdana" w:eastAsia="Century Gothic" w:hAnsi="Verdana" w:cs="Century Gothic"/>
                <w:color w:val="000000" w:themeColor="text1"/>
              </w:rPr>
              <w:t xml:space="preserve"> En este evento la administración delegada no sería simplemente una forma de pago sino un contrato de mandato por el cual la entidad estatal contratante</w:t>
            </w:r>
            <w:r w:rsidR="0056686B" w:rsidRPr="00F32C60">
              <w:rPr>
                <w:rFonts w:ascii="Verdana" w:eastAsia="Century Gothic" w:hAnsi="Verdana" w:cs="Century Gothic"/>
                <w:color w:val="000000" w:themeColor="text1"/>
              </w:rPr>
              <w:t xml:space="preserve"> –mandante– encomienda a la entidad estatal contratista –mandataria– la administración de un proyecto.</w:t>
            </w:r>
            <w:r w:rsidR="00400C05" w:rsidRPr="00F32C60">
              <w:rPr>
                <w:rFonts w:ascii="Verdana" w:eastAsia="Century Gothic" w:hAnsi="Verdana" w:cs="Century Gothic"/>
                <w:color w:val="000000" w:themeColor="text1"/>
              </w:rPr>
              <w:t xml:space="preserve"> Por ende, no se incurriría en la causal de inhabilidad porque esta no contempla los contratos de mandato ni tipos contractuales distintos a la obra y a la </w:t>
            </w:r>
            <w:r w:rsidR="00047108" w:rsidRPr="00F32C60">
              <w:rPr>
                <w:rFonts w:ascii="Verdana" w:eastAsia="Century Gothic" w:hAnsi="Verdana" w:cs="Century Gothic"/>
                <w:color w:val="000000" w:themeColor="text1"/>
              </w:rPr>
              <w:t>interventoría –</w:t>
            </w:r>
            <w:r w:rsidR="00EB0F5A" w:rsidRPr="00F32C60">
              <w:rPr>
                <w:rFonts w:ascii="Verdana" w:eastAsia="Century Gothic" w:hAnsi="Verdana" w:cs="Century Gothic"/>
                <w:color w:val="000000" w:themeColor="text1"/>
              </w:rPr>
              <w:t xml:space="preserve">actividad </w:t>
            </w:r>
            <w:r w:rsidR="00047108" w:rsidRPr="00F32C60">
              <w:rPr>
                <w:rFonts w:ascii="Verdana" w:eastAsia="Century Gothic" w:hAnsi="Verdana" w:cs="Century Gothic"/>
                <w:color w:val="000000" w:themeColor="text1"/>
              </w:rPr>
              <w:t>que ingresa en el objeto de los contratos de consultoría</w:t>
            </w:r>
            <w:r w:rsidR="00EB0F5A" w:rsidRPr="00F32C60">
              <w:rPr>
                <w:rFonts w:ascii="Verdana" w:eastAsia="Century Gothic" w:hAnsi="Verdana" w:cs="Century Gothic"/>
                <w:color w:val="000000" w:themeColor="text1"/>
              </w:rPr>
              <w:t>, según el artículo 32</w:t>
            </w:r>
            <w:r w:rsidR="004A38A2" w:rsidRPr="00F32C60">
              <w:rPr>
                <w:rFonts w:ascii="Verdana" w:eastAsia="Century Gothic" w:hAnsi="Verdana" w:cs="Century Gothic"/>
                <w:color w:val="000000" w:themeColor="text1"/>
              </w:rPr>
              <w:t>,</w:t>
            </w:r>
            <w:r w:rsidR="00EB0F5A" w:rsidRPr="00F32C60">
              <w:rPr>
                <w:rFonts w:ascii="Verdana" w:eastAsia="Century Gothic" w:hAnsi="Verdana" w:cs="Century Gothic"/>
                <w:color w:val="000000" w:themeColor="text1"/>
              </w:rPr>
              <w:t xml:space="preserve"> numeral </w:t>
            </w:r>
            <w:r w:rsidR="004A38A2" w:rsidRPr="00F32C60">
              <w:rPr>
                <w:rFonts w:ascii="Verdana" w:eastAsia="Century Gothic" w:hAnsi="Verdana" w:cs="Century Gothic"/>
                <w:color w:val="000000" w:themeColor="text1"/>
              </w:rPr>
              <w:t>2 de la Ley 80 de 1993</w:t>
            </w:r>
            <w:r w:rsidR="00047108" w:rsidRPr="00F32C60">
              <w:rPr>
                <w:rFonts w:ascii="Verdana" w:eastAsia="Century Gothic" w:hAnsi="Verdana" w:cs="Century Gothic"/>
                <w:color w:val="000000" w:themeColor="text1"/>
              </w:rPr>
              <w:t>–. Lo anterior en consideración al criterio de interpretación restrictiva que r</w:t>
            </w:r>
            <w:r w:rsidR="00664839" w:rsidRPr="00F32C60">
              <w:rPr>
                <w:rFonts w:ascii="Verdana" w:eastAsia="Century Gothic" w:hAnsi="Verdana" w:cs="Century Gothic"/>
                <w:color w:val="000000" w:themeColor="text1"/>
              </w:rPr>
              <w:t>ige las causales de inhabilidad e incompatibilidad en la contratación pública.</w:t>
            </w:r>
          </w:p>
          <w:p w14:paraId="500177C1" w14:textId="3C190517" w:rsidR="00664839" w:rsidRPr="00F32C60" w:rsidRDefault="00664839" w:rsidP="00361F9E">
            <w:pPr>
              <w:spacing w:before="120" w:line="276" w:lineRule="auto"/>
              <w:ind w:firstLine="709"/>
              <w:jc w:val="both"/>
              <w:rPr>
                <w:rFonts w:ascii="Verdana" w:eastAsia="Century Gothic" w:hAnsi="Verdana" w:cs="Century Gothic"/>
                <w:color w:val="000000" w:themeColor="text1"/>
              </w:rPr>
            </w:pPr>
            <w:proofErr w:type="spellStart"/>
            <w:r w:rsidRPr="00F32C60">
              <w:rPr>
                <w:rFonts w:ascii="Verdana" w:eastAsia="Century Gothic" w:hAnsi="Verdana" w:cs="Century Gothic"/>
                <w:color w:val="000000" w:themeColor="text1"/>
              </w:rPr>
              <w:t>ii</w:t>
            </w:r>
            <w:proofErr w:type="spellEnd"/>
            <w:r w:rsidRPr="00F32C60">
              <w:rPr>
                <w:rFonts w:ascii="Verdana" w:eastAsia="Century Gothic" w:hAnsi="Verdana" w:cs="Century Gothic"/>
                <w:color w:val="000000" w:themeColor="text1"/>
              </w:rPr>
              <w:t>) En definitiva, cada entidad estatal contratante deberá analizar en el caso concreto si lo que se ha celebrado ha sido un contrato de obra por el sistema de pago de administración delegada o un contrato de mandato para la administración de proyectos de obra</w:t>
            </w:r>
            <w:r w:rsidR="00A93792" w:rsidRPr="00F32C60">
              <w:rPr>
                <w:rFonts w:ascii="Verdana" w:eastAsia="Century Gothic" w:hAnsi="Verdana" w:cs="Century Gothic"/>
                <w:color w:val="000000" w:themeColor="text1"/>
              </w:rPr>
              <w:t xml:space="preserve">. Asimismo, debe tener claro si el contrato que pretende celebrar con la misma entidad </w:t>
            </w:r>
            <w:r w:rsidR="00E85776" w:rsidRPr="00F32C60">
              <w:rPr>
                <w:rFonts w:ascii="Verdana" w:eastAsia="Century Gothic" w:hAnsi="Verdana" w:cs="Century Gothic"/>
                <w:color w:val="000000" w:themeColor="text1"/>
              </w:rPr>
              <w:t xml:space="preserve">estatal contratista será un contrato de consultoría para la ejecución de una interventoría por el sistema de pago de administración delegada o un contrato de mandato para la administración de un proyecto de interventoría. </w:t>
            </w:r>
            <w:r w:rsidR="00864D72" w:rsidRPr="00F32C60">
              <w:rPr>
                <w:rFonts w:ascii="Verdana" w:eastAsia="Century Gothic" w:hAnsi="Verdana" w:cs="Century Gothic"/>
                <w:color w:val="000000" w:themeColor="text1"/>
              </w:rPr>
              <w:t>Solo cuando la combinación</w:t>
            </w:r>
            <w:r w:rsidR="00694403">
              <w:rPr>
                <w:rFonts w:ascii="Verdana" w:eastAsia="Century Gothic" w:hAnsi="Verdana" w:cs="Century Gothic"/>
                <w:color w:val="000000" w:themeColor="text1"/>
              </w:rPr>
              <w:t xml:space="preserve"> de contratos</w:t>
            </w:r>
            <w:r w:rsidR="00864D72" w:rsidRPr="00F32C60">
              <w:rPr>
                <w:rFonts w:ascii="Verdana" w:eastAsia="Century Gothic" w:hAnsi="Verdana" w:cs="Century Gothic"/>
                <w:color w:val="000000" w:themeColor="text1"/>
              </w:rPr>
              <w:t xml:space="preserve"> con la misma entidad estatal contratista</w:t>
            </w:r>
            <w:r w:rsidR="00F85005">
              <w:rPr>
                <w:rFonts w:ascii="Verdana" w:eastAsia="Century Gothic" w:hAnsi="Verdana" w:cs="Century Gothic"/>
                <w:color w:val="000000" w:themeColor="text1"/>
              </w:rPr>
              <w:t>,</w:t>
            </w:r>
            <w:r w:rsidR="00B3132C">
              <w:rPr>
                <w:rFonts w:ascii="Verdana" w:eastAsia="Century Gothic" w:hAnsi="Verdana" w:cs="Century Gothic"/>
                <w:color w:val="000000" w:themeColor="text1"/>
              </w:rPr>
              <w:t xml:space="preserve"> en el supuesto </w:t>
            </w:r>
            <w:r w:rsidR="00F85005">
              <w:rPr>
                <w:rFonts w:ascii="Verdana" w:eastAsia="Century Gothic" w:hAnsi="Verdana" w:cs="Century Gothic"/>
                <w:color w:val="000000" w:themeColor="text1"/>
              </w:rPr>
              <w:t xml:space="preserve">hipotético </w:t>
            </w:r>
            <w:r w:rsidR="00B3132C">
              <w:rPr>
                <w:rFonts w:ascii="Verdana" w:eastAsia="Century Gothic" w:hAnsi="Verdana" w:cs="Century Gothic"/>
                <w:color w:val="000000" w:themeColor="text1"/>
              </w:rPr>
              <w:t xml:space="preserve">que usted </w:t>
            </w:r>
            <w:r w:rsidR="00F85005">
              <w:rPr>
                <w:rFonts w:ascii="Verdana" w:eastAsia="Century Gothic" w:hAnsi="Verdana" w:cs="Century Gothic"/>
                <w:color w:val="000000" w:themeColor="text1"/>
              </w:rPr>
              <w:t>indica,</w:t>
            </w:r>
            <w:r w:rsidR="00864D72" w:rsidRPr="00F32C60">
              <w:rPr>
                <w:rFonts w:ascii="Verdana" w:eastAsia="Century Gothic" w:hAnsi="Verdana" w:cs="Century Gothic"/>
                <w:color w:val="000000" w:themeColor="text1"/>
              </w:rPr>
              <w:t xml:space="preserve"> </w:t>
            </w:r>
            <w:r w:rsidR="00694403">
              <w:rPr>
                <w:rFonts w:ascii="Verdana" w:eastAsia="Century Gothic" w:hAnsi="Verdana" w:cs="Century Gothic"/>
                <w:color w:val="000000" w:themeColor="text1"/>
              </w:rPr>
              <w:t>consista en un</w:t>
            </w:r>
            <w:r w:rsidR="00864D72" w:rsidRPr="00F32C60">
              <w:rPr>
                <w:rFonts w:ascii="Verdana" w:eastAsia="Century Gothic" w:hAnsi="Verdana" w:cs="Century Gothic"/>
                <w:color w:val="000000" w:themeColor="text1"/>
              </w:rPr>
              <w:t xml:space="preserve"> contrato de obra –previo– </w:t>
            </w:r>
            <w:r w:rsidR="00253A90" w:rsidRPr="00F32C60">
              <w:rPr>
                <w:rFonts w:ascii="Verdana" w:eastAsia="Century Gothic" w:hAnsi="Verdana" w:cs="Century Gothic"/>
                <w:color w:val="000000" w:themeColor="text1"/>
              </w:rPr>
              <w:t>y</w:t>
            </w:r>
            <w:r w:rsidR="00864D72" w:rsidRPr="00F32C60">
              <w:rPr>
                <w:rFonts w:ascii="Verdana" w:eastAsia="Century Gothic" w:hAnsi="Verdana" w:cs="Century Gothic"/>
                <w:color w:val="000000" w:themeColor="text1"/>
              </w:rPr>
              <w:t xml:space="preserve"> </w:t>
            </w:r>
            <w:r w:rsidR="00694403">
              <w:rPr>
                <w:rFonts w:ascii="Verdana" w:eastAsia="Century Gothic" w:hAnsi="Verdana" w:cs="Century Gothic"/>
                <w:color w:val="000000" w:themeColor="text1"/>
              </w:rPr>
              <w:t xml:space="preserve">un </w:t>
            </w:r>
            <w:r w:rsidR="00864D72" w:rsidRPr="00F32C60">
              <w:rPr>
                <w:rFonts w:ascii="Verdana" w:eastAsia="Century Gothic" w:hAnsi="Verdana" w:cs="Century Gothic"/>
                <w:color w:val="000000" w:themeColor="text1"/>
              </w:rPr>
              <w:t xml:space="preserve">contrato de interventoría –que pretende celebrarse con posterioridad– se </w:t>
            </w:r>
            <w:r w:rsidR="00864D72" w:rsidRPr="00F32C60">
              <w:rPr>
                <w:rFonts w:ascii="Verdana" w:eastAsia="Century Gothic" w:hAnsi="Verdana" w:cs="Century Gothic"/>
                <w:color w:val="000000" w:themeColor="text1"/>
              </w:rPr>
              <w:lastRenderedPageBreak/>
              <w:t>ingresa en el ámbito semántico de la causal de inhabilidad del artículo 5 de la Ley 1474 de 2011.</w:t>
            </w:r>
          </w:p>
        </w:tc>
      </w:tr>
    </w:tbl>
    <w:p w14:paraId="5F6616BA" w14:textId="77777777" w:rsidR="00AF4EF0" w:rsidRPr="00F32C60" w:rsidRDefault="00AF4EF0" w:rsidP="00AF4EF0">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6A82D59A" w14:textId="77777777" w:rsidR="00AF4EF0" w:rsidRPr="00F32C60" w:rsidRDefault="00AF4EF0" w:rsidP="00AF4EF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32C60">
        <w:rPr>
          <w:rFonts w:ascii="Verdana" w:eastAsia="Century Gothic" w:hAnsi="Verdana" w:cs="Century Gothic"/>
          <w:b/>
          <w:bCs/>
          <w:color w:val="000000" w:themeColor="text1"/>
        </w:rPr>
        <w:t>Razones de la respuesta:</w:t>
      </w:r>
    </w:p>
    <w:p w14:paraId="384974B3" w14:textId="77777777" w:rsidR="00AF4EF0" w:rsidRPr="00F32C60" w:rsidRDefault="00AF4EF0" w:rsidP="00AF4EF0">
      <w:pPr>
        <w:spacing w:after="0" w:line="276" w:lineRule="auto"/>
        <w:jc w:val="both"/>
        <w:rPr>
          <w:rFonts w:ascii="Verdana" w:eastAsia="Calibri" w:hAnsi="Verdana" w:cs="Arial"/>
          <w:color w:val="000000" w:themeColor="text1"/>
          <w:lang w:val="es-ES"/>
        </w:rPr>
      </w:pPr>
    </w:p>
    <w:p w14:paraId="750EC540" w14:textId="77777777" w:rsidR="00AF4EF0" w:rsidRPr="00F32C60" w:rsidRDefault="00AF4EF0" w:rsidP="00AF4EF0">
      <w:pPr>
        <w:spacing w:after="0" w:line="276" w:lineRule="auto"/>
        <w:jc w:val="both"/>
        <w:rPr>
          <w:rFonts w:ascii="Verdana" w:eastAsia="Calibri" w:hAnsi="Verdana" w:cs="Arial"/>
          <w:color w:val="000000" w:themeColor="text1"/>
          <w:lang w:val="es-ES"/>
        </w:rPr>
      </w:pPr>
      <w:r w:rsidRPr="00F32C60">
        <w:rPr>
          <w:rFonts w:ascii="Verdana" w:eastAsia="Calibri" w:hAnsi="Verdana" w:cs="Arial"/>
          <w:color w:val="000000" w:themeColor="text1"/>
          <w:lang w:val="es-ES"/>
        </w:rPr>
        <w:t xml:space="preserve">Lo anterior se sustenta en las siguientes consideraciones: </w:t>
      </w:r>
    </w:p>
    <w:p w14:paraId="52B21A5D" w14:textId="77777777" w:rsidR="00AF4EF0" w:rsidRPr="00F32C60" w:rsidRDefault="00AF4EF0" w:rsidP="00AF4EF0">
      <w:pPr>
        <w:spacing w:after="0" w:line="276" w:lineRule="auto"/>
        <w:jc w:val="both"/>
        <w:rPr>
          <w:rFonts w:ascii="Verdana" w:eastAsia="Calibri" w:hAnsi="Verdana" w:cs="Arial"/>
          <w:color w:val="000000" w:themeColor="text1"/>
          <w:lang w:val="es-ES" w:eastAsia="es-ES"/>
        </w:rPr>
      </w:pPr>
    </w:p>
    <w:p w14:paraId="24262E77" w14:textId="2C3C5650" w:rsidR="005A600B" w:rsidRPr="00F32C60" w:rsidRDefault="00895455" w:rsidP="006D6DEB">
      <w:pPr>
        <w:snapToGrid w:val="0"/>
        <w:spacing w:after="120" w:line="276" w:lineRule="auto"/>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 xml:space="preserve">i) </w:t>
      </w:r>
      <w:r w:rsidR="005A600B" w:rsidRPr="00F32C60">
        <w:rPr>
          <w:rFonts w:ascii="Verdana" w:eastAsia="Calibri" w:hAnsi="Verdana" w:cs="Arial"/>
          <w:color w:val="000000" w:themeColor="text1"/>
          <w:lang w:val="es-ES_tradnl"/>
        </w:rPr>
        <w:t xml:space="preserve">En la contratación estatal, la </w:t>
      </w:r>
      <w:r w:rsidR="005A600B" w:rsidRPr="00F32C60">
        <w:rPr>
          <w:rFonts w:ascii="Verdana" w:eastAsia="Calibri" w:hAnsi="Verdana" w:cs="Arial"/>
          <w:i/>
          <w:iCs/>
          <w:color w:val="000000" w:themeColor="text1"/>
          <w:lang w:val="es-ES_tradnl"/>
        </w:rPr>
        <w:t>capacidad</w:t>
      </w:r>
      <w:r w:rsidR="005A600B" w:rsidRPr="00F32C60">
        <w:rPr>
          <w:rFonts w:ascii="Verdana" w:eastAsia="Calibri" w:hAnsi="Verdana" w:cs="Arial"/>
          <w:color w:val="000000" w:themeColor="text1"/>
          <w:lang w:val="es-ES_tradnl"/>
        </w:rPr>
        <w:t xml:space="preserve"> también es un requisito de validez de los contratos, tanto en el régimen de las entidades sujetas al Estatuto General de Contratación de la Administración Pública</w:t>
      </w:r>
      <w:r w:rsidR="005A600B" w:rsidRPr="00F32C60">
        <w:rPr>
          <w:rFonts w:ascii="Verdana" w:eastAsia="Calibri" w:hAnsi="Verdana" w:cs="Arial"/>
          <w:color w:val="000000" w:themeColor="text1"/>
          <w:vertAlign w:val="superscript"/>
          <w:lang w:val="es-ES_tradnl"/>
        </w:rPr>
        <w:footnoteReference w:id="2"/>
      </w:r>
      <w:r w:rsidR="005A600B" w:rsidRPr="00F32C60">
        <w:rPr>
          <w:rFonts w:ascii="Verdana" w:eastAsia="Calibri" w:hAnsi="Verdana" w:cs="Arial"/>
          <w:color w:val="000000" w:themeColor="text1"/>
          <w:lang w:val="es-ES_tradnl"/>
        </w:rPr>
        <w:t xml:space="preserve"> como en el de las entidades exceptuadas de aquel</w:t>
      </w:r>
      <w:r w:rsidR="005A600B" w:rsidRPr="00F32C60">
        <w:rPr>
          <w:rFonts w:ascii="Verdana" w:eastAsia="Calibri" w:hAnsi="Verdana" w:cs="Arial"/>
          <w:color w:val="000000" w:themeColor="text1"/>
          <w:vertAlign w:val="superscript"/>
          <w:lang w:val="es-ES_tradnl"/>
        </w:rPr>
        <w:footnoteReference w:id="3"/>
      </w:r>
      <w:r w:rsidR="005A600B" w:rsidRPr="00F32C60">
        <w:rPr>
          <w:rFonts w:ascii="Verdana" w:eastAsia="Calibri" w:hAnsi="Verdana" w:cs="Arial"/>
          <w:color w:val="000000" w:themeColor="text1"/>
          <w:lang w:val="es-ES_tradnl"/>
        </w:rPr>
        <w:t xml:space="preserve">.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se destaca el régimen de inhabilidades e incompatibilidades como un conjunto de enunciados normativos que imponen restricciones para los sujetos que, </w:t>
      </w:r>
      <w:r w:rsidR="005A600B" w:rsidRPr="00F32C60">
        <w:rPr>
          <w:rFonts w:ascii="Verdana" w:eastAsia="Calibri" w:hAnsi="Verdana" w:cs="Arial"/>
          <w:color w:val="000000" w:themeColor="text1"/>
          <w:lang w:val="es-ES_tradnl"/>
        </w:rPr>
        <w:lastRenderedPageBreak/>
        <w:t>eventualmente, pretendan participar en los procedimientos de selección o celebrar contratos con las entidades estatales</w:t>
      </w:r>
      <w:r w:rsidR="005A600B" w:rsidRPr="00F32C60">
        <w:rPr>
          <w:rFonts w:ascii="Verdana" w:eastAsia="Calibri" w:hAnsi="Verdana" w:cs="Arial"/>
          <w:color w:val="000000" w:themeColor="text1"/>
          <w:vertAlign w:val="superscript"/>
          <w:lang w:val="es-ES_tradnl"/>
        </w:rPr>
        <w:footnoteReference w:id="4"/>
      </w:r>
      <w:r w:rsidR="005A600B" w:rsidRPr="00F32C60">
        <w:rPr>
          <w:rFonts w:ascii="Verdana" w:eastAsia="Calibri" w:hAnsi="Verdana" w:cs="Arial"/>
          <w:color w:val="000000" w:themeColor="text1"/>
          <w:lang w:val="es-ES_tradnl"/>
        </w:rPr>
        <w:t>.</w:t>
      </w:r>
    </w:p>
    <w:p w14:paraId="049807C8" w14:textId="0E13CB75" w:rsidR="006D6DEB" w:rsidRPr="00F32C60" w:rsidRDefault="005A600B" w:rsidP="006D6DEB">
      <w:pPr>
        <w:spacing w:after="12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F32C60">
        <w:rPr>
          <w:rFonts w:ascii="Verdana" w:eastAsia="Calibri" w:hAnsi="Verdana" w:cs="Arial"/>
          <w:color w:val="000000" w:themeColor="text1"/>
          <w:lang w:val="es-ES_tradnl"/>
        </w:rPr>
        <w:t>ii</w:t>
      </w:r>
      <w:proofErr w:type="spellEnd"/>
      <w:r w:rsidRPr="00F32C60">
        <w:rPr>
          <w:rFonts w:ascii="Verdana" w:eastAsia="Calibri" w:hAnsi="Verdana" w:cs="Arial"/>
          <w:color w:val="000000" w:themeColor="text1"/>
          <w:lang w:val="es-ES_tradnl"/>
        </w:rPr>
        <w:t xml:space="preserve">) de vínculos personales relativos al parentesco o al estado civil o </w:t>
      </w:r>
      <w:proofErr w:type="spellStart"/>
      <w:r w:rsidRPr="00F32C60">
        <w:rPr>
          <w:rFonts w:ascii="Verdana" w:eastAsia="Calibri" w:hAnsi="Verdana" w:cs="Arial"/>
          <w:color w:val="000000" w:themeColor="text1"/>
          <w:lang w:val="es-ES_tradnl"/>
        </w:rPr>
        <w:t>iii</w:t>
      </w:r>
      <w:proofErr w:type="spellEnd"/>
      <w:r w:rsidRPr="00F32C60">
        <w:rPr>
          <w:rFonts w:ascii="Verdana" w:eastAsia="Calibri" w:hAnsi="Verdana" w:cs="Arial"/>
          <w:color w:val="000000" w:themeColor="text1"/>
          <w:lang w:val="es-ES_tradnl"/>
        </w:rPr>
        <w:t>)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p>
    <w:p w14:paraId="11927CD9" w14:textId="77777777" w:rsidR="006D6DEB" w:rsidRPr="00F32C60" w:rsidRDefault="005A600B" w:rsidP="006D6DEB">
      <w:pPr>
        <w:spacing w:after="12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w:t>
      </w:r>
      <w:proofErr w:type="gramStart"/>
      <w:r w:rsidRPr="00F32C60">
        <w:rPr>
          <w:rFonts w:ascii="Verdana" w:eastAsia="Calibri" w:hAnsi="Verdana" w:cs="Arial"/>
          <w:color w:val="000000" w:themeColor="text1"/>
          <w:lang w:val="es-ES_tradnl"/>
        </w:rPr>
        <w:t>que</w:t>
      </w:r>
      <w:proofErr w:type="gramEnd"/>
      <w:r w:rsidRPr="00F32C60">
        <w:rPr>
          <w:rFonts w:ascii="Verdana" w:eastAsia="Calibri" w:hAnsi="Verdana" w:cs="Arial"/>
          <w:color w:val="000000" w:themeColor="text1"/>
          <w:lang w:val="es-ES_tradnl"/>
        </w:rPr>
        <w:t xml:space="preserve">, como lo ha destacado la doctrina, las inhabilidades e incompatibilidades se han convertido en herramientas en la lucha contra la corrupción, adoptando paulatinamente un cariz sancionatorio o </w:t>
      </w:r>
      <w:r w:rsidR="009E4467" w:rsidRPr="00F32C60">
        <w:rPr>
          <w:rFonts w:ascii="Verdana" w:eastAsia="Calibri" w:hAnsi="Verdana" w:cs="Arial"/>
          <w:color w:val="000000" w:themeColor="text1"/>
          <w:lang w:val="es-ES_tradnl"/>
        </w:rPr>
        <w:t>“</w:t>
      </w:r>
      <w:proofErr w:type="spellStart"/>
      <w:r w:rsidRPr="00F32C60">
        <w:rPr>
          <w:rFonts w:ascii="Verdana" w:eastAsia="Calibri" w:hAnsi="Verdana" w:cs="Arial"/>
          <w:color w:val="000000" w:themeColor="text1"/>
          <w:lang w:val="es-ES_tradnl"/>
        </w:rPr>
        <w:t>neopunitivo</w:t>
      </w:r>
      <w:proofErr w:type="spellEnd"/>
      <w:r w:rsidR="00196E3B" w:rsidRPr="00F32C60">
        <w:rPr>
          <w:rFonts w:ascii="Verdana" w:eastAsia="Calibri" w:hAnsi="Verdana" w:cs="Arial"/>
          <w:color w:val="000000" w:themeColor="text1"/>
          <w:lang w:val="es-ES_tradnl"/>
        </w:rPr>
        <w:t>”</w:t>
      </w:r>
      <w:r w:rsidRPr="00F32C60">
        <w:rPr>
          <w:rFonts w:ascii="Verdana" w:eastAsia="Calibri" w:hAnsi="Verdana" w:cs="Arial"/>
          <w:color w:val="000000" w:themeColor="text1"/>
          <w:vertAlign w:val="superscript"/>
          <w:lang w:val="es-ES_tradnl"/>
        </w:rPr>
        <w:footnoteReference w:id="5"/>
      </w:r>
      <w:r w:rsidRPr="00F32C60">
        <w:rPr>
          <w:rFonts w:ascii="Verdana" w:eastAsia="Calibri" w:hAnsi="Verdana" w:cs="Arial"/>
          <w:color w:val="000000" w:themeColor="text1"/>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770C39FD" w14:textId="77777777" w:rsidR="006D6DEB" w:rsidRPr="00F32C60" w:rsidRDefault="005A600B" w:rsidP="006D6DEB">
      <w:pPr>
        <w:spacing w:after="12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F32C60">
        <w:rPr>
          <w:rFonts w:ascii="Verdana" w:eastAsia="Calibri" w:hAnsi="Verdana" w:cs="Arial"/>
          <w:i/>
          <w:iCs/>
          <w:color w:val="000000" w:themeColor="text1"/>
          <w:lang w:val="es-ES_tradnl"/>
        </w:rPr>
        <w:t>restrictiva</w:t>
      </w:r>
      <w:r w:rsidRPr="00F32C60">
        <w:rPr>
          <w:rFonts w:ascii="Verdana" w:eastAsia="Calibri" w:hAnsi="Verdana" w:cs="Arial"/>
          <w:color w:val="000000" w:themeColor="text1"/>
          <w:vertAlign w:val="superscript"/>
          <w:lang w:val="es-ES_tradnl"/>
        </w:rPr>
        <w:footnoteReference w:id="6"/>
      </w:r>
      <w:r w:rsidRPr="00F32C60">
        <w:rPr>
          <w:rFonts w:ascii="Verdana" w:eastAsia="Calibri" w:hAnsi="Verdana" w:cs="Arial"/>
          <w:color w:val="000000" w:themeColor="text1"/>
          <w:lang w:val="es-ES_tradnl"/>
        </w:rPr>
        <w:t xml:space="preserve">, pues </w:t>
      </w:r>
      <w:r w:rsidRPr="00F32C60">
        <w:rPr>
          <w:rFonts w:ascii="Verdana" w:eastAsia="Calibri" w:hAnsi="Verdana" w:cs="Arial"/>
          <w:color w:val="000000" w:themeColor="text1"/>
          <w:lang w:val="es-ES_tradnl"/>
        </w:rPr>
        <w:lastRenderedPageBreak/>
        <w:t xml:space="preserve">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01196BD0" w14:textId="749E46BA" w:rsidR="005A600B" w:rsidRPr="00F32C60" w:rsidRDefault="005A600B" w:rsidP="006D6DEB">
      <w:pPr>
        <w:spacing w:after="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 xml:space="preserve">En efecto, el máximo tribunal constitucional ha indicado que, al tratar de precisar el sentido de este tipo de normas, </w:t>
      </w:r>
      <w:r w:rsidR="009E4467" w:rsidRPr="00F32C60">
        <w:rPr>
          <w:rFonts w:ascii="Verdana" w:eastAsia="Calibri" w:hAnsi="Verdana" w:cs="Arial"/>
          <w:color w:val="000000" w:themeColor="text1"/>
          <w:lang w:val="es-ES_tradnl"/>
        </w:rPr>
        <w:t>“</w:t>
      </w:r>
      <w:r w:rsidRPr="00F32C60">
        <w:rPr>
          <w:rFonts w:ascii="Verdana" w:eastAsia="Calibri" w:hAnsi="Verdana" w:cs="Arial"/>
          <w:color w:val="000000" w:themeColor="text1"/>
          <w:lang w:val="es-ES_tradnl"/>
        </w:rPr>
        <w:t>[…]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00196E3B" w:rsidRPr="00F32C60">
        <w:rPr>
          <w:rFonts w:ascii="Verdana" w:eastAsia="Calibri" w:hAnsi="Verdana" w:cs="Arial"/>
          <w:color w:val="000000" w:themeColor="text1"/>
          <w:lang w:val="es-ES_tradnl"/>
        </w:rPr>
        <w:t>”</w:t>
      </w:r>
      <w:r w:rsidRPr="00F32C60">
        <w:rPr>
          <w:rFonts w:ascii="Verdana" w:eastAsia="Calibri" w:hAnsi="Verdana" w:cs="Arial"/>
          <w:color w:val="000000" w:themeColor="text1"/>
          <w:vertAlign w:val="superscript"/>
          <w:lang w:val="es-ES_tradnl"/>
        </w:rPr>
        <w:footnoteReference w:id="7"/>
      </w:r>
      <w:r w:rsidRPr="00F32C60">
        <w:rPr>
          <w:rFonts w:ascii="Verdana" w:eastAsia="Calibri" w:hAnsi="Verdana" w:cs="Arial"/>
          <w:color w:val="000000" w:themeColor="text1"/>
          <w:lang w:val="es-ES_tradnl"/>
        </w:rPr>
        <w:t xml:space="preserve">. Por su parte, el Consejo de Estado ha acogido también este criterio, considerando –como expresa la Sala de Consulta y Servicio Civil–, que </w:t>
      </w:r>
      <w:r w:rsidR="009E4467" w:rsidRPr="00F32C60">
        <w:rPr>
          <w:rFonts w:ascii="Verdana" w:eastAsia="Calibri" w:hAnsi="Verdana" w:cs="Arial"/>
          <w:color w:val="000000" w:themeColor="text1"/>
          <w:lang w:val="es-ES_tradnl"/>
        </w:rPr>
        <w:t>“</w:t>
      </w:r>
      <w:r w:rsidRPr="00F32C60">
        <w:rPr>
          <w:rFonts w:ascii="Verdana" w:eastAsia="Calibri" w:hAnsi="Verdana" w:cs="Arial"/>
          <w:color w:val="000000" w:themeColor="text1"/>
          <w:lang w:val="es-ES_tradnl"/>
        </w:rPr>
        <w:t>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00196E3B" w:rsidRPr="00F32C60">
        <w:rPr>
          <w:rFonts w:ascii="Verdana" w:eastAsia="Calibri" w:hAnsi="Verdana" w:cs="Arial"/>
          <w:color w:val="000000" w:themeColor="text1"/>
          <w:lang w:val="es-ES_tradnl"/>
        </w:rPr>
        <w:t>”</w:t>
      </w:r>
      <w:r w:rsidRPr="00F32C60">
        <w:rPr>
          <w:rFonts w:ascii="Verdana" w:eastAsia="Calibri" w:hAnsi="Verdana" w:cs="Arial"/>
          <w:color w:val="000000" w:themeColor="text1"/>
          <w:vertAlign w:val="superscript"/>
          <w:lang w:val="es-ES_tradnl"/>
        </w:rPr>
        <w:footnoteReference w:id="8"/>
      </w:r>
      <w:r w:rsidRPr="00F32C60">
        <w:rPr>
          <w:rFonts w:ascii="Verdana" w:eastAsia="Calibri" w:hAnsi="Verdana" w:cs="Arial"/>
          <w:color w:val="000000" w:themeColor="text1"/>
          <w:lang w:val="es-ES_tradnl"/>
        </w:rPr>
        <w:t>. En tal sentido, la Sección Tercera ha señalado que:</w:t>
      </w:r>
    </w:p>
    <w:p w14:paraId="4749BEA3" w14:textId="77777777" w:rsidR="005A600B" w:rsidRPr="00F32C60" w:rsidRDefault="005A600B" w:rsidP="006D6DEB">
      <w:pPr>
        <w:spacing w:after="0" w:line="276" w:lineRule="auto"/>
        <w:ind w:firstLine="709"/>
        <w:jc w:val="both"/>
        <w:rPr>
          <w:rFonts w:ascii="Verdana" w:eastAsia="Calibri" w:hAnsi="Verdana" w:cs="Arial"/>
          <w:color w:val="000000" w:themeColor="text1"/>
          <w:lang w:val="es-ES_tradnl"/>
        </w:rPr>
      </w:pPr>
    </w:p>
    <w:p w14:paraId="73235645" w14:textId="0BD58D85" w:rsidR="005A600B" w:rsidRPr="00F32C60" w:rsidRDefault="00E50BB0" w:rsidP="00E50BB0">
      <w:pPr>
        <w:spacing w:after="0" w:line="240" w:lineRule="auto"/>
        <w:ind w:left="709" w:right="709"/>
        <w:jc w:val="both"/>
        <w:rPr>
          <w:rFonts w:ascii="Verdana" w:hAnsi="Verdana" w:cs="Arial"/>
          <w:color w:val="000000" w:themeColor="text1"/>
          <w:sz w:val="21"/>
          <w:szCs w:val="21"/>
          <w:lang w:val="es-ES_tradnl"/>
        </w:rPr>
      </w:pPr>
      <w:r>
        <w:rPr>
          <w:rFonts w:ascii="Verdana" w:hAnsi="Verdana" w:cs="Arial"/>
          <w:color w:val="000000" w:themeColor="text1"/>
          <w:sz w:val="21"/>
          <w:szCs w:val="21"/>
          <w:lang w:val="es-ES_tradnl"/>
        </w:rPr>
        <w:t>“</w:t>
      </w:r>
      <w:r w:rsidR="005A600B" w:rsidRPr="00F32C60">
        <w:rPr>
          <w:rFonts w:ascii="Verdana" w:hAnsi="Verdana" w:cs="Arial"/>
          <w:color w:val="000000" w:themeColor="text1"/>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Pr>
          <w:rFonts w:ascii="Verdana" w:hAnsi="Verdana" w:cs="Arial"/>
          <w:color w:val="000000" w:themeColor="text1"/>
          <w:sz w:val="21"/>
          <w:szCs w:val="21"/>
          <w:lang w:val="es-ES_tradnl"/>
        </w:rPr>
        <w:t>”</w:t>
      </w:r>
      <w:r w:rsidR="005A600B" w:rsidRPr="00F32C60">
        <w:rPr>
          <w:rFonts w:ascii="Verdana" w:hAnsi="Verdana" w:cs="Arial"/>
          <w:color w:val="000000" w:themeColor="text1"/>
          <w:sz w:val="21"/>
          <w:szCs w:val="21"/>
          <w:vertAlign w:val="superscript"/>
          <w:lang w:val="es-ES_tradnl"/>
        </w:rPr>
        <w:footnoteReference w:id="9"/>
      </w:r>
      <w:r w:rsidR="005A600B" w:rsidRPr="00F32C60">
        <w:rPr>
          <w:rFonts w:ascii="Verdana" w:hAnsi="Verdana" w:cs="Arial"/>
          <w:color w:val="000000" w:themeColor="text1"/>
          <w:sz w:val="21"/>
          <w:szCs w:val="21"/>
          <w:lang w:val="es-ES_tradnl"/>
        </w:rPr>
        <w:t>.</w:t>
      </w:r>
    </w:p>
    <w:p w14:paraId="2DB17F51" w14:textId="77777777" w:rsidR="005A600B" w:rsidRPr="00F32C60" w:rsidRDefault="005A600B" w:rsidP="00E50BB0">
      <w:pPr>
        <w:spacing w:after="0" w:line="240" w:lineRule="auto"/>
        <w:ind w:left="709" w:right="709"/>
        <w:jc w:val="both"/>
        <w:rPr>
          <w:rFonts w:ascii="Verdana" w:hAnsi="Verdana" w:cs="Arial"/>
          <w:bCs/>
          <w:color w:val="000000" w:themeColor="text1"/>
          <w:lang w:val="es-ES_tradnl"/>
        </w:rPr>
      </w:pPr>
    </w:p>
    <w:p w14:paraId="0D6E0FA2" w14:textId="77777777" w:rsidR="005A600B" w:rsidRPr="00F32C60" w:rsidRDefault="005A600B" w:rsidP="00E50BB0">
      <w:pPr>
        <w:spacing w:after="0" w:line="240"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También ha dicho que:</w:t>
      </w:r>
    </w:p>
    <w:p w14:paraId="525A7F16" w14:textId="77777777" w:rsidR="005A600B" w:rsidRPr="00F32C60" w:rsidRDefault="005A600B" w:rsidP="00E50BB0">
      <w:pPr>
        <w:spacing w:after="0" w:line="240" w:lineRule="auto"/>
        <w:jc w:val="both"/>
        <w:rPr>
          <w:rFonts w:ascii="Verdana" w:eastAsia="Calibri" w:hAnsi="Verdana" w:cs="Arial"/>
          <w:color w:val="000000" w:themeColor="text1"/>
          <w:lang w:val="es-ES_tradnl"/>
        </w:rPr>
      </w:pPr>
    </w:p>
    <w:p w14:paraId="74CA4289" w14:textId="0C801828" w:rsidR="005A600B" w:rsidRPr="00F32C60" w:rsidRDefault="00E50BB0" w:rsidP="00E50BB0">
      <w:pPr>
        <w:spacing w:after="0" w:line="240" w:lineRule="auto"/>
        <w:ind w:left="709" w:right="709"/>
        <w:jc w:val="both"/>
        <w:rPr>
          <w:rFonts w:ascii="Verdana" w:hAnsi="Verdana" w:cs="Arial"/>
          <w:color w:val="000000" w:themeColor="text1"/>
          <w:sz w:val="21"/>
          <w:szCs w:val="21"/>
          <w:lang w:val="es-ES_tradnl"/>
        </w:rPr>
      </w:pPr>
      <w:r>
        <w:rPr>
          <w:rFonts w:ascii="Verdana" w:hAnsi="Verdana" w:cs="Arial"/>
          <w:color w:val="000000" w:themeColor="text1"/>
          <w:sz w:val="21"/>
          <w:szCs w:val="21"/>
          <w:lang w:val="es-ES_tradnl"/>
        </w:rPr>
        <w:lastRenderedPageBreak/>
        <w:t>“</w:t>
      </w:r>
      <w:r w:rsidR="005A600B" w:rsidRPr="00F32C60">
        <w:rPr>
          <w:rFonts w:ascii="Verdana" w:hAnsi="Verdana" w:cs="Arial"/>
          <w:color w:val="000000" w:themeColor="text1"/>
          <w:sz w:val="21"/>
          <w:szCs w:val="21"/>
          <w:lang w:val="es-ES_tradnl"/>
        </w:rPr>
        <w:t xml:space="preserve">[…] la aplicación de estos preceptos exige una interpretación restrictiva, dado que según el principio hermenéutico </w:t>
      </w:r>
      <w:r w:rsidR="005A600B" w:rsidRPr="00F32C60">
        <w:rPr>
          <w:rFonts w:ascii="Verdana" w:hAnsi="Verdana" w:cs="Arial"/>
          <w:i/>
          <w:iCs/>
          <w:color w:val="000000" w:themeColor="text1"/>
          <w:sz w:val="21"/>
          <w:szCs w:val="21"/>
          <w:lang w:val="es-ES_tradnl"/>
        </w:rPr>
        <w:t xml:space="preserve">pro </w:t>
      </w:r>
      <w:proofErr w:type="spellStart"/>
      <w:r w:rsidR="005A600B" w:rsidRPr="00F32C60">
        <w:rPr>
          <w:rFonts w:ascii="Verdana" w:hAnsi="Verdana" w:cs="Arial"/>
          <w:i/>
          <w:iCs/>
          <w:color w:val="000000" w:themeColor="text1"/>
          <w:sz w:val="21"/>
          <w:szCs w:val="21"/>
          <w:lang w:val="es-ES_tradnl"/>
        </w:rPr>
        <w:t>libertate</w:t>
      </w:r>
      <w:proofErr w:type="spellEnd"/>
      <w:r w:rsidR="005A600B" w:rsidRPr="00F32C60">
        <w:rPr>
          <w:rFonts w:ascii="Verdana" w:hAnsi="Verdana" w:cs="Arial"/>
          <w:color w:val="000000" w:themeColor="text1"/>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Pr>
          <w:rFonts w:ascii="Verdana" w:hAnsi="Verdana" w:cs="Arial"/>
          <w:color w:val="000000" w:themeColor="text1"/>
          <w:sz w:val="21"/>
          <w:szCs w:val="21"/>
          <w:lang w:val="es-ES_tradnl"/>
        </w:rPr>
        <w:t>”</w:t>
      </w:r>
      <w:r w:rsidR="005A600B" w:rsidRPr="00F32C60">
        <w:rPr>
          <w:rFonts w:ascii="Verdana" w:hAnsi="Verdana" w:cs="Arial"/>
          <w:color w:val="000000" w:themeColor="text1"/>
          <w:sz w:val="21"/>
          <w:szCs w:val="21"/>
          <w:vertAlign w:val="superscript"/>
          <w:lang w:val="es-ES_tradnl"/>
        </w:rPr>
        <w:footnoteReference w:id="10"/>
      </w:r>
      <w:r w:rsidR="005A600B" w:rsidRPr="00F32C60">
        <w:rPr>
          <w:rFonts w:ascii="Verdana" w:hAnsi="Verdana" w:cs="Arial"/>
          <w:color w:val="000000" w:themeColor="text1"/>
          <w:sz w:val="21"/>
          <w:szCs w:val="21"/>
          <w:lang w:val="es-ES_tradnl"/>
        </w:rPr>
        <w:t>.</w:t>
      </w:r>
    </w:p>
    <w:p w14:paraId="0E676FEB" w14:textId="77777777" w:rsidR="005A600B" w:rsidRPr="00F32C60" w:rsidRDefault="005A600B" w:rsidP="006D6DEB">
      <w:pPr>
        <w:spacing w:after="0" w:line="276" w:lineRule="auto"/>
        <w:ind w:left="709" w:right="709"/>
        <w:jc w:val="both"/>
        <w:rPr>
          <w:rFonts w:ascii="Verdana" w:hAnsi="Verdana" w:cs="Arial"/>
          <w:color w:val="000000" w:themeColor="text1"/>
          <w:lang w:val="es-ES_tradnl"/>
        </w:rPr>
      </w:pPr>
    </w:p>
    <w:p w14:paraId="2E66A14E" w14:textId="77777777" w:rsidR="002C5A12" w:rsidRPr="00F32C60" w:rsidRDefault="005A600B" w:rsidP="002C5A12">
      <w:pPr>
        <w:spacing w:after="12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 xml:space="preserve">Como se aprecia, el principio </w:t>
      </w:r>
      <w:r w:rsidRPr="00F32C60">
        <w:rPr>
          <w:rFonts w:ascii="Verdana" w:eastAsia="Calibri" w:hAnsi="Verdana" w:cs="Arial"/>
          <w:i/>
          <w:iCs/>
          <w:color w:val="000000" w:themeColor="text1"/>
          <w:lang w:val="es-ES_tradnl"/>
        </w:rPr>
        <w:t xml:space="preserve">pro </w:t>
      </w:r>
      <w:proofErr w:type="spellStart"/>
      <w:r w:rsidRPr="00F32C60">
        <w:rPr>
          <w:rFonts w:ascii="Verdana" w:eastAsia="Calibri" w:hAnsi="Verdana" w:cs="Arial"/>
          <w:i/>
          <w:iCs/>
          <w:color w:val="000000" w:themeColor="text1"/>
          <w:lang w:val="es-ES_tradnl"/>
        </w:rPr>
        <w:t>libertate</w:t>
      </w:r>
      <w:proofErr w:type="spellEnd"/>
      <w:r w:rsidRPr="00F32C60">
        <w:rPr>
          <w:rFonts w:ascii="Verdana" w:eastAsia="Calibri" w:hAnsi="Verdana" w:cs="Arial"/>
          <w:color w:val="000000" w:themeColor="text1"/>
          <w:lang w:val="es-ES_tradnl"/>
        </w:rPr>
        <w:t xml:space="preserve"> es el que debe dirigir la interpretación de las disposiciones normativas que consagran restricciones de derechos, como sucede con las causales de inhabilidad e incompatibilidad en la contratación estatal.</w:t>
      </w:r>
    </w:p>
    <w:p w14:paraId="496FB685" w14:textId="13615C48" w:rsidR="008E4D8F" w:rsidRPr="00F32C60" w:rsidRDefault="002C5A12" w:rsidP="008E4D8F">
      <w:pPr>
        <w:spacing w:after="120" w:line="276" w:lineRule="auto"/>
        <w:ind w:firstLine="709"/>
        <w:jc w:val="both"/>
        <w:rPr>
          <w:rFonts w:ascii="Verdana" w:eastAsia="Calibri" w:hAnsi="Verdana" w:cs="Arial"/>
          <w:color w:val="000000" w:themeColor="text1"/>
          <w:lang w:val="es-ES_tradnl"/>
        </w:rPr>
      </w:pPr>
      <w:proofErr w:type="spellStart"/>
      <w:r w:rsidRPr="00602562">
        <w:rPr>
          <w:rFonts w:ascii="Verdana" w:eastAsia="Calibri" w:hAnsi="Verdana" w:cs="Arial"/>
          <w:color w:val="000000" w:themeColor="text1"/>
          <w:lang w:val="es-ES_tradnl"/>
        </w:rPr>
        <w:t>ii</w:t>
      </w:r>
      <w:proofErr w:type="spellEnd"/>
      <w:r w:rsidRPr="00602562">
        <w:rPr>
          <w:rFonts w:ascii="Verdana" w:eastAsia="Calibri" w:hAnsi="Verdana" w:cs="Arial"/>
          <w:color w:val="000000" w:themeColor="text1"/>
          <w:lang w:val="es-ES_tradnl"/>
        </w:rPr>
        <w:t>) Por</w:t>
      </w:r>
      <w:r w:rsidRPr="00F32C60">
        <w:rPr>
          <w:rFonts w:ascii="Verdana" w:eastAsia="Calibri" w:hAnsi="Verdana" w:cs="Arial"/>
          <w:color w:val="000000" w:themeColor="text1"/>
          <w:lang w:val="es-ES_tradnl"/>
        </w:rPr>
        <w:t xml:space="preserve"> otra parte, conviene precisar que l</w:t>
      </w:r>
      <w:r w:rsidR="00D41723" w:rsidRPr="00F32C60">
        <w:rPr>
          <w:rFonts w:ascii="Verdana" w:eastAsia="Calibri" w:hAnsi="Verdana" w:cs="Arial"/>
          <w:color w:val="000000" w:themeColor="text1"/>
          <w:lang w:val="es-ES_tradnl"/>
        </w:rPr>
        <w:t xml:space="preserve">os procedimientos contractuales mediante los cuales las entidades estatales sometidas al Estatuto General de Contratación de la Administración Pública ejecutan recursos públicos y satisfacen el interés general se rigen por la normativa de contratación pública –Ley 80 de 1993, Ley 1150 de 2007, Decreto 1082 de 2015 y disposiciones concordantes–, que contiene los principios, reglas y procedimientos que rigen los contratos de las entidades estatales. En concreto, el Estatuto General de Contratación de la Contratación Pública se aplica a las entidades estatales relacionadas en el artículo 2, con lo cual se determina quiénes deben cumplir los principios y obligaciones señalados en las normas citadas. </w:t>
      </w:r>
    </w:p>
    <w:p w14:paraId="479E9EFC" w14:textId="77777777" w:rsidR="008E4D8F" w:rsidRPr="00F32C60" w:rsidRDefault="00D41723" w:rsidP="008E4D8F">
      <w:pPr>
        <w:spacing w:after="12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Los procedimientos de contratación se estructuran a partir de las modalidades de selección, y al revisar las normas citadas se observa que contienen los procedimientos para adelantarlas y las reglas de cada modalidad: licitación pública, selección abreviada, concurso de méritos, contratación directa y mínima cuantía</w:t>
      </w:r>
      <w:r w:rsidRPr="00F32C60">
        <w:rPr>
          <w:rStyle w:val="Refdenotaalpie"/>
          <w:rFonts w:ascii="Verdana" w:eastAsia="Calibri" w:hAnsi="Verdana" w:cs="Arial"/>
          <w:color w:val="000000" w:themeColor="text1"/>
          <w:lang w:val="es-ES_tradnl"/>
        </w:rPr>
        <w:footnoteReference w:id="11"/>
      </w:r>
      <w:r w:rsidRPr="00F32C60">
        <w:rPr>
          <w:rFonts w:ascii="Verdana" w:eastAsia="Calibri" w:hAnsi="Verdana" w:cs="Arial"/>
          <w:color w:val="000000" w:themeColor="text1"/>
          <w:lang w:val="es-ES_tradnl"/>
        </w:rPr>
        <w:t xml:space="preserve">. La exposición de motivos de la Ley 1150 de 2007 explica las razones por las cuales se establecieron las modalidades de selección: </w:t>
      </w:r>
      <w:r w:rsidR="004F04A6" w:rsidRPr="00F32C60">
        <w:rPr>
          <w:rFonts w:ascii="Verdana" w:eastAsia="Calibri" w:hAnsi="Verdana" w:cs="Arial"/>
          <w:color w:val="000000" w:themeColor="text1"/>
          <w:lang w:val="es-ES_tradnl"/>
        </w:rPr>
        <w:t>“</w:t>
      </w:r>
      <w:r w:rsidRPr="00F32C60">
        <w:rPr>
          <w:rFonts w:ascii="Verdana" w:eastAsia="Calibri" w:hAnsi="Verdana" w:cs="Arial"/>
          <w:color w:val="000000" w:themeColor="text1"/>
          <w:lang w:val="es-ES_tradnl"/>
        </w:rPr>
        <w:t xml:space="preserve">A ese respecto es claro que las experiencias exitosas a nivel internacional demuestran que el criterio de distinción que debe gobernar un esquema contractual </w:t>
      </w:r>
      <w:proofErr w:type="gramStart"/>
      <w:r w:rsidRPr="00F32C60">
        <w:rPr>
          <w:rFonts w:ascii="Verdana" w:eastAsia="Calibri" w:hAnsi="Verdana" w:cs="Arial"/>
          <w:color w:val="000000" w:themeColor="text1"/>
          <w:lang w:val="es-ES_tradnl"/>
        </w:rPr>
        <w:t>eficiente,</w:t>
      </w:r>
      <w:proofErr w:type="gramEnd"/>
      <w:r w:rsidRPr="00F32C60">
        <w:rPr>
          <w:rFonts w:ascii="Verdana" w:eastAsia="Calibri" w:hAnsi="Verdana" w:cs="Arial"/>
          <w:color w:val="000000" w:themeColor="text1"/>
          <w:lang w:val="es-ES_tradnl"/>
        </w:rPr>
        <w:t xml:space="preserve"> es el de modular las modalidades de selección en razón a las características del objeto</w:t>
      </w:r>
      <w:r w:rsidR="004F04A6" w:rsidRPr="00F32C60">
        <w:rPr>
          <w:rFonts w:ascii="Verdana" w:eastAsia="Calibri" w:hAnsi="Verdana" w:cs="Arial"/>
          <w:color w:val="000000" w:themeColor="text1"/>
          <w:lang w:val="es-ES_tradnl"/>
        </w:rPr>
        <w:t>”</w:t>
      </w:r>
      <w:r w:rsidRPr="00F32C60">
        <w:rPr>
          <w:rFonts w:ascii="Verdana" w:eastAsia="Calibri" w:hAnsi="Verdana" w:cs="Arial"/>
          <w:color w:val="000000" w:themeColor="text1"/>
          <w:lang w:val="es-ES_tradnl"/>
        </w:rPr>
        <w:t xml:space="preserve">. </w:t>
      </w:r>
    </w:p>
    <w:p w14:paraId="685CD46F" w14:textId="77777777" w:rsidR="008E4D8F" w:rsidRPr="00F32C60" w:rsidRDefault="00D41723" w:rsidP="008E4D8F">
      <w:pPr>
        <w:spacing w:after="12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lastRenderedPageBreak/>
        <w:t xml:space="preserve">La tipología de convenio interadministrativo fue creada en la Ley 80 de 1993, y aunque no lo definió ni desarrolló, el Decreto 1082 de 2015, </w:t>
      </w:r>
      <w:r w:rsidR="004F04A6" w:rsidRPr="00F32C60">
        <w:rPr>
          <w:rFonts w:ascii="Verdana" w:eastAsia="Calibri" w:hAnsi="Verdana" w:cs="Arial"/>
          <w:color w:val="000000" w:themeColor="text1"/>
          <w:lang w:val="es-ES_tradnl"/>
        </w:rPr>
        <w:t>“</w:t>
      </w:r>
      <w:r w:rsidRPr="00F32C60">
        <w:rPr>
          <w:rFonts w:ascii="Verdana" w:eastAsia="Calibri" w:hAnsi="Verdana" w:cs="Arial"/>
          <w:color w:val="000000" w:themeColor="text1"/>
          <w:lang w:val="es-ES_tradnl"/>
        </w:rPr>
        <w:t>Por medio del cual se expide el Decreto único reglamentario del sector administrativo de planeación nacional</w:t>
      </w:r>
      <w:r w:rsidR="004F04A6" w:rsidRPr="00F32C60">
        <w:rPr>
          <w:rFonts w:ascii="Verdana" w:eastAsia="Calibri" w:hAnsi="Verdana" w:cs="Arial"/>
          <w:color w:val="000000" w:themeColor="text1"/>
          <w:lang w:val="es-ES_tradnl"/>
        </w:rPr>
        <w:t>”</w:t>
      </w:r>
      <w:r w:rsidRPr="00F32C60">
        <w:rPr>
          <w:rFonts w:ascii="Verdana" w:eastAsia="Calibri" w:hAnsi="Verdana" w:cs="Arial"/>
          <w:color w:val="000000" w:themeColor="text1"/>
          <w:lang w:val="es-ES_tradnl"/>
        </w:rPr>
        <w:t>, califica a los convenios o contratos interadministrativos como aquella contratación entre entidades estatales</w:t>
      </w:r>
      <w:r w:rsidRPr="00F32C60">
        <w:rPr>
          <w:rStyle w:val="Refdenotaalpie"/>
          <w:rFonts w:ascii="Verdana" w:eastAsia="Calibri" w:hAnsi="Verdana" w:cs="Arial"/>
          <w:color w:val="000000" w:themeColor="text1"/>
          <w:lang w:val="es-ES_tradnl"/>
        </w:rPr>
        <w:footnoteReference w:id="12"/>
      </w:r>
      <w:r w:rsidRPr="00F32C60">
        <w:rPr>
          <w:rFonts w:ascii="Verdana" w:eastAsia="Calibri" w:hAnsi="Verdana" w:cs="Arial"/>
          <w:color w:val="000000" w:themeColor="text1"/>
          <w:lang w:val="es-ES_tradnl"/>
        </w:rPr>
        <w:t>.</w:t>
      </w:r>
    </w:p>
    <w:p w14:paraId="708A0C53" w14:textId="32A52688" w:rsidR="008E4D8F" w:rsidRPr="00F32C60" w:rsidRDefault="00D41723" w:rsidP="008E4D8F">
      <w:pPr>
        <w:spacing w:after="12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 xml:space="preserve">De acuerdo con lo anterior, el contrato o el convenio interadministrativo es el acuerdo donde concurre la voluntad de dos o más </w:t>
      </w:r>
      <w:r w:rsidR="00494F7B">
        <w:rPr>
          <w:rFonts w:ascii="Verdana" w:eastAsia="Calibri" w:hAnsi="Verdana" w:cs="Arial"/>
          <w:color w:val="000000" w:themeColor="text1"/>
          <w:lang w:val="es-ES_tradnl"/>
        </w:rPr>
        <w:t>órganos</w:t>
      </w:r>
      <w:r w:rsidRPr="00F32C60">
        <w:rPr>
          <w:rFonts w:ascii="Verdana" w:eastAsia="Calibri" w:hAnsi="Verdana" w:cs="Arial"/>
          <w:color w:val="000000" w:themeColor="text1"/>
          <w:lang w:val="es-ES_tradnl"/>
        </w:rPr>
        <w:t xml:space="preserve">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52E9156D" w14:textId="6E8B207C" w:rsidR="008E4D8F" w:rsidRPr="00F32C60" w:rsidRDefault="00D41723" w:rsidP="008E4D8F">
      <w:pPr>
        <w:spacing w:after="12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En efecto, una entidad estatal de Ley 80 de 1993 bien puede celebrar esta clase de convenios con una entidad estatal de régimen especial y no por ello dejará de ser un contrato o convenio interadministrativo, caso en el cual su ejecución estará </w:t>
      </w:r>
      <w:r w:rsidR="00077C87">
        <w:rPr>
          <w:rFonts w:ascii="Verdana" w:eastAsia="Calibri" w:hAnsi="Verdana" w:cs="Arial"/>
          <w:color w:val="000000" w:themeColor="text1"/>
          <w:lang w:val="es-ES_tradnl"/>
        </w:rPr>
        <w:t>sujeta</w:t>
      </w:r>
      <w:r w:rsidRPr="00F32C60">
        <w:rPr>
          <w:rFonts w:ascii="Verdana" w:eastAsia="Calibri" w:hAnsi="Verdana" w:cs="Arial"/>
          <w:color w:val="000000" w:themeColor="text1"/>
          <w:lang w:val="es-ES_tradnl"/>
        </w:rPr>
        <w:t xml:space="preserve"> a la Ley 80 de 1993, si la entidad sometida al Estatuto General de Contratación de la Administración Pública actúa en calidad de contratante.</w:t>
      </w:r>
    </w:p>
    <w:p w14:paraId="3C3FF015" w14:textId="77777777" w:rsidR="008E4D8F" w:rsidRPr="00F32C60" w:rsidRDefault="00D41723" w:rsidP="008E4D8F">
      <w:pPr>
        <w:spacing w:after="12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F32C60">
        <w:rPr>
          <w:rStyle w:val="Refdenotaalpie"/>
          <w:rFonts w:ascii="Verdana" w:eastAsia="Calibri" w:hAnsi="Verdana" w:cs="Arial"/>
          <w:color w:val="000000" w:themeColor="text1"/>
          <w:lang w:val="es-ES_tradnl"/>
        </w:rPr>
        <w:footnoteReference w:id="13"/>
      </w:r>
      <w:r w:rsidRPr="00F32C60">
        <w:rPr>
          <w:rFonts w:ascii="Verdana" w:eastAsia="Calibri" w:hAnsi="Verdana" w:cs="Arial"/>
          <w:color w:val="000000" w:themeColor="text1"/>
          <w:lang w:val="es-ES_tradnl"/>
        </w:rPr>
        <w:t>. Nótese que, en este caso, lo que cambia es la modalidad de selección y no la naturaleza de contrato interadministrativo.</w:t>
      </w:r>
    </w:p>
    <w:p w14:paraId="572580FE" w14:textId="77777777" w:rsidR="008E4D8F" w:rsidRPr="00F32C60" w:rsidRDefault="00D41723" w:rsidP="008E4D8F">
      <w:pPr>
        <w:spacing w:after="12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lastRenderedPageBreak/>
        <w:t>Además, es necesario tener en cuenta que para que un contrato o convenio interadministrativo suscrito por una entidad sometida al Estatuto General de Contratación de la Administración Pública exista, debe cumplir con los siguientes elementos: contener un acuerdo sobre el objeto y la contraprestación y que conste por escrito</w:t>
      </w:r>
      <w:r w:rsidRPr="00F32C60">
        <w:rPr>
          <w:rStyle w:val="Refdenotaalpie"/>
          <w:rFonts w:ascii="Verdana" w:eastAsia="Calibri" w:hAnsi="Verdana" w:cs="Arial"/>
          <w:color w:val="000000" w:themeColor="text1"/>
          <w:lang w:val="es-ES_tradnl"/>
        </w:rPr>
        <w:footnoteReference w:id="14"/>
      </w:r>
      <w:r w:rsidRPr="00F32C60">
        <w:rPr>
          <w:rFonts w:ascii="Verdana" w:eastAsia="Calibri" w:hAnsi="Verdana" w:cs="Arial"/>
          <w:color w:val="000000" w:themeColor="text1"/>
          <w:lang w:val="es-ES_tradnl"/>
        </w:rPr>
        <w:t>. En consecuencia,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053C213D" w14:textId="77777777" w:rsidR="008E4D8F" w:rsidRPr="00F32C60" w:rsidRDefault="00D41723" w:rsidP="008E4D8F">
      <w:pPr>
        <w:spacing w:after="12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 xml:space="preserve">La Corte Constitucional explicó, mediante la Sentencia C–671 de 2015  </w:t>
      </w:r>
      <w:r w:rsidRPr="00F32C60">
        <w:rPr>
          <w:rFonts w:ascii="Arial" w:eastAsia="Calibri" w:hAnsi="Arial" w:cs="Arial"/>
          <w:color w:val="000000" w:themeColor="text1"/>
          <w:lang w:val="es-ES_tradnl"/>
        </w:rPr>
        <w:t>̶</w:t>
      </w:r>
      <w:r w:rsidRPr="00F32C60">
        <w:rPr>
          <w:rFonts w:ascii="Verdana" w:eastAsia="Calibri" w:hAnsi="Verdana" w:cs="Arial"/>
          <w:color w:val="000000" w:themeColor="text1"/>
          <w:lang w:val="es-ES_tradnl"/>
        </w:rPr>
        <w:t xml:space="preserve"> en control automático de constitucionalidad del Decreto Legislativo 1773 de 2015, </w:t>
      </w:r>
      <w:r w:rsidR="004F04A6" w:rsidRPr="00F32C60">
        <w:rPr>
          <w:rFonts w:ascii="Verdana" w:eastAsia="Calibri" w:hAnsi="Verdana" w:cs="Arial"/>
          <w:color w:val="000000" w:themeColor="text1"/>
          <w:lang w:val="es-ES_tradnl"/>
        </w:rPr>
        <w:t>“</w:t>
      </w:r>
      <w:r w:rsidRPr="00F32C60">
        <w:rPr>
          <w:rFonts w:ascii="Verdana" w:eastAsia="Calibri" w:hAnsi="Verdana" w:cs="Arial"/>
          <w:color w:val="000000" w:themeColor="text1"/>
          <w:lang w:val="es-ES_tradnl"/>
        </w:rPr>
        <w:t>Por el cual se autoriza la celebración de convenios administrativos para la ejecución de recursos públicos por parte de algunas entidades territoriales</w:t>
      </w:r>
      <w:r w:rsidR="004F04A6" w:rsidRPr="00F32C60">
        <w:rPr>
          <w:rFonts w:ascii="Verdana" w:eastAsia="Calibri" w:hAnsi="Verdana" w:cs="Arial"/>
          <w:color w:val="000000" w:themeColor="text1"/>
          <w:lang w:val="es-ES_tradnl"/>
        </w:rPr>
        <w:t>”</w:t>
      </w:r>
      <w:r w:rsidRPr="00F32C60">
        <w:rPr>
          <w:rFonts w:ascii="Verdana" w:eastAsia="Calibri" w:hAnsi="Verdana" w:cs="Arial"/>
          <w:color w:val="000000" w:themeColor="text1"/>
          <w:lang w:val="es-ES_tradnl"/>
        </w:rPr>
        <w:t xml:space="preserve"> </w:t>
      </w:r>
      <w:r w:rsidRPr="00F32C60">
        <w:rPr>
          <w:rFonts w:ascii="Arial" w:eastAsia="Calibri" w:hAnsi="Arial" w:cs="Arial"/>
          <w:color w:val="000000" w:themeColor="text1"/>
          <w:lang w:val="es-ES_tradnl"/>
        </w:rPr>
        <w:t>̶</w:t>
      </w:r>
      <w:r w:rsidRPr="00F32C60">
        <w:rPr>
          <w:rFonts w:ascii="Verdana" w:eastAsia="Calibri" w:hAnsi="Verdana" w:cs="Arial"/>
          <w:color w:val="000000" w:themeColor="text1"/>
          <w:lang w:val="es-ES_tradnl"/>
        </w:rPr>
        <w:t xml:space="preserve">  sobre la naturaleza de los convenios interadministrativos, que </w:t>
      </w:r>
      <w:r w:rsidR="004F04A6" w:rsidRPr="00F32C60">
        <w:rPr>
          <w:rFonts w:ascii="Verdana" w:eastAsia="Calibri" w:hAnsi="Verdana" w:cs="Arial"/>
          <w:color w:val="000000" w:themeColor="text1"/>
          <w:lang w:val="es-ES_tradnl"/>
        </w:rPr>
        <w:t>“</w:t>
      </w:r>
      <w:r w:rsidRPr="00F32C60">
        <w:rPr>
          <w:rFonts w:ascii="Verdana" w:eastAsia="Calibri" w:hAnsi="Verdana" w:cs="Arial"/>
          <w:color w:val="000000" w:themeColor="text1"/>
          <w:lang w:val="es-ES_tradnl"/>
        </w:rPr>
        <w:t>Lo que hace interadministrativo a un contrato o convenio no es el procedimiento de selección aplicable, sino la calidad de los sujetos contratantes, esto es que las dos partes de la relación jurídica contractual formen parte de la administración pública</w:t>
      </w:r>
      <w:r w:rsidR="004F04A6" w:rsidRPr="00F32C60">
        <w:rPr>
          <w:rFonts w:ascii="Verdana" w:eastAsia="Calibri" w:hAnsi="Verdana" w:cs="Arial"/>
          <w:color w:val="000000" w:themeColor="text1"/>
          <w:lang w:val="es-ES_tradnl"/>
        </w:rPr>
        <w:t>”</w:t>
      </w:r>
      <w:r w:rsidRPr="00F32C60">
        <w:rPr>
          <w:rFonts w:ascii="Verdana" w:eastAsia="Calibri" w:hAnsi="Verdana" w:cs="Arial"/>
          <w:color w:val="000000" w:themeColor="text1"/>
          <w:lang w:val="es-ES_tradnl"/>
        </w:rPr>
        <w:t xml:space="preserve">. </w:t>
      </w:r>
    </w:p>
    <w:p w14:paraId="0B0B5A53" w14:textId="6D342A00" w:rsidR="00D41723" w:rsidRPr="00F32C60" w:rsidRDefault="00D41723" w:rsidP="008E4D8F">
      <w:pPr>
        <w:spacing w:after="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Así las cosas, atendiendo a la literalidad de las normas citadas, no cabe una interpretación diferente</w:t>
      </w:r>
      <w:r w:rsidRPr="00F32C60">
        <w:rPr>
          <w:rStyle w:val="Refdenotaalpie"/>
          <w:rFonts w:ascii="Verdana" w:hAnsi="Verdana" w:cs="Arial"/>
          <w:color w:val="000000" w:themeColor="text1"/>
          <w:lang w:val="es-ES_tradnl"/>
        </w:rPr>
        <w:footnoteReference w:id="15"/>
      </w:r>
      <w:r w:rsidRPr="00F32C60">
        <w:rPr>
          <w:rFonts w:ascii="Verdana" w:eastAsia="Calibri" w:hAnsi="Verdana" w:cs="Arial"/>
          <w:color w:val="000000" w:themeColor="text1"/>
          <w:lang w:val="es-ES_tradnl"/>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4D94CE82" w14:textId="77777777" w:rsidR="00D41723" w:rsidRPr="00F32C60" w:rsidRDefault="00D41723" w:rsidP="008E4D8F">
      <w:pPr>
        <w:spacing w:after="0" w:line="276" w:lineRule="auto"/>
        <w:ind w:left="709" w:right="709"/>
        <w:jc w:val="both"/>
        <w:rPr>
          <w:rFonts w:ascii="Verdana" w:eastAsia="Calibri" w:hAnsi="Verdana" w:cs="Arial"/>
          <w:color w:val="000000" w:themeColor="text1"/>
          <w:lang w:val="es-ES_tradnl"/>
        </w:rPr>
      </w:pPr>
    </w:p>
    <w:p w14:paraId="60C33F72" w14:textId="1CD0DBE7" w:rsidR="00D41723" w:rsidRPr="00F32C60" w:rsidRDefault="008E4D8F" w:rsidP="00E50BB0">
      <w:pPr>
        <w:spacing w:after="120" w:line="240" w:lineRule="auto"/>
        <w:ind w:left="709" w:right="709"/>
        <w:jc w:val="both"/>
        <w:rPr>
          <w:rFonts w:ascii="Verdana" w:eastAsia="Calibri" w:hAnsi="Verdana" w:cs="Arial"/>
          <w:color w:val="000000" w:themeColor="text1"/>
          <w:sz w:val="21"/>
          <w:szCs w:val="21"/>
          <w:lang w:val="es-ES_tradnl"/>
        </w:rPr>
      </w:pPr>
      <w:r w:rsidRPr="00F32C60">
        <w:rPr>
          <w:rFonts w:ascii="Verdana" w:eastAsia="Calibri" w:hAnsi="Verdana" w:cs="Arial"/>
          <w:color w:val="000000" w:themeColor="text1"/>
          <w:sz w:val="21"/>
          <w:szCs w:val="21"/>
          <w:lang w:val="es-ES_tradnl"/>
        </w:rPr>
        <w:t>“</w:t>
      </w:r>
      <w:r w:rsidR="00D41723" w:rsidRPr="00F32C60">
        <w:rPr>
          <w:rFonts w:ascii="Verdana" w:eastAsia="Calibri" w:hAnsi="Verdana" w:cs="Arial"/>
          <w:color w:val="000000" w:themeColor="text1"/>
          <w:sz w:val="21"/>
          <w:szCs w:val="21"/>
          <w:lang w:val="es-ES_tradnl"/>
        </w:rPr>
        <w:t>[…] se puede señalar que los convenios o contratos interadministrativos tienen como características principales las siguientes:</w:t>
      </w:r>
    </w:p>
    <w:p w14:paraId="3D65D9AC" w14:textId="593551CD" w:rsidR="00D41723" w:rsidRPr="00F32C60" w:rsidRDefault="00D41723" w:rsidP="00E50BB0">
      <w:pPr>
        <w:spacing w:after="0" w:line="240" w:lineRule="auto"/>
        <w:ind w:left="709" w:right="709"/>
        <w:jc w:val="both"/>
        <w:rPr>
          <w:rFonts w:ascii="Verdana" w:eastAsia="Calibri" w:hAnsi="Verdana" w:cs="Arial"/>
          <w:color w:val="000000" w:themeColor="text1"/>
          <w:sz w:val="21"/>
          <w:szCs w:val="21"/>
          <w:lang w:val="es-ES_tradnl"/>
        </w:rPr>
      </w:pPr>
      <w:r w:rsidRPr="00F32C60">
        <w:rPr>
          <w:rFonts w:ascii="Verdana" w:eastAsia="Calibri" w:hAnsi="Verdana" w:cs="Arial"/>
          <w:color w:val="000000" w:themeColor="text1"/>
          <w:sz w:val="21"/>
          <w:szCs w:val="21"/>
          <w:lang w:val="es-ES_tradnl"/>
        </w:rPr>
        <w:t xml:space="preserve">(i) constituyen verdaderos contratos en los términos del Código de Comercio cuando su objeto lo constituyen obligaciones patrimoniales; </w:t>
      </w:r>
      <w:r w:rsidRPr="00F32C60">
        <w:rPr>
          <w:rFonts w:ascii="Verdana" w:eastAsia="Calibri" w:hAnsi="Verdana" w:cs="Arial"/>
          <w:color w:val="000000" w:themeColor="text1"/>
          <w:sz w:val="21"/>
          <w:szCs w:val="21"/>
          <w:lang w:val="es-ES_tradnl"/>
        </w:rPr>
        <w:lastRenderedPageBreak/>
        <w:t>(</w:t>
      </w:r>
      <w:proofErr w:type="spellStart"/>
      <w:r w:rsidRPr="00F32C60">
        <w:rPr>
          <w:rFonts w:ascii="Verdana" w:eastAsia="Calibri" w:hAnsi="Verdana" w:cs="Arial"/>
          <w:color w:val="000000" w:themeColor="text1"/>
          <w:sz w:val="21"/>
          <w:szCs w:val="21"/>
          <w:lang w:val="es-ES_tradnl"/>
        </w:rPr>
        <w:t>ii</w:t>
      </w:r>
      <w:proofErr w:type="spellEnd"/>
      <w:r w:rsidRPr="00F32C60">
        <w:rPr>
          <w:rFonts w:ascii="Verdana" w:eastAsia="Calibri" w:hAnsi="Verdana" w:cs="Arial"/>
          <w:color w:val="000000" w:themeColor="text1"/>
          <w:sz w:val="21"/>
          <w:szCs w:val="21"/>
          <w:lang w:val="es-ES_tradnl"/>
        </w:rPr>
        <w:t>) tienen como fuente la autonomía contractual; (</w:t>
      </w:r>
      <w:proofErr w:type="spellStart"/>
      <w:r w:rsidRPr="00F32C60">
        <w:rPr>
          <w:rFonts w:ascii="Verdana" w:eastAsia="Calibri" w:hAnsi="Verdana" w:cs="Arial"/>
          <w:color w:val="000000" w:themeColor="text1"/>
          <w:sz w:val="21"/>
          <w:szCs w:val="21"/>
          <w:lang w:val="es-ES_tradnl"/>
        </w:rPr>
        <w:t>iii</w:t>
      </w:r>
      <w:proofErr w:type="spellEnd"/>
      <w:r w:rsidRPr="00F32C60">
        <w:rPr>
          <w:rFonts w:ascii="Verdana" w:eastAsia="Calibri" w:hAnsi="Verdana" w:cs="Arial"/>
          <w:color w:val="000000" w:themeColor="text1"/>
          <w:sz w:val="21"/>
          <w:szCs w:val="21"/>
          <w:lang w:val="es-ES_tradnl"/>
        </w:rPr>
        <w:t>) son contratos nominados puesto que están mencionados en la ley; (</w:t>
      </w:r>
      <w:proofErr w:type="spellStart"/>
      <w:r w:rsidRPr="00F32C60">
        <w:rPr>
          <w:rFonts w:ascii="Verdana" w:eastAsia="Calibri" w:hAnsi="Verdana" w:cs="Arial"/>
          <w:color w:val="000000" w:themeColor="text1"/>
          <w:sz w:val="21"/>
          <w:szCs w:val="21"/>
          <w:lang w:val="es-ES_tradnl"/>
        </w:rPr>
        <w:t>iv</w:t>
      </w:r>
      <w:proofErr w:type="spellEnd"/>
      <w:r w:rsidRPr="00F32C60">
        <w:rPr>
          <w:rFonts w:ascii="Verdana" w:eastAsia="Calibri" w:hAnsi="Verdana" w:cs="Arial"/>
          <w:color w:val="000000" w:themeColor="text1"/>
          <w:sz w:val="21"/>
          <w:szCs w:val="21"/>
          <w:lang w:val="es-ES_tradnl"/>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F32C60">
        <w:rPr>
          <w:rFonts w:ascii="Verdana" w:eastAsia="Calibri" w:hAnsi="Verdana" w:cs="Arial"/>
          <w:color w:val="000000" w:themeColor="text1"/>
          <w:sz w:val="21"/>
          <w:szCs w:val="21"/>
          <w:lang w:val="es-ES_tradnl"/>
        </w:rPr>
        <w:t>vii</w:t>
      </w:r>
      <w:proofErr w:type="spellEnd"/>
      <w:r w:rsidRPr="00F32C60">
        <w:rPr>
          <w:rFonts w:ascii="Verdana" w:eastAsia="Calibri" w:hAnsi="Verdana" w:cs="Arial"/>
          <w:color w:val="000000" w:themeColor="text1"/>
          <w:sz w:val="21"/>
          <w:szCs w:val="21"/>
          <w:lang w:val="es-ES_tradnl"/>
        </w:rPr>
        <w:t>) persiguen una finalidad común a través de la realización de intereses compartidos entre las entidades vinculadas; (</w:t>
      </w:r>
      <w:proofErr w:type="spellStart"/>
      <w:r w:rsidRPr="00F32C60">
        <w:rPr>
          <w:rFonts w:ascii="Verdana" w:eastAsia="Calibri" w:hAnsi="Verdana" w:cs="Arial"/>
          <w:color w:val="000000" w:themeColor="text1"/>
          <w:sz w:val="21"/>
          <w:szCs w:val="21"/>
          <w:lang w:val="es-ES_tradnl"/>
        </w:rPr>
        <w:t>viii</w:t>
      </w:r>
      <w:proofErr w:type="spellEnd"/>
      <w:r w:rsidRPr="00F32C60">
        <w:rPr>
          <w:rFonts w:ascii="Verdana" w:eastAsia="Calibri" w:hAnsi="Verdana" w:cs="Arial"/>
          <w:color w:val="000000" w:themeColor="text1"/>
          <w:sz w:val="21"/>
          <w:szCs w:val="21"/>
          <w:lang w:val="es-ES_tradnl"/>
        </w:rPr>
        <w:t>) la acción mediante la cual se deben ventilar las diferencias que sobre el particular surjan es la de controversias contractuales</w:t>
      </w:r>
      <w:r w:rsidR="008E4D8F" w:rsidRPr="00F32C60">
        <w:rPr>
          <w:rFonts w:ascii="Verdana" w:eastAsia="Calibri" w:hAnsi="Verdana" w:cs="Arial"/>
          <w:color w:val="000000" w:themeColor="text1"/>
          <w:sz w:val="21"/>
          <w:szCs w:val="21"/>
          <w:lang w:val="es-ES_tradnl"/>
        </w:rPr>
        <w:t>”</w:t>
      </w:r>
      <w:r w:rsidRPr="00F32C60">
        <w:rPr>
          <w:rStyle w:val="Refdenotaalpie"/>
          <w:rFonts w:ascii="Verdana" w:eastAsia="Calibri" w:hAnsi="Verdana" w:cs="Arial"/>
          <w:color w:val="000000" w:themeColor="text1"/>
          <w:sz w:val="21"/>
          <w:szCs w:val="21"/>
          <w:lang w:val="es-ES_tradnl"/>
        </w:rPr>
        <w:footnoteReference w:id="16"/>
      </w:r>
      <w:r w:rsidRPr="00F32C60">
        <w:rPr>
          <w:rFonts w:ascii="Verdana" w:eastAsia="Calibri" w:hAnsi="Verdana" w:cs="Arial"/>
          <w:color w:val="000000" w:themeColor="text1"/>
          <w:sz w:val="21"/>
          <w:szCs w:val="21"/>
          <w:lang w:val="es-ES_tradnl"/>
        </w:rPr>
        <w:t>.</w:t>
      </w:r>
    </w:p>
    <w:p w14:paraId="075C6C7C" w14:textId="77777777" w:rsidR="00D41723" w:rsidRPr="00F32C60" w:rsidRDefault="00D41723" w:rsidP="008E4D8F">
      <w:pPr>
        <w:spacing w:after="0" w:line="276" w:lineRule="auto"/>
        <w:ind w:right="709"/>
        <w:jc w:val="both"/>
        <w:rPr>
          <w:rFonts w:ascii="Verdana" w:eastAsia="Calibri" w:hAnsi="Verdana" w:cs="Arial"/>
          <w:color w:val="000000" w:themeColor="text1"/>
          <w:lang w:val="es-ES_tradnl"/>
        </w:rPr>
      </w:pPr>
    </w:p>
    <w:p w14:paraId="44070C6E" w14:textId="77777777" w:rsidR="008E4D8F" w:rsidRPr="00F32C60" w:rsidRDefault="00D41723" w:rsidP="008E4D8F">
      <w:pPr>
        <w:spacing w:after="12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 xml:space="preserve">En relación con la modalidad de selección aplicable a la celebración de contratos interadministrativos, la Ley 1150 de 2007 establece que las entidades estatales pueden suscribirlos de manera directa, siempre que las obligaciones derivadas de los mismos tengan relación con el objeto de la entidad ejecutora. Sin embargo, esa misma ley establece excepciones a esta regla, la cual está condicionada a que ciertas tipologías contractuales sean ejecutadas por las entidades estatales previstas, pues el artículo 2, numeral 4, literal c), inciso 2, de la mencionada ley –modificado por el artículo 92 de la Ley 1474 de 2011– señala que cuando las </w:t>
      </w:r>
      <w:r w:rsidR="004F04A6" w:rsidRPr="00F32C60">
        <w:rPr>
          <w:rFonts w:ascii="Verdana" w:eastAsia="Calibri" w:hAnsi="Verdana" w:cs="Arial"/>
          <w:color w:val="000000" w:themeColor="text1"/>
          <w:lang w:val="es-ES_tradnl"/>
        </w:rPr>
        <w:t>“</w:t>
      </w:r>
      <w:r w:rsidRPr="00F32C60">
        <w:rPr>
          <w:rFonts w:ascii="Verdana" w:eastAsia="Calibri" w:hAnsi="Verdana" w:cs="Arial"/>
          <w:color w:val="000000" w:themeColor="text1"/>
          <w:lang w:val="es-ES_tradnl"/>
        </w:rPr>
        <w:t>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004F04A6" w:rsidRPr="00F32C60">
        <w:rPr>
          <w:rFonts w:ascii="Verdana" w:eastAsia="Calibri" w:hAnsi="Verdana" w:cs="Arial"/>
          <w:color w:val="000000" w:themeColor="text1"/>
          <w:lang w:val="es-ES_tradnl"/>
        </w:rPr>
        <w:t>”</w:t>
      </w:r>
      <w:r w:rsidRPr="00F32C60">
        <w:rPr>
          <w:rFonts w:ascii="Verdana" w:eastAsia="Calibri" w:hAnsi="Verdana" w:cs="Arial"/>
          <w:color w:val="000000" w:themeColor="text1"/>
          <w:lang w:val="es-ES_tradnl"/>
        </w:rPr>
        <w:t xml:space="preserve">, no pueden celebrar contratos interadministrativos de manera directa. </w:t>
      </w:r>
    </w:p>
    <w:p w14:paraId="68B8D9A2" w14:textId="7E4BED13" w:rsidR="008E4D8F" w:rsidRPr="00F32C60" w:rsidRDefault="00D41723" w:rsidP="008E4D8F">
      <w:pPr>
        <w:spacing w:after="120" w:line="276" w:lineRule="auto"/>
        <w:ind w:firstLine="709"/>
        <w:jc w:val="both"/>
        <w:rPr>
          <w:rFonts w:ascii="Verdana" w:eastAsia="Calibri" w:hAnsi="Verdana" w:cs="Arial"/>
          <w:color w:val="000000" w:themeColor="text1"/>
          <w:lang w:val="es-ES_tradnl"/>
        </w:rPr>
      </w:pPr>
      <w:r w:rsidRPr="00A763F5">
        <w:rPr>
          <w:rFonts w:ascii="Verdana" w:eastAsia="Calibri" w:hAnsi="Verdana" w:cs="Arial"/>
          <w:color w:val="000000" w:themeColor="text1"/>
          <w:lang w:val="es-ES_tradnl"/>
        </w:rPr>
        <w:t>Si</w:t>
      </w:r>
      <w:r w:rsidRPr="00F32C60">
        <w:rPr>
          <w:rFonts w:ascii="Verdana" w:eastAsia="Calibri" w:hAnsi="Verdana" w:cs="Arial"/>
          <w:color w:val="000000" w:themeColor="text1"/>
          <w:lang w:val="es-ES_tradnl"/>
        </w:rPr>
        <w:t xml:space="preserve">n embargo, conviene señalar que la excepción contenida en la norma mencionada determina de manera explícita los sujetos a los cuales les es aplicable la restricción contenida en dicho artículo, que incluye la celebración de contratos o convenios interadministrativos cuando se trate de un contrato de obra. Esta disposición exceptuó celebrar de manera directa contratos o convenios interadministrativos cuando se trate de un contrato de obra cuyo sujeto ejecutor sea una institución de educación superior pública o una sociedad de economía mixta con participación mayoritaria del Estado, o una persona </w:t>
      </w:r>
      <w:r w:rsidRPr="00F32C60">
        <w:rPr>
          <w:rFonts w:ascii="Verdana" w:eastAsia="Calibri" w:hAnsi="Verdana" w:cs="Arial"/>
          <w:color w:val="000000" w:themeColor="text1"/>
          <w:lang w:val="es-ES_tradnl"/>
        </w:rPr>
        <w:lastRenderedPageBreak/>
        <w:t xml:space="preserve">jurídica sin ánimo de lucro conformada por la asociación de entidades públicas, o una federación de entidades territoriales. No obstante, el artículo 92 de la Ley 1474 de 2011 dispuso que </w:t>
      </w:r>
      <w:r w:rsidR="004F04A6" w:rsidRPr="00F32C60">
        <w:rPr>
          <w:rFonts w:ascii="Verdana" w:eastAsia="Calibri" w:hAnsi="Verdana" w:cs="Arial"/>
          <w:color w:val="000000" w:themeColor="text1"/>
          <w:lang w:val="es-ES_tradnl"/>
        </w:rPr>
        <w:t>“</w:t>
      </w:r>
      <w:r w:rsidRPr="00F32C60">
        <w:rPr>
          <w:rFonts w:ascii="Verdana" w:eastAsia="Calibri" w:hAnsi="Verdana" w:cs="Arial"/>
          <w:color w:val="000000" w:themeColor="text1"/>
          <w:lang w:val="es-ES_tradnl"/>
        </w:rPr>
        <w:t>[…] Estos contratos podrán ser ejecutados por las mismas, siempre que participen en procesos de licitación pública o contratación abreviada de acuerdo con lo dispuesto por los numerales 1 y 2 del presente artículo</w:t>
      </w:r>
      <w:r w:rsidR="004F04A6" w:rsidRPr="00F32C60">
        <w:rPr>
          <w:rFonts w:ascii="Verdana" w:eastAsia="Calibri" w:hAnsi="Verdana" w:cs="Arial"/>
          <w:color w:val="000000" w:themeColor="text1"/>
          <w:lang w:val="es-ES_tradnl"/>
        </w:rPr>
        <w:t>”</w:t>
      </w:r>
      <w:r w:rsidRPr="00F32C60">
        <w:rPr>
          <w:rFonts w:ascii="Verdana" w:eastAsia="Calibri" w:hAnsi="Verdana" w:cs="Arial"/>
          <w:color w:val="000000" w:themeColor="text1"/>
          <w:lang w:val="es-ES_tradnl"/>
        </w:rPr>
        <w:t xml:space="preserve">, permitiendo que estos contratos en el marco de procedimientos de selección que garanticen la pluralidad de oferentes. </w:t>
      </w:r>
    </w:p>
    <w:p w14:paraId="0DEC4812" w14:textId="77777777" w:rsidR="008E4D8F" w:rsidRPr="00F32C60" w:rsidRDefault="00D41723" w:rsidP="008E4D8F">
      <w:pPr>
        <w:spacing w:after="120" w:line="276" w:lineRule="auto"/>
        <w:ind w:firstLine="709"/>
        <w:jc w:val="both"/>
        <w:rPr>
          <w:rFonts w:ascii="Verdana" w:eastAsia="Calibri" w:hAnsi="Verdana" w:cs="Arial"/>
          <w:color w:val="000000" w:themeColor="text1"/>
          <w:lang w:val="es-ES_tradnl"/>
        </w:rPr>
      </w:pPr>
      <w:r w:rsidRPr="00F32C60">
        <w:rPr>
          <w:rFonts w:ascii="Verdana" w:eastAsia="Calibri" w:hAnsi="Verdana" w:cs="Arial"/>
          <w:color w:val="000000" w:themeColor="text1"/>
          <w:lang w:val="es-ES_tradnl"/>
        </w:rPr>
        <w:t>De lo anterior se desprende que la ley no previó que esta excepción sea aplicable a las empresas industriales y comerciales del Estado, por lo cual, al no existir prohibición explícita para la celebración de contratos o convenios interadministrativos con empresas industriales y comerciales del Estado cuando se trate de un contrato de obra, es posible afirmar que se aplica la regla general, y por ende, pueden celebrar contratos o convenios interadministrativos con dicho objeto de manera directa. Lo anterior siempre que del análisis jurídico, técnico y financiero se derive la viabilidad de suscribir dichos convenios, así como que el objeto de la entidad, señalado en la ley o en sus reglamentos, permita el cumplimiento de las obligaciones del contrato.</w:t>
      </w:r>
    </w:p>
    <w:p w14:paraId="23826643" w14:textId="405AE581" w:rsidR="00D41723" w:rsidRPr="00F32C60" w:rsidRDefault="008E4D8F" w:rsidP="008E4D8F">
      <w:pPr>
        <w:spacing w:after="0" w:line="276" w:lineRule="auto"/>
        <w:ind w:firstLine="709"/>
        <w:jc w:val="both"/>
        <w:rPr>
          <w:rFonts w:ascii="Verdana" w:eastAsia="Calibri" w:hAnsi="Verdana" w:cs="Arial"/>
          <w:color w:val="000000" w:themeColor="text1"/>
          <w:lang w:val="es-ES_tradnl"/>
        </w:rPr>
      </w:pPr>
      <w:proofErr w:type="spellStart"/>
      <w:r w:rsidRPr="00F32C60">
        <w:rPr>
          <w:rFonts w:ascii="Verdana" w:eastAsia="Calibri" w:hAnsi="Verdana" w:cs="Arial"/>
          <w:color w:val="000000" w:themeColor="text1"/>
          <w:lang w:val="es-ES_tradnl"/>
        </w:rPr>
        <w:t>iii</w:t>
      </w:r>
      <w:proofErr w:type="spellEnd"/>
      <w:r w:rsidRPr="00F32C60">
        <w:rPr>
          <w:rFonts w:ascii="Verdana" w:eastAsia="Calibri" w:hAnsi="Verdana" w:cs="Arial"/>
          <w:color w:val="000000" w:themeColor="text1"/>
          <w:lang w:val="es-ES_tradnl"/>
        </w:rPr>
        <w:t>) Adicionalmente, d</w:t>
      </w:r>
      <w:r w:rsidR="00D41723" w:rsidRPr="00F32C60">
        <w:rPr>
          <w:rFonts w:ascii="Verdana" w:eastAsia="Calibri" w:hAnsi="Verdana" w:cs="Arial"/>
          <w:color w:val="000000" w:themeColor="text1"/>
          <w:lang w:val="es-ES_tradnl"/>
        </w:rPr>
        <w:t xml:space="preserve">ebe señalarse que la </w:t>
      </w:r>
      <w:r w:rsidR="004F04A6" w:rsidRPr="00F32C60">
        <w:rPr>
          <w:rFonts w:ascii="Verdana" w:eastAsia="Calibri" w:hAnsi="Verdana" w:cs="Arial"/>
          <w:color w:val="000000" w:themeColor="text1"/>
          <w:lang w:val="es-ES_tradnl"/>
        </w:rPr>
        <w:t>“</w:t>
      </w:r>
      <w:r w:rsidR="00D41723" w:rsidRPr="00F32C60">
        <w:rPr>
          <w:rFonts w:ascii="Verdana" w:eastAsia="Calibri" w:hAnsi="Verdana" w:cs="Arial"/>
          <w:color w:val="000000" w:themeColor="text1"/>
          <w:lang w:val="es-ES_tradnl"/>
        </w:rPr>
        <w:t>administración delegada</w:t>
      </w:r>
      <w:r w:rsidR="004F04A6" w:rsidRPr="00F32C60">
        <w:rPr>
          <w:rFonts w:ascii="Verdana" w:eastAsia="Calibri" w:hAnsi="Verdana" w:cs="Arial"/>
          <w:color w:val="000000" w:themeColor="text1"/>
          <w:lang w:val="es-ES_tradnl"/>
        </w:rPr>
        <w:t>”</w:t>
      </w:r>
      <w:r w:rsidR="00D41723" w:rsidRPr="00F32C60">
        <w:rPr>
          <w:rFonts w:ascii="Verdana" w:eastAsia="Calibri" w:hAnsi="Verdana" w:cs="Arial"/>
          <w:color w:val="000000" w:themeColor="text1"/>
          <w:lang w:val="es-ES_tradnl"/>
        </w:rPr>
        <w:t xml:space="preserv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00D41723" w:rsidRPr="00F32C60">
        <w:rPr>
          <w:rFonts w:ascii="Verdana" w:eastAsia="Calibri" w:hAnsi="Verdana" w:cs="Arial"/>
          <w:color w:val="000000" w:themeColor="text1"/>
          <w:lang w:val="es-ES_tradnl"/>
        </w:rPr>
        <w:t>ii</w:t>
      </w:r>
      <w:proofErr w:type="spellEnd"/>
      <w:r w:rsidR="00D41723" w:rsidRPr="00F32C60">
        <w:rPr>
          <w:rFonts w:ascii="Verdana" w:eastAsia="Calibri" w:hAnsi="Verdana" w:cs="Arial"/>
          <w:color w:val="000000" w:themeColor="text1"/>
          <w:lang w:val="es-ES_tradnl"/>
        </w:rPr>
        <w:t xml:space="preserve">) como una modalidad de administración y pago, no necesariamente asociada al mandato. Al respecto, el Consejo de Estado se refirió a la administración delegada en el contrato de obra pública así: </w:t>
      </w:r>
    </w:p>
    <w:p w14:paraId="5C99D927" w14:textId="77777777" w:rsidR="00D41723" w:rsidRPr="00F32C60" w:rsidRDefault="00D41723" w:rsidP="008E4D8F">
      <w:pPr>
        <w:spacing w:after="0"/>
        <w:ind w:left="709" w:right="709"/>
        <w:jc w:val="both"/>
        <w:rPr>
          <w:rFonts w:ascii="Verdana" w:hAnsi="Verdana" w:cs="Arial"/>
          <w:color w:val="000000" w:themeColor="text1"/>
          <w:sz w:val="21"/>
          <w:szCs w:val="21"/>
          <w:lang w:val="es-ES_tradnl"/>
        </w:rPr>
      </w:pPr>
    </w:p>
    <w:p w14:paraId="152C8B95" w14:textId="517D17A7" w:rsidR="00D41723" w:rsidRPr="00F32C60" w:rsidRDefault="008E4D8F" w:rsidP="00E50BB0">
      <w:pPr>
        <w:spacing w:after="120" w:line="240" w:lineRule="auto"/>
        <w:ind w:left="709" w:right="709"/>
        <w:jc w:val="both"/>
        <w:rPr>
          <w:rFonts w:ascii="Verdana" w:hAnsi="Verdana" w:cs="Arial"/>
          <w:color w:val="000000" w:themeColor="text1"/>
          <w:sz w:val="21"/>
          <w:szCs w:val="21"/>
          <w:lang w:val="es-ES_tradnl"/>
        </w:rPr>
      </w:pPr>
      <w:r w:rsidRPr="00F32C60">
        <w:rPr>
          <w:rFonts w:ascii="Verdana" w:hAnsi="Verdana" w:cs="Arial"/>
          <w:color w:val="000000" w:themeColor="text1"/>
          <w:sz w:val="21"/>
          <w:szCs w:val="21"/>
          <w:lang w:val="es-ES_tradnl"/>
        </w:rPr>
        <w:t>“</w:t>
      </w:r>
      <w:r w:rsidR="00D41723" w:rsidRPr="00F32C60">
        <w:rPr>
          <w:rFonts w:ascii="Verdana" w:hAnsi="Verdana" w:cs="Arial"/>
          <w:color w:val="000000" w:themeColor="text1"/>
          <w:sz w:val="21"/>
          <w:szCs w:val="21"/>
          <w:lang w:val="es-ES_tradnl"/>
        </w:rPr>
        <w:t xml:space="preserve">El contrato de obra pública por administración delegada no constituye una figura nueva en el derecho colombiano como que de él ya se ocupaba tanto el artículo 85 del decreto 150 de 1976, como los artículos 90 a 100 del decreto 222 de 1983. Este negocio jurídico es entendido como aquel en el que el contratista, por cuenta y riesgo de la entidad pública contratante se encarga de la ejecución del objeto convenido, o lo que es igual, bajo este sistema el contratista actúa a nombre y por cuenta del contratante delegante. </w:t>
      </w:r>
    </w:p>
    <w:p w14:paraId="68F38182" w14:textId="7EAB0F18" w:rsidR="00D41723" w:rsidRPr="00F32C60" w:rsidRDefault="00D41723" w:rsidP="00E50BB0">
      <w:pPr>
        <w:spacing w:after="0" w:line="240" w:lineRule="auto"/>
        <w:ind w:left="709" w:right="709"/>
        <w:jc w:val="both"/>
        <w:rPr>
          <w:rFonts w:ascii="Verdana" w:hAnsi="Verdana" w:cs="Arial"/>
          <w:color w:val="000000" w:themeColor="text1"/>
          <w:sz w:val="21"/>
          <w:szCs w:val="21"/>
          <w:lang w:val="es-ES_tradnl"/>
        </w:rPr>
      </w:pPr>
      <w:r w:rsidRPr="00F32C60">
        <w:rPr>
          <w:rFonts w:ascii="Verdana" w:hAnsi="Verdana" w:cs="Arial"/>
          <w:color w:val="000000" w:themeColor="text1"/>
          <w:sz w:val="21"/>
          <w:szCs w:val="21"/>
          <w:lang w:val="es-ES_tradnl"/>
        </w:rPr>
        <w:t xml:space="preserve">Bajo este sistema la administración paga el costo real de la obra, más determinado porcentaje como retribución al contratista por concepto </w:t>
      </w:r>
      <w:r w:rsidRPr="00F32C60">
        <w:rPr>
          <w:rFonts w:ascii="Verdana" w:hAnsi="Verdana" w:cs="Arial"/>
          <w:color w:val="000000" w:themeColor="text1"/>
          <w:sz w:val="21"/>
          <w:szCs w:val="21"/>
          <w:lang w:val="es-ES_tradnl"/>
        </w:rPr>
        <w:lastRenderedPageBreak/>
        <w:t>de honorarios de administración (en los que se incluyen costos de personal, oficinas, vehículos, desplazamientos etc.) y la utilidad</w:t>
      </w:r>
      <w:r w:rsidR="008E4D8F" w:rsidRPr="00F32C60">
        <w:rPr>
          <w:rFonts w:ascii="Verdana" w:hAnsi="Verdana" w:cs="Arial"/>
          <w:color w:val="000000" w:themeColor="text1"/>
          <w:sz w:val="21"/>
          <w:szCs w:val="21"/>
          <w:lang w:val="es-ES_tradnl"/>
        </w:rPr>
        <w:t>”</w:t>
      </w:r>
      <w:r w:rsidRPr="00F32C60">
        <w:rPr>
          <w:rStyle w:val="Refdenotaalpie"/>
          <w:rFonts w:ascii="Verdana" w:hAnsi="Verdana" w:cs="Arial"/>
          <w:color w:val="000000" w:themeColor="text1"/>
          <w:sz w:val="21"/>
          <w:szCs w:val="21"/>
          <w:lang w:val="es-ES_tradnl"/>
        </w:rPr>
        <w:footnoteReference w:id="17"/>
      </w:r>
      <w:r w:rsidRPr="00F32C60">
        <w:rPr>
          <w:rFonts w:ascii="Verdana" w:hAnsi="Verdana" w:cs="Arial"/>
          <w:color w:val="000000" w:themeColor="text1"/>
          <w:sz w:val="21"/>
          <w:szCs w:val="21"/>
          <w:lang w:val="es-ES_tradnl"/>
        </w:rPr>
        <w:t xml:space="preserve">. </w:t>
      </w:r>
    </w:p>
    <w:p w14:paraId="60BC42C6" w14:textId="77777777" w:rsidR="00D41723" w:rsidRPr="00F32C60" w:rsidRDefault="00D41723" w:rsidP="008E4D8F">
      <w:pPr>
        <w:widowControl w:val="0"/>
        <w:autoSpaceDE w:val="0"/>
        <w:autoSpaceDN w:val="0"/>
        <w:spacing w:after="0" w:line="276" w:lineRule="auto"/>
        <w:ind w:firstLine="709"/>
        <w:jc w:val="both"/>
        <w:rPr>
          <w:rFonts w:ascii="Verdana" w:eastAsia="Arial" w:hAnsi="Verdana" w:cs="Arial"/>
          <w:lang w:val="es-ES"/>
        </w:rPr>
      </w:pPr>
    </w:p>
    <w:p w14:paraId="315A8B02" w14:textId="77777777" w:rsidR="00D41723" w:rsidRPr="00F32C60" w:rsidRDefault="00D41723" w:rsidP="008E4D8F">
      <w:pPr>
        <w:widowControl w:val="0"/>
        <w:autoSpaceDE w:val="0"/>
        <w:autoSpaceDN w:val="0"/>
        <w:spacing w:after="0" w:line="276" w:lineRule="auto"/>
        <w:ind w:firstLine="709"/>
        <w:jc w:val="both"/>
        <w:rPr>
          <w:rFonts w:ascii="Verdana" w:eastAsia="Arial" w:hAnsi="Verdana" w:cs="Arial"/>
          <w:lang w:val="es-ES"/>
        </w:rPr>
      </w:pPr>
      <w:r w:rsidRPr="00F32C60">
        <w:rPr>
          <w:rFonts w:ascii="Verdana" w:eastAsia="Arial" w:hAnsi="Verdana" w:cs="Arial"/>
          <w:lang w:val="es-ES"/>
        </w:rPr>
        <w:t>En este mismo contexto, la Sección cuarta del Consejo de Estado precisó que la administración delegada reviste de la misma esencia de la relación contractual propia del mandato, en el entendido de que el contratista representa, administra y gestiona el contrato. Por ello, el contratista recibe como valor del contrato los recursos de inversión o entregados en administración y los honorarios, imponiéndosele, en virtud del principio de transparencia, el deber de identificar con claridad cada uno de estos valores y de rendirle cuentas a la entidad contratante, como a los órganos de control, si estos lo solicitan. Así lo ha señalado la Sala de Consulta y Servicio Civil del Consejo de Estado:</w:t>
      </w:r>
    </w:p>
    <w:p w14:paraId="7993A6D6" w14:textId="77777777" w:rsidR="00D41723" w:rsidRPr="00F32C60" w:rsidRDefault="00D41723" w:rsidP="008E4D8F">
      <w:pPr>
        <w:spacing w:after="0"/>
        <w:ind w:left="709" w:right="760"/>
        <w:jc w:val="both"/>
        <w:rPr>
          <w:rFonts w:ascii="Verdana" w:hAnsi="Verdana" w:cs="Arial"/>
          <w:color w:val="000000" w:themeColor="text1"/>
          <w:sz w:val="21"/>
          <w:szCs w:val="21"/>
          <w:lang w:val="es-ES_tradnl"/>
        </w:rPr>
      </w:pPr>
    </w:p>
    <w:p w14:paraId="30745B26" w14:textId="7F2B7100" w:rsidR="00D41723" w:rsidRPr="00F32C60" w:rsidRDefault="00E50BB0" w:rsidP="00E50BB0">
      <w:pPr>
        <w:spacing w:after="120" w:line="240" w:lineRule="auto"/>
        <w:ind w:left="709" w:right="760"/>
        <w:jc w:val="both"/>
        <w:rPr>
          <w:rFonts w:ascii="Verdana" w:hAnsi="Verdana" w:cs="Arial"/>
          <w:color w:val="000000" w:themeColor="text1"/>
          <w:sz w:val="21"/>
          <w:szCs w:val="21"/>
          <w:lang w:val="es-ES_tradnl"/>
        </w:rPr>
      </w:pPr>
      <w:r>
        <w:rPr>
          <w:rFonts w:ascii="Verdana" w:hAnsi="Verdana" w:cs="Arial"/>
          <w:color w:val="000000" w:themeColor="text1"/>
          <w:sz w:val="21"/>
          <w:szCs w:val="21"/>
          <w:lang w:val="es-ES_tradnl"/>
        </w:rPr>
        <w:t>“</w:t>
      </w:r>
      <w:r w:rsidR="00D41723" w:rsidRPr="00F32C60">
        <w:rPr>
          <w:rFonts w:ascii="Verdana" w:hAnsi="Verdana" w:cs="Arial"/>
          <w:color w:val="000000" w:themeColor="text1"/>
          <w:sz w:val="21"/>
          <w:szCs w:val="21"/>
          <w:lang w:val="es-ES_tradnl"/>
        </w:rPr>
        <w:t>Según la jurisprudencia del Consejo de Estado (sección tercera, sentencias de 12 de septiembre de 1994 y 23 de marzo de 1995), el sistema de administración delegada se realiza ‘por cuenta y riesgo del contratante’, por lo cual coloca al contratista en la posición de un representante que no contrae obligaciones a nombre propio sino del contratante, salvo en tratándose de subcontratos, o sea cuando el contratista encomienda la ejecución de parte del objeto del contrato a un tercero, pues en este evento el subcontratista se vincula en forma directa e independiente con el contratista.</w:t>
      </w:r>
    </w:p>
    <w:p w14:paraId="7AD9A0EF" w14:textId="75858E8D" w:rsidR="00D41723" w:rsidRPr="00F32C60" w:rsidRDefault="00D41723" w:rsidP="00E50BB0">
      <w:pPr>
        <w:spacing w:after="0" w:line="240" w:lineRule="auto"/>
        <w:ind w:left="709" w:right="760"/>
        <w:jc w:val="both"/>
        <w:rPr>
          <w:rFonts w:ascii="Verdana" w:hAnsi="Verdana" w:cs="Arial"/>
          <w:color w:val="000000" w:themeColor="text1"/>
          <w:sz w:val="21"/>
          <w:szCs w:val="21"/>
          <w:lang w:val="es-ES_tradnl"/>
        </w:rPr>
      </w:pPr>
      <w:r w:rsidRPr="00F32C60">
        <w:rPr>
          <w:rFonts w:ascii="Verdana" w:hAnsi="Verdana" w:cs="Arial"/>
          <w:color w:val="000000" w:themeColor="text1"/>
          <w:sz w:val="21"/>
          <w:szCs w:val="21"/>
          <w:lang w:val="es-ES_tradnl"/>
        </w:rPr>
        <w:t>Se comprende entonces que corresponda a la entidad contratante suministrar los fondos necesarios para el cumplimiento de las funciones u obligaciones del contratista; fondos que el administrador delegado manejará bajo su propia responsabilidad, con la obligación de rendir cuentas a la entidad respectiva y a la Contraloría General de la República. Adicionalmente, también se podrán suministrar al contratista equipos y elementos de propiedad de la entidad contratante</w:t>
      </w:r>
      <w:r w:rsidR="00E50BB0">
        <w:rPr>
          <w:rFonts w:ascii="Verdana" w:hAnsi="Verdana" w:cs="Arial"/>
          <w:color w:val="000000" w:themeColor="text1"/>
          <w:sz w:val="21"/>
          <w:szCs w:val="21"/>
          <w:lang w:val="es-ES_tradnl"/>
        </w:rPr>
        <w:t>”</w:t>
      </w:r>
      <w:r w:rsidRPr="00F32C60">
        <w:rPr>
          <w:rStyle w:val="Refdenotaalpie"/>
          <w:rFonts w:ascii="Verdana" w:hAnsi="Verdana" w:cs="Arial"/>
          <w:color w:val="000000" w:themeColor="text1"/>
          <w:sz w:val="21"/>
          <w:szCs w:val="21"/>
          <w:lang w:val="es-ES_tradnl"/>
        </w:rPr>
        <w:footnoteReference w:id="18"/>
      </w:r>
      <w:r w:rsidRPr="00F32C60">
        <w:rPr>
          <w:rFonts w:ascii="Verdana" w:hAnsi="Verdana" w:cs="Arial"/>
          <w:color w:val="000000" w:themeColor="text1"/>
          <w:sz w:val="21"/>
          <w:szCs w:val="21"/>
          <w:lang w:val="es-ES_tradnl"/>
        </w:rPr>
        <w:t>.</w:t>
      </w:r>
    </w:p>
    <w:p w14:paraId="09FFF2C1" w14:textId="77777777" w:rsidR="00D41723" w:rsidRPr="00F32C60" w:rsidRDefault="00D41723" w:rsidP="008E4D8F">
      <w:pPr>
        <w:widowControl w:val="0"/>
        <w:autoSpaceDE w:val="0"/>
        <w:autoSpaceDN w:val="0"/>
        <w:spacing w:after="0" w:line="276" w:lineRule="auto"/>
        <w:ind w:firstLine="709"/>
        <w:jc w:val="both"/>
        <w:rPr>
          <w:rFonts w:ascii="Verdana" w:eastAsia="Calibri" w:hAnsi="Verdana" w:cs="Arial"/>
          <w:b/>
          <w:color w:val="000000" w:themeColor="text1"/>
          <w:lang w:val="es-ES_tradnl"/>
        </w:rPr>
      </w:pPr>
      <w:r w:rsidRPr="00F32C60">
        <w:rPr>
          <w:rFonts w:ascii="Verdana" w:eastAsia="Calibri" w:hAnsi="Verdana" w:cs="Arial"/>
          <w:bCs/>
          <w:color w:val="000000" w:themeColor="text1"/>
          <w:lang w:val="es-ES_tradnl"/>
        </w:rPr>
        <w:t xml:space="preserve"> </w:t>
      </w:r>
    </w:p>
    <w:p w14:paraId="739BFF98" w14:textId="17F027EB" w:rsidR="008E4D8F" w:rsidRPr="00F32C60" w:rsidRDefault="00D41723" w:rsidP="008E4D8F">
      <w:pPr>
        <w:widowControl w:val="0"/>
        <w:autoSpaceDE w:val="0"/>
        <w:autoSpaceDN w:val="0"/>
        <w:spacing w:after="120" w:line="276" w:lineRule="auto"/>
        <w:ind w:firstLine="709"/>
        <w:jc w:val="both"/>
        <w:rPr>
          <w:rFonts w:ascii="Verdana" w:eastAsia="Arial" w:hAnsi="Verdana" w:cs="Arial"/>
          <w:lang w:val="es-ES"/>
        </w:rPr>
      </w:pPr>
      <w:r w:rsidRPr="00F32C60">
        <w:rPr>
          <w:rFonts w:ascii="Verdana" w:eastAsia="Arial" w:hAnsi="Verdana" w:cs="Arial"/>
          <w:lang w:val="es-ES"/>
        </w:rPr>
        <w:t xml:space="preserve">Así pues, se podrá pactar dentro de un contrato –incluidos los contratos o convenios interadministrativos– la administración delegada, modalidad de ejecución y pago en la cual se definen los recursos de inversión del proyecto, más los valores –que pueden ser en porcentaje o precios fijos– de los honorarios </w:t>
      </w:r>
      <w:r w:rsidRPr="00F32C60">
        <w:rPr>
          <w:rFonts w:ascii="Verdana" w:eastAsia="Arial" w:hAnsi="Verdana" w:cs="Arial"/>
          <w:lang w:val="es-ES"/>
        </w:rPr>
        <w:lastRenderedPageBreak/>
        <w:t>del contratista, los cuales en todo caso deben ser razonables y proporciona</w:t>
      </w:r>
      <w:r w:rsidR="00291DD6">
        <w:rPr>
          <w:rFonts w:ascii="Verdana" w:eastAsia="Arial" w:hAnsi="Verdana" w:cs="Arial"/>
          <w:lang w:val="es-ES"/>
        </w:rPr>
        <w:t>dos</w:t>
      </w:r>
      <w:r w:rsidRPr="00F32C60">
        <w:rPr>
          <w:rFonts w:ascii="Verdana" w:eastAsia="Arial" w:hAnsi="Verdana" w:cs="Arial"/>
          <w:lang w:val="es-ES"/>
        </w:rPr>
        <w:t xml:space="preserve"> en relación con el presupuesto del objeto del contrato</w:t>
      </w:r>
      <w:r w:rsidRPr="00F32C60">
        <w:rPr>
          <w:rStyle w:val="Refdenotaalpie"/>
          <w:rFonts w:ascii="Verdana" w:eastAsia="Arial" w:hAnsi="Verdana" w:cs="Arial"/>
          <w:lang w:val="es-ES"/>
        </w:rPr>
        <w:footnoteReference w:id="19"/>
      </w:r>
      <w:r w:rsidRPr="00F32C60">
        <w:rPr>
          <w:rFonts w:ascii="Verdana" w:eastAsia="Arial" w:hAnsi="Verdana" w:cs="Arial"/>
          <w:lang w:val="es-ES"/>
        </w:rPr>
        <w:t>.</w:t>
      </w:r>
    </w:p>
    <w:p w14:paraId="4B821831" w14:textId="3A018AA1" w:rsidR="008E4D8F" w:rsidRPr="00F32C60" w:rsidRDefault="00D41723" w:rsidP="008E4D8F">
      <w:pPr>
        <w:widowControl w:val="0"/>
        <w:autoSpaceDE w:val="0"/>
        <w:autoSpaceDN w:val="0"/>
        <w:spacing w:after="120" w:line="276" w:lineRule="auto"/>
        <w:ind w:firstLine="709"/>
        <w:jc w:val="both"/>
        <w:rPr>
          <w:rFonts w:ascii="Verdana" w:eastAsia="Arial" w:hAnsi="Verdana" w:cs="Arial"/>
          <w:lang w:val="es-ES"/>
        </w:rPr>
      </w:pPr>
      <w:r w:rsidRPr="00F32C60">
        <w:rPr>
          <w:rFonts w:ascii="Verdana" w:eastAsia="Arial" w:hAnsi="Verdana" w:cs="Arial"/>
          <w:lang w:val="es-ES"/>
        </w:rPr>
        <w:t xml:space="preserve">Además del contrato de mandato, </w:t>
      </w:r>
      <w:r w:rsidR="00291DD6">
        <w:rPr>
          <w:rFonts w:ascii="Verdana" w:eastAsia="Arial" w:hAnsi="Verdana" w:cs="Arial"/>
          <w:lang w:val="es-ES"/>
        </w:rPr>
        <w:t xml:space="preserve">según se indicó, </w:t>
      </w:r>
      <w:r w:rsidRPr="00F32C60">
        <w:rPr>
          <w:rFonts w:ascii="Verdana" w:eastAsia="Arial" w:hAnsi="Verdana" w:cs="Arial"/>
          <w:lang w:val="es-ES"/>
        </w:rPr>
        <w:t xml:space="preserve">la administración delegada puede concebirse como una forma de pago de contratos como el de obra pública o </w:t>
      </w:r>
      <w:r w:rsidR="00291DD6">
        <w:rPr>
          <w:rFonts w:ascii="Verdana" w:eastAsia="Arial" w:hAnsi="Verdana" w:cs="Arial"/>
          <w:lang w:val="es-ES"/>
        </w:rPr>
        <w:t xml:space="preserve">el </w:t>
      </w:r>
      <w:r w:rsidRPr="00F32C60">
        <w:rPr>
          <w:rFonts w:ascii="Verdana" w:eastAsia="Arial" w:hAnsi="Verdana" w:cs="Arial"/>
          <w:lang w:val="es-ES"/>
        </w:rPr>
        <w:t xml:space="preserve">de interventoría. En efecto, dentro de la forma de pactar la metodología de ejecución y el precio de los contratos estatales de obra pública, las partes pueden emplear distintos sistemas, como, por ejemplo, i) el </w:t>
      </w:r>
      <w:r w:rsidR="004F04A6" w:rsidRPr="00F32C60">
        <w:rPr>
          <w:rFonts w:ascii="Verdana" w:eastAsia="Arial" w:hAnsi="Verdana" w:cs="Arial"/>
          <w:lang w:val="es-ES"/>
        </w:rPr>
        <w:t>“</w:t>
      </w:r>
      <w:r w:rsidRPr="00F32C60">
        <w:rPr>
          <w:rFonts w:ascii="Verdana" w:eastAsia="Arial" w:hAnsi="Verdana" w:cs="Arial"/>
          <w:lang w:val="es-ES"/>
        </w:rPr>
        <w:t>precio global</w:t>
      </w:r>
      <w:r w:rsidR="004F04A6" w:rsidRPr="00F32C60">
        <w:rPr>
          <w:rFonts w:ascii="Verdana" w:eastAsia="Arial" w:hAnsi="Verdana" w:cs="Arial"/>
          <w:lang w:val="es-ES"/>
        </w:rPr>
        <w:t>”</w:t>
      </w:r>
      <w:r w:rsidRPr="00F32C60">
        <w:rPr>
          <w:rFonts w:ascii="Verdana" w:eastAsia="Arial" w:hAnsi="Verdana" w:cs="Arial"/>
          <w:lang w:val="es-ES"/>
        </w:rPr>
        <w:t xml:space="preserve"> –en el que se paga </w:t>
      </w:r>
      <w:r w:rsidR="004F04A6" w:rsidRPr="00F32C60">
        <w:rPr>
          <w:rFonts w:ascii="Verdana" w:eastAsia="Arial" w:hAnsi="Verdana" w:cs="Arial"/>
          <w:lang w:val="es-ES"/>
        </w:rPr>
        <w:t>“</w:t>
      </w:r>
      <w:r w:rsidRPr="00F32C60">
        <w:rPr>
          <w:rFonts w:ascii="Verdana" w:eastAsia="Arial" w:hAnsi="Verdana" w:cs="Arial"/>
          <w:lang w:val="es-ES"/>
        </w:rPr>
        <w:t>a mano alzada</w:t>
      </w:r>
      <w:r w:rsidR="004F04A6" w:rsidRPr="00F32C60">
        <w:rPr>
          <w:rFonts w:ascii="Verdana" w:eastAsia="Arial" w:hAnsi="Verdana" w:cs="Arial"/>
          <w:lang w:val="es-ES"/>
        </w:rPr>
        <w:t>”</w:t>
      </w:r>
      <w:r w:rsidRPr="00F32C60">
        <w:rPr>
          <w:rFonts w:ascii="Verdana" w:eastAsia="Arial" w:hAnsi="Verdana" w:cs="Arial"/>
          <w:lang w:val="es-ES"/>
        </w:rPr>
        <w:t xml:space="preserve"> el objeto del contrato–; </w:t>
      </w:r>
      <w:proofErr w:type="spellStart"/>
      <w:r w:rsidRPr="00F32C60">
        <w:rPr>
          <w:rFonts w:ascii="Verdana" w:eastAsia="Arial" w:hAnsi="Verdana" w:cs="Arial"/>
          <w:lang w:val="es-ES"/>
        </w:rPr>
        <w:t>ii</w:t>
      </w:r>
      <w:proofErr w:type="spellEnd"/>
      <w:r w:rsidRPr="00F32C60">
        <w:rPr>
          <w:rFonts w:ascii="Verdana" w:eastAsia="Arial" w:hAnsi="Verdana" w:cs="Arial"/>
          <w:lang w:val="es-ES"/>
        </w:rPr>
        <w:t xml:space="preserve">) los </w:t>
      </w:r>
      <w:r w:rsidR="004F04A6" w:rsidRPr="00F32C60">
        <w:rPr>
          <w:rFonts w:ascii="Verdana" w:eastAsia="Arial" w:hAnsi="Verdana" w:cs="Arial"/>
          <w:lang w:val="es-ES"/>
        </w:rPr>
        <w:t>“</w:t>
      </w:r>
      <w:r w:rsidRPr="00F32C60">
        <w:rPr>
          <w:rFonts w:ascii="Verdana" w:eastAsia="Arial" w:hAnsi="Verdana" w:cs="Arial"/>
          <w:lang w:val="es-ES"/>
        </w:rPr>
        <w:t>precios unitarios</w:t>
      </w:r>
      <w:r w:rsidR="004F04A6" w:rsidRPr="00F32C60">
        <w:rPr>
          <w:rFonts w:ascii="Verdana" w:eastAsia="Arial" w:hAnsi="Verdana" w:cs="Arial"/>
          <w:lang w:val="es-ES"/>
        </w:rPr>
        <w:t>”</w:t>
      </w:r>
      <w:r w:rsidRPr="00F32C60">
        <w:rPr>
          <w:rFonts w:ascii="Verdana" w:eastAsia="Arial" w:hAnsi="Verdana" w:cs="Arial"/>
          <w:lang w:val="es-ES"/>
        </w:rPr>
        <w:t xml:space="preserve"> –en los cuales se suelen detallar los costos directos, diferenciándolos de los costos indirectos de administración (A), imprevistos (I) y utilidades (U)–, o </w:t>
      </w:r>
      <w:proofErr w:type="spellStart"/>
      <w:r w:rsidRPr="00F32C60">
        <w:rPr>
          <w:rFonts w:ascii="Verdana" w:eastAsia="Arial" w:hAnsi="Verdana" w:cs="Arial"/>
          <w:lang w:val="es-ES"/>
        </w:rPr>
        <w:t>iii</w:t>
      </w:r>
      <w:proofErr w:type="spellEnd"/>
      <w:r w:rsidRPr="00F32C60">
        <w:rPr>
          <w:rFonts w:ascii="Verdana" w:eastAsia="Arial" w:hAnsi="Verdana" w:cs="Arial"/>
          <w:lang w:val="es-ES"/>
        </w:rPr>
        <w:t xml:space="preserve">) la </w:t>
      </w:r>
      <w:r w:rsidR="004F04A6" w:rsidRPr="00F32C60">
        <w:rPr>
          <w:rFonts w:ascii="Verdana" w:eastAsia="Arial" w:hAnsi="Verdana" w:cs="Arial"/>
          <w:lang w:val="es-ES"/>
        </w:rPr>
        <w:t>“</w:t>
      </w:r>
      <w:r w:rsidRPr="00F32C60">
        <w:rPr>
          <w:rFonts w:ascii="Verdana" w:eastAsia="Arial" w:hAnsi="Verdana" w:cs="Arial"/>
          <w:lang w:val="es-ES"/>
        </w:rPr>
        <w:t>administración delegada</w:t>
      </w:r>
      <w:r w:rsidR="004F04A6" w:rsidRPr="00F32C60">
        <w:rPr>
          <w:rFonts w:ascii="Verdana" w:eastAsia="Arial" w:hAnsi="Verdana" w:cs="Arial"/>
          <w:lang w:val="es-ES"/>
        </w:rPr>
        <w:t>”</w:t>
      </w:r>
      <w:r w:rsidRPr="00F32C60">
        <w:rPr>
          <w:rFonts w:ascii="Verdana" w:eastAsia="Arial" w:hAnsi="Verdana" w:cs="Arial"/>
          <w:lang w:val="es-ES"/>
        </w:rPr>
        <w:t>, que consiste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w:t>
      </w:r>
      <w:r w:rsidRPr="00F32C60">
        <w:rPr>
          <w:rStyle w:val="Refdenotaalpie"/>
          <w:rFonts w:ascii="Verdana" w:eastAsia="Arial" w:hAnsi="Verdana" w:cs="Arial"/>
          <w:lang w:val="es-ES"/>
        </w:rPr>
        <w:footnoteReference w:id="20"/>
      </w:r>
      <w:r w:rsidRPr="00F32C60">
        <w:rPr>
          <w:rFonts w:ascii="Verdana" w:eastAsia="Arial" w:hAnsi="Verdana" w:cs="Arial"/>
          <w:lang w:val="es-ES"/>
        </w:rPr>
        <w:t>.</w:t>
      </w:r>
    </w:p>
    <w:p w14:paraId="76D5FCA2" w14:textId="77777777" w:rsidR="008E4D8F" w:rsidRPr="00F32C60" w:rsidRDefault="00D41723" w:rsidP="008E4D8F">
      <w:pPr>
        <w:widowControl w:val="0"/>
        <w:autoSpaceDE w:val="0"/>
        <w:autoSpaceDN w:val="0"/>
        <w:spacing w:after="120" w:line="276" w:lineRule="auto"/>
        <w:ind w:firstLine="709"/>
        <w:jc w:val="both"/>
        <w:rPr>
          <w:rFonts w:ascii="Verdana" w:eastAsia="Arial" w:hAnsi="Verdana" w:cs="Arial"/>
          <w:lang w:val="es-ES"/>
        </w:rPr>
      </w:pPr>
      <w:r w:rsidRPr="00F32C60">
        <w:rPr>
          <w:rFonts w:ascii="Verdana" w:eastAsia="Arial" w:hAnsi="Verdana" w:cs="Arial"/>
          <w:lang w:val="es-ES"/>
        </w:rPr>
        <w:t xml:space="preserve">En consecuencia, el principio de autonomía de la voluntad de las partes, reconocido en los artículos </w:t>
      </w:r>
      <w:bookmarkStart w:id="2" w:name="_Hlk57285615"/>
      <w:r w:rsidRPr="00F32C60">
        <w:rPr>
          <w:rFonts w:ascii="Verdana" w:eastAsia="Arial" w:hAnsi="Verdana" w:cs="Arial"/>
          <w:lang w:val="es-ES"/>
        </w:rPr>
        <w:t>13, 32 y 40 de la Ley 80 de 1993</w:t>
      </w:r>
      <w:bookmarkEnd w:id="2"/>
      <w:r w:rsidRPr="00F32C60">
        <w:rPr>
          <w:rFonts w:ascii="Verdana" w:eastAsia="Arial" w:hAnsi="Verdana" w:cs="Arial"/>
          <w:lang w:val="es-ES"/>
        </w:rPr>
        <w:t xml:space="preserve">, así como en el artículo </w:t>
      </w:r>
      <w:bookmarkStart w:id="3" w:name="_Hlk57283254"/>
      <w:r w:rsidRPr="00F32C60">
        <w:rPr>
          <w:rFonts w:ascii="Verdana" w:eastAsia="Arial" w:hAnsi="Verdana" w:cs="Arial"/>
          <w:lang w:val="es-ES"/>
        </w:rPr>
        <w:t>1.602 del Código Civil</w:t>
      </w:r>
      <w:bookmarkEnd w:id="3"/>
      <w:r w:rsidRPr="00F32C60">
        <w:rPr>
          <w:rFonts w:ascii="Verdana" w:eastAsia="Arial" w:hAnsi="Verdana" w:cs="Arial"/>
          <w:lang w:val="es-ES"/>
        </w:rPr>
        <w:t xml:space="preserve">, permiten también que las entidades estatales celebren contratos distintos al mandato –de obra, de consultoría, de suministro, etc.–, en los que se pacte la administración delegada de los recursos, como forma de administración y pago. </w:t>
      </w:r>
    </w:p>
    <w:p w14:paraId="70348EE6" w14:textId="1B0D912D" w:rsidR="00D41723" w:rsidRPr="00F32C60" w:rsidRDefault="00D41723" w:rsidP="00212D32">
      <w:pPr>
        <w:widowControl w:val="0"/>
        <w:autoSpaceDE w:val="0"/>
        <w:autoSpaceDN w:val="0"/>
        <w:spacing w:after="120" w:line="276" w:lineRule="auto"/>
        <w:ind w:firstLine="709"/>
        <w:jc w:val="both"/>
        <w:rPr>
          <w:rFonts w:ascii="Verdana" w:eastAsia="Arial" w:hAnsi="Verdana" w:cs="Arial"/>
          <w:lang w:val="es-ES"/>
        </w:rPr>
      </w:pPr>
      <w:r w:rsidRPr="00F32C60">
        <w:rPr>
          <w:rFonts w:ascii="Verdana" w:eastAsia="Arial" w:hAnsi="Verdana" w:cs="Arial"/>
          <w:lang w:val="es-ES"/>
        </w:rPr>
        <w:t xml:space="preserve">En suma, de acuerdo con lo expuesto, si la entidad estatal requiere contratar con otra entidad pública, podrá celebrar un convenio o contrato interadministrativo, en el que se puede incluir la administración delegada, bien </w:t>
      </w:r>
      <w:r w:rsidRPr="00F32C60">
        <w:rPr>
          <w:rFonts w:ascii="Verdana" w:eastAsia="Arial" w:hAnsi="Verdana" w:cs="Arial"/>
          <w:lang w:val="es-ES"/>
        </w:rPr>
        <w:lastRenderedPageBreak/>
        <w:t>como forma de mandato o como modalidad de administración de los recursos de inversión de la obra o interventoría y de pago de los honorarios. En todo caso, para la celebración de los convenios y/o contratos interadministrativos es indispensable que la entidad ejecutora cuente con un objeto que, de acuerdo con la ley o el reglamento, sea idóneo para la ejecución de la actividad contratada.</w:t>
      </w:r>
    </w:p>
    <w:p w14:paraId="1BDDB812" w14:textId="46EB763B" w:rsidR="00D14EB2" w:rsidRPr="00F32C60" w:rsidRDefault="00A36F00" w:rsidP="00D14EB2">
      <w:pPr>
        <w:widowControl w:val="0"/>
        <w:autoSpaceDE w:val="0"/>
        <w:autoSpaceDN w:val="0"/>
        <w:spacing w:after="120" w:line="276" w:lineRule="auto"/>
        <w:ind w:firstLine="709"/>
        <w:jc w:val="both"/>
        <w:rPr>
          <w:rFonts w:ascii="Verdana" w:hAnsi="Verdana"/>
        </w:rPr>
      </w:pPr>
      <w:proofErr w:type="spellStart"/>
      <w:r w:rsidRPr="00F32C60">
        <w:rPr>
          <w:rFonts w:ascii="Verdana" w:eastAsia="Arial" w:hAnsi="Verdana" w:cs="Arial"/>
          <w:lang w:val="es-ES"/>
        </w:rPr>
        <w:t>iii</w:t>
      </w:r>
      <w:proofErr w:type="spellEnd"/>
      <w:r w:rsidRPr="00F32C60">
        <w:rPr>
          <w:rFonts w:ascii="Verdana" w:eastAsia="Arial" w:hAnsi="Verdana" w:cs="Arial"/>
          <w:lang w:val="es-ES"/>
        </w:rPr>
        <w:t xml:space="preserve">) Finalmente, </w:t>
      </w:r>
      <w:r w:rsidRPr="00F32C60">
        <w:rPr>
          <w:rFonts w:ascii="Verdana" w:hAnsi="Verdana"/>
        </w:rPr>
        <w:t>entre las inhabilidades e incompatibilidades que señala el ordenamiento jurídico para contratar con el Estado se encuentra la prevista en el artículo 5 de la Ley 1474 de 2011, que impide celebrar contratos de interventoría a quienes hayan celebrado con la misma entidad contratos de obra pública, de concesión, suministro de medicamentos y de alimentos, esta prohibición se extiende al cónyuge, compañero o compañera permanente, pariente hasta el segundo grado de consanguinidad, segundo de afinidad y/o primero civil o sus socios en sociedades distintas de las anónimas</w:t>
      </w:r>
      <w:r w:rsidRPr="00F32C60">
        <w:rPr>
          <w:rFonts w:ascii="Verdana" w:hAnsi="Verdana"/>
          <w:spacing w:val="-12"/>
        </w:rPr>
        <w:t xml:space="preserve"> </w:t>
      </w:r>
      <w:r w:rsidRPr="00F32C60">
        <w:rPr>
          <w:rFonts w:ascii="Verdana" w:hAnsi="Verdana"/>
        </w:rPr>
        <w:t>abiertas</w:t>
      </w:r>
      <w:r w:rsidR="00613372" w:rsidRPr="00F32C60">
        <w:rPr>
          <w:rStyle w:val="Refdenotaalpie"/>
          <w:rFonts w:ascii="Verdana" w:hAnsi="Verdana"/>
        </w:rPr>
        <w:footnoteReference w:id="21"/>
      </w:r>
      <w:r w:rsidRPr="00F32C60">
        <w:rPr>
          <w:rFonts w:ascii="Verdana" w:hAnsi="Verdana"/>
        </w:rPr>
        <w:t>.</w:t>
      </w:r>
    </w:p>
    <w:p w14:paraId="34EAC318" w14:textId="1AE867D1" w:rsidR="00D14EB2" w:rsidRPr="00F32C60" w:rsidRDefault="00A36F00" w:rsidP="00D14EB2">
      <w:pPr>
        <w:widowControl w:val="0"/>
        <w:autoSpaceDE w:val="0"/>
        <w:autoSpaceDN w:val="0"/>
        <w:spacing w:after="120" w:line="276" w:lineRule="auto"/>
        <w:ind w:firstLine="709"/>
        <w:jc w:val="both"/>
        <w:rPr>
          <w:rFonts w:ascii="Verdana" w:hAnsi="Verdana"/>
        </w:rPr>
      </w:pPr>
      <w:r w:rsidRPr="00F32C60">
        <w:rPr>
          <w:rFonts w:ascii="Verdana" w:hAnsi="Verdana"/>
        </w:rPr>
        <w:t xml:space="preserve">De conformidad con lo anterior, no podrá celebrar contratos de interventoría la persona </w:t>
      </w:r>
      <w:r w:rsidR="00765327">
        <w:rPr>
          <w:rFonts w:ascii="Verdana" w:hAnsi="Verdana"/>
        </w:rPr>
        <w:t>–</w:t>
      </w:r>
      <w:r w:rsidRPr="00F32C60">
        <w:rPr>
          <w:rFonts w:ascii="Verdana" w:hAnsi="Verdana"/>
        </w:rPr>
        <w:t>natural</w:t>
      </w:r>
      <w:r w:rsidR="00765327">
        <w:rPr>
          <w:rFonts w:ascii="Verdana" w:hAnsi="Verdana"/>
        </w:rPr>
        <w:t xml:space="preserve"> o </w:t>
      </w:r>
      <w:r w:rsidRPr="00F32C60">
        <w:rPr>
          <w:rFonts w:ascii="Verdana" w:hAnsi="Verdana"/>
        </w:rPr>
        <w:t>jurídica</w:t>
      </w:r>
      <w:r w:rsidR="00765327">
        <w:rPr>
          <w:rFonts w:ascii="Verdana" w:hAnsi="Verdana"/>
        </w:rPr>
        <w:t>–</w:t>
      </w:r>
      <w:r w:rsidRPr="00F32C60">
        <w:rPr>
          <w:rFonts w:ascii="Verdana" w:hAnsi="Verdana"/>
        </w:rPr>
        <w:t>, consorcio o unión temporal que durante la presentación de ofertas conserve una relación contractual sin liquidar con la misma entidad</w:t>
      </w:r>
      <w:r w:rsidR="00450BEC" w:rsidRPr="00F32C60">
        <w:rPr>
          <w:rStyle w:val="Refdenotaalpie"/>
          <w:rFonts w:ascii="Verdana" w:hAnsi="Verdana"/>
        </w:rPr>
        <w:footnoteReference w:id="22"/>
      </w:r>
      <w:r w:rsidRPr="00F32C60">
        <w:rPr>
          <w:rFonts w:ascii="Verdana" w:hAnsi="Verdana"/>
        </w:rPr>
        <w:t>.</w:t>
      </w:r>
    </w:p>
    <w:p w14:paraId="39A60905" w14:textId="6E877B6F" w:rsidR="00A36F00" w:rsidRPr="00F32C60" w:rsidRDefault="00A36F00" w:rsidP="00D14EB2">
      <w:pPr>
        <w:widowControl w:val="0"/>
        <w:autoSpaceDE w:val="0"/>
        <w:autoSpaceDN w:val="0"/>
        <w:spacing w:after="0" w:line="276" w:lineRule="auto"/>
        <w:ind w:firstLine="709"/>
        <w:jc w:val="both"/>
        <w:rPr>
          <w:rFonts w:ascii="Verdana" w:eastAsia="Arial" w:hAnsi="Verdana" w:cs="Arial"/>
          <w:lang w:val="es-ES"/>
        </w:rPr>
      </w:pPr>
      <w:r w:rsidRPr="00F32C60">
        <w:rPr>
          <w:rFonts w:ascii="Verdana" w:hAnsi="Verdana"/>
        </w:rPr>
        <w:t>La Corte Constitucional, al estudiar la constitucionalidad de esta norma, expresó</w:t>
      </w:r>
      <w:r w:rsidR="000962B8">
        <w:rPr>
          <w:rFonts w:ascii="Verdana" w:hAnsi="Verdana"/>
        </w:rPr>
        <w:t>,</w:t>
      </w:r>
      <w:r w:rsidRPr="00F32C60">
        <w:rPr>
          <w:rFonts w:ascii="Verdana" w:hAnsi="Verdana"/>
        </w:rPr>
        <w:t xml:space="preserve"> en la sentencia C-618 de 2012, con ponencia del Magistrado Gabriel Eduardo Mendoza </w:t>
      </w:r>
      <w:proofErr w:type="spellStart"/>
      <w:r w:rsidRPr="00F32C60">
        <w:rPr>
          <w:rFonts w:ascii="Verdana" w:hAnsi="Verdana"/>
        </w:rPr>
        <w:t>Mortello</w:t>
      </w:r>
      <w:proofErr w:type="spellEnd"/>
      <w:r w:rsidRPr="00F32C60">
        <w:rPr>
          <w:rFonts w:ascii="Verdana" w:hAnsi="Verdana"/>
        </w:rPr>
        <w:t>, que esta prohibición no impide ni limita la participación de los proponentes para celebrar contratos estatales, sino que es una restricción que busca garantizar y salvaguardar el interés público y preservar la transparencia de la contratación pública sin que se privilegien intereses particulares. Al respecto</w:t>
      </w:r>
      <w:r w:rsidR="000962B8">
        <w:rPr>
          <w:rFonts w:ascii="Verdana" w:hAnsi="Verdana"/>
        </w:rPr>
        <w:t>,</w:t>
      </w:r>
      <w:r w:rsidRPr="00F32C60">
        <w:rPr>
          <w:rFonts w:ascii="Verdana" w:hAnsi="Verdana"/>
        </w:rPr>
        <w:t xml:space="preserve"> señaló:</w:t>
      </w:r>
    </w:p>
    <w:p w14:paraId="31B4E9BF" w14:textId="77777777" w:rsidR="00A36F00" w:rsidRPr="00F32C60" w:rsidRDefault="00A36F00" w:rsidP="00A36F00">
      <w:pPr>
        <w:pStyle w:val="Textoindependiente"/>
        <w:spacing w:before="4"/>
        <w:rPr>
          <w:rFonts w:ascii="Verdana" w:hAnsi="Verdana"/>
          <w:sz w:val="25"/>
        </w:rPr>
      </w:pPr>
    </w:p>
    <w:p w14:paraId="107FE8E6" w14:textId="3DA87C56" w:rsidR="008A4C88" w:rsidRPr="00F32C60" w:rsidRDefault="000962B8" w:rsidP="00E50BB0">
      <w:pPr>
        <w:spacing w:line="240" w:lineRule="auto"/>
        <w:ind w:left="1008" w:right="736"/>
        <w:jc w:val="both"/>
        <w:rPr>
          <w:rFonts w:ascii="Verdana" w:hAnsi="Verdana"/>
          <w:sz w:val="21"/>
        </w:rPr>
      </w:pPr>
      <w:r>
        <w:rPr>
          <w:rFonts w:ascii="Verdana" w:hAnsi="Verdana"/>
          <w:sz w:val="21"/>
        </w:rPr>
        <w:t>“</w:t>
      </w:r>
      <w:r w:rsidR="00FE7320" w:rsidRPr="00F32C60">
        <w:rPr>
          <w:rFonts w:ascii="Verdana" w:hAnsi="Verdana"/>
          <w:sz w:val="21"/>
        </w:rPr>
        <w:t xml:space="preserve">Para la Corte no cabe duda que la relevancia de la restricción que la norma impugnada establece estriba en la necesidad de evitar la simultaneidad de contratos celebrados con la misma entidad y obedece a que el legislador consideró necesario imponerla para </w:t>
      </w:r>
      <w:r w:rsidR="00FE7320" w:rsidRPr="00F32C60">
        <w:rPr>
          <w:rFonts w:ascii="Verdana" w:hAnsi="Verdana"/>
          <w:sz w:val="21"/>
        </w:rPr>
        <w:lastRenderedPageBreak/>
        <w:t>ciertos contratos que por su naturaleza y gran impacto, requieren de controles más estrictos, todo con el propósito de darle prevalencia al bien común propiciando que la actividad administrativa que subyace en la contratación estatal se desarrolle con imparcialidad y transparencia y sin la</w:t>
      </w:r>
      <w:r w:rsidR="008A4C88" w:rsidRPr="00F32C60">
        <w:rPr>
          <w:rFonts w:ascii="Verdana" w:hAnsi="Verdana"/>
          <w:sz w:val="21"/>
        </w:rPr>
        <w:t xml:space="preserve"> interferencia que podría derivarse de la participación de los particulares por su múltiple vinculación contractual en relación con un específico ente estatal a través de los instrumentos jurídicos que la norma escogió como referentes para establecer la</w:t>
      </w:r>
      <w:r w:rsidR="008A4C88" w:rsidRPr="00F32C60">
        <w:rPr>
          <w:rFonts w:ascii="Verdana" w:hAnsi="Verdana"/>
          <w:spacing w:val="-3"/>
          <w:sz w:val="21"/>
        </w:rPr>
        <w:t xml:space="preserve"> </w:t>
      </w:r>
      <w:r w:rsidR="008A4C88" w:rsidRPr="00F32C60">
        <w:rPr>
          <w:rFonts w:ascii="Verdana" w:hAnsi="Verdana"/>
          <w:sz w:val="21"/>
        </w:rPr>
        <w:t>prohibición.</w:t>
      </w:r>
    </w:p>
    <w:p w14:paraId="16166BC4" w14:textId="060EB6BE" w:rsidR="008A4C88" w:rsidRPr="00F32C60" w:rsidRDefault="008A4C88" w:rsidP="00E50BB0">
      <w:pPr>
        <w:spacing w:line="240" w:lineRule="auto"/>
        <w:ind w:left="1008" w:right="733"/>
        <w:jc w:val="both"/>
        <w:rPr>
          <w:rFonts w:ascii="Verdana" w:hAnsi="Verdana"/>
          <w:sz w:val="21"/>
        </w:rPr>
      </w:pPr>
      <w:r w:rsidRPr="00F32C60">
        <w:rPr>
          <w:rFonts w:ascii="Verdana" w:hAnsi="Verdana"/>
          <w:sz w:val="21"/>
        </w:rPr>
        <w:t>De esta forma encuentra la Corte igualmente oportuno acoger algunas de las consideraciones esbozadas por el Departamento Nacional de Planeación en cuanto señala que la limitación en una contratación determinada, como lo es la del contrato de interventoría, con una entidad específica, no implica la vulneración de los derechos de los interesados en adelantar las labores propias de la actividad respectiva (supervisión, coordinación y control realizado por una persona natural o jurídica, a los diferentes aspectos y etapas en que se desarrolla un contrato estatal) pues no se les estaría impidiendo que, respecto de otras entidades, puedan vincularse y ejercer el trabajo, la profesión u oficio a cuya supuesta restricción se oponen. Perspectiva bajo la cual la Corte encuentra válido que el legislador haya pretendido prevenir que una persona sea el interventor de contratos que hayan sido suscritos por ella o por familiares a objeto de concretar un fin constitucionalmente legítimo, cual es el de garantizar que la contratación estatal se realice con apego a los principios de eficiencia, eficacia, imparcialidad, transparencia y</w:t>
      </w:r>
      <w:r w:rsidRPr="00F32C60">
        <w:rPr>
          <w:rFonts w:ascii="Verdana" w:hAnsi="Verdana"/>
          <w:spacing w:val="-6"/>
          <w:sz w:val="21"/>
        </w:rPr>
        <w:t xml:space="preserve"> </w:t>
      </w:r>
      <w:r w:rsidRPr="00F32C60">
        <w:rPr>
          <w:rFonts w:ascii="Verdana" w:hAnsi="Verdana"/>
          <w:sz w:val="21"/>
        </w:rPr>
        <w:t>objetividad</w:t>
      </w:r>
      <w:r w:rsidR="000962B8">
        <w:rPr>
          <w:rFonts w:ascii="Verdana" w:hAnsi="Verdana"/>
          <w:sz w:val="21"/>
        </w:rPr>
        <w:t>”</w:t>
      </w:r>
      <w:r w:rsidRPr="00F32C60">
        <w:rPr>
          <w:rFonts w:ascii="Verdana" w:hAnsi="Verdana"/>
          <w:sz w:val="21"/>
        </w:rPr>
        <w:t>.</w:t>
      </w:r>
    </w:p>
    <w:p w14:paraId="44367211" w14:textId="77777777" w:rsidR="00581B54" w:rsidRPr="00F32C60" w:rsidRDefault="00581B54" w:rsidP="00086724">
      <w:pPr>
        <w:pStyle w:val="Textoindependiente"/>
        <w:spacing w:line="276" w:lineRule="auto"/>
        <w:ind w:left="301" w:right="312" w:firstLine="709"/>
        <w:jc w:val="both"/>
        <w:rPr>
          <w:rFonts w:ascii="Verdana" w:hAnsi="Verdana"/>
        </w:rPr>
      </w:pPr>
      <w:r w:rsidRPr="00F32C60">
        <w:rPr>
          <w:rFonts w:ascii="Verdana" w:hAnsi="Verdana"/>
        </w:rPr>
        <w:t>En este orden de ideas, la inhabilidad del artículo 5 de la Ley 1474 de 2011 se origina por el hecho de que el interesado en participar en un proceso que tiene por objeto celebrar un contrato de interventoría se encuentra ejecutando con la misma entidad contratos de obra, de concesión o de suministro de medicamentos y alimentos, o que habiéndose ejecutado no se han liquidado. Es decir, por haber suscrito uno estos contratos con anterioridad a la interventoría este contratista no puede suscribir contratos de interventoría con la misma entidad, sin que sea necesaria la existencia de relación entre la interventoría y los demás contratos previstos en esta</w:t>
      </w:r>
      <w:r w:rsidRPr="00F32C60">
        <w:rPr>
          <w:rFonts w:ascii="Verdana" w:hAnsi="Verdana"/>
          <w:spacing w:val="-5"/>
        </w:rPr>
        <w:t xml:space="preserve"> </w:t>
      </w:r>
      <w:r w:rsidRPr="00F32C60">
        <w:rPr>
          <w:rFonts w:ascii="Verdana" w:hAnsi="Verdana"/>
        </w:rPr>
        <w:t>norma.</w:t>
      </w:r>
    </w:p>
    <w:p w14:paraId="77C2DED9" w14:textId="77777777" w:rsidR="00581B54" w:rsidRPr="00F32C60" w:rsidRDefault="00581B54" w:rsidP="00581B54">
      <w:pPr>
        <w:pStyle w:val="Textoindependiente"/>
        <w:spacing w:before="6"/>
        <w:rPr>
          <w:rFonts w:ascii="Verdana" w:hAnsi="Verdana"/>
          <w:sz w:val="25"/>
        </w:rPr>
      </w:pPr>
    </w:p>
    <w:p w14:paraId="09EC2186" w14:textId="77777777" w:rsidR="00581B54" w:rsidRPr="00F32C60" w:rsidRDefault="00581B54" w:rsidP="00581B54">
      <w:pPr>
        <w:pStyle w:val="Textoindependiente"/>
        <w:spacing w:line="276" w:lineRule="auto"/>
        <w:ind w:left="300" w:right="306"/>
        <w:jc w:val="both"/>
        <w:rPr>
          <w:rFonts w:ascii="Verdana" w:hAnsi="Verdana"/>
        </w:rPr>
      </w:pPr>
      <w:r w:rsidRPr="00F32C60">
        <w:rPr>
          <w:rFonts w:ascii="Verdana" w:hAnsi="Verdana"/>
        </w:rPr>
        <w:t xml:space="preserve">Por otro lado, esta prohibición no puede extenderse a otros contratos que no están previstos en el artículo 5 de la Ley 1474 de 2011, ni a los contratos de obra, de concesión, de suministro de medicamentos y de alimentos que </w:t>
      </w:r>
      <w:r w:rsidRPr="00F32C60">
        <w:rPr>
          <w:rFonts w:ascii="Verdana" w:hAnsi="Verdana"/>
        </w:rPr>
        <w:lastRenderedPageBreak/>
        <w:t>ya se encuentran terminados, toda vez que, como se mencionó, las inhabilidades e incompatibilidades son de aplicación restrictiva.</w:t>
      </w:r>
    </w:p>
    <w:p w14:paraId="75E32726" w14:textId="77777777" w:rsidR="008A4C88" w:rsidRPr="00F32C60" w:rsidRDefault="008A4C88" w:rsidP="00A36F00">
      <w:pPr>
        <w:pStyle w:val="Textoindependiente"/>
        <w:spacing w:before="4"/>
        <w:rPr>
          <w:rFonts w:ascii="Verdana" w:hAnsi="Verdana"/>
          <w:sz w:val="25"/>
        </w:rPr>
      </w:pPr>
    </w:p>
    <w:p w14:paraId="0F6492B1" w14:textId="77777777" w:rsidR="00AF4EF0" w:rsidRPr="00F32C60" w:rsidRDefault="00AF4EF0" w:rsidP="00AF4EF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32C60">
        <w:rPr>
          <w:rFonts w:ascii="Verdana" w:eastAsia="Century Gothic" w:hAnsi="Verdana" w:cs="Century Gothic"/>
          <w:b/>
          <w:bCs/>
          <w:color w:val="000000" w:themeColor="text1"/>
        </w:rPr>
        <w:t>Referencias normativas, jurisprudenciales y otras fuentes:</w:t>
      </w:r>
    </w:p>
    <w:p w14:paraId="205C46C7" w14:textId="77777777" w:rsidR="00AF4EF0" w:rsidRPr="00F32C60" w:rsidRDefault="00AF4EF0" w:rsidP="00AF4EF0">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D01BC" w:rsidRPr="00F32C60" w14:paraId="79F6F44B" w14:textId="77777777" w:rsidTr="00891EDB">
        <w:trPr>
          <w:trHeight w:val="870"/>
        </w:trPr>
        <w:tc>
          <w:tcPr>
            <w:tcW w:w="8647" w:type="dxa"/>
          </w:tcPr>
          <w:p w14:paraId="7FCA9A62" w14:textId="6BAE4A2A" w:rsidR="00BF4ACC" w:rsidRPr="00C1201A" w:rsidRDefault="00BF4ACC" w:rsidP="00BF4ACC">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Pr>
                <w:rFonts w:ascii="Verdana" w:hAnsi="Verdana"/>
                <w:lang w:val="es-ES_tradnl"/>
              </w:rPr>
              <w:t>Código Civil: artículo</w:t>
            </w:r>
            <w:r w:rsidR="00C1201A">
              <w:rPr>
                <w:rFonts w:ascii="Verdana" w:hAnsi="Verdana"/>
                <w:lang w:val="es-ES_tradnl"/>
              </w:rPr>
              <w:t>s 27 y</w:t>
            </w:r>
            <w:r>
              <w:rPr>
                <w:rFonts w:ascii="Verdana" w:hAnsi="Verdana"/>
                <w:lang w:val="es-ES_tradnl"/>
              </w:rPr>
              <w:t xml:space="preserve"> 1502</w:t>
            </w:r>
            <w:r w:rsidR="00C1201A">
              <w:rPr>
                <w:rFonts w:ascii="Verdana" w:hAnsi="Verdana"/>
                <w:lang w:val="es-ES_tradnl"/>
              </w:rPr>
              <w:t>.</w:t>
            </w:r>
          </w:p>
          <w:p w14:paraId="0C870C2A" w14:textId="77777777" w:rsidR="00C1201A" w:rsidRPr="00BF4ACC" w:rsidRDefault="00C1201A" w:rsidP="00C1201A">
            <w:pPr>
              <w:pStyle w:val="Prrafodelista"/>
              <w:spacing w:line="276" w:lineRule="auto"/>
              <w:ind w:left="360"/>
              <w:contextualSpacing w:val="0"/>
              <w:jc w:val="both"/>
              <w:rPr>
                <w:rFonts w:ascii="Verdana" w:hAnsi="Verdana" w:cs="Arial"/>
                <w:noProof/>
                <w:color w:val="000000" w:themeColor="text1"/>
                <w:lang w:val="es-ES_tradnl"/>
              </w:rPr>
            </w:pPr>
          </w:p>
          <w:p w14:paraId="745DE8E4" w14:textId="7876A758" w:rsidR="00BE148F" w:rsidRPr="00C1201A" w:rsidRDefault="00BD4429" w:rsidP="00BA35BF">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F32C60">
              <w:rPr>
                <w:rFonts w:ascii="Verdana" w:hAnsi="Verdana" w:cs="Arial"/>
                <w:noProof/>
                <w:color w:val="000000" w:themeColor="text1"/>
                <w:lang w:val="es-ES_tradnl"/>
              </w:rPr>
              <w:t>Ley 80 de 1993</w:t>
            </w:r>
            <w:r w:rsidR="00E349FC" w:rsidRPr="00F32C60">
              <w:rPr>
                <w:rFonts w:ascii="Verdana" w:hAnsi="Verdana" w:cs="Arial"/>
                <w:noProof/>
                <w:color w:val="000000" w:themeColor="text1"/>
                <w:lang w:val="es-ES_tradnl"/>
              </w:rPr>
              <w:t>: artículos</w:t>
            </w:r>
            <w:r w:rsidR="00BF4ACC">
              <w:rPr>
                <w:rFonts w:ascii="Verdana" w:hAnsi="Verdana" w:cs="Arial"/>
                <w:noProof/>
                <w:color w:val="000000" w:themeColor="text1"/>
                <w:lang w:val="es-ES_tradnl"/>
              </w:rPr>
              <w:t xml:space="preserve"> 2,</w:t>
            </w:r>
            <w:r w:rsidR="00EB68F9" w:rsidRPr="00F32C60">
              <w:rPr>
                <w:rFonts w:ascii="Verdana" w:hAnsi="Verdana" w:cs="Arial"/>
                <w:noProof/>
                <w:color w:val="000000" w:themeColor="text1"/>
                <w:lang w:val="es-ES_tradnl"/>
              </w:rPr>
              <w:t xml:space="preserve"> </w:t>
            </w:r>
            <w:r w:rsidR="00E60A0F">
              <w:rPr>
                <w:rFonts w:ascii="Verdana" w:hAnsi="Verdana" w:cs="Arial"/>
                <w:noProof/>
                <w:color w:val="000000" w:themeColor="text1"/>
                <w:lang w:val="es-ES_tradnl"/>
              </w:rPr>
              <w:t>6</w:t>
            </w:r>
            <w:r w:rsidR="00BC3623">
              <w:rPr>
                <w:rFonts w:ascii="Verdana" w:hAnsi="Verdana"/>
                <w:lang w:val="es-ES_tradnl"/>
              </w:rPr>
              <w:t>, 8</w:t>
            </w:r>
            <w:r w:rsidR="00C1201A">
              <w:rPr>
                <w:rFonts w:ascii="Verdana" w:hAnsi="Verdana"/>
                <w:lang w:val="es-ES_tradnl"/>
              </w:rPr>
              <w:t xml:space="preserve"> y 41.</w:t>
            </w:r>
          </w:p>
          <w:p w14:paraId="4B49F5DC" w14:textId="77777777" w:rsidR="00C1201A" w:rsidRPr="00C1201A" w:rsidRDefault="00C1201A" w:rsidP="00C1201A">
            <w:pPr>
              <w:spacing w:line="276" w:lineRule="auto"/>
              <w:jc w:val="both"/>
              <w:rPr>
                <w:rFonts w:ascii="Verdana" w:hAnsi="Verdana" w:cs="Arial"/>
                <w:noProof/>
                <w:color w:val="000000" w:themeColor="text1"/>
                <w:lang w:val="es-ES_tradnl"/>
              </w:rPr>
            </w:pPr>
          </w:p>
          <w:p w14:paraId="16BF1E25" w14:textId="113BB4CE" w:rsidR="00BF4ACC" w:rsidRPr="00C1201A" w:rsidRDefault="00BF4ACC" w:rsidP="00BA35BF">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Pr>
                <w:rFonts w:ascii="Verdana" w:hAnsi="Verdana"/>
                <w:lang w:val="es-ES_tradnl"/>
              </w:rPr>
              <w:t>Ley 1150 de 2007: artículo 2</w:t>
            </w:r>
            <w:r w:rsidR="00C1201A">
              <w:rPr>
                <w:rFonts w:ascii="Verdana" w:hAnsi="Verdana"/>
                <w:lang w:val="es-ES_tradnl"/>
              </w:rPr>
              <w:t>, numeral 4, literal c).</w:t>
            </w:r>
          </w:p>
          <w:p w14:paraId="64AB4506" w14:textId="77777777" w:rsidR="00C1201A" w:rsidRPr="00C1201A" w:rsidRDefault="00C1201A" w:rsidP="00C1201A">
            <w:pPr>
              <w:spacing w:line="276" w:lineRule="auto"/>
              <w:jc w:val="both"/>
              <w:rPr>
                <w:rFonts w:ascii="Verdana" w:hAnsi="Verdana" w:cs="Arial"/>
                <w:noProof/>
                <w:color w:val="000000" w:themeColor="text1"/>
                <w:lang w:val="es-ES_tradnl"/>
              </w:rPr>
            </w:pPr>
          </w:p>
          <w:p w14:paraId="441097FB" w14:textId="77777777" w:rsidR="00BF4ACC" w:rsidRDefault="00BF4ACC" w:rsidP="00BF4ACC">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Pr>
                <w:rFonts w:ascii="Verdana" w:hAnsi="Verdana" w:cs="Arial"/>
                <w:noProof/>
                <w:color w:val="000000" w:themeColor="text1"/>
                <w:lang w:val="es-ES_tradnl"/>
              </w:rPr>
              <w:t>Ley 1474 de 2011: artículos 5 y 90.</w:t>
            </w:r>
          </w:p>
          <w:p w14:paraId="72CDC553" w14:textId="77777777" w:rsidR="00C1201A" w:rsidRPr="00C1201A" w:rsidRDefault="00C1201A" w:rsidP="00C1201A">
            <w:pPr>
              <w:spacing w:line="276" w:lineRule="auto"/>
              <w:jc w:val="both"/>
              <w:rPr>
                <w:rFonts w:ascii="Verdana" w:hAnsi="Verdana" w:cs="Arial"/>
                <w:noProof/>
                <w:color w:val="000000" w:themeColor="text1"/>
                <w:lang w:val="es-ES_tradnl"/>
              </w:rPr>
            </w:pPr>
          </w:p>
          <w:p w14:paraId="4C4EAC61" w14:textId="37148542" w:rsidR="00BF4ACC" w:rsidRDefault="00BF4ACC" w:rsidP="00BF4ACC">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Pr>
                <w:rFonts w:ascii="Verdana" w:hAnsi="Verdana" w:cs="Arial"/>
                <w:noProof/>
                <w:color w:val="000000" w:themeColor="text1"/>
                <w:lang w:val="es-ES_tradnl"/>
              </w:rPr>
              <w:t xml:space="preserve">Decreto 1082 de 2015: artículo </w:t>
            </w:r>
            <w:r w:rsidRPr="00BF4ACC">
              <w:rPr>
                <w:rFonts w:ascii="Verdana" w:hAnsi="Verdana" w:cs="Arial"/>
                <w:noProof/>
                <w:color w:val="000000" w:themeColor="text1"/>
                <w:lang w:val="es-ES_tradnl"/>
              </w:rPr>
              <w:t>2.2.1.2.1.4.4.</w:t>
            </w:r>
          </w:p>
          <w:p w14:paraId="41050955" w14:textId="77777777" w:rsidR="00C1201A" w:rsidRPr="00C1201A" w:rsidRDefault="00C1201A" w:rsidP="00C1201A">
            <w:pPr>
              <w:spacing w:line="276" w:lineRule="auto"/>
              <w:jc w:val="both"/>
              <w:rPr>
                <w:rFonts w:ascii="Verdana" w:hAnsi="Verdana" w:cs="Arial"/>
                <w:noProof/>
                <w:color w:val="000000" w:themeColor="text1"/>
                <w:lang w:val="es-ES_tradnl"/>
              </w:rPr>
            </w:pPr>
          </w:p>
          <w:p w14:paraId="06501134" w14:textId="7FDCBF4A" w:rsidR="00C1201A" w:rsidRDefault="00C1201A" w:rsidP="00C1201A">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C1201A">
              <w:rPr>
                <w:rFonts w:ascii="Verdana" w:hAnsi="Verdana" w:cs="Arial"/>
                <w:noProof/>
                <w:color w:val="000000" w:themeColor="text1"/>
                <w:lang w:val="es-ES_tradnl"/>
              </w:rPr>
              <w:t>Consejo de Estado, Sala de Consulta y Servicio Civil, Concepto de 7 febrero de 1997, Rad. 934, C. P. Javier Henao Hidrón.</w:t>
            </w:r>
          </w:p>
          <w:p w14:paraId="6D5E1436" w14:textId="77777777" w:rsidR="00C1201A" w:rsidRPr="00C1201A" w:rsidRDefault="00C1201A" w:rsidP="00C1201A">
            <w:pPr>
              <w:spacing w:line="276" w:lineRule="auto"/>
              <w:jc w:val="both"/>
              <w:rPr>
                <w:rFonts w:ascii="Verdana" w:hAnsi="Verdana" w:cs="Arial"/>
                <w:noProof/>
                <w:color w:val="000000" w:themeColor="text1"/>
                <w:lang w:val="es-ES_tradnl"/>
              </w:rPr>
            </w:pPr>
          </w:p>
          <w:p w14:paraId="60139793" w14:textId="44B19958" w:rsidR="00C1201A" w:rsidRDefault="00C1201A" w:rsidP="00BF4ACC">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C1201A">
              <w:rPr>
                <w:rFonts w:ascii="Verdana" w:hAnsi="Verdana" w:cs="Arial"/>
                <w:noProof/>
                <w:color w:val="000000" w:themeColor="text1"/>
                <w:lang w:val="es-ES_tradnl"/>
              </w:rPr>
              <w:t>Consejo de Estado. Sección Tercera. Sentencia del 06 de junio de 2007. Radicación No. 25000-23-26-000-1996-02482-01(17.253). Consejera Ponente: Ruth Stella Correa Palacio.</w:t>
            </w:r>
          </w:p>
          <w:p w14:paraId="4E61C6C5" w14:textId="77777777" w:rsidR="00C1201A" w:rsidRPr="00C1201A" w:rsidRDefault="00C1201A" w:rsidP="00C1201A">
            <w:pPr>
              <w:spacing w:line="276" w:lineRule="auto"/>
              <w:jc w:val="both"/>
              <w:rPr>
                <w:rFonts w:ascii="Verdana" w:hAnsi="Verdana" w:cs="Arial"/>
                <w:noProof/>
                <w:color w:val="000000" w:themeColor="text1"/>
                <w:lang w:val="es-ES_tradnl"/>
              </w:rPr>
            </w:pPr>
          </w:p>
          <w:p w14:paraId="5F70FF1B" w14:textId="3C78009A" w:rsidR="00C1201A" w:rsidRDefault="00C1201A" w:rsidP="00BF4ACC">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C1201A">
              <w:rPr>
                <w:rFonts w:ascii="Verdana" w:hAnsi="Verdana" w:cs="Arial"/>
                <w:noProof/>
                <w:color w:val="000000" w:themeColor="text1"/>
                <w:lang w:val="es-ES_tradnl"/>
              </w:rPr>
              <w:t>Consejo de Estado. Sección Tercera. Sentencia del 23 de junio de 2010. Radicación No. 66001-23-31-000-1998-00261-01(17.860). Consejero Ponente: Mauricio Fajardo Gómez.</w:t>
            </w:r>
          </w:p>
          <w:p w14:paraId="3FF86F27" w14:textId="77777777" w:rsidR="00C1201A" w:rsidRPr="00C1201A" w:rsidRDefault="00C1201A" w:rsidP="00C1201A">
            <w:pPr>
              <w:spacing w:line="276" w:lineRule="auto"/>
              <w:jc w:val="both"/>
              <w:rPr>
                <w:rFonts w:ascii="Verdana" w:hAnsi="Verdana" w:cs="Arial"/>
                <w:noProof/>
                <w:color w:val="000000" w:themeColor="text1"/>
                <w:lang w:val="es-ES_tradnl"/>
              </w:rPr>
            </w:pPr>
          </w:p>
          <w:p w14:paraId="1AD16A21" w14:textId="54EA8581" w:rsidR="00BF4ACC" w:rsidRDefault="00BF4ACC" w:rsidP="00BF4ACC">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BF4ACC">
              <w:rPr>
                <w:rFonts w:ascii="Verdana" w:hAnsi="Verdana" w:cs="Arial"/>
                <w:noProof/>
                <w:color w:val="000000" w:themeColor="text1"/>
                <w:lang w:val="es-ES_tradnl"/>
              </w:rPr>
              <w:t>Consejo de Estado. Sección Tercera. Subsección C. Sentencia del 22 de mayo de 2013. Exp. 24.057. Consejera Ponente: Olga Melida Valle De De La Hoz.</w:t>
            </w:r>
          </w:p>
          <w:p w14:paraId="47F30CFA" w14:textId="77777777" w:rsidR="00C1201A" w:rsidRPr="00C1201A" w:rsidRDefault="00C1201A" w:rsidP="00C1201A">
            <w:pPr>
              <w:spacing w:line="276" w:lineRule="auto"/>
              <w:jc w:val="both"/>
              <w:rPr>
                <w:rFonts w:ascii="Verdana" w:hAnsi="Verdana" w:cs="Arial"/>
                <w:noProof/>
                <w:color w:val="000000" w:themeColor="text1"/>
                <w:lang w:val="es-ES_tradnl"/>
              </w:rPr>
            </w:pPr>
          </w:p>
          <w:p w14:paraId="7BC2E2B7" w14:textId="37CC3A79" w:rsidR="00BF4ACC" w:rsidRDefault="00BF4ACC" w:rsidP="00BF4ACC">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BF4ACC">
              <w:rPr>
                <w:rFonts w:ascii="Verdana" w:hAnsi="Verdana" w:cs="Arial"/>
                <w:noProof/>
                <w:color w:val="000000" w:themeColor="text1"/>
                <w:lang w:val="es-ES_tradnl"/>
              </w:rPr>
              <w:t>Consejo de Estado. Sala de Consulta y Servicio Civil. Concepto del 30 de abril de 2015. Expediente: 2251. Consejero Ponente: Álvaro Namén Vargas.</w:t>
            </w:r>
          </w:p>
          <w:p w14:paraId="3912A225" w14:textId="77777777" w:rsidR="00C1201A" w:rsidRPr="00C1201A" w:rsidRDefault="00C1201A" w:rsidP="00C1201A">
            <w:pPr>
              <w:spacing w:line="276" w:lineRule="auto"/>
              <w:jc w:val="both"/>
              <w:rPr>
                <w:rFonts w:ascii="Verdana" w:hAnsi="Verdana" w:cs="Arial"/>
                <w:noProof/>
                <w:color w:val="000000" w:themeColor="text1"/>
                <w:lang w:val="es-ES_tradnl"/>
              </w:rPr>
            </w:pPr>
          </w:p>
          <w:p w14:paraId="057A5807" w14:textId="2EFE80BA" w:rsidR="00BF4ACC" w:rsidRDefault="00BF4ACC" w:rsidP="00BF4ACC">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BF4ACC">
              <w:rPr>
                <w:rFonts w:ascii="Verdana" w:hAnsi="Verdana" w:cs="Arial"/>
                <w:noProof/>
                <w:color w:val="000000" w:themeColor="text1"/>
                <w:lang w:val="es-ES_tradnl"/>
              </w:rPr>
              <w:t>Consejo de Estado. Sección Tercera. Subsección A. Sentencia del 24 de junio de 2015. Exp. 40.635. Consejero Ponente: Hernán Andrade Rincón (E).</w:t>
            </w:r>
          </w:p>
          <w:p w14:paraId="4E6FC7B2" w14:textId="77777777" w:rsidR="00C1201A" w:rsidRPr="00C1201A" w:rsidRDefault="00C1201A" w:rsidP="00C1201A">
            <w:pPr>
              <w:spacing w:line="276" w:lineRule="auto"/>
              <w:jc w:val="both"/>
              <w:rPr>
                <w:rFonts w:ascii="Verdana" w:hAnsi="Verdana" w:cs="Arial"/>
                <w:noProof/>
                <w:color w:val="000000" w:themeColor="text1"/>
                <w:lang w:val="es-ES_tradnl"/>
              </w:rPr>
            </w:pPr>
          </w:p>
          <w:p w14:paraId="120AA9F1" w14:textId="680F7F0A" w:rsidR="00BF4ACC" w:rsidRDefault="00BF4ACC" w:rsidP="00BF4ACC">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BF4ACC">
              <w:rPr>
                <w:rFonts w:ascii="Verdana" w:hAnsi="Verdana" w:cs="Arial"/>
                <w:noProof/>
                <w:color w:val="000000" w:themeColor="text1"/>
                <w:lang w:val="es-ES_tradnl"/>
              </w:rPr>
              <w:t>Corte Constitucional. Sentencia T-1039 de 2006. Magistrado Ponente: Humberto Sierra Porto.</w:t>
            </w:r>
          </w:p>
          <w:p w14:paraId="6D8EDD0D" w14:textId="77777777" w:rsidR="00C1201A" w:rsidRPr="00C1201A" w:rsidRDefault="00C1201A" w:rsidP="00C1201A">
            <w:pPr>
              <w:spacing w:line="276" w:lineRule="auto"/>
              <w:jc w:val="both"/>
              <w:rPr>
                <w:rFonts w:ascii="Verdana" w:hAnsi="Verdana" w:cs="Arial"/>
                <w:noProof/>
                <w:color w:val="000000" w:themeColor="text1"/>
                <w:lang w:val="es-ES_tradnl"/>
              </w:rPr>
            </w:pPr>
          </w:p>
          <w:p w14:paraId="0A458579" w14:textId="1D4B2245" w:rsidR="00BF4ACC" w:rsidRDefault="00BF4ACC" w:rsidP="00BF4ACC">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BF4ACC">
              <w:rPr>
                <w:rFonts w:ascii="Verdana" w:hAnsi="Verdana" w:cs="Arial"/>
                <w:noProof/>
                <w:color w:val="000000" w:themeColor="text1"/>
                <w:lang w:val="es-ES_tradnl"/>
              </w:rPr>
              <w:t>BARRETO ROZO, Antonio Alejandro. Inhabilidades de la contratación estatal, efectos y neopunitivismo en el Estatuto Anticorrupción. En: ALVIAR GARCÍA, Helena (Coordinadora). Nuevas tendencias del Derecho administrativo. Bogotá: Universidad de los Andes; Temis, 2016.</w:t>
            </w:r>
          </w:p>
          <w:p w14:paraId="258EA144" w14:textId="77777777" w:rsidR="00C1201A" w:rsidRPr="00C1201A" w:rsidRDefault="00C1201A" w:rsidP="00C1201A">
            <w:pPr>
              <w:spacing w:line="276" w:lineRule="auto"/>
              <w:jc w:val="both"/>
              <w:rPr>
                <w:rFonts w:ascii="Verdana" w:hAnsi="Verdana" w:cs="Arial"/>
                <w:noProof/>
                <w:color w:val="000000" w:themeColor="text1"/>
                <w:lang w:val="es-ES_tradnl"/>
              </w:rPr>
            </w:pPr>
          </w:p>
          <w:p w14:paraId="6EEF72DB" w14:textId="50C4001F" w:rsidR="00E60A0F" w:rsidRPr="00C1201A" w:rsidRDefault="00E60A0F" w:rsidP="00BF4ACC">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BF4ACC">
              <w:rPr>
                <w:rFonts w:ascii="Verdana" w:hAnsi="Verdana" w:cs="Arial"/>
                <w:color w:val="000000" w:themeColor="text1"/>
              </w:rPr>
              <w:t>BENAVIDES, José Luis. El contrato estatal. Entre el Derecho público y el Derecho privado. 2ª ed. Bogotá: Universidad Externado de Colombia, 2004.</w:t>
            </w:r>
          </w:p>
          <w:p w14:paraId="34B7D2CC" w14:textId="77777777" w:rsidR="00C1201A" w:rsidRPr="00C1201A" w:rsidRDefault="00C1201A" w:rsidP="00C1201A">
            <w:pPr>
              <w:spacing w:line="276" w:lineRule="auto"/>
              <w:jc w:val="both"/>
              <w:rPr>
                <w:rFonts w:ascii="Verdana" w:hAnsi="Verdana" w:cs="Arial"/>
                <w:noProof/>
                <w:color w:val="000000" w:themeColor="text1"/>
                <w:lang w:val="es-ES_tradnl"/>
              </w:rPr>
            </w:pPr>
          </w:p>
          <w:p w14:paraId="63DE610E" w14:textId="55507B8E" w:rsidR="00C1201A" w:rsidRDefault="00C1201A" w:rsidP="00BF4ACC">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C1201A">
              <w:rPr>
                <w:rFonts w:ascii="Verdana" w:hAnsi="Verdana" w:cs="Arial"/>
                <w:noProof/>
                <w:color w:val="000000" w:themeColor="text1"/>
                <w:lang w:val="es-ES_tradnl"/>
              </w:rPr>
              <w:t>DÁVILA, Luis Guillermo. Régimen jurídico de la contratación estatal. 3ª ed., Legis: Bogotá, 2016. p. 187.</w:t>
            </w:r>
          </w:p>
          <w:p w14:paraId="5B0B0237" w14:textId="77777777" w:rsidR="00C1201A" w:rsidRPr="00C1201A" w:rsidRDefault="00C1201A" w:rsidP="00C1201A">
            <w:pPr>
              <w:spacing w:line="276" w:lineRule="auto"/>
              <w:jc w:val="both"/>
              <w:rPr>
                <w:rFonts w:ascii="Verdana" w:hAnsi="Verdana" w:cs="Arial"/>
                <w:noProof/>
                <w:color w:val="000000" w:themeColor="text1"/>
                <w:lang w:val="es-ES_tradnl"/>
              </w:rPr>
            </w:pPr>
          </w:p>
          <w:p w14:paraId="3539802C" w14:textId="22CC78CC" w:rsidR="00E60A0F" w:rsidRPr="00C1201A" w:rsidRDefault="00C1201A" w:rsidP="00C1201A">
            <w:pPr>
              <w:pStyle w:val="Prrafodelista"/>
              <w:numPr>
                <w:ilvl w:val="0"/>
                <w:numId w:val="17"/>
              </w:numPr>
              <w:spacing w:line="276" w:lineRule="auto"/>
              <w:ind w:left="360"/>
              <w:contextualSpacing w:val="0"/>
              <w:jc w:val="both"/>
              <w:rPr>
                <w:rFonts w:ascii="Verdana" w:hAnsi="Verdana" w:cs="Arial"/>
                <w:noProof/>
                <w:color w:val="000000" w:themeColor="text1"/>
                <w:lang w:val="es-ES_tradnl"/>
              </w:rPr>
            </w:pPr>
            <w:r w:rsidRPr="00C1201A">
              <w:rPr>
                <w:rFonts w:ascii="Verdana" w:hAnsi="Verdana" w:cs="Arial"/>
                <w:noProof/>
                <w:color w:val="000000" w:themeColor="text1"/>
                <w:lang w:val="es-ES_tradnl"/>
              </w:rPr>
              <w:t>MARÍN CORTÉS, Fabián. El precio. Medellín: Librería Jurídica Sánchez, Centro de Estudios de Derecho Administrativo –CEDA–, 2012</w:t>
            </w:r>
            <w:r>
              <w:rPr>
                <w:rFonts w:ascii="Verdana" w:hAnsi="Verdana" w:cs="Arial"/>
                <w:noProof/>
                <w:color w:val="000000" w:themeColor="text1"/>
                <w:lang w:val="es-ES_tradnl"/>
              </w:rPr>
              <w:t>.</w:t>
            </w:r>
          </w:p>
        </w:tc>
      </w:tr>
    </w:tbl>
    <w:p w14:paraId="1206D90F" w14:textId="77777777" w:rsidR="00AF4EF0" w:rsidRPr="00F32C60" w:rsidRDefault="00AF4EF0" w:rsidP="00AF4EF0">
      <w:pPr>
        <w:widowControl w:val="0"/>
        <w:autoSpaceDE w:val="0"/>
        <w:autoSpaceDN w:val="0"/>
        <w:spacing w:after="0" w:line="276" w:lineRule="auto"/>
        <w:jc w:val="both"/>
        <w:rPr>
          <w:rFonts w:ascii="Verdana" w:hAnsi="Verdana" w:cs="Arial"/>
          <w:color w:val="000000" w:themeColor="text1"/>
        </w:rPr>
      </w:pPr>
    </w:p>
    <w:p w14:paraId="2BC1D903" w14:textId="77777777" w:rsidR="00AF4EF0" w:rsidRPr="00F32C60" w:rsidRDefault="00AF4EF0" w:rsidP="00AF4EF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32C60">
        <w:rPr>
          <w:rFonts w:ascii="Verdana" w:eastAsia="Century Gothic" w:hAnsi="Verdana" w:cs="Century Gothic"/>
          <w:b/>
          <w:bCs/>
          <w:color w:val="000000" w:themeColor="text1"/>
        </w:rPr>
        <w:t>Doctrina de la Agencia Nacional de Contratación Pública:</w:t>
      </w:r>
    </w:p>
    <w:p w14:paraId="46AF0348" w14:textId="77777777" w:rsidR="00AF4EF0" w:rsidRPr="00F32C60" w:rsidRDefault="00AF4EF0" w:rsidP="00AF4EF0">
      <w:pPr>
        <w:widowControl w:val="0"/>
        <w:autoSpaceDE w:val="0"/>
        <w:autoSpaceDN w:val="0"/>
        <w:spacing w:after="0" w:line="276" w:lineRule="auto"/>
        <w:jc w:val="both"/>
        <w:rPr>
          <w:rFonts w:ascii="Verdana" w:hAnsi="Verdana" w:cs="Arial"/>
          <w:color w:val="000000" w:themeColor="text1"/>
        </w:rPr>
      </w:pPr>
    </w:p>
    <w:p w14:paraId="41F9E29C" w14:textId="421C4D97" w:rsidR="00D967BD" w:rsidRPr="00F32C60" w:rsidRDefault="00905F15" w:rsidP="00D967BD">
      <w:pPr>
        <w:widowControl w:val="0"/>
        <w:autoSpaceDE w:val="0"/>
        <w:autoSpaceDN w:val="0"/>
        <w:spacing w:after="0" w:line="276" w:lineRule="auto"/>
        <w:jc w:val="both"/>
        <w:rPr>
          <w:rFonts w:ascii="Verdana" w:hAnsi="Verdana" w:cs="Arial"/>
        </w:rPr>
      </w:pPr>
      <w:r w:rsidRPr="00F32C60">
        <w:rPr>
          <w:rFonts w:ascii="Verdana" w:hAnsi="Verdana" w:cs="Arial"/>
        </w:rPr>
        <w:t>E</w:t>
      </w:r>
      <w:r w:rsidR="00430F2D" w:rsidRPr="00F32C60">
        <w:rPr>
          <w:rFonts w:ascii="Verdana" w:hAnsi="Verdana" w:cs="Arial"/>
        </w:rPr>
        <w:t xml:space="preserve">sta Subdirección se ha pronunciado sobre </w:t>
      </w:r>
      <w:r w:rsidR="000971D9" w:rsidRPr="00F32C60">
        <w:rPr>
          <w:rFonts w:ascii="Verdana" w:hAnsi="Verdana" w:cs="Arial"/>
        </w:rPr>
        <w:t>la interpretación restrictiva del</w:t>
      </w:r>
      <w:r w:rsidR="00430F2D" w:rsidRPr="00F32C60">
        <w:rPr>
          <w:rFonts w:ascii="Verdana" w:hAnsi="Verdana" w:cs="Arial"/>
          <w:lang w:val="es-ES"/>
        </w:rPr>
        <w:t xml:space="preserve"> régimen de inhabilidades e incompatibilidades en la contratación estatal</w:t>
      </w:r>
      <w:r w:rsidR="00430F2D" w:rsidRPr="00F32C60">
        <w:rPr>
          <w:rFonts w:ascii="Verdana" w:hAnsi="Verdana" w:cs="Arial"/>
        </w:rPr>
        <w:t xml:space="preserve">, </w:t>
      </w:r>
      <w:r w:rsidRPr="00F32C60">
        <w:rPr>
          <w:rFonts w:ascii="Verdana" w:hAnsi="Verdana" w:cs="Arial"/>
        </w:rPr>
        <w:t xml:space="preserve">entre otros, </w:t>
      </w:r>
      <w:r w:rsidR="00430F2D" w:rsidRPr="00F32C60">
        <w:rPr>
          <w:rFonts w:ascii="Verdana" w:hAnsi="Verdana" w:cs="Arial"/>
        </w:rPr>
        <w:t xml:space="preserve">en los conceptos </w:t>
      </w:r>
      <w:r w:rsidR="00CD38C3">
        <w:rPr>
          <w:rFonts w:ascii="Verdana" w:hAnsi="Verdana" w:cs="Arial"/>
        </w:rPr>
        <w:t xml:space="preserve">con radicado </w:t>
      </w:r>
      <w:r w:rsidR="00430F2D" w:rsidRPr="00F32C60">
        <w:rPr>
          <w:rFonts w:ascii="Verdana" w:hAnsi="Verdana" w:cs="Arial"/>
        </w:rPr>
        <w:t>Nro.</w:t>
      </w:r>
      <w:r w:rsidR="004F3ACE" w:rsidRPr="00F32C60">
        <w:rPr>
          <w:rFonts w:ascii="Verdana" w:hAnsi="Verdana" w:cs="Arial"/>
        </w:rPr>
        <w:t xml:space="preserve"> </w:t>
      </w:r>
      <w:r w:rsidR="00D14689" w:rsidRPr="00F32C60">
        <w:rPr>
          <w:rFonts w:ascii="Verdana" w:hAnsi="Verdana" w:cs="Arial"/>
        </w:rPr>
        <w:t xml:space="preserve">C-090 de 24 de febrero de 2020, </w:t>
      </w:r>
      <w:r w:rsidR="004F3ACE" w:rsidRPr="00F32C60">
        <w:rPr>
          <w:rFonts w:ascii="Verdana" w:hAnsi="Verdana" w:cs="Arial"/>
        </w:rPr>
        <w:t>C-650 de 10 de noviembre de 2020,</w:t>
      </w:r>
      <w:r w:rsidR="00430F2D" w:rsidRPr="00F32C60">
        <w:rPr>
          <w:rFonts w:ascii="Verdana" w:hAnsi="Verdana" w:cs="Arial"/>
        </w:rPr>
        <w:t xml:space="preserve"> C-010 del 31 de enero del 2024, C-039 del 23 de abril del 2024, C-067 del 16 de mayo del 2024, C-136 del 06 de agosto del 2024, C-185 del 30 de julio del 2024, C-294 del 14 de agosto del 2024, C-408 del 21 de agosto del 2024, C-358 del 02 de septiembre del 2024, C-368 del 03 de septiembre del 2024, C-405 del 11 de septiembre del 2024, C-205 del 12 de septiembre del 2024, C-456 del 19 de septiembre del 2024,  C-470 del 23 de septiembre del 2024, C-560 del 27 de septiembre del 2024, C-515 del 07 de octubre del 2024, C-601 del 25 de octubre del 2024, C-651 del 29 de octubre del 2024, C-624 del 30 de octubre del 2024, , C-673 del 21 de noviembre del 2024, C-680 del 15 de noviembre del 2024, C-693 del 19 de noviembre del 2024, C-795 del 13 de noviembre del 2024, C-916 del 16 de diciembre del 2024, C-939 del 26 de diciembre del 2024 y C-1030 del 31 de diciembre del 2024.</w:t>
      </w:r>
      <w:r w:rsidR="00AF39C8">
        <w:rPr>
          <w:rFonts w:ascii="Verdana" w:hAnsi="Verdana" w:cs="Arial"/>
        </w:rPr>
        <w:t xml:space="preserve"> Asimismo, analizó la causal de inhabilidad del artículo 5 de la Ley 1474 de 2011 </w:t>
      </w:r>
      <w:r w:rsidR="00AF39C8">
        <w:rPr>
          <w:rFonts w:ascii="Verdana" w:hAnsi="Verdana" w:cs="Arial"/>
        </w:rPr>
        <w:lastRenderedPageBreak/>
        <w:t>en los conceptos</w:t>
      </w:r>
      <w:r w:rsidR="00CD38C3">
        <w:rPr>
          <w:rFonts w:ascii="Verdana" w:hAnsi="Verdana" w:cs="Arial"/>
        </w:rPr>
        <w:t xml:space="preserve"> con radicado Nro. </w:t>
      </w:r>
      <w:r w:rsidR="00CD38C3" w:rsidRPr="00CD38C3">
        <w:rPr>
          <w:rFonts w:ascii="Verdana" w:hAnsi="Verdana" w:cs="Arial"/>
        </w:rPr>
        <w:t>2201913000008314</w:t>
      </w:r>
      <w:r w:rsidR="00CD38C3">
        <w:rPr>
          <w:rFonts w:ascii="Verdana" w:hAnsi="Verdana" w:cs="Arial"/>
        </w:rPr>
        <w:t xml:space="preserve"> de 7 de noviembre de 2019,</w:t>
      </w:r>
      <w:r w:rsidR="00257D46">
        <w:rPr>
          <w:rFonts w:ascii="Verdana" w:hAnsi="Verdana" w:cs="Arial"/>
        </w:rPr>
        <w:t xml:space="preserve"> C-386</w:t>
      </w:r>
      <w:r w:rsidR="00D138BE">
        <w:rPr>
          <w:rFonts w:ascii="Verdana" w:hAnsi="Verdana" w:cs="Arial"/>
        </w:rPr>
        <w:t xml:space="preserve"> de 24 de julio de 2020</w:t>
      </w:r>
      <w:r w:rsidR="000146EB">
        <w:rPr>
          <w:rFonts w:ascii="Verdana" w:hAnsi="Verdana" w:cs="Arial"/>
        </w:rPr>
        <w:t>, C-047 de 8 de marzo de 2021</w:t>
      </w:r>
      <w:r w:rsidR="00A30ED5">
        <w:rPr>
          <w:rFonts w:ascii="Verdana" w:hAnsi="Verdana" w:cs="Arial"/>
        </w:rPr>
        <w:t xml:space="preserve">, </w:t>
      </w:r>
      <w:r w:rsidR="00A30ED5" w:rsidRPr="00A30ED5">
        <w:rPr>
          <w:rFonts w:ascii="Verdana" w:hAnsi="Verdana" w:cs="Arial"/>
        </w:rPr>
        <w:t>C-515 de 07</w:t>
      </w:r>
      <w:r w:rsidR="00A30ED5">
        <w:rPr>
          <w:rFonts w:ascii="Verdana" w:hAnsi="Verdana" w:cs="Arial"/>
        </w:rPr>
        <w:t xml:space="preserve"> de octubre de </w:t>
      </w:r>
      <w:r w:rsidR="00A30ED5" w:rsidRPr="00A30ED5">
        <w:rPr>
          <w:rFonts w:ascii="Verdana" w:hAnsi="Verdana" w:cs="Arial"/>
        </w:rPr>
        <w:t>2024</w:t>
      </w:r>
      <w:r w:rsidR="00A30ED5">
        <w:rPr>
          <w:rFonts w:ascii="Verdana" w:hAnsi="Verdana" w:cs="Arial"/>
        </w:rPr>
        <w:t xml:space="preserve"> y </w:t>
      </w:r>
      <w:r w:rsidR="00A30ED5" w:rsidRPr="00A30ED5">
        <w:rPr>
          <w:rFonts w:ascii="Verdana" w:hAnsi="Verdana" w:cs="Arial"/>
        </w:rPr>
        <w:t>C-1030 de 31</w:t>
      </w:r>
      <w:r w:rsidR="00A30ED5">
        <w:rPr>
          <w:rFonts w:ascii="Verdana" w:hAnsi="Verdana" w:cs="Arial"/>
        </w:rPr>
        <w:t xml:space="preserve"> de diciembre de </w:t>
      </w:r>
      <w:r w:rsidR="00A30ED5" w:rsidRPr="00A30ED5">
        <w:rPr>
          <w:rFonts w:ascii="Verdana" w:hAnsi="Verdana" w:cs="Arial"/>
        </w:rPr>
        <w:t>2024</w:t>
      </w:r>
      <w:r w:rsidR="00A30ED5">
        <w:rPr>
          <w:rFonts w:ascii="Verdana" w:hAnsi="Verdana" w:cs="Arial"/>
        </w:rPr>
        <w:t xml:space="preserve">. </w:t>
      </w:r>
      <w:r w:rsidR="00430F2D" w:rsidRPr="00F32C60">
        <w:rPr>
          <w:rStyle w:val="normaltextrun"/>
          <w:rFonts w:ascii="Verdana" w:hAnsi="Verdana" w:cs="Arial"/>
          <w:shd w:val="clear" w:color="auto" w:fill="FFFFFF"/>
          <w:lang w:val="es-ES"/>
        </w:rPr>
        <w:t>Es</w:t>
      </w:r>
      <w:r w:rsidR="00430F2D" w:rsidRPr="00F32C60">
        <w:rPr>
          <w:rFonts w:ascii="Verdana" w:hAnsi="Verdana" w:cs="Arial"/>
        </w:rPr>
        <w:t>tos y otros conceptos se encuentran disponibles para consulta en el Sistema de relatoría de la Agencia, al cual se puede acceder a través del siguiente enlace:</w:t>
      </w:r>
    </w:p>
    <w:p w14:paraId="6046AED2" w14:textId="77777777" w:rsidR="00430F2D" w:rsidRPr="00F32C60" w:rsidRDefault="00430F2D" w:rsidP="00D967BD">
      <w:pPr>
        <w:widowControl w:val="0"/>
        <w:autoSpaceDE w:val="0"/>
        <w:autoSpaceDN w:val="0"/>
        <w:spacing w:after="0" w:line="276" w:lineRule="auto"/>
        <w:jc w:val="both"/>
        <w:rPr>
          <w:rFonts w:ascii="Verdana" w:eastAsia="Calibri" w:hAnsi="Verdana" w:cs="Arial"/>
          <w:color w:val="000000" w:themeColor="text1"/>
          <w:lang w:eastAsia="es-ES_tradnl"/>
        </w:rPr>
      </w:pPr>
    </w:p>
    <w:p w14:paraId="2A774DC5" w14:textId="77777777" w:rsidR="00D967BD" w:rsidRPr="00F32C60" w:rsidRDefault="00D967BD" w:rsidP="00236198">
      <w:pPr>
        <w:spacing w:after="0" w:line="240" w:lineRule="auto"/>
        <w:jc w:val="both"/>
        <w:rPr>
          <w:rStyle w:val="Hipervnculo"/>
          <w:rFonts w:ascii="Verdana" w:hAnsi="Verdana"/>
        </w:rPr>
      </w:pPr>
      <w:hyperlink r:id="rId13" w:tooltip="Dirección URL original: https://relatoria.colombiacompra.gov.co/. Haga clic o pulse si confía en este vínculo." w:history="1">
        <w:r w:rsidRPr="00F32C60">
          <w:rPr>
            <w:rStyle w:val="Hipervnculo"/>
            <w:rFonts w:ascii="Verdana" w:eastAsia="Calibri" w:hAnsi="Verdana"/>
            <w:lang w:eastAsia="es-ES_tradnl"/>
          </w:rPr>
          <w:t>https://relatoria.colombiacompra.gov.co/</w:t>
        </w:r>
      </w:hyperlink>
      <w:r w:rsidRPr="00F32C60">
        <w:rPr>
          <w:rStyle w:val="Hipervnculo"/>
          <w:rFonts w:ascii="Verdana" w:hAnsi="Verdana"/>
        </w:rPr>
        <w:t> </w:t>
      </w:r>
    </w:p>
    <w:p w14:paraId="6458B251" w14:textId="7AAA336A" w:rsidR="00AF4EF0" w:rsidRPr="00F32C60" w:rsidRDefault="00AF4EF0" w:rsidP="00AF4EF0">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F32C60">
        <w:rPr>
          <w:rStyle w:val="normaltextrun"/>
          <w:rFonts w:ascii="Verdana" w:hAnsi="Verdana" w:cs="Arial"/>
          <w:color w:val="000000" w:themeColor="text1"/>
          <w:shd w:val="clear" w:color="auto" w:fill="FFFFFF"/>
          <w:lang w:val="es-ES"/>
        </w:rPr>
        <w:t xml:space="preserve"> </w:t>
      </w:r>
    </w:p>
    <w:p w14:paraId="22005556" w14:textId="77777777" w:rsidR="00EE4B3E" w:rsidRDefault="00EE4B3E" w:rsidP="00EE4B3E">
      <w:pPr>
        <w:shd w:val="clear" w:color="auto" w:fill="FFFFFF"/>
        <w:spacing w:after="120" w:line="276" w:lineRule="auto"/>
        <w:jc w:val="both"/>
        <w:textAlignment w:val="baseline"/>
        <w:rPr>
          <w:rFonts w:ascii="Verdana" w:hAnsi="Verdana"/>
          <w:color w:val="242424"/>
        </w:rPr>
      </w:pPr>
      <w:r>
        <w:rPr>
          <w:rFonts w:ascii="Verdana" w:hAnsi="Verdana"/>
          <w:color w:val="000000"/>
          <w:bdr w:val="none" w:sz="0" w:space="0" w:color="auto" w:frame="1"/>
        </w:rPr>
        <w:t>Te informamos que ya se encuentra disponible la </w:t>
      </w:r>
      <w:r>
        <w:rPr>
          <w:rFonts w:ascii="Verdana" w:hAnsi="Verdana"/>
          <w:b/>
          <w:bCs/>
          <w:color w:val="000000"/>
          <w:bdr w:val="none" w:sz="0" w:space="0" w:color="auto" w:frame="1"/>
        </w:rPr>
        <w:t>Cartilla para incentivar y fortalecer el acceso a las compras y contratación pública de los pueblos y comunidades étnicas en Colombia.</w:t>
      </w:r>
      <w:r>
        <w:rPr>
          <w:rFonts w:ascii="Verdana" w:hAnsi="Verdana"/>
          <w:color w:val="000000"/>
          <w:bdr w:val="none" w:sz="0" w:space="0" w:color="auto" w:frame="1"/>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6B3B5E">
          <w:rPr>
            <w:rStyle w:val="Hipervnculo"/>
            <w:rFonts w:ascii="Verdana" w:eastAsia="Calibri" w:hAnsi="Verdana"/>
            <w:lang w:eastAsia="es-ES_tradnl"/>
          </w:rPr>
          <w:t>Cartilla para incentivar y fortalecer el acceso a las compras y contratación pública de los pueblos y comunidades étnicas en Colombia | Colombia Compra Eficiente | Agencia Nacional de Contratación Pública</w:t>
        </w:r>
      </w:hyperlink>
    </w:p>
    <w:p w14:paraId="01D696B5" w14:textId="77777777" w:rsidR="00EE4B3E" w:rsidRDefault="00EE4B3E" w:rsidP="00EE4B3E">
      <w:pPr>
        <w:shd w:val="clear" w:color="auto" w:fill="FFFFFF"/>
        <w:spacing w:after="120" w:line="276" w:lineRule="auto"/>
        <w:jc w:val="both"/>
        <w:textAlignment w:val="baseline"/>
        <w:rPr>
          <w:rFonts w:ascii="Verdana" w:hAnsi="Verdana"/>
          <w:color w:val="242424"/>
        </w:rPr>
      </w:pPr>
      <w:r>
        <w:rPr>
          <w:rFonts w:ascii="Verdana" w:hAnsi="Verdana"/>
          <w:color w:val="000000"/>
          <w:bdr w:val="none" w:sz="0" w:space="0" w:color="auto" w:frame="1"/>
        </w:rPr>
        <w:t>De otra parte, te informamos que, con el objetivo de garantizar un conocimiento adecuado de las </w:t>
      </w:r>
      <w:r>
        <w:rPr>
          <w:rFonts w:ascii="Verdana" w:hAnsi="Verdana"/>
          <w:b/>
          <w:bCs/>
          <w:color w:val="000000"/>
          <w:bdr w:val="none" w:sz="0" w:space="0" w:color="auto" w:frame="1"/>
        </w:rPr>
        <w:t>modificaciones y/o actualizaciones realizadas a los Documentos Tipo</w:t>
      </w:r>
      <w:r>
        <w:rPr>
          <w:rFonts w:ascii="Verdana" w:hAnsi="Verdana"/>
          <w:color w:val="000000"/>
          <w:bdr w:val="none" w:sz="0" w:space="0" w:color="auto" w:frame="1"/>
        </w:rPr>
        <w:t>, hemos programado una serie de </w:t>
      </w:r>
      <w:r>
        <w:rPr>
          <w:rFonts w:ascii="Verdana" w:hAnsi="Verdana"/>
          <w:b/>
          <w:bCs/>
          <w:color w:val="000000"/>
          <w:bdr w:val="none" w:sz="0" w:space="0" w:color="auto" w:frame="1"/>
        </w:rPr>
        <w:t>capacitaciones </w:t>
      </w:r>
      <w:r>
        <w:rPr>
          <w:rFonts w:ascii="Verdana" w:hAnsi="Verdana"/>
          <w:color w:val="000000"/>
          <w:bdr w:val="none" w:sz="0" w:space="0" w:color="auto" w:frame="1"/>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6B3B5E">
          <w:rPr>
            <w:rStyle w:val="Hipervnculo"/>
            <w:rFonts w:ascii="Verdana" w:eastAsia="Calibri" w:hAnsi="Verdana"/>
            <w:lang w:eastAsia="es-ES_tradnl"/>
          </w:rPr>
          <w:t>Calendario | Colombia Compra Eficiente | Agencia Nacional de Contratación Pública</w:t>
        </w:r>
      </w:hyperlink>
    </w:p>
    <w:p w14:paraId="015245C2" w14:textId="70ECFE03" w:rsidR="00FE7D60" w:rsidRPr="00EE4B3E" w:rsidRDefault="00EE4B3E" w:rsidP="00EE4B3E">
      <w:pPr>
        <w:shd w:val="clear" w:color="auto" w:fill="FFFFFF"/>
        <w:spacing w:after="120" w:line="276" w:lineRule="auto"/>
        <w:jc w:val="both"/>
        <w:textAlignment w:val="baseline"/>
        <w:rPr>
          <w:rFonts w:ascii="Verdana" w:hAnsi="Verdana"/>
          <w:color w:val="242424"/>
        </w:rPr>
      </w:pPr>
      <w:r>
        <w:rPr>
          <w:rFonts w:ascii="Verdana" w:hAnsi="Verdana"/>
          <w:color w:val="000000"/>
          <w:bdr w:val="none" w:sz="0" w:space="0" w:color="auto" w:frame="1"/>
        </w:rPr>
        <w:t>También, te contamos que ya publicamos </w:t>
      </w:r>
      <w:r>
        <w:rPr>
          <w:rFonts w:ascii="Verdana" w:hAnsi="Verdana"/>
          <w:b/>
          <w:bCs/>
          <w:color w:val="000000"/>
          <w:bdr w:val="none" w:sz="0" w:space="0" w:color="auto" w:frame="1"/>
        </w:rPr>
        <w:t>la nueva Guía de Contratación Pública Sostenible y Socialmente Responsable</w:t>
      </w:r>
      <w:r>
        <w:rPr>
          <w:rFonts w:ascii="Verdana" w:hAnsi="Verdana"/>
          <w:color w:val="000000"/>
          <w:bdr w:val="none" w:sz="0" w:space="0" w:color="auto" w:frame="1"/>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6B3B5E">
          <w:rPr>
            <w:rStyle w:val="Hipervnculo"/>
            <w:rFonts w:ascii="Verdana" w:eastAsia="Calibri" w:hAnsi="Verdana"/>
            <w:lang w:eastAsia="es-ES_tradnl"/>
          </w:rPr>
          <w:t>Guía de Contratación Pública Sostenible y Socialmente Responsable | Colombia Compra Eficiente | Agencia Nacional de Contratación Pública</w:t>
        </w:r>
      </w:hyperlink>
    </w:p>
    <w:p w14:paraId="4C4ADBE6" w14:textId="77777777" w:rsidR="00FE7D60" w:rsidRPr="00F32C60" w:rsidRDefault="00FE7D60" w:rsidP="00FE7D60">
      <w:pPr>
        <w:spacing w:after="0" w:line="240" w:lineRule="auto"/>
        <w:jc w:val="both"/>
        <w:rPr>
          <w:rFonts w:ascii="Verdana" w:hAnsi="Verdana"/>
          <w:color w:val="000000" w:themeColor="text1"/>
        </w:rPr>
      </w:pPr>
      <w:r w:rsidRPr="00F32C60">
        <w:rPr>
          <w:rFonts w:ascii="Verdana" w:hAnsi="Verdana"/>
          <w:color w:val="000000" w:themeColor="text1"/>
        </w:rPr>
        <w:t xml:space="preserve">Por último, lo invitamos a seguirnos en las redes sociales en las cuales se difunde información institucional: </w:t>
      </w:r>
    </w:p>
    <w:p w14:paraId="6EE2D7C7" w14:textId="77777777" w:rsidR="00FE7D60" w:rsidRPr="00F32C60" w:rsidRDefault="00FE7D60" w:rsidP="00FE7D60">
      <w:pPr>
        <w:spacing w:after="0" w:line="240" w:lineRule="auto"/>
        <w:jc w:val="both"/>
        <w:rPr>
          <w:rFonts w:ascii="Verdana" w:hAnsi="Verdana"/>
          <w:color w:val="000000" w:themeColor="text1"/>
        </w:rPr>
      </w:pPr>
    </w:p>
    <w:p w14:paraId="0F7CCEB4" w14:textId="77777777" w:rsidR="00FE7D60" w:rsidRPr="00F32C60" w:rsidRDefault="00FE7D60" w:rsidP="00FE7D60">
      <w:pPr>
        <w:spacing w:after="0" w:line="240" w:lineRule="auto"/>
        <w:jc w:val="both"/>
        <w:rPr>
          <w:rFonts w:ascii="Verdana" w:hAnsi="Verdana"/>
          <w:color w:val="000000" w:themeColor="text1"/>
        </w:rPr>
      </w:pPr>
      <w:r w:rsidRPr="00F32C60">
        <w:rPr>
          <w:rFonts w:ascii="Verdana" w:hAnsi="Verdana"/>
          <w:color w:val="000000" w:themeColor="text1"/>
        </w:rPr>
        <w:t xml:space="preserve">Twitter: </w:t>
      </w:r>
      <w:r w:rsidRPr="00F32C60">
        <w:rPr>
          <w:rStyle w:val="Hipervnculo"/>
          <w:rFonts w:ascii="Verdana" w:eastAsia="Calibri" w:hAnsi="Verdana"/>
          <w:lang w:eastAsia="es-ES_tradnl"/>
        </w:rPr>
        <w:t>@colombiacompra</w:t>
      </w:r>
      <w:r w:rsidRPr="00F32C60">
        <w:rPr>
          <w:rFonts w:ascii="Verdana" w:hAnsi="Verdana"/>
          <w:color w:val="000000" w:themeColor="text1"/>
        </w:rPr>
        <w:t xml:space="preserve"> </w:t>
      </w:r>
    </w:p>
    <w:p w14:paraId="421287F6" w14:textId="77777777" w:rsidR="00FE7D60" w:rsidRPr="00F32C60" w:rsidRDefault="00FE7D60" w:rsidP="00FE7D60">
      <w:pPr>
        <w:spacing w:after="0" w:line="240" w:lineRule="auto"/>
        <w:jc w:val="both"/>
        <w:rPr>
          <w:rFonts w:ascii="Verdana" w:hAnsi="Verdana"/>
          <w:color w:val="000000" w:themeColor="text1"/>
        </w:rPr>
      </w:pPr>
      <w:r w:rsidRPr="00F32C60">
        <w:rPr>
          <w:rFonts w:ascii="Verdana" w:hAnsi="Verdana"/>
          <w:color w:val="000000" w:themeColor="text1"/>
        </w:rPr>
        <w:lastRenderedPageBreak/>
        <w:t xml:space="preserve">Facebook: </w:t>
      </w:r>
      <w:proofErr w:type="spellStart"/>
      <w:r w:rsidRPr="00F32C60">
        <w:rPr>
          <w:rStyle w:val="Hipervnculo"/>
          <w:rFonts w:ascii="Verdana" w:eastAsia="Calibri" w:hAnsi="Verdana"/>
          <w:lang w:eastAsia="es-ES_tradnl"/>
        </w:rPr>
        <w:t>ColombiaCompraEficiente</w:t>
      </w:r>
      <w:proofErr w:type="spellEnd"/>
    </w:p>
    <w:p w14:paraId="5BF6C786" w14:textId="77777777" w:rsidR="00FE7D60" w:rsidRPr="00F32C60" w:rsidRDefault="00FE7D60" w:rsidP="00FE7D60">
      <w:pPr>
        <w:spacing w:after="0" w:line="240" w:lineRule="auto"/>
        <w:jc w:val="both"/>
        <w:rPr>
          <w:rFonts w:ascii="Verdana" w:hAnsi="Verdana"/>
          <w:color w:val="000000" w:themeColor="text1"/>
        </w:rPr>
      </w:pPr>
      <w:r w:rsidRPr="00F32C60">
        <w:rPr>
          <w:rFonts w:ascii="Verdana" w:hAnsi="Verdana"/>
          <w:color w:val="000000" w:themeColor="text1"/>
        </w:rPr>
        <w:t xml:space="preserve">LinkedIn: </w:t>
      </w:r>
      <w:r w:rsidRPr="00F32C60">
        <w:rPr>
          <w:rStyle w:val="Hipervnculo"/>
          <w:rFonts w:ascii="Verdana" w:eastAsia="Calibri" w:hAnsi="Verdana"/>
          <w:lang w:eastAsia="es-ES_tradnl"/>
        </w:rPr>
        <w:t xml:space="preserve">Agencia Nacional de Contratación Pública - Colombia Compra Eficiente </w:t>
      </w:r>
      <w:r w:rsidRPr="00F32C60">
        <w:rPr>
          <w:rFonts w:ascii="Verdana" w:hAnsi="Verdana"/>
          <w:color w:val="000000" w:themeColor="text1"/>
        </w:rPr>
        <w:t xml:space="preserve">Instagram: </w:t>
      </w:r>
      <w:r w:rsidRPr="00F32C60">
        <w:rPr>
          <w:rStyle w:val="Hipervnculo"/>
          <w:rFonts w:ascii="Verdana" w:eastAsia="Calibri" w:hAnsi="Verdana"/>
          <w:lang w:eastAsia="es-ES_tradnl"/>
        </w:rPr>
        <w:t>@colombiacompraeficiente_cce</w:t>
      </w:r>
    </w:p>
    <w:p w14:paraId="255153BF" w14:textId="77777777" w:rsidR="00FE7D60" w:rsidRPr="00F32C60" w:rsidRDefault="00FE7D60" w:rsidP="00FE7D60">
      <w:pPr>
        <w:widowControl w:val="0"/>
        <w:autoSpaceDE w:val="0"/>
        <w:autoSpaceDN w:val="0"/>
        <w:spacing w:after="0" w:line="276" w:lineRule="auto"/>
        <w:jc w:val="both"/>
        <w:rPr>
          <w:rFonts w:ascii="Verdana" w:hAnsi="Verdana"/>
          <w:color w:val="000000" w:themeColor="text1"/>
        </w:rPr>
      </w:pPr>
    </w:p>
    <w:p w14:paraId="3CCC419B" w14:textId="77777777" w:rsidR="00AF4EF0" w:rsidRPr="00F32C60" w:rsidRDefault="00AF4EF0" w:rsidP="00AF4EF0">
      <w:pPr>
        <w:widowControl w:val="0"/>
        <w:autoSpaceDE w:val="0"/>
        <w:autoSpaceDN w:val="0"/>
        <w:spacing w:after="0" w:line="276" w:lineRule="auto"/>
        <w:jc w:val="both"/>
        <w:rPr>
          <w:rFonts w:ascii="Verdana" w:hAnsi="Verdana" w:cs="Arial"/>
          <w:color w:val="000000" w:themeColor="text1"/>
          <w:lang w:val="es-ES_tradnl"/>
        </w:rPr>
      </w:pPr>
      <w:r w:rsidRPr="00F32C60">
        <w:rPr>
          <w:rFonts w:ascii="Verdana" w:hAnsi="Verdana" w:cs="Arial"/>
          <w:color w:val="000000" w:themeColor="text1"/>
        </w:rPr>
        <w:t xml:space="preserve">Este concepto tiene el alcance previsto en el artículo 28 del Código de Procedimiento Administrativo y de lo Contencioso Administrativo </w:t>
      </w:r>
      <w:r w:rsidRPr="00F32C60">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02FDB952" w14:textId="77777777" w:rsidR="00AF4EF0" w:rsidRPr="00F32C60" w:rsidRDefault="00AF4EF0" w:rsidP="00AF4EF0">
      <w:pPr>
        <w:widowControl w:val="0"/>
        <w:autoSpaceDE w:val="0"/>
        <w:autoSpaceDN w:val="0"/>
        <w:spacing w:after="0" w:line="276" w:lineRule="auto"/>
        <w:jc w:val="both"/>
        <w:rPr>
          <w:rFonts w:ascii="Verdana" w:hAnsi="Verdana" w:cs="Arial"/>
          <w:color w:val="000000" w:themeColor="text1"/>
        </w:rPr>
      </w:pPr>
    </w:p>
    <w:p w14:paraId="5ABB2261" w14:textId="77777777" w:rsidR="00AF4EF0" w:rsidRPr="00F32C60" w:rsidRDefault="00AF4EF0" w:rsidP="00AF4EF0">
      <w:pPr>
        <w:spacing w:after="0" w:line="276" w:lineRule="auto"/>
        <w:rPr>
          <w:rFonts w:ascii="Verdana" w:hAnsi="Verdana" w:cs="Arial"/>
          <w:color w:val="000000" w:themeColor="text1"/>
          <w:lang w:eastAsia="es-CO"/>
        </w:rPr>
      </w:pPr>
      <w:r w:rsidRPr="00F32C60">
        <w:rPr>
          <w:rFonts w:ascii="Verdana" w:eastAsia="Times New Roman" w:hAnsi="Verdana" w:cs="Arial"/>
          <w:color w:val="000000" w:themeColor="text1"/>
          <w:lang w:eastAsia="es-CO"/>
        </w:rPr>
        <w:t>Atentamente,</w:t>
      </w:r>
      <w:r w:rsidRPr="00F32C60">
        <w:rPr>
          <w:rFonts w:ascii="Verdana" w:hAnsi="Verdana" w:cs="Arial"/>
          <w:color w:val="000000" w:themeColor="text1"/>
          <w:lang w:eastAsia="es-CO"/>
        </w:rPr>
        <w:t xml:space="preserve"> </w:t>
      </w:r>
    </w:p>
    <w:p w14:paraId="5822C7CB" w14:textId="2C787E7F" w:rsidR="00AF4EF0" w:rsidRPr="00F32C60" w:rsidRDefault="006A741B" w:rsidP="00AF4EF0">
      <w:pPr>
        <w:spacing w:line="276" w:lineRule="auto"/>
        <w:jc w:val="center"/>
        <w:rPr>
          <w:rFonts w:ascii="Verdana" w:hAnsi="Verdana" w:cs="Arial"/>
          <w:color w:val="000000" w:themeColor="text1"/>
          <w:lang w:val="es-ES_tradnl" w:eastAsia="es-CO"/>
        </w:rPr>
      </w:pPr>
      <w:r>
        <w:rPr>
          <w:noProof/>
        </w:rPr>
        <w:drawing>
          <wp:inline distT="0" distB="0" distL="0" distR="0" wp14:anchorId="25998B0E" wp14:editId="0E78656A">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E32183" w:rsidRPr="00F32C60" w14:paraId="43A0340B" w14:textId="77777777" w:rsidTr="00891EDB">
        <w:trPr>
          <w:trHeight w:val="409"/>
        </w:trPr>
        <w:tc>
          <w:tcPr>
            <w:tcW w:w="817" w:type="dxa"/>
            <w:tcBorders>
              <w:top w:val="nil"/>
              <w:left w:val="nil"/>
              <w:bottom w:val="nil"/>
              <w:right w:val="nil"/>
            </w:tcBorders>
            <w:vAlign w:val="center"/>
            <w:hideMark/>
          </w:tcPr>
          <w:p w14:paraId="49579E72" w14:textId="77777777" w:rsidR="00AF4EF0" w:rsidRPr="00F32C60" w:rsidRDefault="00AF4EF0" w:rsidP="00891EDB">
            <w:pPr>
              <w:spacing w:after="0" w:line="240" w:lineRule="auto"/>
              <w:jc w:val="both"/>
              <w:rPr>
                <w:rFonts w:ascii="Verdana" w:hAnsi="Verdana" w:cs="Arial"/>
                <w:color w:val="000000" w:themeColor="text1"/>
                <w:sz w:val="16"/>
                <w:szCs w:val="16"/>
              </w:rPr>
            </w:pPr>
            <w:r w:rsidRPr="00F32C60">
              <w:rPr>
                <w:rFonts w:ascii="Verdana" w:hAnsi="Verdana" w:cs="Arial"/>
                <w:color w:val="000000" w:themeColor="text1"/>
                <w:sz w:val="16"/>
                <w:szCs w:val="16"/>
              </w:rPr>
              <w:t>Elaboró: </w:t>
            </w:r>
          </w:p>
        </w:tc>
        <w:tc>
          <w:tcPr>
            <w:tcW w:w="4937" w:type="dxa"/>
            <w:tcBorders>
              <w:top w:val="nil"/>
              <w:left w:val="nil"/>
              <w:bottom w:val="dotted" w:sz="6" w:space="0" w:color="7F7F7F" w:themeColor="text1" w:themeTint="80"/>
              <w:right w:val="nil"/>
            </w:tcBorders>
            <w:vAlign w:val="center"/>
            <w:hideMark/>
          </w:tcPr>
          <w:p w14:paraId="4166643D" w14:textId="0DC5C5FE" w:rsidR="00AF4EF0" w:rsidRPr="00F32C60" w:rsidRDefault="00BD7C43" w:rsidP="00891EDB">
            <w:pPr>
              <w:spacing w:after="0" w:line="240" w:lineRule="auto"/>
              <w:jc w:val="both"/>
              <w:rPr>
                <w:rFonts w:ascii="Verdana" w:hAnsi="Verdana" w:cs="Arial"/>
                <w:color w:val="000000" w:themeColor="text1"/>
                <w:sz w:val="16"/>
                <w:szCs w:val="16"/>
              </w:rPr>
            </w:pPr>
            <w:r w:rsidRPr="00F32C60">
              <w:rPr>
                <w:rFonts w:ascii="Verdana" w:hAnsi="Verdana" w:cs="Arial"/>
                <w:color w:val="000000" w:themeColor="text1"/>
                <w:sz w:val="16"/>
                <w:szCs w:val="16"/>
              </w:rPr>
              <w:t>Cristian Andrés Díaz Díez</w:t>
            </w:r>
          </w:p>
          <w:p w14:paraId="1020566C" w14:textId="77777777" w:rsidR="00AF4EF0" w:rsidRPr="00F32C60" w:rsidRDefault="00AF4EF0" w:rsidP="00891EDB">
            <w:pPr>
              <w:spacing w:after="0" w:line="240" w:lineRule="auto"/>
              <w:jc w:val="both"/>
              <w:rPr>
                <w:rFonts w:ascii="Verdana" w:hAnsi="Verdana" w:cs="Arial"/>
                <w:color w:val="000000" w:themeColor="text1"/>
                <w:sz w:val="16"/>
                <w:szCs w:val="16"/>
              </w:rPr>
            </w:pPr>
            <w:r w:rsidRPr="00F32C60">
              <w:rPr>
                <w:rFonts w:ascii="Verdana" w:hAnsi="Verdana" w:cs="Arial"/>
                <w:color w:val="000000" w:themeColor="text1"/>
                <w:sz w:val="16"/>
                <w:szCs w:val="16"/>
              </w:rPr>
              <w:t>Contratista de la Subdirección de Gestión Contractual</w:t>
            </w:r>
          </w:p>
        </w:tc>
      </w:tr>
      <w:tr w:rsidR="00E32183" w:rsidRPr="00F32C60" w14:paraId="73142A5A" w14:textId="77777777" w:rsidTr="00891EDB">
        <w:trPr>
          <w:trHeight w:val="409"/>
        </w:trPr>
        <w:tc>
          <w:tcPr>
            <w:tcW w:w="817" w:type="dxa"/>
            <w:tcBorders>
              <w:top w:val="nil"/>
              <w:left w:val="nil"/>
              <w:right w:val="nil"/>
            </w:tcBorders>
            <w:vAlign w:val="center"/>
          </w:tcPr>
          <w:p w14:paraId="73F9566C" w14:textId="77777777" w:rsidR="00AF4EF0" w:rsidRPr="00F32C60" w:rsidRDefault="00AF4EF0" w:rsidP="00891EDB">
            <w:pPr>
              <w:spacing w:after="0"/>
              <w:jc w:val="both"/>
              <w:rPr>
                <w:rFonts w:ascii="Verdana" w:hAnsi="Verdana" w:cs="Arial"/>
                <w:color w:val="000000" w:themeColor="text1"/>
                <w:sz w:val="16"/>
                <w:szCs w:val="16"/>
              </w:rPr>
            </w:pPr>
            <w:r w:rsidRPr="00F32C60">
              <w:rPr>
                <w:rFonts w:ascii="Verdana" w:hAnsi="Verdana" w:cs="Arial"/>
                <w:color w:val="000000" w:themeColor="text1"/>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668A77D4" w14:textId="473AD4EF" w:rsidR="00D32F0C" w:rsidRPr="00F32C60" w:rsidRDefault="00D32F0C" w:rsidP="00891EDB">
            <w:pPr>
              <w:spacing w:after="0" w:line="240" w:lineRule="auto"/>
              <w:jc w:val="both"/>
              <w:rPr>
                <w:rStyle w:val="normaltextrun"/>
                <w:rFonts w:ascii="Verdana" w:eastAsia="Times New Roman" w:hAnsi="Verdana" w:cs="Segoe UI"/>
                <w:color w:val="000000" w:themeColor="text1"/>
                <w:sz w:val="16"/>
                <w:szCs w:val="16"/>
                <w:lang w:eastAsia="es-CO"/>
              </w:rPr>
            </w:pPr>
            <w:r w:rsidRPr="00F32C60">
              <w:rPr>
                <w:rStyle w:val="normaltextrun"/>
                <w:rFonts w:ascii="Verdana" w:eastAsia="Times New Roman" w:hAnsi="Verdana" w:cs="Segoe UI"/>
                <w:color w:val="000000" w:themeColor="text1"/>
                <w:sz w:val="16"/>
                <w:szCs w:val="16"/>
                <w:lang w:eastAsia="es-CO"/>
              </w:rPr>
              <w:t>Diana Lucía Saavedra Castañeda</w:t>
            </w:r>
          </w:p>
          <w:p w14:paraId="12C6E38C" w14:textId="5A77769A" w:rsidR="00AF4EF0" w:rsidRPr="00F32C60" w:rsidRDefault="00160C17" w:rsidP="00891EDB">
            <w:pPr>
              <w:spacing w:after="0" w:line="240" w:lineRule="auto"/>
              <w:jc w:val="both"/>
              <w:rPr>
                <w:rFonts w:ascii="Verdana" w:hAnsi="Verdana" w:cs="Arial"/>
                <w:color w:val="000000" w:themeColor="text1"/>
                <w:sz w:val="16"/>
                <w:szCs w:val="16"/>
              </w:rPr>
            </w:pPr>
            <w:r w:rsidRPr="00F32C60">
              <w:rPr>
                <w:rStyle w:val="normaltextrun"/>
                <w:rFonts w:ascii="Verdana" w:eastAsia="Times New Roman" w:hAnsi="Verdana" w:cs="Segoe UI"/>
                <w:color w:val="000000" w:themeColor="text1"/>
                <w:sz w:val="16"/>
                <w:szCs w:val="16"/>
                <w:lang w:eastAsia="es-CO"/>
              </w:rPr>
              <w:t>Contratista</w:t>
            </w:r>
            <w:r w:rsidR="00AF4EF0" w:rsidRPr="00F32C60">
              <w:rPr>
                <w:rStyle w:val="normaltextrun"/>
                <w:rFonts w:ascii="Verdana" w:eastAsia="Times New Roman" w:hAnsi="Verdana" w:cs="Segoe UI"/>
                <w:color w:val="000000" w:themeColor="text1"/>
                <w:sz w:val="16"/>
                <w:szCs w:val="16"/>
                <w:lang w:eastAsia="es-CO"/>
              </w:rPr>
              <w:t xml:space="preserve"> de la Subdirección de Gestión Contractual</w:t>
            </w:r>
          </w:p>
        </w:tc>
      </w:tr>
      <w:tr w:rsidR="005D2D5E" w:rsidRPr="00F32C60" w14:paraId="3EEB2B86" w14:textId="77777777" w:rsidTr="00891EDB">
        <w:trPr>
          <w:trHeight w:val="389"/>
        </w:trPr>
        <w:tc>
          <w:tcPr>
            <w:tcW w:w="817" w:type="dxa"/>
            <w:tcBorders>
              <w:top w:val="nil"/>
              <w:left w:val="nil"/>
              <w:bottom w:val="nil"/>
              <w:right w:val="nil"/>
            </w:tcBorders>
            <w:vAlign w:val="center"/>
            <w:hideMark/>
          </w:tcPr>
          <w:p w14:paraId="67A9BD3F" w14:textId="77777777" w:rsidR="00AF4EF0" w:rsidRPr="00F32C60" w:rsidRDefault="00AF4EF0" w:rsidP="00891EDB">
            <w:pPr>
              <w:spacing w:after="0" w:line="240" w:lineRule="auto"/>
              <w:jc w:val="both"/>
              <w:rPr>
                <w:rFonts w:ascii="Verdana" w:hAnsi="Verdana" w:cs="Arial"/>
                <w:color w:val="000000" w:themeColor="text1"/>
                <w:sz w:val="16"/>
                <w:szCs w:val="16"/>
              </w:rPr>
            </w:pPr>
            <w:r w:rsidRPr="00F32C60">
              <w:rPr>
                <w:rFonts w:ascii="Verdana" w:hAnsi="Verdana" w:cs="Arial"/>
                <w:color w:val="000000" w:themeColor="text1"/>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5CE1225" w14:textId="77777777" w:rsidR="00AF4EF0" w:rsidRPr="00F32C60" w:rsidRDefault="00AF4EF0" w:rsidP="00891EDB">
            <w:pPr>
              <w:spacing w:after="0"/>
              <w:rPr>
                <w:rFonts w:ascii="Verdana" w:eastAsia="Calibri" w:hAnsi="Verdana" w:cs="Arial"/>
                <w:color w:val="000000" w:themeColor="text1"/>
                <w:sz w:val="16"/>
                <w:szCs w:val="16"/>
                <w:lang w:val="pt-BR" w:eastAsia="es-ES"/>
              </w:rPr>
            </w:pPr>
            <w:r w:rsidRPr="00F32C60">
              <w:rPr>
                <w:rFonts w:ascii="Verdana" w:eastAsia="Calibri" w:hAnsi="Verdana" w:cs="Arial"/>
                <w:color w:val="000000" w:themeColor="text1"/>
                <w:sz w:val="16"/>
                <w:szCs w:val="16"/>
                <w:lang w:val="pt-BR" w:eastAsia="es-ES"/>
              </w:rPr>
              <w:t xml:space="preserve">Carolina Quintero </w:t>
            </w:r>
            <w:proofErr w:type="spellStart"/>
            <w:r w:rsidRPr="00F32C60">
              <w:rPr>
                <w:rFonts w:ascii="Verdana" w:eastAsia="Calibri" w:hAnsi="Verdana" w:cs="Arial"/>
                <w:color w:val="000000" w:themeColor="text1"/>
                <w:sz w:val="16"/>
                <w:szCs w:val="16"/>
                <w:lang w:val="pt-BR" w:eastAsia="es-ES"/>
              </w:rPr>
              <w:t>Gacharná</w:t>
            </w:r>
            <w:proofErr w:type="spellEnd"/>
          </w:p>
          <w:p w14:paraId="7D9B03BB" w14:textId="77777777" w:rsidR="00AF4EF0" w:rsidRPr="00F32C60" w:rsidRDefault="00AF4EF0" w:rsidP="00891EDB">
            <w:pPr>
              <w:spacing w:after="0" w:line="240" w:lineRule="auto"/>
              <w:jc w:val="both"/>
              <w:rPr>
                <w:rFonts w:ascii="Verdana" w:hAnsi="Verdana" w:cs="Arial"/>
                <w:color w:val="000000" w:themeColor="text1"/>
                <w:sz w:val="16"/>
                <w:szCs w:val="16"/>
              </w:rPr>
            </w:pPr>
            <w:r w:rsidRPr="00F32C60">
              <w:rPr>
                <w:rFonts w:ascii="Verdana" w:hAnsi="Verdana" w:cs="Arial"/>
                <w:color w:val="000000" w:themeColor="text1"/>
                <w:sz w:val="16"/>
                <w:szCs w:val="16"/>
              </w:rPr>
              <w:t>Subdirectora de Gestión Contractual ANCP – CCE</w:t>
            </w:r>
          </w:p>
        </w:tc>
      </w:tr>
      <w:bookmarkEnd w:id="0"/>
    </w:tbl>
    <w:p w14:paraId="1DC5460F" w14:textId="56F5A518" w:rsidR="00AF4EF0" w:rsidRPr="00F32C60" w:rsidRDefault="00AF4EF0" w:rsidP="00E245AB">
      <w:pPr>
        <w:spacing w:after="0"/>
        <w:rPr>
          <w:rFonts w:ascii="Verdana" w:hAnsi="Verdana"/>
          <w:color w:val="000000" w:themeColor="text1"/>
          <w:lang w:val="es-ES"/>
        </w:rPr>
      </w:pPr>
    </w:p>
    <w:sectPr w:rsidR="00AF4EF0" w:rsidRPr="00F32C60"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0DDC2" w14:textId="77777777" w:rsidR="00454F6A" w:rsidRDefault="00454F6A" w:rsidP="004A1847">
      <w:pPr>
        <w:spacing w:after="0" w:line="240" w:lineRule="auto"/>
      </w:pPr>
      <w:r>
        <w:separator/>
      </w:r>
    </w:p>
  </w:endnote>
  <w:endnote w:type="continuationSeparator" w:id="0">
    <w:p w14:paraId="587861BD" w14:textId="77777777" w:rsidR="00454F6A" w:rsidRDefault="00454F6A" w:rsidP="004A1847">
      <w:pPr>
        <w:spacing w:after="0" w:line="240" w:lineRule="auto"/>
      </w:pPr>
      <w:r>
        <w:continuationSeparator/>
      </w:r>
    </w:p>
  </w:endnote>
  <w:endnote w:type="continuationNotice" w:id="1">
    <w:p w14:paraId="4BE357FB" w14:textId="77777777" w:rsidR="00454F6A" w:rsidRDefault="00454F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14EAB" w14:textId="77777777" w:rsidR="00454F6A" w:rsidRDefault="00454F6A" w:rsidP="004A1847">
      <w:pPr>
        <w:spacing w:after="0" w:line="240" w:lineRule="auto"/>
      </w:pPr>
      <w:r>
        <w:separator/>
      </w:r>
    </w:p>
  </w:footnote>
  <w:footnote w:type="continuationSeparator" w:id="0">
    <w:p w14:paraId="3F25D9C3" w14:textId="77777777" w:rsidR="00454F6A" w:rsidRDefault="00454F6A" w:rsidP="004A1847">
      <w:pPr>
        <w:spacing w:after="0" w:line="240" w:lineRule="auto"/>
      </w:pPr>
      <w:r>
        <w:continuationSeparator/>
      </w:r>
    </w:p>
  </w:footnote>
  <w:footnote w:type="continuationNotice" w:id="1">
    <w:p w14:paraId="25AE8862" w14:textId="77777777" w:rsidR="00454F6A" w:rsidRDefault="00454F6A">
      <w:pPr>
        <w:spacing w:after="0" w:line="240" w:lineRule="auto"/>
      </w:pPr>
    </w:p>
  </w:footnote>
  <w:footnote w:id="2">
    <w:p w14:paraId="0F5BE5D7" w14:textId="21F0F987" w:rsidR="00531A51" w:rsidRPr="00765327" w:rsidRDefault="005A600B" w:rsidP="00765327">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El artículo 6 de la Ley 80 de 1993 expresa: </w:t>
      </w:r>
      <w:r w:rsidR="00CE2C7B" w:rsidRPr="00765327">
        <w:rPr>
          <w:rFonts w:ascii="Verdana" w:hAnsi="Verdana" w:cs="Arial"/>
          <w:color w:val="000000" w:themeColor="text1"/>
          <w:sz w:val="16"/>
          <w:szCs w:val="16"/>
        </w:rPr>
        <w:t>“</w:t>
      </w:r>
      <w:r w:rsidR="00531A51" w:rsidRPr="00765327">
        <w:rPr>
          <w:rFonts w:ascii="Verdana" w:hAnsi="Verdana" w:cs="Arial"/>
          <w:color w:val="000000" w:themeColor="text1"/>
          <w:sz w:val="16"/>
          <w:szCs w:val="16"/>
        </w:rPr>
        <w:t>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w:t>
      </w:r>
    </w:p>
    <w:p w14:paraId="4E3D6C44" w14:textId="0A9FFA17" w:rsidR="00531A51" w:rsidRPr="00765327" w:rsidRDefault="00531A51" w:rsidP="00765327">
      <w:pPr>
        <w:pStyle w:val="Textonotapie"/>
        <w:snapToGrid w:val="0"/>
        <w:ind w:firstLine="709"/>
        <w:jc w:val="both"/>
        <w:rPr>
          <w:rFonts w:ascii="Verdana" w:hAnsi="Verdana" w:cs="Arial"/>
          <w:color w:val="000000" w:themeColor="text1"/>
          <w:sz w:val="16"/>
          <w:szCs w:val="16"/>
        </w:rPr>
      </w:pPr>
      <w:r w:rsidRPr="00765327">
        <w:rPr>
          <w:rFonts w:ascii="Verdana" w:hAnsi="Verdana" w:cs="Arial"/>
          <w:color w:val="000000" w:themeColor="text1"/>
          <w:sz w:val="16"/>
          <w:szCs w:val="16"/>
        </w:rPr>
        <w:t>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w:t>
      </w:r>
    </w:p>
    <w:p w14:paraId="47E85CFE" w14:textId="5FF10E04" w:rsidR="00531A51" w:rsidRPr="00765327" w:rsidRDefault="00531A51" w:rsidP="00765327">
      <w:pPr>
        <w:pStyle w:val="Textonotapie"/>
        <w:snapToGrid w:val="0"/>
        <w:ind w:firstLine="709"/>
        <w:jc w:val="both"/>
        <w:rPr>
          <w:rFonts w:ascii="Verdana" w:hAnsi="Verdana" w:cs="Arial"/>
          <w:color w:val="000000" w:themeColor="text1"/>
          <w:sz w:val="16"/>
          <w:szCs w:val="16"/>
        </w:rPr>
      </w:pPr>
      <w:r w:rsidRPr="00765327">
        <w:rPr>
          <w:rFonts w:ascii="Verdana" w:hAnsi="Verdana" w:cs="Arial"/>
          <w:color w:val="000000" w:themeColor="text1"/>
          <w:sz w:val="16"/>
          <w:szCs w:val="16"/>
        </w:rPr>
        <w:t>Las personas jurídicas nacionales y extranjeras deberán acreditar que su duración no será inferior a la del plazo del contrato y un año más.</w:t>
      </w:r>
    </w:p>
    <w:p w14:paraId="5E55DA0E" w14:textId="3DB38FD0" w:rsidR="005A600B" w:rsidRPr="00765327" w:rsidRDefault="00531A51" w:rsidP="00765327">
      <w:pPr>
        <w:pStyle w:val="Textonotapie"/>
        <w:snapToGrid w:val="0"/>
        <w:ind w:firstLine="709"/>
        <w:jc w:val="both"/>
        <w:rPr>
          <w:rFonts w:ascii="Verdana" w:hAnsi="Verdana" w:cs="Arial"/>
          <w:color w:val="000000" w:themeColor="text1"/>
          <w:sz w:val="16"/>
          <w:szCs w:val="16"/>
        </w:rPr>
      </w:pPr>
      <w:r w:rsidRPr="00765327">
        <w:rPr>
          <w:rFonts w:ascii="Verdana" w:hAnsi="Verdana" w:cs="Arial"/>
          <w:color w:val="000000" w:themeColor="text1"/>
          <w:sz w:val="16"/>
          <w:szCs w:val="16"/>
        </w:rPr>
        <w:t>PARÁGRAFO. Para efectos de la presente ley, la Corporación para la Reconstrucción de la Cuenca del Río Páez y Zonas Aledañas Nasa Ki'we podrá celebrar contratos para adelantar y ejecutar planes, programas y proyectos para la atención de las necesidades de los habitantes de las comunidades· étnicas de los municipios de Popayán, Almaguer, Bolívar, Buenos Aires, Cajibío, Caldono, Caloto, Corinto, El Tambo, Inzá, Jambaló, La Sierra, La Vega, Miranda, Páez, Patía, Piendamó, Puracé, Rosas, San Sebastián, Santander de Quilichao, Silvia, Sotará, Suárez, Toribío, Totoró del departamento del Cauca y los municipios de Neiva, Gigante, Íquira, La Argentina, La Plata, Nátaga, Paicol, Pitalito, San Agustín, Tesalia, Villavieja, Yaguará, Palermo y Rivera del departamento del Huila</w:t>
      </w:r>
      <w:r w:rsidR="00196E3B" w:rsidRPr="00765327">
        <w:rPr>
          <w:rFonts w:ascii="Verdana" w:hAnsi="Verdana" w:cs="Arial"/>
          <w:color w:val="000000" w:themeColor="text1"/>
          <w:sz w:val="16"/>
          <w:szCs w:val="16"/>
        </w:rPr>
        <w:t>”</w:t>
      </w:r>
      <w:r w:rsidR="005A600B" w:rsidRPr="00765327">
        <w:rPr>
          <w:rFonts w:ascii="Verdana" w:hAnsi="Verdana" w:cs="Arial"/>
          <w:color w:val="000000" w:themeColor="text1"/>
          <w:sz w:val="16"/>
          <w:szCs w:val="16"/>
        </w:rPr>
        <w:t>.</w:t>
      </w:r>
    </w:p>
  </w:footnote>
  <w:footnote w:id="3">
    <w:p w14:paraId="1E9B2813" w14:textId="769F85CF" w:rsidR="005A600B" w:rsidRPr="00765327" w:rsidRDefault="005A600B" w:rsidP="00765327">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El artículo 1502 del Código Civil prevé la capacidad legal como requisito para obligarse contractualmente, en los siguientes términos: </w:t>
      </w:r>
      <w:r w:rsidR="00CE2C7B" w:rsidRPr="00765327">
        <w:rPr>
          <w:rFonts w:ascii="Verdana" w:hAnsi="Verdana" w:cs="Arial"/>
          <w:color w:val="000000" w:themeColor="text1"/>
          <w:sz w:val="16"/>
          <w:szCs w:val="16"/>
        </w:rPr>
        <w:t>“</w:t>
      </w:r>
      <w:r w:rsidRPr="00765327">
        <w:rPr>
          <w:rFonts w:ascii="Verdana" w:hAnsi="Verdana" w:cs="Arial"/>
          <w:color w:val="000000" w:themeColor="text1"/>
          <w:sz w:val="16"/>
          <w:szCs w:val="16"/>
        </w:rPr>
        <w:t>Para que una persona se obligue a otra por un acto o declaración de voluntad, es necesario:</w:t>
      </w:r>
    </w:p>
    <w:p w14:paraId="415D2457" w14:textId="366281D9" w:rsidR="005A600B" w:rsidRPr="00765327" w:rsidRDefault="005A600B" w:rsidP="00765327">
      <w:pPr>
        <w:pStyle w:val="Textonotapie"/>
        <w:snapToGrid w:val="0"/>
        <w:ind w:firstLine="709"/>
        <w:jc w:val="both"/>
        <w:rPr>
          <w:rFonts w:ascii="Verdana" w:hAnsi="Verdana" w:cs="Arial"/>
          <w:color w:val="000000" w:themeColor="text1"/>
          <w:sz w:val="16"/>
          <w:szCs w:val="16"/>
        </w:rPr>
      </w:pPr>
      <w:r w:rsidRPr="00765327">
        <w:rPr>
          <w:rFonts w:ascii="Verdana" w:hAnsi="Verdana" w:cs="Arial"/>
          <w:color w:val="000000" w:themeColor="text1"/>
          <w:sz w:val="16"/>
          <w:szCs w:val="16"/>
        </w:rPr>
        <w:t>1o.) que sea legalmente capaz.</w:t>
      </w:r>
    </w:p>
    <w:p w14:paraId="2D47E35D" w14:textId="77777777" w:rsidR="005A600B" w:rsidRPr="00765327" w:rsidRDefault="005A600B" w:rsidP="00765327">
      <w:pPr>
        <w:pStyle w:val="Textonotapie"/>
        <w:snapToGrid w:val="0"/>
        <w:ind w:firstLine="709"/>
        <w:jc w:val="both"/>
        <w:rPr>
          <w:rFonts w:ascii="Verdana" w:hAnsi="Verdana" w:cs="Arial"/>
          <w:color w:val="000000" w:themeColor="text1"/>
          <w:sz w:val="16"/>
          <w:szCs w:val="16"/>
        </w:rPr>
      </w:pPr>
      <w:r w:rsidRPr="00765327">
        <w:rPr>
          <w:rFonts w:ascii="Verdana" w:hAnsi="Verdana" w:cs="Arial"/>
          <w:color w:val="000000" w:themeColor="text1"/>
          <w:sz w:val="16"/>
          <w:szCs w:val="16"/>
        </w:rPr>
        <w:t>[…]</w:t>
      </w:r>
    </w:p>
    <w:p w14:paraId="6B5C24AE" w14:textId="49BAF2FD" w:rsidR="005A600B" w:rsidRPr="00765327" w:rsidRDefault="005A600B" w:rsidP="00765327">
      <w:pPr>
        <w:pStyle w:val="Textonotapie"/>
        <w:snapToGrid w:val="0"/>
        <w:ind w:firstLine="709"/>
        <w:jc w:val="both"/>
        <w:rPr>
          <w:rFonts w:ascii="Verdana" w:hAnsi="Verdana" w:cs="Arial"/>
          <w:color w:val="000000" w:themeColor="text1"/>
          <w:sz w:val="16"/>
          <w:szCs w:val="16"/>
        </w:rPr>
      </w:pPr>
      <w:r w:rsidRPr="00765327">
        <w:rPr>
          <w:rFonts w:ascii="Verdana" w:hAnsi="Verdana" w:cs="Arial"/>
          <w:color w:val="000000" w:themeColor="text1"/>
          <w:sz w:val="16"/>
          <w:szCs w:val="16"/>
        </w:rPr>
        <w:t>La capacidad legal de una persona consiste en poderse obligar por sí misma, sin el ministerio o la autorización de otra</w:t>
      </w:r>
      <w:r w:rsidR="00196E3B" w:rsidRPr="00765327">
        <w:rPr>
          <w:rFonts w:ascii="Verdana" w:hAnsi="Verdana" w:cs="Arial"/>
          <w:color w:val="000000" w:themeColor="text1"/>
          <w:sz w:val="16"/>
          <w:szCs w:val="16"/>
        </w:rPr>
        <w:t>”</w:t>
      </w:r>
      <w:r w:rsidRPr="00765327">
        <w:rPr>
          <w:rFonts w:ascii="Verdana" w:hAnsi="Verdana" w:cs="Arial"/>
          <w:color w:val="000000" w:themeColor="text1"/>
          <w:sz w:val="16"/>
          <w:szCs w:val="16"/>
        </w:rPr>
        <w:t>.</w:t>
      </w:r>
    </w:p>
  </w:footnote>
  <w:footnote w:id="4">
    <w:p w14:paraId="2CCAA071" w14:textId="0B801E21" w:rsidR="005A600B" w:rsidRPr="00765327" w:rsidRDefault="005A600B" w:rsidP="00765327">
      <w:pPr>
        <w:pStyle w:val="Textonotapie"/>
        <w:snapToGrid w:val="0"/>
        <w:ind w:firstLine="709"/>
        <w:jc w:val="both"/>
        <w:rPr>
          <w:rFonts w:ascii="Verdana" w:hAnsi="Verdana" w:cs="Arial"/>
          <w:color w:val="000000" w:themeColor="text1"/>
          <w:sz w:val="16"/>
          <w:szCs w:val="16"/>
          <w:lang w:val="es-ES"/>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w:t>
      </w:r>
      <w:r w:rsidRPr="00765327">
        <w:rPr>
          <w:rFonts w:ascii="Verdana" w:hAnsi="Verdana" w:cs="Arial"/>
          <w:color w:val="000000" w:themeColor="text1"/>
          <w:sz w:val="16"/>
          <w:szCs w:val="16"/>
          <w:lang w:val="es-ES"/>
        </w:rPr>
        <w:t xml:space="preserve">En tal sentido, José Luis Benavides comenta que </w:t>
      </w:r>
      <w:r w:rsidR="00CE2C7B" w:rsidRPr="00765327">
        <w:rPr>
          <w:rFonts w:ascii="Verdana" w:hAnsi="Verdana" w:cs="Arial"/>
          <w:color w:val="000000" w:themeColor="text1"/>
          <w:sz w:val="16"/>
          <w:szCs w:val="16"/>
          <w:lang w:val="es-ES"/>
        </w:rPr>
        <w:t>“</w:t>
      </w:r>
      <w:r w:rsidRPr="00765327">
        <w:rPr>
          <w:rFonts w:ascii="Verdana" w:hAnsi="Verdana" w:cs="Arial"/>
          <w:color w:val="000000" w:themeColor="text1"/>
          <w:sz w:val="16"/>
          <w:szCs w:val="16"/>
          <w:lang w:val="es-ES"/>
        </w:rPr>
        <w:t xml:space="preserve">Aunque la mayoría de las reglas limitativas de la responsabilidad contractual se aplican a la administración, existen también algunas restricciones importantes a la capacidad de los contratistas: </w:t>
      </w:r>
      <w:r w:rsidRPr="00765327">
        <w:rPr>
          <w:rFonts w:ascii="Verdana" w:hAnsi="Verdana" w:cs="Arial"/>
          <w:i/>
          <w:iCs/>
          <w:color w:val="000000" w:themeColor="text1"/>
          <w:sz w:val="16"/>
          <w:szCs w:val="16"/>
          <w:lang w:val="es-ES"/>
        </w:rPr>
        <w:t>el régimen de inhabilidades e incompatibilidades</w:t>
      </w:r>
      <w:r w:rsidRPr="00765327">
        <w:rPr>
          <w:rFonts w:ascii="Verdana" w:hAnsi="Verdana" w:cs="Arial"/>
          <w:color w:val="000000" w:themeColor="text1"/>
          <w:sz w:val="16"/>
          <w:szCs w:val="16"/>
          <w:lang w:val="es-ES"/>
        </w:rPr>
        <w:t xml:space="preserve"> (1) y la obligación de ciertos proponentes de inscribirse en el </w:t>
      </w:r>
      <w:r w:rsidRPr="00765327">
        <w:rPr>
          <w:rFonts w:ascii="Verdana" w:hAnsi="Verdana" w:cs="Arial"/>
          <w:i/>
          <w:iCs/>
          <w:color w:val="000000" w:themeColor="text1"/>
          <w:sz w:val="16"/>
          <w:szCs w:val="16"/>
          <w:lang w:val="es-ES"/>
        </w:rPr>
        <w:t>registro único</w:t>
      </w:r>
      <w:r w:rsidRPr="00765327">
        <w:rPr>
          <w:rFonts w:ascii="Verdana" w:hAnsi="Verdana" w:cs="Arial"/>
          <w:color w:val="000000" w:themeColor="text1"/>
          <w:sz w:val="16"/>
          <w:szCs w:val="16"/>
          <w:lang w:val="es-ES"/>
        </w:rPr>
        <w:t xml:space="preserve"> (2)</w:t>
      </w:r>
      <w:r w:rsidR="00196E3B" w:rsidRPr="00765327">
        <w:rPr>
          <w:rFonts w:ascii="Verdana" w:hAnsi="Verdana" w:cs="Arial"/>
          <w:color w:val="000000" w:themeColor="text1"/>
          <w:sz w:val="16"/>
          <w:szCs w:val="16"/>
          <w:lang w:val="es-ES"/>
        </w:rPr>
        <w:t>”</w:t>
      </w:r>
      <w:r w:rsidRPr="00765327">
        <w:rPr>
          <w:rFonts w:ascii="Verdana" w:hAnsi="Verdana" w:cs="Arial"/>
          <w:color w:val="000000" w:themeColor="text1"/>
          <w:sz w:val="16"/>
          <w:szCs w:val="16"/>
          <w:lang w:val="es-ES"/>
        </w:rPr>
        <w:t xml:space="preserve"> (BENAVIDES, José Luis. El contrato estatal. Entre el Derecho público y el Derecho privado. 2ª ed. Bogotá: Universidad Externado de Colombia, 2004. p. 278). </w:t>
      </w:r>
    </w:p>
  </w:footnote>
  <w:footnote w:id="5">
    <w:p w14:paraId="14476071" w14:textId="280A28C7" w:rsidR="005A600B" w:rsidRPr="00765327" w:rsidRDefault="005A600B" w:rsidP="00765327">
      <w:pPr>
        <w:pStyle w:val="Textonotapie"/>
        <w:snapToGrid w:val="0"/>
        <w:ind w:firstLine="709"/>
        <w:jc w:val="both"/>
        <w:rPr>
          <w:rFonts w:ascii="Verdana" w:hAnsi="Verdana" w:cs="Arial"/>
          <w:color w:val="000000" w:themeColor="text1"/>
          <w:sz w:val="16"/>
          <w:szCs w:val="16"/>
          <w:lang w:val="es-ES"/>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w:t>
      </w:r>
      <w:r w:rsidRPr="00765327">
        <w:rPr>
          <w:rFonts w:ascii="Verdana" w:hAnsi="Verdana" w:cs="Arial"/>
          <w:color w:val="000000" w:themeColor="text1"/>
          <w:sz w:val="16"/>
          <w:szCs w:val="16"/>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footnote>
  <w:footnote w:id="6">
    <w:p w14:paraId="1C451F67" w14:textId="2B66189B" w:rsidR="005A600B" w:rsidRPr="00765327" w:rsidRDefault="005A600B" w:rsidP="00765327">
      <w:pPr>
        <w:pStyle w:val="Textonotapie"/>
        <w:snapToGrid w:val="0"/>
        <w:ind w:firstLine="709"/>
        <w:jc w:val="both"/>
        <w:rPr>
          <w:rFonts w:ascii="Verdana" w:hAnsi="Verdana" w:cs="Arial"/>
          <w:color w:val="000000" w:themeColor="text1"/>
          <w:sz w:val="16"/>
          <w:szCs w:val="16"/>
          <w:lang w:val="es-ES"/>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w:t>
      </w:r>
      <w:r w:rsidRPr="00765327">
        <w:rPr>
          <w:rFonts w:ascii="Verdana" w:hAnsi="Verdana" w:cs="Arial"/>
          <w:color w:val="000000" w:themeColor="text1"/>
          <w:sz w:val="16"/>
          <w:szCs w:val="16"/>
          <w:lang w:val="es-ES"/>
        </w:rPr>
        <w:t>Ibíd., p. 69.</w:t>
      </w:r>
    </w:p>
  </w:footnote>
  <w:footnote w:id="7">
    <w:p w14:paraId="7E847DE0" w14:textId="48BAD216" w:rsidR="005A600B" w:rsidRPr="00765327" w:rsidRDefault="005A600B" w:rsidP="00765327">
      <w:pPr>
        <w:pStyle w:val="Textonotapie"/>
        <w:snapToGrid w:val="0"/>
        <w:ind w:firstLine="709"/>
        <w:jc w:val="both"/>
        <w:rPr>
          <w:rFonts w:ascii="Verdana" w:hAnsi="Verdana" w:cs="Arial"/>
          <w:color w:val="000000" w:themeColor="text1"/>
          <w:sz w:val="16"/>
          <w:szCs w:val="16"/>
          <w:lang w:val="es-ES"/>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w:t>
      </w:r>
      <w:r w:rsidRPr="00765327">
        <w:rPr>
          <w:rFonts w:ascii="Verdana" w:hAnsi="Verdana" w:cs="Arial"/>
          <w:color w:val="000000" w:themeColor="text1"/>
          <w:sz w:val="16"/>
          <w:szCs w:val="16"/>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footnote>
  <w:footnote w:id="8">
    <w:p w14:paraId="4C50639E" w14:textId="467121F0" w:rsidR="005A600B" w:rsidRPr="00765327" w:rsidRDefault="005A600B" w:rsidP="00765327">
      <w:pPr>
        <w:pStyle w:val="Textonotapie"/>
        <w:snapToGrid w:val="0"/>
        <w:ind w:firstLine="709"/>
        <w:jc w:val="both"/>
        <w:rPr>
          <w:rFonts w:ascii="Verdana" w:hAnsi="Verdana" w:cs="Arial"/>
          <w:color w:val="000000" w:themeColor="text1"/>
          <w:sz w:val="16"/>
          <w:szCs w:val="16"/>
          <w:lang w:val="es-ES"/>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w:t>
      </w:r>
      <w:r w:rsidRPr="00765327">
        <w:rPr>
          <w:rFonts w:ascii="Verdana" w:hAnsi="Verdana" w:cs="Arial"/>
          <w:color w:val="000000" w:themeColor="text1"/>
          <w:sz w:val="16"/>
          <w:szCs w:val="16"/>
          <w:lang w:val="es-ES"/>
        </w:rPr>
        <w:t>Consejo de Estado. Sala de Consulta y Servicio Civil. Concepto del 30 de abril de 2015. Expediente: 2251. Consejero Ponente: Álvaro Namén Vargas.</w:t>
      </w:r>
    </w:p>
  </w:footnote>
  <w:footnote w:id="9">
    <w:p w14:paraId="05CD4DFF" w14:textId="2BC0C379" w:rsidR="005A600B" w:rsidRPr="00765327" w:rsidRDefault="005A600B" w:rsidP="00765327">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Consejo de Estado. Sección Tercera. Subsección A. Sentencia del 24 de junio de 2015. Exp. 40.635. Consejero Ponente: Hernán Andrade Rincón (E).</w:t>
      </w:r>
    </w:p>
  </w:footnote>
  <w:footnote w:id="10">
    <w:p w14:paraId="212DE07D" w14:textId="4ADC8A0B" w:rsidR="005A600B" w:rsidRPr="00765327" w:rsidRDefault="005A600B" w:rsidP="00765327">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Consejo de Estado. Sección Tercera. Subsección C. Sentencia del 22 de mayo de 2013. Exp. 24.057. Consejera Ponente: Olga Melida Valle De De La Hoz.</w:t>
      </w:r>
    </w:p>
  </w:footnote>
  <w:footnote w:id="11">
    <w:p w14:paraId="2D5E2B2D" w14:textId="4DC838FF" w:rsidR="00D41723" w:rsidRPr="00765327" w:rsidRDefault="00D41723" w:rsidP="00765327">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w:t>
      </w:r>
      <w:r w:rsidR="0026460B" w:rsidRPr="00765327">
        <w:rPr>
          <w:rFonts w:ascii="Verdana" w:hAnsi="Verdana" w:cs="Arial"/>
          <w:color w:val="000000" w:themeColor="text1"/>
          <w:sz w:val="16"/>
          <w:szCs w:val="16"/>
        </w:rPr>
        <w:t xml:space="preserve">Artículo 2 de la </w:t>
      </w:r>
      <w:r w:rsidRPr="00765327">
        <w:rPr>
          <w:rFonts w:ascii="Verdana" w:hAnsi="Verdana" w:cs="Arial"/>
          <w:color w:val="000000" w:themeColor="text1"/>
          <w:sz w:val="16"/>
          <w:szCs w:val="16"/>
        </w:rPr>
        <w:t>Ley 1150 de 2007</w:t>
      </w:r>
      <w:r w:rsidR="0026460B" w:rsidRPr="00765327">
        <w:rPr>
          <w:rFonts w:ascii="Verdana" w:hAnsi="Verdana" w:cs="Arial"/>
          <w:color w:val="000000" w:themeColor="text1"/>
          <w:sz w:val="16"/>
          <w:szCs w:val="16"/>
        </w:rPr>
        <w:t>.</w:t>
      </w:r>
    </w:p>
  </w:footnote>
  <w:footnote w:id="12">
    <w:p w14:paraId="10AB2236" w14:textId="77DF5929" w:rsidR="00D41723" w:rsidRPr="00765327" w:rsidRDefault="00D41723" w:rsidP="00765327">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Decreto 1082 de 2015: </w:t>
      </w:r>
      <w:r w:rsidR="004F04A6" w:rsidRPr="00765327">
        <w:rPr>
          <w:rFonts w:ascii="Verdana" w:hAnsi="Verdana" w:cs="Arial"/>
          <w:color w:val="000000" w:themeColor="text1"/>
          <w:sz w:val="16"/>
          <w:szCs w:val="16"/>
        </w:rPr>
        <w:t>“</w:t>
      </w:r>
      <w:r w:rsidRPr="00765327">
        <w:rPr>
          <w:rFonts w:ascii="Verdana" w:hAnsi="Verdana" w:cs="Arial"/>
          <w:color w:val="000000" w:themeColor="text1"/>
          <w:sz w:val="16"/>
          <w:szCs w:val="16"/>
        </w:rPr>
        <w:t>Artículo 2.2.1.2.1.4.4. Convenios o contratos interadministrativos. La modalidad de selección para la contratación entre Entidades Estatales es la contratación directa; y en consecuencia, le es aplicable lo establecido en el artículo 2.2.1.2.1.4.1 del presente decreto.</w:t>
      </w:r>
    </w:p>
    <w:p w14:paraId="53CD802D" w14:textId="7C09A4EC" w:rsidR="00D41723" w:rsidRPr="00765327" w:rsidRDefault="00D41723" w:rsidP="00765327">
      <w:pPr>
        <w:pStyle w:val="Textonotapie"/>
        <w:snapToGrid w:val="0"/>
        <w:ind w:firstLine="709"/>
        <w:jc w:val="both"/>
        <w:rPr>
          <w:rFonts w:ascii="Verdana" w:hAnsi="Verdana" w:cs="Arial"/>
          <w:color w:val="000000" w:themeColor="text1"/>
          <w:sz w:val="16"/>
          <w:szCs w:val="16"/>
        </w:rPr>
      </w:pPr>
      <w:r w:rsidRPr="00765327">
        <w:rPr>
          <w:rFonts w:ascii="Verdana" w:hAnsi="Verdana"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r w:rsidR="004F04A6" w:rsidRPr="00765327">
        <w:rPr>
          <w:rFonts w:ascii="Verdana" w:hAnsi="Verdana" w:cs="Arial"/>
          <w:color w:val="000000" w:themeColor="text1"/>
          <w:sz w:val="16"/>
          <w:szCs w:val="16"/>
        </w:rPr>
        <w:t>”</w:t>
      </w:r>
      <w:r w:rsidRPr="00765327">
        <w:rPr>
          <w:rFonts w:ascii="Verdana" w:hAnsi="Verdana" w:cs="Arial"/>
          <w:color w:val="000000" w:themeColor="text1"/>
          <w:sz w:val="16"/>
          <w:szCs w:val="16"/>
        </w:rPr>
        <w:t>.</w:t>
      </w:r>
    </w:p>
  </w:footnote>
  <w:footnote w:id="13">
    <w:p w14:paraId="5D651D91" w14:textId="789442CC" w:rsidR="00D41723" w:rsidRPr="00765327" w:rsidRDefault="00D41723" w:rsidP="00765327">
      <w:pPr>
        <w:snapToGrid w:val="0"/>
        <w:spacing w:after="0" w:line="240" w:lineRule="auto"/>
        <w:ind w:firstLine="709"/>
        <w:jc w:val="both"/>
        <w:rPr>
          <w:rFonts w:ascii="Verdana" w:hAnsi="Verdana" w:cs="Arial"/>
          <w:color w:val="000000" w:themeColor="text1"/>
          <w:sz w:val="16"/>
          <w:szCs w:val="16"/>
        </w:rPr>
      </w:pPr>
      <w:r w:rsidRPr="00765327">
        <w:rPr>
          <w:rStyle w:val="Refdenotaalpie"/>
          <w:rFonts w:ascii="Verdana" w:hAnsi="Verdana" w:cs="Arial"/>
          <w:color w:val="000000" w:themeColor="text1"/>
          <w:sz w:val="16"/>
          <w:szCs w:val="16"/>
        </w:rPr>
        <w:footnoteRef/>
      </w:r>
      <w:r w:rsidRPr="00765327">
        <w:rPr>
          <w:rStyle w:val="Refdenotaalpie"/>
          <w:rFonts w:ascii="Verdana" w:hAnsi="Verdana" w:cs="Arial"/>
          <w:color w:val="000000" w:themeColor="text1"/>
          <w:sz w:val="16"/>
          <w:szCs w:val="16"/>
        </w:rPr>
        <w:t xml:space="preserve"> </w:t>
      </w:r>
      <w:r w:rsidRPr="00765327">
        <w:rPr>
          <w:rFonts w:ascii="Verdana" w:hAnsi="Verdana" w:cs="Arial"/>
          <w:color w:val="000000" w:themeColor="text1"/>
          <w:sz w:val="16"/>
          <w:szCs w:val="16"/>
        </w:rPr>
        <w:t xml:space="preserve">Ley 1150 de 2007: </w:t>
      </w:r>
      <w:r w:rsidR="004F04A6" w:rsidRPr="00765327">
        <w:rPr>
          <w:rFonts w:ascii="Verdana" w:hAnsi="Verdana" w:cs="Arial"/>
          <w:color w:val="000000" w:themeColor="text1"/>
          <w:sz w:val="16"/>
          <w:szCs w:val="16"/>
        </w:rPr>
        <w:t>“</w:t>
      </w:r>
      <w:r w:rsidRPr="00765327">
        <w:rPr>
          <w:rFonts w:ascii="Verdana" w:hAnsi="Verdana" w:cs="Arial"/>
          <w:color w:val="000000" w:themeColor="text1"/>
          <w:sz w:val="16"/>
          <w:szCs w:val="16"/>
        </w:rPr>
        <w:t>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r w:rsidR="004F04A6" w:rsidRPr="00765327">
        <w:rPr>
          <w:rFonts w:ascii="Verdana" w:hAnsi="Verdana" w:cs="Arial"/>
          <w:color w:val="000000" w:themeColor="text1"/>
          <w:sz w:val="16"/>
          <w:szCs w:val="16"/>
        </w:rPr>
        <w:t>”</w:t>
      </w:r>
      <w:r w:rsidRPr="00765327">
        <w:rPr>
          <w:rFonts w:ascii="Verdana" w:hAnsi="Verdana" w:cs="Arial"/>
          <w:color w:val="000000" w:themeColor="text1"/>
          <w:sz w:val="16"/>
          <w:szCs w:val="16"/>
        </w:rPr>
        <w:t>.</w:t>
      </w:r>
    </w:p>
  </w:footnote>
  <w:footnote w:id="14">
    <w:p w14:paraId="0B2C1EA4" w14:textId="7B7C0560" w:rsidR="00D41723" w:rsidRPr="00765327" w:rsidRDefault="00D41723" w:rsidP="00765327">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Ley 80 de 1993: </w:t>
      </w:r>
      <w:r w:rsidR="004F04A6" w:rsidRPr="00765327">
        <w:rPr>
          <w:rFonts w:ascii="Verdana" w:hAnsi="Verdana" w:cs="Arial"/>
          <w:color w:val="000000" w:themeColor="text1"/>
          <w:sz w:val="16"/>
          <w:szCs w:val="16"/>
        </w:rPr>
        <w:t>“</w:t>
      </w:r>
      <w:r w:rsidRPr="00765327">
        <w:rPr>
          <w:rFonts w:ascii="Verdana" w:hAnsi="Verdana" w:cs="Arial"/>
          <w:color w:val="000000" w:themeColor="text1"/>
          <w:sz w:val="16"/>
          <w:szCs w:val="16"/>
        </w:rPr>
        <w:t>Artículo 41. Del perfeccionamiento del contrato. Los contratos del Estado se perfeccionan cuando se logre acuerdo sobre el objeto y la contraprestación y éste se eleve a escrito.</w:t>
      </w:r>
    </w:p>
    <w:p w14:paraId="3CDE61E0" w14:textId="63443599" w:rsidR="00D41723" w:rsidRPr="00765327" w:rsidRDefault="00D41723" w:rsidP="00765327">
      <w:pPr>
        <w:pStyle w:val="Textonotapie"/>
        <w:snapToGrid w:val="0"/>
        <w:ind w:firstLine="709"/>
        <w:jc w:val="both"/>
        <w:rPr>
          <w:rFonts w:ascii="Verdana" w:hAnsi="Verdana" w:cs="Arial"/>
          <w:color w:val="000000" w:themeColor="text1"/>
          <w:sz w:val="16"/>
          <w:szCs w:val="16"/>
        </w:rPr>
      </w:pPr>
      <w:r w:rsidRPr="00765327">
        <w:rPr>
          <w:rFonts w:ascii="Verdana" w:hAnsi="Verdana" w:cs="Arial"/>
          <w:color w:val="000000" w:themeColor="text1"/>
          <w:sz w:val="16"/>
          <w:szCs w:val="16"/>
        </w:rPr>
        <w:t>[…]</w:t>
      </w:r>
      <w:r w:rsidR="004F04A6" w:rsidRPr="00765327">
        <w:rPr>
          <w:rFonts w:ascii="Verdana" w:hAnsi="Verdana" w:cs="Arial"/>
          <w:color w:val="000000" w:themeColor="text1"/>
          <w:sz w:val="16"/>
          <w:szCs w:val="16"/>
        </w:rPr>
        <w:t>”</w:t>
      </w:r>
      <w:r w:rsidRPr="00765327">
        <w:rPr>
          <w:rFonts w:ascii="Verdana" w:hAnsi="Verdana" w:cs="Arial"/>
          <w:color w:val="000000" w:themeColor="text1"/>
          <w:sz w:val="16"/>
          <w:szCs w:val="16"/>
        </w:rPr>
        <w:t>.</w:t>
      </w:r>
    </w:p>
  </w:footnote>
  <w:footnote w:id="15">
    <w:p w14:paraId="35252200" w14:textId="3F5C0E53" w:rsidR="00D41723" w:rsidRPr="00765327" w:rsidRDefault="00D41723" w:rsidP="00765327">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Código Civil: </w:t>
      </w:r>
      <w:r w:rsidR="004F04A6" w:rsidRPr="00765327">
        <w:rPr>
          <w:rFonts w:ascii="Verdana" w:hAnsi="Verdana" w:cs="Arial"/>
          <w:color w:val="000000" w:themeColor="text1"/>
          <w:sz w:val="16"/>
          <w:szCs w:val="16"/>
        </w:rPr>
        <w:t>“</w:t>
      </w:r>
      <w:r w:rsidRPr="00765327">
        <w:rPr>
          <w:rFonts w:ascii="Verdana" w:hAnsi="Verdana" w:cs="Arial"/>
          <w:color w:val="000000" w:themeColor="text1"/>
          <w:sz w:val="16"/>
          <w:szCs w:val="16"/>
        </w:rPr>
        <w:t>Artículo 27. Cuando el sentido de la ley sea claro, no se desatenderá su tenor a pretexto de consultar su espíritu</w:t>
      </w:r>
      <w:r w:rsidR="004F04A6" w:rsidRPr="00765327">
        <w:rPr>
          <w:rFonts w:ascii="Verdana" w:hAnsi="Verdana" w:cs="Arial"/>
          <w:color w:val="000000" w:themeColor="text1"/>
          <w:sz w:val="16"/>
          <w:szCs w:val="16"/>
        </w:rPr>
        <w:t>”</w:t>
      </w:r>
      <w:r w:rsidRPr="00765327">
        <w:rPr>
          <w:rFonts w:ascii="Verdana" w:hAnsi="Verdana" w:cs="Arial"/>
          <w:color w:val="000000" w:themeColor="text1"/>
          <w:sz w:val="16"/>
          <w:szCs w:val="16"/>
        </w:rPr>
        <w:t>.</w:t>
      </w:r>
    </w:p>
  </w:footnote>
  <w:footnote w:id="16">
    <w:p w14:paraId="56E86C74" w14:textId="22E5C775" w:rsidR="00D41723" w:rsidRPr="00765327" w:rsidRDefault="00D41723" w:rsidP="00765327">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Consejo de Estado. Sección Tercera. Sentencia del 23 de junio de 2010. Radicación No. 66001-23-31-000-1998-00261-01(17.860). Consejero Ponente: Mauricio Fajardo Gómez.</w:t>
      </w:r>
    </w:p>
  </w:footnote>
  <w:footnote w:id="17">
    <w:p w14:paraId="2D957715" w14:textId="77777777" w:rsidR="00D41723" w:rsidRPr="00765327" w:rsidRDefault="00D41723" w:rsidP="00765327">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sz w:val="16"/>
          <w:szCs w:val="16"/>
        </w:rPr>
        <w:footnoteRef/>
      </w:r>
      <w:r w:rsidRPr="00765327">
        <w:rPr>
          <w:rFonts w:ascii="Verdana" w:hAnsi="Verdana" w:cs="Arial"/>
          <w:sz w:val="16"/>
          <w:szCs w:val="16"/>
        </w:rPr>
        <w:t xml:space="preserve"> </w:t>
      </w:r>
      <w:r w:rsidRPr="00765327">
        <w:rPr>
          <w:rFonts w:ascii="Verdana" w:hAnsi="Verdana" w:cs="Arial"/>
          <w:color w:val="000000" w:themeColor="text1"/>
          <w:sz w:val="16"/>
          <w:szCs w:val="16"/>
        </w:rPr>
        <w:t>Consejo de Estado. Sección Tercera. Sentencia del 06 de junio de 2007. Radicación No. 25000-23-26-000-1996-02482-01(17.253). Consejera Ponente: Ruth Stella Correa Palacio.</w:t>
      </w:r>
    </w:p>
    <w:p w14:paraId="5A062B68" w14:textId="77777777" w:rsidR="00D41723" w:rsidRPr="00765327" w:rsidRDefault="00D41723" w:rsidP="00765327">
      <w:pPr>
        <w:pStyle w:val="Textonotapie"/>
        <w:snapToGrid w:val="0"/>
        <w:ind w:firstLine="709"/>
        <w:jc w:val="both"/>
        <w:rPr>
          <w:rFonts w:ascii="Verdana" w:hAnsi="Verdana" w:cs="Arial"/>
          <w:sz w:val="16"/>
          <w:szCs w:val="16"/>
          <w:lang w:val="es-CO"/>
        </w:rPr>
      </w:pPr>
    </w:p>
  </w:footnote>
  <w:footnote w:id="18">
    <w:p w14:paraId="39BC1943" w14:textId="77777777" w:rsidR="00D41723" w:rsidRPr="00765327" w:rsidRDefault="00D41723" w:rsidP="00765327">
      <w:pPr>
        <w:pStyle w:val="Textonotapie"/>
        <w:snapToGrid w:val="0"/>
        <w:ind w:firstLine="709"/>
        <w:jc w:val="both"/>
        <w:rPr>
          <w:rFonts w:ascii="Verdana" w:hAnsi="Verdana" w:cs="Arial"/>
          <w:sz w:val="16"/>
          <w:szCs w:val="16"/>
        </w:rPr>
      </w:pPr>
      <w:r w:rsidRPr="00765327">
        <w:rPr>
          <w:rStyle w:val="Refdenotaalpie"/>
          <w:rFonts w:ascii="Verdana" w:hAnsi="Verdana" w:cs="Arial"/>
          <w:sz w:val="16"/>
          <w:szCs w:val="16"/>
        </w:rPr>
        <w:footnoteRef/>
      </w:r>
      <w:r w:rsidRPr="00765327">
        <w:rPr>
          <w:rFonts w:ascii="Verdana" w:hAnsi="Verdana" w:cs="Arial"/>
          <w:sz w:val="16"/>
          <w:szCs w:val="16"/>
        </w:rPr>
        <w:t xml:space="preserve"> </w:t>
      </w:r>
      <w:r w:rsidRPr="00765327">
        <w:rPr>
          <w:rFonts w:ascii="Verdana" w:hAnsi="Verdana" w:cs="Arial"/>
          <w:color w:val="000000" w:themeColor="text1"/>
          <w:sz w:val="16"/>
          <w:szCs w:val="16"/>
        </w:rPr>
        <w:t>Consejo de Estado, Sala de Consulta y Servicio Civil, Concepto de 7 febrero de 1997, Rad. 934, C. P. Javier Henao Hidrón.</w:t>
      </w:r>
      <w:r w:rsidRPr="00765327">
        <w:rPr>
          <w:rFonts w:ascii="Verdana" w:hAnsi="Verdana" w:cs="Arial"/>
          <w:sz w:val="16"/>
          <w:szCs w:val="16"/>
        </w:rPr>
        <w:t xml:space="preserve"> </w:t>
      </w:r>
    </w:p>
    <w:p w14:paraId="0021E913" w14:textId="77777777" w:rsidR="00D41723" w:rsidRPr="00765327" w:rsidRDefault="00D41723" w:rsidP="00765327">
      <w:pPr>
        <w:pStyle w:val="Textonotapie"/>
        <w:snapToGrid w:val="0"/>
        <w:ind w:firstLine="709"/>
        <w:jc w:val="both"/>
        <w:rPr>
          <w:rFonts w:ascii="Verdana" w:hAnsi="Verdana" w:cs="Arial"/>
          <w:sz w:val="16"/>
          <w:szCs w:val="16"/>
          <w:lang w:val="es-CO"/>
        </w:rPr>
      </w:pPr>
      <w:r w:rsidRPr="00765327">
        <w:rPr>
          <w:rFonts w:ascii="Verdana" w:hAnsi="Verdana" w:cs="Arial"/>
          <w:sz w:val="16"/>
          <w:szCs w:val="16"/>
        </w:rPr>
        <w:t xml:space="preserve"> </w:t>
      </w:r>
    </w:p>
  </w:footnote>
  <w:footnote w:id="19">
    <w:p w14:paraId="37A73980" w14:textId="336456F0" w:rsidR="00D41723" w:rsidRPr="00765327" w:rsidRDefault="00D41723" w:rsidP="00765327">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sz w:val="16"/>
          <w:szCs w:val="16"/>
        </w:rPr>
        <w:footnoteRef/>
      </w:r>
      <w:r w:rsidRPr="00765327">
        <w:rPr>
          <w:rFonts w:ascii="Verdana" w:hAnsi="Verdana" w:cs="Arial"/>
          <w:sz w:val="16"/>
          <w:szCs w:val="16"/>
        </w:rPr>
        <w:t xml:space="preserve"> </w:t>
      </w:r>
      <w:r w:rsidRPr="00765327">
        <w:rPr>
          <w:rFonts w:ascii="Verdana" w:hAnsi="Verdana" w:cs="Arial"/>
          <w:color w:val="000000" w:themeColor="text1"/>
          <w:sz w:val="16"/>
          <w:szCs w:val="16"/>
        </w:rPr>
        <w:t>Consejo de Estado. Sección Tercera. Sentencia del 06 de junio de 2007. Radicación No. 25000-23-26-000-1996-02482-01(17.253). Consejera Ponente: Ruth Stella Correa Palacio.</w:t>
      </w:r>
    </w:p>
  </w:footnote>
  <w:footnote w:id="20">
    <w:p w14:paraId="2555BC4B" w14:textId="30651A00" w:rsidR="00D41723" w:rsidRPr="00765327" w:rsidRDefault="00D41723" w:rsidP="00765327">
      <w:pPr>
        <w:pStyle w:val="Textonotapie"/>
        <w:snapToGrid w:val="0"/>
        <w:ind w:firstLine="709"/>
        <w:jc w:val="both"/>
        <w:rPr>
          <w:rFonts w:ascii="Verdana" w:hAnsi="Verdana" w:cs="Arial"/>
          <w:sz w:val="16"/>
          <w:szCs w:val="16"/>
          <w:lang w:val="es-ES"/>
        </w:rPr>
      </w:pPr>
      <w:r w:rsidRPr="00765327">
        <w:rPr>
          <w:rStyle w:val="Refdenotaalpie"/>
          <w:rFonts w:ascii="Verdana" w:hAnsi="Verdana" w:cs="Arial"/>
          <w:sz w:val="16"/>
          <w:szCs w:val="16"/>
        </w:rPr>
        <w:footnoteRef/>
      </w:r>
      <w:r w:rsidRPr="00765327">
        <w:rPr>
          <w:rFonts w:ascii="Verdana" w:hAnsi="Verdana" w:cs="Arial"/>
          <w:sz w:val="16"/>
          <w:szCs w:val="16"/>
        </w:rPr>
        <w:t xml:space="preserve"> </w:t>
      </w:r>
      <w:r w:rsidRPr="00765327">
        <w:rPr>
          <w:rFonts w:ascii="Verdana" w:hAnsi="Verdana" w:cs="Arial"/>
          <w:sz w:val="16"/>
          <w:szCs w:val="16"/>
          <w:lang w:val="es-ES"/>
        </w:rPr>
        <w:t xml:space="preserve">Así lo ha considerado también la doctrina: </w:t>
      </w:r>
      <w:r w:rsidR="004F04A6" w:rsidRPr="00765327">
        <w:rPr>
          <w:rFonts w:ascii="Verdana" w:hAnsi="Verdana" w:cs="Arial"/>
          <w:sz w:val="16"/>
          <w:szCs w:val="16"/>
          <w:lang w:val="es-ES"/>
        </w:rPr>
        <w:t>“</w:t>
      </w:r>
      <w:r w:rsidRPr="00765327">
        <w:rPr>
          <w:rFonts w:ascii="Verdana" w:hAnsi="Verdana" w:cs="Arial"/>
          <w:sz w:val="16"/>
          <w:szCs w:val="16"/>
          <w:lang w:val="es-ES"/>
        </w:rPr>
        <w:t>La administración delegada es una modalidad de pago poco usada en la actualidad, pero, al fin y al cabo, empleada ocasionalmente. En ella el contratista se compromete a ejecutar un trabajo, pero con los recursos económicos, materiales y/o la maquinaria del Estado. Desde este punto de vista se diferencia sustancialmente del precio global y del unitario, donde lo normal es que el contratista pone estos recursos para ejecutar el trabajo.</w:t>
      </w:r>
    </w:p>
    <w:p w14:paraId="65254616" w14:textId="2C459CFC" w:rsidR="00D41723" w:rsidRPr="00765327" w:rsidRDefault="00D41723" w:rsidP="00765327">
      <w:pPr>
        <w:pStyle w:val="Textonotapie"/>
        <w:snapToGrid w:val="0"/>
        <w:ind w:firstLine="709"/>
        <w:jc w:val="both"/>
        <w:rPr>
          <w:rFonts w:ascii="Verdana" w:hAnsi="Verdana" w:cs="Arial"/>
          <w:sz w:val="16"/>
          <w:szCs w:val="16"/>
          <w:lang w:val="es-ES"/>
        </w:rPr>
      </w:pPr>
      <w:r w:rsidRPr="00765327">
        <w:rPr>
          <w:rFonts w:ascii="Verdana" w:hAnsi="Verdana" w:cs="Arial"/>
          <w:sz w:val="16"/>
          <w:szCs w:val="16"/>
          <w:lang w:val="es-ES"/>
        </w:rPr>
        <w:t>[…]</w:t>
      </w:r>
    </w:p>
    <w:p w14:paraId="61FEA6B6" w14:textId="46DECABC" w:rsidR="00D41723" w:rsidRPr="00765327" w:rsidRDefault="00D41723" w:rsidP="00765327">
      <w:pPr>
        <w:pStyle w:val="Textonotapie"/>
        <w:snapToGrid w:val="0"/>
        <w:ind w:firstLine="709"/>
        <w:jc w:val="both"/>
        <w:rPr>
          <w:rFonts w:ascii="Verdana" w:hAnsi="Verdana" w:cs="Arial"/>
          <w:sz w:val="16"/>
          <w:szCs w:val="16"/>
          <w:lang w:val="es-ES"/>
        </w:rPr>
      </w:pPr>
      <w:r w:rsidRPr="00765327">
        <w:rPr>
          <w:rFonts w:ascii="Verdana" w:hAnsi="Verdana" w:cs="Arial"/>
          <w:sz w:val="16"/>
          <w:szCs w:val="16"/>
          <w:lang w:val="es-ES"/>
        </w:rPr>
        <w:t xml:space="preserve">Los aspectos claves de este negocio, en función del precio, tienen que ver con el hecho de que la entidad estatal asume la obligación de poner el dinero para que el contratista compre los materiales, pague el arriendo de la maquinaria, del personal de trabajo, y demás elementos necesarios para la construcción; y el contratista se compromete a construir con estos recursos puestos a su disposición; no se le paga un precio unitario o global, sino una </w:t>
      </w:r>
      <w:r w:rsidRPr="00765327">
        <w:rPr>
          <w:rFonts w:ascii="Verdana" w:hAnsi="Verdana" w:cs="Arial"/>
          <w:i/>
          <w:iCs/>
          <w:sz w:val="16"/>
          <w:szCs w:val="16"/>
          <w:lang w:val="es-ES"/>
        </w:rPr>
        <w:t>administración</w:t>
      </w:r>
      <w:r w:rsidRPr="00765327">
        <w:rPr>
          <w:rFonts w:ascii="Verdana" w:hAnsi="Verdana" w:cs="Arial"/>
          <w:sz w:val="16"/>
          <w:szCs w:val="16"/>
          <w:lang w:val="es-ES"/>
        </w:rPr>
        <w:t>, por el hecho de poner su conocimiento y esfuerzo al servicio de la construcción de una obra, la cual ejecuta con los recursos del Estado</w:t>
      </w:r>
      <w:r w:rsidR="004F04A6" w:rsidRPr="00765327">
        <w:rPr>
          <w:rFonts w:ascii="Verdana" w:hAnsi="Verdana" w:cs="Arial"/>
          <w:sz w:val="16"/>
          <w:szCs w:val="16"/>
          <w:lang w:val="es-ES"/>
        </w:rPr>
        <w:t>”</w:t>
      </w:r>
      <w:r w:rsidRPr="00765327">
        <w:rPr>
          <w:rFonts w:ascii="Verdana" w:hAnsi="Verdana" w:cs="Arial"/>
          <w:sz w:val="16"/>
          <w:szCs w:val="16"/>
          <w:lang w:val="es-ES"/>
        </w:rPr>
        <w:t xml:space="preserve"> (MARÍN CORTÉS, Fabián. </w:t>
      </w:r>
      <w:r w:rsidRPr="00765327">
        <w:rPr>
          <w:rFonts w:ascii="Verdana" w:hAnsi="Verdana" w:cs="Arial"/>
          <w:i/>
          <w:iCs/>
          <w:sz w:val="16"/>
          <w:szCs w:val="16"/>
          <w:lang w:val="es-ES"/>
        </w:rPr>
        <w:t>El precio</w:t>
      </w:r>
      <w:r w:rsidRPr="00765327">
        <w:rPr>
          <w:rFonts w:ascii="Verdana" w:hAnsi="Verdana" w:cs="Arial"/>
          <w:sz w:val="16"/>
          <w:szCs w:val="16"/>
          <w:lang w:val="es-ES"/>
        </w:rPr>
        <w:t xml:space="preserve">. Medellín: Librería Jurídica Sánchez, Centro de Estudios de Derecho Administrativo –CEDA–, 2012, pp. 149-150). </w:t>
      </w:r>
    </w:p>
  </w:footnote>
  <w:footnote w:id="21">
    <w:p w14:paraId="52238A67" w14:textId="557CC1B3" w:rsidR="00613372" w:rsidRPr="00765327" w:rsidRDefault="00613372" w:rsidP="00765327">
      <w:pPr>
        <w:pStyle w:val="Textonotapie"/>
        <w:snapToGrid w:val="0"/>
        <w:ind w:firstLine="709"/>
        <w:jc w:val="both"/>
        <w:rPr>
          <w:rFonts w:ascii="Verdana" w:hAnsi="Verdana"/>
          <w:sz w:val="16"/>
          <w:szCs w:val="16"/>
          <w:lang w:val="es-ES_tradnl"/>
        </w:rPr>
      </w:pPr>
      <w:r w:rsidRPr="00765327">
        <w:rPr>
          <w:rStyle w:val="Refdenotaalpie"/>
          <w:rFonts w:ascii="Verdana" w:hAnsi="Verdana"/>
          <w:sz w:val="16"/>
          <w:szCs w:val="16"/>
        </w:rPr>
        <w:footnoteRef/>
      </w:r>
      <w:r w:rsidRPr="00765327">
        <w:rPr>
          <w:rFonts w:ascii="Verdana" w:hAnsi="Verdana"/>
          <w:sz w:val="16"/>
          <w:szCs w:val="16"/>
        </w:rPr>
        <w:t xml:space="preserve"> </w:t>
      </w:r>
      <w:r w:rsidR="006F7484" w:rsidRPr="00765327">
        <w:rPr>
          <w:rFonts w:ascii="Verdana" w:hAnsi="Verdana"/>
          <w:sz w:val="16"/>
          <w:szCs w:val="16"/>
        </w:rPr>
        <w:t>Ley 1474 de 2011: “Artículo 5o. Quien haya celebrado un contrato estatal de obra pública, de concesión, suministro de medicamentos y de alimentos o su cónyuge, compañero o compañera permanente, pariente hasta el segundo grado de consanguinidad,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w:t>
      </w:r>
    </w:p>
  </w:footnote>
  <w:footnote w:id="22">
    <w:p w14:paraId="264F0225" w14:textId="795B67E7" w:rsidR="00450BEC" w:rsidRPr="00765327" w:rsidRDefault="00450BEC" w:rsidP="00765327">
      <w:pPr>
        <w:snapToGrid w:val="0"/>
        <w:spacing w:after="0" w:line="240" w:lineRule="auto"/>
        <w:ind w:firstLine="709"/>
        <w:jc w:val="both"/>
        <w:rPr>
          <w:rFonts w:ascii="Verdana" w:hAnsi="Verdana"/>
          <w:sz w:val="16"/>
          <w:szCs w:val="16"/>
        </w:rPr>
      </w:pPr>
      <w:r w:rsidRPr="00765327">
        <w:rPr>
          <w:rStyle w:val="Refdenotaalpie"/>
          <w:rFonts w:ascii="Verdana" w:hAnsi="Verdana"/>
          <w:sz w:val="16"/>
          <w:szCs w:val="16"/>
        </w:rPr>
        <w:footnoteRef/>
      </w:r>
      <w:r w:rsidRPr="00765327">
        <w:rPr>
          <w:rFonts w:ascii="Verdana" w:hAnsi="Verdana"/>
          <w:sz w:val="16"/>
          <w:szCs w:val="16"/>
        </w:rPr>
        <w:t xml:space="preserve"> DÁVILA, Luis Guillermo. Régimen jurídico de la contratación estatal. 3ª </w:t>
      </w:r>
      <w:r w:rsidR="0029230D" w:rsidRPr="00765327">
        <w:rPr>
          <w:rFonts w:ascii="Verdana" w:hAnsi="Verdana"/>
          <w:sz w:val="16"/>
          <w:szCs w:val="16"/>
        </w:rPr>
        <w:t>ed.</w:t>
      </w:r>
      <w:r w:rsidRPr="00765327">
        <w:rPr>
          <w:rFonts w:ascii="Verdana" w:hAnsi="Verdana"/>
          <w:sz w:val="16"/>
          <w:szCs w:val="16"/>
        </w:rPr>
        <w:t xml:space="preserve">, </w:t>
      </w:r>
      <w:r w:rsidR="0029230D" w:rsidRPr="00765327">
        <w:rPr>
          <w:rFonts w:ascii="Verdana" w:hAnsi="Verdana"/>
          <w:sz w:val="16"/>
          <w:szCs w:val="16"/>
        </w:rPr>
        <w:t xml:space="preserve">Legis: </w:t>
      </w:r>
      <w:r w:rsidRPr="00765327">
        <w:rPr>
          <w:rFonts w:ascii="Verdana" w:hAnsi="Verdana"/>
          <w:sz w:val="16"/>
          <w:szCs w:val="16"/>
        </w:rPr>
        <w:t>Bogotá, 2016</w:t>
      </w:r>
      <w:r w:rsidR="0029230D" w:rsidRPr="00765327">
        <w:rPr>
          <w:rFonts w:ascii="Verdana" w:hAnsi="Verdana"/>
          <w:sz w:val="16"/>
          <w:szCs w:val="16"/>
        </w:rPr>
        <w:t xml:space="preserve">. </w:t>
      </w:r>
      <w:r w:rsidRPr="00765327">
        <w:rPr>
          <w:rFonts w:ascii="Verdana" w:hAnsi="Verdana"/>
          <w:sz w:val="16"/>
          <w:szCs w:val="16"/>
        </w:rPr>
        <w:t>p. 187.</w:t>
      </w:r>
    </w:p>
    <w:p w14:paraId="04C0EDA3" w14:textId="401201AF" w:rsidR="00450BEC" w:rsidRPr="00765327" w:rsidRDefault="00450BEC" w:rsidP="00765327">
      <w:pPr>
        <w:pStyle w:val="Textonotapie"/>
        <w:snapToGrid w:val="0"/>
        <w:ind w:firstLine="709"/>
        <w:jc w:val="both"/>
        <w:rPr>
          <w:rFonts w:ascii="Verdana" w:hAnsi="Verdana"/>
          <w:sz w:val="16"/>
          <w:szCs w:val="16"/>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3B5D3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16557968" o:spid="_x0000_i1025" type="#_x0000_t75" style="width:11pt;height:11pt;visibility:visible;mso-wrap-style:square">
            <v:imagedata r:id="rId1" o:title=""/>
          </v:shape>
        </w:pict>
      </mc:Choice>
      <mc:Fallback>
        <w:drawing>
          <wp:inline distT="0" distB="0" distL="0" distR="0" wp14:anchorId="708A5283" wp14:editId="708A5284">
            <wp:extent cx="139700" cy="139700"/>
            <wp:effectExtent l="0" t="0" r="0" b="0"/>
            <wp:docPr id="1716557968" name="Imagen 171655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1330140246">
    <w:abstractNumId w:val="0"/>
  </w:num>
  <w:num w:numId="17" w16cid:durableId="7840391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1F7"/>
    <w:rsid w:val="00002D88"/>
    <w:rsid w:val="0000606F"/>
    <w:rsid w:val="00007C5E"/>
    <w:rsid w:val="000146EB"/>
    <w:rsid w:val="00016F78"/>
    <w:rsid w:val="00020B44"/>
    <w:rsid w:val="0002405E"/>
    <w:rsid w:val="000248FB"/>
    <w:rsid w:val="00025C61"/>
    <w:rsid w:val="00025F10"/>
    <w:rsid w:val="0004430D"/>
    <w:rsid w:val="00046945"/>
    <w:rsid w:val="00047108"/>
    <w:rsid w:val="00050AA7"/>
    <w:rsid w:val="000601B9"/>
    <w:rsid w:val="00060711"/>
    <w:rsid w:val="00061B2A"/>
    <w:rsid w:val="0006779E"/>
    <w:rsid w:val="00070F53"/>
    <w:rsid w:val="00071E57"/>
    <w:rsid w:val="000727EC"/>
    <w:rsid w:val="00074E9C"/>
    <w:rsid w:val="00076EFF"/>
    <w:rsid w:val="00077C87"/>
    <w:rsid w:val="0008016A"/>
    <w:rsid w:val="00082362"/>
    <w:rsid w:val="00082768"/>
    <w:rsid w:val="00082F1F"/>
    <w:rsid w:val="00085E43"/>
    <w:rsid w:val="00086724"/>
    <w:rsid w:val="000962B8"/>
    <w:rsid w:val="00096543"/>
    <w:rsid w:val="000971D9"/>
    <w:rsid w:val="000A150E"/>
    <w:rsid w:val="000A3694"/>
    <w:rsid w:val="000A551A"/>
    <w:rsid w:val="000A683E"/>
    <w:rsid w:val="000B0CBD"/>
    <w:rsid w:val="000B19B9"/>
    <w:rsid w:val="000B4B02"/>
    <w:rsid w:val="000B5580"/>
    <w:rsid w:val="000C1968"/>
    <w:rsid w:val="000C4940"/>
    <w:rsid w:val="000C6450"/>
    <w:rsid w:val="000C7BB5"/>
    <w:rsid w:val="000D01BC"/>
    <w:rsid w:val="000D0334"/>
    <w:rsid w:val="000D4512"/>
    <w:rsid w:val="000D4DEA"/>
    <w:rsid w:val="000D714D"/>
    <w:rsid w:val="000D7D0A"/>
    <w:rsid w:val="000E0C83"/>
    <w:rsid w:val="000F2517"/>
    <w:rsid w:val="000F6486"/>
    <w:rsid w:val="000F6502"/>
    <w:rsid w:val="000F6E95"/>
    <w:rsid w:val="000F7536"/>
    <w:rsid w:val="00100A2E"/>
    <w:rsid w:val="00101515"/>
    <w:rsid w:val="001048E4"/>
    <w:rsid w:val="00104B9A"/>
    <w:rsid w:val="00105491"/>
    <w:rsid w:val="00107437"/>
    <w:rsid w:val="00110334"/>
    <w:rsid w:val="0011729A"/>
    <w:rsid w:val="00117C9B"/>
    <w:rsid w:val="001244BE"/>
    <w:rsid w:val="00124E25"/>
    <w:rsid w:val="00125105"/>
    <w:rsid w:val="00127233"/>
    <w:rsid w:val="001318E0"/>
    <w:rsid w:val="00135681"/>
    <w:rsid w:val="00135C5E"/>
    <w:rsid w:val="00145214"/>
    <w:rsid w:val="00146981"/>
    <w:rsid w:val="00147382"/>
    <w:rsid w:val="001511A0"/>
    <w:rsid w:val="00152EDD"/>
    <w:rsid w:val="00153DDF"/>
    <w:rsid w:val="00157F02"/>
    <w:rsid w:val="00160C17"/>
    <w:rsid w:val="00160F84"/>
    <w:rsid w:val="00163402"/>
    <w:rsid w:val="001643F4"/>
    <w:rsid w:val="001665AD"/>
    <w:rsid w:val="001666FA"/>
    <w:rsid w:val="00175B61"/>
    <w:rsid w:val="00180CBF"/>
    <w:rsid w:val="00181127"/>
    <w:rsid w:val="00181DA4"/>
    <w:rsid w:val="00182298"/>
    <w:rsid w:val="001826A7"/>
    <w:rsid w:val="001855D9"/>
    <w:rsid w:val="00190806"/>
    <w:rsid w:val="00192F24"/>
    <w:rsid w:val="00194AAC"/>
    <w:rsid w:val="00196E3B"/>
    <w:rsid w:val="001B1D35"/>
    <w:rsid w:val="001C5F6C"/>
    <w:rsid w:val="001C6CEF"/>
    <w:rsid w:val="001D5B11"/>
    <w:rsid w:val="001D5D16"/>
    <w:rsid w:val="001D7B22"/>
    <w:rsid w:val="001E073E"/>
    <w:rsid w:val="001E0EC1"/>
    <w:rsid w:val="001E2498"/>
    <w:rsid w:val="001E3500"/>
    <w:rsid w:val="001E4177"/>
    <w:rsid w:val="001E6B61"/>
    <w:rsid w:val="001F1962"/>
    <w:rsid w:val="001F4240"/>
    <w:rsid w:val="001F4C54"/>
    <w:rsid w:val="001F5110"/>
    <w:rsid w:val="001F742B"/>
    <w:rsid w:val="001F7DC6"/>
    <w:rsid w:val="0020127B"/>
    <w:rsid w:val="002036B1"/>
    <w:rsid w:val="00204443"/>
    <w:rsid w:val="002048BF"/>
    <w:rsid w:val="002102B3"/>
    <w:rsid w:val="00212D32"/>
    <w:rsid w:val="002159B6"/>
    <w:rsid w:val="00220110"/>
    <w:rsid w:val="00226016"/>
    <w:rsid w:val="00232132"/>
    <w:rsid w:val="00234CD0"/>
    <w:rsid w:val="00235EB3"/>
    <w:rsid w:val="00236198"/>
    <w:rsid w:val="002366AB"/>
    <w:rsid w:val="002411DA"/>
    <w:rsid w:val="002421BB"/>
    <w:rsid w:val="00243DEC"/>
    <w:rsid w:val="002464F4"/>
    <w:rsid w:val="002473A3"/>
    <w:rsid w:val="0025071B"/>
    <w:rsid w:val="00252810"/>
    <w:rsid w:val="00252E4A"/>
    <w:rsid w:val="0025399D"/>
    <w:rsid w:val="00253A90"/>
    <w:rsid w:val="002541EF"/>
    <w:rsid w:val="00255F75"/>
    <w:rsid w:val="0025796E"/>
    <w:rsid w:val="00257D46"/>
    <w:rsid w:val="00260040"/>
    <w:rsid w:val="00260D78"/>
    <w:rsid w:val="002616DD"/>
    <w:rsid w:val="00261A6E"/>
    <w:rsid w:val="0026316D"/>
    <w:rsid w:val="0026460B"/>
    <w:rsid w:val="002707A2"/>
    <w:rsid w:val="0027399E"/>
    <w:rsid w:val="00274C0D"/>
    <w:rsid w:val="002759F7"/>
    <w:rsid w:val="0028136C"/>
    <w:rsid w:val="00281E52"/>
    <w:rsid w:val="002821C8"/>
    <w:rsid w:val="002868EF"/>
    <w:rsid w:val="0028787D"/>
    <w:rsid w:val="00290794"/>
    <w:rsid w:val="00291DD6"/>
    <w:rsid w:val="0029230D"/>
    <w:rsid w:val="002951A0"/>
    <w:rsid w:val="00295888"/>
    <w:rsid w:val="00295D22"/>
    <w:rsid w:val="002962BC"/>
    <w:rsid w:val="002A02AC"/>
    <w:rsid w:val="002A093D"/>
    <w:rsid w:val="002A0DD0"/>
    <w:rsid w:val="002A1163"/>
    <w:rsid w:val="002A26F0"/>
    <w:rsid w:val="002A49AC"/>
    <w:rsid w:val="002A64FD"/>
    <w:rsid w:val="002A657F"/>
    <w:rsid w:val="002B053B"/>
    <w:rsid w:val="002B0FC0"/>
    <w:rsid w:val="002B1E2C"/>
    <w:rsid w:val="002B223E"/>
    <w:rsid w:val="002B768B"/>
    <w:rsid w:val="002C1CBB"/>
    <w:rsid w:val="002C405F"/>
    <w:rsid w:val="002C5A12"/>
    <w:rsid w:val="002C77D2"/>
    <w:rsid w:val="002C7A84"/>
    <w:rsid w:val="002D36F0"/>
    <w:rsid w:val="002D468D"/>
    <w:rsid w:val="002D5358"/>
    <w:rsid w:val="002D5E9A"/>
    <w:rsid w:val="002E4FD9"/>
    <w:rsid w:val="002E5681"/>
    <w:rsid w:val="002E76BA"/>
    <w:rsid w:val="002F0551"/>
    <w:rsid w:val="002F5AFB"/>
    <w:rsid w:val="002F7E27"/>
    <w:rsid w:val="002F7F80"/>
    <w:rsid w:val="00300A7A"/>
    <w:rsid w:val="00303149"/>
    <w:rsid w:val="00303169"/>
    <w:rsid w:val="003058D8"/>
    <w:rsid w:val="00311386"/>
    <w:rsid w:val="00313F78"/>
    <w:rsid w:val="003142E9"/>
    <w:rsid w:val="00322A85"/>
    <w:rsid w:val="00323FA3"/>
    <w:rsid w:val="00324168"/>
    <w:rsid w:val="00325981"/>
    <w:rsid w:val="003262C4"/>
    <w:rsid w:val="00331EF1"/>
    <w:rsid w:val="003332C9"/>
    <w:rsid w:val="003355D5"/>
    <w:rsid w:val="0033757D"/>
    <w:rsid w:val="003408CB"/>
    <w:rsid w:val="003418CA"/>
    <w:rsid w:val="003444CF"/>
    <w:rsid w:val="003448F4"/>
    <w:rsid w:val="00345D02"/>
    <w:rsid w:val="00346AAA"/>
    <w:rsid w:val="00346B32"/>
    <w:rsid w:val="00350466"/>
    <w:rsid w:val="00350D53"/>
    <w:rsid w:val="003518E9"/>
    <w:rsid w:val="0035653D"/>
    <w:rsid w:val="00361039"/>
    <w:rsid w:val="00361719"/>
    <w:rsid w:val="00361F9E"/>
    <w:rsid w:val="00366FC6"/>
    <w:rsid w:val="00370603"/>
    <w:rsid w:val="0037079A"/>
    <w:rsid w:val="00373FCA"/>
    <w:rsid w:val="00374F5E"/>
    <w:rsid w:val="00377E3E"/>
    <w:rsid w:val="00381FF0"/>
    <w:rsid w:val="00383AEB"/>
    <w:rsid w:val="003856A6"/>
    <w:rsid w:val="00391584"/>
    <w:rsid w:val="00397C3D"/>
    <w:rsid w:val="003A605D"/>
    <w:rsid w:val="003A6243"/>
    <w:rsid w:val="003A779E"/>
    <w:rsid w:val="003B0678"/>
    <w:rsid w:val="003B170A"/>
    <w:rsid w:val="003B2B24"/>
    <w:rsid w:val="003B48B2"/>
    <w:rsid w:val="003B498E"/>
    <w:rsid w:val="003B5BDF"/>
    <w:rsid w:val="003B6192"/>
    <w:rsid w:val="003C236A"/>
    <w:rsid w:val="003C4DD3"/>
    <w:rsid w:val="003C57F4"/>
    <w:rsid w:val="003D08F8"/>
    <w:rsid w:val="003D0DAD"/>
    <w:rsid w:val="003D0F4D"/>
    <w:rsid w:val="003D325D"/>
    <w:rsid w:val="003D4BFC"/>
    <w:rsid w:val="003D5B0D"/>
    <w:rsid w:val="003E0499"/>
    <w:rsid w:val="003E226C"/>
    <w:rsid w:val="003E3756"/>
    <w:rsid w:val="003E694E"/>
    <w:rsid w:val="003E6F36"/>
    <w:rsid w:val="003E714A"/>
    <w:rsid w:val="003F1228"/>
    <w:rsid w:val="003F2A72"/>
    <w:rsid w:val="003F3941"/>
    <w:rsid w:val="003F4D3D"/>
    <w:rsid w:val="003F5CAA"/>
    <w:rsid w:val="003F5EC2"/>
    <w:rsid w:val="00400C05"/>
    <w:rsid w:val="004021A6"/>
    <w:rsid w:val="00402D5F"/>
    <w:rsid w:val="00406575"/>
    <w:rsid w:val="0041112B"/>
    <w:rsid w:val="00412765"/>
    <w:rsid w:val="004134B9"/>
    <w:rsid w:val="00414C74"/>
    <w:rsid w:val="0041749C"/>
    <w:rsid w:val="00422F67"/>
    <w:rsid w:val="00423EA0"/>
    <w:rsid w:val="0042722E"/>
    <w:rsid w:val="00427349"/>
    <w:rsid w:val="004307DE"/>
    <w:rsid w:val="00430F2D"/>
    <w:rsid w:val="004410D7"/>
    <w:rsid w:val="004420BA"/>
    <w:rsid w:val="00442816"/>
    <w:rsid w:val="00443FE3"/>
    <w:rsid w:val="0044528D"/>
    <w:rsid w:val="00446BB8"/>
    <w:rsid w:val="00450BEC"/>
    <w:rsid w:val="00451739"/>
    <w:rsid w:val="0045349A"/>
    <w:rsid w:val="00454795"/>
    <w:rsid w:val="00454F6A"/>
    <w:rsid w:val="0045521E"/>
    <w:rsid w:val="00456888"/>
    <w:rsid w:val="00461F9B"/>
    <w:rsid w:val="0046403E"/>
    <w:rsid w:val="004677E6"/>
    <w:rsid w:val="00473669"/>
    <w:rsid w:val="004753F9"/>
    <w:rsid w:val="00476209"/>
    <w:rsid w:val="00480CAF"/>
    <w:rsid w:val="004810F7"/>
    <w:rsid w:val="00481F57"/>
    <w:rsid w:val="00483856"/>
    <w:rsid w:val="00484581"/>
    <w:rsid w:val="00485C40"/>
    <w:rsid w:val="00486076"/>
    <w:rsid w:val="0049331F"/>
    <w:rsid w:val="00494F7B"/>
    <w:rsid w:val="004A0156"/>
    <w:rsid w:val="004A1847"/>
    <w:rsid w:val="004A305D"/>
    <w:rsid w:val="004A3636"/>
    <w:rsid w:val="004A38A2"/>
    <w:rsid w:val="004A3AA3"/>
    <w:rsid w:val="004A531E"/>
    <w:rsid w:val="004A6027"/>
    <w:rsid w:val="004A685E"/>
    <w:rsid w:val="004A6EEA"/>
    <w:rsid w:val="004B6B39"/>
    <w:rsid w:val="004B70EE"/>
    <w:rsid w:val="004C19A5"/>
    <w:rsid w:val="004C7C41"/>
    <w:rsid w:val="004D0761"/>
    <w:rsid w:val="004D207D"/>
    <w:rsid w:val="004E202D"/>
    <w:rsid w:val="004E3971"/>
    <w:rsid w:val="004E44D3"/>
    <w:rsid w:val="004E47E2"/>
    <w:rsid w:val="004E7F22"/>
    <w:rsid w:val="004F0260"/>
    <w:rsid w:val="004F04A6"/>
    <w:rsid w:val="004F21C4"/>
    <w:rsid w:val="004F26C5"/>
    <w:rsid w:val="004F2A92"/>
    <w:rsid w:val="004F3ACE"/>
    <w:rsid w:val="004F67E4"/>
    <w:rsid w:val="004F685F"/>
    <w:rsid w:val="004F70CA"/>
    <w:rsid w:val="004F745C"/>
    <w:rsid w:val="004F7BF1"/>
    <w:rsid w:val="0050124E"/>
    <w:rsid w:val="005059B8"/>
    <w:rsid w:val="00506087"/>
    <w:rsid w:val="0051000C"/>
    <w:rsid w:val="00510CC5"/>
    <w:rsid w:val="00517572"/>
    <w:rsid w:val="0052022B"/>
    <w:rsid w:val="0052322F"/>
    <w:rsid w:val="00523DAD"/>
    <w:rsid w:val="00525059"/>
    <w:rsid w:val="00525FA5"/>
    <w:rsid w:val="005260D9"/>
    <w:rsid w:val="00526874"/>
    <w:rsid w:val="00527EF9"/>
    <w:rsid w:val="00531A51"/>
    <w:rsid w:val="005321E8"/>
    <w:rsid w:val="00533CD9"/>
    <w:rsid w:val="005348F7"/>
    <w:rsid w:val="005366C0"/>
    <w:rsid w:val="00546122"/>
    <w:rsid w:val="00555B25"/>
    <w:rsid w:val="005566E8"/>
    <w:rsid w:val="005609DC"/>
    <w:rsid w:val="0056363E"/>
    <w:rsid w:val="00564E4F"/>
    <w:rsid w:val="005662E6"/>
    <w:rsid w:val="0056686B"/>
    <w:rsid w:val="00574867"/>
    <w:rsid w:val="005763D5"/>
    <w:rsid w:val="00581900"/>
    <w:rsid w:val="00581B54"/>
    <w:rsid w:val="00584988"/>
    <w:rsid w:val="005905F3"/>
    <w:rsid w:val="00591460"/>
    <w:rsid w:val="00593748"/>
    <w:rsid w:val="00597460"/>
    <w:rsid w:val="005A0CAF"/>
    <w:rsid w:val="005A53FA"/>
    <w:rsid w:val="005A59EA"/>
    <w:rsid w:val="005A600B"/>
    <w:rsid w:val="005A74EA"/>
    <w:rsid w:val="005B3816"/>
    <w:rsid w:val="005B487F"/>
    <w:rsid w:val="005B6A9D"/>
    <w:rsid w:val="005B7B0C"/>
    <w:rsid w:val="005C06ED"/>
    <w:rsid w:val="005C135D"/>
    <w:rsid w:val="005C3777"/>
    <w:rsid w:val="005C437C"/>
    <w:rsid w:val="005C5CDC"/>
    <w:rsid w:val="005D251B"/>
    <w:rsid w:val="005D2651"/>
    <w:rsid w:val="005D2D5E"/>
    <w:rsid w:val="005D41A0"/>
    <w:rsid w:val="005D456D"/>
    <w:rsid w:val="005D476C"/>
    <w:rsid w:val="005D479D"/>
    <w:rsid w:val="005D4BA7"/>
    <w:rsid w:val="005D5149"/>
    <w:rsid w:val="005D5DD4"/>
    <w:rsid w:val="005D62EB"/>
    <w:rsid w:val="005D6FF1"/>
    <w:rsid w:val="005E25DF"/>
    <w:rsid w:val="005E4A41"/>
    <w:rsid w:val="005E7C7F"/>
    <w:rsid w:val="005F1145"/>
    <w:rsid w:val="005F1283"/>
    <w:rsid w:val="005F6811"/>
    <w:rsid w:val="005F7879"/>
    <w:rsid w:val="00601610"/>
    <w:rsid w:val="00601D55"/>
    <w:rsid w:val="00602562"/>
    <w:rsid w:val="00606175"/>
    <w:rsid w:val="00607978"/>
    <w:rsid w:val="00613372"/>
    <w:rsid w:val="0061389F"/>
    <w:rsid w:val="00614519"/>
    <w:rsid w:val="0061595C"/>
    <w:rsid w:val="006219F8"/>
    <w:rsid w:val="006268A7"/>
    <w:rsid w:val="00626B9C"/>
    <w:rsid w:val="00627FDE"/>
    <w:rsid w:val="00630278"/>
    <w:rsid w:val="00630FDF"/>
    <w:rsid w:val="00633659"/>
    <w:rsid w:val="00646274"/>
    <w:rsid w:val="0065004A"/>
    <w:rsid w:val="00654F7A"/>
    <w:rsid w:val="0065557F"/>
    <w:rsid w:val="00655AD6"/>
    <w:rsid w:val="006574E4"/>
    <w:rsid w:val="00657A6C"/>
    <w:rsid w:val="0066194B"/>
    <w:rsid w:val="00662C93"/>
    <w:rsid w:val="00662F8B"/>
    <w:rsid w:val="00663B47"/>
    <w:rsid w:val="00663C75"/>
    <w:rsid w:val="00664839"/>
    <w:rsid w:val="00665CB2"/>
    <w:rsid w:val="00665D70"/>
    <w:rsid w:val="006667E7"/>
    <w:rsid w:val="006668C1"/>
    <w:rsid w:val="0066786B"/>
    <w:rsid w:val="00670175"/>
    <w:rsid w:val="00670B15"/>
    <w:rsid w:val="00677912"/>
    <w:rsid w:val="006800EA"/>
    <w:rsid w:val="00682D28"/>
    <w:rsid w:val="00683149"/>
    <w:rsid w:val="006900D9"/>
    <w:rsid w:val="0069153A"/>
    <w:rsid w:val="00691743"/>
    <w:rsid w:val="006917CA"/>
    <w:rsid w:val="00694403"/>
    <w:rsid w:val="00696248"/>
    <w:rsid w:val="006A0A94"/>
    <w:rsid w:val="006A37D5"/>
    <w:rsid w:val="006A532A"/>
    <w:rsid w:val="006A704F"/>
    <w:rsid w:val="006A741B"/>
    <w:rsid w:val="006B03C5"/>
    <w:rsid w:val="006B28AA"/>
    <w:rsid w:val="006B2A39"/>
    <w:rsid w:val="006B5914"/>
    <w:rsid w:val="006B7A67"/>
    <w:rsid w:val="006C3D27"/>
    <w:rsid w:val="006C6C3D"/>
    <w:rsid w:val="006D1F55"/>
    <w:rsid w:val="006D5BE5"/>
    <w:rsid w:val="006D6B2B"/>
    <w:rsid w:val="006D6DEB"/>
    <w:rsid w:val="006D7C31"/>
    <w:rsid w:val="006D7EF3"/>
    <w:rsid w:val="006E09CE"/>
    <w:rsid w:val="006E0B98"/>
    <w:rsid w:val="006E1B30"/>
    <w:rsid w:val="006E323B"/>
    <w:rsid w:val="006E757C"/>
    <w:rsid w:val="006E793E"/>
    <w:rsid w:val="006F2E5E"/>
    <w:rsid w:val="006F396C"/>
    <w:rsid w:val="006F48AE"/>
    <w:rsid w:val="006F529F"/>
    <w:rsid w:val="006F7484"/>
    <w:rsid w:val="00701040"/>
    <w:rsid w:val="00701058"/>
    <w:rsid w:val="007023F6"/>
    <w:rsid w:val="00702A50"/>
    <w:rsid w:val="007034F8"/>
    <w:rsid w:val="007057CE"/>
    <w:rsid w:val="00706C16"/>
    <w:rsid w:val="00710529"/>
    <w:rsid w:val="00711F09"/>
    <w:rsid w:val="00713E4A"/>
    <w:rsid w:val="0071415F"/>
    <w:rsid w:val="00715C3B"/>
    <w:rsid w:val="00723BBE"/>
    <w:rsid w:val="007261EF"/>
    <w:rsid w:val="00730643"/>
    <w:rsid w:val="00730903"/>
    <w:rsid w:val="0073326D"/>
    <w:rsid w:val="00736713"/>
    <w:rsid w:val="007402C6"/>
    <w:rsid w:val="00740D87"/>
    <w:rsid w:val="0074147E"/>
    <w:rsid w:val="00741B8E"/>
    <w:rsid w:val="00742F6A"/>
    <w:rsid w:val="00745897"/>
    <w:rsid w:val="00750C91"/>
    <w:rsid w:val="0075116A"/>
    <w:rsid w:val="007526FA"/>
    <w:rsid w:val="00752FC1"/>
    <w:rsid w:val="00753B65"/>
    <w:rsid w:val="007544FD"/>
    <w:rsid w:val="00755F9F"/>
    <w:rsid w:val="00756841"/>
    <w:rsid w:val="00757E7D"/>
    <w:rsid w:val="00757EC6"/>
    <w:rsid w:val="00761B9C"/>
    <w:rsid w:val="00762774"/>
    <w:rsid w:val="00764609"/>
    <w:rsid w:val="007649AB"/>
    <w:rsid w:val="00765327"/>
    <w:rsid w:val="007672CD"/>
    <w:rsid w:val="00767687"/>
    <w:rsid w:val="00771D0C"/>
    <w:rsid w:val="00772381"/>
    <w:rsid w:val="00772E1F"/>
    <w:rsid w:val="007768A0"/>
    <w:rsid w:val="00776F9E"/>
    <w:rsid w:val="0078003C"/>
    <w:rsid w:val="007833AC"/>
    <w:rsid w:val="00790D94"/>
    <w:rsid w:val="00790F51"/>
    <w:rsid w:val="00791CA6"/>
    <w:rsid w:val="007953C8"/>
    <w:rsid w:val="007954FC"/>
    <w:rsid w:val="00797E51"/>
    <w:rsid w:val="007A0142"/>
    <w:rsid w:val="007A1A39"/>
    <w:rsid w:val="007A2A15"/>
    <w:rsid w:val="007A6C9C"/>
    <w:rsid w:val="007A6E40"/>
    <w:rsid w:val="007B268C"/>
    <w:rsid w:val="007B7171"/>
    <w:rsid w:val="007B7869"/>
    <w:rsid w:val="007C0C0F"/>
    <w:rsid w:val="007C3A38"/>
    <w:rsid w:val="007C3DC2"/>
    <w:rsid w:val="007C74FF"/>
    <w:rsid w:val="007C7F07"/>
    <w:rsid w:val="007D09C6"/>
    <w:rsid w:val="007D1DB8"/>
    <w:rsid w:val="007E0326"/>
    <w:rsid w:val="007E5497"/>
    <w:rsid w:val="007E6C6D"/>
    <w:rsid w:val="007F261B"/>
    <w:rsid w:val="007F525C"/>
    <w:rsid w:val="00803C6C"/>
    <w:rsid w:val="00804F9B"/>
    <w:rsid w:val="00806F5F"/>
    <w:rsid w:val="00807BB9"/>
    <w:rsid w:val="008109AB"/>
    <w:rsid w:val="0081219A"/>
    <w:rsid w:val="0081514C"/>
    <w:rsid w:val="00820278"/>
    <w:rsid w:val="008234DD"/>
    <w:rsid w:val="00824483"/>
    <w:rsid w:val="00832160"/>
    <w:rsid w:val="008323B3"/>
    <w:rsid w:val="00835994"/>
    <w:rsid w:val="0084011B"/>
    <w:rsid w:val="00841CC7"/>
    <w:rsid w:val="00842BC3"/>
    <w:rsid w:val="008433F8"/>
    <w:rsid w:val="008476A2"/>
    <w:rsid w:val="008476DD"/>
    <w:rsid w:val="00851585"/>
    <w:rsid w:val="00855DAF"/>
    <w:rsid w:val="008628BC"/>
    <w:rsid w:val="008640C7"/>
    <w:rsid w:val="00864D72"/>
    <w:rsid w:val="00866AD6"/>
    <w:rsid w:val="00866DA6"/>
    <w:rsid w:val="00867300"/>
    <w:rsid w:val="00867F95"/>
    <w:rsid w:val="00872487"/>
    <w:rsid w:val="0087281D"/>
    <w:rsid w:val="00872912"/>
    <w:rsid w:val="0087324C"/>
    <w:rsid w:val="0087618D"/>
    <w:rsid w:val="008843B6"/>
    <w:rsid w:val="00885374"/>
    <w:rsid w:val="0088537C"/>
    <w:rsid w:val="00885735"/>
    <w:rsid w:val="00891928"/>
    <w:rsid w:val="00895455"/>
    <w:rsid w:val="00896C85"/>
    <w:rsid w:val="008A0128"/>
    <w:rsid w:val="008A111D"/>
    <w:rsid w:val="008A4058"/>
    <w:rsid w:val="008A446D"/>
    <w:rsid w:val="008A4C88"/>
    <w:rsid w:val="008A531B"/>
    <w:rsid w:val="008B5621"/>
    <w:rsid w:val="008B74BC"/>
    <w:rsid w:val="008C0A54"/>
    <w:rsid w:val="008C0C54"/>
    <w:rsid w:val="008C1477"/>
    <w:rsid w:val="008C365A"/>
    <w:rsid w:val="008D180B"/>
    <w:rsid w:val="008D3B58"/>
    <w:rsid w:val="008D3D67"/>
    <w:rsid w:val="008D50E7"/>
    <w:rsid w:val="008D52F2"/>
    <w:rsid w:val="008E08C3"/>
    <w:rsid w:val="008E4D8F"/>
    <w:rsid w:val="008E52FC"/>
    <w:rsid w:val="008E632B"/>
    <w:rsid w:val="008F0EA7"/>
    <w:rsid w:val="008F1394"/>
    <w:rsid w:val="009053C1"/>
    <w:rsid w:val="00905F15"/>
    <w:rsid w:val="00906E47"/>
    <w:rsid w:val="009104BC"/>
    <w:rsid w:val="00911CEE"/>
    <w:rsid w:val="00913027"/>
    <w:rsid w:val="00917180"/>
    <w:rsid w:val="00920DC7"/>
    <w:rsid w:val="00923EEF"/>
    <w:rsid w:val="00925BBB"/>
    <w:rsid w:val="00926262"/>
    <w:rsid w:val="00927142"/>
    <w:rsid w:val="00930FF9"/>
    <w:rsid w:val="009331AA"/>
    <w:rsid w:val="00934619"/>
    <w:rsid w:val="0093750D"/>
    <w:rsid w:val="009419F9"/>
    <w:rsid w:val="00941F8B"/>
    <w:rsid w:val="00942FED"/>
    <w:rsid w:val="00950800"/>
    <w:rsid w:val="009509E5"/>
    <w:rsid w:val="00951CF2"/>
    <w:rsid w:val="00952833"/>
    <w:rsid w:val="00954473"/>
    <w:rsid w:val="0095685E"/>
    <w:rsid w:val="009617D5"/>
    <w:rsid w:val="00961B09"/>
    <w:rsid w:val="0096347E"/>
    <w:rsid w:val="00965334"/>
    <w:rsid w:val="0097093E"/>
    <w:rsid w:val="00973584"/>
    <w:rsid w:val="00975B80"/>
    <w:rsid w:val="0097651E"/>
    <w:rsid w:val="00976927"/>
    <w:rsid w:val="00981436"/>
    <w:rsid w:val="0098371C"/>
    <w:rsid w:val="00983CEF"/>
    <w:rsid w:val="00984805"/>
    <w:rsid w:val="00986AC5"/>
    <w:rsid w:val="00987EA0"/>
    <w:rsid w:val="009904E1"/>
    <w:rsid w:val="0099235A"/>
    <w:rsid w:val="00994C82"/>
    <w:rsid w:val="00995CC6"/>
    <w:rsid w:val="009A0DFA"/>
    <w:rsid w:val="009A1626"/>
    <w:rsid w:val="009A1D3F"/>
    <w:rsid w:val="009B1064"/>
    <w:rsid w:val="009B2D26"/>
    <w:rsid w:val="009B5397"/>
    <w:rsid w:val="009B5F8F"/>
    <w:rsid w:val="009C3386"/>
    <w:rsid w:val="009C67EF"/>
    <w:rsid w:val="009C71FA"/>
    <w:rsid w:val="009C723D"/>
    <w:rsid w:val="009C72E7"/>
    <w:rsid w:val="009D1278"/>
    <w:rsid w:val="009D1FDF"/>
    <w:rsid w:val="009D2A32"/>
    <w:rsid w:val="009D3058"/>
    <w:rsid w:val="009D4075"/>
    <w:rsid w:val="009D64BB"/>
    <w:rsid w:val="009D7597"/>
    <w:rsid w:val="009E4467"/>
    <w:rsid w:val="009E6757"/>
    <w:rsid w:val="009F3A13"/>
    <w:rsid w:val="00A026CA"/>
    <w:rsid w:val="00A02B9E"/>
    <w:rsid w:val="00A1149B"/>
    <w:rsid w:val="00A122D3"/>
    <w:rsid w:val="00A1332A"/>
    <w:rsid w:val="00A17F13"/>
    <w:rsid w:val="00A20739"/>
    <w:rsid w:val="00A20DA4"/>
    <w:rsid w:val="00A2454E"/>
    <w:rsid w:val="00A26671"/>
    <w:rsid w:val="00A268FC"/>
    <w:rsid w:val="00A30ED5"/>
    <w:rsid w:val="00A31108"/>
    <w:rsid w:val="00A33C78"/>
    <w:rsid w:val="00A36F00"/>
    <w:rsid w:val="00A37C73"/>
    <w:rsid w:val="00A41724"/>
    <w:rsid w:val="00A45551"/>
    <w:rsid w:val="00A465C6"/>
    <w:rsid w:val="00A50AFE"/>
    <w:rsid w:val="00A51107"/>
    <w:rsid w:val="00A51DCB"/>
    <w:rsid w:val="00A535CA"/>
    <w:rsid w:val="00A54A62"/>
    <w:rsid w:val="00A55211"/>
    <w:rsid w:val="00A569A6"/>
    <w:rsid w:val="00A57007"/>
    <w:rsid w:val="00A57585"/>
    <w:rsid w:val="00A576E5"/>
    <w:rsid w:val="00A57B21"/>
    <w:rsid w:val="00A62192"/>
    <w:rsid w:val="00A63AA6"/>
    <w:rsid w:val="00A6772B"/>
    <w:rsid w:val="00A7095B"/>
    <w:rsid w:val="00A72C1E"/>
    <w:rsid w:val="00A74A23"/>
    <w:rsid w:val="00A74F24"/>
    <w:rsid w:val="00A763F5"/>
    <w:rsid w:val="00A76C72"/>
    <w:rsid w:val="00A77317"/>
    <w:rsid w:val="00A8024B"/>
    <w:rsid w:val="00A82D06"/>
    <w:rsid w:val="00A82D0F"/>
    <w:rsid w:val="00A841B8"/>
    <w:rsid w:val="00A90A1F"/>
    <w:rsid w:val="00A90F1D"/>
    <w:rsid w:val="00A93792"/>
    <w:rsid w:val="00AA0508"/>
    <w:rsid w:val="00AA2524"/>
    <w:rsid w:val="00AA43AA"/>
    <w:rsid w:val="00AA53E5"/>
    <w:rsid w:val="00AA615C"/>
    <w:rsid w:val="00AA701D"/>
    <w:rsid w:val="00AB0ADB"/>
    <w:rsid w:val="00AB7784"/>
    <w:rsid w:val="00AC2691"/>
    <w:rsid w:val="00AC3625"/>
    <w:rsid w:val="00AC3F0A"/>
    <w:rsid w:val="00AC42AB"/>
    <w:rsid w:val="00AC60E9"/>
    <w:rsid w:val="00AD00B0"/>
    <w:rsid w:val="00AD4352"/>
    <w:rsid w:val="00AD6C3B"/>
    <w:rsid w:val="00AE5B9F"/>
    <w:rsid w:val="00AF059F"/>
    <w:rsid w:val="00AF39C8"/>
    <w:rsid w:val="00AF3F0E"/>
    <w:rsid w:val="00AF4EF0"/>
    <w:rsid w:val="00AF596A"/>
    <w:rsid w:val="00AF6AF4"/>
    <w:rsid w:val="00B01B1A"/>
    <w:rsid w:val="00B023E9"/>
    <w:rsid w:val="00B02C9F"/>
    <w:rsid w:val="00B02FE6"/>
    <w:rsid w:val="00B04D0C"/>
    <w:rsid w:val="00B216F5"/>
    <w:rsid w:val="00B278B3"/>
    <w:rsid w:val="00B27DDD"/>
    <w:rsid w:val="00B3132C"/>
    <w:rsid w:val="00B31983"/>
    <w:rsid w:val="00B3525A"/>
    <w:rsid w:val="00B40806"/>
    <w:rsid w:val="00B408B4"/>
    <w:rsid w:val="00B42346"/>
    <w:rsid w:val="00B44B6D"/>
    <w:rsid w:val="00B539D9"/>
    <w:rsid w:val="00B54CD0"/>
    <w:rsid w:val="00B54DBC"/>
    <w:rsid w:val="00B57852"/>
    <w:rsid w:val="00B609E3"/>
    <w:rsid w:val="00B62CEE"/>
    <w:rsid w:val="00B64363"/>
    <w:rsid w:val="00B64490"/>
    <w:rsid w:val="00B649D0"/>
    <w:rsid w:val="00B66319"/>
    <w:rsid w:val="00B66AA8"/>
    <w:rsid w:val="00B67BE9"/>
    <w:rsid w:val="00B71677"/>
    <w:rsid w:val="00B72CD3"/>
    <w:rsid w:val="00B72FFF"/>
    <w:rsid w:val="00B741C6"/>
    <w:rsid w:val="00B74213"/>
    <w:rsid w:val="00B769A8"/>
    <w:rsid w:val="00B80E9E"/>
    <w:rsid w:val="00B82202"/>
    <w:rsid w:val="00B8285C"/>
    <w:rsid w:val="00B8786C"/>
    <w:rsid w:val="00B9064B"/>
    <w:rsid w:val="00B91863"/>
    <w:rsid w:val="00B91EB6"/>
    <w:rsid w:val="00B9238E"/>
    <w:rsid w:val="00B92F79"/>
    <w:rsid w:val="00B93448"/>
    <w:rsid w:val="00B93CC0"/>
    <w:rsid w:val="00B94EBB"/>
    <w:rsid w:val="00B972D9"/>
    <w:rsid w:val="00BA20E0"/>
    <w:rsid w:val="00BA35BF"/>
    <w:rsid w:val="00BA49FE"/>
    <w:rsid w:val="00BB3FDC"/>
    <w:rsid w:val="00BB5243"/>
    <w:rsid w:val="00BB72B2"/>
    <w:rsid w:val="00BC3623"/>
    <w:rsid w:val="00BC3D36"/>
    <w:rsid w:val="00BC55F2"/>
    <w:rsid w:val="00BC5B84"/>
    <w:rsid w:val="00BC6A5B"/>
    <w:rsid w:val="00BD3D08"/>
    <w:rsid w:val="00BD4429"/>
    <w:rsid w:val="00BD5CF2"/>
    <w:rsid w:val="00BD7C43"/>
    <w:rsid w:val="00BD7F72"/>
    <w:rsid w:val="00BE011A"/>
    <w:rsid w:val="00BE0515"/>
    <w:rsid w:val="00BE1406"/>
    <w:rsid w:val="00BE148F"/>
    <w:rsid w:val="00BE3B35"/>
    <w:rsid w:val="00BE4A40"/>
    <w:rsid w:val="00BE4E4B"/>
    <w:rsid w:val="00BE5A00"/>
    <w:rsid w:val="00BF1FFE"/>
    <w:rsid w:val="00BF2027"/>
    <w:rsid w:val="00BF2121"/>
    <w:rsid w:val="00BF4ACC"/>
    <w:rsid w:val="00C01621"/>
    <w:rsid w:val="00C01AE6"/>
    <w:rsid w:val="00C0239A"/>
    <w:rsid w:val="00C04FB3"/>
    <w:rsid w:val="00C05693"/>
    <w:rsid w:val="00C05E75"/>
    <w:rsid w:val="00C062BB"/>
    <w:rsid w:val="00C11CE5"/>
    <w:rsid w:val="00C1201A"/>
    <w:rsid w:val="00C16402"/>
    <w:rsid w:val="00C1746F"/>
    <w:rsid w:val="00C17830"/>
    <w:rsid w:val="00C20727"/>
    <w:rsid w:val="00C21EAC"/>
    <w:rsid w:val="00C265CF"/>
    <w:rsid w:val="00C30157"/>
    <w:rsid w:val="00C30732"/>
    <w:rsid w:val="00C330EB"/>
    <w:rsid w:val="00C36362"/>
    <w:rsid w:val="00C41061"/>
    <w:rsid w:val="00C43A49"/>
    <w:rsid w:val="00C46054"/>
    <w:rsid w:val="00C46C9C"/>
    <w:rsid w:val="00C472F3"/>
    <w:rsid w:val="00C50FBE"/>
    <w:rsid w:val="00C51EBE"/>
    <w:rsid w:val="00C711D1"/>
    <w:rsid w:val="00C7415E"/>
    <w:rsid w:val="00C754BE"/>
    <w:rsid w:val="00C7599E"/>
    <w:rsid w:val="00C76B1C"/>
    <w:rsid w:val="00C77D6B"/>
    <w:rsid w:val="00C80A47"/>
    <w:rsid w:val="00C84C70"/>
    <w:rsid w:val="00C90E4B"/>
    <w:rsid w:val="00C9322D"/>
    <w:rsid w:val="00C97FDB"/>
    <w:rsid w:val="00CA22AA"/>
    <w:rsid w:val="00CA3336"/>
    <w:rsid w:val="00CA4EF7"/>
    <w:rsid w:val="00CA52BB"/>
    <w:rsid w:val="00CA633F"/>
    <w:rsid w:val="00CB0B04"/>
    <w:rsid w:val="00CB0D6B"/>
    <w:rsid w:val="00CB3B52"/>
    <w:rsid w:val="00CB6357"/>
    <w:rsid w:val="00CC1B26"/>
    <w:rsid w:val="00CC4269"/>
    <w:rsid w:val="00CC4277"/>
    <w:rsid w:val="00CC42FC"/>
    <w:rsid w:val="00CD0BE1"/>
    <w:rsid w:val="00CD38C3"/>
    <w:rsid w:val="00CE0C3B"/>
    <w:rsid w:val="00CE2C7B"/>
    <w:rsid w:val="00CE7BD3"/>
    <w:rsid w:val="00CF0362"/>
    <w:rsid w:val="00CF26E8"/>
    <w:rsid w:val="00CF529A"/>
    <w:rsid w:val="00CF6AA0"/>
    <w:rsid w:val="00CF7AC0"/>
    <w:rsid w:val="00D00A41"/>
    <w:rsid w:val="00D00BB7"/>
    <w:rsid w:val="00D00D9C"/>
    <w:rsid w:val="00D026B4"/>
    <w:rsid w:val="00D03C0D"/>
    <w:rsid w:val="00D0476A"/>
    <w:rsid w:val="00D06144"/>
    <w:rsid w:val="00D06E8C"/>
    <w:rsid w:val="00D111D0"/>
    <w:rsid w:val="00D11D97"/>
    <w:rsid w:val="00D12BAE"/>
    <w:rsid w:val="00D1351F"/>
    <w:rsid w:val="00D13783"/>
    <w:rsid w:val="00D138BE"/>
    <w:rsid w:val="00D14689"/>
    <w:rsid w:val="00D14EB2"/>
    <w:rsid w:val="00D154EF"/>
    <w:rsid w:val="00D15C87"/>
    <w:rsid w:val="00D164C1"/>
    <w:rsid w:val="00D16888"/>
    <w:rsid w:val="00D1698C"/>
    <w:rsid w:val="00D16B02"/>
    <w:rsid w:val="00D212FF"/>
    <w:rsid w:val="00D27482"/>
    <w:rsid w:val="00D3064C"/>
    <w:rsid w:val="00D31269"/>
    <w:rsid w:val="00D319CF"/>
    <w:rsid w:val="00D3248E"/>
    <w:rsid w:val="00D32A03"/>
    <w:rsid w:val="00D32F0C"/>
    <w:rsid w:val="00D33238"/>
    <w:rsid w:val="00D3376F"/>
    <w:rsid w:val="00D35CD3"/>
    <w:rsid w:val="00D35ED5"/>
    <w:rsid w:val="00D36209"/>
    <w:rsid w:val="00D41723"/>
    <w:rsid w:val="00D423A2"/>
    <w:rsid w:val="00D4372A"/>
    <w:rsid w:val="00D4506E"/>
    <w:rsid w:val="00D50CC5"/>
    <w:rsid w:val="00D50CF2"/>
    <w:rsid w:val="00D520D8"/>
    <w:rsid w:val="00D56CEB"/>
    <w:rsid w:val="00D6101D"/>
    <w:rsid w:val="00D63AC2"/>
    <w:rsid w:val="00D64485"/>
    <w:rsid w:val="00D72326"/>
    <w:rsid w:val="00D728D0"/>
    <w:rsid w:val="00D73038"/>
    <w:rsid w:val="00D732EE"/>
    <w:rsid w:val="00D7383B"/>
    <w:rsid w:val="00D8170F"/>
    <w:rsid w:val="00D8340F"/>
    <w:rsid w:val="00D86775"/>
    <w:rsid w:val="00D87F2A"/>
    <w:rsid w:val="00D917A0"/>
    <w:rsid w:val="00D92567"/>
    <w:rsid w:val="00D94A0C"/>
    <w:rsid w:val="00D95141"/>
    <w:rsid w:val="00D96367"/>
    <w:rsid w:val="00D967BD"/>
    <w:rsid w:val="00D97F9D"/>
    <w:rsid w:val="00DA0650"/>
    <w:rsid w:val="00DA0972"/>
    <w:rsid w:val="00DA0D20"/>
    <w:rsid w:val="00DA231B"/>
    <w:rsid w:val="00DB047B"/>
    <w:rsid w:val="00DB0A5E"/>
    <w:rsid w:val="00DB1ABB"/>
    <w:rsid w:val="00DB3A13"/>
    <w:rsid w:val="00DC0C84"/>
    <w:rsid w:val="00DC12CE"/>
    <w:rsid w:val="00DC1B75"/>
    <w:rsid w:val="00DC1C8A"/>
    <w:rsid w:val="00DC39FC"/>
    <w:rsid w:val="00DC6AA7"/>
    <w:rsid w:val="00DD7525"/>
    <w:rsid w:val="00DE3221"/>
    <w:rsid w:val="00DE376D"/>
    <w:rsid w:val="00DF3257"/>
    <w:rsid w:val="00DF362F"/>
    <w:rsid w:val="00DF4273"/>
    <w:rsid w:val="00DF5254"/>
    <w:rsid w:val="00DF5D37"/>
    <w:rsid w:val="00E0087B"/>
    <w:rsid w:val="00E02B0A"/>
    <w:rsid w:val="00E047EC"/>
    <w:rsid w:val="00E04AFA"/>
    <w:rsid w:val="00E106EE"/>
    <w:rsid w:val="00E10E08"/>
    <w:rsid w:val="00E1346D"/>
    <w:rsid w:val="00E16408"/>
    <w:rsid w:val="00E16C08"/>
    <w:rsid w:val="00E16F64"/>
    <w:rsid w:val="00E20894"/>
    <w:rsid w:val="00E24286"/>
    <w:rsid w:val="00E245AB"/>
    <w:rsid w:val="00E2764C"/>
    <w:rsid w:val="00E27F2E"/>
    <w:rsid w:val="00E3122A"/>
    <w:rsid w:val="00E32183"/>
    <w:rsid w:val="00E349FC"/>
    <w:rsid w:val="00E35936"/>
    <w:rsid w:val="00E35F3C"/>
    <w:rsid w:val="00E36A95"/>
    <w:rsid w:val="00E37D91"/>
    <w:rsid w:val="00E404CC"/>
    <w:rsid w:val="00E410DB"/>
    <w:rsid w:val="00E425DB"/>
    <w:rsid w:val="00E42F8D"/>
    <w:rsid w:val="00E43D1F"/>
    <w:rsid w:val="00E5008C"/>
    <w:rsid w:val="00E50AFE"/>
    <w:rsid w:val="00E50BB0"/>
    <w:rsid w:val="00E51E63"/>
    <w:rsid w:val="00E607D4"/>
    <w:rsid w:val="00E60902"/>
    <w:rsid w:val="00E60A0F"/>
    <w:rsid w:val="00E60F69"/>
    <w:rsid w:val="00E666C7"/>
    <w:rsid w:val="00E674DE"/>
    <w:rsid w:val="00E704C9"/>
    <w:rsid w:val="00E70733"/>
    <w:rsid w:val="00E70B14"/>
    <w:rsid w:val="00E72124"/>
    <w:rsid w:val="00E736AB"/>
    <w:rsid w:val="00E7567C"/>
    <w:rsid w:val="00E75C92"/>
    <w:rsid w:val="00E771DC"/>
    <w:rsid w:val="00E80DDB"/>
    <w:rsid w:val="00E821D8"/>
    <w:rsid w:val="00E8474A"/>
    <w:rsid w:val="00E85776"/>
    <w:rsid w:val="00E857F9"/>
    <w:rsid w:val="00E8772A"/>
    <w:rsid w:val="00E87A6E"/>
    <w:rsid w:val="00E90F6B"/>
    <w:rsid w:val="00E92C27"/>
    <w:rsid w:val="00E96273"/>
    <w:rsid w:val="00E96412"/>
    <w:rsid w:val="00EA0E3D"/>
    <w:rsid w:val="00EA2291"/>
    <w:rsid w:val="00EA29EC"/>
    <w:rsid w:val="00EA3946"/>
    <w:rsid w:val="00EB0A31"/>
    <w:rsid w:val="00EB0F5A"/>
    <w:rsid w:val="00EB2473"/>
    <w:rsid w:val="00EB3E71"/>
    <w:rsid w:val="00EB3F40"/>
    <w:rsid w:val="00EB62F3"/>
    <w:rsid w:val="00EB68F9"/>
    <w:rsid w:val="00EB7D13"/>
    <w:rsid w:val="00EC0E0E"/>
    <w:rsid w:val="00EC38A7"/>
    <w:rsid w:val="00EC5155"/>
    <w:rsid w:val="00EC64E7"/>
    <w:rsid w:val="00EC6B1D"/>
    <w:rsid w:val="00ED0527"/>
    <w:rsid w:val="00ED185E"/>
    <w:rsid w:val="00ED21C6"/>
    <w:rsid w:val="00ED52FB"/>
    <w:rsid w:val="00ED5CB1"/>
    <w:rsid w:val="00ED7384"/>
    <w:rsid w:val="00EE1AA8"/>
    <w:rsid w:val="00EE4B3E"/>
    <w:rsid w:val="00EE69C3"/>
    <w:rsid w:val="00EF314A"/>
    <w:rsid w:val="00EF3174"/>
    <w:rsid w:val="00EF3FB0"/>
    <w:rsid w:val="00F00479"/>
    <w:rsid w:val="00F027FE"/>
    <w:rsid w:val="00F07822"/>
    <w:rsid w:val="00F10556"/>
    <w:rsid w:val="00F10585"/>
    <w:rsid w:val="00F130EE"/>
    <w:rsid w:val="00F1435A"/>
    <w:rsid w:val="00F15A56"/>
    <w:rsid w:val="00F15E73"/>
    <w:rsid w:val="00F22A9A"/>
    <w:rsid w:val="00F27A19"/>
    <w:rsid w:val="00F30DCD"/>
    <w:rsid w:val="00F31EDC"/>
    <w:rsid w:val="00F32C60"/>
    <w:rsid w:val="00F34FBC"/>
    <w:rsid w:val="00F410B8"/>
    <w:rsid w:val="00F42DBD"/>
    <w:rsid w:val="00F43702"/>
    <w:rsid w:val="00F462B3"/>
    <w:rsid w:val="00F52B15"/>
    <w:rsid w:val="00F546F4"/>
    <w:rsid w:val="00F56517"/>
    <w:rsid w:val="00F5664F"/>
    <w:rsid w:val="00F60EE1"/>
    <w:rsid w:val="00F6501A"/>
    <w:rsid w:val="00F666C4"/>
    <w:rsid w:val="00F73356"/>
    <w:rsid w:val="00F75420"/>
    <w:rsid w:val="00F764DB"/>
    <w:rsid w:val="00F76850"/>
    <w:rsid w:val="00F76AFC"/>
    <w:rsid w:val="00F81746"/>
    <w:rsid w:val="00F82C52"/>
    <w:rsid w:val="00F85005"/>
    <w:rsid w:val="00F85ACC"/>
    <w:rsid w:val="00F86C54"/>
    <w:rsid w:val="00F86F11"/>
    <w:rsid w:val="00F90A91"/>
    <w:rsid w:val="00F9488A"/>
    <w:rsid w:val="00FA25E8"/>
    <w:rsid w:val="00FA2CAC"/>
    <w:rsid w:val="00FA3220"/>
    <w:rsid w:val="00FA40D3"/>
    <w:rsid w:val="00FA47C0"/>
    <w:rsid w:val="00FA7BA2"/>
    <w:rsid w:val="00FB1159"/>
    <w:rsid w:val="00FB1CBD"/>
    <w:rsid w:val="00FB306A"/>
    <w:rsid w:val="00FB5DD1"/>
    <w:rsid w:val="00FC0E25"/>
    <w:rsid w:val="00FC18EE"/>
    <w:rsid w:val="00FC2B5D"/>
    <w:rsid w:val="00FC4779"/>
    <w:rsid w:val="00FD3B4F"/>
    <w:rsid w:val="00FD4B7D"/>
    <w:rsid w:val="00FD4E2A"/>
    <w:rsid w:val="00FD73BD"/>
    <w:rsid w:val="00FD7F72"/>
    <w:rsid w:val="00FE0996"/>
    <w:rsid w:val="00FE2C23"/>
    <w:rsid w:val="00FE7320"/>
    <w:rsid w:val="00FE7D60"/>
    <w:rsid w:val="00FF1449"/>
    <w:rsid w:val="00FF3817"/>
    <w:rsid w:val="00FF3A2D"/>
    <w:rsid w:val="1F1BBB10"/>
    <w:rsid w:val="49AA7B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00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F4EF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F4EF0"/>
    <w:rPr>
      <w:rFonts w:ascii="Geomanist Light" w:hAnsi="Geomanist Light"/>
      <w:lang w:val="es-ES"/>
    </w:rPr>
  </w:style>
  <w:style w:type="character" w:customStyle="1" w:styleId="NormalWebCar">
    <w:name w:val="Normal (Web) Car"/>
    <w:link w:val="NormalWeb"/>
    <w:uiPriority w:val="99"/>
    <w:rsid w:val="0089545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6363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56363E"/>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98266">
      <w:bodyDiv w:val="1"/>
      <w:marLeft w:val="0"/>
      <w:marRight w:val="0"/>
      <w:marTop w:val="0"/>
      <w:marBottom w:val="0"/>
      <w:divBdr>
        <w:top w:val="none" w:sz="0" w:space="0" w:color="auto"/>
        <w:left w:val="none" w:sz="0" w:space="0" w:color="auto"/>
        <w:bottom w:val="none" w:sz="0" w:space="0" w:color="auto"/>
        <w:right w:val="none" w:sz="0" w:space="0" w:color="auto"/>
      </w:divBdr>
    </w:div>
    <w:div w:id="171337697">
      <w:bodyDiv w:val="1"/>
      <w:marLeft w:val="0"/>
      <w:marRight w:val="0"/>
      <w:marTop w:val="0"/>
      <w:marBottom w:val="0"/>
      <w:divBdr>
        <w:top w:val="none" w:sz="0" w:space="0" w:color="auto"/>
        <w:left w:val="none" w:sz="0" w:space="0" w:color="auto"/>
        <w:bottom w:val="none" w:sz="0" w:space="0" w:color="auto"/>
        <w:right w:val="none" w:sz="0" w:space="0" w:color="auto"/>
      </w:divBdr>
    </w:div>
    <w:div w:id="229852567">
      <w:bodyDiv w:val="1"/>
      <w:marLeft w:val="0"/>
      <w:marRight w:val="0"/>
      <w:marTop w:val="0"/>
      <w:marBottom w:val="0"/>
      <w:divBdr>
        <w:top w:val="none" w:sz="0" w:space="0" w:color="auto"/>
        <w:left w:val="none" w:sz="0" w:space="0" w:color="auto"/>
        <w:bottom w:val="none" w:sz="0" w:space="0" w:color="auto"/>
        <w:right w:val="none" w:sz="0" w:space="0" w:color="auto"/>
      </w:divBdr>
    </w:div>
    <w:div w:id="281962887">
      <w:bodyDiv w:val="1"/>
      <w:marLeft w:val="0"/>
      <w:marRight w:val="0"/>
      <w:marTop w:val="0"/>
      <w:marBottom w:val="0"/>
      <w:divBdr>
        <w:top w:val="none" w:sz="0" w:space="0" w:color="auto"/>
        <w:left w:val="none" w:sz="0" w:space="0" w:color="auto"/>
        <w:bottom w:val="none" w:sz="0" w:space="0" w:color="auto"/>
        <w:right w:val="none" w:sz="0" w:space="0" w:color="auto"/>
      </w:divBdr>
    </w:div>
    <w:div w:id="325134840">
      <w:bodyDiv w:val="1"/>
      <w:marLeft w:val="0"/>
      <w:marRight w:val="0"/>
      <w:marTop w:val="0"/>
      <w:marBottom w:val="0"/>
      <w:divBdr>
        <w:top w:val="none" w:sz="0" w:space="0" w:color="auto"/>
        <w:left w:val="none" w:sz="0" w:space="0" w:color="auto"/>
        <w:bottom w:val="none" w:sz="0" w:space="0" w:color="auto"/>
        <w:right w:val="none" w:sz="0" w:space="0" w:color="auto"/>
      </w:divBdr>
    </w:div>
    <w:div w:id="332758505">
      <w:bodyDiv w:val="1"/>
      <w:marLeft w:val="0"/>
      <w:marRight w:val="0"/>
      <w:marTop w:val="0"/>
      <w:marBottom w:val="0"/>
      <w:divBdr>
        <w:top w:val="none" w:sz="0" w:space="0" w:color="auto"/>
        <w:left w:val="none" w:sz="0" w:space="0" w:color="auto"/>
        <w:bottom w:val="none" w:sz="0" w:space="0" w:color="auto"/>
        <w:right w:val="none" w:sz="0" w:space="0" w:color="auto"/>
      </w:divBdr>
    </w:div>
    <w:div w:id="338849464">
      <w:bodyDiv w:val="1"/>
      <w:marLeft w:val="0"/>
      <w:marRight w:val="0"/>
      <w:marTop w:val="0"/>
      <w:marBottom w:val="0"/>
      <w:divBdr>
        <w:top w:val="none" w:sz="0" w:space="0" w:color="auto"/>
        <w:left w:val="none" w:sz="0" w:space="0" w:color="auto"/>
        <w:bottom w:val="none" w:sz="0" w:space="0" w:color="auto"/>
        <w:right w:val="none" w:sz="0" w:space="0" w:color="auto"/>
      </w:divBdr>
    </w:div>
    <w:div w:id="419908903">
      <w:bodyDiv w:val="1"/>
      <w:marLeft w:val="0"/>
      <w:marRight w:val="0"/>
      <w:marTop w:val="0"/>
      <w:marBottom w:val="0"/>
      <w:divBdr>
        <w:top w:val="none" w:sz="0" w:space="0" w:color="auto"/>
        <w:left w:val="none" w:sz="0" w:space="0" w:color="auto"/>
        <w:bottom w:val="none" w:sz="0" w:space="0" w:color="auto"/>
        <w:right w:val="none" w:sz="0" w:space="0" w:color="auto"/>
      </w:divBdr>
    </w:div>
    <w:div w:id="497574672">
      <w:bodyDiv w:val="1"/>
      <w:marLeft w:val="0"/>
      <w:marRight w:val="0"/>
      <w:marTop w:val="0"/>
      <w:marBottom w:val="0"/>
      <w:divBdr>
        <w:top w:val="none" w:sz="0" w:space="0" w:color="auto"/>
        <w:left w:val="none" w:sz="0" w:space="0" w:color="auto"/>
        <w:bottom w:val="none" w:sz="0" w:space="0" w:color="auto"/>
        <w:right w:val="none" w:sz="0" w:space="0" w:color="auto"/>
      </w:divBdr>
    </w:div>
    <w:div w:id="60943297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93993305">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53375019">
      <w:bodyDiv w:val="1"/>
      <w:marLeft w:val="0"/>
      <w:marRight w:val="0"/>
      <w:marTop w:val="0"/>
      <w:marBottom w:val="0"/>
      <w:divBdr>
        <w:top w:val="none" w:sz="0" w:space="0" w:color="auto"/>
        <w:left w:val="none" w:sz="0" w:space="0" w:color="auto"/>
        <w:bottom w:val="none" w:sz="0" w:space="0" w:color="auto"/>
        <w:right w:val="none" w:sz="0" w:space="0" w:color="auto"/>
      </w:divBdr>
    </w:div>
    <w:div w:id="102263182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23062772">
      <w:bodyDiv w:val="1"/>
      <w:marLeft w:val="0"/>
      <w:marRight w:val="0"/>
      <w:marTop w:val="0"/>
      <w:marBottom w:val="0"/>
      <w:divBdr>
        <w:top w:val="none" w:sz="0" w:space="0" w:color="auto"/>
        <w:left w:val="none" w:sz="0" w:space="0" w:color="auto"/>
        <w:bottom w:val="none" w:sz="0" w:space="0" w:color="auto"/>
        <w:right w:val="none" w:sz="0" w:space="0" w:color="auto"/>
      </w:divBdr>
    </w:div>
    <w:div w:id="1603142341">
      <w:bodyDiv w:val="1"/>
      <w:marLeft w:val="0"/>
      <w:marRight w:val="0"/>
      <w:marTop w:val="0"/>
      <w:marBottom w:val="0"/>
      <w:divBdr>
        <w:top w:val="none" w:sz="0" w:space="0" w:color="auto"/>
        <w:left w:val="none" w:sz="0" w:space="0" w:color="auto"/>
        <w:bottom w:val="none" w:sz="0" w:space="0" w:color="auto"/>
        <w:right w:val="none" w:sz="0" w:space="0" w:color="auto"/>
      </w:divBdr>
    </w:div>
    <w:div w:id="1666277671">
      <w:bodyDiv w:val="1"/>
      <w:marLeft w:val="0"/>
      <w:marRight w:val="0"/>
      <w:marTop w:val="0"/>
      <w:marBottom w:val="0"/>
      <w:divBdr>
        <w:top w:val="none" w:sz="0" w:space="0" w:color="auto"/>
        <w:left w:val="none" w:sz="0" w:space="0" w:color="auto"/>
        <w:bottom w:val="none" w:sz="0" w:space="0" w:color="auto"/>
        <w:right w:val="none" w:sz="0" w:space="0" w:color="auto"/>
      </w:divBdr>
    </w:div>
    <w:div w:id="1709256513">
      <w:bodyDiv w:val="1"/>
      <w:marLeft w:val="0"/>
      <w:marRight w:val="0"/>
      <w:marTop w:val="0"/>
      <w:marBottom w:val="0"/>
      <w:divBdr>
        <w:top w:val="none" w:sz="0" w:space="0" w:color="auto"/>
        <w:left w:val="none" w:sz="0" w:space="0" w:color="auto"/>
        <w:bottom w:val="none" w:sz="0" w:space="0" w:color="auto"/>
        <w:right w:val="none" w:sz="0" w:space="0" w:color="auto"/>
      </w:divBdr>
    </w:div>
    <w:div w:id="1910069801">
      <w:bodyDiv w:val="1"/>
      <w:marLeft w:val="0"/>
      <w:marRight w:val="0"/>
      <w:marTop w:val="0"/>
      <w:marBottom w:val="0"/>
      <w:divBdr>
        <w:top w:val="none" w:sz="0" w:space="0" w:color="auto"/>
        <w:left w:val="none" w:sz="0" w:space="0" w:color="auto"/>
        <w:bottom w:val="none" w:sz="0" w:space="0" w:color="auto"/>
        <w:right w:val="none" w:sz="0" w:space="0" w:color="auto"/>
      </w:divBdr>
    </w:div>
    <w:div w:id="2003316827">
      <w:bodyDiv w:val="1"/>
      <w:marLeft w:val="0"/>
      <w:marRight w:val="0"/>
      <w:marTop w:val="0"/>
      <w:marBottom w:val="0"/>
      <w:divBdr>
        <w:top w:val="none" w:sz="0" w:space="0" w:color="auto"/>
        <w:left w:val="none" w:sz="0" w:space="0" w:color="auto"/>
        <w:bottom w:val="none" w:sz="0" w:space="0" w:color="auto"/>
        <w:right w:val="none" w:sz="0" w:space="0" w:color="auto"/>
      </w:divBdr>
    </w:div>
    <w:div w:id="204571378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ontratacion@alcaldiaelcarmen.gov.co"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cristian.diazd%40colombiacompra.gov.co%7Ceb0fd05604104aa4d3bc08dd4c4ad35e%7C7b09041e245149d08cb179d5e3d8c1be%7C0%7C0%7C638750606444592933%7CUnknown%7CTWFpbGZsb3d8eyJFbXB0eU1hcGkiOnRydWUsIlYiOiIwLjAuMDAwMCIsIlAiOiJXaW4zMiIsIkFOIjoiTWFpbCIsIldUIjoyfQ%3D%3D%7C0%7C%7C%7C&amp;sdata=qZvlIk%2FrnvAb1IzHbPyjlyaralE8Y5f5v9yebqZhDR0%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cristian.diazd%40colombiacompra.gov.co%7Ceb0fd05604104aa4d3bc08dd4c4ad35e%7C7b09041e245149d08cb179d5e3d8c1be%7C0%7C0%7C638750606444572015%7CUnknown%7CTWFpbGZsb3d8eyJFbXB0eU1hcGkiOnRydWUsIlYiOiIwLjAuMDAwMCIsIlAiOiJXaW4zMiIsIkFOIjoiTWFpbCIsIldUIjoyfQ%3D%3D%7C0%7C%7C%7C&amp;sdata=2koMLA2Rujb1Z3IGk8O5P4h5%2FPSTb0c7UvUgjfGTkns%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cristian.diazd%40colombiacompra.gov.co%7Ceb0fd05604104aa4d3bc08dd4c4ad35e%7C7b09041e245149d08cb179d5e3d8c1be%7C0%7C0%7C638750606444537653%7CUnknown%7CTWFpbGZsb3d8eyJFbXB0eU1hcGkiOnRydWUsIlYiOiIwLjAuMDAwMCIsIlAiOiJXaW4zMiIsIkFOIjoiTWFpbCIsIldUIjoyfQ%3D%3D%7C0%7C%7C%7C&amp;sdata=uwZdJs6WwcvTfHIQC2b9g2V2HrkoOrNiXvoPwFQ8%2BE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58B64B1-4B8B-2442-8006-B526C5F9BF8C}">
  <ds:schemaRefs>
    <ds:schemaRef ds:uri="http://schemas.openxmlformats.org/officeDocument/2006/bibliography"/>
  </ds:schemaRefs>
</ds:datastoreItem>
</file>

<file path=customXml/itemProps4.xml><?xml version="1.0" encoding="utf-8"?>
<ds:datastoreItem xmlns:ds="http://schemas.openxmlformats.org/officeDocument/2006/customXml" ds:itemID="{F65B2225-2DFD-4328-B935-0D4F135CA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907</TotalTime>
  <Pages>22</Pages>
  <Words>7376</Words>
  <Characters>40574</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47855</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Cristian Andrés Díaz Díaz</cp:lastModifiedBy>
  <cp:revision>938</cp:revision>
  <cp:lastPrinted>2023-01-10T21:18:00Z</cp:lastPrinted>
  <dcterms:created xsi:type="dcterms:W3CDTF">2024-12-10T20:33:00Z</dcterms:created>
  <dcterms:modified xsi:type="dcterms:W3CDTF">2025-02-24T17:36:00Z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