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E1216" w14:textId="220400C8" w:rsidR="000C78CA" w:rsidRDefault="000C78CA" w:rsidP="000C78CA">
      <w:pPr>
        <w:spacing w:after="0" w:line="240" w:lineRule="auto"/>
        <w:jc w:val="both"/>
        <w:rPr>
          <w:rFonts w:ascii="Verdana" w:eastAsia="Geomanist Light" w:hAnsi="Verdana" w:cs="Arial"/>
          <w:b/>
          <w:bCs/>
        </w:rPr>
      </w:pPr>
      <w:bookmarkStart w:id="0" w:name="_Hlk171380654"/>
      <w:bookmarkStart w:id="1" w:name="_Hlk172910794"/>
      <w:r w:rsidRPr="000C78CA">
        <w:rPr>
          <w:rFonts w:ascii="Verdana" w:eastAsia="Geomanist Light" w:hAnsi="Verdana" w:cs="Arial"/>
          <w:b/>
          <w:bCs/>
        </w:rPr>
        <w:t>PUBLICIDAD SECOP– Estatuto general de contratación – Modificación del artículo 53 – Ley 2195 de 2022</w:t>
      </w:r>
    </w:p>
    <w:p w14:paraId="78698415" w14:textId="77777777" w:rsidR="000C78CA" w:rsidRPr="000C78CA" w:rsidRDefault="000C78CA" w:rsidP="000C78CA">
      <w:pPr>
        <w:spacing w:after="0" w:line="240" w:lineRule="auto"/>
        <w:rPr>
          <w:rFonts w:ascii="Verdana" w:eastAsia="Geomanist Light" w:hAnsi="Verdana" w:cs="Arial"/>
          <w:b/>
          <w:bCs/>
        </w:rPr>
      </w:pPr>
    </w:p>
    <w:p w14:paraId="1DDC1558" w14:textId="5409460A" w:rsidR="000C78CA" w:rsidRPr="000C78CA" w:rsidRDefault="000C78CA" w:rsidP="000C78CA">
      <w:pPr>
        <w:spacing w:after="0" w:line="240" w:lineRule="auto"/>
        <w:jc w:val="both"/>
        <w:rPr>
          <w:rFonts w:ascii="Verdana" w:eastAsia="Geomanist Light" w:hAnsi="Verdana" w:cs="Arial"/>
          <w:sz w:val="20"/>
          <w:szCs w:val="20"/>
        </w:rPr>
      </w:pPr>
      <w:r w:rsidRPr="000C78CA">
        <w:rPr>
          <w:rFonts w:ascii="Verdana" w:eastAsia="Geomanist Light" w:hAnsi="Verdana" w:cs="Arial"/>
          <w:sz w:val="20"/>
          <w:szCs w:val="20"/>
        </w:rPr>
        <w:t>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 SECOP– como un mecanismo que “contará con la información oficial de la contratación realizada con dineros públicos, para lo cual establecerá los patrones a que haya lugar y se encargará de su difusión a través de canales electrónicos”.</w:t>
      </w:r>
    </w:p>
    <w:p w14:paraId="1F2B810A" w14:textId="77777777" w:rsidR="000C78CA" w:rsidRPr="000C78CA" w:rsidRDefault="000C78CA" w:rsidP="000C78CA">
      <w:pPr>
        <w:spacing w:after="0" w:line="240" w:lineRule="auto"/>
        <w:jc w:val="both"/>
        <w:rPr>
          <w:rFonts w:ascii="Verdana" w:eastAsia="Geomanist Light" w:hAnsi="Verdana" w:cs="Arial"/>
          <w:sz w:val="20"/>
          <w:szCs w:val="20"/>
        </w:rPr>
      </w:pPr>
      <w:r w:rsidRPr="000C78CA">
        <w:rPr>
          <w:rFonts w:ascii="Verdana" w:eastAsia="Geomanist Light" w:hAnsi="Verdana" w:cs="Arial"/>
          <w:sz w:val="20"/>
          <w:szCs w:val="20"/>
        </w:rPr>
        <w:t> </w:t>
      </w:r>
    </w:p>
    <w:p w14:paraId="630210F8" w14:textId="77777777" w:rsidR="000C78CA" w:rsidRPr="000C78CA" w:rsidRDefault="000C78CA" w:rsidP="000C78CA">
      <w:pPr>
        <w:spacing w:after="0" w:line="240" w:lineRule="auto"/>
        <w:jc w:val="both"/>
        <w:rPr>
          <w:rFonts w:ascii="Verdana" w:eastAsia="Geomanist Light" w:hAnsi="Verdana" w:cs="Arial"/>
          <w:sz w:val="20"/>
          <w:szCs w:val="20"/>
        </w:rPr>
      </w:pPr>
      <w:r w:rsidRPr="000C78CA">
        <w:rPr>
          <w:rFonts w:ascii="Verdana" w:eastAsia="Geomanist Light" w:hAnsi="Verdana" w:cs="Arial"/>
          <w:sz w:val="20"/>
          <w:szCs w:val="20"/>
        </w:rPr>
        <w:t>La 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sidRPr="000C78CA">
        <w:rPr>
          <w:rFonts w:ascii="Verdana" w:eastAsia="Geomanist Light" w:hAnsi="Verdana" w:cs="Arial"/>
          <w:b/>
          <w:bCs/>
          <w:sz w:val="20"/>
          <w:szCs w:val="20"/>
        </w:rPr>
        <w:t>.</w:t>
      </w:r>
    </w:p>
    <w:p w14:paraId="6151E25B" w14:textId="77777777" w:rsidR="000C78CA" w:rsidRPr="000C78CA" w:rsidRDefault="000C78CA" w:rsidP="000C78CA">
      <w:pPr>
        <w:spacing w:after="0" w:line="240" w:lineRule="auto"/>
        <w:jc w:val="both"/>
        <w:rPr>
          <w:rFonts w:ascii="Verdana" w:eastAsia="Geomanist Light" w:hAnsi="Verdana" w:cs="Arial"/>
          <w:sz w:val="20"/>
          <w:szCs w:val="20"/>
        </w:rPr>
      </w:pPr>
      <w:r w:rsidRPr="000C78CA">
        <w:rPr>
          <w:rFonts w:ascii="Verdana" w:eastAsia="Geomanist Light" w:hAnsi="Verdana" w:cs="Arial"/>
          <w:b/>
          <w:bCs/>
          <w:sz w:val="20"/>
          <w:szCs w:val="20"/>
        </w:rPr>
        <w:t> </w:t>
      </w:r>
    </w:p>
    <w:p w14:paraId="1D65A091" w14:textId="77777777" w:rsidR="000C78CA" w:rsidRPr="000C78CA" w:rsidRDefault="000C78CA" w:rsidP="000C78CA">
      <w:pPr>
        <w:spacing w:after="0" w:line="240" w:lineRule="auto"/>
        <w:jc w:val="both"/>
        <w:rPr>
          <w:rFonts w:ascii="Verdana" w:eastAsia="Geomanist Light" w:hAnsi="Verdana" w:cs="Arial"/>
          <w:sz w:val="20"/>
          <w:szCs w:val="20"/>
        </w:rPr>
      </w:pPr>
      <w:r w:rsidRPr="000C78CA">
        <w:rPr>
          <w:rFonts w:ascii="Verdana" w:eastAsia="Geomanist Light" w:hAnsi="Verdana" w:cs="Arial"/>
          <w:sz w:val="20"/>
          <w:szCs w:val="20"/>
        </w:rPr>
        <w:t xml:space="preserve">Los “Lineamientos Generales para la Expedición de Manuales de Contratación” expedido por La Agencia Nacional de Contratación </w:t>
      </w:r>
      <w:proofErr w:type="spellStart"/>
      <w:r w:rsidRPr="000C78CA">
        <w:rPr>
          <w:rFonts w:ascii="Verdana" w:eastAsia="Geomanist Light" w:hAnsi="Verdana" w:cs="Arial"/>
          <w:sz w:val="20"/>
          <w:szCs w:val="20"/>
        </w:rPr>
        <w:t>Publica</w:t>
      </w:r>
      <w:proofErr w:type="spellEnd"/>
      <w:r w:rsidRPr="000C78CA">
        <w:rPr>
          <w:rFonts w:ascii="Verdana" w:eastAsia="Geomanist Light" w:hAnsi="Verdana" w:cs="Arial"/>
          <w:sz w:val="20"/>
          <w:szCs w:val="20"/>
        </w:rPr>
        <w:t xml:space="preserve"> – Colombia Compra eficiente, indican que los manuales“ (… ) deben definir las funciones y las responsabilidades de quien realiza la actuación, de tal manera que, de forma discrecional es la entidad contratante en su Manual de Contratación, quien definirá el procedimiento relacionado con el estudio del sector y análisis del mercado, dentro de los cuales se encuentra la necesidad de realizar cotizaciones.</w:t>
      </w:r>
    </w:p>
    <w:p w14:paraId="6CD1C503" w14:textId="77777777" w:rsidR="00020A5F" w:rsidRPr="000C78CA" w:rsidRDefault="00020A5F" w:rsidP="00871B59">
      <w:pPr>
        <w:spacing w:after="0" w:line="240" w:lineRule="auto"/>
        <w:rPr>
          <w:rFonts w:ascii="Verdana" w:eastAsia="Geomanist Light" w:hAnsi="Verdana" w:cs="Arial"/>
        </w:rPr>
      </w:pPr>
    </w:p>
    <w:p w14:paraId="654C4CA3" w14:textId="77777777" w:rsidR="000C78CA" w:rsidRDefault="000C78CA" w:rsidP="00871B59">
      <w:pPr>
        <w:spacing w:after="0" w:line="240" w:lineRule="auto"/>
        <w:rPr>
          <w:rFonts w:ascii="Verdana" w:eastAsia="Geomanist Light" w:hAnsi="Verdana" w:cs="Arial"/>
          <w:lang w:val="es-MX"/>
        </w:rPr>
      </w:pPr>
    </w:p>
    <w:p w14:paraId="14495DAE" w14:textId="77777777" w:rsidR="000C78CA" w:rsidRDefault="000C78CA" w:rsidP="00871B59">
      <w:pPr>
        <w:spacing w:after="0" w:line="240" w:lineRule="auto"/>
        <w:rPr>
          <w:rFonts w:ascii="Verdana" w:eastAsia="Geomanist Light" w:hAnsi="Verdana" w:cs="Arial"/>
          <w:lang w:val="es-MX"/>
        </w:rPr>
      </w:pPr>
    </w:p>
    <w:p w14:paraId="33FE0372" w14:textId="77777777" w:rsidR="000C78CA" w:rsidRDefault="000C78CA" w:rsidP="00871B59">
      <w:pPr>
        <w:spacing w:after="0" w:line="240" w:lineRule="auto"/>
        <w:rPr>
          <w:rFonts w:ascii="Verdana" w:eastAsia="Geomanist Light" w:hAnsi="Verdana" w:cs="Arial"/>
          <w:lang w:val="es-MX"/>
        </w:rPr>
      </w:pPr>
    </w:p>
    <w:p w14:paraId="7E375BDC" w14:textId="77777777" w:rsidR="000C78CA" w:rsidRDefault="000C78CA" w:rsidP="00871B59">
      <w:pPr>
        <w:spacing w:after="0" w:line="240" w:lineRule="auto"/>
        <w:rPr>
          <w:rFonts w:ascii="Verdana" w:eastAsia="Geomanist Light" w:hAnsi="Verdana" w:cs="Arial"/>
          <w:lang w:val="es-MX"/>
        </w:rPr>
      </w:pPr>
    </w:p>
    <w:p w14:paraId="291D951A" w14:textId="77777777" w:rsidR="000C78CA" w:rsidRDefault="000C78CA" w:rsidP="00871B59">
      <w:pPr>
        <w:spacing w:after="0" w:line="240" w:lineRule="auto"/>
        <w:rPr>
          <w:rFonts w:ascii="Verdana" w:eastAsia="Geomanist Light" w:hAnsi="Verdana" w:cs="Arial"/>
          <w:lang w:val="es-MX"/>
        </w:rPr>
      </w:pPr>
    </w:p>
    <w:p w14:paraId="34975B27" w14:textId="77777777" w:rsidR="000C78CA" w:rsidRDefault="000C78CA" w:rsidP="00871B59">
      <w:pPr>
        <w:spacing w:after="0" w:line="240" w:lineRule="auto"/>
        <w:rPr>
          <w:rFonts w:ascii="Verdana" w:eastAsia="Geomanist Light" w:hAnsi="Verdana" w:cs="Arial"/>
          <w:lang w:val="es-MX"/>
        </w:rPr>
      </w:pPr>
    </w:p>
    <w:p w14:paraId="23B10DC4" w14:textId="77777777" w:rsidR="000C78CA" w:rsidRDefault="000C78CA" w:rsidP="00871B59">
      <w:pPr>
        <w:spacing w:after="0" w:line="240" w:lineRule="auto"/>
        <w:rPr>
          <w:rFonts w:ascii="Verdana" w:eastAsia="Geomanist Light" w:hAnsi="Verdana" w:cs="Arial"/>
          <w:lang w:val="es-MX"/>
        </w:rPr>
      </w:pPr>
    </w:p>
    <w:p w14:paraId="29244DB7" w14:textId="77777777" w:rsidR="000C78CA" w:rsidRDefault="000C78CA" w:rsidP="00871B59">
      <w:pPr>
        <w:spacing w:after="0" w:line="240" w:lineRule="auto"/>
        <w:rPr>
          <w:rFonts w:ascii="Verdana" w:eastAsia="Geomanist Light" w:hAnsi="Verdana" w:cs="Arial"/>
          <w:lang w:val="es-MX"/>
        </w:rPr>
      </w:pPr>
    </w:p>
    <w:p w14:paraId="6700D6DA" w14:textId="6B9408D9" w:rsidR="00871B59" w:rsidRPr="00B9032A" w:rsidRDefault="00871B59" w:rsidP="00871B59">
      <w:pPr>
        <w:spacing w:after="0" w:line="240" w:lineRule="auto"/>
        <w:rPr>
          <w:rFonts w:ascii="Verdana" w:eastAsia="Geomanist Light" w:hAnsi="Verdana" w:cs="Arial"/>
          <w:lang w:val="es-MX"/>
        </w:rPr>
      </w:pPr>
      <w:r w:rsidRPr="00B9032A">
        <w:rPr>
          <w:rFonts w:ascii="Verdana" w:eastAsia="Geomanist Light" w:hAnsi="Verdana" w:cs="Arial"/>
          <w:lang w:val="es-MX"/>
        </w:rPr>
        <w:lastRenderedPageBreak/>
        <w:t>Bogotá D.C., [Día] de [</w:t>
      </w:r>
      <w:proofErr w:type="spellStart"/>
      <w:r w:rsidRPr="00B9032A">
        <w:rPr>
          <w:rFonts w:ascii="Verdana" w:eastAsia="Geomanist Light" w:hAnsi="Verdana" w:cs="Arial"/>
          <w:lang w:val="es-MX"/>
        </w:rPr>
        <w:t>Mes.NombreCapitalizado</w:t>
      </w:r>
      <w:proofErr w:type="spellEnd"/>
      <w:r w:rsidRPr="00B9032A">
        <w:rPr>
          <w:rFonts w:ascii="Verdana" w:eastAsia="Geomanist Light" w:hAnsi="Verdana" w:cs="Arial"/>
          <w:lang w:val="es-MX"/>
        </w:rPr>
        <w:t>] de [Año]</w:t>
      </w:r>
    </w:p>
    <w:p w14:paraId="263F56BE" w14:textId="5FB3C678" w:rsidR="00871B59" w:rsidRDefault="00082CD1" w:rsidP="00871B59">
      <w:pPr>
        <w:spacing w:after="0" w:line="240" w:lineRule="auto"/>
        <w:jc w:val="both"/>
        <w:rPr>
          <w:rFonts w:ascii="Verdana" w:eastAsia="Calibri" w:hAnsi="Verdana" w:cs="Arial"/>
          <w:lang w:val="es-ES"/>
        </w:rPr>
      </w:pPr>
      <w:r w:rsidRPr="00082CD1">
        <w:rPr>
          <w:rFonts w:ascii="Verdana" w:eastAsia="Calibri" w:hAnsi="Verdana" w:cs="Arial"/>
          <w:noProof/>
          <w:lang w:val="es-ES"/>
        </w:rPr>
        <w:drawing>
          <wp:anchor distT="0" distB="0" distL="114300" distR="114300" simplePos="0" relativeHeight="251658240" behindDoc="1" locked="0" layoutInCell="1" allowOverlap="1" wp14:anchorId="26C74C43" wp14:editId="0013CA4C">
            <wp:simplePos x="0" y="0"/>
            <wp:positionH relativeFrom="column">
              <wp:posOffset>2779639</wp:posOffset>
            </wp:positionH>
            <wp:positionV relativeFrom="paragraph">
              <wp:posOffset>33313</wp:posOffset>
            </wp:positionV>
            <wp:extent cx="3390900" cy="962025"/>
            <wp:effectExtent l="0" t="0" r="0" b="9525"/>
            <wp:wrapTight wrapText="bothSides">
              <wp:wrapPolygon edited="0">
                <wp:start x="0" y="0"/>
                <wp:lineTo x="0" y="21386"/>
                <wp:lineTo x="21479" y="21386"/>
                <wp:lineTo x="21479" y="0"/>
                <wp:lineTo x="0" y="0"/>
              </wp:wrapPolygon>
            </wp:wrapTight>
            <wp:docPr id="3271068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06840"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390900" cy="962025"/>
                    </a:xfrm>
                    <a:prstGeom prst="rect">
                      <a:avLst/>
                    </a:prstGeom>
                  </pic:spPr>
                </pic:pic>
              </a:graphicData>
            </a:graphic>
          </wp:anchor>
        </w:drawing>
      </w:r>
    </w:p>
    <w:p w14:paraId="344F8BD0" w14:textId="627C902C" w:rsidR="00082CD1" w:rsidRDefault="00082CD1" w:rsidP="00871B59">
      <w:pPr>
        <w:spacing w:after="0" w:line="240" w:lineRule="auto"/>
        <w:jc w:val="both"/>
        <w:rPr>
          <w:rFonts w:ascii="Verdana" w:eastAsia="Calibri" w:hAnsi="Verdana" w:cs="Arial"/>
          <w:lang w:val="es-ES"/>
        </w:rPr>
      </w:pPr>
    </w:p>
    <w:p w14:paraId="015332F8" w14:textId="77777777" w:rsidR="00082CD1" w:rsidRDefault="00082CD1" w:rsidP="00871B59">
      <w:pPr>
        <w:spacing w:after="0" w:line="240" w:lineRule="auto"/>
        <w:jc w:val="both"/>
        <w:rPr>
          <w:rFonts w:ascii="Verdana" w:eastAsia="Calibri" w:hAnsi="Verdana" w:cs="Arial"/>
          <w:lang w:val="es-ES"/>
        </w:rPr>
      </w:pPr>
    </w:p>
    <w:p w14:paraId="2627EAC7" w14:textId="77777777" w:rsidR="00082CD1" w:rsidRDefault="00082CD1" w:rsidP="00871B59">
      <w:pPr>
        <w:spacing w:after="0" w:line="240" w:lineRule="auto"/>
        <w:jc w:val="both"/>
        <w:rPr>
          <w:rFonts w:ascii="Verdana" w:eastAsia="Calibri" w:hAnsi="Verdana" w:cs="Arial"/>
          <w:lang w:val="es-ES"/>
        </w:rPr>
      </w:pPr>
    </w:p>
    <w:p w14:paraId="4D4258ED" w14:textId="77777777" w:rsidR="00082CD1" w:rsidRDefault="00082CD1" w:rsidP="00871B59">
      <w:pPr>
        <w:spacing w:after="0" w:line="240" w:lineRule="auto"/>
        <w:jc w:val="both"/>
        <w:rPr>
          <w:rFonts w:ascii="Verdana" w:eastAsia="Calibri" w:hAnsi="Verdana" w:cs="Arial"/>
          <w:lang w:val="es-ES"/>
        </w:rPr>
      </w:pPr>
    </w:p>
    <w:p w14:paraId="7715590B" w14:textId="77777777" w:rsidR="00082CD1" w:rsidRDefault="00082CD1" w:rsidP="00871B59">
      <w:pPr>
        <w:spacing w:after="0" w:line="240" w:lineRule="auto"/>
        <w:jc w:val="both"/>
        <w:rPr>
          <w:rFonts w:ascii="Verdana" w:eastAsia="Calibri" w:hAnsi="Verdana" w:cs="Arial"/>
          <w:lang w:val="es-ES"/>
        </w:rPr>
      </w:pPr>
    </w:p>
    <w:p w14:paraId="45A523B9" w14:textId="77777777" w:rsidR="00082CD1" w:rsidRPr="00B9032A" w:rsidRDefault="00082CD1" w:rsidP="00871B59">
      <w:pPr>
        <w:spacing w:after="0" w:line="240" w:lineRule="auto"/>
        <w:jc w:val="both"/>
        <w:rPr>
          <w:rFonts w:ascii="Verdana" w:eastAsia="Calibri" w:hAnsi="Verdana" w:cs="Arial"/>
          <w:lang w:val="es-ES"/>
        </w:rPr>
      </w:pPr>
    </w:p>
    <w:p w14:paraId="208B27C4" w14:textId="77777777" w:rsidR="00082CD1" w:rsidRDefault="00082CD1" w:rsidP="00871B59">
      <w:pPr>
        <w:spacing w:after="0" w:line="240" w:lineRule="auto"/>
        <w:jc w:val="both"/>
        <w:rPr>
          <w:rFonts w:ascii="Verdana" w:eastAsia="Calibri" w:hAnsi="Verdana" w:cs="Arial"/>
          <w:lang w:val="es-ES" w:eastAsia="es-ES"/>
        </w:rPr>
      </w:pPr>
    </w:p>
    <w:p w14:paraId="66EF7FED" w14:textId="0ED1C54F" w:rsidR="00871B59" w:rsidRPr="00B9032A" w:rsidRDefault="00871B59" w:rsidP="00871B59">
      <w:pPr>
        <w:spacing w:after="0" w:line="240" w:lineRule="auto"/>
        <w:jc w:val="both"/>
        <w:rPr>
          <w:rFonts w:ascii="Verdana" w:eastAsia="Calibri" w:hAnsi="Verdana" w:cs="Arial"/>
          <w:lang w:val="es-ES" w:eastAsia="es-ES"/>
        </w:rPr>
      </w:pPr>
      <w:r w:rsidRPr="00B9032A">
        <w:rPr>
          <w:rFonts w:ascii="Verdana" w:eastAsia="Calibri" w:hAnsi="Verdana" w:cs="Arial"/>
          <w:lang w:val="es-ES" w:eastAsia="es-ES"/>
        </w:rPr>
        <w:t>Señor</w:t>
      </w:r>
      <w:r w:rsidR="001E6B63">
        <w:rPr>
          <w:rFonts w:ascii="Verdana" w:eastAsia="Calibri" w:hAnsi="Verdana" w:cs="Arial"/>
          <w:lang w:val="es-ES" w:eastAsia="es-ES"/>
        </w:rPr>
        <w:t>a</w:t>
      </w:r>
    </w:p>
    <w:p w14:paraId="0D0B9D30" w14:textId="01DEEFE5" w:rsidR="00871B59" w:rsidRPr="00082CD1" w:rsidRDefault="001E6B63" w:rsidP="00871B59">
      <w:pPr>
        <w:spacing w:after="0" w:line="240" w:lineRule="auto"/>
        <w:rPr>
          <w:rFonts w:ascii="Verdana" w:eastAsia="Calibri" w:hAnsi="Verdana" w:cs="Arial"/>
          <w:b/>
          <w:lang w:eastAsia="es-ES_tradnl"/>
        </w:rPr>
      </w:pPr>
      <w:proofErr w:type="spellStart"/>
      <w:r w:rsidRPr="00082CD1">
        <w:rPr>
          <w:rFonts w:ascii="Verdana" w:eastAsia="Calibri" w:hAnsi="Verdana" w:cs="Arial"/>
          <w:b/>
          <w:lang w:eastAsia="es-ES_tradnl"/>
        </w:rPr>
        <w:t>Nicolle</w:t>
      </w:r>
      <w:proofErr w:type="spellEnd"/>
      <w:r w:rsidRPr="00082CD1">
        <w:rPr>
          <w:rFonts w:ascii="Verdana" w:eastAsia="Calibri" w:hAnsi="Verdana" w:cs="Arial"/>
          <w:b/>
          <w:lang w:eastAsia="es-ES_tradnl"/>
        </w:rPr>
        <w:t xml:space="preserve"> Daniela Rueda </w:t>
      </w:r>
      <w:proofErr w:type="spellStart"/>
      <w:r w:rsidRPr="00082CD1">
        <w:rPr>
          <w:rFonts w:ascii="Verdana" w:eastAsia="Calibri" w:hAnsi="Verdana" w:cs="Arial"/>
          <w:b/>
          <w:lang w:eastAsia="es-ES_tradnl"/>
        </w:rPr>
        <w:t>Fernandez</w:t>
      </w:r>
      <w:proofErr w:type="spellEnd"/>
    </w:p>
    <w:p w14:paraId="24FE3D88" w14:textId="302F41D6" w:rsidR="00D03284" w:rsidRDefault="00102BED" w:rsidP="00871B59">
      <w:pPr>
        <w:spacing w:after="0" w:line="240" w:lineRule="auto"/>
        <w:rPr>
          <w:rFonts w:ascii="Verdana" w:hAnsi="Verdana"/>
        </w:rPr>
      </w:pPr>
      <w:hyperlink r:id="rId12" w:history="1">
        <w:r w:rsidR="001E6B63" w:rsidRPr="004565D4">
          <w:rPr>
            <w:rStyle w:val="Hipervnculo"/>
            <w:rFonts w:ascii="Verdana" w:hAnsi="Verdana"/>
          </w:rPr>
          <w:t>nrueda266@unab.edu.co</w:t>
        </w:r>
      </w:hyperlink>
    </w:p>
    <w:p w14:paraId="5ACFEA17" w14:textId="6D602C4E" w:rsidR="00871B59" w:rsidRPr="00B9032A" w:rsidRDefault="001E6B63" w:rsidP="00871B59">
      <w:pPr>
        <w:spacing w:after="0" w:line="240" w:lineRule="auto"/>
        <w:rPr>
          <w:rFonts w:ascii="Verdana" w:eastAsia="Calibri" w:hAnsi="Verdana" w:cs="Arial"/>
          <w:b/>
          <w:bCs/>
          <w:lang w:val="es-ES" w:eastAsia="es-ES"/>
        </w:rPr>
      </w:pPr>
      <w:r>
        <w:rPr>
          <w:rFonts w:ascii="Verdana" w:eastAsia="Calibri" w:hAnsi="Verdana" w:cs="Arial"/>
          <w:lang w:val="es-ES" w:eastAsia="es-ES"/>
        </w:rPr>
        <w:t>Bucaramanga, Santander</w:t>
      </w:r>
    </w:p>
    <w:p w14:paraId="75545CBA" w14:textId="77777777" w:rsidR="00871B59" w:rsidRPr="00B9032A" w:rsidRDefault="00871B59" w:rsidP="00871B59">
      <w:pPr>
        <w:spacing w:after="0" w:line="240" w:lineRule="auto"/>
        <w:rPr>
          <w:rFonts w:ascii="Verdana" w:eastAsia="Calibri" w:hAnsi="Verdana" w:cs="Arial"/>
          <w:b/>
          <w:bCs/>
          <w:lang w:val="es-ES_tradnl" w:eastAsia="es-ES_tradnl"/>
        </w:rPr>
      </w:pPr>
    </w:p>
    <w:p w14:paraId="40764CBF" w14:textId="77777777" w:rsidR="00871B59" w:rsidRPr="00B9032A"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B9032A" w:rsidRPr="00B9032A" w14:paraId="6AC1791A" w14:textId="77777777" w:rsidTr="00082CD1">
        <w:trPr>
          <w:trHeight w:val="884"/>
        </w:trPr>
        <w:tc>
          <w:tcPr>
            <w:tcW w:w="2552" w:type="dxa"/>
          </w:tcPr>
          <w:p w14:paraId="156B1AEC" w14:textId="77777777" w:rsidR="00871B59" w:rsidRPr="00B9032A" w:rsidRDefault="00871B59">
            <w:pPr>
              <w:jc w:val="both"/>
              <w:rPr>
                <w:rFonts w:ascii="Verdana" w:eastAsia="Calibri" w:hAnsi="Verdana" w:cs="Arial"/>
                <w:b/>
                <w:bCs/>
                <w:lang w:val="es-ES_tradnl" w:eastAsia="es-ES_tradnl"/>
              </w:rPr>
            </w:pPr>
          </w:p>
        </w:tc>
        <w:tc>
          <w:tcPr>
            <w:tcW w:w="6237" w:type="dxa"/>
          </w:tcPr>
          <w:p w14:paraId="48F499EA" w14:textId="6548090F" w:rsidR="00871B59" w:rsidRPr="00B9032A" w:rsidRDefault="00871B59">
            <w:pPr>
              <w:jc w:val="both"/>
              <w:rPr>
                <w:rFonts w:ascii="Verdana" w:eastAsia="Calibri" w:hAnsi="Verdana" w:cs="Arial"/>
                <w:b/>
                <w:bCs/>
                <w:lang w:val="es-ES" w:eastAsia="es-ES"/>
              </w:rPr>
            </w:pPr>
            <w:r w:rsidRPr="00A05D8B">
              <w:rPr>
                <w:rFonts w:ascii="Verdana" w:eastAsia="Calibri" w:hAnsi="Verdana" w:cs="Arial"/>
                <w:b/>
                <w:bCs/>
                <w:lang w:val="es-ES" w:eastAsia="es-ES"/>
              </w:rPr>
              <w:t xml:space="preserve">Concepto C- </w:t>
            </w:r>
            <w:r w:rsidR="001E6B63">
              <w:rPr>
                <w:rFonts w:ascii="Verdana" w:eastAsia="Calibri" w:hAnsi="Verdana" w:cs="Arial"/>
                <w:b/>
                <w:bCs/>
                <w:lang w:val="es-ES" w:eastAsia="es-ES"/>
              </w:rPr>
              <w:t>134</w:t>
            </w:r>
            <w:r w:rsidRPr="00A05D8B">
              <w:rPr>
                <w:rFonts w:ascii="Verdana" w:eastAsia="Calibri" w:hAnsi="Verdana" w:cs="Arial"/>
                <w:b/>
                <w:bCs/>
                <w:lang w:val="es-ES" w:eastAsia="es-ES"/>
              </w:rPr>
              <w:t xml:space="preserve"> de 2024</w:t>
            </w:r>
          </w:p>
        </w:tc>
      </w:tr>
      <w:tr w:rsidR="00B9032A" w:rsidRPr="00B9032A" w14:paraId="0DD246A7" w14:textId="77777777" w:rsidTr="00082CD1">
        <w:trPr>
          <w:trHeight w:val="884"/>
        </w:trPr>
        <w:tc>
          <w:tcPr>
            <w:tcW w:w="2552" w:type="dxa"/>
          </w:tcPr>
          <w:p w14:paraId="1B4FC525" w14:textId="77777777" w:rsidR="00871B59" w:rsidRPr="00B9032A" w:rsidRDefault="00871B59">
            <w:pPr>
              <w:jc w:val="both"/>
              <w:rPr>
                <w:rFonts w:ascii="Verdana" w:eastAsia="Calibri" w:hAnsi="Verdana" w:cs="Arial"/>
                <w:lang w:val="es-ES_tradnl" w:eastAsia="es-ES_tradnl"/>
              </w:rPr>
            </w:pPr>
            <w:r w:rsidRPr="00B9032A">
              <w:rPr>
                <w:rFonts w:ascii="Verdana" w:eastAsia="Calibri" w:hAnsi="Verdana" w:cs="Arial"/>
                <w:b/>
                <w:lang w:val="es-ES_tradnl" w:eastAsia="es-ES_tradnl"/>
              </w:rPr>
              <w:t>Temas:</w:t>
            </w:r>
            <w:r w:rsidRPr="00B9032A">
              <w:rPr>
                <w:rFonts w:ascii="Verdana" w:eastAsia="Calibri" w:hAnsi="Verdana" w:cs="Arial"/>
                <w:lang w:val="es-ES_tradnl" w:eastAsia="es-ES_tradnl"/>
              </w:rPr>
              <w:t xml:space="preserve">                   </w:t>
            </w:r>
          </w:p>
        </w:tc>
        <w:tc>
          <w:tcPr>
            <w:tcW w:w="6237" w:type="dxa"/>
          </w:tcPr>
          <w:p w14:paraId="06234199" w14:textId="3BD90803" w:rsidR="00860DEA" w:rsidRPr="00860DEA" w:rsidRDefault="001E6B63" w:rsidP="00860DEA">
            <w:pPr>
              <w:spacing w:line="276" w:lineRule="auto"/>
              <w:jc w:val="both"/>
              <w:rPr>
                <w:rFonts w:ascii="Verdana" w:eastAsia="Calibri" w:hAnsi="Verdana" w:cs="Arial"/>
                <w:bCs/>
                <w:lang w:val="es-MX" w:eastAsia="es-ES"/>
              </w:rPr>
            </w:pPr>
            <w:r w:rsidRPr="001E6B63">
              <w:rPr>
                <w:rFonts w:ascii="Verdana" w:eastAsia="Calibri" w:hAnsi="Verdana" w:cs="Arial"/>
                <w:bCs/>
                <w:lang w:val="es-MX" w:eastAsia="es-ES"/>
              </w:rPr>
              <w:t>PUBLICIDAD SECOP – Entidades exceptuadas – Estatuto general de contratación – Modificación del artículo 53 – Ley 2195 de 2022 /</w:t>
            </w:r>
            <w:r w:rsidRPr="001E6B63">
              <w:rPr>
                <w:rFonts w:ascii="Verdana" w:eastAsia="Calibri" w:hAnsi="Verdana" w:cs="Arial"/>
                <w:bCs/>
                <w:lang w:eastAsia="es-ES"/>
              </w:rPr>
              <w:t xml:space="preserve"> </w:t>
            </w:r>
            <w:r w:rsidRPr="001E6B63">
              <w:rPr>
                <w:rFonts w:ascii="Verdana" w:eastAsia="Calibri" w:hAnsi="Verdana" w:cs="Arial"/>
                <w:bCs/>
                <w:lang w:val="es-MX" w:eastAsia="es-ES"/>
              </w:rPr>
              <w:t>SECOP II – Deber de publicidad – Entidades exceptuadas – Documentos relacionados con la actividad contractual</w:t>
            </w:r>
          </w:p>
          <w:p w14:paraId="7DABEBAB" w14:textId="119834C5" w:rsidR="00871B59" w:rsidRDefault="00871B59">
            <w:pPr>
              <w:spacing w:line="276" w:lineRule="auto"/>
              <w:jc w:val="both"/>
              <w:rPr>
                <w:rFonts w:ascii="Verdana" w:eastAsia="Calibri" w:hAnsi="Verdana" w:cs="Arial"/>
                <w:bCs/>
                <w:lang w:val="es-MX" w:eastAsia="es-ES"/>
              </w:rPr>
            </w:pPr>
          </w:p>
          <w:p w14:paraId="7ADD1096" w14:textId="1F6BA4EC" w:rsidR="0019549F" w:rsidRPr="00B9032A" w:rsidRDefault="0019549F">
            <w:pPr>
              <w:spacing w:line="276" w:lineRule="auto"/>
              <w:jc w:val="both"/>
              <w:rPr>
                <w:rFonts w:ascii="Verdana" w:eastAsia="Calibri" w:hAnsi="Verdana" w:cs="Arial"/>
                <w:lang w:val="es-ES_tradnl" w:eastAsia="es-ES"/>
              </w:rPr>
            </w:pPr>
          </w:p>
        </w:tc>
      </w:tr>
      <w:tr w:rsidR="00871B59" w:rsidRPr="00B9032A" w14:paraId="0A874006" w14:textId="77777777" w:rsidTr="00082CD1">
        <w:tc>
          <w:tcPr>
            <w:tcW w:w="2552" w:type="dxa"/>
          </w:tcPr>
          <w:p w14:paraId="56ED2765" w14:textId="77777777" w:rsidR="00871B59" w:rsidRPr="00D85F7B" w:rsidRDefault="00871B59">
            <w:pPr>
              <w:jc w:val="both"/>
              <w:rPr>
                <w:rFonts w:ascii="Verdana" w:eastAsia="Calibri" w:hAnsi="Verdana" w:cs="Arial"/>
                <w:b/>
                <w:lang w:val="es-ES_tradnl" w:eastAsia="es-ES_tradnl"/>
              </w:rPr>
            </w:pPr>
            <w:r w:rsidRPr="00D85F7B">
              <w:rPr>
                <w:rFonts w:ascii="Verdana" w:eastAsia="Calibri" w:hAnsi="Verdana" w:cs="Arial"/>
                <w:b/>
                <w:lang w:val="es-ES_tradnl" w:eastAsia="es-ES_tradnl"/>
              </w:rPr>
              <w:t xml:space="preserve">Radicación:               </w:t>
            </w:r>
          </w:p>
        </w:tc>
        <w:tc>
          <w:tcPr>
            <w:tcW w:w="6237" w:type="dxa"/>
          </w:tcPr>
          <w:p w14:paraId="32FE922C" w14:textId="16E56E6B" w:rsidR="00D03284" w:rsidRPr="00D85F7B" w:rsidRDefault="00871B59" w:rsidP="00D03284">
            <w:pPr>
              <w:jc w:val="both"/>
              <w:rPr>
                <w:rFonts w:ascii="Verdana" w:eastAsia="Calibri" w:hAnsi="Verdana"/>
                <w:bCs/>
                <w:lang w:eastAsia="es-ES_tradnl"/>
              </w:rPr>
            </w:pPr>
            <w:r w:rsidRPr="00D85F7B">
              <w:rPr>
                <w:rFonts w:ascii="Verdana" w:eastAsia="Calibri" w:hAnsi="Verdana" w:cs="Arial"/>
                <w:bCs/>
                <w:lang w:val="es-ES_tradnl" w:eastAsia="es-ES_tradnl"/>
              </w:rPr>
              <w:t xml:space="preserve">Respuesta a consulta con radicado No. </w:t>
            </w:r>
            <w:r w:rsidR="00D03284" w:rsidRPr="00D85F7B">
              <w:rPr>
                <w:rFonts w:ascii="Verdana" w:eastAsia="Calibri" w:hAnsi="Verdana"/>
                <w:bCs/>
                <w:lang w:eastAsia="es-ES_tradnl"/>
              </w:rPr>
              <w:t>P20240</w:t>
            </w:r>
            <w:r w:rsidR="001E6B63" w:rsidRPr="00D85F7B">
              <w:rPr>
                <w:rFonts w:ascii="Verdana" w:eastAsia="Calibri" w:hAnsi="Verdana"/>
                <w:bCs/>
                <w:lang w:eastAsia="es-ES_tradnl"/>
              </w:rPr>
              <w:t>61</w:t>
            </w:r>
            <w:r w:rsidR="00D03284" w:rsidRPr="00D85F7B">
              <w:rPr>
                <w:rFonts w:ascii="Verdana" w:eastAsia="Calibri" w:hAnsi="Verdana"/>
                <w:bCs/>
                <w:lang w:eastAsia="es-ES_tradnl"/>
              </w:rPr>
              <w:t>800</w:t>
            </w:r>
            <w:r w:rsidR="001E6B63" w:rsidRPr="00D85F7B">
              <w:rPr>
                <w:rFonts w:ascii="Verdana" w:eastAsia="Calibri" w:hAnsi="Verdana"/>
                <w:bCs/>
                <w:lang w:eastAsia="es-ES_tradnl"/>
              </w:rPr>
              <w:t>6203</w:t>
            </w:r>
          </w:p>
          <w:p w14:paraId="630D2668" w14:textId="6B3A753A" w:rsidR="00871B59" w:rsidRPr="00D85F7B" w:rsidRDefault="00871B59">
            <w:pPr>
              <w:jc w:val="both"/>
              <w:rPr>
                <w:rFonts w:ascii="Verdana" w:eastAsia="Calibri" w:hAnsi="Verdana" w:cs="Arial"/>
                <w:bCs/>
                <w:lang w:val="es-ES_tradnl" w:eastAsia="es-ES_tradnl"/>
              </w:rPr>
            </w:pPr>
          </w:p>
        </w:tc>
      </w:tr>
    </w:tbl>
    <w:p w14:paraId="01AFCA4D" w14:textId="77777777" w:rsidR="00871B59" w:rsidRPr="00B9032A"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B9032A" w:rsidRDefault="00871B59" w:rsidP="00871B59">
      <w:pPr>
        <w:spacing w:after="0" w:line="240" w:lineRule="auto"/>
        <w:jc w:val="both"/>
        <w:rPr>
          <w:rFonts w:ascii="Verdana" w:eastAsia="Calibri" w:hAnsi="Verdana" w:cs="Arial"/>
          <w:lang w:val="es-ES_tradnl" w:eastAsia="es-ES_tradnl"/>
        </w:rPr>
      </w:pPr>
    </w:p>
    <w:p w14:paraId="5A8CAE32" w14:textId="31EAB107" w:rsidR="00871B59" w:rsidRPr="00B9032A" w:rsidRDefault="00871B59" w:rsidP="00871B59">
      <w:pPr>
        <w:spacing w:after="0" w:line="276" w:lineRule="auto"/>
        <w:jc w:val="both"/>
        <w:rPr>
          <w:rFonts w:ascii="Verdana" w:eastAsia="Calibri" w:hAnsi="Verdana" w:cs="Arial"/>
          <w:lang w:val="es-ES" w:eastAsia="es-ES"/>
        </w:rPr>
      </w:pPr>
      <w:r w:rsidRPr="00B9032A">
        <w:rPr>
          <w:rFonts w:ascii="Verdana" w:eastAsia="Calibri" w:hAnsi="Verdana" w:cs="Arial"/>
          <w:lang w:val="es-ES" w:eastAsia="es-ES"/>
        </w:rPr>
        <w:t>Estimad</w:t>
      </w:r>
      <w:r w:rsidR="001E6B63">
        <w:rPr>
          <w:rFonts w:ascii="Verdana" w:eastAsia="Calibri" w:hAnsi="Verdana" w:cs="Arial"/>
          <w:lang w:val="es-ES" w:eastAsia="es-ES"/>
        </w:rPr>
        <w:t>a</w:t>
      </w:r>
      <w:r w:rsidRPr="00B9032A">
        <w:rPr>
          <w:rFonts w:ascii="Verdana" w:eastAsia="Calibri" w:hAnsi="Verdana" w:cs="Arial"/>
          <w:lang w:val="es-ES" w:eastAsia="es-ES"/>
        </w:rPr>
        <w:t xml:space="preserve"> señor</w:t>
      </w:r>
      <w:r w:rsidR="001E6B63">
        <w:rPr>
          <w:rFonts w:ascii="Verdana" w:eastAsia="Calibri" w:hAnsi="Verdana" w:cs="Arial"/>
          <w:lang w:val="es-ES" w:eastAsia="es-ES"/>
        </w:rPr>
        <w:t>a</w:t>
      </w:r>
      <w:r w:rsidRPr="00B9032A">
        <w:rPr>
          <w:rFonts w:ascii="Verdana" w:eastAsia="Calibri" w:hAnsi="Verdana" w:cs="Arial"/>
          <w:lang w:val="es-ES" w:eastAsia="es-ES"/>
        </w:rPr>
        <w:t xml:space="preserve"> </w:t>
      </w:r>
      <w:r w:rsidR="0019549F">
        <w:rPr>
          <w:rFonts w:ascii="Verdana" w:eastAsia="Calibri" w:hAnsi="Verdana" w:cs="Arial"/>
          <w:lang w:val="es-ES" w:eastAsia="es-ES"/>
        </w:rPr>
        <w:t>R</w:t>
      </w:r>
      <w:r w:rsidR="001E6B63">
        <w:rPr>
          <w:rFonts w:ascii="Verdana" w:eastAsia="Calibri" w:hAnsi="Verdana" w:cs="Arial"/>
          <w:lang w:val="es-ES" w:eastAsia="es-ES"/>
        </w:rPr>
        <w:t>ueda</w:t>
      </w:r>
      <w:r w:rsidRPr="00B9032A">
        <w:rPr>
          <w:rFonts w:ascii="Verdana" w:eastAsia="Calibri" w:hAnsi="Verdana" w:cs="Arial"/>
          <w:lang w:val="es-ES" w:eastAsia="es-ES"/>
        </w:rPr>
        <w:t xml:space="preserve">: </w:t>
      </w:r>
    </w:p>
    <w:p w14:paraId="62039951" w14:textId="77777777" w:rsidR="00871B59" w:rsidRPr="00B9032A" w:rsidRDefault="00871B59" w:rsidP="00871B59">
      <w:pPr>
        <w:tabs>
          <w:tab w:val="left" w:pos="3768"/>
        </w:tabs>
        <w:spacing w:after="0" w:line="276" w:lineRule="auto"/>
        <w:jc w:val="both"/>
        <w:rPr>
          <w:rFonts w:ascii="Verdana" w:eastAsia="Calibri" w:hAnsi="Verdana" w:cs="Arial"/>
          <w:lang w:val="es-ES" w:eastAsia="es-ES"/>
        </w:rPr>
      </w:pPr>
      <w:r w:rsidRPr="00B9032A">
        <w:rPr>
          <w:rFonts w:ascii="Verdana" w:eastAsia="Calibri" w:hAnsi="Verdana" w:cs="Arial"/>
          <w:lang w:val="es-ES" w:eastAsia="es-ES"/>
        </w:rPr>
        <w:tab/>
      </w:r>
    </w:p>
    <w:p w14:paraId="3F1D9A82" w14:textId="67A767B2" w:rsidR="00871B59" w:rsidRPr="00B9032A" w:rsidRDefault="00871B59" w:rsidP="00871B59">
      <w:pPr>
        <w:spacing w:after="0" w:line="276" w:lineRule="auto"/>
        <w:jc w:val="both"/>
        <w:rPr>
          <w:rFonts w:ascii="Verdana" w:eastAsia="Calibri" w:hAnsi="Verdana" w:cs="Arial"/>
          <w:lang w:val="es-ES" w:eastAsia="es-ES"/>
        </w:rPr>
      </w:pPr>
      <w:r w:rsidRPr="00B9032A">
        <w:rPr>
          <w:rFonts w:ascii="Verdana" w:eastAsia="Calibri" w:hAnsi="Verdana" w:cs="Arial"/>
          <w:lang w:val="es-ES" w:eastAsia="es-ES"/>
        </w:rPr>
        <w:t>En ejercicio de la competencia otorgada por los artículos 3, numeral 5º, y 11, numeral 8º, del Decreto Ley 4170 de 2011,</w:t>
      </w:r>
      <w:r w:rsidRPr="00B9032A">
        <w:rPr>
          <w:rFonts w:ascii="Verdana" w:eastAsia="Arial MT" w:hAnsi="Verdana" w:cs="Arial MT"/>
          <w:lang w:val="es-ES" w:eastAsia="es-ES"/>
        </w:rPr>
        <w:t xml:space="preserve"> </w:t>
      </w:r>
      <w:r w:rsidRPr="00B9032A">
        <w:rPr>
          <w:rFonts w:ascii="Verdana" w:hAnsi="Verdana" w:cs="Arial"/>
        </w:rPr>
        <w:t xml:space="preserve">así como lo establecido en el artículo 4 de la Resolución 1707 de 2018 expedida por esta Entidad, </w:t>
      </w:r>
      <w:r w:rsidRPr="00B9032A">
        <w:rPr>
          <w:rFonts w:ascii="Verdana" w:eastAsia="Calibri" w:hAnsi="Verdana" w:cs="Arial"/>
          <w:lang w:val="es-ES" w:eastAsia="es-ES"/>
        </w:rPr>
        <w:t xml:space="preserve">la Agencia Nacional de Contratación Pública – Colombia Compra Eficiente– responde su solicitud de consulta de fecha </w:t>
      </w:r>
      <w:r w:rsidR="00C50198">
        <w:rPr>
          <w:rFonts w:ascii="Verdana" w:eastAsia="Calibri" w:hAnsi="Verdana" w:cs="Arial"/>
          <w:lang w:val="es-ES" w:eastAsia="es-ES"/>
        </w:rPr>
        <w:t>18</w:t>
      </w:r>
      <w:r w:rsidRPr="00B9032A">
        <w:rPr>
          <w:rFonts w:ascii="Verdana" w:eastAsia="Calibri" w:hAnsi="Verdana" w:cs="Arial"/>
          <w:lang w:val="es-ES" w:eastAsia="es-ES"/>
        </w:rPr>
        <w:t xml:space="preserve"> de </w:t>
      </w:r>
      <w:r w:rsidR="00C50198">
        <w:rPr>
          <w:rFonts w:ascii="Verdana" w:eastAsia="Calibri" w:hAnsi="Verdana" w:cs="Arial"/>
          <w:lang w:val="es-ES" w:eastAsia="es-ES"/>
        </w:rPr>
        <w:t>juni</w:t>
      </w:r>
      <w:r w:rsidR="0066261C" w:rsidRPr="00B9032A">
        <w:rPr>
          <w:rFonts w:ascii="Verdana" w:eastAsia="Calibri" w:hAnsi="Verdana" w:cs="Arial"/>
          <w:lang w:val="es-ES" w:eastAsia="es-ES"/>
        </w:rPr>
        <w:t>o</w:t>
      </w:r>
      <w:r w:rsidRPr="00B9032A">
        <w:rPr>
          <w:rFonts w:ascii="Verdana" w:eastAsia="Calibri" w:hAnsi="Verdana" w:cs="Arial"/>
          <w:lang w:val="es-ES" w:eastAsia="es-ES"/>
        </w:rPr>
        <w:t xml:space="preserve"> de 20</w:t>
      </w:r>
      <w:r w:rsidR="0066261C" w:rsidRPr="00B9032A">
        <w:rPr>
          <w:rFonts w:ascii="Verdana" w:eastAsia="Calibri" w:hAnsi="Verdana" w:cs="Arial"/>
          <w:lang w:val="es-ES" w:eastAsia="es-ES"/>
        </w:rPr>
        <w:t>24</w:t>
      </w:r>
      <w:r w:rsidRPr="00B9032A">
        <w:rPr>
          <w:rFonts w:ascii="Verdana" w:eastAsia="Calibri" w:hAnsi="Verdana" w:cs="Arial"/>
          <w:lang w:val="es-ES" w:eastAsia="es-ES"/>
        </w:rPr>
        <w:t xml:space="preserve">, en la cual manifiesta lo siguiente: </w:t>
      </w:r>
    </w:p>
    <w:p w14:paraId="6EC96892" w14:textId="77777777" w:rsidR="00CB5253" w:rsidRDefault="00CB5253" w:rsidP="00A05D8B">
      <w:pPr>
        <w:spacing w:after="0" w:line="240" w:lineRule="auto"/>
        <w:ind w:left="709" w:right="709"/>
        <w:jc w:val="both"/>
        <w:rPr>
          <w:rFonts w:ascii="Verdana" w:eastAsia="Century Gothic" w:hAnsi="Verdana" w:cs="Century Gothic"/>
          <w:sz w:val="20"/>
          <w:szCs w:val="20"/>
          <w:lang w:val="es-ES"/>
        </w:rPr>
      </w:pPr>
      <w:bookmarkStart w:id="2" w:name="_Hlk95313578"/>
    </w:p>
    <w:p w14:paraId="60ADC0C9" w14:textId="2F2D17F9" w:rsidR="00C50198" w:rsidRPr="00C50198" w:rsidRDefault="00C50198" w:rsidP="00C50198">
      <w:pPr>
        <w:numPr>
          <w:ilvl w:val="0"/>
          <w:numId w:val="15"/>
        </w:numPr>
        <w:spacing w:after="0" w:line="240" w:lineRule="auto"/>
        <w:ind w:right="709"/>
        <w:jc w:val="both"/>
        <w:rPr>
          <w:rFonts w:ascii="Verdana" w:eastAsia="Century Gothic" w:hAnsi="Verdana" w:cs="Century Gothic"/>
          <w:sz w:val="20"/>
          <w:szCs w:val="20"/>
        </w:rPr>
      </w:pPr>
      <w:r w:rsidRPr="00C50198">
        <w:rPr>
          <w:rFonts w:ascii="Verdana" w:eastAsia="Century Gothic" w:hAnsi="Verdana" w:cs="Century Gothic"/>
          <w:sz w:val="20"/>
          <w:szCs w:val="20"/>
        </w:rPr>
        <w:t>¿Las Entidades Públicas de régimen especial de contratación pública a partir de qué momento deben publicar en el SECOP sus procesos de contratación? ¿paso por paso, acto por acto? o debe ser apenas concluye el proceso de contratación?  </w:t>
      </w:r>
    </w:p>
    <w:p w14:paraId="04C9C6CD" w14:textId="77777777" w:rsidR="00C50198" w:rsidRPr="00C50198" w:rsidRDefault="00C50198" w:rsidP="00C50198">
      <w:pPr>
        <w:spacing w:after="0" w:line="240" w:lineRule="auto"/>
        <w:ind w:left="709" w:right="709"/>
        <w:jc w:val="both"/>
        <w:rPr>
          <w:rFonts w:ascii="Verdana" w:eastAsia="Century Gothic" w:hAnsi="Verdana" w:cs="Century Gothic"/>
          <w:sz w:val="20"/>
          <w:szCs w:val="20"/>
        </w:rPr>
      </w:pPr>
      <w:r w:rsidRPr="00C50198">
        <w:rPr>
          <w:rFonts w:ascii="Verdana" w:eastAsia="Century Gothic" w:hAnsi="Verdana" w:cs="Century Gothic"/>
          <w:sz w:val="20"/>
          <w:szCs w:val="20"/>
        </w:rPr>
        <w:t> </w:t>
      </w:r>
    </w:p>
    <w:p w14:paraId="4BDC57ED" w14:textId="77777777" w:rsidR="00C50198" w:rsidRPr="00C50198" w:rsidRDefault="00C50198" w:rsidP="00C50198">
      <w:pPr>
        <w:spacing w:after="0" w:line="240" w:lineRule="auto"/>
        <w:ind w:left="709" w:right="709"/>
        <w:jc w:val="both"/>
        <w:rPr>
          <w:rFonts w:ascii="Verdana" w:eastAsia="Century Gothic" w:hAnsi="Verdana" w:cs="Century Gothic"/>
          <w:sz w:val="20"/>
          <w:szCs w:val="20"/>
        </w:rPr>
      </w:pPr>
      <w:r w:rsidRPr="00C50198">
        <w:rPr>
          <w:rFonts w:ascii="Verdana" w:eastAsia="Century Gothic" w:hAnsi="Verdana" w:cs="Century Gothic"/>
          <w:sz w:val="20"/>
          <w:szCs w:val="20"/>
        </w:rPr>
        <w:t>Es decir, ¿se debe publicar una invitación abierta o si el manual de contratación señala que existe una invitación privada a un listado de proveedores u oferentes una vez concluya el proceso, debo publicarlo? </w:t>
      </w:r>
    </w:p>
    <w:p w14:paraId="5F25F470" w14:textId="77777777" w:rsidR="00C50198" w:rsidRPr="00C50198" w:rsidRDefault="00C50198" w:rsidP="00C50198">
      <w:pPr>
        <w:spacing w:after="0" w:line="240" w:lineRule="auto"/>
        <w:ind w:left="709" w:right="709"/>
        <w:jc w:val="both"/>
        <w:rPr>
          <w:rFonts w:ascii="Verdana" w:eastAsia="Century Gothic" w:hAnsi="Verdana" w:cs="Century Gothic"/>
          <w:sz w:val="20"/>
          <w:szCs w:val="20"/>
        </w:rPr>
      </w:pPr>
      <w:r w:rsidRPr="00C50198">
        <w:rPr>
          <w:rFonts w:ascii="Verdana" w:eastAsia="Century Gothic" w:hAnsi="Verdana" w:cs="Century Gothic"/>
          <w:sz w:val="20"/>
          <w:szCs w:val="20"/>
        </w:rPr>
        <w:t> </w:t>
      </w:r>
    </w:p>
    <w:p w14:paraId="1006183E" w14:textId="68D998DB" w:rsidR="00871B59" w:rsidRPr="00C50198" w:rsidRDefault="00C50198" w:rsidP="00C50198">
      <w:pPr>
        <w:numPr>
          <w:ilvl w:val="0"/>
          <w:numId w:val="16"/>
        </w:numPr>
        <w:spacing w:after="0" w:line="240" w:lineRule="auto"/>
        <w:ind w:right="709"/>
        <w:jc w:val="both"/>
        <w:rPr>
          <w:rFonts w:ascii="Verdana" w:eastAsia="Century Gothic" w:hAnsi="Verdana" w:cs="Century Gothic"/>
          <w:sz w:val="20"/>
          <w:szCs w:val="20"/>
        </w:rPr>
      </w:pPr>
      <w:r w:rsidRPr="00C50198">
        <w:rPr>
          <w:rFonts w:ascii="Verdana" w:eastAsia="Century Gothic" w:hAnsi="Verdana" w:cs="Century Gothic"/>
          <w:sz w:val="20"/>
          <w:szCs w:val="20"/>
        </w:rPr>
        <w:t>En virtud del artículo 53 de la ley 2195 de 2022, en el entendido de ¿cómo debe de entenderse la publicidad? ¿A partir de la presentación de ofertas debe publicarse o solamente a partir del contrato?</w:t>
      </w:r>
      <w:r>
        <w:rPr>
          <w:rFonts w:ascii="Verdana" w:eastAsia="Century Gothic" w:hAnsi="Verdana" w:cs="Century Gothic"/>
          <w:sz w:val="20"/>
          <w:szCs w:val="20"/>
        </w:rPr>
        <w:t xml:space="preserve"> </w:t>
      </w:r>
      <w:r w:rsidR="00871B59" w:rsidRPr="00C50198">
        <w:rPr>
          <w:rStyle w:val="normaltextrun"/>
          <w:rFonts w:ascii="Verdana" w:hAnsi="Verdana" w:cs="Arial"/>
          <w:sz w:val="20"/>
          <w:szCs w:val="20"/>
          <w:shd w:val="clear" w:color="auto" w:fill="FFFFFF"/>
          <w:lang w:val="es-ES"/>
        </w:rPr>
        <w:t>[…]</w:t>
      </w:r>
      <w:r w:rsidR="00871B59" w:rsidRPr="00C50198">
        <w:rPr>
          <w:rFonts w:ascii="Verdana" w:eastAsia="Century Gothic" w:hAnsi="Verdana" w:cs="Century Gothic"/>
          <w:sz w:val="20"/>
          <w:szCs w:val="20"/>
          <w:lang w:val="es-ES"/>
        </w:rPr>
        <w:t>”</w:t>
      </w:r>
      <w:bookmarkEnd w:id="2"/>
      <w:r w:rsidR="00871B59" w:rsidRPr="00C50198">
        <w:rPr>
          <w:rFonts w:ascii="Verdana" w:eastAsia="Century Gothic" w:hAnsi="Verdana" w:cs="Century Gothic"/>
          <w:sz w:val="20"/>
          <w:szCs w:val="20"/>
          <w:lang w:val="es-ES"/>
        </w:rPr>
        <w:t>.</w:t>
      </w:r>
    </w:p>
    <w:p w14:paraId="54DCAD4E" w14:textId="77777777" w:rsidR="00871B59" w:rsidRPr="00B9032A"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bookmarkEnd w:id="0"/>
    <w:p w14:paraId="57B2987E" w14:textId="77777777" w:rsidR="00F7242F" w:rsidRPr="008A48B1" w:rsidRDefault="00F7242F" w:rsidP="00F7242F">
      <w:pPr>
        <w:spacing w:after="120" w:line="276" w:lineRule="auto"/>
        <w:ind w:firstLine="709"/>
        <w:jc w:val="both"/>
        <w:rPr>
          <w:rFonts w:ascii="Verdana" w:eastAsia="Calibri" w:hAnsi="Verdana" w:cs="Arial"/>
          <w:szCs w:val="24"/>
          <w:lang w:val="es-ES_tradnl" w:eastAsia="es-ES_tradnl"/>
        </w:rPr>
      </w:pPr>
      <w:r w:rsidRPr="008A48B1">
        <w:rPr>
          <w:rFonts w:ascii="Verdana" w:eastAsia="Calibri" w:hAnsi="Verdana" w:cs="Arial"/>
          <w:lang w:val="es-ES" w:eastAsia="es-ES"/>
        </w:rPr>
        <w:t xml:space="preserve">De manera preliminar, resulta necesario </w:t>
      </w:r>
      <w:r>
        <w:rPr>
          <w:rFonts w:ascii="Verdana" w:eastAsia="Calibri" w:hAnsi="Verdana" w:cs="Arial"/>
          <w:lang w:val="es-ES" w:eastAsia="es-ES"/>
        </w:rPr>
        <w:t>resaltar</w:t>
      </w:r>
      <w:r w:rsidRPr="008A48B1">
        <w:rPr>
          <w:rFonts w:ascii="Verdana" w:eastAsia="Calibri" w:hAnsi="Verdana" w:cs="Arial"/>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A48B1">
        <w:rPr>
          <w:rFonts w:ascii="Verdana" w:eastAsia="Calibri" w:hAnsi="Verdana" w:cs="Arial"/>
          <w:szCs w:val="24"/>
          <w:lang w:val="es-ES_tradnl" w:eastAsia="es-ES_tradnl"/>
        </w:rPr>
        <w:tab/>
      </w:r>
    </w:p>
    <w:p w14:paraId="7990F94E" w14:textId="77777777" w:rsidR="00F7242F" w:rsidRPr="008A48B1" w:rsidRDefault="00F7242F" w:rsidP="00F7242F">
      <w:pPr>
        <w:spacing w:after="0" w:line="276" w:lineRule="auto"/>
        <w:ind w:firstLine="709"/>
        <w:jc w:val="both"/>
        <w:rPr>
          <w:rFonts w:ascii="Verdana" w:eastAsia="Calibri" w:hAnsi="Verdana" w:cs="Arial"/>
          <w:lang w:val="es-ES" w:eastAsia="es-ES"/>
        </w:rPr>
      </w:pPr>
      <w:r w:rsidRPr="008A48B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B915E1" w14:textId="77777777" w:rsidR="00F7242F" w:rsidRPr="008A48B1" w:rsidRDefault="00F7242F" w:rsidP="00F7242F">
      <w:pPr>
        <w:spacing w:after="0" w:line="276" w:lineRule="auto"/>
        <w:ind w:firstLine="709"/>
        <w:jc w:val="both"/>
        <w:rPr>
          <w:rFonts w:ascii="Verdana" w:eastAsia="Calibri" w:hAnsi="Verdana" w:cs="Arial"/>
          <w:lang w:val="es-ES" w:eastAsia="es-ES"/>
        </w:rPr>
      </w:pPr>
    </w:p>
    <w:p w14:paraId="5C892BFB" w14:textId="77777777" w:rsidR="00F7242F" w:rsidRPr="008A48B1" w:rsidRDefault="00F7242F" w:rsidP="00F7242F">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Cuestión</w:t>
      </w:r>
      <w:r w:rsidRPr="008A48B1">
        <w:rPr>
          <w:rFonts w:ascii="Verdana" w:eastAsia="Century Gothic" w:hAnsi="Verdana" w:cs="Century Gothic"/>
          <w:b/>
          <w:bCs/>
          <w:lang w:val="es-ES"/>
        </w:rPr>
        <w:t xml:space="preserve"> plantead</w:t>
      </w:r>
      <w:r>
        <w:rPr>
          <w:rFonts w:ascii="Verdana" w:eastAsia="Century Gothic" w:hAnsi="Verdana" w:cs="Century Gothic"/>
          <w:b/>
          <w:bCs/>
          <w:lang w:val="es-ES"/>
        </w:rPr>
        <w:t>a</w:t>
      </w:r>
      <w:r w:rsidRPr="008A48B1">
        <w:rPr>
          <w:rFonts w:ascii="Verdana" w:eastAsia="Century Gothic" w:hAnsi="Verdana" w:cs="Century Gothic"/>
          <w:b/>
          <w:bCs/>
          <w:lang w:val="es-ES"/>
        </w:rPr>
        <w:t>:</w:t>
      </w:r>
    </w:p>
    <w:p w14:paraId="156934D2" w14:textId="77777777" w:rsidR="00F7242F" w:rsidRPr="008A48B1" w:rsidRDefault="00F7242F" w:rsidP="00F7242F">
      <w:pPr>
        <w:tabs>
          <w:tab w:val="left" w:pos="426"/>
        </w:tabs>
        <w:spacing w:after="0" w:line="276" w:lineRule="auto"/>
        <w:jc w:val="both"/>
        <w:rPr>
          <w:rFonts w:ascii="Verdana" w:eastAsia="Century Gothic" w:hAnsi="Verdana" w:cs="Century Gothic"/>
          <w:lang w:val="es-ES"/>
        </w:rPr>
      </w:pPr>
    </w:p>
    <w:p w14:paraId="001C20B4" w14:textId="4ED0AC36" w:rsidR="00F7242F" w:rsidRPr="008A48B1" w:rsidRDefault="00F7242F" w:rsidP="00F7242F">
      <w:pPr>
        <w:spacing w:after="0" w:line="276" w:lineRule="auto"/>
        <w:jc w:val="both"/>
        <w:rPr>
          <w:rFonts w:ascii="Verdana" w:eastAsia="Century Gothic" w:hAnsi="Verdana" w:cs="Century Gothic"/>
        </w:rPr>
      </w:pPr>
      <w:r w:rsidRPr="008A48B1">
        <w:rPr>
          <w:rFonts w:ascii="Verdana" w:eastAsia="Century Gothic" w:hAnsi="Verdana" w:cs="Century Gothic"/>
        </w:rPr>
        <w:t xml:space="preserve">De acuerdo con el contenido de su solicitud, esta Agencia resolverá los siguientes problemas jurídicos: </w:t>
      </w:r>
      <w:r w:rsidRPr="00997094">
        <w:rPr>
          <w:rFonts w:ascii="Verdana" w:eastAsia="Century Gothic" w:hAnsi="Verdana" w:cs="Century Gothic"/>
        </w:rPr>
        <w:t>¿</w:t>
      </w:r>
      <w:r w:rsidR="00997094">
        <w:rPr>
          <w:rFonts w:ascii="Verdana" w:eastAsia="Century Gothic" w:hAnsi="Verdana" w:cs="Century Gothic"/>
        </w:rPr>
        <w:t xml:space="preserve">Es necesaria la publicación de los procesos contractuales </w:t>
      </w:r>
      <w:r w:rsidR="00997094">
        <w:rPr>
          <w:rFonts w:ascii="Verdana" w:eastAsia="Century Gothic" w:hAnsi="Verdana" w:cs="Century Gothic"/>
        </w:rPr>
        <w:lastRenderedPageBreak/>
        <w:t>en la plataforma SECOPII en los procesos contractuales de las entidades públicas de régimen especial</w:t>
      </w:r>
      <w:r w:rsidRPr="00997094">
        <w:rPr>
          <w:rFonts w:ascii="Verdana" w:eastAsia="Century Gothic" w:hAnsi="Verdana" w:cs="Century Gothic"/>
        </w:rPr>
        <w:t>?</w:t>
      </w:r>
    </w:p>
    <w:p w14:paraId="521F46A6" w14:textId="77777777" w:rsidR="00F7242F" w:rsidRPr="008A48B1" w:rsidRDefault="00F7242F" w:rsidP="00F7242F">
      <w:pPr>
        <w:spacing w:after="0" w:line="276" w:lineRule="auto"/>
        <w:jc w:val="both"/>
        <w:rPr>
          <w:rFonts w:ascii="Verdana" w:eastAsia="Calibri" w:hAnsi="Verdana" w:cs="Arial"/>
          <w:lang w:val="es-ES"/>
        </w:rPr>
      </w:pPr>
    </w:p>
    <w:p w14:paraId="14E61D0F" w14:textId="77777777" w:rsidR="00F7242F" w:rsidRPr="008A48B1" w:rsidRDefault="00F7242F" w:rsidP="00F7242F">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8A48B1">
        <w:rPr>
          <w:rFonts w:ascii="Verdana" w:eastAsia="Century Gothic" w:hAnsi="Verdana" w:cs="Century Gothic"/>
          <w:b/>
          <w:bCs/>
          <w:lang w:val="es-ES"/>
        </w:rPr>
        <w:t>Respuesta:</w:t>
      </w:r>
    </w:p>
    <w:p w14:paraId="5AF586A3" w14:textId="77777777" w:rsidR="00F7242F" w:rsidRPr="008A48B1" w:rsidRDefault="00F7242F" w:rsidP="00F7242F">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242F" w:rsidRPr="008A48B1" w14:paraId="78888195" w14:textId="77777777" w:rsidTr="00901ADF">
        <w:tc>
          <w:tcPr>
            <w:tcW w:w="8828" w:type="dxa"/>
            <w:tcBorders>
              <w:top w:val="dotted" w:sz="4" w:space="0" w:color="auto"/>
              <w:left w:val="dotted" w:sz="4" w:space="0" w:color="auto"/>
              <w:bottom w:val="dotted" w:sz="4" w:space="0" w:color="auto"/>
              <w:right w:val="dotted" w:sz="4" w:space="0" w:color="auto"/>
            </w:tcBorders>
          </w:tcPr>
          <w:p w14:paraId="4A296C1E" w14:textId="77777777" w:rsidR="00C65E24" w:rsidRDefault="00C65E24" w:rsidP="00C65E24">
            <w:pPr>
              <w:spacing w:line="276" w:lineRule="auto"/>
              <w:jc w:val="both"/>
              <w:rPr>
                <w:rFonts w:ascii="Verdana" w:hAnsi="Verdana" w:cs="Arial"/>
                <w:b/>
                <w:bCs/>
              </w:rPr>
            </w:pPr>
          </w:p>
          <w:p w14:paraId="334D3E73" w14:textId="77777777" w:rsidR="00CB72C1" w:rsidRDefault="00082CD1" w:rsidP="00CB72C1">
            <w:pPr>
              <w:spacing w:line="276" w:lineRule="auto"/>
              <w:ind w:firstLine="709"/>
              <w:jc w:val="both"/>
              <w:rPr>
                <w:rFonts w:ascii="Verdana" w:eastAsia="Calibri" w:hAnsi="Verdana" w:cs="Arial"/>
              </w:rPr>
            </w:pPr>
            <w:r w:rsidRPr="00082CD1">
              <w:rPr>
                <w:rFonts w:ascii="Verdana" w:eastAsia="Calibri" w:hAnsi="Verdana" w:cs="Arial"/>
              </w:rPr>
              <w:t>El artículo 53 de la Ley 2195 de 2022 establece que, el deber de publicidad debe cumplirse en el SECOP II o “la plataforma transaccional que haga sus veces”, esta expresión debe interpretarse bajo el entendido de que si bien el SECOP II es la plataforma oficial que actualmente se utiliza como mecanismo transaccional, en caso de que en el futuro dicha plataforma sea remplazada por otra que tenga una denominación distinta, las entidades que tienen un régimen exceptuado deben continuar publicando la documentación</w:t>
            </w:r>
            <w:r>
              <w:rPr>
                <w:rFonts w:ascii="Verdana" w:eastAsia="Calibri" w:hAnsi="Verdana" w:cs="Arial"/>
              </w:rPr>
              <w:t xml:space="preserve"> </w:t>
            </w:r>
            <w:r w:rsidRPr="00082CD1">
              <w:rPr>
                <w:rFonts w:ascii="Verdana" w:eastAsia="Calibri" w:hAnsi="Verdana" w:cs="Arial"/>
              </w:rPr>
              <w:t xml:space="preserve">de su actividad contractual en la nueva plataforma transaccional que para el efecto se cree. En ese sentido, la locución “la plataforma que haga sus veces” no puede interpretarse como una autorización para que las entidades obligadas en virtud del artículo 53 de la Ley 2195 de 2022 empleen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 </w:t>
            </w:r>
          </w:p>
          <w:p w14:paraId="7CA74D8D" w14:textId="77777777" w:rsidR="00CB72C1" w:rsidRDefault="00CB72C1" w:rsidP="00CB72C1">
            <w:pPr>
              <w:spacing w:line="276" w:lineRule="auto"/>
              <w:ind w:firstLine="709"/>
              <w:jc w:val="both"/>
              <w:rPr>
                <w:rFonts w:ascii="Verdana" w:eastAsia="Calibri" w:hAnsi="Verdana" w:cs="Arial"/>
              </w:rPr>
            </w:pPr>
          </w:p>
          <w:p w14:paraId="5B13F692" w14:textId="77777777" w:rsidR="00CB72C1" w:rsidRDefault="00082CD1" w:rsidP="00CB72C1">
            <w:pPr>
              <w:spacing w:line="276" w:lineRule="auto"/>
              <w:ind w:firstLine="709"/>
              <w:jc w:val="both"/>
              <w:rPr>
                <w:rFonts w:ascii="Verdana" w:eastAsia="Calibri" w:hAnsi="Verdana" w:cs="Arial"/>
              </w:rPr>
            </w:pPr>
            <w:r w:rsidRPr="00082CD1">
              <w:rPr>
                <w:rFonts w:ascii="Verdana" w:eastAsia="Calibri" w:hAnsi="Verdana" w:cs="Aria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w:t>
            </w:r>
            <w:r w:rsidRPr="00082CD1">
              <w:rPr>
                <w:rFonts w:ascii="Verdana" w:eastAsia="Calibri" w:hAnsi="Verdana" w:cs="Arial"/>
              </w:rPr>
              <w:lastRenderedPageBreak/>
              <w:t>en el artículo 53 de la Ley 2195 de 2022, se requiere que publiquen en el SECOP II todo documento expedido durante las diferentes etapas del proceso contractual, abarcando desde la fase previa a su celebración, pasando por la ejecución y hasta la fase posterior a su ejecución.</w:t>
            </w:r>
            <w:r>
              <w:rPr>
                <w:rFonts w:ascii="Verdana" w:eastAsia="Calibri" w:hAnsi="Verdana" w:cs="Arial"/>
              </w:rPr>
              <w:t xml:space="preserve">   </w:t>
            </w:r>
          </w:p>
          <w:p w14:paraId="4F28E482" w14:textId="3957097E" w:rsidR="00082CD1" w:rsidRDefault="00082CD1" w:rsidP="00CB72C1">
            <w:pPr>
              <w:spacing w:line="276" w:lineRule="auto"/>
              <w:ind w:firstLine="709"/>
              <w:jc w:val="both"/>
              <w:rPr>
                <w:rFonts w:ascii="Verdana" w:eastAsia="Calibri" w:hAnsi="Verdana" w:cs="Arial"/>
              </w:rPr>
            </w:pPr>
            <w:r>
              <w:rPr>
                <w:rFonts w:ascii="Verdana" w:eastAsia="Calibri" w:hAnsi="Verdana" w:cs="Arial"/>
              </w:rPr>
              <w:t xml:space="preserve">                                    </w:t>
            </w:r>
          </w:p>
          <w:p w14:paraId="410C2391" w14:textId="65824EEA" w:rsidR="00816A9C" w:rsidRDefault="00082CD1" w:rsidP="00CB72C1">
            <w:pPr>
              <w:spacing w:line="276" w:lineRule="auto"/>
              <w:ind w:firstLine="709"/>
              <w:jc w:val="both"/>
              <w:rPr>
                <w:rFonts w:ascii="Verdana" w:eastAsia="Calibri" w:hAnsi="Verdana" w:cs="Arial"/>
              </w:rPr>
            </w:pPr>
            <w:r w:rsidRPr="00082CD1">
              <w:rPr>
                <w:rFonts w:ascii="Verdana" w:eastAsia="Calibri" w:hAnsi="Verdana" w:cs="Arial"/>
              </w:rPr>
              <w:t xml:space="preserve">Sin Perjuicio de lo anterior, </w:t>
            </w:r>
            <w:r w:rsidRPr="00082CD1">
              <w:rPr>
                <w:rFonts w:ascii="Verdana" w:hAnsi="Verdana"/>
              </w:rPr>
              <w:t>vale la pena aclarar que el cumplimiento del deber de publicación de la documentación contractual debe armonizarse con las normas aplicables al tipo de información que estas contienen</w:t>
            </w:r>
            <w:r w:rsidR="00CB72C1">
              <w:rPr>
                <w:rFonts w:ascii="Verdana" w:hAnsi="Verdana"/>
              </w:rPr>
              <w:t xml:space="preserve">. Lo anterior </w:t>
            </w:r>
            <w:r w:rsidR="00CB72C1" w:rsidRPr="00082CD1">
              <w:rPr>
                <w:rFonts w:ascii="Verdana" w:eastAsia="Calibri" w:hAnsi="Verdana" w:cs="Arial"/>
              </w:rPr>
              <w:t>significa</w:t>
            </w:r>
            <w:r w:rsidRPr="00082CD1">
              <w:rPr>
                <w:rFonts w:ascii="Verdana" w:eastAsia="Calibri" w:hAnsi="Verdana" w:cs="Arial"/>
              </w:rPr>
              <w:t xml:space="preserve"> que, respecto de datos sensibles, información sometida a reserva o de la cual proceda un tratamiento especial que impida su publicidad, las entidades deberán proceder de conformidad con el tratamiento que impongan tales normas.</w:t>
            </w:r>
          </w:p>
          <w:p w14:paraId="6A4483CB" w14:textId="77777777" w:rsidR="00CB72C1" w:rsidRDefault="00CB72C1" w:rsidP="00CB72C1">
            <w:pPr>
              <w:spacing w:line="276" w:lineRule="auto"/>
              <w:ind w:firstLine="709"/>
              <w:jc w:val="both"/>
              <w:rPr>
                <w:rFonts w:ascii="Verdana" w:eastAsia="Calibri" w:hAnsi="Verdana" w:cs="Arial"/>
              </w:rPr>
            </w:pPr>
          </w:p>
          <w:p w14:paraId="228A5E9E" w14:textId="77777777" w:rsidR="00CB72C1" w:rsidRDefault="00CB72C1" w:rsidP="00CB72C1">
            <w:pPr>
              <w:spacing w:line="276" w:lineRule="auto"/>
              <w:ind w:firstLine="709"/>
              <w:jc w:val="both"/>
              <w:rPr>
                <w:rFonts w:ascii="Verdana" w:eastAsia="Calibri" w:hAnsi="Verdana" w:cs="Arial"/>
              </w:rPr>
            </w:pPr>
            <w:r w:rsidRPr="00CB72C1">
              <w:rPr>
                <w:rFonts w:ascii="Verdana" w:eastAsia="Calibri" w:hAnsi="Verdana" w:cs="Arial"/>
              </w:rPr>
              <w:t>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w:t>
            </w:r>
            <w:r>
              <w:rPr>
                <w:rFonts w:ascii="Verdana" w:eastAsia="Calibri" w:hAnsi="Verdana" w:cs="Arial"/>
              </w:rPr>
              <w:t xml:space="preserve"> </w:t>
            </w:r>
          </w:p>
          <w:p w14:paraId="69EC17E3" w14:textId="77777777" w:rsidR="00CB72C1" w:rsidRDefault="00CB72C1" w:rsidP="00CB72C1">
            <w:pPr>
              <w:spacing w:line="276" w:lineRule="auto"/>
              <w:ind w:firstLine="709"/>
              <w:jc w:val="both"/>
              <w:rPr>
                <w:rFonts w:ascii="Verdana" w:eastAsia="Calibri" w:hAnsi="Verdana" w:cs="Arial"/>
              </w:rPr>
            </w:pPr>
          </w:p>
          <w:p w14:paraId="2DDFA9F9" w14:textId="41C058DC" w:rsidR="00CB72C1" w:rsidRPr="008A48B1" w:rsidRDefault="00CB72C1" w:rsidP="00CB72C1">
            <w:pPr>
              <w:spacing w:line="276" w:lineRule="auto"/>
              <w:ind w:firstLine="709"/>
              <w:jc w:val="both"/>
              <w:rPr>
                <w:rFonts w:ascii="Verdana" w:eastAsia="Calibri" w:hAnsi="Verdana" w:cs="Arial"/>
                <w:lang w:val="es-ES"/>
              </w:rPr>
            </w:pPr>
            <w:r w:rsidRPr="00CB72C1">
              <w:rPr>
                <w:rFonts w:ascii="Verdana" w:eastAsia="Calibri" w:hAnsi="Verdana" w:cs="Arial"/>
              </w:rPr>
              <w:t>Finalmente se remite la Guía para la Contratación de Régimen Especial de en el link que se encuentra referenciado en el numeral referencias normativas y jurisprudenciales en el presente documento</w:t>
            </w:r>
            <w:r>
              <w:rPr>
                <w:rFonts w:ascii="Verdana" w:eastAsia="Calibri" w:hAnsi="Verdana" w:cs="Arial"/>
              </w:rPr>
              <w:t>.</w:t>
            </w:r>
          </w:p>
        </w:tc>
      </w:tr>
    </w:tbl>
    <w:p w14:paraId="27E01FF3" w14:textId="77777777" w:rsidR="00F7242F" w:rsidRPr="008A48B1" w:rsidRDefault="00F7242F" w:rsidP="00F7242F">
      <w:pPr>
        <w:tabs>
          <w:tab w:val="left" w:pos="142"/>
          <w:tab w:val="left" w:pos="284"/>
        </w:tabs>
        <w:spacing w:after="0" w:line="276" w:lineRule="auto"/>
        <w:jc w:val="both"/>
        <w:rPr>
          <w:rFonts w:ascii="Verdana" w:eastAsia="Century Gothic" w:hAnsi="Verdana" w:cs="Century Gothic"/>
          <w:b/>
          <w:bCs/>
          <w:lang w:val="es-ES"/>
        </w:rPr>
      </w:pPr>
    </w:p>
    <w:p w14:paraId="5C3679A1" w14:textId="77777777" w:rsidR="00F7242F" w:rsidRPr="008A48B1" w:rsidRDefault="00F7242F" w:rsidP="00F7242F">
      <w:pPr>
        <w:tabs>
          <w:tab w:val="left" w:pos="142"/>
          <w:tab w:val="left" w:pos="284"/>
        </w:tabs>
        <w:spacing w:after="0" w:line="276" w:lineRule="auto"/>
        <w:jc w:val="both"/>
        <w:rPr>
          <w:rFonts w:ascii="Verdana" w:eastAsia="Century Gothic" w:hAnsi="Verdana" w:cs="Century Gothic"/>
          <w:b/>
          <w:bCs/>
          <w:lang w:val="es-ES"/>
        </w:rPr>
      </w:pPr>
    </w:p>
    <w:p w14:paraId="30E4F2DA" w14:textId="77777777" w:rsidR="00F7242F" w:rsidRPr="008A48B1" w:rsidRDefault="00F7242F" w:rsidP="00F7242F">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8A48B1">
        <w:rPr>
          <w:rFonts w:ascii="Verdana" w:eastAsia="Century Gothic" w:hAnsi="Verdana" w:cs="Century Gothic"/>
          <w:b/>
          <w:bCs/>
          <w:lang w:val="es-ES"/>
        </w:rPr>
        <w:t>Razones de la respuesta:</w:t>
      </w:r>
    </w:p>
    <w:p w14:paraId="5A45551C" w14:textId="77777777" w:rsidR="00F7242F" w:rsidRPr="008A48B1" w:rsidRDefault="00F7242F" w:rsidP="00F7242F">
      <w:pPr>
        <w:spacing w:after="0" w:line="276" w:lineRule="auto"/>
        <w:jc w:val="both"/>
        <w:rPr>
          <w:rFonts w:ascii="Verdana" w:eastAsia="Calibri" w:hAnsi="Verdana" w:cs="Arial"/>
          <w:lang w:val="es-ES"/>
        </w:rPr>
      </w:pPr>
    </w:p>
    <w:p w14:paraId="30DEEAB0" w14:textId="77777777" w:rsidR="00F7242F" w:rsidRPr="008A48B1" w:rsidRDefault="00F7242F" w:rsidP="00F7242F">
      <w:pPr>
        <w:spacing w:after="0" w:line="276" w:lineRule="auto"/>
        <w:jc w:val="both"/>
        <w:rPr>
          <w:rFonts w:ascii="Verdana" w:eastAsia="Calibri" w:hAnsi="Verdana" w:cs="Arial"/>
          <w:lang w:val="es-ES"/>
        </w:rPr>
      </w:pPr>
      <w:r w:rsidRPr="008A48B1">
        <w:rPr>
          <w:rFonts w:ascii="Verdana" w:eastAsia="Calibri" w:hAnsi="Verdana" w:cs="Arial"/>
          <w:lang w:val="es-ES"/>
        </w:rPr>
        <w:t xml:space="preserve">Lo anterior se sustenta en las siguientes consideraciones: </w:t>
      </w:r>
    </w:p>
    <w:p w14:paraId="72DE41C5" w14:textId="77777777" w:rsidR="00F7242F" w:rsidRPr="008A48B1" w:rsidRDefault="00F7242F" w:rsidP="00F7242F">
      <w:pPr>
        <w:spacing w:after="0" w:line="276" w:lineRule="auto"/>
        <w:jc w:val="both"/>
        <w:rPr>
          <w:rFonts w:ascii="Verdana" w:eastAsia="Calibri" w:hAnsi="Verdana" w:cs="Arial"/>
          <w:lang w:val="es-ES"/>
        </w:rPr>
      </w:pPr>
    </w:p>
    <w:p w14:paraId="0AED7E87" w14:textId="37CA26A6" w:rsidR="00F7242F" w:rsidRDefault="00D7170E" w:rsidP="00D7170E">
      <w:pPr>
        <w:pStyle w:val="Prrafodelista"/>
        <w:numPr>
          <w:ilvl w:val="0"/>
          <w:numId w:val="24"/>
        </w:numPr>
        <w:jc w:val="both"/>
        <w:rPr>
          <w:rFonts w:ascii="Verdana" w:eastAsia="Calibri" w:hAnsi="Verdana" w:cs="Arial"/>
        </w:rPr>
      </w:pPr>
      <w:r w:rsidRPr="00D7170E">
        <w:rPr>
          <w:rFonts w:ascii="Verdana" w:eastAsia="Calibri" w:hAnsi="Verdana" w:cs="Arial"/>
        </w:rPr>
        <w:t>El principio de publicidad obliga a las autoridades a divulgar sus actos, contratos y decisiones para que puedan ser controlados</w:t>
      </w:r>
      <w:r>
        <w:rPr>
          <w:rFonts w:ascii="Verdana" w:eastAsia="Calibri" w:hAnsi="Verdana" w:cs="Arial"/>
        </w:rPr>
        <w:t xml:space="preserve"> y divulgadas</w:t>
      </w:r>
      <w:r w:rsidRPr="00D7170E">
        <w:rPr>
          <w:rFonts w:ascii="Verdana" w:eastAsia="Calibri" w:hAnsi="Verdana" w:cs="Arial"/>
        </w:rPr>
        <w:t xml:space="preserve">. La </w:t>
      </w:r>
      <w:r w:rsidRPr="00D7170E">
        <w:rPr>
          <w:rFonts w:ascii="Verdana" w:eastAsia="Calibri" w:hAnsi="Verdana" w:cs="Arial"/>
        </w:rPr>
        <w:lastRenderedPageBreak/>
        <w:t>Ley 1150 de 2007</w:t>
      </w:r>
      <w:r>
        <w:rPr>
          <w:rStyle w:val="Refdenotaalpie"/>
          <w:rFonts w:ascii="Verdana" w:eastAsia="Calibri" w:hAnsi="Verdana" w:cs="Arial"/>
        </w:rPr>
        <w:footnoteReference w:id="2"/>
      </w:r>
      <w:r w:rsidRPr="00D7170E">
        <w:rPr>
          <w:rFonts w:ascii="Verdana" w:eastAsia="Calibri" w:hAnsi="Verdana" w:cs="Arial"/>
        </w:rPr>
        <w:t xml:space="preserve"> establece el Sistema Electrónico para la Contratación Pública (SECOP) para difundir información oficial sobre la contratación con dineros públicos. Además, la Ley 1712 de 2014</w:t>
      </w:r>
      <w:r>
        <w:rPr>
          <w:rStyle w:val="Refdenotaalpie"/>
          <w:rFonts w:ascii="Verdana" w:eastAsia="Calibri" w:hAnsi="Verdana" w:cs="Arial"/>
        </w:rPr>
        <w:footnoteReference w:id="3"/>
      </w:r>
      <w:r w:rsidRPr="00D7170E">
        <w:rPr>
          <w:rFonts w:ascii="Verdana" w:eastAsia="Calibri" w:hAnsi="Verdana" w:cs="Arial"/>
        </w:rPr>
        <w:t>, conocida como la Ley de Transparencia, establece los principios de máxima publicidad, transparencia en la información y buena fe. Estos principios garantizan que toda la información pública sea accesible, se proporcione de manera amplia y se cumplan las obligaciones con honestidad y lealtad.</w:t>
      </w:r>
    </w:p>
    <w:p w14:paraId="363F65EE" w14:textId="77777777" w:rsidR="00D7170E" w:rsidRDefault="00D7170E" w:rsidP="00D7170E">
      <w:pPr>
        <w:pStyle w:val="Prrafodelista"/>
        <w:jc w:val="both"/>
        <w:rPr>
          <w:rFonts w:ascii="Verdana" w:eastAsia="Calibri" w:hAnsi="Verdana" w:cs="Arial"/>
        </w:rPr>
      </w:pPr>
    </w:p>
    <w:p w14:paraId="2FCC8A9D" w14:textId="50EC810C" w:rsidR="00D7170E" w:rsidRPr="00D7170E" w:rsidRDefault="00D7170E" w:rsidP="00D7170E">
      <w:pPr>
        <w:pStyle w:val="Prrafodelista"/>
        <w:numPr>
          <w:ilvl w:val="0"/>
          <w:numId w:val="24"/>
        </w:numPr>
        <w:jc w:val="both"/>
        <w:rPr>
          <w:rFonts w:ascii="Verdana" w:eastAsia="Calibri" w:hAnsi="Verdana" w:cs="Arial"/>
        </w:rPr>
      </w:pPr>
      <w:r w:rsidRPr="00D7170E">
        <w:rPr>
          <w:rFonts w:ascii="Verdana" w:eastAsia="Calibri" w:hAnsi="Verdana" w:cs="Arial"/>
        </w:rPr>
        <w:lastRenderedPageBreak/>
        <w:t>La Ley</w:t>
      </w:r>
      <w:r>
        <w:rPr>
          <w:rFonts w:ascii="Verdana" w:eastAsia="Calibri" w:hAnsi="Verdana" w:cs="Arial"/>
        </w:rPr>
        <w:t xml:space="preserve"> 1712 de 2014</w:t>
      </w:r>
      <w:r w:rsidRPr="00D7170E">
        <w:rPr>
          <w:rFonts w:ascii="Verdana" w:eastAsia="Calibri" w:hAnsi="Verdana" w:cs="Arial"/>
        </w:rPr>
        <w:t xml:space="preserve"> establece en el literal e) del artículo 9</w:t>
      </w:r>
      <w:r w:rsidR="007307F7">
        <w:rPr>
          <w:rStyle w:val="Refdenotaalpie"/>
          <w:rFonts w:ascii="Verdana" w:eastAsia="Calibri" w:hAnsi="Verdana" w:cs="Arial"/>
        </w:rPr>
        <w:footnoteReference w:id="4"/>
      </w:r>
      <w:r w:rsidRPr="00D7170E">
        <w:rPr>
          <w:rFonts w:ascii="Verdana" w:eastAsia="Calibri" w:hAnsi="Verdana" w:cs="Arial"/>
        </w:rPr>
        <w:t xml:space="preserve"> que los sujetos obligados deben publicar la información sobre su contratación. El artículo 5 define a los sujetos obligados como cualquier entidad, órgano, organismo o persona natural que desempeñe funciones públicas o administre recursos públicos, incluyendo empresas públicas, del Estado y sociedades con participación estatal, sin importar el monto. Además, el literal g) del artículo 11 exige que todos los sujetos de la ley de transparencia publiquen sus procedimientos, políticas de adquisiciones y compras, y datos de adjudicación y ejecución de contratos en el SECOP.</w:t>
      </w:r>
    </w:p>
    <w:p w14:paraId="536B15E6" w14:textId="77777777" w:rsidR="00D7170E" w:rsidRDefault="00D7170E" w:rsidP="00F7242F">
      <w:pPr>
        <w:pStyle w:val="Prrafodelista"/>
        <w:rPr>
          <w:rFonts w:ascii="Verdana" w:eastAsia="Calibri" w:hAnsi="Verdana" w:cs="Arial"/>
        </w:rPr>
      </w:pPr>
    </w:p>
    <w:p w14:paraId="2733C90E" w14:textId="77777777" w:rsidR="007307F7" w:rsidRDefault="007307F7" w:rsidP="007307F7">
      <w:pPr>
        <w:pStyle w:val="Prrafodelista"/>
        <w:numPr>
          <w:ilvl w:val="0"/>
          <w:numId w:val="24"/>
        </w:numPr>
        <w:jc w:val="both"/>
        <w:rPr>
          <w:rFonts w:ascii="Verdana" w:eastAsia="Calibri" w:hAnsi="Verdana" w:cs="Arial"/>
        </w:rPr>
      </w:pPr>
      <w:r w:rsidRPr="007307F7">
        <w:rPr>
          <w:rFonts w:ascii="Verdana" w:eastAsia="Calibri" w:hAnsi="Verdana" w:cs="Arial"/>
        </w:rPr>
        <w:t>El artículo 2.1.1.2.1.7. del Decreto Único Reglamentario 1081 de 2015 establece que la información contractual de los sujetos obligados que usan recursos públicos debe publicarse en el Sistema Electrónico para la Contratación Pública (SECOP). La Ley 2195 de 2022 complementa estas disposiciones, enfocándose en la transparencia y la lucha contra la corrupción. Su artículo 53 añade al artículo 13 de la Ley 1150 de 2007 la obligación para las entidades estatales con regímenes contractuales excepcionales de publicar sus documentos contractuales en el SECOP II o una plataforma transaccional equivalente.</w:t>
      </w:r>
    </w:p>
    <w:p w14:paraId="53ECF2FD" w14:textId="77777777" w:rsidR="007307F7" w:rsidRPr="007307F7" w:rsidRDefault="007307F7" w:rsidP="007307F7">
      <w:pPr>
        <w:pStyle w:val="Prrafodelista"/>
        <w:rPr>
          <w:rFonts w:ascii="Verdana" w:eastAsia="Calibri" w:hAnsi="Verdana" w:cs="Arial"/>
        </w:rPr>
      </w:pPr>
    </w:p>
    <w:p w14:paraId="5EA0AF45" w14:textId="77777777" w:rsidR="007307F7" w:rsidRPr="007307F7" w:rsidRDefault="007307F7" w:rsidP="007307F7">
      <w:pPr>
        <w:pStyle w:val="Prrafodelista"/>
        <w:numPr>
          <w:ilvl w:val="0"/>
          <w:numId w:val="24"/>
        </w:numPr>
        <w:jc w:val="both"/>
        <w:rPr>
          <w:rFonts w:ascii="Verdana" w:eastAsia="Calibri" w:hAnsi="Verdana" w:cs="Arial"/>
        </w:rPr>
      </w:pPr>
      <w:r w:rsidRPr="007307F7">
        <w:rPr>
          <w:rFonts w:ascii="Verdana" w:eastAsia="Calibri" w:hAnsi="Verdana" w:cs="Arial"/>
        </w:rPr>
        <w:t>Al respecto, la norma citada, de manera expresa, señala:</w:t>
      </w:r>
    </w:p>
    <w:p w14:paraId="5570E300" w14:textId="77777777" w:rsidR="007307F7" w:rsidRPr="007307F7" w:rsidRDefault="007307F7" w:rsidP="007307F7">
      <w:pPr>
        <w:pStyle w:val="Prrafodelista"/>
        <w:jc w:val="both"/>
        <w:rPr>
          <w:rFonts w:ascii="Verdana" w:eastAsia="Calibri" w:hAnsi="Verdana" w:cs="Arial"/>
        </w:rPr>
      </w:pPr>
    </w:p>
    <w:p w14:paraId="66C15748" w14:textId="77777777" w:rsidR="007307F7" w:rsidRPr="007307F7" w:rsidRDefault="007307F7" w:rsidP="007307F7">
      <w:pPr>
        <w:pStyle w:val="Prrafodelista"/>
        <w:ind w:left="1416"/>
        <w:jc w:val="both"/>
        <w:rPr>
          <w:rFonts w:ascii="Verdana" w:eastAsia="Calibri" w:hAnsi="Verdana" w:cs="Arial"/>
          <w:sz w:val="21"/>
          <w:szCs w:val="21"/>
        </w:rPr>
      </w:pPr>
      <w:r w:rsidRPr="007307F7">
        <w:rPr>
          <w:rFonts w:ascii="Verdana" w:eastAsia="Calibri" w:hAnsi="Verdana" w:cs="Arial"/>
          <w:sz w:val="21"/>
          <w:szCs w:val="21"/>
        </w:rPr>
        <w:t>“Adiciónese los siguientes incisos al artículo 13 de la Ley 1150 de 2007, el cual quedará así:</w:t>
      </w:r>
    </w:p>
    <w:p w14:paraId="223E4EA8" w14:textId="77777777" w:rsidR="007307F7" w:rsidRPr="007307F7" w:rsidRDefault="007307F7" w:rsidP="007307F7">
      <w:pPr>
        <w:pStyle w:val="Prrafodelista"/>
        <w:jc w:val="both"/>
        <w:rPr>
          <w:rFonts w:ascii="Verdana" w:eastAsia="Calibri" w:hAnsi="Verdana" w:cs="Arial"/>
          <w:sz w:val="21"/>
          <w:szCs w:val="21"/>
        </w:rPr>
      </w:pPr>
    </w:p>
    <w:p w14:paraId="4B5C5347" w14:textId="77777777" w:rsidR="007307F7" w:rsidRPr="007307F7" w:rsidRDefault="007307F7" w:rsidP="007307F7">
      <w:pPr>
        <w:pStyle w:val="Prrafodelista"/>
        <w:ind w:left="1416"/>
        <w:jc w:val="both"/>
        <w:rPr>
          <w:rFonts w:ascii="Verdana" w:eastAsia="Calibri" w:hAnsi="Verdana" w:cs="Arial"/>
          <w:sz w:val="21"/>
          <w:szCs w:val="21"/>
        </w:rPr>
      </w:pPr>
      <w:r w:rsidRPr="007307F7">
        <w:rPr>
          <w:rFonts w:ascii="Verdana" w:eastAsia="Calibri" w:hAnsi="Verdana" w:cs="Arial"/>
          <w:sz w:val="21"/>
          <w:szCs w:val="21"/>
        </w:rPr>
        <w:t xml:space="preserve">Artículo 13. PRINCIPIOS GENERALES DE LA ACTIVIDAD CONTRACTUAL PARA ENTIDADES NO SOMETIDAS AL ESTATUTO GENERAL DE </w:t>
      </w:r>
      <w:r w:rsidRPr="007307F7">
        <w:rPr>
          <w:rFonts w:ascii="Verdana" w:eastAsia="Calibri" w:hAnsi="Verdana" w:cs="Arial"/>
          <w:sz w:val="21"/>
          <w:szCs w:val="21"/>
        </w:rPr>
        <w:lastRenderedPageBreak/>
        <w:t>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FF3B93D" w14:textId="77777777" w:rsidR="007307F7" w:rsidRPr="007307F7" w:rsidRDefault="007307F7" w:rsidP="007307F7">
      <w:pPr>
        <w:pStyle w:val="Prrafodelista"/>
        <w:jc w:val="both"/>
        <w:rPr>
          <w:rFonts w:ascii="Verdana" w:eastAsia="Calibri" w:hAnsi="Verdana" w:cs="Arial"/>
          <w:sz w:val="21"/>
          <w:szCs w:val="21"/>
        </w:rPr>
      </w:pPr>
    </w:p>
    <w:p w14:paraId="341628F6" w14:textId="77777777" w:rsidR="007307F7" w:rsidRPr="007307F7" w:rsidRDefault="007307F7" w:rsidP="007307F7">
      <w:pPr>
        <w:pStyle w:val="Prrafodelista"/>
        <w:ind w:left="1416"/>
        <w:jc w:val="both"/>
        <w:rPr>
          <w:rFonts w:ascii="Verdana" w:eastAsia="Calibri" w:hAnsi="Verdana" w:cs="Arial"/>
          <w:sz w:val="21"/>
          <w:szCs w:val="21"/>
        </w:rPr>
      </w:pPr>
      <w:r w:rsidRPr="007307F7">
        <w:rPr>
          <w:rFonts w:ascii="Verdana" w:eastAsia="Calibri" w:hAnsi="Verdana" w:cs="Arial"/>
          <w:sz w:val="21"/>
          <w:szCs w:val="21"/>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12E2A00" w14:textId="77777777" w:rsidR="007307F7" w:rsidRPr="007307F7" w:rsidRDefault="007307F7" w:rsidP="007307F7">
      <w:pPr>
        <w:pStyle w:val="Prrafodelista"/>
        <w:jc w:val="both"/>
        <w:rPr>
          <w:rFonts w:ascii="Verdana" w:eastAsia="Calibri" w:hAnsi="Verdana" w:cs="Arial"/>
          <w:sz w:val="21"/>
          <w:szCs w:val="21"/>
        </w:rPr>
      </w:pPr>
    </w:p>
    <w:p w14:paraId="61C4B755" w14:textId="7ECB2E0E" w:rsidR="007307F7" w:rsidRDefault="007307F7" w:rsidP="007307F7">
      <w:pPr>
        <w:pStyle w:val="Prrafodelista"/>
        <w:ind w:left="1416"/>
        <w:jc w:val="both"/>
        <w:rPr>
          <w:rFonts w:ascii="Verdana" w:eastAsia="Calibri" w:hAnsi="Verdana" w:cs="Arial"/>
          <w:sz w:val="21"/>
          <w:szCs w:val="21"/>
        </w:rPr>
      </w:pPr>
      <w:r w:rsidRPr="007307F7">
        <w:rPr>
          <w:rFonts w:ascii="Verdana" w:eastAsia="Calibri" w:hAnsi="Verdana" w:cs="Arial"/>
          <w:sz w:val="21"/>
          <w:szCs w:val="21"/>
        </w:rPr>
        <w:t xml:space="preserve">A partir de la entrada en vigor de la presente Ley, se establecerá un periodo de transición de seis (6) meses, para que las entidades den cumplimiento efectivo a lo aquí establecido”. </w:t>
      </w:r>
    </w:p>
    <w:p w14:paraId="474DC2CB" w14:textId="77777777" w:rsidR="00F07CB0" w:rsidRDefault="00F07CB0" w:rsidP="007307F7">
      <w:pPr>
        <w:pStyle w:val="Prrafodelista"/>
        <w:ind w:left="1416"/>
        <w:jc w:val="both"/>
        <w:rPr>
          <w:rFonts w:ascii="Verdana" w:eastAsia="Calibri" w:hAnsi="Verdana" w:cs="Arial"/>
          <w:sz w:val="21"/>
          <w:szCs w:val="21"/>
        </w:rPr>
      </w:pPr>
    </w:p>
    <w:p w14:paraId="38582678" w14:textId="309FF3CE" w:rsidR="00F07CB0" w:rsidRDefault="00F07CB0" w:rsidP="00F07CB0">
      <w:pPr>
        <w:pStyle w:val="Prrafodelista"/>
        <w:numPr>
          <w:ilvl w:val="0"/>
          <w:numId w:val="27"/>
        </w:numPr>
        <w:jc w:val="both"/>
        <w:rPr>
          <w:rFonts w:ascii="Verdana" w:eastAsia="Calibri" w:hAnsi="Verdana" w:cs="Arial"/>
        </w:rPr>
      </w:pPr>
      <w:r w:rsidRPr="00F07CB0">
        <w:rPr>
          <w:rFonts w:ascii="Verdana" w:eastAsia="Calibri" w:hAnsi="Verdana" w:cs="Arial"/>
        </w:rPr>
        <w:t>El artículo 53 de la Ley 2195 de 2022, que modifica el artículo 13 de la Ley 1150 de 2007, precisa que las entidades estatales con régimen especial deben publicar su actividad contractual en el SECOP II. Esta obligación se mantiene incluso si el SECOP II es reemplazado por otra plataforma transaccional en el futuro. La norma no permite el uso de páginas web propias para cumplir con este deber, asegurando así que toda la información contractual del Estado esté centralizada y accesible para la ciudadanía, promoviendo la transparencia.</w:t>
      </w:r>
    </w:p>
    <w:p w14:paraId="0071C7C7" w14:textId="77777777" w:rsidR="00F07CB0" w:rsidRDefault="00F07CB0" w:rsidP="00F07CB0">
      <w:pPr>
        <w:pStyle w:val="Prrafodelista"/>
        <w:jc w:val="both"/>
        <w:rPr>
          <w:rFonts w:ascii="Verdana" w:eastAsia="Calibri" w:hAnsi="Verdana" w:cs="Arial"/>
        </w:rPr>
      </w:pPr>
    </w:p>
    <w:p w14:paraId="46D10E6C" w14:textId="77777777" w:rsidR="00F07CB0" w:rsidRDefault="00F07CB0" w:rsidP="00F07CB0">
      <w:pPr>
        <w:pStyle w:val="Prrafodelista"/>
        <w:numPr>
          <w:ilvl w:val="0"/>
          <w:numId w:val="27"/>
        </w:numPr>
        <w:jc w:val="both"/>
        <w:rPr>
          <w:rFonts w:ascii="Verdana" w:eastAsia="Calibri" w:hAnsi="Verdana" w:cs="Arial"/>
        </w:rPr>
      </w:pPr>
      <w:r w:rsidRPr="00F07CB0">
        <w:rPr>
          <w:rFonts w:ascii="Verdana" w:eastAsia="Calibri" w:hAnsi="Verdana" w:cs="Aria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w:t>
      </w:r>
      <w:r w:rsidRPr="00F07CB0">
        <w:rPr>
          <w:rFonts w:ascii="Verdana" w:eastAsia="Calibri" w:hAnsi="Verdana" w:cs="Arial"/>
        </w:rPr>
        <w:lastRenderedPageBreak/>
        <w:t xml:space="preserve">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1B83E847" w14:textId="77777777" w:rsidR="00F07CB0" w:rsidRPr="00F07CB0" w:rsidRDefault="00F07CB0" w:rsidP="00F07CB0">
      <w:pPr>
        <w:pStyle w:val="Prrafodelista"/>
        <w:jc w:val="both"/>
        <w:rPr>
          <w:rFonts w:ascii="Verdana" w:eastAsia="Calibri" w:hAnsi="Verdana" w:cs="Arial"/>
        </w:rPr>
      </w:pPr>
    </w:p>
    <w:p w14:paraId="05B8E75F" w14:textId="1C5B06CC" w:rsidR="00F07CB0" w:rsidRPr="00CB72C1" w:rsidRDefault="00F07CB0" w:rsidP="00CB72C1">
      <w:pPr>
        <w:pStyle w:val="Prrafodelista"/>
        <w:numPr>
          <w:ilvl w:val="0"/>
          <w:numId w:val="27"/>
        </w:numPr>
        <w:jc w:val="both"/>
        <w:rPr>
          <w:rFonts w:ascii="Verdana" w:eastAsia="Calibri" w:hAnsi="Verdana" w:cs="Arial"/>
        </w:rPr>
      </w:pPr>
      <w:r w:rsidRPr="00F07CB0">
        <w:rPr>
          <w:rFonts w:ascii="Verdana" w:eastAsia="Calibri" w:hAnsi="Verdana" w:cs="Arial"/>
        </w:rPr>
        <w:t>Sin perjuicio de lo anterior,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p>
    <w:p w14:paraId="43077B69" w14:textId="77777777" w:rsidR="00BB6E25" w:rsidRPr="00BB6E25" w:rsidRDefault="00BB6E25" w:rsidP="00BB6E25">
      <w:pPr>
        <w:pStyle w:val="Prrafodelista"/>
        <w:rPr>
          <w:rFonts w:ascii="Verdana" w:eastAsia="Calibri" w:hAnsi="Verdana" w:cs="Arial"/>
        </w:rPr>
      </w:pPr>
    </w:p>
    <w:p w14:paraId="7A484EE4" w14:textId="05878054" w:rsidR="00BB6E25" w:rsidRDefault="00ED416C" w:rsidP="00F07CB0">
      <w:pPr>
        <w:pStyle w:val="Prrafodelista"/>
        <w:numPr>
          <w:ilvl w:val="0"/>
          <w:numId w:val="27"/>
        </w:numPr>
        <w:jc w:val="both"/>
        <w:rPr>
          <w:rFonts w:ascii="Verdana" w:eastAsia="Calibri" w:hAnsi="Verdana" w:cs="Arial"/>
        </w:rPr>
      </w:pPr>
      <w:r w:rsidRPr="00ED416C">
        <w:rPr>
          <w:rFonts w:ascii="Verdana" w:eastAsia="Calibri" w:hAnsi="Verdana" w:cs="Arial"/>
        </w:rPr>
        <w:t>El artículo 53 de la Ley 2195 de 2022 establece que las entidades con regímenes especiales deben publicar los documentos relacionados con su actividad contractual en el SECOP II o la plataforma transaccional correspondiente. Sin embargo, la norma no especifica si esta obligación aplica a todos los contratos o solo a aquellos financiados con recursos públicos. Existen dos interpretaciones posibles: una exegética, que sugiere que la obligación aplica a toda la actividad contractual, y una sistemática, que indica que solo se refiere a contratos financiados con recursos públicos, en armonía con la Ley 1150 de 2007.</w:t>
      </w:r>
    </w:p>
    <w:p w14:paraId="6ADA9D12" w14:textId="77777777" w:rsidR="00ED416C" w:rsidRPr="00ED416C" w:rsidRDefault="00ED416C" w:rsidP="00ED416C">
      <w:pPr>
        <w:pStyle w:val="Prrafodelista"/>
        <w:rPr>
          <w:rFonts w:ascii="Verdana" w:eastAsia="Calibri" w:hAnsi="Verdana" w:cs="Arial"/>
        </w:rPr>
      </w:pPr>
    </w:p>
    <w:p w14:paraId="7822D1E1" w14:textId="015E825F" w:rsidR="00ED416C" w:rsidRDefault="00ED416C" w:rsidP="00F07CB0">
      <w:pPr>
        <w:pStyle w:val="Prrafodelista"/>
        <w:numPr>
          <w:ilvl w:val="0"/>
          <w:numId w:val="27"/>
        </w:numPr>
        <w:jc w:val="both"/>
        <w:rPr>
          <w:rFonts w:ascii="Verdana" w:eastAsia="Calibri" w:hAnsi="Verdana" w:cs="Arial"/>
        </w:rPr>
      </w:pPr>
      <w:r w:rsidRPr="00ED416C">
        <w:rPr>
          <w:rFonts w:ascii="Verdana" w:eastAsia="Calibri" w:hAnsi="Verdana" w:cs="Arial"/>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00ED416C">
        <w:rPr>
          <w:rFonts w:ascii="Verdana" w:eastAsia="Calibri" w:hAnsi="Verdana" w:cs="Arial"/>
        </w:rPr>
        <w:t>ii</w:t>
      </w:r>
      <w:proofErr w:type="spellEnd"/>
      <w:r w:rsidRPr="00ED416C">
        <w:rPr>
          <w:rFonts w:ascii="Verdana" w:eastAsia="Calibri" w:hAnsi="Verdana" w:cs="Arial"/>
        </w:rPr>
        <w:t xml:space="preserve">) el artículo 3, </w:t>
      </w:r>
      <w:r w:rsidRPr="00ED416C">
        <w:rPr>
          <w:rFonts w:ascii="Verdana" w:eastAsia="Calibri" w:hAnsi="Verdana" w:cs="Arial"/>
        </w:rPr>
        <w:lastRenderedPageBreak/>
        <w:t xml:space="preserve">literal c) de la Ley 1150 de 2007, </w:t>
      </w:r>
      <w:proofErr w:type="spellStart"/>
      <w:r w:rsidRPr="00ED416C">
        <w:rPr>
          <w:rFonts w:ascii="Verdana" w:eastAsia="Calibri" w:hAnsi="Verdana" w:cs="Arial"/>
        </w:rPr>
        <w:t>iii</w:t>
      </w:r>
      <w:proofErr w:type="spellEnd"/>
      <w:r w:rsidRPr="00ED416C">
        <w:rPr>
          <w:rFonts w:ascii="Verdana" w:eastAsia="Calibri" w:hAnsi="Verdana" w:cs="Arial"/>
        </w:rPr>
        <w:t xml:space="preserve">) los artículos 3, 9, literal e) y 11, literal g), de la Ley 1712 de 2014, y </w:t>
      </w:r>
      <w:proofErr w:type="spellStart"/>
      <w:r w:rsidRPr="00ED416C">
        <w:rPr>
          <w:rFonts w:ascii="Verdana" w:eastAsia="Calibri" w:hAnsi="Verdana" w:cs="Arial"/>
        </w:rPr>
        <w:t>iv</w:t>
      </w:r>
      <w:proofErr w:type="spellEnd"/>
      <w:r w:rsidRPr="00ED416C">
        <w:rPr>
          <w:rFonts w:ascii="Verdana" w:eastAsia="Calibri" w:hAnsi="Verdana" w:cs="Arial"/>
        </w:rPr>
        <w:t>) los artículos 7 al 10 del Decreto 103 de 2015 –compilado en los artículos 2.1.1.1.1. al 2.1.1.6.1. del Decreto 1081 de 2015–.</w:t>
      </w:r>
    </w:p>
    <w:p w14:paraId="140DEF22" w14:textId="77777777" w:rsidR="00ED416C" w:rsidRPr="00ED416C" w:rsidRDefault="00ED416C" w:rsidP="00ED416C">
      <w:pPr>
        <w:pStyle w:val="Prrafodelista"/>
        <w:rPr>
          <w:rFonts w:ascii="Verdana" w:eastAsia="Calibri" w:hAnsi="Verdana" w:cs="Arial"/>
        </w:rPr>
      </w:pPr>
    </w:p>
    <w:p w14:paraId="4AA0C0B6" w14:textId="1D3A3605" w:rsidR="00ED416C" w:rsidRDefault="00ED416C" w:rsidP="00F07CB0">
      <w:pPr>
        <w:pStyle w:val="Prrafodelista"/>
        <w:numPr>
          <w:ilvl w:val="0"/>
          <w:numId w:val="27"/>
        </w:numPr>
        <w:jc w:val="both"/>
        <w:rPr>
          <w:rFonts w:ascii="Verdana" w:eastAsia="Calibri" w:hAnsi="Verdana" w:cs="Arial"/>
        </w:rPr>
      </w:pPr>
      <w:r w:rsidRPr="00ED416C">
        <w:rPr>
          <w:rFonts w:ascii="Verdana" w:eastAsia="Calibri" w:hAnsi="Verdana" w:cs="Arial"/>
        </w:rPr>
        <w:t>Así las cosas, dado que el artículo 53 de la Ley 2195 de 2022 complementó las disposiciones ya establecidas en la Ley 1150 de 2007, la lectura que se haga de dicho artículo debe efectuarse de forma sistemática.  En este sentido, debe señalarse que contratación con cargo a recursos públicos es un concepto al que alude expresamente la Ley 1150 de 2007, incluso desde el mismo título, pues este indica que dicha Ley es “Por medio de la cual se introducen medidas para la eficiencia y la transparencia en la Ley 80 de 1993 y se dictan otras disposiciones generales sobre la contratación con Recursos Públicos”. Asimismo, la terminología contratación con cargo recursos públicos se encuentra en el artículo primero, al definir el ámbito de aplicación de sus disposiciones y en el literal c) del artículo 3 –del que surge el deber de publicar en el SECOP–, que expresamente establece que ese aparte del artículo se aplica a la “contratación realizada con dineros públicos”. 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566AE2C8" w14:textId="77777777" w:rsidR="00C65E24" w:rsidRDefault="00C65E24" w:rsidP="00C65E24">
      <w:pPr>
        <w:pStyle w:val="Prrafodelista"/>
        <w:jc w:val="both"/>
        <w:rPr>
          <w:rFonts w:ascii="Verdana" w:eastAsia="Calibri" w:hAnsi="Verdana" w:cs="Arial"/>
        </w:rPr>
      </w:pPr>
    </w:p>
    <w:p w14:paraId="10CC0DA0" w14:textId="77777777" w:rsidR="00C65E24" w:rsidRPr="00C65E24" w:rsidRDefault="00C65E24" w:rsidP="00C65E24">
      <w:pPr>
        <w:pStyle w:val="Prrafodelista"/>
        <w:numPr>
          <w:ilvl w:val="0"/>
          <w:numId w:val="27"/>
        </w:numPr>
        <w:jc w:val="both"/>
        <w:rPr>
          <w:rFonts w:ascii="Verdana" w:eastAsia="Calibri" w:hAnsi="Verdana" w:cs="Arial"/>
        </w:rPr>
      </w:pPr>
      <w:r w:rsidRPr="00C65E24">
        <w:rPr>
          <w:rFonts w:ascii="Verdana" w:eastAsia="Calibri" w:hAnsi="Verdana" w:cs="Arial"/>
        </w:rPr>
        <w:t>Por otro lado, el Decreto 103, mediante el cual se reglamentó la Ley 1712 de 2014, y que fue compilado en los artículos 2.1.1.1.1. al 2.1.1.6.1. del Decreto 1081 de 2015–.  señala:</w:t>
      </w:r>
    </w:p>
    <w:p w14:paraId="7F3374C2" w14:textId="77777777" w:rsidR="00C65E24" w:rsidRPr="00C65E24" w:rsidRDefault="00C65E24" w:rsidP="00C65E24">
      <w:pPr>
        <w:pStyle w:val="Prrafodelista"/>
        <w:jc w:val="both"/>
        <w:rPr>
          <w:rFonts w:ascii="Verdana" w:eastAsia="Calibri" w:hAnsi="Verdana" w:cs="Arial"/>
        </w:rPr>
      </w:pPr>
      <w:r w:rsidRPr="00C65E24">
        <w:rPr>
          <w:rFonts w:ascii="Verdana" w:eastAsia="Calibri" w:hAnsi="Verdana" w:cs="Arial"/>
        </w:rPr>
        <w:t xml:space="preserve"> </w:t>
      </w:r>
    </w:p>
    <w:p w14:paraId="74133B2C" w14:textId="77777777" w:rsidR="00C65E24" w:rsidRPr="00CB72C1" w:rsidRDefault="00C65E24" w:rsidP="00CB72C1">
      <w:pPr>
        <w:pStyle w:val="Prrafodelista"/>
        <w:spacing w:after="0" w:line="240" w:lineRule="auto"/>
        <w:ind w:left="1134" w:right="357"/>
        <w:jc w:val="both"/>
        <w:rPr>
          <w:rFonts w:ascii="Verdana" w:eastAsia="Calibri" w:hAnsi="Verdana" w:cs="Arial"/>
          <w:i/>
          <w:iCs/>
          <w:sz w:val="20"/>
          <w:szCs w:val="20"/>
        </w:rPr>
      </w:pPr>
      <w:r w:rsidRPr="00CB72C1">
        <w:rPr>
          <w:rFonts w:ascii="Verdana" w:eastAsia="Calibri" w:hAnsi="Verdana" w:cs="Arial"/>
          <w:i/>
          <w:iCs/>
          <w:sz w:val="20"/>
          <w:szCs w:val="20"/>
        </w:rPr>
        <w:t xml:space="preserve">“Artículo 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0D1FB33" w14:textId="77777777" w:rsidR="00C65E24" w:rsidRPr="00CB72C1" w:rsidRDefault="00C65E24" w:rsidP="00CB72C1">
      <w:pPr>
        <w:pStyle w:val="Prrafodelista"/>
        <w:spacing w:after="0" w:line="240" w:lineRule="auto"/>
        <w:ind w:left="1134" w:right="357"/>
        <w:jc w:val="both"/>
        <w:rPr>
          <w:rFonts w:ascii="Verdana" w:eastAsia="Calibri" w:hAnsi="Verdana" w:cs="Arial"/>
          <w:i/>
          <w:iCs/>
          <w:sz w:val="20"/>
          <w:szCs w:val="20"/>
        </w:rPr>
      </w:pPr>
      <w:r w:rsidRPr="00CB72C1">
        <w:rPr>
          <w:rFonts w:ascii="Verdana" w:eastAsia="Calibri" w:hAnsi="Verdana" w:cs="Arial"/>
          <w:i/>
          <w:iCs/>
          <w:sz w:val="20"/>
          <w:szCs w:val="20"/>
        </w:rPr>
        <w:t xml:space="preserve">  </w:t>
      </w:r>
    </w:p>
    <w:p w14:paraId="329EA2E1" w14:textId="77777777" w:rsidR="00C65E24" w:rsidRPr="00CB72C1" w:rsidRDefault="00C65E24" w:rsidP="00CB72C1">
      <w:pPr>
        <w:pStyle w:val="Prrafodelista"/>
        <w:spacing w:after="0" w:line="240" w:lineRule="auto"/>
        <w:ind w:left="1134" w:right="357"/>
        <w:jc w:val="both"/>
        <w:rPr>
          <w:rFonts w:ascii="Verdana" w:eastAsia="Calibri" w:hAnsi="Verdana" w:cs="Arial"/>
          <w:i/>
          <w:iCs/>
          <w:sz w:val="20"/>
          <w:szCs w:val="20"/>
        </w:rPr>
      </w:pPr>
      <w:r w:rsidRPr="00CB72C1">
        <w:rPr>
          <w:rFonts w:ascii="Verdana" w:eastAsia="Calibri" w:hAnsi="Verdana" w:cs="Arial"/>
          <w:i/>
          <w:iCs/>
          <w:sz w:val="20"/>
          <w:szCs w:val="20"/>
        </w:rPr>
        <w:t xml:space="preserve">Los sujetos obligados que contratan con cargo a recursos públicos deben publicar la información de su gestión contractual en el plazo previsto en </w:t>
      </w:r>
      <w:r w:rsidRPr="00CB72C1">
        <w:rPr>
          <w:rFonts w:ascii="Verdana" w:eastAsia="Calibri" w:hAnsi="Verdana" w:cs="Arial"/>
          <w:i/>
          <w:iCs/>
          <w:sz w:val="20"/>
          <w:szCs w:val="20"/>
        </w:rPr>
        <w:lastRenderedPageBreak/>
        <w:t xml:space="preserve">el artículo 19 del Decreto 1510 de 2013, o el que lo modifique, sustituya o adicione. </w:t>
      </w:r>
    </w:p>
    <w:p w14:paraId="0ADB52EE" w14:textId="77777777" w:rsidR="00C65E24" w:rsidRPr="00CB72C1" w:rsidRDefault="00C65E24" w:rsidP="00CB72C1">
      <w:pPr>
        <w:pStyle w:val="Prrafodelista"/>
        <w:spacing w:after="0" w:line="240" w:lineRule="auto"/>
        <w:ind w:left="1134" w:right="357"/>
        <w:jc w:val="both"/>
        <w:rPr>
          <w:rFonts w:ascii="Verdana" w:eastAsia="Calibri" w:hAnsi="Verdana" w:cs="Arial"/>
          <w:i/>
          <w:iCs/>
          <w:sz w:val="20"/>
          <w:szCs w:val="20"/>
        </w:rPr>
      </w:pPr>
      <w:r w:rsidRPr="00CB72C1">
        <w:rPr>
          <w:rFonts w:ascii="Verdana" w:eastAsia="Calibri" w:hAnsi="Verdana" w:cs="Arial"/>
          <w:i/>
          <w:iCs/>
          <w:sz w:val="20"/>
          <w:szCs w:val="20"/>
        </w:rPr>
        <w:t xml:space="preserve">  </w:t>
      </w:r>
    </w:p>
    <w:p w14:paraId="308B389B" w14:textId="34AB40CD" w:rsidR="00C65E24" w:rsidRPr="00CB72C1" w:rsidRDefault="00C65E24" w:rsidP="00CB72C1">
      <w:pPr>
        <w:pStyle w:val="Prrafodelista"/>
        <w:spacing w:after="0" w:line="240" w:lineRule="auto"/>
        <w:ind w:left="1134" w:right="357"/>
        <w:jc w:val="both"/>
        <w:rPr>
          <w:rFonts w:ascii="Verdana" w:eastAsia="Calibri" w:hAnsi="Verdana" w:cs="Arial"/>
          <w:i/>
          <w:iCs/>
          <w:sz w:val="20"/>
          <w:szCs w:val="20"/>
        </w:rPr>
      </w:pPr>
      <w:r w:rsidRPr="00CB72C1">
        <w:rPr>
          <w:rFonts w:ascii="Verdana" w:eastAsia="Calibri" w:hAnsi="Verdana" w:cs="Arial"/>
          <w:i/>
          <w:iCs/>
          <w:sz w:val="20"/>
          <w:szCs w:val="20"/>
        </w:rPr>
        <w:t>Los sujetos obligados que contratan con recursos públicos y recursos privados deben publicar la información de su gestión contractual con cargo a recursos públicos en el Sistema Electrónico para la Contratación Pública (Secop)”.</w:t>
      </w:r>
    </w:p>
    <w:p w14:paraId="6CCE9196" w14:textId="77777777" w:rsidR="00C65E24" w:rsidRDefault="00C65E24" w:rsidP="00C65E24">
      <w:pPr>
        <w:pStyle w:val="Prrafodelista"/>
        <w:ind w:left="1416"/>
        <w:jc w:val="both"/>
        <w:rPr>
          <w:rFonts w:ascii="Verdana" w:eastAsia="Calibri" w:hAnsi="Verdana" w:cs="Arial"/>
          <w:sz w:val="21"/>
          <w:szCs w:val="21"/>
        </w:rPr>
      </w:pPr>
    </w:p>
    <w:p w14:paraId="072E94A7" w14:textId="1A4CE03A" w:rsidR="00F7242F" w:rsidRDefault="00C65E24" w:rsidP="00C65E24">
      <w:pPr>
        <w:pStyle w:val="Prrafodelista"/>
        <w:numPr>
          <w:ilvl w:val="0"/>
          <w:numId w:val="29"/>
        </w:numPr>
        <w:jc w:val="both"/>
        <w:rPr>
          <w:rFonts w:ascii="Verdana" w:eastAsia="Calibri" w:hAnsi="Verdana" w:cs="Arial"/>
        </w:rPr>
      </w:pPr>
      <w:r w:rsidRPr="00C65E24">
        <w:rPr>
          <w:rFonts w:ascii="Verdana" w:eastAsia="Calibri" w:hAnsi="Verdana" w:cs="Arial"/>
        </w:rPr>
        <w:t>El artículo 53 de la Ley 2195 de 2022 complementa el artículo 3 de la Ley 1150 de 2007, indicando que la información contractual que debe publicarse en el SECOP II es aquella relacionada con contratos financiados con recursos públicos. La Agencia Nacional de Contratación Pública – Colombia Compra Eficiente sostiene que esta modificación no cambia la interpretación vigente: solo se debe publicar en el SECOP la información de contratos financiados con recursos públicos.</w:t>
      </w:r>
    </w:p>
    <w:p w14:paraId="50B955A4" w14:textId="77777777" w:rsidR="00997094" w:rsidRDefault="00997094" w:rsidP="00997094">
      <w:pPr>
        <w:pStyle w:val="Prrafodelista"/>
        <w:jc w:val="both"/>
        <w:rPr>
          <w:rFonts w:ascii="Verdana" w:eastAsia="Calibri" w:hAnsi="Verdana" w:cs="Arial"/>
        </w:rPr>
      </w:pPr>
    </w:p>
    <w:p w14:paraId="286156F0" w14:textId="1D9956DD" w:rsidR="00997094" w:rsidRPr="00997094" w:rsidRDefault="00997094" w:rsidP="00997094">
      <w:pPr>
        <w:jc w:val="both"/>
        <w:rPr>
          <w:rFonts w:ascii="Verdana" w:eastAsia="Calibri" w:hAnsi="Verdana" w:cs="Arial"/>
          <w:b/>
          <w:bCs/>
        </w:rPr>
      </w:pPr>
      <w:r w:rsidRPr="00B81A1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7242F" w:rsidRPr="008A48B1" w14:paraId="7CC315D7" w14:textId="77777777" w:rsidTr="00901ADF">
        <w:trPr>
          <w:trHeight w:val="870"/>
        </w:trPr>
        <w:tc>
          <w:tcPr>
            <w:tcW w:w="8647" w:type="dxa"/>
            <w:tcBorders>
              <w:top w:val="dotted" w:sz="4" w:space="0" w:color="auto"/>
              <w:left w:val="dotted" w:sz="4" w:space="0" w:color="auto"/>
              <w:bottom w:val="dotted" w:sz="4" w:space="0" w:color="auto"/>
              <w:right w:val="dotted" w:sz="4" w:space="0" w:color="auto"/>
            </w:tcBorders>
          </w:tcPr>
          <w:p w14:paraId="6A9AC212" w14:textId="083AEEF6" w:rsidR="00050FF9" w:rsidRDefault="00050FF9" w:rsidP="00050FF9">
            <w:pPr>
              <w:widowControl w:val="0"/>
              <w:numPr>
                <w:ilvl w:val="0"/>
                <w:numId w:val="19"/>
              </w:numPr>
              <w:autoSpaceDE w:val="0"/>
              <w:autoSpaceDN w:val="0"/>
              <w:spacing w:line="276" w:lineRule="auto"/>
              <w:contextualSpacing/>
              <w:jc w:val="both"/>
              <w:rPr>
                <w:rFonts w:ascii="Verdana" w:hAnsi="Verdana" w:cs="Arial"/>
              </w:rPr>
            </w:pPr>
            <w:r>
              <w:rPr>
                <w:rFonts w:ascii="Verdana" w:hAnsi="Verdana" w:cs="Arial"/>
              </w:rPr>
              <w:t>Ley 2195 de 2022,</w:t>
            </w:r>
            <w:r w:rsidR="00CC2AFE">
              <w:rPr>
                <w:rFonts w:ascii="Verdana" w:hAnsi="Verdana" w:cs="Arial"/>
              </w:rPr>
              <w:t xml:space="preserve"> articulo 53.</w:t>
            </w:r>
          </w:p>
          <w:p w14:paraId="523E81F1" w14:textId="29712D8F" w:rsidR="00050FF9" w:rsidRDefault="00050FF9" w:rsidP="00050FF9">
            <w:pPr>
              <w:widowControl w:val="0"/>
              <w:numPr>
                <w:ilvl w:val="0"/>
                <w:numId w:val="19"/>
              </w:numPr>
              <w:autoSpaceDE w:val="0"/>
              <w:autoSpaceDN w:val="0"/>
              <w:spacing w:line="276" w:lineRule="auto"/>
              <w:contextualSpacing/>
              <w:jc w:val="both"/>
              <w:rPr>
                <w:rFonts w:ascii="Verdana" w:hAnsi="Verdana" w:cs="Arial"/>
              </w:rPr>
            </w:pPr>
            <w:r>
              <w:rPr>
                <w:rFonts w:ascii="Verdana" w:hAnsi="Verdana" w:cs="Arial"/>
              </w:rPr>
              <w:t xml:space="preserve">Ley 80 de 1993, </w:t>
            </w:r>
            <w:r w:rsidR="00CC2AFE">
              <w:rPr>
                <w:rFonts w:ascii="Verdana" w:hAnsi="Verdana" w:cs="Arial"/>
              </w:rPr>
              <w:t>articulo 3 numeral 30.</w:t>
            </w:r>
          </w:p>
          <w:p w14:paraId="5262B759" w14:textId="2DB2E9FB" w:rsidR="00050FF9" w:rsidRDefault="00050FF9" w:rsidP="00050FF9">
            <w:pPr>
              <w:widowControl w:val="0"/>
              <w:numPr>
                <w:ilvl w:val="0"/>
                <w:numId w:val="19"/>
              </w:numPr>
              <w:autoSpaceDE w:val="0"/>
              <w:autoSpaceDN w:val="0"/>
              <w:spacing w:line="276" w:lineRule="auto"/>
              <w:contextualSpacing/>
              <w:jc w:val="both"/>
              <w:rPr>
                <w:rFonts w:ascii="Verdana" w:hAnsi="Verdana" w:cs="Arial"/>
              </w:rPr>
            </w:pPr>
            <w:r>
              <w:rPr>
                <w:rFonts w:ascii="Verdana" w:hAnsi="Verdana" w:cs="Arial"/>
              </w:rPr>
              <w:t>Ley 1150 de 2007,</w:t>
            </w:r>
            <w:r w:rsidR="00CC2AFE">
              <w:rPr>
                <w:rFonts w:ascii="Verdana" w:hAnsi="Verdana" w:cs="Arial"/>
              </w:rPr>
              <w:t xml:space="preserve"> articulo 3, articulo 13, articulo 9 literal e, articulo 11 literal g.</w:t>
            </w:r>
          </w:p>
          <w:p w14:paraId="08BBB7AB" w14:textId="5CAE0ECF" w:rsidR="00050FF9" w:rsidRDefault="00050FF9" w:rsidP="00050FF9">
            <w:pPr>
              <w:widowControl w:val="0"/>
              <w:numPr>
                <w:ilvl w:val="0"/>
                <w:numId w:val="19"/>
              </w:numPr>
              <w:autoSpaceDE w:val="0"/>
              <w:autoSpaceDN w:val="0"/>
              <w:spacing w:line="276" w:lineRule="auto"/>
              <w:contextualSpacing/>
              <w:jc w:val="both"/>
              <w:rPr>
                <w:rFonts w:ascii="Verdana" w:hAnsi="Verdana" w:cs="Arial"/>
              </w:rPr>
            </w:pPr>
            <w:r w:rsidRPr="00050FF9">
              <w:rPr>
                <w:rFonts w:ascii="Verdana" w:hAnsi="Verdana" w:cs="Arial"/>
              </w:rPr>
              <w:t xml:space="preserve">Ley </w:t>
            </w:r>
            <w:r>
              <w:rPr>
                <w:rFonts w:ascii="Verdana" w:hAnsi="Verdana" w:cs="Arial"/>
              </w:rPr>
              <w:t>1712 de 2014,</w:t>
            </w:r>
            <w:r w:rsidR="00CC2AFE">
              <w:rPr>
                <w:rFonts w:ascii="Verdana" w:hAnsi="Verdana" w:cs="Arial"/>
              </w:rPr>
              <w:t xml:space="preserve"> </w:t>
            </w:r>
            <w:r w:rsidR="008C5945">
              <w:rPr>
                <w:rFonts w:ascii="Verdana" w:hAnsi="Verdana" w:cs="Arial"/>
              </w:rPr>
              <w:t>articulo 2, articulo 3, articulo 9 literal e, articulo 5, articulo 11 literal g.</w:t>
            </w:r>
          </w:p>
          <w:p w14:paraId="692C1565" w14:textId="77777777" w:rsidR="008C5945" w:rsidRDefault="00CC2AFE" w:rsidP="008C5945">
            <w:pPr>
              <w:widowControl w:val="0"/>
              <w:numPr>
                <w:ilvl w:val="0"/>
                <w:numId w:val="19"/>
              </w:numPr>
              <w:autoSpaceDE w:val="0"/>
              <w:autoSpaceDN w:val="0"/>
              <w:spacing w:line="276" w:lineRule="auto"/>
              <w:contextualSpacing/>
              <w:jc w:val="both"/>
              <w:rPr>
                <w:rFonts w:ascii="Verdana" w:hAnsi="Verdana" w:cs="Arial"/>
              </w:rPr>
            </w:pPr>
            <w:r>
              <w:rPr>
                <w:rFonts w:ascii="Verdana" w:hAnsi="Verdana" w:cs="Arial"/>
              </w:rPr>
              <w:t xml:space="preserve">Decreto 1081 de 2015, </w:t>
            </w:r>
            <w:r w:rsidR="008C5945">
              <w:rPr>
                <w:rFonts w:ascii="Verdana" w:hAnsi="Verdana" w:cs="Arial"/>
              </w:rPr>
              <w:t>articulo 2.1.1.2.1.7., articulo 2.1.1.1.1., articulo 2.1.1.6.1.</w:t>
            </w:r>
          </w:p>
          <w:p w14:paraId="7EB3EEE7" w14:textId="77777777" w:rsidR="008C5945" w:rsidRDefault="008C5945" w:rsidP="008C5945">
            <w:pPr>
              <w:widowControl w:val="0"/>
              <w:numPr>
                <w:ilvl w:val="0"/>
                <w:numId w:val="19"/>
              </w:numPr>
              <w:autoSpaceDE w:val="0"/>
              <w:autoSpaceDN w:val="0"/>
              <w:spacing w:line="276" w:lineRule="auto"/>
              <w:contextualSpacing/>
              <w:jc w:val="both"/>
              <w:rPr>
                <w:rFonts w:ascii="Verdana" w:hAnsi="Verdana" w:cs="Arial"/>
              </w:rPr>
            </w:pPr>
            <w:r>
              <w:rPr>
                <w:rFonts w:ascii="Verdana" w:hAnsi="Verdana" w:cs="Arial"/>
              </w:rPr>
              <w:t xml:space="preserve">“Guía para las entidades estatales con régimen especial de contratación” de la Agencia Nacional de Contratación Pública – Colombia compra eficiente – el cual se puede encontrar en el siguiente link: </w:t>
            </w:r>
          </w:p>
          <w:p w14:paraId="24B055D1" w14:textId="77777777" w:rsidR="008C5945" w:rsidRDefault="00102BED" w:rsidP="008C5945">
            <w:pPr>
              <w:widowControl w:val="0"/>
              <w:autoSpaceDE w:val="0"/>
              <w:autoSpaceDN w:val="0"/>
              <w:spacing w:line="276" w:lineRule="auto"/>
              <w:ind w:left="720"/>
              <w:contextualSpacing/>
              <w:jc w:val="both"/>
              <w:rPr>
                <w:rFonts w:ascii="Verdana" w:hAnsi="Verdana" w:cs="Arial"/>
              </w:rPr>
            </w:pPr>
            <w:hyperlink r:id="rId13" w:history="1">
              <w:r w:rsidR="008C5945" w:rsidRPr="00841B97">
                <w:rPr>
                  <w:rStyle w:val="Hipervnculo"/>
                  <w:rFonts w:ascii="Verdana" w:hAnsi="Verdana" w:cs="Arial"/>
                </w:rPr>
                <w:t>https://colombiacompra.gov.co/sites/cce_public/files/cce_documents/cce_guia_regimen_especial.pdf</w:t>
              </w:r>
            </w:hyperlink>
            <w:r w:rsidR="008C5945">
              <w:rPr>
                <w:rFonts w:ascii="Verdana" w:hAnsi="Verdana" w:cs="Arial"/>
              </w:rPr>
              <w:t xml:space="preserve"> </w:t>
            </w:r>
          </w:p>
          <w:p w14:paraId="6D878E96" w14:textId="70306A64" w:rsidR="008C5945" w:rsidRDefault="008C5945" w:rsidP="008C5945">
            <w:pPr>
              <w:pStyle w:val="Prrafodelista"/>
              <w:widowControl w:val="0"/>
              <w:numPr>
                <w:ilvl w:val="0"/>
                <w:numId w:val="19"/>
              </w:numPr>
              <w:autoSpaceDE w:val="0"/>
              <w:autoSpaceDN w:val="0"/>
              <w:spacing w:line="276" w:lineRule="auto"/>
              <w:jc w:val="both"/>
              <w:rPr>
                <w:rFonts w:ascii="Verdana" w:hAnsi="Verdana" w:cs="Arial"/>
              </w:rPr>
            </w:pPr>
            <w:r>
              <w:rPr>
                <w:rFonts w:ascii="Verdana" w:hAnsi="Verdana" w:cs="Arial"/>
              </w:rPr>
              <w:t xml:space="preserve">“Circular 02 de 2022 de la función pública” la cual se puede encontrar en el siguiente link: </w:t>
            </w:r>
          </w:p>
          <w:p w14:paraId="696C59EF" w14:textId="3D9FB113" w:rsidR="008C5945" w:rsidRPr="008C5945" w:rsidRDefault="00102BED" w:rsidP="008C5945">
            <w:pPr>
              <w:pStyle w:val="Prrafodelista"/>
              <w:widowControl w:val="0"/>
              <w:autoSpaceDE w:val="0"/>
              <w:autoSpaceDN w:val="0"/>
              <w:spacing w:line="276" w:lineRule="auto"/>
              <w:jc w:val="both"/>
              <w:rPr>
                <w:rFonts w:ascii="Verdana" w:hAnsi="Verdana" w:cs="Arial"/>
              </w:rPr>
            </w:pPr>
            <w:hyperlink r:id="rId14" w:history="1">
              <w:r w:rsidR="008C5945" w:rsidRPr="00841B97">
                <w:rPr>
                  <w:rStyle w:val="Hipervnculo"/>
                  <w:rFonts w:ascii="Verdana" w:hAnsi="Verdana" w:cs="Arial"/>
                </w:rPr>
                <w:t>https://www.funcionpublica.gov.co/eva/gestornormativo/norma_pdf.php?i=187447</w:t>
              </w:r>
            </w:hyperlink>
            <w:r w:rsidR="008C5945">
              <w:rPr>
                <w:rFonts w:ascii="Verdana" w:hAnsi="Verdana" w:cs="Arial"/>
              </w:rPr>
              <w:t xml:space="preserve"> </w:t>
            </w:r>
          </w:p>
        </w:tc>
      </w:tr>
    </w:tbl>
    <w:p w14:paraId="6329C826" w14:textId="77777777" w:rsidR="00F7242F" w:rsidRPr="008A48B1" w:rsidRDefault="00F7242F" w:rsidP="00F7242F">
      <w:pPr>
        <w:widowControl w:val="0"/>
        <w:autoSpaceDE w:val="0"/>
        <w:autoSpaceDN w:val="0"/>
        <w:spacing w:after="0" w:line="276" w:lineRule="auto"/>
        <w:jc w:val="both"/>
        <w:rPr>
          <w:rFonts w:ascii="Verdana" w:eastAsia="Calibri" w:hAnsi="Verdana" w:cs="Arial"/>
        </w:rPr>
      </w:pPr>
    </w:p>
    <w:p w14:paraId="54F03B23" w14:textId="77777777" w:rsidR="00F7242F" w:rsidRPr="008A48B1" w:rsidRDefault="00F7242F" w:rsidP="00F7242F">
      <w:pPr>
        <w:numPr>
          <w:ilvl w:val="0"/>
          <w:numId w:val="18"/>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8A48B1">
        <w:rPr>
          <w:rFonts w:ascii="Verdana" w:eastAsia="Century Gothic" w:hAnsi="Verdana" w:cs="Century Gothic"/>
          <w:b/>
          <w:bCs/>
          <w:lang w:val="es-ES"/>
        </w:rPr>
        <w:t>Doctrina de la Agencia Nacional de Contratación Pública:</w:t>
      </w:r>
    </w:p>
    <w:p w14:paraId="1F1985AF" w14:textId="77777777" w:rsidR="00F7242F" w:rsidRPr="008A48B1" w:rsidRDefault="00F7242F" w:rsidP="00F7242F">
      <w:pPr>
        <w:widowControl w:val="0"/>
        <w:autoSpaceDE w:val="0"/>
        <w:autoSpaceDN w:val="0"/>
        <w:spacing w:after="0" w:line="276" w:lineRule="auto"/>
        <w:jc w:val="both"/>
        <w:rPr>
          <w:rFonts w:ascii="Verdana" w:eastAsia="Calibri" w:hAnsi="Verdana" w:cs="Arial"/>
        </w:rPr>
      </w:pPr>
    </w:p>
    <w:p w14:paraId="75ED17A3" w14:textId="469F0209" w:rsidR="00F7242F" w:rsidRDefault="00F7242F" w:rsidP="00F7242F">
      <w:pPr>
        <w:widowControl w:val="0"/>
        <w:autoSpaceDE w:val="0"/>
        <w:autoSpaceDN w:val="0"/>
        <w:spacing w:after="0" w:line="276" w:lineRule="auto"/>
        <w:jc w:val="both"/>
        <w:rPr>
          <w:rFonts w:ascii="Verdana" w:eastAsia="Calibri" w:hAnsi="Verdana" w:cs="Arial"/>
          <w:shd w:val="clear" w:color="auto" w:fill="FFFFFF"/>
          <w:lang w:val="es-ES"/>
        </w:rPr>
      </w:pPr>
      <w:r w:rsidRPr="004C7017">
        <w:rPr>
          <w:rFonts w:ascii="Verdana" w:eastAsia="Calibri" w:hAnsi="Verdana" w:cs="Arial"/>
          <w:shd w:val="clear" w:color="auto" w:fill="FFFFFF"/>
        </w:rPr>
        <w:t xml:space="preserve">La Agencia Nacional de Contratación Pública − Colombia Compra Eficiente se ha pronunciado sobre </w:t>
      </w:r>
      <w:r>
        <w:rPr>
          <w:rFonts w:ascii="Verdana" w:eastAsia="Calibri" w:hAnsi="Verdana" w:cs="Arial"/>
          <w:shd w:val="clear" w:color="auto" w:fill="FFFFFF"/>
          <w:lang w:val="es-ES"/>
        </w:rPr>
        <w:t>e</w:t>
      </w:r>
      <w:r w:rsidRPr="00F7242F">
        <w:rPr>
          <w:rFonts w:ascii="Verdana" w:eastAsia="Calibri" w:hAnsi="Verdana" w:cs="Arial"/>
          <w:shd w:val="clear" w:color="auto" w:fill="FFFFFF"/>
          <w:lang w:val="es-ES"/>
        </w:rPr>
        <w:t xml:space="preserve">l deber y alcance de las entidades exceptuadas del Estatuto General de Contratación de la Administración Pública de publicar </w:t>
      </w:r>
      <w:r w:rsidRPr="00F7242F">
        <w:rPr>
          <w:rFonts w:ascii="Verdana" w:eastAsia="Calibri" w:hAnsi="Verdana" w:cs="Arial"/>
          <w:bCs/>
          <w:shd w:val="clear" w:color="auto" w:fill="FFFFFF"/>
          <w:lang w:val="es-MX"/>
        </w:rPr>
        <w:t>los documentos relacionados con su actividad contractual en el SECOP II</w:t>
      </w:r>
      <w:r w:rsidRPr="00F7242F">
        <w:rPr>
          <w:rFonts w:ascii="Verdana" w:eastAsia="Calibri" w:hAnsi="Verdana" w:cs="Arial"/>
          <w:bCs/>
          <w:shd w:val="clear" w:color="auto" w:fill="FFFFFF"/>
          <w:lang w:val="es-ES"/>
        </w:rPr>
        <w:t>,</w:t>
      </w:r>
      <w:r w:rsidRPr="00F7242F">
        <w:rPr>
          <w:rFonts w:ascii="Verdana" w:eastAsia="Calibri" w:hAnsi="Verdana" w:cs="Arial"/>
          <w:shd w:val="clear" w:color="auto" w:fill="FFFFFF"/>
          <w:lang w:val="es-ES"/>
        </w:rPr>
        <w:t xml:space="preserve"> estos fueron objeto de análisis y de estudio en los siguientes conceptos por parte de esta agencia:</w:t>
      </w:r>
    </w:p>
    <w:p w14:paraId="62A1FFDF" w14:textId="77777777" w:rsidR="00F7242F" w:rsidRPr="00F7242F" w:rsidRDefault="00F7242F" w:rsidP="00F7242F">
      <w:pPr>
        <w:widowControl w:val="0"/>
        <w:autoSpaceDE w:val="0"/>
        <w:autoSpaceDN w:val="0"/>
        <w:spacing w:after="0" w:line="276" w:lineRule="auto"/>
        <w:jc w:val="both"/>
        <w:rPr>
          <w:rFonts w:ascii="Verdana" w:eastAsia="Calibri" w:hAnsi="Verdana" w:cs="Arial"/>
          <w:shd w:val="clear" w:color="auto" w:fill="FFFFFF"/>
          <w:lang w:val="es-ES"/>
        </w:rPr>
      </w:pPr>
    </w:p>
    <w:p w14:paraId="312A477E" w14:textId="6F70BD2D" w:rsidR="00F7242F" w:rsidRPr="008A48B1" w:rsidRDefault="00F7242F" w:rsidP="00F7242F">
      <w:pPr>
        <w:widowControl w:val="0"/>
        <w:autoSpaceDE w:val="0"/>
        <w:autoSpaceDN w:val="0"/>
        <w:spacing w:after="0" w:line="276" w:lineRule="auto"/>
        <w:jc w:val="both"/>
        <w:rPr>
          <w:rFonts w:ascii="Verdana" w:eastAsia="Calibri" w:hAnsi="Verdana" w:cs="Arial"/>
          <w:shd w:val="clear" w:color="auto" w:fill="FFFFFF"/>
          <w:lang w:val="es-ES_tradnl"/>
        </w:rPr>
      </w:pPr>
      <w:r w:rsidRPr="00F7242F">
        <w:rPr>
          <w:rFonts w:ascii="Verdana" w:eastAsia="Calibri" w:hAnsi="Verdana" w:cs="Arial"/>
          <w:shd w:val="clear" w:color="auto" w:fill="FFFFFF"/>
          <w:lang w:val="es-ES"/>
        </w:rPr>
        <w:t>C- 909 del 05 de enero de 2023, C- 071 del 28 de marzo de 2023, C- 055 del 19 de abril de 2023, C- 130 del 18 de mayo de 2023, C- 196 del 15 de junio de 2023, C- 260 del 10 de julio de 2023, C- 270 del 12 de julio de 2023, C- 284 del 17 de julio de 2023, C- 229 del 27 de julio de 2023, C- 326 del 11 de agosto de 2023, C- 195 del 24 de agosto de 2023, C- 422 del 10 de octubre de 2023, C- 457 del 24 de octubre de 2023, C- 438 del 31 de octubre de 2023, C- 391 del 14 de noviembre de 2023, C- 460 del 30 de noviembre de 2023, CU- 007 del 16 de enero de 2024, C- 294 del 18 de enero de 2024, C- 017 del 26 de febrero de 2024, C- 041 del 29 de mayo de 2024, C- 055 del 09 de junio de 202</w:t>
      </w:r>
      <w:r>
        <w:rPr>
          <w:rFonts w:ascii="Verdana" w:eastAsia="Calibri" w:hAnsi="Verdana" w:cs="Arial"/>
          <w:shd w:val="clear" w:color="auto" w:fill="FFFFFF"/>
          <w:lang w:val="es-ES"/>
        </w:rPr>
        <w:t>4 y C-083 de 2024</w:t>
      </w:r>
      <w:r w:rsidRPr="008A48B1">
        <w:rPr>
          <w:rFonts w:ascii="Verdana" w:eastAsia="Calibri" w:hAnsi="Verdana" w:cs="Arial"/>
          <w:shd w:val="clear" w:color="auto" w:fill="FFFFFF"/>
        </w:rPr>
        <w:t xml:space="preserve">. </w:t>
      </w:r>
      <w:r w:rsidRPr="008A48B1">
        <w:rPr>
          <w:rFonts w:ascii="Verdana" w:eastAsia="Calibri" w:hAnsi="Verdana" w:cs="Arial"/>
          <w:shd w:val="clear" w:color="auto" w:fill="FFFFFF"/>
          <w:lang w:val="es-ES_tradnl"/>
        </w:rPr>
        <w:t>Algunas de las consideraciones de estos conceptos se reiteran y se complementan en lo pertinente para dar respuesta a su consulta.</w:t>
      </w:r>
    </w:p>
    <w:p w14:paraId="3E057A1A" w14:textId="77777777" w:rsidR="00F7242F" w:rsidRPr="008A48B1" w:rsidRDefault="00F7242F" w:rsidP="00F7242F">
      <w:pPr>
        <w:widowControl w:val="0"/>
        <w:autoSpaceDE w:val="0"/>
        <w:autoSpaceDN w:val="0"/>
        <w:spacing w:after="0" w:line="276" w:lineRule="auto"/>
        <w:jc w:val="both"/>
        <w:rPr>
          <w:rFonts w:ascii="Verdana" w:eastAsia="Calibri" w:hAnsi="Verdana" w:cs="Arial"/>
          <w:shd w:val="clear" w:color="auto" w:fill="FFFFFF"/>
          <w:lang w:val="es-ES_tradnl"/>
        </w:rPr>
      </w:pPr>
    </w:p>
    <w:p w14:paraId="7329FC4D" w14:textId="77777777" w:rsidR="00F7242F" w:rsidRPr="008A48B1" w:rsidRDefault="00F7242F" w:rsidP="00F7242F">
      <w:pPr>
        <w:widowControl w:val="0"/>
        <w:autoSpaceDE w:val="0"/>
        <w:autoSpaceDN w:val="0"/>
        <w:spacing w:after="0" w:line="276" w:lineRule="auto"/>
        <w:jc w:val="both"/>
        <w:rPr>
          <w:rFonts w:ascii="Calibri" w:eastAsia="Calibri" w:hAnsi="Calibri" w:cs="Times New Roman"/>
          <w:color w:val="FF0000"/>
          <w:lang w:val="es-ES"/>
        </w:rPr>
      </w:pPr>
      <w:r w:rsidRPr="008A48B1">
        <w:rPr>
          <w:rFonts w:ascii="Verdana" w:eastAsia="Calibri" w:hAnsi="Verdana" w:cs="Arial"/>
          <w:shd w:val="clear" w:color="auto" w:fill="FFFFFF"/>
          <w:lang w:val="es-ES"/>
        </w:rPr>
        <w:t>Es</w:t>
      </w:r>
      <w:r w:rsidRPr="008A48B1">
        <w:rPr>
          <w:rFonts w:ascii="Verdana" w:eastAsia="Calibri" w:hAnsi="Verdana" w:cs="Times New Roman"/>
        </w:rPr>
        <w:t>tos y otros conceptos se encuentran disponibles para consulta en el Sistema de relatoría de la Agencia, al cual se puede acceder a través del siguiente enlace:</w:t>
      </w:r>
      <w:r w:rsidRPr="008A48B1">
        <w:rPr>
          <w:rFonts w:ascii="Verdana" w:eastAsia="Calibri" w:hAnsi="Verdana" w:cs="Arial"/>
          <w:shd w:val="clear" w:color="auto" w:fill="FFFFFF"/>
          <w:lang w:val="es-ES"/>
        </w:rPr>
        <w:t xml:space="preserve"> </w:t>
      </w:r>
      <w:hyperlink r:id="rId15" w:history="1">
        <w:r w:rsidRPr="008A48B1">
          <w:rPr>
            <w:rFonts w:ascii="Verdana" w:eastAsia="Calibri" w:hAnsi="Verdana" w:cs="Arial"/>
            <w:color w:val="0563C1" w:themeColor="hyperlink"/>
            <w:u w:val="single"/>
            <w:shd w:val="clear" w:color="auto" w:fill="FFFFFF"/>
            <w:lang w:val="es-ES"/>
          </w:rPr>
          <w:t>https://relatoria.colombiacompra.gov.co/busqueda/conceptos</w:t>
        </w:r>
      </w:hyperlink>
      <w:r w:rsidRPr="008A48B1">
        <w:rPr>
          <w:rFonts w:ascii="Verdana" w:eastAsia="Calibri" w:hAnsi="Verdana" w:cs="Arial"/>
          <w:color w:val="FF0000"/>
          <w:shd w:val="clear" w:color="auto" w:fill="FFFFFF"/>
          <w:lang w:val="es-ES"/>
        </w:rPr>
        <w:t xml:space="preserve">. </w:t>
      </w:r>
    </w:p>
    <w:p w14:paraId="2CC11367" w14:textId="77777777" w:rsidR="00F7242F" w:rsidRPr="008A48B1" w:rsidRDefault="00F7242F" w:rsidP="00F7242F">
      <w:pPr>
        <w:spacing w:after="0" w:line="240" w:lineRule="auto"/>
        <w:jc w:val="both"/>
        <w:rPr>
          <w:rFonts w:ascii="Verdana" w:eastAsia="Calibri" w:hAnsi="Verdana" w:cs="Arial"/>
          <w:highlight w:val="yellow"/>
          <w:shd w:val="clear" w:color="auto" w:fill="FFFFFF"/>
        </w:rPr>
      </w:pPr>
    </w:p>
    <w:p w14:paraId="061232F5" w14:textId="77777777" w:rsidR="00F7242F" w:rsidRPr="008A48B1" w:rsidRDefault="00F7242F" w:rsidP="00F7242F">
      <w:pPr>
        <w:spacing w:after="0" w:line="240" w:lineRule="auto"/>
        <w:jc w:val="both"/>
        <w:rPr>
          <w:rFonts w:ascii="Verdana" w:eastAsia="Calibri" w:hAnsi="Verdana" w:cs="Arial"/>
          <w:shd w:val="clear" w:color="auto" w:fill="FFFFFF"/>
        </w:rPr>
      </w:pPr>
      <w:r w:rsidRPr="008A48B1">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6" w:tgtFrame="_blank" w:tooltip="Dirección URL original: https://www.colombiacompra.gov.co/sala-de-prensa/boletin-digital. Haga clic o pulse si confía en este vínculo." w:history="1">
        <w:r w:rsidRPr="008A48B1">
          <w:rPr>
            <w:rFonts w:ascii="Verdana" w:eastAsia="Calibri" w:hAnsi="Verdana" w:cs="Arial"/>
            <w:u w:val="single"/>
            <w:shd w:val="clear" w:color="auto" w:fill="FFFFFF"/>
          </w:rPr>
          <w:t>https://www.colombiacompra.gov.co/sala-de-prensa/boletin-digital</w:t>
        </w:r>
      </w:hyperlink>
      <w:r w:rsidRPr="008A48B1">
        <w:rPr>
          <w:rFonts w:ascii="Verdana" w:eastAsia="Calibri" w:hAnsi="Verdana" w:cs="Arial"/>
          <w:shd w:val="clear" w:color="auto" w:fill="FFFFFF"/>
        </w:rPr>
        <w:t>."  </w:t>
      </w:r>
    </w:p>
    <w:p w14:paraId="0339A0FF" w14:textId="77777777" w:rsidR="00F7242F" w:rsidRPr="008A48B1" w:rsidRDefault="00F7242F" w:rsidP="00F7242F">
      <w:pPr>
        <w:spacing w:after="0" w:line="240" w:lineRule="auto"/>
        <w:jc w:val="both"/>
        <w:rPr>
          <w:rFonts w:ascii="Verdana" w:eastAsia="Calibri" w:hAnsi="Verdana" w:cs="Arial"/>
          <w:color w:val="FF0000"/>
          <w:shd w:val="clear" w:color="auto" w:fill="FFFFFF"/>
        </w:rPr>
      </w:pPr>
    </w:p>
    <w:p w14:paraId="54E20EC2" w14:textId="77777777" w:rsidR="00F7242F" w:rsidRPr="008A48B1" w:rsidRDefault="00F7242F" w:rsidP="00F7242F">
      <w:pPr>
        <w:spacing w:after="0" w:line="240" w:lineRule="auto"/>
        <w:jc w:val="both"/>
        <w:rPr>
          <w:rFonts w:ascii="Calibri" w:eastAsia="Calibri" w:hAnsi="Calibri" w:cs="Times New Roman"/>
        </w:rPr>
      </w:pPr>
      <w:r w:rsidRPr="008A48B1">
        <w:rPr>
          <w:rFonts w:ascii="Verdana" w:eastAsia="Calibri" w:hAnsi="Verdana" w:cs="Times New Roman"/>
        </w:rPr>
        <w:t xml:space="preserve">Por último, lo invitamos a seguirnos en las redes sociales en las cuales se difunde información institucional: </w:t>
      </w:r>
    </w:p>
    <w:p w14:paraId="7F5D0430" w14:textId="77777777" w:rsidR="00F7242F" w:rsidRPr="008A48B1" w:rsidRDefault="00F7242F" w:rsidP="00F7242F">
      <w:pPr>
        <w:spacing w:after="0" w:line="240" w:lineRule="auto"/>
        <w:jc w:val="both"/>
        <w:rPr>
          <w:rFonts w:ascii="Verdana" w:eastAsia="Calibri" w:hAnsi="Verdana" w:cs="Times New Roman"/>
        </w:rPr>
      </w:pPr>
    </w:p>
    <w:p w14:paraId="2E76A2DE" w14:textId="77777777" w:rsidR="00F7242F" w:rsidRPr="008A48B1" w:rsidRDefault="00F7242F" w:rsidP="00F7242F">
      <w:pPr>
        <w:spacing w:after="0" w:line="240" w:lineRule="auto"/>
        <w:jc w:val="both"/>
        <w:rPr>
          <w:rFonts w:ascii="Verdana" w:eastAsia="Calibri" w:hAnsi="Verdana" w:cs="Times New Roman"/>
        </w:rPr>
      </w:pPr>
      <w:r w:rsidRPr="008A48B1">
        <w:rPr>
          <w:rFonts w:ascii="Verdana" w:eastAsia="Calibri" w:hAnsi="Verdana" w:cs="Times New Roman"/>
        </w:rPr>
        <w:t xml:space="preserve">Twitter: </w:t>
      </w:r>
      <w:r w:rsidRPr="008A48B1">
        <w:rPr>
          <w:rFonts w:ascii="Verdana" w:eastAsia="Calibri" w:hAnsi="Verdana" w:cs="Times New Roman"/>
          <w:color w:val="4472C4" w:themeColor="accent1"/>
          <w:u w:val="single"/>
        </w:rPr>
        <w:t>@colombiacompra</w:t>
      </w:r>
      <w:r w:rsidRPr="008A48B1">
        <w:rPr>
          <w:rFonts w:ascii="Verdana" w:eastAsia="Calibri" w:hAnsi="Verdana" w:cs="Times New Roman"/>
          <w:color w:val="4472C4" w:themeColor="accent1"/>
        </w:rPr>
        <w:t xml:space="preserve"> </w:t>
      </w:r>
    </w:p>
    <w:p w14:paraId="1852FB30" w14:textId="77777777" w:rsidR="00F7242F" w:rsidRPr="008A48B1" w:rsidRDefault="00F7242F" w:rsidP="00F7242F">
      <w:pPr>
        <w:spacing w:after="0" w:line="240" w:lineRule="auto"/>
        <w:jc w:val="both"/>
        <w:rPr>
          <w:rFonts w:ascii="Verdana" w:eastAsia="Calibri" w:hAnsi="Verdana" w:cs="Times New Roman"/>
        </w:rPr>
      </w:pPr>
      <w:r w:rsidRPr="008A48B1">
        <w:rPr>
          <w:rFonts w:ascii="Verdana" w:eastAsia="Calibri" w:hAnsi="Verdana" w:cs="Times New Roman"/>
        </w:rPr>
        <w:t xml:space="preserve">Facebook: </w:t>
      </w:r>
      <w:proofErr w:type="spellStart"/>
      <w:r w:rsidRPr="008A48B1">
        <w:rPr>
          <w:rFonts w:ascii="Verdana" w:eastAsia="Calibri" w:hAnsi="Verdana" w:cs="Times New Roman"/>
          <w:color w:val="4472C4" w:themeColor="accent1"/>
          <w:u w:val="single"/>
        </w:rPr>
        <w:t>ColombiaCompraEficiente</w:t>
      </w:r>
      <w:proofErr w:type="spellEnd"/>
    </w:p>
    <w:p w14:paraId="427B206D" w14:textId="77777777" w:rsidR="00F7242F" w:rsidRPr="008A48B1" w:rsidRDefault="00F7242F" w:rsidP="00F7242F">
      <w:pPr>
        <w:spacing w:after="0" w:line="240" w:lineRule="auto"/>
        <w:jc w:val="both"/>
        <w:rPr>
          <w:rFonts w:ascii="Verdana" w:eastAsia="Calibri" w:hAnsi="Verdana" w:cs="Times New Roman"/>
        </w:rPr>
      </w:pPr>
      <w:r w:rsidRPr="008A48B1">
        <w:rPr>
          <w:rFonts w:ascii="Verdana" w:eastAsia="Calibri" w:hAnsi="Verdana" w:cs="Times New Roman"/>
        </w:rPr>
        <w:lastRenderedPageBreak/>
        <w:t xml:space="preserve">LinkedIn: </w:t>
      </w:r>
      <w:r w:rsidRPr="008A48B1">
        <w:rPr>
          <w:rFonts w:ascii="Verdana" w:eastAsia="Calibri" w:hAnsi="Verdana" w:cs="Times New Roman"/>
          <w:color w:val="4472C4" w:themeColor="accent1"/>
          <w:u w:val="single"/>
        </w:rPr>
        <w:t>Agencia Nacional de Contratación Pública - Colombia Compra Eficiente</w:t>
      </w:r>
      <w:r w:rsidRPr="008A48B1">
        <w:rPr>
          <w:rFonts w:ascii="Verdana" w:eastAsia="Calibri" w:hAnsi="Verdana" w:cs="Times New Roman"/>
          <w:color w:val="4472C4" w:themeColor="accent1"/>
        </w:rPr>
        <w:t xml:space="preserve"> </w:t>
      </w:r>
      <w:r w:rsidRPr="008A48B1">
        <w:rPr>
          <w:rFonts w:ascii="Verdana" w:eastAsia="Calibri" w:hAnsi="Verdana" w:cs="Times New Roman"/>
        </w:rPr>
        <w:t xml:space="preserve">Instagram: </w:t>
      </w:r>
      <w:r w:rsidRPr="008A48B1">
        <w:rPr>
          <w:rFonts w:ascii="Verdana" w:eastAsia="Calibri" w:hAnsi="Verdana" w:cs="Times New Roman"/>
          <w:color w:val="4472C4" w:themeColor="accent1"/>
          <w:u w:val="single"/>
        </w:rPr>
        <w:t>@colombiacompraeficiente_cce</w:t>
      </w:r>
    </w:p>
    <w:p w14:paraId="0897D416" w14:textId="77777777" w:rsidR="00F7242F" w:rsidRPr="008A48B1" w:rsidRDefault="00F7242F" w:rsidP="00F7242F">
      <w:pPr>
        <w:widowControl w:val="0"/>
        <w:autoSpaceDE w:val="0"/>
        <w:autoSpaceDN w:val="0"/>
        <w:spacing w:after="0" w:line="276" w:lineRule="auto"/>
        <w:jc w:val="both"/>
        <w:rPr>
          <w:rFonts w:ascii="Verdana" w:eastAsia="Calibri" w:hAnsi="Verdana" w:cs="Arial"/>
        </w:rPr>
      </w:pPr>
    </w:p>
    <w:p w14:paraId="43B00557" w14:textId="77777777" w:rsidR="00F7242F" w:rsidRPr="008A48B1" w:rsidRDefault="00F7242F" w:rsidP="00F7242F">
      <w:pPr>
        <w:widowControl w:val="0"/>
        <w:autoSpaceDE w:val="0"/>
        <w:autoSpaceDN w:val="0"/>
        <w:spacing w:after="0" w:line="276" w:lineRule="auto"/>
        <w:jc w:val="both"/>
        <w:rPr>
          <w:rFonts w:ascii="Verdana" w:eastAsia="Calibri" w:hAnsi="Verdana" w:cs="Arial"/>
          <w:lang w:val="es-ES_tradnl"/>
        </w:rPr>
      </w:pPr>
      <w:r w:rsidRPr="008A48B1">
        <w:rPr>
          <w:rFonts w:ascii="Verdana" w:eastAsia="Calibri" w:hAnsi="Verdana" w:cs="Arial"/>
        </w:rPr>
        <w:t>Este concepto tiene el alcance previsto en el artículo 28 del Código de Procedimiento Administrativo y de lo Contencioso Administrativo.</w:t>
      </w:r>
    </w:p>
    <w:p w14:paraId="52C9C108" w14:textId="77777777" w:rsidR="00F7242F" w:rsidRPr="008A48B1" w:rsidRDefault="00F7242F" w:rsidP="00F7242F">
      <w:pPr>
        <w:widowControl w:val="0"/>
        <w:autoSpaceDE w:val="0"/>
        <w:autoSpaceDN w:val="0"/>
        <w:spacing w:after="0" w:line="276" w:lineRule="auto"/>
        <w:jc w:val="both"/>
        <w:rPr>
          <w:rFonts w:ascii="Verdana" w:eastAsia="Calibri" w:hAnsi="Verdana" w:cs="Arial"/>
        </w:rPr>
      </w:pPr>
    </w:p>
    <w:p w14:paraId="20FF355D" w14:textId="77777777" w:rsidR="00F7242F" w:rsidRPr="008A48B1" w:rsidRDefault="00F7242F" w:rsidP="00F7242F">
      <w:pPr>
        <w:spacing w:after="0" w:line="240" w:lineRule="auto"/>
        <w:rPr>
          <w:rFonts w:ascii="Verdana" w:eastAsia="Calibri" w:hAnsi="Verdana" w:cs="Arial"/>
          <w:lang w:eastAsia="es-CO"/>
        </w:rPr>
      </w:pPr>
      <w:r w:rsidRPr="008A48B1">
        <w:rPr>
          <w:rFonts w:ascii="Verdana" w:eastAsia="Times New Roman" w:hAnsi="Verdana" w:cs="Arial"/>
          <w:lang w:eastAsia="es-CO"/>
        </w:rPr>
        <w:t>Atentamente,</w:t>
      </w:r>
      <w:r w:rsidRPr="008A48B1">
        <w:rPr>
          <w:rFonts w:ascii="Verdana" w:eastAsia="Calibri" w:hAnsi="Verdana" w:cs="Arial"/>
          <w:lang w:eastAsia="es-CO"/>
        </w:rPr>
        <w:t xml:space="preserve"> </w:t>
      </w:r>
    </w:p>
    <w:p w14:paraId="79AEE203" w14:textId="14BDFB83" w:rsidR="00F7242F" w:rsidRPr="008A48B1" w:rsidRDefault="00CB72C1" w:rsidP="00F7242F">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57668171" wp14:editId="1280B66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242F" w:rsidRPr="00B92B39" w14:paraId="00FA6155" w14:textId="77777777" w:rsidTr="00901ADF">
        <w:trPr>
          <w:trHeight w:val="315"/>
        </w:trPr>
        <w:tc>
          <w:tcPr>
            <w:tcW w:w="893" w:type="dxa"/>
            <w:vAlign w:val="center"/>
            <w:hideMark/>
          </w:tcPr>
          <w:p w14:paraId="452173E4" w14:textId="77777777" w:rsidR="00F7242F" w:rsidRPr="00B92B39" w:rsidRDefault="00F7242F" w:rsidP="00901ADF">
            <w:pPr>
              <w:spacing w:after="255"/>
              <w:contextualSpacing/>
              <w:rPr>
                <w:rFonts w:ascii="Verdana" w:hAnsi="Verdana" w:cs="Arial"/>
                <w:sz w:val="16"/>
                <w:szCs w:val="16"/>
                <w:lang w:val="es-ES" w:eastAsia="es-ES"/>
              </w:rPr>
            </w:pPr>
            <w:r w:rsidRPr="00B92B3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F67D3C3" w14:textId="77777777" w:rsidR="00F7242F" w:rsidRPr="00B92B39" w:rsidRDefault="00F7242F" w:rsidP="00901ADF">
            <w:pPr>
              <w:spacing w:after="255"/>
              <w:contextualSpacing/>
              <w:rPr>
                <w:rFonts w:ascii="Verdana" w:eastAsia="Arial" w:hAnsi="Verdana" w:cs="Arial"/>
                <w:sz w:val="16"/>
                <w:szCs w:val="16"/>
              </w:rPr>
            </w:pPr>
            <w:r w:rsidRPr="00B92B39">
              <w:rPr>
                <w:rFonts w:ascii="Verdana" w:hAnsi="Verdana"/>
                <w:sz w:val="16"/>
                <w:szCs w:val="16"/>
              </w:rPr>
              <w:t>Juan Manuel Avendaño Robles</w:t>
            </w:r>
          </w:p>
          <w:p w14:paraId="3D33A2D4" w14:textId="77777777" w:rsidR="00F7242F" w:rsidRPr="00B92B39" w:rsidRDefault="00F7242F" w:rsidP="00901ADF">
            <w:pPr>
              <w:spacing w:after="255"/>
              <w:contextualSpacing/>
              <w:rPr>
                <w:rFonts w:ascii="Verdana" w:eastAsia="Arial" w:hAnsi="Verdana" w:cs="Arial"/>
                <w:sz w:val="16"/>
                <w:szCs w:val="16"/>
              </w:rPr>
            </w:pPr>
            <w:r w:rsidRPr="00B92B39">
              <w:rPr>
                <w:rFonts w:ascii="Verdana" w:eastAsia="Arial" w:hAnsi="Verdana" w:cs="Arial"/>
                <w:sz w:val="16"/>
                <w:szCs w:val="16"/>
              </w:rPr>
              <w:t>Contratista de la Subdirección de Gestión Contractual</w:t>
            </w:r>
          </w:p>
        </w:tc>
      </w:tr>
      <w:tr w:rsidR="00F7242F" w:rsidRPr="00B92B39" w14:paraId="24C228BD" w14:textId="77777777" w:rsidTr="00901ADF">
        <w:trPr>
          <w:trHeight w:val="330"/>
        </w:trPr>
        <w:tc>
          <w:tcPr>
            <w:tcW w:w="893" w:type="dxa"/>
            <w:vAlign w:val="center"/>
            <w:hideMark/>
          </w:tcPr>
          <w:p w14:paraId="2074A3D7" w14:textId="77777777" w:rsidR="00F7242F" w:rsidRPr="00B92B39" w:rsidRDefault="00F7242F" w:rsidP="00901ADF">
            <w:pPr>
              <w:spacing w:after="255"/>
              <w:contextualSpacing/>
              <w:rPr>
                <w:rFonts w:ascii="Verdana" w:hAnsi="Verdana" w:cs="Arial"/>
                <w:sz w:val="16"/>
                <w:szCs w:val="16"/>
                <w:lang w:val="es-ES" w:eastAsia="es-ES"/>
              </w:rPr>
            </w:pPr>
            <w:r w:rsidRPr="00B92B3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BE3E28" w14:textId="1A316EE9" w:rsidR="00F7242F" w:rsidRPr="00A0416A" w:rsidRDefault="000C5307" w:rsidP="00901ADF">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val="es-ES" w:eastAsia="es-ES_tradnl"/>
              </w:rPr>
              <w:t>Adriana Katerine López Rodriguez</w:t>
            </w:r>
          </w:p>
          <w:p w14:paraId="5E635BB5" w14:textId="510BBC45" w:rsidR="00F7242F" w:rsidRPr="00B92B39" w:rsidRDefault="000C5307" w:rsidP="00901ADF">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eastAsia="es-ES_tradnl"/>
              </w:rPr>
              <w:t xml:space="preserve">Contratista </w:t>
            </w:r>
            <w:r w:rsidR="00F7242F" w:rsidRPr="00A0416A">
              <w:rPr>
                <w:rFonts w:ascii="Verdana" w:eastAsia="Times New Roman" w:hAnsi="Verdana" w:cs="Arial"/>
                <w:sz w:val="16"/>
                <w:szCs w:val="16"/>
                <w:lang w:eastAsia="es-ES_tradnl"/>
              </w:rPr>
              <w:t>de la Subdirección de Gestión Contractual</w:t>
            </w:r>
          </w:p>
        </w:tc>
      </w:tr>
      <w:tr w:rsidR="00F7242F" w:rsidRPr="00B92B39" w14:paraId="6EBB6417" w14:textId="77777777" w:rsidTr="00901ADF">
        <w:trPr>
          <w:trHeight w:val="300"/>
        </w:trPr>
        <w:tc>
          <w:tcPr>
            <w:tcW w:w="893" w:type="dxa"/>
            <w:vAlign w:val="center"/>
            <w:hideMark/>
          </w:tcPr>
          <w:p w14:paraId="47A1A969" w14:textId="77777777" w:rsidR="00F7242F" w:rsidRPr="00B92B39" w:rsidRDefault="00F7242F" w:rsidP="00901ADF">
            <w:pPr>
              <w:spacing w:after="255"/>
              <w:contextualSpacing/>
              <w:rPr>
                <w:rFonts w:ascii="Verdana" w:hAnsi="Verdana" w:cs="Arial"/>
                <w:sz w:val="16"/>
                <w:szCs w:val="16"/>
                <w:lang w:val="es-ES" w:eastAsia="es-ES"/>
              </w:rPr>
            </w:pPr>
            <w:r w:rsidRPr="00B92B3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ECF750" w14:textId="77777777" w:rsidR="00F7242F" w:rsidRPr="00B92B39" w:rsidRDefault="00F7242F" w:rsidP="00901ADF">
            <w:pPr>
              <w:spacing w:after="255"/>
              <w:contextualSpacing/>
              <w:rPr>
                <w:rFonts w:ascii="Verdana" w:hAnsi="Verdana" w:cs="Arial"/>
                <w:sz w:val="16"/>
                <w:szCs w:val="16"/>
                <w:lang w:val="pt-BR" w:eastAsia="es-ES"/>
              </w:rPr>
            </w:pPr>
            <w:r w:rsidRPr="00B92B39">
              <w:rPr>
                <w:rFonts w:ascii="Verdana" w:hAnsi="Verdana" w:cs="Arial"/>
                <w:sz w:val="16"/>
                <w:szCs w:val="16"/>
                <w:lang w:val="pt-BR" w:eastAsia="es-ES"/>
              </w:rPr>
              <w:t>Carolina Quintero Gacharná</w:t>
            </w:r>
          </w:p>
          <w:p w14:paraId="60D88D8E" w14:textId="77777777" w:rsidR="00F7242F" w:rsidRPr="00B92B39" w:rsidRDefault="00F7242F" w:rsidP="00901ADF">
            <w:pPr>
              <w:spacing w:after="255"/>
              <w:contextualSpacing/>
              <w:rPr>
                <w:rFonts w:ascii="Verdana" w:hAnsi="Verdana" w:cs="Arial"/>
                <w:sz w:val="16"/>
                <w:szCs w:val="16"/>
                <w:lang w:val="pt-BR" w:eastAsia="es-ES"/>
              </w:rPr>
            </w:pPr>
            <w:r w:rsidRPr="00B92B39">
              <w:rPr>
                <w:rFonts w:ascii="Verdana" w:hAnsi="Verdana" w:cs="Arial"/>
                <w:sz w:val="16"/>
                <w:szCs w:val="16"/>
                <w:lang w:eastAsia="es-ES"/>
              </w:rPr>
              <w:t>Subdirectora</w:t>
            </w:r>
            <w:r w:rsidRPr="00B92B39">
              <w:rPr>
                <w:rFonts w:ascii="Verdana" w:hAnsi="Verdana" w:cs="Arial"/>
                <w:sz w:val="16"/>
                <w:szCs w:val="16"/>
                <w:lang w:val="pt-BR" w:eastAsia="es-ES"/>
              </w:rPr>
              <w:t xml:space="preserve"> de Gestión Contractual ANCP – CCE</w:t>
            </w:r>
          </w:p>
        </w:tc>
      </w:tr>
      <w:bookmarkEnd w:id="1"/>
    </w:tbl>
    <w:p w14:paraId="25FBA897" w14:textId="77777777" w:rsidR="00F7242F" w:rsidRPr="008A48B1" w:rsidRDefault="00F7242F" w:rsidP="00F7242F"/>
    <w:p w14:paraId="427F616D" w14:textId="77777777" w:rsidR="00F7242F" w:rsidRPr="008A48B1" w:rsidRDefault="00F7242F" w:rsidP="00F7242F"/>
    <w:p w14:paraId="0083C991" w14:textId="5C765C2F" w:rsidR="5D8505AD" w:rsidRPr="00871B59" w:rsidRDefault="5D8505AD" w:rsidP="005518A3">
      <w:pPr>
        <w:spacing w:after="120" w:line="276" w:lineRule="auto"/>
        <w:jc w:val="both"/>
      </w:pPr>
    </w:p>
    <w:sectPr w:rsidR="5D8505AD" w:rsidRPr="00871B59"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45B8F" w14:textId="77777777" w:rsidR="00727CA8" w:rsidRDefault="00727CA8" w:rsidP="00B30448">
      <w:pPr>
        <w:spacing w:after="0" w:line="240" w:lineRule="auto"/>
      </w:pPr>
      <w:r>
        <w:separator/>
      </w:r>
    </w:p>
  </w:endnote>
  <w:endnote w:type="continuationSeparator" w:id="0">
    <w:p w14:paraId="1B553C2C" w14:textId="77777777" w:rsidR="00727CA8" w:rsidRDefault="00727CA8" w:rsidP="00B30448">
      <w:pPr>
        <w:spacing w:after="0" w:line="240" w:lineRule="auto"/>
      </w:pPr>
      <w:r>
        <w:continuationSeparator/>
      </w:r>
    </w:p>
  </w:endnote>
  <w:endnote w:type="continuationNotice" w:id="1">
    <w:p w14:paraId="74E28264" w14:textId="77777777" w:rsidR="00727CA8" w:rsidRDefault="00727C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04429" w14:textId="77777777" w:rsidR="00727CA8" w:rsidRDefault="00727CA8" w:rsidP="00B30448">
      <w:pPr>
        <w:spacing w:after="0" w:line="240" w:lineRule="auto"/>
      </w:pPr>
      <w:r>
        <w:separator/>
      </w:r>
    </w:p>
  </w:footnote>
  <w:footnote w:type="continuationSeparator" w:id="0">
    <w:p w14:paraId="2AB87A39" w14:textId="77777777" w:rsidR="00727CA8" w:rsidRDefault="00727CA8" w:rsidP="00B30448">
      <w:pPr>
        <w:spacing w:after="0" w:line="240" w:lineRule="auto"/>
      </w:pPr>
      <w:r>
        <w:continuationSeparator/>
      </w:r>
    </w:p>
  </w:footnote>
  <w:footnote w:type="continuationNotice" w:id="1">
    <w:p w14:paraId="5DAF5850" w14:textId="77777777" w:rsidR="00727CA8" w:rsidRDefault="00727CA8">
      <w:pPr>
        <w:spacing w:after="0" w:line="240" w:lineRule="auto"/>
      </w:pPr>
    </w:p>
  </w:footnote>
  <w:footnote w:id="2">
    <w:p w14:paraId="7D8B4D66" w14:textId="77777777" w:rsidR="00D7170E" w:rsidRPr="00D7170E" w:rsidRDefault="00D7170E" w:rsidP="00D7170E">
      <w:pPr>
        <w:pStyle w:val="Textonotapie"/>
      </w:pPr>
      <w:r>
        <w:rPr>
          <w:rStyle w:val="Refdenotaalpie"/>
        </w:rPr>
        <w:footnoteRef/>
      </w:r>
      <w:r>
        <w:t xml:space="preserve"> </w:t>
      </w:r>
      <w:r w:rsidRPr="00D7170E">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4254C25" w14:textId="77777777" w:rsidR="00D7170E" w:rsidRPr="00D7170E" w:rsidRDefault="00D7170E" w:rsidP="00D7170E">
      <w:pPr>
        <w:pStyle w:val="Textonotapie"/>
      </w:pPr>
    </w:p>
    <w:p w14:paraId="05E71EA8" w14:textId="77777777" w:rsidR="00D7170E" w:rsidRDefault="00D7170E" w:rsidP="00D7170E">
      <w:pPr>
        <w:pStyle w:val="Textonotapie"/>
      </w:pPr>
      <w:r w:rsidRPr="00D7170E">
        <w:t>“Lo anterior, sin perjuicio de las publicaciones previstas en el numeral 3 del artículo 30 de la Ley 80 de 1993.</w:t>
      </w:r>
    </w:p>
    <w:p w14:paraId="4684BDD4" w14:textId="77777777" w:rsidR="00D7170E" w:rsidRPr="00D7170E" w:rsidRDefault="00D7170E" w:rsidP="00D7170E">
      <w:pPr>
        <w:pStyle w:val="Textonotapie"/>
      </w:pPr>
    </w:p>
    <w:p w14:paraId="7B9562D9" w14:textId="3452DA84" w:rsidR="00D7170E" w:rsidRPr="00D7170E" w:rsidRDefault="00D7170E" w:rsidP="00D7170E">
      <w:pPr>
        <w:pStyle w:val="Textonotapie"/>
      </w:pPr>
      <w:r w:rsidRPr="00D7170E">
        <w:t xml:space="preserve">“Con el fin de materializar los objetivos a que se refiere el inciso anterior, el Gobierno Nacional desarrollará el Sistema Electrónico para la Contratación Pública, Secop, el cual: </w:t>
      </w:r>
    </w:p>
    <w:p w14:paraId="29530C8A" w14:textId="6995CA80" w:rsidR="00D7170E" w:rsidRPr="00D7170E" w:rsidRDefault="00D7170E" w:rsidP="00D7170E">
      <w:pPr>
        <w:pStyle w:val="Textonotapie"/>
      </w:pPr>
      <w:r w:rsidRPr="00D7170E">
        <w:t>[…]</w:t>
      </w:r>
    </w:p>
    <w:p w14:paraId="67E3517D" w14:textId="77777777" w:rsidR="00D7170E" w:rsidRPr="00D7170E" w:rsidRDefault="00D7170E" w:rsidP="00D7170E">
      <w:pPr>
        <w:pStyle w:val="Textonotapie"/>
      </w:pPr>
      <w:r w:rsidRPr="00D7170E">
        <w:t xml:space="preserve">“c) Contará con la información oficial de la contratación realizada con dineros públicos, para lo cual establecerá los patrones a que haya lugar y se encargará de su difusión a través de canales electrónico”. </w:t>
      </w:r>
    </w:p>
    <w:p w14:paraId="0D34C231" w14:textId="16BA1B21" w:rsidR="00D7170E" w:rsidRPr="00D7170E" w:rsidRDefault="00D7170E">
      <w:pPr>
        <w:pStyle w:val="Textonotapie"/>
        <w:rPr>
          <w:lang w:val="es-CO"/>
        </w:rPr>
      </w:pPr>
    </w:p>
  </w:footnote>
  <w:footnote w:id="3">
    <w:p w14:paraId="3FB38B37" w14:textId="402D4707" w:rsidR="00D7170E" w:rsidRDefault="00D7170E" w:rsidP="00D7170E">
      <w:pPr>
        <w:pStyle w:val="Textonotapie"/>
      </w:pPr>
      <w:r>
        <w:rPr>
          <w:rStyle w:val="Refdenotaalpie"/>
        </w:rPr>
        <w:footnoteRef/>
      </w:r>
      <w:r>
        <w:t xml:space="preserve"> </w:t>
      </w:r>
      <w:r w:rsidRPr="00D7170E">
        <w:t>Ley 1712 de 2014: “Artículo 2. Toda información en posesión, bajo control o custodia de un sujeto obligado es pública y no podrá ser reservada o limitada sino por disposición constitucional o legal, de conformidad con la presente ley”.</w:t>
      </w:r>
    </w:p>
    <w:p w14:paraId="06F1BBF1" w14:textId="77777777" w:rsidR="007307F7" w:rsidRDefault="007307F7" w:rsidP="00D7170E">
      <w:pPr>
        <w:pStyle w:val="Textonotapie"/>
      </w:pPr>
    </w:p>
    <w:p w14:paraId="65F09C96" w14:textId="2F1A9816" w:rsidR="00D7170E" w:rsidRPr="00D7170E" w:rsidRDefault="007307F7" w:rsidP="00D7170E">
      <w:pPr>
        <w:pStyle w:val="Textonotapie"/>
      </w:pPr>
      <w:r>
        <w:t>“</w:t>
      </w:r>
      <w:r w:rsidR="00D7170E" w:rsidRPr="00D7170E">
        <w:t xml:space="preserve">Artículo 3. </w:t>
      </w:r>
      <w:bookmarkStart w:id="3" w:name="3"/>
      <w:bookmarkEnd w:id="3"/>
      <w:r w:rsidR="00D7170E" w:rsidRPr="00D7170E">
        <w:t>Otros principios de la transparencia y acceso a la información pública. </w:t>
      </w:r>
    </w:p>
    <w:p w14:paraId="5AB41E00" w14:textId="77777777" w:rsidR="00D7170E" w:rsidRPr="00D7170E" w:rsidRDefault="00D7170E" w:rsidP="00D7170E">
      <w:pPr>
        <w:pStyle w:val="Textonotapie"/>
      </w:pPr>
      <w:r w:rsidRPr="00D7170E">
        <w:t>[…]</w:t>
      </w:r>
    </w:p>
    <w:p w14:paraId="61398D16" w14:textId="088BBFEA" w:rsidR="00D7170E" w:rsidRDefault="007307F7" w:rsidP="00D7170E">
      <w:pPr>
        <w:pStyle w:val="Textonotapie"/>
        <w:rPr>
          <w:lang w:val="es-CO"/>
        </w:rPr>
      </w:pPr>
      <w:r>
        <w:rPr>
          <w:lang w:val="es-CO"/>
        </w:rPr>
        <w:t>“</w:t>
      </w:r>
      <w:r w:rsidR="00D7170E" w:rsidRPr="00D7170E">
        <w:rPr>
          <w:lang w:val="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r>
        <w:rPr>
          <w:lang w:val="es-CO"/>
        </w:rPr>
        <w:t>”</w:t>
      </w:r>
    </w:p>
    <w:p w14:paraId="382DCEEE" w14:textId="77777777" w:rsidR="007307F7" w:rsidRPr="00D7170E" w:rsidRDefault="007307F7" w:rsidP="00D7170E">
      <w:pPr>
        <w:pStyle w:val="Textonotapie"/>
        <w:rPr>
          <w:lang w:val="es-CO"/>
        </w:rPr>
      </w:pPr>
    </w:p>
  </w:footnote>
  <w:footnote w:id="4">
    <w:p w14:paraId="3A3FBBE8" w14:textId="77777777" w:rsidR="007307F7" w:rsidRPr="007307F7" w:rsidRDefault="007307F7" w:rsidP="007307F7">
      <w:pPr>
        <w:pStyle w:val="Textonotapie"/>
      </w:pPr>
      <w:r>
        <w:rPr>
          <w:rStyle w:val="Refdenotaalpie"/>
        </w:rPr>
        <w:footnoteRef/>
      </w:r>
      <w:r>
        <w:t xml:space="preserve"> </w:t>
      </w:r>
      <w:r w:rsidRPr="007307F7">
        <w:t>Ley 1712 de 2014: “Artículo 9.  </w:t>
      </w:r>
      <w:r w:rsidRPr="007307F7">
        <w:rPr>
          <w:i/>
          <w:iCs/>
        </w:rPr>
        <w:t>Información mínima obligatoria respecto a la estructura del sujeto obligado. </w:t>
      </w:r>
      <w:r w:rsidRPr="007307F7">
        <w:t>Todo sujeto obligado deberá publicar la siguiente información mínima obligatoria de manera proactiva en los sistemas de información del Estado o herramientas que lo sustituyan:</w:t>
      </w:r>
    </w:p>
    <w:p w14:paraId="3A188481" w14:textId="77777777" w:rsidR="007307F7" w:rsidRPr="007307F7" w:rsidRDefault="007307F7" w:rsidP="007307F7">
      <w:pPr>
        <w:pStyle w:val="Textonotapie"/>
      </w:pPr>
      <w:r w:rsidRPr="007307F7">
        <w:t>[…]</w:t>
      </w:r>
    </w:p>
    <w:p w14:paraId="1C1F9C27" w14:textId="59A01ECE" w:rsidR="007307F7" w:rsidRPr="007307F7" w:rsidRDefault="007307F7" w:rsidP="007307F7">
      <w:pPr>
        <w:pStyle w:val="Textonotapie"/>
        <w:rPr>
          <w:lang w:val="es-CO"/>
        </w:rPr>
      </w:pPr>
      <w:r w:rsidRPr="007307F7">
        <w:rPr>
          <w:lang w:val="es-CO"/>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765C45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035614F"/>
    <w:multiLevelType w:val="hybridMultilevel"/>
    <w:tmpl w:val="177A0E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72D2B84"/>
    <w:multiLevelType w:val="hybridMultilevel"/>
    <w:tmpl w:val="EDB25A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BB606F"/>
    <w:multiLevelType w:val="hybridMultilevel"/>
    <w:tmpl w:val="7D2C91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CE8619F"/>
    <w:multiLevelType w:val="hybridMultilevel"/>
    <w:tmpl w:val="CB063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4A408A3"/>
    <w:multiLevelType w:val="multilevel"/>
    <w:tmpl w:val="100E3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8C54ED"/>
    <w:multiLevelType w:val="hybridMultilevel"/>
    <w:tmpl w:val="9DFAE8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525A7C79"/>
    <w:multiLevelType w:val="multilevel"/>
    <w:tmpl w:val="1D78FB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5225FB"/>
    <w:multiLevelType w:val="hybridMultilevel"/>
    <w:tmpl w:val="9754EF9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7" w15:restartNumberingAfterBreak="0">
    <w:nsid w:val="5ED30AA4"/>
    <w:multiLevelType w:val="hybridMultilevel"/>
    <w:tmpl w:val="BB7E675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9B55A1"/>
    <w:multiLevelType w:val="hybridMultilevel"/>
    <w:tmpl w:val="88BE4F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8BB1384"/>
    <w:multiLevelType w:val="multilevel"/>
    <w:tmpl w:val="C2B07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424396"/>
    <w:multiLevelType w:val="multilevel"/>
    <w:tmpl w:val="36220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651DBA"/>
    <w:multiLevelType w:val="hybridMultilevel"/>
    <w:tmpl w:val="E31C29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D471CDA"/>
    <w:multiLevelType w:val="hybridMultilevel"/>
    <w:tmpl w:val="AD8A0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5C42D1E"/>
    <w:multiLevelType w:val="multilevel"/>
    <w:tmpl w:val="1206F6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0D0972"/>
    <w:multiLevelType w:val="hybridMultilevel"/>
    <w:tmpl w:val="0DBC37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B16533D"/>
    <w:multiLevelType w:val="hybridMultilevel"/>
    <w:tmpl w:val="0346E26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7" w15:restartNumberingAfterBreak="0">
    <w:nsid w:val="7DAA49B1"/>
    <w:multiLevelType w:val="hybridMultilevel"/>
    <w:tmpl w:val="7C7E65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5"/>
  </w:num>
  <w:num w:numId="4">
    <w:abstractNumId w:val="0"/>
  </w:num>
  <w:num w:numId="5">
    <w:abstractNumId w:val="14"/>
  </w:num>
  <w:num w:numId="6">
    <w:abstractNumId w:val="1"/>
  </w:num>
  <w:num w:numId="7">
    <w:abstractNumId w:val="7"/>
  </w:num>
  <w:num w:numId="8">
    <w:abstractNumId w:val="10"/>
  </w:num>
  <w:num w:numId="9">
    <w:abstractNumId w:val="12"/>
  </w:num>
  <w:num w:numId="10">
    <w:abstractNumId w:val="26"/>
  </w:num>
  <w:num w:numId="11">
    <w:abstractNumId w:val="3"/>
  </w:num>
  <w:num w:numId="12">
    <w:abstractNumId w:val="16"/>
  </w:num>
  <w:num w:numId="13">
    <w:abstractNumId w:val="24"/>
  </w:num>
  <w:num w:numId="14">
    <w:abstractNumId w:val="22"/>
  </w:num>
  <w:num w:numId="15">
    <w:abstractNumId w:val="20"/>
  </w:num>
  <w:num w:numId="16">
    <w:abstractNumId w:val="15"/>
  </w:num>
  <w:num w:numId="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5"/>
  </w:num>
  <w:num w:numId="21">
    <w:abstractNumId w:val="27"/>
  </w:num>
  <w:num w:numId="22">
    <w:abstractNumId w:val="18"/>
  </w:num>
  <w:num w:numId="23">
    <w:abstractNumId w:val="17"/>
  </w:num>
  <w:num w:numId="24">
    <w:abstractNumId w:val="6"/>
  </w:num>
  <w:num w:numId="25">
    <w:abstractNumId w:val="19"/>
  </w:num>
  <w:num w:numId="26">
    <w:abstractNumId w:val="11"/>
  </w:num>
  <w:num w:numId="27">
    <w:abstractNumId w:val="4"/>
  </w:num>
  <w:num w:numId="28">
    <w:abstractNumId w:val="13"/>
  </w:num>
  <w:num w:numId="29">
    <w:abstractNumId w:val="8"/>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20A5F"/>
    <w:rsid w:val="00026118"/>
    <w:rsid w:val="00031584"/>
    <w:rsid w:val="00032A0E"/>
    <w:rsid w:val="00037347"/>
    <w:rsid w:val="000442CC"/>
    <w:rsid w:val="00050FF9"/>
    <w:rsid w:val="000556D4"/>
    <w:rsid w:val="000716AB"/>
    <w:rsid w:val="00082CD1"/>
    <w:rsid w:val="00082E4C"/>
    <w:rsid w:val="00083159"/>
    <w:rsid w:val="000849D5"/>
    <w:rsid w:val="0008528F"/>
    <w:rsid w:val="000855FA"/>
    <w:rsid w:val="000A33A9"/>
    <w:rsid w:val="000A6E0C"/>
    <w:rsid w:val="000A7A56"/>
    <w:rsid w:val="000B1FF7"/>
    <w:rsid w:val="000B2513"/>
    <w:rsid w:val="000B4024"/>
    <w:rsid w:val="000C3C51"/>
    <w:rsid w:val="000C3DCE"/>
    <w:rsid w:val="000C5307"/>
    <w:rsid w:val="000C7262"/>
    <w:rsid w:val="000C78CA"/>
    <w:rsid w:val="000D2A7F"/>
    <w:rsid w:val="000D4F9F"/>
    <w:rsid w:val="000D4FCE"/>
    <w:rsid w:val="000E18C2"/>
    <w:rsid w:val="00102BED"/>
    <w:rsid w:val="0011037E"/>
    <w:rsid w:val="00132C24"/>
    <w:rsid w:val="001363C7"/>
    <w:rsid w:val="00141AC5"/>
    <w:rsid w:val="00146B11"/>
    <w:rsid w:val="00147A04"/>
    <w:rsid w:val="0015476D"/>
    <w:rsid w:val="00161E13"/>
    <w:rsid w:val="00164AE0"/>
    <w:rsid w:val="00165E83"/>
    <w:rsid w:val="00166CD7"/>
    <w:rsid w:val="0017120C"/>
    <w:rsid w:val="00172F3A"/>
    <w:rsid w:val="00177FC7"/>
    <w:rsid w:val="0019532A"/>
    <w:rsid w:val="0019549F"/>
    <w:rsid w:val="0019670E"/>
    <w:rsid w:val="00197205"/>
    <w:rsid w:val="001A33EF"/>
    <w:rsid w:val="001A5DD4"/>
    <w:rsid w:val="001A67E9"/>
    <w:rsid w:val="001B143B"/>
    <w:rsid w:val="001B21CA"/>
    <w:rsid w:val="001B4B7B"/>
    <w:rsid w:val="001C04FC"/>
    <w:rsid w:val="001C25A3"/>
    <w:rsid w:val="001C5D03"/>
    <w:rsid w:val="001C7771"/>
    <w:rsid w:val="001D62FF"/>
    <w:rsid w:val="001E6B63"/>
    <w:rsid w:val="001E72EA"/>
    <w:rsid w:val="001F3F48"/>
    <w:rsid w:val="002000AA"/>
    <w:rsid w:val="002021F8"/>
    <w:rsid w:val="00204109"/>
    <w:rsid w:val="00211E6E"/>
    <w:rsid w:val="00212A46"/>
    <w:rsid w:val="0021401D"/>
    <w:rsid w:val="002146B8"/>
    <w:rsid w:val="00215516"/>
    <w:rsid w:val="0022776B"/>
    <w:rsid w:val="002527C2"/>
    <w:rsid w:val="00257D93"/>
    <w:rsid w:val="0026411C"/>
    <w:rsid w:val="00270443"/>
    <w:rsid w:val="00270EE2"/>
    <w:rsid w:val="00272972"/>
    <w:rsid w:val="00277789"/>
    <w:rsid w:val="00286491"/>
    <w:rsid w:val="002970D2"/>
    <w:rsid w:val="002A0F8D"/>
    <w:rsid w:val="002B6E44"/>
    <w:rsid w:val="002D2DA6"/>
    <w:rsid w:val="002E1DB5"/>
    <w:rsid w:val="002F6CCB"/>
    <w:rsid w:val="0030461E"/>
    <w:rsid w:val="00323421"/>
    <w:rsid w:val="0032756A"/>
    <w:rsid w:val="00334EF8"/>
    <w:rsid w:val="00336408"/>
    <w:rsid w:val="00340DFB"/>
    <w:rsid w:val="0034404F"/>
    <w:rsid w:val="00356980"/>
    <w:rsid w:val="00364E62"/>
    <w:rsid w:val="00367462"/>
    <w:rsid w:val="00371ECA"/>
    <w:rsid w:val="00372748"/>
    <w:rsid w:val="0037332A"/>
    <w:rsid w:val="0037697B"/>
    <w:rsid w:val="0038151A"/>
    <w:rsid w:val="0038199B"/>
    <w:rsid w:val="0039082A"/>
    <w:rsid w:val="00390C21"/>
    <w:rsid w:val="00395E92"/>
    <w:rsid w:val="003A37BD"/>
    <w:rsid w:val="003A4D8B"/>
    <w:rsid w:val="003B6D94"/>
    <w:rsid w:val="003C4C96"/>
    <w:rsid w:val="003C55E0"/>
    <w:rsid w:val="003D5D23"/>
    <w:rsid w:val="003F519B"/>
    <w:rsid w:val="003F6A59"/>
    <w:rsid w:val="00402916"/>
    <w:rsid w:val="0040544F"/>
    <w:rsid w:val="00406A19"/>
    <w:rsid w:val="00410C26"/>
    <w:rsid w:val="0041222D"/>
    <w:rsid w:val="0041483E"/>
    <w:rsid w:val="00415369"/>
    <w:rsid w:val="00430492"/>
    <w:rsid w:val="00450BE7"/>
    <w:rsid w:val="0046741E"/>
    <w:rsid w:val="00471211"/>
    <w:rsid w:val="0047265B"/>
    <w:rsid w:val="00472CC6"/>
    <w:rsid w:val="00473D93"/>
    <w:rsid w:val="0048026E"/>
    <w:rsid w:val="004807A9"/>
    <w:rsid w:val="004813EE"/>
    <w:rsid w:val="00493278"/>
    <w:rsid w:val="004943D9"/>
    <w:rsid w:val="004A0E7B"/>
    <w:rsid w:val="004A3498"/>
    <w:rsid w:val="004B0C45"/>
    <w:rsid w:val="004B36F0"/>
    <w:rsid w:val="004B78F9"/>
    <w:rsid w:val="004C0AB2"/>
    <w:rsid w:val="004C1619"/>
    <w:rsid w:val="004C1A26"/>
    <w:rsid w:val="004C1CC9"/>
    <w:rsid w:val="004C3755"/>
    <w:rsid w:val="004C4485"/>
    <w:rsid w:val="004D11AF"/>
    <w:rsid w:val="004F030F"/>
    <w:rsid w:val="00500DFA"/>
    <w:rsid w:val="005019AA"/>
    <w:rsid w:val="005021BB"/>
    <w:rsid w:val="005139E7"/>
    <w:rsid w:val="005147DA"/>
    <w:rsid w:val="00515FB5"/>
    <w:rsid w:val="0052365C"/>
    <w:rsid w:val="005271EB"/>
    <w:rsid w:val="005426DB"/>
    <w:rsid w:val="0055082B"/>
    <w:rsid w:val="005518A3"/>
    <w:rsid w:val="00552503"/>
    <w:rsid w:val="00552B57"/>
    <w:rsid w:val="00557DA1"/>
    <w:rsid w:val="0056322C"/>
    <w:rsid w:val="005666A0"/>
    <w:rsid w:val="0058743A"/>
    <w:rsid w:val="00596F48"/>
    <w:rsid w:val="005A4DB0"/>
    <w:rsid w:val="005A7B8E"/>
    <w:rsid w:val="005B012B"/>
    <w:rsid w:val="005B048E"/>
    <w:rsid w:val="005B0C87"/>
    <w:rsid w:val="005D23F6"/>
    <w:rsid w:val="005D2FA8"/>
    <w:rsid w:val="005E2281"/>
    <w:rsid w:val="005E667C"/>
    <w:rsid w:val="005F077C"/>
    <w:rsid w:val="005F63D0"/>
    <w:rsid w:val="005F7973"/>
    <w:rsid w:val="0061690E"/>
    <w:rsid w:val="006171A8"/>
    <w:rsid w:val="00627361"/>
    <w:rsid w:val="0063017E"/>
    <w:rsid w:val="00631B28"/>
    <w:rsid w:val="00633A68"/>
    <w:rsid w:val="00645B90"/>
    <w:rsid w:val="00650991"/>
    <w:rsid w:val="006511D7"/>
    <w:rsid w:val="0066261C"/>
    <w:rsid w:val="00663D75"/>
    <w:rsid w:val="00670AEF"/>
    <w:rsid w:val="00673767"/>
    <w:rsid w:val="00675678"/>
    <w:rsid w:val="00677012"/>
    <w:rsid w:val="006825B4"/>
    <w:rsid w:val="00682AF2"/>
    <w:rsid w:val="006864DF"/>
    <w:rsid w:val="006A3C8A"/>
    <w:rsid w:val="006A7552"/>
    <w:rsid w:val="006B017A"/>
    <w:rsid w:val="006B547E"/>
    <w:rsid w:val="006B5953"/>
    <w:rsid w:val="006B7A81"/>
    <w:rsid w:val="006C00EC"/>
    <w:rsid w:val="006C4BAC"/>
    <w:rsid w:val="006C52F3"/>
    <w:rsid w:val="006E7F37"/>
    <w:rsid w:val="006F3B81"/>
    <w:rsid w:val="006F4F79"/>
    <w:rsid w:val="00705B37"/>
    <w:rsid w:val="00711FD9"/>
    <w:rsid w:val="00726389"/>
    <w:rsid w:val="00727CA8"/>
    <w:rsid w:val="007307F7"/>
    <w:rsid w:val="00733953"/>
    <w:rsid w:val="00735062"/>
    <w:rsid w:val="00746BA5"/>
    <w:rsid w:val="00751D23"/>
    <w:rsid w:val="00756228"/>
    <w:rsid w:val="00770577"/>
    <w:rsid w:val="00775E11"/>
    <w:rsid w:val="00777666"/>
    <w:rsid w:val="0078159B"/>
    <w:rsid w:val="00782E10"/>
    <w:rsid w:val="0078706B"/>
    <w:rsid w:val="00790836"/>
    <w:rsid w:val="00797131"/>
    <w:rsid w:val="007A3C1D"/>
    <w:rsid w:val="007B285D"/>
    <w:rsid w:val="007C6BC6"/>
    <w:rsid w:val="00807D79"/>
    <w:rsid w:val="00813634"/>
    <w:rsid w:val="00816A9C"/>
    <w:rsid w:val="00822821"/>
    <w:rsid w:val="008267F9"/>
    <w:rsid w:val="00831C29"/>
    <w:rsid w:val="00832494"/>
    <w:rsid w:val="00832B57"/>
    <w:rsid w:val="00834C7F"/>
    <w:rsid w:val="008431EF"/>
    <w:rsid w:val="008468E0"/>
    <w:rsid w:val="00860DEA"/>
    <w:rsid w:val="00871B59"/>
    <w:rsid w:val="00877D03"/>
    <w:rsid w:val="00877E96"/>
    <w:rsid w:val="008806CA"/>
    <w:rsid w:val="008815E5"/>
    <w:rsid w:val="00887B37"/>
    <w:rsid w:val="008909B9"/>
    <w:rsid w:val="00891DFC"/>
    <w:rsid w:val="008B12B4"/>
    <w:rsid w:val="008B7914"/>
    <w:rsid w:val="008C5945"/>
    <w:rsid w:val="008C5D2A"/>
    <w:rsid w:val="008C7AF4"/>
    <w:rsid w:val="008D529F"/>
    <w:rsid w:val="008F5CC8"/>
    <w:rsid w:val="009061B8"/>
    <w:rsid w:val="00907B6A"/>
    <w:rsid w:val="0091008B"/>
    <w:rsid w:val="00911EA2"/>
    <w:rsid w:val="00916C7D"/>
    <w:rsid w:val="0092575D"/>
    <w:rsid w:val="00933D20"/>
    <w:rsid w:val="009341DA"/>
    <w:rsid w:val="009430F9"/>
    <w:rsid w:val="009442E8"/>
    <w:rsid w:val="00946BD0"/>
    <w:rsid w:val="00952E04"/>
    <w:rsid w:val="0095426C"/>
    <w:rsid w:val="00970087"/>
    <w:rsid w:val="00971074"/>
    <w:rsid w:val="00995D86"/>
    <w:rsid w:val="00997094"/>
    <w:rsid w:val="009A0570"/>
    <w:rsid w:val="009A5453"/>
    <w:rsid w:val="009B4D94"/>
    <w:rsid w:val="009C1A3D"/>
    <w:rsid w:val="009C2871"/>
    <w:rsid w:val="009C7660"/>
    <w:rsid w:val="009D3C33"/>
    <w:rsid w:val="009D5B59"/>
    <w:rsid w:val="009D7F3A"/>
    <w:rsid w:val="009E4885"/>
    <w:rsid w:val="00A0225D"/>
    <w:rsid w:val="00A05D8B"/>
    <w:rsid w:val="00A07DB6"/>
    <w:rsid w:val="00A10A04"/>
    <w:rsid w:val="00A10A73"/>
    <w:rsid w:val="00A13A94"/>
    <w:rsid w:val="00A15874"/>
    <w:rsid w:val="00A170B3"/>
    <w:rsid w:val="00A223D5"/>
    <w:rsid w:val="00A25E84"/>
    <w:rsid w:val="00A37D1C"/>
    <w:rsid w:val="00A5453E"/>
    <w:rsid w:val="00A56F6C"/>
    <w:rsid w:val="00A60FDC"/>
    <w:rsid w:val="00A61C42"/>
    <w:rsid w:val="00A76C8C"/>
    <w:rsid w:val="00A85F30"/>
    <w:rsid w:val="00A9099E"/>
    <w:rsid w:val="00A91FB7"/>
    <w:rsid w:val="00A9298F"/>
    <w:rsid w:val="00A93979"/>
    <w:rsid w:val="00AA0351"/>
    <w:rsid w:val="00AA5F4A"/>
    <w:rsid w:val="00AB1984"/>
    <w:rsid w:val="00AB52B1"/>
    <w:rsid w:val="00AC4CB3"/>
    <w:rsid w:val="00AC780D"/>
    <w:rsid w:val="00AD036B"/>
    <w:rsid w:val="00AD1996"/>
    <w:rsid w:val="00AD4099"/>
    <w:rsid w:val="00AD4901"/>
    <w:rsid w:val="00AF48DC"/>
    <w:rsid w:val="00B02FE0"/>
    <w:rsid w:val="00B057B6"/>
    <w:rsid w:val="00B30448"/>
    <w:rsid w:val="00B34786"/>
    <w:rsid w:val="00B400EC"/>
    <w:rsid w:val="00B40162"/>
    <w:rsid w:val="00B41ACE"/>
    <w:rsid w:val="00B50156"/>
    <w:rsid w:val="00B518AD"/>
    <w:rsid w:val="00B60A96"/>
    <w:rsid w:val="00B678EC"/>
    <w:rsid w:val="00B76C94"/>
    <w:rsid w:val="00B772D0"/>
    <w:rsid w:val="00B82443"/>
    <w:rsid w:val="00B836EA"/>
    <w:rsid w:val="00B84C05"/>
    <w:rsid w:val="00B9032A"/>
    <w:rsid w:val="00B91B81"/>
    <w:rsid w:val="00B92994"/>
    <w:rsid w:val="00B97135"/>
    <w:rsid w:val="00BB3072"/>
    <w:rsid w:val="00BB6E25"/>
    <w:rsid w:val="00BC1B57"/>
    <w:rsid w:val="00BC3413"/>
    <w:rsid w:val="00BC56A0"/>
    <w:rsid w:val="00BC7632"/>
    <w:rsid w:val="00BD3502"/>
    <w:rsid w:val="00BD4378"/>
    <w:rsid w:val="00BD48A9"/>
    <w:rsid w:val="00BD630F"/>
    <w:rsid w:val="00BD7EC6"/>
    <w:rsid w:val="00BE73FA"/>
    <w:rsid w:val="00BF6B4B"/>
    <w:rsid w:val="00C0511C"/>
    <w:rsid w:val="00C20ACF"/>
    <w:rsid w:val="00C20CD8"/>
    <w:rsid w:val="00C22307"/>
    <w:rsid w:val="00C23469"/>
    <w:rsid w:val="00C30C62"/>
    <w:rsid w:val="00C371DF"/>
    <w:rsid w:val="00C42055"/>
    <w:rsid w:val="00C44B4C"/>
    <w:rsid w:val="00C44F97"/>
    <w:rsid w:val="00C46734"/>
    <w:rsid w:val="00C47A86"/>
    <w:rsid w:val="00C50198"/>
    <w:rsid w:val="00C53220"/>
    <w:rsid w:val="00C53F23"/>
    <w:rsid w:val="00C65E24"/>
    <w:rsid w:val="00C8324B"/>
    <w:rsid w:val="00CA2177"/>
    <w:rsid w:val="00CA3347"/>
    <w:rsid w:val="00CA3D9F"/>
    <w:rsid w:val="00CB5253"/>
    <w:rsid w:val="00CB72C1"/>
    <w:rsid w:val="00CC299A"/>
    <w:rsid w:val="00CC2AFE"/>
    <w:rsid w:val="00CD03E3"/>
    <w:rsid w:val="00CE6BDA"/>
    <w:rsid w:val="00D01E3C"/>
    <w:rsid w:val="00D03284"/>
    <w:rsid w:val="00D03DBE"/>
    <w:rsid w:val="00D072C0"/>
    <w:rsid w:val="00D10E98"/>
    <w:rsid w:val="00D34C82"/>
    <w:rsid w:val="00D3757A"/>
    <w:rsid w:val="00D46058"/>
    <w:rsid w:val="00D504A9"/>
    <w:rsid w:val="00D5206D"/>
    <w:rsid w:val="00D63011"/>
    <w:rsid w:val="00D7170E"/>
    <w:rsid w:val="00D7177D"/>
    <w:rsid w:val="00D81311"/>
    <w:rsid w:val="00D85F7B"/>
    <w:rsid w:val="00DA769E"/>
    <w:rsid w:val="00DB201E"/>
    <w:rsid w:val="00DC0E68"/>
    <w:rsid w:val="00DC5DE0"/>
    <w:rsid w:val="00DD25ED"/>
    <w:rsid w:val="00DE0D6E"/>
    <w:rsid w:val="00DE42D0"/>
    <w:rsid w:val="00DF3A22"/>
    <w:rsid w:val="00E07F21"/>
    <w:rsid w:val="00E1610C"/>
    <w:rsid w:val="00E16D73"/>
    <w:rsid w:val="00E23E9E"/>
    <w:rsid w:val="00E25722"/>
    <w:rsid w:val="00E27F0A"/>
    <w:rsid w:val="00E35148"/>
    <w:rsid w:val="00E4231E"/>
    <w:rsid w:val="00E4302C"/>
    <w:rsid w:val="00E44AC7"/>
    <w:rsid w:val="00E45F4B"/>
    <w:rsid w:val="00E60A16"/>
    <w:rsid w:val="00E82B6E"/>
    <w:rsid w:val="00E91F2E"/>
    <w:rsid w:val="00E94258"/>
    <w:rsid w:val="00E96C18"/>
    <w:rsid w:val="00EA09CB"/>
    <w:rsid w:val="00EA2E61"/>
    <w:rsid w:val="00EA7D7F"/>
    <w:rsid w:val="00EB02F4"/>
    <w:rsid w:val="00EB2FA2"/>
    <w:rsid w:val="00EB654D"/>
    <w:rsid w:val="00EB769A"/>
    <w:rsid w:val="00EC3A35"/>
    <w:rsid w:val="00ED1F28"/>
    <w:rsid w:val="00ED416C"/>
    <w:rsid w:val="00ED4FE7"/>
    <w:rsid w:val="00EE1427"/>
    <w:rsid w:val="00EE17F2"/>
    <w:rsid w:val="00EE3138"/>
    <w:rsid w:val="00EF2AC7"/>
    <w:rsid w:val="00EF400A"/>
    <w:rsid w:val="00EF6BE4"/>
    <w:rsid w:val="00EF6E5D"/>
    <w:rsid w:val="00F04632"/>
    <w:rsid w:val="00F07764"/>
    <w:rsid w:val="00F07CB0"/>
    <w:rsid w:val="00F12517"/>
    <w:rsid w:val="00F131DD"/>
    <w:rsid w:val="00F16BA1"/>
    <w:rsid w:val="00F24435"/>
    <w:rsid w:val="00F30C0F"/>
    <w:rsid w:val="00F314E8"/>
    <w:rsid w:val="00F323A2"/>
    <w:rsid w:val="00F33B57"/>
    <w:rsid w:val="00F33D5C"/>
    <w:rsid w:val="00F34E90"/>
    <w:rsid w:val="00F35508"/>
    <w:rsid w:val="00F356D6"/>
    <w:rsid w:val="00F53BE2"/>
    <w:rsid w:val="00F55684"/>
    <w:rsid w:val="00F64D5A"/>
    <w:rsid w:val="00F709CD"/>
    <w:rsid w:val="00F711AB"/>
    <w:rsid w:val="00F71E87"/>
    <w:rsid w:val="00F7242F"/>
    <w:rsid w:val="00F906F4"/>
    <w:rsid w:val="00F95BB2"/>
    <w:rsid w:val="00F9761E"/>
    <w:rsid w:val="00FA0716"/>
    <w:rsid w:val="00FB4629"/>
    <w:rsid w:val="00FB6FB1"/>
    <w:rsid w:val="00FB7063"/>
    <w:rsid w:val="00FC7056"/>
    <w:rsid w:val="00FE1A00"/>
    <w:rsid w:val="00FF2908"/>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BFA33CB-14F2-48B7-8712-23943DD29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3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Sinespaciado">
    <w:name w:val="No Spacing"/>
    <w:aliases w:val="No Indent"/>
    <w:link w:val="SinespaciadoCar"/>
    <w:uiPriority w:val="3"/>
    <w:qFormat/>
    <w:rsid w:val="008267F9"/>
    <w:pPr>
      <w:spacing w:after="0" w:line="240" w:lineRule="auto"/>
    </w:pPr>
    <w:rPr>
      <w:sz w:val="24"/>
      <w:lang w:val="es-MX"/>
    </w:rPr>
  </w:style>
  <w:style w:type="character" w:customStyle="1" w:styleId="SinespaciadoCar">
    <w:name w:val="Sin espaciado Car"/>
    <w:aliases w:val="No Indent Car"/>
    <w:link w:val="Sinespaciado"/>
    <w:uiPriority w:val="3"/>
    <w:rsid w:val="008267F9"/>
    <w:rPr>
      <w:sz w:val="24"/>
      <w:lang w:val="es-MX"/>
    </w:rPr>
  </w:style>
  <w:style w:type="paragraph" w:styleId="Textodeglobo">
    <w:name w:val="Balloon Text"/>
    <w:basedOn w:val="Normal"/>
    <w:link w:val="TextodegloboCar"/>
    <w:uiPriority w:val="99"/>
    <w:semiHidden/>
    <w:unhideWhenUsed/>
    <w:rsid w:val="006171A8"/>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171A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2715">
      <w:bodyDiv w:val="1"/>
      <w:marLeft w:val="0"/>
      <w:marRight w:val="0"/>
      <w:marTop w:val="0"/>
      <w:marBottom w:val="0"/>
      <w:divBdr>
        <w:top w:val="none" w:sz="0" w:space="0" w:color="auto"/>
        <w:left w:val="none" w:sz="0" w:space="0" w:color="auto"/>
        <w:bottom w:val="none" w:sz="0" w:space="0" w:color="auto"/>
        <w:right w:val="none" w:sz="0" w:space="0" w:color="auto"/>
      </w:divBdr>
    </w:div>
    <w:div w:id="90859947">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06839246">
      <w:bodyDiv w:val="1"/>
      <w:marLeft w:val="0"/>
      <w:marRight w:val="0"/>
      <w:marTop w:val="0"/>
      <w:marBottom w:val="0"/>
      <w:divBdr>
        <w:top w:val="none" w:sz="0" w:space="0" w:color="auto"/>
        <w:left w:val="none" w:sz="0" w:space="0" w:color="auto"/>
        <w:bottom w:val="none" w:sz="0" w:space="0" w:color="auto"/>
        <w:right w:val="none" w:sz="0" w:space="0" w:color="auto"/>
      </w:divBdr>
      <w:divsChild>
        <w:div w:id="228999742">
          <w:marLeft w:val="0"/>
          <w:marRight w:val="0"/>
          <w:marTop w:val="0"/>
          <w:marBottom w:val="160"/>
          <w:divBdr>
            <w:top w:val="none" w:sz="0" w:space="0" w:color="auto"/>
            <w:left w:val="none" w:sz="0" w:space="0" w:color="auto"/>
            <w:bottom w:val="none" w:sz="0" w:space="0" w:color="auto"/>
            <w:right w:val="none" w:sz="0" w:space="0" w:color="auto"/>
          </w:divBdr>
        </w:div>
        <w:div w:id="1403795432">
          <w:marLeft w:val="0"/>
          <w:marRight w:val="0"/>
          <w:marTop w:val="0"/>
          <w:marBottom w:val="160"/>
          <w:divBdr>
            <w:top w:val="none" w:sz="0" w:space="0" w:color="auto"/>
            <w:left w:val="none" w:sz="0" w:space="0" w:color="auto"/>
            <w:bottom w:val="none" w:sz="0" w:space="0" w:color="auto"/>
            <w:right w:val="none" w:sz="0" w:space="0" w:color="auto"/>
          </w:divBdr>
        </w:div>
        <w:div w:id="1653438156">
          <w:marLeft w:val="0"/>
          <w:marRight w:val="0"/>
          <w:marTop w:val="0"/>
          <w:marBottom w:val="160"/>
          <w:divBdr>
            <w:top w:val="none" w:sz="0" w:space="0" w:color="auto"/>
            <w:left w:val="none" w:sz="0" w:space="0" w:color="auto"/>
            <w:bottom w:val="none" w:sz="0" w:space="0" w:color="auto"/>
            <w:right w:val="none" w:sz="0" w:space="0" w:color="auto"/>
          </w:divBdr>
        </w:div>
      </w:divsChild>
    </w:div>
    <w:div w:id="275866275">
      <w:bodyDiv w:val="1"/>
      <w:marLeft w:val="0"/>
      <w:marRight w:val="0"/>
      <w:marTop w:val="0"/>
      <w:marBottom w:val="0"/>
      <w:divBdr>
        <w:top w:val="none" w:sz="0" w:space="0" w:color="auto"/>
        <w:left w:val="none" w:sz="0" w:space="0" w:color="auto"/>
        <w:bottom w:val="none" w:sz="0" w:space="0" w:color="auto"/>
        <w:right w:val="none" w:sz="0" w:space="0" w:color="auto"/>
      </w:divBdr>
    </w:div>
    <w:div w:id="282929146">
      <w:bodyDiv w:val="1"/>
      <w:marLeft w:val="0"/>
      <w:marRight w:val="0"/>
      <w:marTop w:val="0"/>
      <w:marBottom w:val="0"/>
      <w:divBdr>
        <w:top w:val="none" w:sz="0" w:space="0" w:color="auto"/>
        <w:left w:val="none" w:sz="0" w:space="0" w:color="auto"/>
        <w:bottom w:val="none" w:sz="0" w:space="0" w:color="auto"/>
        <w:right w:val="none" w:sz="0" w:space="0" w:color="auto"/>
      </w:divBdr>
    </w:div>
    <w:div w:id="39840388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76468481">
      <w:bodyDiv w:val="1"/>
      <w:marLeft w:val="0"/>
      <w:marRight w:val="0"/>
      <w:marTop w:val="0"/>
      <w:marBottom w:val="0"/>
      <w:divBdr>
        <w:top w:val="none" w:sz="0" w:space="0" w:color="auto"/>
        <w:left w:val="none" w:sz="0" w:space="0" w:color="auto"/>
        <w:bottom w:val="none" w:sz="0" w:space="0" w:color="auto"/>
        <w:right w:val="none" w:sz="0" w:space="0" w:color="auto"/>
      </w:divBdr>
    </w:div>
    <w:div w:id="1506437887">
      <w:bodyDiv w:val="1"/>
      <w:marLeft w:val="0"/>
      <w:marRight w:val="0"/>
      <w:marTop w:val="0"/>
      <w:marBottom w:val="0"/>
      <w:divBdr>
        <w:top w:val="none" w:sz="0" w:space="0" w:color="auto"/>
        <w:left w:val="none" w:sz="0" w:space="0" w:color="auto"/>
        <w:bottom w:val="none" w:sz="0" w:space="0" w:color="auto"/>
        <w:right w:val="none" w:sz="0" w:space="0" w:color="auto"/>
      </w:divBdr>
      <w:divsChild>
        <w:div w:id="1041251609">
          <w:marLeft w:val="0"/>
          <w:marRight w:val="0"/>
          <w:marTop w:val="0"/>
          <w:marBottom w:val="0"/>
          <w:divBdr>
            <w:top w:val="none" w:sz="0" w:space="0" w:color="auto"/>
            <w:left w:val="none" w:sz="0" w:space="0" w:color="auto"/>
            <w:bottom w:val="none" w:sz="0" w:space="0" w:color="auto"/>
            <w:right w:val="none" w:sz="0" w:space="0" w:color="auto"/>
          </w:divBdr>
          <w:divsChild>
            <w:div w:id="1305039793">
              <w:marLeft w:val="0"/>
              <w:marRight w:val="0"/>
              <w:marTop w:val="0"/>
              <w:marBottom w:val="0"/>
              <w:divBdr>
                <w:top w:val="none" w:sz="0" w:space="0" w:color="auto"/>
                <w:left w:val="none" w:sz="0" w:space="0" w:color="auto"/>
                <w:bottom w:val="none" w:sz="0" w:space="0" w:color="auto"/>
                <w:right w:val="none" w:sz="0" w:space="0" w:color="auto"/>
              </w:divBdr>
              <w:divsChild>
                <w:div w:id="1797916668">
                  <w:marLeft w:val="0"/>
                  <w:marRight w:val="0"/>
                  <w:marTop w:val="0"/>
                  <w:marBottom w:val="0"/>
                  <w:divBdr>
                    <w:top w:val="none" w:sz="0" w:space="0" w:color="auto"/>
                    <w:left w:val="none" w:sz="0" w:space="0" w:color="auto"/>
                    <w:bottom w:val="none" w:sz="0" w:space="0" w:color="auto"/>
                    <w:right w:val="none" w:sz="0" w:space="0" w:color="auto"/>
                  </w:divBdr>
                  <w:divsChild>
                    <w:div w:id="19984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94920109">
      <w:bodyDiv w:val="1"/>
      <w:marLeft w:val="0"/>
      <w:marRight w:val="0"/>
      <w:marTop w:val="0"/>
      <w:marBottom w:val="0"/>
      <w:divBdr>
        <w:top w:val="none" w:sz="0" w:space="0" w:color="auto"/>
        <w:left w:val="none" w:sz="0" w:space="0" w:color="auto"/>
        <w:bottom w:val="none" w:sz="0" w:space="0" w:color="auto"/>
        <w:right w:val="none" w:sz="0" w:space="0" w:color="auto"/>
      </w:divBdr>
    </w:div>
    <w:div w:id="2024429179">
      <w:bodyDiv w:val="1"/>
      <w:marLeft w:val="0"/>
      <w:marRight w:val="0"/>
      <w:marTop w:val="0"/>
      <w:marBottom w:val="0"/>
      <w:divBdr>
        <w:top w:val="none" w:sz="0" w:space="0" w:color="auto"/>
        <w:left w:val="none" w:sz="0" w:space="0" w:color="auto"/>
        <w:bottom w:val="none" w:sz="0" w:space="0" w:color="auto"/>
        <w:right w:val="none" w:sz="0" w:space="0" w:color="auto"/>
      </w:divBdr>
    </w:div>
    <w:div w:id="2042900021">
      <w:bodyDiv w:val="1"/>
      <w:marLeft w:val="0"/>
      <w:marRight w:val="0"/>
      <w:marTop w:val="0"/>
      <w:marBottom w:val="0"/>
      <w:divBdr>
        <w:top w:val="none" w:sz="0" w:space="0" w:color="auto"/>
        <w:left w:val="none" w:sz="0" w:space="0" w:color="auto"/>
        <w:bottom w:val="none" w:sz="0" w:space="0" w:color="auto"/>
        <w:right w:val="none" w:sz="0" w:space="0" w:color="auto"/>
      </w:divBdr>
    </w:div>
    <w:div w:id="2068453328">
      <w:bodyDiv w:val="1"/>
      <w:marLeft w:val="0"/>
      <w:marRight w:val="0"/>
      <w:marTop w:val="0"/>
      <w:marBottom w:val="0"/>
      <w:divBdr>
        <w:top w:val="none" w:sz="0" w:space="0" w:color="auto"/>
        <w:left w:val="none" w:sz="0" w:space="0" w:color="auto"/>
        <w:bottom w:val="none" w:sz="0" w:space="0" w:color="auto"/>
        <w:right w:val="none" w:sz="0" w:space="0" w:color="auto"/>
      </w:divBdr>
    </w:div>
    <w:div w:id="2105757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s/cce_guia_regimen_especial.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rueda266@unab.edu.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_pdf.php?i=18744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D5F2F95D-4AB6-A24F-8865-2B569146145D}">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a6cb9e4b-f1d1-4245-83ec-6cad768d538a"/>
    <ds:schemaRef ds:uri="http://schemas.microsoft.com/office/2006/metadata/properties"/>
    <ds:schemaRef ds:uri="http://purl.org/dc/elements/1.1/"/>
    <ds:schemaRef ds:uri="http://www.w3.org/XML/1998/namespace"/>
    <ds:schemaRef ds:uri="http://purl.org/dc/term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3559</Words>
  <Characters>19580</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Betty helena Diaz</cp:lastModifiedBy>
  <cp:revision>2</cp:revision>
  <dcterms:created xsi:type="dcterms:W3CDTF">2024-08-27T03:34:00Z</dcterms:created>
  <dcterms:modified xsi:type="dcterms:W3CDTF">2024-08-27T03:34:00Z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