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38E67" w14:textId="77777777" w:rsidR="00524136" w:rsidRPr="00682C93" w:rsidRDefault="00524136" w:rsidP="00524136">
      <w:pPr>
        <w:spacing w:after="0" w:line="240" w:lineRule="auto"/>
        <w:jc w:val="both"/>
        <w:rPr>
          <w:rFonts w:ascii="Verdana" w:hAnsi="Verdana" w:cs="Arial"/>
          <w:b/>
          <w:lang w:val="es-MX" w:eastAsia="es-ES_tradnl"/>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41BADA03" w14:textId="77777777" w:rsidR="00524136" w:rsidRDefault="00524136" w:rsidP="00524136">
      <w:pPr>
        <w:spacing w:after="0" w:line="240" w:lineRule="auto"/>
        <w:jc w:val="both"/>
        <w:rPr>
          <w:rFonts w:ascii="Verdana" w:hAnsi="Verdana" w:cs="Arial"/>
          <w:b/>
          <w:lang w:val="es-MX" w:eastAsia="es-ES_tradnl"/>
        </w:rPr>
      </w:pPr>
    </w:p>
    <w:p w14:paraId="384A81B4" w14:textId="77777777" w:rsidR="00524136" w:rsidRDefault="00524136" w:rsidP="00524136">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1D5E9D5A" w14:textId="77777777" w:rsidR="00524136" w:rsidRPr="00682C93" w:rsidRDefault="00524136" w:rsidP="00524136">
      <w:pPr>
        <w:spacing w:after="0" w:line="240" w:lineRule="auto"/>
        <w:jc w:val="both"/>
        <w:rPr>
          <w:rFonts w:ascii="Verdana" w:hAnsi="Verdana" w:cs="Arial"/>
          <w:b/>
          <w:sz w:val="20"/>
          <w:lang w:val="es-MX" w:eastAsia="es-ES_tradnl"/>
        </w:rPr>
      </w:pPr>
    </w:p>
    <w:p w14:paraId="51C739B2" w14:textId="77777777" w:rsidR="00524136" w:rsidRPr="00682C93" w:rsidRDefault="00524136" w:rsidP="00524136">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celebración- límite</w:t>
      </w:r>
    </w:p>
    <w:p w14:paraId="62FD3DC0" w14:textId="77777777" w:rsidR="00524136" w:rsidRDefault="00524136" w:rsidP="00524136">
      <w:pPr>
        <w:spacing w:after="0" w:line="240" w:lineRule="auto"/>
        <w:jc w:val="both"/>
        <w:rPr>
          <w:rFonts w:ascii="Verdana" w:hAnsi="Verdana" w:cs="Arial"/>
          <w:b/>
          <w:lang w:val="es-MX" w:eastAsia="es-ES_tradnl"/>
        </w:rPr>
      </w:pPr>
    </w:p>
    <w:p w14:paraId="2836D1A8" w14:textId="77777777" w:rsidR="00524136" w:rsidRPr="00E41F23" w:rsidRDefault="00524136" w:rsidP="00524136">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A15EAE1" w14:textId="77777777" w:rsidR="00524136" w:rsidRPr="00E41F23" w:rsidRDefault="00524136" w:rsidP="00524136">
      <w:pPr>
        <w:spacing w:after="0" w:line="240" w:lineRule="auto"/>
        <w:jc w:val="both"/>
        <w:rPr>
          <w:rFonts w:ascii="Verdana" w:eastAsia="Calibri" w:hAnsi="Verdana" w:cs="Arial"/>
          <w:sz w:val="20"/>
        </w:rPr>
      </w:pPr>
    </w:p>
    <w:p w14:paraId="15E09335" w14:textId="77777777" w:rsidR="00524136" w:rsidRDefault="00524136" w:rsidP="00524136">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637C0715" w14:textId="77777777" w:rsidR="00524136" w:rsidRPr="00E41F23" w:rsidRDefault="00524136" w:rsidP="00524136">
      <w:pPr>
        <w:widowControl w:val="0"/>
        <w:autoSpaceDE w:val="0"/>
        <w:autoSpaceDN w:val="0"/>
        <w:spacing w:after="0" w:line="240" w:lineRule="auto"/>
        <w:ind w:right="113"/>
        <w:jc w:val="both"/>
        <w:rPr>
          <w:rFonts w:ascii="Verdana" w:eastAsia="Arial" w:hAnsi="Verdana" w:cs="Arial"/>
          <w:sz w:val="20"/>
          <w:lang w:val="es-ES" w:eastAsia="es-ES" w:bidi="es-ES"/>
        </w:rPr>
      </w:pPr>
    </w:p>
    <w:p w14:paraId="28289EA0" w14:textId="77777777" w:rsidR="00524136" w:rsidRPr="00E41F23" w:rsidRDefault="00524136" w:rsidP="00524136">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proofErr w:type="spellStart"/>
      <w:r w:rsidRPr="00E41F23">
        <w:rPr>
          <w:rFonts w:ascii="Verdana" w:eastAsia="Times New Roman" w:hAnsi="Verdana" w:cs="Arial"/>
          <w:bCs/>
          <w:i/>
          <w:sz w:val="20"/>
          <w:lang w:val="es-ES" w:eastAsia="es-CO"/>
        </w:rPr>
        <w:t>ibídem</w:t>
      </w:r>
      <w:proofErr w:type="spellEnd"/>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395A2C7A" w14:textId="77777777" w:rsidR="00524136" w:rsidRPr="003F2A9C" w:rsidRDefault="00524136" w:rsidP="00524136">
      <w:pPr>
        <w:spacing w:after="0" w:line="240" w:lineRule="auto"/>
        <w:jc w:val="both"/>
        <w:rPr>
          <w:rFonts w:ascii="Verdana" w:hAnsi="Verdana" w:cs="Arial"/>
          <w:b/>
          <w:sz w:val="20"/>
          <w:lang w:val="es-MX" w:eastAsia="es-ES_tradnl"/>
        </w:rPr>
      </w:pPr>
    </w:p>
    <w:p w14:paraId="536921AE" w14:textId="77777777" w:rsidR="00524136" w:rsidRPr="00682C93" w:rsidRDefault="00524136" w:rsidP="00524136">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 Prohibición artículo 33 – Contratación directa – Alcance </w:t>
      </w:r>
    </w:p>
    <w:p w14:paraId="033DF67E" w14:textId="77777777" w:rsidR="00524136" w:rsidRDefault="00524136" w:rsidP="00524136">
      <w:pPr>
        <w:spacing w:after="0" w:line="240" w:lineRule="auto"/>
        <w:jc w:val="both"/>
        <w:rPr>
          <w:rFonts w:ascii="Verdana" w:hAnsi="Verdana" w:cs="Arial"/>
          <w:b/>
          <w:lang w:val="es-MX" w:eastAsia="es-ES_tradnl"/>
        </w:rPr>
      </w:pPr>
    </w:p>
    <w:p w14:paraId="7B25F0EC" w14:textId="77777777" w:rsidR="00524136" w:rsidRPr="00E41F23" w:rsidRDefault="00524136" w:rsidP="00524136">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lastRenderedPageBreak/>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799893EE" w14:textId="77777777" w:rsidR="00524136" w:rsidRPr="00E41F23" w:rsidRDefault="00524136" w:rsidP="00524136">
      <w:pPr>
        <w:spacing w:after="0" w:line="240" w:lineRule="auto"/>
        <w:jc w:val="both"/>
        <w:rPr>
          <w:rFonts w:ascii="Verdana" w:hAnsi="Verdana" w:cs="Arial"/>
          <w:b/>
          <w:lang w:eastAsia="es-ES_tradnl"/>
        </w:rPr>
      </w:pPr>
    </w:p>
    <w:p w14:paraId="6D700E84" w14:textId="77777777" w:rsidR="00524136" w:rsidRPr="00682C93" w:rsidRDefault="00524136" w:rsidP="00524136">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7EE9BDEF" w14:textId="77777777" w:rsidR="00524136" w:rsidRPr="00E41F23" w:rsidRDefault="00524136" w:rsidP="00524136">
      <w:pPr>
        <w:spacing w:after="0" w:line="240" w:lineRule="auto"/>
        <w:jc w:val="both"/>
        <w:rPr>
          <w:rFonts w:ascii="Verdana" w:hAnsi="Verdana" w:cs="Arial"/>
          <w:b/>
          <w:sz w:val="20"/>
          <w:lang w:val="es-MX" w:eastAsia="es-ES_tradnl"/>
        </w:rPr>
      </w:pPr>
    </w:p>
    <w:p w14:paraId="68286DE3" w14:textId="77777777" w:rsidR="00524136" w:rsidRPr="00E41F23" w:rsidRDefault="00524136" w:rsidP="00524136">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E41F23">
        <w:rPr>
          <w:rFonts w:ascii="Verdana" w:eastAsia="Times New Roman" w:hAnsi="Verdana" w:cs="Arial"/>
          <w:bCs/>
          <w:sz w:val="20"/>
          <w:lang w:val="es-MX" w:eastAsia="x-none"/>
        </w:rPr>
        <w:t>ii</w:t>
      </w:r>
      <w:proofErr w:type="spellEnd"/>
      <w:r w:rsidRPr="00E41F23">
        <w:rPr>
          <w:rFonts w:ascii="Verdana" w:eastAsia="Times New Roman" w:hAnsi="Verdana" w:cs="Arial"/>
          <w:bCs/>
          <w:sz w:val="20"/>
          <w:lang w:val="es-MX" w:eastAsia="x-none"/>
        </w:rPr>
        <w:t xml:space="preserve">) los contratos de crédito público; </w:t>
      </w:r>
      <w:proofErr w:type="spellStart"/>
      <w:r w:rsidRPr="00E41F23">
        <w:rPr>
          <w:rFonts w:ascii="Verdana" w:eastAsia="Times New Roman" w:hAnsi="Verdana" w:cs="Arial"/>
          <w:bCs/>
          <w:sz w:val="20"/>
          <w:lang w:val="es-MX" w:eastAsia="x-none"/>
        </w:rPr>
        <w:t>iii</w:t>
      </w:r>
      <w:proofErr w:type="spellEnd"/>
      <w:r w:rsidRPr="00E41F23">
        <w:rPr>
          <w:rFonts w:ascii="Verdana" w:eastAsia="Times New Roman" w:hAnsi="Verdana" w:cs="Arial"/>
          <w:bCs/>
          <w:sz w:val="20"/>
          <w:lang w:val="es-MX" w:eastAsia="x-none"/>
        </w:rPr>
        <w:t xml:space="preserve">) los requeridos para cubrir las emergencias educativas, sanitarias y desastres; </w:t>
      </w:r>
      <w:proofErr w:type="spellStart"/>
      <w:r w:rsidRPr="00E41F23">
        <w:rPr>
          <w:rFonts w:ascii="Verdana" w:eastAsia="Times New Roman" w:hAnsi="Verdana" w:cs="Arial"/>
          <w:bCs/>
          <w:sz w:val="20"/>
          <w:lang w:val="es-MX" w:eastAsia="x-none"/>
        </w:rPr>
        <w:t>iv</w:t>
      </w:r>
      <w:proofErr w:type="spellEnd"/>
      <w:r w:rsidRPr="00E41F23">
        <w:rPr>
          <w:rFonts w:ascii="Verdana" w:eastAsia="Times New Roman" w:hAnsi="Verdana" w:cs="Arial"/>
          <w:bCs/>
          <w:sz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20C853D" w14:textId="77777777" w:rsidR="00524136" w:rsidRPr="00682C93" w:rsidRDefault="00524136" w:rsidP="00524136">
      <w:pPr>
        <w:spacing w:after="0" w:line="240" w:lineRule="auto"/>
        <w:jc w:val="both"/>
        <w:rPr>
          <w:rFonts w:ascii="Verdana" w:hAnsi="Verdana" w:cs="Arial"/>
          <w:b/>
          <w:lang w:val="es-MX" w:eastAsia="es-ES_tradnl"/>
        </w:rPr>
      </w:pPr>
    </w:p>
    <w:p w14:paraId="656064F4" w14:textId="77777777" w:rsidR="00524136" w:rsidRPr="00682C93" w:rsidRDefault="00524136" w:rsidP="00524136">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3E0DBEC8" w14:textId="77777777" w:rsidR="00524136" w:rsidRDefault="00524136" w:rsidP="00524136">
      <w:pPr>
        <w:spacing w:after="0" w:line="240" w:lineRule="auto"/>
        <w:rPr>
          <w:rFonts w:ascii="Verdana" w:hAnsi="Verdana" w:cs="Arial"/>
          <w:lang w:val="es-MX" w:eastAsia="es-ES_tradnl"/>
        </w:rPr>
      </w:pPr>
    </w:p>
    <w:p w14:paraId="305CC5D7" w14:textId="77777777" w:rsidR="00524136" w:rsidRPr="00E41F23" w:rsidRDefault="00524136" w:rsidP="00524136">
      <w:pPr>
        <w:spacing w:after="0" w:line="240" w:lineRule="auto"/>
        <w:jc w:val="both"/>
        <w:rPr>
          <w:rFonts w:ascii="Verdana" w:hAnsi="Verdana" w:cs="Arial"/>
          <w:sz w:val="20"/>
          <w:lang w:val="es-MX" w:eastAsia="es-ES_tradnl"/>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721E9202" w14:textId="77777777" w:rsidR="00524136" w:rsidRDefault="00524136" w:rsidP="00524136">
      <w:pPr>
        <w:spacing w:after="0" w:line="240" w:lineRule="auto"/>
        <w:rPr>
          <w:rFonts w:ascii="Verdana" w:hAnsi="Verdana"/>
        </w:rPr>
      </w:pPr>
    </w:p>
    <w:p w14:paraId="19D44CD1" w14:textId="77777777" w:rsidR="00524136" w:rsidRDefault="00524136" w:rsidP="00524136">
      <w:pPr>
        <w:spacing w:after="0" w:line="240" w:lineRule="auto"/>
        <w:rPr>
          <w:rFonts w:ascii="Verdana" w:hAnsi="Verdana"/>
        </w:rPr>
      </w:pPr>
    </w:p>
    <w:p w14:paraId="0093AB99" w14:textId="77777777" w:rsidR="00524136" w:rsidRPr="00EB7319" w:rsidRDefault="00524136" w:rsidP="00524136">
      <w:pPr>
        <w:spacing w:after="0" w:line="240" w:lineRule="auto"/>
        <w:jc w:val="both"/>
        <w:rPr>
          <w:rFonts w:ascii="Verdana" w:hAnsi="Verdana"/>
          <w:b/>
        </w:rPr>
      </w:pPr>
      <w:r w:rsidRPr="00EB7319">
        <w:rPr>
          <w:rFonts w:ascii="Verdana" w:hAnsi="Verdana" w:cs="Arial"/>
          <w:b/>
          <w:lang w:val="es-MX" w:eastAsia="es-ES_tradnl"/>
        </w:rPr>
        <w:lastRenderedPageBreak/>
        <w:t xml:space="preserve">LEY DE GARANTÍAS ELECTORALES – Condiciones de </w:t>
      </w:r>
      <w:r>
        <w:rPr>
          <w:rFonts w:ascii="Verdana" w:hAnsi="Verdana" w:cs="Arial"/>
          <w:b/>
          <w:lang w:val="es-MX" w:eastAsia="es-ES_tradnl"/>
        </w:rPr>
        <w:t>igualdad – Contratación directa</w:t>
      </w:r>
    </w:p>
    <w:p w14:paraId="3C2AAC81" w14:textId="77777777" w:rsidR="00524136" w:rsidRDefault="00524136" w:rsidP="00524136">
      <w:pPr>
        <w:spacing w:after="0" w:line="240" w:lineRule="auto"/>
        <w:rPr>
          <w:rFonts w:ascii="Verdana" w:hAnsi="Verdana"/>
        </w:rPr>
      </w:pPr>
    </w:p>
    <w:p w14:paraId="4C2892E0" w14:textId="77777777" w:rsidR="00524136" w:rsidRPr="00EB7319" w:rsidRDefault="00524136" w:rsidP="00524136">
      <w:pPr>
        <w:spacing w:after="0" w:line="240" w:lineRule="auto"/>
        <w:jc w:val="both"/>
        <w:rPr>
          <w:rFonts w:ascii="Verdana" w:eastAsia="Times New Roman" w:hAnsi="Verdana" w:cs="Arial"/>
          <w:bCs/>
          <w:sz w:val="20"/>
          <w:lang w:eastAsia="x-none"/>
        </w:rPr>
      </w:pPr>
      <w:r w:rsidRPr="00EB7319">
        <w:rPr>
          <w:rFonts w:ascii="Verdana" w:eastAsia="Times New Roman" w:hAnsi="Verdana" w:cs="Arial"/>
          <w:bCs/>
          <w:sz w:val="20"/>
          <w:lang w:val="es-MX" w:eastAsia="x-none"/>
        </w:rPr>
        <w:t xml:space="preserve">Además, se reitera que la restricción aplica frente a la contratación directa, entendida como cualquier sistema de selección o procedimiento de contratación utilizada por las entidades estatales que no incluya la convocatoria pública en alguna de sus etapas, ni permita la participación de una pluralidad de oferentes; por lo que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3A6D682B" w14:textId="77777777" w:rsidR="00524136" w:rsidRDefault="00524136" w:rsidP="00524136">
      <w:pPr>
        <w:spacing w:after="0" w:line="240" w:lineRule="auto"/>
        <w:jc w:val="both"/>
        <w:rPr>
          <w:rFonts w:ascii="Verdana" w:hAnsi="Verdana"/>
          <w:b/>
        </w:rPr>
      </w:pPr>
    </w:p>
    <w:p w14:paraId="24FCEFB3" w14:textId="6A2C23FC" w:rsidR="00063B12" w:rsidRPr="00063B12" w:rsidRDefault="00063B12" w:rsidP="00524136">
      <w:pPr>
        <w:spacing w:after="0" w:line="240" w:lineRule="auto"/>
        <w:jc w:val="both"/>
        <w:rPr>
          <w:rFonts w:ascii="Verdana" w:hAnsi="Verdana"/>
          <w:b/>
          <w:lang w:val="es-MX"/>
        </w:rPr>
      </w:pPr>
      <w:r w:rsidRPr="00063B12">
        <w:rPr>
          <w:rFonts w:ascii="Verdana" w:hAnsi="Verdana"/>
          <w:b/>
          <w:lang w:val="es-ES"/>
        </w:rPr>
        <w:t xml:space="preserve">ENAJENACIÓN VOLUNTARIA </w:t>
      </w:r>
      <w:r w:rsidRPr="00063B12">
        <w:rPr>
          <w:rFonts w:ascii="Verdana" w:hAnsi="Verdana"/>
          <w:b/>
          <w:lang w:val="es-MX"/>
        </w:rPr>
        <w:t>– Objeto – Aplicación – Ley de Garantías Electorales – Restricción- Contratación Directa.</w:t>
      </w:r>
    </w:p>
    <w:p w14:paraId="7AB4829C" w14:textId="32BD90C5" w:rsidR="00063B12" w:rsidRDefault="00063B12" w:rsidP="00524136">
      <w:pPr>
        <w:spacing w:after="0" w:line="240" w:lineRule="auto"/>
        <w:rPr>
          <w:rFonts w:ascii="Verdana" w:hAnsi="Verdana"/>
          <w:lang w:val="es-MX"/>
        </w:rPr>
      </w:pPr>
    </w:p>
    <w:p w14:paraId="4AE6AA17" w14:textId="77777777" w:rsidR="00524136" w:rsidRPr="00524136" w:rsidRDefault="00524136" w:rsidP="00524136">
      <w:pPr>
        <w:spacing w:after="0" w:line="240" w:lineRule="auto"/>
        <w:jc w:val="both"/>
        <w:rPr>
          <w:rFonts w:ascii="Verdana" w:hAnsi="Verdana"/>
          <w:sz w:val="20"/>
          <w:lang w:val="es-ES"/>
        </w:rPr>
      </w:pPr>
      <w:r w:rsidRPr="00524136">
        <w:rPr>
          <w:rFonts w:ascii="Verdana" w:hAnsi="Verdana"/>
          <w:sz w:val="20"/>
          <w:lang w:val="es-ES"/>
        </w:rPr>
        <w:t>Sin embargo, no debe pasarse por alto que, al margen de su especialidad, el procedimiento administrativo para la adquisición de inmuebles por utilidad pública e interés social mediante enajenación voluntaria, implica el ejercicio de funciones administrativas, lo que, por ende, implica la aplicación de los principios de igualdad, moralidad, eficacia, economía, celeridad, imparcialidad y publicidad contenidos en el artículo 209 de la Constitución, varios de los cuales encuentran manifestaciones prácticas y concretas dentro de la regulación de las leyes 9 de 1989, 388 de 1997 y 1682 de 2013. Toda vez que a través de la adquisición de bienes inmuebles mediante enajenación directa se comprometen dineros provenientes del erario, resultan también aplicables los principios propios del Estado Social de Derecho y de la Administración pública como los principios de transparencia, publicidad entre otros.</w:t>
      </w:r>
    </w:p>
    <w:p w14:paraId="2292FEF8" w14:textId="77777777" w:rsidR="00524136" w:rsidRDefault="00524136" w:rsidP="00524136">
      <w:pPr>
        <w:spacing w:after="0" w:line="240" w:lineRule="auto"/>
        <w:jc w:val="both"/>
        <w:rPr>
          <w:rFonts w:ascii="Verdana" w:hAnsi="Verdana"/>
          <w:sz w:val="20"/>
          <w:lang w:val="es-ES"/>
        </w:rPr>
      </w:pPr>
    </w:p>
    <w:p w14:paraId="0E1809A1" w14:textId="3D668F44" w:rsidR="00524136" w:rsidRPr="00524136" w:rsidRDefault="00524136" w:rsidP="00524136">
      <w:pPr>
        <w:spacing w:after="0" w:line="240" w:lineRule="auto"/>
        <w:jc w:val="both"/>
        <w:rPr>
          <w:rFonts w:ascii="Verdana" w:hAnsi="Verdana"/>
          <w:sz w:val="20"/>
          <w:lang w:val="es-ES"/>
        </w:rPr>
      </w:pPr>
      <w:r w:rsidRPr="00524136">
        <w:rPr>
          <w:rFonts w:ascii="Verdana" w:hAnsi="Verdana"/>
          <w:sz w:val="20"/>
          <w:lang w:val="es-ES"/>
        </w:rPr>
        <w:t xml:space="preserve">En virtud de lo expuesto, la adquisición de los predios que se realice por enajenación voluntaria está sometida a un régimen especial de contratación. Sin embargo, como se explicó antes, esta culmina con la suscripción de un contrato de promesa de compraventa o de compraventa entre la entidad y la persona, con lo cual se trata de un procedimiento de contratación estatal no competitivo que está restringido por la prohibición establecida en el artículo 33 de la Ley 996 de 2005. En contraste, cuando la adquisición ocurra por el procedimiento expropiatorio no se materializa en la celebración de un contrato. </w:t>
      </w:r>
    </w:p>
    <w:p w14:paraId="2D67AD9C" w14:textId="6ED131FF" w:rsidR="00063B12" w:rsidRDefault="00063B12" w:rsidP="00063B12">
      <w:pPr>
        <w:spacing w:after="0"/>
        <w:rPr>
          <w:rFonts w:ascii="Verdana" w:hAnsi="Verdana"/>
          <w:lang w:val="es-ES"/>
        </w:rPr>
      </w:pPr>
    </w:p>
    <w:p w14:paraId="6A77E677" w14:textId="4752B135" w:rsidR="00524136" w:rsidRDefault="00524136" w:rsidP="00063B12">
      <w:pPr>
        <w:spacing w:after="0"/>
        <w:rPr>
          <w:rFonts w:ascii="Verdana" w:hAnsi="Verdana"/>
          <w:lang w:val="es-ES"/>
        </w:rPr>
      </w:pPr>
    </w:p>
    <w:p w14:paraId="4A65074F" w14:textId="7A7A277B" w:rsidR="00524136" w:rsidRDefault="00524136" w:rsidP="00063B12">
      <w:pPr>
        <w:spacing w:after="0"/>
        <w:rPr>
          <w:rFonts w:ascii="Verdana" w:hAnsi="Verdana"/>
          <w:lang w:val="es-ES"/>
        </w:rPr>
      </w:pPr>
    </w:p>
    <w:p w14:paraId="3B498030" w14:textId="77109FEE" w:rsidR="00524136" w:rsidRDefault="00524136" w:rsidP="00063B12">
      <w:pPr>
        <w:spacing w:after="0"/>
        <w:rPr>
          <w:rFonts w:ascii="Verdana" w:hAnsi="Verdana"/>
          <w:lang w:val="es-ES"/>
        </w:rPr>
      </w:pPr>
    </w:p>
    <w:p w14:paraId="53D47827" w14:textId="0BF69AFE" w:rsidR="00524136" w:rsidRDefault="00524136" w:rsidP="00063B12">
      <w:pPr>
        <w:spacing w:after="0"/>
        <w:rPr>
          <w:rFonts w:ascii="Verdana" w:hAnsi="Verdana"/>
          <w:lang w:val="es-ES"/>
        </w:rPr>
      </w:pPr>
    </w:p>
    <w:p w14:paraId="0EA4AEEF" w14:textId="7E6DD95A" w:rsidR="00524136" w:rsidRDefault="00524136" w:rsidP="00063B12">
      <w:pPr>
        <w:spacing w:after="0"/>
        <w:rPr>
          <w:rFonts w:ascii="Verdana" w:hAnsi="Verdana"/>
          <w:lang w:val="es-ES"/>
        </w:rPr>
      </w:pPr>
    </w:p>
    <w:p w14:paraId="57383F50" w14:textId="07CEBFF9" w:rsidR="00524136" w:rsidRDefault="00524136" w:rsidP="00063B12">
      <w:pPr>
        <w:spacing w:after="0"/>
        <w:rPr>
          <w:rFonts w:ascii="Verdana" w:hAnsi="Verdana"/>
          <w:lang w:val="es-ES"/>
        </w:rPr>
      </w:pPr>
    </w:p>
    <w:p w14:paraId="21A7642A" w14:textId="06CC79ED" w:rsidR="00524136" w:rsidRDefault="00524136" w:rsidP="00063B12">
      <w:pPr>
        <w:spacing w:after="0"/>
        <w:rPr>
          <w:rFonts w:ascii="Verdana" w:hAnsi="Verdana"/>
          <w:lang w:val="es-ES"/>
        </w:rPr>
      </w:pPr>
    </w:p>
    <w:p w14:paraId="6D6E24EE" w14:textId="5EE9B77C" w:rsidR="00524136" w:rsidRDefault="00524136" w:rsidP="00063B12">
      <w:pPr>
        <w:spacing w:after="0"/>
        <w:rPr>
          <w:rFonts w:ascii="Verdana" w:hAnsi="Verdana"/>
          <w:lang w:val="es-ES"/>
        </w:rPr>
      </w:pPr>
    </w:p>
    <w:p w14:paraId="13C04AF0" w14:textId="774CD475" w:rsidR="00524136" w:rsidRPr="00524136" w:rsidRDefault="00524136" w:rsidP="00063B12">
      <w:pPr>
        <w:spacing w:after="0"/>
        <w:rPr>
          <w:rFonts w:ascii="Verdana" w:hAnsi="Verdana"/>
          <w:lang w:val="es-ES"/>
        </w:rPr>
      </w:pPr>
    </w:p>
    <w:p w14:paraId="5BFDD339" w14:textId="7486763D" w:rsidR="00903F7C" w:rsidRPr="0044528D" w:rsidRDefault="00524136" w:rsidP="00903F7C">
      <w:pPr>
        <w:spacing w:after="0"/>
        <w:rPr>
          <w:rFonts w:ascii="Verdana" w:hAnsi="Verdana"/>
        </w:rPr>
      </w:pPr>
      <w:r>
        <w:rPr>
          <w:noProof/>
          <w:lang w:val="en-US"/>
        </w:rPr>
        <w:lastRenderedPageBreak/>
        <w:drawing>
          <wp:anchor distT="0" distB="0" distL="114300" distR="114300" simplePos="0" relativeHeight="251658240" behindDoc="0" locked="0" layoutInCell="1" allowOverlap="1" wp14:anchorId="677FCBFB" wp14:editId="03E6D6E8">
            <wp:simplePos x="0" y="0"/>
            <wp:positionH relativeFrom="margin">
              <wp:align>right</wp:align>
            </wp:positionH>
            <wp:positionV relativeFrom="paragraph">
              <wp:posOffset>53340</wp:posOffset>
            </wp:positionV>
            <wp:extent cx="2690495" cy="74739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90495" cy="747395"/>
                    </a:xfrm>
                    <a:prstGeom prst="rect">
                      <a:avLst/>
                    </a:prstGeom>
                  </pic:spPr>
                </pic:pic>
              </a:graphicData>
            </a:graphic>
            <wp14:sizeRelH relativeFrom="margin">
              <wp14:pctWidth>0</wp14:pctWidth>
            </wp14:sizeRelH>
            <wp14:sizeRelV relativeFrom="margin">
              <wp14:pctHeight>0</wp14:pctHeight>
            </wp14:sizeRelV>
          </wp:anchor>
        </w:drawing>
      </w:r>
      <w:r w:rsidR="00063B12">
        <w:rPr>
          <w:rFonts w:ascii="Verdana" w:hAnsi="Verdana"/>
        </w:rPr>
        <w:t>Bogotá D.C., 20 de octubre de 2025</w:t>
      </w:r>
      <w:r w:rsidR="00903F7C" w:rsidRPr="0044528D">
        <w:rPr>
          <w:rFonts w:ascii="Verdana" w:hAnsi="Verdana"/>
        </w:rPr>
        <w:tab/>
      </w:r>
    </w:p>
    <w:p w14:paraId="339D1823" w14:textId="77777777" w:rsidR="00903F7C" w:rsidRDefault="00903F7C" w:rsidP="00903F7C">
      <w:pPr>
        <w:spacing w:after="0" w:line="240" w:lineRule="auto"/>
        <w:rPr>
          <w:rFonts w:ascii="Verdana" w:hAnsi="Verdana"/>
        </w:rPr>
      </w:pPr>
    </w:p>
    <w:p w14:paraId="2CB3B5CE" w14:textId="77777777" w:rsidR="00903F7C" w:rsidRPr="005D3C67" w:rsidRDefault="00903F7C" w:rsidP="00903F7C">
      <w:pPr>
        <w:spacing w:after="0" w:line="240" w:lineRule="auto"/>
        <w:rPr>
          <w:rFonts w:ascii="Verdana" w:hAnsi="Verdana"/>
        </w:rPr>
      </w:pPr>
    </w:p>
    <w:p w14:paraId="0552776E" w14:textId="77777777" w:rsidR="00903F7C" w:rsidRPr="00E15087" w:rsidRDefault="00903F7C" w:rsidP="00903F7C">
      <w:pPr>
        <w:spacing w:after="0" w:line="240" w:lineRule="auto"/>
        <w:rPr>
          <w:rFonts w:ascii="Verdana" w:eastAsia="Calibri" w:hAnsi="Verdana" w:cs="Times New Roman"/>
          <w:lang w:val="es-MX"/>
        </w:rPr>
      </w:pPr>
      <w:r w:rsidRPr="00E15087">
        <w:rPr>
          <w:rFonts w:ascii="Verdana" w:eastAsia="Calibri" w:hAnsi="Verdana" w:cs="Times New Roman"/>
          <w:lang w:val="es-MX"/>
        </w:rPr>
        <w:t>Señor</w:t>
      </w:r>
    </w:p>
    <w:p w14:paraId="47BC7766" w14:textId="77777777" w:rsidR="00903F7C" w:rsidRPr="00E15087" w:rsidRDefault="00903F7C" w:rsidP="00903F7C">
      <w:pPr>
        <w:spacing w:after="0" w:line="240" w:lineRule="auto"/>
        <w:rPr>
          <w:rFonts w:ascii="Verdana" w:eastAsia="Calibri" w:hAnsi="Verdana" w:cs="Times New Roman"/>
          <w:b/>
        </w:rPr>
      </w:pPr>
      <w:r w:rsidRPr="00E15087">
        <w:rPr>
          <w:rFonts w:ascii="Verdana" w:eastAsia="Calibri" w:hAnsi="Verdana" w:cs="Times New Roman"/>
          <w:b/>
        </w:rPr>
        <w:t>Juan Esteban Quiceno Acevedo</w:t>
      </w:r>
    </w:p>
    <w:p w14:paraId="243D65FD" w14:textId="77777777" w:rsidR="00903F7C" w:rsidRPr="00E15087" w:rsidRDefault="00903F7C" w:rsidP="00903F7C">
      <w:pPr>
        <w:spacing w:after="0" w:line="240" w:lineRule="auto"/>
        <w:rPr>
          <w:rFonts w:ascii="Verdana" w:hAnsi="Verdana"/>
        </w:rPr>
      </w:pPr>
      <w:hyperlink r:id="rId12" w:history="1">
        <w:r w:rsidRPr="00E15087">
          <w:rPr>
            <w:rStyle w:val="Hipervnculo"/>
            <w:rFonts w:ascii="Verdana" w:hAnsi="Verdana"/>
          </w:rPr>
          <w:t>juanesquiceno@hotmail.com</w:t>
        </w:r>
      </w:hyperlink>
      <w:r w:rsidRPr="00E15087">
        <w:rPr>
          <w:rFonts w:ascii="Verdana" w:hAnsi="Verdana"/>
        </w:rPr>
        <w:t xml:space="preserve"> </w:t>
      </w:r>
    </w:p>
    <w:p w14:paraId="627E5DE5" w14:textId="77777777" w:rsidR="00903F7C" w:rsidRPr="00E15087" w:rsidRDefault="00903F7C" w:rsidP="00903F7C">
      <w:pPr>
        <w:spacing w:after="0" w:line="240" w:lineRule="auto"/>
        <w:rPr>
          <w:rFonts w:ascii="Verdana" w:eastAsia="Calibri" w:hAnsi="Verdana" w:cs="Times New Roman"/>
        </w:rPr>
      </w:pPr>
      <w:r w:rsidRPr="00E15087">
        <w:rPr>
          <w:rFonts w:ascii="Verdana" w:eastAsia="Calibri" w:hAnsi="Verdana" w:cs="Times New Roman"/>
        </w:rPr>
        <w:t>Envigado, Antioquia</w:t>
      </w:r>
    </w:p>
    <w:p w14:paraId="24E502DE" w14:textId="77777777" w:rsidR="00903F7C" w:rsidRDefault="00903F7C" w:rsidP="00903F7C">
      <w:pPr>
        <w:spacing w:after="0" w:line="240" w:lineRule="auto"/>
        <w:rPr>
          <w:rFonts w:ascii="Verdana" w:eastAsia="Calibri" w:hAnsi="Verdana" w:cs="Times New Roman"/>
        </w:rPr>
      </w:pPr>
    </w:p>
    <w:p w14:paraId="00ABCEFA" w14:textId="77777777" w:rsidR="00903F7C" w:rsidRPr="00A12CB6" w:rsidRDefault="00903F7C" w:rsidP="00903F7C">
      <w:pPr>
        <w:spacing w:after="0" w:line="256" w:lineRule="auto"/>
        <w:rPr>
          <w:rFonts w:ascii="Verdana" w:eastAsia="Calibri" w:hAnsi="Verdana" w:cs="Times New Roman"/>
        </w:rPr>
      </w:pPr>
    </w:p>
    <w:p w14:paraId="5A2FF581" w14:textId="77777777" w:rsidR="00903F7C" w:rsidRPr="00A12CB6" w:rsidRDefault="00903F7C" w:rsidP="00903F7C">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C- 1343 de 2025</w:t>
      </w:r>
    </w:p>
    <w:p w14:paraId="7CEA47E7" w14:textId="77777777" w:rsidR="00903F7C" w:rsidRPr="00A12CB6" w:rsidRDefault="00903F7C" w:rsidP="00903F7C">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903F7C" w:rsidRPr="00A12CB6" w14:paraId="374F2BA4" w14:textId="77777777" w:rsidTr="00C338C0">
        <w:trPr>
          <w:trHeight w:val="645"/>
        </w:trPr>
        <w:tc>
          <w:tcPr>
            <w:tcW w:w="2685" w:type="dxa"/>
            <w:hideMark/>
          </w:tcPr>
          <w:p w14:paraId="42D55FC1" w14:textId="77777777" w:rsidR="00903F7C" w:rsidRPr="00A12CB6" w:rsidRDefault="00903F7C" w:rsidP="00C338C0">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0EC74C41" w14:textId="77777777" w:rsidR="00903F7C" w:rsidRPr="00273620" w:rsidRDefault="00903F7C" w:rsidP="00C338C0">
            <w:pPr>
              <w:spacing w:line="276" w:lineRule="auto"/>
              <w:jc w:val="both"/>
              <w:rPr>
                <w:rFonts w:ascii="Verdana" w:hAnsi="Verdana" w:cs="Arial"/>
                <w:lang w:val="es-ES" w:eastAsia="es-ES"/>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 / LEY DE GARANTÍAS ELECTORALES – Prohibición artículo 33 – Contratación directa – Alcance / LEY DE GARANTÍAS ELECTORALES – Excepciones / LEY DE GARANTÍAS ELECTORALES – Prohibición del artículo 33 – Destinatarios / LEY DE GARANTÍAS ELECTORALES – Condiciones de igualdad – Contratación directa / </w:t>
            </w:r>
            <w:r>
              <w:rPr>
                <w:rFonts w:ascii="Verdana" w:hAnsi="Verdana" w:cs="Arial"/>
                <w:lang w:val="es-ES" w:eastAsia="es-ES_tradnl"/>
              </w:rPr>
              <w:t xml:space="preserve">ENAJENACIÓN VOLUNTARIA </w:t>
            </w:r>
            <w:r>
              <w:rPr>
                <w:rFonts w:ascii="Verdana" w:hAnsi="Verdana" w:cs="Arial"/>
                <w:lang w:val="es-MX" w:eastAsia="es-ES_tradnl"/>
              </w:rPr>
              <w:t xml:space="preserve">– Objeto – Aplicación – Ley de Garantías Electorales – Restricción- Contratación Directa. </w:t>
            </w:r>
          </w:p>
        </w:tc>
        <w:tc>
          <w:tcPr>
            <w:tcW w:w="6237" w:type="dxa"/>
          </w:tcPr>
          <w:p w14:paraId="0EC504A0" w14:textId="77777777" w:rsidR="00903F7C" w:rsidRPr="00A12CB6" w:rsidRDefault="00903F7C" w:rsidP="00C338C0">
            <w:pPr>
              <w:spacing w:line="256" w:lineRule="auto"/>
              <w:rPr>
                <w:rFonts w:ascii="Verdana" w:hAnsi="Verdana"/>
              </w:rPr>
            </w:pPr>
          </w:p>
        </w:tc>
      </w:tr>
      <w:tr w:rsidR="00903F7C" w:rsidRPr="00A12CB6" w14:paraId="00BE951C" w14:textId="77777777" w:rsidTr="00C338C0">
        <w:tc>
          <w:tcPr>
            <w:tcW w:w="2685" w:type="dxa"/>
          </w:tcPr>
          <w:p w14:paraId="734A1149" w14:textId="77777777" w:rsidR="00903F7C" w:rsidRDefault="00903F7C" w:rsidP="00C338C0">
            <w:pPr>
              <w:rPr>
                <w:rFonts w:ascii="Verdana" w:hAnsi="Verdana"/>
                <w:b/>
                <w:bCs/>
                <w:lang w:val="es-ES_tradnl"/>
              </w:rPr>
            </w:pPr>
          </w:p>
          <w:p w14:paraId="7B860E22" w14:textId="77777777" w:rsidR="00903F7C" w:rsidRDefault="00903F7C" w:rsidP="00C338C0">
            <w:pPr>
              <w:rPr>
                <w:rFonts w:ascii="Verdana" w:hAnsi="Verdana"/>
                <w:b/>
                <w:bCs/>
                <w:lang w:val="es-ES_tradnl"/>
              </w:rPr>
            </w:pPr>
          </w:p>
          <w:p w14:paraId="60D92EDA" w14:textId="77777777" w:rsidR="00903F7C" w:rsidRPr="00A12CB6" w:rsidRDefault="00903F7C" w:rsidP="00C338C0">
            <w:pPr>
              <w:rPr>
                <w:rFonts w:ascii="Verdana" w:hAnsi="Verdana"/>
                <w:b/>
                <w:bCs/>
                <w:lang w:val="es-ES_tradnl"/>
              </w:rPr>
            </w:pPr>
            <w:r w:rsidRPr="00A12CB6">
              <w:rPr>
                <w:rFonts w:ascii="Verdana" w:hAnsi="Verdana"/>
                <w:b/>
                <w:bCs/>
                <w:lang w:val="es-ES_tradnl"/>
              </w:rPr>
              <w:t xml:space="preserve">Radicación:               </w:t>
            </w:r>
          </w:p>
        </w:tc>
        <w:tc>
          <w:tcPr>
            <w:tcW w:w="6241" w:type="dxa"/>
          </w:tcPr>
          <w:p w14:paraId="06E74ED2" w14:textId="77777777" w:rsidR="00903F7C" w:rsidRPr="00273620" w:rsidRDefault="00903F7C" w:rsidP="00C338C0">
            <w:pPr>
              <w:jc w:val="both"/>
              <w:rPr>
                <w:rFonts w:ascii="Verdana" w:hAnsi="Verdana"/>
                <w:lang w:val="es-ES_tradnl"/>
              </w:rPr>
            </w:pPr>
          </w:p>
          <w:p w14:paraId="72C777CC" w14:textId="77777777" w:rsidR="00903F7C" w:rsidRPr="00273620" w:rsidRDefault="00903F7C" w:rsidP="00C338C0">
            <w:pPr>
              <w:jc w:val="both"/>
              <w:rPr>
                <w:rFonts w:ascii="Verdana" w:hAnsi="Verdana"/>
                <w:lang w:val="es-ES_tradnl"/>
              </w:rPr>
            </w:pPr>
          </w:p>
          <w:p w14:paraId="694BBF13" w14:textId="77777777" w:rsidR="00903F7C" w:rsidRPr="00E15087" w:rsidRDefault="00903F7C" w:rsidP="00C338C0">
            <w:pPr>
              <w:jc w:val="both"/>
              <w:rPr>
                <w:rFonts w:ascii="Verdana" w:hAnsi="Verdana"/>
                <w:lang w:val="es-ES_tradnl"/>
              </w:rPr>
            </w:pPr>
            <w:r w:rsidRPr="00273620">
              <w:rPr>
                <w:rFonts w:ascii="Verdana" w:hAnsi="Verdana"/>
                <w:lang w:val="es-ES_tradnl"/>
              </w:rPr>
              <w:t>Respuesta a consulta con radicado No.</w:t>
            </w:r>
            <w:r w:rsidRPr="00E15087">
              <w:rPr>
                <w:rFonts w:ascii="Segoe UI" w:eastAsiaTheme="minorHAnsi" w:hAnsi="Segoe UI" w:cs="Segoe UI"/>
                <w:color w:val="2B2B2B"/>
                <w:sz w:val="27"/>
                <w:szCs w:val="27"/>
                <w:shd w:val="clear" w:color="auto" w:fill="FFFFFF"/>
              </w:rPr>
              <w:t xml:space="preserve"> </w:t>
            </w:r>
            <w:r w:rsidRPr="00E15087">
              <w:rPr>
                <w:rFonts w:ascii="Verdana" w:hAnsi="Verdana"/>
              </w:rPr>
              <w:t>1_2025_09_18_010293</w:t>
            </w:r>
            <w:r w:rsidRPr="00273620">
              <w:rPr>
                <w:rFonts w:ascii="Verdana" w:hAnsi="Verdana"/>
                <w:lang w:val="es-ES_tradnl"/>
              </w:rPr>
              <w:t xml:space="preserve"> </w:t>
            </w:r>
          </w:p>
          <w:p w14:paraId="19EE2062" w14:textId="77777777" w:rsidR="00903F7C" w:rsidRPr="00273620" w:rsidRDefault="00903F7C" w:rsidP="00C338C0">
            <w:pPr>
              <w:jc w:val="both"/>
              <w:rPr>
                <w:rFonts w:ascii="Verdana" w:hAnsi="Verdana"/>
              </w:rPr>
            </w:pPr>
          </w:p>
          <w:p w14:paraId="5F5D1954" w14:textId="77777777" w:rsidR="00903F7C" w:rsidRPr="00273620" w:rsidRDefault="00903F7C" w:rsidP="00C338C0">
            <w:pPr>
              <w:jc w:val="both"/>
              <w:rPr>
                <w:rFonts w:ascii="Verdana" w:hAnsi="Verdana"/>
              </w:rPr>
            </w:pPr>
          </w:p>
        </w:tc>
        <w:tc>
          <w:tcPr>
            <w:tcW w:w="6237" w:type="dxa"/>
          </w:tcPr>
          <w:p w14:paraId="11A1A188" w14:textId="77777777" w:rsidR="00903F7C" w:rsidRPr="00A12CB6" w:rsidRDefault="00903F7C" w:rsidP="00C338C0">
            <w:pPr>
              <w:spacing w:line="256" w:lineRule="auto"/>
              <w:rPr>
                <w:rFonts w:ascii="Verdana" w:hAnsi="Verdana"/>
                <w:lang w:val="es-ES_tradnl"/>
              </w:rPr>
            </w:pPr>
          </w:p>
        </w:tc>
      </w:tr>
    </w:tbl>
    <w:p w14:paraId="2A6AF737" w14:textId="77777777" w:rsidR="00903F7C" w:rsidRPr="00A12CB6" w:rsidRDefault="00903F7C" w:rsidP="00903F7C">
      <w:pPr>
        <w:spacing w:after="0" w:line="256" w:lineRule="auto"/>
        <w:rPr>
          <w:rFonts w:ascii="Verdana" w:eastAsia="Calibri" w:hAnsi="Verdana" w:cs="Times New Roman"/>
          <w:lang w:val="es-ES"/>
        </w:rPr>
      </w:pPr>
      <w:r>
        <w:rPr>
          <w:rFonts w:ascii="Verdana" w:eastAsia="Calibri" w:hAnsi="Verdana" w:cs="Times New Roman"/>
          <w:lang w:val="es-ES"/>
        </w:rPr>
        <w:t xml:space="preserve">Estimado Señor Quiceno: </w:t>
      </w:r>
    </w:p>
    <w:p w14:paraId="649ABA9E" w14:textId="77777777" w:rsidR="00903F7C" w:rsidRPr="00A12CB6" w:rsidRDefault="00903F7C" w:rsidP="00903F7C">
      <w:pPr>
        <w:spacing w:after="0" w:line="256" w:lineRule="auto"/>
        <w:rPr>
          <w:rFonts w:ascii="Verdana" w:eastAsia="Calibri" w:hAnsi="Verdana" w:cs="Times New Roman"/>
          <w:lang w:val="es-ES"/>
        </w:rPr>
      </w:pPr>
    </w:p>
    <w:p w14:paraId="1EF6293D" w14:textId="77777777" w:rsidR="00903F7C" w:rsidRDefault="00903F7C" w:rsidP="00903F7C">
      <w:pPr>
        <w:spacing w:after="0" w:line="276" w:lineRule="auto"/>
        <w:jc w:val="both"/>
        <w:rPr>
          <w:rFonts w:ascii="Verdana" w:eastAsia="Calibri" w:hAnsi="Verdana" w:cs="Times New Roman"/>
        </w:rPr>
      </w:pPr>
      <w:r w:rsidRPr="005D3C67">
        <w:rPr>
          <w:rFonts w:ascii="Verdana" w:eastAsia="Calibri" w:hAnsi="Verdana" w:cs="Times New Roman"/>
          <w:bCs/>
          <w:lang w:val="es-ES" w:bidi="es-ES"/>
        </w:rPr>
        <w:t xml:space="preserve">En ejercicio de la competencia otorgada por los artículos 3, numeral 5º, y 11, numeral 8º, del Decreto Ley 4170 de 2011, </w:t>
      </w:r>
      <w:r w:rsidRPr="005D3C67">
        <w:rPr>
          <w:rFonts w:ascii="Verdana" w:eastAsia="Calibri" w:hAnsi="Verdana" w:cs="Times New Roman"/>
          <w:bCs/>
        </w:rPr>
        <w:t xml:space="preserve">así como lo establecido por la Resolución 469 de 2025 expedida por esta Entidad, </w:t>
      </w:r>
      <w:r w:rsidRPr="005D3C67">
        <w:rPr>
          <w:rFonts w:ascii="Verdana" w:eastAsia="Calibri" w:hAnsi="Verdana" w:cs="Times New Roman"/>
          <w:bCs/>
          <w:lang w:val="es-ES" w:bidi="es-ES"/>
        </w:rPr>
        <w:t>la Agencia Nacional de Contratación Pública – Colombia Compra Eficiente–</w:t>
      </w:r>
      <w:r>
        <w:rPr>
          <w:rFonts w:ascii="Verdana" w:eastAsia="Calibri" w:hAnsi="Verdana" w:cs="Times New Roman"/>
          <w:lang w:val="es-ES"/>
        </w:rPr>
        <w:t xml:space="preserve"> </w:t>
      </w:r>
      <w:r w:rsidRPr="00A12061">
        <w:rPr>
          <w:rFonts w:ascii="Verdana" w:eastAsia="Calibri" w:hAnsi="Verdana" w:cs="Times New Roman"/>
          <w:lang w:val="es-ES"/>
        </w:rPr>
        <w:t>responde la solicit</w:t>
      </w:r>
      <w:r>
        <w:rPr>
          <w:rFonts w:ascii="Verdana" w:eastAsia="Calibri" w:hAnsi="Verdana" w:cs="Times New Roman"/>
          <w:lang w:val="es-ES"/>
        </w:rPr>
        <w:t>ud de consulta presentada el 18 de septiembre de 2025, en la cual manifiesta</w:t>
      </w:r>
      <w:r w:rsidRPr="00A12061">
        <w:rPr>
          <w:rFonts w:ascii="Verdana" w:eastAsia="Calibri" w:hAnsi="Verdana" w:cs="Times New Roman"/>
          <w:lang w:val="es-ES"/>
        </w:rPr>
        <w:t>:</w:t>
      </w:r>
      <w:r w:rsidRPr="000D6D0E">
        <w:rPr>
          <w:rFonts w:ascii="Verdana" w:eastAsia="Calibri" w:hAnsi="Verdana" w:cs="Times New Roman"/>
        </w:rPr>
        <w:t xml:space="preserve"> </w:t>
      </w:r>
    </w:p>
    <w:p w14:paraId="6498BF42" w14:textId="77777777" w:rsidR="00903F7C" w:rsidRPr="004252BF" w:rsidRDefault="00903F7C" w:rsidP="00903F7C">
      <w:pPr>
        <w:spacing w:after="0" w:line="240" w:lineRule="auto"/>
        <w:ind w:right="709"/>
        <w:jc w:val="both"/>
        <w:rPr>
          <w:rFonts w:ascii="Verdana" w:eastAsia="Calibri" w:hAnsi="Verdana" w:cs="Times New Roman"/>
          <w:iCs/>
          <w:sz w:val="20"/>
        </w:rPr>
      </w:pPr>
    </w:p>
    <w:p w14:paraId="52EE265C" w14:textId="77777777" w:rsidR="00903F7C" w:rsidRPr="00E15087" w:rsidRDefault="00903F7C" w:rsidP="00903F7C">
      <w:pPr>
        <w:pStyle w:val="Prrafodelista"/>
        <w:spacing w:after="0" w:line="240" w:lineRule="auto"/>
        <w:ind w:right="709"/>
        <w:contextualSpacing w:val="0"/>
        <w:jc w:val="both"/>
        <w:rPr>
          <w:rFonts w:ascii="Verdana" w:eastAsia="Calibri" w:hAnsi="Verdana" w:cs="Times New Roman"/>
          <w:iCs/>
          <w:sz w:val="20"/>
          <w:szCs w:val="20"/>
          <w:lang w:val="es-CO"/>
        </w:rPr>
      </w:pPr>
      <w:r w:rsidRPr="00F37ED5">
        <w:rPr>
          <w:rFonts w:ascii="Verdana" w:eastAsia="Calibri" w:hAnsi="Verdana" w:cs="Times New Roman"/>
          <w:iCs/>
          <w:sz w:val="20"/>
          <w:szCs w:val="20"/>
        </w:rPr>
        <w:t>“</w:t>
      </w:r>
      <w:r w:rsidRPr="00E15087">
        <w:rPr>
          <w:rFonts w:ascii="Verdana" w:eastAsia="Calibri" w:hAnsi="Verdana" w:cs="Times New Roman"/>
          <w:iCs/>
          <w:sz w:val="20"/>
          <w:szCs w:val="20"/>
          <w:lang w:val="es-CO"/>
        </w:rPr>
        <w:t>¿La promesa de compraventa y la escritura pública de compraventa para la</w:t>
      </w:r>
      <w:r>
        <w:rPr>
          <w:rFonts w:ascii="Verdana" w:eastAsia="Calibri" w:hAnsi="Verdana" w:cs="Times New Roman"/>
          <w:iCs/>
          <w:sz w:val="20"/>
          <w:szCs w:val="20"/>
          <w:lang w:val="es-CO"/>
        </w:rPr>
        <w:t xml:space="preserve"> </w:t>
      </w:r>
      <w:r w:rsidRPr="00E15087">
        <w:rPr>
          <w:rFonts w:ascii="Verdana" w:eastAsia="Calibri" w:hAnsi="Verdana" w:cs="Times New Roman"/>
          <w:iCs/>
          <w:sz w:val="20"/>
          <w:szCs w:val="20"/>
          <w:lang w:val="es-CO"/>
        </w:rPr>
        <w:t>adquisición de bienes inmuebles en el marco de la</w:t>
      </w:r>
      <w:r>
        <w:rPr>
          <w:rFonts w:ascii="Verdana" w:eastAsia="Calibri" w:hAnsi="Verdana" w:cs="Times New Roman"/>
          <w:iCs/>
          <w:sz w:val="20"/>
          <w:szCs w:val="20"/>
          <w:lang w:val="es-CO"/>
        </w:rPr>
        <w:t xml:space="preserve"> Ley 9 de 1989, Ley 388 de 1997 </w:t>
      </w:r>
      <w:r w:rsidRPr="00E15087">
        <w:rPr>
          <w:rFonts w:ascii="Verdana" w:eastAsia="Calibri" w:hAnsi="Verdana" w:cs="Times New Roman"/>
          <w:iCs/>
          <w:sz w:val="20"/>
          <w:szCs w:val="20"/>
          <w:lang w:val="es-CO"/>
        </w:rPr>
        <w:t>y 1682 de 2013 están restringidas en el periodo de ley de garantías por elección</w:t>
      </w:r>
      <w:r>
        <w:rPr>
          <w:rFonts w:ascii="Verdana" w:eastAsia="Calibri" w:hAnsi="Verdana" w:cs="Times New Roman"/>
          <w:iCs/>
          <w:sz w:val="20"/>
          <w:szCs w:val="20"/>
          <w:lang w:val="es-CO"/>
        </w:rPr>
        <w:t xml:space="preserve"> </w:t>
      </w:r>
      <w:r w:rsidRPr="00E15087">
        <w:rPr>
          <w:rFonts w:ascii="Verdana" w:eastAsia="Calibri" w:hAnsi="Verdana" w:cs="Times New Roman"/>
          <w:iCs/>
          <w:sz w:val="20"/>
          <w:szCs w:val="20"/>
          <w:lang w:val="es-CO"/>
        </w:rPr>
        <w:t>presidencial?”</w:t>
      </w:r>
    </w:p>
    <w:p w14:paraId="15427A08" w14:textId="77777777" w:rsidR="00903F7C" w:rsidRPr="0038606D" w:rsidRDefault="00903F7C" w:rsidP="00903F7C">
      <w:pPr>
        <w:spacing w:after="0" w:line="240" w:lineRule="auto"/>
        <w:ind w:right="709"/>
        <w:jc w:val="both"/>
        <w:rPr>
          <w:rFonts w:ascii="Verdana" w:eastAsia="Calibri" w:hAnsi="Verdana" w:cs="Times New Roman"/>
          <w:i/>
          <w:iCs/>
          <w:sz w:val="20"/>
        </w:rPr>
      </w:pPr>
    </w:p>
    <w:p w14:paraId="325039E2" w14:textId="77777777" w:rsidR="00903F7C" w:rsidRPr="00A12CB6" w:rsidRDefault="00903F7C" w:rsidP="00903F7C">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AC956B0" w14:textId="77777777" w:rsidR="00903F7C" w:rsidRPr="00A12CB6" w:rsidRDefault="00903F7C" w:rsidP="00903F7C">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el problema jurídico de su consulta. </w:t>
      </w:r>
    </w:p>
    <w:p w14:paraId="290F71A2" w14:textId="77777777" w:rsidR="00903F7C" w:rsidRPr="00A12CB6" w:rsidRDefault="00903F7C" w:rsidP="00903F7C">
      <w:pPr>
        <w:spacing w:after="0" w:line="276" w:lineRule="auto"/>
        <w:rPr>
          <w:rFonts w:ascii="Verdana" w:eastAsia="Calibri" w:hAnsi="Verdana" w:cs="Times New Roman"/>
          <w:lang w:val="es-ES"/>
        </w:rPr>
      </w:pPr>
    </w:p>
    <w:p w14:paraId="50872992" w14:textId="77777777" w:rsidR="00903F7C" w:rsidRPr="00A12CB6" w:rsidRDefault="00903F7C" w:rsidP="00903F7C">
      <w:pPr>
        <w:numPr>
          <w:ilvl w:val="0"/>
          <w:numId w:val="19"/>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6C529815" w14:textId="77777777" w:rsidR="00903F7C" w:rsidRPr="00A12CB6" w:rsidRDefault="00903F7C" w:rsidP="00903F7C">
      <w:pPr>
        <w:spacing w:after="0" w:line="276" w:lineRule="auto"/>
        <w:rPr>
          <w:rFonts w:ascii="Verdana" w:eastAsia="Calibri" w:hAnsi="Verdana" w:cs="Times New Roman"/>
        </w:rPr>
      </w:pPr>
    </w:p>
    <w:p w14:paraId="37A159DC" w14:textId="77777777" w:rsidR="00903F7C" w:rsidRPr="008A0221" w:rsidRDefault="00903F7C" w:rsidP="00903F7C">
      <w:pPr>
        <w:spacing w:after="0" w:line="276" w:lineRule="auto"/>
        <w:jc w:val="both"/>
        <w:rPr>
          <w:rFonts w:ascii="Verdana" w:eastAsia="Calibri" w:hAnsi="Verdana" w:cs="Times New Roman"/>
          <w:iCs/>
        </w:rPr>
      </w:pPr>
      <w:r w:rsidRPr="134495F9">
        <w:rPr>
          <w:rFonts w:ascii="Verdana" w:eastAsia="Calibri" w:hAnsi="Verdana" w:cs="Times New Roman"/>
        </w:rPr>
        <w:t>De acuerdo con el contenido de sus solicitudes, esta Agencia procede a resolver</w:t>
      </w:r>
      <w:r>
        <w:rPr>
          <w:rFonts w:ascii="Verdana" w:eastAsia="Calibri" w:hAnsi="Verdana" w:cs="Times New Roman"/>
        </w:rPr>
        <w:t xml:space="preserve"> el siguiente problema jurídico</w:t>
      </w:r>
      <w:r w:rsidRPr="134495F9">
        <w:rPr>
          <w:rFonts w:ascii="Verdana" w:eastAsia="Calibri" w:hAnsi="Verdana" w:cs="Times New Roman"/>
        </w:rPr>
        <w:t>:</w:t>
      </w:r>
      <w:r>
        <w:rPr>
          <w:rFonts w:ascii="Verdana" w:eastAsia="Calibri" w:hAnsi="Verdana" w:cs="Times New Roman"/>
          <w:iCs/>
          <w:lang w:val="es-ES"/>
        </w:rPr>
        <w:t xml:space="preserve"> </w:t>
      </w:r>
      <w:r w:rsidRPr="00E15087">
        <w:rPr>
          <w:rFonts w:ascii="Verdana" w:eastAsia="Calibri" w:hAnsi="Verdana" w:cs="Times New Roman"/>
          <w:iCs/>
          <w:lang w:val="es-ES"/>
        </w:rPr>
        <w:t>¿La celebración de promesas de compraventa o escrituras públicas por parte de entidades estatales para adquirir predios se considera</w:t>
      </w:r>
      <w:r>
        <w:rPr>
          <w:rFonts w:ascii="Verdana" w:eastAsia="Calibri" w:hAnsi="Verdana" w:cs="Times New Roman"/>
          <w:iCs/>
          <w:lang w:val="es-ES"/>
        </w:rPr>
        <w:t xml:space="preserve"> que se adelante por</w:t>
      </w:r>
      <w:r w:rsidRPr="00E15087">
        <w:rPr>
          <w:rFonts w:ascii="Verdana" w:eastAsia="Calibri" w:hAnsi="Verdana" w:cs="Times New Roman"/>
          <w:iCs/>
          <w:lang w:val="es-ES"/>
        </w:rPr>
        <w:t xml:space="preserve"> contratación directa y, por tanto, está restringida durante la Ley de Garantías Electorales?</w:t>
      </w:r>
    </w:p>
    <w:p w14:paraId="44012D0E" w14:textId="77777777" w:rsidR="00903F7C" w:rsidRPr="008A0221" w:rsidRDefault="00903F7C" w:rsidP="00903F7C">
      <w:pPr>
        <w:spacing w:after="0" w:line="276" w:lineRule="auto"/>
        <w:jc w:val="both"/>
        <w:rPr>
          <w:rFonts w:ascii="Verdana" w:eastAsia="Calibri" w:hAnsi="Verdana" w:cs="Times New Roman"/>
          <w:i/>
          <w:iCs/>
        </w:rPr>
      </w:pPr>
    </w:p>
    <w:p w14:paraId="7C2A4DA5" w14:textId="77777777" w:rsidR="00903F7C" w:rsidRDefault="00903F7C" w:rsidP="00903F7C">
      <w:pPr>
        <w:numPr>
          <w:ilvl w:val="0"/>
          <w:numId w:val="19"/>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7DF1B1CB" w14:textId="77777777" w:rsidR="00903F7C" w:rsidRPr="00A12CB6" w:rsidRDefault="00903F7C" w:rsidP="00903F7C">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903F7C" w:rsidRPr="001205D1" w14:paraId="1B1F085C" w14:textId="77777777" w:rsidTr="00C338C0">
        <w:trPr>
          <w:trHeight w:val="345"/>
          <w:jc w:val="center"/>
        </w:trPr>
        <w:tc>
          <w:tcPr>
            <w:tcW w:w="8784" w:type="dxa"/>
            <w:tcBorders>
              <w:bottom w:val="single" w:sz="4" w:space="0" w:color="auto"/>
            </w:tcBorders>
          </w:tcPr>
          <w:p w14:paraId="3C3EA684" w14:textId="77777777" w:rsidR="00903F7C" w:rsidRPr="00164B69" w:rsidRDefault="00903F7C" w:rsidP="00C338C0">
            <w:pPr>
              <w:spacing w:before="120" w:after="120" w:line="276" w:lineRule="auto"/>
              <w:jc w:val="both"/>
              <w:rPr>
                <w:rFonts w:ascii="Verdana" w:eastAsia="Times New Roman" w:hAnsi="Verdana" w:cs="Arial"/>
                <w:bCs/>
                <w:lang w:val="es-MX" w:eastAsia="x-none"/>
              </w:rPr>
            </w:pPr>
            <w:r>
              <w:rPr>
                <w:rFonts w:ascii="Verdana" w:eastAsia="Calibri" w:hAnsi="Verdana" w:cs="Times New Roman"/>
              </w:rPr>
              <w:t xml:space="preserve">En cuanto al problema jurídico, objeto de consulta, se precisa que </w:t>
            </w:r>
            <w:r>
              <w:rPr>
                <w:rFonts w:ascii="Verdana" w:eastAsia="Calibri" w:hAnsi="Verdana" w:cs="Arial"/>
                <w:lang w:val="es-MX"/>
              </w:rPr>
              <w:t>la restricción prevista en el artículo 33 de la</w:t>
            </w:r>
            <w:r w:rsidRPr="0057193B">
              <w:rPr>
                <w:rFonts w:ascii="Verdana" w:eastAsia="Calibri" w:hAnsi="Verdana" w:cs="Arial"/>
                <w:lang w:val="es-MX"/>
              </w:rPr>
              <w:t xml:space="preserve"> Ley 996 de 2005 </w:t>
            </w:r>
            <w:r w:rsidRPr="0057193B">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w:t>
            </w:r>
            <w:r>
              <w:rPr>
                <w:rFonts w:ascii="Verdana" w:eastAsia="Times New Roman" w:hAnsi="Verdana" w:cs="Arial"/>
                <w:bCs/>
                <w:lang w:val="es-MX" w:eastAsia="x-none"/>
              </w:rPr>
              <w:t xml:space="preserve">. </w:t>
            </w:r>
            <w:r>
              <w:rPr>
                <w:rFonts w:ascii="Verdana" w:eastAsia="Times New Roman" w:hAnsi="Verdana" w:cs="Arial"/>
                <w:lang w:val="es-ES" w:eastAsia="es-ES_tradnl"/>
              </w:rPr>
              <w:t>En virtud de esta restricción, se precisa que</w:t>
            </w:r>
            <w:r w:rsidRPr="00E8636D">
              <w:rPr>
                <w:rFonts w:ascii="Verdana" w:eastAsia="Times New Roman" w:hAnsi="Verdana" w:cs="Arial"/>
                <w:lang w:val="es-ES" w:eastAsia="es-ES_tradnl"/>
              </w:rPr>
              <w:t xml:space="preserve"> la adquisic</w:t>
            </w:r>
            <w:r>
              <w:rPr>
                <w:rFonts w:ascii="Verdana" w:eastAsia="Times New Roman" w:hAnsi="Verdana" w:cs="Arial"/>
                <w:lang w:val="es-ES" w:eastAsia="es-ES_tradnl"/>
              </w:rPr>
              <w:t xml:space="preserve">ión de los predios </w:t>
            </w:r>
            <w:r w:rsidRPr="00E8636D">
              <w:rPr>
                <w:rFonts w:ascii="Verdana" w:eastAsia="Times New Roman" w:hAnsi="Verdana" w:cs="Arial"/>
                <w:lang w:val="es-ES" w:eastAsia="es-ES_tradnl"/>
              </w:rPr>
              <w:t>que se realice p</w:t>
            </w:r>
            <w:r>
              <w:rPr>
                <w:rFonts w:ascii="Verdana" w:eastAsia="Times New Roman" w:hAnsi="Verdana" w:cs="Arial"/>
                <w:lang w:val="es-ES" w:eastAsia="es-ES_tradnl"/>
              </w:rPr>
              <w:t>or enajenación voluntaria está</w:t>
            </w:r>
            <w:r w:rsidRPr="00E8636D">
              <w:rPr>
                <w:rFonts w:ascii="Verdana" w:eastAsia="Times New Roman" w:hAnsi="Verdana" w:cs="Arial"/>
                <w:lang w:val="es-ES" w:eastAsia="es-ES_tradnl"/>
              </w:rPr>
              <w:t xml:space="preserve"> </w:t>
            </w:r>
            <w:r w:rsidRPr="00E8636D">
              <w:rPr>
                <w:rFonts w:ascii="Verdana" w:eastAsia="Times New Roman" w:hAnsi="Verdana" w:cs="Arial"/>
                <w:lang w:val="es-ES" w:eastAsia="es-ES_tradnl"/>
              </w:rPr>
              <w:lastRenderedPageBreak/>
              <w:t>sometida a un régimen especial de contratación. Si</w:t>
            </w:r>
            <w:r>
              <w:rPr>
                <w:rFonts w:ascii="Verdana" w:eastAsia="Times New Roman" w:hAnsi="Verdana" w:cs="Arial"/>
                <w:lang w:val="es-ES" w:eastAsia="es-ES_tradnl"/>
              </w:rPr>
              <w:t>n embargo, como se explicó en las razones de la respuesta</w:t>
            </w:r>
            <w:r w:rsidRPr="00E8636D">
              <w:rPr>
                <w:rFonts w:ascii="Verdana" w:eastAsia="Times New Roman" w:hAnsi="Verdana" w:cs="Arial"/>
                <w:lang w:val="es-ES" w:eastAsia="es-ES_tradnl"/>
              </w:rPr>
              <w:t>, esta culmina con la suscripción de un contrato de</w:t>
            </w:r>
            <w:r>
              <w:rPr>
                <w:rFonts w:ascii="Verdana" w:eastAsia="Times New Roman" w:hAnsi="Verdana" w:cs="Arial"/>
                <w:lang w:val="es-ES" w:eastAsia="es-ES_tradnl"/>
              </w:rPr>
              <w:t xml:space="preserve"> promesa de compraventa o de</w:t>
            </w:r>
            <w:r w:rsidRPr="00E8636D">
              <w:rPr>
                <w:rFonts w:ascii="Verdana" w:eastAsia="Times New Roman" w:hAnsi="Verdana" w:cs="Arial"/>
                <w:lang w:val="es-ES" w:eastAsia="es-ES_tradnl"/>
              </w:rPr>
              <w:t xml:space="preserve"> compraventa entre la entidad y la persona, con lo cual se trata de un procedimiento de contratación estatal no competitivo que se encuentra restringido por la prohibición establecida en el artículo 33 de la Ley 996 de 2005. En contraste, cuando la adquisición ocurra por el procedimiento expropiatorio no se materializa en la celebración de un contrato. </w:t>
            </w:r>
          </w:p>
          <w:p w14:paraId="4A86F3D7" w14:textId="77777777" w:rsidR="00903F7C" w:rsidRDefault="00903F7C" w:rsidP="00C338C0">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En tal sentido, </w:t>
            </w:r>
            <w:r w:rsidRPr="0057193B">
              <w:rPr>
                <w:rFonts w:ascii="Verdana" w:eastAsia="Times New Roman" w:hAnsi="Verdana" w:cs="Arial"/>
                <w:bCs/>
                <w:lang w:val="es-MX" w:eastAsia="x-none"/>
              </w:rPr>
              <w:t>se reitera que la restricción</w:t>
            </w:r>
            <w:r>
              <w:rPr>
                <w:rFonts w:ascii="Verdana" w:eastAsia="Times New Roman" w:hAnsi="Verdana" w:cs="Arial"/>
                <w:bCs/>
                <w:lang w:val="es-MX" w:eastAsia="x-none"/>
              </w:rPr>
              <w:t xml:space="preserve"> del artículo 33 de la Ley 996 de 2005</w:t>
            </w:r>
            <w:r w:rsidRPr="0057193B">
              <w:rPr>
                <w:rFonts w:ascii="Verdana" w:eastAsia="Times New Roman" w:hAnsi="Verdana" w:cs="Arial"/>
                <w:bCs/>
                <w:lang w:val="es-MX" w:eastAsia="x-none"/>
              </w:rPr>
              <w:t xml:space="preserve"> aplica frente a la contratación directa, entendida como cualquier sistema de selección o procedimiento de </w:t>
            </w:r>
            <w:r>
              <w:rPr>
                <w:rFonts w:ascii="Verdana" w:eastAsia="Times New Roman" w:hAnsi="Verdana" w:cs="Arial"/>
                <w:bCs/>
                <w:lang w:val="es-MX" w:eastAsia="x-none"/>
              </w:rPr>
              <w:t>contratación utilizada</w:t>
            </w:r>
            <w:r w:rsidRPr="0057193B">
              <w:rPr>
                <w:rFonts w:ascii="Verdana" w:eastAsia="Times New Roman" w:hAnsi="Verdana" w:cs="Arial"/>
                <w:bCs/>
                <w:lang w:val="es-MX" w:eastAsia="x-none"/>
              </w:rPr>
              <w:t xml:space="preserve"> por las entidades estatales que no incluya la convocatoria pública en alguna de sus etapas, ni permita la participación de una pluralidad de oferentes</w:t>
            </w:r>
            <w:r>
              <w:rPr>
                <w:rFonts w:ascii="Verdana" w:eastAsia="Times New Roman" w:hAnsi="Verdana" w:cs="Arial"/>
                <w:bCs/>
                <w:lang w:val="es-MX" w:eastAsia="x-none"/>
              </w:rPr>
              <w:t xml:space="preserve">, ya sea en aplicación de normas del Estatuto General de Contratación de la Administración Pública, así como de regímenes especiales. Esto,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como son: </w:t>
            </w:r>
            <w:r w:rsidRPr="00333EDB">
              <w:rPr>
                <w:rFonts w:ascii="Verdana" w:eastAsia="Times New Roman" w:hAnsi="Verdana" w:cs="Arial"/>
                <w:bCs/>
                <w:lang w:val="es-MX" w:eastAsia="x-none"/>
              </w:rPr>
              <w:t xml:space="preserve">i) la defensa y seguridad del Estado; </w:t>
            </w:r>
            <w:proofErr w:type="spellStart"/>
            <w:r w:rsidRPr="00333EDB">
              <w:rPr>
                <w:rFonts w:ascii="Verdana" w:eastAsia="Times New Roman" w:hAnsi="Verdana" w:cs="Arial"/>
                <w:bCs/>
                <w:lang w:val="es-MX" w:eastAsia="x-none"/>
              </w:rPr>
              <w:t>ii</w:t>
            </w:r>
            <w:proofErr w:type="spellEnd"/>
            <w:r w:rsidRPr="00333EDB">
              <w:rPr>
                <w:rFonts w:ascii="Verdana" w:eastAsia="Times New Roman" w:hAnsi="Verdana" w:cs="Arial"/>
                <w:bCs/>
                <w:lang w:val="es-MX" w:eastAsia="x-none"/>
              </w:rPr>
              <w:t xml:space="preserve">) los contratos de crédito público; </w:t>
            </w:r>
            <w:proofErr w:type="spellStart"/>
            <w:r w:rsidRPr="00333EDB">
              <w:rPr>
                <w:rFonts w:ascii="Verdana" w:eastAsia="Times New Roman" w:hAnsi="Verdana" w:cs="Arial"/>
                <w:bCs/>
                <w:lang w:val="es-MX" w:eastAsia="x-none"/>
              </w:rPr>
              <w:t>iii</w:t>
            </w:r>
            <w:proofErr w:type="spellEnd"/>
            <w:r w:rsidRPr="00333EDB">
              <w:rPr>
                <w:rFonts w:ascii="Verdana" w:eastAsia="Times New Roman" w:hAnsi="Verdana" w:cs="Arial"/>
                <w:bCs/>
                <w:lang w:val="es-MX" w:eastAsia="x-none"/>
              </w:rPr>
              <w:t xml:space="preserve">) los requeridos para cubrir las emergencias educativas, sanitarias y desastres; </w:t>
            </w:r>
            <w:proofErr w:type="spellStart"/>
            <w:r w:rsidRPr="00333EDB">
              <w:rPr>
                <w:rFonts w:ascii="Verdana" w:eastAsia="Times New Roman" w:hAnsi="Verdana" w:cs="Arial"/>
                <w:bCs/>
                <w:lang w:val="es-MX" w:eastAsia="x-none"/>
              </w:rPr>
              <w:t>iv</w:t>
            </w:r>
            <w:proofErr w:type="spellEnd"/>
            <w:r w:rsidRPr="00333ED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645496F" w14:textId="77777777" w:rsidR="00903F7C" w:rsidRPr="00164B69" w:rsidRDefault="00903F7C" w:rsidP="00C338C0">
            <w:pPr>
              <w:spacing w:after="120" w:line="276" w:lineRule="auto"/>
              <w:ind w:firstLine="708"/>
              <w:jc w:val="both"/>
              <w:rPr>
                <w:rFonts w:ascii="Verdana" w:eastAsia="Calibri" w:hAnsi="Verdana" w:cs="Arial"/>
                <w:lang w:val="es-ES"/>
              </w:rPr>
            </w:pPr>
            <w:r w:rsidRPr="006B14B5">
              <w:rPr>
                <w:rFonts w:ascii="Verdana" w:eastAsia="Times New Roman" w:hAnsi="Verdana" w:cs="Arial"/>
                <w:color w:val="000000"/>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Pr>
                <w:rFonts w:ascii="Verdana" w:eastAsia="Times New Roman" w:hAnsi="Verdana" w:cs="Arial"/>
                <w:color w:val="000000"/>
                <w:lang w:val="es-ES" w:eastAsia="es-ES"/>
              </w:rPr>
              <w:t>establecerá</w:t>
            </w:r>
            <w:r w:rsidRPr="006B14B5">
              <w:rPr>
                <w:rFonts w:ascii="Verdana" w:eastAsia="Times New Roman" w:hAnsi="Verdana" w:cs="Arial"/>
                <w:color w:val="000000"/>
                <w:lang w:val="es-ES" w:eastAsia="es-ES"/>
              </w:rPr>
              <w:t xml:space="preserve"> la forma de adelantar su gestión contractual, sin que sea atribución de la Agencia Nacional de Contratación Pública - Colombia Compra Eficiente</w:t>
            </w:r>
            <w:r>
              <w:rPr>
                <w:rFonts w:ascii="Verdana" w:eastAsia="Times New Roman" w:hAnsi="Verdana" w:cs="Arial"/>
                <w:color w:val="000000"/>
                <w:lang w:val="es-ES" w:eastAsia="es-ES"/>
              </w:rPr>
              <w:t xml:space="preserve"> validarla</w:t>
            </w:r>
            <w:r w:rsidRPr="006B14B5">
              <w:rPr>
                <w:rFonts w:ascii="Verdana" w:eastAsia="Times New Roman" w:hAnsi="Verdana" w:cs="Arial"/>
                <w:color w:val="000000"/>
                <w:lang w:val="es-ES" w:eastAsia="es-ES"/>
              </w:rPr>
              <w:t xml:space="preserve">. </w:t>
            </w:r>
          </w:p>
        </w:tc>
      </w:tr>
    </w:tbl>
    <w:p w14:paraId="10906D85" w14:textId="77777777" w:rsidR="00903F7C" w:rsidRPr="00A12CB6" w:rsidRDefault="00903F7C" w:rsidP="00903F7C">
      <w:pPr>
        <w:spacing w:after="0" w:line="276" w:lineRule="auto"/>
        <w:jc w:val="both"/>
        <w:rPr>
          <w:rFonts w:ascii="Verdana" w:eastAsia="Calibri" w:hAnsi="Verdana" w:cs="Arial"/>
          <w:bCs/>
          <w:color w:val="000000" w:themeColor="text1"/>
        </w:rPr>
      </w:pPr>
    </w:p>
    <w:p w14:paraId="0FC62E5B" w14:textId="77777777" w:rsidR="00903F7C" w:rsidRPr="0093558D" w:rsidRDefault="00903F7C" w:rsidP="00903F7C">
      <w:pPr>
        <w:numPr>
          <w:ilvl w:val="0"/>
          <w:numId w:val="19"/>
        </w:numPr>
        <w:tabs>
          <w:tab w:val="left" w:pos="2268"/>
        </w:tabs>
        <w:spacing w:after="0" w:line="276" w:lineRule="auto"/>
        <w:rPr>
          <w:rFonts w:ascii="Verdana" w:eastAsia="Calibri" w:hAnsi="Verdana" w:cs="Times New Roman"/>
          <w:b/>
          <w:bCs/>
          <w:lang w:val="es-ES"/>
        </w:rPr>
      </w:pPr>
      <w:r w:rsidRPr="134495F9">
        <w:rPr>
          <w:rFonts w:ascii="Verdana" w:eastAsia="Calibri" w:hAnsi="Verdana" w:cs="Times New Roman"/>
          <w:b/>
          <w:bCs/>
          <w:lang w:val="es-ES"/>
        </w:rPr>
        <w:lastRenderedPageBreak/>
        <w:t>Razones de la respuesta:</w:t>
      </w:r>
    </w:p>
    <w:p w14:paraId="40ED24E3" w14:textId="77777777" w:rsidR="00903F7C" w:rsidRPr="00A12CB6" w:rsidRDefault="00903F7C" w:rsidP="00903F7C">
      <w:pPr>
        <w:spacing w:after="0" w:line="276" w:lineRule="auto"/>
        <w:rPr>
          <w:rFonts w:ascii="Verdana" w:eastAsia="Calibri" w:hAnsi="Verdana" w:cs="Times New Roman"/>
          <w:b/>
          <w:bCs/>
          <w:lang w:val="es-ES"/>
        </w:rPr>
      </w:pPr>
    </w:p>
    <w:p w14:paraId="64ACEB69" w14:textId="77777777" w:rsidR="00903F7C" w:rsidRPr="00A12CB6" w:rsidRDefault="00903F7C" w:rsidP="00903F7C">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58CFF7E8" w14:textId="77777777" w:rsidR="00903F7C" w:rsidRPr="00E2397D" w:rsidRDefault="00903F7C" w:rsidP="00903F7C">
      <w:pPr>
        <w:spacing w:after="0" w:line="276" w:lineRule="auto"/>
        <w:jc w:val="both"/>
        <w:rPr>
          <w:rFonts w:ascii="Verdana" w:eastAsia="Calibri" w:hAnsi="Verdana" w:cs="Arial"/>
          <w:color w:val="000000" w:themeColor="text1"/>
        </w:rPr>
      </w:pPr>
    </w:p>
    <w:p w14:paraId="3D66542D" w14:textId="77777777" w:rsidR="00903F7C" w:rsidRPr="002D6B43" w:rsidRDefault="00903F7C" w:rsidP="00903F7C">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2"/>
      </w:r>
      <w:r w:rsidRPr="002D6B43">
        <w:rPr>
          <w:rFonts w:ascii="Verdana" w:eastAsia="Calibri" w:hAnsi="Verdana" w:cs="Arial"/>
        </w:rPr>
        <w:t xml:space="preserve">. </w:t>
      </w:r>
    </w:p>
    <w:p w14:paraId="19B81479" w14:textId="77777777" w:rsidR="00903F7C" w:rsidRPr="006B14B5" w:rsidRDefault="00903F7C" w:rsidP="00903F7C">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1"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3"/>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1"/>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45F61C6E" w14:textId="77777777" w:rsidR="00903F7C" w:rsidRPr="00E2397D" w:rsidRDefault="00903F7C" w:rsidP="00903F7C">
      <w:pPr>
        <w:spacing w:after="0" w:line="276" w:lineRule="auto"/>
        <w:ind w:right="709"/>
        <w:contextualSpacing/>
        <w:jc w:val="both"/>
        <w:rPr>
          <w:rFonts w:ascii="Verdana" w:eastAsia="Times New Roman" w:hAnsi="Verdana" w:cs="Arial"/>
          <w:lang w:val="es-ES" w:eastAsia="es-CO"/>
        </w:rPr>
      </w:pPr>
    </w:p>
    <w:p w14:paraId="0DAD83D4" w14:textId="77777777" w:rsidR="00903F7C" w:rsidRPr="00E2397D" w:rsidRDefault="00903F7C" w:rsidP="00903F7C">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54A703A7" w14:textId="77777777" w:rsidR="00903F7C" w:rsidRPr="00E2397D" w:rsidRDefault="00903F7C" w:rsidP="00903F7C">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2643FAE1" w14:textId="77777777" w:rsidR="00903F7C" w:rsidRPr="00E2397D" w:rsidRDefault="00903F7C" w:rsidP="00903F7C">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w:t>
      </w:r>
      <w:r w:rsidRPr="00E2397D">
        <w:rPr>
          <w:rFonts w:ascii="Verdana" w:eastAsia="Times New Roman" w:hAnsi="Verdana" w:cs="Arial"/>
          <w:sz w:val="20"/>
          <w:szCs w:val="20"/>
          <w:lang w:val="es-MX" w:eastAsia="es-CO"/>
        </w:rPr>
        <w:lastRenderedPageBreak/>
        <w:t>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4"/>
      </w:r>
    </w:p>
    <w:p w14:paraId="18FC6215" w14:textId="77777777" w:rsidR="00903F7C" w:rsidRPr="00E2397D" w:rsidRDefault="00903F7C" w:rsidP="00903F7C">
      <w:pPr>
        <w:spacing w:after="0" w:line="276" w:lineRule="auto"/>
        <w:ind w:firstLine="709"/>
        <w:jc w:val="both"/>
        <w:rPr>
          <w:rFonts w:ascii="Verdana" w:eastAsia="Times New Roman" w:hAnsi="Verdana" w:cs="Arial"/>
          <w:lang w:val="es-MX" w:eastAsia="es-CO"/>
        </w:rPr>
      </w:pPr>
      <w:bookmarkStart w:id="2" w:name="_Hlk78818186"/>
    </w:p>
    <w:p w14:paraId="254B7907" w14:textId="77777777" w:rsidR="00903F7C" w:rsidRPr="00E2397D" w:rsidRDefault="00903F7C" w:rsidP="00903F7C">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2"/>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5B6EBA43" w14:textId="77777777" w:rsidR="00903F7C" w:rsidRPr="00886C02" w:rsidRDefault="00903F7C" w:rsidP="00903F7C">
      <w:pPr>
        <w:spacing w:after="0" w:line="276" w:lineRule="auto"/>
        <w:ind w:firstLine="709"/>
        <w:jc w:val="both"/>
        <w:rPr>
          <w:rFonts w:ascii="Verdana" w:eastAsia="Times New Roman" w:hAnsi="Verdana" w:cs="Arial"/>
          <w:lang w:val="es-MX" w:eastAsia="es-CO"/>
        </w:rPr>
      </w:pPr>
    </w:p>
    <w:p w14:paraId="41EC8970" w14:textId="77777777" w:rsidR="00903F7C" w:rsidRPr="00E2397D" w:rsidRDefault="00903F7C" w:rsidP="00903F7C">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A615326" w14:textId="77777777" w:rsidR="00903F7C" w:rsidRPr="00E2397D" w:rsidRDefault="00903F7C" w:rsidP="00903F7C">
      <w:pPr>
        <w:spacing w:after="0" w:line="240" w:lineRule="auto"/>
        <w:ind w:right="709"/>
        <w:contextualSpacing/>
        <w:jc w:val="both"/>
        <w:rPr>
          <w:rFonts w:ascii="Verdana" w:eastAsia="Times New Roman" w:hAnsi="Verdana" w:cs="Arial"/>
          <w:lang w:val="es-MX" w:eastAsia="es-CO"/>
        </w:rPr>
      </w:pPr>
    </w:p>
    <w:p w14:paraId="72BF9AE4" w14:textId="77777777" w:rsidR="00903F7C" w:rsidRPr="00E2397D" w:rsidRDefault="00903F7C" w:rsidP="00903F7C">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w:t>
      </w:r>
    </w:p>
    <w:p w14:paraId="3BA5FE9C" w14:textId="77777777" w:rsidR="00903F7C" w:rsidRPr="00E2397D" w:rsidRDefault="00903F7C" w:rsidP="00903F7C">
      <w:pPr>
        <w:spacing w:after="0" w:line="276" w:lineRule="auto"/>
        <w:jc w:val="both"/>
        <w:rPr>
          <w:rFonts w:ascii="Verdana" w:eastAsia="Calibri" w:hAnsi="Verdana" w:cs="Arial"/>
          <w:bCs/>
          <w:lang w:val="es-ES_tradnl"/>
        </w:rPr>
      </w:pPr>
    </w:p>
    <w:p w14:paraId="6A258228" w14:textId="77777777" w:rsidR="00903F7C" w:rsidRDefault="00903F7C" w:rsidP="00903F7C">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lastRenderedPageBreak/>
        <w:t>De</w:t>
      </w:r>
      <w:r w:rsidRPr="00E2397D">
        <w:rPr>
          <w:rFonts w:ascii="Verdana" w:eastAsia="Arial" w:hAnsi="Verdana" w:cs="Arial"/>
          <w:lang w:val="es-ES" w:eastAsia="es-ES" w:bidi="es-ES"/>
        </w:rPr>
        <w:t xml:space="preserve"> conformidad con lo anterior, </w:t>
      </w:r>
      <w:bookmarkStart w:id="3" w:name="_Hlk77236098"/>
      <w:bookmarkStart w:id="4"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3BFF306B" w14:textId="77777777" w:rsidR="00903F7C" w:rsidRPr="00E2397D" w:rsidRDefault="00903F7C" w:rsidP="00903F7C">
      <w:pPr>
        <w:spacing w:after="0" w:line="276" w:lineRule="auto"/>
        <w:ind w:firstLine="709"/>
        <w:jc w:val="both"/>
        <w:rPr>
          <w:rFonts w:ascii="Verdana" w:eastAsia="Arial" w:hAnsi="Verdana" w:cs="Arial"/>
          <w:lang w:val="es-ES" w:eastAsia="es-ES" w:bidi="es-ES"/>
        </w:rPr>
      </w:pPr>
    </w:p>
    <w:p w14:paraId="47F14453" w14:textId="77777777" w:rsidR="00903F7C" w:rsidRPr="00E2397D" w:rsidRDefault="00903F7C" w:rsidP="00903F7C">
      <w:pPr>
        <w:spacing w:after="120" w:line="276" w:lineRule="auto"/>
        <w:jc w:val="both"/>
        <w:rPr>
          <w:rFonts w:ascii="Verdana" w:eastAsia="Arial" w:hAnsi="Verdana" w:cs="Arial"/>
          <w:lang w:val="es-ES" w:eastAsia="es-ES" w:bidi="es-ES"/>
        </w:rPr>
      </w:pPr>
      <w:proofErr w:type="spellStart"/>
      <w:r w:rsidRPr="00E2397D">
        <w:rPr>
          <w:rFonts w:ascii="Verdana" w:eastAsia="Arial" w:hAnsi="Verdana" w:cs="Arial"/>
          <w:lang w:val="es-ES" w:eastAsia="es-ES" w:bidi="es-ES"/>
        </w:rPr>
        <w:t>ii</w:t>
      </w:r>
      <w:proofErr w:type="spellEnd"/>
      <w:r w:rsidRPr="00E2397D">
        <w:rPr>
          <w:rFonts w:ascii="Verdana" w:eastAsia="Arial" w:hAnsi="Verdana" w:cs="Arial"/>
          <w:lang w:val="es-ES" w:eastAsia="es-ES" w:bidi="es-ES"/>
        </w:rPr>
        <w:t>. 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0DD6FA9F" w14:textId="77777777" w:rsidR="00903F7C" w:rsidRPr="00E2397D" w:rsidRDefault="00903F7C" w:rsidP="00903F7C">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2397D">
        <w:rPr>
          <w:rFonts w:ascii="Verdana" w:eastAsia="Calibri" w:hAnsi="Verdana" w:cs="Arial"/>
          <w:vertAlign w:val="superscript"/>
        </w:rPr>
        <w:footnoteReference w:id="8"/>
      </w:r>
      <w:r w:rsidRPr="00E2397D">
        <w:rPr>
          <w:rFonts w:ascii="Verdana" w:eastAsia="Calibri" w:hAnsi="Verdana" w:cs="Arial"/>
        </w:rPr>
        <w:t>.</w:t>
      </w:r>
    </w:p>
    <w:p w14:paraId="0B5970C5" w14:textId="77777777" w:rsidR="00903F7C" w:rsidRDefault="00903F7C" w:rsidP="00903F7C">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4"/>
      <w:r w:rsidRPr="00E2397D">
        <w:rPr>
          <w:rFonts w:ascii="Verdana" w:eastAsia="Calibri" w:hAnsi="Verdana" w:cs="Arial"/>
          <w:vertAlign w:val="superscript"/>
        </w:rPr>
        <w:footnoteReference w:id="9"/>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0147E23A" w14:textId="77777777" w:rsidR="00903F7C" w:rsidRDefault="00903F7C" w:rsidP="00903F7C">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lastRenderedPageBreak/>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proofErr w:type="spellStart"/>
      <w:r w:rsidRPr="00116894">
        <w:rPr>
          <w:rFonts w:ascii="Verdana" w:eastAsia="Times New Roman" w:hAnsi="Verdana" w:cs="Arial"/>
          <w:bCs/>
          <w:i/>
          <w:iCs/>
          <w:lang w:eastAsia="es-CO"/>
        </w:rPr>
        <w:t>Proc</w:t>
      </w:r>
      <w:proofErr w:type="spellEnd"/>
      <w:r w:rsidRPr="00116894">
        <w:rPr>
          <w:rFonts w:ascii="Verdana" w:eastAsia="Times New Roman" w:hAnsi="Verdana" w:cs="Arial"/>
          <w:bCs/>
          <w:i/>
          <w:iCs/>
          <w:lang w:eastAsia="es-CO"/>
        </w:rPr>
        <w:t>.</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3DBE8870" w14:textId="77777777" w:rsidR="00903F7C" w:rsidRDefault="00903F7C" w:rsidP="00903F7C">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proofErr w:type="spellStart"/>
      <w:r w:rsidRPr="00447D82">
        <w:rPr>
          <w:rFonts w:ascii="Verdana" w:eastAsia="Times New Roman" w:hAnsi="Verdana" w:cs="Arial"/>
          <w:bCs/>
          <w:i/>
          <w:lang w:val="es-ES" w:eastAsia="es-CO"/>
        </w:rPr>
        <w:t>ibídem</w:t>
      </w:r>
      <w:proofErr w:type="spellEnd"/>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51850176" w14:textId="77777777" w:rsidR="00903F7C" w:rsidRDefault="00903F7C" w:rsidP="00903F7C">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7695E9D3" w14:textId="77777777" w:rsidR="00903F7C" w:rsidRPr="00894384" w:rsidRDefault="00903F7C" w:rsidP="00903F7C">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Así mismo, </w:t>
      </w:r>
      <w:r>
        <w:rPr>
          <w:rFonts w:ascii="Verdana" w:eastAsia="Times New Roman" w:hAnsi="Verdana" w:cs="Arial"/>
          <w:bCs/>
          <w:lang w:val="es-MX" w:eastAsia="es-CO"/>
        </w:rPr>
        <w:t>c</w:t>
      </w:r>
      <w:r w:rsidRPr="00894384">
        <w:rPr>
          <w:rFonts w:ascii="Verdana" w:eastAsia="Times New Roman" w:hAnsi="Verdana" w:cs="Arial"/>
          <w:bCs/>
          <w:lang w:val="es-MX" w:eastAsia="es-CO"/>
        </w:rPr>
        <w:t xml:space="preserve">omo en otras oportunidades lo ha manifestado esta Agencia, las prórrogas, modificaciones o adiciones de los contratos suscritos antes de la </w:t>
      </w:r>
      <w:proofErr w:type="gramStart"/>
      <w:r w:rsidRPr="00894384">
        <w:rPr>
          <w:rFonts w:ascii="Verdana" w:eastAsia="Times New Roman" w:hAnsi="Verdana" w:cs="Arial"/>
          <w:bCs/>
          <w:lang w:val="es-MX" w:eastAsia="es-CO"/>
        </w:rPr>
        <w:t>entrada en vigencia</w:t>
      </w:r>
      <w:proofErr w:type="gramEnd"/>
      <w:r w:rsidRPr="00894384">
        <w:rPr>
          <w:rFonts w:ascii="Verdana" w:eastAsia="Times New Roman" w:hAnsi="Verdana" w:cs="Arial"/>
          <w:bCs/>
          <w:lang w:val="es-MX" w:eastAsia="es-CO"/>
        </w:rPr>
        <w:t xml:space="preserve"> de las prohibiciones anotadas, así como la cesión de </w:t>
      </w:r>
      <w:proofErr w:type="gramStart"/>
      <w:r w:rsidRPr="00894384">
        <w:rPr>
          <w:rFonts w:ascii="Verdana" w:eastAsia="Times New Roman" w:hAnsi="Verdana" w:cs="Arial"/>
          <w:bCs/>
          <w:lang w:val="es-MX" w:eastAsia="es-CO"/>
        </w:rPr>
        <w:t>los mismos</w:t>
      </w:r>
      <w:proofErr w:type="gramEnd"/>
      <w:r w:rsidRPr="00894384">
        <w:rPr>
          <w:rFonts w:ascii="Verdana" w:eastAsia="Times New Roman" w:hAnsi="Verdana" w:cs="Arial"/>
          <w:bCs/>
          <w:lang w:val="es-MX" w:eastAsia="es-CO"/>
        </w:rPr>
        <w:t xml:space="preserve">, pueden tener lugar en el período de aplicación de la Ley de Garantías, </w:t>
      </w:r>
      <w:r w:rsidRPr="00894384">
        <w:rPr>
          <w:rFonts w:ascii="Verdana" w:eastAsia="Times New Roman" w:hAnsi="Verdana" w:cs="Arial"/>
          <w:bCs/>
          <w:lang w:val="es-MX" w:eastAsia="es-CO"/>
        </w:rPr>
        <w:lastRenderedPageBreak/>
        <w:t>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0"/>
      </w:r>
      <w:r w:rsidRPr="00894384">
        <w:rPr>
          <w:rFonts w:ascii="Verdana" w:eastAsia="Times New Roman" w:hAnsi="Verdana" w:cs="Arial"/>
          <w:bCs/>
          <w:lang w:val="es-MX" w:eastAsia="es-CO"/>
        </w:rPr>
        <w:t xml:space="preserve">. </w:t>
      </w:r>
    </w:p>
    <w:p w14:paraId="70383B4F" w14:textId="77777777" w:rsidR="00903F7C" w:rsidRPr="00E2397D" w:rsidRDefault="00903F7C" w:rsidP="00903F7C">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3848490D" w14:textId="77777777" w:rsidR="00903F7C" w:rsidRPr="00E2397D" w:rsidRDefault="00903F7C" w:rsidP="00903F7C">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48273B3C" w14:textId="77777777" w:rsidR="00903F7C" w:rsidRPr="00E2397D" w:rsidRDefault="00903F7C" w:rsidP="00903F7C">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E2397D">
        <w:rPr>
          <w:rFonts w:ascii="Verdana" w:eastAsia="Arial" w:hAnsi="Verdana" w:cs="Arial"/>
          <w:sz w:val="20"/>
          <w:szCs w:val="20"/>
          <w:lang w:eastAsia="es-ES" w:bidi="es-ES"/>
        </w:rPr>
        <w:t>se integran parcialmente</w:t>
      </w:r>
      <w:bookmarkEnd w:id="7"/>
      <w:r w:rsidRPr="00E2397D">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2397D">
        <w:rPr>
          <w:rFonts w:ascii="Verdana" w:eastAsia="Arial" w:hAnsi="Verdana" w:cs="Arial"/>
          <w:sz w:val="20"/>
          <w:szCs w:val="20"/>
          <w:lang w:eastAsia="es-ES" w:bidi="es-ES"/>
        </w:rPr>
        <w:t>Presidente</w:t>
      </w:r>
      <w:proofErr w:type="gramEnd"/>
      <w:r w:rsidRPr="00E2397D">
        <w:rPr>
          <w:rFonts w:ascii="Verdana" w:eastAsia="Arial" w:hAnsi="Verdana" w:cs="Arial"/>
          <w:sz w:val="20"/>
          <w:szCs w:val="20"/>
          <w:lang w:eastAsia="es-ES" w:bidi="es-ES"/>
        </w:rPr>
        <w:t xml:space="preserv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1"/>
      </w:r>
    </w:p>
    <w:p w14:paraId="24183987" w14:textId="77777777" w:rsidR="00903F7C" w:rsidRPr="00E2397D" w:rsidRDefault="00903F7C" w:rsidP="00903F7C">
      <w:pPr>
        <w:widowControl w:val="0"/>
        <w:autoSpaceDE w:val="0"/>
        <w:autoSpaceDN w:val="0"/>
        <w:spacing w:after="0" w:line="276" w:lineRule="auto"/>
        <w:contextualSpacing/>
        <w:rPr>
          <w:rFonts w:ascii="Verdana" w:eastAsia="Arial" w:hAnsi="Verdana" w:cs="Arial"/>
          <w:lang w:val="es-ES" w:eastAsia="es-ES" w:bidi="es-ES"/>
        </w:rPr>
      </w:pPr>
    </w:p>
    <w:p w14:paraId="5063A385" w14:textId="77777777" w:rsidR="00903F7C" w:rsidRPr="00E2397D" w:rsidRDefault="00903F7C" w:rsidP="00903F7C">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xml:space="preserve">, también se encuentra la prohibición del parágrafo del artículo 38, el cual debe aplicarse respecto de cualquier tipo de contienda electoral, y que prohíbe la celebración de convenios </w:t>
      </w:r>
      <w:r w:rsidRPr="00E2397D">
        <w:rPr>
          <w:rFonts w:ascii="Verdana" w:eastAsia="Arial" w:hAnsi="Verdana" w:cs="Arial"/>
          <w:lang w:val="es-ES" w:eastAsia="es-ES" w:bidi="es-ES"/>
        </w:rPr>
        <w:lastRenderedPageBreak/>
        <w:t>interadministrativos que impliquen la ejecución de recursos públicos dentro de los cuatro (4) meses anteriores a la respectiva jornada de votaciones.</w:t>
      </w:r>
      <w:bookmarkEnd w:id="8"/>
    </w:p>
    <w:bookmarkEnd w:id="9"/>
    <w:p w14:paraId="1984F6FE" w14:textId="77777777" w:rsidR="00903F7C" w:rsidRPr="00E2397D" w:rsidRDefault="00903F7C" w:rsidP="00903F7C">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0"/>
    <w:p w14:paraId="1D04214D" w14:textId="77777777" w:rsidR="00903F7C" w:rsidRDefault="00903F7C" w:rsidP="00903F7C">
      <w:pPr>
        <w:spacing w:after="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o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2397D">
        <w:rPr>
          <w:rFonts w:ascii="Verdana" w:eastAsia="Arial" w:hAnsi="Verdana" w:cs="Arial"/>
          <w:lang w:val="es-ES" w:eastAsia="es-ES" w:bidi="es-ES"/>
        </w:rPr>
        <w:t>Presidente</w:t>
      </w:r>
      <w:proofErr w:type="gramEnd"/>
      <w:r w:rsidRPr="00E2397D">
        <w:rPr>
          <w:rFonts w:ascii="Verdana" w:eastAsia="Arial" w:hAnsi="Verdana" w:cs="Arial"/>
          <w:lang w:val="es-ES" w:eastAsia="es-ES" w:bidi="es-ES"/>
        </w:rPr>
        <w:t xml:space="preserve"> y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2397D">
        <w:rPr>
          <w:rFonts w:ascii="Verdana" w:eastAsia="Arial" w:hAnsi="Verdana" w:cs="Arial"/>
          <w:lang w:val="es-ES" w:eastAsia="es-ES" w:bidi="es-ES"/>
        </w:rPr>
        <w:t>Vicepresidente</w:t>
      </w:r>
      <w:proofErr w:type="gramEnd"/>
      <w:r w:rsidRPr="00E2397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427E5533" w14:textId="77777777" w:rsidR="00903F7C" w:rsidRPr="00E2397D" w:rsidRDefault="00903F7C" w:rsidP="00903F7C">
      <w:pPr>
        <w:spacing w:after="120" w:line="276" w:lineRule="auto"/>
        <w:ind w:firstLine="708"/>
        <w:jc w:val="both"/>
        <w:rPr>
          <w:rFonts w:ascii="Verdana" w:eastAsia="Arial" w:hAnsi="Verdana" w:cs="Arial"/>
          <w:lang w:val="es-ES" w:eastAsia="es-ES" w:bidi="es-ES"/>
        </w:rPr>
      </w:pPr>
      <w:r w:rsidRPr="00E2397D">
        <w:rPr>
          <w:rFonts w:ascii="Verdana" w:eastAsia="Arial" w:hAnsi="Verdana" w:cs="Arial"/>
          <w:lang w:val="es-ES" w:eastAsia="es-ES" w:bidi="es-ES"/>
        </w:rPr>
        <w:t xml:space="preserve"> </w:t>
      </w:r>
      <w:bookmarkStart w:id="11" w:name="_Hlk78820161"/>
    </w:p>
    <w:p w14:paraId="03975149" w14:textId="77777777" w:rsidR="00903F7C" w:rsidRPr="0057193B" w:rsidRDefault="00903F7C" w:rsidP="00903F7C">
      <w:pPr>
        <w:spacing w:line="276" w:lineRule="auto"/>
        <w:jc w:val="both"/>
        <w:rPr>
          <w:rFonts w:ascii="Verdana" w:eastAsia="Times New Roman" w:hAnsi="Verdana" w:cs="Arial"/>
          <w:bCs/>
          <w:lang w:val="es-MX" w:eastAsia="es-CO"/>
        </w:rPr>
      </w:pPr>
      <w:proofErr w:type="spellStart"/>
      <w:r>
        <w:rPr>
          <w:rFonts w:ascii="Verdana" w:eastAsia="Arial" w:hAnsi="Verdana" w:cs="Arial"/>
          <w:lang w:val="es-ES" w:eastAsia="es-ES" w:bidi="es-ES"/>
        </w:rPr>
        <w:t>iii</w:t>
      </w:r>
      <w:proofErr w:type="spellEnd"/>
      <w:r w:rsidRPr="0057193B">
        <w:rPr>
          <w:rFonts w:ascii="Verdana" w:eastAsia="Arial" w:hAnsi="Verdana" w:cs="Arial"/>
          <w:lang w:val="es-ES" w:eastAsia="es-ES" w:bidi="es-ES"/>
        </w:rPr>
        <w:t xml:space="preserve">) </w:t>
      </w:r>
      <w:r w:rsidRPr="0057193B">
        <w:rPr>
          <w:rFonts w:ascii="Verdana" w:eastAsia="Times New Roman" w:hAnsi="Verdana" w:cs="Arial"/>
          <w:bCs/>
          <w:lang w:val="es-MX" w:eastAsia="x-none"/>
        </w:rPr>
        <w:t xml:space="preserve">El ámbito material de la prohibición contenida en el artículo 33 de la ley 996 de 2005 está delimitado por la expresión </w:t>
      </w:r>
      <w:r>
        <w:rPr>
          <w:rFonts w:ascii="Verdana" w:eastAsia="Calibri" w:hAnsi="Verdana" w:cs="Arial"/>
          <w:bCs/>
          <w:sz w:val="20"/>
          <w:szCs w:val="20"/>
          <w:lang w:val="es-MX"/>
        </w:rPr>
        <w:t>“</w:t>
      </w:r>
      <w:r w:rsidRPr="0057193B">
        <w:rPr>
          <w:rFonts w:ascii="Verdana" w:eastAsia="Times New Roman" w:hAnsi="Verdana" w:cs="Arial"/>
          <w:bCs/>
          <w:lang w:val="es-MX" w:eastAsia="x-none"/>
        </w:rPr>
        <w:t>queda prohibida la contratación directa</w:t>
      </w:r>
      <w:r>
        <w:rPr>
          <w:rFonts w:ascii="Verdana" w:eastAsia="Calibri" w:hAnsi="Verdana" w:cs="Arial"/>
          <w:sz w:val="20"/>
          <w:szCs w:val="20"/>
          <w:lang w:val="es-MX"/>
        </w:rPr>
        <w:t>”</w:t>
      </w:r>
      <w:r w:rsidRPr="0057193B">
        <w:rPr>
          <w:rFonts w:ascii="Verdana" w:eastAsia="Times New Roman" w:hAnsi="Verdana" w:cs="Arial"/>
          <w:bCs/>
          <w:lang w:val="es-MX" w:eastAsia="x-none"/>
        </w:rPr>
        <w:t xml:space="preserve">. </w:t>
      </w:r>
      <w:r w:rsidRPr="0057193B">
        <w:rPr>
          <w:rFonts w:ascii="Verdana" w:eastAsia="Times New Roman" w:hAnsi="Verdana" w:cs="Arial"/>
          <w:lang w:val="es-MX" w:eastAsia="es-CO"/>
        </w:rPr>
        <w:t xml:space="preserve"> A propósito de </w:t>
      </w:r>
      <w:r w:rsidRPr="0057193B">
        <w:rPr>
          <w:rFonts w:ascii="Verdana" w:eastAsia="Times New Roman" w:hAnsi="Verdana" w:cs="Arial"/>
          <w:lang w:eastAsia="es-CO"/>
        </w:rPr>
        <w:t>esta restricción de la Ley de Garantías Electorales, la Sala de Consulta y Servicio Civil del Consejo de Estado ha considerado que:</w:t>
      </w:r>
    </w:p>
    <w:p w14:paraId="5F160322" w14:textId="77777777" w:rsidR="00903F7C" w:rsidRPr="0057193B" w:rsidRDefault="00903F7C" w:rsidP="00903F7C">
      <w:pPr>
        <w:spacing w:after="0" w:line="240" w:lineRule="auto"/>
        <w:ind w:left="708" w:right="709"/>
        <w:jc w:val="both"/>
        <w:rPr>
          <w:rFonts w:ascii="Verdana" w:eastAsia="Calibri" w:hAnsi="Verdana" w:cs="Arial"/>
          <w:sz w:val="21"/>
          <w:szCs w:val="21"/>
          <w:lang w:val="es-MX"/>
        </w:rPr>
      </w:pPr>
    </w:p>
    <w:p w14:paraId="6A83103B" w14:textId="77777777" w:rsidR="00903F7C" w:rsidRPr="00BB5022" w:rsidRDefault="00903F7C" w:rsidP="00903F7C">
      <w:pPr>
        <w:spacing w:after="120" w:line="240" w:lineRule="auto"/>
        <w:ind w:left="709" w:right="709"/>
        <w:jc w:val="both"/>
        <w:rPr>
          <w:rFonts w:ascii="Verdana" w:eastAsia="Calibri" w:hAnsi="Verdana" w:cs="Arial"/>
          <w:sz w:val="20"/>
          <w:szCs w:val="20"/>
          <w:lang w:val="es-MX"/>
        </w:rPr>
      </w:pPr>
      <w:r w:rsidRPr="00BB5022">
        <w:rPr>
          <w:rFonts w:ascii="Verdana" w:eastAsia="Calibri" w:hAnsi="Verdana" w:cs="Arial"/>
          <w:sz w:val="20"/>
          <w:szCs w:val="20"/>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w:t>
      </w:r>
      <w:r w:rsidRPr="00BB5022">
        <w:rPr>
          <w:rFonts w:ascii="Verdana" w:eastAsia="Calibri" w:hAnsi="Verdana" w:cs="Arial"/>
          <w:sz w:val="20"/>
          <w:szCs w:val="20"/>
          <w:lang w:val="es-MX"/>
        </w:rPr>
        <w:lastRenderedPageBreak/>
        <w:t>2, ley 1150 de 2007), y cumpliendo siempre los principios que rigen la contratación pública</w:t>
      </w:r>
      <w:r w:rsidRPr="00BB5022">
        <w:rPr>
          <w:rFonts w:ascii="Verdana" w:eastAsia="Times New Roman" w:hAnsi="Verdana" w:cs="Arial"/>
          <w:sz w:val="20"/>
          <w:szCs w:val="20"/>
          <w:vertAlign w:val="superscript"/>
          <w:lang w:eastAsia="es-CO"/>
        </w:rPr>
        <w:footnoteReference w:id="12"/>
      </w:r>
      <w:r w:rsidRPr="00BB5022">
        <w:rPr>
          <w:rFonts w:ascii="Verdana" w:eastAsia="Calibri" w:hAnsi="Verdana" w:cs="Arial"/>
          <w:sz w:val="20"/>
          <w:szCs w:val="20"/>
          <w:lang w:val="es-MX"/>
        </w:rPr>
        <w:t>.</w:t>
      </w:r>
    </w:p>
    <w:p w14:paraId="4112A251" w14:textId="77777777" w:rsidR="00903F7C" w:rsidRPr="00BB5022" w:rsidRDefault="00903F7C" w:rsidP="00903F7C">
      <w:pPr>
        <w:spacing w:after="0" w:line="240" w:lineRule="auto"/>
        <w:ind w:left="708" w:right="709"/>
        <w:jc w:val="both"/>
        <w:rPr>
          <w:rFonts w:ascii="Verdana" w:eastAsia="Calibri" w:hAnsi="Verdana" w:cs="Arial"/>
          <w:sz w:val="20"/>
          <w:szCs w:val="20"/>
          <w:lang w:val="es-MX"/>
        </w:rPr>
      </w:pPr>
      <w:r w:rsidRPr="00BB5022">
        <w:rPr>
          <w:rFonts w:ascii="Verdana" w:eastAsia="Calibri" w:hAnsi="Verdana" w:cs="Arial"/>
          <w:sz w:val="20"/>
          <w:szCs w:val="20"/>
          <w:lang w:val="es-MX"/>
        </w:rPr>
        <w:t xml:space="preserve">Esta Sala ha entendido </w:t>
      </w:r>
      <w:proofErr w:type="gramStart"/>
      <w:r w:rsidRPr="00BB5022">
        <w:rPr>
          <w:rFonts w:ascii="Verdana" w:eastAsia="Calibri" w:hAnsi="Verdana" w:cs="Arial"/>
          <w:sz w:val="20"/>
          <w:szCs w:val="20"/>
          <w:lang w:val="es-MX"/>
        </w:rPr>
        <w:t>que</w:t>
      </w:r>
      <w:proofErr w:type="gramEnd"/>
      <w:r w:rsidRPr="00BB5022">
        <w:rPr>
          <w:rFonts w:ascii="Verdana" w:eastAsia="Calibri"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BB5022">
        <w:rPr>
          <w:rFonts w:ascii="Verdana" w:eastAsia="Times New Roman" w:hAnsi="Verdana" w:cs="Arial"/>
          <w:sz w:val="20"/>
          <w:szCs w:val="20"/>
          <w:vertAlign w:val="superscript"/>
          <w:lang w:val="es-MX"/>
        </w:rPr>
        <w:footnoteReference w:id="13"/>
      </w:r>
      <w:r w:rsidRPr="00BB5022">
        <w:rPr>
          <w:rFonts w:ascii="Verdana" w:eastAsia="Times New Roman" w:hAnsi="Verdana" w:cs="Arial"/>
          <w:sz w:val="20"/>
          <w:szCs w:val="20"/>
          <w:vertAlign w:val="superscript"/>
          <w:lang w:val="es-MX"/>
        </w:rPr>
        <w:t>.</w:t>
      </w:r>
      <w:r w:rsidRPr="00BB5022">
        <w:rPr>
          <w:rFonts w:ascii="Verdana" w:eastAsia="Calibri"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BB5022">
        <w:rPr>
          <w:rFonts w:ascii="Verdana" w:eastAsia="Times New Roman" w:hAnsi="Verdana" w:cs="Arial"/>
          <w:sz w:val="20"/>
          <w:szCs w:val="20"/>
          <w:vertAlign w:val="superscript"/>
          <w:lang w:eastAsia="es-CO"/>
        </w:rPr>
        <w:footnoteReference w:id="14"/>
      </w:r>
      <w:r w:rsidRPr="00BB5022">
        <w:rPr>
          <w:rFonts w:ascii="Verdana" w:eastAsia="Calibri" w:hAnsi="Verdana" w:cs="Arial"/>
          <w:sz w:val="20"/>
          <w:szCs w:val="20"/>
          <w:lang w:val="es-MX"/>
        </w:rPr>
        <w:t xml:space="preserve"> .</w:t>
      </w:r>
    </w:p>
    <w:p w14:paraId="02E9D313" w14:textId="77777777" w:rsidR="00903F7C" w:rsidRPr="0057193B" w:rsidRDefault="00903F7C" w:rsidP="00903F7C">
      <w:pPr>
        <w:shd w:val="clear" w:color="auto" w:fill="FFFFFF"/>
        <w:spacing w:after="0" w:line="276" w:lineRule="auto"/>
        <w:ind w:firstLine="709"/>
        <w:jc w:val="both"/>
        <w:rPr>
          <w:rFonts w:ascii="Verdana" w:eastAsia="Times New Roman" w:hAnsi="Verdana" w:cs="Arial"/>
          <w:lang w:eastAsia="x-none"/>
        </w:rPr>
      </w:pPr>
    </w:p>
    <w:p w14:paraId="5F53249E" w14:textId="77777777" w:rsidR="00903F7C" w:rsidRPr="0057193B" w:rsidRDefault="00903F7C" w:rsidP="00903F7C">
      <w:pPr>
        <w:spacing w:after="120" w:line="276" w:lineRule="auto"/>
        <w:ind w:firstLine="708"/>
        <w:jc w:val="both"/>
        <w:rPr>
          <w:rFonts w:ascii="Verdana" w:eastAsia="Times New Roman" w:hAnsi="Verdana" w:cs="Arial"/>
          <w:bCs/>
          <w:lang w:eastAsia="x-none"/>
        </w:rPr>
      </w:pPr>
      <w:r w:rsidRPr="0057193B">
        <w:rPr>
          <w:rFonts w:ascii="Verdana" w:eastAsia="Times New Roman" w:hAnsi="Verdana" w:cs="Arial"/>
          <w:lang w:eastAsia="x-none"/>
        </w:rPr>
        <w:t xml:space="preserve">De acuerdo con el citado concepto, la prohibición del artículo 33 de la Ley de Garantías Electorales se refiere a </w:t>
      </w:r>
      <w:r>
        <w:rPr>
          <w:rFonts w:ascii="Verdana" w:eastAsia="Times New Roman" w:hAnsi="Verdana" w:cs="Arial"/>
          <w:sz w:val="19"/>
          <w:szCs w:val="19"/>
          <w:lang w:eastAsia="en-GB"/>
        </w:rPr>
        <w:t>“</w:t>
      </w:r>
      <w:r w:rsidRPr="0057193B">
        <w:rPr>
          <w:rFonts w:ascii="Verdana" w:eastAsia="Times New Roman" w:hAnsi="Verdana" w:cs="Arial"/>
          <w:lang w:eastAsia="x-none"/>
        </w:rPr>
        <w:t>cualquier sistema que no implique convocatoria pública y posibilidad de pluralidad de oferentes</w:t>
      </w:r>
      <w:r>
        <w:rPr>
          <w:rFonts w:ascii="Verdana" w:eastAsia="Times New Roman" w:hAnsi="Verdana" w:cs="Arial"/>
          <w:lang w:eastAsia="en-GB"/>
        </w:rPr>
        <w:t>”</w:t>
      </w:r>
      <w:r w:rsidRPr="0057193B">
        <w:rPr>
          <w:rFonts w:ascii="Verdana" w:eastAsia="Times New Roman" w:hAnsi="Verdana" w:cs="Arial"/>
          <w:lang w:eastAsia="x-none"/>
        </w:rPr>
        <w:t xml:space="preserve">, por lo que excluye las demás modalidades de contratación previstas en la Ley 1150 de 2007, es decir, la licitación pública, la selección abreviada, el concurso de méritos </w:t>
      </w:r>
      <w:r w:rsidRPr="0057193B">
        <w:rPr>
          <w:rFonts w:ascii="Verdana" w:eastAsia="Times New Roman" w:hAnsi="Verdana" w:cs="Arial"/>
          <w:lang w:val="es-ES_tradnl" w:eastAsia="x-none"/>
        </w:rPr>
        <w:t>y la mínima cuantía</w:t>
      </w:r>
      <w:r w:rsidRPr="0057193B" w:rsidDel="00A85D9F">
        <w:rPr>
          <w:rFonts w:ascii="Verdana" w:eastAsia="Times New Roman" w:hAnsi="Verdana" w:cs="Arial"/>
          <w:lang w:eastAsia="x-none"/>
        </w:rPr>
        <w:t xml:space="preserve"> </w:t>
      </w:r>
      <w:r w:rsidRPr="0057193B">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57193B">
        <w:rPr>
          <w:rFonts w:ascii="Verdana" w:eastAsia="Times New Roman" w:hAnsi="Verdana" w:cs="Arial"/>
          <w:vertAlign w:val="superscript"/>
          <w:lang w:val="en-GB" w:eastAsia="x-none"/>
        </w:rPr>
        <w:footnoteReference w:id="15"/>
      </w:r>
      <w:r w:rsidRPr="0057193B">
        <w:rPr>
          <w:rFonts w:ascii="Verdana" w:eastAsia="Times New Roman" w:hAnsi="Verdana" w:cs="Arial"/>
          <w:lang w:eastAsia="x-none"/>
        </w:rPr>
        <w:t xml:space="preserve"> y sistematizó las causales de contratación directa</w:t>
      </w:r>
      <w:r w:rsidRPr="0057193B">
        <w:rPr>
          <w:rFonts w:ascii="Verdana" w:eastAsia="Times New Roman" w:hAnsi="Verdana" w:cs="Arial"/>
          <w:vertAlign w:val="superscript"/>
          <w:lang w:val="en-GB" w:eastAsia="x-none"/>
        </w:rPr>
        <w:footnoteReference w:id="16"/>
      </w:r>
      <w:r w:rsidRPr="0057193B">
        <w:rPr>
          <w:rFonts w:ascii="Verdana" w:eastAsia="Times New Roman" w:hAnsi="Verdana" w:cs="Arial"/>
          <w:lang w:eastAsia="x-none"/>
        </w:rPr>
        <w:t xml:space="preserve">, </w:t>
      </w:r>
      <w:r w:rsidRPr="0057193B">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13B09B65" w14:textId="77777777" w:rsidR="00903F7C" w:rsidRPr="0057193B" w:rsidRDefault="00903F7C" w:rsidP="00903F7C">
      <w:pPr>
        <w:spacing w:after="120" w:line="276" w:lineRule="auto"/>
        <w:ind w:firstLine="708"/>
        <w:jc w:val="both"/>
        <w:rPr>
          <w:rFonts w:ascii="Verdana" w:eastAsia="Times New Roman" w:hAnsi="Verdana" w:cs="Arial"/>
          <w:lang w:val="es-MX" w:eastAsia="x-none"/>
        </w:rPr>
      </w:pPr>
      <w:r w:rsidRPr="0057193B">
        <w:rPr>
          <w:rFonts w:ascii="Verdana" w:eastAsia="Times New Roman" w:hAnsi="Verdana" w:cs="Arial"/>
          <w:lang w:eastAsia="x-none"/>
        </w:rPr>
        <w:t xml:space="preserve">De esta forma, con fundamento en la evolución de la normativa sobre la contratación pública, se ha depurado la noción de </w:t>
      </w:r>
      <w:r w:rsidRPr="0057193B">
        <w:rPr>
          <w:rFonts w:ascii="Verdana" w:eastAsia="Times New Roman" w:hAnsi="Verdana" w:cs="Arial"/>
          <w:sz w:val="19"/>
          <w:szCs w:val="19"/>
          <w:lang w:eastAsia="en-GB"/>
        </w:rPr>
        <w:t>«</w:t>
      </w:r>
      <w:r w:rsidRPr="0057193B">
        <w:rPr>
          <w:rFonts w:ascii="Verdana" w:eastAsia="Times New Roman" w:hAnsi="Verdana" w:cs="Arial"/>
          <w:lang w:eastAsia="x-none"/>
        </w:rPr>
        <w:t>contratación directa</w:t>
      </w:r>
      <w:r w:rsidRPr="0057193B">
        <w:rPr>
          <w:rFonts w:ascii="Verdana" w:eastAsia="Times New Roman" w:hAnsi="Verdana" w:cs="Arial"/>
          <w:lang w:eastAsia="en-GB"/>
        </w:rPr>
        <w:t>»</w:t>
      </w:r>
      <w:r w:rsidRPr="0057193B">
        <w:rPr>
          <w:rFonts w:ascii="Verdana" w:eastAsia="Times New Roman" w:hAnsi="Verdana" w:cs="Arial"/>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w:t>
      </w:r>
      <w:r w:rsidRPr="0057193B">
        <w:rPr>
          <w:rFonts w:ascii="Verdana" w:eastAsia="Times New Roman" w:hAnsi="Verdana" w:cs="Arial"/>
          <w:lang w:eastAsia="x-none"/>
        </w:rPr>
        <w:lastRenderedPageBreak/>
        <w:t>especiales e, incluso, en el derecho privado</w:t>
      </w:r>
      <w:r w:rsidRPr="0057193B">
        <w:rPr>
          <w:rFonts w:ascii="Verdana" w:eastAsia="Times New Roman" w:hAnsi="Verdana" w:cs="Arial"/>
          <w:vertAlign w:val="superscript"/>
          <w:lang w:val="en-GB" w:eastAsia="x-none"/>
        </w:rPr>
        <w:footnoteReference w:id="17"/>
      </w:r>
      <w:r w:rsidRPr="0057193B">
        <w:rPr>
          <w:rFonts w:ascii="Verdana" w:eastAsia="Times New Roman" w:hAnsi="Verdana" w:cs="Arial"/>
          <w:lang w:eastAsia="x-none"/>
        </w:rPr>
        <w:t>, han establecido sistemas de contratación que implican convocatoria pública y participación de varios oferentes</w:t>
      </w:r>
      <w:r w:rsidRPr="0057193B">
        <w:rPr>
          <w:rFonts w:ascii="Verdana" w:eastAsia="Times New Roman" w:hAnsi="Verdana" w:cs="Arial"/>
          <w:lang w:eastAsia="en-GB"/>
        </w:rPr>
        <w:t>»</w:t>
      </w:r>
      <w:r w:rsidRPr="0057193B">
        <w:rPr>
          <w:rFonts w:ascii="Verdana" w:eastAsia="Times New Roman" w:hAnsi="Verdana" w:cs="Arial"/>
          <w:lang w:eastAsia="x-none"/>
        </w:rPr>
        <w:t xml:space="preserve">. </w:t>
      </w:r>
    </w:p>
    <w:p w14:paraId="79461B93" w14:textId="77777777" w:rsidR="00903F7C" w:rsidRPr="0057193B" w:rsidRDefault="00903F7C" w:rsidP="00903F7C">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E</w:t>
      </w:r>
      <w:r w:rsidRPr="0057193B">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57193B">
        <w:rPr>
          <w:rFonts w:ascii="Verdana" w:eastAsia="Times New Roman" w:hAnsi="Verdana" w:cs="Arial"/>
          <w:vertAlign w:val="superscript"/>
          <w:lang w:eastAsia="x-none"/>
        </w:rPr>
        <w:footnoteReference w:id="18"/>
      </w:r>
      <w:r w:rsidRPr="0057193B">
        <w:rPr>
          <w:rFonts w:ascii="Verdana" w:eastAsia="Times New Roman" w:hAnsi="Verdana" w:cs="Arial"/>
          <w:lang w:eastAsia="x-none"/>
        </w:rPr>
        <w:t xml:space="preserve">. </w:t>
      </w:r>
    </w:p>
    <w:p w14:paraId="119CC4DA" w14:textId="77777777" w:rsidR="00903F7C" w:rsidRPr="0057193B" w:rsidRDefault="00903F7C" w:rsidP="00903F7C">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463888C8" w14:textId="77777777" w:rsidR="00903F7C" w:rsidRPr="0057193B" w:rsidRDefault="00903F7C" w:rsidP="00903F7C">
      <w:pPr>
        <w:spacing w:after="12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 xml:space="preserve"> Así las cosas, ha de entenderse que, para los efectos de la Ley de Garantías Electorales y, en particular, para la prohibición o restricción tempora</w:t>
      </w:r>
      <w:r>
        <w:rPr>
          <w:rFonts w:ascii="Verdana" w:eastAsia="Times New Roman" w:hAnsi="Verdana" w:cs="Arial"/>
          <w:bCs/>
          <w:lang w:val="es-MX" w:eastAsia="x-none"/>
        </w:rPr>
        <w:t>l contenida en su artículo 33, “contratación directa”</w:t>
      </w:r>
      <w:r w:rsidRPr="0057193B">
        <w:rPr>
          <w:rFonts w:ascii="Verdana" w:eastAsia="Times New Roman" w:hAnsi="Verdana" w:cs="Arial"/>
          <w:bCs/>
          <w:lang w:val="es-MX" w:eastAsia="x-none"/>
        </w:rPr>
        <w:t xml:space="preserve"> es cualquier sistema de selección o procedimiento de contratación utilizado por las entidades estatales que no incluya la convocatoria pública en alguna de sus etapas, ni permita la participación de una pluralidad de oferentes</w:t>
      </w:r>
      <w:r w:rsidRPr="0057193B">
        <w:rPr>
          <w:rFonts w:ascii="Verdana" w:eastAsia="Times New Roman" w:hAnsi="Verdana" w:cs="Arial"/>
          <w:vertAlign w:val="superscript"/>
          <w:lang w:eastAsia="x-none"/>
        </w:rPr>
        <w:footnoteReference w:id="19"/>
      </w:r>
      <w:r w:rsidRPr="0057193B">
        <w:rPr>
          <w:rFonts w:ascii="Verdana" w:eastAsia="Times New Roman" w:hAnsi="Verdana" w:cs="Arial"/>
          <w:bCs/>
          <w:lang w:val="es-MX" w:eastAsia="x-none"/>
        </w:rPr>
        <w:t>.</w:t>
      </w:r>
      <w:r w:rsidRPr="0057193B">
        <w:rPr>
          <w:rFonts w:ascii="Verdana" w:eastAsia="Times New Roman" w:hAnsi="Verdana" w:cs="Arial"/>
          <w:vertAlign w:val="superscript"/>
          <w:lang w:eastAsia="x-none"/>
        </w:rPr>
        <w:t xml:space="preserve"> </w:t>
      </w:r>
    </w:p>
    <w:p w14:paraId="01E4333B" w14:textId="77777777" w:rsidR="00903F7C" w:rsidRPr="0057193B" w:rsidRDefault="00903F7C" w:rsidP="00903F7C">
      <w:pPr>
        <w:spacing w:after="120" w:line="276" w:lineRule="auto"/>
        <w:ind w:firstLine="708"/>
        <w:jc w:val="both"/>
        <w:rPr>
          <w:rFonts w:ascii="Verdana" w:eastAsia="Times New Roman" w:hAnsi="Verdana" w:cs="Arial"/>
          <w:lang w:eastAsia="x-none"/>
        </w:rPr>
      </w:pPr>
      <w:r w:rsidRPr="0057193B">
        <w:rPr>
          <w:rFonts w:ascii="Verdana" w:eastAsia="Times New Roman"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57193B">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w:t>
      </w:r>
      <w:r w:rsidRPr="0057193B">
        <w:rPr>
          <w:rFonts w:ascii="Verdana" w:eastAsia="Times New Roman" w:hAnsi="Verdana" w:cs="Arial"/>
          <w:lang w:eastAsia="x-none"/>
        </w:rPr>
        <w:lastRenderedPageBreak/>
        <w:t>preelectoral de que trata la disposición las entidades públicas pueden seguir contratando bajo estos sistemas.</w:t>
      </w:r>
    </w:p>
    <w:p w14:paraId="2A8E185B" w14:textId="77777777" w:rsidR="00903F7C" w:rsidRPr="00447D82" w:rsidRDefault="00903F7C" w:rsidP="00903F7C">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es-CO"/>
        </w:rPr>
        <w:t xml:space="preserve">Como en otras oportunidades lo ha manifestado esta Agencia, las prórrogas, modificaciones o adiciones de los contratos suscritos antes de la </w:t>
      </w:r>
      <w:proofErr w:type="gramStart"/>
      <w:r w:rsidRPr="0057193B">
        <w:rPr>
          <w:rFonts w:ascii="Verdana" w:eastAsia="Times New Roman" w:hAnsi="Verdana" w:cs="Arial"/>
          <w:bCs/>
          <w:lang w:val="es-MX" w:eastAsia="es-CO"/>
        </w:rPr>
        <w:t>entrada en vigencia</w:t>
      </w:r>
      <w:proofErr w:type="gramEnd"/>
      <w:r w:rsidRPr="0057193B">
        <w:rPr>
          <w:rFonts w:ascii="Verdana" w:eastAsia="Times New Roman" w:hAnsi="Verdana" w:cs="Arial"/>
          <w:bCs/>
          <w:lang w:val="es-MX" w:eastAsia="es-CO"/>
        </w:rPr>
        <w:t xml:space="preserve"> de las prohibiciones anotadas, así como la cesión de </w:t>
      </w:r>
      <w:proofErr w:type="gramStart"/>
      <w:r w:rsidRPr="0057193B">
        <w:rPr>
          <w:rFonts w:ascii="Verdana" w:eastAsia="Times New Roman" w:hAnsi="Verdana" w:cs="Arial"/>
          <w:bCs/>
          <w:lang w:val="es-MX" w:eastAsia="es-CO"/>
        </w:rPr>
        <w:t>los mismos</w:t>
      </w:r>
      <w:proofErr w:type="gramEnd"/>
      <w:r w:rsidRPr="0057193B">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0"/>
      </w:r>
      <w:r w:rsidRPr="0057193B">
        <w:rPr>
          <w:rFonts w:ascii="Verdana" w:eastAsia="Times New Roman" w:hAnsi="Verdana" w:cs="Arial"/>
          <w:bCs/>
          <w:lang w:val="es-MX" w:eastAsia="es-CO"/>
        </w:rPr>
        <w:t>. Además, también es posible que contratos celebrados previamente se continúen ejecutando con normalidad.</w:t>
      </w:r>
      <w:r>
        <w:rPr>
          <w:rFonts w:ascii="Verdana" w:eastAsia="Times New Roman" w:hAnsi="Verdana" w:cs="Arial"/>
          <w:bCs/>
          <w:lang w:val="es-MX" w:eastAsia="es-CO"/>
        </w:rPr>
        <w:t xml:space="preserve"> </w:t>
      </w:r>
    </w:p>
    <w:p w14:paraId="28491E33" w14:textId="77777777" w:rsidR="00903F7C" w:rsidRPr="0057193B" w:rsidRDefault="00903F7C" w:rsidP="00903F7C">
      <w:pPr>
        <w:spacing w:after="120" w:line="276" w:lineRule="auto"/>
        <w:ind w:firstLine="708"/>
        <w:jc w:val="both"/>
        <w:rPr>
          <w:rFonts w:ascii="Verdana" w:eastAsia="Times New Roman" w:hAnsi="Verdana" w:cs="Arial"/>
          <w:bCs/>
          <w:lang w:val="es-MX" w:eastAsia="es-CO"/>
        </w:rPr>
      </w:pPr>
      <w:r w:rsidRPr="0057193B">
        <w:rPr>
          <w:rFonts w:ascii="Verdana" w:eastAsia="Times New Roman"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w:t>
      </w:r>
      <w:proofErr w:type="spellStart"/>
      <w:r w:rsidRPr="0057193B">
        <w:rPr>
          <w:rFonts w:ascii="Verdana" w:eastAsia="Times New Roman" w:hAnsi="Verdana" w:cs="Arial"/>
          <w:bCs/>
          <w:lang w:val="es-MX" w:eastAsia="x-none"/>
        </w:rPr>
        <w:t>ii</w:t>
      </w:r>
      <w:proofErr w:type="spellEnd"/>
      <w:r w:rsidRPr="0057193B">
        <w:rPr>
          <w:rFonts w:ascii="Verdana" w:eastAsia="Times New Roman" w:hAnsi="Verdana" w:cs="Arial"/>
          <w:bCs/>
          <w:lang w:val="es-MX" w:eastAsia="x-none"/>
        </w:rPr>
        <w:t xml:space="preserve">) los contratos de crédito público; </w:t>
      </w:r>
      <w:proofErr w:type="spellStart"/>
      <w:r w:rsidRPr="0057193B">
        <w:rPr>
          <w:rFonts w:ascii="Verdana" w:eastAsia="Times New Roman" w:hAnsi="Verdana" w:cs="Arial"/>
          <w:bCs/>
          <w:lang w:val="es-MX" w:eastAsia="x-none"/>
        </w:rPr>
        <w:t>iii</w:t>
      </w:r>
      <w:proofErr w:type="spellEnd"/>
      <w:r w:rsidRPr="0057193B">
        <w:rPr>
          <w:rFonts w:ascii="Verdana" w:eastAsia="Times New Roman" w:hAnsi="Verdana" w:cs="Arial"/>
          <w:bCs/>
          <w:lang w:val="es-MX" w:eastAsia="x-none"/>
        </w:rPr>
        <w:t xml:space="preserve">) los requeridos para cubrir las emergencias educativas, sanitarias y desastres; </w:t>
      </w:r>
      <w:proofErr w:type="spellStart"/>
      <w:r w:rsidRPr="0057193B">
        <w:rPr>
          <w:rFonts w:ascii="Verdana" w:eastAsia="Times New Roman" w:hAnsi="Verdana" w:cs="Arial"/>
          <w:bCs/>
          <w:lang w:val="es-MX" w:eastAsia="x-none"/>
        </w:rPr>
        <w:t>iv</w:t>
      </w:r>
      <w:proofErr w:type="spellEnd"/>
      <w:r w:rsidRPr="0057193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57193B">
        <w:rPr>
          <w:rFonts w:ascii="Verdana" w:eastAsia="Times New Roman"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8184B6B" w14:textId="77777777" w:rsidR="00903F7C" w:rsidRPr="0057193B" w:rsidRDefault="00903F7C" w:rsidP="00903F7C">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En esta labor es importante tener en cuenta, como lo anotó la Corte Constitucional, en Sentencia C-11</w:t>
      </w:r>
      <w:r>
        <w:rPr>
          <w:rFonts w:ascii="Verdana" w:eastAsia="Times New Roman" w:hAnsi="Verdana" w:cs="Arial"/>
          <w:bCs/>
          <w:lang w:val="es-MX" w:eastAsia="x-none"/>
        </w:rPr>
        <w:t>53 de noviembre 11 de 2005 que “</w:t>
      </w:r>
      <w:r w:rsidRPr="0057193B">
        <w:rPr>
          <w:rFonts w:ascii="Verdana" w:eastAsia="Times New Roman" w:hAnsi="Verdana" w:cs="Arial"/>
          <w:bCs/>
          <w:lang w:val="es-MX" w:eastAsia="x-none"/>
        </w:rPr>
        <w:t>si bien la limitación garantiza la igualdad de condiciones, también es necesario que tal limitación que pretende la igualdad no termine yendo en detrimento de intereses públicos, cuya garantía está en cabeza del ejecutivo, como son los inmersos en las excepciones para</w:t>
      </w:r>
      <w:r>
        <w:rPr>
          <w:rFonts w:ascii="Verdana" w:eastAsia="Times New Roman" w:hAnsi="Verdana" w:cs="Arial"/>
          <w:bCs/>
          <w:lang w:val="es-MX" w:eastAsia="x-none"/>
        </w:rPr>
        <w:t xml:space="preserve"> la prohibición de contratación”</w:t>
      </w:r>
      <w:r w:rsidRPr="0057193B">
        <w:rPr>
          <w:rFonts w:ascii="Verdana" w:eastAsia="Calibri" w:hAnsi="Verdana" w:cs="Arial"/>
          <w:vertAlign w:val="superscript"/>
          <w:lang w:val="es-MX"/>
        </w:rPr>
        <w:footnoteReference w:id="21"/>
      </w:r>
      <w:r w:rsidRPr="0057193B">
        <w:rPr>
          <w:rFonts w:ascii="Verdana" w:eastAsia="Times New Roman" w:hAnsi="Verdana" w:cs="Arial"/>
          <w:bCs/>
          <w:lang w:val="es-MX" w:eastAsia="x-none"/>
        </w:rPr>
        <w:t xml:space="preserve">. De ahí que la Corte haya </w:t>
      </w:r>
      <w:r w:rsidRPr="0057193B">
        <w:rPr>
          <w:rFonts w:ascii="Verdana" w:eastAsia="Times New Roman" w:hAnsi="Verdana" w:cs="Arial"/>
          <w:bCs/>
          <w:lang w:val="es-MX" w:eastAsia="x-none"/>
        </w:rPr>
        <w:lastRenderedPageBreak/>
        <w:t>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771206E2" w14:textId="77777777" w:rsidR="00903F7C" w:rsidRPr="0057193B" w:rsidRDefault="00903F7C" w:rsidP="00903F7C">
      <w:pPr>
        <w:spacing w:after="0" w:line="276" w:lineRule="auto"/>
        <w:ind w:firstLine="708"/>
        <w:jc w:val="both"/>
        <w:rPr>
          <w:rFonts w:ascii="Verdana" w:eastAsia="Times New Roman" w:hAnsi="Verdana" w:cs="Arial"/>
          <w:bCs/>
          <w:lang w:val="es-MX" w:eastAsia="x-none"/>
        </w:rPr>
      </w:pPr>
      <w:r w:rsidRPr="0057193B">
        <w:rPr>
          <w:rFonts w:ascii="Verdana" w:eastAsia="Times New Roman" w:hAnsi="Verdana" w:cs="Arial"/>
          <w:bCs/>
          <w:lang w:val="es-MX" w:eastAsia="x-none"/>
        </w:rPr>
        <w:t>En relación con los destinatarios de la restricción analizada, el artículo 33 de la Ley 996 de 2005 los señala expresamente</w:t>
      </w:r>
      <w:r>
        <w:rPr>
          <w:rFonts w:ascii="Verdana" w:eastAsia="Times New Roman" w:hAnsi="Verdana" w:cs="Arial"/>
          <w:bCs/>
          <w:lang w:val="es-MX" w:eastAsia="x-none"/>
        </w:rPr>
        <w:t>, en el sentido de que son “todos los entes del Estado”</w:t>
      </w:r>
      <w:r w:rsidRPr="0057193B">
        <w:rPr>
          <w:rFonts w:ascii="Verdana" w:eastAsia="Times New Roman" w:hAnsi="Verdana" w:cs="Arial"/>
          <w:bCs/>
          <w:lang w:val="es-MX" w:eastAsia="x-none"/>
        </w:rPr>
        <w:t>, expresión que contempla a los diferentes organismos o entidades autorizadas por la ley para suscribir contratos.</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En efecto, tal como lo ha sostenido el</w:t>
      </w:r>
      <w:r>
        <w:rPr>
          <w:rFonts w:ascii="Verdana" w:eastAsia="Times New Roman" w:hAnsi="Verdana" w:cs="Arial"/>
          <w:bCs/>
          <w:lang w:val="es-MX" w:eastAsia="x-none"/>
        </w:rPr>
        <w:t xml:space="preserve"> Consejo de Estado, el vocablo “todos”</w:t>
      </w:r>
      <w:r w:rsidRPr="0057193B">
        <w:rPr>
          <w:rFonts w:ascii="Verdana" w:eastAsia="Times New Roman" w:hAnsi="Verdana" w:cs="Arial"/>
          <w:bCs/>
          <w:lang w:val="es-MX" w:eastAsia="x-none"/>
        </w:rPr>
        <w:t xml:space="preserve"> utilizado por el legislador comprende</w:t>
      </w:r>
      <w:r w:rsidRPr="0057193B">
        <w:rPr>
          <w:rFonts w:ascii="Verdana" w:eastAsia="Calibri" w:hAnsi="Verdana" w:cs="Arial"/>
          <w:sz w:val="24"/>
          <w:lang w:val="es-MX"/>
        </w:rPr>
        <w:t xml:space="preserve"> </w:t>
      </w:r>
      <w:r w:rsidRPr="0057193B">
        <w:rPr>
          <w:rFonts w:ascii="Verdana" w:eastAsia="Times New Roman"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57193B">
        <w:rPr>
          <w:rFonts w:ascii="Verdana" w:eastAsia="Times New Roman" w:hAnsi="Verdana" w:cs="Arial"/>
          <w:bCs/>
          <w:lang w:val="es-ES_tradnl" w:eastAsia="x-none"/>
        </w:rPr>
        <w:t xml:space="preserve">La Sala de Consulta y Servicio Civil del Consejo de Estado, en Concepto 1727 de fecha 20 de febrero de 2006, consideró que: </w:t>
      </w:r>
    </w:p>
    <w:p w14:paraId="099F0317" w14:textId="77777777" w:rsidR="00903F7C" w:rsidRPr="0057193B" w:rsidRDefault="00903F7C" w:rsidP="00903F7C">
      <w:pPr>
        <w:spacing w:after="0" w:line="276" w:lineRule="auto"/>
        <w:jc w:val="both"/>
        <w:rPr>
          <w:rFonts w:ascii="Verdana" w:eastAsia="Times New Roman" w:hAnsi="Verdana" w:cs="Arial"/>
          <w:bCs/>
          <w:lang w:val="es-MX" w:eastAsia="x-none"/>
        </w:rPr>
      </w:pPr>
    </w:p>
    <w:p w14:paraId="34464DEA" w14:textId="77777777" w:rsidR="00903F7C" w:rsidRPr="0057193B" w:rsidRDefault="00903F7C" w:rsidP="00903F7C">
      <w:pPr>
        <w:spacing w:after="0" w:line="240" w:lineRule="auto"/>
        <w:ind w:left="708" w:right="709"/>
        <w:jc w:val="both"/>
        <w:rPr>
          <w:rFonts w:ascii="Verdana" w:eastAsia="Times New Roman" w:hAnsi="Verdana" w:cs="Arial"/>
          <w:bCs/>
          <w:sz w:val="21"/>
          <w:szCs w:val="21"/>
          <w:lang w:val="es-MX" w:eastAsia="es-CO"/>
        </w:rPr>
      </w:pPr>
      <w:r w:rsidRPr="0057193B">
        <w:rPr>
          <w:rFonts w:ascii="Verdana" w:eastAsia="Times New Roman" w:hAnsi="Verdana" w:cs="Arial"/>
          <w:bCs/>
          <w:sz w:val="21"/>
          <w:szCs w:val="21"/>
          <w:lang w:val="es-MX"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57193B">
        <w:rPr>
          <w:rFonts w:ascii="Verdana" w:eastAsia="Times New Roman" w:hAnsi="Verdana" w:cs="Arial"/>
          <w:bCs/>
          <w:sz w:val="21"/>
          <w:szCs w:val="21"/>
          <w:vertAlign w:val="superscript"/>
          <w:lang w:val="es-MX" w:eastAsia="x-none"/>
        </w:rPr>
        <w:footnoteReference w:id="22"/>
      </w:r>
      <w:r w:rsidRPr="0057193B">
        <w:rPr>
          <w:rFonts w:ascii="Verdana" w:eastAsia="Times New Roman" w:hAnsi="Verdana" w:cs="Arial"/>
          <w:bCs/>
          <w:sz w:val="21"/>
          <w:szCs w:val="21"/>
          <w:lang w:val="es-MX" w:eastAsia="x-none"/>
        </w:rPr>
        <w:t>.</w:t>
      </w:r>
      <w:r w:rsidRPr="0057193B">
        <w:rPr>
          <w:rFonts w:ascii="Verdana" w:eastAsia="Times New Roman" w:hAnsi="Verdana" w:cs="Arial"/>
          <w:bCs/>
          <w:sz w:val="21"/>
          <w:szCs w:val="21"/>
          <w:lang w:val="es-MX" w:eastAsia="es-CO"/>
        </w:rPr>
        <w:t xml:space="preserve"> </w:t>
      </w:r>
    </w:p>
    <w:p w14:paraId="0827EB91" w14:textId="77777777" w:rsidR="00903F7C" w:rsidRPr="0057193B" w:rsidRDefault="00903F7C" w:rsidP="00903F7C">
      <w:pPr>
        <w:spacing w:after="0" w:line="276" w:lineRule="auto"/>
        <w:ind w:firstLine="708"/>
        <w:jc w:val="both"/>
        <w:rPr>
          <w:rFonts w:ascii="Verdana" w:eastAsia="Times New Roman" w:hAnsi="Verdana" w:cs="Arial"/>
          <w:bCs/>
          <w:lang w:val="es-MX" w:eastAsia="es-CO"/>
        </w:rPr>
      </w:pPr>
    </w:p>
    <w:p w14:paraId="7E84E02E" w14:textId="77777777" w:rsidR="00903F7C" w:rsidRPr="0057193B" w:rsidRDefault="00903F7C" w:rsidP="00903F7C">
      <w:pPr>
        <w:spacing w:after="0" w:line="276" w:lineRule="auto"/>
        <w:ind w:firstLine="708"/>
        <w:jc w:val="both"/>
        <w:rPr>
          <w:rFonts w:ascii="Verdana" w:eastAsia="Calibri" w:hAnsi="Verdana" w:cs="Arial"/>
          <w:lang w:val="es-MX"/>
        </w:rPr>
      </w:pPr>
      <w:r w:rsidRPr="0057193B">
        <w:rPr>
          <w:rFonts w:ascii="Verdana" w:eastAsia="Times New Roman" w:hAnsi="Verdana" w:cs="Arial"/>
          <w:bCs/>
          <w:lang w:val="es-MX" w:eastAsia="x-none"/>
        </w:rPr>
        <w:t>De igual forma, en Concepto con radicado 1738 del 6 de abril de 2006, esa m</w:t>
      </w:r>
      <w:r>
        <w:rPr>
          <w:rFonts w:ascii="Verdana" w:eastAsia="Times New Roman" w:hAnsi="Verdana" w:cs="Arial"/>
          <w:bCs/>
          <w:lang w:val="es-MX" w:eastAsia="x-none"/>
        </w:rPr>
        <w:t>isma Corporación manifestó que “</w:t>
      </w:r>
      <w:r w:rsidRPr="0057193B">
        <w:rPr>
          <w:rFonts w:ascii="Verdana" w:eastAsia="Times New Roman" w:hAnsi="Verdana" w:cs="Arial"/>
          <w:bCs/>
          <w:lang w:val="es-MX" w:eastAsia="x-none"/>
        </w:rPr>
        <w:t xml:space="preserve">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w:t>
      </w:r>
      <w:r>
        <w:rPr>
          <w:rFonts w:ascii="Verdana" w:eastAsia="Times New Roman" w:hAnsi="Verdana" w:cs="Arial"/>
          <w:bCs/>
          <w:lang w:val="es-MX" w:eastAsia="x-none"/>
        </w:rPr>
        <w:t xml:space="preserve">ambas partes, por el </w:t>
      </w:r>
      <w:r>
        <w:rPr>
          <w:rFonts w:ascii="Verdana" w:eastAsia="Times New Roman" w:hAnsi="Verdana" w:cs="Arial"/>
          <w:bCs/>
          <w:lang w:val="es-MX" w:eastAsia="x-none"/>
        </w:rPr>
        <w:lastRenderedPageBreak/>
        <w:t>Legislador”</w:t>
      </w:r>
      <w:r w:rsidRPr="0057193B">
        <w:rPr>
          <w:rFonts w:ascii="Verdana" w:eastAsia="Calibri" w:hAnsi="Verdana" w:cs="Arial"/>
          <w:sz w:val="24"/>
          <w:vertAlign w:val="superscript"/>
          <w:lang w:val="es-MX"/>
        </w:rPr>
        <w:footnoteReference w:id="23"/>
      </w:r>
      <w:r w:rsidRPr="0057193B">
        <w:rPr>
          <w:rFonts w:ascii="Verdana" w:eastAsia="Times New Roman" w:hAnsi="Verdana" w:cs="Arial"/>
          <w:bCs/>
          <w:lang w:val="es-MX" w:eastAsia="x-none"/>
        </w:rPr>
        <w:t>.</w:t>
      </w:r>
      <w:r w:rsidRPr="0057193B">
        <w:rPr>
          <w:rFonts w:ascii="Verdana" w:eastAsia="Calibri" w:hAnsi="Verdana" w:cs="Arial"/>
          <w:lang w:val="es-MX"/>
        </w:rPr>
        <w:t xml:space="preserve"> Además, la Sala de Consulta y Servicio Civil del Consejo de Estado realizó la siguiente distinción, retomando el pronunciamiento de la misma sala del 20 de febrero de 2006, citado anteriormente:</w:t>
      </w:r>
    </w:p>
    <w:p w14:paraId="4A9941FE" w14:textId="77777777" w:rsidR="00903F7C" w:rsidRPr="0057193B" w:rsidRDefault="00903F7C" w:rsidP="00903F7C">
      <w:pPr>
        <w:spacing w:after="0" w:line="276" w:lineRule="auto"/>
        <w:jc w:val="both"/>
        <w:rPr>
          <w:rFonts w:ascii="Verdana" w:eastAsia="Calibri" w:hAnsi="Verdana" w:cs="Arial"/>
          <w:lang w:val="es-MX"/>
        </w:rPr>
      </w:pPr>
    </w:p>
    <w:p w14:paraId="74857BB8" w14:textId="77777777" w:rsidR="00903F7C" w:rsidRPr="001924B7" w:rsidRDefault="00903F7C" w:rsidP="00903F7C">
      <w:pPr>
        <w:spacing w:after="0" w:line="240" w:lineRule="auto"/>
        <w:ind w:left="708" w:right="709"/>
        <w:jc w:val="both"/>
        <w:rPr>
          <w:rFonts w:ascii="Verdana" w:eastAsia="Calibri" w:hAnsi="Verdana" w:cs="Arial"/>
          <w:sz w:val="20"/>
          <w:szCs w:val="20"/>
          <w:lang w:val="es-MX"/>
        </w:rPr>
      </w:pPr>
      <w:r w:rsidRPr="001924B7">
        <w:rPr>
          <w:rFonts w:ascii="Verdana" w:eastAsia="Calibri" w:hAnsi="Verdana" w:cs="Arial"/>
          <w:sz w:val="20"/>
          <w:szCs w:val="20"/>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3FE848DD" w14:textId="77777777" w:rsidR="00903F7C" w:rsidRPr="001924B7" w:rsidRDefault="00903F7C" w:rsidP="00903F7C">
      <w:pPr>
        <w:spacing w:after="0" w:line="240" w:lineRule="auto"/>
        <w:ind w:left="708" w:right="709"/>
        <w:jc w:val="both"/>
        <w:rPr>
          <w:rFonts w:ascii="Verdana" w:eastAsia="Calibri" w:hAnsi="Verdana" w:cs="Arial"/>
          <w:sz w:val="20"/>
          <w:szCs w:val="20"/>
          <w:lang w:val="es-MX"/>
        </w:rPr>
      </w:pPr>
    </w:p>
    <w:p w14:paraId="4D402C69" w14:textId="77777777" w:rsidR="00903F7C" w:rsidRPr="001924B7" w:rsidRDefault="00903F7C" w:rsidP="00903F7C">
      <w:pPr>
        <w:spacing w:after="0" w:line="240" w:lineRule="auto"/>
        <w:ind w:left="708" w:right="709"/>
        <w:jc w:val="both"/>
        <w:rPr>
          <w:rFonts w:ascii="Verdana" w:eastAsia="Calibri" w:hAnsi="Verdana" w:cs="Arial"/>
          <w:sz w:val="20"/>
          <w:szCs w:val="20"/>
          <w:lang w:val="es-MX"/>
        </w:rPr>
      </w:pPr>
      <w:r w:rsidRPr="001924B7">
        <w:rPr>
          <w:rFonts w:ascii="Verdana" w:eastAsia="Times New Roman" w:hAnsi="Verdana" w:cs="Arial"/>
          <w:bCs/>
          <w:sz w:val="20"/>
          <w:szCs w:val="20"/>
          <w:lang w:val="es-MX"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1924B7">
        <w:rPr>
          <w:rFonts w:ascii="Verdana" w:eastAsia="Calibri" w:hAnsi="Verdana" w:cs="Arial"/>
          <w:sz w:val="20"/>
          <w:szCs w:val="20"/>
          <w:vertAlign w:val="superscript"/>
          <w:lang w:val="es-MX"/>
        </w:rPr>
        <w:footnoteReference w:id="24"/>
      </w:r>
      <w:r w:rsidRPr="001924B7">
        <w:rPr>
          <w:rFonts w:ascii="Verdana" w:eastAsia="Times New Roman" w:hAnsi="Verdana" w:cs="Arial"/>
          <w:bCs/>
          <w:sz w:val="20"/>
          <w:szCs w:val="20"/>
          <w:lang w:val="es-MX" w:eastAsia="x-none"/>
        </w:rPr>
        <w:t>.</w:t>
      </w:r>
    </w:p>
    <w:p w14:paraId="31F4A817" w14:textId="77777777" w:rsidR="00903F7C" w:rsidRPr="0057193B" w:rsidRDefault="00903F7C" w:rsidP="00903F7C">
      <w:pPr>
        <w:spacing w:after="0" w:line="276" w:lineRule="auto"/>
        <w:jc w:val="both"/>
        <w:rPr>
          <w:rFonts w:ascii="Verdana" w:eastAsia="Calibri" w:hAnsi="Verdana" w:cs="Arial"/>
          <w:lang w:val="es-MX"/>
        </w:rPr>
      </w:pPr>
    </w:p>
    <w:p w14:paraId="11E13C12" w14:textId="77777777" w:rsidR="00903F7C" w:rsidRPr="0057193B" w:rsidRDefault="00903F7C" w:rsidP="00903F7C">
      <w:pPr>
        <w:spacing w:after="120" w:line="276" w:lineRule="auto"/>
        <w:ind w:firstLine="709"/>
        <w:jc w:val="both"/>
        <w:rPr>
          <w:rFonts w:ascii="Verdana" w:eastAsia="Times New Roman" w:hAnsi="Verdana" w:cs="Arial"/>
          <w:lang w:eastAsia="es-CO"/>
        </w:rPr>
      </w:pPr>
      <w:r w:rsidRPr="0057193B">
        <w:rPr>
          <w:rFonts w:ascii="Verdana" w:eastAsia="Calibri" w:hAnsi="Verdana" w:cs="Arial"/>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57193B">
        <w:rPr>
          <w:rFonts w:ascii="Verdana" w:eastAsia="Times New Roman" w:hAnsi="Verdana" w:cs="Arial"/>
          <w:bCs/>
          <w:lang w:val="es-MX" w:eastAsia="x-none"/>
        </w:rPr>
        <w:t>establecimientos de crédito, las sociedades de servicios financieros y las entidades aseguradoras</w:t>
      </w:r>
      <w:r w:rsidRPr="0057193B">
        <w:rPr>
          <w:rFonts w:ascii="Verdana" w:eastAsia="Calibri" w:hAnsi="Verdana" w:cs="Arial"/>
          <w:lang w:val="es-MX"/>
        </w:rPr>
        <w:t xml:space="preserve"> no pueden adquirir los suministros de </w:t>
      </w:r>
      <w:r w:rsidRPr="0057193B">
        <w:rPr>
          <w:rFonts w:ascii="Verdana" w:eastAsia="Calibri" w:hAnsi="Verdana" w:cs="Arial"/>
          <w:lang w:val="es-MX"/>
        </w:rPr>
        <w:lastRenderedPageBreak/>
        <w:t xml:space="preserve">bienes y servicios necesarios para la realización de su actividad por contratación directa, sino por mecanismos competitivos que impliquen convocatoria pública y la posibilidad de la existencia de pluralidad de oferentes, pero indicó que en estos casos </w:t>
      </w:r>
      <w:r>
        <w:rPr>
          <w:rFonts w:ascii="Verdana" w:eastAsia="Calibri" w:hAnsi="Verdana" w:cs="Arial"/>
          <w:lang w:val="es-MX"/>
        </w:rPr>
        <w:t>“</w:t>
      </w:r>
      <w:r w:rsidRPr="0057193B">
        <w:rPr>
          <w:rFonts w:ascii="Verdana" w:eastAsia="Calibri" w:hAnsi="Verdana" w:cs="Arial"/>
          <w:lang w:val="es-MX"/>
        </w:rPr>
        <w:t>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Verdana" w:eastAsia="Calibri" w:hAnsi="Verdana" w:cs="Arial"/>
          <w:lang w:val="es-MX"/>
        </w:rPr>
        <w:t>”</w:t>
      </w:r>
      <w:r w:rsidRPr="0057193B">
        <w:rPr>
          <w:rFonts w:ascii="Verdana" w:eastAsia="Calibri" w:hAnsi="Verdana" w:cs="Arial"/>
          <w:vertAlign w:val="superscript"/>
          <w:lang w:val="es-MX"/>
        </w:rPr>
        <w:footnoteReference w:id="25"/>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08CA3D7C" w14:textId="77777777" w:rsidR="00903F7C" w:rsidRDefault="00903F7C" w:rsidP="00903F7C">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lang w:eastAsia="es-CO"/>
        </w:rPr>
        <w:t>Sin perjuicio de estos pronunciamientos de la Sala de Consulta y Servicio Civil</w:t>
      </w:r>
      <w:r w:rsidRPr="0057193B">
        <w:rPr>
          <w:rFonts w:ascii="Verdana" w:eastAsia="Calibri" w:hAnsi="Verdana" w:cs="Arial"/>
          <w:lang w:val="es-MX"/>
        </w:rPr>
        <w:t xml:space="preserve">, como la ha señalado esa misma Corporación, la restricción prevista en la Ley 996 de 2005 </w:t>
      </w:r>
      <w:r w:rsidRPr="0057193B">
        <w:rPr>
          <w:rFonts w:ascii="Verdana" w:eastAsia="Times New Roman" w:hAnsi="Verdana" w:cs="Arial"/>
          <w:bCs/>
          <w:lang w:val="es-MX"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w:t>
      </w:r>
      <w:r>
        <w:rPr>
          <w:rFonts w:ascii="Verdana" w:eastAsia="Times New Roman" w:hAnsi="Verdana" w:cs="Arial"/>
          <w:bCs/>
          <w:lang w:val="es-MX" w:eastAsia="x-none"/>
        </w:rPr>
        <w:t xml:space="preserve"> o por la ejecución de un cierto tipo de recursos en sus contrataciones</w:t>
      </w:r>
      <w:r w:rsidRPr="0057193B">
        <w:rPr>
          <w:rFonts w:ascii="Verdana" w:eastAsia="Times New Roman" w:hAnsi="Verdana" w:cs="Arial"/>
          <w:bCs/>
          <w:lang w:val="es-MX" w:eastAsia="x-none"/>
        </w:rPr>
        <w:t>, pues, la posibilidad de que lo</w:t>
      </w:r>
      <w:r>
        <w:rPr>
          <w:rFonts w:ascii="Verdana" w:eastAsia="Times New Roman" w:hAnsi="Verdana" w:cs="Arial"/>
          <w:bCs/>
          <w:lang w:val="es-MX" w:eastAsia="x-none"/>
        </w:rPr>
        <w:t>s entes del Estado usen</w:t>
      </w:r>
      <w:r w:rsidRPr="0057193B">
        <w:rPr>
          <w:rFonts w:ascii="Verdana" w:eastAsia="Times New Roman" w:hAnsi="Verdana" w:cs="Arial"/>
          <w:bCs/>
          <w:lang w:val="es-MX" w:eastAsia="x-none"/>
        </w:rPr>
        <w:t xml:space="preserve">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51A56156" w14:textId="77777777" w:rsidR="00903F7C" w:rsidRPr="003B7D6C" w:rsidRDefault="00903F7C" w:rsidP="00903F7C">
      <w:pPr>
        <w:spacing w:after="120" w:line="276" w:lineRule="auto"/>
        <w:ind w:firstLine="709"/>
        <w:jc w:val="both"/>
        <w:rPr>
          <w:rFonts w:ascii="Verdana" w:eastAsia="Times New Roman" w:hAnsi="Verdana" w:cs="Arial"/>
          <w:bCs/>
          <w:lang w:eastAsia="x-none"/>
        </w:rPr>
      </w:pPr>
      <w:r>
        <w:rPr>
          <w:rFonts w:ascii="Verdana" w:eastAsia="Times New Roman" w:hAnsi="Verdana" w:cs="Arial"/>
          <w:bCs/>
          <w:lang w:val="es-MX" w:eastAsia="x-none"/>
        </w:rPr>
        <w:t xml:space="preserve">Esto,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como son: </w:t>
      </w:r>
      <w:r w:rsidRPr="00333EDB">
        <w:rPr>
          <w:rFonts w:ascii="Verdana" w:eastAsia="Times New Roman" w:hAnsi="Verdana" w:cs="Arial"/>
          <w:bCs/>
          <w:lang w:val="es-MX" w:eastAsia="x-none"/>
        </w:rPr>
        <w:t xml:space="preserve">i) la defensa y seguridad del Estado; </w:t>
      </w:r>
      <w:proofErr w:type="spellStart"/>
      <w:r w:rsidRPr="00333EDB">
        <w:rPr>
          <w:rFonts w:ascii="Verdana" w:eastAsia="Times New Roman" w:hAnsi="Verdana" w:cs="Arial"/>
          <w:bCs/>
          <w:lang w:val="es-MX" w:eastAsia="x-none"/>
        </w:rPr>
        <w:t>ii</w:t>
      </w:r>
      <w:proofErr w:type="spellEnd"/>
      <w:r w:rsidRPr="00333EDB">
        <w:rPr>
          <w:rFonts w:ascii="Verdana" w:eastAsia="Times New Roman" w:hAnsi="Verdana" w:cs="Arial"/>
          <w:bCs/>
          <w:lang w:val="es-MX" w:eastAsia="x-none"/>
        </w:rPr>
        <w:t xml:space="preserve">) los contratos de crédito público; </w:t>
      </w:r>
      <w:proofErr w:type="spellStart"/>
      <w:r w:rsidRPr="00333EDB">
        <w:rPr>
          <w:rFonts w:ascii="Verdana" w:eastAsia="Times New Roman" w:hAnsi="Verdana" w:cs="Arial"/>
          <w:bCs/>
          <w:lang w:val="es-MX" w:eastAsia="x-none"/>
        </w:rPr>
        <w:t>iii</w:t>
      </w:r>
      <w:proofErr w:type="spellEnd"/>
      <w:r w:rsidRPr="00333EDB">
        <w:rPr>
          <w:rFonts w:ascii="Verdana" w:eastAsia="Times New Roman" w:hAnsi="Verdana" w:cs="Arial"/>
          <w:bCs/>
          <w:lang w:val="es-MX" w:eastAsia="x-none"/>
        </w:rPr>
        <w:t xml:space="preserve">) los requeridos para cubrir las emergencias educativas, sanitarias y desastres; </w:t>
      </w:r>
      <w:proofErr w:type="spellStart"/>
      <w:r w:rsidRPr="00333EDB">
        <w:rPr>
          <w:rFonts w:ascii="Verdana" w:eastAsia="Times New Roman" w:hAnsi="Verdana" w:cs="Arial"/>
          <w:bCs/>
          <w:lang w:val="es-MX" w:eastAsia="x-none"/>
        </w:rPr>
        <w:t>iv</w:t>
      </w:r>
      <w:proofErr w:type="spellEnd"/>
      <w:r w:rsidRPr="00333EDB">
        <w:rPr>
          <w:rFonts w:ascii="Verdana" w:eastAsia="Times New Roman"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50940F49" w14:textId="77777777" w:rsidR="00903F7C" w:rsidRPr="00351223" w:rsidRDefault="00903F7C" w:rsidP="00903F7C">
      <w:pPr>
        <w:spacing w:after="120" w:line="276" w:lineRule="auto"/>
        <w:ind w:firstLine="709"/>
        <w:jc w:val="both"/>
        <w:rPr>
          <w:rFonts w:ascii="Verdana" w:eastAsia="Times New Roman" w:hAnsi="Verdana" w:cs="Arial"/>
          <w:bCs/>
          <w:lang w:eastAsia="x-none"/>
        </w:rPr>
      </w:pPr>
      <w:r w:rsidRPr="0057193B">
        <w:rPr>
          <w:rFonts w:ascii="Verdana" w:eastAsia="Times New Roman" w:hAnsi="Verdana" w:cs="Arial"/>
          <w:bCs/>
          <w:lang w:val="es-MX" w:eastAsia="x-none"/>
        </w:rPr>
        <w:t xml:space="preserve">Además, se reitera que la restricción aplica frente a la contratación directa, entendida como cualquier sistema de selección o procedimiento de </w:t>
      </w:r>
      <w:r>
        <w:rPr>
          <w:rFonts w:ascii="Verdana" w:eastAsia="Times New Roman" w:hAnsi="Verdana" w:cs="Arial"/>
          <w:bCs/>
          <w:lang w:val="es-MX" w:eastAsia="x-none"/>
        </w:rPr>
        <w:t>contratación utilizada</w:t>
      </w:r>
      <w:r w:rsidRPr="0057193B">
        <w:rPr>
          <w:rFonts w:ascii="Verdana" w:eastAsia="Times New Roman" w:hAnsi="Verdana" w:cs="Arial"/>
          <w:bCs/>
          <w:lang w:val="es-MX" w:eastAsia="x-none"/>
        </w:rPr>
        <w:t xml:space="preserve"> por las entidades estatales que no incluya la convocatoria pública en alguna de sus etapas, ni permita la participación de una pluralidad de </w:t>
      </w:r>
      <w:r w:rsidRPr="0057193B">
        <w:rPr>
          <w:rFonts w:ascii="Verdana" w:eastAsia="Times New Roman" w:hAnsi="Verdana" w:cs="Arial"/>
          <w:bCs/>
          <w:lang w:val="es-MX" w:eastAsia="x-none"/>
        </w:rPr>
        <w:lastRenderedPageBreak/>
        <w:t>oferentes</w:t>
      </w:r>
      <w:r>
        <w:rPr>
          <w:rFonts w:ascii="Verdana" w:eastAsia="Times New Roman" w:hAnsi="Verdana" w:cs="Arial"/>
          <w:bCs/>
          <w:lang w:val="es-MX" w:eastAsia="x-none"/>
        </w:rPr>
        <w:t>, ya sea en aplicación de normas del Estatuto General de Contratación de la Administración Pública, así como de regímenes especiales. Por tanto,</w:t>
      </w:r>
      <w:r w:rsidRPr="0057193B">
        <w:rPr>
          <w:rFonts w:ascii="Verdana" w:eastAsia="Times New Roman" w:hAnsi="Verdana" w:cs="Arial"/>
          <w:bCs/>
          <w:lang w:val="es-MX" w:eastAsia="x-none"/>
        </w:rPr>
        <w:t xml:space="preserve"> las entidades que se rigen por el derecho privado podrán celebrar contratos de acuerdo con los procedimientos contractuales desarrollados en sus manuales de contratación, bajo el entendido que estos permitan la participación de una pluralidad de oferentes. </w:t>
      </w:r>
    </w:p>
    <w:p w14:paraId="5B1B44B3" w14:textId="77777777" w:rsidR="00903F7C" w:rsidRDefault="00903F7C" w:rsidP="00903F7C">
      <w:pPr>
        <w:spacing w:after="120" w:line="276" w:lineRule="auto"/>
        <w:ind w:firstLine="709"/>
        <w:jc w:val="both"/>
        <w:rPr>
          <w:rFonts w:ascii="Verdana" w:eastAsia="Times New Roman" w:hAnsi="Verdana" w:cs="Arial"/>
          <w:bCs/>
          <w:lang w:val="es-MX" w:eastAsia="x-none"/>
        </w:rPr>
      </w:pPr>
      <w:r w:rsidRPr="0057193B">
        <w:rPr>
          <w:rFonts w:ascii="Verdana" w:eastAsia="Times New Roman" w:hAnsi="Verdana" w:cs="Arial"/>
          <w:bCs/>
          <w:lang w:val="es-MX" w:eastAsia="x-none"/>
        </w:rPr>
        <w:t>Finalmente, se reitera, c</w:t>
      </w:r>
      <w:r w:rsidRPr="0057193B">
        <w:rPr>
          <w:rFonts w:ascii="Verdana" w:eastAsia="Times New Roman" w:hAnsi="Verdana" w:cs="Arial"/>
          <w:bCs/>
          <w:lang w:val="es-MX" w:eastAsia="es-CO"/>
        </w:rPr>
        <w:t xml:space="preserve">omo en otras oportunidades lo ha manifestado esta Agencia, que las prórrogas, modificaciones o adiciones de los contratos suscritos antes de la </w:t>
      </w:r>
      <w:proofErr w:type="gramStart"/>
      <w:r w:rsidRPr="0057193B">
        <w:rPr>
          <w:rFonts w:ascii="Verdana" w:eastAsia="Times New Roman" w:hAnsi="Verdana" w:cs="Arial"/>
          <w:bCs/>
          <w:lang w:val="es-MX" w:eastAsia="es-CO"/>
        </w:rPr>
        <w:t>entrada en vigencia</w:t>
      </w:r>
      <w:proofErr w:type="gramEnd"/>
      <w:r w:rsidRPr="0057193B">
        <w:rPr>
          <w:rFonts w:ascii="Verdana" w:eastAsia="Times New Roman" w:hAnsi="Verdana" w:cs="Arial"/>
          <w:bCs/>
          <w:lang w:val="es-MX" w:eastAsia="es-CO"/>
        </w:rPr>
        <w:t xml:space="preserve"> de las prohibiciones anotadas, así como la cesión de </w:t>
      </w:r>
      <w:proofErr w:type="gramStart"/>
      <w:r w:rsidRPr="0057193B">
        <w:rPr>
          <w:rFonts w:ascii="Verdana" w:eastAsia="Times New Roman" w:hAnsi="Verdana" w:cs="Arial"/>
          <w:bCs/>
          <w:lang w:val="es-MX" w:eastAsia="es-CO"/>
        </w:rPr>
        <w:t>los mismos</w:t>
      </w:r>
      <w:proofErr w:type="gramEnd"/>
      <w:r w:rsidRPr="0057193B">
        <w:rPr>
          <w:rFonts w:ascii="Verdana" w:eastAsia="Times New Roman"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r w:rsidRPr="0057193B">
        <w:rPr>
          <w:rFonts w:ascii="Verdana" w:eastAsia="Times New Roman" w:hAnsi="Verdana" w:cs="Arial"/>
          <w:bCs/>
          <w:vertAlign w:val="superscript"/>
          <w:lang w:val="es-MX" w:eastAsia="es-CO"/>
        </w:rPr>
        <w:footnoteReference w:id="26"/>
      </w:r>
      <w:r w:rsidRPr="0057193B">
        <w:rPr>
          <w:rFonts w:ascii="Verdana" w:eastAsia="Times New Roman" w:hAnsi="Verdana" w:cs="Arial"/>
          <w:bCs/>
          <w:lang w:val="es-MX" w:eastAsia="es-CO"/>
        </w:rPr>
        <w:t>. Además, también es posible que contratos celebrados previamente se continúen ejecutando con normalidad.</w:t>
      </w:r>
    </w:p>
    <w:p w14:paraId="4027776C" w14:textId="77777777" w:rsidR="00903F7C" w:rsidRPr="0086501B" w:rsidRDefault="00903F7C" w:rsidP="00903F7C">
      <w:pPr>
        <w:spacing w:after="120" w:line="276" w:lineRule="auto"/>
        <w:ind w:firstLine="709"/>
        <w:jc w:val="both"/>
        <w:rPr>
          <w:rFonts w:ascii="Verdana" w:eastAsia="Times New Roman" w:hAnsi="Verdana" w:cs="Arial"/>
          <w:bCs/>
          <w:lang w:val="es-MX" w:eastAsia="x-none"/>
        </w:rPr>
      </w:pPr>
    </w:p>
    <w:p w14:paraId="451D2F65" w14:textId="77777777" w:rsidR="00903F7C" w:rsidRPr="00E8636D" w:rsidRDefault="00903F7C" w:rsidP="00903F7C">
      <w:pPr>
        <w:pStyle w:val="paragraph"/>
        <w:shd w:val="clear" w:color="auto" w:fill="FFFFFF"/>
        <w:spacing w:before="0" w:beforeAutospacing="0" w:after="120" w:afterAutospacing="0" w:line="276" w:lineRule="auto"/>
        <w:jc w:val="both"/>
        <w:textAlignment w:val="baseline"/>
        <w:rPr>
          <w:rFonts w:ascii="Verdana" w:eastAsia="Verdana" w:hAnsi="Verdana" w:cs="Verdana"/>
          <w:sz w:val="22"/>
          <w:szCs w:val="22"/>
          <w:lang w:val="es-ES"/>
        </w:rPr>
      </w:pPr>
      <w:proofErr w:type="spellStart"/>
      <w:r>
        <w:rPr>
          <w:rFonts w:ascii="Verdana" w:eastAsia="Calibri" w:hAnsi="Verdana" w:cs="Arial"/>
          <w:lang w:val="es-ES"/>
        </w:rPr>
        <w:t>iv</w:t>
      </w:r>
      <w:proofErr w:type="spellEnd"/>
      <w:r>
        <w:rPr>
          <w:rFonts w:ascii="Verdana" w:eastAsia="Calibri" w:hAnsi="Verdana" w:cs="Arial"/>
          <w:lang w:val="es-ES"/>
        </w:rPr>
        <w:t xml:space="preserve">. </w:t>
      </w:r>
      <w:bookmarkStart w:id="12" w:name="_Hlk79760203"/>
      <w:r w:rsidRPr="00E8636D">
        <w:rPr>
          <w:rFonts w:ascii="Verdana" w:hAnsi="Verdana"/>
          <w:sz w:val="22"/>
          <w:szCs w:val="22"/>
          <w:lang w:val="es-ES"/>
        </w:rPr>
        <w:t>La expropiación es un procedimiento administrativo por medio del cual el Estado, por razones de utilidad pública o interés social, priva coactivamente de la titularidad de un bien a un particular, de acuerdo con un procedimiento específico, con intervención de la autoridad judicial –expropiación por vía judicial– o mediante la utilización de los poderes públicos propios del régimen administrativo –expropiación por vía administrativa–, y previo pago de una indemnización</w:t>
      </w:r>
      <w:r w:rsidRPr="00E8636D">
        <w:rPr>
          <w:rStyle w:val="Refdenotaalpie"/>
          <w:rFonts w:ascii="Verdana" w:hAnsi="Verdana"/>
          <w:sz w:val="22"/>
          <w:szCs w:val="22"/>
          <w:lang w:val="es-ES"/>
        </w:rPr>
        <w:footnoteReference w:id="27"/>
      </w:r>
      <w:r w:rsidRPr="00E8636D">
        <w:rPr>
          <w:rFonts w:ascii="Verdana" w:hAnsi="Verdana"/>
          <w:sz w:val="22"/>
          <w:szCs w:val="22"/>
          <w:lang w:val="es-ES"/>
        </w:rPr>
        <w:t>.</w:t>
      </w:r>
    </w:p>
    <w:p w14:paraId="0BB00246" w14:textId="77777777" w:rsidR="00903F7C" w:rsidRPr="00E8636D" w:rsidRDefault="00903F7C" w:rsidP="00903F7C">
      <w:pPr>
        <w:spacing w:after="120" w:line="276" w:lineRule="auto"/>
        <w:ind w:firstLine="708"/>
        <w:jc w:val="both"/>
        <w:rPr>
          <w:rFonts w:ascii="Verdana" w:eastAsia="Times New Roman" w:hAnsi="Verdana" w:cs="Arial"/>
          <w:lang w:val="es-ES" w:eastAsia="es-ES_tradnl"/>
        </w:rPr>
      </w:pPr>
      <w:r w:rsidRPr="00E8636D">
        <w:rPr>
          <w:rFonts w:ascii="Verdana" w:eastAsia="Times New Roman" w:hAnsi="Verdana" w:cs="Arial"/>
          <w:lang w:val="es-ES" w:eastAsia="es-ES_tradnl"/>
        </w:rPr>
        <w:t>El Legislador, por medio de la Ley 9 de 1989 reguló, entre otros aspectos, lo concerniente al procedimiento para la enajenación voluntaria y expropiación de bienes inmuebles con el fin de desarrollar las actividades que la misma ley –artículo 10– declaró como de utilidad pública</w:t>
      </w:r>
      <w:r w:rsidRPr="00E8636D">
        <w:rPr>
          <w:rStyle w:val="Refdenotaalpie"/>
          <w:rFonts w:ascii="Verdana" w:eastAsia="Times New Roman" w:hAnsi="Verdana" w:cs="Arial"/>
          <w:lang w:val="es-ES" w:eastAsia="es-ES_tradnl"/>
        </w:rPr>
        <w:footnoteReference w:id="28"/>
      </w:r>
      <w:r w:rsidRPr="00E8636D">
        <w:rPr>
          <w:rFonts w:ascii="Verdana" w:eastAsia="Times New Roman" w:hAnsi="Verdana" w:cs="Arial"/>
          <w:lang w:val="es-ES" w:eastAsia="es-ES_tradnl"/>
        </w:rPr>
        <w:t xml:space="preserve">. Dicha ley fue modificada por la </w:t>
      </w:r>
      <w:r w:rsidRPr="00E8636D">
        <w:rPr>
          <w:rFonts w:ascii="Verdana" w:eastAsia="Times New Roman" w:hAnsi="Verdana" w:cs="Arial"/>
          <w:lang w:val="es-ES" w:eastAsia="es-ES_tradnl"/>
        </w:rPr>
        <w:lastRenderedPageBreak/>
        <w:t>Ley 388 de 1997</w:t>
      </w:r>
      <w:r w:rsidRPr="00E8636D">
        <w:rPr>
          <w:rStyle w:val="Refdenotaalpie"/>
          <w:rFonts w:ascii="Verdana" w:eastAsia="Times New Roman" w:hAnsi="Verdana" w:cs="Arial"/>
          <w:lang w:val="es-ES" w:eastAsia="es-ES_tradnl"/>
        </w:rPr>
        <w:footnoteReference w:id="29"/>
      </w:r>
      <w:r w:rsidRPr="00E8636D">
        <w:rPr>
          <w:rFonts w:ascii="Verdana" w:eastAsia="Times New Roman" w:hAnsi="Verdana" w:cs="Arial"/>
          <w:lang w:val="es-ES" w:eastAsia="es-ES_tradnl"/>
        </w:rPr>
        <w:t xml:space="preserve"> que tuvo entre sus objetivos armonizar la legislación con las nuevas normas de la Constitución Política de 1991</w:t>
      </w:r>
      <w:r w:rsidRPr="00E8636D">
        <w:rPr>
          <w:rStyle w:val="Refdenotaalpie"/>
          <w:rFonts w:ascii="Verdana" w:eastAsia="Times New Roman" w:hAnsi="Verdana" w:cs="Arial"/>
          <w:lang w:val="es-ES" w:eastAsia="es-ES_tradnl"/>
        </w:rPr>
        <w:footnoteReference w:id="30"/>
      </w:r>
      <w:r w:rsidRPr="00E8636D">
        <w:rPr>
          <w:rFonts w:ascii="Verdana" w:eastAsia="Times New Roman" w:hAnsi="Verdana" w:cs="Arial"/>
          <w:lang w:val="es-ES" w:eastAsia="es-ES_tradnl"/>
        </w:rPr>
        <w:t>, y en sus artículos 58 y siguientes desarrolló lo relativo a la “adquisición de inmuebles por enajenación voluntaria y expropiación judicial”. Estas normas constituyen, principalmente, el régimen general de la expropiación por vía judicial y por vía administrativa, y regulan también aspectos de la enajenación voluntaria y de la negociación directa, de manera que “contienen las directrices que deben seguir las administraciones locales y los ciudadanos para cumplir con los fines sociales y de utilidad pública del ordenamiento urbano”</w:t>
      </w:r>
      <w:r w:rsidRPr="00E8636D">
        <w:rPr>
          <w:rStyle w:val="Refdenotaalpie"/>
          <w:rFonts w:ascii="Verdana" w:eastAsia="Times New Roman" w:hAnsi="Verdana" w:cs="Arial"/>
          <w:lang w:val="es-ES" w:eastAsia="es-ES_tradnl"/>
        </w:rPr>
        <w:footnoteReference w:id="31"/>
      </w:r>
      <w:r w:rsidRPr="00E8636D">
        <w:rPr>
          <w:rFonts w:ascii="Verdana" w:eastAsia="Times New Roman" w:hAnsi="Verdana" w:cs="Arial"/>
          <w:lang w:val="es-ES" w:eastAsia="es-ES_tradnl"/>
        </w:rPr>
        <w:t>.</w:t>
      </w:r>
    </w:p>
    <w:bookmarkEnd w:id="12"/>
    <w:p w14:paraId="7A53DCF7" w14:textId="77777777" w:rsidR="00903F7C" w:rsidRPr="00E8636D" w:rsidRDefault="00903F7C" w:rsidP="00903F7C">
      <w:pPr>
        <w:spacing w:after="120" w:line="276" w:lineRule="auto"/>
        <w:ind w:firstLine="708"/>
        <w:jc w:val="both"/>
        <w:rPr>
          <w:rFonts w:ascii="Verdana" w:hAnsi="Verdana" w:cs="Arial"/>
          <w:lang w:val="es-ES"/>
        </w:rPr>
      </w:pPr>
      <w:r w:rsidRPr="00E8636D">
        <w:rPr>
          <w:rFonts w:ascii="Verdana" w:hAnsi="Verdana" w:cs="Arial"/>
          <w:lang w:val="es-ES"/>
        </w:rPr>
        <w:t>El trámite de expropiación, como se dijo, puede realizarse por vía</w:t>
      </w:r>
      <w:bookmarkStart w:id="13" w:name="_Hlk78998965"/>
      <w:r w:rsidRPr="00E8636D">
        <w:rPr>
          <w:rFonts w:ascii="Verdana" w:hAnsi="Verdana" w:cs="Arial"/>
          <w:lang w:val="es-ES"/>
        </w:rPr>
        <w:t xml:space="preserve"> judicial o por vía administrativa. La jurisprudencia constitucional ha hecho énfasis</w:t>
      </w:r>
      <w:r w:rsidRPr="00E8636D">
        <w:rPr>
          <w:rFonts w:ascii="Verdana" w:hAnsi="Verdana" w:cs="Arial"/>
          <w:spacing w:val="19"/>
          <w:lang w:val="es-ES"/>
        </w:rPr>
        <w:t xml:space="preserve"> </w:t>
      </w:r>
      <w:r w:rsidRPr="00E8636D">
        <w:rPr>
          <w:rFonts w:ascii="Verdana" w:hAnsi="Verdana" w:cs="Arial"/>
          <w:lang w:val="es-ES"/>
        </w:rPr>
        <w:t>en que, sin importar la vía por la que se adelante la expropiación, este proceso debe ser garantista y respetar el debido proceso</w:t>
      </w:r>
      <w:r w:rsidRPr="00E8636D">
        <w:rPr>
          <w:rStyle w:val="Refdenotaalpie"/>
          <w:rFonts w:ascii="Verdana" w:hAnsi="Verdana" w:cs="Arial"/>
          <w:lang w:val="es-ES"/>
        </w:rPr>
        <w:footnoteReference w:id="32"/>
      </w:r>
      <w:r w:rsidRPr="00E8636D">
        <w:rPr>
          <w:rFonts w:ascii="Verdana" w:hAnsi="Verdana" w:cs="Arial"/>
          <w:lang w:val="es-ES"/>
        </w:rPr>
        <w:t xml:space="preserve">. De esta manera, la garantía del debido proceso en el marco de un proceso de expropiación implica el cumplimiento de una serie de etapas previas definidas por las leyes antes mencionadas, tales como: i) la oferta de compra, </w:t>
      </w:r>
      <w:proofErr w:type="spellStart"/>
      <w:r w:rsidRPr="00E8636D">
        <w:rPr>
          <w:rFonts w:ascii="Verdana" w:hAnsi="Verdana" w:cs="Arial"/>
          <w:lang w:val="es-ES"/>
        </w:rPr>
        <w:t>ii</w:t>
      </w:r>
      <w:proofErr w:type="spellEnd"/>
      <w:r w:rsidRPr="00E8636D">
        <w:rPr>
          <w:rFonts w:ascii="Verdana" w:hAnsi="Verdana" w:cs="Arial"/>
          <w:lang w:val="es-ES"/>
        </w:rPr>
        <w:t xml:space="preserve">) la negociación directa y </w:t>
      </w:r>
      <w:proofErr w:type="spellStart"/>
      <w:r w:rsidRPr="00E8636D">
        <w:rPr>
          <w:rFonts w:ascii="Verdana" w:hAnsi="Verdana" w:cs="Arial"/>
          <w:lang w:val="es-ES"/>
        </w:rPr>
        <w:t>iii</w:t>
      </w:r>
      <w:proofErr w:type="spellEnd"/>
      <w:r w:rsidRPr="00E8636D">
        <w:rPr>
          <w:rFonts w:ascii="Verdana" w:hAnsi="Verdana" w:cs="Arial"/>
          <w:lang w:val="es-ES"/>
        </w:rPr>
        <w:t>) el proceso expropiatorio.</w:t>
      </w:r>
    </w:p>
    <w:p w14:paraId="7E50F001" w14:textId="77777777" w:rsidR="00903F7C" w:rsidRPr="00E8636D" w:rsidRDefault="00903F7C" w:rsidP="00903F7C">
      <w:pPr>
        <w:spacing w:after="120" w:line="276" w:lineRule="auto"/>
        <w:ind w:firstLine="708"/>
        <w:jc w:val="both"/>
        <w:rPr>
          <w:rFonts w:ascii="Verdana" w:hAnsi="Verdana" w:cs="Arial"/>
          <w:lang w:val="es-ES"/>
        </w:rPr>
      </w:pPr>
      <w:r w:rsidRPr="00E8636D">
        <w:rPr>
          <w:rFonts w:ascii="Verdana" w:hAnsi="Verdana" w:cs="Arial"/>
          <w:lang w:val="es-ES"/>
        </w:rPr>
        <w:t xml:space="preserve">La primera etapa, relativa a la oferta de compra, que aplica tanto en los procesos de expropiación judicial como administrativa, hace referencia a la oferta de compra que hace la autoridad al propietario del bien. La segunda etapa de negociación o de enajenación voluntaria es aquella en virtud de la cual el particular y la entidad llegan a un acuerdo a través de la celebración de un contrato de compraventa o de promesa de compraventa, pero si en esta etapa no se logra un acuerdo entre el propietario </w:t>
      </w:r>
      <w:r>
        <w:rPr>
          <w:rFonts w:ascii="Verdana" w:hAnsi="Verdana" w:cs="Arial"/>
          <w:lang w:val="es-ES"/>
        </w:rPr>
        <w:t xml:space="preserve">del bien y la Administración </w:t>
      </w:r>
      <w:r w:rsidRPr="00E8636D">
        <w:rPr>
          <w:rFonts w:ascii="Verdana" w:hAnsi="Verdana" w:cs="Arial"/>
          <w:lang w:val="es-ES"/>
        </w:rPr>
        <w:t>debe adelantar</w:t>
      </w:r>
      <w:r>
        <w:rPr>
          <w:rFonts w:ascii="Verdana" w:hAnsi="Verdana" w:cs="Arial"/>
          <w:lang w:val="es-ES"/>
        </w:rPr>
        <w:t>se</w:t>
      </w:r>
      <w:r w:rsidRPr="00E8636D">
        <w:rPr>
          <w:rFonts w:ascii="Verdana" w:hAnsi="Verdana" w:cs="Arial"/>
          <w:lang w:val="es-ES"/>
        </w:rPr>
        <w:t xml:space="preserve"> el procedimiento expropiatorio. La tercera y última etapa es la expropiación, ya sea administrativa o judicial.</w:t>
      </w:r>
    </w:p>
    <w:bookmarkEnd w:id="13"/>
    <w:p w14:paraId="0214555F" w14:textId="77777777" w:rsidR="00903F7C" w:rsidRPr="00E8636D" w:rsidRDefault="00903F7C" w:rsidP="00903F7C">
      <w:pPr>
        <w:spacing w:after="120" w:line="276" w:lineRule="auto"/>
        <w:ind w:firstLine="708"/>
        <w:jc w:val="both"/>
        <w:rPr>
          <w:rFonts w:ascii="Verdana" w:eastAsia="Times New Roman" w:hAnsi="Verdana" w:cs="Arial"/>
          <w:lang w:val="es-ES" w:eastAsia="es-ES_tradnl"/>
        </w:rPr>
      </w:pPr>
      <w:r w:rsidRPr="00E8636D">
        <w:rPr>
          <w:rFonts w:ascii="Verdana" w:eastAsia="Times New Roman" w:hAnsi="Verdana" w:cs="Arial"/>
          <w:lang w:val="es-ES" w:eastAsia="es-ES_tradnl"/>
        </w:rPr>
        <w:lastRenderedPageBreak/>
        <w:t>Por consiguiente, el procedimiento para la adquisición de bienes inmuebles destinados a actividades de utilidad pública e interés social contempla que la entidad pública adquirente efectúe previamente el trámite de adquisición a través de la enajenación voluntaria y negociada con el propietario del inmueble, antes de acudir a los procedimientos especiales para la expropiación judicial o administrativa.</w:t>
      </w:r>
      <w:r w:rsidRPr="00E8636D">
        <w:rPr>
          <w:rFonts w:ascii="Verdana" w:hAnsi="Verdana"/>
          <w:lang w:val="es-ES"/>
        </w:rPr>
        <w:t xml:space="preserve"> </w:t>
      </w:r>
      <w:r w:rsidRPr="00E8636D">
        <w:rPr>
          <w:rFonts w:ascii="Verdana" w:eastAsia="Times New Roman" w:hAnsi="Verdana" w:cs="Arial"/>
          <w:lang w:val="es-ES" w:eastAsia="es-ES_tradnl"/>
        </w:rPr>
        <w:t>Así, en los casos de enajenación voluntaria y negociación directa, la adquisición se realiza como resultado de un negocio jurídico autónomo, en el que la obligación de pago se determinará de común acuerdo entre el Estado y el vendedor, pues, en tales eventos no se trata de una expropiación</w:t>
      </w:r>
      <w:r w:rsidRPr="00E8636D">
        <w:rPr>
          <w:rStyle w:val="Refdenotaalpie"/>
          <w:rFonts w:ascii="Verdana" w:eastAsia="Times New Roman" w:hAnsi="Verdana" w:cs="Arial"/>
          <w:lang w:val="es-ES" w:eastAsia="es-ES_tradnl"/>
        </w:rPr>
        <w:footnoteReference w:id="33"/>
      </w:r>
      <w:r w:rsidRPr="00E8636D">
        <w:rPr>
          <w:rFonts w:ascii="Verdana" w:eastAsia="Times New Roman" w:hAnsi="Verdana" w:cs="Arial"/>
          <w:lang w:val="es-ES" w:eastAsia="es-ES_tradnl"/>
        </w:rPr>
        <w:t>.</w:t>
      </w:r>
    </w:p>
    <w:p w14:paraId="611BCC7D" w14:textId="77777777" w:rsidR="00903F7C" w:rsidRPr="00E8636D" w:rsidRDefault="00903F7C" w:rsidP="00903F7C">
      <w:pPr>
        <w:spacing w:after="0" w:line="276" w:lineRule="auto"/>
        <w:ind w:firstLine="708"/>
        <w:jc w:val="both"/>
        <w:rPr>
          <w:rFonts w:ascii="Verdana" w:eastAsia="Times New Roman" w:hAnsi="Verdana" w:cs="Arial"/>
          <w:lang w:val="es-ES" w:eastAsia="es-ES_tradnl"/>
        </w:rPr>
      </w:pPr>
      <w:r w:rsidRPr="00E8636D">
        <w:rPr>
          <w:rFonts w:ascii="Verdana" w:eastAsia="Times New Roman" w:hAnsi="Verdana" w:cs="Arial"/>
          <w:lang w:val="es-ES" w:eastAsia="es-ES_tradnl"/>
        </w:rPr>
        <w:t xml:space="preserve">Una vez se ha efectuado la notificación del acto de oferta empieza a correr el término durante el cual se llevará a cabo la negociación con el propietario del inmueble. Si en este plazo se logra el acuerdo se celebrará un </w:t>
      </w:r>
      <w:r w:rsidRPr="00E8636D">
        <w:rPr>
          <w:rFonts w:ascii="Verdana" w:eastAsia="Times New Roman" w:hAnsi="Verdana" w:cs="Arial"/>
          <w:i/>
          <w:iCs/>
          <w:lang w:val="es-ES" w:eastAsia="es-ES_tradnl"/>
        </w:rPr>
        <w:t>contrato de compraventa</w:t>
      </w:r>
      <w:r w:rsidRPr="00E8636D">
        <w:rPr>
          <w:rFonts w:ascii="Verdana" w:eastAsia="Times New Roman" w:hAnsi="Verdana" w:cs="Arial"/>
          <w:lang w:val="es-ES" w:eastAsia="es-ES_tradnl"/>
        </w:rPr>
        <w:t xml:space="preserve"> o de promesa de compraventa</w:t>
      </w:r>
      <w:r w:rsidRPr="00E8636D">
        <w:rPr>
          <w:rStyle w:val="Refdenotaalpie"/>
          <w:rFonts w:ascii="Verdana" w:eastAsia="Times New Roman" w:hAnsi="Verdana" w:cs="Arial"/>
          <w:lang w:val="es-ES" w:eastAsia="es-ES_tradnl"/>
        </w:rPr>
        <w:footnoteReference w:id="34"/>
      </w:r>
      <w:r w:rsidRPr="00E8636D">
        <w:rPr>
          <w:rFonts w:ascii="Verdana" w:eastAsia="Times New Roman" w:hAnsi="Verdana" w:cs="Arial"/>
          <w:lang w:val="es-ES" w:eastAsia="es-ES_tradnl"/>
        </w:rPr>
        <w:t xml:space="preserve">. En caso contrario se deberá dar inicio al proceso de expropiación. Finalmente, en caso de acuerdo, realizada la entrega material del inmueble a favor de la entidad adquirente, el pago del precio se efectuará de conformidad con lo convenido dentro del respectivo contrato de compraventa. </w:t>
      </w:r>
    </w:p>
    <w:p w14:paraId="0280D359" w14:textId="77777777" w:rsidR="00903F7C" w:rsidRPr="00E8636D" w:rsidRDefault="00903F7C" w:rsidP="00903F7C">
      <w:pPr>
        <w:spacing w:before="120" w:after="0" w:line="276" w:lineRule="auto"/>
        <w:ind w:firstLine="708"/>
        <w:jc w:val="both"/>
        <w:rPr>
          <w:rFonts w:ascii="Verdana" w:eastAsia="Times New Roman" w:hAnsi="Verdana" w:cs="Arial"/>
          <w:lang w:val="es-ES" w:eastAsia="es-ES_tradnl"/>
        </w:rPr>
      </w:pPr>
      <w:r w:rsidRPr="00E8636D">
        <w:rPr>
          <w:rFonts w:ascii="Verdana" w:eastAsia="Times New Roman" w:hAnsi="Verdana" w:cs="Arial"/>
          <w:lang w:val="es-ES" w:eastAsia="es-ES_tradnl"/>
        </w:rPr>
        <w:t xml:space="preserve">En efecto, en los procesos de expropiación judicial o expropiación administrativa existe una etapa previa de negociación, en la cual la administración intenta adquirir voluntariamente el bien, de suerte que se evite iniciar el proceso forzoso expropiatorio. Esta etapa comienza con una oferta de la entidad al particular para adquirir el bien por el precio base fijado con fundamento en un avalúo. Posteriormente, pasa a una etapa de negociación directa con el particular. En caso de que el proceso de negociación directa se concrete, culmina con la etapa de transferencia del bien y de pago del precio acordado. Pero, si el proceso de negociación se frustra, inicia la etapa expropiatoria, mediante los procesos judicial o administrativo, según el caso, </w:t>
      </w:r>
      <w:r w:rsidRPr="00E8636D">
        <w:rPr>
          <w:rFonts w:ascii="Verdana" w:eastAsia="Times New Roman" w:hAnsi="Verdana" w:cs="Arial"/>
          <w:lang w:val="es-ES" w:eastAsia="es-ES_tradnl"/>
        </w:rPr>
        <w:lastRenderedPageBreak/>
        <w:t>hasta obtener el título traslaticio de dominio al Estado, la tradición del bien y realizar el pago de la indemnización al particular expropiado.</w:t>
      </w:r>
    </w:p>
    <w:p w14:paraId="2338B215" w14:textId="77777777" w:rsidR="00903F7C" w:rsidRPr="00E8636D" w:rsidRDefault="00903F7C" w:rsidP="00903F7C">
      <w:pPr>
        <w:tabs>
          <w:tab w:val="left" w:pos="709"/>
        </w:tabs>
        <w:spacing w:before="120" w:after="120" w:line="276" w:lineRule="auto"/>
        <w:ind w:firstLine="708"/>
        <w:jc w:val="both"/>
        <w:rPr>
          <w:rFonts w:ascii="Verdana" w:eastAsia="Times New Roman" w:hAnsi="Verdana" w:cs="Arial"/>
          <w:lang w:val="es-ES" w:eastAsia="es-ES_tradnl"/>
        </w:rPr>
      </w:pPr>
      <w:bookmarkStart w:id="14" w:name="_Hlk79760762"/>
      <w:r w:rsidRPr="00E8636D">
        <w:rPr>
          <w:rFonts w:ascii="Verdana" w:eastAsia="Times New Roman" w:hAnsi="Verdana" w:cs="Arial"/>
          <w:lang w:val="es-ES" w:eastAsia="es-ES_tradnl"/>
        </w:rPr>
        <w:t xml:space="preserve">Dado que el procedimiento establecido podría culminar con la celebración de </w:t>
      </w:r>
      <w:bookmarkStart w:id="15" w:name="_Hlk79003065"/>
      <w:r w:rsidRPr="00E8636D">
        <w:rPr>
          <w:rFonts w:ascii="Verdana" w:eastAsia="Times New Roman" w:hAnsi="Verdana" w:cs="Arial"/>
          <w:lang w:val="es-ES" w:eastAsia="es-ES_tradnl"/>
        </w:rPr>
        <w:t xml:space="preserve">una promesa de compraventa o en un contrato de compraventa, </w:t>
      </w:r>
      <w:bookmarkEnd w:id="15"/>
      <w:r w:rsidRPr="00E8636D">
        <w:rPr>
          <w:rFonts w:ascii="Verdana" w:eastAsia="Times New Roman" w:hAnsi="Verdana" w:cs="Arial"/>
          <w:lang w:val="es-ES" w:eastAsia="es-ES_tradnl"/>
        </w:rPr>
        <w:t xml:space="preserve">en el que participan entidades estatales y se invierten recursos de naturaleza pública, bien puede afirmarse que estos actos jurídicos negociales son auténticos contratos estatales, según el criterio orgánico establecido en el artículo 32 de la Ley 80 de 1993, en concordancia el artículo 2 </w:t>
      </w:r>
      <w:r w:rsidRPr="00E8636D">
        <w:rPr>
          <w:rFonts w:ascii="Verdana" w:eastAsia="Times New Roman" w:hAnsi="Verdana" w:cs="Arial"/>
          <w:i/>
          <w:iCs/>
          <w:lang w:val="es-ES" w:eastAsia="es-ES_tradnl"/>
        </w:rPr>
        <w:t>ibidem</w:t>
      </w:r>
      <w:r w:rsidRPr="00E8636D">
        <w:rPr>
          <w:rFonts w:ascii="Verdana" w:eastAsia="Times New Roman" w:hAnsi="Verdana" w:cs="Arial"/>
          <w:lang w:val="es-ES" w:eastAsia="es-ES_tradnl"/>
        </w:rPr>
        <w:t xml:space="preserve"> y en armonía con lo dispuesto por el artículo 1 de la Ley 1150 de 2007.</w:t>
      </w:r>
    </w:p>
    <w:p w14:paraId="5114A4AD" w14:textId="77777777" w:rsidR="00903F7C" w:rsidRDefault="00903F7C" w:rsidP="00903F7C">
      <w:pPr>
        <w:pStyle w:val="paragraph"/>
        <w:shd w:val="clear" w:color="auto" w:fill="FFFFFF"/>
        <w:spacing w:before="0" w:beforeAutospacing="0" w:after="0" w:afterAutospacing="0" w:line="276" w:lineRule="auto"/>
        <w:ind w:firstLine="703"/>
        <w:jc w:val="both"/>
        <w:textAlignment w:val="baseline"/>
        <w:rPr>
          <w:rFonts w:ascii="Verdana" w:hAnsi="Verdana" w:cs="Arial"/>
          <w:sz w:val="22"/>
          <w:szCs w:val="22"/>
          <w:lang w:val="es-ES" w:eastAsia="es-ES_tradnl"/>
        </w:rPr>
      </w:pPr>
      <w:r w:rsidRPr="00E8636D">
        <w:rPr>
          <w:rFonts w:ascii="Verdana" w:hAnsi="Verdana" w:cs="Arial"/>
          <w:sz w:val="22"/>
          <w:szCs w:val="22"/>
          <w:lang w:val="es-ES" w:eastAsia="es-ES_tradnl"/>
        </w:rPr>
        <w:t>Sin embargo, el procedimiento de adquisición de bienes inmuebles establecido en el Estatuto General de Contratación de la Administración Pública no resulta aplicable. Tal y como ha sido aclarado por esta Agencia, el procedimiento para la adquisición de bienes inmuebles con fines de utilidad pública e interés social se encuentra excluido de la aplicación de tal estatuto, por cuanto es un procedimiento regulado en un régimen especial y exceptuado.</w:t>
      </w:r>
      <w:bookmarkEnd w:id="14"/>
      <w:r w:rsidRPr="00E8636D">
        <w:rPr>
          <w:rFonts w:ascii="Verdana" w:hAnsi="Verdana" w:cs="Arial"/>
          <w:sz w:val="22"/>
          <w:szCs w:val="22"/>
          <w:lang w:val="es-ES" w:eastAsia="es-ES_tradnl"/>
        </w:rPr>
        <w:t xml:space="preserve"> Al respecto, se reitera lo señalado por esta Agencia mediante Concepto C-159 de 2020, en los siguientes términos:</w:t>
      </w:r>
    </w:p>
    <w:p w14:paraId="1FFE518C" w14:textId="77777777" w:rsidR="00903F7C" w:rsidRPr="00E8636D" w:rsidRDefault="00903F7C" w:rsidP="00903F7C">
      <w:pPr>
        <w:pStyle w:val="paragraph"/>
        <w:shd w:val="clear" w:color="auto" w:fill="FFFFFF"/>
        <w:spacing w:before="0" w:beforeAutospacing="0" w:after="0" w:afterAutospacing="0" w:line="276" w:lineRule="auto"/>
        <w:ind w:firstLine="703"/>
        <w:jc w:val="both"/>
        <w:textAlignment w:val="baseline"/>
        <w:rPr>
          <w:rFonts w:ascii="Verdana" w:hAnsi="Verdana" w:cs="Arial"/>
          <w:sz w:val="22"/>
          <w:szCs w:val="22"/>
          <w:lang w:val="es-ES" w:eastAsia="es-ES_tradnl"/>
        </w:rPr>
      </w:pPr>
    </w:p>
    <w:p w14:paraId="7A8B3362" w14:textId="77777777" w:rsidR="00903F7C" w:rsidRPr="00E8636D" w:rsidRDefault="00903F7C" w:rsidP="00903F7C">
      <w:pPr>
        <w:spacing w:after="0" w:line="240" w:lineRule="auto"/>
        <w:ind w:left="708" w:right="709"/>
        <w:jc w:val="both"/>
        <w:rPr>
          <w:rFonts w:ascii="Verdana" w:eastAsia="Times New Roman" w:hAnsi="Verdana" w:cs="Arial"/>
          <w:sz w:val="20"/>
          <w:szCs w:val="20"/>
          <w:lang w:val="es-ES" w:eastAsia="es-ES_tradnl"/>
        </w:rPr>
      </w:pPr>
      <w:r w:rsidRPr="00E8636D">
        <w:rPr>
          <w:rFonts w:ascii="Verdana" w:eastAsia="Calibri" w:hAnsi="Verdana" w:cs="Arial"/>
          <w:color w:val="000000" w:themeColor="text1"/>
          <w:sz w:val="20"/>
          <w:szCs w:val="20"/>
          <w:lang w:val="es-ES"/>
        </w:rPr>
        <w:t>“Al observar lo anterior y contrastarlo con la normativa de contratación pública, esta entidad concluyó que, a pesar de que la Ley 80 de 1993 regula los contratos de las entidades, la excepción a esta regla debe tener origen constitucional o legal, y por ello, en virtud de la especialidad del procedimiento, el trámite de enajenación voluntaria directa, al que se refiere la Ley 9 de 1989, modificada por la Ley 388 de 1997, no hace parte de la normativa de contratación pública, toda vez que si bien dicho trámite implica la celebración de un contrato de compraventa, ese contrato tiene origen o razón de ser en la declaración previa de los bienes de «utilidad pública o interés social» en los términos del artículo 58 de la Ley 388 de 1997”</w:t>
      </w:r>
      <w:r w:rsidRPr="00E8636D">
        <w:rPr>
          <w:rStyle w:val="Refdenotaalpie"/>
          <w:rFonts w:ascii="Verdana" w:eastAsia="Calibri" w:hAnsi="Verdana" w:cs="Arial"/>
          <w:color w:val="000000" w:themeColor="text1"/>
          <w:sz w:val="20"/>
          <w:szCs w:val="20"/>
          <w:lang w:val="es-ES"/>
        </w:rPr>
        <w:footnoteReference w:id="35"/>
      </w:r>
      <w:r w:rsidRPr="00E8636D">
        <w:rPr>
          <w:rFonts w:ascii="Verdana" w:eastAsia="Calibri" w:hAnsi="Verdana" w:cs="Arial"/>
          <w:color w:val="000000" w:themeColor="text1"/>
          <w:sz w:val="20"/>
          <w:szCs w:val="20"/>
          <w:lang w:val="es-ES"/>
        </w:rPr>
        <w:t>.</w:t>
      </w:r>
    </w:p>
    <w:p w14:paraId="493F3A66" w14:textId="77777777" w:rsidR="00903F7C" w:rsidRPr="00E8636D" w:rsidRDefault="00903F7C" w:rsidP="00903F7C">
      <w:pPr>
        <w:spacing w:after="0" w:line="240" w:lineRule="auto"/>
        <w:jc w:val="both"/>
        <w:rPr>
          <w:rFonts w:ascii="Verdana" w:eastAsia="Times New Roman" w:hAnsi="Verdana" w:cs="Arial"/>
          <w:sz w:val="20"/>
          <w:szCs w:val="20"/>
          <w:lang w:val="es-ES" w:eastAsia="es-ES_tradnl"/>
        </w:rPr>
      </w:pPr>
    </w:p>
    <w:p w14:paraId="19B04861" w14:textId="77777777" w:rsidR="00903F7C" w:rsidRPr="00E8636D" w:rsidRDefault="00903F7C" w:rsidP="00903F7C">
      <w:pPr>
        <w:spacing w:after="120" w:line="276" w:lineRule="auto"/>
        <w:ind w:firstLine="708"/>
        <w:jc w:val="both"/>
        <w:rPr>
          <w:rFonts w:ascii="Verdana" w:eastAsia="Times New Roman" w:hAnsi="Verdana" w:cs="Arial"/>
          <w:lang w:val="es-ES" w:eastAsia="es-ES_tradnl"/>
        </w:rPr>
      </w:pPr>
      <w:r w:rsidRPr="00E8636D">
        <w:rPr>
          <w:rFonts w:ascii="Verdana" w:eastAsia="Times New Roman" w:hAnsi="Verdana" w:cs="Arial"/>
          <w:lang w:val="es-ES" w:eastAsia="es-ES_tradnl"/>
        </w:rPr>
        <w:t xml:space="preserve">En efecto, pese a que existe un régimen normativo aplicable de manera general a la contratación del Estado, el legislador ha establecido regímenes especiales para algunas entidades estatales en consideración a su actividad o para algunos contratos estatales </w:t>
      </w:r>
      <w:proofErr w:type="gramStart"/>
      <w:r w:rsidRPr="00E8636D">
        <w:rPr>
          <w:rFonts w:ascii="Verdana" w:eastAsia="Times New Roman" w:hAnsi="Verdana" w:cs="Arial"/>
          <w:lang w:val="es-ES" w:eastAsia="es-ES_tradnl"/>
        </w:rPr>
        <w:t>en razón de</w:t>
      </w:r>
      <w:proofErr w:type="gramEnd"/>
      <w:r w:rsidRPr="00E8636D">
        <w:rPr>
          <w:rFonts w:ascii="Verdana" w:eastAsia="Times New Roman" w:hAnsi="Verdana" w:cs="Arial"/>
          <w:lang w:val="es-ES" w:eastAsia="es-ES_tradnl"/>
        </w:rPr>
        <w:t xml:space="preserve"> su objeto, que contienen una serie de normas distintas o específicas que se aplican a la actividad contractual de tales entidades o en la celebración de dichos contratos, o simplemente remiten al Derecho privado. Por ende, no resultan aplicables aquellas materias reguladas </w:t>
      </w:r>
      <w:r w:rsidRPr="00E8636D">
        <w:rPr>
          <w:rFonts w:ascii="Verdana" w:eastAsia="Times New Roman" w:hAnsi="Verdana" w:cs="Arial"/>
          <w:lang w:val="es-ES" w:eastAsia="es-ES_tradnl"/>
        </w:rPr>
        <w:lastRenderedPageBreak/>
        <w:t>por el citado Estatuto y las normas que lo modifiquen o adicionen, como, por ejemplo</w:t>
      </w:r>
      <w:r>
        <w:rPr>
          <w:rFonts w:ascii="Verdana" w:eastAsia="Times New Roman" w:hAnsi="Verdana" w:cs="Arial"/>
          <w:lang w:val="es-ES" w:eastAsia="es-ES_tradnl"/>
        </w:rPr>
        <w:t>,</w:t>
      </w:r>
      <w:r w:rsidRPr="00E8636D">
        <w:rPr>
          <w:rFonts w:ascii="Verdana" w:eastAsia="Times New Roman" w:hAnsi="Verdana" w:cs="Arial"/>
          <w:lang w:val="es-ES" w:eastAsia="es-ES_tradnl"/>
        </w:rPr>
        <w:t xml:space="preserve"> los mecanismos de selección, las cláusulas excepcionales, la liquidación del contrato, entre otros, salvo que el régimen especial así lo autorice. </w:t>
      </w:r>
    </w:p>
    <w:p w14:paraId="1AD5653E" w14:textId="77777777" w:rsidR="00903F7C" w:rsidRPr="00E8636D" w:rsidRDefault="00903F7C" w:rsidP="00903F7C">
      <w:pPr>
        <w:spacing w:after="120" w:line="276" w:lineRule="auto"/>
        <w:ind w:firstLine="708"/>
        <w:jc w:val="both"/>
        <w:rPr>
          <w:rFonts w:ascii="Verdana" w:eastAsia="Times New Roman" w:hAnsi="Verdana" w:cs="Arial"/>
          <w:lang w:val="es-ES" w:eastAsia="es-ES_tradnl"/>
        </w:rPr>
      </w:pPr>
      <w:r w:rsidRPr="00E8636D">
        <w:rPr>
          <w:rFonts w:ascii="Verdana" w:eastAsia="Times New Roman" w:hAnsi="Verdana" w:cs="Arial"/>
          <w:lang w:val="es-ES" w:eastAsia="es-ES_tradnl"/>
        </w:rPr>
        <w:t xml:space="preserve">Sin embargo, no debe pasarse por alto que, al margen de su especialidad, el procedimiento administrativo </w:t>
      </w:r>
      <w:bookmarkStart w:id="16" w:name="_Hlk79133236"/>
      <w:r w:rsidRPr="00E8636D">
        <w:rPr>
          <w:rFonts w:ascii="Verdana" w:eastAsia="Times New Roman" w:hAnsi="Verdana" w:cs="Arial"/>
          <w:lang w:val="es-ES" w:eastAsia="es-ES_tradnl"/>
        </w:rPr>
        <w:t xml:space="preserve">para la adquisición de inmuebles por utilidad pública e interés social mediante enajenación voluntaria, </w:t>
      </w:r>
      <w:bookmarkEnd w:id="16"/>
      <w:r w:rsidRPr="00E8636D">
        <w:rPr>
          <w:rFonts w:ascii="Verdana" w:eastAsia="Times New Roman" w:hAnsi="Verdana" w:cs="Arial"/>
          <w:lang w:val="es-ES" w:eastAsia="es-ES_tradnl"/>
        </w:rPr>
        <w:t>implica el ejercicio de funciones adminis</w:t>
      </w:r>
      <w:r>
        <w:rPr>
          <w:rFonts w:ascii="Verdana" w:eastAsia="Times New Roman" w:hAnsi="Verdana" w:cs="Arial"/>
          <w:lang w:val="es-ES" w:eastAsia="es-ES_tradnl"/>
        </w:rPr>
        <w:t>trativas, lo que, por ende, implica</w:t>
      </w:r>
      <w:r w:rsidRPr="00E8636D">
        <w:rPr>
          <w:rFonts w:ascii="Verdana" w:eastAsia="Times New Roman" w:hAnsi="Verdana" w:cs="Arial"/>
          <w:lang w:val="es-ES" w:eastAsia="es-ES_tradnl"/>
        </w:rPr>
        <w:t xml:space="preserve"> la aplicación de los principios de igualdad, moralidad, eficacia, economía, celeridad, imparcialidad y publicidad contenidos en el artículo 209 de la Constitución, varios de los cuales encuentran manifestaciones prácticas y concretas dentro de la regulación de las leyes 9 de 1989, 388 de 1997 y 1682 de 2013.</w:t>
      </w:r>
      <w:bookmarkStart w:id="17" w:name="_Hlk79760844"/>
      <w:r w:rsidRPr="00E8636D">
        <w:rPr>
          <w:rFonts w:ascii="Verdana" w:eastAsia="Times New Roman" w:hAnsi="Verdana" w:cs="Arial"/>
          <w:lang w:val="es-ES" w:eastAsia="es-ES_tradnl"/>
        </w:rPr>
        <w:t xml:space="preserve"> Toda vez que a través de la adquisición de bienes inmuebles mediante enajenación directa se comprometen dineros provenientes del erario, resultan también aplicables los principios propios del Estado Social de Derecho y de la Administración pública como los principios de transparencia, publicidad entre otros.</w:t>
      </w:r>
    </w:p>
    <w:p w14:paraId="0799B140" w14:textId="77777777" w:rsidR="00903F7C" w:rsidRPr="00114D5E" w:rsidRDefault="00903F7C" w:rsidP="00903F7C">
      <w:pPr>
        <w:tabs>
          <w:tab w:val="left" w:pos="426"/>
        </w:tabs>
        <w:spacing w:after="120" w:line="276" w:lineRule="auto"/>
        <w:jc w:val="both"/>
        <w:rPr>
          <w:rFonts w:ascii="Verdana" w:eastAsia="Times New Roman" w:hAnsi="Verdana" w:cs="Arial"/>
          <w:lang w:val="es-ES" w:eastAsia="es-ES_tradnl"/>
        </w:rPr>
      </w:pPr>
      <w:r w:rsidRPr="00E8636D">
        <w:rPr>
          <w:rFonts w:ascii="Verdana" w:eastAsia="Times New Roman" w:hAnsi="Verdana" w:cs="Arial"/>
          <w:lang w:val="es-ES" w:eastAsia="es-ES_tradnl"/>
        </w:rPr>
        <w:tab/>
      </w:r>
      <w:r w:rsidRPr="00E8636D">
        <w:rPr>
          <w:rFonts w:ascii="Verdana" w:eastAsia="Times New Roman" w:hAnsi="Verdana" w:cs="Arial"/>
          <w:lang w:val="es-ES" w:eastAsia="es-ES_tradnl"/>
        </w:rPr>
        <w:tab/>
        <w:t>En virtud de lo expuesto, la adquisic</w:t>
      </w:r>
      <w:r>
        <w:rPr>
          <w:rFonts w:ascii="Verdana" w:eastAsia="Times New Roman" w:hAnsi="Verdana" w:cs="Arial"/>
          <w:lang w:val="es-ES" w:eastAsia="es-ES_tradnl"/>
        </w:rPr>
        <w:t xml:space="preserve">ión de los predios </w:t>
      </w:r>
      <w:r w:rsidRPr="00E8636D">
        <w:rPr>
          <w:rFonts w:ascii="Verdana" w:eastAsia="Times New Roman" w:hAnsi="Verdana" w:cs="Arial"/>
          <w:lang w:val="es-ES" w:eastAsia="es-ES_tradnl"/>
        </w:rPr>
        <w:t>que se realice p</w:t>
      </w:r>
      <w:r>
        <w:rPr>
          <w:rFonts w:ascii="Verdana" w:eastAsia="Times New Roman" w:hAnsi="Verdana" w:cs="Arial"/>
          <w:lang w:val="es-ES" w:eastAsia="es-ES_tradnl"/>
        </w:rPr>
        <w:t>or enajenación voluntaria está</w:t>
      </w:r>
      <w:r w:rsidRPr="00E8636D">
        <w:rPr>
          <w:rFonts w:ascii="Verdana" w:eastAsia="Times New Roman" w:hAnsi="Verdana" w:cs="Arial"/>
          <w:lang w:val="es-ES" w:eastAsia="es-ES_tradnl"/>
        </w:rPr>
        <w:t xml:space="preserve"> sometida a un régimen especial de contratación. Sin embargo, como se explicó antes, esta culmina con la suscripción de un contrato de</w:t>
      </w:r>
      <w:r>
        <w:rPr>
          <w:rFonts w:ascii="Verdana" w:eastAsia="Times New Roman" w:hAnsi="Verdana" w:cs="Arial"/>
          <w:lang w:val="es-ES" w:eastAsia="es-ES_tradnl"/>
        </w:rPr>
        <w:t xml:space="preserve"> promesa de compraventa o de</w:t>
      </w:r>
      <w:r w:rsidRPr="00E8636D">
        <w:rPr>
          <w:rFonts w:ascii="Verdana" w:eastAsia="Times New Roman" w:hAnsi="Verdana" w:cs="Arial"/>
          <w:lang w:val="es-ES" w:eastAsia="es-ES_tradnl"/>
        </w:rPr>
        <w:t xml:space="preserve"> compraventa entre la entidad y la persona, con lo cual se trata de un procedimiento de contratació</w:t>
      </w:r>
      <w:r>
        <w:rPr>
          <w:rFonts w:ascii="Verdana" w:eastAsia="Times New Roman" w:hAnsi="Verdana" w:cs="Arial"/>
          <w:lang w:val="es-ES" w:eastAsia="es-ES_tradnl"/>
        </w:rPr>
        <w:t xml:space="preserve">n estatal no competitivo que está </w:t>
      </w:r>
      <w:r w:rsidRPr="00E8636D">
        <w:rPr>
          <w:rFonts w:ascii="Verdana" w:eastAsia="Times New Roman" w:hAnsi="Verdana" w:cs="Arial"/>
          <w:lang w:val="es-ES" w:eastAsia="es-ES_tradnl"/>
        </w:rPr>
        <w:t>restringido por la prohibición establecida en el artículo 33 de la Ley 996 de 2005</w:t>
      </w:r>
      <w:bookmarkEnd w:id="17"/>
      <w:r w:rsidRPr="00E8636D">
        <w:rPr>
          <w:rFonts w:ascii="Verdana" w:eastAsia="Times New Roman" w:hAnsi="Verdana" w:cs="Arial"/>
          <w:lang w:val="es-ES" w:eastAsia="es-ES_tradnl"/>
        </w:rPr>
        <w:t xml:space="preserve">. En contraste, cuando la adquisición ocurra por el procedimiento expropiatorio no se materializa en la celebración de un contrato. </w:t>
      </w:r>
    </w:p>
    <w:bookmarkEnd w:id="11"/>
    <w:p w14:paraId="2E31A0CB" w14:textId="77777777" w:rsidR="00903F7C" w:rsidRDefault="00903F7C" w:rsidP="00903F7C">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En tal sentido, </w:t>
      </w:r>
      <w:r w:rsidRPr="0057193B">
        <w:rPr>
          <w:rFonts w:ascii="Verdana" w:eastAsia="Times New Roman" w:hAnsi="Verdana" w:cs="Arial"/>
          <w:bCs/>
          <w:lang w:val="es-MX" w:eastAsia="x-none"/>
        </w:rPr>
        <w:t>se reitera que la restricción</w:t>
      </w:r>
      <w:r>
        <w:rPr>
          <w:rFonts w:ascii="Verdana" w:eastAsia="Times New Roman" w:hAnsi="Verdana" w:cs="Arial"/>
          <w:bCs/>
          <w:lang w:val="es-MX" w:eastAsia="x-none"/>
        </w:rPr>
        <w:t xml:space="preserve"> del artículo 33 de la Ley 996 de 2005</w:t>
      </w:r>
      <w:r w:rsidRPr="0057193B">
        <w:rPr>
          <w:rFonts w:ascii="Verdana" w:eastAsia="Times New Roman" w:hAnsi="Verdana" w:cs="Arial"/>
          <w:bCs/>
          <w:lang w:val="es-MX" w:eastAsia="x-none"/>
        </w:rPr>
        <w:t xml:space="preserve"> aplica frente a la contratación directa, entendida como cualquier sistema de selección o procedimiento de </w:t>
      </w:r>
      <w:r>
        <w:rPr>
          <w:rFonts w:ascii="Verdana" w:eastAsia="Times New Roman" w:hAnsi="Verdana" w:cs="Arial"/>
          <w:bCs/>
          <w:lang w:val="es-MX" w:eastAsia="x-none"/>
        </w:rPr>
        <w:t>contratación utilizada</w:t>
      </w:r>
      <w:r w:rsidRPr="0057193B">
        <w:rPr>
          <w:rFonts w:ascii="Verdana" w:eastAsia="Times New Roman" w:hAnsi="Verdana" w:cs="Arial"/>
          <w:bCs/>
          <w:lang w:val="es-MX" w:eastAsia="x-none"/>
        </w:rPr>
        <w:t xml:space="preserve"> por las entidades estatales que no incluya la convocatoria pública en alguna de sus etapas, ni permita la participación de una pluralidad de oferentes</w:t>
      </w:r>
      <w:r>
        <w:rPr>
          <w:rFonts w:ascii="Verdana" w:eastAsia="Times New Roman" w:hAnsi="Verdana" w:cs="Arial"/>
          <w:bCs/>
          <w:lang w:val="es-MX" w:eastAsia="x-none"/>
        </w:rPr>
        <w:t xml:space="preserve">, ya sea en aplicación de normas del Estatuto General de Contratación de la Administración Pública, así como de regímenes especiales. Esto, sin perjuicio de </w:t>
      </w:r>
      <w:r w:rsidRPr="0057193B">
        <w:rPr>
          <w:rFonts w:ascii="Verdana" w:eastAsia="Times New Roman" w:hAnsi="Verdana" w:cs="Arial"/>
          <w:bCs/>
          <w:lang w:val="es-MX" w:eastAsia="x-none"/>
        </w:rPr>
        <w:t>las excepciones a la prohibición establecidas en el inciso</w:t>
      </w:r>
      <w:r>
        <w:rPr>
          <w:rFonts w:ascii="Verdana" w:eastAsia="Times New Roman" w:hAnsi="Verdana" w:cs="Arial"/>
          <w:bCs/>
          <w:lang w:val="es-MX" w:eastAsia="x-none"/>
        </w:rPr>
        <w:t xml:space="preserve"> segundo del mismo artículo 33, como son: </w:t>
      </w:r>
      <w:r w:rsidRPr="00333EDB">
        <w:rPr>
          <w:rFonts w:ascii="Verdana" w:eastAsia="Times New Roman" w:hAnsi="Verdana" w:cs="Arial"/>
          <w:bCs/>
          <w:lang w:val="es-MX" w:eastAsia="x-none"/>
        </w:rPr>
        <w:t xml:space="preserve">i) la defensa y seguridad del Estado; </w:t>
      </w:r>
      <w:proofErr w:type="spellStart"/>
      <w:r w:rsidRPr="00333EDB">
        <w:rPr>
          <w:rFonts w:ascii="Verdana" w:eastAsia="Times New Roman" w:hAnsi="Verdana" w:cs="Arial"/>
          <w:bCs/>
          <w:lang w:val="es-MX" w:eastAsia="x-none"/>
        </w:rPr>
        <w:t>ii</w:t>
      </w:r>
      <w:proofErr w:type="spellEnd"/>
      <w:r w:rsidRPr="00333EDB">
        <w:rPr>
          <w:rFonts w:ascii="Verdana" w:eastAsia="Times New Roman" w:hAnsi="Verdana" w:cs="Arial"/>
          <w:bCs/>
          <w:lang w:val="es-MX" w:eastAsia="x-none"/>
        </w:rPr>
        <w:t xml:space="preserve">) los contratos de crédito público; </w:t>
      </w:r>
      <w:proofErr w:type="spellStart"/>
      <w:r w:rsidRPr="00333EDB">
        <w:rPr>
          <w:rFonts w:ascii="Verdana" w:eastAsia="Times New Roman" w:hAnsi="Verdana" w:cs="Arial"/>
          <w:bCs/>
          <w:lang w:val="es-MX" w:eastAsia="x-none"/>
        </w:rPr>
        <w:t>iii</w:t>
      </w:r>
      <w:proofErr w:type="spellEnd"/>
      <w:r w:rsidRPr="00333EDB">
        <w:rPr>
          <w:rFonts w:ascii="Verdana" w:eastAsia="Times New Roman" w:hAnsi="Verdana" w:cs="Arial"/>
          <w:bCs/>
          <w:lang w:val="es-MX" w:eastAsia="x-none"/>
        </w:rPr>
        <w:t xml:space="preserve">) los requeridos para cubrir las emergencias educativas, sanitarias y desastres; </w:t>
      </w:r>
      <w:proofErr w:type="spellStart"/>
      <w:r w:rsidRPr="00333EDB">
        <w:rPr>
          <w:rFonts w:ascii="Verdana" w:eastAsia="Times New Roman" w:hAnsi="Verdana" w:cs="Arial"/>
          <w:bCs/>
          <w:lang w:val="es-MX" w:eastAsia="x-none"/>
        </w:rPr>
        <w:t>iv</w:t>
      </w:r>
      <w:proofErr w:type="spellEnd"/>
      <w:r w:rsidRPr="00333EDB">
        <w:rPr>
          <w:rFonts w:ascii="Verdana" w:eastAsia="Times New Roman" w:hAnsi="Verdana" w:cs="Arial"/>
          <w:bCs/>
          <w:lang w:val="es-MX" w:eastAsia="x-none"/>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w:t>
      </w:r>
      <w:r w:rsidRPr="00333EDB">
        <w:rPr>
          <w:rFonts w:ascii="Verdana" w:eastAsia="Times New Roman" w:hAnsi="Verdana" w:cs="Arial"/>
          <w:bCs/>
          <w:lang w:val="es-MX" w:eastAsia="x-none"/>
        </w:rPr>
        <w:lastRenderedPageBreak/>
        <w:t>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0F25C98" w14:textId="77777777" w:rsidR="00903F7C" w:rsidRDefault="00903F7C" w:rsidP="00903F7C">
      <w:pPr>
        <w:spacing w:after="120" w:line="276" w:lineRule="auto"/>
        <w:jc w:val="both"/>
        <w:rPr>
          <w:rFonts w:ascii="Verdana" w:eastAsia="Times New Roman" w:hAnsi="Verdana" w:cs="Arial"/>
          <w:color w:val="000000"/>
          <w:lang w:val="es-ES" w:eastAsia="es-ES"/>
        </w:rPr>
      </w:pPr>
    </w:p>
    <w:p w14:paraId="2CD70CAF" w14:textId="77777777" w:rsidR="00903F7C" w:rsidRPr="00B17041" w:rsidRDefault="00903F7C" w:rsidP="00903F7C">
      <w:pPr>
        <w:spacing w:after="120" w:line="276" w:lineRule="auto"/>
        <w:jc w:val="both"/>
        <w:rPr>
          <w:rFonts w:ascii="Verdana" w:eastAsia="Times New Roman" w:hAnsi="Verdana" w:cs="Arial"/>
          <w:iCs/>
          <w:color w:val="000000"/>
          <w:szCs w:val="24"/>
          <w:lang w:eastAsia="es-ES_tradnl"/>
        </w:rPr>
      </w:pPr>
      <w:r>
        <w:rPr>
          <w:rFonts w:ascii="Verdana" w:eastAsia="Calibri" w:hAnsi="Verdana" w:cs="Arial"/>
          <w:lang w:eastAsia="es-MX"/>
        </w:rPr>
        <w:t xml:space="preserve">v. </w:t>
      </w:r>
      <w:r w:rsidRPr="00B17041">
        <w:rPr>
          <w:rFonts w:ascii="Verdana" w:hAnsi="Verdana" w:cs="Arial"/>
          <w:lang w:val="es-ES_tradnl" w:eastAsia="es-ES"/>
        </w:rPr>
        <w:t>Al margen de la explicación precedente debe advertirse que el análisis requerido para resolver pr</w:t>
      </w:r>
      <w:r>
        <w:rPr>
          <w:rFonts w:ascii="Verdana" w:hAnsi="Verdana" w:cs="Arial"/>
          <w:lang w:val="es-ES_tradnl" w:eastAsia="es-ES"/>
        </w:rPr>
        <w:t xml:space="preserve">oblemas específicos en torno a la restricción del artículo 33 sobre la enajenación voluntaria de bienes inmuebles </w:t>
      </w:r>
      <w:r w:rsidRPr="00B17041">
        <w:rPr>
          <w:rFonts w:ascii="Verdana" w:hAnsi="Verdana" w:cs="Arial"/>
          <w:lang w:val="es-ES_tradnl" w:eastAsia="es-ES"/>
        </w:rPr>
        <w:t>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10E6AC4" w14:textId="77777777" w:rsidR="00903F7C" w:rsidRPr="004D4874" w:rsidRDefault="00903F7C" w:rsidP="00903F7C">
      <w:pPr>
        <w:spacing w:after="120" w:line="276" w:lineRule="auto"/>
        <w:ind w:firstLine="708"/>
        <w:jc w:val="both"/>
        <w:rPr>
          <w:rFonts w:ascii="Verdana" w:eastAsia="Calibri" w:hAnsi="Verdana" w:cs="Arial"/>
          <w:lang w:val="es-ES"/>
        </w:rPr>
      </w:pPr>
      <w:r w:rsidRPr="006B14B5">
        <w:rPr>
          <w:rFonts w:ascii="Verdana" w:eastAsia="Times New Roman" w:hAnsi="Verdana" w:cs="Arial"/>
          <w:color w:val="000000"/>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Pr>
          <w:rFonts w:ascii="Verdana" w:eastAsia="Times New Roman" w:hAnsi="Verdana" w:cs="Arial"/>
          <w:color w:val="000000"/>
          <w:lang w:val="es-ES" w:eastAsia="es-ES"/>
        </w:rPr>
        <w:t>establecerá</w:t>
      </w:r>
      <w:r w:rsidRPr="006B14B5">
        <w:rPr>
          <w:rFonts w:ascii="Verdana" w:eastAsia="Times New Roman" w:hAnsi="Verdana" w:cs="Arial"/>
          <w:color w:val="000000"/>
          <w:lang w:val="es-ES" w:eastAsia="es-ES"/>
        </w:rPr>
        <w:t xml:space="preserve"> la forma de adelantar su gestión contractual, sin que sea atribución de la Agencia Nacional de Contratación Pública - Colombia Compra Eficiente</w:t>
      </w:r>
      <w:r>
        <w:rPr>
          <w:rFonts w:ascii="Verdana" w:eastAsia="Times New Roman" w:hAnsi="Verdana" w:cs="Arial"/>
          <w:color w:val="000000"/>
          <w:lang w:val="es-ES" w:eastAsia="es-ES"/>
        </w:rPr>
        <w:t xml:space="preserve"> validarla</w:t>
      </w:r>
      <w:r w:rsidRPr="006B14B5">
        <w:rPr>
          <w:rFonts w:ascii="Verdana" w:eastAsia="Times New Roman" w:hAnsi="Verdana" w:cs="Arial"/>
          <w:color w:val="000000"/>
          <w:lang w:val="es-ES" w:eastAsia="es-ES"/>
        </w:rPr>
        <w:t xml:space="preserve">. </w:t>
      </w:r>
    </w:p>
    <w:p w14:paraId="3122CF33" w14:textId="77777777" w:rsidR="00903F7C" w:rsidRPr="00114D5E" w:rsidRDefault="00903F7C" w:rsidP="00903F7C">
      <w:pPr>
        <w:spacing w:after="0" w:line="276" w:lineRule="auto"/>
        <w:jc w:val="both"/>
        <w:rPr>
          <w:rFonts w:ascii="Verdana" w:eastAsia="Calibri" w:hAnsi="Verdana" w:cs="Arial"/>
          <w:lang w:eastAsia="es-MX"/>
        </w:rPr>
      </w:pPr>
    </w:p>
    <w:p w14:paraId="1F73A3E2" w14:textId="77777777" w:rsidR="00903F7C" w:rsidRPr="008853C1" w:rsidRDefault="00903F7C" w:rsidP="00903F7C">
      <w:pPr>
        <w:pStyle w:val="Prrafodelista"/>
        <w:numPr>
          <w:ilvl w:val="0"/>
          <w:numId w:val="19"/>
        </w:numPr>
        <w:tabs>
          <w:tab w:val="left" w:pos="142"/>
          <w:tab w:val="left" w:pos="284"/>
        </w:tabs>
        <w:spacing w:after="0" w:line="276" w:lineRule="auto"/>
        <w:contextualSpacing w:val="0"/>
        <w:jc w:val="both"/>
        <w:rPr>
          <w:rFonts w:ascii="Verdana" w:eastAsia="Century Gothic" w:hAnsi="Verdana" w:cs="Century Gothic"/>
          <w:b/>
          <w:bCs/>
        </w:rPr>
      </w:pPr>
      <w:r w:rsidRPr="008853C1">
        <w:rPr>
          <w:rFonts w:ascii="Verdana" w:eastAsia="Century Gothic" w:hAnsi="Verdana" w:cs="Century Gothic"/>
          <w:b/>
          <w:bCs/>
        </w:rPr>
        <w:t>Referencias normativas</w:t>
      </w:r>
      <w:r>
        <w:rPr>
          <w:rFonts w:ascii="Verdana" w:eastAsia="Century Gothic" w:hAnsi="Verdana" w:cs="Century Gothic"/>
          <w:b/>
          <w:bCs/>
        </w:rPr>
        <w:t>, jurisprudenciales y otras fuentes</w:t>
      </w:r>
      <w:r w:rsidRPr="008853C1">
        <w:rPr>
          <w:rFonts w:ascii="Verdana" w:eastAsia="Century Gothic" w:hAnsi="Verdana" w:cs="Century Gothic"/>
          <w:b/>
          <w:bCs/>
        </w:rPr>
        <w:t xml:space="preserve"> </w:t>
      </w:r>
    </w:p>
    <w:p w14:paraId="3262CC1A" w14:textId="77777777" w:rsidR="00903F7C" w:rsidRPr="00E2397D" w:rsidRDefault="00903F7C" w:rsidP="00903F7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03F7C" w:rsidRPr="00810249" w14:paraId="5B60273F" w14:textId="77777777" w:rsidTr="00C338C0">
        <w:trPr>
          <w:trHeight w:val="856"/>
          <w:jc w:val="center"/>
        </w:trPr>
        <w:tc>
          <w:tcPr>
            <w:tcW w:w="8647" w:type="dxa"/>
          </w:tcPr>
          <w:p w14:paraId="133CC15D" w14:textId="77777777" w:rsidR="00903F7C" w:rsidRPr="00AB51C6" w:rsidRDefault="00903F7C" w:rsidP="00903F7C">
            <w:pPr>
              <w:widowControl w:val="0"/>
              <w:numPr>
                <w:ilvl w:val="0"/>
                <w:numId w:val="20"/>
              </w:numPr>
              <w:autoSpaceDE w:val="0"/>
              <w:autoSpaceDN w:val="0"/>
              <w:spacing w:before="120" w:after="120" w:line="276" w:lineRule="auto"/>
              <w:ind w:left="714" w:hanging="357"/>
              <w:jc w:val="both"/>
              <w:rPr>
                <w:rFonts w:ascii="Verdana" w:eastAsia="Arial MT" w:hAnsi="Verdana" w:cs="Arial"/>
                <w:lang w:val="es-ES" w:eastAsia="es-ES" w:bidi="es-ES"/>
              </w:rPr>
            </w:pPr>
            <w:r w:rsidRPr="00E2397D">
              <w:rPr>
                <w:rFonts w:ascii="Verdana" w:eastAsia="Arial MT" w:hAnsi="Verdana" w:cs="Arial"/>
                <w:lang w:eastAsia="es-ES" w:bidi="es-ES"/>
              </w:rPr>
              <w:t>Constitución Política: Artículo 127.</w:t>
            </w:r>
          </w:p>
          <w:p w14:paraId="1CD2BDF1" w14:textId="77777777" w:rsidR="00903F7C" w:rsidRPr="00EC214E" w:rsidRDefault="00903F7C" w:rsidP="00903F7C">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sidRPr="00E2397D">
              <w:rPr>
                <w:rFonts w:ascii="Verdana" w:eastAsia="Arial MT" w:hAnsi="Verdana" w:cs="Arial"/>
                <w:bCs/>
                <w:lang w:val="es-ES" w:eastAsia="es-ES" w:bidi="es-ES"/>
              </w:rPr>
              <w:t>Ley 996 de 2005: artículos 33 y 38 parágrafo.</w:t>
            </w:r>
          </w:p>
          <w:p w14:paraId="5BCD8005" w14:textId="77777777" w:rsidR="00903F7C" w:rsidRPr="00164B69" w:rsidRDefault="00903F7C" w:rsidP="00903F7C">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Pr>
                <w:rFonts w:ascii="Verdana" w:eastAsia="Arial MT" w:hAnsi="Verdana" w:cs="Arial"/>
                <w:bCs/>
                <w:lang w:val="es-ES" w:eastAsia="es-ES" w:bidi="es-ES"/>
              </w:rPr>
              <w:t xml:space="preserve">Ley 9 de 1989. </w:t>
            </w:r>
          </w:p>
          <w:p w14:paraId="75B525DE" w14:textId="77777777" w:rsidR="00903F7C" w:rsidRPr="00164B69" w:rsidRDefault="00903F7C" w:rsidP="00903F7C">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Pr>
                <w:rFonts w:ascii="Verdana" w:eastAsia="Arial MT" w:hAnsi="Verdana" w:cs="Arial"/>
                <w:bCs/>
                <w:lang w:val="es-ES" w:eastAsia="es-ES" w:bidi="es-ES"/>
              </w:rPr>
              <w:t>Ley 388 de 1997.</w:t>
            </w:r>
          </w:p>
          <w:p w14:paraId="417A9EA0" w14:textId="77777777" w:rsidR="00903F7C" w:rsidRPr="00AB51C6" w:rsidRDefault="00903F7C" w:rsidP="00903F7C">
            <w:pPr>
              <w:widowControl w:val="0"/>
              <w:numPr>
                <w:ilvl w:val="0"/>
                <w:numId w:val="20"/>
              </w:numPr>
              <w:autoSpaceDE w:val="0"/>
              <w:autoSpaceDN w:val="0"/>
              <w:spacing w:after="120" w:line="276" w:lineRule="auto"/>
              <w:ind w:left="714" w:hanging="357"/>
              <w:jc w:val="both"/>
              <w:rPr>
                <w:rFonts w:ascii="Verdana" w:eastAsia="Arial MT" w:hAnsi="Verdana" w:cs="Arial"/>
                <w:lang w:val="es-ES" w:eastAsia="es-ES" w:bidi="es-ES"/>
              </w:rPr>
            </w:pPr>
            <w:r>
              <w:rPr>
                <w:rFonts w:ascii="Verdana" w:eastAsia="Arial MT" w:hAnsi="Verdana" w:cs="Arial"/>
                <w:bCs/>
                <w:lang w:val="es-ES" w:eastAsia="es-ES" w:bidi="es-ES"/>
              </w:rPr>
              <w:t xml:space="preserve">Ley 1682 de 2013. </w:t>
            </w:r>
          </w:p>
          <w:p w14:paraId="18242609" w14:textId="77777777" w:rsidR="00903F7C" w:rsidRPr="00CC0106"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 xml:space="preserve">Colombia Compra Eficiente. Circular Externa Única. </w:t>
            </w:r>
          </w:p>
          <w:p w14:paraId="3DD3ECCE" w14:textId="77777777" w:rsidR="00903F7C" w:rsidRPr="00CC0106"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Consejo de Estado. Sala de Consulta y Servicio Civil. Concepto de 20</w:t>
            </w:r>
            <w:r>
              <w:rPr>
                <w:rFonts w:ascii="Verdana" w:eastAsia="Calibri" w:hAnsi="Verdana" w:cs="Arial"/>
                <w:lang w:val="es-ES"/>
              </w:rPr>
              <w:t xml:space="preserve"> </w:t>
            </w:r>
            <w:r>
              <w:rPr>
                <w:rFonts w:ascii="Verdana" w:eastAsia="Calibri" w:hAnsi="Verdana" w:cs="Arial"/>
                <w:lang w:val="es-ES"/>
              </w:rPr>
              <w:lastRenderedPageBreak/>
              <w:t>de febrero de 2006. Radicado. 1727</w:t>
            </w:r>
            <w:r w:rsidRPr="00CC0106">
              <w:rPr>
                <w:rFonts w:ascii="Verdana" w:eastAsia="Calibri" w:hAnsi="Verdana" w:cs="Arial"/>
                <w:lang w:val="es-ES"/>
              </w:rPr>
              <w:t xml:space="preserve">. C.P. Enrique José Arboleda Perdomo. </w:t>
            </w:r>
          </w:p>
          <w:p w14:paraId="063063E5" w14:textId="77777777" w:rsidR="00903F7C" w:rsidRPr="00CC0106"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Consejo de Estado. Sala de Consulta y Servicio Civil. Concepto de 6 de ab</w:t>
            </w:r>
            <w:r>
              <w:rPr>
                <w:rFonts w:ascii="Verdana" w:eastAsia="Calibri" w:hAnsi="Verdana" w:cs="Arial"/>
                <w:lang w:val="es-ES"/>
              </w:rPr>
              <w:t xml:space="preserve">ril de 2006. Radicado. </w:t>
            </w:r>
            <w:r w:rsidRPr="00CC0106">
              <w:rPr>
                <w:rFonts w:ascii="Verdana" w:eastAsia="Calibri" w:hAnsi="Verdana" w:cs="Arial"/>
                <w:lang w:val="es-ES"/>
              </w:rPr>
              <w:t xml:space="preserve">1738. C.P. Enrique José Arboleda Perdomo. </w:t>
            </w:r>
          </w:p>
          <w:p w14:paraId="0974FF7E" w14:textId="77777777" w:rsidR="00903F7C"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4F6F28">
              <w:rPr>
                <w:rFonts w:ascii="Verdana" w:eastAsia="Calibri" w:hAnsi="Verdana" w:cs="Arial"/>
                <w:lang w:val="es-ES"/>
              </w:rPr>
              <w:t xml:space="preserve">Consejo de Estado. Sala de Consulta y Servicio Civil. Concepto del 10 de abril de 2008. Rad. </w:t>
            </w:r>
            <w:r>
              <w:rPr>
                <w:rFonts w:ascii="Verdana" w:eastAsia="Calibri" w:hAnsi="Verdana" w:cs="Arial"/>
                <w:lang w:val="es-ES"/>
              </w:rPr>
              <w:t>11001-03-06-000-2008-00017-00. C</w:t>
            </w:r>
            <w:r w:rsidRPr="004F6F28">
              <w:rPr>
                <w:rFonts w:ascii="Verdana" w:eastAsia="Calibri" w:hAnsi="Verdana" w:cs="Arial"/>
                <w:lang w:val="es-ES"/>
              </w:rPr>
              <w:t xml:space="preserve">.P. Gustavo Aponte Santos. </w:t>
            </w:r>
          </w:p>
          <w:p w14:paraId="687A3A32" w14:textId="77777777" w:rsidR="00903F7C"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0F46C6">
              <w:rPr>
                <w:rFonts w:ascii="Verdana" w:eastAsia="Calibri" w:hAnsi="Verdana" w:cs="Arial"/>
                <w:lang w:val="es-ES"/>
              </w:rPr>
              <w:t xml:space="preserve">Consejo de Estado, Sala de Consulta y Servicio Civil de fecha 24 de julio de 2013, Radicado 2166, C. P. Álvaro </w:t>
            </w:r>
            <w:proofErr w:type="spellStart"/>
            <w:r w:rsidRPr="000F46C6">
              <w:rPr>
                <w:rFonts w:ascii="Verdana" w:eastAsia="Calibri" w:hAnsi="Verdana" w:cs="Arial"/>
                <w:lang w:val="es-ES"/>
              </w:rPr>
              <w:t>Namén</w:t>
            </w:r>
            <w:proofErr w:type="spellEnd"/>
            <w:r w:rsidRPr="000F46C6">
              <w:rPr>
                <w:rFonts w:ascii="Verdana" w:eastAsia="Calibri" w:hAnsi="Verdana" w:cs="Arial"/>
                <w:lang w:val="es-ES"/>
              </w:rPr>
              <w:t xml:space="preserve"> Vargas.  </w:t>
            </w:r>
          </w:p>
          <w:p w14:paraId="34177D8F" w14:textId="77777777" w:rsidR="00903F7C" w:rsidRPr="000F46C6"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0F46C6">
              <w:rPr>
                <w:rFonts w:ascii="Verdana" w:eastAsia="Calibri" w:hAnsi="Verdana" w:cs="Arial"/>
                <w:lang w:val="es-ES"/>
              </w:rPr>
              <w:t>Consejo de Estado. Sala de Consulta y Servicio Civil. Concepto del 2 de septiembr</w:t>
            </w:r>
            <w:r>
              <w:rPr>
                <w:rFonts w:ascii="Verdana" w:eastAsia="Calibri" w:hAnsi="Verdana" w:cs="Arial"/>
                <w:lang w:val="es-ES"/>
              </w:rPr>
              <w:t>e de 2013. Radicado</w:t>
            </w:r>
            <w:r w:rsidRPr="000F46C6">
              <w:rPr>
                <w:rFonts w:ascii="Verdana" w:eastAsia="Calibri" w:hAnsi="Verdana" w:cs="Arial"/>
                <w:lang w:val="es-ES"/>
              </w:rPr>
              <w:t>:</w:t>
            </w:r>
            <w:r>
              <w:rPr>
                <w:rFonts w:ascii="Verdana" w:eastAsia="Calibri" w:hAnsi="Verdana" w:cs="Arial"/>
                <w:lang w:val="es-ES"/>
              </w:rPr>
              <w:t xml:space="preserve"> 2168. C.P.</w:t>
            </w:r>
            <w:r w:rsidRPr="000F46C6">
              <w:rPr>
                <w:rFonts w:ascii="Verdana" w:eastAsia="Calibri" w:hAnsi="Verdana" w:cs="Arial"/>
                <w:lang w:val="es-ES"/>
              </w:rPr>
              <w:t xml:space="preserve"> Álvaro </w:t>
            </w:r>
            <w:proofErr w:type="spellStart"/>
            <w:r w:rsidRPr="000F46C6">
              <w:rPr>
                <w:rFonts w:ascii="Verdana" w:eastAsia="Calibri" w:hAnsi="Verdana" w:cs="Arial"/>
                <w:lang w:val="es-ES"/>
              </w:rPr>
              <w:t>Namén</w:t>
            </w:r>
            <w:proofErr w:type="spellEnd"/>
            <w:r w:rsidRPr="000F46C6">
              <w:rPr>
                <w:rFonts w:ascii="Verdana" w:eastAsia="Calibri" w:hAnsi="Verdana" w:cs="Arial"/>
                <w:lang w:val="es-ES"/>
              </w:rPr>
              <w:t xml:space="preserve"> Vargas. </w:t>
            </w:r>
          </w:p>
          <w:p w14:paraId="0438B849" w14:textId="77777777" w:rsidR="00903F7C"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CC0106">
              <w:rPr>
                <w:rFonts w:ascii="Verdana" w:eastAsia="Calibri" w:hAnsi="Verdana" w:cs="Arial"/>
                <w:lang w:val="es-ES"/>
              </w:rPr>
              <w:t>Consejo de Estado. Sala de Consulta y Servicio Civil. Conc</w:t>
            </w:r>
            <w:r>
              <w:rPr>
                <w:rFonts w:ascii="Verdana" w:eastAsia="Calibri" w:hAnsi="Verdana" w:cs="Arial"/>
                <w:lang w:val="es-ES"/>
              </w:rPr>
              <w:t>epto del 08 de mayo de 2018. Radicado</w:t>
            </w:r>
            <w:r w:rsidRPr="00CC0106">
              <w:rPr>
                <w:rFonts w:ascii="Verdana" w:eastAsia="Calibri" w:hAnsi="Verdana" w:cs="Arial"/>
                <w:lang w:val="es-ES"/>
              </w:rPr>
              <w:t xml:space="preserve">. 2.382. C.P. Álvaro </w:t>
            </w:r>
            <w:proofErr w:type="spellStart"/>
            <w:r w:rsidRPr="00CC0106">
              <w:rPr>
                <w:rFonts w:ascii="Verdana" w:eastAsia="Calibri" w:hAnsi="Verdana" w:cs="Arial"/>
                <w:lang w:val="es-ES"/>
              </w:rPr>
              <w:t>Namén</w:t>
            </w:r>
            <w:proofErr w:type="spellEnd"/>
            <w:r w:rsidRPr="00CC0106">
              <w:rPr>
                <w:rFonts w:ascii="Verdana" w:eastAsia="Calibri" w:hAnsi="Verdana" w:cs="Arial"/>
                <w:lang w:val="es-ES"/>
              </w:rPr>
              <w:t xml:space="preserve"> Vargas.</w:t>
            </w:r>
          </w:p>
          <w:p w14:paraId="0F027A20" w14:textId="77777777" w:rsidR="00903F7C" w:rsidRPr="004F6F28"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4F6F28">
              <w:rPr>
                <w:rFonts w:ascii="Verdana" w:eastAsia="Calibri" w:hAnsi="Verdana" w:cs="Arial"/>
                <w:lang w:val="es-ES"/>
              </w:rPr>
              <w:t>Corte Constitucional. Sentencia C - 153 de 1994. M.P. Alejandro Martínez Caballero</w:t>
            </w:r>
          </w:p>
          <w:p w14:paraId="6D13DA8A" w14:textId="77777777" w:rsidR="00903F7C" w:rsidRPr="004F6F28"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4F6F28">
              <w:rPr>
                <w:rFonts w:ascii="Verdana" w:eastAsia="Calibri" w:hAnsi="Verdana" w:cs="Arial"/>
                <w:lang w:val="es-ES"/>
              </w:rPr>
              <w:t>Corte Constitucional. Sentencia C - 428 de 1994. M.P. Antonio Barrera Carbonell.</w:t>
            </w:r>
          </w:p>
          <w:p w14:paraId="2DB3D3D3" w14:textId="77777777" w:rsidR="00903F7C" w:rsidRPr="004F6F28"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4F6F28">
              <w:rPr>
                <w:rFonts w:ascii="Verdana" w:eastAsia="Calibri" w:hAnsi="Verdana" w:cs="Arial"/>
                <w:lang w:val="es-ES"/>
              </w:rPr>
              <w:t>Corte Constitucional. Sentencia C - 1074 de 4 de diciembre de 2002. M.P. Manuel José Cepeda Espinoza.</w:t>
            </w:r>
          </w:p>
          <w:p w14:paraId="66D20A82" w14:textId="77777777" w:rsidR="00903F7C" w:rsidRPr="004F6F28"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4F6F28">
              <w:rPr>
                <w:rFonts w:ascii="Verdana" w:eastAsia="Calibri" w:hAnsi="Verdana" w:cs="Arial"/>
                <w:lang w:val="es-ES"/>
              </w:rPr>
              <w:t xml:space="preserve">Corte Constitucional. Sentencia C- 474 de 2005. M.P. Humberto Antonio Sierra Porto. </w:t>
            </w:r>
          </w:p>
          <w:p w14:paraId="22EA1AA9" w14:textId="77777777" w:rsidR="00903F7C" w:rsidRPr="000F46C6"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810249">
              <w:rPr>
                <w:rFonts w:ascii="Verdana" w:eastAsia="Calibri" w:hAnsi="Verdana" w:cs="Arial"/>
                <w:lang w:val="pt-BR"/>
              </w:rPr>
              <w:t xml:space="preserve">Corte Constitucional. Sentencia C -1153 de 2005. </w:t>
            </w:r>
            <w:r w:rsidRPr="000F46C6">
              <w:rPr>
                <w:rFonts w:ascii="Verdana" w:eastAsia="Calibri" w:hAnsi="Verdana" w:cs="Arial"/>
                <w:lang w:val="es-ES"/>
              </w:rPr>
              <w:t xml:space="preserve">M.P. Marco Gerardo Monroy Cabra. </w:t>
            </w:r>
          </w:p>
          <w:p w14:paraId="0A0D7B6C" w14:textId="77777777" w:rsidR="00903F7C" w:rsidRPr="004F6F28" w:rsidRDefault="00903F7C" w:rsidP="00903F7C">
            <w:pPr>
              <w:widowControl w:val="0"/>
              <w:numPr>
                <w:ilvl w:val="0"/>
                <w:numId w:val="20"/>
              </w:numPr>
              <w:autoSpaceDE w:val="0"/>
              <w:autoSpaceDN w:val="0"/>
              <w:spacing w:after="120" w:line="276" w:lineRule="auto"/>
              <w:jc w:val="both"/>
              <w:rPr>
                <w:rFonts w:ascii="Verdana" w:eastAsia="Calibri" w:hAnsi="Verdana" w:cs="Arial"/>
                <w:lang w:val="es-ES"/>
              </w:rPr>
            </w:pPr>
            <w:r w:rsidRPr="004F6F28">
              <w:rPr>
                <w:rFonts w:ascii="Verdana" w:eastAsia="Calibri" w:hAnsi="Verdana" w:cs="Arial"/>
                <w:lang w:val="es-ES"/>
              </w:rPr>
              <w:t>Corte Constitucional. Sentencia C - 669 de 2015. M.P. Luis Ernesto Vargas Silva.</w:t>
            </w:r>
          </w:p>
          <w:p w14:paraId="42449049" w14:textId="77777777" w:rsidR="00903F7C" w:rsidRPr="004D4874" w:rsidRDefault="00903F7C" w:rsidP="00903F7C">
            <w:pPr>
              <w:widowControl w:val="0"/>
              <w:numPr>
                <w:ilvl w:val="0"/>
                <w:numId w:val="20"/>
              </w:numPr>
              <w:autoSpaceDE w:val="0"/>
              <w:autoSpaceDN w:val="0"/>
              <w:spacing w:after="120" w:line="276" w:lineRule="auto"/>
              <w:jc w:val="both"/>
              <w:rPr>
                <w:rFonts w:ascii="Verdana" w:eastAsia="Calibri" w:hAnsi="Verdana" w:cs="Arial"/>
                <w:lang w:val="pt-BR"/>
              </w:rPr>
            </w:pPr>
            <w:r w:rsidRPr="000F46C6">
              <w:rPr>
                <w:rFonts w:ascii="Verdana" w:eastAsia="Calibri" w:hAnsi="Verdana" w:cs="Arial"/>
                <w:lang w:val="pt-BR"/>
              </w:rPr>
              <w:t xml:space="preserve">Corte Constitucional. Sentencia C-671 </w:t>
            </w:r>
            <w:r>
              <w:rPr>
                <w:rFonts w:ascii="Verdana" w:eastAsia="Calibri" w:hAnsi="Verdana" w:cs="Arial"/>
                <w:lang w:val="pt-BR"/>
              </w:rPr>
              <w:t>de 2015. M.P. Alberto Rojas Ríos.</w:t>
            </w:r>
          </w:p>
        </w:tc>
      </w:tr>
    </w:tbl>
    <w:p w14:paraId="12CE76DA" w14:textId="77777777" w:rsidR="00903F7C" w:rsidRPr="00810249" w:rsidRDefault="00903F7C" w:rsidP="00903F7C">
      <w:pPr>
        <w:widowControl w:val="0"/>
        <w:autoSpaceDE w:val="0"/>
        <w:autoSpaceDN w:val="0"/>
        <w:spacing w:after="0" w:line="276" w:lineRule="auto"/>
        <w:jc w:val="both"/>
        <w:rPr>
          <w:rFonts w:ascii="Verdana" w:hAnsi="Verdana" w:cs="Arial"/>
          <w:lang w:val="pt-BR"/>
        </w:rPr>
      </w:pPr>
    </w:p>
    <w:p w14:paraId="15B2504E" w14:textId="77777777" w:rsidR="00903F7C" w:rsidRPr="00AB70DD" w:rsidRDefault="00903F7C" w:rsidP="00903F7C">
      <w:pPr>
        <w:pStyle w:val="Prrafodelista"/>
        <w:numPr>
          <w:ilvl w:val="0"/>
          <w:numId w:val="19"/>
        </w:numPr>
        <w:tabs>
          <w:tab w:val="left" w:pos="142"/>
          <w:tab w:val="left" w:pos="284"/>
        </w:tabs>
        <w:spacing w:after="0" w:line="276" w:lineRule="auto"/>
        <w:contextualSpacing w:val="0"/>
        <w:jc w:val="both"/>
        <w:rPr>
          <w:rFonts w:ascii="Verdana" w:eastAsia="Century Gothic" w:hAnsi="Verdana" w:cs="Century Gothic"/>
          <w:b/>
          <w:bCs/>
        </w:rPr>
      </w:pPr>
      <w:r w:rsidRPr="00AB70DD">
        <w:rPr>
          <w:rFonts w:ascii="Verdana" w:eastAsia="Century Gothic" w:hAnsi="Verdana" w:cs="Century Gothic"/>
          <w:b/>
          <w:bCs/>
        </w:rPr>
        <w:t>Doctrina de la Agencia Nacional de Contratación Pública:</w:t>
      </w:r>
    </w:p>
    <w:p w14:paraId="74BF8245" w14:textId="77777777" w:rsidR="00903F7C" w:rsidRPr="00AB70DD" w:rsidRDefault="00903F7C" w:rsidP="00903F7C">
      <w:pPr>
        <w:widowControl w:val="0"/>
        <w:autoSpaceDE w:val="0"/>
        <w:autoSpaceDN w:val="0"/>
        <w:spacing w:after="0" w:line="276" w:lineRule="auto"/>
        <w:jc w:val="both"/>
        <w:rPr>
          <w:rFonts w:ascii="Verdana" w:hAnsi="Verdana" w:cs="Arial"/>
        </w:rPr>
      </w:pPr>
    </w:p>
    <w:p w14:paraId="71F58B46" w14:textId="77777777" w:rsidR="00903F7C" w:rsidRPr="00041187" w:rsidRDefault="00903F7C" w:rsidP="00903F7C">
      <w:pPr>
        <w:widowControl w:val="0"/>
        <w:autoSpaceDE w:val="0"/>
        <w:autoSpaceDN w:val="0"/>
        <w:spacing w:after="0" w:line="276" w:lineRule="auto"/>
        <w:jc w:val="both"/>
        <w:rPr>
          <w:rFonts w:ascii="Verdana" w:hAnsi="Verdana" w:cs="Arial"/>
          <w:bCs/>
          <w:shd w:val="clear" w:color="auto" w:fill="FFFFFF"/>
        </w:rPr>
      </w:pPr>
      <w:r w:rsidRPr="00AB70DD">
        <w:rPr>
          <w:rFonts w:ascii="Verdana" w:hAnsi="Verdana" w:cs="Arial"/>
          <w:shd w:val="clear" w:color="auto" w:fill="FFFFFF"/>
          <w:lang w:val="es-ES"/>
        </w:rPr>
        <w:t xml:space="preserve">Sobre la finalidad y propósito de la Ley de Garantías Electorales, la ANCP- CCE se ha pronunciado en los Conceptos 4201913000004536 de 17 de julio de 2019, </w:t>
      </w:r>
      <w:r w:rsidRPr="00AB70DD">
        <w:rPr>
          <w:rFonts w:ascii="Verdana" w:hAnsi="Verdana" w:cs="Arial"/>
          <w:shd w:val="clear" w:color="auto" w:fill="FFFFFF"/>
          <w:lang w:val="es-ES"/>
        </w:rPr>
        <w:lastRenderedPageBreak/>
        <w:t>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w:t>
      </w:r>
      <w:r>
        <w:rPr>
          <w:rFonts w:ascii="Verdana" w:hAnsi="Verdana" w:cs="Arial"/>
          <w:shd w:val="clear" w:color="auto" w:fill="FFFFFF"/>
          <w:lang w:val="es-ES"/>
        </w:rPr>
        <w:t xml:space="preserve"> </w:t>
      </w:r>
      <w:r w:rsidRPr="00AB51C6">
        <w:rPr>
          <w:rFonts w:ascii="Verdana" w:hAnsi="Verdana" w:cs="Arial"/>
          <w:shd w:val="clear" w:color="auto" w:fill="FFFFFF"/>
          <w:lang w:val="es-ES"/>
        </w:rPr>
        <w:t>C-317 del 25 de abril de 2025, C-510 del 4 de junio de 2025,</w:t>
      </w:r>
      <w:r>
        <w:rPr>
          <w:rFonts w:ascii="Verdana" w:hAnsi="Verdana" w:cs="Arial"/>
          <w:shd w:val="clear" w:color="auto" w:fill="FFFFFF"/>
          <w:lang w:val="es-ES"/>
        </w:rPr>
        <w:t xml:space="preserve"> 646 del 26 de junio de 2025, C-957 del 23 de agosto de 2025, C-975 del 28 de agosto de 2025, C-1015 del 4 de septiembre de 2025, C-1096 del 28 de agosto de 2025, C-1174 del 29 de septiembre de 2025, C- 1170 del 16 de septiembre de 2025, C-1194 del 3 de octubre de 2025, entre otros.</w:t>
      </w:r>
      <w:r w:rsidRPr="00AB70DD">
        <w:rPr>
          <w:rFonts w:ascii="Verdana" w:hAnsi="Verdana" w:cs="Arial"/>
          <w:shd w:val="clear" w:color="auto" w:fill="FFFFFF"/>
          <w:lang w:val="es-ES"/>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3ECE028" w14:textId="77777777" w:rsidR="00903F7C" w:rsidRPr="00185EE9" w:rsidRDefault="00903F7C" w:rsidP="00903F7C">
      <w:pPr>
        <w:spacing w:after="0" w:line="256" w:lineRule="auto"/>
        <w:jc w:val="both"/>
        <w:rPr>
          <w:rFonts w:ascii="Verdana" w:eastAsia="Calibri" w:hAnsi="Verdana" w:cs="Times New Roman"/>
        </w:rPr>
      </w:pPr>
      <w:hyperlink r:id="rId13"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616055BE" w14:textId="77777777" w:rsidR="00903F7C" w:rsidRPr="00CB2288" w:rsidRDefault="00903F7C" w:rsidP="00903F7C">
      <w:pPr>
        <w:spacing w:after="0"/>
        <w:jc w:val="both"/>
        <w:rPr>
          <w:rFonts w:ascii="Verdana" w:hAnsi="Verdana"/>
          <w:lang w:val="es-ES"/>
        </w:rPr>
      </w:pPr>
    </w:p>
    <w:p w14:paraId="47C63390" w14:textId="77777777" w:rsidR="00903F7C" w:rsidRPr="00EC0E3F" w:rsidRDefault="00903F7C" w:rsidP="00903F7C">
      <w:pPr>
        <w:spacing w:after="0" w:line="256" w:lineRule="auto"/>
        <w:jc w:val="both"/>
        <w:rPr>
          <w:rFonts w:ascii="Verdana" w:eastAsia="Calibri" w:hAnsi="Verdana" w:cs="Times New Roman"/>
        </w:rPr>
      </w:pPr>
      <w:r w:rsidRPr="00EC0E3F">
        <w:rPr>
          <w:rFonts w:ascii="Verdana" w:eastAsia="Calibri" w:hAnsi="Verdana" w:cs="Times New Roman"/>
        </w:rPr>
        <w:t xml:space="preserve">Te informamos que ya se encuentra disponible la </w:t>
      </w:r>
      <w:r w:rsidRPr="00EC0E3F">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C0E3F">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C0E3F">
        <w:rPr>
          <w:rFonts w:ascii="Verdana" w:eastAsia="Calibri" w:hAnsi="Verdana" w:cs="Times New Roman"/>
        </w:rPr>
        <w:t>Wayúu</w:t>
      </w:r>
      <w:proofErr w:type="spellEnd"/>
      <w:r w:rsidRPr="00EC0E3F">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19B4F77A" w14:textId="77777777" w:rsidR="00903F7C" w:rsidRDefault="00903F7C" w:rsidP="00903F7C">
      <w:pPr>
        <w:spacing w:after="0"/>
        <w:jc w:val="both"/>
        <w:rPr>
          <w:rFonts w:ascii="Verdana" w:hAnsi="Verdana"/>
        </w:rPr>
      </w:pPr>
    </w:p>
    <w:p w14:paraId="4E86C6D5" w14:textId="77777777" w:rsidR="00903F7C" w:rsidRPr="00AB70DD" w:rsidRDefault="00903F7C" w:rsidP="00903F7C">
      <w:pPr>
        <w:spacing w:after="0" w:line="256" w:lineRule="auto"/>
        <w:jc w:val="both"/>
        <w:rPr>
          <w:rFonts w:ascii="Verdana" w:eastAsia="Calibri" w:hAnsi="Verdana" w:cs="Times New Roman"/>
          <w:bCs/>
          <w:lang w:val="es-ES_tradnl"/>
        </w:rPr>
      </w:pPr>
      <w:r w:rsidRPr="00AB70DD">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386A61C" w14:textId="77777777" w:rsidR="00903F7C" w:rsidRPr="00AB70DD" w:rsidRDefault="00903F7C" w:rsidP="00903F7C">
      <w:pPr>
        <w:spacing w:after="0" w:line="256" w:lineRule="auto"/>
        <w:jc w:val="both"/>
        <w:rPr>
          <w:rFonts w:ascii="Verdana" w:eastAsia="Calibri" w:hAnsi="Verdana" w:cs="Times New Roman"/>
        </w:rPr>
      </w:pPr>
    </w:p>
    <w:p w14:paraId="7F9F33A5" w14:textId="77777777" w:rsidR="00903F7C" w:rsidRPr="00AB70DD" w:rsidRDefault="00903F7C" w:rsidP="00903F7C">
      <w:pPr>
        <w:spacing w:after="0" w:line="256" w:lineRule="auto"/>
        <w:jc w:val="both"/>
        <w:rPr>
          <w:rFonts w:ascii="Verdana" w:eastAsia="Calibri" w:hAnsi="Verdana" w:cs="Times New Roman"/>
        </w:rPr>
      </w:pPr>
      <w:r w:rsidRPr="00AB70DD">
        <w:rPr>
          <w:rFonts w:ascii="Verdana" w:eastAsia="Calibri" w:hAnsi="Verdana" w:cs="Times New Roman"/>
        </w:rPr>
        <w:lastRenderedPageBreak/>
        <w:t>Atentamente,</w:t>
      </w:r>
    </w:p>
    <w:p w14:paraId="198D38FB" w14:textId="77777777" w:rsidR="00903F7C" w:rsidRDefault="00903F7C" w:rsidP="00903F7C">
      <w:pPr>
        <w:spacing w:after="0" w:line="256" w:lineRule="auto"/>
        <w:rPr>
          <w:rFonts w:ascii="Verdana" w:eastAsia="Times New Roman" w:hAnsi="Verdana" w:cs="Arial"/>
          <w:noProof/>
          <w:sz w:val="24"/>
          <w:szCs w:val="24"/>
          <w:lang w:val="en-US"/>
        </w:rPr>
      </w:pPr>
    </w:p>
    <w:p w14:paraId="0E7AAD96" w14:textId="0C16911A" w:rsidR="00903F7C" w:rsidRDefault="00063B12" w:rsidP="00063B12">
      <w:pPr>
        <w:spacing w:after="0" w:line="256" w:lineRule="auto"/>
        <w:jc w:val="center"/>
        <w:rPr>
          <w:noProof/>
          <w:lang w:val="en-US"/>
        </w:rPr>
      </w:pPr>
      <w:r w:rsidRPr="002C3AD6">
        <w:rPr>
          <w:rFonts w:ascii="Century Gothic" w:hAnsi="Century Gothic"/>
          <w:noProof/>
          <w:lang w:val="en-US"/>
        </w:rPr>
        <w:drawing>
          <wp:inline distT="0" distB="0" distL="0" distR="0" wp14:anchorId="19853D29" wp14:editId="27880F4F">
            <wp:extent cx="3279697" cy="1217463"/>
            <wp:effectExtent l="0" t="0" r="0" b="1905"/>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312722" cy="1229722"/>
                    </a:xfrm>
                    <a:prstGeom prst="rect">
                      <a:avLst/>
                    </a:prstGeom>
                  </pic:spPr>
                </pic:pic>
              </a:graphicData>
            </a:graphic>
          </wp:inline>
        </w:drawing>
      </w:r>
    </w:p>
    <w:p w14:paraId="58C94F10" w14:textId="77777777" w:rsidR="00063B12" w:rsidRPr="00063B12" w:rsidRDefault="00063B12" w:rsidP="00063B12">
      <w:pPr>
        <w:spacing w:after="0" w:line="256" w:lineRule="auto"/>
        <w:jc w:val="center"/>
        <w:rPr>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903F7C" w:rsidRPr="00045117" w14:paraId="6CBC29D5" w14:textId="77777777" w:rsidTr="00C338C0">
        <w:trPr>
          <w:trHeight w:val="409"/>
        </w:trPr>
        <w:tc>
          <w:tcPr>
            <w:tcW w:w="817" w:type="dxa"/>
            <w:tcBorders>
              <w:top w:val="nil"/>
              <w:left w:val="nil"/>
              <w:bottom w:val="nil"/>
              <w:right w:val="nil"/>
            </w:tcBorders>
            <w:vAlign w:val="center"/>
            <w:hideMark/>
          </w:tcPr>
          <w:p w14:paraId="13621701" w14:textId="77777777" w:rsidR="00903F7C" w:rsidRPr="00045117" w:rsidRDefault="00903F7C" w:rsidP="00C338C0">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5194E17" w14:textId="77777777" w:rsidR="00903F7C" w:rsidRPr="00045117" w:rsidRDefault="00903F7C" w:rsidP="00C338C0">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José Luis Sánchez Cardona</w:t>
            </w:r>
          </w:p>
          <w:p w14:paraId="26D5A232" w14:textId="77777777" w:rsidR="00903F7C" w:rsidRPr="00045117" w:rsidRDefault="00903F7C" w:rsidP="00C338C0">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Contratista de la Subdirección de Gestión Contractual</w:t>
            </w:r>
          </w:p>
        </w:tc>
      </w:tr>
      <w:tr w:rsidR="00903F7C" w:rsidRPr="00045117" w14:paraId="12823F30" w14:textId="77777777" w:rsidTr="00C338C0">
        <w:trPr>
          <w:trHeight w:val="409"/>
        </w:trPr>
        <w:tc>
          <w:tcPr>
            <w:tcW w:w="817" w:type="dxa"/>
            <w:tcBorders>
              <w:top w:val="nil"/>
              <w:left w:val="nil"/>
              <w:bottom w:val="nil"/>
              <w:right w:val="nil"/>
            </w:tcBorders>
            <w:vAlign w:val="center"/>
            <w:hideMark/>
          </w:tcPr>
          <w:p w14:paraId="099DD023" w14:textId="77777777" w:rsidR="00903F7C" w:rsidRPr="00045117" w:rsidRDefault="00903F7C" w:rsidP="00C338C0">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64676A8" w14:textId="77777777" w:rsidR="00903F7C" w:rsidRPr="00045117" w:rsidRDefault="00903F7C" w:rsidP="00C338C0">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Alejandro Sarmiento Cantillo</w:t>
            </w:r>
          </w:p>
          <w:p w14:paraId="5842B763" w14:textId="77777777" w:rsidR="00903F7C" w:rsidRPr="00045117" w:rsidRDefault="00903F7C" w:rsidP="00C338C0">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Gestor T1-15 de la Subdirección de Gestión Contractual </w:t>
            </w:r>
          </w:p>
        </w:tc>
      </w:tr>
      <w:tr w:rsidR="00903F7C" w:rsidRPr="00045117" w14:paraId="3776F73F" w14:textId="77777777" w:rsidTr="00C338C0">
        <w:trPr>
          <w:trHeight w:val="389"/>
        </w:trPr>
        <w:tc>
          <w:tcPr>
            <w:tcW w:w="817" w:type="dxa"/>
            <w:tcBorders>
              <w:top w:val="nil"/>
              <w:left w:val="nil"/>
              <w:bottom w:val="nil"/>
              <w:right w:val="nil"/>
            </w:tcBorders>
            <w:vAlign w:val="center"/>
            <w:hideMark/>
          </w:tcPr>
          <w:p w14:paraId="29BECF55" w14:textId="77777777" w:rsidR="00903F7C" w:rsidRPr="00045117" w:rsidRDefault="00903F7C" w:rsidP="00C338C0">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824C0E1" w14:textId="77777777" w:rsidR="00903F7C" w:rsidRPr="00045117" w:rsidRDefault="00903F7C" w:rsidP="00C338C0">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 xml:space="preserve">Carolina Quintero </w:t>
            </w:r>
            <w:proofErr w:type="spellStart"/>
            <w:r w:rsidRPr="00045117">
              <w:rPr>
                <w:rFonts w:ascii="Verdana" w:eastAsia="Calibri" w:hAnsi="Verdana" w:cs="Times New Roman"/>
                <w:sz w:val="16"/>
                <w:szCs w:val="16"/>
              </w:rPr>
              <w:t>Gacharná</w:t>
            </w:r>
            <w:proofErr w:type="spellEnd"/>
          </w:p>
          <w:p w14:paraId="550838C6" w14:textId="77777777" w:rsidR="00903F7C" w:rsidRPr="00045117" w:rsidRDefault="00903F7C" w:rsidP="00C338C0">
            <w:pPr>
              <w:spacing w:after="0" w:line="256" w:lineRule="auto"/>
              <w:rPr>
                <w:rFonts w:ascii="Verdana" w:eastAsia="Calibri" w:hAnsi="Verdana" w:cs="Times New Roman"/>
                <w:sz w:val="16"/>
                <w:szCs w:val="16"/>
              </w:rPr>
            </w:pPr>
            <w:r w:rsidRPr="00045117">
              <w:rPr>
                <w:rFonts w:ascii="Verdana" w:eastAsia="Calibri" w:hAnsi="Verdana" w:cs="Times New Roman"/>
                <w:sz w:val="16"/>
                <w:szCs w:val="16"/>
              </w:rPr>
              <w:t>Subdirectora de Gestión Contractual ANCP – CCE</w:t>
            </w:r>
          </w:p>
        </w:tc>
      </w:tr>
    </w:tbl>
    <w:p w14:paraId="69F7F444" w14:textId="77777777" w:rsidR="00903F7C" w:rsidRPr="0044528D" w:rsidRDefault="00903F7C" w:rsidP="00903F7C">
      <w:pPr>
        <w:spacing w:after="0"/>
        <w:rPr>
          <w:rFonts w:ascii="Verdana" w:hAnsi="Verdana"/>
        </w:rPr>
      </w:pPr>
    </w:p>
    <w:p w14:paraId="6862C05F" w14:textId="77777777" w:rsidR="00903F7C" w:rsidRPr="0035242B" w:rsidRDefault="00903F7C" w:rsidP="00903F7C"/>
    <w:p w14:paraId="2F7AFD64" w14:textId="77777777" w:rsidR="00903F7C" w:rsidRPr="0044528D" w:rsidRDefault="00903F7C" w:rsidP="00903F7C">
      <w:pPr>
        <w:spacing w:after="0"/>
        <w:rPr>
          <w:rFonts w:ascii="Verdana" w:hAnsi="Verdana"/>
        </w:rPr>
      </w:pPr>
    </w:p>
    <w:bookmarkEnd w:id="0"/>
    <w:p w14:paraId="531E177E" w14:textId="28BC378D" w:rsidR="007D7CFD" w:rsidRPr="00903F7C" w:rsidRDefault="007D7CFD" w:rsidP="00903F7C"/>
    <w:sectPr w:rsidR="007D7CFD" w:rsidRPr="00903F7C"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3C418" w14:textId="77777777" w:rsidR="002710B9" w:rsidRDefault="002710B9" w:rsidP="004A1847">
      <w:pPr>
        <w:spacing w:after="0" w:line="240" w:lineRule="auto"/>
      </w:pPr>
      <w:r>
        <w:separator/>
      </w:r>
    </w:p>
  </w:endnote>
  <w:endnote w:type="continuationSeparator" w:id="0">
    <w:p w14:paraId="6B3D4C53" w14:textId="77777777" w:rsidR="002710B9" w:rsidRDefault="002710B9" w:rsidP="004A1847">
      <w:pPr>
        <w:spacing w:after="0" w:line="240" w:lineRule="auto"/>
      </w:pPr>
      <w:r>
        <w:continuationSeparator/>
      </w:r>
    </w:p>
  </w:endnote>
  <w:endnote w:type="continuationNotice" w:id="1">
    <w:p w14:paraId="61B6567E" w14:textId="77777777" w:rsidR="002710B9" w:rsidRDefault="002710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505795" w:rsidRDefault="00505795">
    <w:pPr>
      <w:pStyle w:val="Piedepgina"/>
    </w:pPr>
  </w:p>
  <w:p w14:paraId="594D6D9F" w14:textId="7ADC031B" w:rsidR="00505795" w:rsidRPr="00174B77" w:rsidRDefault="0050579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524136" w:rsidRPr="00524136">
      <w:rPr>
        <w:rFonts w:ascii="Verdana" w:eastAsiaTheme="minorEastAsia" w:hAnsi="Verdana"/>
        <w:b/>
        <w:bCs/>
        <w:noProof/>
        <w:sz w:val="16"/>
        <w:szCs w:val="16"/>
      </w:rPr>
      <w:t>27</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05795" w:rsidRDefault="0050579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05795" w:rsidRPr="00E41027" w:rsidRDefault="00505795"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505795" w:rsidRDefault="0050579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656C5" w14:textId="77777777" w:rsidR="002710B9" w:rsidRDefault="002710B9" w:rsidP="004A1847">
      <w:pPr>
        <w:spacing w:after="0" w:line="240" w:lineRule="auto"/>
      </w:pPr>
      <w:r>
        <w:separator/>
      </w:r>
    </w:p>
  </w:footnote>
  <w:footnote w:type="continuationSeparator" w:id="0">
    <w:p w14:paraId="7D11BE29" w14:textId="77777777" w:rsidR="002710B9" w:rsidRDefault="002710B9" w:rsidP="004A1847">
      <w:pPr>
        <w:spacing w:after="0" w:line="240" w:lineRule="auto"/>
      </w:pPr>
      <w:r>
        <w:continuationSeparator/>
      </w:r>
    </w:p>
  </w:footnote>
  <w:footnote w:type="continuationNotice" w:id="1">
    <w:p w14:paraId="531F5936" w14:textId="77777777" w:rsidR="002710B9" w:rsidRDefault="002710B9">
      <w:pPr>
        <w:spacing w:after="0" w:line="240" w:lineRule="auto"/>
      </w:pPr>
    </w:p>
  </w:footnote>
  <w:footnote w:id="2">
    <w:p w14:paraId="5586F500" w14:textId="77777777" w:rsidR="00903F7C" w:rsidRPr="00F95083" w:rsidRDefault="00903F7C" w:rsidP="00903F7C">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571D36C" w14:textId="77777777" w:rsidR="00903F7C" w:rsidRPr="00F95083" w:rsidRDefault="00903F7C" w:rsidP="00903F7C">
      <w:pPr>
        <w:pStyle w:val="Textonotapie"/>
        <w:ind w:firstLine="709"/>
        <w:jc w:val="both"/>
        <w:rPr>
          <w:rFonts w:ascii="Verdana" w:hAnsi="Verdana" w:cs="Arial"/>
          <w:sz w:val="15"/>
          <w:szCs w:val="15"/>
        </w:rPr>
      </w:pPr>
      <w:r w:rsidRPr="00F95083">
        <w:rPr>
          <w:rFonts w:ascii="Verdana" w:hAnsi="Verdana" w:cs="Arial"/>
          <w:sz w:val="15"/>
          <w:szCs w:val="15"/>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6AC8A894" w14:textId="77777777" w:rsidR="00903F7C" w:rsidRPr="00F95083" w:rsidRDefault="00903F7C" w:rsidP="00903F7C">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Gaceta del Congreso de la República No. 71 del 2005.</w:t>
      </w:r>
    </w:p>
  </w:footnote>
  <w:footnote w:id="4">
    <w:p w14:paraId="2EF82782" w14:textId="77777777" w:rsidR="00903F7C" w:rsidRPr="00F95083" w:rsidRDefault="00903F7C" w:rsidP="00903F7C">
      <w:pPr>
        <w:pStyle w:val="Textonotapie"/>
        <w:ind w:firstLine="709"/>
        <w:jc w:val="both"/>
        <w:rPr>
          <w:rFonts w:ascii="Verdana" w:hAnsi="Verdana" w:cs="Arial"/>
          <w:sz w:val="15"/>
          <w:szCs w:val="15"/>
          <w:lang w:val="pt-BR"/>
        </w:rPr>
      </w:pPr>
      <w:r w:rsidRPr="00F95083">
        <w:rPr>
          <w:rStyle w:val="Refdenotaalpie"/>
          <w:rFonts w:ascii="Verdana" w:hAnsi="Verdana" w:cs="Arial"/>
          <w:sz w:val="15"/>
          <w:szCs w:val="15"/>
        </w:rPr>
        <w:footnoteRef/>
      </w:r>
      <w:r w:rsidRPr="00F95083">
        <w:rPr>
          <w:rFonts w:ascii="Verdana" w:hAnsi="Verdana" w:cs="Arial"/>
          <w:sz w:val="15"/>
          <w:szCs w:val="15"/>
          <w:lang w:val="pt-BR"/>
        </w:rPr>
        <w:t xml:space="preserve"> Corte Constitucional, Sentencia C- 1153 de 2005, M.P. Marco Gerardo Monroy Cabra.</w:t>
      </w:r>
    </w:p>
  </w:footnote>
  <w:footnote w:id="5">
    <w:p w14:paraId="011075E1" w14:textId="77777777" w:rsidR="00903F7C" w:rsidRPr="00F95083" w:rsidRDefault="00903F7C" w:rsidP="00903F7C">
      <w:pPr>
        <w:pStyle w:val="Textonotapie"/>
        <w:ind w:firstLine="709"/>
        <w:jc w:val="both"/>
        <w:rPr>
          <w:rFonts w:ascii="Verdana" w:hAnsi="Verdana" w:cs="Arial"/>
          <w:sz w:val="15"/>
          <w:szCs w:val="15"/>
          <w:lang w:val="pt-BR"/>
        </w:rPr>
      </w:pPr>
      <w:r w:rsidRPr="00F95083">
        <w:rPr>
          <w:rStyle w:val="Refdenotaalpie"/>
          <w:rFonts w:ascii="Verdana" w:hAnsi="Verdana" w:cs="Arial"/>
          <w:sz w:val="15"/>
          <w:szCs w:val="15"/>
        </w:rPr>
        <w:footnoteRef/>
      </w:r>
      <w:r w:rsidRPr="00F95083">
        <w:rPr>
          <w:rFonts w:ascii="Verdana" w:hAnsi="Verdana" w:cs="Arial"/>
          <w:sz w:val="15"/>
          <w:szCs w:val="15"/>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6F86EF6F" w14:textId="77777777" w:rsidR="00903F7C" w:rsidRPr="00F95083" w:rsidRDefault="00903F7C" w:rsidP="00903F7C">
      <w:pPr>
        <w:pStyle w:val="Textonotapie"/>
        <w:ind w:firstLine="709"/>
        <w:jc w:val="both"/>
        <w:rPr>
          <w:rFonts w:ascii="Verdana" w:hAnsi="Verdana" w:cs="Arial"/>
          <w:sz w:val="15"/>
          <w:szCs w:val="15"/>
          <w:lang w:val="es-CO"/>
        </w:rPr>
      </w:pPr>
      <w:r w:rsidRPr="00F95083">
        <w:rPr>
          <w:rStyle w:val="Refdenotaalpie"/>
          <w:rFonts w:ascii="Verdana" w:hAnsi="Verdana" w:cs="Arial"/>
          <w:sz w:val="15"/>
          <w:szCs w:val="15"/>
        </w:rPr>
        <w:footnoteRef/>
      </w:r>
      <w:r w:rsidRPr="00F95083">
        <w:rPr>
          <w:rFonts w:ascii="Verdana" w:hAnsi="Verdana" w:cs="Arial"/>
          <w:sz w:val="15"/>
          <w:szCs w:val="15"/>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69C6618" w14:textId="77777777" w:rsidR="00903F7C" w:rsidRPr="00F95083" w:rsidRDefault="00903F7C" w:rsidP="00903F7C">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de fecha 24 de julio de 2013, radicado 2166, C. P. Álvaro Namén Vargas.  </w:t>
      </w:r>
    </w:p>
  </w:footnote>
  <w:footnote w:id="8">
    <w:p w14:paraId="590573F8" w14:textId="77777777" w:rsidR="00903F7C" w:rsidRPr="00F95083" w:rsidRDefault="00903F7C" w:rsidP="00903F7C">
      <w:pPr>
        <w:spacing w:after="0" w:line="240" w:lineRule="auto"/>
        <w:ind w:firstLine="709"/>
        <w:jc w:val="both"/>
        <w:rPr>
          <w:rFonts w:ascii="Verdana" w:eastAsia="Times New Roman"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w:t>
      </w:r>
      <w:bookmarkStart w:id="5" w:name="33"/>
      <w:r w:rsidRPr="00F95083">
        <w:rPr>
          <w:rFonts w:ascii="Verdana" w:eastAsia="Calibri" w:hAnsi="Verdana" w:cs="Arial"/>
          <w:color w:val="000000"/>
          <w:sz w:val="15"/>
          <w:szCs w:val="15"/>
        </w:rPr>
        <w:t>“</w:t>
      </w:r>
      <w:r w:rsidRPr="00F95083">
        <w:rPr>
          <w:rFonts w:ascii="Verdana" w:eastAsia="Times New Roman" w:hAnsi="Verdana" w:cs="Arial"/>
          <w:sz w:val="15"/>
          <w:szCs w:val="15"/>
        </w:rPr>
        <w:t>Artículo 33. Restricciones a la contratación pública.</w:t>
      </w:r>
      <w:bookmarkEnd w:id="5"/>
      <w:r w:rsidRPr="00F95083">
        <w:rPr>
          <w:rFonts w:ascii="Verdana" w:eastAsia="Times New Roman" w:hAnsi="Verdana" w:cs="Arial"/>
          <w:sz w:val="15"/>
          <w:szCs w:val="15"/>
        </w:rPr>
        <w:t> Durante los cuatro (4) meses anteriores a la elección presidencial y hasta la realización de la elección en la segunda vuelta, si fuere el caso, queda prohibida la contratación directa por parte de todos los entes del Estado.</w:t>
      </w:r>
    </w:p>
    <w:p w14:paraId="413ED559" w14:textId="77777777" w:rsidR="00903F7C" w:rsidRPr="00F95083" w:rsidRDefault="00903F7C" w:rsidP="00903F7C">
      <w:pPr>
        <w:spacing w:after="0" w:line="240" w:lineRule="auto"/>
        <w:ind w:firstLine="709"/>
        <w:jc w:val="both"/>
        <w:rPr>
          <w:rFonts w:ascii="Verdana" w:eastAsia="Times New Roman" w:hAnsi="Verdana" w:cs="Arial"/>
          <w:sz w:val="15"/>
          <w:szCs w:val="15"/>
        </w:rPr>
      </w:pPr>
      <w:r w:rsidRPr="00F95083">
        <w:rPr>
          <w:rFonts w:ascii="Verdana" w:eastAsia="Times New Roman" w:hAnsi="Verdana" w:cs="Arial"/>
          <w:sz w:val="15"/>
          <w:szCs w:val="15"/>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95083">
        <w:rPr>
          <w:rFonts w:ascii="Verdana" w:eastAsia="Calibri" w:hAnsi="Verdana" w:cs="Arial"/>
          <w:color w:val="000000"/>
          <w:sz w:val="15"/>
          <w:szCs w:val="15"/>
        </w:rPr>
        <w:t>”</w:t>
      </w:r>
      <w:r w:rsidRPr="00F95083">
        <w:rPr>
          <w:rFonts w:ascii="Verdana" w:eastAsia="Times New Roman" w:hAnsi="Verdana" w:cs="Arial"/>
          <w:sz w:val="15"/>
          <w:szCs w:val="15"/>
        </w:rPr>
        <w:t>.</w:t>
      </w:r>
    </w:p>
  </w:footnote>
  <w:footnote w:id="9">
    <w:p w14:paraId="228B9286" w14:textId="77777777" w:rsidR="00903F7C" w:rsidRPr="00F95083" w:rsidRDefault="00903F7C" w:rsidP="00903F7C">
      <w:pPr>
        <w:pStyle w:val="NormalWeb"/>
        <w:spacing w:before="0" w:beforeAutospacing="0" w:after="0" w:afterAutospacing="0"/>
        <w:ind w:firstLine="709"/>
        <w:jc w:val="both"/>
        <w:rPr>
          <w:rFonts w:ascii="Verdana" w:hAnsi="Verdana" w:cs="Arial"/>
          <w:sz w:val="15"/>
          <w:szCs w:val="15"/>
          <w:lang w:val="es-MX"/>
        </w:rPr>
      </w:pPr>
      <w:r w:rsidRPr="00F95083">
        <w:rPr>
          <w:rStyle w:val="Refdenotaalpie"/>
          <w:rFonts w:ascii="Verdana" w:hAnsi="Verdana" w:cs="Arial"/>
          <w:sz w:val="15"/>
          <w:szCs w:val="15"/>
        </w:rPr>
        <w:footnoteRef/>
      </w:r>
      <w:r w:rsidRPr="00F95083">
        <w:rPr>
          <w:rFonts w:ascii="Verdana" w:hAnsi="Verdana" w:cs="Arial"/>
          <w:sz w:val="15"/>
          <w:szCs w:val="15"/>
        </w:rPr>
        <w:t xml:space="preserve"> </w:t>
      </w:r>
      <w:bookmarkStart w:id="6" w:name="38"/>
      <w:r w:rsidRPr="00F95083">
        <w:rPr>
          <w:rFonts w:ascii="Verdana" w:eastAsia="Calibri" w:hAnsi="Verdana" w:cs="Arial"/>
          <w:color w:val="000000"/>
          <w:sz w:val="15"/>
          <w:szCs w:val="15"/>
        </w:rPr>
        <w:t>“</w:t>
      </w:r>
      <w:r w:rsidRPr="00F95083">
        <w:rPr>
          <w:rFonts w:ascii="Verdana" w:hAnsi="Verdana" w:cs="Arial"/>
          <w:sz w:val="15"/>
          <w:szCs w:val="15"/>
          <w:lang w:val="es-MX"/>
        </w:rPr>
        <w:t>Artículo 38. Prohibiciones para los servidores públicos. A los empleados del Estado les está prohibido:</w:t>
      </w:r>
      <w:bookmarkEnd w:id="6"/>
      <w:r w:rsidRPr="00F95083">
        <w:rPr>
          <w:rFonts w:ascii="Verdana" w:hAnsi="Verdana" w:cs="Arial"/>
          <w:sz w:val="15"/>
          <w:szCs w:val="15"/>
          <w:lang w:val="es-MX"/>
        </w:rPr>
        <w:t xml:space="preserve"> […]</w:t>
      </w:r>
    </w:p>
    <w:p w14:paraId="5F80D454" w14:textId="77777777" w:rsidR="00903F7C" w:rsidRPr="00F95083" w:rsidRDefault="00903F7C" w:rsidP="00903F7C">
      <w:pPr>
        <w:pStyle w:val="NormalWeb"/>
        <w:spacing w:before="0" w:beforeAutospacing="0" w:after="0" w:afterAutospacing="0"/>
        <w:ind w:firstLine="709"/>
        <w:jc w:val="both"/>
        <w:rPr>
          <w:rFonts w:ascii="Verdana" w:hAnsi="Verdana" w:cs="Arial"/>
          <w:sz w:val="15"/>
          <w:szCs w:val="15"/>
          <w:lang w:val="es-MX"/>
        </w:rPr>
      </w:pPr>
      <w:r w:rsidRPr="00F95083">
        <w:rPr>
          <w:rStyle w:val="baj"/>
          <w:rFonts w:ascii="Verdana" w:hAnsi="Verdana" w:cs="Arial"/>
          <w:sz w:val="15"/>
          <w:szCs w:val="15"/>
          <w:lang w:val="es-MX"/>
        </w:rPr>
        <w:t>Parágrafo.</w:t>
      </w:r>
      <w:r w:rsidRPr="00F95083">
        <w:rPr>
          <w:rFonts w:ascii="Verdana" w:hAnsi="Verdana" w:cs="Arial"/>
          <w:sz w:val="15"/>
          <w:szCs w:val="15"/>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95083">
        <w:rPr>
          <w:rFonts w:ascii="Verdana" w:eastAsia="Calibri" w:hAnsi="Verdana" w:cs="Arial"/>
          <w:color w:val="000000"/>
          <w:sz w:val="15"/>
          <w:szCs w:val="15"/>
        </w:rPr>
        <w:t>”</w:t>
      </w:r>
      <w:r w:rsidRPr="00F95083">
        <w:rPr>
          <w:rFonts w:ascii="Verdana" w:hAnsi="Verdana" w:cs="Arial"/>
          <w:sz w:val="15"/>
          <w:szCs w:val="15"/>
          <w:lang w:val="es-MX"/>
        </w:rPr>
        <w:t>.</w:t>
      </w:r>
    </w:p>
  </w:footnote>
  <w:footnote w:id="10">
    <w:p w14:paraId="6C5E7673" w14:textId="77777777" w:rsidR="00903F7C" w:rsidRPr="00F95083" w:rsidRDefault="00903F7C" w:rsidP="00903F7C">
      <w:pPr>
        <w:pStyle w:val="Textonotapie"/>
        <w:ind w:firstLine="708"/>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Colombia Compra Eficiente. Circular Externa Única. Numeral 16.5. </w:t>
      </w:r>
    </w:p>
  </w:footnote>
  <w:footnote w:id="11">
    <w:p w14:paraId="7EF3151B" w14:textId="77777777" w:rsidR="00903F7C" w:rsidRPr="00F95083" w:rsidRDefault="00903F7C" w:rsidP="00903F7C">
      <w:pPr>
        <w:spacing w:after="0" w:line="240" w:lineRule="auto"/>
        <w:ind w:left="100" w:right="244"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del 17 de febrero de 2015. C.P. William Zambrano Cetina. Radicación No. 11001-03-06-000-2015-00164-00(2269).</w:t>
      </w:r>
    </w:p>
  </w:footnote>
  <w:footnote w:id="12">
    <w:p w14:paraId="4E7DAC69" w14:textId="77777777" w:rsidR="00903F7C" w:rsidRPr="00F95083" w:rsidRDefault="00903F7C" w:rsidP="00903F7C">
      <w:pPr>
        <w:pStyle w:val="Textonotapie"/>
        <w:ind w:right="51"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w:t>
      </w:r>
      <w:r w:rsidRPr="00F95083">
        <w:rPr>
          <w:rFonts w:ascii="Verdana" w:hAnsi="Verdana" w:cs="Arial"/>
          <w:sz w:val="15"/>
          <w:szCs w:val="15"/>
          <w:lang w:val="es-ES"/>
        </w:rPr>
        <w:t xml:space="preserve">[25] </w:t>
      </w:r>
      <w:r w:rsidRPr="00F95083">
        <w:rPr>
          <w:rFonts w:ascii="Verdana" w:hAnsi="Verdana" w:cs="Arial"/>
          <w:sz w:val="15"/>
          <w:szCs w:val="15"/>
        </w:rPr>
        <w:t>Cfr. Consejo de Estado. Sección Tercera. Sentencia de 3 de diciembre de 2007. Radicados: 24.715, 25.206, 25.409, 24.524, 27.834, 25.410, 26.105, 28.244, 31.447 -acumulados-“.</w:t>
      </w:r>
    </w:p>
  </w:footnote>
  <w:footnote w:id="13">
    <w:p w14:paraId="464C1EDF" w14:textId="77777777" w:rsidR="00903F7C" w:rsidRPr="00F95083" w:rsidRDefault="00903F7C" w:rsidP="00903F7C">
      <w:pPr>
        <w:pStyle w:val="Textonotapie"/>
        <w:ind w:right="51"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w:t>
      </w:r>
      <w:r w:rsidRPr="00F95083">
        <w:rPr>
          <w:rFonts w:ascii="Verdana" w:hAnsi="Verdana" w:cs="Arial"/>
          <w:sz w:val="15"/>
          <w:szCs w:val="15"/>
          <w:lang w:val="es-ES"/>
        </w:rPr>
        <w:t xml:space="preserve">[26] </w:t>
      </w:r>
      <w:r w:rsidRPr="00F95083">
        <w:rPr>
          <w:rFonts w:ascii="Verdana" w:hAnsi="Verdana" w:cs="Arial"/>
          <w:sz w:val="15"/>
          <w:szCs w:val="15"/>
        </w:rPr>
        <w:t>Al respecto ver el concepto 1712 de 2 de febrero de 2006. Consejo de Estado Sala de Consulta y Servicio Civil”.</w:t>
      </w:r>
    </w:p>
  </w:footnote>
  <w:footnote w:id="14">
    <w:p w14:paraId="71492BF9" w14:textId="77777777" w:rsidR="00903F7C" w:rsidRPr="00F95083" w:rsidRDefault="00903F7C" w:rsidP="00903F7C">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del 2 de septiembre de 2013. Radicación número: 11001-03-06-000-2013-00412-00 (2168). Consejero Ponente: Álvaro Namén Vargas.</w:t>
      </w:r>
    </w:p>
  </w:footnote>
  <w:footnote w:id="15">
    <w:p w14:paraId="1F28DCEE" w14:textId="77777777" w:rsidR="00903F7C" w:rsidRPr="00F95083" w:rsidRDefault="00903F7C" w:rsidP="00903F7C">
      <w:pPr>
        <w:pStyle w:val="Textonotapie"/>
        <w:ind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Fonts w:ascii="Verdana" w:hAnsi="Verdana" w:cs="Arial"/>
          <w:sz w:val="15"/>
          <w:szCs w:val="15"/>
        </w:rPr>
        <w:t xml:space="preserve"> </w:t>
      </w:r>
      <w:r w:rsidRPr="00F95083">
        <w:rPr>
          <w:rFonts w:ascii="Verdana" w:hAnsi="Verdana" w:cs="Arial"/>
          <w:sz w:val="15"/>
          <w:szCs w:val="15"/>
          <w:lang w:val="es-ES"/>
        </w:rPr>
        <w:t xml:space="preserve">Artículo 2. </w:t>
      </w:r>
    </w:p>
  </w:footnote>
  <w:footnote w:id="16">
    <w:p w14:paraId="7DB05878" w14:textId="77777777" w:rsidR="00903F7C" w:rsidRPr="00F95083" w:rsidRDefault="00903F7C" w:rsidP="00903F7C">
      <w:pPr>
        <w:pStyle w:val="Textonotapie"/>
        <w:ind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Fonts w:ascii="Verdana" w:hAnsi="Verdana" w:cs="Arial"/>
          <w:sz w:val="15"/>
          <w:szCs w:val="15"/>
        </w:rPr>
        <w:t xml:space="preserve"> </w:t>
      </w:r>
      <w:r w:rsidRPr="00F95083">
        <w:rPr>
          <w:rFonts w:ascii="Verdana" w:hAnsi="Verdana" w:cs="Arial"/>
          <w:i/>
          <w:sz w:val="15"/>
          <w:szCs w:val="15"/>
          <w:lang w:val="es-ES"/>
        </w:rPr>
        <w:t>Ídem</w:t>
      </w:r>
      <w:r w:rsidRPr="00F95083">
        <w:rPr>
          <w:rFonts w:ascii="Verdana" w:hAnsi="Verdana" w:cs="Arial"/>
          <w:sz w:val="15"/>
          <w:szCs w:val="15"/>
          <w:lang w:val="es-ES"/>
        </w:rPr>
        <w:t>.</w:t>
      </w:r>
    </w:p>
  </w:footnote>
  <w:footnote w:id="17">
    <w:p w14:paraId="713EF4C4" w14:textId="77777777" w:rsidR="00903F7C" w:rsidRPr="00F95083" w:rsidRDefault="00903F7C" w:rsidP="00903F7C">
      <w:pPr>
        <w:pStyle w:val="Textonotapie"/>
        <w:ind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Style w:val="Refdenotaalpie"/>
          <w:rFonts w:ascii="Verdana" w:hAnsi="Verdana" w:cs="Arial"/>
          <w:sz w:val="15"/>
          <w:szCs w:val="15"/>
        </w:rPr>
        <w:t xml:space="preserve"> </w:t>
      </w:r>
      <w:r w:rsidRPr="00F95083">
        <w:rPr>
          <w:rFonts w:ascii="Verdana" w:hAnsi="Verdana" w:cs="Arial"/>
          <w:sz w:val="15"/>
          <w:szCs w:val="15"/>
          <w:lang w:val="es-ES"/>
        </w:rPr>
        <w:t xml:space="preserve">“[…] A este respecto, cabe recordar que el artículo 860 del Código de Comercio regula la licitación en el derecho privado”. </w:t>
      </w:r>
    </w:p>
  </w:footnote>
  <w:footnote w:id="18">
    <w:p w14:paraId="1741091A" w14:textId="77777777" w:rsidR="00903F7C" w:rsidRPr="00F95083" w:rsidRDefault="00903F7C" w:rsidP="00903F7C">
      <w:pPr>
        <w:shd w:val="clear" w:color="auto" w:fill="FFFFFF"/>
        <w:spacing w:after="0" w:line="240" w:lineRule="auto"/>
        <w:ind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Style w:val="Refdenotaalpie"/>
          <w:rFonts w:ascii="Verdana" w:hAnsi="Verdana" w:cs="Arial"/>
          <w:sz w:val="15"/>
          <w:szCs w:val="15"/>
        </w:rPr>
        <w:t xml:space="preserve"> </w:t>
      </w:r>
      <w:r w:rsidRPr="00F95083">
        <w:rPr>
          <w:rFonts w:ascii="Verdana" w:hAnsi="Verdana" w:cs="Arial"/>
          <w:sz w:val="15"/>
          <w:szCs w:val="15"/>
          <w:lang w:val="es-ES"/>
        </w:rPr>
        <w:t>Consejo de Estado. Sala de Consulta y Servicio Civil, Concepto de 8 de mayo de 2018. Radicación Número: 11001-03-06-000-2018-00095-00(2382). C.P. Álvaro Namén Vargas.</w:t>
      </w:r>
    </w:p>
  </w:footnote>
  <w:footnote w:id="19">
    <w:p w14:paraId="3506F4B3" w14:textId="77777777" w:rsidR="00903F7C" w:rsidRPr="00F95083" w:rsidRDefault="00903F7C" w:rsidP="00903F7C">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del 08 de mayo de 2018. Exp. 2.382. C.P. Álvaro Namén Vargas.</w:t>
      </w:r>
    </w:p>
  </w:footnote>
  <w:footnote w:id="20">
    <w:p w14:paraId="66E65117" w14:textId="77777777" w:rsidR="00903F7C" w:rsidRPr="00F95083" w:rsidRDefault="00903F7C" w:rsidP="00903F7C">
      <w:pPr>
        <w:pStyle w:val="Textonotapie"/>
        <w:ind w:firstLine="708"/>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Colombia Compra Eficiente. Circular Externa Única. Numeral 16.5. En este sentido, la Agencia ha expresado: “[…]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footnote>
  <w:footnote w:id="21">
    <w:p w14:paraId="2CC1C5EF" w14:textId="77777777" w:rsidR="00903F7C" w:rsidRPr="00F95083" w:rsidRDefault="00903F7C" w:rsidP="00903F7C">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20D32EDA" w14:textId="77777777" w:rsidR="00903F7C" w:rsidRPr="00F95083" w:rsidRDefault="00903F7C" w:rsidP="00903F7C">
      <w:pPr>
        <w:spacing w:after="0" w:line="240" w:lineRule="auto"/>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60B9308B" w14:textId="77777777" w:rsidR="00903F7C" w:rsidRPr="00CB2288" w:rsidRDefault="00903F7C" w:rsidP="00903F7C">
      <w:pPr>
        <w:pStyle w:val="Textonotapie"/>
        <w:ind w:right="51" w:firstLine="709"/>
        <w:jc w:val="both"/>
        <w:rPr>
          <w:rFonts w:ascii="Verdana" w:eastAsia="Times New Roman" w:hAnsi="Verdana" w:cs="Arial"/>
          <w:bCs/>
          <w:sz w:val="15"/>
          <w:szCs w:val="15"/>
          <w:lang w:eastAsia="x-none"/>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 6 de abril de 2006. Radicación Número: 11001-03-06-000-2006-00038-00 (1738). C.P. Enrique José Arboleda Perdomo:</w:t>
      </w:r>
      <w:r w:rsidRPr="00F95083">
        <w:rPr>
          <w:rFonts w:ascii="Verdana" w:eastAsia="Times New Roman" w:hAnsi="Verdana" w:cs="Arial"/>
          <w:bCs/>
          <w:sz w:val="15"/>
          <w:szCs w:val="15"/>
          <w:lang w:eastAsia="x-none"/>
        </w:rPr>
        <w:t xml:space="preserve"> “</w:t>
      </w:r>
      <w:r w:rsidRPr="00F95083">
        <w:rPr>
          <w:rFonts w:ascii="Verdana" w:hAnsi="Verdana" w:cs="Arial"/>
          <w:sz w:val="15"/>
          <w:szCs w:val="15"/>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F95083">
        <w:rPr>
          <w:rFonts w:ascii="Verdana" w:eastAsia="Times New Roman" w:hAnsi="Verdana" w:cs="Arial"/>
          <w:bCs/>
          <w:sz w:val="15"/>
          <w:szCs w:val="15"/>
          <w:lang w:eastAsia="x-none"/>
        </w:rPr>
        <w:t>”.</w:t>
      </w:r>
    </w:p>
  </w:footnote>
  <w:footnote w:id="24">
    <w:p w14:paraId="3B882C0C" w14:textId="77777777" w:rsidR="00903F7C" w:rsidRPr="00F95083" w:rsidRDefault="00903F7C" w:rsidP="00903F7C">
      <w:pPr>
        <w:spacing w:after="0" w:line="240" w:lineRule="auto"/>
        <w:ind w:firstLine="708"/>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 6 de abril de 2006. Radicación Número: 11001-03-06-000-2006-00038-00(1738). Consejero Ponente: Enrique José Arboleda Perdomo. </w:t>
      </w:r>
    </w:p>
  </w:footnote>
  <w:footnote w:id="25">
    <w:p w14:paraId="720EA33F" w14:textId="77777777" w:rsidR="00903F7C" w:rsidRPr="00F95083" w:rsidRDefault="00903F7C" w:rsidP="00903F7C">
      <w:pPr>
        <w:pStyle w:val="Textonotapie"/>
        <w:ind w:right="51"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ídem.</w:t>
      </w:r>
    </w:p>
  </w:footnote>
  <w:footnote w:id="26">
    <w:p w14:paraId="36998E64" w14:textId="77777777" w:rsidR="00903F7C" w:rsidRDefault="00903F7C" w:rsidP="00903F7C">
      <w:pPr>
        <w:pStyle w:val="Textonotapie"/>
        <w:ind w:firstLine="708"/>
        <w:jc w:val="both"/>
        <w:rPr>
          <w:rFonts w:ascii="Verdana" w:hAnsi="Verdana" w:cs="Arial"/>
          <w:sz w:val="16"/>
          <w:szCs w:val="16"/>
        </w:rPr>
      </w:pPr>
      <w:r w:rsidRPr="003F2A9C">
        <w:rPr>
          <w:rStyle w:val="Refdenotaalpie"/>
          <w:rFonts w:ascii="Verdana" w:hAnsi="Verdana" w:cs="Arial"/>
          <w:sz w:val="16"/>
          <w:szCs w:val="16"/>
        </w:rPr>
        <w:footnoteRef/>
      </w:r>
      <w:r w:rsidRPr="003F2A9C">
        <w:rPr>
          <w:rFonts w:ascii="Verdana" w:hAnsi="Verdana" w:cs="Arial"/>
          <w:sz w:val="16"/>
          <w:szCs w:val="16"/>
        </w:rPr>
        <w:t xml:space="preserve"> Colombia Compra Eficiente. Circular Externa Única. Numeral 15.5.</w:t>
      </w:r>
    </w:p>
    <w:p w14:paraId="3BF85863" w14:textId="77777777" w:rsidR="00903F7C" w:rsidRPr="003F2A9C" w:rsidRDefault="00903F7C" w:rsidP="00903F7C">
      <w:pPr>
        <w:pStyle w:val="Textonotapie"/>
        <w:ind w:firstLine="708"/>
        <w:jc w:val="both"/>
        <w:rPr>
          <w:rFonts w:ascii="Arial" w:hAnsi="Arial" w:cs="Arial"/>
          <w:sz w:val="16"/>
          <w:szCs w:val="16"/>
        </w:rPr>
      </w:pPr>
    </w:p>
  </w:footnote>
  <w:footnote w:id="27">
    <w:p w14:paraId="4163A16F" w14:textId="77777777" w:rsidR="00903F7C" w:rsidRPr="00D50FED" w:rsidRDefault="00903F7C" w:rsidP="00903F7C">
      <w:pPr>
        <w:snapToGrid w:val="0"/>
        <w:spacing w:after="0" w:line="240" w:lineRule="auto"/>
        <w:ind w:firstLine="709"/>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Corte Constitucional. Sentencia</w:t>
      </w:r>
      <w:r>
        <w:rPr>
          <w:rFonts w:ascii="Verdana" w:hAnsi="Verdana" w:cs="Arial"/>
          <w:color w:val="000000" w:themeColor="text1"/>
          <w:sz w:val="16"/>
          <w:szCs w:val="16"/>
        </w:rPr>
        <w:t xml:space="preserve"> C- 474 de 2005, M.P. </w:t>
      </w:r>
      <w:r w:rsidRPr="00D50FED">
        <w:rPr>
          <w:rFonts w:ascii="Verdana" w:hAnsi="Verdana" w:cs="Arial"/>
          <w:color w:val="000000" w:themeColor="text1"/>
          <w:sz w:val="16"/>
          <w:szCs w:val="16"/>
        </w:rPr>
        <w:t>Humberto Antonio Sierra Porto. Sente</w:t>
      </w:r>
      <w:r>
        <w:rPr>
          <w:rFonts w:ascii="Verdana" w:hAnsi="Verdana" w:cs="Arial"/>
          <w:color w:val="000000" w:themeColor="text1"/>
          <w:sz w:val="16"/>
          <w:szCs w:val="16"/>
        </w:rPr>
        <w:t xml:space="preserve">ncia C - 428 de 1994. M.P. </w:t>
      </w:r>
      <w:r w:rsidRPr="00D50FED">
        <w:rPr>
          <w:rFonts w:ascii="Verdana" w:hAnsi="Verdana" w:cs="Arial"/>
          <w:color w:val="000000" w:themeColor="text1"/>
          <w:sz w:val="16"/>
          <w:szCs w:val="16"/>
        </w:rPr>
        <w:t>Antonio Barrera Carbonell.</w:t>
      </w:r>
    </w:p>
    <w:p w14:paraId="26350681" w14:textId="77777777" w:rsidR="00903F7C" w:rsidRPr="00D50FED" w:rsidRDefault="00903F7C" w:rsidP="00903F7C">
      <w:pPr>
        <w:snapToGrid w:val="0"/>
        <w:spacing w:after="0" w:line="240" w:lineRule="auto"/>
        <w:ind w:left="300" w:firstLine="709"/>
        <w:contextualSpacing/>
        <w:jc w:val="both"/>
        <w:rPr>
          <w:rFonts w:ascii="Verdana" w:hAnsi="Verdana" w:cs="Arial"/>
          <w:color w:val="000000" w:themeColor="text1"/>
          <w:sz w:val="16"/>
          <w:szCs w:val="16"/>
        </w:rPr>
      </w:pPr>
    </w:p>
  </w:footnote>
  <w:footnote w:id="28">
    <w:p w14:paraId="5B473AE9" w14:textId="77777777" w:rsidR="00903F7C" w:rsidRPr="00D50FED" w:rsidRDefault="00903F7C" w:rsidP="00903F7C">
      <w:pPr>
        <w:snapToGrid w:val="0"/>
        <w:spacing w:after="0" w:line="240" w:lineRule="auto"/>
        <w:ind w:firstLine="709"/>
        <w:contextualSpacing/>
        <w:jc w:val="both"/>
        <w:rPr>
          <w:rFonts w:ascii="Verdana" w:eastAsia="Times New Roman" w:hAnsi="Verdana" w:cs="Arial"/>
          <w:color w:val="000000" w:themeColor="text1"/>
          <w:sz w:val="16"/>
          <w:szCs w:val="16"/>
          <w:shd w:val="clear" w:color="auto" w:fill="FFFFFF"/>
          <w:lang w:eastAsia="es-ES_tradnl"/>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w:t>
      </w:r>
      <w:r>
        <w:rPr>
          <w:rFonts w:ascii="Verdana" w:hAnsi="Verdana" w:cs="Arial"/>
          <w:color w:val="000000" w:themeColor="text1"/>
          <w:sz w:val="16"/>
          <w:szCs w:val="16"/>
        </w:rPr>
        <w:t>“</w:t>
      </w:r>
      <w:r w:rsidRPr="00D50FED">
        <w:rPr>
          <w:rFonts w:ascii="Verdana" w:eastAsia="Times New Roman" w:hAnsi="Verdana" w:cs="Arial"/>
          <w:color w:val="000000" w:themeColor="text1"/>
          <w:sz w:val="16"/>
          <w:szCs w:val="16"/>
          <w:shd w:val="clear" w:color="auto" w:fill="FFFFFF"/>
          <w:lang w:eastAsia="es-ES_tradnl"/>
        </w:rPr>
        <w:t>Por la cual se dictan normas sobre planes de desarrollo municipal, compraventa y expropiación de bienes y se dictan otras disposiciones</w:t>
      </w:r>
      <w:r>
        <w:rPr>
          <w:rFonts w:ascii="Verdana" w:eastAsia="Times New Roman" w:hAnsi="Verdana" w:cs="Arial"/>
          <w:color w:val="000000" w:themeColor="text1"/>
          <w:sz w:val="16"/>
          <w:szCs w:val="16"/>
          <w:shd w:val="clear" w:color="auto" w:fill="FFFFFF"/>
          <w:lang w:eastAsia="es-ES_tradnl"/>
        </w:rPr>
        <w:t>”</w:t>
      </w:r>
      <w:r w:rsidRPr="00D50FED">
        <w:rPr>
          <w:rFonts w:ascii="Verdana" w:eastAsia="Times New Roman" w:hAnsi="Verdana" w:cs="Arial"/>
          <w:color w:val="000000" w:themeColor="text1"/>
          <w:sz w:val="16"/>
          <w:szCs w:val="16"/>
          <w:shd w:val="clear" w:color="auto" w:fill="FFFFFF"/>
          <w:lang w:eastAsia="es-ES_tradnl"/>
        </w:rPr>
        <w:t>. En el Capítulo III se reguló específicamente la adquisición de bienes por enajenación voluntaria y por expropiación.</w:t>
      </w:r>
    </w:p>
    <w:p w14:paraId="56ABD163" w14:textId="77777777" w:rsidR="00903F7C" w:rsidRPr="004471A1" w:rsidRDefault="00903F7C" w:rsidP="00903F7C">
      <w:pPr>
        <w:snapToGrid w:val="0"/>
        <w:spacing w:after="0" w:line="240" w:lineRule="auto"/>
        <w:ind w:firstLine="709"/>
        <w:contextualSpacing/>
        <w:jc w:val="both"/>
        <w:rPr>
          <w:rFonts w:ascii="Verdana" w:eastAsia="Times New Roman" w:hAnsi="Verdana" w:cs="Arial"/>
          <w:color w:val="000000" w:themeColor="text1"/>
          <w:sz w:val="16"/>
          <w:szCs w:val="16"/>
          <w:lang w:eastAsia="es-ES_tradnl"/>
        </w:rPr>
      </w:pPr>
      <w:r w:rsidRPr="00D50FED">
        <w:rPr>
          <w:rFonts w:ascii="Verdana" w:eastAsia="Times New Roman" w:hAnsi="Verdana" w:cs="Arial"/>
          <w:color w:val="000000" w:themeColor="text1"/>
          <w:sz w:val="16"/>
          <w:szCs w:val="16"/>
          <w:lang w:eastAsia="es-ES_tradnl"/>
        </w:rPr>
        <w:t xml:space="preserve">Esta normativa se expidió con fundamento el acto legislativo 1 de 1936, que había modificado el artículo 30 de la Constitución Política de 1886, a cuyo tenor: </w:t>
      </w:r>
      <w:r>
        <w:rPr>
          <w:rFonts w:ascii="Verdana" w:eastAsia="Times New Roman" w:hAnsi="Verdana" w:cs="Arial"/>
          <w:color w:val="000000" w:themeColor="text1"/>
          <w:sz w:val="16"/>
          <w:szCs w:val="16"/>
          <w:lang w:eastAsia="es-ES_tradnl"/>
        </w:rPr>
        <w:t>“</w:t>
      </w:r>
      <w:r w:rsidRPr="00D50FED">
        <w:rPr>
          <w:rFonts w:ascii="Verdana" w:eastAsia="Times New Roman" w:hAnsi="Verdana" w:cs="Arial"/>
          <w:color w:val="000000" w:themeColor="text1"/>
          <w:sz w:val="16"/>
          <w:szCs w:val="16"/>
          <w:lang w:eastAsia="es-ES_tradnl"/>
        </w:rPr>
        <w:t>Artículo 30. Se garantizan la propiedad privada y los demás derechos adquiridos con justo título, con arreglo a las leyes civiles, por personas naturales o jurídicas, los cuales no pueden ser desconocidos ni vulnerados por leyes posteriores. Cuando de la aplicación de una ley expedida por motivos de utilidad pública o interés social, resultaren en conflicto los derechos de particulares con la necesidad reconocida por la misma ley, el interés privado deberá ceder ante el interés público o social. // La propiedad es una función social que implica obligaciones. // Por motivos de utilidad pública o de interés social definidos por el legislador, podrá haber expropiación, mediante sentencia judicial e indemnización previa. // Con todo, el legislador, por razones de equidad, podrá determinar los casos en que no haya lugar a indemnización, mediante el voto favorable de la mayoría absoluta de los miembros de una y otra Cámara</w:t>
      </w:r>
      <w:r>
        <w:rPr>
          <w:rFonts w:ascii="Verdana" w:eastAsia="Times New Roman" w:hAnsi="Verdana" w:cs="Arial"/>
          <w:color w:val="000000" w:themeColor="text1"/>
          <w:sz w:val="16"/>
          <w:szCs w:val="16"/>
          <w:lang w:eastAsia="es-ES_tradnl"/>
        </w:rPr>
        <w:t>”</w:t>
      </w:r>
      <w:r w:rsidRPr="00D50FED">
        <w:rPr>
          <w:rFonts w:ascii="Verdana" w:eastAsia="Times New Roman" w:hAnsi="Verdana" w:cs="Arial"/>
          <w:color w:val="000000" w:themeColor="text1"/>
          <w:sz w:val="16"/>
          <w:szCs w:val="16"/>
          <w:lang w:eastAsia="es-ES_tradnl"/>
        </w:rPr>
        <w:t>.</w:t>
      </w:r>
    </w:p>
  </w:footnote>
  <w:footnote w:id="29">
    <w:p w14:paraId="188CAD84" w14:textId="77777777" w:rsidR="00903F7C" w:rsidRDefault="00903F7C" w:rsidP="00903F7C">
      <w:pPr>
        <w:snapToGrid w:val="0"/>
        <w:spacing w:after="0" w:line="240" w:lineRule="auto"/>
        <w:ind w:firstLine="709"/>
        <w:contextualSpacing/>
        <w:jc w:val="both"/>
        <w:rPr>
          <w:rFonts w:ascii="Verdana" w:eastAsia="Times New Roman" w:hAnsi="Verdana" w:cs="Arial"/>
          <w:color w:val="000000" w:themeColor="text1"/>
          <w:sz w:val="16"/>
          <w:szCs w:val="16"/>
          <w:lang w:eastAsia="es-ES_tradnl"/>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w:t>
      </w:r>
      <w:r w:rsidRPr="00D50FED">
        <w:rPr>
          <w:rFonts w:ascii="Verdana" w:eastAsia="Times New Roman" w:hAnsi="Verdana" w:cs="Arial"/>
          <w:color w:val="000000" w:themeColor="text1"/>
          <w:sz w:val="16"/>
          <w:szCs w:val="16"/>
          <w:lang w:eastAsia="es-ES_tradnl"/>
        </w:rPr>
        <w:t>Por la cual se modifica la Ley 9 de 1989, y la Ley 2 de 1991 y se dictan otras disposiciones.</w:t>
      </w:r>
    </w:p>
    <w:p w14:paraId="67E95FAA" w14:textId="77777777" w:rsidR="00903F7C" w:rsidRPr="00D50FED" w:rsidRDefault="00903F7C" w:rsidP="00903F7C">
      <w:pPr>
        <w:snapToGrid w:val="0"/>
        <w:spacing w:after="0" w:line="240" w:lineRule="auto"/>
        <w:ind w:firstLine="709"/>
        <w:contextualSpacing/>
        <w:jc w:val="both"/>
        <w:rPr>
          <w:rFonts w:ascii="Verdana" w:eastAsia="Times New Roman" w:hAnsi="Verdana" w:cs="Arial"/>
          <w:color w:val="000000" w:themeColor="text1"/>
          <w:sz w:val="16"/>
          <w:szCs w:val="16"/>
          <w:lang w:eastAsia="es-ES_tradnl"/>
        </w:rPr>
      </w:pPr>
    </w:p>
  </w:footnote>
  <w:footnote w:id="30">
    <w:p w14:paraId="7F07FE3B" w14:textId="77777777" w:rsidR="00903F7C" w:rsidRDefault="00903F7C" w:rsidP="00903F7C">
      <w:pPr>
        <w:snapToGrid w:val="0"/>
        <w:spacing w:after="0" w:line="240" w:lineRule="auto"/>
        <w:ind w:firstLine="709"/>
        <w:contextualSpacing/>
        <w:jc w:val="both"/>
        <w:rPr>
          <w:rFonts w:ascii="Verdana" w:eastAsia="Times New Roman" w:hAnsi="Verdana" w:cs="Arial"/>
          <w:b/>
          <w:bCs/>
          <w:color w:val="000000" w:themeColor="text1"/>
          <w:sz w:val="16"/>
          <w:szCs w:val="16"/>
          <w:shd w:val="clear" w:color="auto" w:fill="FFFFFF"/>
          <w:lang w:eastAsia="es-ES_tradnl"/>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w:t>
      </w:r>
      <w:r w:rsidRPr="00D50FED">
        <w:rPr>
          <w:rFonts w:ascii="Verdana" w:hAnsi="Verdana" w:cs="Arial"/>
          <w:color w:val="000000" w:themeColor="text1"/>
          <w:sz w:val="16"/>
          <w:szCs w:val="16"/>
          <w:lang w:val="es-ES"/>
        </w:rPr>
        <w:t xml:space="preserve">Consejo de Estado. Sala de Consulta y Servicio Civil. Concepto del 10 de abril de 2008. Rad. </w:t>
      </w:r>
      <w:r>
        <w:rPr>
          <w:rFonts w:ascii="Verdana" w:eastAsia="Times New Roman" w:hAnsi="Verdana" w:cs="Arial"/>
          <w:color w:val="000000" w:themeColor="text1"/>
          <w:sz w:val="16"/>
          <w:szCs w:val="16"/>
          <w:shd w:val="clear" w:color="auto" w:fill="FFFFFF"/>
          <w:lang w:eastAsia="es-ES_tradnl"/>
        </w:rPr>
        <w:t>11001-03-06-000-2008-00017-00. C</w:t>
      </w:r>
      <w:r w:rsidRPr="00D50FED">
        <w:rPr>
          <w:rFonts w:ascii="Verdana" w:eastAsia="Times New Roman" w:hAnsi="Verdana" w:cs="Arial"/>
          <w:color w:val="000000" w:themeColor="text1"/>
          <w:sz w:val="16"/>
          <w:szCs w:val="16"/>
          <w:shd w:val="clear" w:color="auto" w:fill="FFFFFF"/>
          <w:lang w:eastAsia="es-ES_tradnl"/>
        </w:rPr>
        <w:t>.P. Gustavo Aponte Santos.</w:t>
      </w:r>
      <w:r w:rsidRPr="00D50FED">
        <w:rPr>
          <w:rFonts w:ascii="Verdana" w:eastAsia="Times New Roman" w:hAnsi="Verdana" w:cs="Arial"/>
          <w:b/>
          <w:bCs/>
          <w:color w:val="000000" w:themeColor="text1"/>
          <w:sz w:val="16"/>
          <w:szCs w:val="16"/>
          <w:shd w:val="clear" w:color="auto" w:fill="FFFFFF"/>
          <w:lang w:eastAsia="es-ES_tradnl"/>
        </w:rPr>
        <w:t xml:space="preserve"> </w:t>
      </w:r>
    </w:p>
    <w:p w14:paraId="70B118D6" w14:textId="77777777" w:rsidR="00903F7C" w:rsidRPr="004471A1" w:rsidRDefault="00903F7C" w:rsidP="00903F7C">
      <w:pPr>
        <w:snapToGrid w:val="0"/>
        <w:spacing w:after="0" w:line="240" w:lineRule="auto"/>
        <w:ind w:firstLine="709"/>
        <w:contextualSpacing/>
        <w:jc w:val="both"/>
        <w:rPr>
          <w:rFonts w:ascii="Verdana" w:eastAsia="Times New Roman" w:hAnsi="Verdana" w:cs="Arial"/>
          <w:b/>
          <w:bCs/>
          <w:color w:val="000000" w:themeColor="text1"/>
          <w:sz w:val="16"/>
          <w:szCs w:val="16"/>
          <w:shd w:val="clear" w:color="auto" w:fill="FFFFFF"/>
          <w:lang w:eastAsia="es-ES_tradnl"/>
        </w:rPr>
      </w:pPr>
    </w:p>
  </w:footnote>
  <w:footnote w:id="31">
    <w:p w14:paraId="5512D03D" w14:textId="77777777" w:rsidR="00903F7C" w:rsidRDefault="00903F7C" w:rsidP="00903F7C">
      <w:pPr>
        <w:pStyle w:val="Textonotapie"/>
        <w:snapToGrid w:val="0"/>
        <w:ind w:firstLine="709"/>
        <w:contextualSpacing/>
        <w:jc w:val="both"/>
        <w:rPr>
          <w:rFonts w:ascii="Verdana" w:hAnsi="Verdana" w:cs="Arial"/>
          <w:color w:val="000000" w:themeColor="text1"/>
          <w:sz w:val="16"/>
          <w:szCs w:val="16"/>
          <w:lang w:val="es-CO"/>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w:t>
      </w:r>
      <w:r w:rsidRPr="00D50FED">
        <w:rPr>
          <w:rFonts w:ascii="Verdana" w:hAnsi="Verdana" w:cs="Arial"/>
          <w:color w:val="000000" w:themeColor="text1"/>
          <w:sz w:val="16"/>
          <w:szCs w:val="16"/>
          <w:lang w:val="es-CO"/>
        </w:rPr>
        <w:t>Corte Constitucional. Sentencia C - 1074 de 4 de diciembre de 2002. M.P. Manuel José Cepeda Espinoza.</w:t>
      </w:r>
    </w:p>
    <w:p w14:paraId="4DCB8FCC" w14:textId="77777777" w:rsidR="00903F7C" w:rsidRPr="00D50FED" w:rsidRDefault="00903F7C" w:rsidP="00903F7C">
      <w:pPr>
        <w:pStyle w:val="Textonotapie"/>
        <w:snapToGrid w:val="0"/>
        <w:ind w:firstLine="709"/>
        <w:contextualSpacing/>
        <w:jc w:val="both"/>
        <w:rPr>
          <w:rFonts w:ascii="Verdana" w:hAnsi="Verdana" w:cs="Arial"/>
          <w:color w:val="000000" w:themeColor="text1"/>
          <w:sz w:val="16"/>
          <w:szCs w:val="16"/>
          <w:lang w:val="es-CO"/>
        </w:rPr>
      </w:pPr>
    </w:p>
  </w:footnote>
  <w:footnote w:id="32">
    <w:p w14:paraId="15586492" w14:textId="77777777" w:rsidR="00903F7C" w:rsidRPr="00F6760C" w:rsidRDefault="00903F7C" w:rsidP="00903F7C">
      <w:pPr>
        <w:snapToGrid w:val="0"/>
        <w:spacing w:after="0" w:line="240" w:lineRule="auto"/>
        <w:ind w:firstLine="708"/>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Pr>
          <w:rFonts w:ascii="Verdana" w:hAnsi="Verdana" w:cs="Arial"/>
          <w:color w:val="000000" w:themeColor="text1"/>
          <w:sz w:val="16"/>
          <w:szCs w:val="16"/>
        </w:rPr>
        <w:t xml:space="preserve"> Corte Constitucional. </w:t>
      </w:r>
      <w:r w:rsidRPr="00D50FED">
        <w:rPr>
          <w:rFonts w:ascii="Verdana" w:hAnsi="Verdana" w:cs="Arial"/>
          <w:color w:val="000000" w:themeColor="text1"/>
          <w:sz w:val="16"/>
          <w:szCs w:val="16"/>
        </w:rPr>
        <w:t>Sentencia C - 669 de 28 de octubre de 2015.</w:t>
      </w:r>
      <w:r>
        <w:rPr>
          <w:rFonts w:ascii="Verdana" w:hAnsi="Verdana" w:cs="Arial"/>
          <w:color w:val="000000" w:themeColor="text1"/>
          <w:sz w:val="16"/>
          <w:szCs w:val="16"/>
        </w:rPr>
        <w:t xml:space="preserve"> M.P. Luis Ernesto Vargas Silva.</w:t>
      </w:r>
    </w:p>
  </w:footnote>
  <w:footnote w:id="33">
    <w:p w14:paraId="7B16F83F" w14:textId="77777777" w:rsidR="00903F7C" w:rsidRDefault="00903F7C" w:rsidP="00903F7C">
      <w:pPr>
        <w:pStyle w:val="Textonotapie"/>
        <w:snapToGrid w:val="0"/>
        <w:ind w:firstLine="709"/>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w:t>
      </w:r>
      <w:r>
        <w:rPr>
          <w:rFonts w:ascii="Verdana" w:hAnsi="Verdana" w:cs="Arial"/>
          <w:color w:val="000000" w:themeColor="text1"/>
          <w:sz w:val="16"/>
          <w:szCs w:val="16"/>
        </w:rPr>
        <w:t>“</w:t>
      </w:r>
      <w:r w:rsidRPr="00D50FED">
        <w:rPr>
          <w:rFonts w:ascii="Verdana" w:hAnsi="Verdana" w:cs="Arial"/>
          <w:color w:val="000000" w:themeColor="text1"/>
          <w:sz w:val="16"/>
          <w:szCs w:val="16"/>
        </w:rPr>
        <w:t>La expropiación no es un contrato, no es una venta, ni siquiera forzada, como la que se verifica en subasta pública en determinados casos; es una figura esencialmente distinta, de derecho público, enderezada al bien de la comunidad y en virtud de la cual, por motivos superiores, la Administración toma la propiedad particular, y como esta medida genera un daño, y no un precio, se satisface mediante una indemnización. Se indemniza el perjuicio en diferentes órdenes de la responsabilidad contractual y extracontractual, y se indemniza al expropiado el daño que para él implica esta forma de expropiación –que opera contra su voluntad- pero en provecho público</w:t>
      </w:r>
      <w:r>
        <w:rPr>
          <w:rFonts w:ascii="Verdana" w:hAnsi="Verdana" w:cs="Arial"/>
          <w:color w:val="000000" w:themeColor="text1"/>
          <w:sz w:val="16"/>
          <w:szCs w:val="16"/>
        </w:rPr>
        <w:t>”</w:t>
      </w:r>
      <w:r w:rsidRPr="00D50FED">
        <w:rPr>
          <w:rFonts w:ascii="Verdana" w:hAnsi="Verdana" w:cs="Arial"/>
          <w:color w:val="000000" w:themeColor="text1"/>
          <w:sz w:val="16"/>
          <w:szCs w:val="16"/>
        </w:rPr>
        <w:t>. (Corte Const</w:t>
      </w:r>
      <w:r>
        <w:rPr>
          <w:rFonts w:ascii="Verdana" w:hAnsi="Verdana" w:cs="Arial"/>
          <w:color w:val="000000" w:themeColor="text1"/>
          <w:sz w:val="16"/>
          <w:szCs w:val="16"/>
        </w:rPr>
        <w:t xml:space="preserve">itucional. Sentencia C - 153 </w:t>
      </w:r>
      <w:r w:rsidRPr="00D50FED">
        <w:rPr>
          <w:rFonts w:ascii="Verdana" w:hAnsi="Verdana" w:cs="Arial"/>
          <w:color w:val="000000" w:themeColor="text1"/>
          <w:sz w:val="16"/>
          <w:szCs w:val="16"/>
        </w:rPr>
        <w:t>de 1994. M.P. Alejandro Martínez Caballero).</w:t>
      </w:r>
    </w:p>
    <w:p w14:paraId="3B3E8678" w14:textId="77777777" w:rsidR="00903F7C" w:rsidRPr="00D50FED" w:rsidRDefault="00903F7C" w:rsidP="00903F7C">
      <w:pPr>
        <w:pStyle w:val="Textonotapie"/>
        <w:snapToGrid w:val="0"/>
        <w:ind w:firstLine="709"/>
        <w:contextualSpacing/>
        <w:jc w:val="both"/>
        <w:rPr>
          <w:rFonts w:ascii="Verdana" w:hAnsi="Verdana" w:cs="Arial"/>
          <w:color w:val="000000" w:themeColor="text1"/>
          <w:sz w:val="16"/>
          <w:szCs w:val="16"/>
        </w:rPr>
      </w:pPr>
    </w:p>
  </w:footnote>
  <w:footnote w:id="34">
    <w:p w14:paraId="68B96D8D" w14:textId="77777777" w:rsidR="00903F7C" w:rsidRPr="00D50FED" w:rsidRDefault="00903F7C" w:rsidP="00903F7C">
      <w:pPr>
        <w:snapToGrid w:val="0"/>
        <w:spacing w:after="0" w:line="240" w:lineRule="auto"/>
        <w:ind w:firstLine="709"/>
        <w:contextualSpacing/>
        <w:jc w:val="both"/>
        <w:rPr>
          <w:rFonts w:ascii="Verdana" w:eastAsia="Times New Roman" w:hAnsi="Verdana" w:cs="Arial"/>
          <w:color w:val="000000" w:themeColor="text1"/>
          <w:sz w:val="16"/>
          <w:szCs w:val="16"/>
          <w:lang w:eastAsia="es-ES_tradnl"/>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Una vez otorgada la correspondiente escritura pública de compraventa, esta deberá ser inscrita en la Oficina de Instrumentos Públicos respectiva, conforme a lo previsto en el artículo 14 de la Ley 9 de 1989, modificado por el artículo 34 de la Ley 3 de 1991</w:t>
      </w:r>
      <w:r w:rsidRPr="00D50FED">
        <w:rPr>
          <w:rFonts w:ascii="Verdana" w:eastAsia="Times New Roman" w:hAnsi="Verdana" w:cs="Arial"/>
          <w:color w:val="000000" w:themeColor="text1"/>
          <w:sz w:val="16"/>
          <w:szCs w:val="16"/>
          <w:lang w:eastAsia="es-ES_tradnl"/>
        </w:rPr>
        <w:t>.</w:t>
      </w:r>
    </w:p>
  </w:footnote>
  <w:footnote w:id="35">
    <w:p w14:paraId="2CACB0C3" w14:textId="77777777" w:rsidR="00903F7C" w:rsidRPr="00D50FED" w:rsidRDefault="00903F7C" w:rsidP="00903F7C">
      <w:pPr>
        <w:pStyle w:val="Textonotapie"/>
        <w:snapToGrid w:val="0"/>
        <w:ind w:firstLine="708"/>
        <w:contextualSpacing/>
        <w:jc w:val="both"/>
        <w:rPr>
          <w:rFonts w:ascii="Verdana" w:hAnsi="Verdana" w:cs="Arial"/>
          <w:color w:val="000000" w:themeColor="text1"/>
          <w:sz w:val="16"/>
          <w:szCs w:val="16"/>
          <w:lang w:val="es-CO"/>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Postura que también fue desarrollada con mayor detalle en el concepto con radicado de salida No. 2201913000008597 del 19 de noviembre de 2019 –rad. De entrada 2201913000008597–, proferido por esta Agencia. (Disponible en: </w:t>
      </w:r>
      <w:hyperlink r:id="rId1" w:history="1">
        <w:r w:rsidRPr="00D50FED">
          <w:rPr>
            <w:rStyle w:val="Hipervnculo"/>
            <w:rFonts w:ascii="Verdana" w:hAnsi="Verdana" w:cs="Arial"/>
            <w:color w:val="000000" w:themeColor="text1"/>
            <w:sz w:val="16"/>
            <w:szCs w:val="16"/>
          </w:rPr>
          <w:t>https://relatoria.colombiacompra.gov.co/ficha/4201912000005718</w:t>
        </w:r>
      </w:hyperlink>
      <w:r w:rsidRPr="00D50FED">
        <w:rPr>
          <w:rFonts w:ascii="Verdana" w:hAnsi="Verdana" w:cs="Arial"/>
          <w:color w:val="000000" w:themeColor="text1"/>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505795" w:rsidRDefault="00505795">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05795" w:rsidRDefault="00505795">
    <w:pPr>
      <w:pStyle w:val="Encabezado"/>
    </w:pPr>
  </w:p>
  <w:p w14:paraId="3079FC11" w14:textId="77777777" w:rsidR="00505795" w:rsidRDefault="00505795" w:rsidP="004A305D">
    <w:pPr>
      <w:spacing w:after="0"/>
      <w:rPr>
        <w:rFonts w:ascii="Verdana" w:hAnsi="Verdana"/>
        <w:b/>
        <w:bCs/>
      </w:rPr>
    </w:pPr>
  </w:p>
  <w:p w14:paraId="5E18350A" w14:textId="705F7B76" w:rsidR="00505795" w:rsidRPr="004A305D" w:rsidRDefault="00505795" w:rsidP="00B01B1A">
    <w:pPr>
      <w:spacing w:after="0" w:line="120" w:lineRule="auto"/>
      <w:rPr>
        <w:rFonts w:ascii="Century Gothic" w:eastAsia="Geo" w:hAnsi="Century Gothic" w:cs="Geo"/>
        <w:sz w:val="16"/>
        <w:szCs w:val="16"/>
        <w:lang w:eastAsia="es-CO"/>
      </w:rPr>
    </w:pPr>
  </w:p>
  <w:p w14:paraId="1FD1C243" w14:textId="6D74A3CF" w:rsidR="00505795" w:rsidRDefault="0050579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A4771A8"/>
    <w:multiLevelType w:val="hybridMultilevel"/>
    <w:tmpl w:val="0E1245A2"/>
    <w:lvl w:ilvl="0" w:tplc="89122320">
      <w:start w:val="1"/>
      <w:numFmt w:val="lowerRoman"/>
      <w:lvlText w:val="%1."/>
      <w:lvlJc w:val="left"/>
      <w:pPr>
        <w:ind w:left="1080" w:hanging="720"/>
      </w:pPr>
      <w:rPr>
        <w:rFonts w:eastAsia="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463C4"/>
    <w:multiLevelType w:val="hybridMultilevel"/>
    <w:tmpl w:val="2F4A9DAC"/>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289623407">
    <w:abstractNumId w:val="13"/>
  </w:num>
  <w:num w:numId="2" w16cid:durableId="1493136245">
    <w:abstractNumId w:val="3"/>
  </w:num>
  <w:num w:numId="3" w16cid:durableId="447430372">
    <w:abstractNumId w:val="11"/>
  </w:num>
  <w:num w:numId="4" w16cid:durableId="493448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6147076">
    <w:abstractNumId w:val="3"/>
  </w:num>
  <w:num w:numId="6" w16cid:durableId="1851292358">
    <w:abstractNumId w:val="26"/>
  </w:num>
  <w:num w:numId="7" w16cid:durableId="395519479">
    <w:abstractNumId w:val="12"/>
  </w:num>
  <w:num w:numId="8" w16cid:durableId="1300067587">
    <w:abstractNumId w:val="25"/>
  </w:num>
  <w:num w:numId="9" w16cid:durableId="915942642">
    <w:abstractNumId w:val="14"/>
  </w:num>
  <w:num w:numId="10" w16cid:durableId="141391288">
    <w:abstractNumId w:val="24"/>
  </w:num>
  <w:num w:numId="11" w16cid:durableId="140540267">
    <w:abstractNumId w:val="15"/>
  </w:num>
  <w:num w:numId="12" w16cid:durableId="1068380731">
    <w:abstractNumId w:val="1"/>
  </w:num>
  <w:num w:numId="13" w16cid:durableId="797838314">
    <w:abstractNumId w:val="8"/>
  </w:num>
  <w:num w:numId="14" w16cid:durableId="901910830">
    <w:abstractNumId w:val="27"/>
  </w:num>
  <w:num w:numId="15" w16cid:durableId="1448885759">
    <w:abstractNumId w:val="23"/>
  </w:num>
  <w:num w:numId="16" w16cid:durableId="12764454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074693">
    <w:abstractNumId w:val="4"/>
  </w:num>
  <w:num w:numId="18" w16cid:durableId="949242345">
    <w:abstractNumId w:val="22"/>
  </w:num>
  <w:num w:numId="19" w16cid:durableId="885144176">
    <w:abstractNumId w:val="10"/>
  </w:num>
  <w:num w:numId="20" w16cid:durableId="684133874">
    <w:abstractNumId w:val="16"/>
  </w:num>
  <w:num w:numId="21" w16cid:durableId="1018309645">
    <w:abstractNumId w:val="28"/>
  </w:num>
  <w:num w:numId="22" w16cid:durableId="1678994450">
    <w:abstractNumId w:val="19"/>
  </w:num>
  <w:num w:numId="23" w16cid:durableId="1609433835">
    <w:abstractNumId w:val="7"/>
  </w:num>
  <w:num w:numId="24" w16cid:durableId="2138983421">
    <w:abstractNumId w:val="17"/>
  </w:num>
  <w:num w:numId="25" w16cid:durableId="932013618">
    <w:abstractNumId w:val="2"/>
  </w:num>
  <w:num w:numId="26" w16cid:durableId="1081757769">
    <w:abstractNumId w:val="5"/>
  </w:num>
  <w:num w:numId="27" w16cid:durableId="1402093028">
    <w:abstractNumId w:val="20"/>
  </w:num>
  <w:num w:numId="28" w16cid:durableId="1027833508">
    <w:abstractNumId w:val="6"/>
  </w:num>
  <w:num w:numId="29" w16cid:durableId="1480922040">
    <w:abstractNumId w:val="9"/>
  </w:num>
  <w:num w:numId="30" w16cid:durableId="1944414233">
    <w:abstractNumId w:val="0"/>
  </w:num>
  <w:num w:numId="31" w16cid:durableId="26607756">
    <w:abstractNumId w:val="18"/>
  </w:num>
  <w:num w:numId="32" w16cid:durableId="196457557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62F3"/>
    <w:rsid w:val="0000797D"/>
    <w:rsid w:val="0001328B"/>
    <w:rsid w:val="00016FFB"/>
    <w:rsid w:val="000224F2"/>
    <w:rsid w:val="00023C3E"/>
    <w:rsid w:val="0002653B"/>
    <w:rsid w:val="00034682"/>
    <w:rsid w:val="00035E21"/>
    <w:rsid w:val="00040B74"/>
    <w:rsid w:val="00042856"/>
    <w:rsid w:val="0004434A"/>
    <w:rsid w:val="00051DC6"/>
    <w:rsid w:val="0005281E"/>
    <w:rsid w:val="00052A4B"/>
    <w:rsid w:val="00055421"/>
    <w:rsid w:val="00055502"/>
    <w:rsid w:val="0005682C"/>
    <w:rsid w:val="00056D71"/>
    <w:rsid w:val="0005788D"/>
    <w:rsid w:val="00057D91"/>
    <w:rsid w:val="00061B2A"/>
    <w:rsid w:val="00062BAF"/>
    <w:rsid w:val="000630B9"/>
    <w:rsid w:val="00063B12"/>
    <w:rsid w:val="000643B2"/>
    <w:rsid w:val="00065E80"/>
    <w:rsid w:val="00066BB4"/>
    <w:rsid w:val="0007022C"/>
    <w:rsid w:val="00071DE6"/>
    <w:rsid w:val="000754B0"/>
    <w:rsid w:val="00077439"/>
    <w:rsid w:val="000774B8"/>
    <w:rsid w:val="00080FE4"/>
    <w:rsid w:val="00082362"/>
    <w:rsid w:val="0008328D"/>
    <w:rsid w:val="00084D78"/>
    <w:rsid w:val="0009387A"/>
    <w:rsid w:val="0009387B"/>
    <w:rsid w:val="000963C6"/>
    <w:rsid w:val="000974AC"/>
    <w:rsid w:val="0009762F"/>
    <w:rsid w:val="000A31B9"/>
    <w:rsid w:val="000A3330"/>
    <w:rsid w:val="000A36D8"/>
    <w:rsid w:val="000A3D63"/>
    <w:rsid w:val="000A683A"/>
    <w:rsid w:val="000A683E"/>
    <w:rsid w:val="000B19B9"/>
    <w:rsid w:val="000B2123"/>
    <w:rsid w:val="000B3001"/>
    <w:rsid w:val="000C2889"/>
    <w:rsid w:val="000C3673"/>
    <w:rsid w:val="000C538B"/>
    <w:rsid w:val="000D0152"/>
    <w:rsid w:val="000D0334"/>
    <w:rsid w:val="000D0B4D"/>
    <w:rsid w:val="000D3B29"/>
    <w:rsid w:val="000E06F4"/>
    <w:rsid w:val="000E1AC7"/>
    <w:rsid w:val="000E4CE4"/>
    <w:rsid w:val="000F46C6"/>
    <w:rsid w:val="000F6486"/>
    <w:rsid w:val="000F669F"/>
    <w:rsid w:val="001063B3"/>
    <w:rsid w:val="00107ACA"/>
    <w:rsid w:val="001114A9"/>
    <w:rsid w:val="00111979"/>
    <w:rsid w:val="00114D5E"/>
    <w:rsid w:val="00116537"/>
    <w:rsid w:val="00116894"/>
    <w:rsid w:val="00120766"/>
    <w:rsid w:val="00122FA6"/>
    <w:rsid w:val="001240BD"/>
    <w:rsid w:val="00125105"/>
    <w:rsid w:val="001268F7"/>
    <w:rsid w:val="00127233"/>
    <w:rsid w:val="001276D9"/>
    <w:rsid w:val="001372FC"/>
    <w:rsid w:val="0014317D"/>
    <w:rsid w:val="00143E81"/>
    <w:rsid w:val="00143FD9"/>
    <w:rsid w:val="00145047"/>
    <w:rsid w:val="00146C57"/>
    <w:rsid w:val="00150ADA"/>
    <w:rsid w:val="001569A8"/>
    <w:rsid w:val="00162D09"/>
    <w:rsid w:val="0016332F"/>
    <w:rsid w:val="00164B69"/>
    <w:rsid w:val="0016642E"/>
    <w:rsid w:val="001717E9"/>
    <w:rsid w:val="0017238A"/>
    <w:rsid w:val="001800BA"/>
    <w:rsid w:val="00180A30"/>
    <w:rsid w:val="00185EE9"/>
    <w:rsid w:val="00187F79"/>
    <w:rsid w:val="00196F32"/>
    <w:rsid w:val="00197274"/>
    <w:rsid w:val="001A0B04"/>
    <w:rsid w:val="001A237A"/>
    <w:rsid w:val="001A26CF"/>
    <w:rsid w:val="001A2919"/>
    <w:rsid w:val="001B2CFE"/>
    <w:rsid w:val="001C0E85"/>
    <w:rsid w:val="001C1B6D"/>
    <w:rsid w:val="001C222E"/>
    <w:rsid w:val="001C22F9"/>
    <w:rsid w:val="001D1C29"/>
    <w:rsid w:val="001D2CCC"/>
    <w:rsid w:val="001E3C06"/>
    <w:rsid w:val="001E4177"/>
    <w:rsid w:val="001F0A0F"/>
    <w:rsid w:val="001F218E"/>
    <w:rsid w:val="001F4EFD"/>
    <w:rsid w:val="001F59AB"/>
    <w:rsid w:val="001F5E13"/>
    <w:rsid w:val="001F6D11"/>
    <w:rsid w:val="001F7DC6"/>
    <w:rsid w:val="00202886"/>
    <w:rsid w:val="00205784"/>
    <w:rsid w:val="00210946"/>
    <w:rsid w:val="00213510"/>
    <w:rsid w:val="0021372A"/>
    <w:rsid w:val="00215CEF"/>
    <w:rsid w:val="00217A08"/>
    <w:rsid w:val="00220B77"/>
    <w:rsid w:val="00221D27"/>
    <w:rsid w:val="00230EF3"/>
    <w:rsid w:val="00231934"/>
    <w:rsid w:val="00237233"/>
    <w:rsid w:val="002421BB"/>
    <w:rsid w:val="00245707"/>
    <w:rsid w:val="00246A81"/>
    <w:rsid w:val="00251A5F"/>
    <w:rsid w:val="00252B30"/>
    <w:rsid w:val="0025796E"/>
    <w:rsid w:val="002603E5"/>
    <w:rsid w:val="002638B2"/>
    <w:rsid w:val="002660F2"/>
    <w:rsid w:val="002664BB"/>
    <w:rsid w:val="002707A2"/>
    <w:rsid w:val="002710B9"/>
    <w:rsid w:val="00273620"/>
    <w:rsid w:val="00277150"/>
    <w:rsid w:val="002826F0"/>
    <w:rsid w:val="002835A6"/>
    <w:rsid w:val="002844ED"/>
    <w:rsid w:val="00286FAD"/>
    <w:rsid w:val="002951A0"/>
    <w:rsid w:val="002962BC"/>
    <w:rsid w:val="002A093D"/>
    <w:rsid w:val="002A0DD0"/>
    <w:rsid w:val="002A1D2F"/>
    <w:rsid w:val="002A49AC"/>
    <w:rsid w:val="002A64FD"/>
    <w:rsid w:val="002A6BBF"/>
    <w:rsid w:val="002B1E57"/>
    <w:rsid w:val="002B1F7F"/>
    <w:rsid w:val="002B290B"/>
    <w:rsid w:val="002B61F2"/>
    <w:rsid w:val="002B7AD9"/>
    <w:rsid w:val="002C110E"/>
    <w:rsid w:val="002C379A"/>
    <w:rsid w:val="002C765E"/>
    <w:rsid w:val="002C7A84"/>
    <w:rsid w:val="002D13A1"/>
    <w:rsid w:val="002D3F0D"/>
    <w:rsid w:val="002D7677"/>
    <w:rsid w:val="002E1D98"/>
    <w:rsid w:val="002E2C3F"/>
    <w:rsid w:val="002E4FD9"/>
    <w:rsid w:val="002E6F15"/>
    <w:rsid w:val="002F13FD"/>
    <w:rsid w:val="002F53FB"/>
    <w:rsid w:val="00300AD4"/>
    <w:rsid w:val="00303544"/>
    <w:rsid w:val="00303985"/>
    <w:rsid w:val="003039C1"/>
    <w:rsid w:val="00310DBE"/>
    <w:rsid w:val="00310E5C"/>
    <w:rsid w:val="003119D8"/>
    <w:rsid w:val="0031430F"/>
    <w:rsid w:val="00320BBD"/>
    <w:rsid w:val="003226F7"/>
    <w:rsid w:val="00322A85"/>
    <w:rsid w:val="00324168"/>
    <w:rsid w:val="00325755"/>
    <w:rsid w:val="0033032A"/>
    <w:rsid w:val="00330C97"/>
    <w:rsid w:val="0033192A"/>
    <w:rsid w:val="00333EDB"/>
    <w:rsid w:val="00334C6A"/>
    <w:rsid w:val="00336C05"/>
    <w:rsid w:val="003409C8"/>
    <w:rsid w:val="00342675"/>
    <w:rsid w:val="00343512"/>
    <w:rsid w:val="003448F4"/>
    <w:rsid w:val="00345330"/>
    <w:rsid w:val="00350480"/>
    <w:rsid w:val="00351223"/>
    <w:rsid w:val="003522B9"/>
    <w:rsid w:val="0035242B"/>
    <w:rsid w:val="003528DF"/>
    <w:rsid w:val="00352C12"/>
    <w:rsid w:val="00354BCA"/>
    <w:rsid w:val="00354FEA"/>
    <w:rsid w:val="00362DEE"/>
    <w:rsid w:val="0036594E"/>
    <w:rsid w:val="003665EE"/>
    <w:rsid w:val="0037010E"/>
    <w:rsid w:val="003734F4"/>
    <w:rsid w:val="00374F5E"/>
    <w:rsid w:val="0037527B"/>
    <w:rsid w:val="00377E3E"/>
    <w:rsid w:val="003815B3"/>
    <w:rsid w:val="003815E8"/>
    <w:rsid w:val="00386D13"/>
    <w:rsid w:val="00391392"/>
    <w:rsid w:val="00392A49"/>
    <w:rsid w:val="00393812"/>
    <w:rsid w:val="003A26D1"/>
    <w:rsid w:val="003A3B30"/>
    <w:rsid w:val="003A40E2"/>
    <w:rsid w:val="003A477B"/>
    <w:rsid w:val="003A779E"/>
    <w:rsid w:val="003B005A"/>
    <w:rsid w:val="003B0636"/>
    <w:rsid w:val="003B6385"/>
    <w:rsid w:val="003B78C4"/>
    <w:rsid w:val="003C3FA5"/>
    <w:rsid w:val="003D0F4D"/>
    <w:rsid w:val="003D1B5E"/>
    <w:rsid w:val="003D5B0D"/>
    <w:rsid w:val="003E0499"/>
    <w:rsid w:val="003E40F2"/>
    <w:rsid w:val="003E7EAA"/>
    <w:rsid w:val="003F2A9C"/>
    <w:rsid w:val="003F3941"/>
    <w:rsid w:val="00400676"/>
    <w:rsid w:val="004008A9"/>
    <w:rsid w:val="0040480E"/>
    <w:rsid w:val="00404C4F"/>
    <w:rsid w:val="00406575"/>
    <w:rsid w:val="004069AB"/>
    <w:rsid w:val="00410906"/>
    <w:rsid w:val="00413C3D"/>
    <w:rsid w:val="0041655A"/>
    <w:rsid w:val="004252BF"/>
    <w:rsid w:val="00426FD7"/>
    <w:rsid w:val="0042722E"/>
    <w:rsid w:val="00427DA0"/>
    <w:rsid w:val="00440391"/>
    <w:rsid w:val="004405A4"/>
    <w:rsid w:val="004426AD"/>
    <w:rsid w:val="00442C7F"/>
    <w:rsid w:val="0044528D"/>
    <w:rsid w:val="0044798F"/>
    <w:rsid w:val="00447D82"/>
    <w:rsid w:val="00450920"/>
    <w:rsid w:val="004530EA"/>
    <w:rsid w:val="00454D48"/>
    <w:rsid w:val="004554F9"/>
    <w:rsid w:val="0046004D"/>
    <w:rsid w:val="00461A6A"/>
    <w:rsid w:val="004633DE"/>
    <w:rsid w:val="00465E71"/>
    <w:rsid w:val="00466040"/>
    <w:rsid w:val="00471654"/>
    <w:rsid w:val="004734BD"/>
    <w:rsid w:val="00475854"/>
    <w:rsid w:val="00480BAF"/>
    <w:rsid w:val="00482608"/>
    <w:rsid w:val="00483749"/>
    <w:rsid w:val="00484809"/>
    <w:rsid w:val="00484BB1"/>
    <w:rsid w:val="00493A76"/>
    <w:rsid w:val="00495BC7"/>
    <w:rsid w:val="004A0980"/>
    <w:rsid w:val="004A0B8B"/>
    <w:rsid w:val="004A1847"/>
    <w:rsid w:val="004A305D"/>
    <w:rsid w:val="004A3312"/>
    <w:rsid w:val="004A66E3"/>
    <w:rsid w:val="004B01B2"/>
    <w:rsid w:val="004B3755"/>
    <w:rsid w:val="004B740F"/>
    <w:rsid w:val="004C2796"/>
    <w:rsid w:val="004C28C6"/>
    <w:rsid w:val="004C2E9A"/>
    <w:rsid w:val="004C4B37"/>
    <w:rsid w:val="004D026D"/>
    <w:rsid w:val="004D23A7"/>
    <w:rsid w:val="004D4874"/>
    <w:rsid w:val="004E221E"/>
    <w:rsid w:val="004E2892"/>
    <w:rsid w:val="004E4C0B"/>
    <w:rsid w:val="004E505B"/>
    <w:rsid w:val="004E7CE7"/>
    <w:rsid w:val="004F21C4"/>
    <w:rsid w:val="004F3012"/>
    <w:rsid w:val="004F3B9E"/>
    <w:rsid w:val="004F5559"/>
    <w:rsid w:val="004F685F"/>
    <w:rsid w:val="004F6F28"/>
    <w:rsid w:val="004F7EC9"/>
    <w:rsid w:val="00504CBE"/>
    <w:rsid w:val="00505795"/>
    <w:rsid w:val="00514598"/>
    <w:rsid w:val="005163B5"/>
    <w:rsid w:val="00524136"/>
    <w:rsid w:val="0052543A"/>
    <w:rsid w:val="00525FDB"/>
    <w:rsid w:val="0052785C"/>
    <w:rsid w:val="00533E1B"/>
    <w:rsid w:val="00540A3E"/>
    <w:rsid w:val="00540C2D"/>
    <w:rsid w:val="0054335F"/>
    <w:rsid w:val="0054709C"/>
    <w:rsid w:val="005470C9"/>
    <w:rsid w:val="00552502"/>
    <w:rsid w:val="00554BD4"/>
    <w:rsid w:val="00556143"/>
    <w:rsid w:val="005566E8"/>
    <w:rsid w:val="00560CB5"/>
    <w:rsid w:val="00564F8B"/>
    <w:rsid w:val="0057193B"/>
    <w:rsid w:val="00574122"/>
    <w:rsid w:val="00574867"/>
    <w:rsid w:val="00577D09"/>
    <w:rsid w:val="0058087F"/>
    <w:rsid w:val="00591460"/>
    <w:rsid w:val="00592628"/>
    <w:rsid w:val="00597C75"/>
    <w:rsid w:val="005A0868"/>
    <w:rsid w:val="005A0CFB"/>
    <w:rsid w:val="005A111B"/>
    <w:rsid w:val="005A282F"/>
    <w:rsid w:val="005A2AC9"/>
    <w:rsid w:val="005A6C21"/>
    <w:rsid w:val="005B2CCE"/>
    <w:rsid w:val="005B58C1"/>
    <w:rsid w:val="005B6033"/>
    <w:rsid w:val="005C3777"/>
    <w:rsid w:val="005C5CDC"/>
    <w:rsid w:val="005D17C8"/>
    <w:rsid w:val="005D2B2B"/>
    <w:rsid w:val="005D3C67"/>
    <w:rsid w:val="005D476C"/>
    <w:rsid w:val="005D5F91"/>
    <w:rsid w:val="005D7B25"/>
    <w:rsid w:val="005E6B74"/>
    <w:rsid w:val="005F3CE0"/>
    <w:rsid w:val="005F7C43"/>
    <w:rsid w:val="00601DFC"/>
    <w:rsid w:val="00605A00"/>
    <w:rsid w:val="00610812"/>
    <w:rsid w:val="00612CE7"/>
    <w:rsid w:val="00615F46"/>
    <w:rsid w:val="0062005D"/>
    <w:rsid w:val="006219F8"/>
    <w:rsid w:val="00623BBA"/>
    <w:rsid w:val="0063165E"/>
    <w:rsid w:val="00632C08"/>
    <w:rsid w:val="00650FF7"/>
    <w:rsid w:val="00656421"/>
    <w:rsid w:val="00660F6A"/>
    <w:rsid w:val="00663B19"/>
    <w:rsid w:val="00665032"/>
    <w:rsid w:val="00665D70"/>
    <w:rsid w:val="00671DAC"/>
    <w:rsid w:val="006747C7"/>
    <w:rsid w:val="006827AC"/>
    <w:rsid w:val="00682C93"/>
    <w:rsid w:val="006859A3"/>
    <w:rsid w:val="006900D9"/>
    <w:rsid w:val="006920AE"/>
    <w:rsid w:val="00697B17"/>
    <w:rsid w:val="006A0008"/>
    <w:rsid w:val="006A10DF"/>
    <w:rsid w:val="006A3147"/>
    <w:rsid w:val="006B14B5"/>
    <w:rsid w:val="006B25DE"/>
    <w:rsid w:val="006B4CA3"/>
    <w:rsid w:val="006C0240"/>
    <w:rsid w:val="006C238E"/>
    <w:rsid w:val="006C5595"/>
    <w:rsid w:val="006D12F8"/>
    <w:rsid w:val="006D4E33"/>
    <w:rsid w:val="006E41C6"/>
    <w:rsid w:val="006F0D40"/>
    <w:rsid w:val="006F2501"/>
    <w:rsid w:val="00700975"/>
    <w:rsid w:val="00704D9B"/>
    <w:rsid w:val="00705E5F"/>
    <w:rsid w:val="00706C16"/>
    <w:rsid w:val="00711C85"/>
    <w:rsid w:val="00713695"/>
    <w:rsid w:val="0071458F"/>
    <w:rsid w:val="0071627C"/>
    <w:rsid w:val="007215D5"/>
    <w:rsid w:val="00723A7F"/>
    <w:rsid w:val="00723F2B"/>
    <w:rsid w:val="007312C3"/>
    <w:rsid w:val="00737C53"/>
    <w:rsid w:val="00737DFA"/>
    <w:rsid w:val="00737DFD"/>
    <w:rsid w:val="007534CA"/>
    <w:rsid w:val="00756841"/>
    <w:rsid w:val="0076066F"/>
    <w:rsid w:val="00762AA9"/>
    <w:rsid w:val="007649AB"/>
    <w:rsid w:val="007670E3"/>
    <w:rsid w:val="00771D0C"/>
    <w:rsid w:val="00771FD2"/>
    <w:rsid w:val="0078274D"/>
    <w:rsid w:val="00783102"/>
    <w:rsid w:val="007833AC"/>
    <w:rsid w:val="00784D58"/>
    <w:rsid w:val="00786FBF"/>
    <w:rsid w:val="00790AB7"/>
    <w:rsid w:val="007913EA"/>
    <w:rsid w:val="00791769"/>
    <w:rsid w:val="00796340"/>
    <w:rsid w:val="007A23EA"/>
    <w:rsid w:val="007A5189"/>
    <w:rsid w:val="007B0D88"/>
    <w:rsid w:val="007B268C"/>
    <w:rsid w:val="007B7171"/>
    <w:rsid w:val="007B7D02"/>
    <w:rsid w:val="007C0C0F"/>
    <w:rsid w:val="007C2E67"/>
    <w:rsid w:val="007C3DC2"/>
    <w:rsid w:val="007C4E2B"/>
    <w:rsid w:val="007D0457"/>
    <w:rsid w:val="007D124A"/>
    <w:rsid w:val="007D43C9"/>
    <w:rsid w:val="007D7CFD"/>
    <w:rsid w:val="007E2816"/>
    <w:rsid w:val="007E5497"/>
    <w:rsid w:val="007F28CA"/>
    <w:rsid w:val="007F52A4"/>
    <w:rsid w:val="007F60FB"/>
    <w:rsid w:val="007F7B94"/>
    <w:rsid w:val="00800789"/>
    <w:rsid w:val="00800B7D"/>
    <w:rsid w:val="00804981"/>
    <w:rsid w:val="00806F5F"/>
    <w:rsid w:val="00811270"/>
    <w:rsid w:val="00811E4F"/>
    <w:rsid w:val="008163D7"/>
    <w:rsid w:val="00820278"/>
    <w:rsid w:val="00834554"/>
    <w:rsid w:val="00834B31"/>
    <w:rsid w:val="00840ADC"/>
    <w:rsid w:val="00841A23"/>
    <w:rsid w:val="00843902"/>
    <w:rsid w:val="00843928"/>
    <w:rsid w:val="00843BF7"/>
    <w:rsid w:val="008449B3"/>
    <w:rsid w:val="00846276"/>
    <w:rsid w:val="00850E23"/>
    <w:rsid w:val="00851137"/>
    <w:rsid w:val="00853978"/>
    <w:rsid w:val="0085432F"/>
    <w:rsid w:val="00855525"/>
    <w:rsid w:val="00856C43"/>
    <w:rsid w:val="00864209"/>
    <w:rsid w:val="0086501B"/>
    <w:rsid w:val="0087325B"/>
    <w:rsid w:val="00877EBA"/>
    <w:rsid w:val="0088002A"/>
    <w:rsid w:val="00881ABA"/>
    <w:rsid w:val="008841E9"/>
    <w:rsid w:val="008843B6"/>
    <w:rsid w:val="00884F68"/>
    <w:rsid w:val="008853C1"/>
    <w:rsid w:val="00886C02"/>
    <w:rsid w:val="00886C89"/>
    <w:rsid w:val="00887569"/>
    <w:rsid w:val="00891928"/>
    <w:rsid w:val="00894384"/>
    <w:rsid w:val="00894B8B"/>
    <w:rsid w:val="008961BA"/>
    <w:rsid w:val="008A00A4"/>
    <w:rsid w:val="008A0221"/>
    <w:rsid w:val="008A446D"/>
    <w:rsid w:val="008A7A64"/>
    <w:rsid w:val="008A7F08"/>
    <w:rsid w:val="008B2F0E"/>
    <w:rsid w:val="008B5A2E"/>
    <w:rsid w:val="008D01B8"/>
    <w:rsid w:val="008D180B"/>
    <w:rsid w:val="008D1BDB"/>
    <w:rsid w:val="008D6CDA"/>
    <w:rsid w:val="008D7227"/>
    <w:rsid w:val="008E1F92"/>
    <w:rsid w:val="008E7333"/>
    <w:rsid w:val="008E7B09"/>
    <w:rsid w:val="008F0EA7"/>
    <w:rsid w:val="008F1CA9"/>
    <w:rsid w:val="008F7BB9"/>
    <w:rsid w:val="00903F7C"/>
    <w:rsid w:val="00904692"/>
    <w:rsid w:val="00910097"/>
    <w:rsid w:val="00911C7C"/>
    <w:rsid w:val="00914859"/>
    <w:rsid w:val="0091561E"/>
    <w:rsid w:val="00920849"/>
    <w:rsid w:val="00922F57"/>
    <w:rsid w:val="00923EEF"/>
    <w:rsid w:val="009325CC"/>
    <w:rsid w:val="0093558D"/>
    <w:rsid w:val="009411F5"/>
    <w:rsid w:val="009419F9"/>
    <w:rsid w:val="00945B9F"/>
    <w:rsid w:val="00950BE2"/>
    <w:rsid w:val="00953AA4"/>
    <w:rsid w:val="00955305"/>
    <w:rsid w:val="0095685E"/>
    <w:rsid w:val="009572D9"/>
    <w:rsid w:val="009600D2"/>
    <w:rsid w:val="00961409"/>
    <w:rsid w:val="00961B09"/>
    <w:rsid w:val="00962300"/>
    <w:rsid w:val="00965334"/>
    <w:rsid w:val="0097093E"/>
    <w:rsid w:val="00972162"/>
    <w:rsid w:val="009725F1"/>
    <w:rsid w:val="00976025"/>
    <w:rsid w:val="00976F04"/>
    <w:rsid w:val="009800BE"/>
    <w:rsid w:val="00982E41"/>
    <w:rsid w:val="00983B79"/>
    <w:rsid w:val="00983EEA"/>
    <w:rsid w:val="009844CF"/>
    <w:rsid w:val="00984649"/>
    <w:rsid w:val="009858BE"/>
    <w:rsid w:val="00993688"/>
    <w:rsid w:val="009A0DFA"/>
    <w:rsid w:val="009A3C2C"/>
    <w:rsid w:val="009A4A40"/>
    <w:rsid w:val="009A53D3"/>
    <w:rsid w:val="009B2D26"/>
    <w:rsid w:val="009B3595"/>
    <w:rsid w:val="009B5228"/>
    <w:rsid w:val="009B6C8C"/>
    <w:rsid w:val="009B77A5"/>
    <w:rsid w:val="009B780F"/>
    <w:rsid w:val="009C2DD0"/>
    <w:rsid w:val="009C3AC7"/>
    <w:rsid w:val="009C6159"/>
    <w:rsid w:val="009C71FA"/>
    <w:rsid w:val="009C72E7"/>
    <w:rsid w:val="009D0555"/>
    <w:rsid w:val="009D1086"/>
    <w:rsid w:val="009D3058"/>
    <w:rsid w:val="009D3A11"/>
    <w:rsid w:val="009D44C4"/>
    <w:rsid w:val="009D6427"/>
    <w:rsid w:val="009D67FD"/>
    <w:rsid w:val="009E4636"/>
    <w:rsid w:val="009E5A30"/>
    <w:rsid w:val="009E7C05"/>
    <w:rsid w:val="009F3831"/>
    <w:rsid w:val="009F3832"/>
    <w:rsid w:val="009F3A13"/>
    <w:rsid w:val="009F4AB2"/>
    <w:rsid w:val="009F73F7"/>
    <w:rsid w:val="00A02465"/>
    <w:rsid w:val="00A03415"/>
    <w:rsid w:val="00A04A81"/>
    <w:rsid w:val="00A122D3"/>
    <w:rsid w:val="00A14D3D"/>
    <w:rsid w:val="00A17F13"/>
    <w:rsid w:val="00A20739"/>
    <w:rsid w:val="00A211D0"/>
    <w:rsid w:val="00A23361"/>
    <w:rsid w:val="00A24433"/>
    <w:rsid w:val="00A2443A"/>
    <w:rsid w:val="00A25580"/>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332E"/>
    <w:rsid w:val="00A745FA"/>
    <w:rsid w:val="00A74DE6"/>
    <w:rsid w:val="00A75866"/>
    <w:rsid w:val="00A772CD"/>
    <w:rsid w:val="00A8086A"/>
    <w:rsid w:val="00A80F32"/>
    <w:rsid w:val="00A828F1"/>
    <w:rsid w:val="00A830AD"/>
    <w:rsid w:val="00A87F7D"/>
    <w:rsid w:val="00A9244C"/>
    <w:rsid w:val="00A94D14"/>
    <w:rsid w:val="00A95106"/>
    <w:rsid w:val="00A95A1A"/>
    <w:rsid w:val="00AA1328"/>
    <w:rsid w:val="00AA23BB"/>
    <w:rsid w:val="00AB08D6"/>
    <w:rsid w:val="00AB0ADB"/>
    <w:rsid w:val="00AB3FD1"/>
    <w:rsid w:val="00AB51C6"/>
    <w:rsid w:val="00AC0DF9"/>
    <w:rsid w:val="00AC0EAB"/>
    <w:rsid w:val="00AC4701"/>
    <w:rsid w:val="00AC49A2"/>
    <w:rsid w:val="00AD73E2"/>
    <w:rsid w:val="00AE2631"/>
    <w:rsid w:val="00AE3D6C"/>
    <w:rsid w:val="00AF1BEC"/>
    <w:rsid w:val="00AF54CA"/>
    <w:rsid w:val="00B009B8"/>
    <w:rsid w:val="00B01B1A"/>
    <w:rsid w:val="00B0268A"/>
    <w:rsid w:val="00B0410F"/>
    <w:rsid w:val="00B07DDD"/>
    <w:rsid w:val="00B14E03"/>
    <w:rsid w:val="00B26B98"/>
    <w:rsid w:val="00B35201"/>
    <w:rsid w:val="00B35ADC"/>
    <w:rsid w:val="00B37C24"/>
    <w:rsid w:val="00B40FBC"/>
    <w:rsid w:val="00B427E2"/>
    <w:rsid w:val="00B46F27"/>
    <w:rsid w:val="00B47728"/>
    <w:rsid w:val="00B47FD7"/>
    <w:rsid w:val="00B51F75"/>
    <w:rsid w:val="00B52169"/>
    <w:rsid w:val="00B53E27"/>
    <w:rsid w:val="00B558AF"/>
    <w:rsid w:val="00B615BA"/>
    <w:rsid w:val="00B62D8B"/>
    <w:rsid w:val="00B72CD3"/>
    <w:rsid w:val="00B72FFF"/>
    <w:rsid w:val="00B76CEB"/>
    <w:rsid w:val="00B80CC6"/>
    <w:rsid w:val="00B8257D"/>
    <w:rsid w:val="00B82B8B"/>
    <w:rsid w:val="00B86FE2"/>
    <w:rsid w:val="00B91186"/>
    <w:rsid w:val="00B93423"/>
    <w:rsid w:val="00B93E58"/>
    <w:rsid w:val="00B948E8"/>
    <w:rsid w:val="00BA0A22"/>
    <w:rsid w:val="00BA2EF4"/>
    <w:rsid w:val="00BA6BE0"/>
    <w:rsid w:val="00BB22DA"/>
    <w:rsid w:val="00BB2C9D"/>
    <w:rsid w:val="00BB5022"/>
    <w:rsid w:val="00BC0036"/>
    <w:rsid w:val="00BC05A6"/>
    <w:rsid w:val="00BC3D36"/>
    <w:rsid w:val="00BC4B34"/>
    <w:rsid w:val="00BC7498"/>
    <w:rsid w:val="00BD424C"/>
    <w:rsid w:val="00BD4BCA"/>
    <w:rsid w:val="00BD7F72"/>
    <w:rsid w:val="00BE03BC"/>
    <w:rsid w:val="00BE0A18"/>
    <w:rsid w:val="00BE27D3"/>
    <w:rsid w:val="00BF0D99"/>
    <w:rsid w:val="00BF1201"/>
    <w:rsid w:val="00BF1D4A"/>
    <w:rsid w:val="00BF230F"/>
    <w:rsid w:val="00C002E3"/>
    <w:rsid w:val="00C012CC"/>
    <w:rsid w:val="00C04FB3"/>
    <w:rsid w:val="00C06C4F"/>
    <w:rsid w:val="00C147D0"/>
    <w:rsid w:val="00C151D0"/>
    <w:rsid w:val="00C159C1"/>
    <w:rsid w:val="00C16346"/>
    <w:rsid w:val="00C21B15"/>
    <w:rsid w:val="00C21B8C"/>
    <w:rsid w:val="00C32523"/>
    <w:rsid w:val="00C3281B"/>
    <w:rsid w:val="00C330EB"/>
    <w:rsid w:val="00C34712"/>
    <w:rsid w:val="00C371C9"/>
    <w:rsid w:val="00C40E9F"/>
    <w:rsid w:val="00C41481"/>
    <w:rsid w:val="00C42469"/>
    <w:rsid w:val="00C46D91"/>
    <w:rsid w:val="00C47A07"/>
    <w:rsid w:val="00C47B74"/>
    <w:rsid w:val="00C50855"/>
    <w:rsid w:val="00C51623"/>
    <w:rsid w:val="00C57281"/>
    <w:rsid w:val="00C57E63"/>
    <w:rsid w:val="00C65D65"/>
    <w:rsid w:val="00C66D80"/>
    <w:rsid w:val="00C67703"/>
    <w:rsid w:val="00C7173F"/>
    <w:rsid w:val="00C730B6"/>
    <w:rsid w:val="00C7352F"/>
    <w:rsid w:val="00C7482D"/>
    <w:rsid w:val="00C754BE"/>
    <w:rsid w:val="00C76466"/>
    <w:rsid w:val="00C76B1C"/>
    <w:rsid w:val="00C82239"/>
    <w:rsid w:val="00C90209"/>
    <w:rsid w:val="00C915DD"/>
    <w:rsid w:val="00C91B94"/>
    <w:rsid w:val="00C91E15"/>
    <w:rsid w:val="00C92665"/>
    <w:rsid w:val="00CA3FE3"/>
    <w:rsid w:val="00CA4272"/>
    <w:rsid w:val="00CA6A9D"/>
    <w:rsid w:val="00CA7F6B"/>
    <w:rsid w:val="00CB6357"/>
    <w:rsid w:val="00CC0106"/>
    <w:rsid w:val="00CC0FA3"/>
    <w:rsid w:val="00CC1B26"/>
    <w:rsid w:val="00CC49F7"/>
    <w:rsid w:val="00CC54DB"/>
    <w:rsid w:val="00CC7787"/>
    <w:rsid w:val="00CD087D"/>
    <w:rsid w:val="00CD41CB"/>
    <w:rsid w:val="00CD5EE0"/>
    <w:rsid w:val="00CE02A2"/>
    <w:rsid w:val="00CE3273"/>
    <w:rsid w:val="00CE509A"/>
    <w:rsid w:val="00CE5414"/>
    <w:rsid w:val="00CF241F"/>
    <w:rsid w:val="00CF7826"/>
    <w:rsid w:val="00D0157A"/>
    <w:rsid w:val="00D02088"/>
    <w:rsid w:val="00D036D8"/>
    <w:rsid w:val="00D038ED"/>
    <w:rsid w:val="00D06D26"/>
    <w:rsid w:val="00D10B75"/>
    <w:rsid w:val="00D13351"/>
    <w:rsid w:val="00D15E25"/>
    <w:rsid w:val="00D20368"/>
    <w:rsid w:val="00D22361"/>
    <w:rsid w:val="00D22598"/>
    <w:rsid w:val="00D26924"/>
    <w:rsid w:val="00D35468"/>
    <w:rsid w:val="00D413F6"/>
    <w:rsid w:val="00D4231B"/>
    <w:rsid w:val="00D423A2"/>
    <w:rsid w:val="00D45E4A"/>
    <w:rsid w:val="00D520D8"/>
    <w:rsid w:val="00D52961"/>
    <w:rsid w:val="00D55048"/>
    <w:rsid w:val="00D56C6D"/>
    <w:rsid w:val="00D57FA4"/>
    <w:rsid w:val="00D62DE7"/>
    <w:rsid w:val="00D63AC2"/>
    <w:rsid w:val="00D665B4"/>
    <w:rsid w:val="00D7080D"/>
    <w:rsid w:val="00D7383B"/>
    <w:rsid w:val="00D73E97"/>
    <w:rsid w:val="00D7609E"/>
    <w:rsid w:val="00D80722"/>
    <w:rsid w:val="00D81A63"/>
    <w:rsid w:val="00D81D25"/>
    <w:rsid w:val="00D85C60"/>
    <w:rsid w:val="00D86C54"/>
    <w:rsid w:val="00D91F8B"/>
    <w:rsid w:val="00D94C40"/>
    <w:rsid w:val="00DA231B"/>
    <w:rsid w:val="00DA23A0"/>
    <w:rsid w:val="00DA7D04"/>
    <w:rsid w:val="00DA7F66"/>
    <w:rsid w:val="00DB186F"/>
    <w:rsid w:val="00DB77B8"/>
    <w:rsid w:val="00DB7C49"/>
    <w:rsid w:val="00DC39FC"/>
    <w:rsid w:val="00DC4385"/>
    <w:rsid w:val="00DC484F"/>
    <w:rsid w:val="00DC4C27"/>
    <w:rsid w:val="00DC51BC"/>
    <w:rsid w:val="00DC6452"/>
    <w:rsid w:val="00DC78A7"/>
    <w:rsid w:val="00DC793F"/>
    <w:rsid w:val="00DD7AA7"/>
    <w:rsid w:val="00DE3BDD"/>
    <w:rsid w:val="00DE4629"/>
    <w:rsid w:val="00DE58C9"/>
    <w:rsid w:val="00DE6EAA"/>
    <w:rsid w:val="00DF11FD"/>
    <w:rsid w:val="00DF5254"/>
    <w:rsid w:val="00E052F2"/>
    <w:rsid w:val="00E12426"/>
    <w:rsid w:val="00E14EB2"/>
    <w:rsid w:val="00E15087"/>
    <w:rsid w:val="00E16408"/>
    <w:rsid w:val="00E20894"/>
    <w:rsid w:val="00E2397D"/>
    <w:rsid w:val="00E23B70"/>
    <w:rsid w:val="00E245AB"/>
    <w:rsid w:val="00E26239"/>
    <w:rsid w:val="00E2764C"/>
    <w:rsid w:val="00E27F2E"/>
    <w:rsid w:val="00E35539"/>
    <w:rsid w:val="00E413EA"/>
    <w:rsid w:val="00E41D93"/>
    <w:rsid w:val="00E41F23"/>
    <w:rsid w:val="00E45294"/>
    <w:rsid w:val="00E47F28"/>
    <w:rsid w:val="00E50AFE"/>
    <w:rsid w:val="00E52E49"/>
    <w:rsid w:val="00E577AC"/>
    <w:rsid w:val="00E578B6"/>
    <w:rsid w:val="00E6117F"/>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4C6"/>
    <w:rsid w:val="00EA1CD8"/>
    <w:rsid w:val="00EA29F8"/>
    <w:rsid w:val="00EA393B"/>
    <w:rsid w:val="00EA39A5"/>
    <w:rsid w:val="00EA65CD"/>
    <w:rsid w:val="00EB2C4B"/>
    <w:rsid w:val="00EB3BB3"/>
    <w:rsid w:val="00EB54ED"/>
    <w:rsid w:val="00EB5D9B"/>
    <w:rsid w:val="00EB7319"/>
    <w:rsid w:val="00EB7E00"/>
    <w:rsid w:val="00EC1A2C"/>
    <w:rsid w:val="00EC1FE1"/>
    <w:rsid w:val="00EC214E"/>
    <w:rsid w:val="00EC38A7"/>
    <w:rsid w:val="00ED042A"/>
    <w:rsid w:val="00ED0D4A"/>
    <w:rsid w:val="00ED5D6B"/>
    <w:rsid w:val="00EE1AA8"/>
    <w:rsid w:val="00EE6DCD"/>
    <w:rsid w:val="00EF26C3"/>
    <w:rsid w:val="00EF419E"/>
    <w:rsid w:val="00EF489F"/>
    <w:rsid w:val="00F00796"/>
    <w:rsid w:val="00F11213"/>
    <w:rsid w:val="00F11BAA"/>
    <w:rsid w:val="00F177C1"/>
    <w:rsid w:val="00F17EB6"/>
    <w:rsid w:val="00F238F2"/>
    <w:rsid w:val="00F248A2"/>
    <w:rsid w:val="00F260AA"/>
    <w:rsid w:val="00F27B26"/>
    <w:rsid w:val="00F30B1C"/>
    <w:rsid w:val="00F31EDC"/>
    <w:rsid w:val="00F34D02"/>
    <w:rsid w:val="00F34E84"/>
    <w:rsid w:val="00F37ED5"/>
    <w:rsid w:val="00F40890"/>
    <w:rsid w:val="00F40BAD"/>
    <w:rsid w:val="00F462B3"/>
    <w:rsid w:val="00F50DC9"/>
    <w:rsid w:val="00F5184B"/>
    <w:rsid w:val="00F5491E"/>
    <w:rsid w:val="00F55081"/>
    <w:rsid w:val="00F55168"/>
    <w:rsid w:val="00F5664F"/>
    <w:rsid w:val="00F61ABB"/>
    <w:rsid w:val="00F626C4"/>
    <w:rsid w:val="00F64D9E"/>
    <w:rsid w:val="00F664EC"/>
    <w:rsid w:val="00F666C4"/>
    <w:rsid w:val="00F6760C"/>
    <w:rsid w:val="00F7684C"/>
    <w:rsid w:val="00F76AFC"/>
    <w:rsid w:val="00F80CBE"/>
    <w:rsid w:val="00F85198"/>
    <w:rsid w:val="00F85237"/>
    <w:rsid w:val="00F90C89"/>
    <w:rsid w:val="00F939CB"/>
    <w:rsid w:val="00F9479C"/>
    <w:rsid w:val="00F95083"/>
    <w:rsid w:val="00F965EE"/>
    <w:rsid w:val="00F97949"/>
    <w:rsid w:val="00FA1110"/>
    <w:rsid w:val="00FA1361"/>
    <w:rsid w:val="00FA34EC"/>
    <w:rsid w:val="00FA358D"/>
    <w:rsid w:val="00FA47C0"/>
    <w:rsid w:val="00FA5F1F"/>
    <w:rsid w:val="00FB4425"/>
    <w:rsid w:val="00FB5615"/>
    <w:rsid w:val="00FB5DD1"/>
    <w:rsid w:val="00FB5F87"/>
    <w:rsid w:val="00FC07B5"/>
    <w:rsid w:val="00FC2B5D"/>
    <w:rsid w:val="00FD00BB"/>
    <w:rsid w:val="00FD00E9"/>
    <w:rsid w:val="00FD03E3"/>
    <w:rsid w:val="00FD108E"/>
    <w:rsid w:val="00FD653F"/>
    <w:rsid w:val="00FD6F78"/>
    <w:rsid w:val="00FE122A"/>
    <w:rsid w:val="00FE20E6"/>
    <w:rsid w:val="00FE3927"/>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F7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99"/>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baj">
    <w:name w:val="b_aj"/>
    <w:basedOn w:val="Fuentedeprrafopredeter"/>
    <w:rsid w:val="00E2397D"/>
  </w:style>
  <w:style w:type="paragraph" w:customStyle="1" w:styleId="Textoindependiente1">
    <w:name w:val="Texto independiente1"/>
    <w:basedOn w:val="Normal"/>
    <w:next w:val="Textoindependiente"/>
    <w:uiPriority w:val="99"/>
    <w:unhideWhenUsed/>
    <w:rsid w:val="006B14B5"/>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6B14B5"/>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07377614">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1632463">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uanesquiceno@hot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ficha/4201912000005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2B7050-169A-4A04-9FF6-A5A9B6097A7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9d85dbaf-23eb-4e57-a637-93dcacc8b1a1"/>
    <ds:schemaRef ds:uri="http://purl.org/dc/elements/1.1/"/>
    <ds:schemaRef ds:uri="http://schemas.microsoft.com/office/infopath/2007/PartnerControls"/>
    <ds:schemaRef ds:uri="http://purl.org/dc/terms/"/>
    <ds:schemaRef ds:uri="http://purl.org/dc/dcmitype/"/>
    <ds:schemaRef ds:uri="a6cb9e4b-f1d1-4245-83ec-6cad768d538a"/>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27</Pages>
  <Words>9319</Words>
  <Characters>51257</Characters>
  <Application>Microsoft Office Word</Application>
  <DocSecurity>0</DocSecurity>
  <Lines>427</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2025-02-25T15:45:00Z</cp:lastPrinted>
  <dcterms:created xsi:type="dcterms:W3CDTF">2025-10-21T15:29:00Z</dcterms:created>
  <dcterms:modified xsi:type="dcterms:W3CDTF">2025-10-21T15:29:00Z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