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A37DA" w:rsidR="002A37DA" w:rsidP="002A37DA" w:rsidRDefault="002A37DA" w14:paraId="1AA3DB45" w14:textId="77777777">
      <w:pPr>
        <w:spacing w:after="0" w:line="240" w:lineRule="auto"/>
        <w:jc w:val="both"/>
        <w:rPr>
          <w:rFonts w:ascii="Verdana" w:hAnsi="Verdana" w:eastAsia="Calibri" w:cs="Arial"/>
          <w:b/>
          <w:lang w:val="es-ES_tradnl"/>
        </w:rPr>
      </w:pPr>
      <w:bookmarkStart w:name="_Hlk186494164" w:id="0"/>
      <w:r w:rsidRPr="002A37DA">
        <w:rPr>
          <w:rFonts w:ascii="Verdana" w:hAnsi="Verdana" w:eastAsia="Calibri" w:cs="Arial"/>
          <w:b/>
          <w:lang w:val="es-ES_tradnl"/>
        </w:rPr>
        <w:t>FACTORES DE DESEMPATE – Características – Límites</w:t>
      </w:r>
    </w:p>
    <w:p w:rsidRPr="002A37DA" w:rsidR="002A37DA" w:rsidP="002A37DA" w:rsidRDefault="002A37DA" w14:paraId="1B1FA948" w14:textId="77777777">
      <w:pPr>
        <w:spacing w:after="0" w:line="240" w:lineRule="auto"/>
        <w:jc w:val="both"/>
        <w:rPr>
          <w:rFonts w:ascii="Verdana" w:hAnsi="Verdana" w:cs="Arial"/>
          <w:noProof/>
          <w:highlight w:val="yellow"/>
          <w:lang w:val="es-ES_tradnl"/>
        </w:rPr>
      </w:pPr>
    </w:p>
    <w:p w:rsidRPr="006727FD" w:rsidR="002A37DA" w:rsidP="21D79E2A" w:rsidRDefault="002A37DA" w14:paraId="28ADE003" w14:textId="77777777">
      <w:pPr>
        <w:spacing w:after="0" w:line="240" w:lineRule="auto"/>
        <w:jc w:val="both"/>
        <w:rPr>
          <w:rFonts w:ascii="Verdana" w:hAnsi="Verdana" w:eastAsia="Calibri" w:cs="Arial"/>
          <w:sz w:val="20"/>
          <w:szCs w:val="20"/>
          <w:lang w:val="es-ES"/>
        </w:rPr>
      </w:pPr>
      <w:r w:rsidRPr="21D79E2A" w:rsidR="002A37DA">
        <w:rPr>
          <w:rFonts w:ascii="Verdana" w:hAnsi="Verdana" w:eastAsia="Calibri" w:cs="Arial"/>
          <w:sz w:val="20"/>
          <w:szCs w:val="20"/>
          <w:lang w:val="es-ES"/>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2A37DA" w:rsidR="002A37DA" w:rsidP="002A37DA" w:rsidRDefault="002A37DA" w14:paraId="3177970D" w14:textId="77777777">
      <w:pPr>
        <w:spacing w:after="0" w:line="240" w:lineRule="auto"/>
        <w:jc w:val="both"/>
        <w:rPr>
          <w:rFonts w:ascii="Verdana" w:hAnsi="Verdana" w:eastAsia="Calibri" w:cs="Arial"/>
          <w:b/>
          <w:highlight w:val="yellow"/>
          <w:lang w:val="es-ES_tradnl"/>
        </w:rPr>
      </w:pPr>
    </w:p>
    <w:p w:rsidRPr="002A37DA" w:rsidR="002A37DA" w:rsidP="002A37DA" w:rsidRDefault="002A37DA" w14:paraId="53EA9DE5" w14:textId="77777777">
      <w:pPr>
        <w:spacing w:after="0" w:line="240" w:lineRule="auto"/>
        <w:jc w:val="both"/>
        <w:rPr>
          <w:rFonts w:ascii="Verdana" w:hAnsi="Verdana" w:eastAsia="Calibri" w:cs="Arial"/>
          <w:b/>
          <w:lang w:val="es-ES_tradnl"/>
        </w:rPr>
      </w:pPr>
      <w:r w:rsidRPr="002A37DA">
        <w:rPr>
          <w:rFonts w:ascii="Verdana" w:hAnsi="Verdana" w:eastAsia="Calibri" w:cs="Arial"/>
          <w:b/>
          <w:lang w:val="es-ES_tradnl"/>
        </w:rPr>
        <w:t>LEY DE EMPRENDIMIENTO – Ley 2069 de 2020 – Reglamentación – Decreto 1860 de 2021 – Vigencia</w:t>
      </w:r>
    </w:p>
    <w:p w:rsidRPr="002A37DA" w:rsidR="002A37DA" w:rsidP="002A37DA" w:rsidRDefault="002A37DA" w14:paraId="6AB841AA" w14:textId="77777777">
      <w:pPr>
        <w:spacing w:after="0" w:line="240" w:lineRule="auto"/>
        <w:jc w:val="both"/>
        <w:rPr>
          <w:rFonts w:ascii="Verdana" w:hAnsi="Verdana" w:eastAsia="Calibri" w:cs="Arial"/>
          <w:b/>
          <w:highlight w:val="yellow"/>
          <w:lang w:val="es-ES_tradnl"/>
        </w:rPr>
      </w:pPr>
    </w:p>
    <w:p w:rsidRPr="006727FD" w:rsidR="002A37DA" w:rsidP="21D79E2A" w:rsidRDefault="002A37DA" w14:paraId="39BC110B" w14:textId="77777777">
      <w:pPr>
        <w:spacing w:after="0" w:line="240" w:lineRule="auto"/>
        <w:jc w:val="both"/>
        <w:rPr>
          <w:rFonts w:ascii="Verdana" w:hAnsi="Verdana" w:eastAsia="Calibri" w:cs="Arial"/>
          <w:sz w:val="20"/>
          <w:szCs w:val="20"/>
          <w:lang w:val="es-ES"/>
        </w:rPr>
      </w:pPr>
      <w:r w:rsidRPr="21D79E2A" w:rsidR="002A37DA">
        <w:rPr>
          <w:rFonts w:ascii="Verdana" w:hAnsi="Verdana" w:eastAsia="Calibri" w:cs="Arial"/>
          <w:sz w:val="20"/>
          <w:szCs w:val="20"/>
          <w:lang w:val="es-ES"/>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rsidRPr="002A37DA" w:rsidR="002A37DA" w:rsidP="002A37DA" w:rsidRDefault="002A37DA" w14:paraId="7EE69741" w14:textId="77777777">
      <w:pPr>
        <w:spacing w:after="0" w:line="240" w:lineRule="auto"/>
        <w:jc w:val="both"/>
        <w:rPr>
          <w:rFonts w:ascii="Verdana" w:hAnsi="Verdana" w:eastAsia="Calibri" w:cs="Arial"/>
          <w:b/>
          <w:lang w:val="es-ES_tradnl"/>
        </w:rPr>
      </w:pPr>
    </w:p>
    <w:p w:rsidRPr="002A37DA" w:rsidR="002A37DA" w:rsidP="002A37DA" w:rsidRDefault="002A37DA" w14:paraId="6F4584A8" w14:textId="6FCE19B9">
      <w:pPr>
        <w:spacing w:after="0" w:line="240" w:lineRule="auto"/>
        <w:jc w:val="both"/>
        <w:rPr>
          <w:rFonts w:ascii="Verdana" w:hAnsi="Verdana" w:eastAsia="Calibri" w:cs="Arial"/>
          <w:b/>
          <w:lang w:val="es-ES_tradnl"/>
        </w:rPr>
      </w:pPr>
      <w:r w:rsidRPr="002A37DA">
        <w:rPr>
          <w:rFonts w:ascii="Verdana" w:hAnsi="Verdana" w:eastAsia="Calibri" w:cs="Arial"/>
          <w:b/>
          <w:lang w:val="es-ES_tradnl"/>
        </w:rPr>
        <w:t>FACTORES DE DESEMPATE – Personas mayores – Alcance –</w:t>
      </w:r>
      <w:r>
        <w:rPr>
          <w:rFonts w:ascii="Verdana" w:hAnsi="Verdana" w:eastAsia="Calibri" w:cs="Arial"/>
          <w:b/>
          <w:lang w:val="es-ES_tradnl"/>
        </w:rPr>
        <w:t>Documentación.</w:t>
      </w:r>
    </w:p>
    <w:p w:rsidRPr="002A37DA" w:rsidR="002A37DA" w:rsidP="002A37DA" w:rsidRDefault="002A37DA" w14:paraId="58FF1E89" w14:textId="77777777">
      <w:pPr>
        <w:spacing w:after="0" w:line="240" w:lineRule="auto"/>
        <w:jc w:val="both"/>
        <w:rPr>
          <w:rFonts w:ascii="Verdana" w:hAnsi="Verdana" w:cs="Arial"/>
          <w:highlight w:val="yellow"/>
          <w:lang w:val="es-ES_tradnl"/>
        </w:rPr>
      </w:pPr>
    </w:p>
    <w:p w:rsidRPr="006727FD" w:rsidR="002A37DA" w:rsidP="21D79E2A" w:rsidRDefault="002A37DA" w14:paraId="4E435133" w14:textId="77777777">
      <w:pPr>
        <w:spacing w:after="0" w:line="240" w:lineRule="auto"/>
        <w:jc w:val="both"/>
        <w:rPr>
          <w:rFonts w:ascii="Verdana" w:hAnsi="Verdana" w:eastAsia="Calibri" w:cs="Arial"/>
          <w:sz w:val="20"/>
          <w:szCs w:val="20"/>
          <w:lang w:val="es-ES"/>
        </w:rPr>
      </w:pPr>
      <w:r w:rsidRPr="21D79E2A" w:rsidR="002A37DA">
        <w:rPr>
          <w:rFonts w:ascii="Verdana" w:hAnsi="Verdana" w:eastAsia="Calibri" w:cs="Arial"/>
          <w:sz w:val="20"/>
          <w:szCs w:val="20"/>
          <w:lang w:val="es-ES"/>
        </w:rPr>
        <w:t xml:space="preserve">De acuerdo con la interpretación general del artículo 34.4 de la Ley de Emprendimiento,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rsidRPr="006727FD" w:rsidR="002A37DA" w:rsidP="002A37DA" w:rsidRDefault="002A37DA" w14:paraId="078EECCB" w14:textId="77777777">
      <w:pPr>
        <w:spacing w:after="0" w:line="240" w:lineRule="auto"/>
        <w:jc w:val="both"/>
        <w:rPr>
          <w:rFonts w:ascii="Verdana" w:hAnsi="Verdana" w:eastAsia="Calibri" w:cs="Arial"/>
          <w:sz w:val="20"/>
          <w:szCs w:val="20"/>
          <w:lang w:val="es-ES_tradnl"/>
        </w:rPr>
      </w:pPr>
    </w:p>
    <w:p w:rsidRPr="006727FD" w:rsidR="002A37DA" w:rsidP="21D79E2A" w:rsidRDefault="002A37DA" w14:paraId="48FD384A" w14:textId="66571180">
      <w:pPr>
        <w:spacing w:after="0" w:line="240" w:lineRule="auto"/>
        <w:jc w:val="both"/>
        <w:rPr>
          <w:rFonts w:ascii="Verdana" w:hAnsi="Verdana" w:eastAsia="Calibri" w:cs="Arial"/>
          <w:sz w:val="20"/>
          <w:szCs w:val="20"/>
          <w:lang w:val="es-ES"/>
        </w:rPr>
      </w:pPr>
      <w:r w:rsidRPr="21D79E2A" w:rsidR="002A37DA">
        <w:rPr>
          <w:rFonts w:ascii="Verdana" w:hAnsi="Verdana" w:eastAsia="Calibri" w:cs="Arial"/>
          <w:sz w:val="20"/>
          <w:szCs w:val="20"/>
          <w:lang w:val="es-ES"/>
        </w:rPr>
        <w:t xml:space="preserve">Así las cosas,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  </w:t>
      </w:r>
    </w:p>
    <w:p w:rsidRPr="002A37DA" w:rsidR="002A37DA" w:rsidP="002A37DA" w:rsidRDefault="002A37DA" w14:paraId="35654474" w14:textId="77777777">
      <w:pPr>
        <w:spacing w:after="0"/>
        <w:rPr>
          <w:rFonts w:ascii="Verdana" w:hAnsi="Verdana" w:eastAsia="Geomanist Light" w:cs="Arial"/>
          <w:color w:val="201F1E"/>
          <w:lang w:val="es-ES_tradnl"/>
        </w:rPr>
      </w:pPr>
    </w:p>
    <w:p w:rsidRPr="002A37DA" w:rsidR="002A37DA" w:rsidP="002A37DA" w:rsidRDefault="002A37DA" w14:paraId="08FFDA41" w14:textId="77777777">
      <w:pPr>
        <w:spacing w:after="0"/>
        <w:rPr>
          <w:rFonts w:ascii="Verdana" w:hAnsi="Verdana" w:eastAsia="Geomanist Light" w:cs="Arial"/>
          <w:color w:val="201F1E"/>
          <w:lang w:val="es-MX"/>
        </w:rPr>
      </w:pPr>
    </w:p>
    <w:p w:rsidRPr="002A37DA" w:rsidR="002A37DA" w:rsidP="002A37DA" w:rsidRDefault="002A37DA" w14:paraId="5A64A75C" w14:textId="77777777">
      <w:pPr>
        <w:spacing w:after="0"/>
        <w:rPr>
          <w:rFonts w:ascii="Verdana" w:hAnsi="Verdana" w:eastAsia="Geomanist Light" w:cs="Arial"/>
          <w:color w:val="201F1E"/>
          <w:lang w:val="es-MX"/>
        </w:rPr>
      </w:pPr>
    </w:p>
    <w:p w:rsidRPr="002A37DA" w:rsidR="002A37DA" w:rsidP="002A37DA" w:rsidRDefault="002A37DA" w14:paraId="627553A7" w14:textId="77777777">
      <w:pPr>
        <w:spacing w:after="0"/>
        <w:rPr>
          <w:rFonts w:ascii="Verdana" w:hAnsi="Verdana" w:eastAsia="Geomanist Light" w:cs="Arial"/>
          <w:color w:val="201F1E"/>
          <w:lang w:val="es-MX"/>
        </w:rPr>
      </w:pPr>
    </w:p>
    <w:p w:rsidRPr="002A37DA" w:rsidR="002A37DA" w:rsidP="002A37DA" w:rsidRDefault="002A37DA" w14:paraId="4A1728B3" w14:textId="77777777">
      <w:pPr>
        <w:spacing w:after="0"/>
        <w:rPr>
          <w:rFonts w:ascii="Verdana" w:hAnsi="Verdana" w:eastAsia="Geomanist Light" w:cs="Arial"/>
          <w:color w:val="201F1E"/>
          <w:lang w:val="es-MX"/>
        </w:rPr>
      </w:pPr>
    </w:p>
    <w:p w:rsidRPr="002A37DA" w:rsidR="002A37DA" w:rsidP="002A37DA" w:rsidRDefault="002A37DA" w14:paraId="75813E9B" w14:textId="77777777">
      <w:pPr>
        <w:spacing w:after="0"/>
        <w:rPr>
          <w:rFonts w:ascii="Verdana" w:hAnsi="Verdana" w:eastAsia="Geomanist Light" w:cs="Arial"/>
          <w:color w:val="201F1E"/>
          <w:lang w:val="es-MX"/>
        </w:rPr>
      </w:pPr>
    </w:p>
    <w:p w:rsidRPr="002A37DA" w:rsidR="0005661F" w:rsidP="0005661F" w:rsidRDefault="0005661F" w14:paraId="646BD4A4" w14:textId="77777777">
      <w:pPr>
        <w:spacing w:after="0" w:line="240" w:lineRule="auto"/>
        <w:jc w:val="both"/>
        <w:rPr>
          <w:rFonts w:ascii="Verdana" w:hAnsi="Verdana" w:eastAsia="Geomanist Light" w:cs="Arial"/>
          <w:color w:val="000000" w:themeColor="text1"/>
          <w:lang w:val="es-MX"/>
        </w:rPr>
      </w:pPr>
    </w:p>
    <w:p w:rsidRPr="002A37DA" w:rsidR="0005661F" w:rsidP="0005661F" w:rsidRDefault="0005661F" w14:paraId="2BA5C0B1" w14:textId="77777777">
      <w:pPr>
        <w:spacing w:after="0" w:line="240" w:lineRule="auto"/>
        <w:jc w:val="both"/>
        <w:rPr>
          <w:rFonts w:ascii="Verdana" w:hAnsi="Verdana" w:eastAsia="Geomanist Light" w:cs="Arial"/>
          <w:color w:val="000000" w:themeColor="text1"/>
          <w:lang w:val="es-MX"/>
        </w:rPr>
      </w:pPr>
    </w:p>
    <w:p w:rsidRPr="002A37DA" w:rsidR="009525E5" w:rsidP="0005661F" w:rsidRDefault="009525E5" w14:paraId="5287C3FA" w14:textId="77777777">
      <w:pPr>
        <w:spacing w:after="0" w:line="240" w:lineRule="auto"/>
        <w:jc w:val="both"/>
        <w:rPr>
          <w:rFonts w:ascii="Verdana" w:hAnsi="Verdana" w:eastAsia="Geomanist Light" w:cs="Arial"/>
          <w:color w:val="000000" w:themeColor="text1"/>
          <w:lang w:val="es-MX"/>
        </w:rPr>
      </w:pPr>
    </w:p>
    <w:p w:rsidRPr="002A37DA" w:rsidR="009525E5" w:rsidP="0005661F" w:rsidRDefault="009525E5" w14:paraId="796929BA" w14:textId="77777777">
      <w:pPr>
        <w:spacing w:after="0" w:line="240" w:lineRule="auto"/>
        <w:jc w:val="both"/>
        <w:rPr>
          <w:rFonts w:ascii="Verdana" w:hAnsi="Verdana" w:eastAsia="Geomanist Light" w:cs="Arial"/>
          <w:color w:val="000000" w:themeColor="text1"/>
          <w:lang w:val="es-MX"/>
        </w:rPr>
      </w:pPr>
    </w:p>
    <w:p w:rsidR="009525E5" w:rsidP="0005661F" w:rsidRDefault="009525E5" w14:paraId="165E63FD"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1EDC6AA9"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2BA05D3E"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3F9AADCD"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1521E780"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2B58ED58"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5260A0C7"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344018B4"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217A0D27"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49F6D3D8"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6BA1FD46"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480F7665"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23E705BA"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7BB72F3D"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24AA25EC"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20693E3F"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277D2E91"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517565D9" w14:textId="77777777">
      <w:pPr>
        <w:spacing w:after="0" w:line="240" w:lineRule="auto"/>
        <w:jc w:val="both"/>
        <w:rPr>
          <w:rFonts w:ascii="Verdana" w:hAnsi="Verdana" w:eastAsia="Geomanist Light" w:cs="Arial"/>
          <w:color w:val="000000" w:themeColor="text1"/>
          <w:sz w:val="20"/>
          <w:szCs w:val="20"/>
          <w:lang w:val="es-MX"/>
        </w:rPr>
      </w:pPr>
    </w:p>
    <w:p w:rsidR="006727FD" w:rsidP="0005661F" w:rsidRDefault="006727FD" w14:paraId="2D8EB653"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35065C04"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66530DC7" w14:textId="77777777">
      <w:pPr>
        <w:spacing w:after="0" w:line="240" w:lineRule="auto"/>
        <w:jc w:val="both"/>
        <w:rPr>
          <w:rFonts w:ascii="Verdana" w:hAnsi="Verdana" w:eastAsia="Geomanist Light" w:cs="Arial"/>
          <w:color w:val="000000" w:themeColor="text1"/>
          <w:sz w:val="20"/>
          <w:szCs w:val="20"/>
          <w:lang w:val="es-MX"/>
        </w:rPr>
      </w:pPr>
    </w:p>
    <w:p w:rsidR="009525E5" w:rsidP="0005661F" w:rsidRDefault="009525E5" w14:paraId="2D13368E" w14:textId="77777777">
      <w:pPr>
        <w:spacing w:after="0" w:line="240" w:lineRule="auto"/>
        <w:jc w:val="both"/>
        <w:rPr>
          <w:rFonts w:ascii="Verdana" w:hAnsi="Verdana" w:eastAsia="Geomanist Light" w:cs="Arial"/>
          <w:color w:val="000000" w:themeColor="text1"/>
          <w:sz w:val="20"/>
          <w:szCs w:val="20"/>
          <w:lang w:val="es-MX"/>
        </w:rPr>
      </w:pPr>
    </w:p>
    <w:p w:rsidR="00831F6E" w:rsidP="00831F6E" w:rsidRDefault="00831F6E" w14:paraId="5B6FAEB2" w14:textId="1906F8DE">
      <w:pPr>
        <w:spacing w:after="0"/>
        <w:rPr>
          <w:rFonts w:ascii="Verdana" w:hAnsi="Verdana"/>
        </w:rPr>
      </w:pPr>
      <w:r w:rsidRPr="0044528D">
        <w:rPr>
          <w:rFonts w:ascii="Verdana" w:hAnsi="Verdana"/>
        </w:rPr>
        <w:t xml:space="preserve">Bogotá D.C., </w:t>
      </w:r>
      <w:r w:rsidR="00FE7449">
        <w:rPr>
          <w:rFonts w:ascii="Verdana" w:hAnsi="Verdana"/>
        </w:rPr>
        <w:t>13 de marzo de 2025</w:t>
      </w:r>
    </w:p>
    <w:p w:rsidR="00370110" w:rsidP="00505CD6" w:rsidRDefault="00370110" w14:paraId="6C1546A0" w14:textId="77777777">
      <w:pPr>
        <w:spacing w:after="0" w:line="240" w:lineRule="auto"/>
        <w:jc w:val="both"/>
        <w:rPr>
          <w:rFonts w:ascii="Verdana" w:hAnsi="Verdana" w:eastAsia="Calibri" w:cs="Arial"/>
          <w:lang w:val="es-ES" w:eastAsia="es-ES"/>
        </w:rPr>
      </w:pPr>
    </w:p>
    <w:p w:rsidR="00FE7449" w:rsidP="00505CD6" w:rsidRDefault="00FE7449" w14:paraId="4BD2C704" w14:textId="77777777">
      <w:pPr>
        <w:spacing w:after="0" w:line="240" w:lineRule="auto"/>
        <w:jc w:val="both"/>
        <w:rPr>
          <w:rFonts w:ascii="Verdana" w:hAnsi="Verdana" w:eastAsia="Calibri" w:cs="Arial"/>
          <w:lang w:val="es-ES" w:eastAsia="es-ES"/>
        </w:rPr>
      </w:pPr>
    </w:p>
    <w:p w:rsidR="00FE7449" w:rsidP="00FE7449" w:rsidRDefault="00FE7449" w14:paraId="0C7614EC" w14:textId="0258F6E5">
      <w:pPr>
        <w:spacing w:after="0" w:line="240" w:lineRule="auto"/>
        <w:jc w:val="right"/>
        <w:rPr>
          <w:rFonts w:ascii="Verdana" w:hAnsi="Verdana" w:eastAsia="Calibri" w:cs="Arial"/>
          <w:lang w:val="es-ES" w:eastAsia="es-ES"/>
        </w:rPr>
      </w:pPr>
      <w:r>
        <w:rPr>
          <w:rFonts w:ascii="Verdana" w:hAnsi="Verdana" w:eastAsia="Calibri" w:cs="Arial"/>
          <w:noProof/>
          <w:lang w:val="es-ES" w:eastAsia="es-ES"/>
        </w:rPr>
        <w:drawing>
          <wp:inline distT="0" distB="0" distL="0" distR="0" wp14:anchorId="73DC958E" wp14:editId="08C18005">
            <wp:extent cx="3457575" cy="1038225"/>
            <wp:effectExtent l="0" t="0" r="9525" b="9525"/>
            <wp:docPr id="1188036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7575" cy="1038225"/>
                    </a:xfrm>
                    <a:prstGeom prst="rect">
                      <a:avLst/>
                    </a:prstGeom>
                    <a:noFill/>
                    <a:ln>
                      <a:noFill/>
                    </a:ln>
                  </pic:spPr>
                </pic:pic>
              </a:graphicData>
            </a:graphic>
          </wp:inline>
        </w:drawing>
      </w:r>
    </w:p>
    <w:p w:rsidR="00FE7449" w:rsidP="00505CD6" w:rsidRDefault="00FE7449" w14:paraId="7F7F4ACE" w14:textId="77777777">
      <w:pPr>
        <w:spacing w:after="0" w:line="240" w:lineRule="auto"/>
        <w:jc w:val="both"/>
        <w:rPr>
          <w:rFonts w:ascii="Verdana" w:hAnsi="Verdana" w:eastAsia="Calibri" w:cs="Arial"/>
          <w:lang w:val="es-ES" w:eastAsia="es-ES"/>
        </w:rPr>
      </w:pPr>
    </w:p>
    <w:p w:rsidRPr="00505CD6" w:rsidR="00505CD6" w:rsidP="00505CD6" w:rsidRDefault="00505CD6" w14:paraId="4428D988" w14:textId="290D54EA">
      <w:pPr>
        <w:spacing w:after="0" w:line="240" w:lineRule="auto"/>
        <w:jc w:val="both"/>
        <w:rPr>
          <w:rFonts w:ascii="Verdana" w:hAnsi="Verdana" w:eastAsia="Calibri" w:cs="Arial"/>
          <w:lang w:val="es-ES" w:eastAsia="es-ES"/>
        </w:rPr>
      </w:pPr>
      <w:r w:rsidRPr="00505CD6">
        <w:rPr>
          <w:rFonts w:ascii="Verdana" w:hAnsi="Verdana" w:eastAsia="Calibri" w:cs="Arial"/>
          <w:lang w:val="es-ES" w:eastAsia="es-ES"/>
        </w:rPr>
        <w:t>Señor</w:t>
      </w:r>
      <w:r w:rsidR="00124D38">
        <w:rPr>
          <w:rFonts w:ascii="Verdana" w:hAnsi="Verdana" w:eastAsia="Calibri" w:cs="Arial"/>
          <w:lang w:val="es-ES" w:eastAsia="es-ES"/>
        </w:rPr>
        <w:t>a</w:t>
      </w:r>
    </w:p>
    <w:p w:rsidR="0030063E" w:rsidP="00505CD6" w:rsidRDefault="0030063E" w14:paraId="0DE9AB9C" w14:textId="399FD247">
      <w:pPr>
        <w:spacing w:after="0" w:line="240" w:lineRule="auto"/>
        <w:rPr>
          <w:rFonts w:ascii="Verdana" w:hAnsi="Verdana" w:eastAsia="Calibri" w:cs="Arial"/>
          <w:b/>
          <w:bCs/>
          <w:lang w:val="es-ES" w:eastAsia="es-ES"/>
        </w:rPr>
      </w:pPr>
      <w:r w:rsidRPr="0030063E">
        <w:rPr>
          <w:rFonts w:ascii="Verdana" w:hAnsi="Verdana" w:eastAsia="Calibri" w:cs="Arial"/>
          <w:b/>
          <w:bCs/>
          <w:lang w:val="es-ES" w:eastAsia="es-ES"/>
        </w:rPr>
        <w:t xml:space="preserve">Nicolle Katherine </w:t>
      </w:r>
      <w:r w:rsidRPr="0030063E" w:rsidR="00926D0C">
        <w:rPr>
          <w:rFonts w:ascii="Verdana" w:hAnsi="Verdana" w:eastAsia="Calibri" w:cs="Arial"/>
          <w:b/>
          <w:bCs/>
          <w:lang w:val="es-ES" w:eastAsia="es-ES"/>
        </w:rPr>
        <w:t>Ramírez</w:t>
      </w:r>
      <w:r w:rsidRPr="0030063E">
        <w:rPr>
          <w:rFonts w:ascii="Verdana" w:hAnsi="Verdana" w:eastAsia="Calibri" w:cs="Arial"/>
          <w:b/>
          <w:bCs/>
          <w:lang w:val="es-ES" w:eastAsia="es-ES"/>
        </w:rPr>
        <w:t xml:space="preserve"> Soba</w:t>
      </w:r>
    </w:p>
    <w:p w:rsidR="0030063E" w:rsidP="00505CD6" w:rsidRDefault="0030063E" w14:paraId="2926628A" w14:textId="7F87C365">
      <w:pPr>
        <w:spacing w:after="0" w:line="240" w:lineRule="auto"/>
        <w:rPr>
          <w:rFonts w:ascii="Verdana" w:hAnsi="Verdana" w:eastAsia="Calibri" w:cs="Arial"/>
          <w:lang w:val="es-ES" w:eastAsia="es-ES"/>
        </w:rPr>
      </w:pPr>
      <w:hyperlink w:history="1" r:id="rId12">
        <w:r w:rsidRPr="0063089E">
          <w:rPr>
            <w:rStyle w:val="Hipervnculo"/>
            <w:rFonts w:ascii="Verdana" w:hAnsi="Verdana" w:eastAsia="Calibri" w:cs="Arial"/>
            <w:lang w:val="es-ES" w:eastAsia="es-ES"/>
          </w:rPr>
          <w:t>nicolle.ramirez57@gmail.com</w:t>
        </w:r>
      </w:hyperlink>
    </w:p>
    <w:p w:rsidRPr="00505CD6" w:rsidR="00505CD6" w:rsidP="00505CD6" w:rsidRDefault="00505CD6" w14:paraId="3FE49E4D" w14:textId="7E47F246">
      <w:pPr>
        <w:spacing w:after="0" w:line="240" w:lineRule="auto"/>
        <w:rPr>
          <w:rFonts w:ascii="Verdana" w:hAnsi="Verdana" w:eastAsia="Calibri" w:cs="Arial"/>
          <w:lang w:val="es-ES" w:eastAsia="es-ES"/>
        </w:rPr>
      </w:pPr>
      <w:r w:rsidRPr="00505CD6">
        <w:rPr>
          <w:rFonts w:ascii="Verdana" w:hAnsi="Verdana" w:eastAsia="Calibri" w:cs="Arial"/>
          <w:lang w:val="es-ES" w:eastAsia="es-ES"/>
        </w:rPr>
        <w:t xml:space="preserve">Bogotá D.C. </w:t>
      </w:r>
    </w:p>
    <w:p w:rsidRPr="00505CD6" w:rsidR="00505CD6" w:rsidP="00505CD6" w:rsidRDefault="00505CD6" w14:paraId="4099BBBA"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05CD6" w:rsidR="00505CD6" w:rsidTr="006C5D8A" w14:paraId="693DC68A" w14:textId="77777777">
        <w:trPr>
          <w:trHeight w:val="630"/>
        </w:trPr>
        <w:tc>
          <w:tcPr>
            <w:tcW w:w="2689" w:type="dxa"/>
          </w:tcPr>
          <w:p w:rsidRPr="00505CD6" w:rsidR="00505CD6" w:rsidP="00505CD6" w:rsidRDefault="00505CD6" w14:paraId="64C39A8C" w14:textId="77777777">
            <w:pPr>
              <w:jc w:val="both"/>
              <w:rPr>
                <w:rFonts w:ascii="Verdana" w:hAnsi="Verdana" w:eastAsia="Calibri" w:cs="Arial"/>
                <w:b/>
                <w:bCs/>
                <w:color w:val="7030A0"/>
                <w:lang w:val="es-ES_tradnl" w:eastAsia="es-ES_tradnl"/>
              </w:rPr>
            </w:pPr>
          </w:p>
        </w:tc>
        <w:tc>
          <w:tcPr>
            <w:tcW w:w="6100" w:type="dxa"/>
          </w:tcPr>
          <w:p w:rsidRPr="00505CD6" w:rsidR="00505CD6" w:rsidP="00505CD6" w:rsidRDefault="00505CD6" w14:paraId="3F0CCDBE" w14:textId="3B949880">
            <w:pPr>
              <w:jc w:val="both"/>
              <w:rPr>
                <w:rFonts w:ascii="Verdana" w:hAnsi="Verdana" w:eastAsia="Calibri" w:cs="Arial"/>
                <w:b/>
                <w:bCs/>
                <w:lang w:val="es-ES" w:eastAsia="es-ES"/>
              </w:rPr>
            </w:pPr>
            <w:r w:rsidRPr="00505CD6">
              <w:rPr>
                <w:rFonts w:ascii="Verdana" w:hAnsi="Verdana" w:eastAsia="Calibri" w:cs="Arial"/>
                <w:b/>
                <w:bCs/>
                <w:lang w:val="es-ES" w:eastAsia="es-ES"/>
              </w:rPr>
              <w:t xml:space="preserve">Concepto C – </w:t>
            </w:r>
            <w:r w:rsidR="00EF11B4">
              <w:rPr>
                <w:rFonts w:ascii="Verdana" w:hAnsi="Verdana" w:eastAsia="Calibri" w:cs="Arial"/>
                <w:b/>
                <w:bCs/>
                <w:lang w:val="es-ES" w:eastAsia="es-ES"/>
              </w:rPr>
              <w:t>1</w:t>
            </w:r>
            <w:r w:rsidR="0030063E">
              <w:rPr>
                <w:rFonts w:ascii="Verdana" w:hAnsi="Verdana" w:eastAsia="Calibri" w:cs="Arial"/>
                <w:b/>
                <w:bCs/>
                <w:lang w:val="es-ES" w:eastAsia="es-ES"/>
              </w:rPr>
              <w:t>35</w:t>
            </w:r>
            <w:r w:rsidRPr="00505CD6">
              <w:rPr>
                <w:rFonts w:ascii="Verdana" w:hAnsi="Verdana" w:eastAsia="Calibri" w:cs="Arial"/>
                <w:b/>
                <w:bCs/>
                <w:lang w:val="es-ES" w:eastAsia="es-ES"/>
              </w:rPr>
              <w:t xml:space="preserve"> de 2025</w:t>
            </w:r>
          </w:p>
        </w:tc>
      </w:tr>
      <w:tr w:rsidRPr="00505CD6" w:rsidR="00505CD6" w:rsidTr="006C5D8A" w14:paraId="345204EE" w14:textId="77777777">
        <w:trPr>
          <w:trHeight w:val="884"/>
        </w:trPr>
        <w:tc>
          <w:tcPr>
            <w:tcW w:w="2689" w:type="dxa"/>
          </w:tcPr>
          <w:p w:rsidRPr="00505CD6" w:rsidR="00505CD6" w:rsidP="00505CD6" w:rsidRDefault="00505CD6" w14:paraId="01F69825" w14:textId="77777777">
            <w:pPr>
              <w:jc w:val="both"/>
              <w:rPr>
                <w:rFonts w:ascii="Verdana" w:hAnsi="Verdana" w:eastAsia="Calibri" w:cs="Arial"/>
                <w:color w:val="000000"/>
                <w:lang w:val="es-ES_tradnl" w:eastAsia="es-ES_tradnl"/>
              </w:rPr>
            </w:pPr>
            <w:r w:rsidRPr="00505CD6">
              <w:rPr>
                <w:rFonts w:ascii="Verdana" w:hAnsi="Verdana" w:eastAsia="Calibri" w:cs="Arial"/>
                <w:b/>
                <w:color w:val="000000"/>
                <w:lang w:val="es-ES_tradnl" w:eastAsia="es-ES_tradnl"/>
              </w:rPr>
              <w:t>Temas:</w:t>
            </w:r>
            <w:r w:rsidRPr="00505CD6">
              <w:rPr>
                <w:rFonts w:ascii="Verdana" w:hAnsi="Verdana" w:eastAsia="Calibri" w:cs="Arial"/>
                <w:color w:val="000000"/>
                <w:lang w:val="es-ES_tradnl" w:eastAsia="es-ES_tradnl"/>
              </w:rPr>
              <w:t xml:space="preserve">                   </w:t>
            </w:r>
          </w:p>
        </w:tc>
        <w:tc>
          <w:tcPr>
            <w:tcW w:w="6100" w:type="dxa"/>
          </w:tcPr>
          <w:p w:rsidRPr="002A37DA" w:rsidR="00505CD6" w:rsidP="009525E5" w:rsidRDefault="002A37DA" w14:paraId="6B50FD91" w14:textId="1C202745">
            <w:pPr>
              <w:jc w:val="both"/>
              <w:rPr>
                <w:rFonts w:ascii="Verdana" w:hAnsi="Verdana" w:eastAsia="Calibri" w:cs="Arial"/>
                <w:b/>
                <w:lang w:val="es-ES_tradnl"/>
              </w:rPr>
            </w:pPr>
            <w:r w:rsidRPr="002A37DA">
              <w:rPr>
                <w:rFonts w:ascii="Verdana" w:hAnsi="Verdana" w:eastAsia="Calibri" w:cs="Arial"/>
                <w:bCs/>
              </w:rPr>
              <w:t>FACTORES DE DESEMPATE – Características – Límites / LEY DE EMPRENDIMIENTO – Ley 2069 de 2020 – Reglamentación – Decreto 1860 de 2021 – Vigencia /</w:t>
            </w:r>
            <w:r w:rsidRPr="002A37DA">
              <w:rPr>
                <w:rFonts w:ascii="Verdana" w:hAnsi="Verdana" w:eastAsia="Calibri" w:cs="Arial"/>
                <w:b/>
                <w:lang w:val="es-ES_tradnl"/>
              </w:rPr>
              <w:t xml:space="preserve"> </w:t>
            </w:r>
            <w:r w:rsidRPr="002A37DA">
              <w:rPr>
                <w:rFonts w:ascii="Verdana" w:hAnsi="Verdana" w:eastAsia="Calibri" w:cs="Arial"/>
                <w:bCs/>
                <w:lang w:val="es-ES_tradnl"/>
              </w:rPr>
              <w:t>FACTORES DE DESEMPATE – Personas mayores – Alcance –Documentación.</w:t>
            </w:r>
            <w:r w:rsidRPr="002A37DA">
              <w:rPr>
                <w:rFonts w:ascii="Verdana" w:hAnsi="Verdana" w:eastAsia="Calibri" w:cs="Arial"/>
                <w:bCs/>
              </w:rPr>
              <w:t xml:space="preserve">    </w:t>
            </w:r>
          </w:p>
          <w:p w:rsidRPr="00505CD6" w:rsidR="009525E5" w:rsidP="009525E5" w:rsidRDefault="009525E5" w14:paraId="24A3A086" w14:textId="17BB0412">
            <w:pPr>
              <w:jc w:val="both"/>
              <w:rPr>
                <w:rFonts w:ascii="Verdana" w:hAnsi="Verdana" w:eastAsia="Calibri" w:cs="Arial"/>
                <w:lang w:val="es-ES" w:eastAsia="es-ES"/>
              </w:rPr>
            </w:pPr>
          </w:p>
        </w:tc>
      </w:tr>
      <w:tr w:rsidRPr="00505CD6" w:rsidR="00505CD6" w:rsidTr="006C5D8A" w14:paraId="0496523F" w14:textId="77777777">
        <w:tc>
          <w:tcPr>
            <w:tcW w:w="2689" w:type="dxa"/>
          </w:tcPr>
          <w:p w:rsidRPr="00505CD6" w:rsidR="00505CD6" w:rsidP="00505CD6" w:rsidRDefault="00505CD6" w14:paraId="4993E68B" w14:textId="77777777">
            <w:pPr>
              <w:jc w:val="both"/>
              <w:rPr>
                <w:rFonts w:ascii="Verdana" w:hAnsi="Verdana" w:eastAsia="Calibri" w:cs="Arial"/>
                <w:b/>
                <w:lang w:val="es-ES_tradnl" w:eastAsia="es-ES_tradnl"/>
              </w:rPr>
            </w:pPr>
            <w:r w:rsidRPr="00505CD6">
              <w:rPr>
                <w:rFonts w:ascii="Verdana" w:hAnsi="Verdana" w:eastAsia="Calibri" w:cs="Arial"/>
                <w:b/>
                <w:lang w:val="es-ES_tradnl" w:eastAsia="es-ES_tradnl"/>
              </w:rPr>
              <w:t>Radicación:</w:t>
            </w:r>
            <w:r w:rsidRPr="00505CD6">
              <w:rPr>
                <w:rFonts w:ascii="Verdana" w:hAnsi="Verdana" w:eastAsia="Calibri" w:cs="Arial"/>
                <w:lang w:val="es-ES_tradnl" w:eastAsia="es-ES_tradnl"/>
              </w:rPr>
              <w:t xml:space="preserve">               </w:t>
            </w:r>
          </w:p>
        </w:tc>
        <w:tc>
          <w:tcPr>
            <w:tcW w:w="6100" w:type="dxa"/>
          </w:tcPr>
          <w:p w:rsidRPr="00505CD6" w:rsidR="00505CD6" w:rsidP="00505CD6" w:rsidRDefault="00505CD6" w14:paraId="4A00324B" w14:textId="79549D8A">
            <w:pPr>
              <w:jc w:val="both"/>
              <w:rPr>
                <w:rFonts w:ascii="Verdana" w:hAnsi="Verdana" w:eastAsia="Calibri" w:cs="Arial"/>
                <w:lang w:val="es-ES_tradnl" w:eastAsia="es-ES_tradnl"/>
              </w:rPr>
            </w:pPr>
            <w:r w:rsidRPr="00505CD6">
              <w:rPr>
                <w:rFonts w:ascii="Verdana" w:hAnsi="Verdana" w:eastAsia="Calibri" w:cs="Arial"/>
                <w:lang w:val="es-ES_tradnl" w:eastAsia="es-ES_tradnl"/>
              </w:rPr>
              <w:t xml:space="preserve">Respuesta a la consulta con radicado No.   </w:t>
            </w:r>
            <w:r w:rsidRPr="005F5756" w:rsidR="005F5756">
              <w:rPr>
                <w:rFonts w:ascii="Verdana" w:hAnsi="Verdana" w:eastAsia="Calibri" w:cs="Arial"/>
                <w:lang w:val="es-ES_tradnl" w:eastAsia="es-ES_tradnl"/>
              </w:rPr>
              <w:t>P20250205001041</w:t>
            </w:r>
            <w:r w:rsidRPr="00505CD6">
              <w:rPr>
                <w:rFonts w:ascii="Verdana" w:hAnsi="Verdana" w:eastAsia="Calibri" w:cs="Arial"/>
                <w:lang w:val="es-ES_tradnl" w:eastAsia="es-ES_tradnl"/>
              </w:rPr>
              <w:t xml:space="preserve">                                 </w:t>
            </w:r>
          </w:p>
        </w:tc>
      </w:tr>
    </w:tbl>
    <w:p w:rsidRPr="00505CD6" w:rsidR="00505CD6" w:rsidP="00505CD6" w:rsidRDefault="00505CD6" w14:paraId="15DDFD0D" w14:textId="77777777">
      <w:pPr>
        <w:spacing w:after="0" w:line="240" w:lineRule="auto"/>
        <w:jc w:val="both"/>
        <w:rPr>
          <w:rFonts w:ascii="Verdana" w:hAnsi="Verdana" w:eastAsia="Calibri" w:cs="Arial"/>
          <w:color w:val="000000"/>
          <w:lang w:val="es-ES_tradnl" w:eastAsia="es-ES_tradnl"/>
        </w:rPr>
      </w:pPr>
    </w:p>
    <w:p w:rsidRPr="00505CD6" w:rsidR="00505CD6" w:rsidP="00505CD6" w:rsidRDefault="00505CD6" w14:paraId="00419E1D" w14:textId="77777777">
      <w:pPr>
        <w:spacing w:after="0" w:line="240" w:lineRule="auto"/>
        <w:jc w:val="both"/>
        <w:rPr>
          <w:rFonts w:ascii="Verdana" w:hAnsi="Verdana" w:eastAsia="Calibri" w:cs="Arial"/>
          <w:color w:val="000000"/>
          <w:lang w:val="es-ES_tradnl" w:eastAsia="es-ES_tradnl"/>
        </w:rPr>
      </w:pPr>
    </w:p>
    <w:p w:rsidRPr="00505CD6" w:rsidR="00505CD6" w:rsidP="00505CD6" w:rsidRDefault="00505CD6" w14:paraId="705B6F76" w14:textId="4099E1DF">
      <w:pPr>
        <w:spacing w:after="0" w:line="276" w:lineRule="auto"/>
        <w:jc w:val="both"/>
        <w:rPr>
          <w:rFonts w:ascii="Verdana" w:hAnsi="Verdana" w:eastAsia="Calibri" w:cs="Arial"/>
          <w:lang w:val="es-ES" w:eastAsia="es-ES"/>
        </w:rPr>
      </w:pPr>
      <w:r w:rsidRPr="00505CD6">
        <w:rPr>
          <w:rFonts w:ascii="Verdana" w:hAnsi="Verdana" w:eastAsia="Calibri" w:cs="Arial"/>
          <w:lang w:val="es-ES" w:eastAsia="es-ES"/>
        </w:rPr>
        <w:t>Estimad</w:t>
      </w:r>
      <w:r w:rsidR="00124D38">
        <w:rPr>
          <w:rFonts w:ascii="Verdana" w:hAnsi="Verdana" w:eastAsia="Calibri" w:cs="Arial"/>
          <w:lang w:val="es-ES" w:eastAsia="es-ES"/>
        </w:rPr>
        <w:t>a</w:t>
      </w:r>
      <w:r w:rsidRPr="00505CD6">
        <w:rPr>
          <w:rFonts w:ascii="Verdana" w:hAnsi="Verdana" w:eastAsia="Calibri" w:cs="Arial"/>
          <w:lang w:val="es-ES" w:eastAsia="es-ES"/>
        </w:rPr>
        <w:t xml:space="preserve"> señor</w:t>
      </w:r>
      <w:r w:rsidR="00124D38">
        <w:rPr>
          <w:rFonts w:ascii="Verdana" w:hAnsi="Verdana" w:eastAsia="Calibri" w:cs="Arial"/>
          <w:lang w:val="es-ES" w:eastAsia="es-ES"/>
        </w:rPr>
        <w:t>a</w:t>
      </w:r>
      <w:r w:rsidRPr="00505CD6">
        <w:rPr>
          <w:rFonts w:ascii="Verdana" w:hAnsi="Verdana" w:eastAsia="Calibri" w:cs="Arial"/>
          <w:lang w:val="es-ES" w:eastAsia="es-ES"/>
        </w:rPr>
        <w:t xml:space="preserve"> </w:t>
      </w:r>
      <w:r w:rsidRPr="005F5756" w:rsidR="00926D0C">
        <w:rPr>
          <w:rFonts w:ascii="Verdana" w:hAnsi="Verdana" w:eastAsia="Calibri" w:cs="Arial"/>
          <w:lang w:val="es-ES" w:eastAsia="es-ES"/>
        </w:rPr>
        <w:t>Ramírez</w:t>
      </w:r>
      <w:r w:rsidR="00EF11B4">
        <w:rPr>
          <w:rFonts w:ascii="Verdana" w:hAnsi="Verdana" w:eastAsia="Calibri" w:cs="Arial"/>
          <w:lang w:val="es-ES" w:eastAsia="es-ES"/>
        </w:rPr>
        <w:t>;</w:t>
      </w:r>
      <w:r w:rsidRPr="00505CD6">
        <w:rPr>
          <w:rFonts w:ascii="Verdana" w:hAnsi="Verdana" w:eastAsia="Calibri" w:cs="Arial"/>
          <w:lang w:val="es-ES" w:eastAsia="es-ES"/>
        </w:rPr>
        <w:t xml:space="preserve"> </w:t>
      </w:r>
    </w:p>
    <w:p w:rsidRPr="00505CD6" w:rsidR="00505CD6" w:rsidP="00505CD6" w:rsidRDefault="00505CD6" w14:paraId="7ECFF328" w14:textId="77777777">
      <w:pPr>
        <w:tabs>
          <w:tab w:val="left" w:pos="3768"/>
        </w:tabs>
        <w:spacing w:after="0" w:line="276" w:lineRule="auto"/>
        <w:jc w:val="both"/>
        <w:rPr>
          <w:rFonts w:ascii="Verdana" w:hAnsi="Verdana" w:eastAsia="Calibri" w:cs="Arial"/>
          <w:color w:val="000000" w:themeColor="text1"/>
          <w:lang w:val="es-ES" w:eastAsia="es-ES"/>
        </w:rPr>
      </w:pPr>
      <w:r w:rsidRPr="00505CD6">
        <w:rPr>
          <w:rFonts w:ascii="Verdana" w:hAnsi="Verdana" w:eastAsia="Calibri" w:cs="Arial"/>
          <w:color w:val="000000" w:themeColor="text1"/>
          <w:lang w:val="es-ES" w:eastAsia="es-ES"/>
        </w:rPr>
        <w:tab/>
      </w:r>
    </w:p>
    <w:p w:rsidR="00EF11B4" w:rsidP="00505CD6" w:rsidRDefault="00505CD6" w14:paraId="3B5F1D50" w14:textId="66E278AD">
      <w:pPr>
        <w:spacing w:after="120" w:line="276" w:lineRule="auto"/>
        <w:jc w:val="both"/>
        <w:rPr>
          <w:rFonts w:ascii="Verdana" w:hAnsi="Verdana" w:eastAsia="Calibri" w:cs="Arial"/>
          <w:lang w:val="es-ES" w:eastAsia="es-ES"/>
        </w:rPr>
      </w:pPr>
      <w:r w:rsidRPr="00505CD6">
        <w:rPr>
          <w:rFonts w:ascii="Verdana" w:hAnsi="Verdana" w:eastAsia="Calibri" w:cs="Arial"/>
          <w:color w:val="000000" w:themeColor="text1"/>
          <w:lang w:val="es-ES" w:eastAsia="es-ES"/>
        </w:rPr>
        <w:t>En ejercicio de la competencia otorgada por los artículos 3, numeral 5º, y 11, numeral 8º, del Decreto Ley 4170 de 2011,</w:t>
      </w:r>
      <w:r w:rsidRPr="00505CD6">
        <w:rPr>
          <w:rFonts w:ascii="Verdana" w:hAnsi="Verdana" w:eastAsia="Arial MT"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hAnsi="Verdana" w:eastAsia="Calibri" w:cs="Arial"/>
          <w:color w:val="000000" w:themeColor="text1"/>
          <w:lang w:val="es-ES" w:eastAsia="es-ES"/>
        </w:rPr>
        <w:t xml:space="preserve">la Agencia Nacional de Contratación Pública – Colombia Compra Eficiente responde su solicitud del </w:t>
      </w:r>
      <w:r w:rsidR="00EF11B4">
        <w:rPr>
          <w:rFonts w:ascii="Verdana" w:hAnsi="Verdana" w:eastAsia="Calibri" w:cs="Arial"/>
          <w:color w:val="000000" w:themeColor="text1"/>
          <w:lang w:val="es-ES" w:eastAsia="es-ES"/>
        </w:rPr>
        <w:t>radicada en esta entidad el 0</w:t>
      </w:r>
      <w:r w:rsidR="005F5756">
        <w:rPr>
          <w:rFonts w:ascii="Verdana" w:hAnsi="Verdana" w:eastAsia="Calibri" w:cs="Arial"/>
          <w:color w:val="000000" w:themeColor="text1"/>
          <w:lang w:val="es-ES" w:eastAsia="es-ES"/>
        </w:rPr>
        <w:t>5</w:t>
      </w:r>
      <w:r w:rsidRPr="00505CD6">
        <w:rPr>
          <w:rFonts w:ascii="Verdana" w:hAnsi="Verdana" w:eastAsia="Calibri" w:cs="Arial"/>
          <w:lang w:val="es-ES" w:eastAsia="es-ES"/>
        </w:rPr>
        <w:t xml:space="preserve"> de </w:t>
      </w:r>
      <w:r w:rsidR="00EF11B4">
        <w:rPr>
          <w:rFonts w:ascii="Verdana" w:hAnsi="Verdana" w:eastAsia="Calibri" w:cs="Arial"/>
          <w:lang w:val="es-ES" w:eastAsia="es-ES"/>
        </w:rPr>
        <w:t>febrero</w:t>
      </w:r>
      <w:r w:rsidRPr="00505CD6">
        <w:rPr>
          <w:rFonts w:ascii="Verdana" w:hAnsi="Verdana" w:eastAsia="Calibri" w:cs="Arial"/>
          <w:lang w:val="es-ES" w:eastAsia="es-ES"/>
        </w:rPr>
        <w:t xml:space="preserve"> de 2025, en la cual </w:t>
      </w:r>
      <w:r w:rsidR="00CD707C">
        <w:rPr>
          <w:rFonts w:ascii="Verdana" w:hAnsi="Verdana" w:eastAsia="Calibri" w:cs="Arial"/>
          <w:lang w:val="es-ES" w:eastAsia="es-ES"/>
        </w:rPr>
        <w:t xml:space="preserve">manifiesta </w:t>
      </w:r>
      <w:r w:rsidRPr="00505CD6">
        <w:rPr>
          <w:rFonts w:ascii="Verdana" w:hAnsi="Verdana" w:eastAsia="Calibri" w:cs="Arial"/>
          <w:lang w:val="es-ES" w:eastAsia="es-ES"/>
        </w:rPr>
        <w:t>lo siguiente:</w:t>
      </w:r>
    </w:p>
    <w:p w:rsidR="005F5756" w:rsidP="005F5756" w:rsidRDefault="00EF11B4" w14:paraId="49A13F6F" w14:textId="60DF5C6B">
      <w:pPr>
        <w:spacing w:after="120" w:line="276" w:lineRule="auto"/>
        <w:ind w:left="284" w:right="474"/>
        <w:jc w:val="both"/>
        <w:rPr>
          <w:rFonts w:ascii="Verdana" w:hAnsi="Verdana" w:eastAsia="Calibri" w:cs="Arial"/>
          <w:i/>
          <w:iCs/>
          <w:lang w:val="es-ES" w:eastAsia="es-ES"/>
        </w:rPr>
      </w:pPr>
      <w:r w:rsidRPr="00CD707C">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El Decreto 1860 de 2021 establece que, para soportar el criterio de desempate N.4</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relacionado con personas mayores, el tiempo de vinculación debe acreditarse con</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el certificado de aportes a seguridad social del último año. Las entidades</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contratantes en los procesos de selección deben limitarse a exigir este certificado</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para validar la vinculación laboral, sin verificar si los aportes se ajustan o no a la ley,</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ya que esta es competencia de las autoridades judiciales o laborales. Por lo anterior,</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entendemos que, al permitir la ley que los empleadores no realicen aportes a</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pensión al vincular adultos mayores que no son beneficiarios de pensión de vejez,</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cualquier discrepancia sobre este tema, debe resolverse en el ámbito judicial/laboral,</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y esta diferencia conceptual, no incide ni afecta la decisión del proceso de selección,</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pues si se está acreditando el tiempo de vinculación exigido para cumplir con el</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criterio de desempate. Agradecemos se confirme si nuestro entendimiento es</w:t>
      </w:r>
      <w:r w:rsidR="005F5756">
        <w:rPr>
          <w:rFonts w:ascii="Verdana" w:hAnsi="Verdana" w:eastAsia="Calibri" w:cs="Arial"/>
          <w:i/>
          <w:iCs/>
          <w:lang w:val="es-ES" w:eastAsia="es-ES"/>
        </w:rPr>
        <w:t xml:space="preserve"> </w:t>
      </w:r>
      <w:r w:rsidRPr="005F5756" w:rsidR="005F5756">
        <w:rPr>
          <w:rFonts w:ascii="Verdana" w:hAnsi="Verdana" w:eastAsia="Calibri" w:cs="Arial"/>
          <w:i/>
          <w:iCs/>
          <w:lang w:val="es-ES" w:eastAsia="es-ES"/>
        </w:rPr>
        <w:t>correcto</w:t>
      </w:r>
      <w:r w:rsidR="005F5756">
        <w:rPr>
          <w:rFonts w:ascii="Verdana" w:hAnsi="Verdana" w:eastAsia="Calibri" w:cs="Arial"/>
          <w:i/>
          <w:iCs/>
          <w:lang w:val="es-ES" w:eastAsia="es-ES"/>
        </w:rPr>
        <w:t>”</w:t>
      </w:r>
      <w:r w:rsidRPr="005F5756" w:rsidR="005F5756">
        <w:rPr>
          <w:rFonts w:ascii="Verdana" w:hAnsi="Verdana" w:eastAsia="Calibri" w:cs="Arial"/>
          <w:i/>
          <w:iCs/>
          <w:lang w:val="es-ES" w:eastAsia="es-ES"/>
        </w:rPr>
        <w:t>.</w:t>
      </w:r>
    </w:p>
    <w:p w:rsidRPr="00505CD6" w:rsidR="00505CD6" w:rsidP="005F5756" w:rsidRDefault="00505CD6" w14:paraId="27870E03" w14:textId="5AB89E89">
      <w:pPr>
        <w:spacing w:after="120" w:line="276" w:lineRule="auto"/>
        <w:jc w:val="both"/>
        <w:rPr>
          <w:rFonts w:ascii="Verdana" w:hAnsi="Verdana" w:eastAsia="Calibri" w:cs="Arial"/>
          <w:color w:val="000000"/>
          <w:lang w:val="es-ES" w:eastAsia="es-ES"/>
        </w:rPr>
      </w:pPr>
      <w:r w:rsidRPr="00505CD6">
        <w:rPr>
          <w:rFonts w:ascii="Verdana" w:hAnsi="Verdana" w:eastAsia="Calibri" w:cs="Arial"/>
          <w:color w:val="000000"/>
          <w:lang w:val="es-ES" w:eastAsia="es-ES"/>
        </w:rPr>
        <w:t>De manera preliminar</w:t>
      </w:r>
      <w:r w:rsidR="006727FD">
        <w:rPr>
          <w:rFonts w:ascii="Verdana" w:hAnsi="Verdana" w:eastAsia="Calibri" w:cs="Arial"/>
          <w:color w:val="000000"/>
          <w:lang w:val="es-ES" w:eastAsia="es-ES"/>
        </w:rPr>
        <w:t xml:space="preserve"> </w:t>
      </w:r>
      <w:r w:rsidRPr="00505CD6">
        <w:rPr>
          <w:rFonts w:ascii="Verdana" w:hAnsi="Verdana" w:eastAsia="Calibri" w:cs="Arial"/>
          <w:color w:val="000000"/>
          <w:lang w:val="es-ES" w:eastAsia="es-ES"/>
        </w:rPr>
        <w:t xml:space="preserve">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hAnsi="Verdana" w:eastAsia="Calibri" w:cs="Arial"/>
          <w:color w:val="000000"/>
          <w:szCs w:val="24"/>
          <w:lang w:val="es-ES_tradnl" w:eastAsia="es-ES_tradnl"/>
        </w:rPr>
        <w:tab/>
      </w:r>
    </w:p>
    <w:p w:rsidRPr="00505CD6" w:rsidR="00505CD6" w:rsidP="00505CD6" w:rsidRDefault="00505CD6" w14:paraId="0331487C" w14:textId="77777777">
      <w:pPr>
        <w:spacing w:after="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problema</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jurídico</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 xml:space="preserve">de su consulta. </w:t>
      </w:r>
    </w:p>
    <w:p w:rsidRPr="00505CD6" w:rsidR="00505CD6" w:rsidP="00505CD6" w:rsidRDefault="00505CD6" w14:paraId="14B663CA" w14:textId="77777777">
      <w:pPr>
        <w:spacing w:after="0" w:line="276" w:lineRule="auto"/>
        <w:ind w:firstLine="709"/>
        <w:jc w:val="both"/>
        <w:rPr>
          <w:rFonts w:ascii="Verdana" w:hAnsi="Verdana" w:eastAsia="Calibri" w:cs="Arial"/>
          <w:color w:val="000000"/>
          <w:lang w:val="es-ES" w:eastAsia="es-ES"/>
        </w:rPr>
      </w:pPr>
    </w:p>
    <w:p w:rsidRPr="00505CD6" w:rsidR="00505CD6" w:rsidP="00AE394E" w:rsidRDefault="00505CD6" w14:paraId="341EEC57" w14:textId="77777777">
      <w:pPr>
        <w:numPr>
          <w:ilvl w:val="0"/>
          <w:numId w:val="1"/>
        </w:numPr>
        <w:tabs>
          <w:tab w:val="left" w:pos="142"/>
          <w:tab w:val="left" w:pos="284"/>
        </w:tabs>
        <w:spacing w:after="0" w:line="276" w:lineRule="auto"/>
        <w:ind w:left="567"/>
        <w:contextualSpacing/>
        <w:jc w:val="both"/>
        <w:rPr>
          <w:rFonts w:ascii="Verdana" w:hAnsi="Verdana" w:eastAsia="Century Gothic" w:cs="Century Gothic"/>
          <w:b/>
          <w:bCs/>
          <w:lang w:val="es-ES"/>
        </w:rPr>
      </w:pPr>
      <w:r w:rsidRPr="00505CD6">
        <w:rPr>
          <w:rFonts w:ascii="Verdana" w:hAnsi="Verdana" w:eastAsia="Century Gothic" w:cs="Century Gothic"/>
          <w:b/>
          <w:bCs/>
          <w:lang w:val="es-ES"/>
        </w:rPr>
        <w:t>Problemas planteados:</w:t>
      </w:r>
    </w:p>
    <w:p w:rsidRPr="00505CD6" w:rsidR="00505CD6" w:rsidP="00505CD6" w:rsidRDefault="00505CD6" w14:paraId="215D99AD" w14:textId="77777777">
      <w:pPr>
        <w:tabs>
          <w:tab w:val="left" w:pos="426"/>
        </w:tabs>
        <w:spacing w:after="0" w:line="276" w:lineRule="auto"/>
        <w:jc w:val="both"/>
        <w:rPr>
          <w:rFonts w:ascii="Verdana" w:hAnsi="Verdana" w:eastAsia="Century Gothic" w:cs="Century Gothic"/>
          <w:lang w:val="es-ES"/>
        </w:rPr>
      </w:pPr>
    </w:p>
    <w:p w:rsidRPr="00505CD6" w:rsidR="00505CD6" w:rsidP="00505CD6" w:rsidRDefault="00505CD6" w14:paraId="1EDD540C" w14:textId="17221FDC">
      <w:pPr>
        <w:spacing w:after="0" w:line="276" w:lineRule="auto"/>
        <w:jc w:val="both"/>
        <w:rPr>
          <w:rFonts w:ascii="Verdana" w:hAnsi="Verdana" w:eastAsia="Century Gothic" w:cs="Arial"/>
        </w:rPr>
      </w:pPr>
      <w:r w:rsidRPr="00505CD6">
        <w:rPr>
          <w:rFonts w:ascii="Verdana" w:hAnsi="Verdana" w:eastAsia="Century Gothic" w:cs="Century Gothic"/>
        </w:rPr>
        <w:t xml:space="preserve">De acuerdo con el contenido de su solicitud, esta Agencia resolverá el siguiente problema jurídico: </w:t>
      </w:r>
      <w:r w:rsidRPr="001D54FA" w:rsidR="000A2FE6">
        <w:rPr>
          <w:rFonts w:ascii="Verdana" w:hAnsi="Verdana" w:eastAsia="Century Gothic" w:cs="Arial"/>
          <w:i/>
          <w:iCs/>
        </w:rPr>
        <w:t xml:space="preserve">¿Qué soportes deberán presentarse para acreditar la vinculación de personas mayores como factor de desempate entre dos o más ofertas en el marco de </w:t>
      </w:r>
      <w:r w:rsidR="000A2FE6">
        <w:rPr>
          <w:rFonts w:ascii="Verdana" w:hAnsi="Verdana" w:eastAsia="Century Gothic" w:cs="Arial"/>
          <w:i/>
          <w:iCs/>
        </w:rPr>
        <w:t xml:space="preserve">lo previsto en el numeral 4 del artículo </w:t>
      </w:r>
      <w:r w:rsidRPr="002D61EC" w:rsidR="000A2FE6">
        <w:rPr>
          <w:rFonts w:ascii="Verdana" w:hAnsi="Verdana" w:eastAsia="Century Gothic" w:cs="Arial"/>
          <w:i/>
          <w:iCs/>
        </w:rPr>
        <w:t>2</w:t>
      </w:r>
      <w:r w:rsidR="000A2FE6">
        <w:rPr>
          <w:rFonts w:ascii="Verdana" w:hAnsi="Verdana" w:eastAsia="Century Gothic" w:cs="Arial"/>
          <w:i/>
          <w:iCs/>
        </w:rPr>
        <w:t>.</w:t>
      </w:r>
      <w:r w:rsidRPr="002D61EC" w:rsidR="002D61EC">
        <w:rPr>
          <w:rFonts w:ascii="Verdana" w:hAnsi="Verdana" w:eastAsia="Century Gothic" w:cs="Arial"/>
          <w:i/>
          <w:iCs/>
        </w:rPr>
        <w:t>2.1.2.4.2.17</w:t>
      </w:r>
      <w:r w:rsidR="000A2FE6">
        <w:rPr>
          <w:rFonts w:ascii="Verdana" w:hAnsi="Verdana" w:eastAsia="Century Gothic" w:cs="Arial"/>
          <w:i/>
          <w:iCs/>
        </w:rPr>
        <w:t xml:space="preserve"> </w:t>
      </w:r>
      <w:r w:rsidRPr="001D54FA" w:rsidR="001D54FA">
        <w:rPr>
          <w:rFonts w:ascii="Verdana" w:hAnsi="Verdana" w:eastAsia="Century Gothic" w:cs="Arial"/>
          <w:i/>
          <w:iCs/>
        </w:rPr>
        <w:t>?</w:t>
      </w:r>
    </w:p>
    <w:p w:rsidRPr="00505CD6" w:rsidR="00505CD6" w:rsidP="00505CD6" w:rsidRDefault="00505CD6" w14:paraId="2BEE0DCD" w14:textId="77777777">
      <w:pPr>
        <w:spacing w:after="0" w:line="276" w:lineRule="auto"/>
        <w:jc w:val="both"/>
        <w:rPr>
          <w:rFonts w:ascii="Verdana" w:hAnsi="Verdana" w:eastAsia="Calibri" w:cs="Arial"/>
          <w:color w:val="7030A0"/>
        </w:rPr>
      </w:pPr>
    </w:p>
    <w:p w:rsidRPr="00505CD6" w:rsidR="00505CD6" w:rsidP="00505CD6" w:rsidRDefault="00505CD6" w14:paraId="66944936" w14:textId="01B9C214">
      <w:pPr>
        <w:numPr>
          <w:ilvl w:val="0"/>
          <w:numId w:val="1"/>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Respuesta:</w:t>
      </w:r>
    </w:p>
    <w:p w:rsidRPr="00505CD6" w:rsidR="00505CD6" w:rsidP="00505CD6" w:rsidRDefault="00505CD6" w14:paraId="61C9915B"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05CD6" w:rsidR="00505CD6" w:rsidTr="006C5D8A" w14:paraId="17CA5EBC" w14:textId="77777777">
        <w:trPr>
          <w:jc w:val="center"/>
        </w:trPr>
        <w:tc>
          <w:tcPr>
            <w:tcW w:w="8828" w:type="dxa"/>
            <w:shd w:val="clear" w:color="auto" w:fill="auto"/>
          </w:tcPr>
          <w:p w:rsidRPr="002D61EC" w:rsidR="000E754E" w:rsidP="000E754E" w:rsidRDefault="009B6316" w14:paraId="53BE33E8" w14:textId="77A6E4FA">
            <w:pPr>
              <w:spacing w:after="120" w:line="276" w:lineRule="auto"/>
              <w:ind w:firstLine="709"/>
              <w:jc w:val="both"/>
              <w:rPr>
                <w:rFonts w:ascii="Verdana" w:hAnsi="Verdana" w:eastAsia="Calibri" w:cs="Arial"/>
                <w:lang w:val="es-ES"/>
              </w:rPr>
            </w:pPr>
            <w:bookmarkStart w:name="_Hlk171694685" w:id="1"/>
            <w:r>
              <w:rPr>
                <w:rFonts w:ascii="Verdana" w:hAnsi="Verdana" w:eastAsia="Calibri" w:cs="Arial"/>
                <w:bCs/>
                <w:lang w:val="es-ES_tradnl"/>
              </w:rPr>
              <w:t>El</w:t>
            </w:r>
            <w:r w:rsidRPr="002D61EC">
              <w:rPr>
                <w:rFonts w:ascii="Verdana" w:hAnsi="Verdana" w:eastAsia="Calibri" w:cs="Arial"/>
                <w:bCs/>
                <w:lang w:val="es-ES_tradnl"/>
              </w:rPr>
              <w:t xml:space="preserve"> numeral 4 del artículo </w:t>
            </w:r>
            <w:r w:rsidRPr="002D61EC">
              <w:rPr>
                <w:rFonts w:ascii="Verdana" w:hAnsi="Verdana" w:eastAsia="Calibri" w:cs="Arial"/>
                <w:color w:val="000000" w:themeColor="text1"/>
                <w:lang w:val="es-ES_tradnl"/>
              </w:rPr>
              <w:t xml:space="preserve">2.2.1.2.4.2.17 del Decreto 1082 de 2015 </w:t>
            </w:r>
            <w:r>
              <w:rPr>
                <w:rFonts w:ascii="Verdana" w:hAnsi="Verdana" w:eastAsia="Calibri" w:cs="Arial"/>
                <w:color w:val="000000" w:themeColor="text1"/>
                <w:lang w:val="es-ES_tradnl"/>
              </w:rPr>
              <w:t xml:space="preserve">establece que </w:t>
            </w:r>
            <w:r w:rsidRPr="002D61EC" w:rsidR="000E754E">
              <w:rPr>
                <w:rFonts w:ascii="Verdana" w:hAnsi="Verdana" w:eastAsia="Calibri" w:cs="Arial"/>
                <w:lang w:val="es-ES"/>
              </w:rPr>
              <w:t xml:space="preserve">se </w:t>
            </w:r>
            <w:r>
              <w:rPr>
                <w:rFonts w:ascii="Verdana" w:hAnsi="Verdana" w:eastAsia="Calibri" w:cs="Arial"/>
                <w:lang w:val="es-ES"/>
              </w:rPr>
              <w:t xml:space="preserve">deberá </w:t>
            </w:r>
            <w:r w:rsidRPr="002D61EC" w:rsidR="000E754E">
              <w:rPr>
                <w:rFonts w:ascii="Verdana" w:hAnsi="Verdana" w:eastAsia="Calibri" w:cs="Arial"/>
                <w:lang w:val="es-ES"/>
              </w:rPr>
              <w:t>preferir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rsidRPr="002D61EC" w:rsidR="000E754E" w:rsidP="000E754E" w:rsidRDefault="000E754E" w14:paraId="42DA3202" w14:textId="77777777">
            <w:pPr>
              <w:tabs>
                <w:tab w:val="left" w:pos="0"/>
              </w:tabs>
              <w:spacing w:after="120" w:line="276" w:lineRule="auto"/>
              <w:ind w:firstLine="709"/>
              <w:jc w:val="both"/>
              <w:rPr>
                <w:rFonts w:ascii="Verdana" w:hAnsi="Verdana" w:eastAsia="Calibri" w:cs="Arial"/>
                <w:bCs/>
                <w:lang w:val="es-ES_tradnl"/>
              </w:rPr>
            </w:pPr>
            <w:r w:rsidRPr="002D61EC">
              <w:rPr>
                <w:rFonts w:ascii="Verdana" w:hAnsi="Verdana" w:eastAsia="Calibri" w:cs="Arial"/>
                <w:bCs/>
                <w:lang w:val="es-ES_tradnl"/>
              </w:rPr>
              <w:t xml:space="preserve">Según la norma citada, se estipula que la vinculación de estas personas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rsidRPr="00505CD6" w:rsidR="00505CD6" w:rsidP="00757DC0" w:rsidRDefault="00757DC0" w14:paraId="51251CB0" w14:textId="4A75318A">
            <w:pPr>
              <w:spacing w:before="120" w:after="120" w:line="276" w:lineRule="auto"/>
              <w:jc w:val="both"/>
              <w:rPr>
                <w:rFonts w:ascii="Verdana" w:hAnsi="Verdana" w:eastAsia="Calibri" w:cs="Arial"/>
                <w:color w:val="000000"/>
                <w:lang w:val="es-MX"/>
              </w:rPr>
            </w:pPr>
            <w:r>
              <w:rPr>
                <w:rFonts w:ascii="Verdana" w:hAnsi="Verdana" w:eastAsia="Calibri" w:cs="Arial"/>
              </w:rPr>
              <w:t xml:space="preserve">          </w:t>
            </w:r>
            <w:r w:rsidRPr="00217A00" w:rsidR="00217A00">
              <w:rPr>
                <w:rFonts w:ascii="Verdana" w:hAnsi="Verdana" w:eastAsia="Calibri" w:cs="Arial"/>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w:t>
            </w:r>
            <w:r>
              <w:rPr>
                <w:rFonts w:ascii="Verdana" w:hAnsi="Verdana" w:eastAsia="Calibri" w:cs="Arial"/>
              </w:rPr>
              <w:t xml:space="preserve"> y equipos jurídicos</w:t>
            </w:r>
            <w:r w:rsidRPr="00217A00" w:rsidR="00217A00">
              <w:rPr>
                <w:rFonts w:ascii="Verdana" w:hAnsi="Verdana" w:eastAsia="Calibri" w:cs="Arial"/>
              </w:rPr>
              <w:t xml:space="preserve"> la solución de casos particulares corresponde a la entidad que debe adoptar la decisión correspondiente para </w:t>
            </w:r>
            <w:r w:rsidRPr="00BD2A57">
              <w:rPr>
                <w:rFonts w:ascii="Verdana" w:hAnsi="Verdana" w:eastAsia="Calibri" w:cs="Arial"/>
              </w:rPr>
              <w:t>determinar</w:t>
            </w:r>
            <w:r w:rsidR="00BD2A57">
              <w:rPr>
                <w:rFonts w:ascii="Verdana" w:hAnsi="Verdana" w:eastAsia="Calibri" w:cs="Arial"/>
              </w:rPr>
              <w:t xml:space="preserve"> los</w:t>
            </w:r>
            <w:r w:rsidRPr="00BD2A57" w:rsidR="00BD2A57">
              <w:rPr>
                <w:rFonts w:ascii="Verdana" w:hAnsi="Verdana" w:eastAsia="Calibri" w:cs="Arial"/>
              </w:rPr>
              <w:t xml:space="preserve"> soportes deberán presentarse para acreditar la vinculación de personas mayores como factor de desempate</w:t>
            </w:r>
            <w:r w:rsidR="00BD2A57">
              <w:rPr>
                <w:rFonts w:ascii="Verdana" w:hAnsi="Verdana" w:eastAsia="Calibri" w:cs="Arial"/>
              </w:rPr>
              <w:t>.</w:t>
            </w:r>
          </w:p>
        </w:tc>
      </w:tr>
      <w:tr w:rsidRPr="00505CD6" w:rsidR="00757DC0" w:rsidTr="006C5D8A" w14:paraId="16743E8A" w14:textId="77777777">
        <w:trPr>
          <w:jc w:val="center"/>
        </w:trPr>
        <w:tc>
          <w:tcPr>
            <w:tcW w:w="8828" w:type="dxa"/>
            <w:shd w:val="clear" w:color="auto" w:fill="auto"/>
          </w:tcPr>
          <w:p w:rsidR="00757DC0" w:rsidP="00034BF0" w:rsidRDefault="00757DC0" w14:paraId="1C1616C5" w14:textId="77777777">
            <w:pPr>
              <w:spacing w:after="120" w:line="276" w:lineRule="auto"/>
              <w:ind w:firstLine="709"/>
              <w:jc w:val="both"/>
              <w:rPr>
                <w:rFonts w:ascii="Verdana" w:hAnsi="Verdana" w:eastAsia="Calibri" w:cs="Arial"/>
                <w:color w:val="000000"/>
                <w:lang w:val="es-ES"/>
              </w:rPr>
            </w:pPr>
          </w:p>
        </w:tc>
      </w:tr>
    </w:tbl>
    <w:p w:rsidRPr="00505CD6" w:rsidR="00505CD6" w:rsidP="00505CD6" w:rsidRDefault="00505CD6" w14:paraId="49A1211F"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505CD6" w:rsidR="00505CD6" w:rsidP="00505CD6" w:rsidRDefault="00505CD6" w14:paraId="45807F66" w14:textId="04A71F4D">
      <w:pPr>
        <w:numPr>
          <w:ilvl w:val="0"/>
          <w:numId w:val="1"/>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 xml:space="preserve">Razones de </w:t>
      </w:r>
      <w:r w:rsidRPr="00505CD6" w:rsidR="00757DC0">
        <w:rPr>
          <w:rFonts w:ascii="Verdana" w:hAnsi="Verdana" w:eastAsia="Century Gothic" w:cs="Century Gothic"/>
          <w:b/>
          <w:bCs/>
          <w:lang w:val="es-ES"/>
        </w:rPr>
        <w:t>la respuesta</w:t>
      </w:r>
      <w:r w:rsidRPr="00505CD6">
        <w:rPr>
          <w:rFonts w:ascii="Verdana" w:hAnsi="Verdana" w:eastAsia="Century Gothic" w:cs="Century Gothic"/>
          <w:b/>
          <w:bCs/>
          <w:lang w:val="es-ES"/>
        </w:rPr>
        <w:t>:</w:t>
      </w:r>
    </w:p>
    <w:p w:rsidRPr="00505CD6" w:rsidR="00505CD6" w:rsidP="00505CD6" w:rsidRDefault="00505CD6" w14:paraId="6DA43D6D" w14:textId="77777777">
      <w:pPr>
        <w:spacing w:after="0" w:line="276" w:lineRule="auto"/>
        <w:jc w:val="both"/>
        <w:rPr>
          <w:rFonts w:ascii="Verdana" w:hAnsi="Verdana" w:eastAsia="Calibri" w:cs="Arial"/>
          <w:color w:val="7030A0"/>
          <w:lang w:val="es-ES"/>
        </w:rPr>
      </w:pPr>
    </w:p>
    <w:p w:rsidRPr="002D61EC" w:rsidR="002D61EC" w:rsidP="002D61EC" w:rsidRDefault="000A2FE6" w14:paraId="0F86E4A7" w14:textId="0D1905D2">
      <w:pPr>
        <w:spacing w:after="120" w:line="276" w:lineRule="auto"/>
        <w:jc w:val="both"/>
        <w:rPr>
          <w:rFonts w:ascii="Verdana" w:hAnsi="Verdana" w:eastAsia="Calibri" w:cs="Arial"/>
          <w:lang w:val="es-ES_tradnl"/>
        </w:rPr>
      </w:pPr>
      <w:r>
        <w:rPr>
          <w:rFonts w:ascii="Verdana" w:hAnsi="Verdana" w:eastAsia="Calibri" w:cs="Arial"/>
          <w:lang w:val="es-ES_tradnl"/>
        </w:rPr>
        <w:t>L</w:t>
      </w:r>
      <w:r w:rsidRPr="002D61EC" w:rsidR="002D61EC">
        <w:rPr>
          <w:rFonts w:ascii="Verdana" w:hAnsi="Verdana" w:eastAsia="Calibri" w:cs="Arial"/>
          <w:lang w:val="es-ES_tradnl"/>
        </w:rPr>
        <w:t>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2D61EC" w:rsidR="002D61EC" w:rsidP="002D61EC" w:rsidRDefault="002D61EC" w14:paraId="44FEA526" w14:textId="77777777">
      <w:pPr>
        <w:spacing w:after="120" w:line="276" w:lineRule="auto"/>
        <w:ind w:firstLine="709"/>
        <w:jc w:val="both"/>
        <w:rPr>
          <w:rFonts w:ascii="Verdana" w:hAnsi="Verdana" w:eastAsia="Calibri" w:cs="Arial"/>
          <w:lang w:val="es-ES"/>
        </w:rPr>
      </w:pPr>
      <w:r w:rsidRPr="002D61EC">
        <w:rPr>
          <w:rFonts w:ascii="Verdana" w:hAnsi="Verdana" w:eastAsia="Calibri"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rsidRPr="002D61EC" w:rsidR="002D61EC" w:rsidP="002D61EC" w:rsidRDefault="002D61EC" w14:paraId="78126B68" w14:textId="77777777">
      <w:pPr>
        <w:spacing w:after="120" w:line="276" w:lineRule="auto"/>
        <w:ind w:firstLine="709"/>
        <w:jc w:val="both"/>
        <w:rPr>
          <w:rFonts w:ascii="Verdana" w:hAnsi="Verdana" w:eastAsia="Calibri" w:cs="Arial"/>
          <w:lang w:val="es-ES_tradnl"/>
        </w:rPr>
      </w:pPr>
      <w:bookmarkStart w:name="_Hlk81487365" w:id="2"/>
      <w:r w:rsidRPr="002D61EC">
        <w:rPr>
          <w:rFonts w:ascii="Verdana" w:hAnsi="Verdana" w:eastAsia="Calibri" w:cs="Arial"/>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2D61EC">
        <w:rPr>
          <w:rStyle w:val="Refdenotaalpie"/>
          <w:rFonts w:ascii="Verdana" w:hAnsi="Verdana" w:eastAsia="Calibri" w:cs="Arial"/>
          <w:lang w:val="es-ES_tradnl"/>
        </w:rPr>
        <w:footnoteReference w:id="2"/>
      </w:r>
      <w:r w:rsidRPr="002D61EC">
        <w:rPr>
          <w:rFonts w:ascii="Verdana" w:hAnsi="Verdana" w:eastAsia="Calibri" w:cs="Arial"/>
          <w:lang w:val="es-ES_tradnl"/>
        </w:rPr>
        <w:t xml:space="preserve">. </w:t>
      </w:r>
    </w:p>
    <w:p w:rsidRPr="002D61EC" w:rsidR="002D61EC" w:rsidP="002D61EC" w:rsidRDefault="002D61EC" w14:paraId="75AF755B" w14:textId="77777777">
      <w:pPr>
        <w:spacing w:after="0" w:line="276" w:lineRule="auto"/>
        <w:ind w:firstLine="709"/>
        <w:jc w:val="both"/>
        <w:rPr>
          <w:rFonts w:ascii="Verdana" w:hAnsi="Verdana" w:eastAsia="Calibri" w:cs="Arial"/>
          <w:lang w:val="es-ES_tradnl"/>
        </w:rPr>
      </w:pPr>
      <w:r w:rsidRPr="002D61EC">
        <w:rPr>
          <w:rFonts w:ascii="Verdana" w:hAnsi="Verdana" w:eastAsia="Calibri" w:cs="Arial"/>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2D61EC">
        <w:rPr>
          <w:rStyle w:val="Refdenotaalpie"/>
          <w:rFonts w:ascii="Verdana" w:hAnsi="Verdana" w:eastAsia="Calibri" w:cs="Arial"/>
          <w:lang w:val="es-ES_tradnl"/>
        </w:rPr>
        <w:footnoteReference w:id="3"/>
      </w:r>
      <w:r w:rsidRPr="002D61EC">
        <w:rPr>
          <w:rFonts w:ascii="Verdana" w:hAnsi="Verdana" w:eastAsia="Calibri" w:cs="Arial"/>
          <w:lang w:val="es-ES_tradnl"/>
        </w:rPr>
        <w:t xml:space="preserve">. </w:t>
      </w:r>
      <w:bookmarkEnd w:id="2"/>
      <w:r w:rsidRPr="002D61EC">
        <w:rPr>
          <w:rFonts w:ascii="Verdana" w:hAnsi="Verdana" w:eastAsia="Calibri" w:cs="Arial"/>
          <w:lang w:val="es-ES_tradnl"/>
        </w:rPr>
        <w:t>Ahora bien, en cumplimiento de los principios de reciprocidad y de </w:t>
      </w:r>
      <w:r w:rsidRPr="002D61EC">
        <w:rPr>
          <w:rFonts w:ascii="Verdana" w:hAnsi="Verdana" w:eastAsia="Calibri" w:cs="Arial"/>
          <w:i/>
          <w:iCs/>
          <w:lang w:val="es-ES_tradnl"/>
        </w:rPr>
        <w:t>pacta sunt servanda</w:t>
      </w:r>
      <w:r w:rsidRPr="002D61EC">
        <w:rPr>
          <w:rFonts w:ascii="Verdana" w:hAnsi="Verdana" w:eastAsia="Calibri" w:cs="Arial"/>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2D61EC">
        <w:rPr>
          <w:rFonts w:ascii="Verdana" w:hAnsi="Verdana" w:cs="Arial"/>
          <w:lang w:val="es-ES" w:eastAsia="es-CO"/>
        </w:rPr>
        <w:t>”.</w:t>
      </w:r>
    </w:p>
    <w:p w:rsidRPr="002D61EC" w:rsidR="002D61EC" w:rsidP="002D61EC" w:rsidRDefault="002D61EC" w14:paraId="67361892" w14:textId="77777777">
      <w:pPr>
        <w:spacing w:after="0" w:line="276" w:lineRule="auto"/>
        <w:jc w:val="both"/>
        <w:rPr>
          <w:rFonts w:ascii="Verdana" w:hAnsi="Verdana" w:eastAsia="Calibri" w:cs="Arial"/>
          <w:lang w:val="es-ES_tradnl"/>
        </w:rPr>
      </w:pPr>
    </w:p>
    <w:p w:rsidRPr="002D61EC" w:rsidR="002D61EC" w:rsidP="000E754E" w:rsidRDefault="000A2FE6" w14:paraId="24F2ED46" w14:textId="0DF5B385">
      <w:pPr>
        <w:spacing w:after="120" w:line="276" w:lineRule="auto"/>
        <w:ind w:firstLine="708"/>
        <w:jc w:val="both"/>
        <w:rPr>
          <w:rFonts w:ascii="Verdana" w:hAnsi="Verdana" w:eastAsia="Calibri" w:cs="Arial"/>
          <w:lang w:val="es-ES"/>
        </w:rPr>
      </w:pPr>
      <w:r>
        <w:rPr>
          <w:rFonts w:ascii="Verdana" w:hAnsi="Verdana" w:eastAsia="Calibri" w:cs="Arial"/>
          <w:lang w:val="es-ES_tradnl"/>
        </w:rPr>
        <w:t>Ahora bien, e</w:t>
      </w:r>
      <w:r w:rsidRPr="002D61EC" w:rsidR="002D61EC">
        <w:rPr>
          <w:rFonts w:ascii="Verdana" w:hAnsi="Verdana" w:eastAsia="Calibri" w:cs="Arial"/>
          <w:lang w:val="es-ES_tradnl"/>
        </w:rPr>
        <w:t xml:space="preserve">l 31 de diciembre de 2020 se promulgó la Ley 2069, “Por medio de la cual se impulsa el emprendimiento en Colombia”. </w:t>
      </w:r>
      <w:r w:rsidR="00DE694E">
        <w:rPr>
          <w:rFonts w:ascii="Verdana" w:hAnsi="Verdana" w:eastAsia="Calibri" w:cs="Arial"/>
          <w:lang w:val="es-ES"/>
        </w:rPr>
        <w:t>La cual</w:t>
      </w:r>
      <w:r w:rsidRPr="002D61EC" w:rsidR="002D61EC">
        <w:rPr>
          <w:rFonts w:ascii="Verdana" w:hAnsi="Verdana" w:eastAsia="Calibri" w:cs="Arial"/>
          <w:lang w:val="es-ES"/>
        </w:rPr>
        <w:t xml:space="preserve"> contiene normas que modifican algunos aspectos de la contratación estatal para promover el emprendimiento</w:t>
      </w:r>
      <w:r w:rsidR="00DE694E">
        <w:rPr>
          <w:rFonts w:ascii="Verdana" w:hAnsi="Verdana" w:eastAsia="Calibri" w:cs="Arial"/>
          <w:lang w:val="es-ES"/>
        </w:rPr>
        <w:t xml:space="preserve"> </w:t>
      </w:r>
      <w:r w:rsidRPr="002D61EC" w:rsidR="002D61EC">
        <w:rPr>
          <w:rFonts w:ascii="Verdana" w:hAnsi="Verdana" w:eastAsia="Calibri" w:cs="Arial"/>
          <w:lang w:val="es-ES"/>
        </w:rPr>
        <w:t>modifica</w:t>
      </w:r>
      <w:r w:rsidR="00DE694E">
        <w:rPr>
          <w:rFonts w:ascii="Verdana" w:hAnsi="Verdana" w:eastAsia="Calibri" w:cs="Arial"/>
          <w:lang w:val="es-ES"/>
        </w:rPr>
        <w:t>ndo en su artículo 35</w:t>
      </w:r>
      <w:r w:rsidRPr="002D61EC" w:rsidR="002D61EC">
        <w:rPr>
          <w:rFonts w:ascii="Verdana" w:hAnsi="Verdana" w:eastAsia="Calibri" w:cs="Arial"/>
          <w:lang w:val="es-ES"/>
        </w:rPr>
        <w:t xml:space="preserve"> la regulación de los factores de desempate en la contratación estatal. </w:t>
      </w:r>
    </w:p>
    <w:p w:rsidRPr="002D61EC" w:rsidR="002D61EC" w:rsidP="002D61EC" w:rsidRDefault="002D61EC" w14:paraId="1685634F" w14:textId="70B50A90">
      <w:pPr>
        <w:spacing w:after="120" w:line="276" w:lineRule="auto"/>
        <w:jc w:val="both"/>
        <w:rPr>
          <w:rFonts w:ascii="Verdana" w:hAnsi="Verdana" w:eastAsia="Calibri" w:cs="Arial"/>
          <w:lang w:val="es-ES_tradnl"/>
        </w:rPr>
      </w:pPr>
      <w:r w:rsidRPr="002D61EC">
        <w:rPr>
          <w:rFonts w:ascii="Verdana" w:hAnsi="Verdana" w:eastAsia="Calibri" w:cs="Arial"/>
          <w:b/>
          <w:bCs/>
          <w:lang w:val="es-ES_tradnl"/>
        </w:rPr>
        <w:tab/>
      </w:r>
      <w:r w:rsidR="00DE694E">
        <w:rPr>
          <w:rFonts w:ascii="Verdana" w:hAnsi="Verdana" w:eastAsia="Calibri" w:cs="Arial"/>
          <w:lang w:val="es-ES_tradnl"/>
        </w:rPr>
        <w:t xml:space="preserve">Posteriormente, </w:t>
      </w:r>
      <w:r w:rsidRPr="002D61EC">
        <w:rPr>
          <w:rFonts w:ascii="Verdana" w:hAnsi="Verdana" w:eastAsia="Calibri" w:cs="Arial"/>
          <w:lang w:val="es-ES_tradnl"/>
        </w:rPr>
        <w:t xml:space="preserve"> el </w:t>
      </w:r>
      <w:r w:rsidR="00DE694E">
        <w:rPr>
          <w:rFonts w:ascii="Verdana" w:hAnsi="Verdana" w:eastAsia="Calibri" w:cs="Arial"/>
          <w:lang w:val="es-ES_tradnl"/>
        </w:rPr>
        <w:t>G</w:t>
      </w:r>
      <w:r w:rsidRPr="002D61EC">
        <w:rPr>
          <w:rFonts w:ascii="Verdana" w:hAnsi="Verdana" w:eastAsia="Calibri" w:cs="Arial"/>
          <w:lang w:val="es-ES_tradnl"/>
        </w:rPr>
        <w:t>obierno nacional expidió el Decreto 1860,</w:t>
      </w:r>
      <w:r w:rsidRPr="002D61EC">
        <w:rPr>
          <w:rFonts w:ascii="Verdana" w:hAnsi="Verdana"/>
        </w:rPr>
        <w:t xml:space="preserve"> </w:t>
      </w:r>
      <w:r w:rsidRPr="002D61EC">
        <w:rPr>
          <w:rFonts w:ascii="Verdana" w:hAnsi="Verdana" w:eastAsia="Calibri"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2D61EC">
        <w:rPr>
          <w:rStyle w:val="Refdenotaalpie"/>
          <w:rFonts w:ascii="Verdana" w:hAnsi="Verdana" w:eastAsia="Calibri" w:cs="Arial"/>
          <w:lang w:val="es-ES_tradnl"/>
        </w:rPr>
        <w:footnoteReference w:id="4"/>
      </w:r>
      <w:r w:rsidRPr="002D61EC">
        <w:rPr>
          <w:rFonts w:ascii="Verdana" w:hAnsi="Verdana" w:eastAsia="Calibri" w:cs="Arial"/>
          <w:lang w:val="es-ES_tradnl"/>
        </w:rPr>
        <w:t xml:space="preserve">.  </w:t>
      </w:r>
    </w:p>
    <w:p w:rsidRPr="002D61EC" w:rsidR="002D61EC" w:rsidP="002D61EC" w:rsidRDefault="002D61EC" w14:paraId="163F8F1D" w14:textId="77777777">
      <w:pPr>
        <w:spacing w:after="120" w:line="276" w:lineRule="auto"/>
        <w:jc w:val="both"/>
        <w:rPr>
          <w:rFonts w:ascii="Verdana" w:hAnsi="Verdana" w:cs="Arial"/>
        </w:rPr>
      </w:pPr>
      <w:r w:rsidRPr="002D61EC">
        <w:rPr>
          <w:rFonts w:ascii="Verdana" w:hAnsi="Verdana" w:eastAsia="Calibri" w:cs="Arial"/>
          <w:lang w:val="es-ES_tradnl"/>
        </w:rPr>
        <w:tab/>
      </w:r>
      <w:r w:rsidRPr="002D61EC">
        <w:rPr>
          <w:rFonts w:ascii="Verdana" w:hAnsi="Verdana" w:eastAsia="Calibri" w:cs="Arial"/>
          <w:lang w:val="es-ES_tradnl"/>
        </w:rPr>
        <w:t>En lo relativo al artículo 35 de la Ley 2069 de 2020, el artículo 3 del Decreto 1860 de 2021 adiciona el artículo 2.2.1.2.4.2.17. a la Subsección 2 de la Sección 4 del Capítulo 2 del Título 1 de la Parte 2 del Libro 2 del Decreto 1082 de 2015</w:t>
      </w:r>
      <w:r w:rsidRPr="002D61EC">
        <w:rPr>
          <w:rFonts w:ascii="Verdana" w:hAnsi="Verdana" w:cs="Arial"/>
          <w:lang w:eastAsia="es-CO"/>
        </w:rPr>
        <w:t xml:space="preserve">, el cual reglamenta los factores de desempate del artículo 35 </w:t>
      </w:r>
      <w:r w:rsidRPr="002D61EC">
        <w:rPr>
          <w:rFonts w:ascii="Verdana" w:hAnsi="Verdana" w:cs="Arial"/>
          <w:i/>
          <w:iCs/>
          <w:lang w:eastAsia="es-CO"/>
        </w:rPr>
        <w:t>ibídem</w:t>
      </w:r>
      <w:r w:rsidRPr="002D61EC">
        <w:rPr>
          <w:rFonts w:ascii="Verdana" w:hAnsi="Verdana" w:cs="Arial"/>
          <w:lang w:eastAsia="es-CO"/>
        </w:rPr>
        <w:t xml:space="preserve">, estableciendo los medios de acreditación de cada uno de los supuestos de hecho en función de los cuales operan. </w:t>
      </w:r>
      <w:r w:rsidRPr="002D61EC">
        <w:rPr>
          <w:rFonts w:ascii="Verdana" w:hAnsi="Verdana" w:cs="Arial"/>
        </w:rPr>
        <w:t xml:space="preserve">De otra parte, el artículo 7 del Decreto recientemente expedido modificó el contenido del artículo 2.2.1.2.4.2.8 </w:t>
      </w:r>
      <w:r w:rsidRPr="002D61EC">
        <w:rPr>
          <w:rFonts w:ascii="Verdana" w:hAnsi="Verdana"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2D61EC">
        <w:rPr>
          <w:rFonts w:ascii="Verdana" w:hAnsi="Verdana"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rsidRPr="002D61EC" w:rsidR="002D61EC" w:rsidP="002D61EC" w:rsidRDefault="002D61EC" w14:paraId="10CB21DF" w14:textId="77777777">
      <w:pPr>
        <w:spacing w:after="0" w:line="276" w:lineRule="auto"/>
        <w:jc w:val="both"/>
        <w:rPr>
          <w:rFonts w:ascii="Verdana" w:hAnsi="Verdana" w:cs="Arial"/>
          <w:lang w:eastAsia="es-CO"/>
        </w:rPr>
      </w:pPr>
    </w:p>
    <w:p w:rsidRPr="000E754E" w:rsidR="002D61EC" w:rsidP="000E754E" w:rsidRDefault="000E754E" w14:paraId="566FD25E" w14:textId="40C46338">
      <w:pPr>
        <w:tabs>
          <w:tab w:val="left" w:pos="6551"/>
        </w:tabs>
        <w:spacing w:after="120" w:line="276" w:lineRule="auto"/>
        <w:jc w:val="both"/>
        <w:rPr>
          <w:rFonts w:ascii="Verdana" w:hAnsi="Verdana" w:eastAsia="Calibri" w:cs="Arial"/>
          <w:color w:val="000000" w:themeColor="text1"/>
          <w:lang w:val="es-ES_tradnl"/>
        </w:rPr>
      </w:pPr>
      <w:r>
        <w:rPr>
          <w:rFonts w:ascii="Verdana" w:hAnsi="Verdana" w:eastAsia="Calibri" w:cs="Arial"/>
          <w:bCs/>
          <w:lang w:val="es-ES_tradnl"/>
        </w:rPr>
        <w:t xml:space="preserve">         Ahora bien, c</w:t>
      </w:r>
      <w:r w:rsidRPr="002D61EC" w:rsidR="002D61EC">
        <w:rPr>
          <w:rFonts w:ascii="Verdana" w:hAnsi="Verdana" w:eastAsia="Calibri" w:cs="Arial"/>
          <w:bCs/>
          <w:lang w:val="es-ES_tradnl"/>
        </w:rPr>
        <w:t xml:space="preserve">on respecto al numeral 4 del artículo </w:t>
      </w:r>
      <w:r w:rsidRPr="002D61EC" w:rsidR="002D61EC">
        <w:rPr>
          <w:rFonts w:ascii="Verdana" w:hAnsi="Verdana" w:eastAsia="Calibri" w:cs="Arial"/>
          <w:color w:val="000000" w:themeColor="text1"/>
          <w:lang w:val="es-ES_tradnl"/>
        </w:rPr>
        <w:t>2.2.1.2.4.2.17 del Decreto 1082 de 2015 adicionado por el</w:t>
      </w:r>
      <w:r w:rsidRPr="002D61EC" w:rsidR="002D61EC">
        <w:rPr>
          <w:rFonts w:ascii="Verdana" w:hAnsi="Verdana" w:eastAsia="Calibri" w:cs="Arial"/>
          <w:bCs/>
          <w:color w:val="000000" w:themeColor="text1"/>
          <w:lang w:val="es-ES_tradnl"/>
        </w:rPr>
        <w:t xml:space="preserve"> artículo 3 del Decreto 1860 de 2021 </w:t>
      </w:r>
      <w:r w:rsidRPr="002D61EC" w:rsidR="002D61EC">
        <w:rPr>
          <w:rFonts w:ascii="Verdana" w:hAnsi="Verdana" w:eastAsia="Calibri" w:cs="Arial"/>
          <w:color w:val="000000" w:themeColor="text1"/>
          <w:lang w:val="es-ES_tradnl"/>
        </w:rPr>
        <w:t xml:space="preserve">que reglamenta el numeral 4 </w:t>
      </w:r>
      <w:r w:rsidRPr="002D61EC" w:rsidR="002D61EC">
        <w:rPr>
          <w:rFonts w:ascii="Verdana" w:hAnsi="Verdana" w:eastAsia="Calibri" w:cs="Arial"/>
          <w:bCs/>
          <w:lang w:val="es-ES_tradnl"/>
        </w:rPr>
        <w:t xml:space="preserve">del artículo 35 de la Ley 2069 de 2020, </w:t>
      </w:r>
      <w:bookmarkStart w:name="_Hlk93049677" w:id="3"/>
      <w:r w:rsidRPr="002D61EC" w:rsidR="002D61EC">
        <w:rPr>
          <w:rFonts w:ascii="Verdana" w:hAnsi="Verdana" w:eastAsia="Calibri" w:cs="Arial"/>
          <w:color w:val="000000" w:themeColor="text1"/>
          <w:lang w:val="es-ES"/>
        </w:rPr>
        <w:t xml:space="preserve">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rsidRPr="002D61EC" w:rsidR="002D61EC" w:rsidP="002D61EC" w:rsidRDefault="002D61EC" w14:paraId="1AE64CDF" w14:textId="77777777">
      <w:pPr>
        <w:tabs>
          <w:tab w:val="left" w:pos="6551"/>
        </w:tabs>
        <w:spacing w:after="120" w:line="276" w:lineRule="auto"/>
        <w:ind w:firstLine="709"/>
        <w:jc w:val="both"/>
        <w:rPr>
          <w:rFonts w:ascii="Verdana" w:hAnsi="Verdana" w:cs="Arial"/>
          <w:color w:val="000000" w:themeColor="text1"/>
          <w:lang w:val="es-ES_tradnl"/>
        </w:rPr>
      </w:pPr>
      <w:r w:rsidRPr="002D61EC">
        <w:rPr>
          <w:rFonts w:ascii="Verdana" w:hAnsi="Verdana" w:cs="Arial"/>
          <w:color w:val="000000" w:themeColor="text1"/>
          <w:lang w:val="es-ES_tradnl"/>
        </w:rPr>
        <w:t xml:space="preserve">El numeral dice que en dicho evento la regla de desempate se aplica a favor del “[…] oferente que acredite la vinculación en </w:t>
      </w:r>
      <w:r w:rsidRPr="002D61EC">
        <w:rPr>
          <w:rFonts w:ascii="Verdana" w:hAnsi="Verdana" w:cs="Arial"/>
          <w:i/>
          <w:iCs/>
          <w:color w:val="000000" w:themeColor="text1"/>
          <w:lang w:val="es-ES_tradnl"/>
        </w:rPr>
        <w:t>mayor proporción</w:t>
      </w:r>
      <w:r w:rsidRPr="002D61EC">
        <w:rPr>
          <w:rFonts w:ascii="Verdana" w:hAnsi="Verdana" w:cs="Arial"/>
          <w:color w:val="000000" w:themeColor="text1"/>
          <w:lang w:val="es-ES_tradnl"/>
        </w:rPr>
        <w:t xml:space="preserve"> de personas mayores que no sean beneficiarios de la pensión de vejez, familiar o 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3"/>
      <w:r w:rsidRPr="002D61EC">
        <w:rPr>
          <w:rFonts w:ascii="Verdana" w:hAnsi="Verdana" w:cs="Arial"/>
          <w:color w:val="000000" w:themeColor="text1"/>
          <w:lang w:val="es-ES_tradnl"/>
        </w:rPr>
        <w:t xml:space="preserve">”. </w:t>
      </w:r>
    </w:p>
    <w:p w:rsidRPr="002D61EC" w:rsidR="002D61EC" w:rsidP="002D61EC" w:rsidRDefault="002D61EC" w14:paraId="101FCFFF" w14:textId="77777777">
      <w:pPr>
        <w:tabs>
          <w:tab w:val="left" w:pos="6551"/>
        </w:tabs>
        <w:spacing w:after="120" w:line="276" w:lineRule="auto"/>
        <w:ind w:firstLine="709"/>
        <w:jc w:val="both"/>
        <w:rPr>
          <w:rFonts w:ascii="Verdana" w:hAnsi="Verdana" w:cs="Arial"/>
          <w:color w:val="000000" w:themeColor="text1"/>
          <w:lang w:val="es-ES"/>
        </w:rPr>
      </w:pPr>
      <w:r w:rsidRPr="002D61EC">
        <w:rPr>
          <w:rFonts w:ascii="Verdana" w:hAnsi="Verdana" w:cs="Arial"/>
          <w:color w:val="000000" w:themeColor="text1"/>
          <w:lang w:val="es-ES"/>
        </w:rPr>
        <w:t>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entrara en vigencia, existía libertad probatoria sobre el tema. En consecuencia, la entidad contratante podía determinar en el pliego de condiciones o documento equivalente cuál sería el medio para evidenciar la vinculación de las personas mayores por parte del oferente.</w:t>
      </w:r>
    </w:p>
    <w:p w:rsidRPr="002D61EC" w:rsidR="002D61EC" w:rsidP="002D61EC" w:rsidRDefault="002D61EC" w14:paraId="2F7B19F8" w14:textId="77777777">
      <w:pPr>
        <w:tabs>
          <w:tab w:val="left" w:pos="6551"/>
        </w:tabs>
        <w:spacing w:after="120" w:line="276" w:lineRule="auto"/>
        <w:ind w:firstLine="709"/>
        <w:jc w:val="both"/>
        <w:rPr>
          <w:rFonts w:ascii="Verdana" w:hAnsi="Verdana" w:cs="Arial"/>
          <w:color w:val="000000" w:themeColor="text1"/>
          <w:lang w:val="es-ES"/>
        </w:rPr>
      </w:pPr>
      <w:r w:rsidRPr="002D61EC">
        <w:rPr>
          <w:rFonts w:ascii="Verdana" w:hAnsi="Verdana" w:cs="Arial"/>
          <w:color w:val="000000" w:themeColor="text1"/>
          <w:lang w:val="es-ES"/>
        </w:rPr>
        <w:t xml:space="preserve">Paralelamente, como lo indicó la Agencia en los conceptos </w:t>
      </w:r>
      <w:r w:rsidRPr="002D61EC">
        <w:rPr>
          <w:rFonts w:ascii="Verdana" w:hAnsi="Verdana" w:eastAsia="Calibri" w:cs="Arial"/>
          <w:color w:val="000000" w:themeColor="text1"/>
          <w:lang w:val="es-ES"/>
        </w:rPr>
        <w:t xml:space="preserve">C-206 del 3 de mayo de 2021 y C-487 del 3 de agosto de 2021, </w:t>
      </w:r>
      <w:r w:rsidRPr="002D61EC">
        <w:rPr>
          <w:rFonts w:ascii="Verdana" w:hAnsi="Verdana" w:cs="Arial"/>
          <w:color w:val="000000" w:themeColor="text1"/>
          <w:lang w:val="es-ES"/>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002D61EC">
        <w:rPr>
          <w:rFonts w:ascii="Verdana" w:hAnsi="Verdana" w:cs="Arial"/>
          <w:i/>
          <w:iCs/>
          <w:color w:val="000000" w:themeColor="text1"/>
          <w:lang w:val="es-ES"/>
        </w:rPr>
        <w:t>vinculación de capital humano</w:t>
      </w:r>
      <w:r w:rsidRPr="002D61EC">
        <w:rPr>
          <w:rFonts w:ascii="Verdana" w:hAnsi="Verdana" w:cs="Arial"/>
          <w:color w:val="000000" w:themeColor="text1"/>
          <w:lang w:val="es-ES"/>
        </w:rPr>
        <w:t xml:space="preserve">, el oferente deberá acreditar una antigüedad igual o mayor a un año. Para los casos de constitución inferior a un año </w:t>
      </w:r>
      <w:r w:rsidRPr="002D61EC">
        <w:rPr>
          <w:rFonts w:ascii="Verdana" w:hAnsi="Verdana" w:cs="Arial"/>
          <w:i/>
          <w:iCs/>
          <w:color w:val="000000" w:themeColor="text1"/>
          <w:lang w:val="es-ES"/>
        </w:rPr>
        <w:t>se tendrá en cuenta a aquellos trabajadores</w:t>
      </w:r>
      <w:r w:rsidRPr="002D61EC">
        <w:rPr>
          <w:rFonts w:ascii="Verdana" w:hAnsi="Verdana" w:cs="Arial"/>
          <w:color w:val="000000" w:themeColor="text1"/>
          <w:lang w:val="es-ES"/>
        </w:rPr>
        <w:t xml:space="preserve"> que hayan estado vinculados desde el momento de constitución de la misma” (Énfasis fuera de texto). Como se observa, la norma se refiere a la vinculación de trabajadores, lo cual excluye la posibilidad de acreditar el factor de desempate mediante contratistas de prestación de servicios.  </w:t>
      </w:r>
    </w:p>
    <w:p w:rsidRPr="002D61EC" w:rsidR="002D61EC" w:rsidP="002D61EC" w:rsidRDefault="002D61EC" w14:paraId="209FF8A4" w14:textId="77777777">
      <w:pPr>
        <w:tabs>
          <w:tab w:val="left" w:pos="6551"/>
        </w:tabs>
        <w:spacing w:after="120" w:line="276" w:lineRule="auto"/>
        <w:ind w:firstLine="709"/>
        <w:jc w:val="both"/>
        <w:rPr>
          <w:rFonts w:ascii="Verdana" w:hAnsi="Verdana" w:cs="Arial"/>
          <w:color w:val="000000" w:themeColor="text1"/>
          <w:lang w:val="es-ES_tradnl"/>
        </w:rPr>
      </w:pPr>
      <w:r w:rsidRPr="002D61EC">
        <w:rPr>
          <w:rFonts w:ascii="Verdana" w:hAnsi="Verdana" w:cs="Arial"/>
          <w:color w:val="000000" w:themeColor="text1"/>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rsidRPr="002D61EC" w:rsidR="002D61EC" w:rsidP="002D61EC" w:rsidRDefault="002D61EC" w14:paraId="3412723D" w14:textId="77777777">
      <w:pPr>
        <w:spacing w:after="120" w:line="276" w:lineRule="auto"/>
        <w:ind w:firstLine="709"/>
        <w:jc w:val="both"/>
        <w:rPr>
          <w:rFonts w:ascii="Verdana" w:hAnsi="Verdana" w:cs="Arial"/>
          <w:lang w:val="es-ES_tradnl"/>
        </w:rPr>
      </w:pPr>
      <w:r w:rsidRPr="002D61EC">
        <w:rPr>
          <w:rFonts w:ascii="Verdana" w:hAnsi="Verdana" w:cs="Arial"/>
          <w:color w:val="000000" w:themeColor="text1"/>
          <w:lang w:val="es-ES_tradnl"/>
        </w:rPr>
        <w:t xml:space="preserve">Además, como se señaló en el concepto C-390 de 2021, </w:t>
      </w:r>
      <w:r w:rsidRPr="002D61EC">
        <w:rPr>
          <w:rFonts w:ascii="Verdana" w:hAnsi="Verdana" w:cs="Arial"/>
          <w:lang w:val="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rsidRPr="002D61EC" w:rsidR="002D61EC" w:rsidP="002D61EC" w:rsidRDefault="002D61EC" w14:paraId="42B54CA7" w14:textId="77777777">
      <w:pPr>
        <w:spacing w:after="120" w:line="276" w:lineRule="auto"/>
        <w:ind w:firstLine="709"/>
        <w:jc w:val="both"/>
        <w:rPr>
          <w:rFonts w:ascii="Verdana" w:hAnsi="Verdana" w:cs="Arial"/>
          <w:lang w:val="es-ES_tradnl"/>
        </w:rPr>
      </w:pPr>
      <w:r w:rsidRPr="002D61EC">
        <w:rPr>
          <w:rFonts w:ascii="Verdana" w:hAnsi="Verdana" w:cs="Arial"/>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rsidRPr="002D61EC" w:rsidR="002D61EC" w:rsidP="002D61EC" w:rsidRDefault="002D61EC" w14:paraId="404A68E0" w14:textId="77777777">
      <w:pPr>
        <w:spacing w:after="0" w:line="276" w:lineRule="auto"/>
        <w:ind w:firstLine="709"/>
        <w:jc w:val="both"/>
        <w:rPr>
          <w:rFonts w:ascii="Verdana" w:hAnsi="Verdana" w:cs="Arial"/>
          <w:lang w:val="es-ES_tradnl"/>
        </w:rPr>
      </w:pPr>
      <w:r w:rsidRPr="002D61EC">
        <w:rPr>
          <w:rFonts w:ascii="Verdana" w:hAnsi="Verdana" w:cs="Arial"/>
          <w:lang w:val="es-ES_tradnl"/>
        </w:rPr>
        <w:t xml:space="preserve">El factor de desempate del artículo 35.4 de la Ley 2069 de 2020 </w:t>
      </w:r>
      <w:r w:rsidRPr="002D61EC">
        <w:rPr>
          <w:rFonts w:ascii="Verdana" w:hAnsi="Verdana" w:cs="Arial"/>
          <w:i/>
          <w:iCs/>
          <w:lang w:val="es-ES_tradnl"/>
        </w:rPr>
        <w:t>no</w:t>
      </w:r>
      <w:r w:rsidRPr="002D61EC">
        <w:rPr>
          <w:rFonts w:ascii="Verdana" w:hAnsi="Verdana" w:cs="Arial"/>
          <w:lang w:val="es-ES_tradnl"/>
        </w:rPr>
        <w:t xml:space="preserve"> se refiere a la vinculación en </w:t>
      </w:r>
      <w:r w:rsidRPr="002D61EC">
        <w:rPr>
          <w:rFonts w:ascii="Verdana" w:hAnsi="Verdana" w:cs="Arial"/>
          <w:i/>
          <w:iCs/>
          <w:lang w:val="es-ES_tradnl"/>
        </w:rPr>
        <w:t>mayor cantidad</w:t>
      </w:r>
      <w:r w:rsidRPr="002D61EC">
        <w:rPr>
          <w:rFonts w:ascii="Verdana" w:hAnsi="Verdana" w:cs="Arial"/>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name="_Hlk72758821" w:id="4"/>
      <w:r w:rsidRPr="002D61EC">
        <w:rPr>
          <w:rFonts w:ascii="Verdana" w:hAnsi="Verdana" w:cs="Arial"/>
          <w:lang w:val="es-ES_tradnl"/>
        </w:rPr>
        <w:t>“vinculación en mayor proporción”</w:t>
      </w:r>
      <w:bookmarkEnd w:id="4"/>
      <w:r w:rsidRPr="002D61EC">
        <w:rPr>
          <w:rFonts w:ascii="Verdana" w:hAnsi="Verdana" w:cs="Arial"/>
          <w:lang w:val="es-ES_tradnl"/>
        </w:rPr>
        <w:t xml:space="preserve">, es decir el número de personas vinculadas en relación con la planta de personal de los oferentes. </w:t>
      </w:r>
      <w:r w:rsidRPr="002D61EC">
        <w:rPr>
          <w:rFonts w:ascii="Verdana" w:hAnsi="Verdana" w:eastAsia="Calibri" w:cs="Arial"/>
          <w:bCs/>
          <w:color w:val="000000" w:themeColor="text1"/>
          <w:lang w:val="es-ES_tradnl"/>
        </w:rPr>
        <w:t xml:space="preserve">Lo expuesto se ratifica en el artículo 3 del Decreto reglamentario 1860 de 2021, que adicionó el artículo </w:t>
      </w:r>
      <w:r w:rsidRPr="002D61EC">
        <w:rPr>
          <w:rFonts w:ascii="Verdana" w:hAnsi="Verdana" w:eastAsia="Calibri" w:cs="Arial"/>
          <w:color w:val="000000" w:themeColor="text1"/>
          <w:lang w:val="es-ES_tradnl"/>
        </w:rPr>
        <w:t xml:space="preserve">2.2.1.2.4.2.17 al Decreto 1082 de 2015, cuyo numeral 4 desarrolla el factor de desempate que se está analizando: </w:t>
      </w:r>
    </w:p>
    <w:p w:rsidRPr="002D61EC" w:rsidR="002D61EC" w:rsidP="002D61EC" w:rsidRDefault="002D61EC" w14:paraId="01A63AC9" w14:textId="77777777">
      <w:pPr>
        <w:tabs>
          <w:tab w:val="left" w:pos="0"/>
        </w:tabs>
        <w:spacing w:after="0" w:line="276" w:lineRule="auto"/>
        <w:ind w:firstLine="709"/>
        <w:jc w:val="both"/>
        <w:rPr>
          <w:rFonts w:ascii="Verdana" w:hAnsi="Verdana" w:eastAsia="Calibri" w:cs="Arial"/>
          <w:bCs/>
          <w:lang w:val="es-ES_tradnl"/>
        </w:rPr>
      </w:pPr>
    </w:p>
    <w:p w:rsidRPr="002D61EC" w:rsidR="002D61EC" w:rsidP="002D61EC" w:rsidRDefault="002D61EC" w14:paraId="6129E997" w14:textId="77777777">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rsidRPr="002D61EC" w:rsidR="002D61EC" w:rsidP="002D61EC" w:rsidRDefault="002D61EC" w14:paraId="1FF32505" w14:textId="77777777">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rsidRPr="002D61EC" w:rsidR="002D61EC" w:rsidP="002D61EC" w:rsidRDefault="002D61EC" w14:paraId="4DDFE39E" w14:textId="77777777">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rsidRPr="002D61EC" w:rsidR="002D61EC" w:rsidP="002D61EC" w:rsidRDefault="002D61EC" w14:paraId="212C0416" w14:textId="77777777">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rsidRPr="002D61EC" w:rsidR="002D61EC" w:rsidP="002D61EC" w:rsidRDefault="002D61EC" w14:paraId="30A571BF" w14:textId="77777777">
      <w:pPr>
        <w:shd w:val="clear" w:color="auto" w:fill="FFFFFF"/>
        <w:spacing w:after="0" w:line="240" w:lineRule="auto"/>
        <w:ind w:left="709" w:right="709"/>
        <w:jc w:val="both"/>
        <w:rPr>
          <w:rFonts w:ascii="Verdana" w:hAnsi="Verdana" w:eastAsia="Calibri" w:cs="Arial"/>
          <w:lang w:val="es-ES_tradnl"/>
        </w:rPr>
      </w:pPr>
      <w:r w:rsidRPr="002D61EC">
        <w:rPr>
          <w:rFonts w:ascii="Verdana" w:hAnsi="Verdana" w:cs="Arial"/>
          <w:i/>
          <w:iCs/>
          <w:sz w:val="21"/>
          <w:szCs w:val="21"/>
        </w:rPr>
        <w:t xml:space="preserve">La mayor proporción </w:t>
      </w:r>
      <w:bookmarkStart w:name="_Hlk102656704" w:id="5"/>
      <w:r w:rsidRPr="002D61EC">
        <w:rPr>
          <w:rFonts w:ascii="Verdana" w:hAnsi="Verdana" w:cs="Arial"/>
          <w:i/>
          <w:iCs/>
          <w:sz w:val="21"/>
          <w:szCs w:val="21"/>
        </w:rPr>
        <w:t>se definirá en relación con el número total de trabajadores vinculados en la planta de personal, por lo que se preferirá al oferente que acredite un porcentaje mayor</w:t>
      </w:r>
      <w:bookmarkEnd w:id="5"/>
      <w:r w:rsidRPr="002D61EC">
        <w:rPr>
          <w:rFonts w:ascii="Verdana" w:hAnsi="Verdana" w:cs="Arial"/>
          <w:i/>
          <w:iCs/>
          <w:sz w:val="21"/>
          <w:szCs w:val="21"/>
        </w:rPr>
        <w:t>. En el caso de proponentes plurales, la mayor proporción se definirá con la sumatoria de trabajadores vinculados en la planta de personal de cada uno de sus integrantes</w:t>
      </w:r>
      <w:r w:rsidRPr="002D61EC">
        <w:rPr>
          <w:rFonts w:ascii="Verdana" w:hAnsi="Verdana" w:cs="Arial"/>
          <w:sz w:val="21"/>
          <w:szCs w:val="21"/>
        </w:rPr>
        <w:t>”.</w:t>
      </w:r>
      <w:r w:rsidRPr="002D61EC">
        <w:rPr>
          <w:rFonts w:ascii="Verdana" w:hAnsi="Verdana" w:eastAsia="Calibri" w:cs="Arial"/>
          <w:lang w:val="es-ES_tradnl"/>
        </w:rPr>
        <w:t xml:space="preserve"> (Énfasis fuera de texto)</w:t>
      </w:r>
    </w:p>
    <w:p w:rsidRPr="002D61EC" w:rsidR="002D61EC" w:rsidP="002D61EC" w:rsidRDefault="002D61EC" w14:paraId="5609773D" w14:textId="77777777">
      <w:pPr>
        <w:tabs>
          <w:tab w:val="left" w:pos="0"/>
        </w:tabs>
        <w:spacing w:after="0" w:line="276" w:lineRule="auto"/>
        <w:ind w:firstLine="709"/>
        <w:jc w:val="both"/>
        <w:rPr>
          <w:rFonts w:ascii="Verdana" w:hAnsi="Verdana" w:eastAsia="Calibri" w:cs="Arial"/>
          <w:bCs/>
          <w:lang w:val="es-ES_tradnl"/>
        </w:rPr>
      </w:pPr>
    </w:p>
    <w:p w:rsidRPr="002D61EC" w:rsidR="002D61EC" w:rsidP="002D61EC" w:rsidRDefault="002D61EC" w14:paraId="44304A9B" w14:textId="4EAE37C6">
      <w:pPr>
        <w:spacing w:after="120" w:line="276" w:lineRule="auto"/>
        <w:ind w:firstLine="709"/>
        <w:jc w:val="both"/>
        <w:rPr>
          <w:rFonts w:ascii="Verdana" w:hAnsi="Verdana" w:eastAsia="Calibri" w:cs="Arial"/>
          <w:lang w:val="es-ES"/>
        </w:rPr>
      </w:pPr>
      <w:r w:rsidRPr="002D61EC">
        <w:rPr>
          <w:rFonts w:ascii="Verdana" w:hAnsi="Verdana" w:eastAsia="Calibri" w:cs="Arial"/>
          <w:lang w:val="es-ES"/>
        </w:rPr>
        <w:t>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rsidR="002D61EC" w:rsidP="002D61EC" w:rsidRDefault="002D61EC" w14:paraId="0BAB0849" w14:textId="77777777">
      <w:pPr>
        <w:tabs>
          <w:tab w:val="left" w:pos="0"/>
        </w:tabs>
        <w:spacing w:after="120" w:line="276" w:lineRule="auto"/>
        <w:ind w:firstLine="709"/>
        <w:jc w:val="both"/>
        <w:rPr>
          <w:rFonts w:ascii="Verdana" w:hAnsi="Verdana" w:eastAsia="Calibri" w:cs="Arial"/>
          <w:bCs/>
          <w:lang w:val="es-ES_tradnl"/>
        </w:rPr>
      </w:pPr>
      <w:r w:rsidRPr="002D61EC">
        <w:rPr>
          <w:rFonts w:ascii="Verdana" w:hAnsi="Verdana" w:eastAsia="Calibri" w:cs="Arial"/>
          <w:bCs/>
          <w:lang w:val="es-ES_tradnl"/>
        </w:rPr>
        <w:t xml:space="preserve">Según la norma citada, se estipula que la vinculación de estas personas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rsidR="00BD2A57" w:rsidP="002D61EC" w:rsidRDefault="00BD2A57" w14:paraId="63C2ABAD" w14:textId="6E961E04">
      <w:pPr>
        <w:tabs>
          <w:tab w:val="left" w:pos="0"/>
        </w:tabs>
        <w:spacing w:after="120" w:line="276" w:lineRule="auto"/>
        <w:ind w:firstLine="709"/>
        <w:jc w:val="both"/>
        <w:rPr>
          <w:rFonts w:ascii="Verdana" w:hAnsi="Verdana" w:eastAsia="Calibri" w:cs="Arial"/>
          <w:bCs/>
          <w:lang w:val="es-ES_tradnl"/>
        </w:rPr>
      </w:pPr>
      <w:r w:rsidRPr="00217A00">
        <w:rPr>
          <w:rFonts w:ascii="Verdana" w:hAnsi="Verdana" w:eastAsia="Calibri" w:cs="Arial"/>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w:t>
      </w:r>
      <w:r>
        <w:rPr>
          <w:rFonts w:ascii="Verdana" w:hAnsi="Verdana" w:eastAsia="Calibri" w:cs="Arial"/>
        </w:rPr>
        <w:t xml:space="preserve"> y equipos jurídicos</w:t>
      </w:r>
      <w:r w:rsidRPr="00217A00">
        <w:rPr>
          <w:rFonts w:ascii="Verdana" w:hAnsi="Verdana" w:eastAsia="Calibri" w:cs="Arial"/>
        </w:rPr>
        <w:t xml:space="preserve"> la solución de casos particulares corresponde a la entidad que debe adoptar la decisión correspondiente para </w:t>
      </w:r>
      <w:r w:rsidRPr="00BD2A57">
        <w:rPr>
          <w:rFonts w:ascii="Verdana" w:hAnsi="Verdana" w:eastAsia="Calibri" w:cs="Arial"/>
        </w:rPr>
        <w:t>determinar</w:t>
      </w:r>
      <w:r>
        <w:rPr>
          <w:rFonts w:ascii="Verdana" w:hAnsi="Verdana" w:eastAsia="Calibri" w:cs="Arial"/>
        </w:rPr>
        <w:t xml:space="preserve"> los</w:t>
      </w:r>
      <w:r w:rsidRPr="00BD2A57">
        <w:rPr>
          <w:rFonts w:ascii="Verdana" w:hAnsi="Verdana" w:eastAsia="Calibri" w:cs="Arial"/>
        </w:rPr>
        <w:t xml:space="preserve"> soportes deberán presentarse para acreditar la vinculación de personas mayores como factor de desempate</w:t>
      </w:r>
      <w:r>
        <w:rPr>
          <w:rFonts w:ascii="Verdana" w:hAnsi="Verdana" w:eastAsia="Calibri" w:cs="Arial"/>
        </w:rPr>
        <w:t>.</w:t>
      </w:r>
    </w:p>
    <w:p w:rsidRPr="00505CD6" w:rsidR="00505CD6" w:rsidP="00803D90" w:rsidRDefault="00505CD6" w14:paraId="73ADB084" w14:textId="77777777">
      <w:pPr>
        <w:numPr>
          <w:ilvl w:val="0"/>
          <w:numId w:val="1"/>
        </w:numPr>
        <w:tabs>
          <w:tab w:val="left" w:pos="142"/>
          <w:tab w:val="left" w:pos="284"/>
        </w:tabs>
        <w:spacing w:after="0" w:line="276" w:lineRule="auto"/>
        <w:ind w:left="851"/>
        <w:jc w:val="both"/>
        <w:rPr>
          <w:rFonts w:ascii="Verdana" w:hAnsi="Verdana" w:eastAsia="Century Gothic" w:cs="Century Gothic"/>
          <w:b/>
          <w:bCs/>
          <w:lang w:val="es-ES"/>
        </w:rPr>
      </w:pPr>
      <w:r w:rsidRPr="00505CD6">
        <w:rPr>
          <w:rFonts w:ascii="Verdana" w:hAnsi="Verdana" w:eastAsia="Century Gothic" w:cs="Century Gothic"/>
          <w:b/>
          <w:bCs/>
          <w:lang w:val="es-ES"/>
        </w:rPr>
        <w:t>Referencias normativas y jurisprudenciales:</w:t>
      </w:r>
    </w:p>
    <w:p w:rsidRPr="00505CD6" w:rsidR="00505CD6" w:rsidP="00505CD6" w:rsidRDefault="00505CD6" w14:paraId="6959A8DE"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05CD6" w:rsidR="00505CD6" w:rsidTr="006C5D8A" w14:paraId="1BDBA78D" w14:textId="77777777">
        <w:trPr>
          <w:trHeight w:val="870"/>
          <w:jc w:val="center"/>
        </w:trPr>
        <w:tc>
          <w:tcPr>
            <w:tcW w:w="8647" w:type="dxa"/>
          </w:tcPr>
          <w:p w:rsidRPr="00F4580E" w:rsidR="00485973" w:rsidP="00505CD6" w:rsidRDefault="00485973" w14:paraId="2D028698" w14:textId="3E14226C">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Ley 80 de 1993</w:t>
            </w:r>
            <w:r w:rsidR="00F4580E">
              <w:rPr>
                <w:rFonts w:ascii="Verdana" w:hAnsi="Verdana" w:cs="Arial"/>
                <w:lang w:val="es-ES_tradnl"/>
              </w:rPr>
              <w:t>,</w:t>
            </w:r>
            <w:r w:rsidRPr="00F4580E">
              <w:rPr>
                <w:rFonts w:ascii="Verdana" w:hAnsi="Verdana" w:cs="Arial"/>
                <w:lang w:val="es-ES_tradnl"/>
              </w:rPr>
              <w:t xml:space="preserve"> artículos 6, 44 </w:t>
            </w:r>
          </w:p>
          <w:p w:rsidRPr="00F4580E" w:rsidR="00F4580E" w:rsidP="00F4580E" w:rsidRDefault="00F4580E" w14:paraId="3C9C946F" w14:textId="77777777">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Ley 1251 de 2008, articulo 3.</w:t>
            </w:r>
          </w:p>
          <w:p w:rsidRPr="00F4580E" w:rsidR="00F4580E" w:rsidP="00F4580E" w:rsidRDefault="00F4580E" w14:paraId="5DF73945" w14:textId="77777777">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Decreto 1082 de 2015 artículo 2.1.2.4.2.17</w:t>
            </w:r>
          </w:p>
          <w:p w:rsidRPr="00F4580E" w:rsidR="00F4580E" w:rsidP="00F4580E" w:rsidRDefault="00F4580E" w14:paraId="705CE8D3" w14:textId="77777777">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Ley 2069 de 2020 articulo 30, 35, 84</w:t>
            </w:r>
          </w:p>
          <w:p w:rsidRPr="00F4580E" w:rsidR="00F4580E" w:rsidP="00F4580E" w:rsidRDefault="00F4580E" w14:paraId="375CE1E9" w14:textId="77777777">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Decreto 1860 de 2021articulo 3</w:t>
            </w:r>
          </w:p>
          <w:p w:rsidRPr="00505CD6" w:rsidR="00505CD6" w:rsidP="00F4580E" w:rsidRDefault="00F4580E" w14:paraId="70FC587D" w14:textId="32CD65F6">
            <w:pPr>
              <w:widowControl w:val="0"/>
              <w:numPr>
                <w:ilvl w:val="0"/>
                <w:numId w:val="3"/>
              </w:numPr>
              <w:autoSpaceDE w:val="0"/>
              <w:autoSpaceDN w:val="0"/>
              <w:spacing w:line="276" w:lineRule="auto"/>
              <w:contextualSpacing/>
              <w:jc w:val="both"/>
              <w:rPr>
                <w:rFonts w:ascii="Verdana" w:hAnsi="Verdana" w:cs="Arial"/>
                <w:lang w:val="es-ES_tradnl"/>
              </w:rPr>
            </w:pPr>
            <w:r w:rsidRPr="00F4580E">
              <w:rPr>
                <w:rFonts w:ascii="Verdana" w:hAnsi="Verdana" w:cs="Arial"/>
                <w:lang w:val="es-ES_tradnl"/>
              </w:rPr>
              <w:t>Código Civil artículo 28</w:t>
            </w:r>
          </w:p>
        </w:tc>
      </w:tr>
    </w:tbl>
    <w:p w:rsidRPr="00505CD6" w:rsidR="00505CD6" w:rsidP="00505CD6" w:rsidRDefault="00505CD6" w14:paraId="54B794AD" w14:textId="77777777">
      <w:pPr>
        <w:widowControl w:val="0"/>
        <w:autoSpaceDE w:val="0"/>
        <w:autoSpaceDN w:val="0"/>
        <w:spacing w:after="0" w:line="276" w:lineRule="auto"/>
        <w:jc w:val="both"/>
        <w:rPr>
          <w:rFonts w:ascii="Verdana" w:hAnsi="Verdana" w:cs="Arial"/>
        </w:rPr>
      </w:pPr>
    </w:p>
    <w:p w:rsidRPr="00505CD6" w:rsidR="00505CD6" w:rsidP="00803D90" w:rsidRDefault="00505CD6" w14:paraId="21CFA37D" w14:textId="77777777">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Doctrina de la Agencia Nacional de Contratación Pública:</w:t>
      </w:r>
    </w:p>
    <w:p w:rsidRPr="00505CD6" w:rsidR="00505CD6" w:rsidP="00505CD6" w:rsidRDefault="00505CD6" w14:paraId="35BFC8CE" w14:textId="77777777">
      <w:pPr>
        <w:widowControl w:val="0"/>
        <w:autoSpaceDE w:val="0"/>
        <w:autoSpaceDN w:val="0"/>
        <w:spacing w:after="0" w:line="276" w:lineRule="auto"/>
        <w:jc w:val="both"/>
        <w:rPr>
          <w:rFonts w:ascii="Verdana" w:hAnsi="Verdana" w:cs="Arial"/>
        </w:rPr>
      </w:pPr>
    </w:p>
    <w:p w:rsidRPr="00505CD6" w:rsidR="00505CD6" w:rsidP="00505CD6" w:rsidRDefault="00505CD6" w14:paraId="19874AE0" w14:textId="06CB047F">
      <w:pPr>
        <w:widowControl w:val="0"/>
        <w:autoSpaceDE w:val="0"/>
        <w:autoSpaceDN w:val="0"/>
        <w:spacing w:after="0" w:line="276" w:lineRule="auto"/>
        <w:jc w:val="both"/>
        <w:rPr>
          <w:rFonts w:ascii="Verdana" w:hAnsi="Verdana" w:eastAsia="Arial" w:cs="Arial"/>
          <w:lang w:val="es-MX" w:eastAsia="es-ES_tradnl"/>
        </w:rPr>
      </w:pPr>
      <w:r w:rsidRPr="00F4580E">
        <w:rPr>
          <w:rFonts w:ascii="Verdana" w:hAnsi="Verdana" w:eastAsia="Calibri" w:cs="Arial"/>
          <w:color w:val="000000" w:themeColor="text1"/>
          <w:lang w:eastAsia="es-ES_tradnl"/>
        </w:rPr>
        <w:t xml:space="preserve">La Agencia Nacional de Contratación Pública – Colombia Compra Eficiente </w:t>
      </w:r>
      <w:r w:rsidRPr="00F4580E" w:rsidR="00F4580E">
        <w:rPr>
          <w:rFonts w:ascii="Verdana" w:hAnsi="Verdana" w:eastAsia="Arial" w:cs="Arial"/>
          <w:lang w:val="es-MX" w:eastAsia="es-ES_tradnl"/>
        </w:rPr>
        <w:t>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y C-750 del 4 de febrero de 2022 y C-322 del 20 de mayo de 2022</w:t>
      </w:r>
      <w:r w:rsidR="00F4580E">
        <w:rPr>
          <w:rFonts w:ascii="Verdana" w:hAnsi="Verdana" w:eastAsia="Arial" w:cs="Arial"/>
          <w:lang w:val="es-MX" w:eastAsia="es-ES_tradnl"/>
        </w:rPr>
        <w:t xml:space="preserve">, </w:t>
      </w:r>
      <w:r w:rsidRPr="00F4580E" w:rsidR="00F4580E">
        <w:rPr>
          <w:rFonts w:ascii="Verdana" w:hAnsi="Verdana" w:eastAsia="Arial" w:cs="Arial"/>
          <w:lang w:val="es-MX" w:eastAsia="es-ES_tradnl"/>
        </w:rPr>
        <w:t>C-468 del 22 de julio de 2022</w:t>
      </w:r>
      <w:r w:rsidR="00F4580E">
        <w:rPr>
          <w:rFonts w:ascii="Verdana" w:hAnsi="Verdana" w:eastAsia="Arial" w:cs="Arial"/>
          <w:lang w:val="es-MX" w:eastAsia="es-ES_tradnl"/>
        </w:rPr>
        <w:t xml:space="preserve"> y C-070 del 28 de mayo de 2024</w:t>
      </w:r>
      <w:r w:rsidRPr="00F4580E" w:rsidR="00F4580E">
        <w:rPr>
          <w:rFonts w:ascii="Verdana" w:hAnsi="Verdana" w:eastAsia="Arial" w:cs="Arial"/>
          <w:lang w:val="es-MX" w:eastAsia="es-ES_tradnl"/>
        </w:rPr>
        <w:t xml:space="preserve"> entre otros . Algunas de las consideraciones de estos conceptos se reiteran a continuación y se complementan en lo pertinente.</w:t>
      </w:r>
    </w:p>
    <w:p w:rsidRPr="00505CD6" w:rsidR="00505CD6" w:rsidP="00505CD6" w:rsidRDefault="00505CD6" w14:paraId="76502426"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7B87CF85"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505CD6" w:rsidR="00505CD6" w:rsidP="00505CD6" w:rsidRDefault="00505CD6" w14:paraId="24311C20"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B10C661"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3">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505CD6" w:rsidR="00505CD6" w:rsidP="00505CD6" w:rsidRDefault="00505CD6" w14:paraId="1D97270C"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4">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rsidRPr="00505CD6" w:rsidR="00505CD6" w:rsidP="00505CD6" w:rsidRDefault="00505CD6" w14:paraId="4AC1A67D"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21CECEB"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5">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rsidRPr="00505CD6" w:rsidR="00505CD6" w:rsidP="00505CD6" w:rsidRDefault="00505CD6" w14:paraId="2AB9AF3E" w14:textId="77777777">
      <w:pPr>
        <w:widowControl w:val="0"/>
        <w:autoSpaceDE w:val="0"/>
        <w:autoSpaceDN w:val="0"/>
        <w:spacing w:after="0" w:line="276" w:lineRule="auto"/>
        <w:jc w:val="both"/>
        <w:rPr>
          <w:rFonts w:ascii="Verdana" w:hAnsi="Verdana" w:eastAsia="Calibri" w:cs="Arial"/>
          <w:color w:val="000000" w:themeColor="text1"/>
        </w:rPr>
      </w:pPr>
    </w:p>
    <w:p w:rsidRPr="00505CD6" w:rsidR="00505CD6" w:rsidP="00505CD6" w:rsidRDefault="00505CD6" w14:paraId="30849606"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505CD6" w:rsidP="00505CD6" w:rsidRDefault="00505CD6" w14:paraId="697C2D02" w14:textId="77777777">
      <w:pPr>
        <w:widowControl w:val="0"/>
        <w:autoSpaceDE w:val="0"/>
        <w:autoSpaceDN w:val="0"/>
        <w:spacing w:after="0" w:line="276" w:lineRule="auto"/>
        <w:jc w:val="both"/>
        <w:rPr>
          <w:rFonts w:ascii="Verdana" w:hAnsi="Verdana" w:cs="Arial"/>
        </w:rPr>
      </w:pPr>
    </w:p>
    <w:p w:rsidRPr="00505CD6" w:rsidR="00505CD6" w:rsidP="00505CD6" w:rsidRDefault="00505CD6" w14:paraId="5BD794D8" w14:textId="77777777">
      <w:pPr>
        <w:spacing w:after="0" w:line="240" w:lineRule="auto"/>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505CD6" w:rsidP="00505CD6" w:rsidRDefault="00505CD6" w14:paraId="78760A9E" w14:textId="3D46A2E5">
      <w:pPr>
        <w:spacing w:line="276" w:lineRule="auto"/>
        <w:jc w:val="center"/>
        <w:rPr>
          <w:noProof/>
        </w:rPr>
      </w:pPr>
    </w:p>
    <w:p w:rsidR="00831F6E" w:rsidP="00505CD6" w:rsidRDefault="00831F6E" w14:paraId="1D372358" w14:textId="405C9BAB">
      <w:pPr>
        <w:spacing w:line="276" w:lineRule="auto"/>
        <w:jc w:val="center"/>
        <w:rPr>
          <w:rFonts w:ascii="Verdana" w:hAnsi="Verdana"/>
          <w:noProof/>
        </w:rPr>
      </w:pPr>
    </w:p>
    <w:p w:rsidR="001C632F" w:rsidP="00505CD6" w:rsidRDefault="001C632F" w14:paraId="3C37A0AB" w14:textId="339594D6">
      <w:pPr>
        <w:spacing w:line="276" w:lineRule="auto"/>
        <w:jc w:val="center"/>
        <w:rPr>
          <w:rFonts w:cs="Arial"/>
          <w:noProof/>
          <w:color w:val="000000"/>
          <w:lang w:val="es-ES_tradnl" w:eastAsia="es-CO"/>
        </w:rPr>
      </w:pPr>
      <w:r>
        <w:rPr>
          <w:noProof/>
        </w:rPr>
        <w:drawing>
          <wp:inline distT="0" distB="0" distL="0" distR="0" wp14:anchorId="36B79271" wp14:editId="198ED57F">
            <wp:extent cx="3154680" cy="1354249"/>
            <wp:effectExtent l="0" t="0" r="7620" b="0"/>
            <wp:docPr id="14042108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4532" cy="1358478"/>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05CD6" w:rsidR="00505CD6" w:rsidTr="006C5D8A" w14:paraId="6AD22D8F" w14:textId="77777777">
        <w:trPr>
          <w:trHeight w:val="315"/>
        </w:trPr>
        <w:tc>
          <w:tcPr>
            <w:tcW w:w="893" w:type="dxa"/>
            <w:vAlign w:val="center"/>
            <w:hideMark/>
          </w:tcPr>
          <w:p w:rsidRPr="00505CD6" w:rsidR="00505CD6" w:rsidP="00505CD6" w:rsidRDefault="00505CD6" w14:paraId="63823BAB"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05CD6" w:rsidR="00505CD6" w:rsidP="00505CD6" w:rsidRDefault="00831F6E" w14:paraId="1637FB18" w14:textId="08DD1F7F">
            <w:pPr>
              <w:contextualSpacing/>
              <w:rPr>
                <w:rFonts w:ascii="Verdana" w:hAnsi="Verdana"/>
                <w:sz w:val="16"/>
                <w:szCs w:val="16"/>
              </w:rPr>
            </w:pPr>
            <w:r>
              <w:rPr>
                <w:rFonts w:ascii="Verdana" w:hAnsi="Verdana"/>
                <w:sz w:val="16"/>
                <w:szCs w:val="16"/>
              </w:rPr>
              <w:t>Nicolas Andrés Guzmán Padilla</w:t>
            </w:r>
          </w:p>
          <w:p w:rsidRPr="00505CD6" w:rsidR="00505CD6" w:rsidP="00505CD6" w:rsidRDefault="00505CD6" w14:paraId="7CA897BD" w14:textId="77777777">
            <w:pPr>
              <w:contextualSpacing/>
              <w:rPr>
                <w:rFonts w:ascii="Verdana" w:hAnsi="Verdana" w:eastAsia="Arial" w:cs="Arial"/>
                <w:sz w:val="16"/>
                <w:szCs w:val="16"/>
              </w:rPr>
            </w:pPr>
            <w:r w:rsidRPr="00505CD6">
              <w:rPr>
                <w:rFonts w:ascii="Verdana" w:hAnsi="Verdana"/>
                <w:sz w:val="16"/>
                <w:szCs w:val="16"/>
              </w:rPr>
              <w:t>Contratista de la Subdirección de Gestión Contractual</w:t>
            </w:r>
          </w:p>
        </w:tc>
      </w:tr>
      <w:tr w:rsidRPr="00505CD6" w:rsidR="00505CD6" w:rsidTr="006C5D8A" w14:paraId="1F8F07BE" w14:textId="77777777">
        <w:trPr>
          <w:trHeight w:val="330"/>
        </w:trPr>
        <w:tc>
          <w:tcPr>
            <w:tcW w:w="893" w:type="dxa"/>
            <w:vAlign w:val="center"/>
            <w:hideMark/>
          </w:tcPr>
          <w:p w:rsidRPr="00505CD6" w:rsidR="00505CD6" w:rsidP="00505CD6" w:rsidRDefault="00505CD6" w14:paraId="1C2AC98D"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505CD6" w:rsidR="00505CD6" w:rsidP="00505CD6" w:rsidRDefault="00803D90" w14:paraId="3082F0C7" w14:textId="236F1E56">
            <w:pPr>
              <w:spacing w:before="100" w:beforeAutospacing="1" w:afterAutospacing="1"/>
              <w:contextualSpacing/>
              <w:textAlignment w:val="baseline"/>
              <w:rPr>
                <w:rFonts w:ascii="Verdana" w:hAnsi="Verdana" w:eastAsia="Times New Roman" w:cs="Arial"/>
                <w:sz w:val="16"/>
                <w:szCs w:val="16"/>
                <w:lang w:val="es-ES" w:eastAsia="es-ES_tradnl"/>
              </w:rPr>
            </w:pPr>
            <w:r>
              <w:rPr>
                <w:rFonts w:ascii="Verdana" w:hAnsi="Verdana" w:eastAsia="Times New Roman" w:cs="Arial"/>
                <w:sz w:val="16"/>
                <w:szCs w:val="16"/>
                <w:lang w:val="es-ES" w:eastAsia="es-ES_tradnl"/>
              </w:rPr>
              <w:t>Juan Carlos Gonzalez</w:t>
            </w:r>
          </w:p>
          <w:p w:rsidRPr="00505CD6" w:rsidR="00505CD6" w:rsidP="00505CD6" w:rsidRDefault="00803D90" w14:paraId="2A5BD1DE" w14:textId="21CEB64A">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Contratista</w:t>
            </w:r>
            <w:r w:rsidRPr="00505CD6" w:rsidR="00505CD6">
              <w:rPr>
                <w:rFonts w:ascii="Verdana" w:hAnsi="Verdana" w:eastAsia="Times New Roman" w:cs="Arial"/>
                <w:sz w:val="16"/>
                <w:szCs w:val="16"/>
                <w:lang w:val="es-ES" w:eastAsia="es-ES_tradnl"/>
              </w:rPr>
              <w:t xml:space="preserve"> Subdirección de Gestión Contractual</w:t>
            </w:r>
            <w:r w:rsidRPr="00505CD6" w:rsidR="00505CD6">
              <w:rPr>
                <w:rFonts w:ascii="Verdana" w:hAnsi="Verdana" w:eastAsia="Times New Roman" w:cs="Arial"/>
                <w:sz w:val="16"/>
                <w:szCs w:val="16"/>
                <w:lang w:eastAsia="es-ES_tradnl"/>
              </w:rPr>
              <w:t> </w:t>
            </w:r>
          </w:p>
        </w:tc>
      </w:tr>
      <w:tr w:rsidRPr="00505CD6" w:rsidR="00505CD6" w:rsidTr="006C5D8A" w14:paraId="0C71EA4D" w14:textId="77777777">
        <w:trPr>
          <w:trHeight w:val="300"/>
        </w:trPr>
        <w:tc>
          <w:tcPr>
            <w:tcW w:w="893" w:type="dxa"/>
            <w:vAlign w:val="center"/>
          </w:tcPr>
          <w:p w:rsidRPr="00505CD6" w:rsidR="00505CD6" w:rsidP="00505CD6" w:rsidRDefault="00505CD6" w14:paraId="4D28D28C"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05CD6" w:rsidR="00505CD6" w:rsidP="00505CD6" w:rsidRDefault="00505CD6" w14:paraId="32222C7D"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val="pt-BR" w:eastAsia="es-ES"/>
              </w:rPr>
              <w:t>Carolina Quintero Gacharná</w:t>
            </w:r>
          </w:p>
          <w:p w:rsidRPr="00505CD6" w:rsidR="00505CD6" w:rsidP="00505CD6" w:rsidRDefault="00505CD6" w14:paraId="641172E7"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eastAsia="es-ES"/>
              </w:rPr>
              <w:t>Subdirectora</w:t>
            </w:r>
            <w:r w:rsidRPr="00505CD6">
              <w:rPr>
                <w:rFonts w:ascii="Verdana" w:hAnsi="Verdana" w:eastAsia="Calibri" w:cs="Arial"/>
                <w:sz w:val="16"/>
                <w:szCs w:val="16"/>
                <w:lang w:val="pt-BR" w:eastAsia="es-ES"/>
              </w:rPr>
              <w:t xml:space="preserve"> de Gestión Contractual ANCP – CCE</w:t>
            </w:r>
          </w:p>
        </w:tc>
      </w:tr>
    </w:tbl>
    <w:p w:rsidRPr="00505CD6" w:rsidR="00505CD6" w:rsidP="00505CD6" w:rsidRDefault="00505CD6" w14:paraId="09365269" w14:textId="77777777">
      <w:pPr>
        <w:spacing w:after="0" w:line="240" w:lineRule="auto"/>
        <w:rPr>
          <w:rFonts w:ascii="Verdana" w:hAnsi="Verdana" w:eastAsia="Times New Roman" w:cs="Arial"/>
          <w:sz w:val="24"/>
          <w:szCs w:val="24"/>
          <w:lang w:eastAsia="es-ES"/>
        </w:rPr>
      </w:pPr>
    </w:p>
    <w:p w:rsidRPr="00505CD6" w:rsidR="00505CD6" w:rsidP="00505CD6" w:rsidRDefault="00505CD6" w14:paraId="04042FBC" w14:textId="77777777"/>
    <w:p w:rsidRPr="00505CD6" w:rsidR="00505CD6" w:rsidP="00505CD6" w:rsidRDefault="00505CD6" w14:paraId="2FA7EB82" w14:textId="77777777">
      <w:pPr>
        <w:spacing w:after="0" w:line="240" w:lineRule="auto"/>
        <w:rPr>
          <w:rFonts w:ascii="Verdana" w:hAnsi="Verdana" w:cs="Arial"/>
          <w:b/>
          <w:color w:val="000000" w:themeColor="text1"/>
          <w:sz w:val="20"/>
          <w:szCs w:val="20"/>
        </w:rPr>
      </w:pPr>
    </w:p>
    <w:bookmarkEnd w:id="0"/>
    <w:p w:rsidRPr="00505CD6" w:rsidR="00505CD6" w:rsidP="00505CD6" w:rsidRDefault="00505CD6" w14:paraId="58029425" w14:textId="77777777">
      <w:pPr>
        <w:spacing w:after="0" w:line="240" w:lineRule="auto"/>
        <w:rPr>
          <w:rFonts w:ascii="Verdana" w:hAnsi="Verdana" w:cs="Arial"/>
          <w:b/>
          <w:color w:val="000000" w:themeColor="text1"/>
          <w:sz w:val="20"/>
          <w:szCs w:val="20"/>
        </w:rPr>
      </w:pPr>
    </w:p>
    <w:p w:rsidRPr="00505CD6" w:rsidR="00505CD6" w:rsidP="00505CD6" w:rsidRDefault="00505CD6" w14:paraId="75FA38F0" w14:textId="77777777"/>
    <w:p w:rsidRPr="00505CD6" w:rsidR="007875D7" w:rsidP="00505CD6" w:rsidRDefault="007875D7" w14:paraId="3F05C762" w14:textId="77777777"/>
    <w:sectPr w:rsidRPr="00505CD6" w:rsidR="007875D7" w:rsidSect="007905BA">
      <w:headerReference w:type="default" r:id="rId17"/>
      <w:footerReference w:type="default" r:id="rId18"/>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02EB" w:rsidP="00B30448" w:rsidRDefault="00DF02EB" w14:paraId="7AA415D4" w14:textId="77777777">
      <w:pPr>
        <w:spacing w:after="0" w:line="240" w:lineRule="auto"/>
      </w:pPr>
      <w:r>
        <w:separator/>
      </w:r>
    </w:p>
  </w:endnote>
  <w:endnote w:type="continuationSeparator" w:id="0">
    <w:p w:rsidR="00DF02EB" w:rsidP="00B30448" w:rsidRDefault="00DF02EB" w14:paraId="3925C181" w14:textId="77777777">
      <w:pPr>
        <w:spacing w:after="0" w:line="240" w:lineRule="auto"/>
      </w:pPr>
      <w:r>
        <w:continuationSeparator/>
      </w:r>
    </w:p>
  </w:endnote>
  <w:endnote w:type="continuationNotice" w:id="1">
    <w:p w:rsidR="00DF02EB" w:rsidRDefault="00DF02EB" w14:paraId="79EDA8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02EB" w:rsidP="00B30448" w:rsidRDefault="00DF02EB" w14:paraId="2069A559" w14:textId="77777777">
      <w:pPr>
        <w:spacing w:after="0" w:line="240" w:lineRule="auto"/>
      </w:pPr>
      <w:r>
        <w:separator/>
      </w:r>
    </w:p>
  </w:footnote>
  <w:footnote w:type="continuationSeparator" w:id="0">
    <w:p w:rsidR="00DF02EB" w:rsidP="00B30448" w:rsidRDefault="00DF02EB" w14:paraId="6194B383" w14:textId="77777777">
      <w:pPr>
        <w:spacing w:after="0" w:line="240" w:lineRule="auto"/>
      </w:pPr>
      <w:r>
        <w:continuationSeparator/>
      </w:r>
    </w:p>
  </w:footnote>
  <w:footnote w:type="continuationNotice" w:id="1">
    <w:p w:rsidR="00DF02EB" w:rsidRDefault="00DF02EB" w14:paraId="40494BA0" w14:textId="77777777">
      <w:pPr>
        <w:spacing w:after="0" w:line="240" w:lineRule="auto"/>
      </w:pPr>
    </w:p>
  </w:footnote>
  <w:footnote w:id="2">
    <w:p w:rsidRPr="000A2FE6" w:rsidR="002D61EC" w:rsidP="000A2FE6" w:rsidRDefault="002D61EC" w14:paraId="68478B69" w14:textId="77777777">
      <w:pPr>
        <w:pStyle w:val="Textonotapie"/>
        <w:jc w:val="both"/>
        <w:rPr>
          <w:rFonts w:ascii="Verdana" w:hAnsi="Verdana" w:cs="Arial"/>
          <w:sz w:val="16"/>
          <w:szCs w:val="16"/>
        </w:rPr>
      </w:pPr>
      <w:r w:rsidRPr="000A2FE6">
        <w:rPr>
          <w:rStyle w:val="Refdenotaalpie"/>
          <w:rFonts w:ascii="Verdana" w:hAnsi="Verdana" w:cs="Arial"/>
          <w:sz w:val="16"/>
          <w:szCs w:val="16"/>
        </w:rPr>
        <w:footnoteRef/>
      </w:r>
      <w:r w:rsidRPr="000A2FE6">
        <w:rPr>
          <w:rFonts w:ascii="Verdana" w:hAnsi="Verdana" w:cs="Arial"/>
          <w:sz w:val="16"/>
          <w:szCs w:val="16"/>
        </w:rPr>
        <w:t xml:space="preserve"> </w:t>
      </w:r>
      <w:r w:rsidRPr="000A2FE6">
        <w:rPr>
          <w:rFonts w:ascii="Verdana" w:hAnsi="Verdana" w:cs="Arial"/>
          <w:sz w:val="16"/>
          <w:szCs w:val="16"/>
          <w:lang w:val="es-ES"/>
        </w:rPr>
        <w:t>Consejo de Estado. Sección Tercera. Sentencia del 29 de octubre de 2.015. Consejera Ponente: Stella Conto Díaz Del Castillo. Expediente: 31.918.</w:t>
      </w:r>
    </w:p>
  </w:footnote>
  <w:footnote w:id="3">
    <w:p w:rsidRPr="00C96FA1" w:rsidR="002D61EC" w:rsidP="000A2FE6" w:rsidRDefault="002D61EC" w14:paraId="1BBC2505" w14:textId="77777777">
      <w:pPr>
        <w:pStyle w:val="Textonotapie"/>
        <w:jc w:val="both"/>
        <w:rPr>
          <w:rFonts w:ascii="Century Gothic" w:hAnsi="Century Gothic"/>
          <w:sz w:val="16"/>
          <w:szCs w:val="16"/>
        </w:rPr>
      </w:pPr>
      <w:r w:rsidRPr="000A2FE6">
        <w:rPr>
          <w:rStyle w:val="Refdenotaalpie"/>
          <w:rFonts w:ascii="Verdana" w:hAnsi="Verdana"/>
          <w:sz w:val="16"/>
          <w:szCs w:val="16"/>
        </w:rPr>
        <w:footnoteRef/>
      </w:r>
      <w:r w:rsidRPr="000A2FE6">
        <w:rPr>
          <w:rFonts w:ascii="Verdana" w:hAnsi="Verdana"/>
          <w:sz w:val="16"/>
          <w:szCs w:val="16"/>
        </w:rPr>
        <w:t xml:space="preserve"> </w:t>
      </w:r>
      <w:r w:rsidRPr="000A2FE6">
        <w:rPr>
          <w:rFonts w:ascii="Verdana" w:hAnsi="Verdana" w:cs="Arial"/>
          <w:sz w:val="16"/>
          <w:szCs w:val="16"/>
          <w:lang w:val="es-ES"/>
        </w:rPr>
        <w:t>Corte Constitucional. Sentencia T-684A del 14 de septiembre de 2011. Magistrado Ponente: Mauricio González Cuervo.</w:t>
      </w:r>
    </w:p>
  </w:footnote>
  <w:footnote w:id="4">
    <w:p w:rsidRPr="00DE694E" w:rsidR="002D61EC" w:rsidP="00DE694E" w:rsidRDefault="002D61EC" w14:paraId="4C8275E9" w14:textId="77777777">
      <w:pPr>
        <w:pStyle w:val="Textonotapie"/>
        <w:jc w:val="both"/>
        <w:rPr>
          <w:rFonts w:ascii="Verdana" w:hAnsi="Verdana" w:cs="Arial"/>
          <w:sz w:val="16"/>
          <w:szCs w:val="16"/>
        </w:rPr>
      </w:pPr>
      <w:r w:rsidRPr="00DE694E">
        <w:rPr>
          <w:rStyle w:val="Refdenotaalpie"/>
          <w:rFonts w:ascii="Verdana" w:hAnsi="Verdana" w:cs="Arial"/>
          <w:sz w:val="16"/>
          <w:szCs w:val="16"/>
        </w:rPr>
        <w:footnoteRef/>
      </w:r>
      <w:r w:rsidRPr="00DE694E">
        <w:rPr>
          <w:rFonts w:ascii="Verdana" w:hAnsi="Verdana"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F59" w:rsidP="00006F59" w:rsidRDefault="00006F59" w14:paraId="5F149BFF"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6367702E">
    <w:pPr>
      <w:tabs>
        <w:tab w:val="left" w:pos="6217"/>
      </w:tabs>
      <w:spacing w:after="0"/>
      <w:rPr>
        <w:rFonts w:ascii="Verdana" w:hAnsi="Verdana"/>
        <w:b/>
        <w:bCs/>
        <w:sz w:val="24"/>
        <w:szCs w:val="24"/>
      </w:rPr>
    </w:pPr>
  </w:p>
  <w:p w:rsidRPr="00006F59" w:rsidR="00B30448" w:rsidP="00006F59" w:rsidRDefault="00B30448" w14:paraId="68E0C024" w14:textId="62811F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E3D744E"/>
    <w:multiLevelType w:val="hybridMultilevel"/>
    <w:tmpl w:val="4A72720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475C5A77"/>
    <w:multiLevelType w:val="hybridMultilevel"/>
    <w:tmpl w:val="F5321E28"/>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982299905">
    <w:abstractNumId w:val="7"/>
  </w:num>
  <w:num w:numId="6" w16cid:durableId="130758360">
    <w:abstractNumId w:val="5"/>
  </w:num>
  <w:num w:numId="7" w16cid:durableId="262541512">
    <w:abstractNumId w:val="6"/>
  </w:num>
  <w:num w:numId="8" w16cid:durableId="20194283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4543"/>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62C0"/>
    <w:rsid w:val="00076C2B"/>
    <w:rsid w:val="00076F81"/>
    <w:rsid w:val="00080B67"/>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2FE6"/>
    <w:rsid w:val="000A413A"/>
    <w:rsid w:val="000A66A1"/>
    <w:rsid w:val="000A69FB"/>
    <w:rsid w:val="000B1087"/>
    <w:rsid w:val="000B199A"/>
    <w:rsid w:val="000B1FF7"/>
    <w:rsid w:val="000B2529"/>
    <w:rsid w:val="000B2B7C"/>
    <w:rsid w:val="000B381D"/>
    <w:rsid w:val="000B4024"/>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E754E"/>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389C"/>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4D38"/>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B07"/>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8F5"/>
    <w:rsid w:val="00194958"/>
    <w:rsid w:val="00197205"/>
    <w:rsid w:val="00197A9D"/>
    <w:rsid w:val="001A1FDD"/>
    <w:rsid w:val="001A2D8F"/>
    <w:rsid w:val="001A3D89"/>
    <w:rsid w:val="001A545B"/>
    <w:rsid w:val="001A54DA"/>
    <w:rsid w:val="001A6861"/>
    <w:rsid w:val="001B143B"/>
    <w:rsid w:val="001B1777"/>
    <w:rsid w:val="001B19C5"/>
    <w:rsid w:val="001B1B6D"/>
    <w:rsid w:val="001B1C93"/>
    <w:rsid w:val="001B21CA"/>
    <w:rsid w:val="001B28D5"/>
    <w:rsid w:val="001B35D4"/>
    <w:rsid w:val="001B4446"/>
    <w:rsid w:val="001B5A00"/>
    <w:rsid w:val="001B5F59"/>
    <w:rsid w:val="001B63A7"/>
    <w:rsid w:val="001C0125"/>
    <w:rsid w:val="001C1074"/>
    <w:rsid w:val="001C25F5"/>
    <w:rsid w:val="001C34D0"/>
    <w:rsid w:val="001C4249"/>
    <w:rsid w:val="001C632F"/>
    <w:rsid w:val="001C6573"/>
    <w:rsid w:val="001C7D03"/>
    <w:rsid w:val="001D00BE"/>
    <w:rsid w:val="001D079B"/>
    <w:rsid w:val="001D0D32"/>
    <w:rsid w:val="001D17C9"/>
    <w:rsid w:val="001D1AB9"/>
    <w:rsid w:val="001D1F20"/>
    <w:rsid w:val="001D3795"/>
    <w:rsid w:val="001D4006"/>
    <w:rsid w:val="001D54BD"/>
    <w:rsid w:val="001D54FA"/>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649"/>
    <w:rsid w:val="001F3496"/>
    <w:rsid w:val="001F3D50"/>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50D1"/>
    <w:rsid w:val="002267D2"/>
    <w:rsid w:val="00226C26"/>
    <w:rsid w:val="00230839"/>
    <w:rsid w:val="00231ADB"/>
    <w:rsid w:val="00232178"/>
    <w:rsid w:val="00232248"/>
    <w:rsid w:val="00232D12"/>
    <w:rsid w:val="002353E3"/>
    <w:rsid w:val="00235F30"/>
    <w:rsid w:val="00236287"/>
    <w:rsid w:val="002363FF"/>
    <w:rsid w:val="00236D10"/>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2787"/>
    <w:rsid w:val="00272826"/>
    <w:rsid w:val="00272A7B"/>
    <w:rsid w:val="00272C44"/>
    <w:rsid w:val="00273527"/>
    <w:rsid w:val="00273F6B"/>
    <w:rsid w:val="002747EF"/>
    <w:rsid w:val="00274B06"/>
    <w:rsid w:val="002754D3"/>
    <w:rsid w:val="00276944"/>
    <w:rsid w:val="002769AE"/>
    <w:rsid w:val="002817A6"/>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37DA"/>
    <w:rsid w:val="002A4A82"/>
    <w:rsid w:val="002A4B33"/>
    <w:rsid w:val="002A5311"/>
    <w:rsid w:val="002B05D1"/>
    <w:rsid w:val="002B1933"/>
    <w:rsid w:val="002B20BD"/>
    <w:rsid w:val="002B3A46"/>
    <w:rsid w:val="002B3F1C"/>
    <w:rsid w:val="002B4ED9"/>
    <w:rsid w:val="002B4EF4"/>
    <w:rsid w:val="002B58C5"/>
    <w:rsid w:val="002B6CA2"/>
    <w:rsid w:val="002B6E44"/>
    <w:rsid w:val="002B6E8A"/>
    <w:rsid w:val="002B726F"/>
    <w:rsid w:val="002B744E"/>
    <w:rsid w:val="002B768C"/>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1EC"/>
    <w:rsid w:val="002D68F4"/>
    <w:rsid w:val="002D7417"/>
    <w:rsid w:val="002D782B"/>
    <w:rsid w:val="002E0D9C"/>
    <w:rsid w:val="002E1247"/>
    <w:rsid w:val="002E26E8"/>
    <w:rsid w:val="002E3DD8"/>
    <w:rsid w:val="002E3ED8"/>
    <w:rsid w:val="002E5A01"/>
    <w:rsid w:val="002E717C"/>
    <w:rsid w:val="002E7533"/>
    <w:rsid w:val="002E7A61"/>
    <w:rsid w:val="002F00B8"/>
    <w:rsid w:val="002F0106"/>
    <w:rsid w:val="002F03C8"/>
    <w:rsid w:val="002F188D"/>
    <w:rsid w:val="002F18A5"/>
    <w:rsid w:val="002F317F"/>
    <w:rsid w:val="002F5E95"/>
    <w:rsid w:val="002F63CA"/>
    <w:rsid w:val="002F67B4"/>
    <w:rsid w:val="002F6F73"/>
    <w:rsid w:val="002F7AA9"/>
    <w:rsid w:val="003004E3"/>
    <w:rsid w:val="0030063E"/>
    <w:rsid w:val="00301C0D"/>
    <w:rsid w:val="00301D7B"/>
    <w:rsid w:val="00301E19"/>
    <w:rsid w:val="00304676"/>
    <w:rsid w:val="00306BE7"/>
    <w:rsid w:val="00311B66"/>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7069"/>
    <w:rsid w:val="00327812"/>
    <w:rsid w:val="00327AFB"/>
    <w:rsid w:val="00327BAF"/>
    <w:rsid w:val="00327D1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AA1"/>
    <w:rsid w:val="0039082A"/>
    <w:rsid w:val="0039101F"/>
    <w:rsid w:val="00392EDB"/>
    <w:rsid w:val="003931AA"/>
    <w:rsid w:val="00393EEE"/>
    <w:rsid w:val="00395132"/>
    <w:rsid w:val="00395D99"/>
    <w:rsid w:val="003968DF"/>
    <w:rsid w:val="00397A64"/>
    <w:rsid w:val="003A099A"/>
    <w:rsid w:val="003A3927"/>
    <w:rsid w:val="003A3FF7"/>
    <w:rsid w:val="003A6B28"/>
    <w:rsid w:val="003A6E29"/>
    <w:rsid w:val="003B0BDB"/>
    <w:rsid w:val="003B0E88"/>
    <w:rsid w:val="003B17B0"/>
    <w:rsid w:val="003B1844"/>
    <w:rsid w:val="003B211E"/>
    <w:rsid w:val="003B24EA"/>
    <w:rsid w:val="003B3AB7"/>
    <w:rsid w:val="003B3D8E"/>
    <w:rsid w:val="003B3FED"/>
    <w:rsid w:val="003B3FF1"/>
    <w:rsid w:val="003B421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567A"/>
    <w:rsid w:val="00415BCF"/>
    <w:rsid w:val="00416297"/>
    <w:rsid w:val="00417083"/>
    <w:rsid w:val="0042057C"/>
    <w:rsid w:val="00421608"/>
    <w:rsid w:val="00421C23"/>
    <w:rsid w:val="0042261E"/>
    <w:rsid w:val="00422749"/>
    <w:rsid w:val="004233DC"/>
    <w:rsid w:val="00425763"/>
    <w:rsid w:val="004306AB"/>
    <w:rsid w:val="0043159D"/>
    <w:rsid w:val="0043171D"/>
    <w:rsid w:val="00432F78"/>
    <w:rsid w:val="004334A2"/>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590E"/>
    <w:rsid w:val="004F5966"/>
    <w:rsid w:val="004F60F4"/>
    <w:rsid w:val="004F62E8"/>
    <w:rsid w:val="004F7191"/>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3DBF"/>
    <w:rsid w:val="00534940"/>
    <w:rsid w:val="00535673"/>
    <w:rsid w:val="00535A31"/>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52D5"/>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5756"/>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2570"/>
    <w:rsid w:val="00612871"/>
    <w:rsid w:val="00612A44"/>
    <w:rsid w:val="00612A8E"/>
    <w:rsid w:val="006134D9"/>
    <w:rsid w:val="006135DA"/>
    <w:rsid w:val="00613BDC"/>
    <w:rsid w:val="00615564"/>
    <w:rsid w:val="006155E2"/>
    <w:rsid w:val="00615609"/>
    <w:rsid w:val="00615F26"/>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7FD"/>
    <w:rsid w:val="00672A8A"/>
    <w:rsid w:val="00673F50"/>
    <w:rsid w:val="00674EEA"/>
    <w:rsid w:val="006759B0"/>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7B"/>
    <w:rsid w:val="006941CC"/>
    <w:rsid w:val="00695F56"/>
    <w:rsid w:val="00696975"/>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DC0"/>
    <w:rsid w:val="006D4162"/>
    <w:rsid w:val="006D5E84"/>
    <w:rsid w:val="006D7C99"/>
    <w:rsid w:val="006E0443"/>
    <w:rsid w:val="006E0C50"/>
    <w:rsid w:val="006E0DCF"/>
    <w:rsid w:val="006E1647"/>
    <w:rsid w:val="006E2298"/>
    <w:rsid w:val="006E2F3A"/>
    <w:rsid w:val="006E310A"/>
    <w:rsid w:val="006E3C3E"/>
    <w:rsid w:val="006E429F"/>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57DC0"/>
    <w:rsid w:val="00760EED"/>
    <w:rsid w:val="0076109F"/>
    <w:rsid w:val="00761399"/>
    <w:rsid w:val="00761615"/>
    <w:rsid w:val="007616DA"/>
    <w:rsid w:val="007619CE"/>
    <w:rsid w:val="00761F4F"/>
    <w:rsid w:val="007620DC"/>
    <w:rsid w:val="00762102"/>
    <w:rsid w:val="0076255D"/>
    <w:rsid w:val="007625F6"/>
    <w:rsid w:val="00762B8B"/>
    <w:rsid w:val="00764AF9"/>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6497"/>
    <w:rsid w:val="007F6836"/>
    <w:rsid w:val="007F7DF2"/>
    <w:rsid w:val="00800A35"/>
    <w:rsid w:val="00800D91"/>
    <w:rsid w:val="00801A0E"/>
    <w:rsid w:val="00803D90"/>
    <w:rsid w:val="00804E4C"/>
    <w:rsid w:val="0080662C"/>
    <w:rsid w:val="008070B2"/>
    <w:rsid w:val="00807D79"/>
    <w:rsid w:val="00810102"/>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8F"/>
    <w:rsid w:val="008B2B19"/>
    <w:rsid w:val="008B2F40"/>
    <w:rsid w:val="008B2FCD"/>
    <w:rsid w:val="008B3627"/>
    <w:rsid w:val="008B56A0"/>
    <w:rsid w:val="008B5AA1"/>
    <w:rsid w:val="008B5E61"/>
    <w:rsid w:val="008B64CE"/>
    <w:rsid w:val="008B7914"/>
    <w:rsid w:val="008C127A"/>
    <w:rsid w:val="008C1932"/>
    <w:rsid w:val="008C2C7F"/>
    <w:rsid w:val="008C2F0D"/>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6D0C"/>
    <w:rsid w:val="00927D4E"/>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25B2"/>
    <w:rsid w:val="009747AA"/>
    <w:rsid w:val="00974B99"/>
    <w:rsid w:val="00974BCB"/>
    <w:rsid w:val="009758CD"/>
    <w:rsid w:val="009763E4"/>
    <w:rsid w:val="0097654D"/>
    <w:rsid w:val="009766B7"/>
    <w:rsid w:val="00980A22"/>
    <w:rsid w:val="00980D85"/>
    <w:rsid w:val="00983094"/>
    <w:rsid w:val="0098359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6316"/>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30D2"/>
    <w:rsid w:val="009E4885"/>
    <w:rsid w:val="009E508B"/>
    <w:rsid w:val="009F03AB"/>
    <w:rsid w:val="009F0619"/>
    <w:rsid w:val="009F068A"/>
    <w:rsid w:val="009F0A85"/>
    <w:rsid w:val="009F1260"/>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54B"/>
    <w:rsid w:val="00A52986"/>
    <w:rsid w:val="00A52BC1"/>
    <w:rsid w:val="00A534A0"/>
    <w:rsid w:val="00A537EA"/>
    <w:rsid w:val="00A539AD"/>
    <w:rsid w:val="00A540B2"/>
    <w:rsid w:val="00A56819"/>
    <w:rsid w:val="00A568AC"/>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3FBD"/>
    <w:rsid w:val="00A8401C"/>
    <w:rsid w:val="00A8415A"/>
    <w:rsid w:val="00A841A6"/>
    <w:rsid w:val="00A84221"/>
    <w:rsid w:val="00A84B7A"/>
    <w:rsid w:val="00A86FBC"/>
    <w:rsid w:val="00A879C5"/>
    <w:rsid w:val="00A902AD"/>
    <w:rsid w:val="00A9099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5F48"/>
    <w:rsid w:val="00AB716D"/>
    <w:rsid w:val="00AB72BB"/>
    <w:rsid w:val="00AB7BF3"/>
    <w:rsid w:val="00AC09D5"/>
    <w:rsid w:val="00AC0D8E"/>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6248"/>
    <w:rsid w:val="00AD719F"/>
    <w:rsid w:val="00AD7447"/>
    <w:rsid w:val="00AD7D36"/>
    <w:rsid w:val="00AE0DED"/>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748"/>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402E"/>
    <w:rsid w:val="00B540E8"/>
    <w:rsid w:val="00B55D76"/>
    <w:rsid w:val="00B560A9"/>
    <w:rsid w:val="00B56866"/>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7632"/>
    <w:rsid w:val="00BC7C9E"/>
    <w:rsid w:val="00BD1E79"/>
    <w:rsid w:val="00BD23A5"/>
    <w:rsid w:val="00BD2937"/>
    <w:rsid w:val="00BD2A5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20CD"/>
    <w:rsid w:val="00C02DDE"/>
    <w:rsid w:val="00C0367B"/>
    <w:rsid w:val="00C04E51"/>
    <w:rsid w:val="00C05AF9"/>
    <w:rsid w:val="00C060A3"/>
    <w:rsid w:val="00C060B0"/>
    <w:rsid w:val="00C072F0"/>
    <w:rsid w:val="00C07344"/>
    <w:rsid w:val="00C079A3"/>
    <w:rsid w:val="00C07C1F"/>
    <w:rsid w:val="00C11A79"/>
    <w:rsid w:val="00C13607"/>
    <w:rsid w:val="00C137B1"/>
    <w:rsid w:val="00C13B43"/>
    <w:rsid w:val="00C15E81"/>
    <w:rsid w:val="00C174C9"/>
    <w:rsid w:val="00C17B6E"/>
    <w:rsid w:val="00C17BEF"/>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093"/>
    <w:rsid w:val="00C616B4"/>
    <w:rsid w:val="00C621A7"/>
    <w:rsid w:val="00C62BF2"/>
    <w:rsid w:val="00C62D1B"/>
    <w:rsid w:val="00C638A6"/>
    <w:rsid w:val="00C63FB9"/>
    <w:rsid w:val="00C64266"/>
    <w:rsid w:val="00C647DF"/>
    <w:rsid w:val="00C66CE8"/>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32A"/>
    <w:rsid w:val="00D60736"/>
    <w:rsid w:val="00D61B58"/>
    <w:rsid w:val="00D6307D"/>
    <w:rsid w:val="00D63632"/>
    <w:rsid w:val="00D63732"/>
    <w:rsid w:val="00D64670"/>
    <w:rsid w:val="00D6568E"/>
    <w:rsid w:val="00D65893"/>
    <w:rsid w:val="00D658EC"/>
    <w:rsid w:val="00D6742A"/>
    <w:rsid w:val="00D67B9B"/>
    <w:rsid w:val="00D67CD3"/>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3687"/>
    <w:rsid w:val="00DB38D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832"/>
    <w:rsid w:val="00DE694E"/>
    <w:rsid w:val="00DE6A70"/>
    <w:rsid w:val="00DE70B5"/>
    <w:rsid w:val="00DE7113"/>
    <w:rsid w:val="00DF00F9"/>
    <w:rsid w:val="00DF02EB"/>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649"/>
    <w:rsid w:val="00E27F0A"/>
    <w:rsid w:val="00E309B0"/>
    <w:rsid w:val="00E326E9"/>
    <w:rsid w:val="00E352C3"/>
    <w:rsid w:val="00E35476"/>
    <w:rsid w:val="00E359A5"/>
    <w:rsid w:val="00E37212"/>
    <w:rsid w:val="00E372F7"/>
    <w:rsid w:val="00E37DC0"/>
    <w:rsid w:val="00E37EC6"/>
    <w:rsid w:val="00E40432"/>
    <w:rsid w:val="00E40850"/>
    <w:rsid w:val="00E40D52"/>
    <w:rsid w:val="00E41585"/>
    <w:rsid w:val="00E4220D"/>
    <w:rsid w:val="00E4231E"/>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EA1"/>
    <w:rsid w:val="00EE07AC"/>
    <w:rsid w:val="00EE0891"/>
    <w:rsid w:val="00EE1062"/>
    <w:rsid w:val="00EE17F2"/>
    <w:rsid w:val="00EE188A"/>
    <w:rsid w:val="00EE1B01"/>
    <w:rsid w:val="00EE2746"/>
    <w:rsid w:val="00EE2C6C"/>
    <w:rsid w:val="00EE4C20"/>
    <w:rsid w:val="00EE4D02"/>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80E"/>
    <w:rsid w:val="00F45E89"/>
    <w:rsid w:val="00F47845"/>
    <w:rsid w:val="00F47B6C"/>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82E2E"/>
    <w:rsid w:val="00F83601"/>
    <w:rsid w:val="00F837E6"/>
    <w:rsid w:val="00F8389A"/>
    <w:rsid w:val="00F83AE9"/>
    <w:rsid w:val="00F843D4"/>
    <w:rsid w:val="00F84A40"/>
    <w:rsid w:val="00F84DBD"/>
    <w:rsid w:val="00F8516E"/>
    <w:rsid w:val="00F85C0D"/>
    <w:rsid w:val="00F86741"/>
    <w:rsid w:val="00F86796"/>
    <w:rsid w:val="00F87C5B"/>
    <w:rsid w:val="00F87FEA"/>
    <w:rsid w:val="00F90613"/>
    <w:rsid w:val="00F906F4"/>
    <w:rsid w:val="00F915F3"/>
    <w:rsid w:val="00F91800"/>
    <w:rsid w:val="00F91853"/>
    <w:rsid w:val="00F91987"/>
    <w:rsid w:val="00F9208E"/>
    <w:rsid w:val="00F92571"/>
    <w:rsid w:val="00F93CAE"/>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83E"/>
    <w:rsid w:val="00FB1D54"/>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E7449"/>
    <w:rsid w:val="00FF0CF5"/>
    <w:rsid w:val="00FF0D6F"/>
    <w:rsid w:val="00FF1103"/>
    <w:rsid w:val="00FF1712"/>
    <w:rsid w:val="00FF37DC"/>
    <w:rsid w:val="00FF37F2"/>
    <w:rsid w:val="00FF5B3C"/>
    <w:rsid w:val="00FF69C8"/>
    <w:rsid w:val="00FF6D3D"/>
    <w:rsid w:val="024D7E2C"/>
    <w:rsid w:val="0D2EB883"/>
    <w:rsid w:val="0D8163B6"/>
    <w:rsid w:val="1BB32F19"/>
    <w:rsid w:val="1F2C3AF5"/>
    <w:rsid w:val="1FF4886A"/>
    <w:rsid w:val="21D79E2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rsid w:val="00002D55"/>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2D61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814756610">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nicolle.ramirez57@gmail.com"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Nicolas Andres Guzman Padilla</lastModifiedBy>
  <revision>14</revision>
  <dcterms:created xsi:type="dcterms:W3CDTF">2025-02-21T14:13:00.0000000Z</dcterms:created>
  <dcterms:modified xsi:type="dcterms:W3CDTF">2025-03-17T22:22:55.8021168Z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