
<file path=[Content_Types].xml><?xml version="1.0" encoding="utf-8"?>
<Types xmlns="http://schemas.openxmlformats.org/package/2006/content-types">
  <Default Extension="emf" ContentType="image/x-emf"/>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B0BC69" w14:textId="77777777" w:rsidR="00E724E5" w:rsidRPr="00817382" w:rsidRDefault="00E724E5" w:rsidP="00E724E5">
      <w:pPr>
        <w:spacing w:after="0" w:line="240" w:lineRule="auto"/>
        <w:jc w:val="both"/>
        <w:rPr>
          <w:rFonts w:ascii="Verdana" w:eastAsia="Calibri" w:hAnsi="Verdana" w:cs="Arial"/>
          <w:b/>
          <w:color w:val="000000" w:themeColor="text1"/>
          <w:lang w:val="es-ES_tradnl"/>
        </w:rPr>
      </w:pPr>
      <w:r w:rsidRPr="00817382">
        <w:rPr>
          <w:rFonts w:ascii="Verdana" w:eastAsia="Calibri" w:hAnsi="Verdana" w:cs="Arial"/>
          <w:b/>
          <w:color w:val="000000" w:themeColor="text1"/>
          <w:lang w:val="es-ES_tradnl"/>
        </w:rPr>
        <w:t xml:space="preserve">EGCAP – Ámbito de aplicación – Entidades estatales </w:t>
      </w:r>
    </w:p>
    <w:p w14:paraId="1538C8F6" w14:textId="77777777" w:rsidR="00E724E5" w:rsidRPr="00817382" w:rsidRDefault="00E724E5" w:rsidP="00E724E5">
      <w:pPr>
        <w:spacing w:after="0" w:line="240" w:lineRule="auto"/>
        <w:jc w:val="both"/>
        <w:rPr>
          <w:rFonts w:ascii="Verdana" w:eastAsia="Calibri" w:hAnsi="Verdana" w:cs="Arial"/>
          <w:bCs/>
          <w:color w:val="000000" w:themeColor="text1"/>
          <w:sz w:val="20"/>
          <w:szCs w:val="20"/>
          <w:lang w:val="es-ES_tradnl"/>
        </w:rPr>
      </w:pPr>
    </w:p>
    <w:p w14:paraId="3713EF9E" w14:textId="77777777" w:rsidR="00C93F8F" w:rsidRPr="00C93F8F" w:rsidRDefault="00C93F8F" w:rsidP="00C93F8F">
      <w:pPr>
        <w:spacing w:after="0" w:line="240" w:lineRule="auto"/>
        <w:jc w:val="both"/>
        <w:rPr>
          <w:rFonts w:ascii="Verdana" w:eastAsia="Calibri" w:hAnsi="Verdana" w:cs="Arial"/>
          <w:bCs/>
          <w:color w:val="000000" w:themeColor="text1"/>
          <w:sz w:val="20"/>
          <w:szCs w:val="20"/>
          <w:lang w:eastAsia="es-ES_tradnl"/>
        </w:rPr>
      </w:pPr>
      <w:r w:rsidRPr="00C93F8F">
        <w:rPr>
          <w:rFonts w:ascii="Verdana" w:eastAsia="Calibri" w:hAnsi="Verdana" w:cs="Arial"/>
          <w:bCs/>
          <w:color w:val="000000" w:themeColor="text1"/>
          <w:sz w:val="20"/>
          <w:szCs w:val="20"/>
          <w:lang w:eastAsia="es-ES_tradnl"/>
        </w:rPr>
        <w:t>El ordenamiento jurídico colombiano contempla como categoría única la noción de “contratos estatales”, pero acepta la posibilidad de que dichos contratos tengan regímenes jurídicos diferenciados. En virtud de ello se afirma que hay contratos estatales sometidos al EGCAP (Leyes 80 de 1993, 1150 de 2007 y disposiciones complementarias) y contratos estatales sometidos a reglas especiales, usualmente al derecho privado.</w:t>
      </w:r>
    </w:p>
    <w:p w14:paraId="6700075A" w14:textId="77777777" w:rsidR="00C93F8F" w:rsidRPr="00817382" w:rsidRDefault="00C93F8F" w:rsidP="00E724E5">
      <w:pPr>
        <w:spacing w:after="0" w:line="240" w:lineRule="auto"/>
        <w:rPr>
          <w:rFonts w:ascii="Verdana" w:eastAsia="Geomanist Light" w:hAnsi="Verdana" w:cs="Arial"/>
          <w:color w:val="000000" w:themeColor="text1"/>
          <w:sz w:val="20"/>
          <w:szCs w:val="20"/>
          <w:lang w:val="es-ES_tradnl"/>
        </w:rPr>
      </w:pPr>
    </w:p>
    <w:p w14:paraId="7F2A48A6" w14:textId="77777777" w:rsidR="00E724E5" w:rsidRPr="00817382" w:rsidRDefault="00E724E5" w:rsidP="00E724E5">
      <w:pPr>
        <w:spacing w:after="0" w:line="240" w:lineRule="auto"/>
        <w:jc w:val="both"/>
        <w:rPr>
          <w:rFonts w:ascii="Verdana" w:eastAsia="Calibri" w:hAnsi="Verdana" w:cs="Arial"/>
          <w:b/>
          <w:lang w:val="es-ES_tradnl"/>
        </w:rPr>
      </w:pPr>
      <w:r w:rsidRPr="00817382">
        <w:rPr>
          <w:rFonts w:ascii="Verdana" w:eastAsia="Calibri" w:hAnsi="Verdana" w:cs="Arial"/>
          <w:b/>
          <w:lang w:val="es-ES_tradnl"/>
        </w:rPr>
        <w:t>ENTIDADES EXCEPTUADAS – Aplicación de normas de derecho público</w:t>
      </w:r>
    </w:p>
    <w:p w14:paraId="143203A4" w14:textId="77777777" w:rsidR="00E724E5" w:rsidRDefault="00E724E5" w:rsidP="00E724E5">
      <w:pPr>
        <w:spacing w:after="0" w:line="240" w:lineRule="auto"/>
        <w:jc w:val="both"/>
        <w:rPr>
          <w:rFonts w:ascii="Verdana" w:eastAsia="Calibri" w:hAnsi="Verdana" w:cs="Arial"/>
          <w:b/>
          <w:sz w:val="20"/>
          <w:szCs w:val="20"/>
          <w:lang w:val="es-ES_tradnl"/>
        </w:rPr>
      </w:pPr>
    </w:p>
    <w:p w14:paraId="414B99FD" w14:textId="113E6E4A" w:rsidR="00C93F8F" w:rsidRPr="00C93F8F" w:rsidRDefault="00C93F8F" w:rsidP="00E724E5">
      <w:pPr>
        <w:spacing w:after="0" w:line="240" w:lineRule="auto"/>
        <w:jc w:val="both"/>
        <w:rPr>
          <w:rFonts w:ascii="Verdana" w:eastAsia="Calibri" w:hAnsi="Verdana" w:cs="Arial"/>
          <w:bCs/>
          <w:sz w:val="20"/>
          <w:szCs w:val="20"/>
          <w:lang w:val="es-ES_tradnl"/>
        </w:rPr>
      </w:pPr>
      <w:r w:rsidRPr="00C93F8F">
        <w:rPr>
          <w:rFonts w:ascii="Verdana" w:eastAsia="Calibri" w:hAnsi="Verdana" w:cs="Arial"/>
          <w:bCs/>
          <w:sz w:val="20"/>
          <w:szCs w:val="20"/>
          <w:lang w:val="es-ES_tradnl"/>
        </w:rPr>
        <w:t>El régimen de derecho privado que, por regla general, caracteriza a los regímenes especiales no significa que no existan “dosis” de derecho público administrativo que tienen como fin último garantizar que los regímenes especiales de contratación también se ordenen hacia la consecución de los fines del Estado. Estas “dosis” de derecho administrativo encuentran su manifestación tanto en forma de reglas como de principios.</w:t>
      </w:r>
    </w:p>
    <w:p w14:paraId="0482520E" w14:textId="77777777" w:rsidR="00E724E5" w:rsidRPr="00817382" w:rsidRDefault="00E724E5" w:rsidP="00E724E5">
      <w:pPr>
        <w:spacing w:after="0" w:line="240" w:lineRule="auto"/>
        <w:jc w:val="both"/>
        <w:rPr>
          <w:rFonts w:ascii="Verdana" w:hAnsi="Verdana" w:cs="Arial"/>
          <w:color w:val="000000" w:themeColor="text1"/>
          <w:sz w:val="21"/>
          <w:szCs w:val="21"/>
          <w:lang w:val="es-ES_tradnl"/>
        </w:rPr>
      </w:pPr>
    </w:p>
    <w:p w14:paraId="169298F6" w14:textId="77777777" w:rsidR="00E724E5" w:rsidRPr="00817382" w:rsidRDefault="00E724E5" w:rsidP="00E724E5">
      <w:pPr>
        <w:spacing w:after="0" w:line="240" w:lineRule="auto"/>
        <w:jc w:val="both"/>
        <w:rPr>
          <w:rFonts w:ascii="Verdana" w:eastAsia="Calibri" w:hAnsi="Verdana" w:cs="Arial"/>
          <w:b/>
          <w:color w:val="000000" w:themeColor="text1"/>
          <w:lang w:val="es-ES_tradnl"/>
        </w:rPr>
      </w:pPr>
      <w:bookmarkStart w:id="0" w:name="_Hlk109118876"/>
      <w:r w:rsidRPr="00817382">
        <w:rPr>
          <w:rFonts w:ascii="Verdana" w:eastAsia="Calibri" w:hAnsi="Verdana" w:cs="Arial"/>
          <w:b/>
          <w:color w:val="000000" w:themeColor="text1"/>
          <w:lang w:val="es-ES_tradnl"/>
        </w:rPr>
        <w:t>CONTRATOS ESTATALES –</w:t>
      </w:r>
      <w:bookmarkEnd w:id="0"/>
      <w:r w:rsidRPr="00817382">
        <w:rPr>
          <w:rFonts w:ascii="Verdana" w:eastAsia="Calibri" w:hAnsi="Verdana" w:cs="Arial"/>
          <w:b/>
          <w:color w:val="000000" w:themeColor="text1"/>
          <w:lang w:val="es-ES_tradnl"/>
        </w:rPr>
        <w:t xml:space="preserve"> Régimen especial – Obligaciones transversales – Manual de contratación – Límites </w:t>
      </w:r>
    </w:p>
    <w:p w14:paraId="1102DFD9" w14:textId="77777777" w:rsidR="00E724E5" w:rsidRPr="00817382" w:rsidRDefault="00E724E5" w:rsidP="00E724E5">
      <w:pPr>
        <w:spacing w:after="0" w:line="240" w:lineRule="auto"/>
        <w:jc w:val="both"/>
        <w:rPr>
          <w:rFonts w:ascii="Verdana" w:eastAsia="Calibri" w:hAnsi="Verdana" w:cs="Arial"/>
          <w:b/>
          <w:color w:val="000000" w:themeColor="text1"/>
          <w:lang w:val="es-ES_tradnl"/>
        </w:rPr>
      </w:pPr>
    </w:p>
    <w:p w14:paraId="7B2B2931" w14:textId="246C9CC6" w:rsidR="00C93F8F" w:rsidRDefault="00C93F8F" w:rsidP="00C93F8F">
      <w:pPr>
        <w:spacing w:after="0" w:line="240" w:lineRule="auto"/>
        <w:jc w:val="both"/>
        <w:rPr>
          <w:rFonts w:ascii="Verdana" w:hAnsi="Verdana" w:cs="Arial"/>
          <w:color w:val="000000" w:themeColor="text1"/>
          <w:sz w:val="20"/>
          <w:szCs w:val="20"/>
        </w:rPr>
      </w:pPr>
      <w:r w:rsidRPr="00C93F8F">
        <w:rPr>
          <w:rFonts w:ascii="Verdana" w:hAnsi="Verdana" w:cs="Arial"/>
          <w:color w:val="000000" w:themeColor="text1"/>
          <w:sz w:val="20"/>
          <w:szCs w:val="20"/>
        </w:rPr>
        <w:t>Puede decirse que una de las reglas derivada de las normas de derecho público que irradian el régimen jurídico de las entidades exceptuadas del EGCAP, consiste en el deber de expedir un manual de contratación. En este documento deben concretarse los principios de la función administrativa y de la gestión fiscal, así como determinarse la manera concreta como dichos principios orientarán el derecho privado en el ejercicio de la actividad contractual. De esta manera, los potenciales oferentes podrán identificar las reglas que aplica la entidad en sus procesos contractuales.</w:t>
      </w:r>
    </w:p>
    <w:p w14:paraId="725D8BCF" w14:textId="77777777" w:rsidR="00C93F8F" w:rsidRPr="00C93F8F" w:rsidRDefault="00C93F8F" w:rsidP="00C93F8F">
      <w:pPr>
        <w:spacing w:after="0" w:line="240" w:lineRule="auto"/>
        <w:jc w:val="both"/>
        <w:rPr>
          <w:rFonts w:ascii="Verdana" w:hAnsi="Verdana" w:cs="Arial"/>
          <w:color w:val="000000" w:themeColor="text1"/>
          <w:sz w:val="20"/>
          <w:szCs w:val="20"/>
        </w:rPr>
      </w:pPr>
    </w:p>
    <w:p w14:paraId="41D827A6" w14:textId="408E956C" w:rsidR="00C93F8F" w:rsidRPr="00C93F8F" w:rsidRDefault="00C93F8F" w:rsidP="1EEC3F27">
      <w:pPr>
        <w:spacing w:after="0" w:line="240" w:lineRule="auto"/>
        <w:jc w:val="both"/>
        <w:rPr>
          <w:rFonts w:ascii="Verdana" w:hAnsi="Verdana" w:cs="Arial"/>
          <w:color w:val="000000" w:themeColor="text1"/>
          <w:sz w:val="20"/>
          <w:szCs w:val="20"/>
          <w:lang w:val="es-ES"/>
        </w:rPr>
      </w:pPr>
      <w:r w:rsidRPr="1EEC3F27">
        <w:rPr>
          <w:rFonts w:ascii="Verdana" w:hAnsi="Verdana" w:cs="Arial"/>
          <w:color w:val="000000" w:themeColor="text1"/>
          <w:sz w:val="20"/>
          <w:szCs w:val="20"/>
          <w:lang w:val="es-ES"/>
        </w:rPr>
        <w:t>Sobre este punto particular es preciso destacar que, las entidades estatales sometidas a regímenes especiales de derecho privado tienen una amplia libertad de configuración del contenido del manual de contratación. Esta libertad se deriva del principio de autonomía de la voluntad reconocida a estas entidades, que les permite establecer la manera en que adelantarán sus procesos de contratación. Ahora bien, dicha libertad es similar a la reconocida a los particulares por el derecho privado, pero no es idéntica a aquella, en la medida en que encuentra importantes limitantes.</w:t>
      </w:r>
    </w:p>
    <w:p w14:paraId="55E0C140" w14:textId="0BAD80D5" w:rsidR="00E724E5" w:rsidRPr="00817382" w:rsidRDefault="00E724E5" w:rsidP="00E724E5">
      <w:pPr>
        <w:spacing w:after="0" w:line="240" w:lineRule="auto"/>
        <w:jc w:val="both"/>
        <w:rPr>
          <w:rFonts w:ascii="Verdana" w:hAnsi="Verdana" w:cs="Arial"/>
          <w:color w:val="000000" w:themeColor="text1"/>
          <w:sz w:val="20"/>
          <w:szCs w:val="20"/>
          <w:lang w:val="es-ES_tradnl"/>
        </w:rPr>
      </w:pPr>
    </w:p>
    <w:p w14:paraId="22F1AE85" w14:textId="01168914" w:rsidR="00E724E5" w:rsidRPr="00817382" w:rsidRDefault="00E724E5" w:rsidP="00E724E5">
      <w:pPr>
        <w:spacing w:after="0" w:line="240" w:lineRule="auto"/>
        <w:jc w:val="both"/>
        <w:rPr>
          <w:rFonts w:ascii="Verdana" w:eastAsia="Calibri" w:hAnsi="Verdana" w:cs="Arial"/>
          <w:b/>
          <w:color w:val="000000" w:themeColor="text1"/>
          <w:lang w:val="es-ES_tradnl"/>
        </w:rPr>
      </w:pPr>
      <w:r>
        <w:rPr>
          <w:rFonts w:ascii="Verdana" w:eastAsia="Calibri" w:hAnsi="Verdana" w:cs="Arial"/>
          <w:b/>
          <w:color w:val="000000" w:themeColor="text1"/>
          <w:lang w:val="es-ES_tradnl"/>
        </w:rPr>
        <w:t>MANUALES DE CONTRATACIÓN</w:t>
      </w:r>
      <w:r w:rsidRPr="00817382">
        <w:rPr>
          <w:rFonts w:ascii="Verdana" w:eastAsia="Calibri" w:hAnsi="Verdana" w:cs="Arial"/>
          <w:b/>
          <w:color w:val="000000" w:themeColor="text1"/>
          <w:lang w:val="es-ES_tradnl"/>
        </w:rPr>
        <w:t xml:space="preserve"> – </w:t>
      </w:r>
      <w:r>
        <w:rPr>
          <w:rFonts w:ascii="Verdana" w:eastAsia="Calibri" w:hAnsi="Verdana" w:cs="Arial"/>
          <w:b/>
          <w:color w:val="000000" w:themeColor="text1"/>
          <w:lang w:val="es-ES_tradnl"/>
        </w:rPr>
        <w:t>Entidades exceptuadas</w:t>
      </w:r>
      <w:r w:rsidRPr="00817382">
        <w:rPr>
          <w:rFonts w:ascii="Verdana" w:eastAsia="Calibri" w:hAnsi="Verdana" w:cs="Arial"/>
          <w:b/>
          <w:color w:val="000000" w:themeColor="text1"/>
          <w:lang w:val="es-ES_tradnl"/>
        </w:rPr>
        <w:t xml:space="preserve"> – </w:t>
      </w:r>
      <w:r w:rsidR="007B1695">
        <w:rPr>
          <w:rFonts w:ascii="Verdana" w:eastAsia="Calibri" w:hAnsi="Verdana" w:cs="Arial"/>
          <w:b/>
          <w:color w:val="000000" w:themeColor="text1"/>
          <w:lang w:val="es-ES_tradnl"/>
        </w:rPr>
        <w:t>Marcas</w:t>
      </w:r>
    </w:p>
    <w:p w14:paraId="2CC0E834" w14:textId="77777777" w:rsidR="00E724E5" w:rsidRPr="00817382" w:rsidRDefault="00E724E5" w:rsidP="00E724E5">
      <w:pPr>
        <w:spacing w:after="0" w:line="240" w:lineRule="auto"/>
        <w:jc w:val="both"/>
        <w:rPr>
          <w:rFonts w:ascii="Verdana" w:hAnsi="Verdana" w:cs="Arial"/>
          <w:color w:val="000000" w:themeColor="text1"/>
          <w:sz w:val="20"/>
          <w:szCs w:val="20"/>
          <w:lang w:val="es-ES_tradnl"/>
        </w:rPr>
      </w:pPr>
    </w:p>
    <w:p w14:paraId="65346CE5" w14:textId="374BDCE9" w:rsidR="00E724E5" w:rsidRPr="00817382" w:rsidRDefault="009C0757" w:rsidP="009C0757">
      <w:pPr>
        <w:pStyle w:val="Sinespaciado"/>
        <w:jc w:val="both"/>
        <w:rPr>
          <w:rFonts w:ascii="Verdana" w:hAnsi="Verdana" w:cs="Arial"/>
          <w:color w:val="000000" w:themeColor="text1"/>
          <w:sz w:val="20"/>
          <w:szCs w:val="20"/>
          <w:lang w:val="es-ES_tradnl"/>
        </w:rPr>
      </w:pPr>
      <w:r w:rsidRPr="009C0757">
        <w:rPr>
          <w:rFonts w:ascii="Verdana" w:hAnsi="Verdana" w:cs="Arial"/>
          <w:color w:val="000000" w:themeColor="text1"/>
          <w:sz w:val="20"/>
          <w:szCs w:val="20"/>
          <w:lang w:val="es-CO"/>
        </w:rPr>
        <w:t xml:space="preserve">En este sentido, </w:t>
      </w:r>
      <w:r w:rsidRPr="009C0757">
        <w:rPr>
          <w:rFonts w:ascii="Verdana" w:hAnsi="Verdana" w:cs="Arial"/>
          <w:color w:val="000000" w:themeColor="text1"/>
          <w:sz w:val="20"/>
          <w:szCs w:val="20"/>
          <w:lang w:val="es-ES"/>
        </w:rPr>
        <w:t xml:space="preserve">frente a las consultas planteadas, se precisa </w:t>
      </w:r>
      <w:proofErr w:type="gramStart"/>
      <w:r w:rsidRPr="009C0757">
        <w:rPr>
          <w:rFonts w:ascii="Verdana" w:hAnsi="Verdana" w:cs="Arial"/>
          <w:color w:val="000000" w:themeColor="text1"/>
          <w:sz w:val="20"/>
          <w:szCs w:val="20"/>
          <w:lang w:val="es-ES"/>
        </w:rPr>
        <w:t>que</w:t>
      </w:r>
      <w:proofErr w:type="gramEnd"/>
      <w:r w:rsidRPr="009C0757">
        <w:rPr>
          <w:rFonts w:ascii="Verdana" w:hAnsi="Verdana" w:cs="Arial"/>
          <w:color w:val="000000" w:themeColor="text1"/>
          <w:sz w:val="20"/>
          <w:szCs w:val="20"/>
          <w:lang w:val="es-ES"/>
        </w:rPr>
        <w:t xml:space="preserve"> </w:t>
      </w:r>
      <w:r w:rsidRPr="009C0757">
        <w:rPr>
          <w:rFonts w:ascii="Verdana" w:hAnsi="Verdana" w:cs="Arial"/>
          <w:color w:val="000000" w:themeColor="text1"/>
          <w:sz w:val="20"/>
          <w:szCs w:val="20"/>
          <w:lang w:val="es-CO"/>
        </w:rPr>
        <w:t xml:space="preserve">en el marco de la autonomía reconocida a las entidades con régimen especial, estas cuentan con la facultad de definir los requisitos que se solicitaran a los proponentes en el marco de un proceso de contratación. Dicha autonomía les permite, entre otras cosas, establecer los requisitos que otorgarán puntaje dentro de sus procesos de contratación siempre que estos cumplan con el principio de selección objetiva. Además, podrán </w:t>
      </w:r>
      <w:r w:rsidRPr="009C0757">
        <w:rPr>
          <w:rFonts w:ascii="Verdana" w:hAnsi="Verdana" w:cs="Arial"/>
          <w:color w:val="000000" w:themeColor="text1"/>
          <w:sz w:val="20"/>
          <w:szCs w:val="20"/>
          <w:lang w:val="es-ES_tradnl"/>
        </w:rPr>
        <w:t xml:space="preserve">exigir marcas dentro de las especificaciones técnicas siempre que no estén prohibidas en acuerdos y tratados comerciales en las que sean destinatarios, pero garantizando el principio de proporcionalidad, que exige que dichos requisitos o condiciones sean razonables, es </w:t>
      </w:r>
      <w:r w:rsidRPr="009C0757">
        <w:rPr>
          <w:rFonts w:ascii="Verdana" w:hAnsi="Verdana" w:cs="Arial"/>
          <w:color w:val="000000" w:themeColor="text1"/>
          <w:sz w:val="20"/>
          <w:szCs w:val="20"/>
          <w:lang w:val="es-ES_tradnl"/>
        </w:rPr>
        <w:lastRenderedPageBreak/>
        <w:t>decir, que guarden congruencia con el objeto, necesidad de la contratación, alcance, valor, plazo del contrato, entre otros aspectos, que sean necesarios y no restrinjan injustificadamente la libre concurrencia y pluralidad de oferentes.</w:t>
      </w:r>
    </w:p>
    <w:p w14:paraId="27427438" w14:textId="77777777" w:rsidR="00E724E5" w:rsidRPr="00817382" w:rsidRDefault="00E724E5" w:rsidP="009C0757">
      <w:pPr>
        <w:spacing w:after="0" w:line="240" w:lineRule="auto"/>
        <w:jc w:val="both"/>
        <w:rPr>
          <w:rFonts w:ascii="Verdana" w:hAnsi="Verdana" w:cs="Arial"/>
          <w:color w:val="000000" w:themeColor="text1"/>
          <w:sz w:val="20"/>
          <w:szCs w:val="20"/>
          <w:lang w:val="es-ES_tradnl"/>
        </w:rPr>
      </w:pPr>
    </w:p>
    <w:p w14:paraId="3B7158D1" w14:textId="77777777" w:rsidR="00E724E5" w:rsidRPr="00817382" w:rsidRDefault="00E724E5" w:rsidP="00E724E5">
      <w:pPr>
        <w:spacing w:after="0" w:line="240" w:lineRule="auto"/>
        <w:rPr>
          <w:rFonts w:ascii="Verdana" w:eastAsia="Geomanist Light" w:hAnsi="Verdana" w:cs="Arial"/>
          <w:color w:val="000000" w:themeColor="text1"/>
          <w:lang w:val="es-ES_tradnl"/>
        </w:rPr>
      </w:pPr>
    </w:p>
    <w:p w14:paraId="066926EA" w14:textId="77777777" w:rsidR="00E724E5" w:rsidRPr="00817382" w:rsidRDefault="00E724E5" w:rsidP="00E724E5">
      <w:pPr>
        <w:spacing w:after="0" w:line="240" w:lineRule="auto"/>
        <w:rPr>
          <w:rFonts w:ascii="Verdana" w:eastAsia="Geomanist Light" w:hAnsi="Verdana" w:cs="Arial"/>
          <w:color w:val="000000" w:themeColor="text1"/>
          <w:lang w:val="es-ES_tradnl"/>
        </w:rPr>
      </w:pPr>
    </w:p>
    <w:p w14:paraId="0B06A272" w14:textId="77777777" w:rsidR="00E724E5" w:rsidRPr="00817382" w:rsidRDefault="00E724E5" w:rsidP="00E724E5">
      <w:pPr>
        <w:spacing w:after="0" w:line="240" w:lineRule="auto"/>
        <w:rPr>
          <w:rFonts w:ascii="Verdana" w:eastAsia="Geomanist Light" w:hAnsi="Verdana" w:cs="Arial"/>
          <w:color w:val="000000" w:themeColor="text1"/>
          <w:lang w:val="es-ES_tradnl"/>
        </w:rPr>
      </w:pPr>
    </w:p>
    <w:p w14:paraId="1892B52D" w14:textId="77777777" w:rsidR="00E724E5" w:rsidRPr="00817382" w:rsidRDefault="00E724E5" w:rsidP="00E724E5">
      <w:pPr>
        <w:spacing w:after="0" w:line="240" w:lineRule="auto"/>
        <w:rPr>
          <w:rFonts w:ascii="Verdana" w:eastAsia="Geomanist Light" w:hAnsi="Verdana" w:cs="Arial"/>
          <w:color w:val="000000" w:themeColor="text1"/>
          <w:lang w:val="es-ES_tradnl"/>
        </w:rPr>
      </w:pPr>
    </w:p>
    <w:p w14:paraId="4F3D36F2" w14:textId="77777777" w:rsidR="00E724E5" w:rsidRPr="00817382" w:rsidRDefault="00E724E5" w:rsidP="00E724E5">
      <w:pPr>
        <w:spacing w:after="0" w:line="240" w:lineRule="auto"/>
        <w:rPr>
          <w:rFonts w:ascii="Verdana" w:eastAsia="Geomanist Light" w:hAnsi="Verdana" w:cs="Arial"/>
          <w:color w:val="000000" w:themeColor="text1"/>
          <w:lang w:val="es-ES_tradnl"/>
        </w:rPr>
      </w:pPr>
    </w:p>
    <w:p w14:paraId="7A71B335" w14:textId="77777777" w:rsidR="00E724E5" w:rsidRPr="00817382" w:rsidRDefault="00E724E5" w:rsidP="00E724E5">
      <w:pPr>
        <w:spacing w:after="0" w:line="240" w:lineRule="auto"/>
        <w:rPr>
          <w:rFonts w:ascii="Verdana" w:eastAsia="Geomanist Light" w:hAnsi="Verdana" w:cs="Arial"/>
          <w:color w:val="000000" w:themeColor="text1"/>
          <w:lang w:val="es-ES_tradnl"/>
        </w:rPr>
      </w:pPr>
    </w:p>
    <w:p w14:paraId="76F4FB86" w14:textId="77777777" w:rsidR="00E724E5" w:rsidRPr="00817382" w:rsidRDefault="00E724E5" w:rsidP="00E724E5">
      <w:pPr>
        <w:spacing w:after="0" w:line="240" w:lineRule="auto"/>
        <w:rPr>
          <w:rFonts w:ascii="Verdana" w:eastAsia="Geomanist Light" w:hAnsi="Verdana" w:cs="Arial"/>
          <w:color w:val="000000" w:themeColor="text1"/>
          <w:lang w:val="es-ES_tradnl"/>
        </w:rPr>
      </w:pPr>
    </w:p>
    <w:p w14:paraId="2F624CE0" w14:textId="77777777" w:rsidR="00E724E5" w:rsidRPr="00817382" w:rsidRDefault="00E724E5" w:rsidP="00E724E5">
      <w:pPr>
        <w:spacing w:after="0" w:line="240" w:lineRule="auto"/>
        <w:rPr>
          <w:rFonts w:ascii="Verdana" w:eastAsia="Geomanist Light" w:hAnsi="Verdana" w:cs="Arial"/>
          <w:color w:val="000000" w:themeColor="text1"/>
          <w:lang w:val="es-ES_tradnl"/>
        </w:rPr>
      </w:pPr>
    </w:p>
    <w:p w14:paraId="692BF754" w14:textId="77777777" w:rsidR="00E724E5" w:rsidRPr="00817382" w:rsidRDefault="00E724E5" w:rsidP="00E724E5">
      <w:pPr>
        <w:spacing w:after="0" w:line="240" w:lineRule="auto"/>
        <w:rPr>
          <w:rFonts w:ascii="Verdana" w:eastAsia="Geomanist Light" w:hAnsi="Verdana" w:cs="Arial"/>
          <w:color w:val="000000" w:themeColor="text1"/>
          <w:lang w:val="es-ES_tradnl"/>
        </w:rPr>
      </w:pPr>
    </w:p>
    <w:p w14:paraId="56BC3611" w14:textId="77777777" w:rsidR="00E724E5" w:rsidRPr="00817382" w:rsidRDefault="00E724E5" w:rsidP="00E724E5">
      <w:pPr>
        <w:spacing w:after="0" w:line="240" w:lineRule="auto"/>
        <w:rPr>
          <w:rFonts w:ascii="Verdana" w:eastAsia="Geomanist Light" w:hAnsi="Verdana" w:cs="Arial"/>
          <w:color w:val="000000" w:themeColor="text1"/>
          <w:lang w:val="es-ES_tradnl"/>
        </w:rPr>
      </w:pPr>
    </w:p>
    <w:p w14:paraId="0D73213E" w14:textId="77777777" w:rsidR="00E724E5" w:rsidRDefault="00E724E5" w:rsidP="00E724E5">
      <w:pPr>
        <w:spacing w:after="0" w:line="240" w:lineRule="auto"/>
        <w:rPr>
          <w:rFonts w:ascii="Verdana" w:eastAsia="Geomanist Light" w:hAnsi="Verdana" w:cs="Arial"/>
          <w:color w:val="000000" w:themeColor="text1"/>
          <w:lang w:val="es-ES_tradnl"/>
        </w:rPr>
      </w:pPr>
    </w:p>
    <w:p w14:paraId="1799EAC4" w14:textId="77777777" w:rsidR="009C0757" w:rsidRDefault="009C0757" w:rsidP="00E724E5">
      <w:pPr>
        <w:spacing w:after="0" w:line="240" w:lineRule="auto"/>
        <w:rPr>
          <w:rFonts w:ascii="Verdana" w:eastAsia="Geomanist Light" w:hAnsi="Verdana" w:cs="Arial"/>
          <w:color w:val="000000" w:themeColor="text1"/>
          <w:lang w:val="es-ES_tradnl"/>
        </w:rPr>
      </w:pPr>
    </w:p>
    <w:p w14:paraId="76B094A6" w14:textId="77777777" w:rsidR="009C0757" w:rsidRDefault="009C0757" w:rsidP="00E724E5">
      <w:pPr>
        <w:spacing w:after="0" w:line="240" w:lineRule="auto"/>
        <w:rPr>
          <w:rFonts w:ascii="Verdana" w:eastAsia="Geomanist Light" w:hAnsi="Verdana" w:cs="Arial"/>
          <w:color w:val="000000" w:themeColor="text1"/>
          <w:lang w:val="es-ES_tradnl"/>
        </w:rPr>
      </w:pPr>
    </w:p>
    <w:p w14:paraId="0FAF10B3" w14:textId="77777777" w:rsidR="009C0757" w:rsidRDefault="009C0757" w:rsidP="00E724E5">
      <w:pPr>
        <w:spacing w:after="0" w:line="240" w:lineRule="auto"/>
        <w:rPr>
          <w:rFonts w:ascii="Verdana" w:eastAsia="Geomanist Light" w:hAnsi="Verdana" w:cs="Arial"/>
          <w:color w:val="000000" w:themeColor="text1"/>
          <w:lang w:val="es-ES_tradnl"/>
        </w:rPr>
      </w:pPr>
    </w:p>
    <w:p w14:paraId="57A8CD41" w14:textId="77777777" w:rsidR="009C0757" w:rsidRDefault="009C0757" w:rsidP="00E724E5">
      <w:pPr>
        <w:spacing w:after="0" w:line="240" w:lineRule="auto"/>
        <w:rPr>
          <w:rFonts w:ascii="Verdana" w:eastAsia="Geomanist Light" w:hAnsi="Verdana" w:cs="Arial"/>
          <w:color w:val="000000" w:themeColor="text1"/>
          <w:lang w:val="es-ES_tradnl"/>
        </w:rPr>
      </w:pPr>
    </w:p>
    <w:p w14:paraId="365F189E" w14:textId="77777777" w:rsidR="009C0757" w:rsidRDefault="009C0757" w:rsidP="00E724E5">
      <w:pPr>
        <w:spacing w:after="0" w:line="240" w:lineRule="auto"/>
        <w:rPr>
          <w:rFonts w:ascii="Verdana" w:eastAsia="Geomanist Light" w:hAnsi="Verdana" w:cs="Arial"/>
          <w:color w:val="000000" w:themeColor="text1"/>
          <w:lang w:val="es-ES_tradnl"/>
        </w:rPr>
      </w:pPr>
    </w:p>
    <w:p w14:paraId="3167E898" w14:textId="77777777" w:rsidR="009C0757" w:rsidRDefault="009C0757" w:rsidP="00E724E5">
      <w:pPr>
        <w:spacing w:after="0" w:line="240" w:lineRule="auto"/>
        <w:rPr>
          <w:rFonts w:ascii="Verdana" w:eastAsia="Geomanist Light" w:hAnsi="Verdana" w:cs="Arial"/>
          <w:color w:val="000000" w:themeColor="text1"/>
          <w:lang w:val="es-ES_tradnl"/>
        </w:rPr>
      </w:pPr>
    </w:p>
    <w:p w14:paraId="58428773" w14:textId="77777777" w:rsidR="009C0757" w:rsidRDefault="009C0757" w:rsidP="00E724E5">
      <w:pPr>
        <w:spacing w:after="0" w:line="240" w:lineRule="auto"/>
        <w:rPr>
          <w:rFonts w:ascii="Verdana" w:eastAsia="Geomanist Light" w:hAnsi="Verdana" w:cs="Arial"/>
          <w:color w:val="000000" w:themeColor="text1"/>
          <w:lang w:val="es-ES_tradnl"/>
        </w:rPr>
      </w:pPr>
    </w:p>
    <w:p w14:paraId="114A85BA" w14:textId="77777777" w:rsidR="009C0757" w:rsidRDefault="009C0757" w:rsidP="00E724E5">
      <w:pPr>
        <w:spacing w:after="0" w:line="240" w:lineRule="auto"/>
        <w:rPr>
          <w:rFonts w:ascii="Verdana" w:eastAsia="Geomanist Light" w:hAnsi="Verdana" w:cs="Arial"/>
          <w:color w:val="000000" w:themeColor="text1"/>
          <w:lang w:val="es-ES_tradnl"/>
        </w:rPr>
      </w:pPr>
    </w:p>
    <w:p w14:paraId="50EFB66D" w14:textId="77777777" w:rsidR="009C0757" w:rsidRDefault="009C0757" w:rsidP="00E724E5">
      <w:pPr>
        <w:spacing w:after="0" w:line="240" w:lineRule="auto"/>
        <w:rPr>
          <w:rFonts w:ascii="Verdana" w:eastAsia="Geomanist Light" w:hAnsi="Verdana" w:cs="Arial"/>
          <w:color w:val="000000" w:themeColor="text1"/>
          <w:lang w:val="es-ES_tradnl"/>
        </w:rPr>
      </w:pPr>
    </w:p>
    <w:p w14:paraId="1CF468F1" w14:textId="77777777" w:rsidR="009C0757" w:rsidRDefault="009C0757" w:rsidP="00E724E5">
      <w:pPr>
        <w:spacing w:after="0" w:line="240" w:lineRule="auto"/>
        <w:rPr>
          <w:rFonts w:ascii="Verdana" w:eastAsia="Geomanist Light" w:hAnsi="Verdana" w:cs="Arial"/>
          <w:color w:val="000000" w:themeColor="text1"/>
          <w:lang w:val="es-ES_tradnl"/>
        </w:rPr>
      </w:pPr>
    </w:p>
    <w:p w14:paraId="03D3014D" w14:textId="77777777" w:rsidR="009C0757" w:rsidRDefault="009C0757" w:rsidP="00E724E5">
      <w:pPr>
        <w:spacing w:after="0" w:line="240" w:lineRule="auto"/>
        <w:rPr>
          <w:rFonts w:ascii="Verdana" w:eastAsia="Geomanist Light" w:hAnsi="Verdana" w:cs="Arial"/>
          <w:color w:val="000000" w:themeColor="text1"/>
          <w:lang w:val="es-ES_tradnl"/>
        </w:rPr>
      </w:pPr>
    </w:p>
    <w:p w14:paraId="575FA65F" w14:textId="77777777" w:rsidR="009C0757" w:rsidRPr="00817382" w:rsidRDefault="009C0757" w:rsidP="00E724E5">
      <w:pPr>
        <w:spacing w:after="0" w:line="240" w:lineRule="auto"/>
        <w:rPr>
          <w:rFonts w:ascii="Verdana" w:eastAsia="Geomanist Light" w:hAnsi="Verdana" w:cs="Arial"/>
          <w:color w:val="000000" w:themeColor="text1"/>
          <w:lang w:val="es-ES_tradnl"/>
        </w:rPr>
      </w:pPr>
    </w:p>
    <w:p w14:paraId="14CEECB1" w14:textId="77777777" w:rsidR="00E724E5" w:rsidRPr="00817382" w:rsidRDefault="00E724E5" w:rsidP="00E724E5">
      <w:pPr>
        <w:spacing w:after="0" w:line="240" w:lineRule="auto"/>
        <w:rPr>
          <w:rFonts w:ascii="Verdana" w:eastAsia="Geomanist Light" w:hAnsi="Verdana" w:cs="Arial"/>
          <w:color w:val="000000" w:themeColor="text1"/>
          <w:lang w:val="es-ES_tradnl"/>
        </w:rPr>
      </w:pPr>
    </w:p>
    <w:p w14:paraId="615AF95F" w14:textId="77777777" w:rsidR="00E724E5" w:rsidRPr="00817382" w:rsidRDefault="00E724E5" w:rsidP="00E724E5">
      <w:pPr>
        <w:spacing w:after="0" w:line="240" w:lineRule="auto"/>
        <w:rPr>
          <w:rFonts w:ascii="Verdana" w:eastAsia="Geomanist Light" w:hAnsi="Verdana" w:cs="Arial"/>
          <w:color w:val="000000" w:themeColor="text1"/>
          <w:lang w:val="es-ES_tradnl"/>
        </w:rPr>
      </w:pPr>
    </w:p>
    <w:p w14:paraId="7A1D9EC1" w14:textId="77777777" w:rsidR="00E724E5" w:rsidRPr="00817382" w:rsidRDefault="00E724E5" w:rsidP="00E724E5">
      <w:pPr>
        <w:spacing w:after="0" w:line="240" w:lineRule="auto"/>
        <w:rPr>
          <w:rFonts w:ascii="Verdana" w:eastAsia="Geomanist Light" w:hAnsi="Verdana" w:cs="Arial"/>
          <w:color w:val="000000" w:themeColor="text1"/>
          <w:lang w:val="es-ES_tradnl"/>
        </w:rPr>
      </w:pPr>
    </w:p>
    <w:p w14:paraId="5D604BDF" w14:textId="77777777" w:rsidR="00E724E5" w:rsidRPr="00817382" w:rsidRDefault="00E724E5" w:rsidP="00E724E5">
      <w:pPr>
        <w:spacing w:after="0" w:line="240" w:lineRule="auto"/>
        <w:rPr>
          <w:rFonts w:ascii="Verdana" w:eastAsia="Geomanist Light" w:hAnsi="Verdana" w:cs="Arial"/>
          <w:color w:val="000000" w:themeColor="text1"/>
          <w:lang w:val="es-ES_tradnl"/>
        </w:rPr>
      </w:pPr>
    </w:p>
    <w:p w14:paraId="524B8A4B" w14:textId="77777777" w:rsidR="00E724E5" w:rsidRPr="00817382" w:rsidRDefault="00E724E5" w:rsidP="00E724E5">
      <w:pPr>
        <w:spacing w:after="0" w:line="240" w:lineRule="auto"/>
        <w:rPr>
          <w:rFonts w:ascii="Verdana" w:eastAsia="Geomanist Light" w:hAnsi="Verdana" w:cs="Arial"/>
          <w:color w:val="000000" w:themeColor="text1"/>
          <w:lang w:val="es-ES_tradnl"/>
        </w:rPr>
      </w:pPr>
    </w:p>
    <w:p w14:paraId="370548BF" w14:textId="77777777" w:rsidR="00E724E5" w:rsidRPr="00817382" w:rsidRDefault="00E724E5" w:rsidP="00E724E5">
      <w:pPr>
        <w:spacing w:after="0" w:line="240" w:lineRule="auto"/>
        <w:rPr>
          <w:rFonts w:ascii="Verdana" w:eastAsia="Geomanist Light" w:hAnsi="Verdana" w:cs="Arial"/>
          <w:color w:val="000000" w:themeColor="text1"/>
          <w:lang w:val="es-ES_tradnl"/>
        </w:rPr>
      </w:pPr>
    </w:p>
    <w:p w14:paraId="60C497A2" w14:textId="77777777" w:rsidR="00E724E5" w:rsidRPr="00817382" w:rsidRDefault="00E724E5" w:rsidP="00E724E5">
      <w:pPr>
        <w:spacing w:after="0" w:line="240" w:lineRule="auto"/>
        <w:rPr>
          <w:rFonts w:ascii="Verdana" w:eastAsia="Geomanist Light" w:hAnsi="Verdana" w:cs="Arial"/>
          <w:color w:val="000000" w:themeColor="text1"/>
          <w:lang w:val="es-ES_tradnl"/>
        </w:rPr>
      </w:pPr>
    </w:p>
    <w:p w14:paraId="1DD4EF04" w14:textId="77777777" w:rsidR="00E724E5" w:rsidRDefault="00E724E5" w:rsidP="3239A092">
      <w:pPr>
        <w:spacing w:after="0" w:line="240" w:lineRule="auto"/>
        <w:rPr>
          <w:rFonts w:ascii="Verdana" w:eastAsia="Geomanist Light" w:hAnsi="Verdana" w:cs="Arial"/>
          <w:color w:val="000000" w:themeColor="text1"/>
          <w:lang w:val="es-ES_tradnl"/>
        </w:rPr>
      </w:pPr>
    </w:p>
    <w:p w14:paraId="0F7E4E34" w14:textId="77777777" w:rsidR="00E724E5" w:rsidRDefault="00E724E5" w:rsidP="3239A092">
      <w:pPr>
        <w:spacing w:after="0" w:line="240" w:lineRule="auto"/>
        <w:rPr>
          <w:rFonts w:ascii="Verdana" w:eastAsia="Geomanist Light" w:hAnsi="Verdana" w:cs="Arial"/>
          <w:color w:val="000000" w:themeColor="text1"/>
          <w:lang w:val="es-ES_tradnl"/>
        </w:rPr>
      </w:pPr>
    </w:p>
    <w:p w14:paraId="0476F627" w14:textId="77777777" w:rsidR="00F23276" w:rsidRDefault="00F23276" w:rsidP="3239A092">
      <w:pPr>
        <w:spacing w:after="0" w:line="240" w:lineRule="auto"/>
        <w:rPr>
          <w:rFonts w:ascii="Verdana" w:eastAsia="Geomanist Light" w:hAnsi="Verdana" w:cs="Arial"/>
          <w:color w:val="000000" w:themeColor="text1"/>
          <w:lang w:val="es-ES_tradnl"/>
        </w:rPr>
      </w:pPr>
    </w:p>
    <w:p w14:paraId="1AB3CCC9" w14:textId="77777777" w:rsidR="00E724E5" w:rsidRDefault="00E724E5" w:rsidP="3239A092">
      <w:pPr>
        <w:spacing w:after="0" w:line="240" w:lineRule="auto"/>
        <w:rPr>
          <w:rFonts w:ascii="Verdana" w:eastAsia="Geomanist Light" w:hAnsi="Verdana" w:cs="Arial"/>
          <w:color w:val="000000" w:themeColor="text1"/>
          <w:lang w:val="es-ES_tradnl"/>
        </w:rPr>
      </w:pPr>
    </w:p>
    <w:p w14:paraId="3ED2021A" w14:textId="77777777" w:rsidR="00E724E5" w:rsidRDefault="00E724E5" w:rsidP="3239A092">
      <w:pPr>
        <w:spacing w:after="0" w:line="240" w:lineRule="auto"/>
        <w:rPr>
          <w:rFonts w:ascii="Verdana" w:eastAsia="Geomanist Light" w:hAnsi="Verdana" w:cs="Arial"/>
          <w:color w:val="000000" w:themeColor="text1"/>
          <w:lang w:val="es-ES_tradnl"/>
        </w:rPr>
      </w:pPr>
    </w:p>
    <w:p w14:paraId="469A5193" w14:textId="77777777" w:rsidR="00E724E5" w:rsidRDefault="00E724E5" w:rsidP="3239A092">
      <w:pPr>
        <w:spacing w:after="0" w:line="240" w:lineRule="auto"/>
        <w:rPr>
          <w:rFonts w:ascii="Verdana" w:eastAsia="Geomanist Light" w:hAnsi="Verdana" w:cs="Arial"/>
          <w:color w:val="000000" w:themeColor="text1"/>
          <w:lang w:val="es-ES_tradnl"/>
        </w:rPr>
      </w:pPr>
    </w:p>
    <w:p w14:paraId="6F8EB8A9" w14:textId="77777777" w:rsidR="00E724E5" w:rsidRDefault="00E724E5" w:rsidP="3239A092">
      <w:pPr>
        <w:spacing w:after="0" w:line="240" w:lineRule="auto"/>
        <w:rPr>
          <w:rFonts w:ascii="Verdana" w:eastAsia="Geomanist Light" w:hAnsi="Verdana" w:cs="Arial"/>
          <w:color w:val="000000" w:themeColor="text1"/>
          <w:lang w:val="es-ES_tradnl"/>
        </w:rPr>
      </w:pPr>
    </w:p>
    <w:p w14:paraId="619988BF" w14:textId="77777777" w:rsidR="00E724E5" w:rsidRPr="00E724E5" w:rsidRDefault="00E724E5" w:rsidP="3239A092">
      <w:pPr>
        <w:spacing w:after="0" w:line="240" w:lineRule="auto"/>
        <w:rPr>
          <w:rFonts w:ascii="Verdana" w:eastAsia="Geomanist Light" w:hAnsi="Verdana" w:cs="Arial"/>
          <w:color w:val="000000" w:themeColor="text1"/>
          <w:lang w:val="es-ES_tradnl"/>
        </w:rPr>
      </w:pPr>
    </w:p>
    <w:p w14:paraId="3B4908A4" w14:textId="77777777" w:rsidR="008642BC" w:rsidRDefault="008642BC" w:rsidP="00D97EF3">
      <w:pPr>
        <w:spacing w:after="0" w:line="240" w:lineRule="auto"/>
        <w:rPr>
          <w:rFonts w:ascii="Verdana" w:eastAsia="Geomanist Light" w:hAnsi="Verdana" w:cs="Arial"/>
          <w:color w:val="000000" w:themeColor="text1"/>
          <w:lang w:val="es-MX"/>
        </w:rPr>
      </w:pPr>
    </w:p>
    <w:p w14:paraId="45D605D1" w14:textId="71B9E981" w:rsidR="00D97EF3" w:rsidRDefault="00D97EF3" w:rsidP="00D97EF3">
      <w:pPr>
        <w:spacing w:after="0" w:line="240" w:lineRule="auto"/>
        <w:rPr>
          <w:rFonts w:ascii="Verdana" w:eastAsia="Geomanist Light" w:hAnsi="Verdana" w:cs="Arial"/>
          <w:color w:val="201F1E"/>
          <w:lang w:val="es-MX"/>
        </w:rPr>
      </w:pPr>
      <w:r w:rsidRPr="00A27102">
        <w:rPr>
          <w:rFonts w:ascii="Verdana" w:eastAsia="Geomanist Light" w:hAnsi="Verdana" w:cs="Arial"/>
          <w:color w:val="000000" w:themeColor="text1"/>
          <w:lang w:val="es-MX"/>
        </w:rPr>
        <w:lastRenderedPageBreak/>
        <w:t>Bogotá D.C., </w:t>
      </w:r>
      <w:r w:rsidR="007369CA">
        <w:rPr>
          <w:rFonts w:ascii="Verdana" w:eastAsia="Geomanist Light" w:hAnsi="Verdana" w:cs="Arial"/>
          <w:color w:val="201F1E"/>
          <w:lang w:val="es-MX"/>
        </w:rPr>
        <w:t>29 de octubre de 2025</w:t>
      </w:r>
    </w:p>
    <w:p w14:paraId="245AFC15" w14:textId="21F58FA9" w:rsidR="007369CA" w:rsidRPr="002E78B1" w:rsidRDefault="007369CA" w:rsidP="00D97EF3">
      <w:pPr>
        <w:spacing w:after="0" w:line="240" w:lineRule="auto"/>
        <w:rPr>
          <w:rFonts w:ascii="Verdana" w:eastAsia="Geomanist Light" w:hAnsi="Verdana" w:cs="Arial"/>
          <w:color w:val="201F1E"/>
          <w:lang w:val="es-MX"/>
        </w:rPr>
      </w:pPr>
    </w:p>
    <w:p w14:paraId="3EAA0575" w14:textId="1376195B" w:rsidR="00D97EF3" w:rsidRDefault="00D97EF3" w:rsidP="00D97EF3">
      <w:pPr>
        <w:spacing w:after="0" w:line="240" w:lineRule="auto"/>
        <w:jc w:val="right"/>
        <w:rPr>
          <w:rFonts w:ascii="Verdana" w:eastAsia="Calibri" w:hAnsi="Verdana" w:cs="Arial"/>
          <w:color w:val="000000"/>
          <w:lang w:val="es-ES_tradnl"/>
        </w:rPr>
      </w:pPr>
    </w:p>
    <w:p w14:paraId="1BA02DE0" w14:textId="649518BD" w:rsidR="00D97EF3" w:rsidRPr="00817382" w:rsidRDefault="000E7068" w:rsidP="00D97EF3">
      <w:pPr>
        <w:spacing w:after="0" w:line="240" w:lineRule="auto"/>
        <w:jc w:val="both"/>
        <w:rPr>
          <w:rFonts w:ascii="Verdana" w:eastAsia="Calibri" w:hAnsi="Verdana" w:cs="Arial"/>
          <w:color w:val="000000"/>
          <w:lang w:val="es-ES_tradnl"/>
        </w:rPr>
      </w:pPr>
      <w:r w:rsidRPr="007369CA">
        <w:rPr>
          <w:rFonts w:ascii="Verdana" w:eastAsia="Calibri" w:hAnsi="Verdana" w:cs="Arial"/>
          <w:noProof/>
          <w:color w:val="000000"/>
          <w:lang w:val="es-ES_tradnl"/>
        </w:rPr>
        <w:drawing>
          <wp:anchor distT="0" distB="0" distL="114300" distR="114300" simplePos="0" relativeHeight="251659264" behindDoc="0" locked="0" layoutInCell="1" allowOverlap="1" wp14:anchorId="4F8BD81E" wp14:editId="46E2FC67">
            <wp:simplePos x="0" y="0"/>
            <wp:positionH relativeFrom="margin">
              <wp:align>right</wp:align>
            </wp:positionH>
            <wp:positionV relativeFrom="paragraph">
              <wp:posOffset>6018</wp:posOffset>
            </wp:positionV>
            <wp:extent cx="2707005" cy="876300"/>
            <wp:effectExtent l="0" t="0" r="0" b="0"/>
            <wp:wrapSquare wrapText="bothSides"/>
            <wp:docPr id="31684657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707005" cy="876300"/>
                    </a:xfrm>
                    <a:prstGeom prst="rect">
                      <a:avLst/>
                    </a:prstGeom>
                    <a:noFill/>
                    <a:ln>
                      <a:noFill/>
                    </a:ln>
                  </pic:spPr>
                </pic:pic>
              </a:graphicData>
            </a:graphic>
            <wp14:sizeRelH relativeFrom="margin">
              <wp14:pctWidth>0</wp14:pctWidth>
            </wp14:sizeRelH>
          </wp:anchor>
        </w:drawing>
      </w:r>
    </w:p>
    <w:p w14:paraId="6B0CB214" w14:textId="77777777" w:rsidR="00D97EF3" w:rsidRPr="00817382" w:rsidRDefault="00D97EF3" w:rsidP="00D97EF3">
      <w:pPr>
        <w:spacing w:after="0" w:line="240" w:lineRule="auto"/>
        <w:jc w:val="both"/>
        <w:rPr>
          <w:rFonts w:ascii="Verdana" w:eastAsia="Calibri" w:hAnsi="Verdana" w:cs="Arial"/>
          <w:lang w:val="es-ES_tradnl" w:eastAsia="es-ES"/>
        </w:rPr>
      </w:pPr>
      <w:r w:rsidRPr="00817382">
        <w:rPr>
          <w:rFonts w:ascii="Verdana" w:eastAsia="Calibri" w:hAnsi="Verdana" w:cs="Arial"/>
          <w:lang w:val="es-ES_tradnl" w:eastAsia="es-ES"/>
        </w:rPr>
        <w:t>Señor</w:t>
      </w:r>
    </w:p>
    <w:p w14:paraId="6118A2F3" w14:textId="77777777" w:rsidR="00D97EF3" w:rsidRPr="00817382" w:rsidRDefault="00D97EF3" w:rsidP="00D97EF3">
      <w:pPr>
        <w:spacing w:after="0" w:line="240" w:lineRule="auto"/>
        <w:rPr>
          <w:rFonts w:ascii="Verdana" w:eastAsia="Calibri" w:hAnsi="Verdana" w:cs="Arial"/>
          <w:b/>
          <w:lang w:val="es-ES_tradnl" w:eastAsia="es-ES_tradnl"/>
        </w:rPr>
      </w:pPr>
      <w:r>
        <w:rPr>
          <w:rFonts w:ascii="Verdana" w:eastAsia="Calibri" w:hAnsi="Verdana" w:cs="Arial"/>
          <w:b/>
          <w:lang w:val="es-ES_tradnl" w:eastAsia="es-ES_tradnl"/>
        </w:rPr>
        <w:t>Cristian David Villareal Prada</w:t>
      </w:r>
    </w:p>
    <w:p w14:paraId="09301D85" w14:textId="77777777" w:rsidR="00D97EF3" w:rsidRPr="00531711" w:rsidRDefault="00D97EF3" w:rsidP="00D97EF3">
      <w:pPr>
        <w:spacing w:after="0" w:line="240" w:lineRule="auto"/>
        <w:rPr>
          <w:rFonts w:ascii="Verdana" w:eastAsia="Calibri" w:hAnsi="Verdana" w:cs="Arial"/>
          <w:lang w:val="es-ES_tradnl" w:eastAsia="es-ES"/>
        </w:rPr>
      </w:pPr>
      <w:hyperlink r:id="rId11" w:history="1">
        <w:r w:rsidRPr="00531711">
          <w:rPr>
            <w:rStyle w:val="Hipervnculo"/>
            <w:rFonts w:ascii="Verdana" w:hAnsi="Verdana"/>
          </w:rPr>
          <w:t>judicante.contratos@electrohuila.co</w:t>
        </w:r>
      </w:hyperlink>
      <w:r w:rsidRPr="00531711">
        <w:rPr>
          <w:rFonts w:ascii="Verdana" w:hAnsi="Verdana"/>
        </w:rPr>
        <w:t xml:space="preserve"> </w:t>
      </w:r>
    </w:p>
    <w:p w14:paraId="15E9379C" w14:textId="77777777" w:rsidR="00D97EF3" w:rsidRPr="00817382" w:rsidRDefault="00D97EF3" w:rsidP="00D97EF3">
      <w:pPr>
        <w:spacing w:after="0" w:line="240" w:lineRule="auto"/>
        <w:rPr>
          <w:rFonts w:ascii="Verdana" w:eastAsia="Calibri" w:hAnsi="Verdana" w:cs="Arial"/>
          <w:lang w:val="es-ES_tradnl" w:eastAsia="es-ES"/>
        </w:rPr>
      </w:pPr>
      <w:r w:rsidRPr="00817382">
        <w:rPr>
          <w:rFonts w:ascii="Verdana" w:eastAsia="Geomanist Light" w:hAnsi="Verdana" w:cs="Arial"/>
          <w:color w:val="000000" w:themeColor="text1"/>
          <w:lang w:val="es-ES_tradnl"/>
        </w:rPr>
        <w:t>Bogotá D.C.</w:t>
      </w:r>
    </w:p>
    <w:p w14:paraId="2F07094E" w14:textId="77777777" w:rsidR="00D97EF3" w:rsidRPr="00817382" w:rsidRDefault="00D97EF3" w:rsidP="00D97EF3">
      <w:pPr>
        <w:spacing w:after="0" w:line="240" w:lineRule="auto"/>
        <w:rPr>
          <w:rFonts w:ascii="Verdana" w:eastAsia="Calibri" w:hAnsi="Verdana" w:cs="Arial"/>
          <w:b/>
          <w:bCs/>
          <w:color w:val="000000"/>
          <w:lang w:val="es-ES_tradnl" w:eastAsia="es-ES_tradnl"/>
        </w:rPr>
      </w:pPr>
    </w:p>
    <w:p w14:paraId="3BFCC091" w14:textId="77777777" w:rsidR="00D97EF3" w:rsidRPr="00817382" w:rsidRDefault="00D97EF3" w:rsidP="00D97EF3">
      <w:pPr>
        <w:spacing w:after="0" w:line="240" w:lineRule="auto"/>
        <w:rPr>
          <w:rFonts w:ascii="Verdana" w:eastAsia="Calibri" w:hAnsi="Verdana" w:cs="Arial"/>
          <w:b/>
          <w:bCs/>
          <w:color w:val="000000"/>
          <w:lang w:val="es-ES_tradnl" w:eastAsia="es-ES_tradnl"/>
        </w:rPr>
      </w:pPr>
    </w:p>
    <w:tbl>
      <w:tblPr>
        <w:tblStyle w:val="Tablaconcuadrcula"/>
        <w:tblW w:w="8789" w:type="dxa"/>
        <w:tblCellMar>
          <w:left w:w="0" w:type="dxa"/>
          <w:right w:w="0" w:type="dxa"/>
        </w:tblCellMar>
        <w:tblLook w:val="04A0" w:firstRow="1" w:lastRow="0" w:firstColumn="1" w:lastColumn="0" w:noHBand="0" w:noVBand="1"/>
      </w:tblPr>
      <w:tblGrid>
        <w:gridCol w:w="2689"/>
        <w:gridCol w:w="6100"/>
      </w:tblGrid>
      <w:tr w:rsidR="00D97EF3" w:rsidRPr="00817382" w14:paraId="5EEE57F0" w14:textId="77777777" w:rsidTr="00AA66B2">
        <w:trPr>
          <w:trHeight w:val="633"/>
        </w:trPr>
        <w:tc>
          <w:tcPr>
            <w:tcW w:w="2689" w:type="dxa"/>
          </w:tcPr>
          <w:p w14:paraId="6A743C3C" w14:textId="77777777" w:rsidR="00D97EF3" w:rsidRPr="00817382" w:rsidRDefault="00D97EF3" w:rsidP="00BE3615">
            <w:pPr>
              <w:jc w:val="both"/>
              <w:rPr>
                <w:rFonts w:ascii="Verdana" w:eastAsia="Calibri" w:hAnsi="Verdana" w:cs="Arial"/>
                <w:b/>
                <w:bCs/>
                <w:color w:val="7030A0"/>
                <w:lang w:val="es-ES_tradnl" w:eastAsia="es-ES_tradnl"/>
              </w:rPr>
            </w:pPr>
          </w:p>
        </w:tc>
        <w:tc>
          <w:tcPr>
            <w:tcW w:w="6100" w:type="dxa"/>
          </w:tcPr>
          <w:p w14:paraId="0837C788" w14:textId="77777777" w:rsidR="00D97EF3" w:rsidRPr="00817382" w:rsidRDefault="00D97EF3" w:rsidP="00BE3615">
            <w:pPr>
              <w:jc w:val="both"/>
              <w:rPr>
                <w:rFonts w:ascii="Verdana" w:eastAsia="Calibri" w:hAnsi="Verdana" w:cs="Arial"/>
                <w:b/>
                <w:bCs/>
                <w:color w:val="7030A0"/>
                <w:lang w:val="es-ES_tradnl" w:eastAsia="es-ES"/>
              </w:rPr>
            </w:pPr>
            <w:r w:rsidRPr="00817382">
              <w:rPr>
                <w:rFonts w:ascii="Verdana" w:eastAsia="Calibri" w:hAnsi="Verdana" w:cs="Arial"/>
                <w:b/>
                <w:bCs/>
                <w:lang w:val="es-ES_tradnl" w:eastAsia="es-ES"/>
              </w:rPr>
              <w:t>Concepto C – 1</w:t>
            </w:r>
            <w:r>
              <w:rPr>
                <w:rFonts w:ascii="Verdana" w:eastAsia="Calibri" w:hAnsi="Verdana" w:cs="Arial"/>
                <w:b/>
                <w:bCs/>
                <w:lang w:val="es-ES_tradnl" w:eastAsia="es-ES"/>
              </w:rPr>
              <w:t>357</w:t>
            </w:r>
            <w:r w:rsidRPr="00817382">
              <w:rPr>
                <w:rFonts w:ascii="Verdana" w:eastAsia="Calibri" w:hAnsi="Verdana" w:cs="Arial"/>
                <w:b/>
                <w:bCs/>
                <w:lang w:val="es-ES_tradnl" w:eastAsia="es-ES"/>
              </w:rPr>
              <w:t xml:space="preserve"> de 2025</w:t>
            </w:r>
          </w:p>
        </w:tc>
      </w:tr>
      <w:tr w:rsidR="00D97EF3" w:rsidRPr="00817382" w14:paraId="682E36F6" w14:textId="77777777" w:rsidTr="00AA66B2">
        <w:trPr>
          <w:trHeight w:val="884"/>
        </w:trPr>
        <w:tc>
          <w:tcPr>
            <w:tcW w:w="2689" w:type="dxa"/>
          </w:tcPr>
          <w:p w14:paraId="78B0807B" w14:textId="77777777" w:rsidR="00D97EF3" w:rsidRPr="00817382" w:rsidRDefault="00D97EF3" w:rsidP="00BE3615">
            <w:pPr>
              <w:jc w:val="both"/>
              <w:rPr>
                <w:rFonts w:ascii="Verdana" w:eastAsia="Calibri" w:hAnsi="Verdana" w:cs="Arial"/>
                <w:color w:val="000000"/>
                <w:lang w:val="es-ES_tradnl" w:eastAsia="es-ES_tradnl"/>
              </w:rPr>
            </w:pPr>
            <w:r w:rsidRPr="00817382">
              <w:rPr>
                <w:rFonts w:ascii="Verdana" w:eastAsia="Calibri" w:hAnsi="Verdana" w:cs="Arial"/>
                <w:b/>
                <w:color w:val="000000"/>
                <w:lang w:val="es-ES_tradnl" w:eastAsia="es-ES_tradnl"/>
              </w:rPr>
              <w:t>Temas:</w:t>
            </w:r>
            <w:r w:rsidRPr="00817382">
              <w:rPr>
                <w:rFonts w:ascii="Verdana" w:eastAsia="Calibri" w:hAnsi="Verdana" w:cs="Arial"/>
                <w:color w:val="000000"/>
                <w:lang w:val="es-ES_tradnl" w:eastAsia="es-ES_tradnl"/>
              </w:rPr>
              <w:t xml:space="preserve">                   </w:t>
            </w:r>
          </w:p>
        </w:tc>
        <w:tc>
          <w:tcPr>
            <w:tcW w:w="6100" w:type="dxa"/>
          </w:tcPr>
          <w:p w14:paraId="263DD6E9" w14:textId="77777777" w:rsidR="00D97EF3" w:rsidRPr="00817382" w:rsidRDefault="00D97EF3" w:rsidP="00BE3615">
            <w:pPr>
              <w:spacing w:line="276" w:lineRule="auto"/>
              <w:jc w:val="both"/>
              <w:rPr>
                <w:rFonts w:ascii="Verdana" w:eastAsia="Calibri" w:hAnsi="Verdana" w:cs="Arial"/>
                <w:lang w:val="es-ES_tradnl" w:eastAsia="es-ES"/>
              </w:rPr>
            </w:pPr>
            <w:r w:rsidRPr="00817382">
              <w:rPr>
                <w:rFonts w:ascii="Verdana" w:eastAsia="Calibri" w:hAnsi="Verdana" w:cs="Arial"/>
                <w:lang w:val="es-ES_tradnl" w:eastAsia="es-ES"/>
              </w:rPr>
              <w:t xml:space="preserve">EGCAP – Ámbito de aplicación – Entidades estatales / ENTIDADES EXCEPTUADAS – Aplicación de normas de derecho público / CONTRATOS ESTATALES – Régimen especial – Obligaciones transversales – Manual de contratación – Límites / </w:t>
            </w:r>
            <w:r w:rsidRPr="00C16797">
              <w:rPr>
                <w:rFonts w:ascii="Verdana" w:eastAsia="Calibri" w:hAnsi="Verdana" w:cs="Arial"/>
                <w:lang w:val="es-ES_tradnl" w:eastAsia="es-ES"/>
              </w:rPr>
              <w:t xml:space="preserve">MANUALES DE CONTRATACIÓN – Entidades exceptuadas – </w:t>
            </w:r>
            <w:r>
              <w:rPr>
                <w:rFonts w:ascii="Verdana" w:eastAsia="Calibri" w:hAnsi="Verdana" w:cs="Arial"/>
                <w:lang w:val="es-ES_tradnl" w:eastAsia="es-ES"/>
              </w:rPr>
              <w:t>Marcas</w:t>
            </w:r>
            <w:r w:rsidRPr="00C16797">
              <w:rPr>
                <w:rFonts w:ascii="Verdana" w:eastAsia="Calibri" w:hAnsi="Verdana" w:cs="Arial"/>
                <w:lang w:val="es-ES_tradnl" w:eastAsia="es-ES"/>
              </w:rPr>
              <w:t xml:space="preserve"> </w:t>
            </w:r>
          </w:p>
          <w:p w14:paraId="2D6A7599" w14:textId="77777777" w:rsidR="00D97EF3" w:rsidRPr="00817382" w:rsidRDefault="00D97EF3" w:rsidP="00BE3615">
            <w:pPr>
              <w:spacing w:line="276" w:lineRule="auto"/>
              <w:jc w:val="both"/>
              <w:rPr>
                <w:rFonts w:ascii="Verdana" w:eastAsia="Calibri" w:hAnsi="Verdana" w:cs="Arial"/>
                <w:lang w:val="es-ES_tradnl" w:eastAsia="es-ES"/>
              </w:rPr>
            </w:pPr>
            <w:r w:rsidRPr="00817382">
              <w:rPr>
                <w:rFonts w:ascii="Verdana" w:eastAsia="Calibri" w:hAnsi="Verdana" w:cs="Arial"/>
                <w:lang w:val="es-ES_tradnl" w:eastAsia="es-ES"/>
              </w:rPr>
              <w:t xml:space="preserve">  </w:t>
            </w:r>
          </w:p>
        </w:tc>
      </w:tr>
      <w:tr w:rsidR="00D97EF3" w:rsidRPr="00817382" w14:paraId="48380677" w14:textId="77777777" w:rsidTr="00AA66B2">
        <w:tc>
          <w:tcPr>
            <w:tcW w:w="2689" w:type="dxa"/>
          </w:tcPr>
          <w:p w14:paraId="4FFF670A" w14:textId="77777777" w:rsidR="00D97EF3" w:rsidRPr="00817382" w:rsidRDefault="00D97EF3" w:rsidP="00BE3615">
            <w:pPr>
              <w:jc w:val="both"/>
              <w:rPr>
                <w:rFonts w:ascii="Verdana" w:eastAsia="Calibri" w:hAnsi="Verdana" w:cs="Arial"/>
                <w:b/>
                <w:lang w:val="es-ES_tradnl" w:eastAsia="es-ES_tradnl"/>
              </w:rPr>
            </w:pPr>
            <w:r w:rsidRPr="00817382">
              <w:rPr>
                <w:rFonts w:ascii="Verdana" w:eastAsia="Calibri" w:hAnsi="Verdana" w:cs="Arial"/>
                <w:b/>
                <w:lang w:val="es-ES_tradnl" w:eastAsia="es-ES_tradnl"/>
              </w:rPr>
              <w:t>Radicación:</w:t>
            </w:r>
            <w:r w:rsidRPr="00817382">
              <w:rPr>
                <w:rFonts w:ascii="Verdana" w:eastAsia="Calibri" w:hAnsi="Verdana" w:cs="Arial"/>
                <w:lang w:val="es-ES_tradnl" w:eastAsia="es-ES_tradnl"/>
              </w:rPr>
              <w:t xml:space="preserve">               </w:t>
            </w:r>
          </w:p>
        </w:tc>
        <w:tc>
          <w:tcPr>
            <w:tcW w:w="6100" w:type="dxa"/>
          </w:tcPr>
          <w:p w14:paraId="1420C526" w14:textId="77777777" w:rsidR="00D97EF3" w:rsidRPr="00817382" w:rsidRDefault="00D97EF3" w:rsidP="00BE3615">
            <w:pPr>
              <w:spacing w:line="276" w:lineRule="auto"/>
              <w:jc w:val="both"/>
              <w:rPr>
                <w:rFonts w:ascii="Verdana" w:eastAsia="Calibri" w:hAnsi="Verdana" w:cs="Arial"/>
                <w:lang w:val="es-ES_tradnl" w:eastAsia="es-ES_tradnl"/>
              </w:rPr>
            </w:pPr>
            <w:r w:rsidRPr="00817382">
              <w:rPr>
                <w:rFonts w:ascii="Verdana" w:eastAsia="Calibri" w:hAnsi="Verdana" w:cs="Arial"/>
                <w:lang w:val="es-ES_tradnl" w:eastAsia="es-ES_tradnl"/>
              </w:rPr>
              <w:t xml:space="preserve">Respuesta a la consulta con radicado No. </w:t>
            </w:r>
            <w:r w:rsidRPr="00A852A6">
              <w:rPr>
                <w:rFonts w:ascii="Verdana" w:eastAsia="Calibri" w:hAnsi="Verdana" w:cs="Arial"/>
                <w:lang w:val="es-ES_tradnl" w:eastAsia="es-ES_tradnl"/>
              </w:rPr>
              <w:t>1_2025_09_22_010411</w:t>
            </w:r>
          </w:p>
        </w:tc>
      </w:tr>
    </w:tbl>
    <w:p w14:paraId="285CDDE5" w14:textId="77777777" w:rsidR="00D97EF3" w:rsidRPr="00817382" w:rsidRDefault="00D97EF3" w:rsidP="00D97EF3">
      <w:pPr>
        <w:spacing w:after="0" w:line="240" w:lineRule="auto"/>
        <w:jc w:val="both"/>
        <w:rPr>
          <w:rFonts w:ascii="Verdana" w:eastAsia="Calibri" w:hAnsi="Verdana" w:cs="Arial"/>
          <w:color w:val="000000"/>
          <w:lang w:val="es-ES_tradnl" w:eastAsia="es-ES_tradnl"/>
        </w:rPr>
      </w:pPr>
    </w:p>
    <w:p w14:paraId="0DB96BCB" w14:textId="77777777" w:rsidR="00D97EF3" w:rsidRPr="00817382" w:rsidRDefault="00D97EF3" w:rsidP="00D97EF3">
      <w:pPr>
        <w:spacing w:after="0" w:line="240" w:lineRule="auto"/>
        <w:jc w:val="both"/>
        <w:rPr>
          <w:rFonts w:ascii="Verdana" w:eastAsia="Calibri" w:hAnsi="Verdana" w:cs="Arial"/>
          <w:color w:val="000000"/>
          <w:lang w:val="es-ES_tradnl" w:eastAsia="es-ES_tradnl"/>
        </w:rPr>
      </w:pPr>
    </w:p>
    <w:p w14:paraId="1D68F6CE" w14:textId="77777777" w:rsidR="00D97EF3" w:rsidRPr="00817382" w:rsidRDefault="00D97EF3" w:rsidP="00D97EF3">
      <w:pPr>
        <w:spacing w:after="0" w:line="276" w:lineRule="auto"/>
        <w:jc w:val="both"/>
        <w:rPr>
          <w:rFonts w:ascii="Verdana" w:eastAsia="Calibri" w:hAnsi="Verdana" w:cs="Arial"/>
          <w:lang w:val="es-ES_tradnl" w:eastAsia="es-ES"/>
        </w:rPr>
      </w:pPr>
      <w:r w:rsidRPr="00817382">
        <w:rPr>
          <w:rFonts w:ascii="Verdana" w:eastAsia="Calibri" w:hAnsi="Verdana" w:cs="Arial"/>
          <w:lang w:val="es-ES_tradnl" w:eastAsia="es-ES"/>
        </w:rPr>
        <w:t>Estimad</w:t>
      </w:r>
      <w:r>
        <w:rPr>
          <w:rFonts w:ascii="Verdana" w:eastAsia="Calibri" w:hAnsi="Verdana" w:cs="Arial"/>
          <w:lang w:val="es-ES_tradnl" w:eastAsia="es-ES"/>
        </w:rPr>
        <w:t>o</w:t>
      </w:r>
      <w:r w:rsidRPr="00817382">
        <w:rPr>
          <w:rFonts w:ascii="Verdana" w:eastAsia="Calibri" w:hAnsi="Verdana" w:cs="Arial"/>
          <w:lang w:val="es-ES_tradnl" w:eastAsia="es-ES"/>
        </w:rPr>
        <w:t xml:space="preserve"> señor </w:t>
      </w:r>
      <w:r>
        <w:rPr>
          <w:rFonts w:ascii="Verdana" w:eastAsia="Calibri" w:hAnsi="Verdana" w:cs="Arial"/>
          <w:lang w:val="es-ES_tradnl" w:eastAsia="es-ES"/>
        </w:rPr>
        <w:t>Villareal</w:t>
      </w:r>
      <w:r w:rsidRPr="00817382">
        <w:rPr>
          <w:rFonts w:ascii="Verdana" w:eastAsia="Calibri" w:hAnsi="Verdana" w:cs="Arial"/>
          <w:lang w:val="es-ES_tradnl" w:eastAsia="es-ES"/>
        </w:rPr>
        <w:t xml:space="preserve">: </w:t>
      </w:r>
    </w:p>
    <w:p w14:paraId="5ED10F2E" w14:textId="77777777" w:rsidR="00D97EF3" w:rsidRPr="00817382" w:rsidRDefault="00D97EF3" w:rsidP="00D97EF3">
      <w:pPr>
        <w:tabs>
          <w:tab w:val="left" w:pos="3768"/>
        </w:tabs>
        <w:spacing w:after="0" w:line="276" w:lineRule="auto"/>
        <w:jc w:val="both"/>
        <w:rPr>
          <w:rFonts w:ascii="Verdana" w:eastAsia="Calibri" w:hAnsi="Verdana" w:cs="Arial"/>
          <w:color w:val="000000" w:themeColor="text1"/>
          <w:lang w:val="es-ES_tradnl" w:eastAsia="es-ES"/>
        </w:rPr>
      </w:pPr>
      <w:r w:rsidRPr="00817382">
        <w:rPr>
          <w:rFonts w:ascii="Verdana" w:eastAsia="Calibri" w:hAnsi="Verdana" w:cs="Arial"/>
          <w:color w:val="000000" w:themeColor="text1"/>
          <w:lang w:val="es-ES_tradnl" w:eastAsia="es-ES"/>
        </w:rPr>
        <w:tab/>
      </w:r>
    </w:p>
    <w:p w14:paraId="15404974" w14:textId="77777777" w:rsidR="00D97EF3" w:rsidRPr="00817382" w:rsidRDefault="00D97EF3" w:rsidP="00D97EF3">
      <w:pPr>
        <w:spacing w:after="0" w:line="276" w:lineRule="auto"/>
        <w:jc w:val="both"/>
        <w:rPr>
          <w:rFonts w:ascii="Verdana" w:eastAsia="Calibri" w:hAnsi="Verdana" w:cs="Arial"/>
          <w:color w:val="7030A0"/>
          <w:lang w:val="es-ES_tradnl" w:eastAsia="es-ES"/>
        </w:rPr>
      </w:pPr>
      <w:r w:rsidRPr="00817382">
        <w:rPr>
          <w:rFonts w:ascii="Verdana" w:eastAsia="Calibri" w:hAnsi="Verdana" w:cs="Arial"/>
          <w:color w:val="000000" w:themeColor="text1"/>
          <w:lang w:val="es-ES_tradnl" w:eastAsia="es-ES"/>
        </w:rPr>
        <w:t>En ejercicio de la competencia otorgada por los artículos 3, numeral 5º, y 11, numeral 8º, del Decreto Ley 4170 de 2011,</w:t>
      </w:r>
      <w:r w:rsidRPr="00817382">
        <w:rPr>
          <w:rFonts w:ascii="Verdana" w:eastAsia="Arial MT" w:hAnsi="Verdana" w:cs="Arial MT"/>
          <w:lang w:val="es-ES_tradnl" w:eastAsia="es-ES"/>
        </w:rPr>
        <w:t xml:space="preserve"> </w:t>
      </w:r>
      <w:r w:rsidRPr="00817382">
        <w:rPr>
          <w:rFonts w:ascii="Verdana" w:hAnsi="Verdana" w:cs="Arial"/>
          <w:lang w:val="es-ES_tradnl"/>
        </w:rPr>
        <w:t>así como lo establecido en</w:t>
      </w:r>
      <w:r w:rsidRPr="009B7F46">
        <w:rPr>
          <w:rFonts w:ascii="Verdana" w:hAnsi="Verdana" w:cs="Arial"/>
        </w:rPr>
        <w:t xml:space="preserve"> </w:t>
      </w:r>
      <w:r>
        <w:rPr>
          <w:rFonts w:ascii="Verdana" w:hAnsi="Verdana" w:cs="Arial"/>
        </w:rPr>
        <w:t xml:space="preserve">la </w:t>
      </w:r>
      <w:r w:rsidRPr="00A27102">
        <w:rPr>
          <w:rFonts w:ascii="Verdana" w:hAnsi="Verdana" w:cs="Arial"/>
        </w:rPr>
        <w:t>Resolución 469 de 2025 expedida por esta Entidad</w:t>
      </w:r>
      <w:r w:rsidRPr="00817382">
        <w:rPr>
          <w:rFonts w:ascii="Verdana" w:hAnsi="Verdana" w:cs="Arial"/>
          <w:lang w:val="es-ES_tradnl"/>
        </w:rPr>
        <w:t xml:space="preserve">, </w:t>
      </w:r>
      <w:r w:rsidRPr="00817382">
        <w:rPr>
          <w:rFonts w:ascii="Verdana" w:eastAsia="Calibri" w:hAnsi="Verdana" w:cs="Arial"/>
          <w:color w:val="000000" w:themeColor="text1"/>
          <w:lang w:val="es-ES_tradnl" w:eastAsia="es-ES"/>
        </w:rPr>
        <w:t xml:space="preserve">la Agencia Nacional de Contratación Pública – Colombia Compra Eficiente responde su solicitud de consulta de </w:t>
      </w:r>
      <w:r w:rsidRPr="00817382">
        <w:rPr>
          <w:rFonts w:ascii="Verdana" w:eastAsia="Calibri" w:hAnsi="Verdana" w:cs="Arial"/>
          <w:lang w:val="es-ES_tradnl" w:eastAsia="es-ES"/>
        </w:rPr>
        <w:t xml:space="preserve">fecha </w:t>
      </w:r>
      <w:r>
        <w:rPr>
          <w:rFonts w:ascii="Verdana" w:eastAsia="Calibri" w:hAnsi="Verdana" w:cs="Arial"/>
          <w:lang w:val="es-ES_tradnl" w:eastAsia="es-ES"/>
        </w:rPr>
        <w:t>22 de septiembre de 2025</w:t>
      </w:r>
      <w:r w:rsidRPr="00817382">
        <w:rPr>
          <w:rFonts w:ascii="Verdana" w:eastAsia="Calibri" w:hAnsi="Verdana" w:cs="Arial"/>
          <w:lang w:val="es-ES_tradnl" w:eastAsia="es-ES"/>
        </w:rPr>
        <w:t xml:space="preserve">, en la cual pregunta lo siguiente: </w:t>
      </w:r>
    </w:p>
    <w:p w14:paraId="5E4EB6A3" w14:textId="77777777" w:rsidR="00D97EF3" w:rsidRPr="00817382" w:rsidRDefault="00D97EF3" w:rsidP="00D97EF3">
      <w:pPr>
        <w:pStyle w:val="Prrafodelista"/>
        <w:tabs>
          <w:tab w:val="left" w:pos="142"/>
          <w:tab w:val="left" w:pos="284"/>
        </w:tabs>
        <w:spacing w:after="0" w:line="276" w:lineRule="auto"/>
        <w:ind w:left="0"/>
        <w:jc w:val="both"/>
        <w:rPr>
          <w:rFonts w:ascii="Verdana" w:eastAsia="Century Gothic" w:hAnsi="Verdana" w:cs="Century Gothic"/>
          <w:b/>
          <w:bCs/>
          <w:lang w:val="es-ES_tradnl"/>
        </w:rPr>
      </w:pPr>
    </w:p>
    <w:p w14:paraId="0CC180B5" w14:textId="77777777" w:rsidR="00D97EF3" w:rsidRDefault="00D97EF3" w:rsidP="00D97EF3">
      <w:pPr>
        <w:spacing w:after="0" w:line="240" w:lineRule="auto"/>
        <w:ind w:left="709" w:right="709"/>
        <w:jc w:val="both"/>
        <w:rPr>
          <w:rFonts w:ascii="Verdana" w:eastAsia="Century Gothic" w:hAnsi="Verdana" w:cs="Century Gothic"/>
          <w:sz w:val="20"/>
          <w:szCs w:val="20"/>
        </w:rPr>
      </w:pPr>
      <w:bookmarkStart w:id="1" w:name="_Hlk95313578"/>
      <w:r w:rsidRPr="3239A092">
        <w:rPr>
          <w:rFonts w:ascii="Verdana" w:eastAsia="Century Gothic" w:hAnsi="Verdana" w:cs="Century Gothic"/>
          <w:sz w:val="21"/>
          <w:szCs w:val="21"/>
          <w:lang w:val="es-ES"/>
        </w:rPr>
        <w:t>“</w:t>
      </w:r>
      <w:bookmarkEnd w:id="1"/>
      <w:r w:rsidRPr="00C847FE">
        <w:rPr>
          <w:rFonts w:ascii="Verdana" w:eastAsia="Century Gothic" w:hAnsi="Verdana" w:cs="Century Gothic"/>
          <w:sz w:val="20"/>
          <w:szCs w:val="20"/>
        </w:rPr>
        <w:t xml:space="preserve">1. En el marco de los procesos de selección de contratista adelantados por una entidad de régimen especial, me permito formular la siguiente pregunta: ¿es posible que una entidad de régimen exceptuado exija marcas específicas de bienes o productos a adquirir en un proceso de selección de contratistas? En caso de que la respuesta a la anterior pregunta sea positiva ¿puede la entidad de régimen especial en el marco de su naturaleza privada exigir marcas específicas de bienes o productos a adquirir así estén prohibidas en acuerdos y tratados comerciales suscritos por Colombia? </w:t>
      </w:r>
    </w:p>
    <w:p w14:paraId="76734C09" w14:textId="77777777" w:rsidR="00D97EF3" w:rsidRDefault="00D97EF3" w:rsidP="00D97EF3">
      <w:pPr>
        <w:spacing w:after="0" w:line="240" w:lineRule="auto"/>
        <w:ind w:left="709" w:right="709"/>
        <w:jc w:val="both"/>
        <w:rPr>
          <w:rFonts w:ascii="Verdana" w:eastAsia="Century Gothic" w:hAnsi="Verdana" w:cs="Century Gothic"/>
          <w:sz w:val="20"/>
          <w:szCs w:val="20"/>
        </w:rPr>
      </w:pPr>
    </w:p>
    <w:p w14:paraId="4038DC85" w14:textId="77777777" w:rsidR="00D97EF3" w:rsidRPr="00817382" w:rsidRDefault="00D97EF3" w:rsidP="00D97EF3">
      <w:pPr>
        <w:spacing w:after="0" w:line="240" w:lineRule="auto"/>
        <w:ind w:left="709" w:right="709"/>
        <w:jc w:val="both"/>
        <w:rPr>
          <w:rFonts w:ascii="Verdana" w:eastAsia="Century Gothic" w:hAnsi="Verdana" w:cs="Century Gothic"/>
          <w:sz w:val="21"/>
          <w:szCs w:val="21"/>
          <w:lang w:val="es-ES"/>
        </w:rPr>
      </w:pPr>
      <w:r w:rsidRPr="00C847FE">
        <w:rPr>
          <w:rFonts w:ascii="Verdana" w:eastAsia="Century Gothic" w:hAnsi="Verdana" w:cs="Century Gothic"/>
          <w:sz w:val="20"/>
          <w:szCs w:val="20"/>
        </w:rPr>
        <w:lastRenderedPageBreak/>
        <w:t xml:space="preserve">2. Teniendo en cuenta la aplicabilidad (o no) del artículo 88 de la ley 1474 de 2011 el cual modifica el numeral 2 del artículo 5° de la ley 1150 de 2007, me permito formular la siguiente pregunta: ¿Puede una entidad de régimen especial otorgar un puntaje adicional, al oferente </w:t>
      </w:r>
      <w:proofErr w:type="gramStart"/>
      <w:r w:rsidRPr="00C847FE">
        <w:rPr>
          <w:rFonts w:ascii="Verdana" w:eastAsia="Century Gothic" w:hAnsi="Verdana" w:cs="Century Gothic"/>
          <w:sz w:val="20"/>
          <w:szCs w:val="20"/>
        </w:rPr>
        <w:t>que</w:t>
      </w:r>
      <w:proofErr w:type="gramEnd"/>
      <w:r w:rsidRPr="00C847FE">
        <w:rPr>
          <w:rFonts w:ascii="Verdana" w:eastAsia="Century Gothic" w:hAnsi="Verdana" w:cs="Century Gothic"/>
          <w:sz w:val="20"/>
          <w:szCs w:val="20"/>
        </w:rPr>
        <w:t xml:space="preserve"> en el marco de un proceso de selección de un contratista de obra, ofrezca el menor plazo de entrega y puesta en operación de la obra?:</w:t>
      </w:r>
      <w:r>
        <w:rPr>
          <w:rFonts w:ascii="Verdana" w:eastAsia="Century Gothic" w:hAnsi="Verdana" w:cs="Century Gothic"/>
          <w:sz w:val="20"/>
          <w:szCs w:val="20"/>
        </w:rPr>
        <w:t>”</w:t>
      </w:r>
    </w:p>
    <w:p w14:paraId="6070BFD8" w14:textId="77777777" w:rsidR="00D97EF3" w:rsidRPr="00817382" w:rsidRDefault="00D97EF3" w:rsidP="00D97EF3">
      <w:pPr>
        <w:pStyle w:val="Prrafodelista"/>
        <w:tabs>
          <w:tab w:val="left" w:pos="142"/>
          <w:tab w:val="left" w:pos="284"/>
        </w:tabs>
        <w:spacing w:after="0" w:line="276" w:lineRule="auto"/>
        <w:ind w:left="0"/>
        <w:jc w:val="both"/>
        <w:rPr>
          <w:rFonts w:ascii="Verdana" w:eastAsia="Century Gothic" w:hAnsi="Verdana" w:cs="Century Gothic"/>
          <w:b/>
          <w:bCs/>
          <w:lang w:val="es-ES_tradnl"/>
        </w:rPr>
      </w:pPr>
    </w:p>
    <w:p w14:paraId="607CA007" w14:textId="77777777" w:rsidR="00D97EF3" w:rsidRPr="00817382" w:rsidRDefault="00D97EF3" w:rsidP="00D97EF3">
      <w:pPr>
        <w:spacing w:after="120" w:line="276" w:lineRule="auto"/>
        <w:ind w:firstLine="709"/>
        <w:jc w:val="both"/>
        <w:rPr>
          <w:rFonts w:ascii="Verdana" w:eastAsia="Calibri" w:hAnsi="Verdana" w:cs="Arial"/>
          <w:color w:val="000000"/>
          <w:lang w:val="es-ES" w:eastAsia="es-ES"/>
        </w:rPr>
      </w:pPr>
      <w:r w:rsidRPr="3239A092">
        <w:rPr>
          <w:rFonts w:ascii="Verdana" w:eastAsia="Calibri" w:hAnsi="Verdana" w:cs="Arial"/>
          <w:color w:val="000000" w:themeColor="text1"/>
          <w:lang w:val="es-ES" w:eastAsia="es-ES"/>
        </w:rPr>
        <w:t xml:space="preserve">De manera preliminar, resulta necesario acotar que esta entidad sólo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concretos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tab/>
      </w:r>
    </w:p>
    <w:p w14:paraId="28140F3A" w14:textId="77777777" w:rsidR="00D97EF3" w:rsidRPr="00817382" w:rsidRDefault="00D97EF3" w:rsidP="00D97EF3">
      <w:pPr>
        <w:spacing w:after="0" w:line="276" w:lineRule="auto"/>
        <w:ind w:firstLine="709"/>
        <w:jc w:val="both"/>
        <w:rPr>
          <w:rFonts w:ascii="Verdana" w:eastAsia="Calibri" w:hAnsi="Verdana" w:cs="Arial"/>
          <w:color w:val="000000"/>
          <w:lang w:val="es-ES_tradnl" w:eastAsia="es-ES"/>
        </w:rPr>
      </w:pPr>
      <w:r w:rsidRPr="00817382">
        <w:rPr>
          <w:rFonts w:ascii="Verdana" w:eastAsia="Calibri" w:hAnsi="Verdana" w:cs="Arial"/>
          <w:color w:val="000000"/>
          <w:lang w:val="es-ES_tradnl" w:eastAsia="es-ES"/>
        </w:rPr>
        <w:t>Conforme lo expuesto, en aras de satisfacer el derecho fundamental de petición se resolverá su consulta dentro de los límites de la referida competencia consultiva, esto es, haciendo abstracción de las circunstancias específicas que la haya motivado, pero haciendo unas consideraciones sobre las normas generales relacionadas con el</w:t>
      </w:r>
      <w:r w:rsidRPr="00817382">
        <w:rPr>
          <w:rFonts w:ascii="Verdana" w:eastAsia="Calibri" w:hAnsi="Verdana" w:cs="Arial"/>
          <w:color w:val="7030A0"/>
          <w:lang w:val="es-ES_tradnl" w:eastAsia="es-ES"/>
        </w:rPr>
        <w:t xml:space="preserve"> </w:t>
      </w:r>
      <w:r w:rsidRPr="00817382">
        <w:rPr>
          <w:rFonts w:ascii="Verdana" w:eastAsia="Calibri" w:hAnsi="Verdana" w:cs="Arial"/>
          <w:color w:val="000000"/>
          <w:lang w:val="es-ES_tradnl" w:eastAsia="es-ES"/>
        </w:rPr>
        <w:t>problema</w:t>
      </w:r>
      <w:r w:rsidRPr="00817382">
        <w:rPr>
          <w:rFonts w:ascii="Verdana" w:eastAsia="Calibri" w:hAnsi="Verdana" w:cs="Arial"/>
          <w:color w:val="7030A0"/>
          <w:lang w:val="es-ES_tradnl" w:eastAsia="es-ES"/>
        </w:rPr>
        <w:t xml:space="preserve"> </w:t>
      </w:r>
      <w:r w:rsidRPr="00817382">
        <w:rPr>
          <w:rFonts w:ascii="Verdana" w:eastAsia="Calibri" w:hAnsi="Verdana" w:cs="Arial"/>
          <w:color w:val="000000"/>
          <w:lang w:val="es-ES_tradnl" w:eastAsia="es-ES"/>
        </w:rPr>
        <w:t>jurídico</w:t>
      </w:r>
      <w:r w:rsidRPr="00817382">
        <w:rPr>
          <w:rFonts w:ascii="Verdana" w:eastAsia="Calibri" w:hAnsi="Verdana" w:cs="Arial"/>
          <w:color w:val="7030A0"/>
          <w:lang w:val="es-ES_tradnl" w:eastAsia="es-ES"/>
        </w:rPr>
        <w:t xml:space="preserve"> </w:t>
      </w:r>
      <w:r w:rsidRPr="00817382">
        <w:rPr>
          <w:rFonts w:ascii="Verdana" w:eastAsia="Calibri" w:hAnsi="Verdana" w:cs="Arial"/>
          <w:color w:val="000000"/>
          <w:lang w:val="es-ES_tradnl" w:eastAsia="es-ES"/>
        </w:rPr>
        <w:t xml:space="preserve">de su consulta. </w:t>
      </w:r>
      <w:r w:rsidRPr="00817382">
        <w:rPr>
          <w:rFonts w:ascii="Verdana" w:eastAsia="Calibri" w:hAnsi="Verdana" w:cs="Arial"/>
          <w:lang w:val="es-ES_tradnl" w:eastAsia="es-ES"/>
        </w:rPr>
        <w:t xml:space="preserve"> </w:t>
      </w:r>
    </w:p>
    <w:p w14:paraId="2498E004" w14:textId="77777777" w:rsidR="00D97EF3" w:rsidRPr="00817382" w:rsidRDefault="00D97EF3" w:rsidP="00D97EF3">
      <w:pPr>
        <w:spacing w:after="0" w:line="276" w:lineRule="auto"/>
        <w:ind w:firstLine="708"/>
        <w:jc w:val="both"/>
        <w:rPr>
          <w:rFonts w:ascii="Verdana" w:eastAsia="Calibri" w:hAnsi="Verdana" w:cs="Arial"/>
          <w:lang w:val="es-ES_tradnl" w:eastAsia="es-ES"/>
        </w:rPr>
      </w:pPr>
    </w:p>
    <w:p w14:paraId="17D6B8EC" w14:textId="77777777" w:rsidR="00D97EF3" w:rsidRPr="00817382" w:rsidRDefault="00D97EF3" w:rsidP="00D97EF3">
      <w:pPr>
        <w:pStyle w:val="Prrafodelista"/>
        <w:numPr>
          <w:ilvl w:val="0"/>
          <w:numId w:val="16"/>
        </w:numPr>
        <w:tabs>
          <w:tab w:val="left" w:pos="142"/>
          <w:tab w:val="left" w:pos="284"/>
        </w:tabs>
        <w:spacing w:after="0" w:line="276" w:lineRule="auto"/>
        <w:ind w:left="0" w:firstLine="0"/>
        <w:jc w:val="both"/>
        <w:rPr>
          <w:rFonts w:ascii="Verdana" w:eastAsia="Century Gothic" w:hAnsi="Verdana" w:cs="Century Gothic"/>
          <w:b/>
          <w:bCs/>
          <w:lang w:val="es-ES_tradnl"/>
        </w:rPr>
      </w:pPr>
      <w:r w:rsidRPr="00817382">
        <w:rPr>
          <w:rFonts w:ascii="Verdana" w:eastAsia="Century Gothic" w:hAnsi="Verdana" w:cs="Century Gothic"/>
          <w:b/>
          <w:bCs/>
          <w:lang w:val="es-ES_tradnl"/>
        </w:rPr>
        <w:t>Problema planteado:</w:t>
      </w:r>
    </w:p>
    <w:p w14:paraId="2380E371" w14:textId="77777777" w:rsidR="00D97EF3" w:rsidRPr="00817382" w:rsidRDefault="00D97EF3" w:rsidP="00D97EF3">
      <w:pPr>
        <w:tabs>
          <w:tab w:val="left" w:pos="426"/>
        </w:tabs>
        <w:spacing w:after="0" w:line="276" w:lineRule="auto"/>
        <w:jc w:val="both"/>
        <w:rPr>
          <w:rFonts w:ascii="Verdana" w:eastAsia="Century Gothic" w:hAnsi="Verdana" w:cs="Century Gothic"/>
          <w:lang w:val="es-ES_tradnl"/>
        </w:rPr>
      </w:pPr>
    </w:p>
    <w:p w14:paraId="22A23840" w14:textId="77777777" w:rsidR="00D97EF3" w:rsidRPr="00817382" w:rsidRDefault="00D97EF3" w:rsidP="00D97EF3">
      <w:pPr>
        <w:spacing w:after="0" w:line="276" w:lineRule="auto"/>
        <w:jc w:val="both"/>
        <w:rPr>
          <w:rFonts w:ascii="Verdana" w:eastAsia="Century Gothic" w:hAnsi="Verdana" w:cs="Century Gothic"/>
          <w:lang w:val="es-ES_tradnl"/>
        </w:rPr>
      </w:pPr>
      <w:r w:rsidRPr="00817382">
        <w:rPr>
          <w:rFonts w:ascii="Verdana" w:eastAsia="Century Gothic" w:hAnsi="Verdana" w:cs="Century Gothic"/>
          <w:lang w:val="es-ES_tradnl"/>
        </w:rPr>
        <w:t xml:space="preserve">De acuerdo con el contenido de su solicitud, esta Agencia resolverá el siguiente problema jurídico: </w:t>
      </w:r>
      <w:r>
        <w:rPr>
          <w:rFonts w:ascii="Verdana" w:eastAsia="Century Gothic" w:hAnsi="Verdana" w:cs="Century Gothic"/>
          <w:lang w:val="es-ES_tradnl"/>
        </w:rPr>
        <w:t>¿pueden las entidades de régimen especial solicitar</w:t>
      </w:r>
      <w:r w:rsidRPr="004F7347">
        <w:rPr>
          <w:rFonts w:ascii="Verdana" w:eastAsia="Century Gothic" w:hAnsi="Verdana" w:cs="Century Gothic"/>
          <w:sz w:val="20"/>
          <w:szCs w:val="20"/>
        </w:rPr>
        <w:t xml:space="preserve"> </w:t>
      </w:r>
      <w:r w:rsidRPr="004F7347">
        <w:rPr>
          <w:rFonts w:ascii="Verdana" w:eastAsia="Century Gothic" w:hAnsi="Verdana" w:cs="Century Gothic"/>
        </w:rPr>
        <w:t xml:space="preserve">marcas específicas de bienes o productos a adquirir en un proceso de </w:t>
      </w:r>
      <w:r>
        <w:rPr>
          <w:rFonts w:ascii="Verdana" w:eastAsia="Century Gothic" w:hAnsi="Verdana" w:cs="Century Gothic"/>
        </w:rPr>
        <w:t>contratación y determinar requisitos de puntaje relacionados con el menor plazo de entrega y puesta en operación?</w:t>
      </w:r>
      <w:r w:rsidRPr="00817382">
        <w:rPr>
          <w:rFonts w:ascii="Verdana" w:eastAsia="Century Gothic" w:hAnsi="Verdana" w:cs="Century Gothic"/>
          <w:lang w:val="es-ES_tradnl"/>
        </w:rPr>
        <w:t xml:space="preserve">      </w:t>
      </w:r>
      <w:r w:rsidRPr="00817382">
        <w:rPr>
          <w:rFonts w:ascii="Verdana" w:eastAsia="Century Gothic" w:hAnsi="Verdana" w:cs="Century Gothic"/>
          <w:color w:val="7030A0"/>
          <w:lang w:val="es-ES_tradnl"/>
        </w:rPr>
        <w:t xml:space="preserve"> </w:t>
      </w:r>
    </w:p>
    <w:p w14:paraId="4454ACB1" w14:textId="77777777" w:rsidR="00D97EF3" w:rsidRPr="00817382" w:rsidRDefault="00D97EF3" w:rsidP="00D97EF3">
      <w:pPr>
        <w:spacing w:after="0" w:line="276" w:lineRule="auto"/>
        <w:jc w:val="both"/>
        <w:rPr>
          <w:rFonts w:ascii="Verdana" w:eastAsia="Calibri" w:hAnsi="Verdana" w:cs="Arial"/>
          <w:color w:val="7030A0"/>
          <w:lang w:val="es-ES_tradnl"/>
        </w:rPr>
      </w:pPr>
    </w:p>
    <w:p w14:paraId="7F71DA0A" w14:textId="77777777" w:rsidR="00D97EF3" w:rsidRPr="00817382" w:rsidRDefault="00D97EF3" w:rsidP="00D97EF3">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lang w:val="es-ES_tradnl"/>
        </w:rPr>
      </w:pPr>
      <w:r w:rsidRPr="00817382">
        <w:rPr>
          <w:rFonts w:ascii="Verdana" w:eastAsia="Century Gothic" w:hAnsi="Verdana" w:cs="Century Gothic"/>
          <w:b/>
          <w:bCs/>
          <w:lang w:val="es-ES_tradnl"/>
        </w:rPr>
        <w:t>Respuesta:</w:t>
      </w:r>
    </w:p>
    <w:p w14:paraId="4DC6A65F" w14:textId="77777777" w:rsidR="00D97EF3" w:rsidRPr="00817382" w:rsidRDefault="00D97EF3" w:rsidP="00D97EF3">
      <w:pPr>
        <w:tabs>
          <w:tab w:val="left" w:pos="142"/>
          <w:tab w:val="left" w:pos="284"/>
        </w:tabs>
        <w:spacing w:after="0" w:line="276" w:lineRule="auto"/>
        <w:jc w:val="both"/>
        <w:rPr>
          <w:rFonts w:ascii="Verdana" w:eastAsia="Century Gothic" w:hAnsi="Verdana" w:cs="Century Gothic"/>
          <w:b/>
          <w:bCs/>
          <w:lang w:val="es-ES_tradnl"/>
        </w:rPr>
      </w:pPr>
    </w:p>
    <w:tbl>
      <w:tblPr>
        <w:tblStyle w:val="Tablaconcuadrcula"/>
        <w:tblW w:w="0" w:type="auto"/>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D97EF3" w:rsidRPr="00817382" w14:paraId="467F722D" w14:textId="77777777" w:rsidTr="00BE3615">
        <w:trPr>
          <w:jc w:val="center"/>
        </w:trPr>
        <w:tc>
          <w:tcPr>
            <w:tcW w:w="8828" w:type="dxa"/>
          </w:tcPr>
          <w:p w14:paraId="58E96459" w14:textId="77777777" w:rsidR="00D97EF3" w:rsidRPr="0040386C" w:rsidRDefault="00D97EF3" w:rsidP="00BE3615">
            <w:pPr>
              <w:spacing w:after="120" w:line="276" w:lineRule="auto"/>
              <w:jc w:val="both"/>
              <w:rPr>
                <w:rFonts w:ascii="Verdana" w:hAnsi="Verdana" w:cs="Arial"/>
                <w:bCs/>
                <w:lang w:val="es-ES"/>
              </w:rPr>
            </w:pPr>
            <w:bookmarkStart w:id="2" w:name="_Hlk171694685"/>
            <w:r>
              <w:rPr>
                <w:rFonts w:ascii="Verdana" w:hAnsi="Verdana" w:cs="Arial"/>
                <w:bCs/>
                <w:lang w:val="es-ES"/>
              </w:rPr>
              <w:t>L</w:t>
            </w:r>
            <w:r w:rsidRPr="0040386C">
              <w:rPr>
                <w:rFonts w:ascii="Verdana" w:hAnsi="Verdana" w:cs="Arial"/>
                <w:bCs/>
                <w:lang w:val="es-ES"/>
              </w:rPr>
              <w:t xml:space="preserve">as entidades estatales que cuenten con un régimen contractual excepcional al del EGCAP, esto es, regímenes especiales, “aplicarán en desarrollo de su actividad contractual […] los principios de la función administrativa y de la </w:t>
            </w:r>
            <w:r w:rsidRPr="0040386C">
              <w:rPr>
                <w:rFonts w:ascii="Verdana" w:hAnsi="Verdana" w:cs="Arial"/>
                <w:bCs/>
                <w:lang w:val="es-ES"/>
              </w:rPr>
              <w:lastRenderedPageBreak/>
              <w:t>gestión fiscal […] y estarán sometidas al régimen de inhabilidades e incompatibilidades previsto legalmente para la contratación estatal”. La interpretación más adecuada de esta disposición implica admitir que su ámbito de aplicación ampara los supuestos de las entidades que tienen, como regla general, un régimen especial de contratación</w:t>
            </w:r>
            <w:r>
              <w:rPr>
                <w:rFonts w:ascii="Verdana" w:hAnsi="Verdana" w:cs="Arial"/>
                <w:bCs/>
                <w:lang w:val="es-ES"/>
              </w:rPr>
              <w:t xml:space="preserve">. </w:t>
            </w:r>
          </w:p>
          <w:p w14:paraId="0CBBA25F" w14:textId="77777777" w:rsidR="00D97EF3" w:rsidRDefault="00D97EF3" w:rsidP="00BE3615">
            <w:pPr>
              <w:spacing w:after="120" w:line="276" w:lineRule="auto"/>
              <w:ind w:firstLine="709"/>
              <w:jc w:val="both"/>
              <w:rPr>
                <w:rFonts w:ascii="Verdana" w:eastAsia="Calibri" w:hAnsi="Verdana" w:cs="Arial"/>
                <w:color w:val="000000" w:themeColor="text1"/>
              </w:rPr>
            </w:pPr>
            <w:r>
              <w:rPr>
                <w:rFonts w:ascii="Verdana" w:eastAsia="Calibri" w:hAnsi="Verdana" w:cs="Arial"/>
                <w:color w:val="000000" w:themeColor="text1"/>
              </w:rPr>
              <w:t>Así, p</w:t>
            </w:r>
            <w:r w:rsidRPr="0040386C">
              <w:rPr>
                <w:rFonts w:ascii="Verdana" w:eastAsia="Calibri" w:hAnsi="Verdana" w:cs="Arial"/>
                <w:color w:val="000000" w:themeColor="text1"/>
              </w:rPr>
              <w:t>uede decirse que una de las reglas derivada de las normas de derecho público que irradian el régimen jurídico de las entidades exceptuadas del EGCAP, consiste en el deber de expedir un manual de contratación. En este documento deben concretarse los principios de la función administrativa y de la gestión fiscal, así como determinarse la manera concreta como dichos principios orientarán el derecho privado en el ejercicio de la actividad contractual. De esta manera, los potenciales oferentes podrán identificar las reglas que aplica la entidad en sus procesos contractuales.</w:t>
            </w:r>
          </w:p>
          <w:p w14:paraId="1550C98A" w14:textId="77777777" w:rsidR="00D97EF3" w:rsidRPr="0040386C" w:rsidRDefault="00D97EF3" w:rsidP="00BE3615">
            <w:pPr>
              <w:spacing w:after="120" w:line="276" w:lineRule="auto"/>
              <w:ind w:firstLine="709"/>
              <w:jc w:val="both"/>
              <w:rPr>
                <w:rFonts w:ascii="Verdana" w:eastAsia="Calibri" w:hAnsi="Verdana" w:cs="Arial"/>
                <w:color w:val="000000" w:themeColor="text1"/>
                <w:lang w:val="es-ES"/>
              </w:rPr>
            </w:pPr>
            <w:r w:rsidRPr="0040386C">
              <w:rPr>
                <w:rFonts w:ascii="Verdana" w:eastAsia="Calibri" w:hAnsi="Verdana" w:cs="Arial"/>
                <w:color w:val="000000" w:themeColor="text1"/>
                <w:lang w:val="es-ES"/>
              </w:rPr>
              <w:t>La elaboración de esos manuales debe contemplar procedimientos de selección públicos, en los cuales se garantice la imparcialidad de la entidad contratante, la igualdad entre los oferentes, y en los cuales se respeten los principios constitucionales relevantes, como la eficacia, economía, celeridad, moralidad, entre otros. Es decir, deben reflejar los principios de la función administrativa y, también, los de la gestión fiscal. La forma precisa en que se concretan estos principios, así como la manera como se armonizan con su régimen de derecho privado, es un asunto que debe decidir la entidad en el ejercicio de la discrecionalidad concedida por el ordenamiento jurídico. No obstante, se considera que, como mínimo, los manuales diseñados por la entidad se deben indicar cuáles son sus procedimientos de selección y una descripción de cada uno de ellos, al igual que las etapas que los componen, los cuales deben estar alineados con la garantía de los principios de la función administrati</w:t>
            </w:r>
            <w:r>
              <w:rPr>
                <w:rFonts w:ascii="Verdana" w:eastAsia="Calibri" w:hAnsi="Verdana" w:cs="Arial"/>
                <w:color w:val="000000" w:themeColor="text1"/>
                <w:lang w:val="es-ES"/>
              </w:rPr>
              <w:t>va</w:t>
            </w:r>
            <w:r w:rsidRPr="0040386C">
              <w:rPr>
                <w:rFonts w:ascii="Verdana" w:eastAsia="Calibri" w:hAnsi="Verdana" w:cs="Arial"/>
                <w:color w:val="000000" w:themeColor="text1"/>
                <w:lang w:val="es-ES"/>
              </w:rPr>
              <w:t xml:space="preserve">. </w:t>
            </w:r>
          </w:p>
          <w:p w14:paraId="5750815B" w14:textId="77777777" w:rsidR="00D97EF3" w:rsidRPr="00817382" w:rsidRDefault="00D97EF3" w:rsidP="00BE3615">
            <w:pPr>
              <w:spacing w:after="120" w:line="276" w:lineRule="auto"/>
              <w:ind w:firstLine="709"/>
              <w:jc w:val="both"/>
              <w:rPr>
                <w:rFonts w:ascii="Verdana" w:eastAsia="Calibri" w:hAnsi="Verdana" w:cs="Arial"/>
                <w:color w:val="000000" w:themeColor="text1"/>
                <w:lang w:val="es-ES_tradnl"/>
              </w:rPr>
            </w:pPr>
            <w:r w:rsidRPr="0040386C">
              <w:rPr>
                <w:rFonts w:ascii="Verdana" w:eastAsia="Calibri" w:hAnsi="Verdana" w:cs="Arial"/>
                <w:color w:val="000000" w:themeColor="text1"/>
              </w:rPr>
              <w:t xml:space="preserve">En este sentido, </w:t>
            </w:r>
            <w:r w:rsidRPr="0040386C">
              <w:rPr>
                <w:rFonts w:ascii="Verdana" w:eastAsia="Calibri" w:hAnsi="Verdana" w:cs="Arial"/>
                <w:color w:val="000000" w:themeColor="text1"/>
                <w:lang w:val="es-ES"/>
              </w:rPr>
              <w:t>frente a</w:t>
            </w:r>
            <w:r>
              <w:rPr>
                <w:rFonts w:ascii="Verdana" w:eastAsia="Calibri" w:hAnsi="Verdana" w:cs="Arial"/>
                <w:color w:val="000000" w:themeColor="text1"/>
                <w:lang w:val="es-ES"/>
              </w:rPr>
              <w:t xml:space="preserve"> las consultas planteadas</w:t>
            </w:r>
            <w:r w:rsidRPr="0040386C">
              <w:rPr>
                <w:rFonts w:ascii="Verdana" w:eastAsia="Calibri" w:hAnsi="Verdana" w:cs="Arial"/>
                <w:color w:val="000000" w:themeColor="text1"/>
                <w:lang w:val="es-ES"/>
              </w:rPr>
              <w:t xml:space="preserve">, se precisa </w:t>
            </w:r>
            <w:proofErr w:type="gramStart"/>
            <w:r w:rsidRPr="0040386C">
              <w:rPr>
                <w:rFonts w:ascii="Verdana" w:eastAsia="Calibri" w:hAnsi="Verdana" w:cs="Arial"/>
                <w:color w:val="000000" w:themeColor="text1"/>
                <w:lang w:val="es-ES"/>
              </w:rPr>
              <w:t>que</w:t>
            </w:r>
            <w:proofErr w:type="gramEnd"/>
            <w:r w:rsidRPr="0040386C">
              <w:rPr>
                <w:rFonts w:ascii="Verdana" w:eastAsia="Calibri" w:hAnsi="Verdana" w:cs="Arial"/>
                <w:color w:val="000000" w:themeColor="text1"/>
                <w:lang w:val="es-ES"/>
              </w:rPr>
              <w:t xml:space="preserve"> </w:t>
            </w:r>
            <w:r w:rsidRPr="0040386C">
              <w:rPr>
                <w:rFonts w:ascii="Verdana" w:eastAsia="Calibri" w:hAnsi="Verdana" w:cs="Arial"/>
                <w:color w:val="000000" w:themeColor="text1"/>
              </w:rPr>
              <w:t>en el marco de la autonomía reconocida a las entidades con régimen especial, estas cuentan con la facultad de definir los</w:t>
            </w:r>
            <w:r>
              <w:rPr>
                <w:rFonts w:ascii="Verdana" w:eastAsia="Calibri" w:hAnsi="Verdana" w:cs="Arial"/>
                <w:color w:val="000000" w:themeColor="text1"/>
              </w:rPr>
              <w:t xml:space="preserve"> requisitos que se solicitaran a los proponentes en el marco de un proceso de contratación</w:t>
            </w:r>
            <w:r w:rsidRPr="0040386C">
              <w:rPr>
                <w:rFonts w:ascii="Verdana" w:eastAsia="Calibri" w:hAnsi="Verdana" w:cs="Arial"/>
                <w:color w:val="000000" w:themeColor="text1"/>
              </w:rPr>
              <w:t>. Dicha autonomía les permite, entre otras cosas,</w:t>
            </w:r>
            <w:r>
              <w:rPr>
                <w:rFonts w:ascii="Verdana" w:eastAsia="Calibri" w:hAnsi="Verdana" w:cs="Arial"/>
                <w:color w:val="000000" w:themeColor="text1"/>
              </w:rPr>
              <w:t xml:space="preserve"> establecer los requisitos que otorgarán puntaje dentro de sus procesos de contratación siempre que estos cumplan con el principio de selección objetiva. Además, podrán </w:t>
            </w:r>
            <w:r w:rsidRPr="00D6740F">
              <w:rPr>
                <w:rFonts w:ascii="Verdana" w:eastAsia="Calibri" w:hAnsi="Verdana" w:cs="Arial"/>
                <w:color w:val="000000" w:themeColor="text1"/>
                <w:lang w:val="es-ES_tradnl"/>
              </w:rPr>
              <w:t>exigir marcas</w:t>
            </w:r>
            <w:r>
              <w:rPr>
                <w:rFonts w:ascii="Verdana" w:eastAsia="Calibri" w:hAnsi="Verdana" w:cs="Arial"/>
                <w:color w:val="000000" w:themeColor="text1"/>
                <w:lang w:val="es-ES_tradnl"/>
              </w:rPr>
              <w:t xml:space="preserve"> dentro de las especificaciones técnicas</w:t>
            </w:r>
            <w:r w:rsidRPr="00D6740F">
              <w:rPr>
                <w:rFonts w:ascii="Verdana" w:eastAsia="Calibri" w:hAnsi="Verdana" w:cs="Arial"/>
                <w:color w:val="000000" w:themeColor="text1"/>
                <w:lang w:val="es-ES_tradnl"/>
              </w:rPr>
              <w:t xml:space="preserve"> si</w:t>
            </w:r>
            <w:r>
              <w:rPr>
                <w:rFonts w:ascii="Verdana" w:eastAsia="Calibri" w:hAnsi="Verdana" w:cs="Arial"/>
                <w:color w:val="000000" w:themeColor="text1"/>
                <w:lang w:val="es-ES_tradnl"/>
              </w:rPr>
              <w:t xml:space="preserve">empre que </w:t>
            </w:r>
            <w:r w:rsidRPr="00D6740F">
              <w:rPr>
                <w:rFonts w:ascii="Verdana" w:eastAsia="Calibri" w:hAnsi="Verdana" w:cs="Arial"/>
                <w:color w:val="000000" w:themeColor="text1"/>
                <w:lang w:val="es-ES_tradnl"/>
              </w:rPr>
              <w:t>no est</w:t>
            </w:r>
            <w:r>
              <w:rPr>
                <w:rFonts w:ascii="Verdana" w:eastAsia="Calibri" w:hAnsi="Verdana" w:cs="Arial"/>
                <w:color w:val="000000" w:themeColor="text1"/>
                <w:lang w:val="es-ES_tradnl"/>
              </w:rPr>
              <w:t>é</w:t>
            </w:r>
            <w:r w:rsidRPr="00D6740F">
              <w:rPr>
                <w:rFonts w:ascii="Verdana" w:eastAsia="Calibri" w:hAnsi="Verdana" w:cs="Arial"/>
                <w:color w:val="000000" w:themeColor="text1"/>
                <w:lang w:val="es-ES_tradnl"/>
              </w:rPr>
              <w:t xml:space="preserve">n prohibidas en acuerdos y tratados comerciales en las que sean destinatarios, pero garantizando el </w:t>
            </w:r>
            <w:r w:rsidRPr="00D6740F">
              <w:rPr>
                <w:rFonts w:ascii="Verdana" w:eastAsia="Calibri" w:hAnsi="Verdana" w:cs="Arial"/>
                <w:color w:val="000000" w:themeColor="text1"/>
                <w:lang w:val="es-ES_tradnl"/>
              </w:rPr>
              <w:lastRenderedPageBreak/>
              <w:t xml:space="preserve">principio de proporcionalidad, que exige que dichos requisitos o condiciones sean razonables, es decir, que guarden congruencia con el objeto, necesidad de la contratación, alcance, valor, plazo del contrato, entre otros aspectos, que sean necesarios y no restrinjan injustificadamente la libre concurrencia y pluralidad de oferentes. </w:t>
            </w:r>
          </w:p>
        </w:tc>
      </w:tr>
    </w:tbl>
    <w:p w14:paraId="224BF454" w14:textId="77777777" w:rsidR="00D97EF3" w:rsidRPr="00817382" w:rsidRDefault="00D97EF3" w:rsidP="00D97EF3">
      <w:pPr>
        <w:tabs>
          <w:tab w:val="left" w:pos="142"/>
          <w:tab w:val="left" w:pos="284"/>
        </w:tabs>
        <w:spacing w:after="0" w:line="276" w:lineRule="auto"/>
        <w:jc w:val="both"/>
        <w:rPr>
          <w:rFonts w:ascii="Verdana" w:eastAsia="Century Gothic" w:hAnsi="Verdana" w:cs="Century Gothic"/>
          <w:b/>
          <w:bCs/>
          <w:lang w:val="es-ES_tradnl"/>
        </w:rPr>
      </w:pPr>
    </w:p>
    <w:bookmarkEnd w:id="2"/>
    <w:p w14:paraId="56E8F509" w14:textId="77777777" w:rsidR="00D97EF3" w:rsidRPr="00817382" w:rsidRDefault="00D97EF3" w:rsidP="00D97EF3">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lang w:val="es-ES_tradnl"/>
        </w:rPr>
      </w:pPr>
      <w:r w:rsidRPr="00817382">
        <w:rPr>
          <w:rFonts w:ascii="Verdana" w:eastAsia="Century Gothic" w:hAnsi="Verdana" w:cs="Century Gothic"/>
          <w:b/>
          <w:bCs/>
          <w:lang w:val="es-ES_tradnl"/>
        </w:rPr>
        <w:t>Razones de la respuesta:</w:t>
      </w:r>
    </w:p>
    <w:p w14:paraId="420D2ECA" w14:textId="77777777" w:rsidR="00D97EF3" w:rsidRPr="00817382" w:rsidRDefault="00D97EF3" w:rsidP="00D97EF3">
      <w:pPr>
        <w:spacing w:after="0" w:line="276" w:lineRule="auto"/>
        <w:jc w:val="both"/>
        <w:rPr>
          <w:rFonts w:ascii="Verdana" w:eastAsia="Calibri" w:hAnsi="Verdana" w:cs="Arial"/>
          <w:color w:val="7030A0"/>
          <w:lang w:val="es-ES_tradnl"/>
        </w:rPr>
      </w:pPr>
    </w:p>
    <w:p w14:paraId="0EC8D107" w14:textId="77777777" w:rsidR="00D97EF3" w:rsidRPr="00817382" w:rsidRDefault="00D97EF3" w:rsidP="00D97EF3">
      <w:pPr>
        <w:spacing w:after="0" w:line="276" w:lineRule="auto"/>
        <w:jc w:val="both"/>
        <w:rPr>
          <w:rFonts w:ascii="Verdana" w:eastAsia="Calibri" w:hAnsi="Verdana" w:cs="Arial"/>
          <w:lang w:val="es-ES_tradnl"/>
        </w:rPr>
      </w:pPr>
      <w:r w:rsidRPr="00817382">
        <w:rPr>
          <w:rFonts w:ascii="Verdana" w:eastAsia="Calibri" w:hAnsi="Verdana" w:cs="Arial"/>
          <w:lang w:val="es-ES_tradnl"/>
        </w:rPr>
        <w:t>Lo anterior se sustenta en las siguientes consideraciones:</w:t>
      </w:r>
    </w:p>
    <w:p w14:paraId="4907C49F" w14:textId="77777777" w:rsidR="00D97EF3" w:rsidRPr="00817382" w:rsidRDefault="00D97EF3" w:rsidP="00D97EF3">
      <w:pPr>
        <w:spacing w:after="0" w:line="276" w:lineRule="auto"/>
        <w:jc w:val="both"/>
        <w:rPr>
          <w:rFonts w:ascii="Verdana" w:eastAsia="Calibri" w:hAnsi="Verdana" w:cs="Arial"/>
          <w:lang w:val="es-ES_tradnl"/>
        </w:rPr>
      </w:pPr>
    </w:p>
    <w:p w14:paraId="4A0EE1C0" w14:textId="77777777" w:rsidR="00D97EF3" w:rsidRPr="0040386C" w:rsidRDefault="00D97EF3" w:rsidP="00D97EF3">
      <w:pPr>
        <w:spacing w:after="120" w:line="276" w:lineRule="auto"/>
        <w:jc w:val="both"/>
        <w:rPr>
          <w:rFonts w:ascii="Verdana" w:eastAsia="Calibri" w:hAnsi="Verdana" w:cs="Arial"/>
          <w:color w:val="000000" w:themeColor="text1"/>
        </w:rPr>
      </w:pPr>
      <w:r w:rsidRPr="0040386C">
        <w:rPr>
          <w:rFonts w:ascii="Verdana" w:eastAsia="Calibri" w:hAnsi="Verdana" w:cs="Arial"/>
          <w:color w:val="000000" w:themeColor="text1"/>
        </w:rPr>
        <w:t>El ordenamiento jurídico colombiano contempla como categoría única la noción de “contratos estatales”, pero acepta la posibilidad de que dichos contratos tengan regímenes jurídicos diferenciados. En virtud de ello se afirma que hay contratos estatales sometidos al EGCAP (Leyes 80 de 1993, 1150 de 2007 y disposiciones complementarias) y contratos estatales sometidos a reglas especiales, usualmente al derecho privado.</w:t>
      </w:r>
    </w:p>
    <w:p w14:paraId="37F7625C" w14:textId="77777777" w:rsidR="00D97EF3" w:rsidRPr="0040386C" w:rsidRDefault="00D97EF3" w:rsidP="00D97EF3">
      <w:pPr>
        <w:spacing w:after="0" w:line="276" w:lineRule="auto"/>
        <w:jc w:val="both"/>
        <w:rPr>
          <w:rFonts w:ascii="Verdana" w:hAnsi="Verdana" w:cs="Arial"/>
          <w:bCs/>
          <w:lang w:val="es-ES"/>
        </w:rPr>
      </w:pPr>
      <w:r w:rsidRPr="0040386C">
        <w:rPr>
          <w:rFonts w:ascii="Verdana" w:eastAsia="Calibri" w:hAnsi="Verdana" w:cs="Arial"/>
          <w:color w:val="000000" w:themeColor="text1"/>
        </w:rPr>
        <w:tab/>
      </w:r>
      <w:r w:rsidRPr="0040386C">
        <w:rPr>
          <w:rFonts w:ascii="Verdana" w:hAnsi="Verdana" w:cs="Arial"/>
          <w:bCs/>
          <w:lang w:val="es-ES"/>
        </w:rPr>
        <w:t>La decisión hito-fundadora</w:t>
      </w:r>
      <w:r w:rsidRPr="0040386C">
        <w:rPr>
          <w:rFonts w:ascii="Verdana" w:hAnsi="Verdana" w:cs="Arial"/>
          <w:bCs/>
          <w:vertAlign w:val="superscript"/>
          <w:lang w:val="es-ES"/>
        </w:rPr>
        <w:footnoteReference w:id="2"/>
      </w:r>
      <w:r w:rsidRPr="0040386C">
        <w:rPr>
          <w:rFonts w:ascii="Verdana" w:hAnsi="Verdana" w:cs="Arial"/>
          <w:bCs/>
          <w:lang w:val="es-ES"/>
        </w:rPr>
        <w:t xml:space="preserve"> en este sentido, de acuerdo con lo señalado por la doctrina</w:t>
      </w:r>
      <w:r w:rsidRPr="0040386C">
        <w:rPr>
          <w:rFonts w:ascii="Verdana" w:hAnsi="Verdana" w:cs="Arial"/>
          <w:bCs/>
          <w:vertAlign w:val="superscript"/>
          <w:lang w:val="es-ES"/>
        </w:rPr>
        <w:footnoteReference w:id="3"/>
      </w:r>
      <w:r w:rsidRPr="0040386C">
        <w:rPr>
          <w:rFonts w:ascii="Verdana" w:hAnsi="Verdana" w:cs="Arial"/>
          <w:bCs/>
          <w:lang w:val="es-ES"/>
        </w:rPr>
        <w:t>, es un auto del 20 de agosto de 1998 del Consejo de Estado, donde se señaló</w:t>
      </w:r>
      <w:r w:rsidRPr="0040386C">
        <w:rPr>
          <w:rFonts w:ascii="Verdana" w:hAnsi="Verdana" w:cs="Arial"/>
          <w:bCs/>
          <w:vertAlign w:val="superscript"/>
          <w:lang w:val="es-ES"/>
        </w:rPr>
        <w:footnoteReference w:id="4"/>
      </w:r>
      <w:r w:rsidRPr="0040386C">
        <w:rPr>
          <w:rFonts w:ascii="Verdana" w:hAnsi="Verdana" w:cs="Arial"/>
          <w:bCs/>
          <w:lang w:val="es-ES"/>
        </w:rPr>
        <w:t>:</w:t>
      </w:r>
    </w:p>
    <w:p w14:paraId="28853492" w14:textId="77777777" w:rsidR="00D97EF3" w:rsidRPr="0040386C" w:rsidRDefault="00D97EF3" w:rsidP="00D97EF3">
      <w:pPr>
        <w:spacing w:after="0" w:line="276" w:lineRule="auto"/>
        <w:jc w:val="both"/>
        <w:rPr>
          <w:rFonts w:ascii="Verdana" w:hAnsi="Verdana" w:cs="Arial"/>
          <w:bCs/>
          <w:lang w:val="es-ES"/>
        </w:rPr>
      </w:pPr>
    </w:p>
    <w:p w14:paraId="193E9404" w14:textId="77777777" w:rsidR="00D97EF3" w:rsidRPr="0040386C" w:rsidRDefault="00D97EF3" w:rsidP="00D97EF3">
      <w:pPr>
        <w:spacing w:after="0"/>
        <w:ind w:left="709" w:right="709"/>
        <w:jc w:val="both"/>
        <w:rPr>
          <w:rFonts w:ascii="Verdana" w:hAnsi="Verdana" w:cs="Arial"/>
          <w:sz w:val="20"/>
          <w:szCs w:val="20"/>
          <w:lang w:val="es-ES"/>
        </w:rPr>
      </w:pPr>
      <w:r w:rsidRPr="0040386C">
        <w:rPr>
          <w:rFonts w:ascii="Verdana" w:hAnsi="Verdana" w:cs="Arial"/>
          <w:sz w:val="20"/>
          <w:szCs w:val="20"/>
          <w:lang w:val="es-ES"/>
        </w:rPr>
        <w:t>“A juicio de la Sala es preciso reconocer que, en las diversas regulaciones normativas sobre contratación de la administración pública, es posible identificar dos grandes categorías de actos contractuales:</w:t>
      </w:r>
    </w:p>
    <w:p w14:paraId="10C1222A" w14:textId="77777777" w:rsidR="00D97EF3" w:rsidRPr="0040386C" w:rsidRDefault="00D97EF3" w:rsidP="00D97EF3">
      <w:pPr>
        <w:spacing w:after="0"/>
        <w:ind w:left="709" w:right="709"/>
        <w:jc w:val="both"/>
        <w:rPr>
          <w:rFonts w:ascii="Verdana" w:hAnsi="Verdana" w:cs="Arial"/>
          <w:bCs/>
          <w:sz w:val="20"/>
          <w:szCs w:val="20"/>
          <w:lang w:val="es-ES_tradnl"/>
        </w:rPr>
      </w:pPr>
    </w:p>
    <w:p w14:paraId="5C486E63" w14:textId="77777777" w:rsidR="00D97EF3" w:rsidRPr="0040386C" w:rsidRDefault="00D97EF3" w:rsidP="00D97EF3">
      <w:pPr>
        <w:spacing w:after="0"/>
        <w:ind w:left="709" w:right="709"/>
        <w:jc w:val="both"/>
        <w:rPr>
          <w:rFonts w:ascii="Verdana" w:hAnsi="Verdana" w:cs="Arial"/>
          <w:sz w:val="20"/>
          <w:szCs w:val="20"/>
          <w:lang w:val="es-ES"/>
        </w:rPr>
      </w:pPr>
      <w:r w:rsidRPr="0040386C">
        <w:rPr>
          <w:rFonts w:ascii="Verdana" w:hAnsi="Verdana" w:cs="Arial"/>
          <w:sz w:val="20"/>
          <w:szCs w:val="20"/>
          <w:lang w:val="es-ES"/>
        </w:rPr>
        <w:t xml:space="preserve">1ª Contratos estatales, propiamente dichos, que son aquellos que celebran las entidades públicas a que se refiere la ley 80 de 1993, y que por ende se regulan íntegramente por el régimen establecido en esta ley.  Por regla general, adquieren este carácter </w:t>
      </w:r>
      <w:proofErr w:type="gramStart"/>
      <w:r w:rsidRPr="0040386C">
        <w:rPr>
          <w:rFonts w:ascii="Verdana" w:hAnsi="Verdana" w:cs="Arial"/>
          <w:sz w:val="20"/>
          <w:szCs w:val="20"/>
          <w:lang w:val="es-ES"/>
        </w:rPr>
        <w:t>en razón del</w:t>
      </w:r>
      <w:proofErr w:type="gramEnd"/>
      <w:r w:rsidRPr="0040386C">
        <w:rPr>
          <w:rFonts w:ascii="Verdana" w:hAnsi="Verdana" w:cs="Arial"/>
          <w:sz w:val="20"/>
          <w:szCs w:val="20"/>
          <w:lang w:val="es-ES"/>
        </w:rPr>
        <w:t xml:space="preserve"> ente público contratante, es decir, se definen desde el punto de vista orgánico. Las controversias que se deriven de este tipo de contratos y de los procesos de ejecución o </w:t>
      </w:r>
      <w:r w:rsidRPr="0040386C">
        <w:rPr>
          <w:rFonts w:ascii="Verdana" w:hAnsi="Verdana" w:cs="Arial"/>
          <w:sz w:val="20"/>
          <w:szCs w:val="20"/>
          <w:lang w:val="es-ES"/>
        </w:rPr>
        <w:lastRenderedPageBreak/>
        <w:t>cumplimiento serán de conocimiento de la jurisdicción contenciosa administrativa.</w:t>
      </w:r>
    </w:p>
    <w:p w14:paraId="61BFB098" w14:textId="77777777" w:rsidR="00D97EF3" w:rsidRPr="0040386C" w:rsidRDefault="00D97EF3" w:rsidP="00D97EF3">
      <w:pPr>
        <w:spacing w:after="0"/>
        <w:ind w:left="709" w:right="709"/>
        <w:jc w:val="both"/>
        <w:rPr>
          <w:rFonts w:ascii="Verdana" w:hAnsi="Verdana" w:cs="Arial"/>
          <w:bCs/>
          <w:sz w:val="20"/>
          <w:szCs w:val="20"/>
          <w:lang w:val="es-ES_tradnl"/>
        </w:rPr>
      </w:pPr>
    </w:p>
    <w:p w14:paraId="11E68EE3" w14:textId="77777777" w:rsidR="00D97EF3" w:rsidRPr="0040386C" w:rsidRDefault="00D97EF3" w:rsidP="00D97EF3">
      <w:pPr>
        <w:spacing w:after="0"/>
        <w:ind w:left="709" w:right="709"/>
        <w:jc w:val="both"/>
        <w:rPr>
          <w:rFonts w:ascii="Verdana" w:hAnsi="Verdana" w:cs="Arial"/>
          <w:sz w:val="20"/>
          <w:szCs w:val="20"/>
          <w:lang w:val="es-ES"/>
        </w:rPr>
      </w:pPr>
      <w:r w:rsidRPr="0040386C">
        <w:rPr>
          <w:rFonts w:ascii="Verdana" w:hAnsi="Verdana" w:cs="Arial"/>
          <w:sz w:val="20"/>
          <w:szCs w:val="20"/>
          <w:lang w:val="es-ES"/>
        </w:rPr>
        <w:t xml:space="preserve">2ª Contratos especiales sujetos a un régimen legal propio. Por regla general, el juez a quien compete conocer de sus controversias es el juez administrativo, </w:t>
      </w:r>
      <w:proofErr w:type="gramStart"/>
      <w:r w:rsidRPr="0040386C">
        <w:rPr>
          <w:rFonts w:ascii="Verdana" w:hAnsi="Verdana" w:cs="Arial"/>
          <w:sz w:val="20"/>
          <w:szCs w:val="20"/>
          <w:lang w:val="es-ES"/>
        </w:rPr>
        <w:t>en razón de</w:t>
      </w:r>
      <w:proofErr w:type="gramEnd"/>
      <w:r w:rsidRPr="0040386C">
        <w:rPr>
          <w:rFonts w:ascii="Verdana" w:hAnsi="Verdana" w:cs="Arial"/>
          <w:sz w:val="20"/>
          <w:szCs w:val="20"/>
          <w:lang w:val="es-ES"/>
        </w:rPr>
        <w:t xml:space="preserve"> que su celebración y ejecución constituye una actividad reglada, es decir, es el ejercicio pleno de una función administrativa, de conformidad con el art. 82 del C.C.A. antes referido”.</w:t>
      </w:r>
    </w:p>
    <w:p w14:paraId="550461DF" w14:textId="77777777" w:rsidR="00D97EF3" w:rsidRPr="0040386C" w:rsidRDefault="00D97EF3" w:rsidP="00D97EF3">
      <w:pPr>
        <w:spacing w:after="0"/>
        <w:ind w:left="709" w:right="709"/>
        <w:jc w:val="both"/>
        <w:rPr>
          <w:rFonts w:ascii="Verdana" w:hAnsi="Verdana" w:cs="Arial"/>
          <w:sz w:val="21"/>
          <w:szCs w:val="21"/>
          <w:lang w:val="es-ES"/>
        </w:rPr>
      </w:pPr>
    </w:p>
    <w:p w14:paraId="242B85D3" w14:textId="77777777" w:rsidR="00D97EF3" w:rsidRPr="0040386C" w:rsidRDefault="00D97EF3" w:rsidP="00D97EF3">
      <w:pPr>
        <w:spacing w:after="120" w:line="276" w:lineRule="auto"/>
        <w:ind w:firstLine="709"/>
        <w:jc w:val="both"/>
        <w:rPr>
          <w:rFonts w:ascii="Verdana" w:hAnsi="Verdana" w:cs="Arial"/>
          <w:bCs/>
          <w:lang w:val="es-ES"/>
        </w:rPr>
      </w:pPr>
      <w:r w:rsidRPr="0040386C">
        <w:rPr>
          <w:rFonts w:ascii="Verdana" w:hAnsi="Verdana" w:cs="Arial"/>
          <w:bCs/>
          <w:lang w:val="es-ES"/>
        </w:rPr>
        <w:t>El Consejo de Estado identificó la existencia de un único tipo de contrato: el contrato estatal; pero dos grandes categorías que responden a su régimen jurídico: contrato estatal con un régimen jurídico de derecho público-administrativo y contrato estatal con un régimen jurídico especial, por regla general de derecho privado.</w:t>
      </w:r>
    </w:p>
    <w:p w14:paraId="34B9B304" w14:textId="77777777" w:rsidR="00D97EF3" w:rsidRPr="0040386C" w:rsidRDefault="00D97EF3" w:rsidP="00D97EF3">
      <w:pPr>
        <w:spacing w:after="120" w:line="276" w:lineRule="auto"/>
        <w:ind w:firstLine="709"/>
        <w:jc w:val="both"/>
        <w:rPr>
          <w:rFonts w:ascii="Verdana" w:hAnsi="Verdana" w:cs="Arial"/>
          <w:bCs/>
          <w:lang w:val="es-ES"/>
        </w:rPr>
      </w:pPr>
      <w:r w:rsidRPr="0040386C">
        <w:rPr>
          <w:rFonts w:ascii="Verdana" w:hAnsi="Verdana" w:cs="Arial"/>
          <w:bCs/>
          <w:lang w:val="es-ES"/>
        </w:rPr>
        <w:t xml:space="preserve">En este punto vale la pena resaltar que, en el ordenamiento jurídico colombiano, cuando se piensa en los regímenes especiales de contratación, se suele hacer referencia al régimen de determinadas entidades estatales. Tal sería el caso de las empresas de servicios públicos domiciliarios, de conformidad con el artículo 31 de la Ley 142 de 1994, de las entidades indicadas en el artículo 14 de la Ley 1150 de 2007, de las universidades estatales u oficiales, según el artículo 93 de la Ley 30 de 1993, etc. Esta afirmación, sin embargo, no pretende desconocer que dicho régimen especial se otorga justamente en consideración al especial tipo de actividades desplegadas por estas entidades. </w:t>
      </w:r>
    </w:p>
    <w:p w14:paraId="53155F3E" w14:textId="77777777" w:rsidR="00D97EF3" w:rsidRPr="0040386C" w:rsidRDefault="00D97EF3" w:rsidP="00D97EF3">
      <w:pPr>
        <w:spacing w:after="120" w:line="276" w:lineRule="auto"/>
        <w:ind w:firstLine="709"/>
        <w:jc w:val="both"/>
        <w:rPr>
          <w:rFonts w:ascii="Verdana" w:hAnsi="Verdana" w:cs="Arial"/>
          <w:bCs/>
          <w:lang w:val="es-ES"/>
        </w:rPr>
      </w:pPr>
      <w:r w:rsidRPr="0040386C">
        <w:rPr>
          <w:rFonts w:ascii="Verdana" w:hAnsi="Verdana" w:cs="Arial"/>
          <w:bCs/>
          <w:lang w:val="es-ES"/>
        </w:rPr>
        <w:t>Ahora bien, los regímenes especiales de contratación en el ordenamiento colombiano no se dan exclusivamente en atención a cierto tipo de sujetos –empresas industriales y comerciales del Estado (EICE), sociedades de economía mixta (SEM), empresas de servicios públicos domiciliarios (ESP), empresas sociales del estado (ESE), etc.–, sino también para cierto tipo de objetos contractuales. Este es el caso del régimen jurídico establecido en el artículo 66 de la Ley 1523 de 2012</w:t>
      </w:r>
      <w:r w:rsidRPr="0040386C">
        <w:rPr>
          <w:rFonts w:ascii="Verdana" w:hAnsi="Verdana" w:cs="Arial"/>
          <w:bCs/>
          <w:vertAlign w:val="superscript"/>
          <w:lang w:val="es-ES"/>
        </w:rPr>
        <w:footnoteReference w:id="5"/>
      </w:r>
      <w:r w:rsidRPr="0040386C">
        <w:rPr>
          <w:rFonts w:ascii="Verdana" w:hAnsi="Verdana" w:cs="Arial"/>
          <w:bCs/>
          <w:lang w:val="es-ES"/>
        </w:rPr>
        <w:t xml:space="preserve">, que establece un régimen especial de derecho privado debido a la consideración que merece el objeto a contratar. </w:t>
      </w:r>
    </w:p>
    <w:p w14:paraId="75F3AF9A" w14:textId="77777777" w:rsidR="00D97EF3" w:rsidRPr="0040386C" w:rsidRDefault="00D97EF3" w:rsidP="00D97EF3">
      <w:pPr>
        <w:spacing w:after="120" w:line="276" w:lineRule="auto"/>
        <w:ind w:firstLine="709"/>
        <w:jc w:val="both"/>
        <w:rPr>
          <w:rFonts w:ascii="Verdana" w:hAnsi="Verdana" w:cs="Arial"/>
          <w:bCs/>
          <w:lang w:val="es-ES"/>
        </w:rPr>
      </w:pPr>
      <w:r w:rsidRPr="0040386C">
        <w:rPr>
          <w:rFonts w:ascii="Verdana" w:hAnsi="Verdana" w:cs="Arial"/>
          <w:bCs/>
          <w:lang w:val="es-ES"/>
        </w:rPr>
        <w:lastRenderedPageBreak/>
        <w:t xml:space="preserve">Con base en lo indicado, se podría hacer una clasificación general entre regímenes especiales que atienden principalmente al sujeto, y regímenes especiales que atienden principalmente al objeto. Esta clasificación conceptual tiene como efecto práctico resaltar que unos y otros son regímenes especiales. Así, por ejemplo, tanto el régimen jurídico de las empresas industriales y comerciales del Estado en competencia o mercados regulados, como el régimen del artículo 66 de la Ley 1523 de 2012, son regímenes especiales a la luz del derecho de la contratación estatal. Por lo mismo, tanto uno como otro régimen están sometidos, en principio, al derecho privado, pero con algunas particularidades propias del derecho público. </w:t>
      </w:r>
    </w:p>
    <w:p w14:paraId="20A49E3C" w14:textId="77777777" w:rsidR="00D97EF3" w:rsidRPr="0040386C" w:rsidRDefault="00D97EF3" w:rsidP="00D97EF3">
      <w:pPr>
        <w:spacing w:after="0" w:line="276" w:lineRule="auto"/>
        <w:ind w:firstLine="709"/>
        <w:jc w:val="both"/>
        <w:rPr>
          <w:rFonts w:ascii="Verdana" w:hAnsi="Verdana" w:cs="Arial"/>
          <w:bCs/>
          <w:lang w:val="es-ES"/>
        </w:rPr>
      </w:pPr>
      <w:r w:rsidRPr="0040386C">
        <w:rPr>
          <w:rFonts w:ascii="Verdana" w:hAnsi="Verdana" w:cs="Arial"/>
          <w:bCs/>
          <w:lang w:val="es-ES"/>
        </w:rPr>
        <w:t>El régimen de derecho privado que, por regla general, caracteriza a los regímenes especiales no significa que no existan “dosis” de derecho público administrativo que tienen como fin último garantizar que los regímenes especiales de contratación también se ordenen hacia la consecución de los fines del Estado. Estas “dosis” de derecho administrativo encuentran su manifestación tanto en forma de reglas como de principios. En relación con este segundo tipo, esto es, principios de derecho público aplicables a regímenes especiales de contratación, la norma por antonomasia es el artículo 13 de la Ley 1150 de 2007, que preceptúa lo siguiente:</w:t>
      </w:r>
    </w:p>
    <w:p w14:paraId="66571DDD" w14:textId="77777777" w:rsidR="00D97EF3" w:rsidRPr="0040386C" w:rsidRDefault="00D97EF3" w:rsidP="00D97EF3">
      <w:pPr>
        <w:spacing w:after="0" w:line="276" w:lineRule="auto"/>
        <w:ind w:firstLine="709"/>
        <w:jc w:val="both"/>
        <w:rPr>
          <w:rFonts w:ascii="Verdana" w:hAnsi="Verdana" w:cs="Arial"/>
          <w:bCs/>
          <w:lang w:val="es-ES"/>
        </w:rPr>
      </w:pPr>
      <w:r w:rsidRPr="0040386C">
        <w:rPr>
          <w:rFonts w:ascii="Verdana" w:hAnsi="Verdana" w:cs="Arial"/>
          <w:bCs/>
          <w:lang w:val="es-ES"/>
        </w:rPr>
        <w:t xml:space="preserve"> </w:t>
      </w:r>
    </w:p>
    <w:p w14:paraId="37219EB9" w14:textId="77777777" w:rsidR="00D97EF3" w:rsidRPr="0040386C" w:rsidRDefault="00D97EF3" w:rsidP="00D97EF3">
      <w:pPr>
        <w:spacing w:after="0" w:line="240" w:lineRule="auto"/>
        <w:ind w:left="709" w:right="709"/>
        <w:jc w:val="both"/>
        <w:rPr>
          <w:rFonts w:ascii="Verdana" w:hAnsi="Verdana" w:cs="Arial"/>
          <w:bCs/>
          <w:sz w:val="20"/>
          <w:szCs w:val="20"/>
          <w:lang w:val="es-ES"/>
        </w:rPr>
      </w:pPr>
      <w:r w:rsidRPr="0040386C">
        <w:rPr>
          <w:rFonts w:ascii="Verdana" w:hAnsi="Verdana" w:cs="Arial"/>
          <w:bCs/>
          <w:sz w:val="20"/>
          <w:szCs w:val="20"/>
          <w:lang w:val="es-ES"/>
        </w:rPr>
        <w:t>“Artículo 13. Principios generales de la actividad contractual para entidades no sometidas al estatuto general de contratación de la administración pública.</w:t>
      </w:r>
      <w:r w:rsidRPr="0040386C">
        <w:rPr>
          <w:rFonts w:ascii="Verdana" w:hAnsi="Verdana" w:cs="Arial"/>
          <w:b/>
          <w:sz w:val="20"/>
          <w:szCs w:val="20"/>
          <w:lang w:val="es-ES"/>
        </w:rPr>
        <w:t xml:space="preserve"> </w:t>
      </w:r>
      <w:r w:rsidRPr="0040386C">
        <w:rPr>
          <w:rFonts w:ascii="Verdana" w:hAnsi="Verdana" w:cs="Arial"/>
          <w:bCs/>
          <w:sz w:val="20"/>
          <w:szCs w:val="20"/>
          <w:lang w:val="es-ES"/>
        </w:rPr>
        <w:t xml:space="preserve">Las entidades estatales que por disposición legal cuenten con un régimen contractual excepcional al del Estatuto General de Contratación de la Administración Pública, aplicarán en desarrollo de su actividad contractual, acorde con su régimen legal especial, los </w:t>
      </w:r>
      <w:r w:rsidRPr="0040386C">
        <w:rPr>
          <w:rFonts w:ascii="Verdana" w:hAnsi="Verdana" w:cs="Arial"/>
          <w:bCs/>
          <w:color w:val="000000" w:themeColor="text1"/>
          <w:sz w:val="20"/>
          <w:szCs w:val="20"/>
          <w:lang w:val="es-ES"/>
        </w:rPr>
        <w:t>principios de la función administrativa y de la gestión fiscal de que tratan los artículos </w:t>
      </w:r>
      <w:hyperlink r:id="rId12" w:anchor="209" w:history="1">
        <w:r w:rsidRPr="0040386C">
          <w:rPr>
            <w:rFonts w:ascii="Verdana" w:hAnsi="Verdana" w:cs="Arial"/>
            <w:bCs/>
            <w:color w:val="000000" w:themeColor="text1"/>
            <w:sz w:val="20"/>
            <w:szCs w:val="20"/>
            <w:lang w:val="es-ES"/>
          </w:rPr>
          <w:t>209</w:t>
        </w:r>
      </w:hyperlink>
      <w:r w:rsidRPr="0040386C">
        <w:rPr>
          <w:rFonts w:ascii="Verdana" w:hAnsi="Verdana" w:cs="Arial"/>
          <w:bCs/>
          <w:color w:val="000000" w:themeColor="text1"/>
          <w:sz w:val="20"/>
          <w:szCs w:val="20"/>
          <w:lang w:val="es-ES"/>
        </w:rPr>
        <w:t> y </w:t>
      </w:r>
      <w:hyperlink r:id="rId13" w:anchor="267" w:history="1">
        <w:r w:rsidRPr="0040386C">
          <w:rPr>
            <w:rFonts w:ascii="Verdana" w:hAnsi="Verdana" w:cs="Arial"/>
            <w:bCs/>
            <w:color w:val="000000" w:themeColor="text1"/>
            <w:sz w:val="20"/>
            <w:szCs w:val="20"/>
            <w:lang w:val="es-ES"/>
          </w:rPr>
          <w:t>267</w:t>
        </w:r>
      </w:hyperlink>
      <w:r w:rsidRPr="0040386C">
        <w:rPr>
          <w:rFonts w:ascii="Verdana" w:hAnsi="Verdana" w:cs="Arial"/>
          <w:bCs/>
          <w:color w:val="000000" w:themeColor="text1"/>
          <w:sz w:val="20"/>
          <w:szCs w:val="20"/>
          <w:lang w:val="es-ES"/>
        </w:rPr>
        <w:t xml:space="preserve"> de la Constitución Política, respectivamente según sea el caso y estarán sometidas al régimen de inhabilidades e incompatibilidades previsto legalmente </w:t>
      </w:r>
      <w:r w:rsidRPr="0040386C">
        <w:rPr>
          <w:rFonts w:ascii="Verdana" w:hAnsi="Verdana" w:cs="Arial"/>
          <w:bCs/>
          <w:sz w:val="20"/>
          <w:szCs w:val="20"/>
          <w:lang w:val="es-ES"/>
        </w:rPr>
        <w:t>para la contratación estatal”.</w:t>
      </w:r>
    </w:p>
    <w:p w14:paraId="1FD2E737" w14:textId="77777777" w:rsidR="00D97EF3" w:rsidRPr="0040386C" w:rsidRDefault="00D97EF3" w:rsidP="00D97EF3">
      <w:pPr>
        <w:spacing w:after="0"/>
        <w:ind w:left="708" w:right="758"/>
        <w:jc w:val="both"/>
        <w:rPr>
          <w:rFonts w:ascii="Verdana" w:hAnsi="Verdana" w:cs="Arial"/>
          <w:bCs/>
          <w:lang w:val="es-ES"/>
        </w:rPr>
      </w:pPr>
    </w:p>
    <w:p w14:paraId="78FCF1CF" w14:textId="77777777" w:rsidR="00D97EF3" w:rsidRPr="0040386C" w:rsidRDefault="00D97EF3" w:rsidP="00D97EF3">
      <w:pPr>
        <w:spacing w:after="120" w:line="276" w:lineRule="auto"/>
        <w:jc w:val="both"/>
        <w:rPr>
          <w:rFonts w:ascii="Verdana" w:hAnsi="Verdana" w:cs="Arial"/>
          <w:bCs/>
          <w:lang w:val="es-ES"/>
        </w:rPr>
      </w:pPr>
      <w:r w:rsidRPr="0040386C">
        <w:rPr>
          <w:rFonts w:ascii="Verdana" w:hAnsi="Verdana" w:cs="Arial"/>
          <w:bCs/>
          <w:lang w:val="es-ES"/>
        </w:rPr>
        <w:tab/>
        <w:t xml:space="preserve">De conformidad con lo establecido en este artículo, las entidades estatales que cuenten con un régimen contractual excepcional al del EGCAP, esto es, regímenes especiales, “aplicarán en desarrollo de su actividad contractual […] los principios de la función administrativa y de la gestión fiscal […] y estarán </w:t>
      </w:r>
      <w:r w:rsidRPr="0040386C">
        <w:rPr>
          <w:rFonts w:ascii="Verdana" w:hAnsi="Verdana" w:cs="Arial"/>
          <w:bCs/>
          <w:lang w:val="es-ES"/>
        </w:rPr>
        <w:lastRenderedPageBreak/>
        <w:t>sometidas al régimen de inhabilidades e incompatibilidades previsto legalmente para la contratación estatal”. La interpretación más adecuada de esta disposición implica admitir que su ámbito de aplicación ampara los supuestos de las entidades que tienen, como regla general, un régimen especial de contratación</w:t>
      </w:r>
      <w:r>
        <w:rPr>
          <w:rFonts w:ascii="Verdana" w:hAnsi="Verdana" w:cs="Arial"/>
          <w:bCs/>
          <w:lang w:val="es-ES"/>
        </w:rPr>
        <w:t xml:space="preserve">. </w:t>
      </w:r>
    </w:p>
    <w:p w14:paraId="1AD58152" w14:textId="77777777" w:rsidR="00D97EF3" w:rsidRPr="0040386C" w:rsidRDefault="00D97EF3" w:rsidP="00D97EF3">
      <w:pPr>
        <w:spacing w:after="120" w:line="276" w:lineRule="auto"/>
        <w:ind w:firstLine="709"/>
        <w:jc w:val="both"/>
        <w:rPr>
          <w:rFonts w:ascii="Verdana" w:eastAsia="Calibri" w:hAnsi="Verdana" w:cs="Arial"/>
          <w:color w:val="000000" w:themeColor="text1"/>
        </w:rPr>
      </w:pPr>
      <w:r w:rsidRPr="0040386C">
        <w:rPr>
          <w:rFonts w:ascii="Verdana" w:eastAsia="Calibri" w:hAnsi="Verdana" w:cs="Arial"/>
          <w:color w:val="000000" w:themeColor="text1"/>
        </w:rPr>
        <w:t>Puede decirse que una de las reglas derivada de las normas de derecho público que irradian el régimen jurídico de las entidades exceptuadas del EGCAP, consiste en el deber de expedir un manual de contratación. En este documento deben concretarse los principios de la función administrativa y de la gestión fiscal, así como determinarse la manera concreta como dichos principios orientarán el derecho privado en el ejercicio de la actividad contractual. De esta manera, los potenciales oferentes podrán identificar las reglas que aplica la entidad en sus procesos contractuales.</w:t>
      </w:r>
    </w:p>
    <w:p w14:paraId="0BCEE8A8" w14:textId="77777777" w:rsidR="00D97EF3" w:rsidRPr="0040386C" w:rsidRDefault="00D97EF3" w:rsidP="1EEC3F27">
      <w:pPr>
        <w:spacing w:after="120" w:line="276" w:lineRule="auto"/>
        <w:ind w:firstLine="709"/>
        <w:jc w:val="both"/>
        <w:rPr>
          <w:rFonts w:ascii="Verdana" w:eastAsia="Calibri" w:hAnsi="Verdana" w:cs="Arial"/>
          <w:color w:val="000000" w:themeColor="text1"/>
          <w:lang w:val="es-ES"/>
        </w:rPr>
      </w:pPr>
      <w:r w:rsidRPr="1EEC3F27">
        <w:rPr>
          <w:rFonts w:ascii="Verdana" w:eastAsia="Calibri" w:hAnsi="Verdana" w:cs="Arial"/>
          <w:color w:val="000000" w:themeColor="text1"/>
          <w:lang w:val="es-ES"/>
        </w:rPr>
        <w:t>Sobre este punto particular es preciso destacar que, las entidades estatales sometidas a regímenes especiales de derecho privado tienen una amplia libertad de configuración del contenido del manual de contratación. Esta libertad se deriva del principio de autonomía de la voluntad reconocida a estas entidades, que les permite establecer la manera en que adelantarán sus procesos de contratación</w:t>
      </w:r>
      <w:r w:rsidRPr="1EEC3F27">
        <w:rPr>
          <w:rFonts w:ascii="Verdana" w:eastAsia="Calibri" w:hAnsi="Verdana" w:cs="Arial"/>
          <w:color w:val="000000" w:themeColor="text1"/>
          <w:vertAlign w:val="superscript"/>
          <w:lang w:val="es-ES"/>
        </w:rPr>
        <w:footnoteReference w:id="6"/>
      </w:r>
      <w:r w:rsidRPr="1EEC3F27">
        <w:rPr>
          <w:rFonts w:ascii="Verdana" w:eastAsia="Calibri" w:hAnsi="Verdana" w:cs="Arial"/>
          <w:color w:val="000000" w:themeColor="text1"/>
          <w:lang w:val="es-ES"/>
        </w:rPr>
        <w:t>. Ahora bien, dicha libertad es similar a la reconocida a los particulares por el derecho privado, pero no es idéntica a aquella, en la medida en que encuentra importantes limitantes.</w:t>
      </w:r>
    </w:p>
    <w:p w14:paraId="1BC01B8C" w14:textId="77777777" w:rsidR="00D97EF3" w:rsidRPr="0040386C" w:rsidRDefault="00D97EF3" w:rsidP="00D97EF3">
      <w:pPr>
        <w:spacing w:after="120" w:line="276" w:lineRule="auto"/>
        <w:ind w:firstLine="709"/>
        <w:jc w:val="both"/>
        <w:rPr>
          <w:rFonts w:ascii="Verdana" w:eastAsia="Calibri" w:hAnsi="Verdana" w:cs="Arial"/>
          <w:color w:val="000000" w:themeColor="text1"/>
          <w:lang w:val="es-ES"/>
        </w:rPr>
      </w:pPr>
      <w:r w:rsidRPr="0040386C">
        <w:rPr>
          <w:rFonts w:ascii="Verdana" w:eastAsia="Calibri" w:hAnsi="Verdana" w:cs="Arial"/>
          <w:color w:val="000000" w:themeColor="text1"/>
          <w:lang w:val="es-ES"/>
        </w:rPr>
        <w:t xml:space="preserve">La elaboración de esos manuales debe contemplar procedimientos de selección públicos, en los cuales se garantice la imparcialidad de la entidad contratante, la igualdad entre los oferentes, y en los cuales se respeten los principios constitucionales relevantes, como la eficacia, economía, celeridad, moralidad, entre otros. Es decir, deben reflejar los principios de la función administrativa y, también, los de la gestión fiscal. La forma precisa en que se concretan estos principios, así como la manera como se armonizan con su régimen de derecho privado, es un asunto que debe decidir la entidad en el ejercicio de la discrecionalidad concedida por el ordenamiento jurídico. No obstante, se considera que, como mínimo, los manuales diseñados por la entidad se deben indicar cuáles son sus procedimientos de selección y una descripción </w:t>
      </w:r>
      <w:r w:rsidRPr="0040386C">
        <w:rPr>
          <w:rFonts w:ascii="Verdana" w:eastAsia="Calibri" w:hAnsi="Verdana" w:cs="Arial"/>
          <w:color w:val="000000" w:themeColor="text1"/>
          <w:lang w:val="es-ES"/>
        </w:rPr>
        <w:lastRenderedPageBreak/>
        <w:t>de cada uno de ellos, al igual que las etapas que los componen, los cuales deben estar alineados con la garantía de los principios de la función administrativa</w:t>
      </w:r>
      <w:r w:rsidRPr="0040386C">
        <w:rPr>
          <w:rFonts w:ascii="Verdana" w:eastAsia="Calibri" w:hAnsi="Verdana" w:cs="Arial"/>
          <w:color w:val="000000" w:themeColor="text1"/>
          <w:vertAlign w:val="superscript"/>
          <w:lang w:val="es-ES"/>
        </w:rPr>
        <w:footnoteReference w:id="7"/>
      </w:r>
      <w:r w:rsidRPr="0040386C">
        <w:rPr>
          <w:rFonts w:ascii="Verdana" w:eastAsia="Calibri" w:hAnsi="Verdana" w:cs="Arial"/>
          <w:color w:val="000000" w:themeColor="text1"/>
          <w:lang w:val="es-ES"/>
        </w:rPr>
        <w:t xml:space="preserve">. </w:t>
      </w:r>
    </w:p>
    <w:p w14:paraId="33ED8B46" w14:textId="77777777" w:rsidR="00D97EF3" w:rsidRPr="0040386C" w:rsidRDefault="00D97EF3" w:rsidP="00D97EF3">
      <w:pPr>
        <w:spacing w:after="120" w:line="276" w:lineRule="auto"/>
        <w:ind w:firstLine="709"/>
        <w:jc w:val="both"/>
        <w:rPr>
          <w:rFonts w:ascii="Verdana" w:eastAsia="Calibri" w:hAnsi="Verdana" w:cs="Arial"/>
          <w:color w:val="000000" w:themeColor="text1"/>
          <w:lang w:val="es-ES"/>
        </w:rPr>
      </w:pPr>
      <w:r w:rsidRPr="0040386C">
        <w:rPr>
          <w:rFonts w:ascii="Verdana" w:eastAsia="Calibri" w:hAnsi="Verdana" w:cs="Arial"/>
          <w:color w:val="000000" w:themeColor="text1"/>
          <w:lang w:val="es-ES"/>
        </w:rPr>
        <w:t xml:space="preserve">De esta forma, las reglas establecidas en los manuales o reglamentos internos de contratación son muy importantes, toda vez que las entidades se obligan a cumplir su contenido. Además, tratándose de un acto administrativo, concretamente de un reglamento, le aplican los atributos propios de estos tipos de actos, entre otras cosas, la presunción de legalidad y la regla de </w:t>
      </w:r>
      <w:r w:rsidRPr="0040386C">
        <w:rPr>
          <w:rFonts w:ascii="Verdana" w:eastAsia="Calibri" w:hAnsi="Verdana" w:cs="Arial"/>
          <w:i/>
          <w:color w:val="000000" w:themeColor="text1"/>
          <w:lang w:val="es-ES"/>
        </w:rPr>
        <w:t>inderogabilidad singular del reglamento</w:t>
      </w:r>
      <w:r w:rsidRPr="0040386C">
        <w:rPr>
          <w:rFonts w:ascii="Verdana" w:eastAsia="Calibri" w:hAnsi="Verdana" w:cs="Arial"/>
          <w:i/>
          <w:color w:val="000000" w:themeColor="text1"/>
          <w:vertAlign w:val="superscript"/>
          <w:lang w:val="es-ES"/>
        </w:rPr>
        <w:footnoteReference w:id="8"/>
      </w:r>
      <w:r w:rsidRPr="0040386C">
        <w:rPr>
          <w:rFonts w:ascii="Verdana" w:eastAsia="Calibri" w:hAnsi="Verdana" w:cs="Arial"/>
          <w:color w:val="000000" w:themeColor="text1"/>
          <w:lang w:val="es-ES"/>
        </w:rPr>
        <w:t>. En tal sentido, su contenido vincula a la propia entidad que lo expidió y no puede desconocerlo a su capricho en casos específicos; sin perjuicio de la posibilidad de expedir un nuevo manual o de modificar el existente.</w:t>
      </w:r>
    </w:p>
    <w:p w14:paraId="3B04C5DC" w14:textId="77777777" w:rsidR="00D97EF3" w:rsidRPr="0040386C" w:rsidRDefault="00D97EF3" w:rsidP="00D97EF3">
      <w:pPr>
        <w:spacing w:after="120" w:line="276" w:lineRule="auto"/>
        <w:ind w:firstLine="709"/>
        <w:jc w:val="both"/>
        <w:rPr>
          <w:rFonts w:ascii="Verdana" w:eastAsia="Calibri" w:hAnsi="Verdana" w:cs="Arial"/>
          <w:color w:val="000000" w:themeColor="text1"/>
          <w:lang w:val="es-ES"/>
        </w:rPr>
      </w:pPr>
      <w:r w:rsidRPr="0040386C">
        <w:rPr>
          <w:rFonts w:ascii="Verdana" w:eastAsia="Calibri" w:hAnsi="Verdana" w:cs="Arial"/>
          <w:color w:val="000000" w:themeColor="text1"/>
          <w:lang w:val="es-ES"/>
        </w:rPr>
        <w:t>Así mismo, los procedimientos de selección que creen las entidades de régimen especial en sus manuales de contratación deben estar acordes, en cuanto a sus etapas, publicidad, duración, requisitos y demás aspectos con los acuerdos comerciales suscritos por Colombia, en caso de que la entidad se encuentre dentro del ámbito de cobertura de algún acuerdo comercial.</w:t>
      </w:r>
    </w:p>
    <w:p w14:paraId="41276310" w14:textId="77777777" w:rsidR="00D97EF3" w:rsidRPr="0040386C" w:rsidRDefault="00D97EF3" w:rsidP="00D97EF3">
      <w:pPr>
        <w:spacing w:after="120" w:line="276" w:lineRule="auto"/>
        <w:ind w:firstLine="709"/>
        <w:jc w:val="both"/>
        <w:rPr>
          <w:rFonts w:ascii="Verdana" w:eastAsia="Calibri" w:hAnsi="Verdana" w:cs="Arial"/>
          <w:color w:val="000000" w:themeColor="text1"/>
          <w:lang w:val="es-ES"/>
        </w:rPr>
      </w:pPr>
      <w:r>
        <w:rPr>
          <w:rFonts w:ascii="Verdana" w:eastAsia="Calibri" w:hAnsi="Verdana" w:cs="Arial"/>
          <w:color w:val="000000" w:themeColor="text1"/>
          <w:lang w:val="es-ES"/>
        </w:rPr>
        <w:t>Además</w:t>
      </w:r>
      <w:r w:rsidRPr="0040386C">
        <w:rPr>
          <w:rFonts w:ascii="Verdana" w:eastAsia="Calibri" w:hAnsi="Verdana" w:cs="Arial"/>
          <w:color w:val="000000" w:themeColor="text1"/>
          <w:lang w:val="es-ES"/>
        </w:rPr>
        <w:t xml:space="preserve">, existen ciertos contenidos determinados por el ordenamiento jurídico que no pueden ser modificados por los manuales internos, por tratarse de asuntos con reserva de ley. En este sentido, estos reglamentos internos de las entidades con régimen especial no pueden crear causales de inhabilidad o incompatibilidad, crear nuevos supuestos de conflictos de interés, prescribir requisitos de perfeccionamiento, tipologías contractuales, limitar la capacidad contractual establecida en la ley. En efecto, estos contenidos no pueden ser regulados o modificados por los manuales de contratación, ya que se trata de </w:t>
      </w:r>
      <w:r w:rsidRPr="0040386C">
        <w:rPr>
          <w:rFonts w:ascii="Verdana" w:eastAsia="Calibri" w:hAnsi="Verdana" w:cs="Arial"/>
          <w:color w:val="000000" w:themeColor="text1"/>
          <w:lang w:val="es-ES"/>
        </w:rPr>
        <w:lastRenderedPageBreak/>
        <w:t>aspectos con reserva de ley o con congelación en el rango de nivel legal, por lo que un acto administrativo no podría alterarlos</w:t>
      </w:r>
      <w:r w:rsidRPr="0040386C">
        <w:rPr>
          <w:rFonts w:ascii="Verdana" w:eastAsia="Calibri" w:hAnsi="Verdana" w:cs="Arial"/>
          <w:color w:val="000000" w:themeColor="text1"/>
          <w:vertAlign w:val="superscript"/>
          <w:lang w:val="es-ES_tradnl"/>
        </w:rPr>
        <w:footnoteReference w:id="9"/>
      </w:r>
      <w:r w:rsidRPr="0040386C">
        <w:rPr>
          <w:rFonts w:ascii="Verdana" w:eastAsia="Calibri" w:hAnsi="Verdana" w:cs="Arial"/>
          <w:color w:val="000000" w:themeColor="text1"/>
          <w:lang w:val="es-ES"/>
        </w:rPr>
        <w:t>.</w:t>
      </w:r>
    </w:p>
    <w:p w14:paraId="1F1023FF" w14:textId="77777777" w:rsidR="00D97EF3" w:rsidRPr="0040386C" w:rsidRDefault="00D97EF3" w:rsidP="00D97EF3">
      <w:pPr>
        <w:spacing w:after="120" w:line="276" w:lineRule="auto"/>
        <w:ind w:firstLine="709"/>
        <w:jc w:val="both"/>
        <w:rPr>
          <w:rFonts w:ascii="Verdana" w:eastAsia="Calibri" w:hAnsi="Verdana" w:cs="Arial"/>
          <w:color w:val="000000" w:themeColor="text1"/>
        </w:rPr>
      </w:pPr>
      <w:r w:rsidRPr="0040386C">
        <w:rPr>
          <w:rFonts w:ascii="Verdana" w:eastAsia="Calibri" w:hAnsi="Verdana" w:cs="Arial"/>
          <w:color w:val="000000" w:themeColor="text1"/>
          <w:lang w:val="es-ES"/>
        </w:rPr>
        <w:t>Sin perjuicio de lo anterior, existen múltiples contenidos que pueden ser objeto de regulación en el manual de contratación, por hacer parte del ámbito de configuración en desarrollo de su autonomía contractual, siempre que no contravengan la Constitución ni la ley. Por ejemplo, la definición de algunos requisitos de ejecución del contrato, con excepción de los que la ley imponga, la definición de si cierta actuación de la actividad contractual la debe realizar cierta dependencia de la entidad, establecer límites en cuanto a posibilidad de realizar adiciones, detallar los trámites internos que se surten al interior de la entidad y demás aspectos que hagan parte de su ámbito de configuración</w:t>
      </w:r>
      <w:r w:rsidRPr="0040386C">
        <w:rPr>
          <w:rFonts w:ascii="Verdana" w:eastAsia="Calibri" w:hAnsi="Verdana" w:cs="Arial"/>
          <w:color w:val="000000" w:themeColor="text1"/>
        </w:rPr>
        <w:t>.</w:t>
      </w:r>
      <w:r>
        <w:rPr>
          <w:rFonts w:ascii="Verdana" w:eastAsia="Calibri" w:hAnsi="Verdana" w:cs="Arial"/>
          <w:color w:val="000000" w:themeColor="text1"/>
        </w:rPr>
        <w:t xml:space="preserve"> </w:t>
      </w:r>
    </w:p>
    <w:p w14:paraId="4941B68B" w14:textId="77777777" w:rsidR="00D97EF3" w:rsidRDefault="00D97EF3" w:rsidP="00D97EF3">
      <w:pPr>
        <w:spacing w:after="120" w:line="276" w:lineRule="auto"/>
        <w:ind w:firstLine="709"/>
        <w:jc w:val="both"/>
        <w:rPr>
          <w:rFonts w:ascii="Verdana" w:eastAsia="Calibri" w:hAnsi="Verdana" w:cs="Arial"/>
          <w:color w:val="000000" w:themeColor="text1"/>
        </w:rPr>
      </w:pPr>
      <w:r w:rsidRPr="0040386C">
        <w:rPr>
          <w:rFonts w:ascii="Verdana" w:eastAsia="Calibri" w:hAnsi="Verdana" w:cs="Arial"/>
          <w:color w:val="000000" w:themeColor="text1"/>
        </w:rPr>
        <w:t xml:space="preserve">En este sentido, </w:t>
      </w:r>
      <w:r w:rsidRPr="0040386C">
        <w:rPr>
          <w:rFonts w:ascii="Verdana" w:eastAsia="Calibri" w:hAnsi="Verdana" w:cs="Arial"/>
          <w:color w:val="000000" w:themeColor="text1"/>
          <w:lang w:val="es-ES"/>
        </w:rPr>
        <w:t>frente a</w:t>
      </w:r>
      <w:r>
        <w:rPr>
          <w:rFonts w:ascii="Verdana" w:eastAsia="Calibri" w:hAnsi="Verdana" w:cs="Arial"/>
          <w:color w:val="000000" w:themeColor="text1"/>
          <w:lang w:val="es-ES"/>
        </w:rPr>
        <w:t xml:space="preserve"> las consultas planteadas</w:t>
      </w:r>
      <w:r w:rsidRPr="0040386C">
        <w:rPr>
          <w:rFonts w:ascii="Verdana" w:eastAsia="Calibri" w:hAnsi="Verdana" w:cs="Arial"/>
          <w:color w:val="000000" w:themeColor="text1"/>
          <w:lang w:val="es-ES"/>
        </w:rPr>
        <w:t xml:space="preserve">, se precisa </w:t>
      </w:r>
      <w:proofErr w:type="gramStart"/>
      <w:r w:rsidRPr="0040386C">
        <w:rPr>
          <w:rFonts w:ascii="Verdana" w:eastAsia="Calibri" w:hAnsi="Verdana" w:cs="Arial"/>
          <w:color w:val="000000" w:themeColor="text1"/>
          <w:lang w:val="es-ES"/>
        </w:rPr>
        <w:t>que</w:t>
      </w:r>
      <w:proofErr w:type="gramEnd"/>
      <w:r w:rsidRPr="0040386C">
        <w:rPr>
          <w:rFonts w:ascii="Verdana" w:eastAsia="Calibri" w:hAnsi="Verdana" w:cs="Arial"/>
          <w:color w:val="000000" w:themeColor="text1"/>
          <w:lang w:val="es-ES"/>
        </w:rPr>
        <w:t xml:space="preserve"> </w:t>
      </w:r>
      <w:r w:rsidRPr="0040386C">
        <w:rPr>
          <w:rFonts w:ascii="Verdana" w:eastAsia="Calibri" w:hAnsi="Verdana" w:cs="Arial"/>
          <w:color w:val="000000" w:themeColor="text1"/>
        </w:rPr>
        <w:t>en el marco de la autonomía reconocida a las entidades con régimen especial, estas cuentan con la facultad de definir los</w:t>
      </w:r>
      <w:r>
        <w:rPr>
          <w:rFonts w:ascii="Verdana" w:eastAsia="Calibri" w:hAnsi="Verdana" w:cs="Arial"/>
          <w:color w:val="000000" w:themeColor="text1"/>
        </w:rPr>
        <w:t xml:space="preserve"> requisitos que se solicitaran a los proponentes en el marco de un proceso de contratación</w:t>
      </w:r>
      <w:r w:rsidRPr="0040386C">
        <w:rPr>
          <w:rFonts w:ascii="Verdana" w:eastAsia="Calibri" w:hAnsi="Verdana" w:cs="Arial"/>
          <w:color w:val="000000" w:themeColor="text1"/>
        </w:rPr>
        <w:t>. Dicha autonomía les permite, entre otras cosas,</w:t>
      </w:r>
      <w:r>
        <w:rPr>
          <w:rFonts w:ascii="Verdana" w:eastAsia="Calibri" w:hAnsi="Verdana" w:cs="Arial"/>
          <w:color w:val="000000" w:themeColor="text1"/>
        </w:rPr>
        <w:t xml:space="preserve"> establecer los requisitos que otorgarán puntaje dentro de sus procesos de contratación siempre que estos cumplan con el principio de selección objetiva. Además, podrán </w:t>
      </w:r>
      <w:r w:rsidRPr="00D6740F">
        <w:rPr>
          <w:rFonts w:ascii="Verdana" w:eastAsia="Calibri" w:hAnsi="Verdana" w:cs="Arial"/>
          <w:color w:val="000000" w:themeColor="text1"/>
          <w:lang w:val="es-ES_tradnl"/>
        </w:rPr>
        <w:t>exigir marcas</w:t>
      </w:r>
      <w:r>
        <w:rPr>
          <w:rFonts w:ascii="Verdana" w:eastAsia="Calibri" w:hAnsi="Verdana" w:cs="Arial"/>
          <w:color w:val="000000" w:themeColor="text1"/>
          <w:lang w:val="es-ES_tradnl"/>
        </w:rPr>
        <w:t xml:space="preserve"> dentro de las especificaciones técnicas</w:t>
      </w:r>
      <w:r w:rsidRPr="00D6740F">
        <w:rPr>
          <w:rFonts w:ascii="Verdana" w:eastAsia="Calibri" w:hAnsi="Verdana" w:cs="Arial"/>
          <w:color w:val="000000" w:themeColor="text1"/>
          <w:lang w:val="es-ES_tradnl"/>
        </w:rPr>
        <w:t xml:space="preserve"> si</w:t>
      </w:r>
      <w:r>
        <w:rPr>
          <w:rFonts w:ascii="Verdana" w:eastAsia="Calibri" w:hAnsi="Verdana" w:cs="Arial"/>
          <w:color w:val="000000" w:themeColor="text1"/>
          <w:lang w:val="es-ES_tradnl"/>
        </w:rPr>
        <w:t xml:space="preserve">empre que </w:t>
      </w:r>
      <w:r w:rsidRPr="00D6740F">
        <w:rPr>
          <w:rFonts w:ascii="Verdana" w:eastAsia="Calibri" w:hAnsi="Verdana" w:cs="Arial"/>
          <w:color w:val="000000" w:themeColor="text1"/>
          <w:lang w:val="es-ES_tradnl"/>
        </w:rPr>
        <w:t>no est</w:t>
      </w:r>
      <w:r>
        <w:rPr>
          <w:rFonts w:ascii="Verdana" w:eastAsia="Calibri" w:hAnsi="Verdana" w:cs="Arial"/>
          <w:color w:val="000000" w:themeColor="text1"/>
          <w:lang w:val="es-ES_tradnl"/>
        </w:rPr>
        <w:t>é</w:t>
      </w:r>
      <w:r w:rsidRPr="00D6740F">
        <w:rPr>
          <w:rFonts w:ascii="Verdana" w:eastAsia="Calibri" w:hAnsi="Verdana" w:cs="Arial"/>
          <w:color w:val="000000" w:themeColor="text1"/>
          <w:lang w:val="es-ES_tradnl"/>
        </w:rPr>
        <w:t xml:space="preserve">n prohibidas en acuerdos y tratados comerciales en las que sean destinatarios, pero garantizando el principio de proporcionalidad, que exige que dichos requisitos o condiciones sean razonables, es decir, que guarden congruencia con el objeto, necesidad de la contratación, alcance, valor, plazo del contrato, entre otros aspectos, que sean necesarios y no restrinjan injustificadamente la libre concurrencia y pluralidad de oferentes. </w:t>
      </w:r>
    </w:p>
    <w:p w14:paraId="7904C237" w14:textId="77777777" w:rsidR="00D97EF3" w:rsidRPr="00024942" w:rsidRDefault="00D97EF3" w:rsidP="00D97EF3">
      <w:pPr>
        <w:spacing w:after="120" w:line="276" w:lineRule="auto"/>
        <w:ind w:firstLine="709"/>
        <w:jc w:val="both"/>
        <w:rPr>
          <w:rFonts w:ascii="Verdana" w:eastAsia="Calibri" w:hAnsi="Verdana" w:cs="Arial"/>
          <w:color w:val="000000" w:themeColor="text1"/>
        </w:rPr>
      </w:pPr>
      <w:r>
        <w:rPr>
          <w:rFonts w:ascii="Verdana" w:eastAsia="Arial" w:hAnsi="Verdana" w:cs="Arial"/>
          <w:lang w:val="es-ES"/>
        </w:rPr>
        <w:t>Si bien ni el EGCAP ni sus normas reglamentarias prohíben la exigencia de marcas en los procesos de contratación, en algunos tratados de libre comercio suscritos por Colombia se establece la prohibición de su exigencia. A modo de ejemplo, el Tratado de Libre Comercio suscrito entre Colombia y Estados Unidos establece que l</w:t>
      </w:r>
      <w:r>
        <w:rPr>
          <w:rFonts w:ascii="Verdana" w:eastAsia="Times New Roman" w:hAnsi="Verdana" w:cs="Arial"/>
          <w:lang w:eastAsia="es-CO"/>
        </w:rPr>
        <w:t xml:space="preserve">a entidad está obligada a no establecer condiciones técnicas que afecten la participación de los futuros proponentes. De este modo, la entidad debe: i) precisar la especificación técnica, en términos de desempeño y requisitos funcionales; y </w:t>
      </w:r>
      <w:proofErr w:type="spellStart"/>
      <w:r>
        <w:rPr>
          <w:rFonts w:ascii="Verdana" w:eastAsia="Times New Roman" w:hAnsi="Verdana" w:cs="Arial"/>
          <w:lang w:eastAsia="es-CO"/>
        </w:rPr>
        <w:t>ii</w:t>
      </w:r>
      <w:proofErr w:type="spellEnd"/>
      <w:r>
        <w:rPr>
          <w:rFonts w:ascii="Verdana" w:eastAsia="Times New Roman" w:hAnsi="Verdana" w:cs="Arial"/>
          <w:lang w:eastAsia="es-CO"/>
        </w:rPr>
        <w:t xml:space="preserve">) basar las condiciones del producto en estándares internacionales, cuando existan y sean aplicables a la entidad, excepto el uso de </w:t>
      </w:r>
      <w:r>
        <w:rPr>
          <w:rFonts w:ascii="Verdana" w:eastAsia="Times New Roman" w:hAnsi="Verdana" w:cs="Arial"/>
          <w:lang w:eastAsia="es-CO"/>
        </w:rPr>
        <w:lastRenderedPageBreak/>
        <w:t xml:space="preserve">un estándar internacional que no cumpla con los requerimientos del programa de la entidad o imponga una carga mayor que el empleo de un estándar nacional reconocido. Por tanto, se prohíben las marcas o nombres comerciales, salvo que no exista otra forma de precisar el bien requerido, pero con la condición de que se describa acompañado de la expresión </w:t>
      </w:r>
      <w:r>
        <w:rPr>
          <w:rFonts w:ascii="Verdana" w:eastAsia="Calibri" w:hAnsi="Verdana" w:cs="Arial"/>
          <w:lang w:val="es-ES"/>
        </w:rPr>
        <w:t>“</w:t>
      </w:r>
      <w:r>
        <w:rPr>
          <w:rFonts w:ascii="Verdana" w:eastAsia="Times New Roman" w:hAnsi="Verdana" w:cs="Arial"/>
          <w:lang w:eastAsia="es-CO"/>
        </w:rPr>
        <w:t>o equivalente</w:t>
      </w:r>
      <w:r>
        <w:rPr>
          <w:rFonts w:ascii="Verdana" w:eastAsia="Calibri" w:hAnsi="Verdana" w:cs="Arial"/>
          <w:color w:val="000000"/>
        </w:rPr>
        <w:t>”</w:t>
      </w:r>
      <w:r>
        <w:rPr>
          <w:rFonts w:ascii="Verdana" w:eastAsia="Times New Roman" w:hAnsi="Verdana" w:cs="Arial"/>
          <w:lang w:eastAsia="es-CO"/>
        </w:rPr>
        <w:t xml:space="preserve">. </w:t>
      </w:r>
      <w:r>
        <w:rPr>
          <w:rFonts w:ascii="Verdana" w:eastAsia="Times New Roman" w:hAnsi="Verdana" w:cs="Arial"/>
          <w:bCs/>
          <w:color w:val="000000"/>
          <w:lang w:val="es-ES" w:eastAsia="es-ES"/>
        </w:rPr>
        <w:t>Así mismo, no es posible un asesoramiento para la determinación de las especificaciones técnicas, si hay un interés comercial para participar en el proceso de contratación</w:t>
      </w:r>
      <w:r>
        <w:rPr>
          <w:rStyle w:val="Refdenotaalpie"/>
          <w:rFonts w:ascii="Verdana" w:hAnsi="Verdana"/>
        </w:rPr>
        <w:footnoteReference w:id="10"/>
      </w:r>
      <w:r>
        <w:rPr>
          <w:rFonts w:ascii="Verdana" w:eastAsia="Times New Roman" w:hAnsi="Verdana" w:cs="Arial"/>
          <w:bCs/>
          <w:color w:val="000000"/>
          <w:lang w:val="es-ES" w:eastAsia="es-ES"/>
        </w:rPr>
        <w:t>.</w:t>
      </w:r>
    </w:p>
    <w:p w14:paraId="469BC25F" w14:textId="77777777" w:rsidR="00D97EF3" w:rsidRDefault="00D97EF3" w:rsidP="00D97EF3">
      <w:pPr>
        <w:widowControl w:val="0"/>
        <w:autoSpaceDE w:val="0"/>
        <w:autoSpaceDN w:val="0"/>
        <w:spacing w:after="120" w:line="276" w:lineRule="auto"/>
        <w:ind w:right="108"/>
        <w:jc w:val="both"/>
        <w:rPr>
          <w:rFonts w:ascii="Verdana" w:eastAsia="Times New Roman" w:hAnsi="Verdana" w:cs="Arial"/>
          <w:bCs/>
          <w:color w:val="000000"/>
          <w:lang w:val="es-ES" w:eastAsia="es-ES"/>
        </w:rPr>
      </w:pPr>
      <w:r>
        <w:rPr>
          <w:rFonts w:ascii="Verdana" w:eastAsia="Times New Roman" w:hAnsi="Verdana" w:cs="Arial"/>
          <w:lang w:eastAsia="es-CO"/>
        </w:rPr>
        <w:tab/>
        <w:t>En otros tratados de libre comercio suscritos con Colombia se aplican estas mismas reglas de restricción de la exigencia de marcas</w:t>
      </w:r>
      <w:r>
        <w:rPr>
          <w:rStyle w:val="Refdenotaalpie"/>
          <w:rFonts w:ascii="Verdana" w:hAnsi="Verdana"/>
        </w:rPr>
        <w:footnoteReference w:id="11"/>
      </w:r>
      <w:r>
        <w:rPr>
          <w:rFonts w:ascii="Verdana" w:eastAsia="Times New Roman" w:hAnsi="Verdana" w:cs="Arial"/>
          <w:lang w:eastAsia="es-CO"/>
        </w:rPr>
        <w:t xml:space="preserve">. En principio, se niega la posibilidad de que en </w:t>
      </w:r>
      <w:r>
        <w:rPr>
          <w:rFonts w:ascii="Verdana" w:eastAsia="Times New Roman" w:hAnsi="Verdana" w:cs="Arial"/>
          <w:bCs/>
          <w:color w:val="000000"/>
          <w:lang w:val="es-ES" w:eastAsia="es-ES"/>
        </w:rPr>
        <w:t>determinadas circunstancias las entidades destinatarias de los acuerdos comerciales puedan adquirir productos de determinadas marcas, bajo la justificación de las calidades técnicas que esta posea. Lo que busca garantizarse es el principio de transparencia y de igualdad, a pesar de que la marca que establezca la entidad en el Proceso de Contratación sea la más acorde para el cumplimiento del objeto contractual.</w:t>
      </w:r>
    </w:p>
    <w:p w14:paraId="607CA33B" w14:textId="77777777" w:rsidR="00D97EF3" w:rsidRDefault="00D97EF3" w:rsidP="00D97EF3">
      <w:pPr>
        <w:widowControl w:val="0"/>
        <w:autoSpaceDE w:val="0"/>
        <w:autoSpaceDN w:val="0"/>
        <w:spacing w:after="120" w:line="276" w:lineRule="auto"/>
        <w:ind w:right="108"/>
        <w:jc w:val="both"/>
        <w:rPr>
          <w:rFonts w:ascii="Verdana" w:eastAsia="Times New Roman" w:hAnsi="Verdana" w:cs="Arial"/>
          <w:bCs/>
          <w:color w:val="000000"/>
          <w:lang w:val="es-ES" w:eastAsia="es-ES"/>
        </w:rPr>
      </w:pPr>
      <w:r>
        <w:rPr>
          <w:rFonts w:ascii="Verdana" w:eastAsia="Times New Roman" w:hAnsi="Verdana" w:cs="Arial"/>
          <w:bCs/>
          <w:color w:val="000000"/>
          <w:lang w:val="es-ES" w:eastAsia="es-ES"/>
        </w:rPr>
        <w:t xml:space="preserve"> </w:t>
      </w:r>
      <w:r>
        <w:rPr>
          <w:rFonts w:ascii="Verdana" w:eastAsia="Times New Roman" w:hAnsi="Verdana" w:cs="Arial"/>
          <w:bCs/>
          <w:color w:val="000000"/>
          <w:lang w:val="es-ES" w:eastAsia="es-ES"/>
        </w:rPr>
        <w:tab/>
        <w:t xml:space="preserve">Así las cosas, en los Procesos de Contratación que estén sujetos a ciertos tratados de libre comercio –de acuerdo con el ámbito de aplicación, valor del contrato, tipo de bien o servicio– deberá aplicarse la restricción de no exigir marcas, cuando en el correspondiente acuerdo comercial haya quedado pactada tal prohibición. En otras palabras, la prohibición de exigencia de marcas en la </w:t>
      </w:r>
      <w:r>
        <w:rPr>
          <w:rFonts w:ascii="Verdana" w:eastAsia="Times New Roman" w:hAnsi="Verdana" w:cs="Arial"/>
          <w:bCs/>
          <w:color w:val="000000"/>
          <w:lang w:val="es-ES" w:eastAsia="es-ES"/>
        </w:rPr>
        <w:lastRenderedPageBreak/>
        <w:t xml:space="preserve">configuración de los Pliegos de Condiciones debe tenerse en cuenta en aquellos procesos de contratación sujetos a acuerdos comerciales en los que se establezca dicha restricción. </w:t>
      </w:r>
    </w:p>
    <w:p w14:paraId="288EFDC7" w14:textId="77777777" w:rsidR="00D97EF3" w:rsidRDefault="00D97EF3" w:rsidP="00D97EF3">
      <w:pPr>
        <w:widowControl w:val="0"/>
        <w:autoSpaceDE w:val="0"/>
        <w:autoSpaceDN w:val="0"/>
        <w:spacing w:after="120" w:line="276" w:lineRule="auto"/>
        <w:ind w:right="108" w:firstLine="709"/>
        <w:jc w:val="both"/>
        <w:rPr>
          <w:rFonts w:ascii="Verdana" w:eastAsia="Times New Roman" w:hAnsi="Verdana" w:cs="Arial"/>
          <w:bCs/>
          <w:color w:val="000000"/>
          <w:lang w:val="es-ES" w:eastAsia="es-ES"/>
        </w:rPr>
      </w:pPr>
      <w:r>
        <w:rPr>
          <w:rFonts w:ascii="Verdana" w:eastAsia="Times New Roman" w:hAnsi="Verdana" w:cs="Arial"/>
          <w:bCs/>
          <w:color w:val="000000"/>
          <w:lang w:val="es-ES" w:eastAsia="es-ES"/>
        </w:rPr>
        <w:t xml:space="preserve">De esta forma, para las entidades de régimen especial, como se indicó, aunque hay libertad de configuración del manual de contratación, en ciertos aspectos estos </w:t>
      </w:r>
      <w:r w:rsidRPr="0040386C">
        <w:rPr>
          <w:rFonts w:ascii="Verdana" w:eastAsia="Calibri" w:hAnsi="Verdana" w:cs="Arial"/>
          <w:color w:val="000000" w:themeColor="text1"/>
          <w:lang w:val="es-ES"/>
        </w:rPr>
        <w:t xml:space="preserve">deben estar acordes, en cuanto </w:t>
      </w:r>
      <w:r>
        <w:rPr>
          <w:rFonts w:ascii="Verdana" w:eastAsia="Calibri" w:hAnsi="Verdana" w:cs="Arial"/>
          <w:color w:val="000000" w:themeColor="text1"/>
          <w:lang w:val="es-ES"/>
        </w:rPr>
        <w:t>ciertos a</w:t>
      </w:r>
      <w:r w:rsidRPr="0040386C">
        <w:rPr>
          <w:rFonts w:ascii="Verdana" w:eastAsia="Calibri" w:hAnsi="Verdana" w:cs="Arial"/>
          <w:color w:val="000000" w:themeColor="text1"/>
          <w:lang w:val="es-ES"/>
        </w:rPr>
        <w:t>spectos con los acuerdos comerciales suscritos por Colombia</w:t>
      </w:r>
      <w:r>
        <w:rPr>
          <w:rFonts w:ascii="Verdana" w:eastAsia="Calibri" w:hAnsi="Verdana" w:cs="Arial"/>
          <w:color w:val="000000" w:themeColor="text1"/>
          <w:lang w:val="es-ES"/>
        </w:rPr>
        <w:t>.</w:t>
      </w:r>
    </w:p>
    <w:p w14:paraId="10AA91FD" w14:textId="77777777" w:rsidR="00D97EF3" w:rsidRPr="00962D87" w:rsidRDefault="00D97EF3" w:rsidP="00D97EF3">
      <w:pPr>
        <w:widowControl w:val="0"/>
        <w:autoSpaceDE w:val="0"/>
        <w:autoSpaceDN w:val="0"/>
        <w:spacing w:after="120" w:line="276" w:lineRule="auto"/>
        <w:ind w:right="108" w:firstLine="709"/>
        <w:jc w:val="both"/>
        <w:rPr>
          <w:rFonts w:ascii="Verdana" w:eastAsia="Times New Roman" w:hAnsi="Verdana" w:cs="Arial"/>
          <w:bCs/>
          <w:color w:val="000000"/>
          <w:lang w:val="es-ES" w:eastAsia="es-ES"/>
        </w:rPr>
      </w:pPr>
      <w:r w:rsidRPr="76058E84">
        <w:rPr>
          <w:rFonts w:ascii="Verdana" w:hAnsi="Verdana" w:cs="Arial"/>
          <w:lang w:val="es-ES" w:eastAsia="es-ES"/>
        </w:rPr>
        <w:t xml:space="preserve">Al margen de la explicación precedente debe advertirse que el análisis requerido para resolver problemas específicos en torno a </w:t>
      </w:r>
      <w:r w:rsidRPr="76058E84">
        <w:rPr>
          <w:rFonts w:ascii="Verdana" w:eastAsia="Calibri" w:hAnsi="Verdana" w:cs="Arial"/>
          <w:color w:val="000000" w:themeColor="text1"/>
          <w:lang w:val="es-ES"/>
        </w:rPr>
        <w:t>la contratación de las entidades estatales</w:t>
      </w:r>
      <w:r w:rsidRPr="76058E84">
        <w:rPr>
          <w:rFonts w:ascii="Verdana" w:hAnsi="Verdana" w:cs="Arial"/>
          <w:lang w:val="es-ES" w:eastAsia="es-ES"/>
        </w:rPr>
        <w:t xml:space="preserve"> debe ser realizado por quienes tengan interés en ello, de acuerdo con lo explicado la aclaración preliminar del presente oficio. De esta manera, las afirmaciones aquí realizadas no pueden ser interpretadas como juicios de valor sobre circunstancias concretas relacionadas con los hechos que motivan la consulta. Por lo anterior, previo concepto de sus asesores, la solución de situaciones particulares corresponde a los interesados adoptar la decisión correspondiente y, en caso de conflicto, a las autoridades judiciales, fiscales y disciplinarias.</w:t>
      </w:r>
    </w:p>
    <w:p w14:paraId="7AAF5074" w14:textId="77777777" w:rsidR="00D97EF3" w:rsidRPr="00817382" w:rsidRDefault="00D97EF3" w:rsidP="00D97EF3">
      <w:pPr>
        <w:spacing w:before="120" w:after="0" w:line="276" w:lineRule="auto"/>
        <w:ind w:firstLine="709"/>
        <w:jc w:val="both"/>
        <w:rPr>
          <w:rFonts w:ascii="Verdana" w:hAnsi="Verdana" w:cs="Arial"/>
          <w:lang w:val="es-ES" w:eastAsia="es-ES"/>
        </w:rPr>
      </w:pPr>
      <w:r w:rsidRPr="76058E84">
        <w:rPr>
          <w:rFonts w:ascii="Verdana" w:hAnsi="Verdana" w:cs="Arial"/>
          <w:lang w:val="es-ES" w:eastAsia="es-ES"/>
        </w:rPr>
        <w:t>Dentro de este marco, la entidad contratante definirá en cada caso concreto lo relacionado con el tema objeto de consulta. Al tratarse de un análisis que 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Colombia Compra Eficiente validar sus actuaciones.</w:t>
      </w:r>
    </w:p>
    <w:p w14:paraId="32AE5F2A" w14:textId="77777777" w:rsidR="00D97EF3" w:rsidRPr="00817382" w:rsidRDefault="00D97EF3" w:rsidP="00D97EF3">
      <w:pPr>
        <w:spacing w:after="0" w:line="276" w:lineRule="auto"/>
        <w:ind w:firstLine="709"/>
        <w:jc w:val="both"/>
        <w:rPr>
          <w:rFonts w:ascii="Verdana" w:hAnsi="Verdana" w:cs="Arial"/>
          <w:lang w:val="es-ES_tradnl" w:eastAsia="es-ES"/>
        </w:rPr>
      </w:pPr>
    </w:p>
    <w:p w14:paraId="66858CD2" w14:textId="77777777" w:rsidR="00D97EF3" w:rsidRPr="00817382" w:rsidRDefault="00D97EF3" w:rsidP="00D97EF3">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lang w:val="es-ES_tradnl"/>
        </w:rPr>
      </w:pPr>
      <w:r w:rsidRPr="00817382">
        <w:rPr>
          <w:rFonts w:ascii="Verdana" w:eastAsia="Century Gothic" w:hAnsi="Verdana" w:cs="Century Gothic"/>
          <w:b/>
          <w:bCs/>
          <w:lang w:val="es-ES_tradnl"/>
        </w:rPr>
        <w:t>Referencias normativas:</w:t>
      </w:r>
    </w:p>
    <w:p w14:paraId="2C7847D4" w14:textId="77777777" w:rsidR="00D97EF3" w:rsidRPr="00817382" w:rsidRDefault="00D97EF3" w:rsidP="00D97EF3">
      <w:pPr>
        <w:widowControl w:val="0"/>
        <w:autoSpaceDE w:val="0"/>
        <w:autoSpaceDN w:val="0"/>
        <w:spacing w:after="0" w:line="276" w:lineRule="auto"/>
        <w:jc w:val="both"/>
        <w:rPr>
          <w:rFonts w:ascii="Verdana" w:hAnsi="Verdana" w:cs="Arial"/>
          <w:lang w:val="es-ES_tradnl"/>
        </w:rPr>
      </w:pPr>
    </w:p>
    <w:tbl>
      <w:tblPr>
        <w:tblStyle w:val="Tablaconcuadrcula"/>
        <w:tblW w:w="864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D97EF3" w:rsidRPr="00817382" w14:paraId="15025FCC" w14:textId="77777777" w:rsidTr="00BE3615">
        <w:trPr>
          <w:trHeight w:val="870"/>
          <w:jc w:val="center"/>
        </w:trPr>
        <w:tc>
          <w:tcPr>
            <w:tcW w:w="8647" w:type="dxa"/>
          </w:tcPr>
          <w:p w14:paraId="1D686D4E" w14:textId="77777777" w:rsidR="00D97EF3" w:rsidRPr="00817382" w:rsidRDefault="00D97EF3" w:rsidP="00BE3615">
            <w:pPr>
              <w:pStyle w:val="Prrafodelista"/>
              <w:widowControl w:val="0"/>
              <w:numPr>
                <w:ilvl w:val="0"/>
                <w:numId w:val="17"/>
              </w:numPr>
              <w:autoSpaceDE w:val="0"/>
              <w:autoSpaceDN w:val="0"/>
              <w:spacing w:after="120" w:line="276" w:lineRule="auto"/>
              <w:ind w:left="714" w:hanging="357"/>
              <w:contextualSpacing w:val="0"/>
              <w:jc w:val="both"/>
              <w:rPr>
                <w:rFonts w:ascii="Verdana" w:hAnsi="Verdana" w:cs="Arial"/>
                <w:lang w:val="es-ES_tradnl"/>
              </w:rPr>
            </w:pPr>
            <w:r w:rsidRPr="00817382">
              <w:rPr>
                <w:rFonts w:ascii="Verdana" w:hAnsi="Verdana" w:cs="Arial"/>
                <w:lang w:val="es-ES_tradnl"/>
              </w:rPr>
              <w:t>Ley 80 de 1993, artículos 2, 13, 32 y 40.</w:t>
            </w:r>
          </w:p>
          <w:p w14:paraId="4A360248" w14:textId="77777777" w:rsidR="00D97EF3" w:rsidRPr="00962D87" w:rsidRDefault="00D97EF3" w:rsidP="00BE3615">
            <w:pPr>
              <w:pStyle w:val="Prrafodelista"/>
              <w:widowControl w:val="0"/>
              <w:numPr>
                <w:ilvl w:val="0"/>
                <w:numId w:val="17"/>
              </w:numPr>
              <w:autoSpaceDE w:val="0"/>
              <w:autoSpaceDN w:val="0"/>
              <w:spacing w:after="120" w:line="276" w:lineRule="auto"/>
              <w:ind w:left="714" w:hanging="357"/>
              <w:contextualSpacing w:val="0"/>
              <w:jc w:val="both"/>
              <w:rPr>
                <w:rFonts w:ascii="Verdana" w:hAnsi="Verdana" w:cs="Arial"/>
                <w:lang w:val="es-ES_tradnl"/>
              </w:rPr>
            </w:pPr>
            <w:r w:rsidRPr="00817382">
              <w:rPr>
                <w:rFonts w:ascii="Verdana" w:hAnsi="Verdana" w:cs="Arial"/>
                <w:lang w:val="es-ES_tradnl"/>
              </w:rPr>
              <w:t>Ley 1150 de 2007, artículo 13.</w:t>
            </w:r>
          </w:p>
        </w:tc>
      </w:tr>
    </w:tbl>
    <w:p w14:paraId="1721CE35" w14:textId="77777777" w:rsidR="00D97EF3" w:rsidRPr="00817382" w:rsidRDefault="00D97EF3" w:rsidP="00D97EF3">
      <w:pPr>
        <w:widowControl w:val="0"/>
        <w:autoSpaceDE w:val="0"/>
        <w:autoSpaceDN w:val="0"/>
        <w:spacing w:after="0" w:line="276" w:lineRule="auto"/>
        <w:jc w:val="both"/>
        <w:rPr>
          <w:rFonts w:ascii="Verdana" w:hAnsi="Verdana" w:cs="Arial"/>
          <w:lang w:val="es-ES_tradnl"/>
        </w:rPr>
      </w:pPr>
    </w:p>
    <w:p w14:paraId="06F08A78" w14:textId="77777777" w:rsidR="00D97EF3" w:rsidRPr="00817382" w:rsidRDefault="00D97EF3" w:rsidP="00D97EF3">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lang w:val="es-ES_tradnl"/>
        </w:rPr>
      </w:pPr>
      <w:r w:rsidRPr="00817382">
        <w:rPr>
          <w:rFonts w:ascii="Verdana" w:eastAsia="Century Gothic" w:hAnsi="Verdana" w:cs="Century Gothic"/>
          <w:b/>
          <w:bCs/>
          <w:lang w:val="es-ES_tradnl"/>
        </w:rPr>
        <w:t>Doctrina de la Agencia Nacional de Contratación Pública:</w:t>
      </w:r>
    </w:p>
    <w:p w14:paraId="54FCCE72" w14:textId="77777777" w:rsidR="00D97EF3" w:rsidRPr="00817382" w:rsidRDefault="00D97EF3" w:rsidP="00D97EF3">
      <w:pPr>
        <w:widowControl w:val="0"/>
        <w:autoSpaceDE w:val="0"/>
        <w:autoSpaceDN w:val="0"/>
        <w:spacing w:after="0" w:line="276" w:lineRule="auto"/>
        <w:jc w:val="both"/>
        <w:rPr>
          <w:rFonts w:ascii="Verdana" w:hAnsi="Verdana" w:cs="Arial"/>
          <w:lang w:val="es-ES_tradnl"/>
        </w:rPr>
      </w:pPr>
    </w:p>
    <w:p w14:paraId="0188D5BE" w14:textId="77777777" w:rsidR="00D97EF3" w:rsidRPr="00817382" w:rsidRDefault="00D97EF3" w:rsidP="00D97EF3">
      <w:pPr>
        <w:widowControl w:val="0"/>
        <w:autoSpaceDE w:val="0"/>
        <w:autoSpaceDN w:val="0"/>
        <w:spacing w:after="0" w:line="276" w:lineRule="auto"/>
        <w:jc w:val="both"/>
        <w:rPr>
          <w:rStyle w:val="normaltextrun"/>
          <w:rFonts w:ascii="Verdana" w:hAnsi="Verdana" w:cs="Arial"/>
          <w:shd w:val="clear" w:color="auto" w:fill="FFFFFF"/>
          <w:lang w:val="es-ES_tradnl"/>
        </w:rPr>
      </w:pPr>
      <w:r>
        <w:rPr>
          <w:rFonts w:ascii="Verdana" w:eastAsia="Calibri" w:hAnsi="Verdana" w:cs="Arial"/>
          <w:color w:val="000000" w:themeColor="text1"/>
          <w:lang w:val="es-ES" w:eastAsia="es-ES_tradnl"/>
        </w:rPr>
        <w:t xml:space="preserve">La Agencia Nacional de Contratación Pública – Colombia Compra Eficiente </w:t>
      </w:r>
      <w:r>
        <w:rPr>
          <w:rFonts w:ascii="Verdana" w:eastAsia="Arial" w:hAnsi="Verdana" w:cs="Arial"/>
          <w:lang w:val="es-ES" w:eastAsia="es-ES_tradnl"/>
        </w:rPr>
        <w:t xml:space="preserve">se ha </w:t>
      </w:r>
      <w:r>
        <w:rPr>
          <w:rFonts w:ascii="Verdana" w:eastAsia="Arial" w:hAnsi="Verdana" w:cs="Arial"/>
          <w:lang w:val="es-ES" w:eastAsia="es-ES_tradnl"/>
        </w:rPr>
        <w:lastRenderedPageBreak/>
        <w:t xml:space="preserve">pronunciado </w:t>
      </w:r>
      <w:r>
        <w:rPr>
          <w:rFonts w:ascii="Verdana" w:eastAsia="Times New Roman" w:hAnsi="Verdana" w:cs="Arial"/>
          <w:shd w:val="clear" w:color="auto" w:fill="FFFFFF"/>
          <w:lang w:val="es-ES"/>
        </w:rPr>
        <w:t xml:space="preserve">sobre el ámbito de aplicación del EGCAP y las entidades exceptuadas en los conceptos C-147 del 17 de marzo de 2020, C-157 del 17 de marzo de 2020, C-191 del 16 de marzo de 2020 y C-168 del 31 de marzo de 2020, C-158 del 3 de abril de 2020, C-717 del 21 de enero de 2022, C-004 del 22 de enero de 2024, C-459 del 18 de septiembre de 2024 y C-863 de 17 de diciembre de 2024, C-998 de 18 de diciembre 2024 y </w:t>
      </w:r>
      <w:r>
        <w:rPr>
          <w:rFonts w:ascii="Verdana" w:eastAsia="Times New Roman" w:hAnsi="Verdana" w:cs="Times New Roman"/>
          <w:lang w:val="es-ES"/>
        </w:rPr>
        <w:t xml:space="preserve">C-196 del 25 de marzo de 2025, C-336 del 24 de abril de 2025, C-706 del 15 de julio de 202, </w:t>
      </w:r>
      <w:r>
        <w:rPr>
          <w:rFonts w:ascii="Verdana" w:eastAsia="Times New Roman" w:hAnsi="Verdana" w:cs="Arial"/>
          <w:shd w:val="clear" w:color="auto" w:fill="FFFFFF"/>
          <w:lang w:val="es-ES"/>
        </w:rPr>
        <w:t>entre otros</w:t>
      </w:r>
      <w:r w:rsidRPr="00817382">
        <w:rPr>
          <w:rFonts w:ascii="Verdana" w:hAnsi="Verdana" w:cs="Arial"/>
          <w:shd w:val="clear" w:color="auto" w:fill="FFFFFF"/>
          <w:lang w:val="es-ES_tradnl"/>
        </w:rPr>
        <w:t xml:space="preserve"> Est</w:t>
      </w:r>
      <w:r>
        <w:rPr>
          <w:rFonts w:ascii="Verdana" w:hAnsi="Verdana" w:cs="Arial"/>
          <w:shd w:val="clear" w:color="auto" w:fill="FFFFFF"/>
          <w:lang w:val="es-ES_tradnl"/>
        </w:rPr>
        <w:t>e conceptos de las Subdirección</w:t>
      </w:r>
      <w:r w:rsidRPr="00817382">
        <w:rPr>
          <w:rFonts w:ascii="Verdana" w:hAnsi="Verdana" w:cs="Arial"/>
          <w:shd w:val="clear" w:color="auto" w:fill="FFFFFF"/>
          <w:lang w:val="es-ES_tradnl"/>
        </w:rPr>
        <w:t xml:space="preserve"> </w:t>
      </w:r>
      <w:r w:rsidRPr="00817382">
        <w:rPr>
          <w:rStyle w:val="normaltextrun"/>
          <w:rFonts w:ascii="Verdana" w:hAnsi="Verdana" w:cs="Arial"/>
          <w:shd w:val="clear" w:color="auto" w:fill="FFFFFF"/>
          <w:lang w:val="es-ES_tradnl"/>
        </w:rPr>
        <w:t xml:space="preserve">se encuentran disponibles para consulta en el Sistema de relatoría de la Agencia, al cual puede accederse a través del siguiente enlace: </w:t>
      </w:r>
      <w:hyperlink r:id="rId14" w:history="1">
        <w:r w:rsidRPr="00817382">
          <w:rPr>
            <w:rStyle w:val="Hipervnculo"/>
            <w:rFonts w:ascii="Verdana" w:hAnsi="Verdana" w:cs="Arial"/>
            <w:shd w:val="clear" w:color="auto" w:fill="FFFFFF"/>
            <w:lang w:val="es-ES_tradnl"/>
          </w:rPr>
          <w:t>https://relatoria.colombiacompra.gov.co/busqueda/conceptos</w:t>
        </w:r>
      </w:hyperlink>
      <w:r w:rsidRPr="00817382">
        <w:rPr>
          <w:rStyle w:val="normaltextrun"/>
          <w:rFonts w:ascii="Verdana" w:hAnsi="Verdana" w:cs="Arial"/>
          <w:shd w:val="clear" w:color="auto" w:fill="FFFFFF"/>
          <w:lang w:val="es-ES_tradnl"/>
        </w:rPr>
        <w:t xml:space="preserve">. </w:t>
      </w:r>
      <w:r w:rsidRPr="00817382">
        <w:rPr>
          <w:rStyle w:val="normaltextrun"/>
          <w:rFonts w:ascii="Verdana" w:hAnsi="Verdana" w:cs="Arial"/>
          <w:color w:val="FF0000"/>
          <w:shd w:val="clear" w:color="auto" w:fill="FFFFFF"/>
          <w:lang w:val="es-ES_tradnl"/>
        </w:rPr>
        <w:t xml:space="preserve"> </w:t>
      </w:r>
    </w:p>
    <w:p w14:paraId="797C83D5" w14:textId="77777777" w:rsidR="00D97EF3" w:rsidRPr="00817382" w:rsidRDefault="00D97EF3" w:rsidP="00D97EF3">
      <w:pPr>
        <w:widowControl w:val="0"/>
        <w:autoSpaceDE w:val="0"/>
        <w:autoSpaceDN w:val="0"/>
        <w:spacing w:after="0" w:line="276" w:lineRule="auto"/>
        <w:jc w:val="both"/>
        <w:rPr>
          <w:rFonts w:ascii="Verdana" w:hAnsi="Verdana" w:cs="Arial"/>
          <w:lang w:val="es-ES_tradnl"/>
        </w:rPr>
      </w:pPr>
    </w:p>
    <w:p w14:paraId="38DA69DB" w14:textId="77777777" w:rsidR="00D97EF3" w:rsidRPr="00817382" w:rsidRDefault="00D97EF3" w:rsidP="00D97EF3">
      <w:pPr>
        <w:widowControl w:val="0"/>
        <w:autoSpaceDE w:val="0"/>
        <w:autoSpaceDN w:val="0"/>
        <w:spacing w:after="0" w:line="276" w:lineRule="auto"/>
        <w:jc w:val="both"/>
        <w:rPr>
          <w:rFonts w:ascii="Verdana" w:hAnsi="Verdana" w:cs="Arial"/>
          <w:lang w:val="es-ES_tradnl"/>
        </w:rPr>
      </w:pPr>
      <w:r w:rsidRPr="00817382">
        <w:rPr>
          <w:rFonts w:ascii="Verdana" w:hAnsi="Verdana" w:cs="Arial"/>
          <w:lang w:val="es-ES_tradnl"/>
        </w:rPr>
        <w:t xml:space="preserve">Este concepto tiene el alcance previsto en el artículo 28 del Código de Procedimiento Administrativo y de lo Contencioso Administrativo y las expresiones aquí utilizadas con mayúscula inicial deben ser entendidas con el significado que les otorga el artículo 2.2.1.1.1.3.1. del Decreto 1082 de 2015. </w:t>
      </w:r>
    </w:p>
    <w:p w14:paraId="2E1BD618" w14:textId="77777777" w:rsidR="00D97EF3" w:rsidRPr="00817382" w:rsidRDefault="00D97EF3" w:rsidP="00D97EF3">
      <w:pPr>
        <w:widowControl w:val="0"/>
        <w:autoSpaceDE w:val="0"/>
        <w:autoSpaceDN w:val="0"/>
        <w:spacing w:after="0" w:line="276" w:lineRule="auto"/>
        <w:jc w:val="both"/>
        <w:rPr>
          <w:rFonts w:ascii="Verdana" w:hAnsi="Verdana" w:cs="Arial"/>
          <w:lang w:val="es-ES_tradnl"/>
        </w:rPr>
      </w:pPr>
    </w:p>
    <w:p w14:paraId="7CF120E5" w14:textId="77777777" w:rsidR="00D97EF3" w:rsidRPr="00817382" w:rsidRDefault="00D97EF3" w:rsidP="00D97EF3">
      <w:pPr>
        <w:spacing w:after="0" w:line="240" w:lineRule="auto"/>
        <w:rPr>
          <w:rFonts w:ascii="Verdana" w:hAnsi="Verdana" w:cs="Arial"/>
          <w:lang w:val="es-ES_tradnl" w:eastAsia="es-CO"/>
        </w:rPr>
      </w:pPr>
      <w:r w:rsidRPr="00817382">
        <w:rPr>
          <w:rFonts w:ascii="Verdana" w:eastAsia="Times New Roman" w:hAnsi="Verdana" w:cs="Arial"/>
          <w:lang w:val="es-ES_tradnl" w:eastAsia="es-CO"/>
        </w:rPr>
        <w:t>Atentamente,</w:t>
      </w:r>
      <w:r w:rsidRPr="00817382">
        <w:rPr>
          <w:rFonts w:ascii="Verdana" w:hAnsi="Verdana" w:cs="Arial"/>
          <w:lang w:val="es-ES_tradnl" w:eastAsia="es-CO"/>
        </w:rPr>
        <w:t xml:space="preserve"> </w:t>
      </w:r>
    </w:p>
    <w:p w14:paraId="4987EAA6" w14:textId="7A85849F" w:rsidR="00D97EF3" w:rsidRPr="00A27102" w:rsidRDefault="00D01713" w:rsidP="00D97EF3">
      <w:pPr>
        <w:spacing w:line="276" w:lineRule="auto"/>
        <w:jc w:val="center"/>
        <w:rPr>
          <w:rFonts w:ascii="Verdana" w:hAnsi="Verdana" w:cs="Arial"/>
          <w:color w:val="000000"/>
          <w:lang w:val="es-ES_tradnl" w:eastAsia="es-CO"/>
        </w:rPr>
      </w:pPr>
      <w:r w:rsidRPr="002C3AD6">
        <w:rPr>
          <w:rFonts w:ascii="Century Gothic" w:hAnsi="Century Gothic"/>
          <w:noProof/>
          <w:lang w:val="en-US"/>
        </w:rPr>
        <w:drawing>
          <wp:inline distT="0" distB="0" distL="0" distR="0" wp14:anchorId="6F3DD167" wp14:editId="3197502F">
            <wp:extent cx="3670300" cy="1423554"/>
            <wp:effectExtent l="0" t="0" r="6350" b="5715"/>
            <wp:docPr id="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pic:nvPicPr>
                  <pic:blipFill>
                    <a:blip r:embed="rId15"/>
                    <a:stretch>
                      <a:fillRect/>
                    </a:stretch>
                  </pic:blipFill>
                  <pic:spPr>
                    <a:xfrm>
                      <a:off x="0" y="0"/>
                      <a:ext cx="3891299" cy="1509270"/>
                    </a:xfrm>
                    <a:prstGeom prst="rect">
                      <a:avLst/>
                    </a:prstGeom>
                  </pic:spPr>
                </pic:pic>
              </a:graphicData>
            </a:graphic>
          </wp:inline>
        </w:drawing>
      </w:r>
    </w:p>
    <w:tbl>
      <w:tblPr>
        <w:tblStyle w:val="Tablaconcuadrcula"/>
        <w:tblW w:w="6521" w:type="dxa"/>
        <w:tblLook w:val="04A0" w:firstRow="1" w:lastRow="0" w:firstColumn="1" w:lastColumn="0" w:noHBand="0" w:noVBand="1"/>
      </w:tblPr>
      <w:tblGrid>
        <w:gridCol w:w="893"/>
        <w:gridCol w:w="5628"/>
      </w:tblGrid>
      <w:tr w:rsidR="00D97EF3" w:rsidRPr="00A27102" w14:paraId="60509E25" w14:textId="77777777" w:rsidTr="00AA66B2">
        <w:trPr>
          <w:trHeight w:val="315"/>
        </w:trPr>
        <w:tc>
          <w:tcPr>
            <w:tcW w:w="893" w:type="dxa"/>
            <w:vAlign w:val="center"/>
            <w:hideMark/>
          </w:tcPr>
          <w:p w14:paraId="7E41CD13" w14:textId="77777777" w:rsidR="00D97EF3" w:rsidRPr="00A27102" w:rsidRDefault="00D97EF3" w:rsidP="00BE3615">
            <w:pPr>
              <w:contextualSpacing/>
              <w:rPr>
                <w:rFonts w:ascii="Verdana" w:hAnsi="Verdana" w:cs="Arial"/>
                <w:sz w:val="16"/>
                <w:szCs w:val="16"/>
                <w:lang w:val="es-ES" w:eastAsia="es-ES"/>
              </w:rPr>
            </w:pPr>
            <w:r w:rsidRPr="00A27102">
              <w:rPr>
                <w:rFonts w:ascii="Verdana"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3D654BE3" w14:textId="77777777" w:rsidR="00D97EF3" w:rsidRPr="00A27102" w:rsidRDefault="00D97EF3" w:rsidP="00BE3615">
            <w:pPr>
              <w:contextualSpacing/>
              <w:rPr>
                <w:rFonts w:ascii="Verdana" w:hAnsi="Verdana"/>
                <w:sz w:val="16"/>
                <w:szCs w:val="16"/>
              </w:rPr>
            </w:pPr>
            <w:r w:rsidRPr="00A27102">
              <w:rPr>
                <w:rFonts w:ascii="Verdana" w:hAnsi="Verdana"/>
                <w:sz w:val="16"/>
                <w:szCs w:val="16"/>
              </w:rPr>
              <w:t>Tatiana Baquero Iguarán</w:t>
            </w:r>
          </w:p>
          <w:p w14:paraId="721D1236" w14:textId="77777777" w:rsidR="00D97EF3" w:rsidRPr="00A27102" w:rsidRDefault="00D97EF3" w:rsidP="00BE3615">
            <w:pPr>
              <w:contextualSpacing/>
              <w:rPr>
                <w:rFonts w:ascii="Verdana" w:eastAsia="Arial" w:hAnsi="Verdana" w:cs="Arial"/>
                <w:sz w:val="16"/>
                <w:szCs w:val="16"/>
              </w:rPr>
            </w:pPr>
            <w:r w:rsidRPr="00A27102">
              <w:rPr>
                <w:rFonts w:ascii="Verdana" w:hAnsi="Verdana"/>
                <w:sz w:val="16"/>
                <w:szCs w:val="16"/>
              </w:rPr>
              <w:t>Contratista de la Subdirección de Gestión Contractual</w:t>
            </w:r>
          </w:p>
        </w:tc>
      </w:tr>
      <w:tr w:rsidR="00D97EF3" w:rsidRPr="00A27102" w14:paraId="48535078" w14:textId="77777777" w:rsidTr="00AA66B2">
        <w:trPr>
          <w:trHeight w:val="330"/>
        </w:trPr>
        <w:tc>
          <w:tcPr>
            <w:tcW w:w="893" w:type="dxa"/>
            <w:vAlign w:val="center"/>
            <w:hideMark/>
          </w:tcPr>
          <w:p w14:paraId="0FCFED73" w14:textId="77777777" w:rsidR="00D97EF3" w:rsidRPr="00A27102" w:rsidRDefault="00D97EF3" w:rsidP="00BE3615">
            <w:pPr>
              <w:contextualSpacing/>
              <w:rPr>
                <w:rFonts w:ascii="Verdana" w:hAnsi="Verdana" w:cs="Arial"/>
                <w:sz w:val="16"/>
                <w:szCs w:val="16"/>
                <w:lang w:val="es-ES" w:eastAsia="es-ES"/>
              </w:rPr>
            </w:pPr>
            <w:r w:rsidRPr="00A27102">
              <w:rPr>
                <w:rFonts w:ascii="Verdana" w:hAnsi="Verdana" w:cs="Arial"/>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36D51FDB" w14:textId="77777777" w:rsidR="00D97EF3" w:rsidRPr="00A27102" w:rsidRDefault="00D97EF3" w:rsidP="00BE3615">
            <w:pPr>
              <w:spacing w:before="100" w:beforeAutospacing="1" w:afterAutospacing="1"/>
              <w:contextualSpacing/>
              <w:textAlignment w:val="baseline"/>
              <w:rPr>
                <w:rFonts w:ascii="Verdana" w:eastAsia="Times New Roman" w:hAnsi="Verdana" w:cs="Arial"/>
                <w:sz w:val="16"/>
                <w:szCs w:val="16"/>
                <w:lang w:val="es-ES" w:eastAsia="es-ES_tradnl"/>
              </w:rPr>
            </w:pPr>
            <w:r w:rsidRPr="00A27102">
              <w:rPr>
                <w:rFonts w:ascii="Verdana" w:eastAsia="Times New Roman" w:hAnsi="Verdana" w:cs="Arial"/>
                <w:sz w:val="16"/>
                <w:szCs w:val="16"/>
                <w:lang w:val="es-ES" w:eastAsia="es-ES_tradnl"/>
              </w:rPr>
              <w:t>Alejandro Sarmiento Cantillo</w:t>
            </w:r>
          </w:p>
          <w:p w14:paraId="2933EE8D" w14:textId="77777777" w:rsidR="00D97EF3" w:rsidRPr="00A27102" w:rsidRDefault="00D97EF3" w:rsidP="00BE3615">
            <w:pPr>
              <w:contextualSpacing/>
              <w:textAlignment w:val="baseline"/>
              <w:rPr>
                <w:rFonts w:ascii="Verdana" w:eastAsia="Times New Roman" w:hAnsi="Verdana" w:cs="Segoe UI"/>
                <w:sz w:val="16"/>
                <w:szCs w:val="16"/>
                <w:lang w:eastAsia="es-ES_tradnl"/>
              </w:rPr>
            </w:pPr>
            <w:r w:rsidRPr="00A27102">
              <w:rPr>
                <w:rFonts w:ascii="Verdana" w:eastAsia="Times New Roman" w:hAnsi="Verdana" w:cs="Arial"/>
                <w:sz w:val="16"/>
                <w:szCs w:val="16"/>
                <w:lang w:val="es-ES" w:eastAsia="es-ES_tradnl"/>
              </w:rPr>
              <w:t>Gestor T1 ‒ 15 de la Subdirección de Gestión Contractual</w:t>
            </w:r>
            <w:r w:rsidRPr="00A27102">
              <w:rPr>
                <w:rFonts w:ascii="Verdana" w:eastAsia="Times New Roman" w:hAnsi="Verdana" w:cs="Arial"/>
                <w:sz w:val="16"/>
                <w:szCs w:val="16"/>
                <w:lang w:eastAsia="es-ES_tradnl"/>
              </w:rPr>
              <w:t> </w:t>
            </w:r>
          </w:p>
        </w:tc>
      </w:tr>
      <w:tr w:rsidR="00D97EF3" w:rsidRPr="00A27102" w14:paraId="25A31740" w14:textId="77777777" w:rsidTr="00AA66B2">
        <w:trPr>
          <w:trHeight w:val="300"/>
        </w:trPr>
        <w:tc>
          <w:tcPr>
            <w:tcW w:w="893" w:type="dxa"/>
            <w:vAlign w:val="center"/>
          </w:tcPr>
          <w:p w14:paraId="3F42DCBE" w14:textId="77777777" w:rsidR="00D97EF3" w:rsidRPr="00A27102" w:rsidRDefault="00D97EF3" w:rsidP="00BE3615">
            <w:pPr>
              <w:contextualSpacing/>
              <w:rPr>
                <w:rFonts w:ascii="Verdana" w:hAnsi="Verdana" w:cs="Arial"/>
                <w:sz w:val="16"/>
                <w:szCs w:val="16"/>
                <w:lang w:val="es-ES" w:eastAsia="es-ES"/>
              </w:rPr>
            </w:pPr>
            <w:r w:rsidRPr="00A27102">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031B3400" w14:textId="77777777" w:rsidR="00D97EF3" w:rsidRPr="00A27102" w:rsidRDefault="00D97EF3" w:rsidP="00BE3615">
            <w:pPr>
              <w:contextualSpacing/>
              <w:rPr>
                <w:rFonts w:ascii="Verdana" w:eastAsia="Calibri" w:hAnsi="Verdana" w:cs="Arial"/>
                <w:sz w:val="16"/>
                <w:szCs w:val="16"/>
                <w:lang w:val="pt-BR" w:eastAsia="es-ES"/>
              </w:rPr>
            </w:pPr>
            <w:r w:rsidRPr="00A27102">
              <w:rPr>
                <w:rFonts w:ascii="Verdana" w:eastAsia="Calibri" w:hAnsi="Verdana" w:cs="Arial"/>
                <w:sz w:val="16"/>
                <w:szCs w:val="16"/>
                <w:lang w:val="pt-BR" w:eastAsia="es-ES"/>
              </w:rPr>
              <w:t xml:space="preserve">Carolina Quintero </w:t>
            </w:r>
            <w:proofErr w:type="spellStart"/>
            <w:r w:rsidRPr="00A27102">
              <w:rPr>
                <w:rFonts w:ascii="Verdana" w:eastAsia="Calibri" w:hAnsi="Verdana" w:cs="Arial"/>
                <w:sz w:val="16"/>
                <w:szCs w:val="16"/>
                <w:lang w:val="pt-BR" w:eastAsia="es-ES"/>
              </w:rPr>
              <w:t>Gacharná</w:t>
            </w:r>
            <w:proofErr w:type="spellEnd"/>
          </w:p>
          <w:p w14:paraId="45A6A8B6" w14:textId="77777777" w:rsidR="00D97EF3" w:rsidRPr="00A27102" w:rsidRDefault="00D97EF3" w:rsidP="00BE3615">
            <w:pPr>
              <w:contextualSpacing/>
              <w:rPr>
                <w:rFonts w:ascii="Verdana" w:eastAsia="Calibri" w:hAnsi="Verdana" w:cs="Arial"/>
                <w:sz w:val="16"/>
                <w:szCs w:val="16"/>
                <w:lang w:val="pt-BR" w:eastAsia="es-ES"/>
              </w:rPr>
            </w:pPr>
            <w:r w:rsidRPr="00A27102">
              <w:rPr>
                <w:rFonts w:ascii="Verdana" w:eastAsia="Calibri" w:hAnsi="Verdana" w:cs="Arial"/>
                <w:sz w:val="16"/>
                <w:szCs w:val="16"/>
                <w:lang w:eastAsia="es-ES"/>
              </w:rPr>
              <w:t>Subdirectora</w:t>
            </w:r>
            <w:r w:rsidRPr="00A27102">
              <w:rPr>
                <w:rFonts w:ascii="Verdana" w:eastAsia="Calibri" w:hAnsi="Verdana" w:cs="Arial"/>
                <w:sz w:val="16"/>
                <w:szCs w:val="16"/>
                <w:lang w:val="pt-BR" w:eastAsia="es-ES"/>
              </w:rPr>
              <w:t xml:space="preserve"> de Gestión Contratual ANCP – CCE</w:t>
            </w:r>
          </w:p>
        </w:tc>
      </w:tr>
    </w:tbl>
    <w:p w14:paraId="7154DB68" w14:textId="77777777" w:rsidR="007B1695" w:rsidRDefault="007B1695" w:rsidP="002E78B1">
      <w:pPr>
        <w:spacing w:after="0" w:line="240" w:lineRule="auto"/>
        <w:rPr>
          <w:rFonts w:ascii="Verdana" w:eastAsia="Geomanist Light" w:hAnsi="Verdana" w:cs="Arial"/>
          <w:color w:val="000000" w:themeColor="text1"/>
          <w:lang w:val="es-MX"/>
        </w:rPr>
      </w:pPr>
    </w:p>
    <w:sectPr w:rsidR="007B1695" w:rsidSect="007C0C0F">
      <w:headerReference w:type="default" r:id="rId16"/>
      <w:footerReference w:type="default" r:id="rId17"/>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86BA0E" w14:textId="77777777" w:rsidR="00E014DE" w:rsidRDefault="00E014DE" w:rsidP="004A1847">
      <w:pPr>
        <w:spacing w:after="0" w:line="240" w:lineRule="auto"/>
      </w:pPr>
      <w:r>
        <w:separator/>
      </w:r>
    </w:p>
  </w:endnote>
  <w:endnote w:type="continuationSeparator" w:id="0">
    <w:p w14:paraId="359E3302" w14:textId="77777777" w:rsidR="00E014DE" w:rsidRDefault="00E014DE" w:rsidP="004A1847">
      <w:pPr>
        <w:spacing w:after="0" w:line="240" w:lineRule="auto"/>
      </w:pPr>
      <w:r>
        <w:continuationSeparator/>
      </w:r>
    </w:p>
  </w:endnote>
  <w:endnote w:type="continuationNotice" w:id="1">
    <w:p w14:paraId="54E8DFA8" w14:textId="77777777" w:rsidR="00E014DE" w:rsidRDefault="00E014D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B70D3A" w14:textId="77777777" w:rsidR="00E014DE" w:rsidRDefault="00E014DE" w:rsidP="004A1847">
      <w:pPr>
        <w:spacing w:after="0" w:line="240" w:lineRule="auto"/>
      </w:pPr>
      <w:r>
        <w:separator/>
      </w:r>
    </w:p>
  </w:footnote>
  <w:footnote w:type="continuationSeparator" w:id="0">
    <w:p w14:paraId="6D58AFC4" w14:textId="77777777" w:rsidR="00E014DE" w:rsidRDefault="00E014DE" w:rsidP="004A1847">
      <w:pPr>
        <w:spacing w:after="0" w:line="240" w:lineRule="auto"/>
      </w:pPr>
      <w:r>
        <w:continuationSeparator/>
      </w:r>
    </w:p>
  </w:footnote>
  <w:footnote w:type="continuationNotice" w:id="1">
    <w:p w14:paraId="2641AA9E" w14:textId="77777777" w:rsidR="00E014DE" w:rsidRDefault="00E014DE">
      <w:pPr>
        <w:spacing w:after="0" w:line="240" w:lineRule="auto"/>
      </w:pPr>
    </w:p>
  </w:footnote>
  <w:footnote w:id="2">
    <w:p w14:paraId="065D2936" w14:textId="77777777" w:rsidR="00D97EF3" w:rsidRPr="00AD7D22" w:rsidRDefault="00D97EF3" w:rsidP="00D97EF3">
      <w:pPr>
        <w:pStyle w:val="Textonotapie"/>
        <w:ind w:firstLine="709"/>
        <w:jc w:val="both"/>
        <w:rPr>
          <w:rFonts w:ascii="Verdana" w:hAnsi="Verdana" w:cs="Arial"/>
          <w:color w:val="000000" w:themeColor="text1"/>
          <w:sz w:val="16"/>
          <w:szCs w:val="16"/>
        </w:rPr>
      </w:pPr>
      <w:r w:rsidRPr="00AD7D22">
        <w:rPr>
          <w:rStyle w:val="Refdenotaalpie"/>
          <w:rFonts w:ascii="Verdana" w:hAnsi="Verdana" w:cs="Arial"/>
          <w:color w:val="000000" w:themeColor="text1"/>
          <w:sz w:val="16"/>
          <w:szCs w:val="16"/>
        </w:rPr>
        <w:footnoteRef/>
      </w:r>
      <w:r w:rsidRPr="00AD7D22">
        <w:rPr>
          <w:rFonts w:ascii="Verdana" w:hAnsi="Verdana" w:cs="Arial"/>
          <w:color w:val="000000" w:themeColor="text1"/>
          <w:sz w:val="16"/>
          <w:szCs w:val="16"/>
        </w:rPr>
        <w:t xml:space="preserve"> MEDINA LÓPEZ, Diego Eduardo. El derecho de los jueces: obligatoriedad del precedente constitucional, análisis de sentencias y líneas jurisprudenciales y teoría del derecho judicial. Bogotá: Legis, 2006.</w:t>
      </w:r>
    </w:p>
    <w:p w14:paraId="3F02B470" w14:textId="77777777" w:rsidR="00D97EF3" w:rsidRPr="00AD7D22" w:rsidRDefault="00D97EF3" w:rsidP="00D97EF3">
      <w:pPr>
        <w:pStyle w:val="Textonotapie"/>
        <w:ind w:firstLine="709"/>
        <w:jc w:val="both"/>
        <w:rPr>
          <w:rFonts w:ascii="Verdana" w:hAnsi="Verdana" w:cs="Arial"/>
          <w:color w:val="000000" w:themeColor="text1"/>
          <w:sz w:val="16"/>
          <w:szCs w:val="16"/>
        </w:rPr>
      </w:pPr>
    </w:p>
  </w:footnote>
  <w:footnote w:id="3">
    <w:p w14:paraId="65D112E3" w14:textId="77777777" w:rsidR="00D97EF3" w:rsidRPr="00AD7D22" w:rsidRDefault="00D97EF3" w:rsidP="00D97EF3">
      <w:pPr>
        <w:pStyle w:val="Textonotapie"/>
        <w:ind w:firstLine="709"/>
        <w:jc w:val="both"/>
        <w:rPr>
          <w:rFonts w:ascii="Verdana" w:hAnsi="Verdana" w:cs="Arial"/>
          <w:color w:val="000000" w:themeColor="text1"/>
          <w:sz w:val="16"/>
          <w:szCs w:val="16"/>
        </w:rPr>
      </w:pPr>
      <w:r w:rsidRPr="00AD7D22">
        <w:rPr>
          <w:rStyle w:val="Refdenotaalpie"/>
          <w:rFonts w:ascii="Verdana" w:hAnsi="Verdana" w:cs="Arial"/>
          <w:color w:val="000000" w:themeColor="text1"/>
          <w:sz w:val="16"/>
          <w:szCs w:val="16"/>
        </w:rPr>
        <w:footnoteRef/>
      </w:r>
      <w:r w:rsidRPr="00AD7D22">
        <w:rPr>
          <w:rFonts w:ascii="Verdana" w:hAnsi="Verdana" w:cs="Arial"/>
          <w:color w:val="000000" w:themeColor="text1"/>
          <w:sz w:val="16"/>
          <w:szCs w:val="16"/>
        </w:rPr>
        <w:t xml:space="preserve"> EXPÓSITO VÉLEZ, Juan Carlos. Definición de los «Contratos Estatales». Contratos Estatales propiamente dichos y Contratos Estatales Especiales. Regulación del Contrato suscrito con entidades estatales. Jurisdicción Competente. En: Andrés Fernando Ospina Garzón. Los Grandes Fallos de la Jurisprudencia Administrativa Colombiana. Universidad Externado de Colombia, 2013. </w:t>
      </w:r>
    </w:p>
    <w:p w14:paraId="20CE8561" w14:textId="77777777" w:rsidR="00D97EF3" w:rsidRPr="00AD7D22" w:rsidRDefault="00D97EF3" w:rsidP="00D97EF3">
      <w:pPr>
        <w:pStyle w:val="Textonotapie"/>
        <w:ind w:firstLine="709"/>
        <w:jc w:val="both"/>
        <w:rPr>
          <w:rFonts w:ascii="Verdana" w:hAnsi="Verdana" w:cs="Arial"/>
          <w:color w:val="000000" w:themeColor="text1"/>
          <w:sz w:val="16"/>
          <w:szCs w:val="16"/>
        </w:rPr>
      </w:pPr>
    </w:p>
  </w:footnote>
  <w:footnote w:id="4">
    <w:p w14:paraId="2DDF97D5" w14:textId="77777777" w:rsidR="00D97EF3" w:rsidRPr="00AD7D22" w:rsidRDefault="00D97EF3" w:rsidP="00D97EF3">
      <w:pPr>
        <w:pStyle w:val="Textonotapie"/>
        <w:ind w:firstLine="709"/>
        <w:jc w:val="both"/>
        <w:rPr>
          <w:rFonts w:ascii="Verdana" w:hAnsi="Verdana" w:cs="Arial"/>
          <w:color w:val="000000" w:themeColor="text1"/>
          <w:sz w:val="16"/>
          <w:szCs w:val="16"/>
        </w:rPr>
      </w:pPr>
      <w:r w:rsidRPr="00AD7D22">
        <w:rPr>
          <w:rStyle w:val="Refdenotaalpie"/>
          <w:rFonts w:ascii="Verdana" w:hAnsi="Verdana" w:cs="Arial"/>
          <w:color w:val="000000" w:themeColor="text1"/>
          <w:sz w:val="16"/>
          <w:szCs w:val="16"/>
        </w:rPr>
        <w:footnoteRef/>
      </w:r>
      <w:r w:rsidRPr="00AD7D22">
        <w:rPr>
          <w:rFonts w:ascii="Verdana" w:hAnsi="Verdana" w:cs="Arial"/>
          <w:color w:val="000000" w:themeColor="text1"/>
          <w:sz w:val="16"/>
          <w:szCs w:val="16"/>
        </w:rPr>
        <w:t xml:space="preserve"> CONSEJO DE ESTADO. Sección Tercera. Auto del 20 de agosto de 1998. Exp. 14.202.  C.P. Juan de Dios Montes Bermúdez. </w:t>
      </w:r>
    </w:p>
  </w:footnote>
  <w:footnote w:id="5">
    <w:p w14:paraId="75D085B1" w14:textId="77777777" w:rsidR="00D97EF3" w:rsidRPr="00AD7D22" w:rsidRDefault="00D97EF3" w:rsidP="00D97EF3">
      <w:pPr>
        <w:pStyle w:val="Textonotapie"/>
        <w:ind w:firstLine="709"/>
        <w:jc w:val="both"/>
        <w:rPr>
          <w:rFonts w:ascii="Verdana" w:hAnsi="Verdana" w:cs="Arial"/>
          <w:color w:val="000000" w:themeColor="text1"/>
          <w:sz w:val="16"/>
          <w:szCs w:val="16"/>
        </w:rPr>
      </w:pPr>
      <w:r w:rsidRPr="00AD7D22">
        <w:rPr>
          <w:rStyle w:val="Refdenotaalpie"/>
          <w:rFonts w:ascii="Verdana" w:hAnsi="Verdana" w:cs="Arial"/>
          <w:color w:val="000000" w:themeColor="text1"/>
          <w:sz w:val="16"/>
          <w:szCs w:val="16"/>
        </w:rPr>
        <w:footnoteRef/>
      </w:r>
      <w:r w:rsidRPr="00AD7D22">
        <w:rPr>
          <w:rFonts w:ascii="Verdana" w:hAnsi="Verdana" w:cs="Arial"/>
          <w:color w:val="000000" w:themeColor="text1"/>
          <w:sz w:val="16"/>
          <w:szCs w:val="16"/>
        </w:rPr>
        <w:t xml:space="preserve"> </w:t>
      </w:r>
      <w:bookmarkStart w:id="3" w:name="66"/>
      <w:r>
        <w:rPr>
          <w:rFonts w:ascii="Verdana" w:hAnsi="Verdana" w:cs="Arial"/>
          <w:color w:val="000000" w:themeColor="text1"/>
          <w:sz w:val="16"/>
          <w:szCs w:val="16"/>
        </w:rPr>
        <w:t>“</w:t>
      </w:r>
      <w:r w:rsidRPr="00AD7D22">
        <w:rPr>
          <w:rFonts w:ascii="Verdana" w:hAnsi="Verdana" w:cs="Arial"/>
          <w:color w:val="000000" w:themeColor="text1"/>
          <w:sz w:val="16"/>
          <w:szCs w:val="16"/>
        </w:rPr>
        <w:t>Artículo 66. Medidas especiales de contratación.</w:t>
      </w:r>
      <w:bookmarkEnd w:id="3"/>
      <w:r w:rsidRPr="00AD7D22">
        <w:rPr>
          <w:rFonts w:ascii="Verdana" w:hAnsi="Verdana" w:cs="Arial"/>
          <w:color w:val="000000" w:themeColor="text1"/>
          <w:sz w:val="16"/>
          <w:szCs w:val="16"/>
        </w:rPr>
        <w:t> Salvo lo dispuesto para los contratos de empréstito interno y externo, los contratos que celebre la sociedad fiduciaria para la ejecución de los bienes, derechos e intereses del Fondo Nacional de Gestión del Riesgo o los celebrados por las entidades ejecutoras que reciban recursos provenientes de este fondo o los celebrados por las entidades territoriales y sus fondos de gestión del riesgo, relacionados directamente con las actividades de respuesta, de rehabilitación y reconstrucción de las zonas declaradas en situación de desastre o calamidad pública, se someterán a los requisitos y formalidades que exige la ley para la contratación entre particulares, con sujeción al régimen especial dispuesto en el artículo </w:t>
      </w:r>
      <w:hyperlink r:id="rId1" w:anchor="13" w:history="1">
        <w:r w:rsidRPr="00AD7D22">
          <w:rPr>
            <w:rStyle w:val="Hipervnculo"/>
            <w:rFonts w:ascii="Verdana" w:hAnsi="Verdana" w:cs="Arial"/>
            <w:color w:val="000000" w:themeColor="text1"/>
            <w:sz w:val="16"/>
            <w:szCs w:val="16"/>
          </w:rPr>
          <w:t>13</w:t>
        </w:r>
      </w:hyperlink>
      <w:r w:rsidRPr="00AD7D22">
        <w:rPr>
          <w:rFonts w:ascii="Verdana" w:hAnsi="Verdana" w:cs="Arial"/>
          <w:color w:val="000000" w:themeColor="text1"/>
          <w:sz w:val="16"/>
          <w:szCs w:val="16"/>
        </w:rPr>
        <w:t> de la Ley 1150 de 2007, y podrán contemplar cláusulas excepcionales de conformidad con lo dispuesto en los artículos </w:t>
      </w:r>
      <w:hyperlink r:id="rId2" w:anchor="14" w:history="1">
        <w:r w:rsidRPr="00AD7D22">
          <w:rPr>
            <w:rStyle w:val="Hipervnculo"/>
            <w:rFonts w:ascii="Verdana" w:hAnsi="Verdana" w:cs="Arial"/>
            <w:color w:val="000000" w:themeColor="text1"/>
            <w:sz w:val="16"/>
            <w:szCs w:val="16"/>
          </w:rPr>
          <w:t>14</w:t>
        </w:r>
      </w:hyperlink>
      <w:r w:rsidRPr="00AD7D22">
        <w:rPr>
          <w:rFonts w:ascii="Verdana" w:hAnsi="Verdana" w:cs="Arial"/>
          <w:color w:val="000000" w:themeColor="text1"/>
          <w:sz w:val="16"/>
          <w:szCs w:val="16"/>
        </w:rPr>
        <w:t> a </w:t>
      </w:r>
      <w:hyperlink r:id="rId3" w:anchor="18" w:history="1">
        <w:r w:rsidRPr="00AD7D22">
          <w:rPr>
            <w:rStyle w:val="Hipervnculo"/>
            <w:rFonts w:ascii="Verdana" w:hAnsi="Verdana" w:cs="Arial"/>
            <w:color w:val="000000" w:themeColor="text1"/>
            <w:sz w:val="16"/>
            <w:szCs w:val="16"/>
          </w:rPr>
          <w:t>18</w:t>
        </w:r>
      </w:hyperlink>
      <w:r w:rsidRPr="00AD7D22">
        <w:rPr>
          <w:rFonts w:ascii="Verdana" w:hAnsi="Verdana" w:cs="Arial"/>
          <w:color w:val="000000" w:themeColor="text1"/>
          <w:sz w:val="16"/>
          <w:szCs w:val="16"/>
        </w:rPr>
        <w:t> de la Ley 80 de 1993.</w:t>
      </w:r>
      <w:r w:rsidRPr="00AD7D22">
        <w:rPr>
          <w:rStyle w:val="baj"/>
          <w:rFonts w:ascii="Verdana" w:hAnsi="Verdana" w:cs="Arial"/>
          <w:color w:val="000000" w:themeColor="text1"/>
          <w:sz w:val="16"/>
          <w:szCs w:val="16"/>
        </w:rPr>
        <w:t>» PARÁGRAFO.</w:t>
      </w:r>
      <w:r w:rsidRPr="00AD7D22">
        <w:rPr>
          <w:rFonts w:ascii="Verdana" w:hAnsi="Verdana" w:cs="Arial"/>
          <w:color w:val="000000" w:themeColor="text1"/>
          <w:sz w:val="16"/>
          <w:szCs w:val="16"/>
        </w:rPr>
        <w:t> Los contratos celebrados por las entidades territoriales en virtud del artículo anterior se someterán al control fiscal dispuesto para los celebrados en el marco de la declaratoria de urgencia manifiesta contemplada en los artículos </w:t>
      </w:r>
      <w:hyperlink r:id="rId4" w:anchor="42" w:history="1">
        <w:r w:rsidRPr="00AD7D22">
          <w:rPr>
            <w:rStyle w:val="Hipervnculo"/>
            <w:rFonts w:ascii="Verdana" w:hAnsi="Verdana" w:cs="Arial"/>
            <w:color w:val="000000" w:themeColor="text1"/>
            <w:sz w:val="16"/>
            <w:szCs w:val="16"/>
          </w:rPr>
          <w:t>42</w:t>
        </w:r>
      </w:hyperlink>
      <w:r w:rsidRPr="00AD7D22">
        <w:rPr>
          <w:rFonts w:ascii="Verdana" w:hAnsi="Verdana" w:cs="Arial"/>
          <w:color w:val="000000" w:themeColor="text1"/>
          <w:sz w:val="16"/>
          <w:szCs w:val="16"/>
        </w:rPr>
        <w:t> y </w:t>
      </w:r>
      <w:hyperlink r:id="rId5" w:anchor="43" w:history="1">
        <w:r w:rsidRPr="00AD7D22">
          <w:rPr>
            <w:rStyle w:val="Hipervnculo"/>
            <w:rFonts w:ascii="Verdana" w:hAnsi="Verdana" w:cs="Arial"/>
            <w:color w:val="000000" w:themeColor="text1"/>
            <w:sz w:val="16"/>
            <w:szCs w:val="16"/>
          </w:rPr>
          <w:t>43</w:t>
        </w:r>
      </w:hyperlink>
      <w:r w:rsidRPr="00AD7D22">
        <w:rPr>
          <w:rFonts w:ascii="Verdana" w:hAnsi="Verdana" w:cs="Arial"/>
          <w:color w:val="000000" w:themeColor="text1"/>
          <w:sz w:val="16"/>
          <w:szCs w:val="16"/>
        </w:rPr>
        <w:t> de la Ley 80 de 1993 y demás normas que la modifiquen</w:t>
      </w:r>
      <w:r>
        <w:rPr>
          <w:rFonts w:ascii="Verdana" w:hAnsi="Verdana" w:cs="Arial"/>
          <w:color w:val="000000" w:themeColor="text1"/>
          <w:sz w:val="16"/>
          <w:szCs w:val="16"/>
        </w:rPr>
        <w:t>”</w:t>
      </w:r>
      <w:r w:rsidRPr="00AD7D22">
        <w:rPr>
          <w:rFonts w:ascii="Verdana" w:hAnsi="Verdana" w:cs="Arial"/>
          <w:color w:val="000000" w:themeColor="text1"/>
          <w:sz w:val="16"/>
          <w:szCs w:val="16"/>
        </w:rPr>
        <w:t>.</w:t>
      </w:r>
    </w:p>
  </w:footnote>
  <w:footnote w:id="6">
    <w:p w14:paraId="5BA5C3CC" w14:textId="77777777" w:rsidR="00D97EF3" w:rsidRPr="00AD7D22" w:rsidRDefault="00D97EF3" w:rsidP="00D97EF3">
      <w:pPr>
        <w:pStyle w:val="Textonotapie"/>
        <w:ind w:firstLine="708"/>
        <w:jc w:val="both"/>
        <w:rPr>
          <w:rFonts w:ascii="Verdana" w:hAnsi="Verdana" w:cs="Arial"/>
          <w:color w:val="000000" w:themeColor="text1"/>
          <w:sz w:val="16"/>
          <w:szCs w:val="16"/>
        </w:rPr>
      </w:pPr>
      <w:r w:rsidRPr="00AD7D22">
        <w:rPr>
          <w:rStyle w:val="Refdenotaalpie"/>
          <w:rFonts w:ascii="Verdana" w:hAnsi="Verdana" w:cs="Arial"/>
          <w:color w:val="000000" w:themeColor="text1"/>
          <w:sz w:val="16"/>
          <w:szCs w:val="16"/>
        </w:rPr>
        <w:footnoteRef/>
      </w:r>
      <w:r w:rsidRPr="00AD7D22">
        <w:rPr>
          <w:rFonts w:ascii="Verdana" w:hAnsi="Verdana" w:cs="Arial"/>
          <w:color w:val="000000" w:themeColor="text1"/>
          <w:sz w:val="16"/>
          <w:szCs w:val="16"/>
        </w:rPr>
        <w:t xml:space="preserve"> HINESTROSA FORERO, Fernando. Tratado de las Obligaciones II. De las fuentes de las obligaciones: el negocio jurídico. Volumen I. Bogotá: Universidad Externado de Colombia, 2015. p. 116.  </w:t>
      </w:r>
    </w:p>
    <w:p w14:paraId="0155438D" w14:textId="77777777" w:rsidR="00D97EF3" w:rsidRPr="00AD7D22" w:rsidRDefault="00D97EF3" w:rsidP="00D97EF3">
      <w:pPr>
        <w:pStyle w:val="Textonotapie"/>
        <w:ind w:firstLine="708"/>
        <w:jc w:val="both"/>
        <w:rPr>
          <w:rFonts w:ascii="Verdana" w:hAnsi="Verdana" w:cs="Arial"/>
          <w:color w:val="000000" w:themeColor="text1"/>
          <w:sz w:val="16"/>
          <w:szCs w:val="16"/>
        </w:rPr>
      </w:pPr>
    </w:p>
  </w:footnote>
  <w:footnote w:id="7">
    <w:p w14:paraId="3F0D34EA" w14:textId="77777777" w:rsidR="00D97EF3" w:rsidRPr="00AD7D22" w:rsidRDefault="00D97EF3" w:rsidP="00D97EF3">
      <w:pPr>
        <w:pStyle w:val="Textonotapie"/>
        <w:ind w:firstLine="708"/>
        <w:jc w:val="both"/>
        <w:rPr>
          <w:rFonts w:ascii="Verdana" w:hAnsi="Verdana" w:cs="Arial"/>
          <w:sz w:val="16"/>
          <w:szCs w:val="16"/>
        </w:rPr>
      </w:pPr>
      <w:r w:rsidRPr="00AD7D22">
        <w:rPr>
          <w:rStyle w:val="Refdenotaalpie"/>
          <w:rFonts w:ascii="Verdana" w:hAnsi="Verdana" w:cs="Arial"/>
          <w:sz w:val="16"/>
          <w:szCs w:val="16"/>
        </w:rPr>
        <w:footnoteRef/>
      </w:r>
      <w:r w:rsidRPr="00AD7D22">
        <w:rPr>
          <w:rFonts w:ascii="Verdana" w:hAnsi="Verdana" w:cs="Arial"/>
          <w:sz w:val="16"/>
          <w:szCs w:val="16"/>
        </w:rPr>
        <w:t xml:space="preserve"> Cfr. Colombia Compra Eficiente. Subdirección de Gestión Contractual. Concepto C-362 del 3 de julio de 2020. Pág. 9.</w:t>
      </w:r>
    </w:p>
    <w:p w14:paraId="78B3D3CA" w14:textId="77777777" w:rsidR="00D97EF3" w:rsidRPr="00AD7D22" w:rsidRDefault="00D97EF3" w:rsidP="00D97EF3">
      <w:pPr>
        <w:pStyle w:val="Textonotapie"/>
        <w:ind w:firstLine="708"/>
        <w:jc w:val="both"/>
        <w:rPr>
          <w:rFonts w:ascii="Verdana" w:hAnsi="Verdana" w:cs="Arial"/>
          <w:sz w:val="16"/>
          <w:szCs w:val="16"/>
        </w:rPr>
      </w:pPr>
    </w:p>
  </w:footnote>
  <w:footnote w:id="8">
    <w:p w14:paraId="25D0EF6F" w14:textId="77777777" w:rsidR="00D97EF3" w:rsidRPr="00AD7D22" w:rsidRDefault="00D97EF3" w:rsidP="00D97EF3">
      <w:pPr>
        <w:spacing w:after="0" w:line="240" w:lineRule="auto"/>
        <w:ind w:firstLine="708"/>
        <w:jc w:val="both"/>
        <w:rPr>
          <w:rFonts w:ascii="Verdana" w:hAnsi="Verdana" w:cs="Arial"/>
          <w:sz w:val="16"/>
          <w:szCs w:val="16"/>
        </w:rPr>
      </w:pPr>
      <w:r w:rsidRPr="00AD7D22">
        <w:rPr>
          <w:rStyle w:val="Refdenotaalpie"/>
          <w:rFonts w:ascii="Verdana" w:hAnsi="Verdana" w:cs="Arial"/>
          <w:sz w:val="16"/>
          <w:szCs w:val="16"/>
        </w:rPr>
        <w:footnoteRef/>
      </w:r>
      <w:r w:rsidRPr="00AD7D22">
        <w:rPr>
          <w:rFonts w:ascii="Verdana" w:hAnsi="Verdana" w:cs="Arial"/>
          <w:sz w:val="16"/>
          <w:szCs w:val="16"/>
        </w:rPr>
        <w:t xml:space="preserve"> “La</w:t>
      </w:r>
      <w:r w:rsidRPr="00AD7D22">
        <w:rPr>
          <w:rFonts w:ascii="Verdana" w:hAnsi="Verdana" w:cs="Arial"/>
          <w:spacing w:val="-12"/>
          <w:sz w:val="16"/>
          <w:szCs w:val="16"/>
        </w:rPr>
        <w:t xml:space="preserve"> </w:t>
      </w:r>
      <w:r w:rsidRPr="00AD7D22">
        <w:rPr>
          <w:rFonts w:ascii="Verdana" w:hAnsi="Verdana" w:cs="Arial"/>
          <w:sz w:val="16"/>
          <w:szCs w:val="16"/>
        </w:rPr>
        <w:t>fuerza</w:t>
      </w:r>
      <w:r w:rsidRPr="00AD7D22">
        <w:rPr>
          <w:rFonts w:ascii="Verdana" w:hAnsi="Verdana" w:cs="Arial"/>
          <w:spacing w:val="-12"/>
          <w:sz w:val="16"/>
          <w:szCs w:val="16"/>
        </w:rPr>
        <w:t xml:space="preserve"> </w:t>
      </w:r>
      <w:r w:rsidRPr="00AD7D22">
        <w:rPr>
          <w:rFonts w:ascii="Verdana" w:hAnsi="Verdana" w:cs="Arial"/>
          <w:sz w:val="16"/>
          <w:szCs w:val="16"/>
        </w:rPr>
        <w:t>vinculante</w:t>
      </w:r>
      <w:r w:rsidRPr="00AD7D22">
        <w:rPr>
          <w:rFonts w:ascii="Verdana" w:hAnsi="Verdana" w:cs="Arial"/>
          <w:spacing w:val="-12"/>
          <w:sz w:val="16"/>
          <w:szCs w:val="16"/>
        </w:rPr>
        <w:t xml:space="preserve"> </w:t>
      </w:r>
      <w:r w:rsidRPr="00AD7D22">
        <w:rPr>
          <w:rFonts w:ascii="Verdana" w:hAnsi="Verdana" w:cs="Arial"/>
          <w:sz w:val="16"/>
          <w:szCs w:val="16"/>
        </w:rPr>
        <w:t>de</w:t>
      </w:r>
      <w:r w:rsidRPr="00AD7D22">
        <w:rPr>
          <w:rFonts w:ascii="Verdana" w:hAnsi="Verdana" w:cs="Arial"/>
          <w:spacing w:val="-11"/>
          <w:sz w:val="16"/>
          <w:szCs w:val="16"/>
        </w:rPr>
        <w:t xml:space="preserve"> </w:t>
      </w:r>
      <w:r w:rsidRPr="00AD7D22">
        <w:rPr>
          <w:rFonts w:ascii="Verdana" w:hAnsi="Verdana" w:cs="Arial"/>
          <w:sz w:val="16"/>
          <w:szCs w:val="16"/>
        </w:rPr>
        <w:t>los</w:t>
      </w:r>
      <w:r w:rsidRPr="00AD7D22">
        <w:rPr>
          <w:rFonts w:ascii="Verdana" w:hAnsi="Verdana" w:cs="Arial"/>
          <w:spacing w:val="-12"/>
          <w:sz w:val="16"/>
          <w:szCs w:val="16"/>
        </w:rPr>
        <w:t xml:space="preserve"> </w:t>
      </w:r>
      <w:r w:rsidRPr="00AD7D22">
        <w:rPr>
          <w:rFonts w:ascii="Verdana" w:hAnsi="Verdana" w:cs="Arial"/>
          <w:sz w:val="16"/>
          <w:szCs w:val="16"/>
        </w:rPr>
        <w:t>reglamentos</w:t>
      </w:r>
      <w:r w:rsidRPr="00AD7D22">
        <w:rPr>
          <w:rFonts w:ascii="Verdana" w:hAnsi="Verdana" w:cs="Arial"/>
          <w:spacing w:val="-12"/>
          <w:sz w:val="16"/>
          <w:szCs w:val="16"/>
        </w:rPr>
        <w:t xml:space="preserve"> </w:t>
      </w:r>
      <w:r w:rsidRPr="00AD7D22">
        <w:rPr>
          <w:rFonts w:ascii="Verdana" w:hAnsi="Verdana" w:cs="Arial"/>
          <w:sz w:val="16"/>
          <w:szCs w:val="16"/>
        </w:rPr>
        <w:t>–tanto</w:t>
      </w:r>
      <w:r w:rsidRPr="00AD7D22">
        <w:rPr>
          <w:rFonts w:ascii="Verdana" w:hAnsi="Verdana" w:cs="Arial"/>
          <w:spacing w:val="-12"/>
          <w:sz w:val="16"/>
          <w:szCs w:val="16"/>
        </w:rPr>
        <w:t xml:space="preserve"> </w:t>
      </w:r>
      <w:r w:rsidRPr="00AD7D22">
        <w:rPr>
          <w:rFonts w:ascii="Verdana" w:hAnsi="Verdana" w:cs="Arial"/>
          <w:sz w:val="16"/>
          <w:szCs w:val="16"/>
        </w:rPr>
        <w:t>para</w:t>
      </w:r>
      <w:r w:rsidRPr="00AD7D22">
        <w:rPr>
          <w:rFonts w:ascii="Verdana" w:hAnsi="Verdana" w:cs="Arial"/>
          <w:spacing w:val="-12"/>
          <w:sz w:val="16"/>
          <w:szCs w:val="16"/>
        </w:rPr>
        <w:t xml:space="preserve"> </w:t>
      </w:r>
      <w:r w:rsidRPr="00AD7D22">
        <w:rPr>
          <w:rFonts w:ascii="Verdana" w:hAnsi="Verdana" w:cs="Arial"/>
          <w:sz w:val="16"/>
          <w:szCs w:val="16"/>
        </w:rPr>
        <w:t>los</w:t>
      </w:r>
      <w:r w:rsidRPr="00AD7D22">
        <w:rPr>
          <w:rFonts w:ascii="Verdana" w:hAnsi="Verdana" w:cs="Arial"/>
          <w:spacing w:val="-11"/>
          <w:sz w:val="16"/>
          <w:szCs w:val="16"/>
        </w:rPr>
        <w:t xml:space="preserve"> </w:t>
      </w:r>
      <w:r w:rsidRPr="00AD7D22">
        <w:rPr>
          <w:rFonts w:ascii="Verdana" w:hAnsi="Verdana" w:cs="Arial"/>
          <w:sz w:val="16"/>
          <w:szCs w:val="16"/>
        </w:rPr>
        <w:t>administrados</w:t>
      </w:r>
      <w:r w:rsidRPr="00AD7D22">
        <w:rPr>
          <w:rFonts w:ascii="Verdana" w:hAnsi="Verdana" w:cs="Arial"/>
          <w:spacing w:val="-12"/>
          <w:sz w:val="16"/>
          <w:szCs w:val="16"/>
        </w:rPr>
        <w:t xml:space="preserve"> </w:t>
      </w:r>
      <w:r w:rsidRPr="00AD7D22">
        <w:rPr>
          <w:rFonts w:ascii="Verdana" w:hAnsi="Verdana" w:cs="Arial"/>
          <w:sz w:val="16"/>
          <w:szCs w:val="16"/>
        </w:rPr>
        <w:t>como</w:t>
      </w:r>
      <w:r w:rsidRPr="00AD7D22">
        <w:rPr>
          <w:rFonts w:ascii="Verdana" w:hAnsi="Verdana" w:cs="Arial"/>
          <w:spacing w:val="-12"/>
          <w:sz w:val="16"/>
          <w:szCs w:val="16"/>
        </w:rPr>
        <w:t xml:space="preserve"> </w:t>
      </w:r>
      <w:r w:rsidRPr="00AD7D22">
        <w:rPr>
          <w:rFonts w:ascii="Verdana" w:hAnsi="Verdana" w:cs="Arial"/>
          <w:sz w:val="16"/>
          <w:szCs w:val="16"/>
        </w:rPr>
        <w:t>para</w:t>
      </w:r>
      <w:r w:rsidRPr="00AD7D22">
        <w:rPr>
          <w:rFonts w:ascii="Verdana" w:hAnsi="Verdana" w:cs="Arial"/>
          <w:spacing w:val="-12"/>
          <w:sz w:val="16"/>
          <w:szCs w:val="16"/>
        </w:rPr>
        <w:t xml:space="preserve"> </w:t>
      </w:r>
      <w:r w:rsidRPr="00AD7D22">
        <w:rPr>
          <w:rFonts w:ascii="Verdana" w:hAnsi="Verdana" w:cs="Arial"/>
          <w:sz w:val="16"/>
          <w:szCs w:val="16"/>
        </w:rPr>
        <w:t>la</w:t>
      </w:r>
      <w:r w:rsidRPr="00AD7D22">
        <w:rPr>
          <w:rFonts w:ascii="Verdana" w:hAnsi="Verdana" w:cs="Arial"/>
          <w:spacing w:val="-12"/>
          <w:sz w:val="16"/>
          <w:szCs w:val="16"/>
        </w:rPr>
        <w:t xml:space="preserve"> </w:t>
      </w:r>
      <w:r w:rsidRPr="00AD7D22">
        <w:rPr>
          <w:rFonts w:ascii="Verdana" w:hAnsi="Verdana" w:cs="Arial"/>
          <w:sz w:val="16"/>
          <w:szCs w:val="16"/>
        </w:rPr>
        <w:t>propia</w:t>
      </w:r>
      <w:r w:rsidRPr="00AD7D22">
        <w:rPr>
          <w:rFonts w:ascii="Verdana" w:hAnsi="Verdana" w:cs="Arial"/>
          <w:spacing w:val="-50"/>
          <w:sz w:val="16"/>
          <w:szCs w:val="16"/>
        </w:rPr>
        <w:t xml:space="preserve"> </w:t>
      </w:r>
      <w:r w:rsidRPr="00AD7D22">
        <w:rPr>
          <w:rFonts w:ascii="Verdana" w:hAnsi="Verdana" w:cs="Arial"/>
          <w:sz w:val="16"/>
          <w:szCs w:val="16"/>
        </w:rPr>
        <w:t>administración– surge del hecho de ser una norma jurídica, y de compartir la naturaleza del acto</w:t>
      </w:r>
      <w:r w:rsidRPr="00AD7D22">
        <w:rPr>
          <w:rFonts w:ascii="Verdana" w:hAnsi="Verdana" w:cs="Arial"/>
          <w:spacing w:val="1"/>
          <w:sz w:val="16"/>
          <w:szCs w:val="16"/>
        </w:rPr>
        <w:t xml:space="preserve"> </w:t>
      </w:r>
      <w:r w:rsidRPr="00AD7D22">
        <w:rPr>
          <w:rFonts w:ascii="Verdana" w:hAnsi="Verdana" w:cs="Arial"/>
          <w:sz w:val="16"/>
          <w:szCs w:val="16"/>
        </w:rPr>
        <w:t>administrativo,</w:t>
      </w:r>
      <w:r w:rsidRPr="00AD7D22">
        <w:rPr>
          <w:rFonts w:ascii="Verdana" w:hAnsi="Verdana" w:cs="Arial"/>
          <w:spacing w:val="-4"/>
          <w:sz w:val="16"/>
          <w:szCs w:val="16"/>
        </w:rPr>
        <w:t xml:space="preserve"> </w:t>
      </w:r>
      <w:r w:rsidRPr="00AD7D22">
        <w:rPr>
          <w:rFonts w:ascii="Verdana" w:hAnsi="Verdana" w:cs="Arial"/>
          <w:sz w:val="16"/>
          <w:szCs w:val="16"/>
        </w:rPr>
        <w:t>luego,</w:t>
      </w:r>
      <w:r w:rsidRPr="00AD7D22">
        <w:rPr>
          <w:rFonts w:ascii="Verdana" w:hAnsi="Verdana" w:cs="Arial"/>
          <w:spacing w:val="-4"/>
          <w:sz w:val="16"/>
          <w:szCs w:val="16"/>
        </w:rPr>
        <w:t xml:space="preserve"> </w:t>
      </w:r>
      <w:r w:rsidRPr="00AD7D22">
        <w:rPr>
          <w:rFonts w:ascii="Verdana" w:hAnsi="Verdana" w:cs="Arial"/>
          <w:sz w:val="16"/>
          <w:szCs w:val="16"/>
        </w:rPr>
        <w:t>de</w:t>
      </w:r>
      <w:r w:rsidRPr="00AD7D22">
        <w:rPr>
          <w:rFonts w:ascii="Verdana" w:hAnsi="Verdana" w:cs="Arial"/>
          <w:spacing w:val="-4"/>
          <w:sz w:val="16"/>
          <w:szCs w:val="16"/>
        </w:rPr>
        <w:t xml:space="preserve"> </w:t>
      </w:r>
      <w:r w:rsidRPr="00AD7D22">
        <w:rPr>
          <w:rFonts w:ascii="Verdana" w:hAnsi="Verdana" w:cs="Arial"/>
          <w:sz w:val="16"/>
          <w:szCs w:val="16"/>
        </w:rPr>
        <w:t>allí</w:t>
      </w:r>
      <w:r w:rsidRPr="00AD7D22">
        <w:rPr>
          <w:rFonts w:ascii="Verdana" w:hAnsi="Verdana" w:cs="Arial"/>
          <w:spacing w:val="-4"/>
          <w:sz w:val="16"/>
          <w:szCs w:val="16"/>
        </w:rPr>
        <w:t xml:space="preserve"> </w:t>
      </w:r>
      <w:r w:rsidRPr="00AD7D22">
        <w:rPr>
          <w:rFonts w:ascii="Verdana" w:hAnsi="Verdana" w:cs="Arial"/>
          <w:sz w:val="16"/>
          <w:szCs w:val="16"/>
        </w:rPr>
        <w:t>también</w:t>
      </w:r>
      <w:r w:rsidRPr="00AD7D22">
        <w:rPr>
          <w:rFonts w:ascii="Verdana" w:hAnsi="Verdana" w:cs="Arial"/>
          <w:spacing w:val="-4"/>
          <w:sz w:val="16"/>
          <w:szCs w:val="16"/>
        </w:rPr>
        <w:t xml:space="preserve"> </w:t>
      </w:r>
      <w:r w:rsidRPr="00AD7D22">
        <w:rPr>
          <w:rFonts w:ascii="Verdana" w:hAnsi="Verdana" w:cs="Arial"/>
          <w:sz w:val="16"/>
          <w:szCs w:val="16"/>
        </w:rPr>
        <w:t>se</w:t>
      </w:r>
      <w:r w:rsidRPr="00AD7D22">
        <w:rPr>
          <w:rFonts w:ascii="Verdana" w:hAnsi="Verdana" w:cs="Arial"/>
          <w:spacing w:val="-4"/>
          <w:sz w:val="16"/>
          <w:szCs w:val="16"/>
        </w:rPr>
        <w:t xml:space="preserve"> </w:t>
      </w:r>
      <w:r w:rsidRPr="00AD7D22">
        <w:rPr>
          <w:rFonts w:ascii="Verdana" w:hAnsi="Verdana" w:cs="Arial"/>
          <w:sz w:val="16"/>
          <w:szCs w:val="16"/>
        </w:rPr>
        <w:t>desprende</w:t>
      </w:r>
      <w:r w:rsidRPr="00AD7D22">
        <w:rPr>
          <w:rFonts w:ascii="Verdana" w:hAnsi="Verdana" w:cs="Arial"/>
          <w:spacing w:val="-4"/>
          <w:sz w:val="16"/>
          <w:szCs w:val="16"/>
        </w:rPr>
        <w:t xml:space="preserve"> </w:t>
      </w:r>
      <w:r w:rsidRPr="00AD7D22">
        <w:rPr>
          <w:rFonts w:ascii="Verdana" w:hAnsi="Verdana" w:cs="Arial"/>
          <w:sz w:val="16"/>
          <w:szCs w:val="16"/>
        </w:rPr>
        <w:t>que</w:t>
      </w:r>
      <w:r w:rsidRPr="00AD7D22">
        <w:rPr>
          <w:rFonts w:ascii="Verdana" w:hAnsi="Verdana" w:cs="Arial"/>
          <w:spacing w:val="-3"/>
          <w:sz w:val="16"/>
          <w:szCs w:val="16"/>
        </w:rPr>
        <w:t xml:space="preserve"> </w:t>
      </w:r>
      <w:r w:rsidRPr="00AD7D22">
        <w:rPr>
          <w:rFonts w:ascii="Verdana" w:hAnsi="Verdana" w:cs="Arial"/>
          <w:sz w:val="16"/>
          <w:szCs w:val="16"/>
        </w:rPr>
        <w:t>se</w:t>
      </w:r>
      <w:r w:rsidRPr="00AD7D22">
        <w:rPr>
          <w:rFonts w:ascii="Verdana" w:hAnsi="Verdana" w:cs="Arial"/>
          <w:spacing w:val="-4"/>
          <w:sz w:val="16"/>
          <w:szCs w:val="16"/>
        </w:rPr>
        <w:t xml:space="preserve"> </w:t>
      </w:r>
      <w:r w:rsidRPr="00AD7D22">
        <w:rPr>
          <w:rFonts w:ascii="Verdana" w:hAnsi="Verdana" w:cs="Arial"/>
          <w:sz w:val="16"/>
          <w:szCs w:val="16"/>
        </w:rPr>
        <w:t>presuman</w:t>
      </w:r>
      <w:r w:rsidRPr="00AD7D22">
        <w:rPr>
          <w:rFonts w:ascii="Verdana" w:hAnsi="Verdana" w:cs="Arial"/>
          <w:spacing w:val="-4"/>
          <w:sz w:val="16"/>
          <w:szCs w:val="16"/>
        </w:rPr>
        <w:t xml:space="preserve"> </w:t>
      </w:r>
      <w:r w:rsidRPr="00AD7D22">
        <w:rPr>
          <w:rFonts w:ascii="Verdana" w:hAnsi="Verdana" w:cs="Arial"/>
          <w:sz w:val="16"/>
          <w:szCs w:val="16"/>
        </w:rPr>
        <w:t>legales</w:t>
      </w:r>
      <w:r w:rsidRPr="00AD7D22">
        <w:rPr>
          <w:rFonts w:ascii="Verdana" w:hAnsi="Verdana" w:cs="Arial"/>
          <w:spacing w:val="-4"/>
          <w:sz w:val="16"/>
          <w:szCs w:val="16"/>
        </w:rPr>
        <w:t xml:space="preserve"> </w:t>
      </w:r>
      <w:r w:rsidRPr="00AD7D22">
        <w:rPr>
          <w:rFonts w:ascii="Verdana" w:hAnsi="Verdana" w:cs="Arial"/>
          <w:sz w:val="16"/>
          <w:szCs w:val="16"/>
        </w:rPr>
        <w:t>y</w:t>
      </w:r>
      <w:r w:rsidRPr="00AD7D22">
        <w:rPr>
          <w:rFonts w:ascii="Verdana" w:hAnsi="Verdana" w:cs="Arial"/>
          <w:spacing w:val="-4"/>
          <w:sz w:val="16"/>
          <w:szCs w:val="16"/>
        </w:rPr>
        <w:t xml:space="preserve"> </w:t>
      </w:r>
      <w:r w:rsidRPr="00AD7D22">
        <w:rPr>
          <w:rFonts w:ascii="Verdana" w:hAnsi="Verdana" w:cs="Arial"/>
          <w:sz w:val="16"/>
          <w:szCs w:val="16"/>
        </w:rPr>
        <w:t>sean</w:t>
      </w:r>
      <w:r w:rsidRPr="00AD7D22">
        <w:rPr>
          <w:rFonts w:ascii="Verdana" w:hAnsi="Verdana" w:cs="Arial"/>
          <w:spacing w:val="-4"/>
          <w:sz w:val="16"/>
          <w:szCs w:val="16"/>
        </w:rPr>
        <w:t xml:space="preserve"> </w:t>
      </w:r>
      <w:r w:rsidRPr="00AD7D22">
        <w:rPr>
          <w:rFonts w:ascii="Verdana" w:hAnsi="Verdana" w:cs="Arial"/>
          <w:sz w:val="16"/>
          <w:szCs w:val="16"/>
        </w:rPr>
        <w:t>ejecutorios.</w:t>
      </w:r>
    </w:p>
    <w:p w14:paraId="5B7E4353" w14:textId="77777777" w:rsidR="00D97EF3" w:rsidRPr="00AD7D22" w:rsidRDefault="00D97EF3" w:rsidP="00D97EF3">
      <w:pPr>
        <w:spacing w:after="0" w:line="240" w:lineRule="auto"/>
        <w:ind w:firstLine="708"/>
        <w:jc w:val="both"/>
        <w:rPr>
          <w:rFonts w:ascii="Verdana" w:hAnsi="Verdana" w:cs="Arial"/>
          <w:sz w:val="16"/>
          <w:szCs w:val="16"/>
        </w:rPr>
      </w:pPr>
      <w:r w:rsidRPr="00AD7D22">
        <w:rPr>
          <w:rFonts w:ascii="Verdana" w:hAnsi="Verdana" w:cs="Arial"/>
          <w:sz w:val="16"/>
          <w:szCs w:val="16"/>
        </w:rPr>
        <w:t>Por esta misma razón, la doctrina española –con especial fuerza– ha señalado que su</w:t>
      </w:r>
      <w:r w:rsidRPr="00AD7D22">
        <w:rPr>
          <w:rFonts w:ascii="Verdana" w:hAnsi="Verdana" w:cs="Arial"/>
          <w:spacing w:val="1"/>
          <w:sz w:val="16"/>
          <w:szCs w:val="16"/>
        </w:rPr>
        <w:t xml:space="preserve"> </w:t>
      </w:r>
      <w:r w:rsidRPr="00AD7D22">
        <w:rPr>
          <w:rFonts w:ascii="Verdana" w:hAnsi="Verdana" w:cs="Arial"/>
          <w:sz w:val="16"/>
          <w:szCs w:val="16"/>
        </w:rPr>
        <w:t>observancia</w:t>
      </w:r>
      <w:r w:rsidRPr="00AD7D22">
        <w:rPr>
          <w:rFonts w:ascii="Verdana" w:hAnsi="Verdana" w:cs="Arial"/>
          <w:spacing w:val="-5"/>
          <w:sz w:val="16"/>
          <w:szCs w:val="16"/>
        </w:rPr>
        <w:t xml:space="preserve"> </w:t>
      </w:r>
      <w:r w:rsidRPr="00AD7D22">
        <w:rPr>
          <w:rFonts w:ascii="Verdana" w:hAnsi="Verdana" w:cs="Arial"/>
          <w:sz w:val="16"/>
          <w:szCs w:val="16"/>
        </w:rPr>
        <w:t>no</w:t>
      </w:r>
      <w:r w:rsidRPr="00AD7D22">
        <w:rPr>
          <w:rFonts w:ascii="Verdana" w:hAnsi="Verdana" w:cs="Arial"/>
          <w:spacing w:val="-4"/>
          <w:sz w:val="16"/>
          <w:szCs w:val="16"/>
        </w:rPr>
        <w:t xml:space="preserve"> </w:t>
      </w:r>
      <w:r w:rsidRPr="00AD7D22">
        <w:rPr>
          <w:rFonts w:ascii="Verdana" w:hAnsi="Verdana" w:cs="Arial"/>
          <w:sz w:val="16"/>
          <w:szCs w:val="16"/>
        </w:rPr>
        <w:t>queda</w:t>
      </w:r>
      <w:r w:rsidRPr="00AD7D22">
        <w:rPr>
          <w:rFonts w:ascii="Verdana" w:hAnsi="Verdana" w:cs="Arial"/>
          <w:spacing w:val="-5"/>
          <w:sz w:val="16"/>
          <w:szCs w:val="16"/>
        </w:rPr>
        <w:t xml:space="preserve"> </w:t>
      </w:r>
      <w:r w:rsidRPr="00AD7D22">
        <w:rPr>
          <w:rFonts w:ascii="Verdana" w:hAnsi="Verdana" w:cs="Arial"/>
          <w:sz w:val="16"/>
          <w:szCs w:val="16"/>
        </w:rPr>
        <w:t>al</w:t>
      </w:r>
      <w:r w:rsidRPr="00AD7D22">
        <w:rPr>
          <w:rFonts w:ascii="Verdana" w:hAnsi="Verdana" w:cs="Arial"/>
          <w:spacing w:val="-4"/>
          <w:sz w:val="16"/>
          <w:szCs w:val="16"/>
        </w:rPr>
        <w:t xml:space="preserve"> </w:t>
      </w:r>
      <w:r w:rsidRPr="00AD7D22">
        <w:rPr>
          <w:rFonts w:ascii="Verdana" w:hAnsi="Verdana" w:cs="Arial"/>
          <w:sz w:val="16"/>
          <w:szCs w:val="16"/>
        </w:rPr>
        <w:t>capricho</w:t>
      </w:r>
      <w:r w:rsidRPr="00AD7D22">
        <w:rPr>
          <w:rFonts w:ascii="Verdana" w:hAnsi="Verdana" w:cs="Arial"/>
          <w:spacing w:val="-5"/>
          <w:sz w:val="16"/>
          <w:szCs w:val="16"/>
        </w:rPr>
        <w:t xml:space="preserve"> </w:t>
      </w:r>
      <w:r w:rsidRPr="00AD7D22">
        <w:rPr>
          <w:rFonts w:ascii="Verdana" w:hAnsi="Verdana" w:cs="Arial"/>
          <w:sz w:val="16"/>
          <w:szCs w:val="16"/>
        </w:rPr>
        <w:t>del</w:t>
      </w:r>
      <w:r w:rsidRPr="00AD7D22">
        <w:rPr>
          <w:rFonts w:ascii="Verdana" w:hAnsi="Verdana" w:cs="Arial"/>
          <w:spacing w:val="-4"/>
          <w:sz w:val="16"/>
          <w:szCs w:val="16"/>
        </w:rPr>
        <w:t xml:space="preserve"> </w:t>
      </w:r>
      <w:r w:rsidRPr="00AD7D22">
        <w:rPr>
          <w:rFonts w:ascii="Verdana" w:hAnsi="Verdana" w:cs="Arial"/>
          <w:sz w:val="16"/>
          <w:szCs w:val="16"/>
        </w:rPr>
        <w:t>órgano</w:t>
      </w:r>
      <w:r w:rsidRPr="00AD7D22">
        <w:rPr>
          <w:rFonts w:ascii="Verdana" w:hAnsi="Verdana" w:cs="Arial"/>
          <w:spacing w:val="-5"/>
          <w:sz w:val="16"/>
          <w:szCs w:val="16"/>
        </w:rPr>
        <w:t xml:space="preserve"> </w:t>
      </w:r>
      <w:r w:rsidRPr="00AD7D22">
        <w:rPr>
          <w:rFonts w:ascii="Verdana" w:hAnsi="Verdana" w:cs="Arial"/>
          <w:sz w:val="16"/>
          <w:szCs w:val="16"/>
        </w:rPr>
        <w:t>que</w:t>
      </w:r>
      <w:r w:rsidRPr="00AD7D22">
        <w:rPr>
          <w:rFonts w:ascii="Verdana" w:hAnsi="Verdana" w:cs="Arial"/>
          <w:spacing w:val="-4"/>
          <w:sz w:val="16"/>
          <w:szCs w:val="16"/>
        </w:rPr>
        <w:t xml:space="preserve"> </w:t>
      </w:r>
      <w:r w:rsidRPr="00AD7D22">
        <w:rPr>
          <w:rFonts w:ascii="Verdana" w:hAnsi="Verdana" w:cs="Arial"/>
          <w:sz w:val="16"/>
          <w:szCs w:val="16"/>
        </w:rPr>
        <w:t>la</w:t>
      </w:r>
      <w:r w:rsidRPr="00AD7D22">
        <w:rPr>
          <w:rFonts w:ascii="Verdana" w:hAnsi="Verdana" w:cs="Arial"/>
          <w:spacing w:val="-5"/>
          <w:sz w:val="16"/>
          <w:szCs w:val="16"/>
        </w:rPr>
        <w:t xml:space="preserve"> </w:t>
      </w:r>
      <w:r w:rsidRPr="00AD7D22">
        <w:rPr>
          <w:rFonts w:ascii="Verdana" w:hAnsi="Verdana" w:cs="Arial"/>
          <w:sz w:val="16"/>
          <w:szCs w:val="16"/>
        </w:rPr>
        <w:t>expidió,</w:t>
      </w:r>
      <w:r w:rsidRPr="00AD7D22">
        <w:rPr>
          <w:rFonts w:ascii="Verdana" w:hAnsi="Verdana" w:cs="Arial"/>
          <w:spacing w:val="-4"/>
          <w:sz w:val="16"/>
          <w:szCs w:val="16"/>
        </w:rPr>
        <w:t xml:space="preserve"> </w:t>
      </w:r>
      <w:r w:rsidRPr="00AD7D22">
        <w:rPr>
          <w:rFonts w:ascii="Verdana" w:hAnsi="Verdana" w:cs="Arial"/>
          <w:sz w:val="16"/>
          <w:szCs w:val="16"/>
        </w:rPr>
        <w:t>pues</w:t>
      </w:r>
      <w:r w:rsidRPr="00AD7D22">
        <w:rPr>
          <w:rFonts w:ascii="Verdana" w:hAnsi="Verdana" w:cs="Arial"/>
          <w:spacing w:val="-5"/>
          <w:sz w:val="16"/>
          <w:szCs w:val="16"/>
        </w:rPr>
        <w:t xml:space="preserve"> </w:t>
      </w:r>
      <w:r w:rsidRPr="00AD7D22">
        <w:rPr>
          <w:rFonts w:ascii="Verdana" w:hAnsi="Verdana" w:cs="Arial"/>
          <w:sz w:val="16"/>
          <w:szCs w:val="16"/>
        </w:rPr>
        <w:t>si</w:t>
      </w:r>
      <w:r w:rsidRPr="00AD7D22">
        <w:rPr>
          <w:rFonts w:ascii="Verdana" w:hAnsi="Verdana" w:cs="Arial"/>
          <w:spacing w:val="-4"/>
          <w:sz w:val="16"/>
          <w:szCs w:val="16"/>
        </w:rPr>
        <w:t xml:space="preserve"> </w:t>
      </w:r>
      <w:r w:rsidRPr="00AD7D22">
        <w:rPr>
          <w:rFonts w:ascii="Verdana" w:hAnsi="Verdana" w:cs="Arial"/>
          <w:sz w:val="16"/>
          <w:szCs w:val="16"/>
        </w:rPr>
        <w:t>quisiera</w:t>
      </w:r>
      <w:r w:rsidRPr="00AD7D22">
        <w:rPr>
          <w:rFonts w:ascii="Verdana" w:hAnsi="Verdana" w:cs="Arial"/>
          <w:spacing w:val="-5"/>
          <w:sz w:val="16"/>
          <w:szCs w:val="16"/>
        </w:rPr>
        <w:t xml:space="preserve"> </w:t>
      </w:r>
      <w:r w:rsidRPr="00AD7D22">
        <w:rPr>
          <w:rFonts w:ascii="Verdana" w:hAnsi="Verdana" w:cs="Arial"/>
          <w:sz w:val="16"/>
          <w:szCs w:val="16"/>
        </w:rPr>
        <w:t>él</w:t>
      </w:r>
      <w:r w:rsidRPr="00AD7D22">
        <w:rPr>
          <w:rFonts w:ascii="Verdana" w:hAnsi="Verdana" w:cs="Arial"/>
          <w:spacing w:val="-4"/>
          <w:sz w:val="16"/>
          <w:szCs w:val="16"/>
        </w:rPr>
        <w:t xml:space="preserve"> </w:t>
      </w:r>
      <w:r w:rsidRPr="00AD7D22">
        <w:rPr>
          <w:rFonts w:ascii="Verdana" w:hAnsi="Verdana" w:cs="Arial"/>
          <w:sz w:val="16"/>
          <w:szCs w:val="16"/>
        </w:rPr>
        <w:t>lo</w:t>
      </w:r>
      <w:r w:rsidRPr="00AD7D22">
        <w:rPr>
          <w:rFonts w:ascii="Verdana" w:hAnsi="Verdana" w:cs="Arial"/>
          <w:spacing w:val="-4"/>
          <w:sz w:val="16"/>
          <w:szCs w:val="16"/>
        </w:rPr>
        <w:t xml:space="preserve"> </w:t>
      </w:r>
      <w:r w:rsidRPr="00AD7D22">
        <w:rPr>
          <w:rFonts w:ascii="Verdana" w:hAnsi="Verdana" w:cs="Arial"/>
          <w:sz w:val="16"/>
          <w:szCs w:val="16"/>
        </w:rPr>
        <w:t>puede</w:t>
      </w:r>
      <w:r w:rsidRPr="00AD7D22">
        <w:rPr>
          <w:rFonts w:ascii="Verdana" w:hAnsi="Verdana" w:cs="Arial"/>
          <w:spacing w:val="-5"/>
          <w:sz w:val="16"/>
          <w:szCs w:val="16"/>
        </w:rPr>
        <w:t xml:space="preserve"> </w:t>
      </w:r>
      <w:r w:rsidRPr="00AD7D22">
        <w:rPr>
          <w:rFonts w:ascii="Verdana" w:hAnsi="Verdana" w:cs="Arial"/>
          <w:sz w:val="16"/>
          <w:szCs w:val="16"/>
        </w:rPr>
        <w:t>desconocer.</w:t>
      </w:r>
      <w:r w:rsidRPr="00AD7D22">
        <w:rPr>
          <w:rFonts w:ascii="Verdana" w:hAnsi="Verdana" w:cs="Arial"/>
          <w:spacing w:val="1"/>
          <w:sz w:val="16"/>
          <w:szCs w:val="16"/>
        </w:rPr>
        <w:t xml:space="preserve"> </w:t>
      </w:r>
      <w:r w:rsidRPr="00AD7D22">
        <w:rPr>
          <w:rFonts w:ascii="Verdana" w:hAnsi="Verdana" w:cs="Arial"/>
          <w:sz w:val="16"/>
          <w:szCs w:val="16"/>
        </w:rPr>
        <w:t>De algún modo, como acontece con todo acto administrativo, el acto cobra vida propia, y autonomía</w:t>
      </w:r>
      <w:r w:rsidRPr="00AD7D22">
        <w:rPr>
          <w:rFonts w:ascii="Verdana" w:hAnsi="Verdana" w:cs="Arial"/>
          <w:spacing w:val="1"/>
          <w:sz w:val="16"/>
          <w:szCs w:val="16"/>
        </w:rPr>
        <w:t xml:space="preserve"> </w:t>
      </w:r>
      <w:r w:rsidRPr="00AD7D22">
        <w:rPr>
          <w:rFonts w:ascii="Verdana" w:hAnsi="Verdana" w:cs="Arial"/>
          <w:sz w:val="16"/>
          <w:szCs w:val="16"/>
        </w:rPr>
        <w:t>en</w:t>
      </w:r>
      <w:r w:rsidRPr="00AD7D22">
        <w:rPr>
          <w:rFonts w:ascii="Verdana" w:hAnsi="Verdana" w:cs="Arial"/>
          <w:spacing w:val="-7"/>
          <w:sz w:val="16"/>
          <w:szCs w:val="16"/>
        </w:rPr>
        <w:t xml:space="preserve"> </w:t>
      </w:r>
      <w:r w:rsidRPr="00AD7D22">
        <w:rPr>
          <w:rFonts w:ascii="Verdana" w:hAnsi="Verdana" w:cs="Arial"/>
          <w:sz w:val="16"/>
          <w:szCs w:val="16"/>
        </w:rPr>
        <w:t>relación</w:t>
      </w:r>
      <w:r w:rsidRPr="00AD7D22">
        <w:rPr>
          <w:rFonts w:ascii="Verdana" w:hAnsi="Verdana" w:cs="Arial"/>
          <w:spacing w:val="-7"/>
          <w:sz w:val="16"/>
          <w:szCs w:val="16"/>
        </w:rPr>
        <w:t xml:space="preserve"> </w:t>
      </w:r>
      <w:r w:rsidRPr="00AD7D22">
        <w:rPr>
          <w:rFonts w:ascii="Verdana" w:hAnsi="Verdana" w:cs="Arial"/>
          <w:sz w:val="16"/>
          <w:szCs w:val="16"/>
        </w:rPr>
        <w:t>con</w:t>
      </w:r>
      <w:r w:rsidRPr="00AD7D22">
        <w:rPr>
          <w:rFonts w:ascii="Verdana" w:hAnsi="Verdana" w:cs="Arial"/>
          <w:spacing w:val="-6"/>
          <w:sz w:val="16"/>
          <w:szCs w:val="16"/>
        </w:rPr>
        <w:t xml:space="preserve"> </w:t>
      </w:r>
      <w:r w:rsidRPr="00AD7D22">
        <w:rPr>
          <w:rFonts w:ascii="Verdana" w:hAnsi="Verdana" w:cs="Arial"/>
          <w:sz w:val="16"/>
          <w:szCs w:val="16"/>
        </w:rPr>
        <w:t>su</w:t>
      </w:r>
      <w:r w:rsidRPr="00AD7D22">
        <w:rPr>
          <w:rFonts w:ascii="Verdana" w:hAnsi="Verdana" w:cs="Arial"/>
          <w:spacing w:val="-7"/>
          <w:sz w:val="16"/>
          <w:szCs w:val="16"/>
        </w:rPr>
        <w:t xml:space="preserve"> </w:t>
      </w:r>
      <w:r w:rsidRPr="00AD7D22">
        <w:rPr>
          <w:rFonts w:ascii="Verdana" w:hAnsi="Verdana" w:cs="Arial"/>
          <w:sz w:val="16"/>
          <w:szCs w:val="16"/>
        </w:rPr>
        <w:t>propio</w:t>
      </w:r>
      <w:r w:rsidRPr="00AD7D22">
        <w:rPr>
          <w:rFonts w:ascii="Verdana" w:hAnsi="Verdana" w:cs="Arial"/>
          <w:spacing w:val="-7"/>
          <w:sz w:val="16"/>
          <w:szCs w:val="16"/>
        </w:rPr>
        <w:t xml:space="preserve"> </w:t>
      </w:r>
      <w:r w:rsidRPr="00AD7D22">
        <w:rPr>
          <w:rFonts w:ascii="Verdana" w:hAnsi="Verdana" w:cs="Arial"/>
          <w:sz w:val="16"/>
          <w:szCs w:val="16"/>
        </w:rPr>
        <w:t>creador.</w:t>
      </w:r>
      <w:r w:rsidRPr="00AD7D22">
        <w:rPr>
          <w:rFonts w:ascii="Verdana" w:hAnsi="Verdana" w:cs="Arial"/>
          <w:spacing w:val="-6"/>
          <w:sz w:val="16"/>
          <w:szCs w:val="16"/>
        </w:rPr>
        <w:t xml:space="preserve"> </w:t>
      </w:r>
      <w:r w:rsidRPr="00AD7D22">
        <w:rPr>
          <w:rFonts w:ascii="Verdana" w:hAnsi="Verdana" w:cs="Arial"/>
          <w:sz w:val="16"/>
          <w:szCs w:val="16"/>
        </w:rPr>
        <w:t>A</w:t>
      </w:r>
      <w:r w:rsidRPr="00AD7D22">
        <w:rPr>
          <w:rFonts w:ascii="Verdana" w:hAnsi="Verdana" w:cs="Arial"/>
          <w:spacing w:val="-7"/>
          <w:sz w:val="16"/>
          <w:szCs w:val="16"/>
        </w:rPr>
        <w:t xml:space="preserve"> </w:t>
      </w:r>
      <w:r w:rsidRPr="00AD7D22">
        <w:rPr>
          <w:rFonts w:ascii="Verdana" w:hAnsi="Verdana" w:cs="Arial"/>
          <w:sz w:val="16"/>
          <w:szCs w:val="16"/>
        </w:rPr>
        <w:t>este</w:t>
      </w:r>
      <w:r w:rsidRPr="00AD7D22">
        <w:rPr>
          <w:rFonts w:ascii="Verdana" w:hAnsi="Verdana" w:cs="Arial"/>
          <w:spacing w:val="-6"/>
          <w:sz w:val="16"/>
          <w:szCs w:val="16"/>
        </w:rPr>
        <w:t xml:space="preserve"> </w:t>
      </w:r>
      <w:r w:rsidRPr="00AD7D22">
        <w:rPr>
          <w:rFonts w:ascii="Verdana" w:hAnsi="Verdana" w:cs="Arial"/>
          <w:sz w:val="16"/>
          <w:szCs w:val="16"/>
        </w:rPr>
        <w:t>último</w:t>
      </w:r>
      <w:r w:rsidRPr="00AD7D22">
        <w:rPr>
          <w:rFonts w:ascii="Verdana" w:hAnsi="Verdana" w:cs="Arial"/>
          <w:spacing w:val="-7"/>
          <w:sz w:val="16"/>
          <w:szCs w:val="16"/>
        </w:rPr>
        <w:t xml:space="preserve"> </w:t>
      </w:r>
      <w:r w:rsidRPr="00AD7D22">
        <w:rPr>
          <w:rFonts w:ascii="Verdana" w:hAnsi="Verdana" w:cs="Arial"/>
          <w:sz w:val="16"/>
          <w:szCs w:val="16"/>
        </w:rPr>
        <w:t>evento</w:t>
      </w:r>
      <w:r w:rsidRPr="00AD7D22">
        <w:rPr>
          <w:rFonts w:ascii="Verdana" w:hAnsi="Verdana" w:cs="Arial"/>
          <w:spacing w:val="-7"/>
          <w:sz w:val="16"/>
          <w:szCs w:val="16"/>
        </w:rPr>
        <w:t xml:space="preserve"> </w:t>
      </w:r>
      <w:r w:rsidRPr="00AD7D22">
        <w:rPr>
          <w:rFonts w:ascii="Verdana" w:hAnsi="Verdana" w:cs="Arial"/>
          <w:sz w:val="16"/>
          <w:szCs w:val="16"/>
        </w:rPr>
        <w:t>se</w:t>
      </w:r>
      <w:r w:rsidRPr="00AD7D22">
        <w:rPr>
          <w:rFonts w:ascii="Verdana" w:hAnsi="Verdana" w:cs="Arial"/>
          <w:spacing w:val="-6"/>
          <w:sz w:val="16"/>
          <w:szCs w:val="16"/>
        </w:rPr>
        <w:t xml:space="preserve"> </w:t>
      </w:r>
      <w:r w:rsidRPr="00AD7D22">
        <w:rPr>
          <w:rFonts w:ascii="Verdana" w:hAnsi="Verdana" w:cs="Arial"/>
          <w:sz w:val="16"/>
          <w:szCs w:val="16"/>
        </w:rPr>
        <w:t>le</w:t>
      </w:r>
      <w:r w:rsidRPr="00AD7D22">
        <w:rPr>
          <w:rFonts w:ascii="Verdana" w:hAnsi="Verdana" w:cs="Arial"/>
          <w:spacing w:val="-7"/>
          <w:sz w:val="16"/>
          <w:szCs w:val="16"/>
        </w:rPr>
        <w:t xml:space="preserve"> </w:t>
      </w:r>
      <w:r w:rsidRPr="00AD7D22">
        <w:rPr>
          <w:rFonts w:ascii="Verdana" w:hAnsi="Verdana" w:cs="Arial"/>
          <w:sz w:val="16"/>
          <w:szCs w:val="16"/>
        </w:rPr>
        <w:t>denomina</w:t>
      </w:r>
      <w:r w:rsidRPr="00AD7D22">
        <w:rPr>
          <w:rFonts w:ascii="Verdana" w:hAnsi="Verdana" w:cs="Arial"/>
          <w:spacing w:val="-6"/>
          <w:sz w:val="16"/>
          <w:szCs w:val="16"/>
        </w:rPr>
        <w:t xml:space="preserve"> </w:t>
      </w:r>
      <w:r w:rsidRPr="00AD7D22">
        <w:rPr>
          <w:rFonts w:ascii="Verdana" w:hAnsi="Verdana" w:cs="Arial"/>
          <w:sz w:val="16"/>
          <w:szCs w:val="16"/>
        </w:rPr>
        <w:t>la</w:t>
      </w:r>
      <w:r w:rsidRPr="00AD7D22">
        <w:rPr>
          <w:rFonts w:ascii="Verdana" w:hAnsi="Verdana" w:cs="Arial"/>
          <w:spacing w:val="-6"/>
          <w:sz w:val="16"/>
          <w:szCs w:val="16"/>
        </w:rPr>
        <w:t xml:space="preserve"> </w:t>
      </w:r>
      <w:r w:rsidRPr="00AD7D22">
        <w:rPr>
          <w:rFonts w:ascii="Verdana" w:hAnsi="Verdana" w:cs="Arial"/>
          <w:sz w:val="16"/>
          <w:szCs w:val="16"/>
        </w:rPr>
        <w:t>inderogabilidad</w:t>
      </w:r>
      <w:r w:rsidRPr="00AD7D22">
        <w:rPr>
          <w:rFonts w:ascii="Verdana" w:hAnsi="Verdana" w:cs="Arial"/>
          <w:spacing w:val="-6"/>
          <w:sz w:val="16"/>
          <w:szCs w:val="16"/>
        </w:rPr>
        <w:t xml:space="preserve"> </w:t>
      </w:r>
      <w:r w:rsidRPr="00AD7D22">
        <w:rPr>
          <w:rFonts w:ascii="Verdana" w:hAnsi="Verdana" w:cs="Arial"/>
          <w:sz w:val="16"/>
          <w:szCs w:val="16"/>
        </w:rPr>
        <w:t>singular</w:t>
      </w:r>
      <w:r w:rsidRPr="00AD7D22">
        <w:rPr>
          <w:rFonts w:ascii="Verdana" w:hAnsi="Verdana" w:cs="Arial"/>
          <w:spacing w:val="-6"/>
          <w:sz w:val="16"/>
          <w:szCs w:val="16"/>
        </w:rPr>
        <w:t xml:space="preserve"> </w:t>
      </w:r>
      <w:r w:rsidRPr="00AD7D22">
        <w:rPr>
          <w:rFonts w:ascii="Verdana" w:hAnsi="Verdana" w:cs="Arial"/>
          <w:sz w:val="16"/>
          <w:szCs w:val="16"/>
        </w:rPr>
        <w:t>del</w:t>
      </w:r>
      <w:r w:rsidRPr="00AD7D22">
        <w:rPr>
          <w:rFonts w:ascii="Verdana" w:hAnsi="Verdana" w:cs="Arial"/>
          <w:spacing w:val="1"/>
          <w:sz w:val="16"/>
          <w:szCs w:val="16"/>
        </w:rPr>
        <w:t xml:space="preserve"> </w:t>
      </w:r>
      <w:r w:rsidRPr="00AD7D22">
        <w:rPr>
          <w:rFonts w:ascii="Verdana" w:hAnsi="Verdana" w:cs="Arial"/>
          <w:sz w:val="16"/>
          <w:szCs w:val="16"/>
        </w:rPr>
        <w:t>reglamento,</w:t>
      </w:r>
      <w:r w:rsidRPr="00AD7D22">
        <w:rPr>
          <w:rFonts w:ascii="Verdana" w:hAnsi="Verdana" w:cs="Arial"/>
          <w:spacing w:val="-3"/>
          <w:sz w:val="16"/>
          <w:szCs w:val="16"/>
        </w:rPr>
        <w:t xml:space="preserve"> </w:t>
      </w:r>
      <w:r w:rsidRPr="00AD7D22">
        <w:rPr>
          <w:rFonts w:ascii="Verdana" w:hAnsi="Verdana" w:cs="Arial"/>
          <w:sz w:val="16"/>
          <w:szCs w:val="16"/>
        </w:rPr>
        <w:t>que</w:t>
      </w:r>
      <w:r w:rsidRPr="00AD7D22">
        <w:rPr>
          <w:rFonts w:ascii="Verdana" w:hAnsi="Verdana" w:cs="Arial"/>
          <w:spacing w:val="-2"/>
          <w:sz w:val="16"/>
          <w:szCs w:val="16"/>
        </w:rPr>
        <w:t xml:space="preserve"> </w:t>
      </w:r>
      <w:r w:rsidRPr="00AD7D22">
        <w:rPr>
          <w:rFonts w:ascii="Verdana" w:hAnsi="Verdana" w:cs="Arial"/>
          <w:sz w:val="16"/>
          <w:szCs w:val="16"/>
        </w:rPr>
        <w:t>no</w:t>
      </w:r>
      <w:r w:rsidRPr="00AD7D22">
        <w:rPr>
          <w:rFonts w:ascii="Verdana" w:hAnsi="Verdana" w:cs="Arial"/>
          <w:spacing w:val="-2"/>
          <w:sz w:val="16"/>
          <w:szCs w:val="16"/>
        </w:rPr>
        <w:t xml:space="preserve"> </w:t>
      </w:r>
      <w:r w:rsidRPr="00AD7D22">
        <w:rPr>
          <w:rFonts w:ascii="Verdana" w:hAnsi="Verdana" w:cs="Arial"/>
          <w:sz w:val="16"/>
          <w:szCs w:val="16"/>
        </w:rPr>
        <w:t>es</w:t>
      </w:r>
      <w:r w:rsidRPr="00AD7D22">
        <w:rPr>
          <w:rFonts w:ascii="Verdana" w:hAnsi="Verdana" w:cs="Arial"/>
          <w:spacing w:val="-2"/>
          <w:sz w:val="16"/>
          <w:szCs w:val="16"/>
        </w:rPr>
        <w:t xml:space="preserve"> </w:t>
      </w:r>
      <w:r w:rsidRPr="00AD7D22">
        <w:rPr>
          <w:rFonts w:ascii="Verdana" w:hAnsi="Verdana" w:cs="Arial"/>
          <w:sz w:val="16"/>
          <w:szCs w:val="16"/>
        </w:rPr>
        <w:t>otra</w:t>
      </w:r>
      <w:r w:rsidRPr="00AD7D22">
        <w:rPr>
          <w:rFonts w:ascii="Verdana" w:hAnsi="Verdana" w:cs="Arial"/>
          <w:spacing w:val="-2"/>
          <w:sz w:val="16"/>
          <w:szCs w:val="16"/>
        </w:rPr>
        <w:t xml:space="preserve"> </w:t>
      </w:r>
      <w:r w:rsidRPr="00AD7D22">
        <w:rPr>
          <w:rFonts w:ascii="Verdana" w:hAnsi="Verdana" w:cs="Arial"/>
          <w:sz w:val="16"/>
          <w:szCs w:val="16"/>
        </w:rPr>
        <w:t>cosa</w:t>
      </w:r>
      <w:r w:rsidRPr="00AD7D22">
        <w:rPr>
          <w:rFonts w:ascii="Verdana" w:hAnsi="Verdana" w:cs="Arial"/>
          <w:spacing w:val="-2"/>
          <w:sz w:val="16"/>
          <w:szCs w:val="16"/>
        </w:rPr>
        <w:t xml:space="preserve"> </w:t>
      </w:r>
      <w:r w:rsidRPr="00AD7D22">
        <w:rPr>
          <w:rFonts w:ascii="Verdana" w:hAnsi="Verdana" w:cs="Arial"/>
          <w:sz w:val="16"/>
          <w:szCs w:val="16"/>
        </w:rPr>
        <w:t>que</w:t>
      </w:r>
      <w:r w:rsidRPr="00AD7D22">
        <w:rPr>
          <w:rFonts w:ascii="Verdana" w:hAnsi="Verdana" w:cs="Arial"/>
          <w:spacing w:val="-2"/>
          <w:sz w:val="16"/>
          <w:szCs w:val="16"/>
        </w:rPr>
        <w:t xml:space="preserve"> </w:t>
      </w:r>
      <w:r w:rsidRPr="00AD7D22">
        <w:rPr>
          <w:rFonts w:ascii="Verdana" w:hAnsi="Verdana" w:cs="Arial"/>
          <w:sz w:val="16"/>
          <w:szCs w:val="16"/>
        </w:rPr>
        <w:t>la</w:t>
      </w:r>
      <w:r w:rsidRPr="00AD7D22">
        <w:rPr>
          <w:rFonts w:ascii="Verdana" w:hAnsi="Verdana" w:cs="Arial"/>
          <w:spacing w:val="-2"/>
          <w:sz w:val="16"/>
          <w:szCs w:val="16"/>
        </w:rPr>
        <w:t xml:space="preserve"> </w:t>
      </w:r>
      <w:r w:rsidRPr="00AD7D22">
        <w:rPr>
          <w:rFonts w:ascii="Verdana" w:hAnsi="Verdana" w:cs="Arial"/>
          <w:sz w:val="16"/>
          <w:szCs w:val="16"/>
        </w:rPr>
        <w:t>prohibición</w:t>
      </w:r>
      <w:r w:rsidRPr="00AD7D22">
        <w:rPr>
          <w:rFonts w:ascii="Verdana" w:hAnsi="Verdana" w:cs="Arial"/>
          <w:spacing w:val="-2"/>
          <w:sz w:val="16"/>
          <w:szCs w:val="16"/>
        </w:rPr>
        <w:t xml:space="preserve"> </w:t>
      </w:r>
      <w:r w:rsidRPr="00AD7D22">
        <w:rPr>
          <w:rFonts w:ascii="Verdana" w:hAnsi="Verdana" w:cs="Arial"/>
          <w:sz w:val="16"/>
          <w:szCs w:val="16"/>
        </w:rPr>
        <w:t>de</w:t>
      </w:r>
      <w:r w:rsidRPr="00AD7D22">
        <w:rPr>
          <w:rFonts w:ascii="Verdana" w:hAnsi="Verdana" w:cs="Arial"/>
          <w:spacing w:val="-2"/>
          <w:sz w:val="16"/>
          <w:szCs w:val="16"/>
        </w:rPr>
        <w:t xml:space="preserve"> </w:t>
      </w:r>
      <w:r w:rsidRPr="00AD7D22">
        <w:rPr>
          <w:rFonts w:ascii="Verdana" w:hAnsi="Verdana" w:cs="Arial"/>
          <w:sz w:val="16"/>
          <w:szCs w:val="16"/>
        </w:rPr>
        <w:t>insertarlo</w:t>
      </w:r>
      <w:r w:rsidRPr="00AD7D22">
        <w:rPr>
          <w:rFonts w:ascii="Verdana" w:hAnsi="Verdana" w:cs="Arial"/>
          <w:spacing w:val="-2"/>
          <w:sz w:val="16"/>
          <w:szCs w:val="16"/>
        </w:rPr>
        <w:t xml:space="preserve"> </w:t>
      </w:r>
      <w:r w:rsidRPr="00AD7D22">
        <w:rPr>
          <w:rFonts w:ascii="Verdana" w:hAnsi="Verdana" w:cs="Arial"/>
          <w:sz w:val="16"/>
          <w:szCs w:val="16"/>
        </w:rPr>
        <w:t>en</w:t>
      </w:r>
      <w:r w:rsidRPr="00AD7D22">
        <w:rPr>
          <w:rFonts w:ascii="Verdana" w:hAnsi="Verdana" w:cs="Arial"/>
          <w:spacing w:val="-3"/>
          <w:sz w:val="16"/>
          <w:szCs w:val="16"/>
        </w:rPr>
        <w:t xml:space="preserve"> </w:t>
      </w:r>
      <w:r w:rsidRPr="00AD7D22">
        <w:rPr>
          <w:rFonts w:ascii="Verdana" w:hAnsi="Verdana" w:cs="Arial"/>
          <w:sz w:val="16"/>
          <w:szCs w:val="16"/>
        </w:rPr>
        <w:t>un</w:t>
      </w:r>
      <w:r w:rsidRPr="00AD7D22">
        <w:rPr>
          <w:rFonts w:ascii="Verdana" w:hAnsi="Verdana" w:cs="Arial"/>
          <w:spacing w:val="-2"/>
          <w:sz w:val="16"/>
          <w:szCs w:val="16"/>
        </w:rPr>
        <w:t xml:space="preserve"> </w:t>
      </w:r>
      <w:r w:rsidRPr="00AD7D22">
        <w:rPr>
          <w:rFonts w:ascii="Verdana" w:hAnsi="Verdana" w:cs="Arial"/>
          <w:sz w:val="16"/>
          <w:szCs w:val="16"/>
        </w:rPr>
        <w:t>caso</w:t>
      </w:r>
      <w:r w:rsidRPr="00AD7D22">
        <w:rPr>
          <w:rFonts w:ascii="Verdana" w:hAnsi="Verdana" w:cs="Arial"/>
          <w:spacing w:val="-2"/>
          <w:sz w:val="16"/>
          <w:szCs w:val="16"/>
        </w:rPr>
        <w:t xml:space="preserve"> </w:t>
      </w:r>
      <w:r w:rsidRPr="00AD7D22">
        <w:rPr>
          <w:rFonts w:ascii="Verdana" w:hAnsi="Verdana" w:cs="Arial"/>
          <w:sz w:val="16"/>
          <w:szCs w:val="16"/>
        </w:rPr>
        <w:t>particular.</w:t>
      </w:r>
    </w:p>
    <w:p w14:paraId="15E9A45E" w14:textId="77777777" w:rsidR="00D97EF3" w:rsidRPr="00AD7D22" w:rsidRDefault="00D97EF3" w:rsidP="00D97EF3">
      <w:pPr>
        <w:spacing w:after="0" w:line="240" w:lineRule="auto"/>
        <w:ind w:firstLine="708"/>
        <w:jc w:val="both"/>
        <w:rPr>
          <w:rFonts w:ascii="Verdana" w:hAnsi="Verdana" w:cs="Arial"/>
          <w:sz w:val="16"/>
          <w:szCs w:val="16"/>
        </w:rPr>
      </w:pPr>
      <w:r w:rsidRPr="00AD7D22">
        <w:rPr>
          <w:rFonts w:ascii="Verdana" w:hAnsi="Verdana" w:cs="Arial"/>
          <w:sz w:val="16"/>
          <w:szCs w:val="16"/>
        </w:rPr>
        <w:t>Esta tesis –de absoluta razonabilidad–, protege tanto al ciudadano como al ordenamiento</w:t>
      </w:r>
      <w:r w:rsidRPr="00AD7D22">
        <w:rPr>
          <w:rFonts w:ascii="Verdana" w:hAnsi="Verdana" w:cs="Arial"/>
          <w:spacing w:val="1"/>
          <w:sz w:val="16"/>
          <w:szCs w:val="16"/>
        </w:rPr>
        <w:t xml:space="preserve"> </w:t>
      </w:r>
      <w:r w:rsidRPr="00AD7D22">
        <w:rPr>
          <w:rFonts w:ascii="Verdana" w:hAnsi="Verdana" w:cs="Arial"/>
          <w:sz w:val="16"/>
          <w:szCs w:val="16"/>
        </w:rPr>
        <w:t>jurídico en general, de la arbitrariedad de la administración, pues si se admitiera que pese a estar en</w:t>
      </w:r>
      <w:r w:rsidRPr="00AD7D22">
        <w:rPr>
          <w:rFonts w:ascii="Verdana" w:hAnsi="Verdana" w:cs="Arial"/>
          <w:spacing w:val="-50"/>
          <w:sz w:val="16"/>
          <w:szCs w:val="16"/>
        </w:rPr>
        <w:t xml:space="preserve"> </w:t>
      </w:r>
      <w:r w:rsidRPr="00AD7D22">
        <w:rPr>
          <w:rFonts w:ascii="Verdana" w:hAnsi="Verdana" w:cs="Arial"/>
          <w:sz w:val="16"/>
          <w:szCs w:val="16"/>
        </w:rPr>
        <w:t>vigencia</w:t>
      </w:r>
      <w:r w:rsidRPr="00AD7D22">
        <w:rPr>
          <w:rFonts w:ascii="Verdana" w:hAnsi="Verdana" w:cs="Arial"/>
          <w:spacing w:val="-10"/>
          <w:sz w:val="16"/>
          <w:szCs w:val="16"/>
        </w:rPr>
        <w:t xml:space="preserve"> </w:t>
      </w:r>
      <w:r w:rsidRPr="00AD7D22">
        <w:rPr>
          <w:rFonts w:ascii="Verdana" w:hAnsi="Verdana" w:cs="Arial"/>
          <w:sz w:val="16"/>
          <w:szCs w:val="16"/>
        </w:rPr>
        <w:t>un</w:t>
      </w:r>
      <w:r w:rsidRPr="00AD7D22">
        <w:rPr>
          <w:rFonts w:ascii="Verdana" w:hAnsi="Verdana" w:cs="Arial"/>
          <w:spacing w:val="-9"/>
          <w:sz w:val="16"/>
          <w:szCs w:val="16"/>
        </w:rPr>
        <w:t xml:space="preserve"> </w:t>
      </w:r>
      <w:r w:rsidRPr="00AD7D22">
        <w:rPr>
          <w:rFonts w:ascii="Verdana" w:hAnsi="Verdana" w:cs="Arial"/>
          <w:sz w:val="16"/>
          <w:szCs w:val="16"/>
        </w:rPr>
        <w:t>reglamento</w:t>
      </w:r>
      <w:r w:rsidRPr="00AD7D22">
        <w:rPr>
          <w:rFonts w:ascii="Verdana" w:hAnsi="Verdana" w:cs="Arial"/>
          <w:spacing w:val="-10"/>
          <w:sz w:val="16"/>
          <w:szCs w:val="16"/>
        </w:rPr>
        <w:t xml:space="preserve"> </w:t>
      </w:r>
      <w:r w:rsidRPr="00AD7D22">
        <w:rPr>
          <w:rFonts w:ascii="Verdana" w:hAnsi="Verdana" w:cs="Arial"/>
          <w:sz w:val="16"/>
          <w:szCs w:val="16"/>
        </w:rPr>
        <w:t>la</w:t>
      </w:r>
      <w:r w:rsidRPr="00AD7D22">
        <w:rPr>
          <w:rFonts w:ascii="Verdana" w:hAnsi="Verdana" w:cs="Arial"/>
          <w:spacing w:val="-9"/>
          <w:sz w:val="16"/>
          <w:szCs w:val="16"/>
        </w:rPr>
        <w:t xml:space="preserve"> </w:t>
      </w:r>
      <w:r w:rsidRPr="00AD7D22">
        <w:rPr>
          <w:rFonts w:ascii="Verdana" w:hAnsi="Verdana" w:cs="Arial"/>
          <w:sz w:val="16"/>
          <w:szCs w:val="16"/>
        </w:rPr>
        <w:t>propia</w:t>
      </w:r>
      <w:r w:rsidRPr="00AD7D22">
        <w:rPr>
          <w:rFonts w:ascii="Verdana" w:hAnsi="Verdana" w:cs="Arial"/>
          <w:spacing w:val="-10"/>
          <w:sz w:val="16"/>
          <w:szCs w:val="16"/>
        </w:rPr>
        <w:t xml:space="preserve"> </w:t>
      </w:r>
      <w:r w:rsidRPr="00AD7D22">
        <w:rPr>
          <w:rFonts w:ascii="Verdana" w:hAnsi="Verdana" w:cs="Arial"/>
          <w:sz w:val="16"/>
          <w:szCs w:val="16"/>
        </w:rPr>
        <w:t>administración</w:t>
      </w:r>
      <w:r w:rsidRPr="00AD7D22">
        <w:rPr>
          <w:rFonts w:ascii="Verdana" w:hAnsi="Verdana" w:cs="Arial"/>
          <w:spacing w:val="-9"/>
          <w:sz w:val="16"/>
          <w:szCs w:val="16"/>
        </w:rPr>
        <w:t xml:space="preserve"> </w:t>
      </w:r>
      <w:r w:rsidRPr="00AD7D22">
        <w:rPr>
          <w:rFonts w:ascii="Verdana" w:hAnsi="Verdana" w:cs="Arial"/>
          <w:sz w:val="16"/>
          <w:szCs w:val="16"/>
        </w:rPr>
        <w:t>que</w:t>
      </w:r>
      <w:r w:rsidRPr="00AD7D22">
        <w:rPr>
          <w:rFonts w:ascii="Verdana" w:hAnsi="Verdana" w:cs="Arial"/>
          <w:spacing w:val="-10"/>
          <w:sz w:val="16"/>
          <w:szCs w:val="16"/>
        </w:rPr>
        <w:t xml:space="preserve"> </w:t>
      </w:r>
      <w:r w:rsidRPr="00AD7D22">
        <w:rPr>
          <w:rFonts w:ascii="Verdana" w:hAnsi="Verdana" w:cs="Arial"/>
          <w:sz w:val="16"/>
          <w:szCs w:val="16"/>
        </w:rPr>
        <w:t>lo</w:t>
      </w:r>
      <w:r w:rsidRPr="00AD7D22">
        <w:rPr>
          <w:rFonts w:ascii="Verdana" w:hAnsi="Verdana" w:cs="Arial"/>
          <w:spacing w:val="-9"/>
          <w:sz w:val="16"/>
          <w:szCs w:val="16"/>
        </w:rPr>
        <w:t xml:space="preserve"> </w:t>
      </w:r>
      <w:r w:rsidRPr="00AD7D22">
        <w:rPr>
          <w:rFonts w:ascii="Verdana" w:hAnsi="Verdana" w:cs="Arial"/>
          <w:sz w:val="16"/>
          <w:szCs w:val="16"/>
        </w:rPr>
        <w:t>dictó</w:t>
      </w:r>
      <w:r w:rsidRPr="00AD7D22">
        <w:rPr>
          <w:rFonts w:ascii="Verdana" w:hAnsi="Verdana" w:cs="Arial"/>
          <w:spacing w:val="-10"/>
          <w:sz w:val="16"/>
          <w:szCs w:val="16"/>
        </w:rPr>
        <w:t xml:space="preserve"> </w:t>
      </w:r>
      <w:r w:rsidRPr="00AD7D22">
        <w:rPr>
          <w:rFonts w:ascii="Verdana" w:hAnsi="Verdana" w:cs="Arial"/>
          <w:sz w:val="16"/>
          <w:szCs w:val="16"/>
        </w:rPr>
        <w:t>lo</w:t>
      </w:r>
      <w:r w:rsidRPr="00AD7D22">
        <w:rPr>
          <w:rFonts w:ascii="Verdana" w:hAnsi="Verdana" w:cs="Arial"/>
          <w:spacing w:val="-9"/>
          <w:sz w:val="16"/>
          <w:szCs w:val="16"/>
        </w:rPr>
        <w:t xml:space="preserve"> </w:t>
      </w:r>
      <w:r w:rsidRPr="00AD7D22">
        <w:rPr>
          <w:rFonts w:ascii="Verdana" w:hAnsi="Verdana" w:cs="Arial"/>
          <w:sz w:val="16"/>
          <w:szCs w:val="16"/>
        </w:rPr>
        <w:t>pudiera</w:t>
      </w:r>
      <w:r w:rsidRPr="00AD7D22">
        <w:rPr>
          <w:rFonts w:ascii="Verdana" w:hAnsi="Verdana" w:cs="Arial"/>
          <w:spacing w:val="-10"/>
          <w:sz w:val="16"/>
          <w:szCs w:val="16"/>
        </w:rPr>
        <w:t xml:space="preserve"> </w:t>
      </w:r>
      <w:r w:rsidRPr="00AD7D22">
        <w:rPr>
          <w:rFonts w:ascii="Verdana" w:hAnsi="Verdana" w:cs="Arial"/>
          <w:sz w:val="16"/>
          <w:szCs w:val="16"/>
        </w:rPr>
        <w:t>inaplicar,</w:t>
      </w:r>
      <w:r w:rsidRPr="00AD7D22">
        <w:rPr>
          <w:rFonts w:ascii="Verdana" w:hAnsi="Verdana" w:cs="Arial"/>
          <w:spacing w:val="-9"/>
          <w:sz w:val="16"/>
          <w:szCs w:val="16"/>
        </w:rPr>
        <w:t xml:space="preserve"> </w:t>
      </w:r>
      <w:r w:rsidRPr="00AD7D22">
        <w:rPr>
          <w:rFonts w:ascii="Verdana" w:hAnsi="Verdana" w:cs="Arial"/>
          <w:sz w:val="16"/>
          <w:szCs w:val="16"/>
        </w:rPr>
        <w:t>aduciendo</w:t>
      </w:r>
      <w:r w:rsidRPr="00AD7D22">
        <w:rPr>
          <w:rFonts w:ascii="Verdana" w:hAnsi="Verdana" w:cs="Arial"/>
          <w:spacing w:val="-10"/>
          <w:sz w:val="16"/>
          <w:szCs w:val="16"/>
        </w:rPr>
        <w:t xml:space="preserve"> </w:t>
      </w:r>
      <w:r w:rsidRPr="00AD7D22">
        <w:rPr>
          <w:rFonts w:ascii="Verdana" w:hAnsi="Verdana" w:cs="Arial"/>
          <w:sz w:val="16"/>
          <w:szCs w:val="16"/>
        </w:rPr>
        <w:t>que</w:t>
      </w:r>
      <w:r w:rsidRPr="00AD7D22">
        <w:rPr>
          <w:rFonts w:ascii="Verdana" w:hAnsi="Verdana" w:cs="Arial"/>
          <w:spacing w:val="-9"/>
          <w:sz w:val="16"/>
          <w:szCs w:val="16"/>
        </w:rPr>
        <w:t xml:space="preserve"> </w:t>
      </w:r>
      <w:r w:rsidRPr="00AD7D22">
        <w:rPr>
          <w:rFonts w:ascii="Verdana" w:hAnsi="Verdana" w:cs="Arial"/>
          <w:sz w:val="16"/>
          <w:szCs w:val="16"/>
        </w:rPr>
        <w:t>si</w:t>
      </w:r>
      <w:r w:rsidRPr="00AD7D22">
        <w:rPr>
          <w:rFonts w:ascii="Verdana" w:hAnsi="Verdana" w:cs="Arial"/>
          <w:spacing w:val="-10"/>
          <w:sz w:val="16"/>
          <w:szCs w:val="16"/>
        </w:rPr>
        <w:t xml:space="preserve"> </w:t>
      </w:r>
      <w:r w:rsidRPr="00AD7D22">
        <w:rPr>
          <w:rFonts w:ascii="Verdana" w:hAnsi="Verdana" w:cs="Arial"/>
          <w:sz w:val="16"/>
          <w:szCs w:val="16"/>
        </w:rPr>
        <w:t>ella</w:t>
      </w:r>
      <w:r w:rsidRPr="00AD7D22">
        <w:rPr>
          <w:rFonts w:ascii="Verdana" w:hAnsi="Verdana" w:cs="Arial"/>
          <w:spacing w:val="1"/>
          <w:sz w:val="16"/>
          <w:szCs w:val="16"/>
        </w:rPr>
        <w:t xml:space="preserve"> </w:t>
      </w:r>
      <w:r w:rsidRPr="00AD7D22">
        <w:rPr>
          <w:rFonts w:ascii="Verdana" w:hAnsi="Verdana" w:cs="Arial"/>
          <w:sz w:val="16"/>
          <w:szCs w:val="16"/>
        </w:rPr>
        <w:t>lo</w:t>
      </w:r>
      <w:r w:rsidRPr="00AD7D22">
        <w:rPr>
          <w:rFonts w:ascii="Verdana" w:hAnsi="Verdana" w:cs="Arial"/>
          <w:spacing w:val="-13"/>
          <w:sz w:val="16"/>
          <w:szCs w:val="16"/>
        </w:rPr>
        <w:t xml:space="preserve"> </w:t>
      </w:r>
      <w:r w:rsidRPr="00AD7D22">
        <w:rPr>
          <w:rFonts w:ascii="Verdana" w:hAnsi="Verdana" w:cs="Arial"/>
          <w:sz w:val="16"/>
          <w:szCs w:val="16"/>
        </w:rPr>
        <w:t>produjo</w:t>
      </w:r>
      <w:r w:rsidRPr="00AD7D22">
        <w:rPr>
          <w:rFonts w:ascii="Verdana" w:hAnsi="Verdana" w:cs="Arial"/>
          <w:spacing w:val="-12"/>
          <w:sz w:val="16"/>
          <w:szCs w:val="16"/>
        </w:rPr>
        <w:t xml:space="preserve"> </w:t>
      </w:r>
      <w:r w:rsidRPr="00AD7D22">
        <w:rPr>
          <w:rFonts w:ascii="Verdana" w:hAnsi="Verdana" w:cs="Arial"/>
          <w:sz w:val="16"/>
          <w:szCs w:val="16"/>
        </w:rPr>
        <w:t>entonces</w:t>
      </w:r>
      <w:r w:rsidRPr="00AD7D22">
        <w:rPr>
          <w:rFonts w:ascii="Verdana" w:hAnsi="Verdana" w:cs="Arial"/>
          <w:spacing w:val="-12"/>
          <w:sz w:val="16"/>
          <w:szCs w:val="16"/>
        </w:rPr>
        <w:t xml:space="preserve"> </w:t>
      </w:r>
      <w:r w:rsidRPr="00AD7D22">
        <w:rPr>
          <w:rFonts w:ascii="Verdana" w:hAnsi="Verdana" w:cs="Arial"/>
          <w:sz w:val="16"/>
          <w:szCs w:val="16"/>
        </w:rPr>
        <w:t>cuenta</w:t>
      </w:r>
      <w:r w:rsidRPr="00AD7D22">
        <w:rPr>
          <w:rFonts w:ascii="Verdana" w:hAnsi="Verdana" w:cs="Arial"/>
          <w:spacing w:val="-12"/>
          <w:sz w:val="16"/>
          <w:szCs w:val="16"/>
        </w:rPr>
        <w:t xml:space="preserve"> </w:t>
      </w:r>
      <w:r w:rsidRPr="00AD7D22">
        <w:rPr>
          <w:rFonts w:ascii="Verdana" w:hAnsi="Verdana" w:cs="Arial"/>
          <w:sz w:val="16"/>
          <w:szCs w:val="16"/>
        </w:rPr>
        <w:t>con</w:t>
      </w:r>
      <w:r w:rsidRPr="00AD7D22">
        <w:rPr>
          <w:rFonts w:ascii="Verdana" w:hAnsi="Verdana" w:cs="Arial"/>
          <w:spacing w:val="-12"/>
          <w:sz w:val="16"/>
          <w:szCs w:val="16"/>
        </w:rPr>
        <w:t xml:space="preserve"> </w:t>
      </w:r>
      <w:r w:rsidRPr="00AD7D22">
        <w:rPr>
          <w:rFonts w:ascii="Verdana" w:hAnsi="Verdana" w:cs="Arial"/>
          <w:sz w:val="16"/>
          <w:szCs w:val="16"/>
        </w:rPr>
        <w:t>la</w:t>
      </w:r>
      <w:r w:rsidRPr="00AD7D22">
        <w:rPr>
          <w:rFonts w:ascii="Verdana" w:hAnsi="Verdana" w:cs="Arial"/>
          <w:spacing w:val="-12"/>
          <w:sz w:val="16"/>
          <w:szCs w:val="16"/>
        </w:rPr>
        <w:t xml:space="preserve"> </w:t>
      </w:r>
      <w:r w:rsidRPr="00AD7D22">
        <w:rPr>
          <w:rFonts w:ascii="Verdana" w:hAnsi="Verdana" w:cs="Arial"/>
          <w:sz w:val="16"/>
          <w:szCs w:val="16"/>
        </w:rPr>
        <w:t>autoridad</w:t>
      </w:r>
      <w:r w:rsidRPr="00AD7D22">
        <w:rPr>
          <w:rFonts w:ascii="Verdana" w:hAnsi="Verdana" w:cs="Arial"/>
          <w:spacing w:val="-12"/>
          <w:sz w:val="16"/>
          <w:szCs w:val="16"/>
        </w:rPr>
        <w:t xml:space="preserve"> </w:t>
      </w:r>
      <w:r w:rsidRPr="00AD7D22">
        <w:rPr>
          <w:rFonts w:ascii="Verdana" w:hAnsi="Verdana" w:cs="Arial"/>
          <w:sz w:val="16"/>
          <w:szCs w:val="16"/>
        </w:rPr>
        <w:t>para</w:t>
      </w:r>
      <w:r w:rsidRPr="00AD7D22">
        <w:rPr>
          <w:rFonts w:ascii="Verdana" w:hAnsi="Verdana" w:cs="Arial"/>
          <w:spacing w:val="-12"/>
          <w:sz w:val="16"/>
          <w:szCs w:val="16"/>
        </w:rPr>
        <w:t xml:space="preserve"> </w:t>
      </w:r>
      <w:r w:rsidRPr="00AD7D22">
        <w:rPr>
          <w:rFonts w:ascii="Verdana" w:hAnsi="Verdana" w:cs="Arial"/>
          <w:sz w:val="16"/>
          <w:szCs w:val="16"/>
        </w:rPr>
        <w:t>desconocerlo,</w:t>
      </w:r>
      <w:r w:rsidRPr="00AD7D22">
        <w:rPr>
          <w:rFonts w:ascii="Verdana" w:hAnsi="Verdana" w:cs="Arial"/>
          <w:spacing w:val="-12"/>
          <w:sz w:val="16"/>
          <w:szCs w:val="16"/>
        </w:rPr>
        <w:t xml:space="preserve"> </w:t>
      </w:r>
      <w:r w:rsidRPr="00AD7D22">
        <w:rPr>
          <w:rFonts w:ascii="Verdana" w:hAnsi="Verdana" w:cs="Arial"/>
          <w:sz w:val="16"/>
          <w:szCs w:val="16"/>
        </w:rPr>
        <w:t>los</w:t>
      </w:r>
      <w:r w:rsidRPr="00AD7D22">
        <w:rPr>
          <w:rFonts w:ascii="Verdana" w:hAnsi="Verdana" w:cs="Arial"/>
          <w:spacing w:val="-12"/>
          <w:sz w:val="16"/>
          <w:szCs w:val="16"/>
        </w:rPr>
        <w:t xml:space="preserve"> </w:t>
      </w:r>
      <w:r w:rsidRPr="00AD7D22">
        <w:rPr>
          <w:rFonts w:ascii="Verdana" w:hAnsi="Verdana" w:cs="Arial"/>
          <w:sz w:val="16"/>
          <w:szCs w:val="16"/>
        </w:rPr>
        <w:t>abusos</w:t>
      </w:r>
      <w:r w:rsidRPr="00AD7D22">
        <w:rPr>
          <w:rFonts w:ascii="Verdana" w:hAnsi="Verdana" w:cs="Arial"/>
          <w:spacing w:val="-12"/>
          <w:sz w:val="16"/>
          <w:szCs w:val="16"/>
        </w:rPr>
        <w:t xml:space="preserve"> </w:t>
      </w:r>
      <w:r w:rsidRPr="00AD7D22">
        <w:rPr>
          <w:rFonts w:ascii="Verdana" w:hAnsi="Verdana" w:cs="Arial"/>
          <w:sz w:val="16"/>
          <w:szCs w:val="16"/>
        </w:rPr>
        <w:t>y</w:t>
      </w:r>
      <w:r w:rsidRPr="00AD7D22">
        <w:rPr>
          <w:rFonts w:ascii="Verdana" w:hAnsi="Verdana" w:cs="Arial"/>
          <w:spacing w:val="-12"/>
          <w:sz w:val="16"/>
          <w:szCs w:val="16"/>
        </w:rPr>
        <w:t xml:space="preserve"> </w:t>
      </w:r>
      <w:r w:rsidRPr="00AD7D22">
        <w:rPr>
          <w:rFonts w:ascii="Verdana" w:hAnsi="Verdana" w:cs="Arial"/>
          <w:sz w:val="16"/>
          <w:szCs w:val="16"/>
        </w:rPr>
        <w:t>la</w:t>
      </w:r>
      <w:r w:rsidRPr="00AD7D22">
        <w:rPr>
          <w:rFonts w:ascii="Verdana" w:hAnsi="Verdana" w:cs="Arial"/>
          <w:spacing w:val="-12"/>
          <w:sz w:val="16"/>
          <w:szCs w:val="16"/>
        </w:rPr>
        <w:t xml:space="preserve"> </w:t>
      </w:r>
      <w:r w:rsidRPr="00AD7D22">
        <w:rPr>
          <w:rFonts w:ascii="Verdana" w:hAnsi="Verdana" w:cs="Arial"/>
          <w:sz w:val="16"/>
          <w:szCs w:val="16"/>
        </w:rPr>
        <w:t>violación</w:t>
      </w:r>
      <w:r w:rsidRPr="00AD7D22">
        <w:rPr>
          <w:rFonts w:ascii="Verdana" w:hAnsi="Verdana" w:cs="Arial"/>
          <w:spacing w:val="-12"/>
          <w:sz w:val="16"/>
          <w:szCs w:val="16"/>
        </w:rPr>
        <w:t xml:space="preserve"> </w:t>
      </w:r>
      <w:r w:rsidRPr="00AD7D22">
        <w:rPr>
          <w:rFonts w:ascii="Verdana" w:hAnsi="Verdana" w:cs="Arial"/>
          <w:sz w:val="16"/>
          <w:szCs w:val="16"/>
        </w:rPr>
        <w:t>a</w:t>
      </w:r>
      <w:r w:rsidRPr="00AD7D22">
        <w:rPr>
          <w:rFonts w:ascii="Verdana" w:hAnsi="Verdana" w:cs="Arial"/>
          <w:spacing w:val="-12"/>
          <w:sz w:val="16"/>
          <w:szCs w:val="16"/>
        </w:rPr>
        <w:t xml:space="preserve"> </w:t>
      </w:r>
      <w:r w:rsidRPr="00AD7D22">
        <w:rPr>
          <w:rFonts w:ascii="Verdana" w:hAnsi="Verdana" w:cs="Arial"/>
          <w:sz w:val="16"/>
          <w:szCs w:val="16"/>
        </w:rPr>
        <w:t>sus</w:t>
      </w:r>
      <w:r w:rsidRPr="00AD7D22">
        <w:rPr>
          <w:rFonts w:ascii="Verdana" w:hAnsi="Verdana" w:cs="Arial"/>
          <w:spacing w:val="-12"/>
          <w:sz w:val="16"/>
          <w:szCs w:val="16"/>
        </w:rPr>
        <w:t xml:space="preserve"> </w:t>
      </w:r>
      <w:r w:rsidRPr="00AD7D22">
        <w:rPr>
          <w:rFonts w:ascii="Verdana" w:hAnsi="Verdana" w:cs="Arial"/>
          <w:sz w:val="16"/>
          <w:szCs w:val="16"/>
        </w:rPr>
        <w:t>propias</w:t>
      </w:r>
      <w:r w:rsidRPr="00AD7D22">
        <w:rPr>
          <w:rFonts w:ascii="Verdana" w:hAnsi="Verdana" w:cs="Arial"/>
          <w:spacing w:val="1"/>
          <w:sz w:val="16"/>
          <w:szCs w:val="16"/>
        </w:rPr>
        <w:t xml:space="preserve"> </w:t>
      </w:r>
      <w:r w:rsidRPr="00AD7D22">
        <w:rPr>
          <w:rFonts w:ascii="Verdana" w:hAnsi="Verdana" w:cs="Arial"/>
          <w:sz w:val="16"/>
          <w:szCs w:val="16"/>
        </w:rPr>
        <w:t>reglas propiciaría el atropello y la corrupción”. (MARÍN CORTÉS, Fabián G. El reglamento como</w:t>
      </w:r>
      <w:r w:rsidRPr="00AD7D22">
        <w:rPr>
          <w:rFonts w:ascii="Verdana" w:hAnsi="Verdana" w:cs="Arial"/>
          <w:spacing w:val="1"/>
          <w:sz w:val="16"/>
          <w:szCs w:val="16"/>
        </w:rPr>
        <w:t xml:space="preserve"> </w:t>
      </w:r>
      <w:r w:rsidRPr="00AD7D22">
        <w:rPr>
          <w:rFonts w:ascii="Verdana" w:hAnsi="Verdana" w:cs="Arial"/>
          <w:sz w:val="16"/>
          <w:szCs w:val="16"/>
        </w:rPr>
        <w:t>fuente</w:t>
      </w:r>
      <w:r w:rsidRPr="00AD7D22">
        <w:rPr>
          <w:rFonts w:ascii="Verdana" w:hAnsi="Verdana" w:cs="Arial"/>
          <w:spacing w:val="-12"/>
          <w:sz w:val="16"/>
          <w:szCs w:val="16"/>
        </w:rPr>
        <w:t xml:space="preserve"> </w:t>
      </w:r>
      <w:r w:rsidRPr="00AD7D22">
        <w:rPr>
          <w:rFonts w:ascii="Verdana" w:hAnsi="Verdana" w:cs="Arial"/>
          <w:sz w:val="16"/>
          <w:szCs w:val="16"/>
        </w:rPr>
        <w:t>del</w:t>
      </w:r>
      <w:r w:rsidRPr="00AD7D22">
        <w:rPr>
          <w:rFonts w:ascii="Verdana" w:hAnsi="Verdana" w:cs="Arial"/>
          <w:spacing w:val="-12"/>
          <w:sz w:val="16"/>
          <w:szCs w:val="16"/>
        </w:rPr>
        <w:t xml:space="preserve"> </w:t>
      </w:r>
      <w:r w:rsidRPr="00AD7D22">
        <w:rPr>
          <w:rFonts w:ascii="Verdana" w:hAnsi="Verdana" w:cs="Arial"/>
          <w:sz w:val="16"/>
          <w:szCs w:val="16"/>
        </w:rPr>
        <w:t>derecho</w:t>
      </w:r>
      <w:r w:rsidRPr="00AD7D22">
        <w:rPr>
          <w:rFonts w:ascii="Verdana" w:hAnsi="Verdana" w:cs="Arial"/>
          <w:spacing w:val="-12"/>
          <w:sz w:val="16"/>
          <w:szCs w:val="16"/>
        </w:rPr>
        <w:t xml:space="preserve"> </w:t>
      </w:r>
      <w:r w:rsidRPr="00AD7D22">
        <w:rPr>
          <w:rFonts w:ascii="Verdana" w:hAnsi="Verdana" w:cs="Arial"/>
          <w:sz w:val="16"/>
          <w:szCs w:val="16"/>
        </w:rPr>
        <w:t>administrativo.</w:t>
      </w:r>
      <w:r w:rsidRPr="00AD7D22">
        <w:rPr>
          <w:rFonts w:ascii="Verdana" w:hAnsi="Verdana" w:cs="Arial"/>
          <w:spacing w:val="-11"/>
          <w:sz w:val="16"/>
          <w:szCs w:val="16"/>
        </w:rPr>
        <w:t xml:space="preserve"> </w:t>
      </w:r>
      <w:r w:rsidRPr="00AD7D22">
        <w:rPr>
          <w:rFonts w:ascii="Verdana" w:hAnsi="Verdana" w:cs="Arial"/>
          <w:sz w:val="16"/>
          <w:szCs w:val="16"/>
        </w:rPr>
        <w:t>En:</w:t>
      </w:r>
      <w:r w:rsidRPr="00AD7D22">
        <w:rPr>
          <w:rFonts w:ascii="Verdana" w:hAnsi="Verdana" w:cs="Arial"/>
          <w:spacing w:val="-12"/>
          <w:sz w:val="16"/>
          <w:szCs w:val="16"/>
        </w:rPr>
        <w:t xml:space="preserve"> </w:t>
      </w:r>
      <w:r w:rsidRPr="00AD7D22">
        <w:rPr>
          <w:rFonts w:ascii="Verdana" w:hAnsi="Verdana" w:cs="Arial"/>
          <w:sz w:val="16"/>
          <w:szCs w:val="16"/>
        </w:rPr>
        <w:t>Las</w:t>
      </w:r>
      <w:r w:rsidRPr="00AD7D22">
        <w:rPr>
          <w:rFonts w:ascii="Verdana" w:hAnsi="Verdana" w:cs="Arial"/>
          <w:spacing w:val="-12"/>
          <w:sz w:val="16"/>
          <w:szCs w:val="16"/>
        </w:rPr>
        <w:t xml:space="preserve"> </w:t>
      </w:r>
      <w:r w:rsidRPr="00AD7D22">
        <w:rPr>
          <w:rFonts w:ascii="Verdana" w:hAnsi="Verdana" w:cs="Arial"/>
          <w:sz w:val="16"/>
          <w:szCs w:val="16"/>
        </w:rPr>
        <w:t>fuentes</w:t>
      </w:r>
      <w:r w:rsidRPr="00AD7D22">
        <w:rPr>
          <w:rFonts w:ascii="Verdana" w:hAnsi="Verdana" w:cs="Arial"/>
          <w:spacing w:val="-11"/>
          <w:sz w:val="16"/>
          <w:szCs w:val="16"/>
        </w:rPr>
        <w:t xml:space="preserve"> </w:t>
      </w:r>
      <w:r w:rsidRPr="00AD7D22">
        <w:rPr>
          <w:rFonts w:ascii="Verdana" w:hAnsi="Verdana" w:cs="Arial"/>
          <w:sz w:val="16"/>
          <w:szCs w:val="16"/>
        </w:rPr>
        <w:t>del</w:t>
      </w:r>
      <w:r w:rsidRPr="00AD7D22">
        <w:rPr>
          <w:rFonts w:ascii="Verdana" w:hAnsi="Verdana" w:cs="Arial"/>
          <w:spacing w:val="-12"/>
          <w:sz w:val="16"/>
          <w:szCs w:val="16"/>
        </w:rPr>
        <w:t xml:space="preserve"> </w:t>
      </w:r>
      <w:r w:rsidRPr="00AD7D22">
        <w:rPr>
          <w:rFonts w:ascii="Verdana" w:hAnsi="Verdana" w:cs="Arial"/>
          <w:sz w:val="16"/>
          <w:szCs w:val="16"/>
        </w:rPr>
        <w:t>derecho</w:t>
      </w:r>
      <w:r w:rsidRPr="00AD7D22">
        <w:rPr>
          <w:rFonts w:ascii="Verdana" w:hAnsi="Verdana" w:cs="Arial"/>
          <w:spacing w:val="-12"/>
          <w:sz w:val="16"/>
          <w:szCs w:val="16"/>
        </w:rPr>
        <w:t xml:space="preserve"> </w:t>
      </w:r>
      <w:r w:rsidRPr="00AD7D22">
        <w:rPr>
          <w:rFonts w:ascii="Verdana" w:hAnsi="Verdana" w:cs="Arial"/>
          <w:sz w:val="16"/>
          <w:szCs w:val="16"/>
        </w:rPr>
        <w:t>administrativo.</w:t>
      </w:r>
      <w:r w:rsidRPr="00AD7D22">
        <w:rPr>
          <w:rFonts w:ascii="Verdana" w:hAnsi="Verdana" w:cs="Arial"/>
          <w:spacing w:val="-12"/>
          <w:sz w:val="16"/>
          <w:szCs w:val="16"/>
        </w:rPr>
        <w:t xml:space="preserve"> </w:t>
      </w:r>
      <w:r w:rsidRPr="00AD7D22">
        <w:rPr>
          <w:rFonts w:ascii="Verdana" w:hAnsi="Verdana" w:cs="Arial"/>
          <w:sz w:val="16"/>
          <w:szCs w:val="16"/>
        </w:rPr>
        <w:t>Texto</w:t>
      </w:r>
      <w:r w:rsidRPr="00AD7D22">
        <w:rPr>
          <w:rFonts w:ascii="Verdana" w:hAnsi="Verdana" w:cs="Arial"/>
          <w:spacing w:val="-11"/>
          <w:sz w:val="16"/>
          <w:szCs w:val="16"/>
        </w:rPr>
        <w:t xml:space="preserve"> </w:t>
      </w:r>
      <w:r w:rsidRPr="00AD7D22">
        <w:rPr>
          <w:rFonts w:ascii="Verdana" w:hAnsi="Verdana" w:cs="Arial"/>
          <w:sz w:val="16"/>
          <w:szCs w:val="16"/>
        </w:rPr>
        <w:t>inédito.</w:t>
      </w:r>
      <w:r w:rsidRPr="00AD7D22">
        <w:rPr>
          <w:rFonts w:ascii="Verdana" w:hAnsi="Verdana" w:cs="Arial"/>
          <w:spacing w:val="-12"/>
          <w:sz w:val="16"/>
          <w:szCs w:val="16"/>
        </w:rPr>
        <w:t xml:space="preserve"> </w:t>
      </w:r>
      <w:r w:rsidRPr="00AD7D22">
        <w:rPr>
          <w:rFonts w:ascii="Verdana" w:hAnsi="Verdana" w:cs="Arial"/>
          <w:sz w:val="16"/>
          <w:szCs w:val="16"/>
        </w:rPr>
        <w:t>2010.</w:t>
      </w:r>
      <w:r w:rsidRPr="00AD7D22">
        <w:rPr>
          <w:rFonts w:ascii="Verdana" w:hAnsi="Verdana" w:cs="Arial"/>
          <w:spacing w:val="-12"/>
          <w:sz w:val="16"/>
          <w:szCs w:val="16"/>
        </w:rPr>
        <w:t xml:space="preserve"> </w:t>
      </w:r>
      <w:r w:rsidRPr="00AD7D22">
        <w:rPr>
          <w:rFonts w:ascii="Verdana" w:hAnsi="Verdana" w:cs="Arial"/>
          <w:sz w:val="16"/>
          <w:szCs w:val="16"/>
        </w:rPr>
        <w:t>pp.</w:t>
      </w:r>
      <w:r w:rsidRPr="00AD7D22">
        <w:rPr>
          <w:rFonts w:ascii="Verdana" w:hAnsi="Verdana" w:cs="Arial"/>
          <w:spacing w:val="1"/>
          <w:sz w:val="16"/>
          <w:szCs w:val="16"/>
        </w:rPr>
        <w:t xml:space="preserve"> </w:t>
      </w:r>
      <w:r w:rsidRPr="00AD7D22">
        <w:rPr>
          <w:rFonts w:ascii="Verdana" w:hAnsi="Verdana" w:cs="Arial"/>
          <w:sz w:val="16"/>
          <w:szCs w:val="16"/>
        </w:rPr>
        <w:t>200-201).</w:t>
      </w:r>
    </w:p>
    <w:p w14:paraId="3F535C20" w14:textId="77777777" w:rsidR="00D97EF3" w:rsidRPr="00AD7D22" w:rsidRDefault="00D97EF3" w:rsidP="00D97EF3">
      <w:pPr>
        <w:spacing w:after="0" w:line="240" w:lineRule="auto"/>
        <w:ind w:firstLine="708"/>
        <w:jc w:val="both"/>
        <w:rPr>
          <w:rFonts w:ascii="Verdana" w:hAnsi="Verdana" w:cs="Arial"/>
          <w:sz w:val="16"/>
          <w:szCs w:val="16"/>
        </w:rPr>
      </w:pPr>
    </w:p>
  </w:footnote>
  <w:footnote w:id="9">
    <w:p w14:paraId="7C021761" w14:textId="77777777" w:rsidR="00D97EF3" w:rsidRPr="00AD7D22" w:rsidRDefault="00D97EF3" w:rsidP="00D97EF3">
      <w:pPr>
        <w:pStyle w:val="Textonotapie"/>
        <w:ind w:firstLine="708"/>
        <w:jc w:val="both"/>
        <w:rPr>
          <w:rFonts w:ascii="Verdana" w:hAnsi="Verdana" w:cs="Arial"/>
          <w:sz w:val="16"/>
          <w:szCs w:val="16"/>
        </w:rPr>
      </w:pPr>
      <w:r w:rsidRPr="00AD7D22">
        <w:rPr>
          <w:rStyle w:val="Refdenotaalpie"/>
          <w:rFonts w:ascii="Verdana" w:hAnsi="Verdana" w:cs="Arial"/>
          <w:sz w:val="16"/>
          <w:szCs w:val="16"/>
        </w:rPr>
        <w:footnoteRef/>
      </w:r>
      <w:r w:rsidRPr="00AD7D22">
        <w:rPr>
          <w:rFonts w:ascii="Verdana" w:hAnsi="Verdana" w:cs="Arial"/>
          <w:sz w:val="16"/>
          <w:szCs w:val="16"/>
        </w:rPr>
        <w:t xml:space="preserve"> Ibíd. </w:t>
      </w:r>
    </w:p>
    <w:p w14:paraId="7747E9AF" w14:textId="77777777" w:rsidR="00D97EF3" w:rsidRPr="00AD7D22" w:rsidRDefault="00D97EF3" w:rsidP="00D97EF3">
      <w:pPr>
        <w:pStyle w:val="Textonotapie"/>
        <w:ind w:firstLine="708"/>
        <w:jc w:val="both"/>
        <w:rPr>
          <w:rFonts w:ascii="Verdana" w:hAnsi="Verdana" w:cs="Arial"/>
          <w:sz w:val="16"/>
          <w:szCs w:val="16"/>
        </w:rPr>
      </w:pPr>
    </w:p>
  </w:footnote>
  <w:footnote w:id="10">
    <w:p w14:paraId="1CDCCBBF" w14:textId="77777777" w:rsidR="00D97EF3" w:rsidRDefault="00D97EF3" w:rsidP="00D97EF3">
      <w:pPr>
        <w:pStyle w:val="Textonotapie"/>
        <w:ind w:firstLine="708"/>
        <w:jc w:val="both"/>
        <w:rPr>
          <w:rFonts w:ascii="Verdana" w:hAnsi="Verdana" w:cs="Arial"/>
          <w:sz w:val="16"/>
          <w:szCs w:val="16"/>
        </w:rPr>
      </w:pPr>
      <w:r>
        <w:rPr>
          <w:rStyle w:val="Refdenotaalpie"/>
          <w:rFonts w:ascii="Verdana" w:hAnsi="Verdana"/>
          <w:sz w:val="16"/>
          <w:szCs w:val="16"/>
        </w:rPr>
        <w:footnoteRef/>
      </w:r>
      <w:r>
        <w:rPr>
          <w:rFonts w:ascii="Verdana" w:hAnsi="Verdana" w:cs="Arial"/>
          <w:sz w:val="16"/>
          <w:szCs w:val="16"/>
        </w:rPr>
        <w:t xml:space="preserve"> Estas reglas están contenidas en el Capítulo IX del Tratado de Libre Comercio entre Colombia y Estados Unidos, el cual dispone en el numerales 3 al 7 del artículo 9.6. con respecto a las especificaciones técnicas: </w:t>
      </w:r>
    </w:p>
    <w:p w14:paraId="5D812AE3" w14:textId="77777777" w:rsidR="00D97EF3" w:rsidRDefault="00D97EF3" w:rsidP="00D97EF3">
      <w:pPr>
        <w:pStyle w:val="Textonotapie"/>
        <w:ind w:firstLine="708"/>
        <w:jc w:val="both"/>
        <w:rPr>
          <w:rFonts w:ascii="Verdana" w:hAnsi="Verdana" w:cs="Arial"/>
          <w:sz w:val="16"/>
          <w:szCs w:val="16"/>
        </w:rPr>
      </w:pPr>
      <w:r>
        <w:rPr>
          <w:rFonts w:ascii="Verdana" w:eastAsia="Calibri" w:hAnsi="Verdana" w:cs="Arial"/>
          <w:sz w:val="16"/>
          <w:szCs w:val="16"/>
          <w:lang w:val="es-ES"/>
        </w:rPr>
        <w:t>“</w:t>
      </w:r>
      <w:r>
        <w:rPr>
          <w:rStyle w:val="nfasis"/>
          <w:rFonts w:ascii="Verdana" w:hAnsi="Verdana" w:cs="Arial"/>
          <w:sz w:val="16"/>
          <w:szCs w:val="16"/>
        </w:rPr>
        <w:t>Especificaciones Técnicas</w:t>
      </w:r>
    </w:p>
    <w:p w14:paraId="3F5731C3" w14:textId="77777777" w:rsidR="00D97EF3" w:rsidRDefault="00D97EF3" w:rsidP="00D97EF3">
      <w:pPr>
        <w:pStyle w:val="NormalWeb"/>
        <w:shd w:val="clear" w:color="auto" w:fill="FFFFFF"/>
        <w:spacing w:before="0" w:beforeAutospacing="0" w:after="0" w:afterAutospacing="0"/>
        <w:ind w:firstLine="708"/>
        <w:jc w:val="both"/>
        <w:rPr>
          <w:rFonts w:ascii="Verdana" w:hAnsi="Verdana" w:cs="Arial"/>
          <w:sz w:val="16"/>
          <w:szCs w:val="16"/>
        </w:rPr>
      </w:pPr>
      <w:r>
        <w:rPr>
          <w:rFonts w:ascii="Verdana" w:hAnsi="Verdana" w:cs="Arial"/>
          <w:sz w:val="16"/>
          <w:szCs w:val="16"/>
        </w:rPr>
        <w:t>3. Una entidad contratante no preparará, adoptará ni aplicará ninguna especificación técnica ni exigirá ningún procedimiento de evaluación de conformidad que tenga como propósito o efecto crear obstáculos innecesarios al comercio entre las Partes.</w:t>
      </w:r>
    </w:p>
    <w:p w14:paraId="0F1CE3E1" w14:textId="77777777" w:rsidR="00D97EF3" w:rsidRDefault="00D97EF3" w:rsidP="00D97EF3">
      <w:pPr>
        <w:pStyle w:val="NormalWeb"/>
        <w:shd w:val="clear" w:color="auto" w:fill="FFFFFF"/>
        <w:spacing w:before="0" w:beforeAutospacing="0" w:after="0" w:afterAutospacing="0"/>
        <w:ind w:firstLine="708"/>
        <w:jc w:val="both"/>
        <w:rPr>
          <w:rFonts w:ascii="Verdana" w:hAnsi="Verdana" w:cs="Arial"/>
          <w:sz w:val="16"/>
          <w:szCs w:val="16"/>
        </w:rPr>
      </w:pPr>
      <w:r>
        <w:rPr>
          <w:rFonts w:ascii="Verdana" w:hAnsi="Verdana" w:cs="Arial"/>
          <w:sz w:val="16"/>
          <w:szCs w:val="16"/>
        </w:rPr>
        <w:t>4 Al establecer cualquier especificación técnica para una mercancía o servicio a ser contratado, la entidad contratante deberá:</w:t>
      </w:r>
    </w:p>
    <w:p w14:paraId="625EE0A4" w14:textId="77777777" w:rsidR="00D97EF3" w:rsidRDefault="00D97EF3" w:rsidP="00D97EF3">
      <w:pPr>
        <w:pStyle w:val="NormalWeb"/>
        <w:shd w:val="clear" w:color="auto" w:fill="FFFFFF"/>
        <w:spacing w:before="0" w:beforeAutospacing="0" w:after="0" w:afterAutospacing="0"/>
        <w:ind w:firstLine="708"/>
        <w:jc w:val="both"/>
        <w:rPr>
          <w:rFonts w:ascii="Verdana" w:hAnsi="Verdana" w:cs="Arial"/>
          <w:sz w:val="16"/>
          <w:szCs w:val="16"/>
        </w:rPr>
      </w:pPr>
      <w:r>
        <w:rPr>
          <w:rFonts w:ascii="Verdana" w:hAnsi="Verdana" w:cs="Arial"/>
          <w:sz w:val="16"/>
          <w:szCs w:val="16"/>
        </w:rPr>
        <w:t>(a) precisar la especificación técnica, de ser apropiado, en términos de desempeño y requisitos funcionales, más que en términos de características de diseño o descriptivas; y</w:t>
      </w:r>
    </w:p>
    <w:p w14:paraId="6CDCCC5E" w14:textId="77777777" w:rsidR="00D97EF3" w:rsidRDefault="00D97EF3" w:rsidP="00D97EF3">
      <w:pPr>
        <w:pStyle w:val="NormalWeb"/>
        <w:shd w:val="clear" w:color="auto" w:fill="FFFFFF"/>
        <w:spacing w:before="0" w:beforeAutospacing="0" w:after="0" w:afterAutospacing="0"/>
        <w:ind w:firstLine="708"/>
        <w:jc w:val="both"/>
        <w:rPr>
          <w:rFonts w:ascii="Verdana" w:hAnsi="Verdana" w:cs="Arial"/>
          <w:sz w:val="16"/>
          <w:szCs w:val="16"/>
        </w:rPr>
      </w:pPr>
      <w:r>
        <w:rPr>
          <w:rFonts w:ascii="Verdana" w:hAnsi="Verdana" w:cs="Arial"/>
          <w:sz w:val="16"/>
          <w:szCs w:val="16"/>
        </w:rPr>
        <w:t>(b) basar la especificación técnica en estándares internacionales, cuando existan y sean aplicables a la entidad contratante, salvo que la utilización de un estándar internacional no satisfaga los requerimientos del programa de la entidad o imponga una carga mayor que el empleo de un estándar nacional reconocido.</w:t>
      </w:r>
    </w:p>
    <w:p w14:paraId="6D99155A" w14:textId="77777777" w:rsidR="00D97EF3" w:rsidRDefault="00D97EF3" w:rsidP="00D97EF3">
      <w:pPr>
        <w:pStyle w:val="NormalWeb"/>
        <w:shd w:val="clear" w:color="auto" w:fill="FFFFFF"/>
        <w:spacing w:before="0" w:beforeAutospacing="0" w:after="0" w:afterAutospacing="0"/>
        <w:ind w:firstLine="708"/>
        <w:jc w:val="both"/>
        <w:rPr>
          <w:rFonts w:ascii="Verdana" w:hAnsi="Verdana" w:cs="Arial"/>
          <w:sz w:val="16"/>
          <w:szCs w:val="16"/>
        </w:rPr>
      </w:pPr>
      <w:r>
        <w:rPr>
          <w:rFonts w:ascii="Verdana" w:hAnsi="Verdana" w:cs="Arial"/>
          <w:sz w:val="16"/>
          <w:szCs w:val="16"/>
        </w:rPr>
        <w:t>5. Una entidad contratante no establecerá ninguna especificación técnica que requiera o haga referencia a una determinada marca o nombre comercial, patente, derecho de autor, diseño o tipo, origen específico, productor o proveedor, salvo que no exista otra manera suficientemente precisa o comprensible de describir los requisitos de la contratación pública y siempre que, en tales casos, se incluya también en los documentos de contratación expresiones tales como "o equivalente".</w:t>
      </w:r>
    </w:p>
    <w:p w14:paraId="24D50A6B" w14:textId="77777777" w:rsidR="00D97EF3" w:rsidRDefault="00D97EF3" w:rsidP="00D97EF3">
      <w:pPr>
        <w:pStyle w:val="NormalWeb"/>
        <w:shd w:val="clear" w:color="auto" w:fill="FFFFFF"/>
        <w:spacing w:before="0" w:beforeAutospacing="0" w:after="0" w:afterAutospacing="0"/>
        <w:ind w:firstLine="708"/>
        <w:jc w:val="both"/>
        <w:rPr>
          <w:rFonts w:ascii="Verdana" w:hAnsi="Verdana" w:cs="Arial"/>
          <w:sz w:val="16"/>
          <w:szCs w:val="16"/>
        </w:rPr>
      </w:pPr>
      <w:r>
        <w:rPr>
          <w:rFonts w:ascii="Verdana" w:hAnsi="Verdana" w:cs="Arial"/>
          <w:sz w:val="16"/>
          <w:szCs w:val="16"/>
        </w:rPr>
        <w:t>6. Una entidad contratante no solicitará ni aceptará, de manera que pueda tener por efecto impedir la competencia, asesoramiento que pudiera utilizarse para preparar o adoptar cualquier especificación técnica para una contratación pública específica proveniente de cualquier persona que pueda tener interés comercial en esa contratación pública.</w:t>
      </w:r>
    </w:p>
  </w:footnote>
  <w:footnote w:id="11">
    <w:p w14:paraId="1BFD73EE" w14:textId="77777777" w:rsidR="00D97EF3" w:rsidRDefault="00D97EF3" w:rsidP="00D97EF3">
      <w:pPr>
        <w:pStyle w:val="Textonotapie"/>
        <w:ind w:firstLine="708"/>
        <w:jc w:val="both"/>
        <w:rPr>
          <w:rFonts w:ascii="Verdana" w:hAnsi="Verdana" w:cs="Arial"/>
          <w:sz w:val="16"/>
          <w:szCs w:val="16"/>
          <w:lang w:val="es-CO"/>
        </w:rPr>
      </w:pPr>
      <w:r>
        <w:rPr>
          <w:rStyle w:val="Refdenotaalpie"/>
          <w:rFonts w:ascii="Verdana" w:hAnsi="Verdana"/>
          <w:sz w:val="16"/>
          <w:szCs w:val="16"/>
        </w:rPr>
        <w:footnoteRef/>
      </w:r>
      <w:r>
        <w:rPr>
          <w:rFonts w:ascii="Verdana" w:hAnsi="Verdana" w:cs="Arial"/>
          <w:sz w:val="16"/>
          <w:szCs w:val="16"/>
        </w:rPr>
        <w:t xml:space="preserve"> En los tratados de Libre Comercio con AELC, Unión Europea, entre otros se establece la restricción para la exigencia de marcas en los procesos de contratación pública.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7FE1230C" w14:textId="77E53D9F" w:rsidR="004A305D" w:rsidRPr="00DC39FC" w:rsidRDefault="004A305D" w:rsidP="004A305D">
    <w:pPr>
      <w:spacing w:after="0"/>
      <w:rPr>
        <w:rFonts w:ascii="Verdana" w:hAnsi="Verdana"/>
        <w:b/>
        <w:bCs/>
      </w:rPr>
    </w:pPr>
    <w:r w:rsidRPr="00DC39FC">
      <w:rPr>
        <w:rFonts w:ascii="Verdana" w:hAnsi="Verdana"/>
        <w:b/>
        <w:bCs/>
      </w:rPr>
      <w:t>FORMATO PQRSD</w:t>
    </w: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0.65pt;height:10.65pt" o:bullet="t">
        <v:imagedata r:id="rId1" o:title="mso1B13"/>
      </v:shape>
    </w:pict>
  </w:numPicBullet>
  <w:abstractNum w:abstractNumId="0" w15:restartNumberingAfterBreak="0">
    <w:nsid w:val="01C06310"/>
    <w:multiLevelType w:val="multilevel"/>
    <w:tmpl w:val="47FE4C7E"/>
    <w:lvl w:ilvl="0">
      <w:start w:val="1"/>
      <w:numFmt w:val="upperRoman"/>
      <w:lvlText w:val="%1."/>
      <w:lvlJc w:val="right"/>
      <w:pPr>
        <w:ind w:left="1068" w:hanging="360"/>
      </w:pPr>
      <w:rPr>
        <w:b/>
        <w:color w:val="000000" w:themeColor="text1"/>
      </w:rPr>
    </w:lvl>
    <w:lvl w:ilvl="1">
      <w:start w:val="2"/>
      <w:numFmt w:val="decimal"/>
      <w:isLgl/>
      <w:lvlText w:val="%1.%2"/>
      <w:lvlJc w:val="left"/>
      <w:pPr>
        <w:ind w:left="708" w:hanging="360"/>
      </w:pPr>
    </w:lvl>
    <w:lvl w:ilvl="2">
      <w:start w:val="1"/>
      <w:numFmt w:val="decimal"/>
      <w:isLgl/>
      <w:lvlText w:val="%1.%2.%3"/>
      <w:lvlJc w:val="left"/>
      <w:pPr>
        <w:ind w:left="1428" w:hanging="720"/>
      </w:pPr>
    </w:lvl>
    <w:lvl w:ilvl="3">
      <w:start w:val="1"/>
      <w:numFmt w:val="decimal"/>
      <w:isLgl/>
      <w:lvlText w:val="%1.%2.%3.%4"/>
      <w:lvlJc w:val="left"/>
      <w:pPr>
        <w:ind w:left="1428" w:hanging="720"/>
      </w:pPr>
    </w:lvl>
    <w:lvl w:ilvl="4">
      <w:start w:val="1"/>
      <w:numFmt w:val="decimal"/>
      <w:isLgl/>
      <w:lvlText w:val="%1.%2.%3.%4.%5"/>
      <w:lvlJc w:val="left"/>
      <w:pPr>
        <w:ind w:left="1788" w:hanging="1080"/>
      </w:pPr>
    </w:lvl>
    <w:lvl w:ilvl="5">
      <w:start w:val="1"/>
      <w:numFmt w:val="decimal"/>
      <w:isLgl/>
      <w:lvlText w:val="%1.%2.%3.%4.%5.%6"/>
      <w:lvlJc w:val="left"/>
      <w:pPr>
        <w:ind w:left="1788" w:hanging="1080"/>
      </w:pPr>
    </w:lvl>
    <w:lvl w:ilvl="6">
      <w:start w:val="1"/>
      <w:numFmt w:val="decimal"/>
      <w:isLgl/>
      <w:lvlText w:val="%1.%2.%3.%4.%5.%6.%7"/>
      <w:lvlJc w:val="left"/>
      <w:pPr>
        <w:ind w:left="2148" w:hanging="1440"/>
      </w:pPr>
    </w:lvl>
    <w:lvl w:ilvl="7">
      <w:start w:val="1"/>
      <w:numFmt w:val="decimal"/>
      <w:isLgl/>
      <w:lvlText w:val="%1.%2.%3.%4.%5.%6.%7.%8"/>
      <w:lvlJc w:val="left"/>
      <w:pPr>
        <w:ind w:left="2148" w:hanging="1440"/>
      </w:pPr>
    </w:lvl>
    <w:lvl w:ilvl="8">
      <w:start w:val="1"/>
      <w:numFmt w:val="decimal"/>
      <w:isLgl/>
      <w:lvlText w:val="%1.%2.%3.%4.%5.%6.%7.%8.%9"/>
      <w:lvlJc w:val="left"/>
      <w:pPr>
        <w:ind w:left="2508"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0"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1"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6"/>
  </w:num>
  <w:num w:numId="2" w16cid:durableId="19822139">
    <w:abstractNumId w:val="2"/>
  </w:num>
  <w:num w:numId="3" w16cid:durableId="876742304">
    <w:abstractNumId w:val="4"/>
  </w:num>
  <w:num w:numId="4" w16cid:durableId="24518640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3"/>
  </w:num>
  <w:num w:numId="7" w16cid:durableId="1946422806">
    <w:abstractNumId w:val="5"/>
  </w:num>
  <w:num w:numId="8" w16cid:durableId="152644682">
    <w:abstractNumId w:val="12"/>
  </w:num>
  <w:num w:numId="9" w16cid:durableId="1317221377">
    <w:abstractNumId w:val="7"/>
  </w:num>
  <w:num w:numId="10" w16cid:durableId="1471245386">
    <w:abstractNumId w:val="11"/>
  </w:num>
  <w:num w:numId="11" w16cid:durableId="289172385">
    <w:abstractNumId w:val="8"/>
  </w:num>
  <w:num w:numId="12" w16cid:durableId="1470781324">
    <w:abstractNumId w:val="1"/>
  </w:num>
  <w:num w:numId="13" w16cid:durableId="1512908409">
    <w:abstractNumId w:val="3"/>
  </w:num>
  <w:num w:numId="14" w16cid:durableId="895897244">
    <w:abstractNumId w:val="14"/>
  </w:num>
  <w:num w:numId="15" w16cid:durableId="390349800">
    <w:abstractNumId w:val="10"/>
  </w:num>
  <w:num w:numId="16" w16cid:durableId="1330140246">
    <w:abstractNumId w:val="0"/>
  </w:num>
  <w:num w:numId="17" w16cid:durableId="67908957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hdrShapeDefaults>
    <o:shapedefaults v:ext="edit" spidmax="3073"/>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04F8E"/>
    <w:rsid w:val="000073EF"/>
    <w:rsid w:val="00012297"/>
    <w:rsid w:val="00016A14"/>
    <w:rsid w:val="00016F78"/>
    <w:rsid w:val="00024942"/>
    <w:rsid w:val="00046945"/>
    <w:rsid w:val="00061B2A"/>
    <w:rsid w:val="0006468E"/>
    <w:rsid w:val="00082362"/>
    <w:rsid w:val="000861AC"/>
    <w:rsid w:val="000A466B"/>
    <w:rsid w:val="000A683E"/>
    <w:rsid w:val="000B19B9"/>
    <w:rsid w:val="000D0334"/>
    <w:rsid w:val="000E7068"/>
    <w:rsid w:val="000F59CB"/>
    <w:rsid w:val="000F62DA"/>
    <w:rsid w:val="000F6486"/>
    <w:rsid w:val="00106319"/>
    <w:rsid w:val="00110326"/>
    <w:rsid w:val="00125105"/>
    <w:rsid w:val="00127233"/>
    <w:rsid w:val="001431BA"/>
    <w:rsid w:val="00154158"/>
    <w:rsid w:val="001C1366"/>
    <w:rsid w:val="001C6DE9"/>
    <w:rsid w:val="001E4177"/>
    <w:rsid w:val="001F7DC6"/>
    <w:rsid w:val="002421BB"/>
    <w:rsid w:val="0025796E"/>
    <w:rsid w:val="002707A2"/>
    <w:rsid w:val="00272EFA"/>
    <w:rsid w:val="00287E28"/>
    <w:rsid w:val="002951A0"/>
    <w:rsid w:val="002952EA"/>
    <w:rsid w:val="002962BC"/>
    <w:rsid w:val="002A093D"/>
    <w:rsid w:val="002A0DD0"/>
    <w:rsid w:val="002A49AC"/>
    <w:rsid w:val="002A64FD"/>
    <w:rsid w:val="002C7A84"/>
    <w:rsid w:val="002D1B44"/>
    <w:rsid w:val="002E4FD9"/>
    <w:rsid w:val="002E673B"/>
    <w:rsid w:val="002E78B1"/>
    <w:rsid w:val="002F04BE"/>
    <w:rsid w:val="002F566B"/>
    <w:rsid w:val="003005D1"/>
    <w:rsid w:val="0032092F"/>
    <w:rsid w:val="00322A85"/>
    <w:rsid w:val="00324168"/>
    <w:rsid w:val="003448F4"/>
    <w:rsid w:val="003675F3"/>
    <w:rsid w:val="00374F5E"/>
    <w:rsid w:val="00377E3E"/>
    <w:rsid w:val="003A779E"/>
    <w:rsid w:val="003C4685"/>
    <w:rsid w:val="003D0F4D"/>
    <w:rsid w:val="003D5B0D"/>
    <w:rsid w:val="003E0499"/>
    <w:rsid w:val="003E5212"/>
    <w:rsid w:val="003E55FF"/>
    <w:rsid w:val="003F3941"/>
    <w:rsid w:val="0040386C"/>
    <w:rsid w:val="00405EE4"/>
    <w:rsid w:val="00406575"/>
    <w:rsid w:val="00414C74"/>
    <w:rsid w:val="0042722E"/>
    <w:rsid w:val="00431C19"/>
    <w:rsid w:val="0044528D"/>
    <w:rsid w:val="0044733C"/>
    <w:rsid w:val="004757AF"/>
    <w:rsid w:val="004A1847"/>
    <w:rsid w:val="004A305D"/>
    <w:rsid w:val="004D500A"/>
    <w:rsid w:val="004F21C4"/>
    <w:rsid w:val="004F685F"/>
    <w:rsid w:val="004F7347"/>
    <w:rsid w:val="00530AC2"/>
    <w:rsid w:val="00531711"/>
    <w:rsid w:val="00545F29"/>
    <w:rsid w:val="005563DD"/>
    <w:rsid w:val="005566E8"/>
    <w:rsid w:val="00561E87"/>
    <w:rsid w:val="00574867"/>
    <w:rsid w:val="00591460"/>
    <w:rsid w:val="005C3777"/>
    <w:rsid w:val="005C5CDC"/>
    <w:rsid w:val="005D476C"/>
    <w:rsid w:val="005E5877"/>
    <w:rsid w:val="006219F8"/>
    <w:rsid w:val="00622B6D"/>
    <w:rsid w:val="006302F7"/>
    <w:rsid w:val="0063406F"/>
    <w:rsid w:val="00665D70"/>
    <w:rsid w:val="00667952"/>
    <w:rsid w:val="006900D9"/>
    <w:rsid w:val="006A760C"/>
    <w:rsid w:val="00705101"/>
    <w:rsid w:val="00706C16"/>
    <w:rsid w:val="007138A2"/>
    <w:rsid w:val="00733A90"/>
    <w:rsid w:val="007369CA"/>
    <w:rsid w:val="00756841"/>
    <w:rsid w:val="007649AB"/>
    <w:rsid w:val="00771D0C"/>
    <w:rsid w:val="007833AC"/>
    <w:rsid w:val="00790AE5"/>
    <w:rsid w:val="00793F7B"/>
    <w:rsid w:val="007B1695"/>
    <w:rsid w:val="007B268C"/>
    <w:rsid w:val="007B7171"/>
    <w:rsid w:val="007C0C0F"/>
    <w:rsid w:val="007C3DC2"/>
    <w:rsid w:val="007C79D9"/>
    <w:rsid w:val="007E5497"/>
    <w:rsid w:val="007F7C8E"/>
    <w:rsid w:val="00806F5F"/>
    <w:rsid w:val="00820278"/>
    <w:rsid w:val="00852173"/>
    <w:rsid w:val="008642BC"/>
    <w:rsid w:val="00867F95"/>
    <w:rsid w:val="00882D7C"/>
    <w:rsid w:val="008843B6"/>
    <w:rsid w:val="00891928"/>
    <w:rsid w:val="00897A3A"/>
    <w:rsid w:val="008A446D"/>
    <w:rsid w:val="008A56F8"/>
    <w:rsid w:val="008B2EA6"/>
    <w:rsid w:val="008D180B"/>
    <w:rsid w:val="008E17E5"/>
    <w:rsid w:val="008F0EA7"/>
    <w:rsid w:val="00906A97"/>
    <w:rsid w:val="00923EEF"/>
    <w:rsid w:val="009415E7"/>
    <w:rsid w:val="009419F9"/>
    <w:rsid w:val="0095479D"/>
    <w:rsid w:val="0095685E"/>
    <w:rsid w:val="00961B09"/>
    <w:rsid w:val="00962D87"/>
    <w:rsid w:val="00965334"/>
    <w:rsid w:val="0097093E"/>
    <w:rsid w:val="0097568B"/>
    <w:rsid w:val="009A0DFA"/>
    <w:rsid w:val="009B25A8"/>
    <w:rsid w:val="009B2D26"/>
    <w:rsid w:val="009B7F46"/>
    <w:rsid w:val="009C0757"/>
    <w:rsid w:val="009C71FA"/>
    <w:rsid w:val="009C72E7"/>
    <w:rsid w:val="009D3058"/>
    <w:rsid w:val="009F3A13"/>
    <w:rsid w:val="00A122D3"/>
    <w:rsid w:val="00A17F13"/>
    <w:rsid w:val="00A20739"/>
    <w:rsid w:val="00A33C78"/>
    <w:rsid w:val="00A37E1D"/>
    <w:rsid w:val="00A476FF"/>
    <w:rsid w:val="00A5203D"/>
    <w:rsid w:val="00A53477"/>
    <w:rsid w:val="00A736AF"/>
    <w:rsid w:val="00A7736C"/>
    <w:rsid w:val="00A81E66"/>
    <w:rsid w:val="00A8325B"/>
    <w:rsid w:val="00A852A6"/>
    <w:rsid w:val="00AA66B2"/>
    <w:rsid w:val="00AB0ADB"/>
    <w:rsid w:val="00B00C0E"/>
    <w:rsid w:val="00B01B1A"/>
    <w:rsid w:val="00B064A8"/>
    <w:rsid w:val="00B2349F"/>
    <w:rsid w:val="00B3532F"/>
    <w:rsid w:val="00B44A47"/>
    <w:rsid w:val="00B455E6"/>
    <w:rsid w:val="00B72CD3"/>
    <w:rsid w:val="00B72FFF"/>
    <w:rsid w:val="00B8260D"/>
    <w:rsid w:val="00BC3D36"/>
    <w:rsid w:val="00BC654B"/>
    <w:rsid w:val="00BD5F71"/>
    <w:rsid w:val="00BD7F72"/>
    <w:rsid w:val="00BE7AD5"/>
    <w:rsid w:val="00C04FB3"/>
    <w:rsid w:val="00C200CA"/>
    <w:rsid w:val="00C262D5"/>
    <w:rsid w:val="00C330EB"/>
    <w:rsid w:val="00C754BE"/>
    <w:rsid w:val="00C76B1C"/>
    <w:rsid w:val="00C847FE"/>
    <w:rsid w:val="00C90BAD"/>
    <w:rsid w:val="00C93F8F"/>
    <w:rsid w:val="00CB6357"/>
    <w:rsid w:val="00CB6638"/>
    <w:rsid w:val="00CC1B26"/>
    <w:rsid w:val="00CC51D5"/>
    <w:rsid w:val="00CD5606"/>
    <w:rsid w:val="00CF78D5"/>
    <w:rsid w:val="00D01713"/>
    <w:rsid w:val="00D35D66"/>
    <w:rsid w:val="00D423A2"/>
    <w:rsid w:val="00D50F54"/>
    <w:rsid w:val="00D520D8"/>
    <w:rsid w:val="00D5224A"/>
    <w:rsid w:val="00D63AC2"/>
    <w:rsid w:val="00D6740F"/>
    <w:rsid w:val="00D7383B"/>
    <w:rsid w:val="00D97EF3"/>
    <w:rsid w:val="00DA231B"/>
    <w:rsid w:val="00DC39FC"/>
    <w:rsid w:val="00DF5254"/>
    <w:rsid w:val="00E014DE"/>
    <w:rsid w:val="00E16408"/>
    <w:rsid w:val="00E20894"/>
    <w:rsid w:val="00E245AB"/>
    <w:rsid w:val="00E2764C"/>
    <w:rsid w:val="00E27F2E"/>
    <w:rsid w:val="00E37A29"/>
    <w:rsid w:val="00E50AFE"/>
    <w:rsid w:val="00E724E5"/>
    <w:rsid w:val="00E75C92"/>
    <w:rsid w:val="00E771DC"/>
    <w:rsid w:val="00E8772A"/>
    <w:rsid w:val="00E90F6B"/>
    <w:rsid w:val="00E92C27"/>
    <w:rsid w:val="00EA0E3D"/>
    <w:rsid w:val="00EB72E9"/>
    <w:rsid w:val="00EC38A7"/>
    <w:rsid w:val="00EE1AA8"/>
    <w:rsid w:val="00F109CF"/>
    <w:rsid w:val="00F23276"/>
    <w:rsid w:val="00F24FDE"/>
    <w:rsid w:val="00F262D3"/>
    <w:rsid w:val="00F27CF8"/>
    <w:rsid w:val="00F31EDC"/>
    <w:rsid w:val="00F462B3"/>
    <w:rsid w:val="00F505B0"/>
    <w:rsid w:val="00F5664F"/>
    <w:rsid w:val="00F666C4"/>
    <w:rsid w:val="00F76AFC"/>
    <w:rsid w:val="00F923E5"/>
    <w:rsid w:val="00FA47C0"/>
    <w:rsid w:val="00FB1317"/>
    <w:rsid w:val="00FB5DD1"/>
    <w:rsid w:val="00FC2B5D"/>
    <w:rsid w:val="00FF1449"/>
    <w:rsid w:val="1EEC3F27"/>
    <w:rsid w:val="3239A092"/>
    <w:rsid w:val="56EA2E15"/>
    <w:rsid w:val="76058E84"/>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3073"/>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F262D3"/>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F262D3"/>
    <w:rPr>
      <w:rFonts w:ascii="Geomanist Light" w:hAnsi="Geomanist Light"/>
      <w:lang w:val="es-ES"/>
    </w:rPr>
  </w:style>
  <w:style w:type="paragraph" w:styleId="Sinespaciado">
    <w:name w:val="No Spacing"/>
    <w:aliases w:val="No Indent"/>
    <w:uiPriority w:val="3"/>
    <w:qFormat/>
    <w:rsid w:val="00F262D3"/>
    <w:pPr>
      <w:spacing w:after="0" w:line="240" w:lineRule="auto"/>
    </w:pPr>
    <w:rPr>
      <w:sz w:val="24"/>
      <w:lang w:val="es-MX"/>
    </w:rPr>
  </w:style>
  <w:style w:type="character" w:customStyle="1" w:styleId="baj">
    <w:name w:val="b_aj"/>
    <w:basedOn w:val="Fuentedeprrafopredeter"/>
    <w:rsid w:val="0040386C"/>
  </w:style>
  <w:style w:type="character" w:styleId="nfasis">
    <w:name w:val="Emphasis"/>
    <w:basedOn w:val="Fuentedeprrafopredeter"/>
    <w:uiPriority w:val="20"/>
    <w:qFormat/>
    <w:rsid w:val="00024942"/>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about:blank"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about:blank"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judicante.contratos@electrohuila.co" TargetMode="External"/><Relationship Id="rId5" Type="http://schemas.openxmlformats.org/officeDocument/2006/relationships/styles" Target="styles.xml"/><Relationship Id="rId15" Type="http://schemas.openxmlformats.org/officeDocument/2006/relationships/image" Target="media/image3.png"/><Relationship Id="rId10" Type="http://schemas.openxmlformats.org/officeDocument/2006/relationships/image" Target="media/image2.emf"/><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relatoria.colombiacompra.gov.co/busqueda/conceptos"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about:blank" TargetMode="External"/><Relationship Id="rId2" Type="http://schemas.openxmlformats.org/officeDocument/2006/relationships/hyperlink" Target="about:blank" TargetMode="External"/><Relationship Id="rId1" Type="http://schemas.openxmlformats.org/officeDocument/2006/relationships/hyperlink" Target="about:blank" TargetMode="External"/><Relationship Id="rId5" Type="http://schemas.openxmlformats.org/officeDocument/2006/relationships/hyperlink" Target="about:blank" TargetMode="External"/><Relationship Id="rId4" Type="http://schemas.openxmlformats.org/officeDocument/2006/relationships/hyperlink" Target="about:blank"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e12b00258f526aca9cff1c58808bc7a0">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b730abbc8c4891a3f3c16b4680e1768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63618BE-28CB-4D69-955E-CDA788483BED}">
  <ds:schemaRefs>
    <ds:schemaRef ds:uri="http://schemas.microsoft.com/office/infopath/2007/PartnerControls"/>
    <ds:schemaRef ds:uri="http://purl.org/dc/dcmitype/"/>
    <ds:schemaRef ds:uri="a6cb9e4b-f1d1-4245-83ec-6cad768d538a"/>
    <ds:schemaRef ds:uri="http://purl.org/dc/elements/1.1/"/>
    <ds:schemaRef ds:uri="http://schemas.microsoft.com/office/2006/metadata/properties"/>
    <ds:schemaRef ds:uri="9d85dbaf-23eb-4e57-a637-93dcacc8b1a1"/>
    <ds:schemaRef ds:uri="http://schemas.microsoft.com/office/2006/documentManagement/types"/>
    <ds:schemaRef ds:uri="http://purl.org/dc/terms/"/>
    <ds:schemaRef ds:uri="http://schemas.openxmlformats.org/package/2006/metadata/core-properties"/>
    <ds:schemaRef ds:uri="http://www.w3.org/XML/1998/namespace"/>
  </ds:schemaRefs>
</ds:datastoreItem>
</file>

<file path=customXml/itemProps2.xml><?xml version="1.0" encoding="utf-8"?>
<ds:datastoreItem xmlns:ds="http://schemas.openxmlformats.org/officeDocument/2006/customXml" ds:itemID="{46447E00-4800-4484-8E37-C55ED1BCCD0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9B0637E-D058-473B-8FE7-AA861F69C797}">
  <ds:schemaRefs>
    <ds:schemaRef ds:uri="http://schemas.microsoft.com/sharepoint/v3/contenttype/forms"/>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Template>
  <TotalTime>5</TotalTime>
  <Pages>14</Pages>
  <Words>4226</Words>
  <Characters>23415</Characters>
  <Application>Microsoft Office Word</Application>
  <DocSecurity>0</DocSecurity>
  <Lines>487</Lines>
  <Paragraphs>90</Paragraphs>
  <ScaleCrop>false</ScaleCrop>
  <Company/>
  <LinksUpToDate>false</LinksUpToDate>
  <CharactersWithSpaces>27551</CharactersWithSpaces>
  <SharedDoc>false</SharedDoc>
  <HLinks>
    <vt:vector size="54" baseType="variant">
      <vt:variant>
        <vt:i4>7471218</vt:i4>
      </vt:variant>
      <vt:variant>
        <vt:i4>9</vt:i4>
      </vt:variant>
      <vt:variant>
        <vt:i4>0</vt:i4>
      </vt:variant>
      <vt:variant>
        <vt:i4>5</vt:i4>
      </vt:variant>
      <vt:variant>
        <vt:lpwstr>https://relatoria.colombiacompra.gov.co/busqueda/conceptos</vt:lpwstr>
      </vt:variant>
      <vt:variant>
        <vt:lpwstr/>
      </vt:variant>
      <vt:variant>
        <vt:i4>1638475</vt:i4>
      </vt:variant>
      <vt:variant>
        <vt:i4>6</vt:i4>
      </vt:variant>
      <vt:variant>
        <vt:i4>0</vt:i4>
      </vt:variant>
      <vt:variant>
        <vt:i4>5</vt:i4>
      </vt:variant>
      <vt:variant>
        <vt:lpwstr>about:blank</vt:lpwstr>
      </vt:variant>
      <vt:variant>
        <vt:lpwstr>267</vt:lpwstr>
      </vt:variant>
      <vt:variant>
        <vt:i4>2031691</vt:i4>
      </vt:variant>
      <vt:variant>
        <vt:i4>3</vt:i4>
      </vt:variant>
      <vt:variant>
        <vt:i4>0</vt:i4>
      </vt:variant>
      <vt:variant>
        <vt:i4>5</vt:i4>
      </vt:variant>
      <vt:variant>
        <vt:lpwstr>about:blank</vt:lpwstr>
      </vt:variant>
      <vt:variant>
        <vt:lpwstr>209</vt:lpwstr>
      </vt:variant>
      <vt:variant>
        <vt:i4>4128838</vt:i4>
      </vt:variant>
      <vt:variant>
        <vt:i4>0</vt:i4>
      </vt:variant>
      <vt:variant>
        <vt:i4>0</vt:i4>
      </vt:variant>
      <vt:variant>
        <vt:i4>5</vt:i4>
      </vt:variant>
      <vt:variant>
        <vt:lpwstr>mailto:judicante.contratos@electrohuila.co</vt:lpwstr>
      </vt:variant>
      <vt:variant>
        <vt:lpwstr/>
      </vt:variant>
      <vt:variant>
        <vt:i4>1835085</vt:i4>
      </vt:variant>
      <vt:variant>
        <vt:i4>12</vt:i4>
      </vt:variant>
      <vt:variant>
        <vt:i4>0</vt:i4>
      </vt:variant>
      <vt:variant>
        <vt:i4>5</vt:i4>
      </vt:variant>
      <vt:variant>
        <vt:lpwstr>about:blank</vt:lpwstr>
      </vt:variant>
      <vt:variant>
        <vt:lpwstr>43</vt:lpwstr>
      </vt:variant>
      <vt:variant>
        <vt:i4>1900621</vt:i4>
      </vt:variant>
      <vt:variant>
        <vt:i4>9</vt:i4>
      </vt:variant>
      <vt:variant>
        <vt:i4>0</vt:i4>
      </vt:variant>
      <vt:variant>
        <vt:i4>5</vt:i4>
      </vt:variant>
      <vt:variant>
        <vt:lpwstr>about:blank</vt:lpwstr>
      </vt:variant>
      <vt:variant>
        <vt:lpwstr>42</vt:lpwstr>
      </vt:variant>
      <vt:variant>
        <vt:i4>1507400</vt:i4>
      </vt:variant>
      <vt:variant>
        <vt:i4>6</vt:i4>
      </vt:variant>
      <vt:variant>
        <vt:i4>0</vt:i4>
      </vt:variant>
      <vt:variant>
        <vt:i4>5</vt:i4>
      </vt:variant>
      <vt:variant>
        <vt:lpwstr>about:blank</vt:lpwstr>
      </vt:variant>
      <vt:variant>
        <vt:lpwstr>18</vt:lpwstr>
      </vt:variant>
      <vt:variant>
        <vt:i4>1769544</vt:i4>
      </vt:variant>
      <vt:variant>
        <vt:i4>3</vt:i4>
      </vt:variant>
      <vt:variant>
        <vt:i4>0</vt:i4>
      </vt:variant>
      <vt:variant>
        <vt:i4>5</vt:i4>
      </vt:variant>
      <vt:variant>
        <vt:lpwstr>about:blank</vt:lpwstr>
      </vt:variant>
      <vt:variant>
        <vt:lpwstr>14</vt:lpwstr>
      </vt:variant>
      <vt:variant>
        <vt:i4>1835080</vt:i4>
      </vt:variant>
      <vt:variant>
        <vt:i4>0</vt:i4>
      </vt:variant>
      <vt:variant>
        <vt:i4>0</vt:i4>
      </vt:variant>
      <vt:variant>
        <vt:i4>5</vt:i4>
      </vt:variant>
      <vt:variant>
        <vt:lpwstr>about:blank</vt:lpwstr>
      </vt:variant>
      <vt:variant>
        <vt:lpwstr>13</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Sergio Andrés Rivera Cano</cp:lastModifiedBy>
  <cp:revision>2</cp:revision>
  <cp:lastPrinted>2023-01-10T21:18:00Z</cp:lastPrinted>
  <dcterms:created xsi:type="dcterms:W3CDTF">2025-11-04T14:38:00Z</dcterms:created>
  <dcterms:modified xsi:type="dcterms:W3CDTF">2025-11-04T14:38:00Z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