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BFF0B" w14:textId="77777777" w:rsidR="00271F5B" w:rsidRPr="00E66D81" w:rsidRDefault="00271F5B" w:rsidP="00271F5B">
      <w:pPr>
        <w:spacing w:line="240" w:lineRule="auto"/>
        <w:jc w:val="both"/>
        <w:rPr>
          <w:rFonts w:ascii="Verdana" w:hAnsi="Verdana" w:cs="Arial"/>
          <w:b/>
          <w:color w:val="000000" w:themeColor="text1"/>
          <w:lang w:val="es-ES_tradnl"/>
        </w:rPr>
      </w:pPr>
      <w:bookmarkStart w:id="0" w:name="_Hlk143780582"/>
      <w:r w:rsidRPr="00E66D81">
        <w:rPr>
          <w:rFonts w:ascii="Verdana" w:hAnsi="Verdana" w:cs="Arial"/>
          <w:b/>
          <w:color w:val="000000" w:themeColor="text1"/>
          <w:lang w:val="es-ES_tradnl"/>
        </w:rPr>
        <w:t>LEY DE GARANTÍAS ELECTORALES ‒ Finalidad</w:t>
      </w:r>
    </w:p>
    <w:p w14:paraId="4673ED09" w14:textId="77777777" w:rsidR="00271F5B" w:rsidRDefault="00271F5B" w:rsidP="00271F5B">
      <w:pPr>
        <w:tabs>
          <w:tab w:val="left" w:pos="426"/>
        </w:tabs>
        <w:spacing w:after="120" w:line="276" w:lineRule="auto"/>
        <w:jc w:val="both"/>
        <w:rPr>
          <w:rFonts w:ascii="Verdana" w:eastAsia="Calibri" w:hAnsi="Verdana" w:cs="Arial"/>
          <w:lang w:val="es-ES_tradnl"/>
        </w:rPr>
      </w:pPr>
      <w:r w:rsidRPr="0080284B">
        <w:rPr>
          <w:rFonts w:ascii="Verdana" w:eastAsia="Times New Roman" w:hAnsi="Verdana"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80284B">
        <w:rPr>
          <w:rFonts w:ascii="Verdana" w:eastAsia="Times New Roman" w:hAnsi="Verdana" w:cs="Arial"/>
          <w:sz w:val="20"/>
          <w:szCs w:val="20"/>
          <w:vertAlign w:val="superscript"/>
          <w:lang w:val="es-MX" w:eastAsia="es-CO"/>
        </w:rPr>
        <w:footnoteReference w:id="1"/>
      </w:r>
      <w:r w:rsidRPr="0080284B">
        <w:rPr>
          <w:rFonts w:ascii="Verdana" w:eastAsia="Times New Roman" w:hAnsi="Verdana" w:cs="Arial"/>
          <w:sz w:val="20"/>
          <w:szCs w:val="20"/>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Times New Roman" w:hAnsi="Verdana" w:cs="Arial"/>
          <w:lang w:val="es-MX" w:eastAsia="es-CO"/>
        </w:rPr>
        <w:t>.</w:t>
      </w:r>
      <w:r w:rsidRPr="00E2397D">
        <w:rPr>
          <w:rFonts w:ascii="Verdana" w:eastAsia="Calibri" w:hAnsi="Verdana" w:cs="Arial"/>
          <w:lang w:val="es-ES_tradnl"/>
        </w:rPr>
        <w:t xml:space="preserve"> </w:t>
      </w:r>
    </w:p>
    <w:p w14:paraId="68595A45" w14:textId="77777777" w:rsidR="00271F5B" w:rsidRPr="00E66D81" w:rsidRDefault="00271F5B" w:rsidP="00271F5B">
      <w:pPr>
        <w:spacing w:line="240" w:lineRule="auto"/>
        <w:jc w:val="both"/>
        <w:rPr>
          <w:rFonts w:ascii="Verdana" w:hAnsi="Verdana" w:cs="Arial"/>
          <w:b/>
          <w:color w:val="000000" w:themeColor="text1"/>
          <w:lang w:val="es-ES_tradnl"/>
        </w:rPr>
      </w:pPr>
      <w:r w:rsidRPr="00E66D81">
        <w:rPr>
          <w:rFonts w:ascii="Verdana" w:hAnsi="Verdana" w:cs="Arial"/>
          <w:b/>
          <w:color w:val="000000" w:themeColor="text1"/>
          <w:lang w:val="es-ES_tradnl"/>
        </w:rPr>
        <w:t xml:space="preserve">LEY DE GARANTÍAS ELECTORALES ‒ Tipos de restricciones </w:t>
      </w:r>
    </w:p>
    <w:p w14:paraId="46E8E767" w14:textId="77777777" w:rsidR="00271F5B" w:rsidRPr="0080284B" w:rsidRDefault="00271F5B" w:rsidP="00271F5B">
      <w:pPr>
        <w:spacing w:after="120" w:line="276" w:lineRule="auto"/>
        <w:jc w:val="both"/>
        <w:rPr>
          <w:rFonts w:ascii="Verdana" w:eastAsia="Arial" w:hAnsi="Verdana" w:cs="Arial"/>
          <w:sz w:val="20"/>
          <w:szCs w:val="20"/>
          <w:lang w:val="es-ES" w:eastAsia="es-ES" w:bidi="es-ES"/>
        </w:rPr>
      </w:pPr>
      <w:r w:rsidRPr="0080284B">
        <w:rPr>
          <w:rFonts w:ascii="Verdana" w:eastAsia="Arial" w:hAnsi="Verdana" w:cs="Arial"/>
          <w:sz w:val="20"/>
          <w:szCs w:val="20"/>
          <w:lang w:val="es-ES" w:eastAsia="es-ES" w:bidi="es-ES"/>
        </w:rPr>
        <w:t xml:space="preserve">[…]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0022831" w14:textId="77777777" w:rsidR="00271F5B" w:rsidRPr="0080284B" w:rsidRDefault="00271F5B" w:rsidP="00271F5B">
      <w:pPr>
        <w:spacing w:line="240" w:lineRule="auto"/>
        <w:jc w:val="both"/>
        <w:rPr>
          <w:rFonts w:ascii="Verdana" w:hAnsi="Verdana" w:cs="Arial"/>
          <w:bCs/>
          <w:color w:val="000000" w:themeColor="text1"/>
          <w:sz w:val="20"/>
          <w:szCs w:val="20"/>
          <w:lang w:val="es-ES_tradnl"/>
        </w:rPr>
      </w:pPr>
      <w:r w:rsidRPr="0080284B">
        <w:rPr>
          <w:rFonts w:ascii="Verdana" w:eastAsia="Calibri" w:hAnsi="Verdana" w:cs="Arial"/>
          <w:sz w:val="20"/>
          <w:szCs w:val="20"/>
          <w:lang w:val="es-ES"/>
        </w:rPr>
        <w:t xml:space="preserve">Las restricciones consagradas en la mencionada Ley se dirigen a dos tipos de campañas electorales: </w:t>
      </w:r>
      <w:r w:rsidRPr="0080284B">
        <w:rPr>
          <w:rFonts w:ascii="Verdana" w:eastAsia="Arial" w:hAnsi="Verdana" w:cs="Arial"/>
          <w:sz w:val="20"/>
          <w:szCs w:val="20"/>
          <w:lang w:val="es-ES" w:eastAsia="es-ES" w:bidi="es-ES"/>
        </w:rPr>
        <w:t>las presidenciales y las demás que se adelanten para la elección de los demás cargos de elección popular, tanto a nivel nacional como territorial […]</w:t>
      </w:r>
    </w:p>
    <w:p w14:paraId="1DCCCE79" w14:textId="77777777" w:rsidR="00271F5B" w:rsidRPr="00E66D81" w:rsidRDefault="00271F5B" w:rsidP="00271F5B">
      <w:pPr>
        <w:spacing w:line="240" w:lineRule="auto"/>
        <w:jc w:val="both"/>
        <w:rPr>
          <w:rFonts w:ascii="Verdana" w:hAnsi="Verdana" w:cs="Arial"/>
          <w:b/>
          <w:color w:val="000000" w:themeColor="text1"/>
          <w:lang w:val="es-ES_tradnl"/>
        </w:rPr>
      </w:pPr>
      <w:r w:rsidRPr="00E66D81">
        <w:rPr>
          <w:rFonts w:ascii="Verdana" w:hAnsi="Verdana" w:cs="Arial"/>
          <w:b/>
          <w:color w:val="000000" w:themeColor="text1"/>
          <w:lang w:val="es-ES_tradnl"/>
        </w:rPr>
        <w:t xml:space="preserve">LEY DE GARANTÍAS ELECTORALES ‒ Tipos de restricciones – Contratación directa </w:t>
      </w:r>
    </w:p>
    <w:p w14:paraId="5519B65F" w14:textId="77777777" w:rsidR="00271F5B" w:rsidRPr="0080284B" w:rsidRDefault="00271F5B" w:rsidP="00271F5B">
      <w:pPr>
        <w:spacing w:line="240" w:lineRule="auto"/>
        <w:jc w:val="both"/>
        <w:rPr>
          <w:rFonts w:ascii="Verdana" w:hAnsi="Verdana" w:cs="Arial"/>
          <w:bCs/>
          <w:color w:val="000000" w:themeColor="text1"/>
          <w:sz w:val="20"/>
          <w:szCs w:val="20"/>
          <w:lang w:val="es-ES_tradnl"/>
        </w:rPr>
      </w:pPr>
      <w:r w:rsidRPr="0080284B">
        <w:rPr>
          <w:rFonts w:ascii="Verdana" w:eastAsia="Times New Roman" w:hAnsi="Verdana" w:cs="Open Sans"/>
          <w:sz w:val="20"/>
          <w:szCs w:val="20"/>
          <w:lang w:eastAsia="es-CO"/>
        </w:rPr>
        <w:t>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5676401D" w14:textId="77777777" w:rsidR="00271F5B" w:rsidRPr="00E66D81" w:rsidRDefault="00271F5B" w:rsidP="00271F5B">
      <w:pPr>
        <w:spacing w:line="240" w:lineRule="auto"/>
        <w:jc w:val="both"/>
        <w:rPr>
          <w:rFonts w:ascii="Verdana" w:hAnsi="Verdana" w:cs="Arial"/>
          <w:b/>
          <w:color w:val="000000" w:themeColor="text1"/>
          <w:lang w:val="es-ES_tradnl"/>
        </w:rPr>
      </w:pPr>
      <w:r w:rsidRPr="00E66D81">
        <w:rPr>
          <w:rFonts w:ascii="Verdana" w:hAnsi="Verdana" w:cs="Arial"/>
          <w:b/>
          <w:color w:val="000000" w:themeColor="text1"/>
          <w:lang w:val="es-ES_tradnl"/>
        </w:rPr>
        <w:t xml:space="preserve">LEY DE GARANTÍAS ELECTORALES – Convenios interadministrativos </w:t>
      </w:r>
    </w:p>
    <w:p w14:paraId="11867E11" w14:textId="77777777" w:rsidR="00271F5B" w:rsidRPr="0080284B" w:rsidRDefault="00271F5B" w:rsidP="00271F5B">
      <w:pPr>
        <w:spacing w:after="0" w:line="240" w:lineRule="auto"/>
        <w:jc w:val="both"/>
        <w:rPr>
          <w:rFonts w:ascii="Verdana" w:eastAsia="Geomanist Light" w:hAnsi="Verdana" w:cs="Arial"/>
          <w:color w:val="000000" w:themeColor="text1"/>
          <w:sz w:val="20"/>
          <w:szCs w:val="20"/>
          <w:lang w:val="es-MX"/>
        </w:rPr>
      </w:pPr>
      <w:r w:rsidRPr="0080284B">
        <w:rPr>
          <w:rFonts w:ascii="Verdana" w:eastAsia="Geomanist Light" w:hAnsi="Verdana" w:cs="Arial"/>
          <w:color w:val="000000" w:themeColor="text1"/>
          <w:sz w:val="20"/>
          <w:szCs w:val="20"/>
          <w:lang w:val="es-MX"/>
        </w:rPr>
        <w:t xml:space="preserve">[…] el parágrafo del artículo 38 de la Ley 996 de 2005 prohíbe a los </w:t>
      </w:r>
      <w:proofErr w:type="gramStart"/>
      <w:r w:rsidRPr="0080284B">
        <w:rPr>
          <w:rFonts w:ascii="Verdana" w:eastAsia="Geomanist Light" w:hAnsi="Verdana" w:cs="Arial"/>
          <w:color w:val="000000" w:themeColor="text1"/>
          <w:sz w:val="20"/>
          <w:szCs w:val="20"/>
          <w:lang w:val="es-MX"/>
        </w:rPr>
        <w:t>Alcaldes</w:t>
      </w:r>
      <w:proofErr w:type="gramEnd"/>
      <w:r w:rsidRPr="0080284B">
        <w:rPr>
          <w:rFonts w:ascii="Verdana" w:eastAsia="Geomanist Light" w:hAnsi="Verdana" w:cs="Arial"/>
          <w:color w:val="000000" w:themeColor="text1"/>
          <w:sz w:val="20"/>
          <w:szCs w:val="20"/>
          <w:lang w:val="es-MX"/>
        </w:rPr>
        <w:t xml:space="preserve">, Gobernadores, </w:t>
      </w:r>
      <w:proofErr w:type="gramStart"/>
      <w:r w:rsidRPr="0080284B">
        <w:rPr>
          <w:rFonts w:ascii="Verdana" w:eastAsia="Geomanist Light" w:hAnsi="Verdana" w:cs="Arial"/>
          <w:color w:val="000000" w:themeColor="text1"/>
          <w:sz w:val="20"/>
          <w:szCs w:val="20"/>
          <w:lang w:val="es-MX"/>
        </w:rPr>
        <w:t>Secretarios</w:t>
      </w:r>
      <w:proofErr w:type="gramEnd"/>
      <w:r w:rsidRPr="0080284B">
        <w:rPr>
          <w:rFonts w:ascii="Verdana" w:eastAsia="Geomanist Light" w:hAnsi="Verdana" w:cs="Arial"/>
          <w:color w:val="000000" w:themeColor="text1"/>
          <w:sz w:val="20"/>
          <w:szCs w:val="20"/>
          <w:lang w:val="es-MX"/>
        </w:rPr>
        <w:t xml:space="preserve">, Gerentes y </w:t>
      </w:r>
      <w:proofErr w:type="gramStart"/>
      <w:r w:rsidRPr="0080284B">
        <w:rPr>
          <w:rFonts w:ascii="Verdana" w:eastAsia="Geomanist Light" w:hAnsi="Verdana" w:cs="Arial"/>
          <w:color w:val="000000" w:themeColor="text1"/>
          <w:sz w:val="20"/>
          <w:szCs w:val="20"/>
          <w:lang w:val="es-MX"/>
        </w:rPr>
        <w:t>Directores</w:t>
      </w:r>
      <w:proofErr w:type="gramEnd"/>
      <w:r w:rsidRPr="0080284B">
        <w:rPr>
          <w:rFonts w:ascii="Verdana" w:eastAsia="Geomanist Light" w:hAnsi="Verdana" w:cs="Arial"/>
          <w:color w:val="000000" w:themeColor="text1"/>
          <w:sz w:val="20"/>
          <w:szCs w:val="20"/>
          <w:lang w:val="es-MX"/>
        </w:rPr>
        <w:t xml:space="preserve"> de las entidades descentralizadas del orden municipal, departamental o distrital celebrar convenios interadministrativos para la ejecución de recursos públicos. En este sentido, si una o ambas partes de la relación contractual es una entidad de aquellas descritas en el parágrafo ibidem, no podrá celebrar tales convenios durante la aplicación de la Ley de Garantías Electorales, toda </w:t>
      </w:r>
      <w:r w:rsidRPr="0080284B">
        <w:rPr>
          <w:rFonts w:ascii="Verdana" w:eastAsia="Geomanist Light" w:hAnsi="Verdana" w:cs="Arial"/>
          <w:color w:val="000000" w:themeColor="text1"/>
          <w:sz w:val="20"/>
          <w:szCs w:val="20"/>
          <w:lang w:val="es-MX"/>
        </w:rPr>
        <w:lastRenderedPageBreak/>
        <w:t>vez que la citada disposición hace referencia a dicha tipología contractual sin que el legislador hubiere contemplado un efecto extensivo a otra tipología.</w:t>
      </w:r>
    </w:p>
    <w:p w14:paraId="6F9F0A5F" w14:textId="77777777" w:rsidR="00271F5B" w:rsidRPr="0080284B" w:rsidRDefault="00271F5B" w:rsidP="00271F5B">
      <w:pPr>
        <w:spacing w:after="0"/>
        <w:rPr>
          <w:rFonts w:ascii="Verdana" w:hAnsi="Verdana"/>
          <w:sz w:val="20"/>
          <w:szCs w:val="20"/>
        </w:rPr>
      </w:pPr>
    </w:p>
    <w:p w14:paraId="435DC131" w14:textId="77777777" w:rsidR="00271F5B" w:rsidRPr="0080284B" w:rsidRDefault="00271F5B" w:rsidP="00271F5B">
      <w:pPr>
        <w:spacing w:after="0"/>
        <w:rPr>
          <w:rFonts w:ascii="Verdana" w:hAnsi="Verdana"/>
          <w:sz w:val="20"/>
          <w:szCs w:val="20"/>
        </w:rPr>
      </w:pPr>
    </w:p>
    <w:p w14:paraId="7EC9572E" w14:textId="77777777" w:rsidR="00271F5B" w:rsidRDefault="00271F5B" w:rsidP="00271F5B">
      <w:pPr>
        <w:spacing w:after="0"/>
        <w:rPr>
          <w:rFonts w:ascii="Verdana" w:hAnsi="Verdana"/>
        </w:rPr>
      </w:pPr>
    </w:p>
    <w:p w14:paraId="0D226C83" w14:textId="77777777" w:rsidR="00271F5B" w:rsidRDefault="00271F5B" w:rsidP="00271F5B">
      <w:pPr>
        <w:spacing w:after="0"/>
        <w:rPr>
          <w:rFonts w:ascii="Verdana" w:hAnsi="Verdana"/>
        </w:rPr>
      </w:pPr>
    </w:p>
    <w:p w14:paraId="51C21166" w14:textId="77777777" w:rsidR="00271F5B" w:rsidRDefault="00271F5B" w:rsidP="00E245AB">
      <w:pPr>
        <w:spacing w:after="0"/>
        <w:rPr>
          <w:rFonts w:ascii="Verdana" w:hAnsi="Verdana"/>
        </w:rPr>
      </w:pPr>
    </w:p>
    <w:p w14:paraId="48573640" w14:textId="77777777" w:rsidR="00271F5B" w:rsidRDefault="00271F5B" w:rsidP="00E245AB">
      <w:pPr>
        <w:spacing w:after="0"/>
        <w:rPr>
          <w:rFonts w:ascii="Verdana" w:hAnsi="Verdana"/>
        </w:rPr>
      </w:pPr>
    </w:p>
    <w:p w14:paraId="421DC277" w14:textId="77777777" w:rsidR="00271F5B" w:rsidRDefault="00271F5B" w:rsidP="00E245AB">
      <w:pPr>
        <w:spacing w:after="0"/>
        <w:rPr>
          <w:rFonts w:ascii="Verdana" w:hAnsi="Verdana"/>
        </w:rPr>
      </w:pPr>
    </w:p>
    <w:p w14:paraId="223F4F4B" w14:textId="77777777" w:rsidR="00271F5B" w:rsidRDefault="00271F5B" w:rsidP="00E245AB">
      <w:pPr>
        <w:spacing w:after="0"/>
        <w:rPr>
          <w:rFonts w:ascii="Verdana" w:hAnsi="Verdana"/>
        </w:rPr>
      </w:pPr>
    </w:p>
    <w:p w14:paraId="12B95F6D" w14:textId="77777777" w:rsidR="00271F5B" w:rsidRDefault="00271F5B" w:rsidP="00E245AB">
      <w:pPr>
        <w:spacing w:after="0"/>
        <w:rPr>
          <w:rFonts w:ascii="Verdana" w:hAnsi="Verdana"/>
        </w:rPr>
      </w:pPr>
    </w:p>
    <w:p w14:paraId="3355C9F0" w14:textId="77777777" w:rsidR="00271F5B" w:rsidRDefault="00271F5B" w:rsidP="00E245AB">
      <w:pPr>
        <w:spacing w:after="0"/>
        <w:rPr>
          <w:rFonts w:ascii="Verdana" w:hAnsi="Verdana"/>
        </w:rPr>
      </w:pPr>
    </w:p>
    <w:p w14:paraId="544DAAB3" w14:textId="77777777" w:rsidR="00271F5B" w:rsidRDefault="00271F5B" w:rsidP="00E245AB">
      <w:pPr>
        <w:spacing w:after="0"/>
        <w:rPr>
          <w:rFonts w:ascii="Verdana" w:hAnsi="Verdana"/>
        </w:rPr>
      </w:pPr>
    </w:p>
    <w:p w14:paraId="39BE8AC5" w14:textId="77777777" w:rsidR="00271F5B" w:rsidRDefault="00271F5B" w:rsidP="00E245AB">
      <w:pPr>
        <w:spacing w:after="0"/>
        <w:rPr>
          <w:rFonts w:ascii="Verdana" w:hAnsi="Verdana"/>
        </w:rPr>
      </w:pPr>
    </w:p>
    <w:p w14:paraId="3A5C985F" w14:textId="77777777" w:rsidR="00271F5B" w:rsidRDefault="00271F5B" w:rsidP="00E245AB">
      <w:pPr>
        <w:spacing w:after="0"/>
        <w:rPr>
          <w:rFonts w:ascii="Verdana" w:hAnsi="Verdana"/>
        </w:rPr>
      </w:pPr>
    </w:p>
    <w:p w14:paraId="0D6EC369" w14:textId="77777777" w:rsidR="00271F5B" w:rsidRDefault="00271F5B" w:rsidP="00E245AB">
      <w:pPr>
        <w:spacing w:after="0"/>
        <w:rPr>
          <w:rFonts w:ascii="Verdana" w:hAnsi="Verdana"/>
        </w:rPr>
      </w:pPr>
    </w:p>
    <w:p w14:paraId="7A8DE2B1" w14:textId="77777777" w:rsidR="00271F5B" w:rsidRDefault="00271F5B" w:rsidP="00E245AB">
      <w:pPr>
        <w:spacing w:after="0"/>
        <w:rPr>
          <w:rFonts w:ascii="Verdana" w:hAnsi="Verdana"/>
        </w:rPr>
      </w:pPr>
    </w:p>
    <w:p w14:paraId="6BB1DCDA" w14:textId="77777777" w:rsidR="00271F5B" w:rsidRDefault="00271F5B" w:rsidP="00E245AB">
      <w:pPr>
        <w:spacing w:after="0"/>
        <w:rPr>
          <w:rFonts w:ascii="Verdana" w:hAnsi="Verdana"/>
        </w:rPr>
      </w:pPr>
    </w:p>
    <w:p w14:paraId="421EAD49" w14:textId="77777777" w:rsidR="00271F5B" w:rsidRDefault="00271F5B" w:rsidP="00E245AB">
      <w:pPr>
        <w:spacing w:after="0"/>
        <w:rPr>
          <w:rFonts w:ascii="Verdana" w:hAnsi="Verdana"/>
        </w:rPr>
      </w:pPr>
    </w:p>
    <w:p w14:paraId="1C5BFFAD" w14:textId="77777777" w:rsidR="00271F5B" w:rsidRDefault="00271F5B" w:rsidP="00E245AB">
      <w:pPr>
        <w:spacing w:after="0"/>
        <w:rPr>
          <w:rFonts w:ascii="Verdana" w:hAnsi="Verdana"/>
        </w:rPr>
      </w:pPr>
    </w:p>
    <w:p w14:paraId="25E9671C" w14:textId="77777777" w:rsidR="00271F5B" w:rsidRDefault="00271F5B" w:rsidP="00E245AB">
      <w:pPr>
        <w:spacing w:after="0"/>
        <w:rPr>
          <w:rFonts w:ascii="Verdana" w:hAnsi="Verdana"/>
        </w:rPr>
      </w:pPr>
    </w:p>
    <w:p w14:paraId="62235000" w14:textId="77777777" w:rsidR="00271F5B" w:rsidRDefault="00271F5B" w:rsidP="00E245AB">
      <w:pPr>
        <w:spacing w:after="0"/>
        <w:rPr>
          <w:rFonts w:ascii="Verdana" w:hAnsi="Verdana"/>
        </w:rPr>
      </w:pPr>
    </w:p>
    <w:p w14:paraId="272B0B07" w14:textId="77777777" w:rsidR="00271F5B" w:rsidRDefault="00271F5B" w:rsidP="00E245AB">
      <w:pPr>
        <w:spacing w:after="0"/>
        <w:rPr>
          <w:rFonts w:ascii="Verdana" w:hAnsi="Verdana"/>
        </w:rPr>
      </w:pPr>
    </w:p>
    <w:p w14:paraId="3B7EBA8D" w14:textId="77777777" w:rsidR="00271F5B" w:rsidRDefault="00271F5B" w:rsidP="00E245AB">
      <w:pPr>
        <w:spacing w:after="0"/>
        <w:rPr>
          <w:rFonts w:ascii="Verdana" w:hAnsi="Verdana"/>
        </w:rPr>
      </w:pPr>
    </w:p>
    <w:p w14:paraId="0CB2398A" w14:textId="77777777" w:rsidR="00271F5B" w:rsidRDefault="00271F5B" w:rsidP="00E245AB">
      <w:pPr>
        <w:spacing w:after="0"/>
        <w:rPr>
          <w:rFonts w:ascii="Verdana" w:hAnsi="Verdana"/>
        </w:rPr>
      </w:pPr>
    </w:p>
    <w:p w14:paraId="00998EB9" w14:textId="77777777" w:rsidR="00271F5B" w:rsidRDefault="00271F5B" w:rsidP="00E245AB">
      <w:pPr>
        <w:spacing w:after="0"/>
        <w:rPr>
          <w:rFonts w:ascii="Verdana" w:hAnsi="Verdana"/>
        </w:rPr>
      </w:pPr>
    </w:p>
    <w:p w14:paraId="419B015E" w14:textId="77777777" w:rsidR="00271F5B" w:rsidRDefault="00271F5B" w:rsidP="00E245AB">
      <w:pPr>
        <w:spacing w:after="0"/>
        <w:rPr>
          <w:rFonts w:ascii="Verdana" w:hAnsi="Verdana"/>
        </w:rPr>
      </w:pPr>
    </w:p>
    <w:p w14:paraId="2546A34A" w14:textId="77777777" w:rsidR="00271F5B" w:rsidRDefault="00271F5B" w:rsidP="00E245AB">
      <w:pPr>
        <w:spacing w:after="0"/>
        <w:rPr>
          <w:rFonts w:ascii="Verdana" w:hAnsi="Verdana"/>
        </w:rPr>
      </w:pPr>
    </w:p>
    <w:p w14:paraId="0550D806" w14:textId="77777777" w:rsidR="00271F5B" w:rsidRDefault="00271F5B" w:rsidP="00E245AB">
      <w:pPr>
        <w:spacing w:after="0"/>
        <w:rPr>
          <w:rFonts w:ascii="Verdana" w:hAnsi="Verdana"/>
        </w:rPr>
      </w:pPr>
    </w:p>
    <w:p w14:paraId="79BDD4AE" w14:textId="77777777" w:rsidR="00271F5B" w:rsidRDefault="00271F5B" w:rsidP="00E245AB">
      <w:pPr>
        <w:spacing w:after="0"/>
        <w:rPr>
          <w:rFonts w:ascii="Verdana" w:hAnsi="Verdana"/>
        </w:rPr>
      </w:pPr>
    </w:p>
    <w:p w14:paraId="2BEC980D" w14:textId="77777777" w:rsidR="00271F5B" w:rsidRDefault="00271F5B" w:rsidP="00E245AB">
      <w:pPr>
        <w:spacing w:after="0"/>
        <w:rPr>
          <w:rFonts w:ascii="Verdana" w:hAnsi="Verdana"/>
        </w:rPr>
      </w:pPr>
    </w:p>
    <w:p w14:paraId="2FC0B3C7" w14:textId="77777777" w:rsidR="00271F5B" w:rsidRDefault="00271F5B" w:rsidP="00E245AB">
      <w:pPr>
        <w:spacing w:after="0"/>
        <w:rPr>
          <w:rFonts w:ascii="Verdana" w:hAnsi="Verdana"/>
        </w:rPr>
      </w:pPr>
    </w:p>
    <w:p w14:paraId="1C88884E" w14:textId="77777777" w:rsidR="00271F5B" w:rsidRDefault="00271F5B" w:rsidP="00E245AB">
      <w:pPr>
        <w:spacing w:after="0"/>
        <w:rPr>
          <w:rFonts w:ascii="Verdana" w:hAnsi="Verdana"/>
        </w:rPr>
      </w:pPr>
    </w:p>
    <w:p w14:paraId="3F31E6C4" w14:textId="77777777" w:rsidR="00271F5B" w:rsidRDefault="00271F5B" w:rsidP="00E245AB">
      <w:pPr>
        <w:spacing w:after="0"/>
        <w:rPr>
          <w:rFonts w:ascii="Verdana" w:hAnsi="Verdana"/>
        </w:rPr>
      </w:pPr>
    </w:p>
    <w:p w14:paraId="4DBCB852" w14:textId="77777777" w:rsidR="00271F5B" w:rsidRDefault="00271F5B" w:rsidP="00E245AB">
      <w:pPr>
        <w:spacing w:after="0"/>
        <w:rPr>
          <w:rFonts w:ascii="Verdana" w:hAnsi="Verdana"/>
        </w:rPr>
      </w:pPr>
    </w:p>
    <w:p w14:paraId="55C786C7" w14:textId="77777777" w:rsidR="00271F5B" w:rsidRDefault="00271F5B" w:rsidP="00E245AB">
      <w:pPr>
        <w:spacing w:after="0"/>
        <w:rPr>
          <w:rFonts w:ascii="Verdana" w:hAnsi="Verdana"/>
        </w:rPr>
      </w:pPr>
    </w:p>
    <w:p w14:paraId="711DD71B" w14:textId="77777777" w:rsidR="00271F5B" w:rsidRDefault="00271F5B" w:rsidP="00E245AB">
      <w:pPr>
        <w:spacing w:after="0"/>
        <w:rPr>
          <w:rFonts w:ascii="Verdana" w:hAnsi="Verdana"/>
        </w:rPr>
      </w:pPr>
    </w:p>
    <w:p w14:paraId="38A5760C" w14:textId="77777777" w:rsidR="00271F5B" w:rsidRDefault="00271F5B" w:rsidP="00E245AB">
      <w:pPr>
        <w:spacing w:after="0"/>
        <w:rPr>
          <w:rFonts w:ascii="Verdana" w:hAnsi="Verdana"/>
        </w:rPr>
      </w:pPr>
    </w:p>
    <w:p w14:paraId="4432B6D1" w14:textId="77777777" w:rsidR="00271F5B" w:rsidRDefault="00271F5B" w:rsidP="00E245AB">
      <w:pPr>
        <w:spacing w:after="0"/>
        <w:rPr>
          <w:rFonts w:ascii="Verdana" w:hAnsi="Verdana"/>
        </w:rPr>
      </w:pPr>
    </w:p>
    <w:p w14:paraId="4F0E92A4" w14:textId="77777777" w:rsidR="00271F5B" w:rsidRDefault="00271F5B" w:rsidP="00E245AB">
      <w:pPr>
        <w:spacing w:after="0"/>
        <w:rPr>
          <w:rFonts w:ascii="Verdana" w:hAnsi="Verdana"/>
        </w:rPr>
      </w:pPr>
    </w:p>
    <w:p w14:paraId="49DBA17F" w14:textId="77777777" w:rsidR="00271F5B" w:rsidRDefault="00271F5B" w:rsidP="00E245AB">
      <w:pPr>
        <w:spacing w:after="0"/>
        <w:rPr>
          <w:rFonts w:ascii="Verdana" w:hAnsi="Verdana"/>
        </w:rPr>
      </w:pPr>
    </w:p>
    <w:p w14:paraId="3FE2184B" w14:textId="7D1C8307" w:rsidR="00E245AB" w:rsidRPr="0044528D" w:rsidRDefault="00897A3A" w:rsidP="00E245AB">
      <w:pPr>
        <w:spacing w:after="0"/>
        <w:rPr>
          <w:rFonts w:ascii="Verdana" w:hAnsi="Verdana"/>
        </w:rPr>
      </w:pPr>
      <w:r w:rsidRPr="0044528D">
        <w:rPr>
          <w:rFonts w:ascii="Verdana" w:hAnsi="Verdana"/>
        </w:rPr>
        <w:lastRenderedPageBreak/>
        <w:t xml:space="preserve">Bogotá D.C., </w:t>
      </w:r>
      <w:r w:rsidR="00A43FDA">
        <w:rPr>
          <w:rFonts w:ascii="Verdana" w:hAnsi="Verdana"/>
        </w:rPr>
        <w:t>20 de octubre de 2025</w:t>
      </w:r>
      <w:r w:rsidR="00891928" w:rsidRPr="0044528D">
        <w:rPr>
          <w:rFonts w:ascii="Verdana" w:hAnsi="Verdana"/>
        </w:rPr>
        <w:tab/>
      </w:r>
    </w:p>
    <w:p w14:paraId="5FCADBF9" w14:textId="77777777" w:rsidR="00E245AB" w:rsidRDefault="00E245AB" w:rsidP="00E245AB">
      <w:pPr>
        <w:spacing w:after="0"/>
        <w:rPr>
          <w:rFonts w:ascii="Verdana" w:hAnsi="Verdana"/>
        </w:rPr>
      </w:pPr>
    </w:p>
    <w:p w14:paraId="1EB38F23" w14:textId="48CB6E6A" w:rsidR="00F95AF5" w:rsidRPr="0044528D" w:rsidRDefault="00F95AF5" w:rsidP="00F95AF5">
      <w:pPr>
        <w:spacing w:after="0"/>
        <w:rPr>
          <w:rFonts w:ascii="Verdana" w:hAnsi="Verdana"/>
        </w:rPr>
      </w:pPr>
    </w:p>
    <w:p w14:paraId="6986F260" w14:textId="3F57A9CE" w:rsidR="00F95AF5" w:rsidRPr="0070607C" w:rsidRDefault="00A974C5" w:rsidP="00F95AF5">
      <w:pPr>
        <w:spacing w:after="0" w:line="240" w:lineRule="auto"/>
        <w:jc w:val="both"/>
        <w:rPr>
          <w:rFonts w:ascii="Verdana" w:eastAsia="Calibri" w:hAnsi="Verdana" w:cs="Arial"/>
          <w:color w:val="000000"/>
          <w:lang w:val="pt-BR"/>
        </w:rPr>
      </w:pPr>
      <w:r w:rsidRPr="00A974C5">
        <w:rPr>
          <w:rFonts w:ascii="Verdana" w:eastAsia="Calibri" w:hAnsi="Verdana" w:cs="Arial"/>
          <w:noProof/>
          <w:color w:val="000000"/>
          <w:lang w:val="pt-BR"/>
        </w:rPr>
        <w:drawing>
          <wp:anchor distT="0" distB="0" distL="114300" distR="114300" simplePos="0" relativeHeight="251658240" behindDoc="1" locked="0" layoutInCell="1" allowOverlap="1" wp14:anchorId="3AD09B00" wp14:editId="211A20C0">
            <wp:simplePos x="0" y="0"/>
            <wp:positionH relativeFrom="margin">
              <wp:align>right</wp:align>
            </wp:positionH>
            <wp:positionV relativeFrom="paragraph">
              <wp:posOffset>12065</wp:posOffset>
            </wp:positionV>
            <wp:extent cx="2664411" cy="800100"/>
            <wp:effectExtent l="0" t="0" r="3175" b="0"/>
            <wp:wrapNone/>
            <wp:docPr id="116319811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98119"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664411" cy="8001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F95AF5" w:rsidRPr="0070607C">
        <w:rPr>
          <w:rFonts w:ascii="Verdana" w:eastAsia="Calibri" w:hAnsi="Verdana" w:cs="Arial"/>
          <w:color w:val="000000"/>
          <w:lang w:val="pt-BR"/>
        </w:rPr>
        <w:t>Señor</w:t>
      </w:r>
      <w:proofErr w:type="spellEnd"/>
      <w:r w:rsidRPr="00A974C5">
        <w:rPr>
          <w:noProof/>
        </w:rPr>
        <w:t xml:space="preserve"> </w:t>
      </w:r>
    </w:p>
    <w:p w14:paraId="790D43B5" w14:textId="77777777" w:rsidR="00F95AF5" w:rsidRPr="0070607C" w:rsidRDefault="00F95AF5" w:rsidP="00F95AF5">
      <w:pPr>
        <w:spacing w:after="0" w:line="240" w:lineRule="auto"/>
        <w:jc w:val="both"/>
        <w:rPr>
          <w:rFonts w:ascii="Verdana" w:eastAsia="Calibri" w:hAnsi="Verdana" w:cs="Arial"/>
          <w:b/>
          <w:bCs/>
          <w:color w:val="000000"/>
          <w:lang w:val="pt-BR"/>
        </w:rPr>
      </w:pPr>
      <w:r>
        <w:rPr>
          <w:rFonts w:ascii="Verdana" w:eastAsia="Calibri" w:hAnsi="Verdana" w:cs="Arial"/>
          <w:b/>
          <w:bCs/>
          <w:color w:val="000000"/>
          <w:lang w:val="pt-BR"/>
        </w:rPr>
        <w:t>MARCO ANTONIO CUBILLOS GAMBOA</w:t>
      </w:r>
    </w:p>
    <w:p w14:paraId="0CEB7A1B" w14:textId="77777777" w:rsidR="00F95AF5" w:rsidRDefault="00F95AF5" w:rsidP="00F95AF5">
      <w:pPr>
        <w:spacing w:after="0" w:line="240" w:lineRule="auto"/>
        <w:jc w:val="both"/>
        <w:rPr>
          <w:rFonts w:ascii="Verdana" w:eastAsia="Calibri" w:hAnsi="Verdana" w:cs="Arial"/>
          <w:color w:val="000000"/>
          <w:u w:val="single"/>
          <w:lang w:val="pt-BR"/>
        </w:rPr>
      </w:pPr>
      <w:hyperlink r:id="rId11" w:history="1">
        <w:r w:rsidRPr="007D4FCD">
          <w:rPr>
            <w:rStyle w:val="Hipervnculo"/>
            <w:rFonts w:ascii="Verdana" w:eastAsia="Calibri" w:hAnsi="Verdana" w:cs="Arial"/>
            <w:lang w:val="pt-BR"/>
          </w:rPr>
          <w:t>mancuga20@gmail.com</w:t>
        </w:r>
      </w:hyperlink>
    </w:p>
    <w:p w14:paraId="40B82152" w14:textId="77777777" w:rsidR="00F95AF5" w:rsidRPr="0070607C" w:rsidRDefault="00F95AF5" w:rsidP="00F95AF5">
      <w:pPr>
        <w:spacing w:after="0" w:line="240" w:lineRule="auto"/>
        <w:jc w:val="both"/>
        <w:rPr>
          <w:rFonts w:ascii="Verdana" w:eastAsia="Calibri" w:hAnsi="Verdana" w:cs="Arial"/>
          <w:color w:val="000000"/>
          <w:lang w:val="pt-BR"/>
        </w:rPr>
      </w:pPr>
      <w:r>
        <w:rPr>
          <w:rFonts w:ascii="Verdana" w:eastAsia="Calibri" w:hAnsi="Verdana" w:cs="Arial"/>
          <w:color w:val="000000"/>
          <w:lang w:val="pt-BR"/>
        </w:rPr>
        <w:t>Bogotá D.C.</w:t>
      </w:r>
    </w:p>
    <w:p w14:paraId="72E31383" w14:textId="77777777" w:rsidR="00F95AF5" w:rsidRPr="00664FA2" w:rsidRDefault="00F95AF5" w:rsidP="00F95AF5">
      <w:pPr>
        <w:spacing w:after="0" w:line="240" w:lineRule="auto"/>
        <w:rPr>
          <w:rFonts w:ascii="Verdana" w:eastAsia="Calibri" w:hAnsi="Verdana" w:cs="Arial"/>
          <w:b/>
          <w:bCs/>
          <w:color w:val="000000"/>
          <w:lang w:val="it-IT" w:eastAsia="es-ES_tradnl"/>
        </w:rPr>
      </w:pPr>
    </w:p>
    <w:p w14:paraId="0C7088CC" w14:textId="77777777" w:rsidR="00F95AF5" w:rsidRPr="00664FA2" w:rsidRDefault="00F95AF5" w:rsidP="00F95AF5">
      <w:pPr>
        <w:spacing w:after="0" w:line="240" w:lineRule="auto"/>
        <w:jc w:val="right"/>
        <w:rPr>
          <w:rFonts w:ascii="Verdana" w:eastAsia="Calibri" w:hAnsi="Verdana" w:cs="Arial"/>
          <w:b/>
          <w:bCs/>
          <w:color w:val="000000"/>
          <w:lang w:val="it-IT" w:eastAsia="es-ES_tradnl"/>
        </w:rPr>
      </w:pPr>
    </w:p>
    <w:p w14:paraId="543CA57E" w14:textId="77777777" w:rsidR="00F95AF5" w:rsidRPr="00664FA2" w:rsidRDefault="00F95AF5" w:rsidP="00F95AF5">
      <w:pPr>
        <w:spacing w:after="0" w:line="240" w:lineRule="auto"/>
        <w:rPr>
          <w:rFonts w:ascii="Verdana" w:eastAsia="Calibri" w:hAnsi="Verdana" w:cs="Arial"/>
          <w:b/>
          <w:bCs/>
          <w:color w:val="000000"/>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95AF5" w:rsidRPr="00C53B42" w14:paraId="6FD296F9" w14:textId="77777777" w:rsidTr="00216DC5">
        <w:trPr>
          <w:trHeight w:val="218"/>
        </w:trPr>
        <w:tc>
          <w:tcPr>
            <w:tcW w:w="2689" w:type="dxa"/>
          </w:tcPr>
          <w:p w14:paraId="35A5B322" w14:textId="77777777" w:rsidR="00F95AF5" w:rsidRPr="00664FA2" w:rsidRDefault="00F95AF5" w:rsidP="00216DC5">
            <w:pPr>
              <w:jc w:val="both"/>
              <w:rPr>
                <w:rFonts w:ascii="Verdana" w:eastAsia="Calibri" w:hAnsi="Verdana" w:cs="Arial"/>
                <w:b/>
                <w:bCs/>
                <w:color w:val="7030A0"/>
                <w:lang w:val="it-IT" w:eastAsia="es-ES_tradnl"/>
              </w:rPr>
            </w:pPr>
          </w:p>
        </w:tc>
        <w:tc>
          <w:tcPr>
            <w:tcW w:w="6100" w:type="dxa"/>
            <w:hideMark/>
          </w:tcPr>
          <w:p w14:paraId="30D5E975" w14:textId="77777777" w:rsidR="00F95AF5" w:rsidRPr="00C53B42" w:rsidRDefault="00F95AF5" w:rsidP="00216DC5">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1385</w:t>
            </w:r>
            <w:r w:rsidRPr="00C53B42">
              <w:rPr>
                <w:rFonts w:ascii="Verdana" w:eastAsia="Calibri" w:hAnsi="Verdana" w:cs="Arial"/>
                <w:b/>
                <w:bCs/>
                <w:lang w:val="es-ES" w:eastAsia="es-ES"/>
              </w:rPr>
              <w:t xml:space="preserve"> de 2025</w:t>
            </w:r>
          </w:p>
          <w:p w14:paraId="1969F9A2" w14:textId="77777777" w:rsidR="00F95AF5" w:rsidRPr="00C53B42" w:rsidRDefault="00F95AF5" w:rsidP="00216DC5">
            <w:pPr>
              <w:jc w:val="both"/>
              <w:rPr>
                <w:rFonts w:ascii="Verdana" w:eastAsia="Calibri" w:hAnsi="Verdana" w:cs="Arial"/>
                <w:b/>
                <w:bCs/>
                <w:lang w:val="es-ES" w:eastAsia="es-ES"/>
              </w:rPr>
            </w:pPr>
          </w:p>
          <w:p w14:paraId="119A844F" w14:textId="77777777" w:rsidR="00F95AF5" w:rsidRPr="00C53B42" w:rsidRDefault="00F95AF5" w:rsidP="00216DC5">
            <w:pPr>
              <w:jc w:val="both"/>
              <w:rPr>
                <w:rFonts w:ascii="Verdana" w:eastAsia="Calibri" w:hAnsi="Verdana" w:cs="Arial"/>
                <w:b/>
                <w:bCs/>
                <w:lang w:val="es-ES" w:eastAsia="es-ES"/>
              </w:rPr>
            </w:pPr>
          </w:p>
        </w:tc>
      </w:tr>
      <w:tr w:rsidR="00F95AF5" w:rsidRPr="00C53B42" w14:paraId="35450CCB" w14:textId="77777777" w:rsidTr="00216DC5">
        <w:trPr>
          <w:trHeight w:val="884"/>
        </w:trPr>
        <w:tc>
          <w:tcPr>
            <w:tcW w:w="2689" w:type="dxa"/>
            <w:hideMark/>
          </w:tcPr>
          <w:p w14:paraId="7CF6CB36" w14:textId="77777777" w:rsidR="00F95AF5" w:rsidRPr="00C53B42" w:rsidRDefault="00F95AF5" w:rsidP="00216DC5">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100" w:type="dxa"/>
            <w:hideMark/>
          </w:tcPr>
          <w:p w14:paraId="22DEC118" w14:textId="77777777" w:rsidR="00F95AF5" w:rsidRDefault="00F95AF5" w:rsidP="00216DC5">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 Tipos de restricciones </w:t>
            </w:r>
            <w:r>
              <w:rPr>
                <w:rFonts w:ascii="Verdana" w:hAnsi="Verdana" w:cs="Arial"/>
                <w:bCs/>
                <w:color w:val="000000" w:themeColor="text1"/>
                <w:lang w:val="es-ES_tradnl"/>
              </w:rPr>
              <w:t xml:space="preserve">/ </w:t>
            </w:r>
            <w:r w:rsidRPr="00C53B42">
              <w:rPr>
                <w:rFonts w:ascii="Verdana" w:hAnsi="Verdana" w:cs="Arial"/>
                <w:bCs/>
                <w:color w:val="000000" w:themeColor="text1"/>
                <w:lang w:val="es-ES_tradnl"/>
              </w:rPr>
              <w:t xml:space="preserve">LEY DE GARANTÍAS ELECTORALES ‒ Tipos de restricciones – Contratación directa / LEY DE GARANTÍAS ELECTORALES – Convenios interadministrativos </w:t>
            </w:r>
          </w:p>
          <w:p w14:paraId="56A26D8A" w14:textId="77777777" w:rsidR="00F95AF5" w:rsidRDefault="00F95AF5" w:rsidP="00216DC5">
            <w:pPr>
              <w:jc w:val="both"/>
              <w:rPr>
                <w:rFonts w:ascii="Verdana" w:hAnsi="Verdana" w:cs="Arial"/>
                <w:bCs/>
                <w:color w:val="000000" w:themeColor="text1"/>
                <w:lang w:val="es-ES_tradnl"/>
              </w:rPr>
            </w:pPr>
          </w:p>
          <w:p w14:paraId="30512D56" w14:textId="77777777" w:rsidR="00F95AF5" w:rsidRPr="00C53B42" w:rsidRDefault="00F95AF5" w:rsidP="00216DC5">
            <w:pPr>
              <w:jc w:val="both"/>
              <w:rPr>
                <w:rFonts w:ascii="Verdana" w:eastAsia="Calibri" w:hAnsi="Verdana" w:cs="Arial"/>
                <w:lang w:val="es-ES" w:eastAsia="es-ES"/>
              </w:rPr>
            </w:pPr>
          </w:p>
        </w:tc>
      </w:tr>
      <w:tr w:rsidR="00F95AF5" w14:paraId="701F38DD" w14:textId="77777777" w:rsidTr="00216DC5">
        <w:tc>
          <w:tcPr>
            <w:tcW w:w="2689" w:type="dxa"/>
            <w:hideMark/>
          </w:tcPr>
          <w:p w14:paraId="35088557" w14:textId="77777777" w:rsidR="00F95AF5" w:rsidRPr="00C53B42" w:rsidRDefault="00F95AF5" w:rsidP="00216DC5">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100" w:type="dxa"/>
          </w:tcPr>
          <w:p w14:paraId="22F019EC" w14:textId="270ED6AC" w:rsidR="00F95AF5" w:rsidRPr="00C53B42" w:rsidRDefault="00F95AF5" w:rsidP="00216DC5">
            <w:pPr>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402036">
              <w:rPr>
                <w:rFonts w:ascii="Verdana" w:eastAsia="Calibri" w:hAnsi="Verdana" w:cs="Arial"/>
                <w:lang w:eastAsia="es-ES_tradnl"/>
              </w:rPr>
              <w:t>1_2025_09_25_010621</w:t>
            </w:r>
          </w:p>
        </w:tc>
      </w:tr>
    </w:tbl>
    <w:p w14:paraId="78D57715" w14:textId="77777777" w:rsidR="00F95AF5" w:rsidRDefault="00F95AF5" w:rsidP="00F95AF5">
      <w:pPr>
        <w:spacing w:after="0" w:line="240" w:lineRule="auto"/>
        <w:jc w:val="both"/>
        <w:rPr>
          <w:rFonts w:ascii="Verdana" w:eastAsia="Calibri" w:hAnsi="Verdana" w:cs="Arial"/>
          <w:color w:val="000000"/>
          <w:lang w:val="es-ES_tradnl" w:eastAsia="es-ES_tradnl"/>
        </w:rPr>
      </w:pPr>
    </w:p>
    <w:p w14:paraId="30466A20" w14:textId="77777777" w:rsidR="00F95AF5" w:rsidRDefault="00F95AF5" w:rsidP="00F95AF5">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Cubillos,</w:t>
      </w:r>
    </w:p>
    <w:p w14:paraId="18620D18" w14:textId="77777777" w:rsidR="00F95AF5" w:rsidRDefault="00F95AF5" w:rsidP="00F95AF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49CFF6E" w14:textId="77777777" w:rsidR="00F95AF5" w:rsidRPr="006A09D6" w:rsidRDefault="00F95AF5" w:rsidP="00F95AF5">
      <w:pPr>
        <w:spacing w:after="0" w:line="276" w:lineRule="auto"/>
        <w:jc w:val="both"/>
        <w:rPr>
          <w:rFonts w:ascii="Verdana" w:eastAsia="Calibri" w:hAnsi="Verdana" w:cs="Arial"/>
          <w:lang w:eastAsia="es-ES_tradnl"/>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w:t>
      </w:r>
      <w:r>
        <w:rPr>
          <w:rFonts w:ascii="Verdana" w:eastAsia="Calibri" w:hAnsi="Verdana" w:cs="Arial"/>
          <w:lang w:eastAsia="es-ES_tradnl"/>
        </w:rPr>
        <w:t xml:space="preserve">remitida por el Departamento Administrativo de la Función Pública – DAFP </w:t>
      </w:r>
      <w:r w:rsidRPr="006A09D6">
        <w:rPr>
          <w:rFonts w:ascii="Verdana" w:eastAsia="Calibri" w:hAnsi="Verdana" w:cs="Arial"/>
          <w:lang w:eastAsia="es-ES_tradnl"/>
        </w:rPr>
        <w:t xml:space="preserve">el </w:t>
      </w:r>
      <w:r>
        <w:rPr>
          <w:rFonts w:ascii="Verdana" w:eastAsia="Calibri" w:hAnsi="Verdana" w:cs="Arial"/>
          <w:lang w:eastAsia="es-ES_tradnl"/>
        </w:rPr>
        <w:t>23 de septiembre</w:t>
      </w:r>
      <w:r w:rsidRPr="006A09D6">
        <w:rPr>
          <w:rFonts w:ascii="Verdana" w:eastAsia="Calibri" w:hAnsi="Verdana" w:cs="Arial"/>
          <w:lang w:eastAsia="es-ES_tradnl"/>
        </w:rPr>
        <w:t xml:space="preserve"> de 2025 con número de radicado</w:t>
      </w:r>
      <w:r>
        <w:rPr>
          <w:rFonts w:ascii="Verdana" w:eastAsia="Calibri" w:hAnsi="Verdana" w:cs="Arial"/>
          <w:lang w:eastAsia="es-ES_tradnl"/>
        </w:rPr>
        <w:t xml:space="preserve"> interno </w:t>
      </w:r>
      <w:r w:rsidRPr="00B02CBD">
        <w:rPr>
          <w:rFonts w:ascii="Verdana" w:eastAsia="Calibri" w:hAnsi="Verdana" w:cs="Arial"/>
          <w:lang w:eastAsia="es-ES_tradnl"/>
        </w:rPr>
        <w:t>20259000630442</w:t>
      </w:r>
      <w:r w:rsidRPr="006A09D6">
        <w:rPr>
          <w:rFonts w:ascii="Verdana" w:eastAsia="Calibri" w:hAnsi="Verdana" w:cs="Arial"/>
          <w:lang w:eastAsia="es-ES_tradnl"/>
        </w:rPr>
        <w:t xml:space="preserve"> y radicada en el sistema de gestión documental de esta Agencia el </w:t>
      </w:r>
      <w:r>
        <w:rPr>
          <w:rFonts w:ascii="Verdana" w:eastAsia="Calibri" w:hAnsi="Verdana" w:cs="Arial"/>
          <w:lang w:eastAsia="es-ES_tradnl"/>
        </w:rPr>
        <w:t xml:space="preserve">25 de septiembre </w:t>
      </w:r>
      <w:r w:rsidRPr="006A09D6">
        <w:rPr>
          <w:rFonts w:ascii="Verdana" w:eastAsia="Calibri" w:hAnsi="Verdana" w:cs="Arial"/>
          <w:lang w:eastAsia="es-ES_tradnl"/>
        </w:rPr>
        <w:t>de 2025, consulta hecha en los siguientes términos:</w:t>
      </w:r>
    </w:p>
    <w:p w14:paraId="15FFCACC" w14:textId="77777777" w:rsidR="00F95AF5" w:rsidRPr="00DA5E45" w:rsidRDefault="00F95AF5" w:rsidP="00F95AF5">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1113B18E" w14:textId="77777777" w:rsidR="00F95AF5" w:rsidRPr="00FF007A" w:rsidRDefault="00F95AF5" w:rsidP="00F95AF5">
      <w:pPr>
        <w:spacing w:after="0" w:line="240" w:lineRule="auto"/>
        <w:ind w:left="709" w:right="709"/>
        <w:jc w:val="both"/>
        <w:rPr>
          <w:rFonts w:ascii="Verdana" w:eastAsia="Century Gothic" w:hAnsi="Verdana" w:cs="Century Gothic"/>
          <w:sz w:val="20"/>
          <w:szCs w:val="20"/>
        </w:rPr>
      </w:pPr>
      <w:bookmarkStart w:id="1" w:name="_Hlk192699624"/>
      <w:bookmarkStart w:id="2" w:name="_Hlk199394899"/>
      <w:r w:rsidRPr="00FF007A">
        <w:rPr>
          <w:rFonts w:ascii="Verdana" w:eastAsia="Century Gothic" w:hAnsi="Verdana" w:cs="Century Gothic"/>
          <w:sz w:val="20"/>
          <w:szCs w:val="20"/>
        </w:rPr>
        <w:t>“</w:t>
      </w:r>
      <w:bookmarkEnd w:id="1"/>
      <w:bookmarkEnd w:id="2"/>
      <w:r w:rsidRPr="00121B54">
        <w:rPr>
          <w:rFonts w:ascii="Verdana" w:eastAsia="Century Gothic" w:hAnsi="Verdana" w:cs="Century Gothic"/>
          <w:sz w:val="20"/>
          <w:szCs w:val="20"/>
        </w:rPr>
        <w:t xml:space="preserve">Un municipio del Choco, los contratos de </w:t>
      </w:r>
      <w:proofErr w:type="spellStart"/>
      <w:r w:rsidRPr="00121B54">
        <w:rPr>
          <w:rFonts w:ascii="Verdana" w:eastAsia="Century Gothic" w:hAnsi="Verdana" w:cs="Century Gothic"/>
          <w:sz w:val="20"/>
          <w:szCs w:val="20"/>
        </w:rPr>
        <w:t>prestacion</w:t>
      </w:r>
      <w:proofErr w:type="spellEnd"/>
      <w:r w:rsidRPr="00121B54">
        <w:rPr>
          <w:rFonts w:ascii="Verdana" w:eastAsia="Century Gothic" w:hAnsi="Verdana" w:cs="Century Gothic"/>
          <w:sz w:val="20"/>
          <w:szCs w:val="20"/>
        </w:rPr>
        <w:t xml:space="preserve"> de servicios terminan el 31 de diciembre de 2025, en noviembre de 2025 </w:t>
      </w:r>
      <w:proofErr w:type="gramStart"/>
      <w:r w:rsidRPr="00121B54">
        <w:rPr>
          <w:rFonts w:ascii="Verdana" w:eastAsia="Century Gothic" w:hAnsi="Verdana" w:cs="Century Gothic"/>
          <w:sz w:val="20"/>
          <w:szCs w:val="20"/>
        </w:rPr>
        <w:t>entra en vigencia</w:t>
      </w:r>
      <w:proofErr w:type="gramEnd"/>
      <w:r w:rsidRPr="00121B54">
        <w:rPr>
          <w:rFonts w:ascii="Verdana" w:eastAsia="Century Gothic" w:hAnsi="Verdana" w:cs="Century Gothic"/>
          <w:sz w:val="20"/>
          <w:szCs w:val="20"/>
        </w:rPr>
        <w:t xml:space="preserve"> la ley de </w:t>
      </w:r>
      <w:proofErr w:type="spellStart"/>
      <w:r w:rsidRPr="00121B54">
        <w:rPr>
          <w:rFonts w:ascii="Verdana" w:eastAsia="Century Gothic" w:hAnsi="Verdana" w:cs="Century Gothic"/>
          <w:sz w:val="20"/>
          <w:szCs w:val="20"/>
        </w:rPr>
        <w:t>garantias</w:t>
      </w:r>
      <w:proofErr w:type="spellEnd"/>
      <w:r w:rsidRPr="00121B54">
        <w:rPr>
          <w:rFonts w:ascii="Verdana" w:eastAsia="Century Gothic" w:hAnsi="Verdana" w:cs="Century Gothic"/>
          <w:sz w:val="20"/>
          <w:szCs w:val="20"/>
        </w:rPr>
        <w:t xml:space="preserve"> en Colombia. Se pregunta: </w:t>
      </w:r>
      <w:proofErr w:type="gramStart"/>
      <w:r w:rsidRPr="00121B54">
        <w:rPr>
          <w:rFonts w:ascii="Verdana" w:eastAsia="Century Gothic" w:hAnsi="Verdana" w:cs="Century Gothic"/>
          <w:sz w:val="20"/>
          <w:szCs w:val="20"/>
        </w:rPr>
        <w:t>se puede contratar en OPS con vigencia futuras?</w:t>
      </w:r>
      <w:proofErr w:type="gramEnd"/>
      <w:r w:rsidRPr="00121B54">
        <w:rPr>
          <w:rFonts w:ascii="Verdana" w:eastAsia="Century Gothic" w:hAnsi="Verdana" w:cs="Century Gothic"/>
          <w:sz w:val="20"/>
          <w:szCs w:val="20"/>
        </w:rPr>
        <w:t xml:space="preserve"> </w:t>
      </w:r>
      <w:proofErr w:type="gramStart"/>
      <w:r w:rsidRPr="00121B54">
        <w:rPr>
          <w:rFonts w:ascii="Verdana" w:eastAsia="Century Gothic" w:hAnsi="Verdana" w:cs="Century Gothic"/>
          <w:sz w:val="20"/>
          <w:szCs w:val="20"/>
        </w:rPr>
        <w:t>cual es el procedimiento para contratar el personal o contratistas en el municipio en la modalidad de OPS para la vigencia 2026?</w:t>
      </w:r>
      <w:r w:rsidRPr="00FF007A">
        <w:rPr>
          <w:rFonts w:ascii="Verdana" w:hAnsi="Verdana"/>
          <w:sz w:val="20"/>
          <w:szCs w:val="20"/>
        </w:rPr>
        <w:t>”.</w:t>
      </w:r>
      <w:r>
        <w:rPr>
          <w:rFonts w:ascii="Verdana" w:hAnsi="Verdana"/>
          <w:sz w:val="20"/>
          <w:szCs w:val="20"/>
        </w:rPr>
        <w:t>[</w:t>
      </w:r>
      <w:proofErr w:type="gramEnd"/>
      <w:r>
        <w:rPr>
          <w:rFonts w:ascii="Verdana" w:hAnsi="Verdana"/>
          <w:sz w:val="20"/>
          <w:szCs w:val="20"/>
        </w:rPr>
        <w:t>sic]</w:t>
      </w:r>
    </w:p>
    <w:p w14:paraId="0325CF94" w14:textId="77777777" w:rsidR="009D705E" w:rsidRPr="00FF007A" w:rsidRDefault="009D705E" w:rsidP="00F95AF5">
      <w:pPr>
        <w:spacing w:after="0" w:line="240" w:lineRule="auto"/>
        <w:ind w:left="709" w:right="709"/>
        <w:jc w:val="both"/>
        <w:rPr>
          <w:rFonts w:ascii="Verdana" w:hAnsi="Verdana"/>
          <w:sz w:val="20"/>
          <w:szCs w:val="20"/>
        </w:rPr>
      </w:pPr>
    </w:p>
    <w:p w14:paraId="027BE31C" w14:textId="77777777" w:rsidR="00F95AF5" w:rsidRPr="00FF007A" w:rsidRDefault="00F95AF5" w:rsidP="00F95AF5">
      <w:pPr>
        <w:spacing w:after="120"/>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FF007A">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5C45C7F" w14:textId="77777777" w:rsidR="00F95AF5" w:rsidRPr="00983C76" w:rsidRDefault="00F95AF5" w:rsidP="00F95AF5">
      <w:pPr>
        <w:spacing w:after="120"/>
        <w:ind w:firstLine="709"/>
        <w:jc w:val="both"/>
        <w:rPr>
          <w:rFonts w:ascii="Verdana" w:eastAsia="Calibri" w:hAnsi="Verdana" w:cs="Arial"/>
          <w:color w:val="000000"/>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91D5E3D" w14:textId="77777777" w:rsidR="00F95AF5" w:rsidRPr="00FF007A" w:rsidRDefault="00F95AF5" w:rsidP="00F95AF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FF007A">
        <w:rPr>
          <w:rFonts w:ascii="Verdana" w:eastAsia="Century Gothic" w:hAnsi="Verdana" w:cs="Century Gothic"/>
          <w:b/>
          <w:bCs/>
          <w:lang w:val="es-CO"/>
        </w:rPr>
        <w:t>Problema planteado:</w:t>
      </w:r>
    </w:p>
    <w:p w14:paraId="36B51C6F" w14:textId="77777777" w:rsidR="00F95AF5" w:rsidRPr="00FF007A" w:rsidRDefault="00F95AF5" w:rsidP="00F95AF5">
      <w:pPr>
        <w:spacing w:after="0" w:line="240" w:lineRule="auto"/>
        <w:jc w:val="both"/>
        <w:rPr>
          <w:rFonts w:ascii="Verdana" w:eastAsia="Calibri" w:hAnsi="Verdana" w:cs="Arial"/>
          <w:color w:val="000000"/>
          <w:lang w:eastAsia="es-ES"/>
        </w:rPr>
      </w:pPr>
    </w:p>
    <w:p w14:paraId="5D1092BB" w14:textId="648D5B2B" w:rsidR="00F95AF5" w:rsidRDefault="00F95AF5" w:rsidP="00F95AF5">
      <w:pPr>
        <w:spacing w:after="120"/>
        <w:jc w:val="both"/>
        <w:rPr>
          <w:rFonts w:ascii="Verdana" w:eastAsia="Century Gothic" w:hAnsi="Verdana" w:cs="Century Gothic"/>
          <w:color w:val="000000" w:themeColor="text1"/>
        </w:rPr>
      </w:pPr>
      <w:r w:rsidRPr="00FF007A">
        <w:rPr>
          <w:rFonts w:ascii="Verdana" w:eastAsia="Calibri" w:hAnsi="Verdana" w:cs="Arial"/>
          <w:color w:val="000000"/>
          <w:lang w:eastAsia="es-ES"/>
        </w:rPr>
        <w:t>De acuerdo con el contenido de su solicitud, esta Agencia resolverá el siguiente problema jurídico</w:t>
      </w:r>
      <w:r>
        <w:rPr>
          <w:rFonts w:ascii="Verdana" w:eastAsia="Calibri" w:hAnsi="Verdana" w:cs="Arial"/>
          <w:color w:val="000000"/>
          <w:lang w:eastAsia="es-ES"/>
        </w:rPr>
        <w:t xml:space="preserve">: </w:t>
      </w:r>
      <w:r w:rsidR="003F5C72">
        <w:rPr>
          <w:rFonts w:ascii="Verdana" w:eastAsia="Calibri" w:hAnsi="Verdana" w:cs="Arial"/>
          <w:color w:val="000000"/>
          <w:lang w:eastAsia="es-ES"/>
        </w:rPr>
        <w:t>¿</w:t>
      </w:r>
      <w:r w:rsidR="003F5C72" w:rsidRPr="003F5C72">
        <w:rPr>
          <w:rFonts w:ascii="Verdana" w:eastAsia="Calibri" w:hAnsi="Verdana" w:cs="Arial"/>
          <w:color w:val="000000"/>
          <w:lang w:eastAsia="es-ES"/>
        </w:rPr>
        <w:t>Cuáles son las medidas que deben adoptar las entidades estatales para gestionar</w:t>
      </w:r>
      <w:r w:rsidR="000863D9">
        <w:rPr>
          <w:rFonts w:ascii="Verdana" w:eastAsia="Calibri" w:hAnsi="Verdana" w:cs="Arial"/>
          <w:color w:val="000000"/>
          <w:lang w:eastAsia="es-ES"/>
        </w:rPr>
        <w:t xml:space="preserve"> </w:t>
      </w:r>
      <w:r w:rsidR="003F5C72" w:rsidRPr="003F5C72">
        <w:rPr>
          <w:rFonts w:ascii="Verdana" w:eastAsia="Calibri" w:hAnsi="Verdana" w:cs="Arial"/>
          <w:color w:val="000000"/>
          <w:lang w:eastAsia="es-ES"/>
        </w:rPr>
        <w:t>los procesos de contratación de servicios profesionales y/o de apoyo a la gestión bajo la modalidad de contratación directa durante la vigencia 2026, considerando las restricciones impuestas por la Ley de Garantías Electorales?</w:t>
      </w:r>
      <w:r w:rsidR="00EF1C58">
        <w:rPr>
          <w:rFonts w:ascii="Verdana" w:eastAsia="Century Gothic" w:hAnsi="Verdana" w:cs="Century Gothic"/>
          <w:color w:val="000000" w:themeColor="text1"/>
        </w:rPr>
        <w:t xml:space="preserve"> </w:t>
      </w:r>
    </w:p>
    <w:p w14:paraId="5FDA09EA" w14:textId="77777777" w:rsidR="00F95AF5" w:rsidRPr="00FF007A" w:rsidRDefault="00F95AF5" w:rsidP="00F95AF5">
      <w:pPr>
        <w:spacing w:after="120"/>
        <w:jc w:val="both"/>
        <w:rPr>
          <w:rFonts w:ascii="Verdana" w:eastAsia="Century Gothic" w:hAnsi="Verdana" w:cs="Century Gothic"/>
          <w:b/>
          <w:bCs/>
        </w:rPr>
      </w:pPr>
      <w:r w:rsidRPr="43C26B61">
        <w:rPr>
          <w:rFonts w:ascii="Verdana" w:eastAsia="Century Gothic" w:hAnsi="Verdana" w:cs="Century Gothic"/>
          <w:color w:val="000000" w:themeColor="text1"/>
        </w:rPr>
        <w:t xml:space="preserve"> </w:t>
      </w:r>
      <w:r w:rsidRPr="43C26B61">
        <w:rPr>
          <w:rFonts w:ascii="Verdana" w:eastAsia="Century Gothic" w:hAnsi="Verdana" w:cs="Century Gothic"/>
          <w:b/>
          <w:bCs/>
        </w:rPr>
        <w:t>2. Respuesta:</w:t>
      </w:r>
    </w:p>
    <w:p w14:paraId="4ABB4B1F" w14:textId="77777777" w:rsidR="00F95AF5" w:rsidRPr="00FF007A" w:rsidRDefault="00F95AF5" w:rsidP="00F95AF5">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F95AF5" w:rsidRPr="00FF007A" w14:paraId="58393CA8" w14:textId="77777777" w:rsidTr="79F3ED1A">
        <w:tc>
          <w:tcPr>
            <w:tcW w:w="8828" w:type="dxa"/>
          </w:tcPr>
          <w:p w14:paraId="0E3DBA6F" w14:textId="77777777" w:rsidR="00F95AF5" w:rsidRPr="00FF007A" w:rsidRDefault="00F95AF5" w:rsidP="00216DC5">
            <w:pPr>
              <w:spacing w:after="120" w:line="276" w:lineRule="auto"/>
              <w:jc w:val="both"/>
              <w:rPr>
                <w:rFonts w:ascii="Verdana" w:eastAsia="Arial" w:hAnsi="Verdana" w:cs="Arial"/>
                <w:lang w:eastAsia="es-ES" w:bidi="es-ES"/>
              </w:rPr>
            </w:pPr>
            <w:r w:rsidRPr="00FF007A">
              <w:rPr>
                <w:rFonts w:ascii="Verdana" w:eastAsia="Arial" w:hAnsi="Verdana" w:cs="Arial"/>
                <w:lang w:eastAsia="es-ES" w:bidi="es-ES"/>
              </w:rPr>
              <w:t xml:space="preserve">Las restricciones consagradas en la Ley de Garantías se dirigen a dos (2) tipos de campañas electorales diferenciadas: </w:t>
            </w:r>
            <w:r>
              <w:rPr>
                <w:rFonts w:ascii="Verdana" w:eastAsia="Arial" w:hAnsi="Verdana" w:cs="Arial"/>
                <w:lang w:eastAsia="es-ES" w:bidi="es-ES"/>
              </w:rPr>
              <w:t xml:space="preserve">i) </w:t>
            </w:r>
            <w:r w:rsidRPr="00FF007A">
              <w:rPr>
                <w:rFonts w:ascii="Verdana" w:eastAsia="Arial" w:hAnsi="Verdana" w:cs="Arial"/>
                <w:lang w:eastAsia="es-ES" w:bidi="es-ES"/>
              </w:rPr>
              <w:t xml:space="preserve">las presidenciales y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las que se adelanten para la elección de los demás cargos de elección popular, tanto a nivel nacional como territorial.</w:t>
            </w:r>
          </w:p>
          <w:p w14:paraId="7125E374" w14:textId="77777777" w:rsidR="00F95AF5" w:rsidRPr="00FF007A" w:rsidRDefault="00F95AF5" w:rsidP="00216DC5">
            <w:pPr>
              <w:spacing w:after="120" w:line="276" w:lineRule="auto"/>
              <w:ind w:firstLine="709"/>
              <w:jc w:val="both"/>
              <w:rPr>
                <w:rFonts w:ascii="Verdana" w:eastAsia="Calibri" w:hAnsi="Verdana" w:cs="Arial"/>
              </w:rPr>
            </w:pPr>
            <w:r>
              <w:rPr>
                <w:rFonts w:ascii="Verdana" w:eastAsia="Calibri" w:hAnsi="Verdana" w:cs="Arial"/>
              </w:rPr>
              <w:t xml:space="preserve">Para las primeras, es decir las presidencias, </w:t>
            </w:r>
            <w:r w:rsidRPr="00FF007A">
              <w:rPr>
                <w:rFonts w:ascii="Verdana" w:eastAsia="Calibri" w:hAnsi="Verdana" w:cs="Arial"/>
              </w:rPr>
              <w:t xml:space="preserve">el </w:t>
            </w:r>
            <w:r w:rsidRPr="00FF007A">
              <w:rPr>
                <w:rFonts w:ascii="Verdana" w:eastAsia="Calibri" w:hAnsi="Verdana" w:cs="Arial"/>
                <w:i/>
                <w:iCs/>
              </w:rPr>
              <w:t xml:space="preserve">artículo 33 </w:t>
            </w:r>
            <w:r w:rsidRPr="00FF007A">
              <w:rPr>
                <w:rFonts w:ascii="Verdana" w:eastAsia="Calibri" w:hAnsi="Verdana" w:cs="Arial"/>
              </w:rPr>
              <w:t>de la Ley 996 de 2005 prohíbe “</w:t>
            </w:r>
            <w:r>
              <w:rPr>
                <w:rFonts w:ascii="Verdana" w:eastAsia="Calibri" w:hAnsi="Verdana" w:cs="Arial"/>
              </w:rPr>
              <w:t>(…)</w:t>
            </w:r>
            <w:r w:rsidRPr="00FF007A">
              <w:rPr>
                <w:rFonts w:ascii="Verdana" w:eastAsia="Calibri" w:hAnsi="Verdana" w:cs="Arial"/>
              </w:rPr>
              <w:t xml:space="preserve"> la contratación directa por parte de </w:t>
            </w:r>
            <w:r w:rsidRPr="00FF007A">
              <w:rPr>
                <w:rFonts w:ascii="Verdana" w:eastAsia="Calibri" w:hAnsi="Verdana" w:cs="Arial"/>
                <w:i/>
                <w:iCs/>
              </w:rPr>
              <w:t>todos los entes del Estado</w:t>
            </w:r>
            <w:r w:rsidRPr="00FF007A">
              <w:rPr>
                <w:rFonts w:ascii="Verdana" w:eastAsia="Calibri" w:hAnsi="Verdana" w:cs="Arial"/>
              </w:rPr>
              <w:t xml:space="preserve">” durante los cuatro (4) meses anteriores a las </w:t>
            </w:r>
            <w:r w:rsidRPr="00FF007A">
              <w:rPr>
                <w:rFonts w:ascii="Verdana" w:eastAsia="Calibri" w:hAnsi="Verdana" w:cs="Arial"/>
                <w:i/>
                <w:iCs/>
              </w:rPr>
              <w:t>elecciones presidenciales</w:t>
            </w:r>
            <w:r w:rsidRPr="00FF007A">
              <w:rPr>
                <w:rFonts w:ascii="Verdana" w:eastAsia="Calibri" w:hAnsi="Verdana" w:cs="Arial"/>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w:t>
            </w:r>
            <w:r w:rsidRPr="00FF007A">
              <w:rPr>
                <w:rFonts w:ascii="Verdana" w:eastAsia="Calibri" w:hAnsi="Verdana" w:cs="Arial"/>
              </w:rPr>
              <w:lastRenderedPageBreak/>
              <w:t>terroristas, desastres naturales o casos de fuerza mayor, y los que deban realizar las entidades sanitarias y hospitalarias”.</w:t>
            </w:r>
          </w:p>
          <w:p w14:paraId="5593BCA5" w14:textId="77777777" w:rsidR="00F95AF5" w:rsidRDefault="00F95AF5" w:rsidP="00216DC5">
            <w:pPr>
              <w:widowControl w:val="0"/>
              <w:autoSpaceDE w:val="0"/>
              <w:autoSpaceDN w:val="0"/>
              <w:spacing w:after="120" w:line="276" w:lineRule="auto"/>
              <w:ind w:right="113" w:firstLine="709"/>
              <w:jc w:val="both"/>
              <w:rPr>
                <w:rFonts w:ascii="Verdana" w:eastAsia="Arial" w:hAnsi="Verdana" w:cs="Arial"/>
                <w:lang w:eastAsia="es-ES" w:bidi="es-ES"/>
              </w:rPr>
            </w:pPr>
            <w:r w:rsidRPr="00FF007A">
              <w:rPr>
                <w:rFonts w:ascii="Verdana" w:eastAsia="Calibri" w:hAnsi="Verdana" w:cs="Arial"/>
              </w:rPr>
              <w:t>Por otro lado,</w:t>
            </w:r>
            <w:r>
              <w:rPr>
                <w:rFonts w:ascii="Verdana" w:eastAsia="Calibri" w:hAnsi="Verdana" w:cs="Arial"/>
              </w:rPr>
              <w:t xml:space="preserve"> para las segundas,</w:t>
            </w:r>
            <w:r w:rsidRPr="00FF007A">
              <w:rPr>
                <w:rFonts w:ascii="Verdana" w:eastAsia="Calibri" w:hAnsi="Verdana" w:cs="Arial"/>
              </w:rPr>
              <w:t xml:space="preserve"> </w:t>
            </w:r>
            <w:r w:rsidRPr="00FF007A">
              <w:rPr>
                <w:rFonts w:ascii="Verdana" w:eastAsia="Calibri" w:hAnsi="Verdana" w:cs="Arial"/>
                <w:i/>
                <w:iCs/>
              </w:rPr>
              <w:t xml:space="preserve">el parágrafo del artículo 38 </w:t>
            </w:r>
            <w:r w:rsidRPr="00FF007A">
              <w:rPr>
                <w:rFonts w:ascii="Verdana" w:eastAsia="Calibri" w:hAnsi="Verdana" w:cs="Arial"/>
              </w:rPr>
              <w:t xml:space="preserve">de la Ley 996 de 2005 prevé una restricción, aplicable respecto de </w:t>
            </w:r>
            <w:r w:rsidRPr="00FF007A">
              <w:rPr>
                <w:rFonts w:ascii="Verdana" w:eastAsia="Calibri" w:hAnsi="Verdana" w:cs="Arial"/>
                <w:i/>
                <w:iCs/>
              </w:rPr>
              <w:t>cualquier tipo de contienda electoral</w:t>
            </w:r>
            <w:r w:rsidRPr="00FF007A">
              <w:rPr>
                <w:rFonts w:ascii="Verdana" w:eastAsia="Calibri" w:hAnsi="Verdana" w:cs="Arial"/>
              </w:rPr>
              <w:t>, que prohíbe a los gobernadores, alcaldes municipales o distritales, secretarios, gerentes y directores de entidades descentralizadas del orden municipal, departamental o distrital “</w:t>
            </w:r>
            <w:r>
              <w:rPr>
                <w:rFonts w:ascii="Verdana" w:eastAsia="Calibri" w:hAnsi="Verdana" w:cs="Arial"/>
              </w:rPr>
              <w:t xml:space="preserve">(…) </w:t>
            </w:r>
            <w:r w:rsidRPr="00FF007A">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Arial" w:hAnsi="Verdana" w:cs="Arial"/>
                <w:lang w:eastAsia="es-ES" w:bidi="es-ES"/>
              </w:rPr>
              <w:t xml:space="preserve"> </w:t>
            </w:r>
          </w:p>
          <w:p w14:paraId="57151038" w14:textId="2C8896DD" w:rsidR="00A71CFE" w:rsidRDefault="00A71CFE" w:rsidP="00A71CFE">
            <w:pPr>
              <w:spacing w:after="120" w:line="276" w:lineRule="auto"/>
              <w:ind w:firstLine="709"/>
              <w:jc w:val="both"/>
              <w:rPr>
                <w:rFonts w:ascii="Verdana" w:eastAsia="Calibri" w:hAnsi="Verdana" w:cs="Arial"/>
              </w:rPr>
            </w:pPr>
            <w:r>
              <w:rPr>
                <w:rFonts w:ascii="Verdana" w:eastAsia="Calibri" w:hAnsi="Verdana" w:cs="Arial"/>
              </w:rPr>
              <w:t xml:space="preserve">Ahora bien, en respuesta al problema jurídico planteado, </w:t>
            </w:r>
            <w:r w:rsidR="005A4555">
              <w:rPr>
                <w:rFonts w:ascii="Verdana" w:eastAsia="Calibri" w:hAnsi="Verdana" w:cs="Arial"/>
              </w:rPr>
              <w:t>l</w:t>
            </w:r>
            <w:r w:rsidRPr="00FF007A">
              <w:rPr>
                <w:rFonts w:ascii="Verdana" w:eastAsia="Calibri" w:hAnsi="Verdana" w:cs="Arial"/>
              </w:rPr>
              <w:t>a</w:t>
            </w:r>
            <w:r w:rsidRPr="003C4660">
              <w:rPr>
                <w:rFonts w:ascii="Verdana" w:eastAsia="Calibri" w:hAnsi="Verdana" w:cs="Arial"/>
              </w:rPr>
              <w:t xml:space="preserve"> Ley 996 de 2005 establece restricciones a la contratación directa y a los convenios interadministrativos, con el fin </w:t>
            </w:r>
            <w:r w:rsidRPr="00A350B8">
              <w:rPr>
                <w:rFonts w:ascii="Verdana" w:eastAsia="Calibri" w:hAnsi="Verdana" w:cs="Arial"/>
              </w:rPr>
              <w:t xml:space="preserve">de asegurar la transparencia y la igualdad en los procesos democráticos. </w:t>
            </w:r>
            <w:r w:rsidRPr="003C4660">
              <w:rPr>
                <w:rFonts w:ascii="Verdana" w:eastAsia="Calibri" w:hAnsi="Verdana" w:cs="Arial"/>
              </w:rPr>
              <w:t>La restricción a la celebración de convenios interadministrativos aplicable a las entidades territoriales y sus entes descentralizados inicia el 8 de noviembre de 2025, mientras que la restricción general a la contratación directa que cobija a todas la</w:t>
            </w:r>
            <w:r>
              <w:rPr>
                <w:rFonts w:ascii="Verdana" w:eastAsia="Calibri" w:hAnsi="Verdana" w:cs="Arial"/>
              </w:rPr>
              <w:t>s</w:t>
            </w:r>
            <w:r w:rsidRPr="003C4660">
              <w:rPr>
                <w:rFonts w:ascii="Verdana" w:eastAsia="Calibri" w:hAnsi="Verdana" w:cs="Arial"/>
              </w:rPr>
              <w:t xml:space="preserve"> Entidades Estatales comienza a regir a partir del 31 de enero de 2026. Ambas restricciones se mantendrán hasta el 31 de mayo, o hasta el 21 de junio en caso de requerirse segunda vuelta en las elecciones presidenciales.</w:t>
            </w:r>
          </w:p>
          <w:p w14:paraId="5E1C1227" w14:textId="2347F70A" w:rsidR="00A71CFE" w:rsidRPr="003C4660" w:rsidRDefault="00A71CFE" w:rsidP="00A71CFE">
            <w:pPr>
              <w:tabs>
                <w:tab w:val="num" w:pos="720"/>
              </w:tabs>
              <w:spacing w:before="120" w:after="120" w:line="276" w:lineRule="auto"/>
              <w:ind w:firstLine="709"/>
              <w:jc w:val="both"/>
              <w:rPr>
                <w:rFonts w:ascii="Verdana" w:eastAsia="Calibri" w:hAnsi="Verdana" w:cs="Arial"/>
              </w:rPr>
            </w:pPr>
            <w:r w:rsidRPr="79F3ED1A">
              <w:rPr>
                <w:rFonts w:ascii="Verdana" w:eastAsia="Calibri" w:hAnsi="Verdana" w:cs="Arial"/>
              </w:rPr>
              <w:t xml:space="preserve">En consecuencia, las entidades estatales podrán celebrar contratos bajo la modalidad de contratación directa para la vigencia 2026 a partir del primero (1) de enero de 2026 y hasta el 30 de enero de 2026, siempre que se cumplan los requisitos legales y se haya adelantado oportunamente la planeación contractual. Para ello, y en aplicación del principio de planeación, se recomienda a las entidades adoptar anticipadamente las medidas necesarias en su gestión contractual con el fin de evitar que las restricciones impuestas por la Ley de Garantías afecten el funcionamiento de las entidades y el cumplimiento de los fines institucionales, esto implica, entre otras acciones, la estructuración técnica y jurídica, la elaboración oportuna de los estudios previos de los procesos de selección, así como la inclusión adecuada de las necesidades en el Plan Anual de Adquisiciones. Asimismo, resulta aconsejable prever escenarios de contingencia que permitan atender necesidades urgentes o inaplazables, sin incurrir en actuaciones que puedan comprometer las </w:t>
            </w:r>
            <w:r w:rsidRPr="79F3ED1A">
              <w:rPr>
                <w:rFonts w:ascii="Verdana" w:eastAsia="Calibri" w:hAnsi="Verdana" w:cs="Arial"/>
              </w:rPr>
              <w:lastRenderedPageBreak/>
              <w:t>restricciones de la Ley de Garantías</w:t>
            </w:r>
            <w:r w:rsidR="7E721A68" w:rsidRPr="79F3ED1A">
              <w:rPr>
                <w:rFonts w:ascii="Verdana" w:eastAsia="Calibri" w:hAnsi="Verdana" w:cs="Arial"/>
              </w:rPr>
              <w:t>, la</w:t>
            </w:r>
            <w:r w:rsidRPr="79F3ED1A">
              <w:rPr>
                <w:rFonts w:ascii="Verdana" w:eastAsia="Calibri" w:hAnsi="Verdana" w:cs="Arial"/>
              </w:rPr>
              <w:t xml:space="preserve"> legalidad o la transparencia del proceso contractual.</w:t>
            </w:r>
          </w:p>
          <w:p w14:paraId="13AFBED9" w14:textId="44354B59" w:rsidR="00F95AF5" w:rsidRPr="00475122" w:rsidRDefault="00A71CFE" w:rsidP="00216DC5">
            <w:pPr>
              <w:spacing w:before="120" w:after="120" w:line="276" w:lineRule="auto"/>
              <w:ind w:firstLine="709"/>
              <w:jc w:val="both"/>
              <w:rPr>
                <w:rFonts w:ascii="Verdana" w:eastAsia="Calibri" w:hAnsi="Verdana" w:cs="Arial"/>
              </w:rPr>
            </w:pPr>
            <w:r>
              <w:rPr>
                <w:rFonts w:ascii="Verdana" w:eastAsia="Calibri" w:hAnsi="Verdana" w:cs="Arial"/>
              </w:rPr>
              <w:t>Adicionalmente</w:t>
            </w:r>
            <w:r w:rsidR="00F95AF5">
              <w:rPr>
                <w:rFonts w:ascii="Verdana" w:eastAsia="Calibri" w:hAnsi="Verdana" w:cs="Arial"/>
              </w:rPr>
              <w:t xml:space="preserve">, </w:t>
            </w:r>
            <w:r w:rsidR="00F95AF5" w:rsidRPr="003C4660">
              <w:rPr>
                <w:rFonts w:ascii="Verdana" w:eastAsia="Calibri" w:hAnsi="Verdana" w:cs="Arial"/>
              </w:rPr>
              <w:t>Colombia Compra Eficiente</w:t>
            </w:r>
            <w:r w:rsidR="00F95AF5">
              <w:rPr>
                <w:rFonts w:ascii="Verdana" w:eastAsia="Calibri" w:hAnsi="Verdana" w:cs="Arial"/>
              </w:rPr>
              <w:t xml:space="preserve"> le</w:t>
            </w:r>
            <w:r w:rsidR="00F95AF5" w:rsidRPr="003C4660">
              <w:rPr>
                <w:rFonts w:ascii="Verdana" w:eastAsia="Calibri" w:hAnsi="Verdana" w:cs="Arial"/>
              </w:rPr>
              <w:t xml:space="preserve"> invita a consultar la Circular Externa 006 de 2025, donde se detallan las disposiciones, excepciones y lineamientos para las entidades estatales y la ciudadanía</w:t>
            </w:r>
            <w:r w:rsidR="00F95AF5">
              <w:rPr>
                <w:rFonts w:ascii="Verdana" w:eastAsia="Calibri" w:hAnsi="Verdana" w:cs="Arial"/>
              </w:rPr>
              <w:t>, la cual puede ser consultada en el siguiente enlace:</w:t>
            </w:r>
            <w:hyperlink r:id="rId12" w:history="1">
              <w:r w:rsidR="00F95AF5" w:rsidRPr="00A350B8">
                <w:rPr>
                  <w:rStyle w:val="Hipervnculo"/>
                  <w:rFonts w:ascii="Verdana" w:eastAsia="Calibri" w:hAnsi="Verdana" w:cs="Arial"/>
                </w:rPr>
                <w:t>https://www.colombiacompra.gov.co/archivos/circular/circular-externa-006-de-2025</w:t>
              </w:r>
            </w:hyperlink>
          </w:p>
        </w:tc>
      </w:tr>
    </w:tbl>
    <w:p w14:paraId="26D8F138" w14:textId="77777777" w:rsidR="00F95AF5" w:rsidRPr="00FF007A" w:rsidRDefault="00F95AF5" w:rsidP="00F95AF5">
      <w:pPr>
        <w:tabs>
          <w:tab w:val="left" w:pos="142"/>
          <w:tab w:val="left" w:pos="284"/>
        </w:tabs>
        <w:spacing w:after="0" w:line="276" w:lineRule="auto"/>
        <w:jc w:val="both"/>
        <w:rPr>
          <w:rFonts w:ascii="Verdana" w:eastAsia="Century Gothic" w:hAnsi="Verdana" w:cs="Century Gothic"/>
          <w:b/>
          <w:bCs/>
        </w:rPr>
      </w:pPr>
    </w:p>
    <w:p w14:paraId="6BAAB24E" w14:textId="77777777" w:rsidR="00F95AF5" w:rsidRPr="00FF007A" w:rsidRDefault="00F95AF5" w:rsidP="00F95AF5">
      <w:pPr>
        <w:tabs>
          <w:tab w:val="left" w:pos="142"/>
          <w:tab w:val="left" w:pos="284"/>
        </w:tabs>
        <w:spacing w:after="0" w:line="276" w:lineRule="auto"/>
        <w:jc w:val="both"/>
        <w:rPr>
          <w:rFonts w:ascii="Verdana" w:eastAsia="Century Gothic" w:hAnsi="Verdana" w:cs="Century Gothic"/>
          <w:b/>
          <w:bCs/>
        </w:rPr>
      </w:pPr>
      <w:r w:rsidRPr="43C26B61">
        <w:rPr>
          <w:rFonts w:ascii="Verdana" w:eastAsia="Century Gothic" w:hAnsi="Verdana" w:cs="Century Gothic"/>
          <w:b/>
          <w:bCs/>
        </w:rPr>
        <w:t>3. Razones de la respuesta:</w:t>
      </w:r>
    </w:p>
    <w:p w14:paraId="0E8746B0" w14:textId="77777777" w:rsidR="00F95AF5" w:rsidRPr="00FF007A" w:rsidRDefault="00F95AF5" w:rsidP="00F95AF5">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76AF7439" w14:textId="77777777" w:rsidR="00F95AF5" w:rsidRPr="00FF007A" w:rsidRDefault="00F95AF5" w:rsidP="00F95AF5">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440AA7F1" w14:textId="77777777" w:rsidR="00F95AF5" w:rsidRPr="00FF007A" w:rsidRDefault="00F95AF5" w:rsidP="00F95AF5">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67D99E7E" w14:textId="1EFAF07A" w:rsidR="00F95AF5" w:rsidRPr="00FF007A" w:rsidRDefault="00F95AF5" w:rsidP="00F95AF5">
      <w:pPr>
        <w:tabs>
          <w:tab w:val="left" w:pos="426"/>
        </w:tabs>
        <w:spacing w:after="120" w:line="276" w:lineRule="auto"/>
        <w:jc w:val="both"/>
        <w:rPr>
          <w:rFonts w:ascii="Verdana" w:eastAsia="Times New Roman" w:hAnsi="Verdana" w:cs="Arial"/>
          <w:lang w:eastAsia="es-CO"/>
        </w:rPr>
      </w:pPr>
      <w:bookmarkStart w:id="3" w:name="_Hlk209416551"/>
      <w:bookmarkStart w:id="4" w:name="_Hlk204854194"/>
      <w:r w:rsidRPr="00FF007A">
        <w:rPr>
          <w:rFonts w:ascii="Verdana" w:eastAsia="Calibri" w:hAnsi="Verdana" w:cs="Arial"/>
        </w:rPr>
        <w:t>El ordenamiento jurídico colombiano contempla medidas para evitar la obtención de beneficios personales en asuntos propios de la administración pública</w:t>
      </w:r>
      <w:r w:rsidRPr="00FF007A">
        <w:rPr>
          <w:rFonts w:ascii="Verdana" w:eastAsia="Calibri" w:hAnsi="Verdana" w:cs="Arial"/>
          <w:i/>
        </w:rPr>
        <w:t xml:space="preserve">. </w:t>
      </w:r>
      <w:r w:rsidRPr="00FF007A">
        <w:rPr>
          <w:rFonts w:ascii="Verdana" w:eastAsia="Calibri" w:hAnsi="Verdana" w:cs="Arial"/>
        </w:rPr>
        <w:t>Por ejemplo, el artículo 127 de la Constitución Política establece una prohibición contractual a los servidores públicos y, en cuanto a aspectos políticos, señala restricciones a ciertos empleados del Estado, incluso en época no electoral</w:t>
      </w:r>
      <w:r w:rsidRPr="00FF007A">
        <w:rPr>
          <w:rFonts w:ascii="Verdana" w:hAnsi="Verdana"/>
          <w:vertAlign w:val="superscript"/>
        </w:rPr>
        <w:footnoteReference w:id="2"/>
      </w:r>
      <w:r w:rsidRPr="00FF007A">
        <w:rPr>
          <w:rFonts w:ascii="Verdana" w:eastAsia="Calibri" w:hAnsi="Verdana" w:cs="Arial"/>
        </w:rPr>
        <w:t xml:space="preserve">. </w:t>
      </w:r>
    </w:p>
    <w:p w14:paraId="22A22EBA" w14:textId="77777777" w:rsidR="00F95AF5" w:rsidRPr="00FF007A" w:rsidRDefault="00F95AF5" w:rsidP="00A03CAD">
      <w:pPr>
        <w:tabs>
          <w:tab w:val="left" w:pos="426"/>
        </w:tabs>
        <w:spacing w:before="120" w:after="120" w:line="276" w:lineRule="auto"/>
        <w:ind w:firstLine="425"/>
        <w:jc w:val="both"/>
        <w:rPr>
          <w:rFonts w:ascii="Verdana" w:eastAsia="Calibri" w:hAnsi="Verdana" w:cs="Arial"/>
        </w:rPr>
      </w:pPr>
      <w:r w:rsidRPr="00FF007A">
        <w:rPr>
          <w:rFonts w:ascii="Verdana" w:eastAsia="Times New Roman" w:hAnsi="Verdana" w:cs="Arial"/>
          <w:lang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F007A">
        <w:rPr>
          <w:rFonts w:ascii="Verdana" w:eastAsia="Times New Roman" w:hAnsi="Verdana" w:cs="Arial"/>
          <w:vertAlign w:val="superscript"/>
          <w:lang w:eastAsia="es-CO"/>
        </w:rPr>
        <w:footnoteReference w:id="3"/>
      </w:r>
      <w:r w:rsidRPr="00FF007A">
        <w:rPr>
          <w:rFonts w:ascii="Verdana" w:eastAsia="Times New Roman" w:hAnsi="Verdana" w:cs="Arial"/>
          <w:lang w:eastAsia="es-CO"/>
        </w:rPr>
        <w:t>. En esta medida, introduce limitaciones para realizar nombramientos, postulaciones, contrataciones o cualquier otro tipo de actividad que implique destinación de recursos públicos bajo el devenir propio de las Entidades Estatales.</w:t>
      </w:r>
      <w:r w:rsidRPr="00FF007A">
        <w:rPr>
          <w:rFonts w:ascii="Verdana" w:eastAsia="Calibri" w:hAnsi="Verdana" w:cs="Arial"/>
        </w:rPr>
        <w:t xml:space="preserve"> </w:t>
      </w:r>
    </w:p>
    <w:p w14:paraId="42E75F13" w14:textId="77777777" w:rsidR="00F95AF5" w:rsidRPr="00FF007A" w:rsidRDefault="00F95AF5" w:rsidP="00A03CAD">
      <w:pPr>
        <w:tabs>
          <w:tab w:val="left" w:pos="426"/>
        </w:tabs>
        <w:spacing w:before="120" w:after="0" w:line="276" w:lineRule="auto"/>
        <w:ind w:firstLine="425"/>
        <w:jc w:val="both"/>
        <w:rPr>
          <w:rFonts w:ascii="Verdana" w:eastAsia="Calibri" w:hAnsi="Verdana" w:cs="Arial"/>
        </w:rPr>
      </w:pPr>
      <w:r w:rsidRPr="00FF007A">
        <w:rPr>
          <w:rFonts w:ascii="Verdana" w:eastAsia="Times New Roman" w:hAnsi="Verdana" w:cs="Arial"/>
          <w:lang w:eastAsia="es-CO"/>
        </w:rPr>
        <w:lastRenderedPageBreak/>
        <w:t>En armonía con lo anterior, la Corte Constitucional ha abordado la definición de la Ley de Garantías Electorales. De esta manera, explica que tiene como propósito:</w:t>
      </w:r>
    </w:p>
    <w:p w14:paraId="41373D02" w14:textId="77777777" w:rsidR="00F95AF5" w:rsidRPr="00FF007A" w:rsidRDefault="00F95AF5" w:rsidP="00F95AF5">
      <w:pPr>
        <w:spacing w:after="0" w:line="276" w:lineRule="auto"/>
        <w:ind w:right="709"/>
        <w:jc w:val="both"/>
        <w:rPr>
          <w:rFonts w:ascii="Verdana" w:eastAsia="Times New Roman" w:hAnsi="Verdana" w:cs="Arial"/>
          <w:lang w:eastAsia="es-CO"/>
        </w:rPr>
      </w:pPr>
    </w:p>
    <w:p w14:paraId="7F2C5F26" w14:textId="77777777" w:rsidR="00F95AF5" w:rsidRPr="00FF007A" w:rsidRDefault="00F95AF5" w:rsidP="00F95AF5">
      <w:pPr>
        <w:spacing w:after="0" w:line="240" w:lineRule="auto"/>
        <w:ind w:left="709" w:right="709"/>
        <w:contextualSpacing/>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 la definición de reglas claras que permitan acceder a los canales de expresión democrática de manera efectiva e igualitaria. El objetivo de una ley de garantías es definir esas reglas.</w:t>
      </w:r>
    </w:p>
    <w:p w14:paraId="644B2472" w14:textId="77777777" w:rsidR="00F95AF5" w:rsidRPr="00FF007A" w:rsidRDefault="00F95AF5" w:rsidP="00F95AF5">
      <w:pPr>
        <w:spacing w:after="0" w:line="240" w:lineRule="auto"/>
        <w:ind w:left="709" w:right="709"/>
        <w:contextualSpacing/>
        <w:jc w:val="both"/>
        <w:rPr>
          <w:rFonts w:ascii="Verdana" w:eastAsia="Times New Roman" w:hAnsi="Verdana" w:cs="Arial"/>
          <w:sz w:val="20"/>
          <w:szCs w:val="20"/>
          <w:lang w:eastAsia="es-CO"/>
        </w:rPr>
      </w:pPr>
    </w:p>
    <w:p w14:paraId="31C21C21" w14:textId="77777777" w:rsidR="00F95AF5" w:rsidRPr="00FF007A" w:rsidRDefault="00F95AF5" w:rsidP="00F95AF5">
      <w:pPr>
        <w:spacing w:after="0" w:line="240" w:lineRule="auto"/>
        <w:ind w:left="709" w:right="709"/>
        <w:contextualSpacing/>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 xml:space="preserve">[…] </w:t>
      </w:r>
    </w:p>
    <w:p w14:paraId="7EBDFB58" w14:textId="77777777" w:rsidR="00F95AF5" w:rsidRPr="00FF007A" w:rsidRDefault="00F95AF5" w:rsidP="00F95AF5">
      <w:pPr>
        <w:spacing w:after="0" w:line="240" w:lineRule="auto"/>
        <w:ind w:left="709" w:right="709"/>
        <w:contextualSpacing/>
        <w:jc w:val="both"/>
        <w:rPr>
          <w:rFonts w:ascii="Verdana" w:eastAsia="Times New Roman" w:hAnsi="Verdana" w:cs="Arial"/>
          <w:sz w:val="20"/>
          <w:szCs w:val="20"/>
          <w:lang w:eastAsia="es-CO"/>
        </w:rPr>
      </w:pPr>
    </w:p>
    <w:p w14:paraId="59606B9C" w14:textId="77777777" w:rsidR="00F95AF5" w:rsidRPr="00FF007A" w:rsidRDefault="00F95AF5" w:rsidP="00F95AF5">
      <w:pPr>
        <w:spacing w:after="0" w:line="240" w:lineRule="auto"/>
        <w:ind w:left="709" w:right="709"/>
        <w:contextualSpacing/>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F007A">
        <w:rPr>
          <w:rFonts w:ascii="Verdana" w:eastAsia="Calibri" w:hAnsi="Verdana" w:cs="Arial"/>
          <w:sz w:val="20"/>
          <w:szCs w:val="20"/>
          <w:vertAlign w:val="superscript"/>
        </w:rPr>
        <w:footnoteReference w:id="4"/>
      </w:r>
      <w:r w:rsidRPr="00FF007A">
        <w:rPr>
          <w:rFonts w:ascii="Verdana" w:eastAsia="Times New Roman" w:hAnsi="Verdana" w:cs="Arial"/>
          <w:sz w:val="20"/>
          <w:szCs w:val="20"/>
          <w:lang w:eastAsia="es-CO"/>
        </w:rPr>
        <w:t>.</w:t>
      </w:r>
    </w:p>
    <w:p w14:paraId="630D1743" w14:textId="77777777" w:rsidR="00F95AF5" w:rsidRPr="00FF007A" w:rsidRDefault="00F95AF5" w:rsidP="00F95AF5">
      <w:pPr>
        <w:spacing w:after="0" w:line="276" w:lineRule="auto"/>
        <w:ind w:firstLine="709"/>
        <w:jc w:val="both"/>
        <w:rPr>
          <w:rFonts w:ascii="Verdana" w:eastAsia="Times New Roman" w:hAnsi="Verdana" w:cs="Arial"/>
          <w:lang w:eastAsia="es-CO"/>
        </w:rPr>
      </w:pPr>
    </w:p>
    <w:p w14:paraId="08424C25" w14:textId="77777777" w:rsidR="00F95AF5" w:rsidRPr="00FF007A" w:rsidRDefault="00F95AF5" w:rsidP="00F95AF5">
      <w:pPr>
        <w:spacing w:after="0" w:line="276" w:lineRule="auto"/>
        <w:ind w:firstLine="709"/>
        <w:jc w:val="both"/>
        <w:rPr>
          <w:rFonts w:ascii="Verdana" w:eastAsia="Times New Roman" w:hAnsi="Verdana" w:cs="Arial"/>
          <w:lang w:eastAsia="es-CO"/>
        </w:rPr>
      </w:pPr>
      <w:r w:rsidRPr="00FF007A">
        <w:rPr>
          <w:rFonts w:ascii="Verdana" w:eastAsia="Times New Roman" w:hAnsi="Verdana" w:cs="Arial"/>
          <w:lang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726FE302" w14:textId="77777777" w:rsidR="00F95AF5" w:rsidRPr="00FF007A" w:rsidRDefault="00F95AF5" w:rsidP="00F95AF5">
      <w:pPr>
        <w:spacing w:after="0" w:line="240" w:lineRule="auto"/>
        <w:ind w:firstLine="709"/>
        <w:jc w:val="both"/>
        <w:rPr>
          <w:rFonts w:ascii="Verdana" w:eastAsia="Times New Roman" w:hAnsi="Verdana" w:cs="Arial"/>
          <w:lang w:eastAsia="es-CO"/>
        </w:rPr>
      </w:pPr>
    </w:p>
    <w:p w14:paraId="4964AD13" w14:textId="77777777" w:rsidR="00F95AF5" w:rsidRPr="00FF007A" w:rsidRDefault="00F95AF5" w:rsidP="00F95AF5">
      <w:pPr>
        <w:spacing w:after="0" w:line="240" w:lineRule="auto"/>
        <w:ind w:left="709" w:right="709"/>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F007A">
        <w:rPr>
          <w:rFonts w:ascii="Verdana" w:eastAsia="Times New Roman" w:hAnsi="Verdana" w:cs="Arial"/>
          <w:sz w:val="20"/>
          <w:szCs w:val="20"/>
          <w:lang w:eastAsia="es-CO"/>
        </w:rPr>
        <w:t>legis</w:t>
      </w:r>
      <w:proofErr w:type="spellEnd"/>
      <w:r w:rsidRPr="00FF007A">
        <w:rPr>
          <w:rFonts w:ascii="Verdana" w:eastAsia="Times New Roman" w:hAnsi="Verdana" w:cs="Arial"/>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6509ABA" w14:textId="77777777" w:rsidR="00F95AF5" w:rsidRPr="00FF007A" w:rsidRDefault="00F95AF5" w:rsidP="00F95AF5">
      <w:pPr>
        <w:spacing w:after="0" w:line="240" w:lineRule="auto"/>
        <w:ind w:right="709"/>
        <w:jc w:val="both"/>
        <w:rPr>
          <w:rFonts w:ascii="Verdana" w:eastAsia="Times New Roman" w:hAnsi="Verdana" w:cs="Arial"/>
          <w:lang w:eastAsia="es-CO"/>
        </w:rPr>
      </w:pPr>
    </w:p>
    <w:p w14:paraId="4D4CAFD4" w14:textId="77777777" w:rsidR="00F95AF5" w:rsidRPr="00FF007A" w:rsidRDefault="00F95AF5" w:rsidP="00F95AF5">
      <w:pPr>
        <w:spacing w:after="0" w:line="240" w:lineRule="auto"/>
        <w:ind w:left="709" w:right="709"/>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lastRenderedPageBreak/>
        <w:t>La jurisprudencia de la Corte Constitucional</w:t>
      </w:r>
      <w:r w:rsidRPr="00FF007A">
        <w:rPr>
          <w:rFonts w:ascii="Verdana" w:eastAsia="Times New Roman" w:hAnsi="Verdana" w:cs="Arial"/>
          <w:sz w:val="20"/>
          <w:szCs w:val="20"/>
          <w:vertAlign w:val="superscript"/>
          <w:lang w:eastAsia="es-CO"/>
        </w:rPr>
        <w:footnoteReference w:id="5"/>
      </w:r>
      <w:r w:rsidRPr="00FF007A">
        <w:rPr>
          <w:rFonts w:ascii="Verdana" w:eastAsia="Times New Roman" w:hAnsi="Verdana" w:cs="Arial"/>
          <w:sz w:val="20"/>
          <w:szCs w:val="20"/>
          <w:lang w:eastAsia="es-CO"/>
        </w:rPr>
        <w:t> y del Consejo de Estado</w:t>
      </w:r>
      <w:r w:rsidRPr="00FF007A">
        <w:rPr>
          <w:rFonts w:ascii="Verdana" w:eastAsia="Times New Roman" w:hAnsi="Verdana" w:cs="Arial"/>
          <w:sz w:val="20"/>
          <w:szCs w:val="20"/>
          <w:vertAlign w:val="superscript"/>
          <w:lang w:eastAsia="es-CO"/>
        </w:rPr>
        <w:footnoteReference w:id="6"/>
      </w:r>
      <w:r w:rsidRPr="00FF007A">
        <w:rPr>
          <w:rFonts w:ascii="Verdana" w:eastAsia="Times New Roman" w:hAnsi="Verdana" w:cs="Arial"/>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F007A">
        <w:rPr>
          <w:rFonts w:ascii="Verdana" w:eastAsia="Times New Roman" w:hAnsi="Verdana" w:cs="Arial"/>
          <w:sz w:val="20"/>
          <w:szCs w:val="20"/>
          <w:vertAlign w:val="superscript"/>
          <w:lang w:eastAsia="es-CO"/>
        </w:rPr>
        <w:footnoteReference w:id="7"/>
      </w:r>
      <w:r w:rsidRPr="00FF007A">
        <w:rPr>
          <w:rFonts w:ascii="Verdana" w:eastAsia="Times New Roman" w:hAnsi="Verdana" w:cs="Arial"/>
          <w:sz w:val="20"/>
          <w:szCs w:val="20"/>
          <w:lang w:eastAsia="es-CO"/>
        </w:rPr>
        <w:t>.</w:t>
      </w:r>
    </w:p>
    <w:p w14:paraId="12024530" w14:textId="77777777" w:rsidR="00F95AF5" w:rsidRPr="00FF007A" w:rsidRDefault="00F95AF5" w:rsidP="00F95AF5">
      <w:pPr>
        <w:spacing w:after="0" w:line="276" w:lineRule="auto"/>
        <w:jc w:val="both"/>
        <w:rPr>
          <w:rFonts w:ascii="Verdana" w:eastAsia="Calibri" w:hAnsi="Verdana" w:cs="Arial"/>
          <w:bCs/>
        </w:rPr>
      </w:pPr>
    </w:p>
    <w:p w14:paraId="7C250EDC" w14:textId="77777777" w:rsidR="00F95AF5" w:rsidRDefault="00F95AF5" w:rsidP="00A03CAD">
      <w:pPr>
        <w:spacing w:before="120" w:after="0" w:line="276" w:lineRule="auto"/>
        <w:ind w:firstLine="709"/>
        <w:jc w:val="both"/>
        <w:rPr>
          <w:rFonts w:ascii="Verdana" w:eastAsia="Arial" w:hAnsi="Verdana" w:cs="Arial"/>
          <w:lang w:eastAsia="es-ES" w:bidi="es-ES"/>
        </w:rPr>
      </w:pPr>
      <w:r w:rsidRPr="00FF007A">
        <w:rPr>
          <w:rFonts w:ascii="Verdana" w:eastAsia="Times New Roman" w:hAnsi="Verdana" w:cs="Arial"/>
          <w:lang w:eastAsia="es-CO"/>
        </w:rPr>
        <w:t>De</w:t>
      </w:r>
      <w:r w:rsidRPr="00FF007A">
        <w:rPr>
          <w:rFonts w:ascii="Verdana" w:eastAsia="Arial" w:hAnsi="Verdana" w:cs="Arial"/>
          <w:lang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15952145" w14:textId="77777777" w:rsidR="00F95AF5" w:rsidRPr="00FF007A" w:rsidRDefault="00F95AF5" w:rsidP="00A03CAD">
      <w:pPr>
        <w:spacing w:before="120"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Las restricciones consagradas en la Ley de Garantías se dirigen a dos (2) tipos de campañas electorales diferenciadas: </w:t>
      </w:r>
      <w:r>
        <w:rPr>
          <w:rFonts w:ascii="Verdana" w:eastAsia="Arial" w:hAnsi="Verdana" w:cs="Arial"/>
          <w:lang w:eastAsia="es-ES" w:bidi="es-ES"/>
        </w:rPr>
        <w:t xml:space="preserve">i) </w:t>
      </w:r>
      <w:r w:rsidRPr="00FF007A">
        <w:rPr>
          <w:rFonts w:ascii="Verdana" w:eastAsia="Arial" w:hAnsi="Verdana" w:cs="Arial"/>
          <w:lang w:eastAsia="es-ES" w:bidi="es-ES"/>
        </w:rPr>
        <w:t xml:space="preserve">las presidenciales y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las que se adelanten para la elección de los demás cargos de elección popular, tanto a nivel nacional como territorial.</w:t>
      </w:r>
    </w:p>
    <w:p w14:paraId="152A0C91" w14:textId="77777777" w:rsidR="00F95AF5" w:rsidRPr="00FF007A" w:rsidRDefault="00F95AF5" w:rsidP="00A03CAD">
      <w:pPr>
        <w:spacing w:before="120" w:after="120" w:line="276" w:lineRule="auto"/>
        <w:ind w:firstLine="709"/>
        <w:jc w:val="both"/>
        <w:rPr>
          <w:rFonts w:ascii="Verdana" w:eastAsia="Calibri" w:hAnsi="Verdana" w:cs="Arial"/>
        </w:rPr>
      </w:pPr>
      <w:r>
        <w:rPr>
          <w:rFonts w:ascii="Verdana" w:eastAsia="Calibri" w:hAnsi="Verdana" w:cs="Arial"/>
        </w:rPr>
        <w:t xml:space="preserve">Para las primeras, es decir las presidencias, </w:t>
      </w:r>
      <w:r w:rsidRPr="00FF007A">
        <w:rPr>
          <w:rFonts w:ascii="Verdana" w:eastAsia="Calibri" w:hAnsi="Verdana" w:cs="Arial"/>
        </w:rPr>
        <w:t xml:space="preserve">el </w:t>
      </w:r>
      <w:r w:rsidRPr="00FF007A">
        <w:rPr>
          <w:rFonts w:ascii="Verdana" w:eastAsia="Calibri" w:hAnsi="Verdana" w:cs="Arial"/>
          <w:i/>
          <w:iCs/>
        </w:rPr>
        <w:t xml:space="preserve">artículo 33 </w:t>
      </w:r>
      <w:r w:rsidRPr="00FF007A">
        <w:rPr>
          <w:rFonts w:ascii="Verdana" w:eastAsia="Calibri" w:hAnsi="Verdana" w:cs="Arial"/>
        </w:rPr>
        <w:t>de la Ley 996 de 2005 prohíbe “</w:t>
      </w:r>
      <w:r>
        <w:rPr>
          <w:rFonts w:ascii="Verdana" w:eastAsia="Calibri" w:hAnsi="Verdana" w:cs="Arial"/>
        </w:rPr>
        <w:t>(…)</w:t>
      </w:r>
      <w:r w:rsidRPr="00FF007A">
        <w:rPr>
          <w:rFonts w:ascii="Verdana" w:eastAsia="Calibri" w:hAnsi="Verdana" w:cs="Arial"/>
        </w:rPr>
        <w:t xml:space="preserve"> la contratación directa por parte de </w:t>
      </w:r>
      <w:r w:rsidRPr="00FF007A">
        <w:rPr>
          <w:rFonts w:ascii="Verdana" w:eastAsia="Calibri" w:hAnsi="Verdana" w:cs="Arial"/>
          <w:i/>
          <w:iCs/>
        </w:rPr>
        <w:t>todos los entes del Estado</w:t>
      </w:r>
      <w:r w:rsidRPr="00FF007A">
        <w:rPr>
          <w:rFonts w:ascii="Verdana" w:eastAsia="Calibri" w:hAnsi="Verdana" w:cs="Arial"/>
        </w:rPr>
        <w:t xml:space="preserve">” durante los cuatro (4) meses anteriores a las </w:t>
      </w:r>
      <w:r w:rsidRPr="00FF007A">
        <w:rPr>
          <w:rFonts w:ascii="Verdana" w:eastAsia="Calibri" w:hAnsi="Verdana" w:cs="Arial"/>
          <w:i/>
          <w:iCs/>
        </w:rPr>
        <w:t>elecciones presidenciales</w:t>
      </w:r>
      <w:r w:rsidRPr="00FF007A">
        <w:rPr>
          <w:rFonts w:ascii="Verdana" w:eastAsia="Calibri" w:hAnsi="Verdana" w:cs="Arial"/>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w:t>
      </w:r>
      <w:r w:rsidRPr="00FF007A">
        <w:rPr>
          <w:rFonts w:ascii="Verdana" w:eastAsia="Calibri" w:hAnsi="Verdana" w:cs="Arial"/>
        </w:rPr>
        <w:lastRenderedPageBreak/>
        <w:t>casos de fuerza mayor, y los que deban realizar las entidades sanitarias y hospitalarias”</w:t>
      </w:r>
      <w:r w:rsidRPr="00FF007A">
        <w:rPr>
          <w:rFonts w:ascii="Verdana" w:eastAsia="Calibri" w:hAnsi="Verdana" w:cs="Arial"/>
          <w:vertAlign w:val="superscript"/>
        </w:rPr>
        <w:footnoteReference w:id="8"/>
      </w:r>
      <w:r w:rsidRPr="00FF007A">
        <w:rPr>
          <w:rFonts w:ascii="Verdana" w:eastAsia="Calibri" w:hAnsi="Verdana" w:cs="Arial"/>
        </w:rPr>
        <w:t>.</w:t>
      </w:r>
    </w:p>
    <w:p w14:paraId="0930C882" w14:textId="77777777" w:rsidR="00F95AF5" w:rsidRPr="00FF007A" w:rsidRDefault="00F95AF5" w:rsidP="00A03CAD">
      <w:pPr>
        <w:widowControl w:val="0"/>
        <w:autoSpaceDE w:val="0"/>
        <w:autoSpaceDN w:val="0"/>
        <w:spacing w:before="120" w:after="120" w:line="276" w:lineRule="auto"/>
        <w:ind w:right="113" w:firstLine="709"/>
        <w:jc w:val="both"/>
        <w:rPr>
          <w:rFonts w:ascii="Verdana" w:eastAsia="Arial" w:hAnsi="Verdana" w:cs="Arial"/>
          <w:lang w:eastAsia="es-ES" w:bidi="es-ES"/>
        </w:rPr>
      </w:pPr>
      <w:r w:rsidRPr="00FF007A">
        <w:rPr>
          <w:rFonts w:ascii="Verdana" w:eastAsia="Calibri" w:hAnsi="Verdana" w:cs="Arial"/>
        </w:rPr>
        <w:t>Por otro lado,</w:t>
      </w:r>
      <w:r>
        <w:rPr>
          <w:rFonts w:ascii="Verdana" w:eastAsia="Calibri" w:hAnsi="Verdana" w:cs="Arial"/>
        </w:rPr>
        <w:t xml:space="preserve"> para las segundas,</w:t>
      </w:r>
      <w:r w:rsidRPr="00FF007A">
        <w:rPr>
          <w:rFonts w:ascii="Verdana" w:eastAsia="Calibri" w:hAnsi="Verdana" w:cs="Arial"/>
        </w:rPr>
        <w:t xml:space="preserve"> </w:t>
      </w:r>
      <w:r w:rsidRPr="00FF007A">
        <w:rPr>
          <w:rFonts w:ascii="Verdana" w:eastAsia="Calibri" w:hAnsi="Verdana" w:cs="Arial"/>
          <w:i/>
          <w:iCs/>
        </w:rPr>
        <w:t xml:space="preserve">el parágrafo del artículo 38 </w:t>
      </w:r>
      <w:r w:rsidRPr="00FF007A">
        <w:rPr>
          <w:rFonts w:ascii="Verdana" w:eastAsia="Calibri" w:hAnsi="Verdana" w:cs="Arial"/>
        </w:rPr>
        <w:t xml:space="preserve">de la Ley 996 de 2005 prevé una restricción, aplicable respecto de </w:t>
      </w:r>
      <w:r w:rsidRPr="00FF007A">
        <w:rPr>
          <w:rFonts w:ascii="Verdana" w:eastAsia="Calibri" w:hAnsi="Verdana" w:cs="Arial"/>
          <w:i/>
          <w:iCs/>
        </w:rPr>
        <w:t>cualquier tipo de contienda electoral</w:t>
      </w:r>
      <w:r w:rsidRPr="00FF007A">
        <w:rPr>
          <w:rFonts w:ascii="Verdana" w:eastAsia="Calibri" w:hAnsi="Verdana" w:cs="Arial"/>
        </w:rPr>
        <w:t>, que prohíbe a los gobernadores, alcaldes municipales o distritales, secretarios, gerentes y directores de entidades descentralizadas del orden municipal, departamental o distrital “</w:t>
      </w:r>
      <w:r>
        <w:rPr>
          <w:rFonts w:ascii="Verdana" w:eastAsia="Calibri" w:hAnsi="Verdana" w:cs="Arial"/>
        </w:rPr>
        <w:t xml:space="preserve">(…) </w:t>
      </w:r>
      <w:r w:rsidRPr="00FF007A">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vertAlign w:val="superscript"/>
        </w:rPr>
        <w:footnoteReference w:id="9"/>
      </w:r>
      <w:r w:rsidRPr="00FF007A">
        <w:rPr>
          <w:rFonts w:ascii="Verdana" w:eastAsia="Calibri" w:hAnsi="Verdana" w:cs="Arial"/>
        </w:rPr>
        <w:t>.</w:t>
      </w:r>
      <w:r w:rsidRPr="00FF007A">
        <w:rPr>
          <w:rFonts w:ascii="Verdana" w:eastAsia="Arial" w:hAnsi="Verdana" w:cs="Arial"/>
          <w:lang w:eastAsia="es-ES" w:bidi="es-ES"/>
        </w:rPr>
        <w:t xml:space="preserve"> </w:t>
      </w:r>
    </w:p>
    <w:p w14:paraId="2F88CEB0" w14:textId="77777777" w:rsidR="00F95AF5" w:rsidRPr="00FF007A" w:rsidRDefault="00F95AF5" w:rsidP="00F95AF5">
      <w:pPr>
        <w:widowControl w:val="0"/>
        <w:autoSpaceDE w:val="0"/>
        <w:autoSpaceDN w:val="0"/>
        <w:spacing w:after="0" w:line="276" w:lineRule="auto"/>
        <w:ind w:right="113" w:firstLine="708"/>
        <w:contextualSpacing/>
        <w:jc w:val="both"/>
        <w:rPr>
          <w:rFonts w:ascii="Verdana" w:eastAsia="Arial" w:hAnsi="Verdana" w:cs="Arial"/>
          <w:lang w:eastAsia="es-ES" w:bidi="es-ES"/>
        </w:rPr>
      </w:pPr>
      <w:r w:rsidRPr="00FF007A">
        <w:rPr>
          <w:rFonts w:ascii="Verdana" w:eastAsia="Arial" w:hAnsi="Verdana" w:cs="Arial"/>
          <w:lang w:eastAsia="es-ES" w:bidi="es-ES"/>
        </w:rPr>
        <w:t>La Sala de Consulta y Servicio Civil del Consejo de Estado ha aclarado la distinción en la aplicación de las prohibiciones de la Ley 996 de 2005, dependiendo del tipo de elección que se trate. Al respecto, señala:</w:t>
      </w:r>
    </w:p>
    <w:p w14:paraId="2E6DF6E7" w14:textId="77777777" w:rsidR="00F95AF5" w:rsidRDefault="00F95AF5" w:rsidP="00F95AF5">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4BA5C1E7" w14:textId="77777777" w:rsidR="00F95AF5" w:rsidRPr="00FF007A" w:rsidRDefault="00F95AF5" w:rsidP="00F95AF5">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FF007A">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FF007A">
        <w:rPr>
          <w:rFonts w:ascii="Verdana" w:eastAsia="Arial" w:hAnsi="Verdana" w:cs="Arial"/>
          <w:sz w:val="20"/>
          <w:szCs w:val="20"/>
          <w:lang w:eastAsia="es-ES" w:bidi="es-ES"/>
        </w:rPr>
        <w:t>Presidente</w:t>
      </w:r>
      <w:proofErr w:type="gramEnd"/>
      <w:r w:rsidRPr="00FF007A">
        <w:rPr>
          <w:rFonts w:ascii="Verdana" w:eastAsia="Arial" w:hAnsi="Verdana" w:cs="Arial"/>
          <w:sz w:val="20"/>
          <w:szCs w:val="20"/>
          <w:lang w:eastAsia="es-ES" w:bidi="es-ES"/>
        </w:rPr>
        <w:t xml:space="preserve"> de la República, a las </w:t>
      </w:r>
      <w:r w:rsidRPr="00FF007A">
        <w:rPr>
          <w:rFonts w:ascii="Verdana" w:eastAsia="Arial" w:hAnsi="Verdana" w:cs="Arial"/>
          <w:sz w:val="20"/>
          <w:szCs w:val="20"/>
          <w:lang w:eastAsia="es-ES" w:bidi="es-ES"/>
        </w:rPr>
        <w:lastRenderedPageBreak/>
        <w:t>autoridades territoriales allí mencionadas sólo se aplican las restricciones contenidas en el parágrafo del artículo 38”</w:t>
      </w:r>
      <w:r w:rsidRPr="00FF007A">
        <w:rPr>
          <w:rFonts w:ascii="Verdana" w:eastAsia="Arial" w:hAnsi="Verdana" w:cs="Arial"/>
          <w:sz w:val="20"/>
          <w:szCs w:val="20"/>
          <w:vertAlign w:val="superscript"/>
          <w:lang w:eastAsia="es-ES" w:bidi="es-ES"/>
        </w:rPr>
        <w:footnoteReference w:id="10"/>
      </w:r>
      <w:r w:rsidRPr="00FF007A">
        <w:rPr>
          <w:rFonts w:ascii="Verdana" w:eastAsia="Arial" w:hAnsi="Verdana" w:cs="Arial"/>
          <w:sz w:val="20"/>
          <w:szCs w:val="20"/>
          <w:lang w:eastAsia="es-ES" w:bidi="es-ES"/>
        </w:rPr>
        <w:t>.</w:t>
      </w:r>
    </w:p>
    <w:p w14:paraId="310C876C" w14:textId="77777777" w:rsidR="00F95AF5" w:rsidRPr="00FF007A" w:rsidRDefault="00F95AF5" w:rsidP="00F95AF5">
      <w:pPr>
        <w:widowControl w:val="0"/>
        <w:autoSpaceDE w:val="0"/>
        <w:autoSpaceDN w:val="0"/>
        <w:spacing w:after="0" w:line="276" w:lineRule="auto"/>
        <w:contextualSpacing/>
        <w:rPr>
          <w:rFonts w:ascii="Verdana" w:eastAsia="Arial" w:hAnsi="Verdana" w:cs="Arial"/>
          <w:lang w:eastAsia="es-ES" w:bidi="es-ES"/>
        </w:rPr>
      </w:pPr>
    </w:p>
    <w:p w14:paraId="48B3FF2B" w14:textId="77777777" w:rsidR="00F95AF5" w:rsidRPr="00FF007A" w:rsidRDefault="00F95AF5" w:rsidP="00A03CAD">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De conformidad con lo anterior, la Ley 996 de 2005 establece dos (2) tipos de restricciones en materia de contratación, las cuales coinciden parcialmente. </w:t>
      </w:r>
    </w:p>
    <w:p w14:paraId="3C50F2A8" w14:textId="77777777" w:rsidR="00F95AF5" w:rsidRPr="00FF007A" w:rsidRDefault="00F95AF5" w:rsidP="00A03CAD">
      <w:pPr>
        <w:spacing w:after="120" w:line="276" w:lineRule="auto"/>
        <w:ind w:firstLine="709"/>
        <w:jc w:val="both"/>
        <w:rPr>
          <w:rFonts w:ascii="Verdana" w:eastAsia="Arial" w:hAnsi="Verdana" w:cs="Arial"/>
          <w:lang w:eastAsia="es-ES" w:bidi="es-ES"/>
        </w:rPr>
      </w:pPr>
      <w:r w:rsidRPr="00FF007A">
        <w:rPr>
          <w:rFonts w:ascii="Verdana" w:eastAsia="Arial" w:hAnsi="Verdana" w:cs="Arial"/>
          <w:i/>
          <w:lang w:eastAsia="es-ES" w:bidi="es-ES"/>
        </w:rPr>
        <w:t>En primer lugar</w:t>
      </w:r>
      <w:r w:rsidRPr="00FF007A">
        <w:rPr>
          <w:rFonts w:ascii="Verdana" w:eastAsia="Arial" w:hAnsi="Verdana" w:cs="Arial"/>
          <w:lang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0879EF4D" w14:textId="77777777" w:rsidR="00F95AF5" w:rsidRPr="00FF007A" w:rsidRDefault="00F95AF5" w:rsidP="00A03CAD">
      <w:pPr>
        <w:spacing w:after="120" w:line="276" w:lineRule="auto"/>
        <w:ind w:firstLine="709"/>
        <w:jc w:val="both"/>
        <w:rPr>
          <w:rFonts w:ascii="Verdana" w:eastAsia="Arial" w:hAnsi="Verdana" w:cs="Arial"/>
          <w:lang w:eastAsia="es-ES" w:bidi="es-ES"/>
        </w:rPr>
      </w:pPr>
      <w:r w:rsidRPr="00FF007A">
        <w:rPr>
          <w:rFonts w:ascii="Verdana" w:eastAsia="Arial" w:hAnsi="Verdana" w:cs="Arial"/>
          <w:i/>
          <w:lang w:eastAsia="es-ES" w:bidi="es-ES"/>
        </w:rPr>
        <w:t>En segundo lugar</w:t>
      </w:r>
      <w:r w:rsidRPr="00FF007A">
        <w:rPr>
          <w:rFonts w:ascii="Verdana" w:eastAsia="Arial" w:hAnsi="Verdana" w:cs="Arial"/>
          <w:lang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8DE0F66" w14:textId="77777777" w:rsidR="00F95AF5" w:rsidRPr="00FF007A" w:rsidRDefault="00F95AF5" w:rsidP="00A03CAD">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Ambas restricciones no son excluyentes, lo que permite concluir que, en el período preelectoral para elección de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las autoridades allí mencionadas sólo deben aplicar las restricciones contenidas en el parágrafo del artículo 38.</w:t>
      </w:r>
    </w:p>
    <w:p w14:paraId="0A019F43" w14:textId="77777777" w:rsidR="00F95AF5" w:rsidRPr="00FF007A" w:rsidRDefault="00F95AF5" w:rsidP="00A03CAD">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La Corte Constitucional, en la Sentencia C-1153 del 11 de noviembre de 2005, señaló que, para que la garantía sea plena, era necesario que la prohibición se aplicara para el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o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sidRPr="00FF007A">
        <w:rPr>
          <w:rFonts w:ascii="Verdana" w:eastAsia="Arial" w:hAnsi="Verdana" w:cs="Arial"/>
          <w:lang w:eastAsia="es-ES" w:bidi="es-ES"/>
        </w:rPr>
        <w:lastRenderedPageBreak/>
        <w:t xml:space="preserve">momento en que estas restricciones empiezan a regir para el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y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de la República, ha perdido vigencia ante la prohibición de la reelección presidencial, restablecida por el Acto Legislativo 2 de 2015. Esto, excepto para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03FA0303" w14:textId="77777777" w:rsidR="00F95AF5" w:rsidRPr="00FF007A" w:rsidRDefault="00F95AF5" w:rsidP="00A03CAD">
      <w:pPr>
        <w:spacing w:after="120" w:line="276" w:lineRule="auto"/>
        <w:ind w:firstLine="709"/>
        <w:jc w:val="both"/>
        <w:rPr>
          <w:rFonts w:ascii="Verdana" w:eastAsia="Times New Roman" w:hAnsi="Verdana" w:cs="Arial"/>
          <w:bCs/>
          <w:lang w:eastAsia="es-CO"/>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 xml:space="preserve">artículo 33 de la Ley 996 de 2005. El ámbito material de esta prohibición está delimitado por la expresión </w:t>
      </w:r>
      <w:r w:rsidRPr="00FF007A">
        <w:rPr>
          <w:rFonts w:ascii="Verdana" w:eastAsia="Calibri" w:hAnsi="Verdana" w:cs="Arial"/>
          <w:bCs/>
        </w:rPr>
        <w:t>“</w:t>
      </w:r>
      <w:r w:rsidRPr="00FF007A">
        <w:rPr>
          <w:rFonts w:ascii="Verdana" w:eastAsia="Times New Roman" w:hAnsi="Verdana" w:cs="Arial"/>
        </w:rPr>
        <w:t>queda prohibida la contratación directa</w:t>
      </w:r>
      <w:r w:rsidRPr="00FF007A">
        <w:rPr>
          <w:rFonts w:ascii="Verdana" w:eastAsia="Calibri" w:hAnsi="Verdana" w:cs="Arial"/>
        </w:rPr>
        <w:t>”</w:t>
      </w:r>
      <w:r w:rsidRPr="00FF007A">
        <w:rPr>
          <w:rFonts w:ascii="Verdana" w:eastAsia="Times New Roman" w:hAnsi="Verdana" w:cs="Arial"/>
        </w:rPr>
        <w:t xml:space="preserve">. </w:t>
      </w:r>
      <w:r w:rsidRPr="00FF007A">
        <w:rPr>
          <w:rFonts w:ascii="Verdana" w:eastAsia="Times New Roman" w:hAnsi="Verdana" w:cs="Arial"/>
          <w:lang w:eastAsia="es-CO"/>
        </w:rPr>
        <w:t>A propósito de esta restricción de la Ley de Garantías Electorales, la Sala de Consulta y Servicio Civil del Consejo de Estado ha considerado que:</w:t>
      </w:r>
    </w:p>
    <w:p w14:paraId="29523A92" w14:textId="77777777" w:rsidR="00F95AF5" w:rsidRPr="005F28C0" w:rsidRDefault="00F95AF5" w:rsidP="00F95AF5">
      <w:pPr>
        <w:spacing w:after="0" w:line="240" w:lineRule="auto"/>
        <w:ind w:left="709" w:right="709"/>
        <w:jc w:val="both"/>
        <w:rPr>
          <w:rFonts w:ascii="Verdana" w:eastAsia="Calibri" w:hAnsi="Verdana" w:cs="Arial"/>
          <w:sz w:val="20"/>
          <w:szCs w:val="20"/>
        </w:rPr>
      </w:pPr>
      <w:r w:rsidRPr="00FF007A">
        <w:rPr>
          <w:rFonts w:ascii="Verdana" w:eastAsia="Calibri" w:hAnsi="Verdana" w:cs="Arial"/>
          <w:sz w:val="20"/>
          <w:szCs w:val="20"/>
        </w:rPr>
        <w:t xml:space="preserve">“[…] Esta Sala ha entendido </w:t>
      </w:r>
      <w:proofErr w:type="gramStart"/>
      <w:r w:rsidRPr="00FF007A">
        <w:rPr>
          <w:rFonts w:ascii="Verdana" w:eastAsia="Calibri" w:hAnsi="Verdana" w:cs="Arial"/>
          <w:sz w:val="20"/>
          <w:szCs w:val="20"/>
        </w:rPr>
        <w:t>que</w:t>
      </w:r>
      <w:proofErr w:type="gramEnd"/>
      <w:r w:rsidRPr="00FF007A">
        <w:rPr>
          <w:rFonts w:ascii="Verdana" w:eastAsia="Calibri" w:hAnsi="Verdana" w:cs="Arial"/>
          <w:sz w:val="20"/>
          <w:szCs w:val="20"/>
        </w:rPr>
        <w:t xml:space="preserve"> para los efectos de la ley de garantías, y dada su finalidad, el enunciado </w:t>
      </w:r>
      <w:r>
        <w:rPr>
          <w:rFonts w:ascii="Verdana" w:eastAsia="Calibri" w:hAnsi="Verdana" w:cs="Arial"/>
          <w:sz w:val="20"/>
          <w:szCs w:val="20"/>
        </w:rPr>
        <w:t>“c</w:t>
      </w:r>
      <w:r w:rsidRPr="00FF007A">
        <w:rPr>
          <w:rFonts w:ascii="Verdana" w:eastAsia="Calibri" w:hAnsi="Verdana" w:cs="Arial"/>
          <w:sz w:val="20"/>
          <w:szCs w:val="20"/>
        </w:rPr>
        <w:t>ontratación directa</w:t>
      </w:r>
      <w:r>
        <w:rPr>
          <w:rFonts w:ascii="Verdana" w:eastAsia="Calibri" w:hAnsi="Verdana" w:cs="Arial"/>
          <w:sz w:val="20"/>
          <w:szCs w:val="20"/>
        </w:rPr>
        <w:t>”</w:t>
      </w:r>
      <w:r w:rsidRPr="00FF007A">
        <w:rPr>
          <w:rFonts w:ascii="Verdana" w:eastAsia="Calibri" w:hAnsi="Verdana" w:cs="Arial"/>
          <w:sz w:val="20"/>
          <w:szCs w:val="20"/>
        </w:rPr>
        <w:t xml:space="preserve">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F007A">
        <w:rPr>
          <w:rFonts w:ascii="Verdana" w:eastAsia="Times New Roman" w:hAnsi="Verdana" w:cs="Arial"/>
          <w:sz w:val="20"/>
          <w:szCs w:val="20"/>
          <w:vertAlign w:val="superscript"/>
        </w:rPr>
        <w:footnoteReference w:id="11"/>
      </w:r>
      <w:r w:rsidRPr="00FF007A">
        <w:rPr>
          <w:rFonts w:ascii="Verdana" w:eastAsia="Times New Roman" w:hAnsi="Verdana" w:cs="Arial"/>
          <w:sz w:val="20"/>
          <w:szCs w:val="20"/>
          <w:vertAlign w:val="superscript"/>
        </w:rPr>
        <w:t>.</w:t>
      </w:r>
      <w:r w:rsidRPr="00FF007A">
        <w:rPr>
          <w:rFonts w:ascii="Verdana" w:eastAsia="Calibri"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rPr>
        <w:t>(…)”</w:t>
      </w:r>
      <w:r w:rsidRPr="00FF007A">
        <w:rPr>
          <w:rFonts w:ascii="Verdana" w:eastAsia="Times New Roman" w:hAnsi="Verdana" w:cs="Arial"/>
          <w:sz w:val="20"/>
          <w:szCs w:val="20"/>
          <w:vertAlign w:val="superscript"/>
          <w:lang w:eastAsia="es-CO"/>
        </w:rPr>
        <w:footnoteReference w:id="12"/>
      </w:r>
      <w:r w:rsidRPr="00FF007A">
        <w:rPr>
          <w:rFonts w:ascii="Verdana" w:eastAsia="Calibri" w:hAnsi="Verdana" w:cs="Arial"/>
          <w:sz w:val="20"/>
          <w:szCs w:val="20"/>
        </w:rPr>
        <w:t>.</w:t>
      </w:r>
    </w:p>
    <w:p w14:paraId="529DBA85" w14:textId="77777777" w:rsidR="00F95AF5" w:rsidRDefault="00F95AF5" w:rsidP="00F95AF5">
      <w:pPr>
        <w:spacing w:after="0" w:line="240" w:lineRule="auto"/>
        <w:ind w:firstLine="709"/>
        <w:jc w:val="both"/>
        <w:rPr>
          <w:rFonts w:ascii="Verdana" w:eastAsia="Times New Roman" w:hAnsi="Verdana" w:cs="Arial"/>
          <w:lang w:eastAsia="x-none"/>
        </w:rPr>
      </w:pPr>
    </w:p>
    <w:p w14:paraId="08096519" w14:textId="77777777" w:rsidR="00F95AF5" w:rsidRPr="00FF007A" w:rsidRDefault="00F95AF5" w:rsidP="00F95AF5">
      <w:pPr>
        <w:spacing w:after="120" w:line="276" w:lineRule="auto"/>
        <w:ind w:firstLine="708"/>
        <w:jc w:val="both"/>
        <w:rPr>
          <w:rFonts w:ascii="Verdana" w:eastAsia="Times New Roman" w:hAnsi="Verdana" w:cs="Arial"/>
          <w:bCs/>
          <w:lang w:eastAsia="x-none"/>
        </w:rPr>
      </w:pPr>
      <w:r w:rsidRPr="00FF007A">
        <w:rPr>
          <w:rFonts w:ascii="Verdana" w:eastAsia="Times New Roman" w:hAnsi="Verdana" w:cs="Arial"/>
          <w:lang w:eastAsia="x-none"/>
        </w:rPr>
        <w:t xml:space="preserve">De acuerdo con este concepto, la prohibición del artículo 33 de la Ley de Garantías Electorales se refiere a </w:t>
      </w:r>
      <w:r w:rsidRPr="00FF007A">
        <w:rPr>
          <w:rFonts w:ascii="Verdana" w:eastAsia="Times New Roman" w:hAnsi="Verdana" w:cs="Arial"/>
          <w:sz w:val="19"/>
          <w:szCs w:val="19"/>
          <w:lang w:eastAsia="en-GB"/>
        </w:rPr>
        <w:t>“</w:t>
      </w:r>
      <w:r w:rsidRPr="00FF007A">
        <w:rPr>
          <w:rFonts w:ascii="Verdana" w:eastAsia="Times New Roman" w:hAnsi="Verdana" w:cs="Arial"/>
          <w:lang w:eastAsia="x-none"/>
        </w:rPr>
        <w:t>cualquier sistema que no implique convocatoria pública y posibilidad de pluralidad de oferentes</w:t>
      </w:r>
      <w:r w:rsidRPr="00FF007A">
        <w:rPr>
          <w:rFonts w:ascii="Verdana" w:eastAsia="Times New Roman" w:hAnsi="Verdana" w:cs="Arial"/>
          <w:lang w:eastAsia="en-GB"/>
        </w:rPr>
        <w:t>”</w:t>
      </w:r>
      <w:r w:rsidRPr="00FF007A">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FF007A">
        <w:rPr>
          <w:rFonts w:ascii="Verdana" w:eastAsia="Times New Roman" w:hAnsi="Verdana" w:cs="Arial"/>
        </w:rPr>
        <w:t>y la mínima cuantía</w:t>
      </w:r>
      <w:r w:rsidRPr="00FF007A" w:rsidDel="00A85D9F">
        <w:rPr>
          <w:rFonts w:ascii="Verdana" w:eastAsia="Times New Roman" w:hAnsi="Verdana" w:cs="Arial"/>
          <w:lang w:eastAsia="x-none"/>
        </w:rPr>
        <w:t xml:space="preserve"> </w:t>
      </w:r>
      <w:r w:rsidRPr="00FF007A">
        <w:rPr>
          <w:rFonts w:ascii="Verdana" w:eastAsia="Times New Roman" w:hAnsi="Verdana" w:cs="Arial"/>
        </w:rPr>
        <w:t xml:space="preserve">u otros previstos en normas especiales. </w:t>
      </w:r>
      <w:r w:rsidRPr="00FF007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F007A">
        <w:rPr>
          <w:rFonts w:ascii="Verdana" w:eastAsia="Times New Roman" w:hAnsi="Verdana" w:cs="Arial"/>
          <w:vertAlign w:val="superscript"/>
          <w:lang w:eastAsia="x-none"/>
        </w:rPr>
        <w:footnoteReference w:id="13"/>
      </w:r>
      <w:r w:rsidRPr="00FF007A">
        <w:rPr>
          <w:rFonts w:ascii="Verdana" w:eastAsia="Times New Roman" w:hAnsi="Verdana" w:cs="Arial"/>
          <w:lang w:eastAsia="x-none"/>
        </w:rPr>
        <w:t xml:space="preserve"> y sistematizó las causales de contratación directa</w:t>
      </w:r>
      <w:r w:rsidRPr="00FF007A">
        <w:rPr>
          <w:rFonts w:ascii="Verdana" w:eastAsia="Times New Roman" w:hAnsi="Verdana" w:cs="Arial"/>
          <w:vertAlign w:val="superscript"/>
          <w:lang w:eastAsia="x-none"/>
        </w:rPr>
        <w:footnoteReference w:id="14"/>
      </w:r>
      <w:r w:rsidRPr="00FF007A">
        <w:rPr>
          <w:rFonts w:ascii="Verdana" w:eastAsia="Times New Roman" w:hAnsi="Verdana" w:cs="Arial"/>
          <w:lang w:eastAsia="x-none"/>
        </w:rPr>
        <w:t xml:space="preserve">, </w:t>
      </w:r>
      <w:r w:rsidRPr="00FF007A">
        <w:rPr>
          <w:rFonts w:ascii="Verdana" w:eastAsia="Calibri" w:hAnsi="Verdana" w:cs="Arial"/>
          <w:lang w:eastAsia="x-none"/>
        </w:rPr>
        <w:t xml:space="preserve">además lo es con la posterior creación de </w:t>
      </w:r>
      <w:r w:rsidRPr="00FF007A">
        <w:rPr>
          <w:rFonts w:ascii="Verdana" w:eastAsia="Calibri" w:hAnsi="Verdana" w:cs="Arial"/>
          <w:lang w:eastAsia="x-none"/>
        </w:rPr>
        <w:lastRenderedPageBreak/>
        <w:t>la modalidad de mínima cuantía establecida actualmente en el numeral 5 del artículo 2 de la Ley 1150 de 2007, de acuerdo con las modificaciones realizadas por leyes posteriores.</w:t>
      </w:r>
    </w:p>
    <w:p w14:paraId="6B782F52" w14:textId="77777777" w:rsidR="00F95AF5" w:rsidRPr="00FF007A" w:rsidRDefault="00F95AF5" w:rsidP="00F95AF5">
      <w:pPr>
        <w:spacing w:after="120" w:line="276" w:lineRule="auto"/>
        <w:ind w:firstLine="708"/>
        <w:jc w:val="both"/>
        <w:rPr>
          <w:rFonts w:ascii="Verdana" w:eastAsia="Times New Roman" w:hAnsi="Verdana" w:cs="Arial"/>
          <w:bCs/>
          <w:lang w:eastAsia="es-CO"/>
        </w:rPr>
      </w:pPr>
      <w:r w:rsidRPr="00FF007A">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F007A">
        <w:rPr>
          <w:rFonts w:ascii="Verdana" w:eastAsia="Times New Roman" w:hAnsi="Verdana" w:cs="Arial"/>
          <w:vertAlign w:val="superscript"/>
          <w:lang w:eastAsia="x-none"/>
        </w:rPr>
        <w:footnoteReference w:id="15"/>
      </w:r>
      <w:r w:rsidRPr="00FF007A">
        <w:rPr>
          <w:rFonts w:ascii="Verdana" w:eastAsia="Times New Roman" w:hAnsi="Verdana" w:cs="Arial"/>
        </w:rPr>
        <w:t>.</w:t>
      </w:r>
      <w:r w:rsidRPr="00FF007A">
        <w:rPr>
          <w:rFonts w:ascii="Verdana" w:eastAsia="Times New Roman" w:hAnsi="Verdana" w:cs="Arial"/>
          <w:vertAlign w:val="superscript"/>
          <w:lang w:eastAsia="x-none"/>
        </w:rPr>
        <w:t xml:space="preserve"> </w:t>
      </w:r>
    </w:p>
    <w:p w14:paraId="7CBC4250" w14:textId="77777777" w:rsidR="00F95AF5" w:rsidRDefault="00F95AF5" w:rsidP="00036A58">
      <w:pPr>
        <w:spacing w:after="120" w:line="276" w:lineRule="auto"/>
        <w:ind w:firstLine="709"/>
        <w:jc w:val="both"/>
        <w:rPr>
          <w:rFonts w:ascii="Verdana" w:eastAsia="Times New Roman" w:hAnsi="Verdana" w:cs="Arial"/>
        </w:rPr>
      </w:pPr>
      <w:r w:rsidRPr="00FF007A">
        <w:rPr>
          <w:rFonts w:ascii="Verdana" w:eastAsia="Times New Roman" w:hAnsi="Verdana" w:cs="Arial"/>
        </w:rPr>
        <w:t xml:space="preserve">De lo anterior se desprende que la restricción aplica, sin perjuicio de las excepciones establecidas en la misma ley, para celebrar </w:t>
      </w:r>
      <w:r w:rsidRPr="00FF007A">
        <w:rPr>
          <w:rFonts w:ascii="Verdana" w:eastAsia="Times New Roman" w:hAnsi="Verdana" w:cs="Arial"/>
          <w:i/>
          <w:iCs/>
        </w:rPr>
        <w:t>cualquier contrato de forma directa</w:t>
      </w:r>
      <w:r w:rsidRPr="00FF007A">
        <w:rPr>
          <w:rFonts w:ascii="Verdana" w:eastAsia="Times New Roman" w:hAnsi="Verdana" w:cs="Arial"/>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3C4E9D8" w14:textId="77777777" w:rsidR="008258C7" w:rsidRPr="00F02C5A" w:rsidRDefault="008258C7" w:rsidP="00036A58">
      <w:pPr>
        <w:spacing w:after="120" w:line="276" w:lineRule="auto"/>
        <w:ind w:firstLine="709"/>
        <w:jc w:val="both"/>
        <w:rPr>
          <w:rFonts w:ascii="Verdana" w:eastAsia="Times New Roman" w:hAnsi="Verdana" w:cs="Arial"/>
          <w:lang w:val="es-MX" w:eastAsia="x-none"/>
        </w:rPr>
      </w:pPr>
      <w:bookmarkStart w:id="5" w:name="_Hlk77237094"/>
      <w:r w:rsidRPr="00F02C5A">
        <w:rPr>
          <w:rFonts w:ascii="Verdana" w:eastAsia="Times New Roman" w:hAnsi="Verdana" w:cs="Arial"/>
          <w:lang w:val="es-MX" w:eastAsia="es-CO"/>
        </w:rPr>
        <w:t xml:space="preserve">Como en otras oportunidades lo ha manifestado esta Agencia, las prórrogas, modificaciones o adiciones de los contratos suscritos antes de la </w:t>
      </w:r>
      <w:proofErr w:type="gramStart"/>
      <w:r w:rsidRPr="00F02C5A">
        <w:rPr>
          <w:rFonts w:ascii="Verdana" w:eastAsia="Times New Roman" w:hAnsi="Verdana" w:cs="Arial"/>
          <w:lang w:val="es-MX" w:eastAsia="es-CO"/>
        </w:rPr>
        <w:t>entrada en vigencia</w:t>
      </w:r>
      <w:proofErr w:type="gramEnd"/>
      <w:r w:rsidRPr="00F02C5A">
        <w:rPr>
          <w:rFonts w:ascii="Verdana" w:eastAsia="Times New Roman" w:hAnsi="Verdana" w:cs="Arial"/>
          <w:lang w:val="es-MX" w:eastAsia="es-CO"/>
        </w:rPr>
        <w:t xml:space="preserve"> de las prohibiciones anotadas, así como la cesión de </w:t>
      </w:r>
      <w:proofErr w:type="gramStart"/>
      <w:r w:rsidRPr="00F02C5A">
        <w:rPr>
          <w:rFonts w:ascii="Verdana" w:eastAsia="Times New Roman" w:hAnsi="Verdana" w:cs="Arial"/>
          <w:lang w:val="es-MX" w:eastAsia="es-CO"/>
        </w:rPr>
        <w:t>los mismos</w:t>
      </w:r>
      <w:proofErr w:type="gramEnd"/>
      <w:r w:rsidRPr="00F02C5A">
        <w:rPr>
          <w:rFonts w:ascii="Verdana" w:eastAsia="Times New Roman" w:hAnsi="Verdana" w:cs="Arial"/>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5"/>
    </w:p>
    <w:p w14:paraId="53FAB52C" w14:textId="77777777" w:rsidR="00F95AF5" w:rsidRPr="00FF007A" w:rsidRDefault="00F95AF5" w:rsidP="00573D71">
      <w:pPr>
        <w:spacing w:after="120" w:line="276" w:lineRule="auto"/>
        <w:ind w:firstLine="709"/>
        <w:jc w:val="both"/>
        <w:rPr>
          <w:rFonts w:ascii="Verdana" w:eastAsia="Times New Roman" w:hAnsi="Verdana" w:cs="Arial"/>
        </w:rPr>
      </w:pPr>
      <w:r w:rsidRPr="00FF007A">
        <w:rPr>
          <w:rFonts w:ascii="Verdana" w:eastAsia="Times New Roman" w:hAnsi="Verdana" w:cs="Arial"/>
          <w:bCs/>
          <w:lang w:eastAsia="es-CO"/>
        </w:rPr>
        <w:t xml:space="preserve">Con respecto a los </w:t>
      </w:r>
      <w:r w:rsidRPr="00FF007A">
        <w:rPr>
          <w:rFonts w:ascii="Verdana" w:eastAsia="Times New Roman" w:hAnsi="Verdana" w:cs="Arial"/>
          <w:bCs/>
          <w:i/>
          <w:iCs/>
          <w:lang w:eastAsia="es-CO"/>
        </w:rPr>
        <w:t>sujetos</w:t>
      </w:r>
      <w:r w:rsidRPr="00FF007A">
        <w:rPr>
          <w:rFonts w:ascii="Verdana" w:eastAsia="Times New Roman" w:hAnsi="Verdana" w:cs="Arial"/>
          <w:bCs/>
          <w:lang w:eastAsia="es-CO"/>
        </w:rPr>
        <w:t xml:space="preserve"> que se encuentran enmarcados en la prohibición del artículo 33, </w:t>
      </w:r>
      <w:r w:rsidRPr="00FF007A">
        <w:rPr>
          <w:rFonts w:ascii="Verdana" w:eastAsia="Times New Roman" w:hAnsi="Verdana" w:cs="Arial"/>
        </w:rPr>
        <w:t xml:space="preserve">la Ley 996 de 2005 señala expresamente que son </w:t>
      </w:r>
      <w:r w:rsidRPr="00FF007A">
        <w:rPr>
          <w:rFonts w:ascii="Verdana" w:eastAsia="Times New Roman" w:hAnsi="Verdana" w:cs="Arial"/>
        </w:rPr>
        <w:lastRenderedPageBreak/>
        <w:t>“</w:t>
      </w:r>
      <w:r w:rsidRPr="00FF007A">
        <w:rPr>
          <w:rFonts w:ascii="Verdana" w:eastAsia="Times New Roman" w:hAnsi="Verdana" w:cs="Arial"/>
          <w:i/>
          <w:iCs/>
          <w:u w:val="single"/>
        </w:rPr>
        <w:t>todos</w:t>
      </w:r>
      <w:r w:rsidRPr="00FF007A">
        <w:rPr>
          <w:rFonts w:ascii="Verdana" w:eastAsia="Times New Roman" w:hAnsi="Verdana" w:cs="Arial"/>
          <w:i/>
          <w:iCs/>
        </w:rPr>
        <w:t xml:space="preserve"> los entes del Estado</w:t>
      </w:r>
      <w:r w:rsidRPr="00FF007A">
        <w:rPr>
          <w:rFonts w:ascii="Verdana" w:eastAsia="Times New Roman" w:hAnsi="Verdana" w:cs="Arial"/>
        </w:rPr>
        <w:t xml:space="preserve">” </w:t>
      </w:r>
      <w:r>
        <w:rPr>
          <w:rFonts w:ascii="Verdana" w:eastAsia="Times New Roman" w:hAnsi="Verdana" w:cs="Arial"/>
        </w:rPr>
        <w:t>(</w:t>
      </w:r>
      <w:r w:rsidRPr="00FF007A">
        <w:rPr>
          <w:rFonts w:ascii="Verdana" w:eastAsia="Times New Roman" w:hAnsi="Verdana" w:cs="Arial"/>
        </w:rPr>
        <w:t>énfasis propio</w:t>
      </w:r>
      <w:r>
        <w:rPr>
          <w:rFonts w:ascii="Verdana" w:eastAsia="Times New Roman" w:hAnsi="Verdana" w:cs="Arial"/>
        </w:rPr>
        <w:t>)</w:t>
      </w:r>
      <w:r w:rsidRPr="00FF007A">
        <w:rPr>
          <w:rFonts w:ascii="Verdana" w:eastAsia="Times New Roman" w:hAnsi="Verdana" w:cs="Arial"/>
        </w:rPr>
        <w:t>. Al respecto la Sala De Consulta y Servicio Civil del Consejo de Estado señaló lo siguiente:</w:t>
      </w:r>
    </w:p>
    <w:p w14:paraId="54053E23" w14:textId="77777777" w:rsidR="00F95AF5" w:rsidRPr="00FF007A" w:rsidRDefault="00F95AF5" w:rsidP="00F95AF5">
      <w:pPr>
        <w:spacing w:after="0" w:line="276" w:lineRule="auto"/>
        <w:ind w:firstLine="708"/>
        <w:jc w:val="both"/>
        <w:rPr>
          <w:rFonts w:ascii="Verdana" w:eastAsia="Times New Roman" w:hAnsi="Verdana" w:cs="Arial"/>
        </w:rPr>
      </w:pPr>
    </w:p>
    <w:p w14:paraId="682DA6CB" w14:textId="77777777" w:rsidR="00F95AF5" w:rsidRPr="00FF007A" w:rsidRDefault="00F95AF5" w:rsidP="00F95AF5">
      <w:pPr>
        <w:spacing w:after="0" w:line="240" w:lineRule="auto"/>
        <w:ind w:left="709" w:right="709"/>
        <w:jc w:val="both"/>
        <w:rPr>
          <w:rFonts w:ascii="Verdana" w:eastAsia="Times New Roman" w:hAnsi="Verdana" w:cs="Arial"/>
          <w:bCs/>
          <w:lang w:eastAsia="es-CO"/>
        </w:rPr>
      </w:pPr>
      <w:r w:rsidRPr="00FF007A">
        <w:rPr>
          <w:rFonts w:ascii="Verdana" w:eastAsia="Times New Roman" w:hAnsi="Verdana" w:cs="Arial"/>
          <w:bCs/>
          <w:sz w:val="20"/>
          <w:szCs w:val="20"/>
          <w:lang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F007A">
        <w:rPr>
          <w:rStyle w:val="Refdenotaalpie"/>
          <w:rFonts w:ascii="Verdana" w:eastAsia="Times New Roman" w:hAnsi="Verdana" w:cs="Arial"/>
          <w:bCs/>
          <w:sz w:val="20"/>
          <w:szCs w:val="20"/>
          <w:lang w:eastAsia="es-CO"/>
        </w:rPr>
        <w:footnoteReference w:id="16"/>
      </w:r>
      <w:r w:rsidRPr="00FF007A">
        <w:rPr>
          <w:rFonts w:ascii="Verdana" w:eastAsia="Times New Roman" w:hAnsi="Verdana" w:cs="Arial"/>
          <w:bCs/>
          <w:sz w:val="20"/>
          <w:szCs w:val="20"/>
          <w:lang w:eastAsia="es-CO"/>
        </w:rPr>
        <w:t>.</w:t>
      </w:r>
    </w:p>
    <w:p w14:paraId="3A64B108" w14:textId="77777777" w:rsidR="00F95AF5" w:rsidRPr="00FF007A" w:rsidRDefault="00F95AF5" w:rsidP="00036A58">
      <w:pPr>
        <w:spacing w:before="240" w:after="120" w:line="276" w:lineRule="auto"/>
        <w:ind w:firstLine="709"/>
        <w:jc w:val="both"/>
        <w:rPr>
          <w:rFonts w:ascii="Verdana" w:hAnsi="Verdana" w:cs="Arial"/>
          <w:bCs/>
          <w:sz w:val="20"/>
          <w:szCs w:val="20"/>
          <w:lang w:eastAsia="es-CO"/>
        </w:rPr>
      </w:pPr>
      <w:r w:rsidRPr="00FF007A">
        <w:rPr>
          <w:rFonts w:ascii="Verdana" w:hAnsi="Verdana" w:cs="Arial"/>
          <w:bCs/>
          <w:lang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F007A">
        <w:rPr>
          <w:rFonts w:ascii="Verdana" w:hAnsi="Verdana"/>
        </w:rPr>
        <w:t xml:space="preserve"> </w:t>
      </w:r>
      <w:r w:rsidRPr="00FF007A">
        <w:rPr>
          <w:rFonts w:ascii="Verdana" w:hAnsi="Verdana" w:cs="Arial"/>
          <w:bCs/>
          <w:lang w:eastAsia="x-none"/>
        </w:rPr>
        <w:t>En efecto, tal como lo ha sostenido el Consejo de Estado, el vocablo “todos” utilizado por el legislador comprende</w:t>
      </w:r>
      <w:r w:rsidRPr="00FF007A">
        <w:rPr>
          <w:rFonts w:ascii="Verdana" w:hAnsi="Verdana"/>
        </w:rPr>
        <w:t xml:space="preserve"> </w:t>
      </w:r>
      <w:r w:rsidRPr="00FF007A">
        <w:rPr>
          <w:rFonts w:ascii="Verdana" w:hAnsi="Verdana" w:cs="Arial"/>
          <w:bCs/>
          <w:lang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cs="Arial"/>
          <w:bCs/>
          <w:lang w:eastAsia="x-none"/>
        </w:rPr>
        <w:t>”</w:t>
      </w:r>
      <w:r w:rsidRPr="00FF007A">
        <w:rPr>
          <w:rStyle w:val="Refdenotaalpie"/>
          <w:rFonts w:ascii="Verdana" w:hAnsi="Verdana" w:cs="Arial"/>
          <w:bCs/>
          <w:sz w:val="20"/>
          <w:szCs w:val="20"/>
          <w:lang w:eastAsia="x-none"/>
        </w:rPr>
        <w:footnoteReference w:id="17"/>
      </w:r>
      <w:r w:rsidRPr="00FF007A">
        <w:rPr>
          <w:rFonts w:ascii="Verdana" w:hAnsi="Verdana" w:cs="Arial"/>
          <w:bCs/>
          <w:sz w:val="20"/>
          <w:szCs w:val="20"/>
          <w:lang w:eastAsia="x-none"/>
        </w:rPr>
        <w:t>.</w:t>
      </w:r>
    </w:p>
    <w:p w14:paraId="43E86057" w14:textId="77777777" w:rsidR="00F95AF5" w:rsidRPr="00FF007A" w:rsidRDefault="00F95AF5" w:rsidP="00036A58">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color w:val="000000" w:themeColor="text1"/>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44C4BAAE" w14:textId="77777777" w:rsidR="00F95AF5" w:rsidRPr="00FF007A" w:rsidRDefault="00F95AF5" w:rsidP="00036A58">
      <w:pPr>
        <w:spacing w:before="120" w:after="120" w:line="276" w:lineRule="auto"/>
        <w:ind w:firstLine="709"/>
        <w:jc w:val="both"/>
        <w:rPr>
          <w:rFonts w:ascii="Verdana" w:hAnsi="Verdana" w:cs="Arial"/>
          <w:bCs/>
          <w:color w:val="000000" w:themeColor="text1"/>
        </w:rPr>
      </w:pPr>
      <w:r w:rsidRPr="00FF007A">
        <w:rPr>
          <w:rFonts w:ascii="Verdana" w:eastAsia="Arial" w:hAnsi="Verdana" w:cs="Arial"/>
          <w:bCs/>
          <w:color w:val="000000" w:themeColor="text1"/>
        </w:rPr>
        <w:lastRenderedPageBreak/>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F007A">
        <w:rPr>
          <w:rFonts w:ascii="Verdana" w:hAnsi="Verdana" w:cs="Arial"/>
          <w:bCs/>
          <w:color w:val="000000" w:themeColor="text1"/>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4A3A6D37" w14:textId="77777777" w:rsidR="00F95AF5" w:rsidRPr="00FF007A" w:rsidRDefault="00F95AF5" w:rsidP="00F95AF5">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t>i) La contratación referente a la defensa y seguridad del Estado;</w:t>
      </w:r>
    </w:p>
    <w:p w14:paraId="3E7CC62D" w14:textId="77777777" w:rsidR="00F95AF5" w:rsidRPr="00FF007A" w:rsidRDefault="00F95AF5" w:rsidP="00F95AF5">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ii</w:t>
      </w:r>
      <w:proofErr w:type="spellEnd"/>
      <w:r w:rsidRPr="00FF007A">
        <w:rPr>
          <w:rFonts w:ascii="Verdana" w:hAnsi="Verdana" w:cs="Arial"/>
          <w:bCs/>
          <w:color w:val="000000" w:themeColor="text1"/>
        </w:rPr>
        <w:t>) Los contratos de crédito público;</w:t>
      </w:r>
    </w:p>
    <w:p w14:paraId="53CB751A" w14:textId="77777777" w:rsidR="00F95AF5" w:rsidRPr="00FF007A" w:rsidRDefault="00F95AF5" w:rsidP="00F95AF5">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iii</w:t>
      </w:r>
      <w:proofErr w:type="spellEnd"/>
      <w:r w:rsidRPr="00FF007A">
        <w:rPr>
          <w:rFonts w:ascii="Verdana" w:hAnsi="Verdana" w:cs="Arial"/>
          <w:bCs/>
          <w:color w:val="000000" w:themeColor="text1"/>
        </w:rPr>
        <w:t xml:space="preserve">) Los contratos requeridos para cubrir las emergencias educativas, sanitarias y desastres; </w:t>
      </w:r>
    </w:p>
    <w:p w14:paraId="3F584E99" w14:textId="77777777" w:rsidR="00F95AF5" w:rsidRPr="00FF007A" w:rsidRDefault="00F95AF5" w:rsidP="00F95AF5">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iv</w:t>
      </w:r>
      <w:proofErr w:type="spellEnd"/>
      <w:r w:rsidRPr="00FF007A">
        <w:rPr>
          <w:rFonts w:ascii="Verdana" w:hAnsi="Verdana" w:cs="Arial"/>
          <w:bCs/>
          <w:color w:val="000000" w:themeColor="text1"/>
        </w:rPr>
        <w:t>) La contratación para la reconstrucción de vías, puentes, carreteras, infraestructura energética y de comunicaciones, en caso de que hayan sido objeto de atentados, acciones terroristas, desastres naturales o casos de fuerza mayor y;</w:t>
      </w:r>
    </w:p>
    <w:p w14:paraId="39CC097E" w14:textId="77777777" w:rsidR="00F95AF5" w:rsidRPr="00FF007A" w:rsidRDefault="00F95AF5" w:rsidP="00F95AF5">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t xml:space="preserve">v) La contratación que deban realizar las entidades sanitarias y hospitalarias. </w:t>
      </w:r>
    </w:p>
    <w:p w14:paraId="6394EC4E" w14:textId="77777777" w:rsidR="00F95AF5" w:rsidRPr="00FF007A" w:rsidRDefault="00F95AF5" w:rsidP="00036A58">
      <w:pPr>
        <w:spacing w:before="240" w:after="120" w:line="276" w:lineRule="auto"/>
        <w:ind w:firstLine="709"/>
        <w:jc w:val="both"/>
        <w:rPr>
          <w:rFonts w:ascii="Verdana" w:hAnsi="Verdana" w:cs="Arial"/>
          <w:lang w:eastAsia="x-none"/>
        </w:rPr>
      </w:pPr>
      <w:r w:rsidRPr="00FF007A">
        <w:rPr>
          <w:rFonts w:ascii="Verdana" w:hAnsi="Verdana" w:cs="Arial"/>
          <w:lang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F007A">
        <w:rPr>
          <w:rFonts w:ascii="Verdana" w:hAnsi="Verdana" w:cs="Arial"/>
          <w:color w:val="000000" w:themeColor="text1"/>
          <w:vertAlign w:val="superscript"/>
          <w:lang w:eastAsia="es-CO"/>
        </w:rPr>
        <w:footnoteReference w:id="18"/>
      </w:r>
      <w:r w:rsidRPr="00FF007A">
        <w:rPr>
          <w:rFonts w:ascii="Verdana" w:hAnsi="Verdana" w:cs="Arial"/>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33A5BC1" w14:textId="77777777" w:rsidR="00F95AF5" w:rsidRPr="00FF007A" w:rsidRDefault="00F95AF5" w:rsidP="00036A58">
      <w:pPr>
        <w:tabs>
          <w:tab w:val="left" w:pos="426"/>
        </w:tabs>
        <w:spacing w:before="120" w:after="120" w:line="276" w:lineRule="auto"/>
        <w:ind w:firstLine="709"/>
        <w:jc w:val="both"/>
        <w:rPr>
          <w:rFonts w:ascii="Verdana" w:hAnsi="Verdana" w:cs="Arial"/>
          <w:bCs/>
          <w:color w:val="000000" w:themeColor="text1"/>
        </w:rPr>
      </w:pPr>
      <w:r w:rsidRPr="00FF007A">
        <w:rPr>
          <w:rFonts w:ascii="Verdana" w:hAnsi="Verdana" w:cs="Arial"/>
          <w:bCs/>
          <w:color w:val="000000" w:themeColor="text1"/>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50DED8C6" w14:textId="77777777" w:rsidR="00F95AF5" w:rsidRDefault="00F95AF5" w:rsidP="00F95AF5">
      <w:pPr>
        <w:shd w:val="clear" w:color="auto" w:fill="FFFFFF"/>
        <w:spacing w:after="0" w:line="240" w:lineRule="auto"/>
        <w:ind w:left="709" w:right="709"/>
        <w:jc w:val="both"/>
        <w:rPr>
          <w:rFonts w:ascii="Verdana" w:hAnsi="Verdana" w:cs="Arial"/>
          <w:color w:val="000000" w:themeColor="text1"/>
          <w:sz w:val="20"/>
          <w:szCs w:val="20"/>
          <w:lang w:eastAsia="es-CO"/>
        </w:rPr>
      </w:pPr>
      <w:r w:rsidRPr="00FF007A">
        <w:rPr>
          <w:rFonts w:ascii="Verdana" w:hAnsi="Verdana" w:cs="Arial"/>
          <w:color w:val="000000" w:themeColor="text1"/>
          <w:sz w:val="20"/>
          <w:szCs w:val="20"/>
          <w:lang w:eastAsia="es-CO"/>
        </w:rPr>
        <w:lastRenderedPageBreak/>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lang w:eastAsia="es-CO"/>
        </w:rPr>
        <w:t>...</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vertAlign w:val="superscript"/>
          <w:lang w:eastAsia="es-CO"/>
        </w:rPr>
        <w:footnoteReference w:id="19"/>
      </w:r>
      <w:r w:rsidRPr="00FF007A">
        <w:rPr>
          <w:rFonts w:ascii="Verdana" w:hAnsi="Verdana" w:cs="Arial"/>
          <w:color w:val="000000" w:themeColor="text1"/>
          <w:sz w:val="20"/>
          <w:szCs w:val="20"/>
          <w:lang w:eastAsia="es-CO"/>
        </w:rPr>
        <w:t xml:space="preserve">”. </w:t>
      </w:r>
    </w:p>
    <w:p w14:paraId="30A73A2C" w14:textId="77777777" w:rsidR="00036A58" w:rsidRPr="00FF007A" w:rsidRDefault="00036A58" w:rsidP="00F95AF5">
      <w:pPr>
        <w:shd w:val="clear" w:color="auto" w:fill="FFFFFF"/>
        <w:spacing w:after="0" w:line="240" w:lineRule="auto"/>
        <w:ind w:left="709" w:right="709"/>
        <w:jc w:val="both"/>
        <w:rPr>
          <w:rFonts w:ascii="Verdana" w:hAnsi="Verdana" w:cs="Arial"/>
          <w:color w:val="000000" w:themeColor="text1"/>
          <w:sz w:val="20"/>
          <w:szCs w:val="20"/>
          <w:lang w:eastAsia="es-CO"/>
        </w:rPr>
      </w:pPr>
    </w:p>
    <w:p w14:paraId="102EFFB8" w14:textId="77777777" w:rsidR="00F95AF5" w:rsidRPr="00FF007A" w:rsidRDefault="00F95AF5" w:rsidP="00F95AF5">
      <w:pPr>
        <w:tabs>
          <w:tab w:val="left" w:pos="426"/>
        </w:tabs>
        <w:spacing w:before="120" w:after="0" w:line="276" w:lineRule="auto"/>
        <w:ind w:firstLine="709"/>
        <w:jc w:val="both"/>
        <w:rPr>
          <w:rFonts w:ascii="Verdana" w:hAnsi="Verdana" w:cs="Arial"/>
          <w:color w:val="000000" w:themeColor="text1"/>
        </w:rPr>
      </w:pPr>
      <w:r w:rsidRPr="00FF007A">
        <w:rPr>
          <w:rFonts w:ascii="Verdana" w:hAnsi="Verdana" w:cs="Arial"/>
          <w:bCs/>
          <w:color w:val="000000" w:themeColor="text1"/>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F007A">
        <w:rPr>
          <w:rFonts w:ascii="Verdana" w:hAnsi="Verdana" w:cs="Arial"/>
          <w:color w:val="000000" w:themeColor="text1"/>
        </w:rPr>
        <w:t xml:space="preserve">, mencionó las excepciones a la prohibición del artículo 33 de la Ley de Garantías Electorales, resaltando su carácter taxativo, y señalando la independencia de los supuestos, así: </w:t>
      </w:r>
    </w:p>
    <w:p w14:paraId="7614FCDF" w14:textId="77777777" w:rsidR="00F95AF5" w:rsidRPr="00FF007A" w:rsidRDefault="00F95AF5" w:rsidP="00F95AF5">
      <w:pPr>
        <w:tabs>
          <w:tab w:val="left" w:pos="426"/>
        </w:tabs>
        <w:spacing w:after="0" w:line="276" w:lineRule="auto"/>
        <w:ind w:firstLine="709"/>
        <w:jc w:val="both"/>
        <w:rPr>
          <w:rFonts w:ascii="Verdana" w:hAnsi="Verdana" w:cs="Arial"/>
          <w:color w:val="000000" w:themeColor="text1"/>
        </w:rPr>
      </w:pPr>
    </w:p>
    <w:p w14:paraId="1E35FEB6" w14:textId="77777777" w:rsidR="00F95AF5" w:rsidRPr="00FF007A" w:rsidRDefault="00F95AF5" w:rsidP="00F95AF5">
      <w:pPr>
        <w:tabs>
          <w:tab w:val="left" w:pos="426"/>
        </w:tabs>
        <w:spacing w:after="0" w:line="240" w:lineRule="auto"/>
        <w:ind w:right="709"/>
        <w:jc w:val="both"/>
        <w:rPr>
          <w:rFonts w:ascii="Verdana" w:hAnsi="Verdana" w:cs="Arial"/>
          <w:color w:val="000000" w:themeColor="text1"/>
          <w:sz w:val="20"/>
          <w:szCs w:val="20"/>
        </w:rPr>
      </w:pPr>
      <w:r w:rsidRPr="00FF007A">
        <w:rPr>
          <w:rFonts w:ascii="Arial" w:hAnsi="Arial" w:cs="Arial"/>
          <w:color w:val="000000" w:themeColor="text1"/>
          <w:sz w:val="21"/>
          <w:szCs w:val="21"/>
        </w:rPr>
        <w:tab/>
      </w:r>
      <w:r w:rsidRPr="00FF007A">
        <w:rPr>
          <w:rFonts w:ascii="Arial" w:hAnsi="Arial" w:cs="Arial"/>
          <w:color w:val="000000" w:themeColor="text1"/>
          <w:sz w:val="21"/>
          <w:szCs w:val="21"/>
        </w:rPr>
        <w:tab/>
        <w:t>“</w:t>
      </w:r>
      <w:r w:rsidRPr="00FF007A">
        <w:rPr>
          <w:rFonts w:ascii="Verdana" w:hAnsi="Verdana" w:cs="Arial"/>
          <w:color w:val="000000" w:themeColor="text1"/>
          <w:sz w:val="20"/>
          <w:szCs w:val="20"/>
        </w:rPr>
        <w:t xml:space="preserve">[…] </w:t>
      </w:r>
      <w:r w:rsidRPr="00FF007A">
        <w:rPr>
          <w:rFonts w:ascii="Verdana" w:hAnsi="Verdana" w:cs="Arial"/>
          <w:i/>
          <w:color w:val="000000" w:themeColor="text1"/>
          <w:sz w:val="20"/>
          <w:szCs w:val="20"/>
        </w:rPr>
        <w:t>Las excepciones aplicables a la restricción de contratación pública</w:t>
      </w:r>
    </w:p>
    <w:p w14:paraId="18793DCC" w14:textId="77777777" w:rsidR="00F95AF5" w:rsidRDefault="00F95AF5" w:rsidP="00F95AF5">
      <w:pPr>
        <w:spacing w:after="0" w:line="240" w:lineRule="auto"/>
        <w:ind w:left="709" w:right="709"/>
        <w:jc w:val="both"/>
        <w:rPr>
          <w:rFonts w:ascii="Verdana" w:hAnsi="Verdana" w:cs="Arial"/>
          <w:color w:val="000000" w:themeColor="text1"/>
          <w:sz w:val="20"/>
          <w:szCs w:val="20"/>
          <w:shd w:val="clear" w:color="auto" w:fill="FFFFFF"/>
        </w:rPr>
      </w:pPr>
    </w:p>
    <w:p w14:paraId="7E447EFE" w14:textId="77777777" w:rsidR="00F95AF5" w:rsidRPr="00FF007A" w:rsidRDefault="00F95AF5" w:rsidP="00F95AF5">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Ahora bien, las únicas excepciones a las disposiciones previstas en la Ley de Garantías se encuentran numeradas taxativamente en el último inciso del artículo 33 de la ley 996 de 2005, dentro de las que se encuentran:</w:t>
      </w:r>
    </w:p>
    <w:p w14:paraId="24C8C5D8" w14:textId="77777777" w:rsidR="00F95AF5" w:rsidRDefault="00F95AF5" w:rsidP="00F95AF5">
      <w:pPr>
        <w:spacing w:after="0" w:line="240" w:lineRule="auto"/>
        <w:ind w:left="709" w:right="709"/>
        <w:jc w:val="both"/>
        <w:rPr>
          <w:rFonts w:ascii="Verdana" w:hAnsi="Verdana" w:cs="Arial"/>
          <w:color w:val="000000" w:themeColor="text1"/>
          <w:sz w:val="20"/>
          <w:szCs w:val="20"/>
          <w:shd w:val="clear" w:color="auto" w:fill="FFFFFF"/>
        </w:rPr>
      </w:pPr>
    </w:p>
    <w:p w14:paraId="455AB4C7" w14:textId="77777777" w:rsidR="00F95AF5" w:rsidRPr="00FF007A" w:rsidRDefault="00F95AF5" w:rsidP="00F95AF5">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 </w:t>
      </w:r>
    </w:p>
    <w:p w14:paraId="43D610CE" w14:textId="77777777" w:rsidR="00F95AF5" w:rsidRDefault="00F95AF5" w:rsidP="00F95AF5">
      <w:pPr>
        <w:spacing w:after="0" w:line="240" w:lineRule="auto"/>
        <w:ind w:left="709" w:right="709"/>
        <w:jc w:val="both"/>
        <w:rPr>
          <w:rFonts w:ascii="Verdana" w:hAnsi="Verdana" w:cs="Arial"/>
          <w:color w:val="000000" w:themeColor="text1"/>
          <w:sz w:val="20"/>
          <w:szCs w:val="20"/>
          <w:shd w:val="clear" w:color="auto" w:fill="FFFFFF"/>
        </w:rPr>
      </w:pPr>
    </w:p>
    <w:p w14:paraId="064F98DD" w14:textId="77777777" w:rsidR="00F95AF5" w:rsidRPr="00FF007A" w:rsidRDefault="00F95AF5" w:rsidP="00F95AF5">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5. Los que deban realizar las entidades sanitarias y hospitalarias </w:t>
      </w:r>
      <w:r>
        <w:rPr>
          <w:rFonts w:ascii="Verdana" w:hAnsi="Verdana" w:cs="Arial"/>
          <w:color w:val="000000" w:themeColor="text1"/>
          <w:sz w:val="20"/>
          <w:szCs w:val="20"/>
          <w:shd w:val="clear" w:color="auto" w:fill="FFFFFF"/>
        </w:rPr>
        <w:t>(…)”</w:t>
      </w:r>
      <w:r w:rsidRPr="00FF007A">
        <w:rPr>
          <w:rFonts w:ascii="Verdana" w:hAnsi="Verdana" w:cs="Arial"/>
          <w:color w:val="000000" w:themeColor="text1"/>
          <w:sz w:val="20"/>
          <w:szCs w:val="20"/>
          <w:shd w:val="clear" w:color="auto" w:fill="FFFFFF"/>
          <w:vertAlign w:val="superscript"/>
        </w:rPr>
        <w:footnoteReference w:id="20"/>
      </w:r>
      <w:r w:rsidRPr="00FF007A">
        <w:rPr>
          <w:rFonts w:ascii="Verdana" w:hAnsi="Verdana" w:cs="Arial"/>
          <w:color w:val="000000" w:themeColor="text1"/>
          <w:sz w:val="20"/>
          <w:szCs w:val="20"/>
          <w:shd w:val="clear" w:color="auto" w:fill="FFFFFF"/>
        </w:rPr>
        <w:t>.</w:t>
      </w:r>
    </w:p>
    <w:p w14:paraId="36A80A96" w14:textId="77777777" w:rsidR="00F95AF5" w:rsidRPr="00FF007A" w:rsidRDefault="00F95AF5" w:rsidP="00F95AF5">
      <w:pPr>
        <w:spacing w:after="0" w:line="240" w:lineRule="auto"/>
        <w:ind w:left="709" w:right="709"/>
        <w:jc w:val="both"/>
        <w:rPr>
          <w:rFonts w:ascii="Verdana" w:hAnsi="Verdana" w:cs="Arial"/>
          <w:color w:val="000000" w:themeColor="text1"/>
          <w:sz w:val="20"/>
          <w:szCs w:val="20"/>
          <w:shd w:val="clear" w:color="auto" w:fill="FFFFFF"/>
        </w:rPr>
      </w:pPr>
    </w:p>
    <w:p w14:paraId="67AAEE16" w14:textId="77777777" w:rsidR="00F95AF5" w:rsidRPr="00FF007A" w:rsidRDefault="00F95AF5" w:rsidP="00036A58">
      <w:pPr>
        <w:tabs>
          <w:tab w:val="left" w:pos="426"/>
        </w:tabs>
        <w:spacing w:after="120" w:line="276" w:lineRule="auto"/>
        <w:ind w:firstLine="425"/>
        <w:jc w:val="both"/>
        <w:rPr>
          <w:rFonts w:ascii="Verdana" w:hAnsi="Verdana" w:cs="Arial"/>
          <w:bCs/>
          <w:color w:val="000000" w:themeColor="text1"/>
        </w:rPr>
      </w:pPr>
      <w:r w:rsidRPr="00FF007A">
        <w:rPr>
          <w:rFonts w:ascii="Verdana" w:hAnsi="Verdana" w:cs="Arial"/>
          <w:bCs/>
          <w:color w:val="000000" w:themeColor="text1"/>
        </w:rPr>
        <w:t>Lo anterior implica que las excepciones al artículo 33 en comento deben interpretarse y aplicarse de manera estricta. En otras palabras, no es factible hacer interpretaciones extensivas</w:t>
      </w:r>
      <w:r w:rsidRPr="00FF007A">
        <w:rPr>
          <w:rFonts w:ascii="Verdana" w:hAnsi="Verdana" w:cs="Arial"/>
          <w:bCs/>
          <w:i/>
          <w:iCs/>
          <w:color w:val="000000" w:themeColor="text1"/>
        </w:rPr>
        <w:t xml:space="preserve"> </w:t>
      </w:r>
      <w:r w:rsidRPr="00FF007A">
        <w:rPr>
          <w:rFonts w:ascii="Verdana" w:hAnsi="Verdana" w:cs="Arial"/>
          <w:bCs/>
          <w:color w:val="000000" w:themeColor="text1"/>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37CBAC7" w14:textId="77777777" w:rsidR="00F95AF5" w:rsidRPr="002E5606" w:rsidRDefault="00F95AF5" w:rsidP="00036A58">
      <w:pPr>
        <w:spacing w:before="240" w:after="120" w:line="276" w:lineRule="auto"/>
        <w:ind w:firstLine="425"/>
        <w:jc w:val="both"/>
        <w:rPr>
          <w:rFonts w:ascii="Verdana" w:eastAsia="Arial" w:hAnsi="Verdana" w:cs="Arial"/>
          <w:bCs/>
          <w:color w:val="000000" w:themeColor="text1"/>
          <w:highlight w:val="yellow"/>
        </w:rPr>
      </w:pPr>
      <w:r w:rsidRPr="002E5606">
        <w:rPr>
          <w:rFonts w:ascii="Verdana" w:eastAsia="Arial" w:hAnsi="Verdana" w:cs="Arial"/>
          <w:bCs/>
          <w:color w:val="000000" w:themeColor="text1"/>
        </w:rPr>
        <w:t xml:space="preserve">Por otro lado, la prohibición establecida en el </w:t>
      </w:r>
      <w:r w:rsidRPr="002E5606">
        <w:rPr>
          <w:rFonts w:ascii="Verdana" w:eastAsia="Arial" w:hAnsi="Verdana" w:cs="Arial"/>
          <w:bCs/>
          <w:i/>
          <w:iCs/>
          <w:color w:val="000000" w:themeColor="text1"/>
        </w:rPr>
        <w:t xml:space="preserve">parágrafo del artículo 38 </w:t>
      </w:r>
      <w:r w:rsidRPr="002E5606">
        <w:rPr>
          <w:rFonts w:ascii="Verdana" w:eastAsia="Calibri" w:hAnsi="Verdana" w:cs="Arial"/>
          <w:bCs/>
        </w:rPr>
        <w:t xml:space="preserve">de la Ley 996 de 2005 dispone que “los Gobernadores, </w:t>
      </w:r>
      <w:proofErr w:type="gramStart"/>
      <w:r w:rsidRPr="002E5606">
        <w:rPr>
          <w:rFonts w:ascii="Verdana" w:eastAsia="Calibri" w:hAnsi="Verdana" w:cs="Arial"/>
          <w:bCs/>
        </w:rPr>
        <w:t>Alcaldes</w:t>
      </w:r>
      <w:proofErr w:type="gramEnd"/>
      <w:r w:rsidRPr="002E5606">
        <w:rPr>
          <w:rFonts w:ascii="Verdana" w:eastAsia="Calibri" w:hAnsi="Verdana" w:cs="Arial"/>
          <w:bCs/>
        </w:rPr>
        <w:t xml:space="preserve"> Municipales y/o Distritales, </w:t>
      </w:r>
      <w:proofErr w:type="gramStart"/>
      <w:r w:rsidRPr="002E5606">
        <w:rPr>
          <w:rFonts w:ascii="Verdana" w:eastAsia="Calibri" w:hAnsi="Verdana" w:cs="Arial"/>
          <w:bCs/>
        </w:rPr>
        <w:t>Secretarios</w:t>
      </w:r>
      <w:proofErr w:type="gramEnd"/>
      <w:r w:rsidRPr="002E5606">
        <w:rPr>
          <w:rFonts w:ascii="Verdana" w:eastAsia="Calibri" w:hAnsi="Verdana" w:cs="Arial"/>
          <w:bCs/>
        </w:rPr>
        <w:t>, Gerentes y directores</w:t>
      </w:r>
      <w:r w:rsidRPr="00FF007A">
        <w:rPr>
          <w:rFonts w:ascii="Verdana" w:eastAsia="Calibri" w:hAnsi="Verdana" w:cs="Arial"/>
          <w:bCs/>
        </w:rPr>
        <w:t xml:space="preserve"> de Entidades Descentralizadas del orden Municipal, Departamental o Distrital, dentro de los cuatro (4) meses anteriores a las elecciones, no podrán celebrar convenios interadministrativos </w:t>
      </w:r>
      <w:r w:rsidRPr="00FF007A">
        <w:rPr>
          <w:rFonts w:ascii="Verdana" w:eastAsia="Calibri" w:hAnsi="Verdana" w:cs="Arial"/>
          <w:bCs/>
        </w:rPr>
        <w:lastRenderedPageBreak/>
        <w:t>para la ejecución de recursos públicos”.</w:t>
      </w:r>
      <w:r w:rsidRPr="00FF007A">
        <w:rPr>
          <w:rFonts w:ascii="Verdana" w:hAnsi="Verdana" w:cs="Arial"/>
          <w:bCs/>
          <w:iCs/>
          <w:lang w:eastAsia="x-none"/>
        </w:rPr>
        <w:t xml:space="preserve"> Los convenios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F007A">
        <w:rPr>
          <w:rStyle w:val="Refdenotaalpie"/>
          <w:rFonts w:ascii="Verdana" w:hAnsi="Verdana" w:cs="Arial"/>
          <w:bCs/>
          <w:iCs/>
          <w:lang w:eastAsia="x-none"/>
        </w:rPr>
        <w:footnoteReference w:id="21"/>
      </w:r>
      <w:r w:rsidRPr="00FF007A">
        <w:rPr>
          <w:rFonts w:ascii="Verdana" w:hAnsi="Verdana" w:cs="Arial"/>
          <w:bCs/>
          <w:iCs/>
          <w:lang w:eastAsia="x-none"/>
        </w:rPr>
        <w:t>.</w:t>
      </w:r>
      <w:r w:rsidRPr="00FF007A">
        <w:rPr>
          <w:rFonts w:ascii="Verdana" w:hAnsi="Verdana" w:cs="Arial"/>
        </w:rPr>
        <w:t xml:space="preserve"> </w:t>
      </w:r>
      <w:bookmarkStart w:id="6" w:name="_Hlk78820161"/>
    </w:p>
    <w:bookmarkEnd w:id="6"/>
    <w:p w14:paraId="031636A5" w14:textId="77777777" w:rsidR="00F95AF5" w:rsidRPr="00461891" w:rsidRDefault="00F95AF5" w:rsidP="00036A58">
      <w:pPr>
        <w:spacing w:after="120" w:line="276" w:lineRule="auto"/>
        <w:ind w:firstLine="425"/>
        <w:jc w:val="both"/>
        <w:rPr>
          <w:rFonts w:ascii="Verdana" w:eastAsia="Calibri" w:hAnsi="Verdana" w:cs="Arial"/>
          <w:lang w:bidi="es-ES"/>
        </w:rPr>
      </w:pPr>
      <w:r w:rsidRPr="00461891">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461891">
        <w:rPr>
          <w:rFonts w:ascii="Verdana" w:eastAsia="Arial" w:hAnsi="Verdana" w:cs="Arial"/>
          <w:lang w:val="es-ES" w:eastAsia="es-ES" w:bidi="es-ES"/>
        </w:rPr>
        <w:t>e</w:t>
      </w:r>
      <w:r w:rsidRPr="00461891">
        <w:rPr>
          <w:rFonts w:ascii="Verdana" w:eastAsia="Calibri" w:hAnsi="Verdana" w:cs="Arial"/>
        </w:rPr>
        <w:t xml:space="preserve">l parágrafo del artículo 38 cobija tanto a los convenios como a los contratos interadministrativos. Esta tesis se fundamenta en que </w:t>
      </w:r>
      <w:r w:rsidRPr="00461891">
        <w:rPr>
          <w:rFonts w:ascii="Verdana" w:eastAsia="Calibri" w:hAnsi="Verdana" w:cs="Arial"/>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063AFCF6" w14:textId="77777777" w:rsidR="00F95AF5" w:rsidRPr="00461891" w:rsidRDefault="00F95AF5" w:rsidP="00036A58">
      <w:pPr>
        <w:spacing w:after="120" w:line="276" w:lineRule="auto"/>
        <w:ind w:firstLine="425"/>
        <w:jc w:val="both"/>
        <w:rPr>
          <w:rFonts w:ascii="Verdana" w:eastAsia="Calibri" w:hAnsi="Verdana" w:cs="Arial"/>
          <w:lang w:bidi="es-ES"/>
        </w:rPr>
      </w:pPr>
      <w:r w:rsidRPr="00461891">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461891">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461891">
        <w:rPr>
          <w:rFonts w:ascii="Verdana" w:eastAsia="Arial" w:hAnsi="Verdana" w:cs="Arial"/>
          <w:vertAlign w:val="superscript"/>
          <w:lang w:val="es-ES" w:eastAsia="es-ES" w:bidi="es-ES"/>
        </w:rPr>
        <w:footnoteReference w:id="22"/>
      </w:r>
      <w:r w:rsidRPr="00461891">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461891">
        <w:rPr>
          <w:rFonts w:ascii="Verdana" w:eastAsia="Arial" w:hAnsi="Verdana" w:cs="Arial"/>
          <w:vertAlign w:val="superscript"/>
          <w:lang w:val="es-ES" w:eastAsia="es-ES" w:bidi="es-ES"/>
        </w:rPr>
        <w:footnoteReference w:id="23"/>
      </w:r>
      <w:r w:rsidRPr="00461891">
        <w:rPr>
          <w:rFonts w:ascii="Verdana" w:eastAsia="Arial" w:hAnsi="Verdana" w:cs="Arial"/>
          <w:lang w:val="es-ES" w:eastAsia="es-ES" w:bidi="es-ES"/>
        </w:rPr>
        <w:t>.</w:t>
      </w:r>
    </w:p>
    <w:p w14:paraId="20071282" w14:textId="77777777" w:rsidR="00F95AF5" w:rsidRPr="00461891" w:rsidRDefault="00F95AF5" w:rsidP="00036A58">
      <w:pPr>
        <w:widowControl w:val="0"/>
        <w:autoSpaceDE w:val="0"/>
        <w:autoSpaceDN w:val="0"/>
        <w:spacing w:after="120" w:line="276" w:lineRule="auto"/>
        <w:ind w:firstLine="425"/>
        <w:contextualSpacing/>
        <w:jc w:val="both"/>
        <w:rPr>
          <w:rFonts w:ascii="Verdana" w:eastAsia="Arial" w:hAnsi="Verdana" w:cs="Arial"/>
          <w:lang w:val="es-ES" w:eastAsia="es-ES" w:bidi="es-ES"/>
        </w:rPr>
      </w:pPr>
      <w:r w:rsidRPr="00461891">
        <w:rPr>
          <w:rFonts w:ascii="Verdana" w:eastAsia="Calibri" w:hAnsi="Verdana" w:cs="Arial"/>
          <w:lang w:val="es-ES" w:bidi="es-ES"/>
        </w:rPr>
        <w:lastRenderedPageBreak/>
        <w:t>De este modo, en la Circular Externa</w:t>
      </w:r>
      <w:r w:rsidRPr="00461891">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4A5DC4FB" w14:textId="77777777" w:rsidR="00F95AF5" w:rsidRPr="00461891" w:rsidRDefault="00F95AF5" w:rsidP="00F95AF5">
      <w:pPr>
        <w:widowControl w:val="0"/>
        <w:autoSpaceDE w:val="0"/>
        <w:autoSpaceDN w:val="0"/>
        <w:spacing w:after="0" w:line="276" w:lineRule="auto"/>
        <w:contextualSpacing/>
        <w:jc w:val="both"/>
        <w:rPr>
          <w:rFonts w:ascii="Verdana" w:eastAsia="Arial" w:hAnsi="Verdana" w:cs="Arial"/>
          <w:lang w:val="es-ES" w:eastAsia="es-ES" w:bidi="es-ES"/>
        </w:rPr>
      </w:pPr>
    </w:p>
    <w:p w14:paraId="0A5AB1E2" w14:textId="77777777" w:rsidR="00F95AF5" w:rsidRPr="00461891" w:rsidRDefault="00F95AF5" w:rsidP="00F95AF5">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61891">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5466DB0E" w14:textId="77777777" w:rsidR="00F95AF5" w:rsidRPr="00461891" w:rsidRDefault="00F95AF5" w:rsidP="00F95AF5">
      <w:pPr>
        <w:spacing w:after="0" w:line="240" w:lineRule="auto"/>
        <w:ind w:left="709" w:right="709"/>
        <w:jc w:val="both"/>
        <w:rPr>
          <w:rFonts w:ascii="Verdana" w:eastAsia="Calibri" w:hAnsi="Verdana" w:cs="Arial"/>
          <w:sz w:val="20"/>
          <w:szCs w:val="20"/>
          <w:lang w:val="es-MX"/>
        </w:rPr>
      </w:pPr>
    </w:p>
    <w:p w14:paraId="08EE8B85" w14:textId="77777777" w:rsidR="00F95AF5" w:rsidRPr="00461891" w:rsidRDefault="00F95AF5" w:rsidP="00F95AF5">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26B2237" w14:textId="77777777" w:rsidR="00F95AF5" w:rsidRPr="00461891" w:rsidRDefault="00F95AF5" w:rsidP="00F95AF5">
      <w:pPr>
        <w:spacing w:after="0" w:line="240" w:lineRule="auto"/>
        <w:ind w:left="709" w:right="709"/>
        <w:jc w:val="both"/>
        <w:rPr>
          <w:rFonts w:ascii="Verdana" w:eastAsia="Calibri" w:hAnsi="Verdana" w:cs="Arial"/>
          <w:sz w:val="20"/>
          <w:szCs w:val="20"/>
          <w:lang w:val="es-MX"/>
        </w:rPr>
      </w:pPr>
    </w:p>
    <w:p w14:paraId="230C7AF6" w14:textId="77777777" w:rsidR="00F95AF5" w:rsidRPr="00461891" w:rsidRDefault="00F95AF5" w:rsidP="00F95AF5">
      <w:pPr>
        <w:spacing w:after="0" w:line="240" w:lineRule="auto"/>
        <w:ind w:left="709" w:right="709"/>
        <w:jc w:val="both"/>
        <w:rPr>
          <w:rFonts w:ascii="Verdana" w:eastAsia="Calibri" w:hAnsi="Verdana" w:cs="Arial"/>
          <w:sz w:val="20"/>
          <w:szCs w:val="20"/>
          <w:lang w:val="es-MX"/>
        </w:rPr>
      </w:pPr>
      <w:bookmarkStart w:id="7" w:name="_Hlk193459059"/>
      <w:r w:rsidRPr="00461891">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w:t>
      </w:r>
      <w:bookmarkEnd w:id="7"/>
      <w:r w:rsidRPr="00461891">
        <w:rPr>
          <w:rFonts w:ascii="Verdana" w:eastAsia="Calibri" w:hAnsi="Verdana" w:cs="Arial"/>
          <w:sz w:val="20"/>
          <w:szCs w:val="20"/>
          <w:lang w:val="es-MX"/>
        </w:rPr>
        <w:t>o”.</w:t>
      </w:r>
    </w:p>
    <w:p w14:paraId="30D6072F" w14:textId="77777777" w:rsidR="00F95AF5" w:rsidRPr="00461891" w:rsidRDefault="00F95AF5" w:rsidP="00F95AF5">
      <w:pPr>
        <w:widowControl w:val="0"/>
        <w:autoSpaceDE w:val="0"/>
        <w:autoSpaceDN w:val="0"/>
        <w:spacing w:after="0" w:line="276" w:lineRule="auto"/>
        <w:contextualSpacing/>
        <w:jc w:val="both"/>
        <w:rPr>
          <w:rFonts w:ascii="Verdana" w:eastAsia="Arial" w:hAnsi="Verdana" w:cs="Arial"/>
          <w:lang w:val="es-ES" w:eastAsia="es-ES" w:bidi="es-ES"/>
        </w:rPr>
      </w:pPr>
    </w:p>
    <w:p w14:paraId="1DDE6B6C" w14:textId="77777777" w:rsidR="00F95AF5" w:rsidRPr="00461891" w:rsidRDefault="00F95AF5" w:rsidP="00036A58">
      <w:pPr>
        <w:spacing w:after="120" w:line="276" w:lineRule="auto"/>
        <w:ind w:firstLine="709"/>
        <w:jc w:val="both"/>
        <w:rPr>
          <w:rFonts w:ascii="Verdana" w:eastAsia="Arial" w:hAnsi="Verdana" w:cs="Arial"/>
          <w:lang w:val="es-MX" w:eastAsia="es-ES" w:bidi="es-ES"/>
        </w:rPr>
      </w:pPr>
      <w:r w:rsidRPr="00461891">
        <w:rPr>
          <w:rFonts w:ascii="Verdana" w:eastAsia="Arial" w:hAnsi="Verdana" w:cs="Arial"/>
          <w:lang w:val="es-ES" w:eastAsia="es-ES" w:bidi="es-ES"/>
        </w:rPr>
        <w:t xml:space="preserve">Con base en lo expuesto, debido a que no existe una definición legal que diferencie los conceptos de contrato y convenio, esta Agencia ha partido de su asimilación para la aplicación de la Ley de Garantías Electorales, por lo que la </w:t>
      </w:r>
      <w:r w:rsidRPr="00461891">
        <w:rPr>
          <w:rFonts w:ascii="Verdana" w:eastAsia="Arial" w:hAnsi="Verdana" w:cs="Arial"/>
          <w:lang w:val="es-ES" w:eastAsia="es-ES" w:bidi="es-ES"/>
        </w:rPr>
        <w:lastRenderedPageBreak/>
        <w:t>interpretación que se ha efectuado d</w:t>
      </w:r>
      <w:r w:rsidRPr="00461891">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78CBBD70" w14:textId="77777777" w:rsidR="00F95AF5" w:rsidRPr="00461891" w:rsidRDefault="00F95AF5" w:rsidP="00036A58">
      <w:pPr>
        <w:spacing w:after="120" w:line="276" w:lineRule="auto"/>
        <w:ind w:firstLine="709"/>
        <w:jc w:val="both"/>
      </w:pPr>
      <w:r w:rsidRPr="00461891">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461891">
        <w:rPr>
          <w:rFonts w:ascii="Verdana" w:hAnsi="Verdana"/>
        </w:rPr>
        <w:t>numeral 16.2 de la Circular Externa Única de 2022 expedida por la Agencia Nacional de Contratación Pública -Colombia Compra Eficiente-, concretamente, respecto de los siguientes apartes normativos</w:t>
      </w:r>
      <w:r w:rsidRPr="00461891">
        <w:rPr>
          <w:rFonts w:ascii="Verdana" w:hAnsi="Verdana"/>
          <w:vertAlign w:val="superscript"/>
        </w:rPr>
        <w:footnoteReference w:id="24"/>
      </w:r>
      <w:r w:rsidRPr="00461891">
        <w:rPr>
          <w:rFonts w:ascii="Verdana" w:hAnsi="Verdana"/>
        </w:rPr>
        <w:t>:</w:t>
      </w:r>
      <w:r w:rsidRPr="00461891">
        <w:t xml:space="preserve"> </w:t>
      </w:r>
    </w:p>
    <w:p w14:paraId="3B2F5C29" w14:textId="77777777" w:rsidR="00F95AF5" w:rsidRPr="00461891" w:rsidRDefault="00F95AF5" w:rsidP="00F95AF5">
      <w:pPr>
        <w:spacing w:after="0" w:line="276" w:lineRule="auto"/>
        <w:ind w:firstLine="709"/>
        <w:jc w:val="both"/>
      </w:pPr>
    </w:p>
    <w:p w14:paraId="22EF6F15" w14:textId="77777777" w:rsidR="00F95AF5" w:rsidRPr="00461891" w:rsidRDefault="00F95AF5" w:rsidP="00F95AF5">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lang w:val="es-MX"/>
        </w:rPr>
        <w:t>i)</w:t>
      </w:r>
      <w:r w:rsidRPr="00461891">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56853877" w14:textId="77777777" w:rsidR="00F95AF5" w:rsidRPr="00461891" w:rsidRDefault="00F95AF5" w:rsidP="00F95AF5">
      <w:pPr>
        <w:spacing w:after="0" w:line="240" w:lineRule="auto"/>
        <w:ind w:left="709" w:right="709"/>
        <w:jc w:val="both"/>
        <w:rPr>
          <w:rFonts w:ascii="Verdana" w:eastAsia="Calibri" w:hAnsi="Verdana" w:cs="Arial"/>
          <w:sz w:val="20"/>
          <w:szCs w:val="20"/>
        </w:rPr>
      </w:pPr>
    </w:p>
    <w:p w14:paraId="4FD42424" w14:textId="77777777" w:rsidR="00F95AF5" w:rsidRPr="00461891" w:rsidRDefault="00F95AF5" w:rsidP="00F95AF5">
      <w:pPr>
        <w:spacing w:after="0" w:line="240" w:lineRule="auto"/>
        <w:ind w:left="709" w:right="709"/>
        <w:jc w:val="both"/>
        <w:rPr>
          <w:rFonts w:ascii="Verdana" w:hAnsi="Verdana"/>
          <w:sz w:val="20"/>
          <w:szCs w:val="20"/>
        </w:rPr>
      </w:pPr>
      <w:proofErr w:type="spellStart"/>
      <w:r w:rsidRPr="00461891">
        <w:rPr>
          <w:rFonts w:ascii="Verdana" w:hAnsi="Verdana"/>
          <w:sz w:val="20"/>
          <w:szCs w:val="20"/>
        </w:rPr>
        <w:t>ii</w:t>
      </w:r>
      <w:proofErr w:type="spellEnd"/>
      <w:r w:rsidRPr="00461891">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187B5D09" w14:textId="77777777" w:rsidR="00F95AF5" w:rsidRPr="00461891" w:rsidRDefault="00F95AF5" w:rsidP="00F95AF5">
      <w:pPr>
        <w:spacing w:after="0" w:line="276" w:lineRule="auto"/>
        <w:ind w:left="709" w:right="709"/>
        <w:jc w:val="both"/>
        <w:rPr>
          <w:rFonts w:ascii="Verdana" w:hAnsi="Verdana"/>
        </w:rPr>
      </w:pPr>
    </w:p>
    <w:p w14:paraId="4FACE195" w14:textId="77777777" w:rsidR="00F95AF5" w:rsidRPr="00461891" w:rsidRDefault="00F95AF5" w:rsidP="00036A58">
      <w:pPr>
        <w:spacing w:after="120" w:line="276" w:lineRule="auto"/>
        <w:ind w:firstLine="709"/>
        <w:jc w:val="both"/>
        <w:rPr>
          <w:rFonts w:ascii="Verdana" w:eastAsia="Arial" w:hAnsi="Verdana" w:cs="Arial"/>
          <w:i/>
          <w:iCs/>
          <w:lang w:val="es-MX" w:eastAsia="es-ES" w:bidi="es-ES"/>
        </w:rPr>
      </w:pPr>
      <w:r w:rsidRPr="00461891">
        <w:rPr>
          <w:rFonts w:ascii="Verdana" w:eastAsia="Arial" w:hAnsi="Verdana" w:cs="Arial"/>
          <w:lang w:val="es-MX" w:eastAsia="es-ES" w:bidi="es-ES"/>
        </w:rPr>
        <w:t xml:space="preserve">De conformidad con los argumentos de dicha providencia, se parte de la distinción entre los conceptos </w:t>
      </w:r>
      <w:r w:rsidRPr="00461891">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461891">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461891">
        <w:rPr>
          <w:rFonts w:ascii="Verdana" w:eastAsia="Arial" w:hAnsi="Verdana" w:cs="Arial"/>
          <w:lang w:eastAsia="es-ES" w:bidi="es-ES"/>
        </w:rPr>
        <w:t xml:space="preserve">Por tal motivo, para efectos de decretar la medida de suspensión </w:t>
      </w:r>
      <w:r w:rsidRPr="00461891">
        <w:rPr>
          <w:rFonts w:ascii="Verdana" w:eastAsia="Arial" w:hAnsi="Verdana" w:cs="Arial"/>
          <w:lang w:eastAsia="es-ES" w:bidi="es-ES"/>
        </w:rPr>
        <w:lastRenderedPageBreak/>
        <w:t xml:space="preserve">provisional de los apartes señalados del numeral </w:t>
      </w:r>
      <w:bookmarkStart w:id="8" w:name="_Hlk192497089"/>
      <w:r w:rsidRPr="00461891">
        <w:rPr>
          <w:rFonts w:ascii="Verdana" w:eastAsia="Arial" w:hAnsi="Verdana" w:cs="Arial"/>
          <w:lang w:eastAsia="es-ES" w:bidi="es-ES"/>
        </w:rPr>
        <w:t>16.2 de la Circular Externa Única</w:t>
      </w:r>
      <w:bookmarkEnd w:id="8"/>
      <w:r w:rsidRPr="00461891">
        <w:rPr>
          <w:rFonts w:ascii="Verdana" w:eastAsia="Arial" w:hAnsi="Verdana" w:cs="Arial"/>
          <w:lang w:eastAsia="es-ES" w:bidi="es-ES"/>
        </w:rPr>
        <w:t xml:space="preserve">, argumentó que </w:t>
      </w:r>
      <w:r w:rsidRPr="00461891">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3656FDA0" w14:textId="77777777" w:rsidR="00F95AF5" w:rsidRPr="00461891" w:rsidRDefault="00F95AF5" w:rsidP="00036A58">
      <w:pPr>
        <w:spacing w:after="120" w:line="276" w:lineRule="auto"/>
        <w:ind w:firstLine="709"/>
        <w:jc w:val="both"/>
        <w:rPr>
          <w:rFonts w:ascii="Verdana" w:eastAsia="Calibri" w:hAnsi="Verdana" w:cs="Arial"/>
          <w:lang w:val="es-MX"/>
        </w:rPr>
      </w:pPr>
      <w:r w:rsidRPr="00461891">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461891">
        <w:rPr>
          <w:rFonts w:ascii="Verdana" w:eastAsia="Arial" w:hAnsi="Verdana" w:cs="Arial"/>
          <w:lang w:eastAsia="es-ES" w:bidi="es-ES"/>
        </w:rPr>
        <w:t>16.2 de la Circular Externa Única</w:t>
      </w:r>
      <w:r w:rsidRPr="00461891">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461891">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461891">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1F32ED12" w14:textId="77777777" w:rsidR="007561A1" w:rsidRDefault="00F95AF5" w:rsidP="00036A58">
      <w:pPr>
        <w:spacing w:after="120" w:line="276" w:lineRule="auto"/>
        <w:ind w:firstLine="709"/>
        <w:jc w:val="both"/>
        <w:rPr>
          <w:rFonts w:ascii="Verdana" w:eastAsia="Calibri" w:hAnsi="Verdana" w:cs="Arial"/>
          <w:lang w:val="es-MX"/>
        </w:rPr>
      </w:pPr>
      <w:r w:rsidRPr="00461891">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461891">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461891">
        <w:rPr>
          <w:rFonts w:ascii="Verdana" w:eastAsia="Calibri" w:hAnsi="Verdana" w:cs="Arial"/>
          <w:lang w:val="es-MX"/>
        </w:rPr>
        <w:t>a la fecha, se espera la decisión final respecto a la declaratoria de nulidad del numeral 16.2 de la Circular Externa Única que adopte el Consejo de Estado.</w:t>
      </w:r>
    </w:p>
    <w:p w14:paraId="0C5A9CE6" w14:textId="77777777" w:rsidR="007561A1" w:rsidRDefault="007561A1" w:rsidP="00036A58">
      <w:pPr>
        <w:spacing w:after="120" w:line="276" w:lineRule="auto"/>
        <w:ind w:firstLine="709"/>
        <w:jc w:val="both"/>
        <w:rPr>
          <w:rFonts w:ascii="Verdana" w:eastAsia="Arial" w:hAnsi="Verdana" w:cs="Arial"/>
          <w:lang w:val="es-ES" w:eastAsia="es-ES" w:bidi="es-ES"/>
        </w:rPr>
      </w:pPr>
      <w:r w:rsidRPr="00E2397D">
        <w:rPr>
          <w:rFonts w:ascii="Verdana" w:eastAsia="Times New Roman" w:hAnsi="Verdana" w:cs="Arial"/>
          <w:lang w:val="es-ES" w:eastAsia="es-CO" w:bidi="es-ES"/>
        </w:rPr>
        <w:t>En todo caso</w:t>
      </w:r>
      <w:r w:rsidRPr="00E2397D">
        <w:rPr>
          <w:rFonts w:ascii="Verdana" w:eastAsia="Arial" w:hAnsi="Verdana" w:cs="Arial"/>
          <w:lang w:val="es-ES" w:eastAsia="es-ES" w:bidi="es-ES"/>
        </w:rPr>
        <w:t xml:space="preserve">,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w:t>
      </w:r>
      <w:r w:rsidRPr="00E2397D">
        <w:rPr>
          <w:rFonts w:ascii="Verdana" w:eastAsia="Arial" w:hAnsi="Verdana" w:cs="Arial"/>
          <w:lang w:val="es-ES" w:eastAsia="es-ES" w:bidi="es-ES"/>
        </w:rPr>
        <w:lastRenderedPageBreak/>
        <w:t>derecho que tienen los ciudadanos al acceso y oportuna administración de justicia</w:t>
      </w:r>
      <w:r w:rsidRPr="00E2397D">
        <w:rPr>
          <w:rFonts w:ascii="Verdana" w:eastAsia="Arial" w:hAnsi="Verdana" w:cs="Arial"/>
          <w:vertAlign w:val="superscript"/>
          <w:lang w:val="es-ES" w:eastAsia="es-ES" w:bidi="es-ES"/>
        </w:rPr>
        <w:footnoteReference w:id="25"/>
      </w:r>
      <w:r>
        <w:rPr>
          <w:rFonts w:ascii="Verdana" w:eastAsia="Arial" w:hAnsi="Verdana" w:cs="Arial"/>
          <w:lang w:val="es-ES" w:eastAsia="es-ES" w:bidi="es-ES"/>
        </w:rPr>
        <w:t>.</w:t>
      </w:r>
    </w:p>
    <w:p w14:paraId="1511205F" w14:textId="5D98D34E" w:rsidR="00F95AF5" w:rsidRDefault="005B5423" w:rsidP="00036A58">
      <w:pPr>
        <w:spacing w:after="120" w:line="276" w:lineRule="auto"/>
        <w:ind w:firstLine="709"/>
        <w:jc w:val="both"/>
        <w:rPr>
          <w:rFonts w:ascii="Verdana" w:eastAsia="Calibri" w:hAnsi="Verdana" w:cs="Arial"/>
        </w:rPr>
      </w:pPr>
      <w:r w:rsidRPr="79F3ED1A">
        <w:rPr>
          <w:rFonts w:ascii="Verdana" w:eastAsia="Calibri" w:hAnsi="Verdana" w:cs="Arial"/>
        </w:rPr>
        <w:t xml:space="preserve">Ahora bien, en respuesta al problema jurídico </w:t>
      </w:r>
      <w:r w:rsidR="69E2BF91" w:rsidRPr="79F3ED1A">
        <w:rPr>
          <w:rFonts w:ascii="Verdana" w:eastAsia="Calibri" w:hAnsi="Verdana" w:cs="Arial"/>
        </w:rPr>
        <w:t>planteado, la</w:t>
      </w:r>
      <w:r w:rsidR="007C7B9E" w:rsidRPr="79F3ED1A">
        <w:rPr>
          <w:rFonts w:ascii="Verdana" w:eastAsia="Calibri" w:hAnsi="Verdana" w:cs="Arial"/>
        </w:rPr>
        <w:t xml:space="preserve"> </w:t>
      </w:r>
      <w:r w:rsidR="00F95AF5" w:rsidRPr="79F3ED1A">
        <w:rPr>
          <w:rFonts w:ascii="Verdana" w:eastAsia="Calibri" w:hAnsi="Verdana" w:cs="Arial"/>
        </w:rPr>
        <w:t>Ley 996 de 2005 establece restricciones a la contratación directa y a los convenios interadministrativos, con el fin de asegurar la transparencia y la igualdad en los procesos democráticos. La restricción a la celebración de convenios interadministrativos aplicable a las entidades territoriales y sus entes descentralizados inicia el 8 de noviembre de 2025, mientras que la restricción general a la contratación directa que cobija a todas la</w:t>
      </w:r>
      <w:r w:rsidR="00E97CD5" w:rsidRPr="79F3ED1A">
        <w:rPr>
          <w:rFonts w:ascii="Verdana" w:eastAsia="Calibri" w:hAnsi="Verdana" w:cs="Arial"/>
        </w:rPr>
        <w:t>s</w:t>
      </w:r>
      <w:r w:rsidR="00F95AF5" w:rsidRPr="79F3ED1A">
        <w:rPr>
          <w:rFonts w:ascii="Verdana" w:eastAsia="Calibri" w:hAnsi="Verdana" w:cs="Arial"/>
        </w:rPr>
        <w:t xml:space="preserve"> Entidades Estatales comienza a regir a partir del 31 de enero de 2026. Ambas restricciones se mantendrán hasta el 31 de mayo, o hasta el 21 de junio en caso de requerirse segunda vuelta en las elecciones presidenciales.</w:t>
      </w:r>
    </w:p>
    <w:p w14:paraId="31B96FDF" w14:textId="67B4EA91" w:rsidR="00243322" w:rsidRPr="003C4660" w:rsidRDefault="00243322" w:rsidP="00036A58">
      <w:pPr>
        <w:tabs>
          <w:tab w:val="num" w:pos="720"/>
        </w:tabs>
        <w:spacing w:before="120" w:after="120" w:line="276" w:lineRule="auto"/>
        <w:ind w:firstLine="709"/>
        <w:jc w:val="both"/>
        <w:rPr>
          <w:rFonts w:ascii="Verdana" w:eastAsia="Calibri" w:hAnsi="Verdana" w:cs="Arial"/>
        </w:rPr>
      </w:pPr>
      <w:r w:rsidRPr="79F3ED1A">
        <w:rPr>
          <w:rFonts w:ascii="Verdana" w:eastAsia="Calibri" w:hAnsi="Verdana" w:cs="Arial"/>
        </w:rPr>
        <w:t xml:space="preserve">En </w:t>
      </w:r>
      <w:r w:rsidR="00CE143E" w:rsidRPr="79F3ED1A">
        <w:rPr>
          <w:rFonts w:ascii="Verdana" w:eastAsia="Calibri" w:hAnsi="Verdana" w:cs="Arial"/>
        </w:rPr>
        <w:t>consecuencia, las</w:t>
      </w:r>
      <w:r w:rsidR="00E97CD5" w:rsidRPr="79F3ED1A">
        <w:rPr>
          <w:rFonts w:ascii="Verdana" w:eastAsia="Calibri" w:hAnsi="Verdana" w:cs="Arial"/>
        </w:rPr>
        <w:t xml:space="preserve"> entidades estatales podrán </w:t>
      </w:r>
      <w:r w:rsidR="00C4483B" w:rsidRPr="79F3ED1A">
        <w:rPr>
          <w:rFonts w:ascii="Verdana" w:eastAsia="Calibri" w:hAnsi="Verdana" w:cs="Arial"/>
        </w:rPr>
        <w:t xml:space="preserve">celebrar contratos </w:t>
      </w:r>
      <w:r w:rsidR="00A72117" w:rsidRPr="79F3ED1A">
        <w:rPr>
          <w:rFonts w:ascii="Verdana" w:eastAsia="Calibri" w:hAnsi="Verdana" w:cs="Arial"/>
        </w:rPr>
        <w:t>bajo la</w:t>
      </w:r>
      <w:r w:rsidR="007E43C5" w:rsidRPr="79F3ED1A">
        <w:rPr>
          <w:rFonts w:ascii="Verdana" w:eastAsia="Calibri" w:hAnsi="Verdana" w:cs="Arial"/>
        </w:rPr>
        <w:t xml:space="preserve"> modalidad de contratación directa para la vigencia 2026 </w:t>
      </w:r>
      <w:r w:rsidR="00E22898" w:rsidRPr="79F3ED1A">
        <w:rPr>
          <w:rFonts w:ascii="Verdana" w:eastAsia="Calibri" w:hAnsi="Verdana" w:cs="Arial"/>
        </w:rPr>
        <w:t>a partir del primero (1) de enero de 2026</w:t>
      </w:r>
      <w:r w:rsidR="00C4483B" w:rsidRPr="79F3ED1A">
        <w:rPr>
          <w:rFonts w:ascii="Verdana" w:eastAsia="Calibri" w:hAnsi="Verdana" w:cs="Arial"/>
        </w:rPr>
        <w:t xml:space="preserve"> y hasta el 30 de enero de 2026</w:t>
      </w:r>
      <w:r w:rsidR="00E22898" w:rsidRPr="79F3ED1A">
        <w:rPr>
          <w:rFonts w:ascii="Verdana" w:eastAsia="Calibri" w:hAnsi="Verdana" w:cs="Arial"/>
        </w:rPr>
        <w:t xml:space="preserve">, </w:t>
      </w:r>
      <w:r w:rsidR="003B1183" w:rsidRPr="79F3ED1A">
        <w:rPr>
          <w:rFonts w:ascii="Verdana" w:eastAsia="Calibri" w:hAnsi="Verdana" w:cs="Arial"/>
        </w:rPr>
        <w:t xml:space="preserve">siempre que se cumplan los requisitos legales y se haya adelantado oportunamente la planeación contractual. Para ello, </w:t>
      </w:r>
      <w:r w:rsidR="007A5DEC" w:rsidRPr="79F3ED1A">
        <w:rPr>
          <w:rFonts w:ascii="Verdana" w:eastAsia="Calibri" w:hAnsi="Verdana" w:cs="Arial"/>
        </w:rPr>
        <w:t>y en aplicación del principio de planeación</w:t>
      </w:r>
      <w:r w:rsidR="00703F37" w:rsidRPr="79F3ED1A">
        <w:rPr>
          <w:rFonts w:ascii="Verdana" w:eastAsia="Calibri" w:hAnsi="Verdana" w:cs="Arial"/>
        </w:rPr>
        <w:t xml:space="preserve">, </w:t>
      </w:r>
      <w:r w:rsidRPr="79F3ED1A">
        <w:rPr>
          <w:rFonts w:ascii="Verdana" w:eastAsia="Calibri" w:hAnsi="Verdana" w:cs="Arial"/>
        </w:rPr>
        <w:t>se recomienda a las entidades adoptar</w:t>
      </w:r>
      <w:r w:rsidR="00291386" w:rsidRPr="79F3ED1A">
        <w:rPr>
          <w:rFonts w:ascii="Verdana" w:eastAsia="Calibri" w:hAnsi="Verdana" w:cs="Arial"/>
        </w:rPr>
        <w:t xml:space="preserve"> </w:t>
      </w:r>
      <w:r w:rsidR="00916730" w:rsidRPr="79F3ED1A">
        <w:rPr>
          <w:rFonts w:ascii="Verdana" w:eastAsia="Calibri" w:hAnsi="Verdana" w:cs="Arial"/>
        </w:rPr>
        <w:t xml:space="preserve">anticipadamente </w:t>
      </w:r>
      <w:r w:rsidR="00291386" w:rsidRPr="79F3ED1A">
        <w:rPr>
          <w:rFonts w:ascii="Verdana" w:eastAsia="Calibri" w:hAnsi="Verdana" w:cs="Arial"/>
        </w:rPr>
        <w:t>las medidas necesarias</w:t>
      </w:r>
      <w:r w:rsidR="004D09FE" w:rsidRPr="79F3ED1A">
        <w:rPr>
          <w:rFonts w:ascii="Verdana" w:eastAsia="Calibri" w:hAnsi="Verdana" w:cs="Arial"/>
        </w:rPr>
        <w:t xml:space="preserve"> </w:t>
      </w:r>
      <w:r w:rsidRPr="79F3ED1A">
        <w:rPr>
          <w:rFonts w:ascii="Verdana" w:eastAsia="Calibri" w:hAnsi="Verdana" w:cs="Arial"/>
        </w:rPr>
        <w:t>en</w:t>
      </w:r>
      <w:r w:rsidR="004D09FE" w:rsidRPr="79F3ED1A">
        <w:rPr>
          <w:rFonts w:ascii="Verdana" w:eastAsia="Calibri" w:hAnsi="Verdana" w:cs="Arial"/>
        </w:rPr>
        <w:t xml:space="preserve"> su gestión contractual</w:t>
      </w:r>
      <w:r w:rsidR="009159C6" w:rsidRPr="79F3ED1A">
        <w:rPr>
          <w:rFonts w:ascii="Verdana" w:eastAsia="Calibri" w:hAnsi="Verdana" w:cs="Arial"/>
        </w:rPr>
        <w:t xml:space="preserve"> </w:t>
      </w:r>
      <w:r w:rsidR="00C4483B" w:rsidRPr="79F3ED1A">
        <w:rPr>
          <w:rFonts w:ascii="Verdana" w:eastAsia="Calibri" w:hAnsi="Verdana" w:cs="Arial"/>
        </w:rPr>
        <w:t xml:space="preserve">con el fin de </w:t>
      </w:r>
      <w:r w:rsidR="009159C6" w:rsidRPr="79F3ED1A">
        <w:rPr>
          <w:rFonts w:ascii="Verdana" w:eastAsia="Calibri" w:hAnsi="Verdana" w:cs="Arial"/>
        </w:rPr>
        <w:t xml:space="preserve">evitar que las restricciones impuestas por la Ley de Garantías afecten el </w:t>
      </w:r>
      <w:r w:rsidR="007A5DEC" w:rsidRPr="79F3ED1A">
        <w:rPr>
          <w:rFonts w:ascii="Verdana" w:eastAsia="Calibri" w:hAnsi="Verdana" w:cs="Arial"/>
        </w:rPr>
        <w:t xml:space="preserve">funcionamiento de las entidades y el </w:t>
      </w:r>
      <w:r w:rsidR="009159C6" w:rsidRPr="79F3ED1A">
        <w:rPr>
          <w:rFonts w:ascii="Verdana" w:eastAsia="Calibri" w:hAnsi="Verdana" w:cs="Arial"/>
        </w:rPr>
        <w:t>cumplimiento de los fines institucionales,</w:t>
      </w:r>
      <w:r w:rsidR="00262B9A" w:rsidRPr="79F3ED1A">
        <w:rPr>
          <w:rFonts w:ascii="Verdana" w:eastAsia="Calibri" w:hAnsi="Verdana" w:cs="Arial"/>
        </w:rPr>
        <w:t xml:space="preserve"> e</w:t>
      </w:r>
      <w:r w:rsidRPr="79F3ED1A">
        <w:rPr>
          <w:rFonts w:ascii="Verdana" w:eastAsia="Calibri" w:hAnsi="Verdana" w:cs="Arial"/>
        </w:rPr>
        <w:t>sto implica, entre otras acciones</w:t>
      </w:r>
      <w:r w:rsidR="00D746DE" w:rsidRPr="79F3ED1A">
        <w:rPr>
          <w:rFonts w:ascii="Verdana" w:eastAsia="Calibri" w:hAnsi="Verdana" w:cs="Arial"/>
        </w:rPr>
        <w:t>, la estructuración técnica y jurídica, la</w:t>
      </w:r>
      <w:r w:rsidRPr="79F3ED1A">
        <w:rPr>
          <w:rFonts w:ascii="Verdana" w:eastAsia="Calibri" w:hAnsi="Verdana" w:cs="Arial"/>
        </w:rPr>
        <w:t xml:space="preserve"> elaboración oportuna de los estudios previos de los procesos de selección, </w:t>
      </w:r>
      <w:r w:rsidR="008F50DD" w:rsidRPr="79F3ED1A">
        <w:rPr>
          <w:rFonts w:ascii="Verdana" w:eastAsia="Calibri" w:hAnsi="Verdana" w:cs="Arial"/>
        </w:rPr>
        <w:t>así como</w:t>
      </w:r>
      <w:r w:rsidRPr="79F3ED1A">
        <w:rPr>
          <w:rFonts w:ascii="Verdana" w:eastAsia="Calibri" w:hAnsi="Verdana" w:cs="Arial"/>
        </w:rPr>
        <w:t xml:space="preserve"> la inclusión adecuada de las necesidades en el Plan Anual de Adquisiciones. Asimismo, resulta aconsejable prever escenarios de contingencia que permitan atender necesidades urgentes o inaplazables, sin incurrir en actuaciones que puedan comprometer la</w:t>
      </w:r>
      <w:r w:rsidR="00B52FB0" w:rsidRPr="79F3ED1A">
        <w:rPr>
          <w:rFonts w:ascii="Verdana" w:eastAsia="Calibri" w:hAnsi="Verdana" w:cs="Arial"/>
        </w:rPr>
        <w:t xml:space="preserve">s restricciones de la </w:t>
      </w:r>
      <w:r w:rsidR="00A0641E" w:rsidRPr="79F3ED1A">
        <w:rPr>
          <w:rFonts w:ascii="Verdana" w:eastAsia="Calibri" w:hAnsi="Verdana" w:cs="Arial"/>
        </w:rPr>
        <w:t>L</w:t>
      </w:r>
      <w:r w:rsidR="00B52FB0" w:rsidRPr="79F3ED1A">
        <w:rPr>
          <w:rFonts w:ascii="Verdana" w:eastAsia="Calibri" w:hAnsi="Verdana" w:cs="Arial"/>
        </w:rPr>
        <w:t xml:space="preserve">ey de </w:t>
      </w:r>
      <w:r w:rsidR="00A0641E" w:rsidRPr="79F3ED1A">
        <w:rPr>
          <w:rFonts w:ascii="Verdana" w:eastAsia="Calibri" w:hAnsi="Verdana" w:cs="Arial"/>
        </w:rPr>
        <w:t>Garantías</w:t>
      </w:r>
      <w:r w:rsidR="65993F8C" w:rsidRPr="79F3ED1A">
        <w:rPr>
          <w:rFonts w:ascii="Verdana" w:eastAsia="Calibri" w:hAnsi="Verdana" w:cs="Arial"/>
        </w:rPr>
        <w:t>, la</w:t>
      </w:r>
      <w:r w:rsidRPr="79F3ED1A">
        <w:rPr>
          <w:rFonts w:ascii="Verdana" w:eastAsia="Calibri" w:hAnsi="Verdana" w:cs="Arial"/>
        </w:rPr>
        <w:t xml:space="preserve"> legalidad o la transparencia del proceso contractual.</w:t>
      </w:r>
    </w:p>
    <w:p w14:paraId="4D1394EF" w14:textId="6BBE18DD" w:rsidR="00F95AF5" w:rsidRPr="003C4660" w:rsidRDefault="000B2C04" w:rsidP="00036A58">
      <w:pPr>
        <w:spacing w:before="120" w:after="120" w:line="276" w:lineRule="auto"/>
        <w:ind w:firstLine="709"/>
        <w:jc w:val="both"/>
        <w:rPr>
          <w:rFonts w:ascii="Verdana" w:eastAsia="Calibri" w:hAnsi="Verdana" w:cs="Arial"/>
        </w:rPr>
      </w:pPr>
      <w:r>
        <w:rPr>
          <w:rFonts w:ascii="Verdana" w:eastAsia="Calibri" w:hAnsi="Verdana" w:cs="Arial"/>
        </w:rPr>
        <w:t>Adicionalmente</w:t>
      </w:r>
      <w:r w:rsidR="00F95AF5">
        <w:rPr>
          <w:rFonts w:ascii="Verdana" w:eastAsia="Calibri" w:hAnsi="Verdana" w:cs="Arial"/>
        </w:rPr>
        <w:t xml:space="preserve">, </w:t>
      </w:r>
      <w:r w:rsidR="00F95AF5" w:rsidRPr="003C4660">
        <w:rPr>
          <w:rFonts w:ascii="Verdana" w:eastAsia="Calibri" w:hAnsi="Verdana" w:cs="Arial"/>
        </w:rPr>
        <w:t>Colombia Compra Eficiente</w:t>
      </w:r>
      <w:r w:rsidR="00F95AF5">
        <w:rPr>
          <w:rFonts w:ascii="Verdana" w:eastAsia="Calibri" w:hAnsi="Verdana" w:cs="Arial"/>
        </w:rPr>
        <w:t xml:space="preserve"> le</w:t>
      </w:r>
      <w:r w:rsidR="00F95AF5" w:rsidRPr="003C4660">
        <w:rPr>
          <w:rFonts w:ascii="Verdana" w:eastAsia="Calibri" w:hAnsi="Verdana" w:cs="Arial"/>
        </w:rPr>
        <w:t xml:space="preserve"> invita a consultar la Circular Externa 006 de 2025, donde se detallan las disposiciones, excepciones y lineamientos para las entidades estatales y la ciudadanía</w:t>
      </w:r>
      <w:r w:rsidR="00F95AF5">
        <w:rPr>
          <w:rFonts w:ascii="Verdana" w:eastAsia="Calibri" w:hAnsi="Verdana" w:cs="Arial"/>
        </w:rPr>
        <w:t>, la cual puede ser consultada en el siguiente enlace:</w:t>
      </w:r>
      <w:hyperlink r:id="rId13" w:history="1">
        <w:r w:rsidR="00F95AF5" w:rsidRPr="00A350B8">
          <w:rPr>
            <w:rStyle w:val="Hipervnculo"/>
            <w:rFonts w:ascii="Verdana" w:eastAsia="Calibri" w:hAnsi="Verdana" w:cs="Arial"/>
          </w:rPr>
          <w:t>https://www.colombiacompra.gov.co/archivos/circular/circular-externa-006-de-2025</w:t>
        </w:r>
      </w:hyperlink>
    </w:p>
    <w:p w14:paraId="0345660D" w14:textId="77777777" w:rsidR="00F95AF5" w:rsidRPr="00FF007A" w:rsidRDefault="00F95AF5" w:rsidP="00036A58">
      <w:pPr>
        <w:spacing w:after="120" w:line="276" w:lineRule="auto"/>
        <w:ind w:firstLine="709"/>
        <w:jc w:val="both"/>
        <w:rPr>
          <w:rFonts w:ascii="Verdana" w:eastAsia="Times New Roman" w:hAnsi="Verdana" w:cs="Arial"/>
          <w:bCs/>
          <w:lang w:eastAsia="es-CO"/>
        </w:rPr>
      </w:pPr>
      <w:r w:rsidRPr="00FF007A">
        <w:rPr>
          <w:rFonts w:ascii="Verdana" w:eastAsia="Arial" w:hAnsi="Verdana" w:cs="Arial"/>
          <w:color w:val="000000" w:themeColor="text1"/>
        </w:rPr>
        <w:lastRenderedPageBreak/>
        <w:t xml:space="preserve">Finalmente, es importante advertir que </w:t>
      </w:r>
      <w:r w:rsidRPr="00FF007A">
        <w:rPr>
          <w:rFonts w:ascii="Verdana" w:eastAsia="Times New Roman" w:hAnsi="Verdana" w:cs="Arial"/>
        </w:rPr>
        <w:t xml:space="preserve">compete a cada Entidad Estatal que considera celebrar un contrato específico definir si este se enmarca en alguna de las prohibiciones de la Ley de Garantías Electorales. </w:t>
      </w:r>
      <w:r w:rsidRPr="00FF007A">
        <w:rPr>
          <w:rFonts w:ascii="Verdana" w:eastAsia="Times New Roman" w:hAnsi="Verdana" w:cs="Arial"/>
          <w:color w:val="000000" w:themeColor="text1"/>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bookmarkEnd w:id="3"/>
    <w:p w14:paraId="1868B04E" w14:textId="77777777" w:rsidR="00F95AF5" w:rsidRPr="00FF007A" w:rsidRDefault="00F95AF5" w:rsidP="00F95AF5">
      <w:pPr>
        <w:tabs>
          <w:tab w:val="left" w:pos="142"/>
          <w:tab w:val="left" w:pos="284"/>
        </w:tabs>
        <w:spacing w:after="0" w:line="240" w:lineRule="auto"/>
        <w:rPr>
          <w:rFonts w:ascii="Verdana" w:eastAsia="Century Gothic" w:hAnsi="Verdana" w:cs="Century Gothic"/>
          <w:b/>
          <w:bCs/>
        </w:rPr>
      </w:pPr>
      <w:r w:rsidRPr="00FF007A">
        <w:rPr>
          <w:rFonts w:ascii="Verdana" w:eastAsia="Century Gothic" w:hAnsi="Verdana" w:cs="Century Gothic"/>
          <w:b/>
          <w:bCs/>
        </w:rPr>
        <w:t>4. Referencias normativas:</w:t>
      </w:r>
    </w:p>
    <w:bookmarkEnd w:id="4"/>
    <w:p w14:paraId="034060EE" w14:textId="77777777" w:rsidR="00F95AF5" w:rsidRPr="00FF007A" w:rsidRDefault="00F95AF5" w:rsidP="00F95AF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95AF5" w:rsidRPr="00FF007A" w14:paraId="4B9FCCAF" w14:textId="77777777" w:rsidTr="00216DC5">
        <w:trPr>
          <w:trHeight w:val="870"/>
          <w:jc w:val="center"/>
        </w:trPr>
        <w:tc>
          <w:tcPr>
            <w:tcW w:w="8647" w:type="dxa"/>
          </w:tcPr>
          <w:p w14:paraId="57D3449B"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Constitución Política, artículo 127.</w:t>
            </w:r>
          </w:p>
          <w:p w14:paraId="5EFBC65A" w14:textId="77777777" w:rsidR="00F95AF5" w:rsidRPr="00D437AC" w:rsidRDefault="00F95AF5" w:rsidP="00F95AF5">
            <w:pPr>
              <w:pStyle w:val="Prrafodelista"/>
              <w:numPr>
                <w:ilvl w:val="0"/>
                <w:numId w:val="17"/>
              </w:numPr>
              <w:spacing w:line="276" w:lineRule="auto"/>
              <w:jc w:val="both"/>
              <w:rPr>
                <w:rFonts w:ascii="Verdana" w:hAnsi="Verdana" w:cs="Arial"/>
                <w:lang w:val="es-CO"/>
              </w:rPr>
            </w:pPr>
            <w:r w:rsidRPr="00D437AC">
              <w:rPr>
                <w:rFonts w:ascii="Verdana" w:hAnsi="Verdana" w:cs="Arial"/>
                <w:lang w:val="es-CO"/>
              </w:rPr>
              <w:t>Ley 80 de 1993: artículos 30 y 32.</w:t>
            </w:r>
          </w:p>
          <w:p w14:paraId="7BF54594"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bCs/>
                <w:lang w:eastAsia="es-ES" w:bidi="es-ES"/>
              </w:rPr>
              <w:t>Ley 996 de 2005: artículos 33 y 38.</w:t>
            </w:r>
          </w:p>
          <w:p w14:paraId="0B7B4BA2" w14:textId="77777777" w:rsidR="00F95AF5" w:rsidRPr="00D437AC" w:rsidRDefault="00F95AF5" w:rsidP="00F95AF5">
            <w:pPr>
              <w:pStyle w:val="Prrafodelista"/>
              <w:widowControl w:val="0"/>
              <w:numPr>
                <w:ilvl w:val="0"/>
                <w:numId w:val="17"/>
              </w:numPr>
              <w:autoSpaceDE w:val="0"/>
              <w:autoSpaceDN w:val="0"/>
              <w:spacing w:line="276" w:lineRule="auto"/>
              <w:jc w:val="both"/>
              <w:rPr>
                <w:rFonts w:ascii="Verdana" w:hAnsi="Verdana" w:cs="Arial"/>
                <w:lang w:val="es-CO"/>
              </w:rPr>
            </w:pPr>
            <w:r w:rsidRPr="00D437AC">
              <w:rPr>
                <w:rFonts w:ascii="Verdana" w:eastAsia="Arial" w:hAnsi="Verdana" w:cs="Arial"/>
                <w:bCs/>
                <w:color w:val="000000" w:themeColor="text1"/>
                <w:lang w:val="es-CO"/>
              </w:rPr>
              <w:t>Decreto 780 de 2016: artículos 2.8.8.1.4.2, 2.8.8.1.1.3.</w:t>
            </w:r>
          </w:p>
          <w:p w14:paraId="14114BEA"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Times New Roman" w:hAnsi="Verdana" w:cs="Times New Roman"/>
                <w:lang w:eastAsia="es-MX"/>
              </w:rPr>
              <w:t xml:space="preserve">Ley 1150 de 2007: </w:t>
            </w:r>
            <w:r w:rsidRPr="00D437AC">
              <w:rPr>
                <w:rFonts w:ascii="Verdana" w:eastAsia="Arial MT" w:hAnsi="Verdana" w:cs="Arial"/>
                <w:lang w:eastAsia="es-ES" w:bidi="es-ES"/>
              </w:rPr>
              <w:t xml:space="preserve">artículo 2, numeral 4. </w:t>
            </w:r>
          </w:p>
          <w:p w14:paraId="7699FD1D"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Decreto 1082 de 2015: artículo 2.2.1.2.1.4.4.</w:t>
            </w:r>
          </w:p>
          <w:p w14:paraId="0C9028B7"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 xml:space="preserve">Resolución 1597 de 2025. Artículo 10 y 12. </w:t>
            </w:r>
          </w:p>
          <w:p w14:paraId="1176AC9B"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Consejo de Estado. Sala de lo Contencioso Administrativo. Sección Primera. Sentencia de 3 de marzo de 2005, Radicado: 25001-23-15-000-2004-00823-01 (PI). C.P: Camilo Arciniegas Andrade.</w:t>
            </w:r>
          </w:p>
          <w:p w14:paraId="10C86BA9"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 xml:space="preserve">Consejo de Estado, Sala de Consulta y Servicio Civil de fecha 24 de julio de 2013. Radicado: Radicado: 11001-03-06-000-2013-00407-00 (2166). C.P: Álvaro </w:t>
            </w:r>
            <w:proofErr w:type="spellStart"/>
            <w:r w:rsidRPr="00D437AC">
              <w:rPr>
                <w:rFonts w:ascii="Verdana" w:eastAsia="Arial MT" w:hAnsi="Verdana" w:cs="Arial"/>
                <w:lang w:eastAsia="es-ES" w:bidi="es-ES"/>
              </w:rPr>
              <w:t>Namén</w:t>
            </w:r>
            <w:proofErr w:type="spellEnd"/>
            <w:r w:rsidRPr="00D437AC">
              <w:rPr>
                <w:rFonts w:ascii="Verdana" w:eastAsia="Arial MT" w:hAnsi="Verdana" w:cs="Arial"/>
                <w:lang w:eastAsia="es-ES" w:bidi="es-ES"/>
              </w:rPr>
              <w:t xml:space="preserve"> Vargas.  </w:t>
            </w:r>
          </w:p>
          <w:p w14:paraId="73D6F275"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Consejo de Estado. Sala de Consulta y Servicio Civil. Concepto del 17 de febrero de 2015. Radicación No. 11001-03-06-000-2015-00164-00 (2269) C.P: William Zambrano Cetina.</w:t>
            </w:r>
          </w:p>
          <w:p w14:paraId="182057F6"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 xml:space="preserve">Consejo de Estado. Sala de Consulta y Servicio Civil. Concepto del 02 de septiembre de 2013. Rad. 11001-03-06-000-2013-00412-00 (2168). C.P. Álvaro </w:t>
            </w:r>
            <w:proofErr w:type="spellStart"/>
            <w:r w:rsidRPr="00D437AC">
              <w:rPr>
                <w:rFonts w:ascii="Verdana" w:eastAsia="Arial MT" w:hAnsi="Verdana" w:cs="Arial"/>
                <w:lang w:eastAsia="es-ES" w:bidi="es-ES"/>
              </w:rPr>
              <w:t>Namén</w:t>
            </w:r>
            <w:proofErr w:type="spellEnd"/>
            <w:r w:rsidRPr="00D437AC">
              <w:rPr>
                <w:rFonts w:ascii="Verdana" w:eastAsia="Arial MT" w:hAnsi="Verdana" w:cs="Arial"/>
                <w:lang w:eastAsia="es-ES" w:bidi="es-ES"/>
              </w:rPr>
              <w:t xml:space="preserve"> Vargas.</w:t>
            </w:r>
          </w:p>
          <w:p w14:paraId="2BDB29BF"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 xml:space="preserve">Consejo de Estado. Sala de Consulta y Servicio Civil. Concepto del 08 de mayo de 2018. </w:t>
            </w:r>
            <w:proofErr w:type="spellStart"/>
            <w:r w:rsidRPr="00D437AC">
              <w:rPr>
                <w:rFonts w:ascii="Verdana" w:eastAsia="Arial MT" w:hAnsi="Verdana" w:cs="Arial"/>
                <w:lang w:eastAsia="es-ES" w:bidi="es-ES"/>
              </w:rPr>
              <w:t>Exp</w:t>
            </w:r>
            <w:proofErr w:type="spellEnd"/>
            <w:r w:rsidRPr="00D437AC">
              <w:rPr>
                <w:rFonts w:ascii="Verdana" w:eastAsia="Arial MT" w:hAnsi="Verdana" w:cs="Arial"/>
                <w:lang w:eastAsia="es-ES" w:bidi="es-ES"/>
              </w:rPr>
              <w:t xml:space="preserve">. 2.382. C.P. Álvaro </w:t>
            </w:r>
            <w:proofErr w:type="spellStart"/>
            <w:r w:rsidRPr="00D437AC">
              <w:rPr>
                <w:rFonts w:ascii="Verdana" w:eastAsia="Arial MT" w:hAnsi="Verdana" w:cs="Arial"/>
                <w:lang w:eastAsia="es-ES" w:bidi="es-ES"/>
              </w:rPr>
              <w:t>Namén</w:t>
            </w:r>
            <w:proofErr w:type="spellEnd"/>
            <w:r w:rsidRPr="00D437AC">
              <w:rPr>
                <w:rFonts w:ascii="Verdana" w:eastAsia="Arial MT" w:hAnsi="Verdana" w:cs="Arial"/>
                <w:lang w:eastAsia="es-ES" w:bidi="es-ES"/>
              </w:rPr>
              <w:t xml:space="preserve"> Vargas.</w:t>
            </w:r>
          </w:p>
          <w:p w14:paraId="11DD52C4"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Consejo de Estado. Sala de Consulta y Servicio Civil. Concepto de 20 de febrero de 2006. Radicación Número: 11001-03-06-000-2006-</w:t>
            </w:r>
            <w:r w:rsidRPr="00D437AC">
              <w:rPr>
                <w:rFonts w:ascii="Verdana" w:eastAsia="Arial MT" w:hAnsi="Verdana" w:cs="Arial"/>
                <w:lang w:eastAsia="es-ES" w:bidi="es-ES"/>
              </w:rPr>
              <w:lastRenderedPageBreak/>
              <w:t>00026-00(1727). C.P: Enrique José Arboleda Perdomo.</w:t>
            </w:r>
          </w:p>
          <w:p w14:paraId="72BCDC87"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Consejo de Estado. Sala de Consulta y Servicio Civil. Concepto del 18 de febrero 2010. Radicado: 11001-03-06-000-2010-00006-00 (1985). C.P. Enrique José Arboleda Perdomo.</w:t>
            </w:r>
          </w:p>
          <w:p w14:paraId="52651124" w14:textId="77777777" w:rsidR="00F95AF5" w:rsidRPr="00D437AC" w:rsidRDefault="00F95AF5" w:rsidP="00F95AF5">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 xml:space="preserve">Consejo de Estado. Sala de Consulta y Servicio Civil. Concepto del 12 de junio de 2018. </w:t>
            </w:r>
            <w:proofErr w:type="spellStart"/>
            <w:r w:rsidRPr="00D437AC">
              <w:rPr>
                <w:rFonts w:ascii="Verdana" w:eastAsia="Arial MT" w:hAnsi="Verdana" w:cs="Arial"/>
                <w:lang w:eastAsia="es-ES" w:bidi="es-ES"/>
              </w:rPr>
              <w:t>Radicación</w:t>
            </w:r>
            <w:proofErr w:type="spellEnd"/>
            <w:r w:rsidRPr="00D437AC">
              <w:rPr>
                <w:rFonts w:ascii="Verdana" w:eastAsia="Arial MT" w:hAnsi="Verdana" w:cs="Arial"/>
                <w:lang w:eastAsia="es-ES" w:bidi="es-ES"/>
              </w:rPr>
              <w:t xml:space="preserve"> Interna: 11001-03-06-000-2018-0043-00. (2371). Consejero Ponente: Oscar </w:t>
            </w:r>
            <w:proofErr w:type="spellStart"/>
            <w:r w:rsidRPr="00D437AC">
              <w:rPr>
                <w:rFonts w:ascii="Verdana" w:eastAsia="Arial MT" w:hAnsi="Verdana" w:cs="Arial"/>
                <w:lang w:eastAsia="es-ES" w:bidi="es-ES"/>
              </w:rPr>
              <w:t>Darío</w:t>
            </w:r>
            <w:proofErr w:type="spellEnd"/>
            <w:r w:rsidRPr="00D437AC">
              <w:rPr>
                <w:rFonts w:ascii="Verdana" w:eastAsia="Arial MT" w:hAnsi="Verdana" w:cs="Arial"/>
                <w:lang w:eastAsia="es-ES" w:bidi="es-ES"/>
              </w:rPr>
              <w:t xml:space="preserve"> Amaya Navas.</w:t>
            </w:r>
          </w:p>
          <w:p w14:paraId="0A4F73B7" w14:textId="77777777" w:rsidR="00F95AF5" w:rsidRPr="00D437AC" w:rsidRDefault="00F95AF5" w:rsidP="00F95AF5">
            <w:pPr>
              <w:pStyle w:val="Prrafodelista"/>
              <w:numPr>
                <w:ilvl w:val="0"/>
                <w:numId w:val="17"/>
              </w:numPr>
              <w:spacing w:line="276" w:lineRule="auto"/>
              <w:jc w:val="both"/>
              <w:rPr>
                <w:rFonts w:ascii="Verdana" w:eastAsia="Arial MT" w:hAnsi="Verdana" w:cs="Arial"/>
                <w:lang w:val="es-CO" w:eastAsia="es-ES" w:bidi="es-ES"/>
              </w:rPr>
            </w:pPr>
            <w:r w:rsidRPr="00D437AC">
              <w:rPr>
                <w:rFonts w:ascii="Verdana" w:eastAsia="Arial MT" w:hAnsi="Verdana" w:cs="Arial"/>
                <w:lang w:val="es-CO" w:eastAsia="es-ES" w:bidi="es-ES"/>
              </w:rPr>
              <w:t>Corte Constitucional. Sentencia C-1153 de 2005 M.P. Marco Gerardo Monroy Cabra.</w:t>
            </w:r>
          </w:p>
          <w:p w14:paraId="2516DA98" w14:textId="77777777" w:rsidR="00F95AF5" w:rsidRPr="00D437AC" w:rsidRDefault="00F95AF5" w:rsidP="00F95AF5">
            <w:pPr>
              <w:pStyle w:val="Prrafodelista"/>
              <w:numPr>
                <w:ilvl w:val="0"/>
                <w:numId w:val="17"/>
              </w:numPr>
              <w:spacing w:line="276" w:lineRule="auto"/>
              <w:jc w:val="both"/>
              <w:rPr>
                <w:rFonts w:ascii="Verdana" w:eastAsia="Arial MT" w:hAnsi="Verdana" w:cs="Arial"/>
                <w:lang w:val="es-CO" w:eastAsia="es-ES" w:bidi="es-ES"/>
              </w:rPr>
            </w:pPr>
            <w:r w:rsidRPr="00D437AC">
              <w:rPr>
                <w:rFonts w:ascii="Verdana" w:eastAsia="Arial MT" w:hAnsi="Verdana" w:cs="Arial"/>
                <w:lang w:val="es-CO" w:eastAsia="es-ES" w:bidi="es-ES"/>
              </w:rPr>
              <w:t xml:space="preserve">Corte Constitucional. Sentencia C-233 de 4 de abril de 2002. M.P: Álvaro Tafur Galvis. </w:t>
            </w:r>
          </w:p>
          <w:p w14:paraId="78CCCC03" w14:textId="77777777" w:rsidR="00F95AF5" w:rsidRPr="00D437AC" w:rsidRDefault="00F95AF5" w:rsidP="00F95AF5">
            <w:pPr>
              <w:pStyle w:val="Prrafodelista"/>
              <w:numPr>
                <w:ilvl w:val="0"/>
                <w:numId w:val="17"/>
              </w:numPr>
              <w:spacing w:line="276" w:lineRule="auto"/>
              <w:jc w:val="both"/>
              <w:rPr>
                <w:rFonts w:ascii="Verdana" w:eastAsia="Arial MT" w:hAnsi="Verdana" w:cs="Arial"/>
                <w:lang w:val="es-CO" w:eastAsia="es-ES" w:bidi="es-ES"/>
              </w:rPr>
            </w:pPr>
            <w:r w:rsidRPr="00D437AC">
              <w:rPr>
                <w:rFonts w:ascii="Verdana" w:eastAsia="Arial MT" w:hAnsi="Verdana" w:cs="Arial"/>
                <w:lang w:val="es-CO" w:eastAsia="es-ES" w:bidi="es-ES"/>
              </w:rPr>
              <w:t xml:space="preserve">Corte Constitucional. Sentencia C-551 de 9 de julio de 2003. M.P: Eduardo Montealegre </w:t>
            </w:r>
            <w:proofErr w:type="spellStart"/>
            <w:r w:rsidRPr="00D437AC">
              <w:rPr>
                <w:rFonts w:ascii="Verdana" w:eastAsia="Arial MT" w:hAnsi="Verdana" w:cs="Arial"/>
                <w:lang w:val="es-CO" w:eastAsia="es-ES" w:bidi="es-ES"/>
              </w:rPr>
              <w:t>Lynett</w:t>
            </w:r>
            <w:proofErr w:type="spellEnd"/>
            <w:r w:rsidRPr="00D437AC">
              <w:rPr>
                <w:rFonts w:ascii="Verdana" w:eastAsia="Arial MT" w:hAnsi="Verdana" w:cs="Arial"/>
                <w:lang w:val="es-CO" w:eastAsia="es-ES" w:bidi="es-ES"/>
              </w:rPr>
              <w:t xml:space="preserve">. </w:t>
            </w:r>
          </w:p>
          <w:p w14:paraId="63BB8447" w14:textId="77777777" w:rsidR="00F95AF5" w:rsidRPr="00D437AC" w:rsidRDefault="00F95AF5" w:rsidP="00F95AF5">
            <w:pPr>
              <w:pStyle w:val="Prrafodelista"/>
              <w:numPr>
                <w:ilvl w:val="0"/>
                <w:numId w:val="17"/>
              </w:numPr>
              <w:spacing w:line="276" w:lineRule="auto"/>
              <w:jc w:val="both"/>
              <w:rPr>
                <w:rFonts w:ascii="Verdana" w:eastAsia="Arial MT" w:hAnsi="Verdana" w:cs="Arial"/>
                <w:lang w:val="es-CO" w:eastAsia="es-ES" w:bidi="es-ES"/>
              </w:rPr>
            </w:pPr>
            <w:r w:rsidRPr="00084D6B">
              <w:rPr>
                <w:rFonts w:ascii="Verdana" w:eastAsia="Arial MT" w:hAnsi="Verdana" w:cs="Arial"/>
                <w:lang w:val="pt-BR" w:eastAsia="es-ES" w:bidi="es-ES"/>
              </w:rPr>
              <w:t xml:space="preserve">Corte Constitucional. Sentencia C-652 de 5 de agosto de 2003. </w:t>
            </w:r>
            <w:r w:rsidRPr="00D437AC">
              <w:rPr>
                <w:rFonts w:ascii="Verdana" w:eastAsia="Arial MT" w:hAnsi="Verdana" w:cs="Arial"/>
                <w:lang w:val="es-CO" w:eastAsia="es-ES" w:bidi="es-ES"/>
              </w:rPr>
              <w:t xml:space="preserve">M.P: Jaime Córdoba Triviño. </w:t>
            </w:r>
          </w:p>
          <w:p w14:paraId="2BCE74EE" w14:textId="77777777" w:rsidR="00F95AF5" w:rsidRPr="00D437AC" w:rsidRDefault="00F95AF5" w:rsidP="00F95AF5">
            <w:pPr>
              <w:pStyle w:val="Prrafodelista"/>
              <w:numPr>
                <w:ilvl w:val="0"/>
                <w:numId w:val="17"/>
              </w:numPr>
              <w:spacing w:line="276" w:lineRule="auto"/>
              <w:jc w:val="both"/>
              <w:rPr>
                <w:rFonts w:ascii="Verdana" w:eastAsia="Arial MT" w:hAnsi="Verdana" w:cs="Arial"/>
                <w:lang w:val="es-CO" w:eastAsia="es-ES" w:bidi="es-ES"/>
              </w:rPr>
            </w:pPr>
            <w:r w:rsidRPr="00D437AC">
              <w:rPr>
                <w:rFonts w:ascii="Verdana" w:eastAsia="Arial MT" w:hAnsi="Verdana" w:cs="Arial"/>
                <w:lang w:val="es-CO" w:eastAsia="es-ES" w:bidi="es-ES"/>
              </w:rPr>
              <w:t xml:space="preserve">Corte Constitucional. Sentencia C-353 de 20 de mayo de 2009. M.P: Jorge Iván Palacio </w:t>
            </w:r>
            <w:proofErr w:type="spellStart"/>
            <w:r w:rsidRPr="00D437AC">
              <w:rPr>
                <w:rFonts w:ascii="Verdana" w:eastAsia="Arial MT" w:hAnsi="Verdana" w:cs="Arial"/>
                <w:lang w:val="es-CO" w:eastAsia="es-ES" w:bidi="es-ES"/>
              </w:rPr>
              <w:t>Palacio</w:t>
            </w:r>
            <w:proofErr w:type="spellEnd"/>
            <w:r w:rsidRPr="00D437AC">
              <w:rPr>
                <w:rFonts w:ascii="Verdana" w:eastAsia="Arial MT" w:hAnsi="Verdana" w:cs="Arial"/>
                <w:lang w:val="es-CO" w:eastAsia="es-ES" w:bidi="es-ES"/>
              </w:rPr>
              <w:t xml:space="preserve">. </w:t>
            </w:r>
          </w:p>
          <w:p w14:paraId="2A689FD6" w14:textId="77777777" w:rsidR="00F95AF5" w:rsidRPr="00D437AC" w:rsidRDefault="00F95AF5" w:rsidP="00F95AF5">
            <w:pPr>
              <w:pStyle w:val="Prrafodelista"/>
              <w:numPr>
                <w:ilvl w:val="0"/>
                <w:numId w:val="17"/>
              </w:numPr>
              <w:spacing w:line="276" w:lineRule="auto"/>
              <w:jc w:val="both"/>
              <w:rPr>
                <w:rFonts w:ascii="Verdana" w:eastAsia="Arial MT" w:hAnsi="Verdana" w:cs="Arial"/>
                <w:lang w:val="es-CO" w:eastAsia="es-ES" w:bidi="es-ES"/>
              </w:rPr>
            </w:pPr>
            <w:r w:rsidRPr="00D437AC">
              <w:rPr>
                <w:rFonts w:ascii="Verdana" w:eastAsia="Arial MT" w:hAnsi="Verdana" w:cs="Arial"/>
                <w:lang w:val="es-CO" w:eastAsia="es-ES" w:bidi="es-ES"/>
              </w:rPr>
              <w:t>Corte Constitucional. Sentencia C-541 de 30 de junio de 2010, M.P: Gabriel Eduardo Mendoza Martelo.</w:t>
            </w:r>
          </w:p>
          <w:p w14:paraId="0AC89243" w14:textId="77777777" w:rsidR="00F95AF5" w:rsidRPr="00D437AC" w:rsidRDefault="00F95AF5" w:rsidP="00216DC5">
            <w:pPr>
              <w:pStyle w:val="Prrafodelista"/>
              <w:spacing w:line="276" w:lineRule="auto"/>
              <w:jc w:val="both"/>
              <w:rPr>
                <w:rFonts w:ascii="Verdana" w:eastAsia="Arial MT" w:hAnsi="Verdana" w:cs="Arial"/>
                <w:lang w:val="es-CO" w:eastAsia="es-ES" w:bidi="es-ES"/>
              </w:rPr>
            </w:pPr>
          </w:p>
        </w:tc>
      </w:tr>
    </w:tbl>
    <w:p w14:paraId="4C7C4631" w14:textId="77777777" w:rsidR="00F95AF5" w:rsidRDefault="00F95AF5" w:rsidP="00F95AF5">
      <w:pPr>
        <w:tabs>
          <w:tab w:val="left" w:pos="142"/>
          <w:tab w:val="left" w:pos="284"/>
        </w:tabs>
        <w:spacing w:after="0" w:line="276" w:lineRule="auto"/>
        <w:jc w:val="both"/>
        <w:rPr>
          <w:rFonts w:ascii="Verdana" w:eastAsia="Century Gothic" w:hAnsi="Verdana" w:cs="Century Gothic"/>
          <w:b/>
          <w:bCs/>
        </w:rPr>
      </w:pPr>
    </w:p>
    <w:p w14:paraId="569D9FDD" w14:textId="77777777" w:rsidR="00F95AF5" w:rsidRPr="00FF007A" w:rsidRDefault="00F95AF5" w:rsidP="00F95AF5">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780AC7DC" w14:textId="77777777" w:rsidR="00F95AF5" w:rsidRPr="00FF007A" w:rsidRDefault="00F95AF5" w:rsidP="00F95AF5">
      <w:pPr>
        <w:widowControl w:val="0"/>
        <w:autoSpaceDE w:val="0"/>
        <w:autoSpaceDN w:val="0"/>
        <w:spacing w:after="0" w:line="240" w:lineRule="auto"/>
        <w:jc w:val="both"/>
        <w:rPr>
          <w:rStyle w:val="normaltextrun"/>
          <w:rFonts w:ascii="Verdana" w:hAnsi="Verdana" w:cs="Arial"/>
          <w:shd w:val="clear" w:color="auto" w:fill="FFFFFF"/>
        </w:rPr>
      </w:pPr>
    </w:p>
    <w:p w14:paraId="50A23650" w14:textId="7B29B8F4" w:rsidR="00F95AF5" w:rsidRPr="00FF007A" w:rsidRDefault="00F95AF5" w:rsidP="00F95AF5">
      <w:pPr>
        <w:widowControl w:val="0"/>
        <w:autoSpaceDE w:val="0"/>
        <w:autoSpaceDN w:val="0"/>
        <w:spacing w:after="120" w:line="276" w:lineRule="auto"/>
        <w:jc w:val="both"/>
        <w:rPr>
          <w:rFonts w:ascii="Verdana" w:eastAsia="Calibri" w:hAnsi="Verdana" w:cs="Arial"/>
          <w:color w:val="000000" w:themeColor="text1"/>
          <w:lang w:eastAsia="es-ES_tradnl"/>
        </w:rPr>
      </w:pPr>
      <w:r w:rsidRPr="00FF007A">
        <w:rPr>
          <w:rFonts w:ascii="Verdana" w:eastAsia="Calibri" w:hAnsi="Verdana" w:cs="Arial"/>
        </w:rPr>
        <w:t xml:space="preserve">La Agencia Nacional de Contratación Pública – Colombia Compra Eficiente se ha referido </w:t>
      </w:r>
      <w:r w:rsidRPr="00FF007A">
        <w:rPr>
          <w:rFonts w:ascii="Verdana" w:hAnsi="Verdana" w:cs="Arial"/>
          <w:shd w:val="clear" w:color="auto" w:fill="FFFFFF"/>
        </w:rPr>
        <w:t>sobre la Ley de Garantías Electorales en los conceptos con radicado C-227 del 24 de mayo de 2021 y 396 del 13 de agosto de 2021, C-439 del 27 de agosto de 2021, C-456 del 3 de septiembre</w:t>
      </w:r>
      <w:r w:rsidR="009F3B57">
        <w:rPr>
          <w:rFonts w:ascii="Verdana" w:hAnsi="Verdana" w:cs="Arial"/>
          <w:shd w:val="clear" w:color="auto" w:fill="FFFFFF"/>
        </w:rPr>
        <w:t xml:space="preserve"> de 2021</w:t>
      </w:r>
      <w:r w:rsidRPr="00FF007A">
        <w:rPr>
          <w:rFonts w:ascii="Verdana" w:hAnsi="Verdana" w:cs="Arial"/>
          <w:shd w:val="clear" w:color="auto" w:fill="FFFFFF"/>
        </w:rPr>
        <w:t xml:space="preserve">, C-614 del 2 de noviembre de 2021, C-636 del 16 de noviembre de 2021, </w:t>
      </w:r>
      <w:r>
        <w:rPr>
          <w:rFonts w:ascii="Verdana" w:hAnsi="Verdana" w:cs="Arial"/>
          <w:shd w:val="clear" w:color="auto" w:fill="FFFFFF"/>
        </w:rPr>
        <w:t>C-</w:t>
      </w:r>
      <w:r w:rsidRPr="00FF007A">
        <w:rPr>
          <w:rFonts w:ascii="Verdana" w:hAnsi="Verdana" w:cs="Arial"/>
          <w:shd w:val="clear" w:color="auto" w:fill="FFFFFF"/>
        </w:rPr>
        <w:t xml:space="preserve">681 del 7 de diciembre de 2021, C-686 del 21 de diciembre de 2021, C-180 del 21 de marzo de 2025, C-317 del 25 de abril de 2025, C-510 del 4 de junio de 2025, C -635 del 27 de junio de 2025, C–750 de 17 de julio 2025, </w:t>
      </w:r>
      <w:r>
        <w:rPr>
          <w:rFonts w:ascii="Verdana" w:hAnsi="Verdana" w:cs="Arial"/>
          <w:shd w:val="clear" w:color="auto" w:fill="FFFFFF"/>
        </w:rPr>
        <w:t>C-868 del 12 de agosto de 2025,</w:t>
      </w:r>
      <w:r w:rsidR="00821886">
        <w:rPr>
          <w:rFonts w:ascii="Verdana" w:hAnsi="Verdana" w:cs="Arial"/>
          <w:shd w:val="clear" w:color="auto" w:fill="FFFFFF"/>
        </w:rPr>
        <w:t xml:space="preserve"> </w:t>
      </w:r>
      <w:r w:rsidR="005A21B8">
        <w:rPr>
          <w:rFonts w:ascii="Verdana" w:hAnsi="Verdana" w:cs="Arial"/>
          <w:shd w:val="clear" w:color="auto" w:fill="FFFFFF"/>
        </w:rPr>
        <w:t>C-</w:t>
      </w:r>
      <w:r w:rsidR="00F7615B">
        <w:rPr>
          <w:rFonts w:ascii="Verdana" w:hAnsi="Verdana" w:cs="Arial"/>
          <w:shd w:val="clear" w:color="auto" w:fill="FFFFFF"/>
        </w:rPr>
        <w:t>1057 del 5 de septiembre de 2025</w:t>
      </w:r>
      <w:r w:rsidR="00A6074A">
        <w:rPr>
          <w:rFonts w:ascii="Verdana" w:hAnsi="Verdana" w:cs="Arial"/>
          <w:shd w:val="clear" w:color="auto" w:fill="FFFFFF"/>
        </w:rPr>
        <w:t>, C-1195 del 3 de octubre de 2025</w:t>
      </w:r>
      <w:r w:rsidR="00F7615B">
        <w:rPr>
          <w:rFonts w:ascii="Verdana" w:hAnsi="Verdana" w:cs="Arial"/>
          <w:shd w:val="clear" w:color="auto" w:fill="FFFFFF"/>
        </w:rPr>
        <w:t xml:space="preserve"> </w:t>
      </w:r>
      <w:r w:rsidR="00A06753">
        <w:rPr>
          <w:rFonts w:ascii="Verdana" w:hAnsi="Verdana" w:cs="Arial"/>
          <w:shd w:val="clear" w:color="auto" w:fill="FFFFFF"/>
        </w:rPr>
        <w:t xml:space="preserve">y C-1350 </w:t>
      </w:r>
      <w:r w:rsidR="00B60FFF">
        <w:rPr>
          <w:rFonts w:ascii="Verdana" w:hAnsi="Verdana" w:cs="Arial"/>
          <w:shd w:val="clear" w:color="auto" w:fill="FFFFFF"/>
        </w:rPr>
        <w:t>del</w:t>
      </w:r>
      <w:r w:rsidR="00A06753">
        <w:rPr>
          <w:rFonts w:ascii="Verdana" w:hAnsi="Verdana" w:cs="Arial"/>
          <w:shd w:val="clear" w:color="auto" w:fill="FFFFFF"/>
        </w:rPr>
        <w:t xml:space="preserve"> 19 de septiembre de 2025</w:t>
      </w:r>
      <w:r w:rsidR="00036A58">
        <w:rPr>
          <w:rFonts w:ascii="Verdana" w:hAnsi="Verdana" w:cs="Arial"/>
          <w:shd w:val="clear" w:color="auto" w:fill="FFFFFF"/>
        </w:rPr>
        <w:t>,</w:t>
      </w:r>
      <w:r w:rsidR="00A06753">
        <w:rPr>
          <w:rFonts w:ascii="Verdana" w:hAnsi="Verdana" w:cs="Arial"/>
          <w:shd w:val="clear" w:color="auto" w:fill="FFFFFF"/>
        </w:rPr>
        <w:t xml:space="preserve"> </w:t>
      </w:r>
      <w:r w:rsidRPr="00FF007A">
        <w:rPr>
          <w:rFonts w:ascii="Verdana" w:hAnsi="Verdana" w:cs="Arial"/>
          <w:shd w:val="clear" w:color="auto" w:fill="FFFFFF"/>
        </w:rPr>
        <w:t xml:space="preserve">entre otros. </w:t>
      </w:r>
      <w:r w:rsidRPr="00FF007A">
        <w:rPr>
          <w:rFonts w:ascii="Verdana" w:hAnsi="Verdana" w:cs="Arial"/>
        </w:rPr>
        <w:t xml:space="preserve">Estos y otros </w:t>
      </w:r>
      <w:r w:rsidRPr="00FF007A">
        <w:rPr>
          <w:rFonts w:ascii="Verdana" w:hAnsi="Verdana"/>
        </w:rPr>
        <w:t>conceptos se encuentran disponibles para consulta en el Sistema de relatoría de la Agencia, al cual se puede acceder a través del siguiente enlace:</w:t>
      </w:r>
      <w:r w:rsidRPr="00FF007A">
        <w:rPr>
          <w:rFonts w:ascii="Verdana" w:hAnsi="Verdana" w:cs="Arial"/>
          <w:shd w:val="clear" w:color="auto" w:fill="FFFFFF"/>
        </w:rPr>
        <w:t xml:space="preserve"> </w:t>
      </w:r>
      <w:hyperlink r:id="rId14" w:history="1">
        <w:r w:rsidRPr="00FF007A">
          <w:rPr>
            <w:rFonts w:ascii="Verdana" w:hAnsi="Verdana" w:cs="Arial"/>
            <w:color w:val="0563C1" w:themeColor="hyperlink"/>
            <w:u w:val="single"/>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7A0A6A69" w14:textId="77777777" w:rsidR="00F95AF5" w:rsidRPr="00FF007A" w:rsidRDefault="00F95AF5" w:rsidP="00F95AF5">
      <w:pPr>
        <w:spacing w:after="120" w:line="276" w:lineRule="auto"/>
        <w:jc w:val="both"/>
        <w:rPr>
          <w:rFonts w:ascii="Verdana" w:eastAsia="Calibri" w:hAnsi="Verdana" w:cs="Times New Roman"/>
        </w:rPr>
      </w:pPr>
      <w:r w:rsidRPr="00FF007A">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CA125B1" w14:textId="77777777" w:rsidR="00F95AF5" w:rsidRPr="00FF007A" w:rsidRDefault="00F95AF5" w:rsidP="00F95AF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4D2FF8B4" w14:textId="77777777" w:rsidR="00F95AF5" w:rsidRPr="00FF007A" w:rsidRDefault="00F95AF5" w:rsidP="00F95AF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4464DF8A" w14:textId="77777777" w:rsidR="00F95AF5" w:rsidRPr="00FF007A" w:rsidRDefault="00F95AF5" w:rsidP="00F95AF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6CE09C47" w14:textId="77777777" w:rsidR="00F95AF5" w:rsidRPr="00FF007A" w:rsidRDefault="00F95AF5" w:rsidP="00F95AF5">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5" w:history="1">
        <w:r w:rsidRPr="00FF007A">
          <w:rPr>
            <w:rStyle w:val="Hipervnculo"/>
            <w:rFonts w:ascii="Verdana" w:hAnsi="Verdana"/>
            <w:lang w:val="es-CO"/>
          </w:rPr>
          <w:t>www.colombiacompra.gov.co</w:t>
        </w:r>
      </w:hyperlink>
    </w:p>
    <w:p w14:paraId="7FD84640" w14:textId="77777777" w:rsidR="00F95AF5" w:rsidRPr="00FF007A" w:rsidRDefault="00F95AF5" w:rsidP="00F95AF5">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270C0C33" w14:textId="77777777" w:rsidR="00F95AF5" w:rsidRPr="00FF007A" w:rsidRDefault="00F95AF5" w:rsidP="00F95AF5">
      <w:pPr>
        <w:spacing w:after="0" w:line="276" w:lineRule="auto"/>
        <w:jc w:val="both"/>
        <w:rPr>
          <w:rFonts w:ascii="Verdana" w:hAnsi="Verdana"/>
        </w:rPr>
      </w:pPr>
    </w:p>
    <w:p w14:paraId="143CB940" w14:textId="77777777" w:rsidR="00F95AF5" w:rsidRPr="00FF007A" w:rsidRDefault="00F95AF5" w:rsidP="00F95AF5">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789B92FB" w14:textId="77777777" w:rsidR="00F95AF5" w:rsidRPr="00FF007A" w:rsidRDefault="00F95AF5" w:rsidP="00F95AF5">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03629302" w14:textId="77777777" w:rsidR="00F95AF5" w:rsidRPr="00FF007A" w:rsidRDefault="00F95AF5" w:rsidP="00F95AF5">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77AE75E3" w14:textId="77777777" w:rsidR="00F95AF5" w:rsidRDefault="00F95AF5" w:rsidP="00F95AF5">
      <w:pPr>
        <w:spacing w:before="120" w:after="0" w:line="276" w:lineRule="auto"/>
        <w:jc w:val="both"/>
        <w:rPr>
          <w:rFonts w:ascii="Verdana" w:hAnsi="Verdana"/>
        </w:rPr>
      </w:pPr>
    </w:p>
    <w:p w14:paraId="7AED6E36" w14:textId="77777777" w:rsidR="00F95AF5" w:rsidRPr="00FF007A" w:rsidRDefault="00F95AF5" w:rsidP="00F95AF5">
      <w:pPr>
        <w:spacing w:before="120"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1AA0B6D" w14:textId="77777777" w:rsidR="00F95AF5" w:rsidRPr="00FF007A" w:rsidRDefault="00F95AF5" w:rsidP="00F95AF5">
      <w:pPr>
        <w:spacing w:after="0" w:line="276" w:lineRule="auto"/>
        <w:jc w:val="both"/>
        <w:rPr>
          <w:rFonts w:ascii="Verdana" w:eastAsia="Calibri" w:hAnsi="Verdana" w:cs="Times New Roman"/>
        </w:rPr>
      </w:pPr>
    </w:p>
    <w:p w14:paraId="7385072C" w14:textId="77777777" w:rsidR="00F95AF5" w:rsidRPr="00505CD6" w:rsidRDefault="00F95AF5" w:rsidP="00F95AF5">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51711420" w14:textId="256F74FF" w:rsidR="00F95AF5" w:rsidRPr="00EF055B" w:rsidRDefault="00814A4B" w:rsidP="00F95AF5">
      <w:pPr>
        <w:spacing w:line="276" w:lineRule="auto"/>
        <w:jc w:val="center"/>
        <w:rPr>
          <w:noProof/>
          <w:color w:val="000000"/>
        </w:rPr>
      </w:pPr>
      <w:r w:rsidRPr="002C3AD6">
        <w:rPr>
          <w:rFonts w:ascii="Century Gothic" w:hAnsi="Century Gothic"/>
          <w:noProof/>
        </w:rPr>
        <w:drawing>
          <wp:inline distT="0" distB="0" distL="0" distR="0" wp14:anchorId="3FE8214B" wp14:editId="47521F1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95AF5" w:rsidRPr="00593A5F" w14:paraId="687F3EC2" w14:textId="77777777" w:rsidTr="00216DC5">
        <w:trPr>
          <w:trHeight w:val="315"/>
        </w:trPr>
        <w:tc>
          <w:tcPr>
            <w:tcW w:w="893" w:type="dxa"/>
            <w:vAlign w:val="center"/>
            <w:hideMark/>
          </w:tcPr>
          <w:p w14:paraId="7A1DFFA4" w14:textId="77777777" w:rsidR="00F95AF5" w:rsidRPr="003751C7" w:rsidRDefault="00F95AF5" w:rsidP="00216DC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BE5259F" w14:textId="5146898F" w:rsidR="00F95AF5" w:rsidRPr="00C42FC5" w:rsidRDefault="00F95AF5" w:rsidP="00216DC5">
            <w:pPr>
              <w:pStyle w:val="paragraph"/>
              <w:spacing w:before="0" w:beforeAutospacing="0" w:after="0" w:afterAutospacing="0"/>
              <w:contextualSpacing/>
              <w:textAlignment w:val="baseline"/>
              <w:rPr>
                <w:rStyle w:val="normaltextrun"/>
                <w:rFonts w:ascii="Verdana" w:hAnsi="Verdana" w:cstheme="minorHAnsi"/>
                <w:sz w:val="16"/>
                <w:szCs w:val="16"/>
              </w:rPr>
            </w:pPr>
            <w:r w:rsidRPr="00C42FC5">
              <w:rPr>
                <w:rStyle w:val="normaltextrun"/>
                <w:rFonts w:ascii="Verdana" w:hAnsi="Verdana" w:cstheme="minorHAnsi"/>
                <w:sz w:val="16"/>
                <w:szCs w:val="16"/>
              </w:rPr>
              <w:t xml:space="preserve">María </w:t>
            </w:r>
            <w:proofErr w:type="spellStart"/>
            <w:r w:rsidRPr="00C42FC5">
              <w:rPr>
                <w:rStyle w:val="normaltextrun"/>
                <w:rFonts w:ascii="Verdana" w:hAnsi="Verdana" w:cstheme="minorHAnsi"/>
                <w:sz w:val="16"/>
                <w:szCs w:val="16"/>
              </w:rPr>
              <w:t>Joshira</w:t>
            </w:r>
            <w:proofErr w:type="spellEnd"/>
            <w:r w:rsidRPr="00C42FC5">
              <w:rPr>
                <w:rStyle w:val="normaltextrun"/>
                <w:rFonts w:ascii="Verdana" w:hAnsi="Verdana" w:cstheme="minorHAnsi"/>
                <w:sz w:val="16"/>
                <w:szCs w:val="16"/>
              </w:rPr>
              <w:t xml:space="preserve"> Nieto Manzano</w:t>
            </w:r>
          </w:p>
          <w:p w14:paraId="50E12618" w14:textId="77777777" w:rsidR="00F95AF5" w:rsidRPr="00C42FC5" w:rsidRDefault="00F95AF5" w:rsidP="00216DC5">
            <w:pPr>
              <w:contextualSpacing/>
              <w:rPr>
                <w:rStyle w:val="normaltextrun"/>
                <w:rFonts w:eastAsia="Times New Roman" w:cstheme="minorHAnsi"/>
                <w:lang w:eastAsia="es-CO"/>
              </w:rPr>
            </w:pPr>
            <w:r w:rsidRPr="00C42FC5">
              <w:rPr>
                <w:rStyle w:val="normaltextrun"/>
                <w:rFonts w:ascii="Verdana" w:eastAsia="Times New Roman" w:hAnsi="Verdana" w:cstheme="minorHAnsi"/>
                <w:sz w:val="16"/>
                <w:szCs w:val="16"/>
                <w:lang w:eastAsia="es-CO"/>
              </w:rPr>
              <w:t>Contratista</w:t>
            </w:r>
            <w:r w:rsidRPr="00C42FC5">
              <w:rPr>
                <w:rStyle w:val="normaltextrun"/>
                <w:rFonts w:eastAsia="Times New Roman" w:cstheme="minorHAnsi"/>
                <w:lang w:eastAsia="es-CO"/>
              </w:rPr>
              <w:t xml:space="preserve"> de la Subdirección de Gestión Contractual</w:t>
            </w:r>
          </w:p>
        </w:tc>
      </w:tr>
      <w:tr w:rsidR="00F95AF5" w:rsidRPr="00593A5F" w14:paraId="45803B89" w14:textId="77777777" w:rsidTr="00216DC5">
        <w:trPr>
          <w:trHeight w:val="330"/>
        </w:trPr>
        <w:tc>
          <w:tcPr>
            <w:tcW w:w="893" w:type="dxa"/>
            <w:vAlign w:val="center"/>
            <w:hideMark/>
          </w:tcPr>
          <w:p w14:paraId="749782B9" w14:textId="77777777" w:rsidR="00F95AF5" w:rsidRPr="003751C7" w:rsidRDefault="00F95AF5" w:rsidP="00216DC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37EE2C6" w14:textId="1A181781" w:rsidR="00F95AF5" w:rsidRDefault="00F95AF5" w:rsidP="00216DC5">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65CEB19A" w14:textId="77777777" w:rsidR="00F95AF5" w:rsidRPr="00C42FC5" w:rsidRDefault="00F95AF5" w:rsidP="00216DC5">
            <w:pPr>
              <w:pStyle w:val="paragraph"/>
              <w:spacing w:before="0" w:beforeAutospacing="0" w:after="0" w:afterAutospacing="0"/>
              <w:contextualSpacing/>
              <w:textAlignment w:val="baseline"/>
              <w:rPr>
                <w:rStyle w:val="normaltextrun"/>
              </w:rPr>
            </w:pPr>
            <w:r w:rsidRPr="00C42FC5">
              <w:rPr>
                <w:rStyle w:val="normaltextrun"/>
                <w:rFonts w:ascii="Verdana" w:hAnsi="Verdana" w:cstheme="minorHAnsi"/>
                <w:sz w:val="16"/>
                <w:szCs w:val="16"/>
              </w:rPr>
              <w:t>Contratista Subdirección de Gestión Contractual</w:t>
            </w:r>
          </w:p>
        </w:tc>
      </w:tr>
      <w:tr w:rsidR="00F95AF5" w:rsidRPr="00593A5F" w14:paraId="4D93957C" w14:textId="77777777" w:rsidTr="00216DC5">
        <w:trPr>
          <w:trHeight w:val="300"/>
        </w:trPr>
        <w:tc>
          <w:tcPr>
            <w:tcW w:w="893" w:type="dxa"/>
            <w:vAlign w:val="center"/>
          </w:tcPr>
          <w:p w14:paraId="6378C165" w14:textId="77777777" w:rsidR="00F95AF5" w:rsidRPr="003751C7" w:rsidRDefault="00F95AF5" w:rsidP="00216DC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AA03C99" w14:textId="294A8090" w:rsidR="00F95AF5" w:rsidRPr="000015E6" w:rsidRDefault="00F95AF5" w:rsidP="00216DC5">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p>
          <w:p w14:paraId="60418B8D" w14:textId="77777777" w:rsidR="00F95AF5" w:rsidRPr="000015E6" w:rsidRDefault="00F95AF5" w:rsidP="00216DC5">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0"/>
    </w:tbl>
    <w:p w14:paraId="063AD55D" w14:textId="77777777" w:rsidR="00F95AF5" w:rsidRPr="00F95AF5" w:rsidRDefault="00F95AF5" w:rsidP="00E245AB">
      <w:pPr>
        <w:spacing w:after="0"/>
        <w:rPr>
          <w:rFonts w:ascii="Verdana" w:hAnsi="Verdana"/>
          <w:lang w:val="es-ES_tradnl"/>
        </w:rPr>
      </w:pPr>
    </w:p>
    <w:sectPr w:rsidR="00F95AF5" w:rsidRPr="00F95AF5" w:rsidSect="00B40711">
      <w:headerReference w:type="default" r:id="rId17"/>
      <w:footerReference w:type="default" r:id="rId18"/>
      <w:pgSz w:w="12240" w:h="15840" w:code="1"/>
      <w:pgMar w:top="1417" w:right="1701" w:bottom="1417" w:left="1701" w:header="709" w:footer="5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56E12" w14:textId="77777777" w:rsidR="003D570B" w:rsidRDefault="003D570B" w:rsidP="004A1847">
      <w:pPr>
        <w:spacing w:after="0" w:line="240" w:lineRule="auto"/>
      </w:pPr>
      <w:r>
        <w:separator/>
      </w:r>
    </w:p>
  </w:endnote>
  <w:endnote w:type="continuationSeparator" w:id="0">
    <w:p w14:paraId="7D26E9EA" w14:textId="77777777" w:rsidR="003D570B" w:rsidRDefault="003D570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5EE21" w14:textId="77777777" w:rsidR="003D570B" w:rsidRDefault="003D570B" w:rsidP="004A1847">
      <w:pPr>
        <w:spacing w:after="0" w:line="240" w:lineRule="auto"/>
      </w:pPr>
      <w:r>
        <w:separator/>
      </w:r>
    </w:p>
  </w:footnote>
  <w:footnote w:type="continuationSeparator" w:id="0">
    <w:p w14:paraId="694D277A" w14:textId="77777777" w:rsidR="003D570B" w:rsidRDefault="003D570B" w:rsidP="004A1847">
      <w:pPr>
        <w:spacing w:after="0" w:line="240" w:lineRule="auto"/>
      </w:pPr>
      <w:r>
        <w:continuationSeparator/>
      </w:r>
    </w:p>
  </w:footnote>
  <w:footnote w:id="1">
    <w:p w14:paraId="7CA9872C" w14:textId="77777777" w:rsidR="00271F5B" w:rsidRPr="00C05384" w:rsidRDefault="00271F5B" w:rsidP="00271F5B">
      <w:pPr>
        <w:pStyle w:val="Textonotapie"/>
        <w:ind w:firstLine="709"/>
        <w:jc w:val="both"/>
        <w:rPr>
          <w:rFonts w:ascii="Verdana" w:hAnsi="Verdana" w:cs="Arial"/>
          <w:sz w:val="16"/>
          <w:szCs w:val="16"/>
        </w:rPr>
      </w:pPr>
    </w:p>
    <w:p w14:paraId="0EB39BEC" w14:textId="77777777" w:rsidR="00271F5B" w:rsidRPr="00C05384" w:rsidRDefault="00271F5B" w:rsidP="00271F5B">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1B7166CE" w14:textId="77777777" w:rsidR="00271F5B" w:rsidRPr="00C05384" w:rsidRDefault="00271F5B" w:rsidP="00271F5B">
      <w:pPr>
        <w:pStyle w:val="Textonotapie"/>
        <w:ind w:firstLine="709"/>
        <w:jc w:val="both"/>
        <w:rPr>
          <w:rFonts w:ascii="Verdana" w:hAnsi="Verdana" w:cs="Arial"/>
          <w:sz w:val="16"/>
          <w:szCs w:val="16"/>
        </w:rPr>
      </w:pPr>
    </w:p>
  </w:footnote>
  <w:footnote w:id="2">
    <w:p w14:paraId="741F69C8" w14:textId="77777777" w:rsidR="00F95AF5" w:rsidRPr="00FF007A" w:rsidRDefault="00F95AF5" w:rsidP="00F95AF5">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42A0C9F" w14:textId="77777777" w:rsidR="00F95AF5" w:rsidRPr="00FF007A" w:rsidRDefault="00F95AF5" w:rsidP="00F95AF5">
      <w:pPr>
        <w:pStyle w:val="Textonotapie"/>
        <w:ind w:firstLine="709"/>
        <w:contextualSpacing/>
        <w:jc w:val="both"/>
        <w:rPr>
          <w:rFonts w:ascii="Verdana" w:hAnsi="Verdana" w:cs="Arial"/>
          <w:sz w:val="16"/>
          <w:szCs w:val="16"/>
          <w:lang w:val="es-CO"/>
        </w:rPr>
      </w:pPr>
      <w:r w:rsidRPr="00FF007A">
        <w:rPr>
          <w:rFonts w:ascii="Verdana" w:hAnsi="Verdana" w:cs="Arial"/>
          <w:sz w:val="16"/>
          <w:szCs w:val="16"/>
          <w:lang w:val="es-CO"/>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C33306B" w14:textId="77777777" w:rsidR="00F95AF5" w:rsidRPr="00FF007A" w:rsidRDefault="00F95AF5" w:rsidP="00F95AF5">
      <w:pPr>
        <w:pStyle w:val="Textonotapie"/>
        <w:ind w:firstLine="709"/>
        <w:contextualSpacing/>
        <w:jc w:val="both"/>
        <w:rPr>
          <w:rFonts w:ascii="Verdana" w:hAnsi="Verdana" w:cs="Arial"/>
          <w:sz w:val="16"/>
          <w:szCs w:val="16"/>
          <w:lang w:val="es-CO"/>
        </w:rPr>
      </w:pPr>
    </w:p>
  </w:footnote>
  <w:footnote w:id="3">
    <w:p w14:paraId="22D527B4" w14:textId="77777777" w:rsidR="00F95AF5" w:rsidRPr="00FF007A" w:rsidRDefault="00F95AF5" w:rsidP="00F95AF5">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Gaceta del Congreso de la República No. 71 del 2005.</w:t>
      </w:r>
    </w:p>
    <w:p w14:paraId="6660EC05" w14:textId="77777777" w:rsidR="00F95AF5" w:rsidRPr="00FF007A" w:rsidRDefault="00F95AF5" w:rsidP="00F95AF5">
      <w:pPr>
        <w:pStyle w:val="Textonotapie"/>
        <w:ind w:firstLine="709"/>
        <w:contextualSpacing/>
        <w:jc w:val="both"/>
        <w:rPr>
          <w:rFonts w:ascii="Verdana" w:hAnsi="Verdana" w:cs="Arial"/>
          <w:sz w:val="16"/>
          <w:szCs w:val="16"/>
          <w:lang w:val="es-CO"/>
        </w:rPr>
      </w:pPr>
    </w:p>
  </w:footnote>
  <w:footnote w:id="4">
    <w:p w14:paraId="2F4B6E88" w14:textId="77777777" w:rsidR="00F95AF5" w:rsidRPr="00084D6B" w:rsidRDefault="00F95AF5" w:rsidP="00F95AF5">
      <w:pPr>
        <w:pStyle w:val="Textonotapie"/>
        <w:ind w:firstLine="709"/>
        <w:contextualSpacing/>
        <w:jc w:val="both"/>
        <w:rPr>
          <w:rFonts w:ascii="Verdana" w:hAnsi="Verdana" w:cs="Arial"/>
          <w:sz w:val="16"/>
          <w:szCs w:val="16"/>
          <w:lang w:val="pt-BR"/>
        </w:rPr>
      </w:pPr>
      <w:r w:rsidRPr="00FF007A">
        <w:rPr>
          <w:rStyle w:val="Refdenotaalpie"/>
          <w:rFonts w:ascii="Verdana" w:hAnsi="Verdana" w:cs="Arial"/>
          <w:sz w:val="16"/>
          <w:szCs w:val="16"/>
          <w:lang w:val="es-CO"/>
        </w:rPr>
        <w:footnoteRef/>
      </w:r>
      <w:r w:rsidRPr="00084D6B">
        <w:rPr>
          <w:rFonts w:ascii="Verdana" w:hAnsi="Verdana" w:cs="Arial"/>
          <w:sz w:val="16"/>
          <w:szCs w:val="16"/>
          <w:lang w:val="pt-BR"/>
        </w:rPr>
        <w:t xml:space="preserve"> Corte Constitucional. Sentencia C- 1153 de 2005. M.P: Marco Gerardo Monroy Cabra.</w:t>
      </w:r>
    </w:p>
  </w:footnote>
  <w:footnote w:id="5">
    <w:p w14:paraId="7BDC34C3" w14:textId="77777777" w:rsidR="00F95AF5" w:rsidRPr="00084D6B" w:rsidRDefault="00F95AF5" w:rsidP="00F95AF5">
      <w:pPr>
        <w:pStyle w:val="Textonotapie"/>
        <w:ind w:firstLine="709"/>
        <w:contextualSpacing/>
        <w:jc w:val="both"/>
        <w:rPr>
          <w:rFonts w:ascii="Verdana" w:hAnsi="Verdana" w:cs="Arial"/>
          <w:sz w:val="16"/>
          <w:szCs w:val="16"/>
          <w:lang w:val="pt-BR"/>
        </w:rPr>
      </w:pPr>
      <w:r w:rsidRPr="00F3158D">
        <w:rPr>
          <w:rStyle w:val="Refdenotaalpie"/>
          <w:rFonts w:ascii="Verdana" w:hAnsi="Verdana" w:cs="Arial"/>
          <w:sz w:val="16"/>
          <w:szCs w:val="16"/>
          <w:lang w:val="es-CO"/>
        </w:rPr>
        <w:footnoteRef/>
      </w:r>
      <w:r w:rsidRPr="00084D6B">
        <w:rPr>
          <w:rFonts w:ascii="Verdana" w:hAnsi="Verdana" w:cs="Arial"/>
          <w:sz w:val="16"/>
          <w:szCs w:val="16"/>
          <w:lang w:val="pt-BR"/>
        </w:rPr>
        <w:t xml:space="preserve"> Corte Constitucional. Sentencias: C-233 de 4 de abril de 2002, M.P: Álvaro Tafur Galvis. C-551 de 9 de julio de 2003. M.P: Eduardo Montealegre Lynett. C-652 de 5 de agosto de 2003. M.P: Jaime Córdoba Triviño. Sentencia C-353 de 20 de mayo de 2009. M.P: Jorge Iván Palacio Palacio. C-541 de 30 de junio de 2010, M.P: Gabriel Eduardo Mendoza Martelo.</w:t>
      </w:r>
    </w:p>
    <w:p w14:paraId="49E1297B" w14:textId="77777777" w:rsidR="00F95AF5" w:rsidRPr="00084D6B" w:rsidRDefault="00F95AF5" w:rsidP="00F95AF5">
      <w:pPr>
        <w:pStyle w:val="Textonotapie"/>
        <w:ind w:firstLine="709"/>
        <w:contextualSpacing/>
        <w:jc w:val="both"/>
        <w:rPr>
          <w:rFonts w:ascii="Verdana" w:hAnsi="Verdana" w:cs="Arial"/>
          <w:sz w:val="16"/>
          <w:szCs w:val="16"/>
          <w:lang w:val="pt-BR"/>
        </w:rPr>
      </w:pPr>
    </w:p>
  </w:footnote>
  <w:footnote w:id="6">
    <w:p w14:paraId="5E012B46" w14:textId="77777777" w:rsidR="00F95AF5" w:rsidRPr="00084D6B" w:rsidRDefault="00F95AF5" w:rsidP="00F95AF5">
      <w:pPr>
        <w:pStyle w:val="Textonotapie"/>
        <w:ind w:firstLine="709"/>
        <w:contextualSpacing/>
        <w:jc w:val="both"/>
        <w:rPr>
          <w:rFonts w:ascii="Verdana" w:hAnsi="Verdana" w:cs="Arial"/>
          <w:sz w:val="16"/>
          <w:szCs w:val="16"/>
          <w:lang w:val="pt-BR"/>
        </w:rPr>
      </w:pPr>
      <w:r w:rsidRPr="00FF007A">
        <w:rPr>
          <w:rStyle w:val="Refdenotaalpie"/>
          <w:rFonts w:ascii="Verdana" w:hAnsi="Verdana" w:cs="Arial"/>
          <w:sz w:val="16"/>
          <w:szCs w:val="16"/>
          <w:lang w:val="es-CO"/>
        </w:rPr>
        <w:footnoteRef/>
      </w:r>
      <w:r w:rsidRPr="00084D6B">
        <w:rPr>
          <w:rFonts w:ascii="Verdana" w:hAnsi="Verdana" w:cs="Arial"/>
          <w:sz w:val="16"/>
          <w:szCs w:val="16"/>
          <w:lang w:val="pt-BR"/>
        </w:rPr>
        <w:t xml:space="preserve"> Consejo de Estado. Sala de lo Contencioso Administrativo. Sección Primera. Sentencia de 3 de marzo de 2005, Radicado: 25001-23-15-000-2004-00823-01 (PI). C.P: Camilo Arciniegas Andrade.</w:t>
      </w:r>
    </w:p>
    <w:p w14:paraId="6DE6033B" w14:textId="77777777" w:rsidR="00F95AF5" w:rsidRPr="00084D6B" w:rsidRDefault="00F95AF5" w:rsidP="00F95AF5">
      <w:pPr>
        <w:pStyle w:val="Textonotapie"/>
        <w:ind w:firstLine="709"/>
        <w:contextualSpacing/>
        <w:jc w:val="both"/>
        <w:rPr>
          <w:rFonts w:ascii="Verdana" w:hAnsi="Verdana" w:cs="Arial"/>
          <w:sz w:val="16"/>
          <w:szCs w:val="16"/>
          <w:lang w:val="pt-BR"/>
        </w:rPr>
      </w:pPr>
    </w:p>
  </w:footnote>
  <w:footnote w:id="7">
    <w:p w14:paraId="2C16D05E" w14:textId="77777777" w:rsidR="00F95AF5" w:rsidRPr="00FF007A" w:rsidRDefault="00F95AF5" w:rsidP="00F95AF5">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084D6B">
        <w:rPr>
          <w:rFonts w:ascii="Verdana" w:hAnsi="Verdana" w:cs="Arial"/>
          <w:sz w:val="16"/>
          <w:szCs w:val="16"/>
          <w:lang w:val="pt-BR"/>
        </w:rPr>
        <w:t xml:space="preserve"> Consejo de Estado, Sala de Consulta y Servicio Civil de fecha 24 de julio de 2013. </w:t>
      </w:r>
      <w:r>
        <w:rPr>
          <w:rFonts w:ascii="Verdana" w:hAnsi="Verdana" w:cs="Arial"/>
          <w:sz w:val="16"/>
          <w:szCs w:val="16"/>
          <w:lang w:val="es-CO"/>
        </w:rPr>
        <w:t xml:space="preserve">Radicado: </w:t>
      </w:r>
      <w:r w:rsidRPr="005F28C0">
        <w:rPr>
          <w:rFonts w:ascii="Verdana" w:hAnsi="Verdana" w:cs="Arial"/>
          <w:sz w:val="16"/>
          <w:szCs w:val="16"/>
          <w:lang w:val="es-CO"/>
        </w:rPr>
        <w:t xml:space="preserve">Radicado: 11001-03-06-000-2013-00407-00 </w:t>
      </w:r>
      <w:r>
        <w:rPr>
          <w:rFonts w:ascii="Verdana" w:hAnsi="Verdana" w:cs="Arial"/>
          <w:sz w:val="16"/>
          <w:szCs w:val="16"/>
          <w:lang w:val="es-CO"/>
        </w:rPr>
        <w:t>(2166).</w:t>
      </w:r>
      <w:r w:rsidRPr="00FF007A">
        <w:rPr>
          <w:rFonts w:ascii="Verdana" w:hAnsi="Verdana" w:cs="Arial"/>
          <w:sz w:val="16"/>
          <w:szCs w:val="16"/>
          <w:lang w:val="es-CO"/>
        </w:rPr>
        <w:t xml:space="preserve"> C.P</w:t>
      </w:r>
      <w:r>
        <w:rPr>
          <w:rFonts w:ascii="Verdana" w:hAnsi="Verdana" w:cs="Arial"/>
          <w:sz w:val="16"/>
          <w:szCs w:val="16"/>
          <w:lang w:val="es-CO"/>
        </w:rPr>
        <w:t>:</w:t>
      </w:r>
      <w:r w:rsidRPr="00FF007A">
        <w:rPr>
          <w:rFonts w:ascii="Verdana" w:hAnsi="Verdana" w:cs="Arial"/>
          <w:sz w:val="16"/>
          <w:szCs w:val="16"/>
          <w:lang w:val="es-CO"/>
        </w:rPr>
        <w:t xml:space="preserve"> Álvaro Namén Vargas.  </w:t>
      </w:r>
    </w:p>
  </w:footnote>
  <w:footnote w:id="8">
    <w:p w14:paraId="02446937" w14:textId="77777777" w:rsidR="00F95AF5" w:rsidRPr="00FF007A" w:rsidRDefault="00F95AF5" w:rsidP="00F95AF5">
      <w:pPr>
        <w:spacing w:after="0" w:line="240" w:lineRule="auto"/>
        <w:ind w:firstLine="709"/>
        <w:contextualSpacing/>
        <w:jc w:val="both"/>
        <w:rPr>
          <w:rFonts w:ascii="Verdana" w:eastAsia="Times New Roman"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58505E6" w14:textId="77777777" w:rsidR="00F95AF5" w:rsidRPr="00FF007A" w:rsidRDefault="00F95AF5" w:rsidP="00F95AF5">
      <w:pPr>
        <w:spacing w:after="0" w:line="240" w:lineRule="auto"/>
        <w:ind w:firstLine="709"/>
        <w:contextualSpacing/>
        <w:jc w:val="both"/>
        <w:rPr>
          <w:rFonts w:ascii="Verdana" w:eastAsia="Times New Roman" w:hAnsi="Verdana" w:cs="Arial"/>
          <w:sz w:val="16"/>
          <w:szCs w:val="16"/>
        </w:rPr>
      </w:pPr>
      <w:r w:rsidRPr="00FF007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F007A">
        <w:rPr>
          <w:rFonts w:ascii="Verdana" w:eastAsia="Calibri" w:hAnsi="Verdana" w:cs="Arial"/>
          <w:color w:val="000000"/>
          <w:sz w:val="16"/>
          <w:szCs w:val="16"/>
        </w:rPr>
        <w:t>”</w:t>
      </w:r>
      <w:r w:rsidRPr="00FF007A">
        <w:rPr>
          <w:rFonts w:ascii="Verdana" w:eastAsia="Times New Roman" w:hAnsi="Verdana" w:cs="Arial"/>
          <w:sz w:val="16"/>
          <w:szCs w:val="16"/>
        </w:rPr>
        <w:t>.</w:t>
      </w:r>
    </w:p>
    <w:p w14:paraId="2B4014C3" w14:textId="77777777" w:rsidR="00F95AF5" w:rsidRPr="00FF007A" w:rsidRDefault="00F95AF5" w:rsidP="00F95AF5">
      <w:pPr>
        <w:spacing w:after="0" w:line="240" w:lineRule="auto"/>
        <w:ind w:firstLine="709"/>
        <w:contextualSpacing/>
        <w:jc w:val="both"/>
        <w:rPr>
          <w:rFonts w:ascii="Verdana" w:eastAsia="Times New Roman" w:hAnsi="Verdana" w:cs="Arial"/>
          <w:sz w:val="16"/>
          <w:szCs w:val="16"/>
        </w:rPr>
      </w:pPr>
    </w:p>
  </w:footnote>
  <w:footnote w:id="9">
    <w:p w14:paraId="54693CE7" w14:textId="77777777" w:rsidR="00F95AF5" w:rsidRPr="00FF007A" w:rsidRDefault="00F95AF5" w:rsidP="00F95AF5">
      <w:pPr>
        <w:pStyle w:val="NormalWeb"/>
        <w:spacing w:before="0" w:beforeAutospacing="0" w:after="0" w:afterAutospacing="0"/>
        <w:ind w:firstLine="709"/>
        <w:contextualSpacing/>
        <w:jc w:val="both"/>
        <w:rPr>
          <w:rFonts w:ascii="Verdana"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hAnsi="Verdana" w:cs="Arial"/>
          <w:sz w:val="16"/>
          <w:szCs w:val="16"/>
        </w:rPr>
        <w:t>Artículo 38. Prohibiciones para los servidores públicos. A los empleados del Estado les está prohibido: […]</w:t>
      </w:r>
    </w:p>
    <w:p w14:paraId="64524F5E" w14:textId="77777777" w:rsidR="00F95AF5" w:rsidRPr="00FF007A" w:rsidRDefault="00F95AF5" w:rsidP="00F95AF5">
      <w:pPr>
        <w:pStyle w:val="NormalWeb"/>
        <w:spacing w:before="0" w:beforeAutospacing="0" w:after="0" w:afterAutospacing="0"/>
        <w:ind w:firstLine="709"/>
        <w:contextualSpacing/>
        <w:jc w:val="both"/>
        <w:rPr>
          <w:rFonts w:ascii="Verdana" w:hAnsi="Verdana" w:cs="Arial"/>
          <w:sz w:val="16"/>
          <w:szCs w:val="16"/>
        </w:rPr>
      </w:pPr>
      <w:r w:rsidRPr="00FF007A">
        <w:rPr>
          <w:rStyle w:val="baj"/>
          <w:rFonts w:ascii="Verdana" w:hAnsi="Verdana" w:cs="Arial"/>
          <w:sz w:val="16"/>
          <w:szCs w:val="16"/>
        </w:rPr>
        <w:t>Parágrafo.</w:t>
      </w:r>
      <w:r w:rsidRPr="00FF007A">
        <w:rPr>
          <w:rFonts w:ascii="Verdana" w:hAnsi="Verdana" w:cs="Arial"/>
          <w:sz w:val="16"/>
          <w:szCs w:val="16"/>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color w:val="000000"/>
          <w:sz w:val="16"/>
          <w:szCs w:val="16"/>
        </w:rPr>
        <w:t>”</w:t>
      </w:r>
      <w:r w:rsidRPr="00FF007A">
        <w:rPr>
          <w:rFonts w:ascii="Verdana" w:hAnsi="Verdana" w:cs="Arial"/>
          <w:sz w:val="16"/>
          <w:szCs w:val="16"/>
        </w:rPr>
        <w:t>.</w:t>
      </w:r>
    </w:p>
  </w:footnote>
  <w:footnote w:id="10">
    <w:p w14:paraId="44BBC71A" w14:textId="77777777" w:rsidR="00F95AF5" w:rsidRPr="00FF007A" w:rsidRDefault="00F95AF5" w:rsidP="00F95AF5">
      <w:pPr>
        <w:spacing w:after="0" w:line="240" w:lineRule="auto"/>
        <w:ind w:left="100" w:right="244" w:firstLine="709"/>
        <w:contextualSpacing/>
        <w:jc w:val="both"/>
        <w:rPr>
          <w:rFonts w:ascii="Verdana"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Consejo de Estado. Sala de Consulta y Servicio Civil. Concepto del 17 de febrero de 2015. Radicación No. 11001-03-06-000-2015-00164-00 (2269) C.P: William Zambrano Cetina.</w:t>
      </w:r>
    </w:p>
  </w:footnote>
  <w:footnote w:id="11">
    <w:p w14:paraId="72D2173F" w14:textId="77777777" w:rsidR="00F95AF5" w:rsidRPr="00FF007A" w:rsidRDefault="00F95AF5" w:rsidP="00F95AF5">
      <w:pPr>
        <w:pStyle w:val="Textonotapie"/>
        <w:ind w:right="51"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“[26] Al respecto ver el concepto 1712 de 2 de febrero de 2006. Consejo de Estado Sala de Consulta y Servicio Civil”.</w:t>
      </w:r>
    </w:p>
    <w:p w14:paraId="00D2ADD2" w14:textId="77777777" w:rsidR="00F95AF5" w:rsidRPr="00FF007A" w:rsidRDefault="00F95AF5" w:rsidP="00F95AF5">
      <w:pPr>
        <w:pStyle w:val="Textonotapie"/>
        <w:ind w:right="51" w:firstLine="709"/>
        <w:contextualSpacing/>
        <w:jc w:val="both"/>
        <w:rPr>
          <w:rFonts w:ascii="Verdana" w:hAnsi="Verdana" w:cs="Arial"/>
          <w:sz w:val="16"/>
          <w:szCs w:val="16"/>
          <w:lang w:val="es-CO"/>
        </w:rPr>
      </w:pPr>
    </w:p>
  </w:footnote>
  <w:footnote w:id="12">
    <w:p w14:paraId="2D63145A" w14:textId="77777777" w:rsidR="00F95AF5" w:rsidRDefault="00F95AF5" w:rsidP="00F95AF5">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 Sala de Consulta y Servicio Civil. Concepto del 2 de septiembre de 2013. Radicación número: 11001-03-06-000-2013-00412-00 (2168). Consejero Ponente: Álvaro Namén Vargas.</w:t>
      </w:r>
    </w:p>
    <w:p w14:paraId="4D1089FA" w14:textId="77777777" w:rsidR="00F95AF5" w:rsidRPr="00FF007A" w:rsidRDefault="00F95AF5" w:rsidP="00F95AF5">
      <w:pPr>
        <w:pStyle w:val="Textonotapie"/>
        <w:ind w:firstLine="709"/>
        <w:contextualSpacing/>
        <w:jc w:val="both"/>
        <w:rPr>
          <w:rFonts w:ascii="Verdana" w:hAnsi="Verdana" w:cs="Arial"/>
          <w:sz w:val="16"/>
          <w:szCs w:val="16"/>
          <w:lang w:val="es-CO"/>
        </w:rPr>
      </w:pPr>
    </w:p>
  </w:footnote>
  <w:footnote w:id="13">
    <w:p w14:paraId="0E8A1387" w14:textId="77777777" w:rsidR="00F95AF5" w:rsidRDefault="00F95AF5" w:rsidP="00F95AF5">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Artículo 2. </w:t>
      </w:r>
    </w:p>
    <w:p w14:paraId="621BD9CA" w14:textId="77777777" w:rsidR="00F95AF5" w:rsidRPr="00FF007A" w:rsidRDefault="00F95AF5" w:rsidP="00F95AF5">
      <w:pPr>
        <w:pStyle w:val="Textonotapie"/>
        <w:ind w:firstLine="709"/>
        <w:contextualSpacing/>
        <w:jc w:val="both"/>
        <w:rPr>
          <w:rFonts w:ascii="Verdana" w:hAnsi="Verdana" w:cs="Arial"/>
          <w:sz w:val="16"/>
          <w:szCs w:val="16"/>
          <w:lang w:val="es-CO"/>
        </w:rPr>
      </w:pPr>
    </w:p>
  </w:footnote>
  <w:footnote w:id="14">
    <w:p w14:paraId="617EF99D" w14:textId="77777777" w:rsidR="00F95AF5" w:rsidRDefault="00F95AF5" w:rsidP="00F95AF5">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w:t>
      </w:r>
      <w:r w:rsidRPr="00FF007A">
        <w:rPr>
          <w:rFonts w:ascii="Verdana" w:hAnsi="Verdana" w:cs="Arial"/>
          <w:i/>
          <w:sz w:val="16"/>
          <w:szCs w:val="16"/>
          <w:lang w:val="es-CO"/>
        </w:rPr>
        <w:t>Ídem</w:t>
      </w:r>
      <w:r w:rsidRPr="00FF007A">
        <w:rPr>
          <w:rFonts w:ascii="Verdana" w:hAnsi="Verdana" w:cs="Arial"/>
          <w:sz w:val="16"/>
          <w:szCs w:val="16"/>
          <w:lang w:val="es-CO"/>
        </w:rPr>
        <w:t>.</w:t>
      </w:r>
    </w:p>
    <w:p w14:paraId="5F3AF711" w14:textId="77777777" w:rsidR="00F95AF5" w:rsidRPr="00FF007A" w:rsidRDefault="00F95AF5" w:rsidP="00F95AF5">
      <w:pPr>
        <w:pStyle w:val="Textonotapie"/>
        <w:ind w:firstLine="709"/>
        <w:contextualSpacing/>
        <w:jc w:val="both"/>
        <w:rPr>
          <w:rFonts w:ascii="Verdana" w:hAnsi="Verdana" w:cs="Arial"/>
          <w:sz w:val="16"/>
          <w:szCs w:val="16"/>
          <w:lang w:val="es-CO"/>
        </w:rPr>
      </w:pPr>
    </w:p>
  </w:footnote>
  <w:footnote w:id="15">
    <w:p w14:paraId="74252AC1" w14:textId="77777777" w:rsidR="00F95AF5" w:rsidRPr="00F3158D" w:rsidRDefault="00F95AF5" w:rsidP="00F95AF5">
      <w:pPr>
        <w:pStyle w:val="Textonotapie"/>
        <w:ind w:firstLine="709"/>
        <w:contextualSpacing/>
        <w:jc w:val="both"/>
        <w:rPr>
          <w:rFonts w:ascii="Verdana" w:hAnsi="Verdana" w:cs="Arial"/>
          <w:sz w:val="16"/>
          <w:szCs w:val="16"/>
          <w:lang w:val="es-CO"/>
        </w:rPr>
      </w:pPr>
      <w:r w:rsidRPr="00F3158D">
        <w:rPr>
          <w:rStyle w:val="Refdenotaalpie"/>
          <w:rFonts w:ascii="Verdana" w:hAnsi="Verdana" w:cs="Arial"/>
          <w:sz w:val="16"/>
          <w:szCs w:val="16"/>
          <w:lang w:val="es-CO"/>
        </w:rPr>
        <w:footnoteRef/>
      </w:r>
      <w:r w:rsidRPr="00F3158D">
        <w:rPr>
          <w:rFonts w:ascii="Verdana" w:hAnsi="Verdana" w:cs="Arial"/>
          <w:sz w:val="16"/>
          <w:szCs w:val="16"/>
          <w:lang w:val="es-CO"/>
        </w:rPr>
        <w:t xml:space="preserve"> Consejo de Estado. Sala de Consulta y Servicio Civil. Concepto del 08 de mayo de 2018. Exp. 2.382. C.P. Álvaro Namén Vargas.</w:t>
      </w:r>
    </w:p>
    <w:p w14:paraId="50E61750" w14:textId="77777777" w:rsidR="00F95AF5" w:rsidRPr="00F3158D" w:rsidRDefault="00F95AF5" w:rsidP="00F95AF5">
      <w:pPr>
        <w:pStyle w:val="Textonotapie"/>
        <w:ind w:firstLine="709"/>
        <w:contextualSpacing/>
        <w:jc w:val="both"/>
        <w:rPr>
          <w:rFonts w:ascii="Verdana" w:hAnsi="Verdana" w:cs="Arial"/>
          <w:sz w:val="16"/>
          <w:szCs w:val="16"/>
          <w:lang w:val="es-CO"/>
        </w:rPr>
      </w:pPr>
    </w:p>
  </w:footnote>
  <w:footnote w:id="16">
    <w:p w14:paraId="261932CD" w14:textId="77777777" w:rsidR="00F95AF5" w:rsidRDefault="00F95AF5" w:rsidP="00F95AF5">
      <w:pPr>
        <w:pStyle w:val="Textonotapie"/>
        <w:ind w:firstLine="708"/>
        <w:contextualSpacing/>
        <w:jc w:val="both"/>
        <w:rPr>
          <w:rFonts w:ascii="Verdana" w:eastAsia="Calibri" w:hAnsi="Verdana" w:cs="Arial"/>
          <w:sz w:val="16"/>
          <w:szCs w:val="16"/>
          <w:lang w:val="es-CO"/>
        </w:rPr>
      </w:pPr>
      <w:r w:rsidRPr="00F3158D">
        <w:rPr>
          <w:rStyle w:val="Refdenotaalpie"/>
          <w:rFonts w:ascii="Verdana" w:hAnsi="Verdana"/>
          <w:sz w:val="16"/>
          <w:szCs w:val="16"/>
          <w:lang w:val="es-CO"/>
        </w:rPr>
        <w:footnoteRef/>
      </w:r>
      <w:r w:rsidRPr="00F3158D">
        <w:rPr>
          <w:rFonts w:ascii="Verdana" w:hAnsi="Verdana"/>
          <w:sz w:val="16"/>
          <w:szCs w:val="16"/>
          <w:lang w:val="es-CO"/>
        </w:rPr>
        <w:t xml:space="preserve"> </w:t>
      </w:r>
      <w:r w:rsidRPr="00F3158D">
        <w:rPr>
          <w:rFonts w:ascii="Verdana" w:eastAsia="Calibri" w:hAnsi="Verdana" w:cs="Arial"/>
          <w:sz w:val="16"/>
          <w:szCs w:val="16"/>
          <w:lang w:val="es-CO"/>
        </w:rPr>
        <w:t>Ibidem.</w:t>
      </w:r>
    </w:p>
    <w:p w14:paraId="2FBEBB0A" w14:textId="77777777" w:rsidR="00F95AF5" w:rsidRPr="00FF007A" w:rsidRDefault="00F95AF5" w:rsidP="00F95AF5">
      <w:pPr>
        <w:pStyle w:val="Textonotapie"/>
        <w:ind w:firstLine="708"/>
        <w:contextualSpacing/>
        <w:jc w:val="both"/>
        <w:rPr>
          <w:rFonts w:ascii="Verdana" w:hAnsi="Verdana"/>
          <w:sz w:val="16"/>
          <w:szCs w:val="16"/>
          <w:lang w:val="es-CO"/>
        </w:rPr>
      </w:pPr>
    </w:p>
  </w:footnote>
  <w:footnote w:id="17">
    <w:p w14:paraId="431A3CEF" w14:textId="77777777" w:rsidR="00F95AF5" w:rsidRPr="00FF007A" w:rsidRDefault="00F95AF5" w:rsidP="00F95AF5">
      <w:pPr>
        <w:spacing w:after="0" w:line="240" w:lineRule="auto"/>
        <w:ind w:firstLine="709"/>
        <w:contextualSpacing/>
        <w:jc w:val="both"/>
        <w:rPr>
          <w:rFonts w:ascii="Verdana" w:hAnsi="Verdana" w:cs="Arial"/>
          <w:color w:val="000000" w:themeColor="text1"/>
          <w:sz w:val="16"/>
          <w:szCs w:val="16"/>
        </w:rPr>
      </w:pPr>
      <w:r w:rsidRPr="00FF007A">
        <w:rPr>
          <w:rStyle w:val="Refdenotaalpie"/>
          <w:rFonts w:ascii="Verdana" w:hAnsi="Verdana" w:cs="Arial"/>
          <w:color w:val="000000" w:themeColor="text1"/>
          <w:sz w:val="16"/>
          <w:szCs w:val="16"/>
        </w:rPr>
        <w:footnoteRef/>
      </w:r>
      <w:r w:rsidRPr="00FF007A">
        <w:rPr>
          <w:rFonts w:ascii="Verdana" w:hAnsi="Verdana" w:cs="Arial"/>
          <w:color w:val="000000" w:themeColor="text1"/>
          <w:sz w:val="16"/>
          <w:szCs w:val="16"/>
        </w:rPr>
        <w:t xml:space="preserve"> Consejo de Estado. Sala de Consulta y Servicio Civil. Concepto de 20 de febrero de 2006. Radicación Número: 11001-03-06-000-2006-00026-00(1727). </w:t>
      </w:r>
      <w:r>
        <w:rPr>
          <w:rFonts w:ascii="Verdana" w:hAnsi="Verdana" w:cs="Arial"/>
          <w:color w:val="000000" w:themeColor="text1"/>
          <w:sz w:val="16"/>
          <w:szCs w:val="16"/>
        </w:rPr>
        <w:t>C.P:</w:t>
      </w:r>
      <w:r w:rsidRPr="00FF007A">
        <w:rPr>
          <w:rFonts w:ascii="Verdana" w:hAnsi="Verdana" w:cs="Arial"/>
          <w:color w:val="000000" w:themeColor="text1"/>
          <w:sz w:val="16"/>
          <w:szCs w:val="16"/>
        </w:rPr>
        <w:t xml:space="preserv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60A06F8B" w14:textId="77777777" w:rsidR="00F95AF5" w:rsidRPr="00FF007A" w:rsidRDefault="00F95AF5" w:rsidP="00F95AF5">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Corte Constitucional. Sentencia C-1153 de 2005 M.P</w:t>
      </w:r>
      <w:r>
        <w:rPr>
          <w:rFonts w:ascii="Verdana" w:hAnsi="Verdana" w:cs="Arial"/>
          <w:color w:val="000000" w:themeColor="text1"/>
          <w:sz w:val="16"/>
          <w:szCs w:val="16"/>
          <w:lang w:val="es-CO"/>
        </w:rPr>
        <w:t>:</w:t>
      </w:r>
      <w:r w:rsidRPr="00FF007A">
        <w:rPr>
          <w:rFonts w:ascii="Verdana" w:hAnsi="Verdana" w:cs="Arial"/>
          <w:color w:val="000000" w:themeColor="text1"/>
          <w:sz w:val="16"/>
          <w:szCs w:val="16"/>
          <w:lang w:val="es-CO"/>
        </w:rPr>
        <w:t xml:space="preserve"> Marco Gerardo Monroy Cabra. </w:t>
      </w:r>
    </w:p>
    <w:p w14:paraId="05E415B8" w14:textId="77777777" w:rsidR="00F95AF5" w:rsidRPr="00FF007A" w:rsidRDefault="00F95AF5" w:rsidP="00F95AF5">
      <w:pPr>
        <w:pStyle w:val="Textonotapie"/>
        <w:ind w:firstLine="708"/>
        <w:contextualSpacing/>
        <w:jc w:val="both"/>
        <w:rPr>
          <w:rFonts w:ascii="Verdana" w:hAnsi="Verdana" w:cs="Arial"/>
          <w:color w:val="000000" w:themeColor="text1"/>
          <w:sz w:val="16"/>
          <w:szCs w:val="16"/>
          <w:lang w:val="es-CO"/>
        </w:rPr>
      </w:pPr>
    </w:p>
  </w:footnote>
  <w:footnote w:id="19">
    <w:p w14:paraId="1A21EEBD" w14:textId="77777777" w:rsidR="00F95AF5" w:rsidRDefault="00F95AF5" w:rsidP="00F95AF5">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Consejo de Estado. Sala de Consulta y Servicio Civil. Concepto del 18 de febrero 2010. Rad</w:t>
      </w:r>
      <w:r>
        <w:rPr>
          <w:rFonts w:ascii="Verdana" w:hAnsi="Verdana" w:cs="Arial"/>
          <w:color w:val="000000" w:themeColor="text1"/>
          <w:sz w:val="16"/>
          <w:szCs w:val="16"/>
          <w:lang w:val="es-CO"/>
        </w:rPr>
        <w:t>icado:</w:t>
      </w:r>
      <w:r w:rsidRPr="00FF007A">
        <w:rPr>
          <w:rFonts w:ascii="Verdana" w:hAnsi="Verdana" w:cs="Arial"/>
          <w:color w:val="000000" w:themeColor="text1"/>
          <w:sz w:val="16"/>
          <w:szCs w:val="16"/>
          <w:lang w:val="es-CO"/>
        </w:rPr>
        <w:t xml:space="preserve"> 11001-03-06-000-2010-00006-00 (1985). C.P. Enrique José Arboleda Perdomo.</w:t>
      </w:r>
    </w:p>
    <w:p w14:paraId="22D099A9" w14:textId="77777777" w:rsidR="00F95AF5" w:rsidRPr="00FF007A" w:rsidRDefault="00F95AF5" w:rsidP="00F95AF5">
      <w:pPr>
        <w:pStyle w:val="Textonotapie"/>
        <w:ind w:firstLine="708"/>
        <w:contextualSpacing/>
        <w:jc w:val="both"/>
        <w:rPr>
          <w:rFonts w:ascii="Verdana" w:hAnsi="Verdana" w:cs="Arial"/>
          <w:color w:val="000000" w:themeColor="text1"/>
          <w:sz w:val="16"/>
          <w:szCs w:val="16"/>
          <w:lang w:val="es-CO"/>
        </w:rPr>
      </w:pPr>
    </w:p>
  </w:footnote>
  <w:footnote w:id="20">
    <w:p w14:paraId="37A3A96F" w14:textId="77777777" w:rsidR="00F95AF5" w:rsidRPr="00FF007A" w:rsidRDefault="00F95AF5" w:rsidP="00F95AF5">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Consejo de Estado. Sala de Consulta y Servicio Civil. Concepto del 02 de septiembre de 2013. Rad</w:t>
      </w:r>
      <w:r>
        <w:rPr>
          <w:rFonts w:ascii="Verdana" w:hAnsi="Verdana" w:cs="Arial"/>
          <w:color w:val="000000" w:themeColor="text1"/>
          <w:sz w:val="16"/>
          <w:szCs w:val="16"/>
          <w:lang w:val="es-CO"/>
        </w:rPr>
        <w:t>icado:</w:t>
      </w:r>
      <w:r w:rsidRPr="00FF007A">
        <w:rPr>
          <w:rFonts w:ascii="Verdana" w:hAnsi="Verdana" w:cs="Arial"/>
          <w:color w:val="000000" w:themeColor="text1"/>
          <w:sz w:val="16"/>
          <w:szCs w:val="16"/>
          <w:lang w:val="es-CO"/>
        </w:rPr>
        <w:t xml:space="preserve"> 11001-03-06-000-2013-00412-00 (2168). C.P. Álvaro Namén Vargas.</w:t>
      </w:r>
    </w:p>
    <w:p w14:paraId="1CA7D447" w14:textId="77777777" w:rsidR="00F95AF5" w:rsidRPr="00FF007A" w:rsidRDefault="00F95AF5" w:rsidP="00F95AF5">
      <w:pPr>
        <w:pStyle w:val="Textonotapie"/>
        <w:ind w:firstLine="708"/>
        <w:contextualSpacing/>
        <w:jc w:val="both"/>
        <w:rPr>
          <w:rFonts w:ascii="Verdana" w:hAnsi="Verdana" w:cs="Arial"/>
          <w:color w:val="000000" w:themeColor="text1"/>
          <w:sz w:val="16"/>
          <w:szCs w:val="16"/>
          <w:lang w:val="es-CO"/>
        </w:rPr>
      </w:pPr>
    </w:p>
  </w:footnote>
  <w:footnote w:id="21">
    <w:p w14:paraId="6D87702C" w14:textId="77777777" w:rsidR="00F95AF5" w:rsidRDefault="00F95AF5" w:rsidP="00F95AF5">
      <w:pPr>
        <w:pStyle w:val="Textonotapie"/>
        <w:ind w:firstLine="709"/>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Consejo de Estado. Sala de Consulta y Servicio Civil. Concepto de 20 de febrero de2006. Radicación 11001-03-06-000-2006-00023-00(1724). </w:t>
      </w:r>
      <w:r>
        <w:rPr>
          <w:rFonts w:ascii="Verdana" w:hAnsi="Verdana" w:cs="Arial"/>
          <w:color w:val="000000" w:themeColor="text1"/>
          <w:sz w:val="16"/>
          <w:szCs w:val="16"/>
          <w:lang w:val="es-CO"/>
        </w:rPr>
        <w:t>C.P</w:t>
      </w:r>
      <w:r w:rsidRPr="00FF007A">
        <w:rPr>
          <w:rFonts w:ascii="Verdana" w:hAnsi="Verdana" w:cs="Arial"/>
          <w:color w:val="000000" w:themeColor="text1"/>
          <w:sz w:val="16"/>
          <w:szCs w:val="16"/>
          <w:lang w:val="es-CO"/>
        </w:rPr>
        <w:t>: Flavio Augusto Rodríguez Arce.</w:t>
      </w:r>
    </w:p>
    <w:p w14:paraId="7FE733A7" w14:textId="77777777" w:rsidR="00F95AF5" w:rsidRPr="00FF007A" w:rsidRDefault="00F95AF5" w:rsidP="00F95AF5">
      <w:pPr>
        <w:pStyle w:val="Textonotapie"/>
        <w:ind w:firstLine="709"/>
        <w:contextualSpacing/>
        <w:jc w:val="both"/>
        <w:rPr>
          <w:rFonts w:ascii="Verdana" w:hAnsi="Verdana" w:cs="Arial"/>
          <w:color w:val="000000" w:themeColor="text1"/>
          <w:sz w:val="16"/>
          <w:szCs w:val="16"/>
          <w:lang w:val="es-CO"/>
        </w:rPr>
      </w:pPr>
    </w:p>
  </w:footnote>
  <w:footnote w:id="22">
    <w:p w14:paraId="63B58E9E" w14:textId="77777777" w:rsidR="00F95AF5" w:rsidRPr="00FA6811" w:rsidRDefault="00F95AF5" w:rsidP="00F95AF5">
      <w:pPr>
        <w:pStyle w:val="Textonotapie"/>
        <w:ind w:firstLine="708"/>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Es lo que sucede, por ejemplo, con el Decreto 092 de 2017, que en su desarrollo hace referencia tanto a los “contratos” como a los “convenios”. </w:t>
      </w:r>
    </w:p>
  </w:footnote>
  <w:footnote w:id="23">
    <w:p w14:paraId="472D3477" w14:textId="77777777" w:rsidR="00F95AF5" w:rsidRPr="00B80F4D" w:rsidRDefault="00F95AF5" w:rsidP="00F95AF5">
      <w:pPr>
        <w:pStyle w:val="Textonotapie"/>
        <w:ind w:firstLine="708"/>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FA6811">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B80F4D">
        <w:rPr>
          <w:rFonts w:ascii="Verdana" w:hAnsi="Verdana" w:cs="Arial"/>
          <w:sz w:val="16"/>
          <w:szCs w:val="16"/>
          <w:lang w:val="pt-BR"/>
        </w:rPr>
        <w:t>(Corte Constitucional. Sentencia C-671 de 2015. M.P. Alberto Rojas Ríos).</w:t>
      </w:r>
    </w:p>
  </w:footnote>
  <w:footnote w:id="24">
    <w:p w14:paraId="2C4296BE" w14:textId="77777777" w:rsidR="00F95AF5" w:rsidRPr="00B80F4D" w:rsidRDefault="00F95AF5" w:rsidP="00F95AF5">
      <w:pPr>
        <w:pStyle w:val="Textonotapie"/>
        <w:ind w:firstLine="709"/>
        <w:rPr>
          <w:lang w:val="pt-BR"/>
        </w:rPr>
      </w:pPr>
      <w:r w:rsidRPr="009C55EB">
        <w:rPr>
          <w:rStyle w:val="Refdenotaalpie"/>
        </w:rPr>
        <w:footnoteRef/>
      </w:r>
      <w:r w:rsidRPr="00B80F4D">
        <w:rPr>
          <w:lang w:val="pt-BR"/>
        </w:rPr>
        <w:t xml:space="preserve"> </w:t>
      </w:r>
      <w:r w:rsidRPr="00B80F4D">
        <w:rPr>
          <w:rFonts w:ascii="Verdana" w:hAnsi="Verdana" w:cs="Arial"/>
          <w:sz w:val="16"/>
          <w:szCs w:val="16"/>
          <w:lang w:val="pt-BR"/>
        </w:rPr>
        <w:t>Consejo de Estado, Sala de lo Contencioso Administrativo, Sección Tercera. Auto del 4 de octubre de 2024. Radicado No. 70.313. MP: Fredy Ibarra Martínez</w:t>
      </w:r>
    </w:p>
  </w:footnote>
  <w:footnote w:id="25">
    <w:p w14:paraId="0B41D529" w14:textId="77777777" w:rsidR="007561A1" w:rsidRPr="00897C82" w:rsidRDefault="007561A1" w:rsidP="007561A1">
      <w:pPr>
        <w:pStyle w:val="Textonotapie"/>
        <w:ind w:firstLine="709"/>
        <w:jc w:val="both"/>
        <w:rPr>
          <w:rFonts w:ascii="Verdana" w:hAnsi="Verdana" w:cs="Arial"/>
          <w:sz w:val="16"/>
          <w:szCs w:val="16"/>
        </w:rPr>
      </w:pPr>
      <w:r w:rsidRPr="00897C82">
        <w:rPr>
          <w:rStyle w:val="Refdenotaalpie"/>
          <w:rFonts w:ascii="Verdana" w:hAnsi="Verdana" w:cs="Arial"/>
          <w:sz w:val="16"/>
          <w:szCs w:val="16"/>
        </w:rPr>
        <w:footnoteRef/>
      </w:r>
      <w:r w:rsidRPr="00897C82">
        <w:rPr>
          <w:rFonts w:ascii="Verdana" w:hAnsi="Verdana" w:cs="Arial"/>
          <w:sz w:val="16"/>
          <w:szCs w:val="16"/>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050007479"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879015681" name="Imagen 87901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C06"/>
    <w:rsid w:val="00036A58"/>
    <w:rsid w:val="00046945"/>
    <w:rsid w:val="00061B2A"/>
    <w:rsid w:val="00082362"/>
    <w:rsid w:val="000863D9"/>
    <w:rsid w:val="000A683E"/>
    <w:rsid w:val="000B19B9"/>
    <w:rsid w:val="000B2C04"/>
    <w:rsid w:val="000C338F"/>
    <w:rsid w:val="000D0334"/>
    <w:rsid w:val="000F6486"/>
    <w:rsid w:val="00125105"/>
    <w:rsid w:val="00127233"/>
    <w:rsid w:val="001414E3"/>
    <w:rsid w:val="001E4177"/>
    <w:rsid w:val="001F7DC6"/>
    <w:rsid w:val="002421A9"/>
    <w:rsid w:val="002421BB"/>
    <w:rsid w:val="00243322"/>
    <w:rsid w:val="0025796E"/>
    <w:rsid w:val="00262B9A"/>
    <w:rsid w:val="002707A2"/>
    <w:rsid w:val="00271F5B"/>
    <w:rsid w:val="00291386"/>
    <w:rsid w:val="002951A0"/>
    <w:rsid w:val="002962BC"/>
    <w:rsid w:val="002A093D"/>
    <w:rsid w:val="002A0DD0"/>
    <w:rsid w:val="002A49AC"/>
    <w:rsid w:val="002A64FD"/>
    <w:rsid w:val="002C7A84"/>
    <w:rsid w:val="002E4FD9"/>
    <w:rsid w:val="00322A85"/>
    <w:rsid w:val="00324168"/>
    <w:rsid w:val="0033592C"/>
    <w:rsid w:val="003448F4"/>
    <w:rsid w:val="0036182C"/>
    <w:rsid w:val="00374F5E"/>
    <w:rsid w:val="0037773A"/>
    <w:rsid w:val="00377D2A"/>
    <w:rsid w:val="00377E3E"/>
    <w:rsid w:val="003A779E"/>
    <w:rsid w:val="003B1183"/>
    <w:rsid w:val="003D0F4D"/>
    <w:rsid w:val="003D570B"/>
    <w:rsid w:val="003D5B0D"/>
    <w:rsid w:val="003E0499"/>
    <w:rsid w:val="003E3A21"/>
    <w:rsid w:val="003F3367"/>
    <w:rsid w:val="003F3941"/>
    <w:rsid w:val="003F5C72"/>
    <w:rsid w:val="00406575"/>
    <w:rsid w:val="00414C74"/>
    <w:rsid w:val="0042722E"/>
    <w:rsid w:val="00431D10"/>
    <w:rsid w:val="0044528D"/>
    <w:rsid w:val="0047277B"/>
    <w:rsid w:val="004A1847"/>
    <w:rsid w:val="004A305D"/>
    <w:rsid w:val="004A63C6"/>
    <w:rsid w:val="004D09FE"/>
    <w:rsid w:val="004F21C4"/>
    <w:rsid w:val="004F685F"/>
    <w:rsid w:val="00544405"/>
    <w:rsid w:val="005566E8"/>
    <w:rsid w:val="00573D71"/>
    <w:rsid w:val="00574867"/>
    <w:rsid w:val="00591460"/>
    <w:rsid w:val="00594650"/>
    <w:rsid w:val="005A21B8"/>
    <w:rsid w:val="005A4555"/>
    <w:rsid w:val="005B5423"/>
    <w:rsid w:val="005C3777"/>
    <w:rsid w:val="005C3787"/>
    <w:rsid w:val="005C5CDC"/>
    <w:rsid w:val="005D476C"/>
    <w:rsid w:val="005D4AA9"/>
    <w:rsid w:val="006219F8"/>
    <w:rsid w:val="006302F7"/>
    <w:rsid w:val="0064364C"/>
    <w:rsid w:val="00665D70"/>
    <w:rsid w:val="006900D9"/>
    <w:rsid w:val="006A760C"/>
    <w:rsid w:val="00703F37"/>
    <w:rsid w:val="00706C16"/>
    <w:rsid w:val="007352C8"/>
    <w:rsid w:val="007561A1"/>
    <w:rsid w:val="00756841"/>
    <w:rsid w:val="007649AB"/>
    <w:rsid w:val="00771D0C"/>
    <w:rsid w:val="007833AC"/>
    <w:rsid w:val="007A5DEC"/>
    <w:rsid w:val="007B268C"/>
    <w:rsid w:val="007B7171"/>
    <w:rsid w:val="007C0C0F"/>
    <w:rsid w:val="007C3DC2"/>
    <w:rsid w:val="007C7B9E"/>
    <w:rsid w:val="007E0D9A"/>
    <w:rsid w:val="007E43C5"/>
    <w:rsid w:val="007E5497"/>
    <w:rsid w:val="007F637A"/>
    <w:rsid w:val="00806F5F"/>
    <w:rsid w:val="00814A4B"/>
    <w:rsid w:val="00820278"/>
    <w:rsid w:val="00821886"/>
    <w:rsid w:val="008258C7"/>
    <w:rsid w:val="00867F95"/>
    <w:rsid w:val="008843B6"/>
    <w:rsid w:val="00891928"/>
    <w:rsid w:val="00897A3A"/>
    <w:rsid w:val="008A446D"/>
    <w:rsid w:val="008A763E"/>
    <w:rsid w:val="008D180B"/>
    <w:rsid w:val="008E7710"/>
    <w:rsid w:val="008F0EA7"/>
    <w:rsid w:val="008F50DD"/>
    <w:rsid w:val="009159C6"/>
    <w:rsid w:val="00916730"/>
    <w:rsid w:val="00923EEF"/>
    <w:rsid w:val="009341CA"/>
    <w:rsid w:val="009419F9"/>
    <w:rsid w:val="0095685E"/>
    <w:rsid w:val="00961B09"/>
    <w:rsid w:val="00965334"/>
    <w:rsid w:val="00966BCD"/>
    <w:rsid w:val="0097093E"/>
    <w:rsid w:val="009A0DFA"/>
    <w:rsid w:val="009B25A8"/>
    <w:rsid w:val="009B2D26"/>
    <w:rsid w:val="009C71FA"/>
    <w:rsid w:val="009C72E7"/>
    <w:rsid w:val="009D3058"/>
    <w:rsid w:val="009D705E"/>
    <w:rsid w:val="009F3A13"/>
    <w:rsid w:val="009F3B57"/>
    <w:rsid w:val="00A03CAD"/>
    <w:rsid w:val="00A0641E"/>
    <w:rsid w:val="00A06753"/>
    <w:rsid w:val="00A122D3"/>
    <w:rsid w:val="00A17F13"/>
    <w:rsid w:val="00A20739"/>
    <w:rsid w:val="00A33C78"/>
    <w:rsid w:val="00A43FDA"/>
    <w:rsid w:val="00A6074A"/>
    <w:rsid w:val="00A71CFE"/>
    <w:rsid w:val="00A72117"/>
    <w:rsid w:val="00A8282C"/>
    <w:rsid w:val="00A974C5"/>
    <w:rsid w:val="00AB0ADB"/>
    <w:rsid w:val="00B00C0E"/>
    <w:rsid w:val="00B01B1A"/>
    <w:rsid w:val="00B40711"/>
    <w:rsid w:val="00B44A47"/>
    <w:rsid w:val="00B52FB0"/>
    <w:rsid w:val="00B60FFF"/>
    <w:rsid w:val="00B72CD3"/>
    <w:rsid w:val="00B72FFF"/>
    <w:rsid w:val="00BC3D36"/>
    <w:rsid w:val="00BC3F65"/>
    <w:rsid w:val="00BD45BA"/>
    <w:rsid w:val="00BD52D6"/>
    <w:rsid w:val="00BD7F72"/>
    <w:rsid w:val="00C04FB3"/>
    <w:rsid w:val="00C330EB"/>
    <w:rsid w:val="00C4483B"/>
    <w:rsid w:val="00C66166"/>
    <w:rsid w:val="00C754BE"/>
    <w:rsid w:val="00C76B1C"/>
    <w:rsid w:val="00CB6357"/>
    <w:rsid w:val="00CC1B26"/>
    <w:rsid w:val="00CE143E"/>
    <w:rsid w:val="00D423A2"/>
    <w:rsid w:val="00D520D8"/>
    <w:rsid w:val="00D63AC2"/>
    <w:rsid w:val="00D7383B"/>
    <w:rsid w:val="00D746DE"/>
    <w:rsid w:val="00D87837"/>
    <w:rsid w:val="00D90DB1"/>
    <w:rsid w:val="00DA231B"/>
    <w:rsid w:val="00DB07D9"/>
    <w:rsid w:val="00DC39FC"/>
    <w:rsid w:val="00DF4AE6"/>
    <w:rsid w:val="00DF5254"/>
    <w:rsid w:val="00E073F9"/>
    <w:rsid w:val="00E14453"/>
    <w:rsid w:val="00E16408"/>
    <w:rsid w:val="00E20894"/>
    <w:rsid w:val="00E22898"/>
    <w:rsid w:val="00E245AB"/>
    <w:rsid w:val="00E26728"/>
    <w:rsid w:val="00E2764C"/>
    <w:rsid w:val="00E27F2E"/>
    <w:rsid w:val="00E50AFE"/>
    <w:rsid w:val="00E75C92"/>
    <w:rsid w:val="00E771DC"/>
    <w:rsid w:val="00E8772A"/>
    <w:rsid w:val="00E90F6B"/>
    <w:rsid w:val="00E91463"/>
    <w:rsid w:val="00E92C27"/>
    <w:rsid w:val="00E97CD5"/>
    <w:rsid w:val="00EA0E3D"/>
    <w:rsid w:val="00EB01BA"/>
    <w:rsid w:val="00EB6F7C"/>
    <w:rsid w:val="00EC1452"/>
    <w:rsid w:val="00EC38A7"/>
    <w:rsid w:val="00EE1AA8"/>
    <w:rsid w:val="00EF1C58"/>
    <w:rsid w:val="00F31EDC"/>
    <w:rsid w:val="00F462B3"/>
    <w:rsid w:val="00F5664F"/>
    <w:rsid w:val="00F666C4"/>
    <w:rsid w:val="00F7615B"/>
    <w:rsid w:val="00F76AFC"/>
    <w:rsid w:val="00F95AF5"/>
    <w:rsid w:val="00FA47C0"/>
    <w:rsid w:val="00FB5DD1"/>
    <w:rsid w:val="00FC1255"/>
    <w:rsid w:val="00FC2B5D"/>
    <w:rsid w:val="00FE7AA0"/>
    <w:rsid w:val="00FF1449"/>
    <w:rsid w:val="43C26B61"/>
    <w:rsid w:val="55AB919F"/>
    <w:rsid w:val="5E1BD5B7"/>
    <w:rsid w:val="65993F8C"/>
    <w:rsid w:val="69E2BF91"/>
    <w:rsid w:val="6B3C792A"/>
    <w:rsid w:val="79F3ED1A"/>
    <w:rsid w:val="7E721A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5AF5"/>
    <w:rPr>
      <w:rFonts w:ascii="Geomanist Light" w:hAnsi="Geomanist Light"/>
      <w:lang w:val="es-ES"/>
    </w:rPr>
  </w:style>
  <w:style w:type="paragraph" w:customStyle="1" w:styleId="Appelnotedebasde">
    <w:name w:val="Appel note de bas de..."/>
    <w:basedOn w:val="Normal"/>
    <w:link w:val="Refdenotaalpie"/>
    <w:uiPriority w:val="99"/>
    <w:rsid w:val="00F95AF5"/>
    <w:pPr>
      <w:spacing w:line="240" w:lineRule="exact"/>
    </w:pPr>
    <w:rPr>
      <w:vertAlign w:val="superscript"/>
    </w:rPr>
  </w:style>
  <w:style w:type="character" w:customStyle="1" w:styleId="baj">
    <w:name w:val="b_aj"/>
    <w:basedOn w:val="Fuentedeprrafopredeter"/>
    <w:rsid w:val="00F95AF5"/>
  </w:style>
  <w:style w:type="character" w:customStyle="1" w:styleId="NormalWebCar">
    <w:name w:val="Normal (Web) Car"/>
    <w:link w:val="NormalWeb"/>
    <w:uiPriority w:val="99"/>
    <w:locked/>
    <w:rsid w:val="00F95AF5"/>
    <w:rPr>
      <w:rFonts w:ascii="Times New Roman" w:eastAsia="Times New Roman" w:hAnsi="Times New Roman" w:cs="Times New Roman"/>
      <w:sz w:val="24"/>
      <w:szCs w:val="24"/>
      <w:lang w:eastAsia="es-CO"/>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594650"/>
    <w:rPr>
      <w:b/>
      <w:bCs/>
    </w:rPr>
  </w:style>
  <w:style w:type="character" w:customStyle="1" w:styleId="AsuntodelcomentarioCar">
    <w:name w:val="Asunto del comentario Car"/>
    <w:basedOn w:val="TextocomentarioCar"/>
    <w:link w:val="Asuntodelcomentario"/>
    <w:uiPriority w:val="99"/>
    <w:semiHidden/>
    <w:rsid w:val="005946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circular/circular-externa-006-de-2025"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ncuga20@gmail.com"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31340F5-51C3-4735-A031-7954917B4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23</Pages>
  <Words>7577</Words>
  <Characters>41452</Characters>
  <Application>Microsoft Office Word</Application>
  <DocSecurity>0</DocSecurity>
  <Lines>812</Lines>
  <Paragraphs>170</Paragraphs>
  <ScaleCrop>false</ScaleCrop>
  <Company/>
  <LinksUpToDate>false</LinksUpToDate>
  <CharactersWithSpaces>48859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2025-10-21T00:17:00Z</dcterms:created>
  <dcterms:modified xsi:type="dcterms:W3CDTF">2025-10-21T00:17:00Z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