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6A6B87"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AF70C7" w:rsidRDefault="00B55C69" w:rsidP="0030575F">
      <w:pPr>
        <w:jc w:val="right"/>
        <w:rPr>
          <w:rFonts w:ascii="Arial" w:eastAsia="Calibri" w:hAnsi="Arial" w:cs="Arial"/>
          <w:b/>
          <w:color w:val="000000" w:themeColor="text1"/>
          <w:sz w:val="20"/>
          <w:szCs w:val="20"/>
          <w:lang w:val="es-ES_tradnl"/>
        </w:rPr>
      </w:pPr>
      <w:r w:rsidRPr="00AF70C7">
        <w:rPr>
          <w:rFonts w:ascii="Arial" w:hAnsi="Arial" w:cs="Arial"/>
          <w:bCs/>
          <w:color w:val="000000" w:themeColor="text1"/>
          <w:sz w:val="20"/>
          <w:szCs w:val="20"/>
          <w:lang w:val="es-ES_tradnl" w:eastAsia="es-ES"/>
        </w:rPr>
        <w:t>CCE-DES-FM-17</w:t>
      </w:r>
      <w:bookmarkEnd w:id="0"/>
      <w:bookmarkEnd w:id="1"/>
    </w:p>
    <w:p w14:paraId="1DAD8B54" w14:textId="77777777" w:rsidR="005873AF" w:rsidRPr="00AF70C7" w:rsidRDefault="005873AF" w:rsidP="002652C1">
      <w:pPr>
        <w:contextualSpacing/>
        <w:jc w:val="both"/>
        <w:rPr>
          <w:rFonts w:ascii="Arial" w:eastAsia="Calibri" w:hAnsi="Arial" w:cs="Arial"/>
          <w:b/>
          <w:bCs/>
          <w:color w:val="000000" w:themeColor="text1"/>
          <w:sz w:val="22"/>
          <w:szCs w:val="22"/>
          <w:lang w:val="es-MX" w:eastAsia="en-US"/>
        </w:rPr>
      </w:pPr>
      <w:bookmarkStart w:id="2" w:name="_Hlk79765235"/>
    </w:p>
    <w:p w14:paraId="0CF85C70" w14:textId="31A794F1" w:rsidR="005873AF" w:rsidRPr="00AF70C7" w:rsidRDefault="005873AF" w:rsidP="002652C1">
      <w:pPr>
        <w:contextualSpacing/>
        <w:jc w:val="both"/>
        <w:rPr>
          <w:rFonts w:ascii="Arial" w:eastAsia="Calibri" w:hAnsi="Arial" w:cs="Arial"/>
          <w:b/>
          <w:bCs/>
          <w:color w:val="000000" w:themeColor="text1"/>
          <w:sz w:val="22"/>
          <w:szCs w:val="22"/>
          <w:lang w:val="es-MX" w:eastAsia="en-US"/>
        </w:rPr>
      </w:pPr>
      <w:r w:rsidRPr="00AF70C7">
        <w:rPr>
          <w:rFonts w:ascii="Arial" w:eastAsia="Calibri" w:hAnsi="Arial" w:cs="Arial"/>
          <w:b/>
          <w:bCs/>
          <w:color w:val="000000" w:themeColor="text1"/>
          <w:sz w:val="22"/>
          <w:szCs w:val="22"/>
          <w:lang w:val="es-MX" w:eastAsia="en-US"/>
        </w:rPr>
        <w:t xml:space="preserve">PLAN DE SALUD PÚBLICA DE INTERVENCIONES COLECTIVAS – </w:t>
      </w:r>
      <w:proofErr w:type="spellStart"/>
      <w:r w:rsidRPr="00AF70C7">
        <w:rPr>
          <w:rFonts w:ascii="Arial" w:eastAsia="Calibri" w:hAnsi="Arial" w:cs="Arial"/>
          <w:b/>
          <w:bCs/>
          <w:color w:val="000000" w:themeColor="text1"/>
          <w:sz w:val="22"/>
          <w:szCs w:val="22"/>
          <w:lang w:val="es-MX" w:eastAsia="en-US"/>
        </w:rPr>
        <w:t>PIC</w:t>
      </w:r>
      <w:proofErr w:type="spellEnd"/>
      <w:r w:rsidRPr="00AF70C7">
        <w:rPr>
          <w:rFonts w:ascii="Arial" w:eastAsia="Calibri" w:hAnsi="Arial" w:cs="Arial"/>
          <w:b/>
          <w:bCs/>
          <w:color w:val="000000" w:themeColor="text1"/>
          <w:sz w:val="22"/>
          <w:szCs w:val="22"/>
          <w:lang w:val="es-MX" w:eastAsia="en-US"/>
        </w:rPr>
        <w:t xml:space="preserve"> – Definición – contratación </w:t>
      </w:r>
    </w:p>
    <w:p w14:paraId="07868561" w14:textId="77777777" w:rsidR="005873AF" w:rsidRPr="00AF70C7" w:rsidRDefault="005873AF" w:rsidP="002652C1">
      <w:pPr>
        <w:contextualSpacing/>
        <w:jc w:val="both"/>
        <w:rPr>
          <w:rFonts w:ascii="Arial" w:eastAsia="Calibri" w:hAnsi="Arial" w:cs="Arial"/>
          <w:b/>
          <w:bCs/>
          <w:color w:val="000000" w:themeColor="text1"/>
          <w:sz w:val="22"/>
          <w:szCs w:val="22"/>
          <w:lang w:val="es-MX" w:eastAsia="en-US"/>
        </w:rPr>
      </w:pPr>
    </w:p>
    <w:p w14:paraId="4AA84CA9" w14:textId="55441753" w:rsidR="005873AF" w:rsidRPr="00AF70C7" w:rsidRDefault="005873AF" w:rsidP="00713B6C">
      <w:pPr>
        <w:jc w:val="both"/>
        <w:rPr>
          <w:rFonts w:ascii="Arial" w:hAnsi="Arial" w:cs="Arial"/>
          <w:color w:val="000000" w:themeColor="text1"/>
          <w:sz w:val="20"/>
          <w:szCs w:val="20"/>
        </w:rPr>
      </w:pPr>
      <w:r w:rsidRPr="00AF70C7">
        <w:rPr>
          <w:rFonts w:ascii="Arial" w:eastAsia="Arial" w:hAnsi="Arial" w:cs="Arial"/>
          <w:color w:val="000000" w:themeColor="text1"/>
          <w:sz w:val="20"/>
          <w:szCs w:val="20"/>
          <w:lang w:val="es-MX"/>
        </w:rPr>
        <w:t>[…] e</w:t>
      </w:r>
      <w:r w:rsidRPr="00AF70C7">
        <w:rPr>
          <w:rFonts w:ascii="Arial" w:hAnsi="Arial" w:cs="Arial"/>
          <w:color w:val="000000" w:themeColor="text1"/>
          <w:sz w:val="20"/>
          <w:szCs w:val="20"/>
        </w:rPr>
        <w:t>l artículo 8 de la Resolución 518 de 2015, «Por la cual se dictan disposiciones en relación con la Gestión de la Salud Pública y se establecen directrices para la ejecución, seguimiento y evaluación del Plan de Salud Pública de Intervenciones Colectivas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define a los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así: </w:t>
      </w:r>
      <w:r w:rsidRPr="00AF70C7">
        <w:rPr>
          <w:rFonts w:ascii="Arial" w:hAnsi="Arial" w:cs="Arial"/>
          <w:bCs/>
          <w:color w:val="000000" w:themeColor="text1"/>
          <w:sz w:val="20"/>
          <w:szCs w:val="20"/>
          <w:lang w:eastAsia="es-CO"/>
        </w:rPr>
        <w:t>«</w:t>
      </w:r>
      <w:r w:rsidRPr="00AF70C7">
        <w:rPr>
          <w:rFonts w:ascii="Arial" w:hAnsi="Arial" w:cs="Arial"/>
          <w:color w:val="000000" w:themeColor="text1"/>
          <w:sz w:val="20"/>
          <w:szCs w:val="20"/>
        </w:rPr>
        <w:t xml:space="preserve">Es un plan complementario al Plan Obligatorio de Salud - </w:t>
      </w:r>
      <w:proofErr w:type="spellStart"/>
      <w:r w:rsidRPr="00AF70C7">
        <w:rPr>
          <w:rFonts w:ascii="Arial" w:hAnsi="Arial" w:cs="Arial"/>
          <w:color w:val="000000" w:themeColor="text1"/>
          <w:sz w:val="20"/>
          <w:szCs w:val="20"/>
        </w:rPr>
        <w:t>POS</w:t>
      </w:r>
      <w:proofErr w:type="spellEnd"/>
      <w:r w:rsidRPr="00AF70C7">
        <w:rPr>
          <w:rFonts w:ascii="Arial" w:hAnsi="Arial" w:cs="Arial"/>
          <w:color w:val="000000" w:themeColor="text1"/>
          <w:sz w:val="20"/>
          <w:szCs w:val="20"/>
        </w:rPr>
        <w:t xml:space="preserve"> y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w:t>
      </w:r>
      <w:proofErr w:type="spellStart"/>
      <w:r w:rsidRPr="00AF70C7">
        <w:rPr>
          <w:rFonts w:ascii="Arial" w:hAnsi="Arial" w:cs="Arial"/>
          <w:color w:val="000000" w:themeColor="text1"/>
          <w:sz w:val="20"/>
          <w:szCs w:val="20"/>
        </w:rPr>
        <w:t>PDSP</w:t>
      </w:r>
      <w:proofErr w:type="spellEnd"/>
      <w:r w:rsidRPr="00AF70C7">
        <w:rPr>
          <w:rFonts w:ascii="Arial" w:hAnsi="Arial" w:cs="Arial"/>
          <w:bCs/>
          <w:color w:val="000000" w:themeColor="text1"/>
          <w:sz w:val="20"/>
          <w:szCs w:val="20"/>
          <w:lang w:eastAsia="es-CO"/>
        </w:rPr>
        <w:t>»</w:t>
      </w:r>
      <w:r w:rsidRPr="00AF70C7">
        <w:rPr>
          <w:rFonts w:ascii="Arial" w:hAnsi="Arial" w:cs="Arial"/>
          <w:color w:val="000000" w:themeColor="text1"/>
          <w:sz w:val="20"/>
          <w:szCs w:val="20"/>
        </w:rPr>
        <w:t>.</w:t>
      </w:r>
    </w:p>
    <w:p w14:paraId="08412229" w14:textId="28F7EF69" w:rsidR="005873AF" w:rsidRPr="00AF70C7" w:rsidRDefault="005873AF" w:rsidP="00713B6C">
      <w:pPr>
        <w:jc w:val="both"/>
        <w:rPr>
          <w:rFonts w:ascii="Arial" w:hAnsi="Arial" w:cs="Arial"/>
          <w:color w:val="000000" w:themeColor="text1"/>
          <w:sz w:val="20"/>
          <w:szCs w:val="20"/>
        </w:rPr>
      </w:pPr>
      <w:r w:rsidRPr="00AF70C7">
        <w:rPr>
          <w:rFonts w:ascii="Arial" w:hAnsi="Arial" w:cs="Arial"/>
          <w:color w:val="000000" w:themeColor="text1"/>
          <w:sz w:val="20"/>
          <w:szCs w:val="20"/>
        </w:rPr>
        <w:t xml:space="preserve"> </w:t>
      </w:r>
    </w:p>
    <w:p w14:paraId="67AD0F8F" w14:textId="25919427" w:rsidR="005873AF" w:rsidRPr="00AF70C7" w:rsidRDefault="005873AF" w:rsidP="00713B6C">
      <w:pPr>
        <w:jc w:val="both"/>
        <w:rPr>
          <w:rFonts w:ascii="Arial" w:hAnsi="Arial" w:cs="Arial"/>
          <w:color w:val="000000" w:themeColor="text1"/>
          <w:sz w:val="20"/>
          <w:szCs w:val="20"/>
        </w:rPr>
      </w:pPr>
      <w:r w:rsidRPr="00AF70C7">
        <w:rPr>
          <w:rFonts w:ascii="Arial" w:hAnsi="Arial" w:cs="Arial"/>
          <w:color w:val="000000" w:themeColor="text1"/>
          <w:sz w:val="20"/>
          <w:szCs w:val="20"/>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y cumpliendo con la normatividad vigente en materia de contratación estatal, para lo cual se tendrá en cuenta lo siguiente: en primer lugar, la entidad territorial contratará prioritariamente con las Empresas Sociales del Estado ubicadas en el territorio (incluye las IPS indígenas), las acciones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para las cuales tenga capacidad técnica y operativa. En segundo lugar, cuando la IPS pública ubicada en el territorio no esté en capacidad de ejecutar algunas acciones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la entidad territorial podrá contratarlas con Empresas Sociales del Estado de municipios vecinos. Del mismo modo, podrá contratarlas cuando por su ubicación geográfica, estas IPS estén en mejor capacidad de garantizar el acceso de la población a dichas intervenciones. En tercer lugar, en el evento de que las IPS públicas no cuenten con la capacidad técnica y operativa, la entidad territorial podrá contratar las acciones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 </w:t>
      </w:r>
    </w:p>
    <w:p w14:paraId="240E0583" w14:textId="77777777" w:rsidR="00BE281E" w:rsidRPr="00AF70C7" w:rsidRDefault="00BE281E" w:rsidP="00713B6C">
      <w:pPr>
        <w:contextualSpacing/>
        <w:jc w:val="both"/>
        <w:rPr>
          <w:rFonts w:ascii="Arial" w:eastAsia="Calibri" w:hAnsi="Arial" w:cs="Arial"/>
          <w:bCs/>
          <w:color w:val="000000" w:themeColor="text1"/>
          <w:sz w:val="20"/>
          <w:szCs w:val="20"/>
          <w:lang w:eastAsia="en-US"/>
        </w:rPr>
      </w:pPr>
    </w:p>
    <w:p w14:paraId="5D2C2DAD" w14:textId="2ACA0AD3" w:rsidR="005873AF" w:rsidRPr="00AF70C7" w:rsidRDefault="00F56DF8" w:rsidP="00713B6C">
      <w:pPr>
        <w:contextualSpacing/>
        <w:jc w:val="both"/>
        <w:rPr>
          <w:rFonts w:ascii="Arial" w:eastAsia="Calibri" w:hAnsi="Arial" w:cs="Arial"/>
          <w:bCs/>
          <w:color w:val="000000" w:themeColor="text1"/>
          <w:sz w:val="20"/>
          <w:szCs w:val="20"/>
          <w:lang w:eastAsia="en-US"/>
        </w:rPr>
      </w:pPr>
      <w:r w:rsidRPr="00AF70C7">
        <w:rPr>
          <w:rFonts w:ascii="Arial" w:eastAsia="Calibri" w:hAnsi="Arial" w:cs="Arial"/>
          <w:bCs/>
          <w:color w:val="000000" w:themeColor="text1"/>
          <w:sz w:val="20"/>
          <w:szCs w:val="20"/>
          <w:lang w:eastAsia="en-US"/>
        </w:rPr>
        <w:t xml:space="preserve">[…] </w:t>
      </w:r>
    </w:p>
    <w:p w14:paraId="2B748E6B" w14:textId="77777777" w:rsidR="00BE281E" w:rsidRPr="00AF70C7" w:rsidRDefault="00BE281E" w:rsidP="00713B6C">
      <w:pPr>
        <w:spacing w:after="120"/>
        <w:jc w:val="both"/>
        <w:rPr>
          <w:rFonts w:ascii="Arial" w:hAnsi="Arial" w:cs="Arial"/>
          <w:color w:val="000000" w:themeColor="text1"/>
          <w:sz w:val="20"/>
          <w:szCs w:val="20"/>
        </w:rPr>
      </w:pPr>
    </w:p>
    <w:p w14:paraId="1709A921" w14:textId="48F649A8" w:rsidR="00F56DF8" w:rsidRPr="00AF70C7" w:rsidRDefault="00F56DF8" w:rsidP="00713B6C">
      <w:pPr>
        <w:spacing w:after="120"/>
        <w:jc w:val="both"/>
        <w:rPr>
          <w:rFonts w:ascii="Arial" w:hAnsi="Arial" w:cs="Arial"/>
          <w:color w:val="000000" w:themeColor="text1"/>
          <w:sz w:val="20"/>
          <w:szCs w:val="20"/>
        </w:rPr>
      </w:pPr>
      <w:r w:rsidRPr="00AF70C7">
        <w:rPr>
          <w:rFonts w:ascii="Arial" w:hAnsi="Arial" w:cs="Arial"/>
          <w:color w:val="000000" w:themeColor="text1"/>
          <w:sz w:val="20"/>
          <w:szCs w:val="20"/>
        </w:rPr>
        <w:t xml:space="preserve">En esa misma línea, el artículo 15 de la Resolución 518 de 2015 establece que para la contratación de las acciones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la entidad territorial debe verificar que la institución a contratar cumpla con los siguientes criterios: i) tener mínimo dos (2) años de experiencia relacionada con la ejecución de las acciones que se pretendan contratar; </w:t>
      </w:r>
      <w:proofErr w:type="spellStart"/>
      <w:r w:rsidRPr="00AF70C7">
        <w:rPr>
          <w:rFonts w:ascii="Arial" w:hAnsi="Arial" w:cs="Arial"/>
          <w:color w:val="000000" w:themeColor="text1"/>
          <w:sz w:val="20"/>
          <w:szCs w:val="20"/>
        </w:rPr>
        <w:t>ii</w:t>
      </w:r>
      <w:proofErr w:type="spellEnd"/>
      <w:r w:rsidRPr="00AF70C7">
        <w:rPr>
          <w:rFonts w:ascii="Arial" w:hAnsi="Arial" w:cs="Arial"/>
          <w:color w:val="000000" w:themeColor="text1"/>
          <w:sz w:val="20"/>
          <w:szCs w:val="20"/>
        </w:rPr>
        <w:t xml:space="preserve">) disponer de un coordinador para la ejecución de las acciones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que se pretenda contratar, respecto del cual se debe acreditar que cuenta con el perfil establecido por la entidad territorial; </w:t>
      </w:r>
      <w:proofErr w:type="spellStart"/>
      <w:r w:rsidRPr="00AF70C7">
        <w:rPr>
          <w:rFonts w:ascii="Arial" w:hAnsi="Arial" w:cs="Arial"/>
          <w:color w:val="000000" w:themeColor="text1"/>
          <w:sz w:val="20"/>
          <w:szCs w:val="20"/>
        </w:rPr>
        <w:t>iii</w:t>
      </w:r>
      <w:proofErr w:type="spellEnd"/>
      <w:r w:rsidRPr="00AF70C7">
        <w:rPr>
          <w:rFonts w:ascii="Arial" w:hAnsi="Arial" w:cs="Arial"/>
          <w:color w:val="000000" w:themeColor="text1"/>
          <w:sz w:val="20"/>
          <w:szCs w:val="20"/>
        </w:rPr>
        <w:t xml:space="preserve">) tener una evaluación satisfactoria en la ejecución técnica y financiera del último contrato suscrito con una entidad territorial; la evaluación deberá estar soportada y documentada frente a los lineamientos técnicos pactados; y </w:t>
      </w:r>
      <w:proofErr w:type="spellStart"/>
      <w:r w:rsidRPr="00AF70C7">
        <w:rPr>
          <w:rFonts w:ascii="Arial" w:hAnsi="Arial" w:cs="Arial"/>
          <w:color w:val="000000" w:themeColor="text1"/>
          <w:sz w:val="20"/>
          <w:szCs w:val="20"/>
        </w:rPr>
        <w:t>iv</w:t>
      </w:r>
      <w:proofErr w:type="spellEnd"/>
      <w:r w:rsidRPr="00AF70C7">
        <w:rPr>
          <w:rFonts w:ascii="Arial" w:hAnsi="Arial" w:cs="Arial"/>
          <w:color w:val="000000" w:themeColor="text1"/>
          <w:sz w:val="20"/>
          <w:szCs w:val="20"/>
        </w:rPr>
        <w:t xml:space="preserve">) deberá cumplirse con lo establecido por el Sistema Único de Habilitación, cuando la acción del </w:t>
      </w:r>
      <w:proofErr w:type="spellStart"/>
      <w:r w:rsidRPr="00AF70C7">
        <w:rPr>
          <w:rFonts w:ascii="Arial" w:hAnsi="Arial" w:cs="Arial"/>
          <w:color w:val="000000" w:themeColor="text1"/>
          <w:sz w:val="20"/>
          <w:szCs w:val="20"/>
        </w:rPr>
        <w:t>PIC</w:t>
      </w:r>
      <w:proofErr w:type="spellEnd"/>
      <w:r w:rsidRPr="00AF70C7">
        <w:rPr>
          <w:rFonts w:ascii="Arial" w:hAnsi="Arial" w:cs="Arial"/>
          <w:color w:val="000000" w:themeColor="text1"/>
          <w:sz w:val="20"/>
          <w:szCs w:val="20"/>
        </w:rPr>
        <w:t xml:space="preserve"> a contratar lo requiera –manejo de biológicos, medicamentos, dispositivos, tamizajes o insumos médicos–. </w:t>
      </w:r>
    </w:p>
    <w:p w14:paraId="04AF1951" w14:textId="77777777" w:rsidR="005873AF" w:rsidRPr="00AF70C7" w:rsidRDefault="005873AF" w:rsidP="002652C1">
      <w:pPr>
        <w:contextualSpacing/>
        <w:jc w:val="both"/>
        <w:rPr>
          <w:rFonts w:ascii="Arial" w:eastAsia="Calibri" w:hAnsi="Arial" w:cs="Arial"/>
          <w:b/>
          <w:bCs/>
          <w:color w:val="000000" w:themeColor="text1"/>
          <w:sz w:val="22"/>
          <w:szCs w:val="22"/>
          <w:lang w:eastAsia="en-US"/>
        </w:rPr>
      </w:pPr>
    </w:p>
    <w:p w14:paraId="68664926" w14:textId="038DEF56" w:rsidR="00F56DF8" w:rsidRPr="00AF70C7" w:rsidRDefault="00F56DF8" w:rsidP="002652C1">
      <w:pPr>
        <w:jc w:val="both"/>
        <w:rPr>
          <w:rFonts w:ascii="Arial" w:eastAsia="Calibri" w:hAnsi="Arial" w:cs="Arial"/>
          <w:b/>
          <w:noProof/>
          <w:color w:val="000000" w:themeColor="text1"/>
          <w:sz w:val="22"/>
          <w:szCs w:val="22"/>
          <w:lang w:val="es-ES_tradnl" w:eastAsia="en-US"/>
        </w:rPr>
      </w:pPr>
      <w:bookmarkStart w:id="3" w:name="_Hlk77157066"/>
      <w:r w:rsidRPr="00AF70C7">
        <w:rPr>
          <w:rFonts w:ascii="Arial" w:eastAsia="Calibri" w:hAnsi="Arial" w:cs="Arial"/>
          <w:b/>
          <w:noProof/>
          <w:color w:val="000000" w:themeColor="text1"/>
          <w:sz w:val="22"/>
          <w:szCs w:val="22"/>
          <w:lang w:val="es-ES_tradnl" w:eastAsia="en-US"/>
        </w:rPr>
        <w:t>LEY DE GARANTÍAS ELECTORALES – Contratos y co</w:t>
      </w:r>
      <w:r w:rsidR="00C02EBD" w:rsidRPr="00AF70C7">
        <w:rPr>
          <w:rFonts w:ascii="Arial" w:eastAsia="Calibri" w:hAnsi="Arial" w:cs="Arial"/>
          <w:b/>
          <w:noProof/>
          <w:color w:val="000000" w:themeColor="text1"/>
          <w:sz w:val="22"/>
          <w:szCs w:val="22"/>
          <w:lang w:val="es-ES_tradnl" w:eastAsia="en-US"/>
        </w:rPr>
        <w:t>nvenios interadministrativos – Restricción – P</w:t>
      </w:r>
      <w:r w:rsidRPr="00AF70C7">
        <w:rPr>
          <w:rFonts w:ascii="Arial" w:eastAsia="Calibri" w:hAnsi="Arial" w:cs="Arial"/>
          <w:b/>
          <w:noProof/>
          <w:color w:val="000000" w:themeColor="text1"/>
          <w:sz w:val="22"/>
          <w:szCs w:val="22"/>
          <w:lang w:val="es-ES_tradnl" w:eastAsia="en-US"/>
        </w:rPr>
        <w:t xml:space="preserve">arágrafo del artículo 38 </w:t>
      </w:r>
    </w:p>
    <w:p w14:paraId="3832B4B4" w14:textId="77777777" w:rsidR="00F56DF8" w:rsidRPr="00AF70C7" w:rsidRDefault="00F56DF8" w:rsidP="002652C1">
      <w:pPr>
        <w:jc w:val="both"/>
        <w:rPr>
          <w:rFonts w:ascii="Arial" w:eastAsia="Calibri" w:hAnsi="Arial" w:cs="Arial"/>
          <w:noProof/>
          <w:color w:val="000000" w:themeColor="text1"/>
          <w:sz w:val="20"/>
          <w:szCs w:val="20"/>
          <w:lang w:val="es-ES_tradnl" w:eastAsia="en-US"/>
        </w:rPr>
      </w:pPr>
    </w:p>
    <w:p w14:paraId="6E0B8FC0" w14:textId="77777777" w:rsidR="00FB24E3" w:rsidRPr="00AF70C7" w:rsidRDefault="00FB24E3" w:rsidP="00713B6C">
      <w:pPr>
        <w:widowControl w:val="0"/>
        <w:autoSpaceDE w:val="0"/>
        <w:autoSpaceDN w:val="0"/>
        <w:jc w:val="both"/>
        <w:rPr>
          <w:rFonts w:ascii="Arial" w:eastAsia="Calibri" w:hAnsi="Arial" w:cs="Arial"/>
          <w:bCs/>
          <w:color w:val="000000" w:themeColor="text1"/>
          <w:sz w:val="20"/>
          <w:szCs w:val="20"/>
          <w:lang w:eastAsia="en-US"/>
        </w:rPr>
      </w:pPr>
      <w:r w:rsidRPr="00AF70C7">
        <w:rPr>
          <w:rFonts w:ascii="Arial" w:eastAsia="Calibri" w:hAnsi="Arial" w:cs="Arial"/>
          <w:bCs/>
          <w:color w:val="000000" w:themeColor="text1"/>
          <w:sz w:val="20"/>
          <w:szCs w:val="20"/>
          <w:lang w:eastAsia="en-US"/>
        </w:rPr>
        <w:lastRenderedPageBreak/>
        <w:t xml:space="preserve">[…] el parágrafo del artículo 38 prohíbe a los alcaldes, gobernadores, secretarios, gerentes y directores de las entidades descentralizadas del orden municipal, departamental o distrital celebrar convenios o contratos interadministrativos para la ejecución de recursos públicos. En este sentido, si una o ambas partes de la relación contractual es una entidad de aquellas descritas en el parágrafo </w:t>
      </w:r>
      <w:proofErr w:type="spellStart"/>
      <w:r w:rsidRPr="00AF70C7">
        <w:rPr>
          <w:rFonts w:ascii="Arial" w:eastAsia="Calibri" w:hAnsi="Arial" w:cs="Arial"/>
          <w:bCs/>
          <w:color w:val="000000" w:themeColor="text1"/>
          <w:sz w:val="20"/>
          <w:szCs w:val="20"/>
          <w:lang w:eastAsia="en-US"/>
        </w:rPr>
        <w:t>ibídem</w:t>
      </w:r>
      <w:proofErr w:type="spellEnd"/>
      <w:r w:rsidRPr="00AF70C7">
        <w:rPr>
          <w:rFonts w:ascii="Arial" w:eastAsia="Calibri" w:hAnsi="Arial" w:cs="Arial"/>
          <w:bCs/>
          <w:color w:val="000000" w:themeColor="text1"/>
          <w:sz w:val="20"/>
          <w:szCs w:val="20"/>
          <w:lang w:eastAsia="en-US"/>
        </w:rPr>
        <w:t xml:space="preserve">,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Dicha restricción aplica durante cualquier contienda electoral, y los convenios o contratos interadministrativos que allí se restringen, son únicamente aquellos en que se dispone la ejecución de recursos públicos, para evitar que mediante la suscripción de estos se comprometa el erario con fines políticos o partidistas.  </w:t>
      </w:r>
    </w:p>
    <w:p w14:paraId="5718F3AF" w14:textId="77777777" w:rsidR="00FB24E3" w:rsidRPr="00AF70C7" w:rsidRDefault="00FB24E3" w:rsidP="00713B6C">
      <w:pPr>
        <w:widowControl w:val="0"/>
        <w:autoSpaceDE w:val="0"/>
        <w:autoSpaceDN w:val="0"/>
        <w:jc w:val="both"/>
        <w:rPr>
          <w:rFonts w:ascii="Arial" w:eastAsia="Calibri" w:hAnsi="Arial" w:cs="Arial"/>
          <w:bCs/>
          <w:color w:val="000000" w:themeColor="text1"/>
          <w:sz w:val="20"/>
          <w:szCs w:val="20"/>
          <w:lang w:eastAsia="en-US"/>
        </w:rPr>
      </w:pPr>
    </w:p>
    <w:bookmarkEnd w:id="3"/>
    <w:p w14:paraId="213A2A29" w14:textId="45C5865E" w:rsidR="00AB5DF8" w:rsidRPr="00AF70C7" w:rsidRDefault="00AB5DF8" w:rsidP="002652C1">
      <w:pPr>
        <w:jc w:val="both"/>
        <w:rPr>
          <w:rFonts w:ascii="Arial" w:eastAsia="Arial" w:hAnsi="Arial" w:cs="Arial"/>
          <w:color w:val="000000" w:themeColor="text1"/>
          <w:sz w:val="20"/>
          <w:szCs w:val="20"/>
          <w:lang w:val="es-ES" w:eastAsia="es-ES" w:bidi="es-ES"/>
        </w:rPr>
      </w:pPr>
    </w:p>
    <w:p w14:paraId="137EF084" w14:textId="77777777" w:rsidR="00AB5DF8" w:rsidRPr="00AF70C7" w:rsidRDefault="00AB5DF8" w:rsidP="002652C1">
      <w:pPr>
        <w:tabs>
          <w:tab w:val="left" w:pos="426"/>
        </w:tabs>
        <w:jc w:val="both"/>
        <w:rPr>
          <w:rFonts w:ascii="Arial" w:eastAsia="Calibri" w:hAnsi="Arial" w:cs="Arial"/>
          <w:b/>
          <w:bCs/>
          <w:color w:val="000000" w:themeColor="text1"/>
          <w:sz w:val="22"/>
          <w:szCs w:val="22"/>
          <w:lang w:val="es-MX" w:eastAsia="en-US"/>
        </w:rPr>
      </w:pPr>
      <w:bookmarkStart w:id="4" w:name="_Hlk77165666"/>
      <w:r w:rsidRPr="00AF70C7">
        <w:rPr>
          <w:rFonts w:ascii="Arial" w:eastAsia="Calibri" w:hAnsi="Arial" w:cs="Arial"/>
          <w:b/>
          <w:bCs/>
          <w:color w:val="000000" w:themeColor="text1"/>
          <w:sz w:val="22"/>
          <w:szCs w:val="22"/>
          <w:lang w:val="es-MX" w:eastAsia="en-US"/>
        </w:rPr>
        <w:t xml:space="preserve">LEY DE GARANTÍAS ELECTORALES ─ Prohibición artículo 33 ‒ </w:t>
      </w:r>
      <w:bookmarkEnd w:id="4"/>
      <w:r w:rsidRPr="00AF70C7">
        <w:rPr>
          <w:rFonts w:ascii="Arial" w:eastAsia="Calibri" w:hAnsi="Arial" w:cs="Arial"/>
          <w:b/>
          <w:bCs/>
          <w:color w:val="000000" w:themeColor="text1"/>
          <w:sz w:val="22"/>
          <w:szCs w:val="22"/>
          <w:lang w:val="es-MX" w:eastAsia="en-US"/>
        </w:rPr>
        <w:t xml:space="preserve">Contratación directa ‒ Alcance </w:t>
      </w:r>
    </w:p>
    <w:p w14:paraId="07DDB2B3" w14:textId="77777777" w:rsidR="00AB5DF8" w:rsidRPr="00AF70C7" w:rsidRDefault="00AB5DF8" w:rsidP="002652C1">
      <w:pPr>
        <w:tabs>
          <w:tab w:val="left" w:pos="426"/>
        </w:tabs>
        <w:jc w:val="both"/>
        <w:rPr>
          <w:rFonts w:ascii="Arial" w:eastAsia="Calibri" w:hAnsi="Arial" w:cs="Arial"/>
          <w:noProof/>
          <w:color w:val="000000" w:themeColor="text1"/>
          <w:sz w:val="20"/>
          <w:szCs w:val="20"/>
          <w:lang w:val="es-MX" w:eastAsia="en-US"/>
        </w:rPr>
      </w:pPr>
    </w:p>
    <w:p w14:paraId="0340FA94" w14:textId="0AAF8DC7" w:rsidR="00FB24E3" w:rsidRPr="00AF70C7" w:rsidRDefault="00AB5DF8" w:rsidP="00FB24E3">
      <w:pPr>
        <w:ind w:right="49"/>
        <w:jc w:val="both"/>
        <w:rPr>
          <w:rFonts w:ascii="Arial" w:hAnsi="Arial" w:cs="Arial"/>
          <w:color w:val="000000" w:themeColor="text1"/>
          <w:sz w:val="20"/>
          <w:szCs w:val="20"/>
          <w:lang w:eastAsia="x-none"/>
        </w:rPr>
      </w:pPr>
      <w:r w:rsidRPr="00AF70C7">
        <w:rPr>
          <w:rFonts w:ascii="Arial" w:eastAsia="Calibri" w:hAnsi="Arial" w:cs="Arial"/>
          <w:noProof/>
          <w:color w:val="000000" w:themeColor="text1"/>
          <w:sz w:val="20"/>
          <w:szCs w:val="20"/>
          <w:lang w:val="es-MX" w:eastAsia="en-US"/>
        </w:rPr>
        <w:t xml:space="preserve">[…] </w:t>
      </w:r>
      <w:bookmarkEnd w:id="2"/>
      <w:r w:rsidR="00FB24E3" w:rsidRPr="00AF70C7">
        <w:rPr>
          <w:rFonts w:ascii="Arial" w:hAnsi="Arial" w:cs="Arial"/>
          <w:color w:val="000000" w:themeColor="text1"/>
          <w:sz w:val="20"/>
          <w:szCs w:val="20"/>
          <w:lang w:eastAsia="x-none"/>
        </w:rPr>
        <w:t xml:space="preserve">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 </w:t>
      </w:r>
    </w:p>
    <w:p w14:paraId="6662A6AF" w14:textId="03B33AB7" w:rsidR="00A1108C" w:rsidRPr="00AF70C7" w:rsidRDefault="00FB24E3" w:rsidP="00FB24E3">
      <w:pPr>
        <w:ind w:right="49"/>
        <w:jc w:val="both"/>
        <w:rPr>
          <w:rFonts w:ascii="Arial" w:hAnsi="Arial" w:cs="Arial"/>
          <w:color w:val="000000" w:themeColor="text1"/>
          <w:sz w:val="20"/>
          <w:szCs w:val="20"/>
          <w:lang w:eastAsia="x-none"/>
        </w:rPr>
      </w:pPr>
      <w:r w:rsidRPr="00AF70C7">
        <w:rPr>
          <w:rFonts w:ascii="Arial" w:hAnsi="Arial" w:cs="Arial"/>
          <w:color w:val="000000" w:themeColor="text1"/>
          <w:sz w:val="20"/>
          <w:szCs w:val="20"/>
          <w:lang w:eastAsia="x-none"/>
        </w:rPr>
        <w:t>De lo anterior se desprende que la restricción aplica, sin perjuicio de las excepciones establecidas en la misma ley, para celebrar cualquier contrato de forma directa, esto es, sin que exista un proceso abierto y competitivo, durante la etapa prelectoral de las elecciones presidenciales.</w:t>
      </w:r>
    </w:p>
    <w:p w14:paraId="0DE02453" w14:textId="77777777" w:rsidR="00FB24E3" w:rsidRPr="00AF70C7" w:rsidRDefault="00FB24E3" w:rsidP="00FB24E3">
      <w:pPr>
        <w:ind w:right="49"/>
        <w:jc w:val="both"/>
        <w:rPr>
          <w:rFonts w:ascii="Arial" w:eastAsia="Arial" w:hAnsi="Arial" w:cs="Arial"/>
          <w:bCs/>
          <w:color w:val="000000" w:themeColor="text1"/>
          <w:sz w:val="22"/>
          <w:szCs w:val="22"/>
        </w:rPr>
      </w:pPr>
    </w:p>
    <w:p w14:paraId="532BB815" w14:textId="6C340F0F" w:rsidR="00A1108C" w:rsidRPr="00AF70C7" w:rsidRDefault="00A1108C" w:rsidP="000340B3">
      <w:pPr>
        <w:jc w:val="both"/>
        <w:rPr>
          <w:rFonts w:ascii="Arial" w:eastAsia="Arial" w:hAnsi="Arial" w:cs="Arial"/>
          <w:b/>
          <w:bCs/>
          <w:color w:val="000000" w:themeColor="text1"/>
          <w:sz w:val="22"/>
          <w:szCs w:val="22"/>
        </w:rPr>
      </w:pPr>
      <w:r w:rsidRPr="00AF70C7">
        <w:rPr>
          <w:rFonts w:ascii="Arial" w:eastAsia="Arial" w:hAnsi="Arial" w:cs="Arial"/>
          <w:b/>
          <w:bCs/>
          <w:color w:val="000000" w:themeColor="text1"/>
          <w:sz w:val="22"/>
          <w:szCs w:val="22"/>
        </w:rPr>
        <w:t>LEY DE GARANTÍ</w:t>
      </w:r>
      <w:r w:rsidR="00C02EBD" w:rsidRPr="00AF70C7">
        <w:rPr>
          <w:rFonts w:ascii="Arial" w:eastAsia="Arial" w:hAnsi="Arial" w:cs="Arial"/>
          <w:b/>
          <w:bCs/>
          <w:color w:val="000000" w:themeColor="text1"/>
          <w:sz w:val="22"/>
          <w:szCs w:val="22"/>
        </w:rPr>
        <w:t>AS ELECTORALES – Excepciones – A</w:t>
      </w:r>
      <w:r w:rsidRPr="00AF70C7">
        <w:rPr>
          <w:rFonts w:ascii="Arial" w:eastAsia="Arial" w:hAnsi="Arial" w:cs="Arial"/>
          <w:b/>
          <w:bCs/>
          <w:color w:val="000000" w:themeColor="text1"/>
          <w:sz w:val="22"/>
          <w:szCs w:val="22"/>
        </w:rPr>
        <w:t xml:space="preserve">rtículo 33 </w:t>
      </w:r>
    </w:p>
    <w:p w14:paraId="57F71A07" w14:textId="77777777" w:rsidR="00A1108C" w:rsidRPr="00AF70C7" w:rsidRDefault="00A1108C" w:rsidP="000340B3">
      <w:pPr>
        <w:jc w:val="both"/>
        <w:rPr>
          <w:rFonts w:ascii="Arial" w:eastAsia="Arial" w:hAnsi="Arial" w:cs="Arial"/>
          <w:bCs/>
          <w:color w:val="000000" w:themeColor="text1"/>
          <w:sz w:val="20"/>
          <w:szCs w:val="20"/>
        </w:rPr>
      </w:pPr>
    </w:p>
    <w:p w14:paraId="709D0F8E" w14:textId="7485AE3C" w:rsidR="007954AF" w:rsidRPr="00AF70C7" w:rsidRDefault="00713B6C" w:rsidP="00713B6C">
      <w:pPr>
        <w:jc w:val="both"/>
        <w:rPr>
          <w:rFonts w:ascii="Arial" w:eastAsia="Arial" w:hAnsi="Arial" w:cs="Arial"/>
          <w:color w:val="000000" w:themeColor="text1"/>
          <w:sz w:val="20"/>
          <w:szCs w:val="20"/>
        </w:rPr>
      </w:pPr>
      <w:r w:rsidRPr="00AF70C7">
        <w:rPr>
          <w:rFonts w:ascii="Arial" w:eastAsia="Arial" w:hAnsi="Arial" w:cs="Arial"/>
          <w:color w:val="000000" w:themeColor="text1"/>
          <w:sz w:val="20"/>
          <w:szCs w:val="20"/>
        </w:rPr>
        <w:t xml:space="preserve">[…] </w:t>
      </w:r>
      <w:r w:rsidR="007954AF" w:rsidRPr="00AF70C7">
        <w:rPr>
          <w:rFonts w:ascii="Arial" w:eastAsia="Arial" w:hAnsi="Arial" w:cs="Arial"/>
          <w:color w:val="000000" w:themeColor="text1"/>
          <w:sz w:val="20"/>
          <w:szCs w:val="20"/>
        </w:rPr>
        <w:t>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3924449" w14:textId="77777777" w:rsidR="00713B6C" w:rsidRPr="00AF70C7" w:rsidRDefault="00713B6C" w:rsidP="00713B6C">
      <w:pPr>
        <w:jc w:val="both"/>
        <w:rPr>
          <w:rFonts w:ascii="Arial" w:eastAsia="Arial" w:hAnsi="Arial" w:cs="Arial"/>
          <w:bCs/>
          <w:color w:val="000000" w:themeColor="text1"/>
          <w:sz w:val="20"/>
          <w:szCs w:val="20"/>
        </w:rPr>
      </w:pPr>
    </w:p>
    <w:p w14:paraId="546AA848" w14:textId="369B6C30" w:rsidR="007954AF" w:rsidRPr="00AF70C7" w:rsidRDefault="007954AF" w:rsidP="00713B6C">
      <w:pPr>
        <w:jc w:val="both"/>
        <w:rPr>
          <w:rFonts w:ascii="Arial" w:hAnsi="Arial" w:cs="Arial"/>
          <w:bCs/>
          <w:color w:val="000000" w:themeColor="text1"/>
          <w:sz w:val="20"/>
          <w:szCs w:val="20"/>
          <w:lang w:val="es-ES_tradnl"/>
        </w:rPr>
      </w:pPr>
      <w:r w:rsidRPr="00AF70C7">
        <w:rPr>
          <w:rFonts w:ascii="Arial" w:eastAsia="Arial" w:hAnsi="Arial" w:cs="Arial"/>
          <w:bCs/>
          <w:color w:val="000000" w:themeColor="text1"/>
          <w:sz w:val="20"/>
          <w:szCs w:val="20"/>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AF70C7">
        <w:rPr>
          <w:rFonts w:ascii="Arial" w:hAnsi="Arial" w:cs="Arial"/>
          <w:bCs/>
          <w:color w:val="000000" w:themeColor="text1"/>
          <w:sz w:val="20"/>
          <w:szCs w:val="20"/>
          <w:lang w:val="es-ES_tradnl"/>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1AC6A900" w14:textId="77777777" w:rsidR="007954AF" w:rsidRPr="00AF70C7" w:rsidRDefault="007954AF" w:rsidP="00713B6C">
      <w:pPr>
        <w:tabs>
          <w:tab w:val="left" w:pos="709"/>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ab/>
        <w:t>i) La contratación referente a la defensa y seguridad del Estado;</w:t>
      </w:r>
    </w:p>
    <w:p w14:paraId="524E2C7B" w14:textId="77777777" w:rsidR="007954AF" w:rsidRPr="00AF70C7" w:rsidRDefault="007954AF" w:rsidP="00713B6C">
      <w:pPr>
        <w:tabs>
          <w:tab w:val="left" w:pos="709"/>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ab/>
      </w:r>
      <w:proofErr w:type="spellStart"/>
      <w:r w:rsidRPr="00AF70C7">
        <w:rPr>
          <w:rFonts w:ascii="Arial" w:hAnsi="Arial" w:cs="Arial"/>
          <w:bCs/>
          <w:color w:val="000000" w:themeColor="text1"/>
          <w:sz w:val="20"/>
          <w:szCs w:val="20"/>
          <w:lang w:val="es-ES_tradnl"/>
        </w:rPr>
        <w:t>ii</w:t>
      </w:r>
      <w:proofErr w:type="spellEnd"/>
      <w:r w:rsidRPr="00AF70C7">
        <w:rPr>
          <w:rFonts w:ascii="Arial" w:hAnsi="Arial" w:cs="Arial"/>
          <w:bCs/>
          <w:color w:val="000000" w:themeColor="text1"/>
          <w:sz w:val="20"/>
          <w:szCs w:val="20"/>
          <w:lang w:val="es-ES_tradnl"/>
        </w:rPr>
        <w:t>) Los contratos de crédito público;</w:t>
      </w:r>
    </w:p>
    <w:p w14:paraId="1C0D4F77" w14:textId="77777777" w:rsidR="007954AF" w:rsidRPr="00AF70C7" w:rsidRDefault="007954AF" w:rsidP="00713B6C">
      <w:pPr>
        <w:tabs>
          <w:tab w:val="left" w:pos="709"/>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ab/>
      </w:r>
      <w:proofErr w:type="spellStart"/>
      <w:r w:rsidRPr="00AF70C7">
        <w:rPr>
          <w:rFonts w:ascii="Arial" w:hAnsi="Arial" w:cs="Arial"/>
          <w:bCs/>
          <w:color w:val="000000" w:themeColor="text1"/>
          <w:sz w:val="20"/>
          <w:szCs w:val="20"/>
          <w:lang w:val="es-ES_tradnl"/>
        </w:rPr>
        <w:t>iii</w:t>
      </w:r>
      <w:proofErr w:type="spellEnd"/>
      <w:r w:rsidRPr="00AF70C7">
        <w:rPr>
          <w:rFonts w:ascii="Arial" w:hAnsi="Arial" w:cs="Arial"/>
          <w:bCs/>
          <w:color w:val="000000" w:themeColor="text1"/>
          <w:sz w:val="20"/>
          <w:szCs w:val="20"/>
          <w:lang w:val="es-ES_tradnl"/>
        </w:rPr>
        <w:t xml:space="preserve">) Los contratos requeridos para cubrir las emergencias educativas, sanitarias y desastres; </w:t>
      </w:r>
    </w:p>
    <w:p w14:paraId="45AE4778" w14:textId="77777777" w:rsidR="007954AF" w:rsidRPr="00AF70C7" w:rsidRDefault="007954AF" w:rsidP="00713B6C">
      <w:pPr>
        <w:tabs>
          <w:tab w:val="left" w:pos="709"/>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ab/>
      </w:r>
      <w:proofErr w:type="spellStart"/>
      <w:r w:rsidRPr="00AF70C7">
        <w:rPr>
          <w:rFonts w:ascii="Arial" w:hAnsi="Arial" w:cs="Arial"/>
          <w:bCs/>
          <w:color w:val="000000" w:themeColor="text1"/>
          <w:sz w:val="20"/>
          <w:szCs w:val="20"/>
          <w:lang w:val="es-ES_tradnl"/>
        </w:rPr>
        <w:t>iv</w:t>
      </w:r>
      <w:proofErr w:type="spellEnd"/>
      <w:r w:rsidRPr="00AF70C7">
        <w:rPr>
          <w:rFonts w:ascii="Arial" w:hAnsi="Arial" w:cs="Arial"/>
          <w:bCs/>
          <w:color w:val="000000" w:themeColor="text1"/>
          <w:sz w:val="20"/>
          <w:szCs w:val="20"/>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49F8AC1F" w14:textId="77777777" w:rsidR="007954AF" w:rsidRPr="00AF70C7" w:rsidRDefault="007954AF" w:rsidP="00713B6C">
      <w:pPr>
        <w:tabs>
          <w:tab w:val="left" w:pos="709"/>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ab/>
        <w:t xml:space="preserve">v) La contratación que deban realizar las entidades sanitarias y hospitalarias. </w:t>
      </w:r>
    </w:p>
    <w:p w14:paraId="09B8E758" w14:textId="77777777" w:rsidR="00C128B2" w:rsidRPr="00AF70C7" w:rsidRDefault="00C128B2" w:rsidP="003E718C">
      <w:pPr>
        <w:rPr>
          <w:rFonts w:ascii="Arial" w:hAnsi="Arial" w:cs="Arial"/>
          <w:color w:val="000000" w:themeColor="text1"/>
          <w:sz w:val="20"/>
          <w:szCs w:val="20"/>
          <w:lang w:val="es-ES_tradnl"/>
        </w:rPr>
      </w:pPr>
    </w:p>
    <w:p w14:paraId="4A290EFD" w14:textId="48A88CDD" w:rsidR="00C128B2" w:rsidRPr="00AF70C7" w:rsidRDefault="003E718C" w:rsidP="000340B3">
      <w:pPr>
        <w:jc w:val="both"/>
        <w:rPr>
          <w:rFonts w:ascii="Arial" w:hAnsi="Arial" w:cs="Arial"/>
          <w:b/>
          <w:color w:val="000000" w:themeColor="text1"/>
          <w:sz w:val="22"/>
          <w:szCs w:val="22"/>
        </w:rPr>
      </w:pPr>
      <w:r w:rsidRPr="00AF70C7">
        <w:rPr>
          <w:rFonts w:ascii="Arial" w:hAnsi="Arial" w:cs="Arial"/>
          <w:b/>
          <w:color w:val="000000" w:themeColor="text1"/>
          <w:sz w:val="22"/>
          <w:szCs w:val="22"/>
        </w:rPr>
        <w:lastRenderedPageBreak/>
        <w:t xml:space="preserve">LEY DE GARANTÍAS ELECTORALES – Excepciones – </w:t>
      </w:r>
      <w:r w:rsidR="00F56DF8" w:rsidRPr="00AF70C7">
        <w:rPr>
          <w:rFonts w:ascii="Arial" w:hAnsi="Arial" w:cs="Arial"/>
          <w:b/>
          <w:color w:val="000000" w:themeColor="text1"/>
          <w:sz w:val="22"/>
          <w:szCs w:val="22"/>
        </w:rPr>
        <w:t xml:space="preserve">Destinatarios - </w:t>
      </w:r>
      <w:r w:rsidRPr="00AF70C7">
        <w:rPr>
          <w:rFonts w:ascii="Arial" w:hAnsi="Arial" w:cs="Arial"/>
          <w:b/>
          <w:color w:val="000000" w:themeColor="text1"/>
          <w:sz w:val="22"/>
          <w:szCs w:val="22"/>
        </w:rPr>
        <w:t>Entidades sanitarias y hospitalarias</w:t>
      </w:r>
    </w:p>
    <w:p w14:paraId="7B4395D4" w14:textId="1D16123F" w:rsidR="003E718C" w:rsidRPr="00AF70C7" w:rsidRDefault="003E718C" w:rsidP="000340B3">
      <w:pPr>
        <w:rPr>
          <w:rFonts w:ascii="Arial" w:hAnsi="Arial" w:cs="Arial"/>
          <w:color w:val="000000" w:themeColor="text1"/>
          <w:sz w:val="20"/>
          <w:szCs w:val="20"/>
        </w:rPr>
      </w:pPr>
    </w:p>
    <w:p w14:paraId="5C16DC0B" w14:textId="52A277FB" w:rsidR="00F56DF8" w:rsidRPr="00AF70C7" w:rsidRDefault="00F56DF8" w:rsidP="00713B6C">
      <w:pPr>
        <w:tabs>
          <w:tab w:val="left" w:pos="426"/>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rPr>
        <w:t xml:space="preserve">[…] </w:t>
      </w:r>
      <w:r w:rsidRPr="00AF70C7">
        <w:rPr>
          <w:rFonts w:ascii="Arial" w:hAnsi="Arial" w:cs="Arial"/>
          <w:bCs/>
          <w:color w:val="000000" w:themeColor="text1"/>
          <w:sz w:val="20"/>
          <w:szCs w:val="20"/>
          <w:lang w:val="es-ES_tradnl"/>
        </w:rPr>
        <w:t xml:space="preserve">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3DE1B4DF" w14:textId="77777777" w:rsidR="00F56DF8" w:rsidRPr="00AF70C7" w:rsidRDefault="00F56DF8" w:rsidP="00713B6C">
      <w:pPr>
        <w:tabs>
          <w:tab w:val="left" w:pos="426"/>
        </w:tabs>
        <w:jc w:val="both"/>
        <w:rPr>
          <w:rFonts w:ascii="Arial" w:hAnsi="Arial" w:cs="Arial"/>
          <w:bCs/>
          <w:color w:val="000000" w:themeColor="text1"/>
          <w:sz w:val="20"/>
          <w:szCs w:val="20"/>
          <w:lang w:val="es-ES_tradnl"/>
        </w:rPr>
      </w:pPr>
    </w:p>
    <w:p w14:paraId="60AA84CD" w14:textId="706F3423" w:rsidR="00F56DF8" w:rsidRPr="00AF70C7" w:rsidRDefault="00F56DF8" w:rsidP="00713B6C">
      <w:pPr>
        <w:tabs>
          <w:tab w:val="left" w:pos="426"/>
        </w:tabs>
        <w:jc w:val="both"/>
        <w:rPr>
          <w:rFonts w:ascii="Arial" w:eastAsia="Arial" w:hAnsi="Arial" w:cs="Arial"/>
          <w:bCs/>
          <w:color w:val="000000" w:themeColor="text1"/>
          <w:sz w:val="20"/>
          <w:szCs w:val="20"/>
          <w:lang w:val="es-ES_tradnl"/>
        </w:rPr>
      </w:pPr>
      <w:r w:rsidRPr="00AF70C7">
        <w:rPr>
          <w:rFonts w:ascii="Arial" w:eastAsia="Arial" w:hAnsi="Arial" w:cs="Arial"/>
          <w:bCs/>
          <w:color w:val="000000" w:themeColor="text1"/>
          <w:sz w:val="20"/>
          <w:szCs w:val="20"/>
        </w:rPr>
        <w:t xml:space="preserve">De otro lado, en relación con las entidades sanitarias, conviene diferenciar los conceptos de entidad sanitaria y autoridad sanitara. En efecto, el artículo 2.8.8.1.1.3 del Decreto 780 de 2016, «Por medio del cual se expide el Decreto Único Reglamentario del Sector Salud y Protección Social», define las </w:t>
      </w:r>
      <w:r w:rsidRPr="00AF70C7">
        <w:rPr>
          <w:rFonts w:ascii="Arial" w:eastAsia="Arial" w:hAnsi="Arial" w:cs="Arial"/>
          <w:bCs/>
          <w:i/>
          <w:iCs/>
          <w:color w:val="000000" w:themeColor="text1"/>
          <w:sz w:val="20"/>
          <w:szCs w:val="20"/>
        </w:rPr>
        <w:t>entidades sanitarias</w:t>
      </w:r>
      <w:r w:rsidRPr="00AF70C7">
        <w:rPr>
          <w:rFonts w:ascii="Arial" w:eastAsia="Arial" w:hAnsi="Arial" w:cs="Arial"/>
          <w:bCs/>
          <w:color w:val="000000" w:themeColor="text1"/>
          <w:sz w:val="20"/>
          <w:szCs w:val="20"/>
        </w:rPr>
        <w:t xml:space="preserve"> como «Entidades del Estado que prestan servicios sanitarios o de sanidad con el propósito de preservar la salud humana y la salud pública». Así mismo, el artículo citado también define las </w:t>
      </w:r>
      <w:r w:rsidRPr="00AF70C7">
        <w:rPr>
          <w:rFonts w:ascii="Arial" w:eastAsia="Arial" w:hAnsi="Arial" w:cs="Arial"/>
          <w:bCs/>
          <w:i/>
          <w:iCs/>
          <w:color w:val="000000" w:themeColor="text1"/>
          <w:sz w:val="20"/>
          <w:szCs w:val="20"/>
        </w:rPr>
        <w:t>autoridades sanitarias</w:t>
      </w:r>
      <w:r w:rsidRPr="00AF70C7">
        <w:rPr>
          <w:rFonts w:ascii="Arial" w:eastAsia="Arial" w:hAnsi="Arial" w:cs="Arial"/>
          <w:bCs/>
          <w:color w:val="000000" w:themeColor="text1"/>
          <w:sz w:val="20"/>
          <w:szCs w:val="20"/>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Sin embargo, es necesario tener en cuenta que la excepción del artículo 33 de la Ley de Garantías solo aplica a las </w:t>
      </w:r>
      <w:r w:rsidRPr="00AF70C7">
        <w:rPr>
          <w:rFonts w:ascii="Arial" w:eastAsia="Arial" w:hAnsi="Arial" w:cs="Arial"/>
          <w:bCs/>
          <w:i/>
          <w:iCs/>
          <w:color w:val="000000" w:themeColor="text1"/>
          <w:sz w:val="20"/>
          <w:szCs w:val="20"/>
        </w:rPr>
        <w:t>entidades sanitarias</w:t>
      </w:r>
      <w:r w:rsidRPr="00AF70C7">
        <w:rPr>
          <w:rFonts w:ascii="Arial" w:eastAsia="Arial" w:hAnsi="Arial" w:cs="Arial"/>
          <w:bCs/>
          <w:color w:val="000000" w:themeColor="text1"/>
          <w:sz w:val="20"/>
          <w:szCs w:val="20"/>
        </w:rPr>
        <w:t xml:space="preserve">, no a las </w:t>
      </w:r>
      <w:r w:rsidRPr="00AF70C7">
        <w:rPr>
          <w:rFonts w:ascii="Arial" w:eastAsia="Arial" w:hAnsi="Arial" w:cs="Arial"/>
          <w:bCs/>
          <w:i/>
          <w:iCs/>
          <w:color w:val="000000" w:themeColor="text1"/>
          <w:sz w:val="20"/>
          <w:szCs w:val="20"/>
        </w:rPr>
        <w:t>autoridades sanitarias</w:t>
      </w:r>
      <w:r w:rsidRPr="00AF70C7">
        <w:rPr>
          <w:rFonts w:ascii="Arial" w:eastAsia="Arial" w:hAnsi="Arial" w:cs="Arial"/>
          <w:bCs/>
          <w:color w:val="000000" w:themeColor="text1"/>
          <w:sz w:val="20"/>
          <w:szCs w:val="20"/>
        </w:rPr>
        <w:t xml:space="preserve">. </w:t>
      </w:r>
      <w:r w:rsidRPr="00AF70C7">
        <w:rPr>
          <w:rFonts w:ascii="Arial" w:eastAsia="Arial" w:hAnsi="Arial" w:cs="Arial"/>
          <w:bCs/>
          <w:color w:val="000000" w:themeColor="text1"/>
          <w:sz w:val="20"/>
          <w:szCs w:val="20"/>
          <w:lang w:val="es-ES_tradnl"/>
        </w:rPr>
        <w:t xml:space="preserve">Así las cosas, para efectos de la excepción del artículo 33 es indiferente que la entidad estatal tenga funciones de </w:t>
      </w:r>
      <w:r w:rsidRPr="00AF70C7">
        <w:rPr>
          <w:rFonts w:ascii="Arial" w:eastAsia="Arial" w:hAnsi="Arial" w:cs="Arial"/>
          <w:bCs/>
          <w:i/>
          <w:iCs/>
          <w:color w:val="000000" w:themeColor="text1"/>
          <w:sz w:val="20"/>
          <w:szCs w:val="20"/>
          <w:lang w:val="es-ES_tradnl"/>
        </w:rPr>
        <w:t>autoridad sanitaria</w:t>
      </w:r>
      <w:r w:rsidRPr="00AF70C7">
        <w:rPr>
          <w:rFonts w:ascii="Arial" w:eastAsia="Arial" w:hAnsi="Arial" w:cs="Arial"/>
          <w:bCs/>
          <w:color w:val="000000" w:themeColor="text1"/>
          <w:sz w:val="20"/>
          <w:szCs w:val="20"/>
          <w:lang w:val="es-ES_tradnl"/>
        </w:rPr>
        <w:t xml:space="preserve">, pues lo relevante para determinar si la contratación está exceptuada de la prohibición general no es el carácter de autoridad sanitaria, sino que se trate de una </w:t>
      </w:r>
      <w:r w:rsidRPr="00AF70C7">
        <w:rPr>
          <w:rFonts w:ascii="Arial" w:eastAsia="Arial" w:hAnsi="Arial" w:cs="Arial"/>
          <w:bCs/>
          <w:i/>
          <w:iCs/>
          <w:color w:val="000000" w:themeColor="text1"/>
          <w:sz w:val="20"/>
          <w:szCs w:val="20"/>
          <w:lang w:val="es-ES_tradnl"/>
        </w:rPr>
        <w:t>entidad sanitaria</w:t>
      </w:r>
      <w:r w:rsidRPr="00AF70C7">
        <w:rPr>
          <w:rFonts w:ascii="Arial" w:eastAsia="Arial" w:hAnsi="Arial" w:cs="Arial"/>
          <w:bCs/>
          <w:color w:val="000000" w:themeColor="text1"/>
          <w:sz w:val="20"/>
          <w:szCs w:val="20"/>
          <w:lang w:val="es-ES_tradnl"/>
        </w:rPr>
        <w:t xml:space="preserve">. </w:t>
      </w:r>
    </w:p>
    <w:p w14:paraId="75300611" w14:textId="5BF92D2A" w:rsidR="00FB24E3" w:rsidRPr="00AF70C7" w:rsidRDefault="00FB24E3" w:rsidP="00713B6C">
      <w:pPr>
        <w:tabs>
          <w:tab w:val="left" w:pos="426"/>
        </w:tabs>
        <w:jc w:val="both"/>
        <w:rPr>
          <w:rFonts w:ascii="Arial" w:eastAsia="Arial" w:hAnsi="Arial" w:cs="Arial"/>
          <w:bCs/>
          <w:color w:val="000000" w:themeColor="text1"/>
          <w:sz w:val="20"/>
          <w:szCs w:val="20"/>
          <w:lang w:val="es-ES_tradnl"/>
        </w:rPr>
      </w:pPr>
    </w:p>
    <w:p w14:paraId="0146910F" w14:textId="183DFEC5" w:rsidR="00FB24E3" w:rsidRPr="00AF70C7" w:rsidRDefault="00FB24E3" w:rsidP="00FB24E3">
      <w:pPr>
        <w:tabs>
          <w:tab w:val="left" w:pos="426"/>
        </w:tabs>
        <w:jc w:val="both"/>
        <w:rPr>
          <w:rFonts w:ascii="Arial" w:hAnsi="Arial" w:cs="Arial"/>
          <w:bCs/>
          <w:color w:val="000000" w:themeColor="text1"/>
          <w:sz w:val="20"/>
          <w:szCs w:val="20"/>
          <w:lang w:val="es-ES_tradnl"/>
        </w:rPr>
      </w:pPr>
      <w:r w:rsidRPr="00AF70C7">
        <w:rPr>
          <w:rFonts w:ascii="Arial" w:hAnsi="Arial" w:cs="Arial"/>
          <w:bCs/>
          <w:color w:val="000000" w:themeColor="text1"/>
          <w:sz w:val="20"/>
          <w:szCs w:val="20"/>
          <w:lang w:val="es-ES_tradnl"/>
        </w:rPr>
        <w:t>[…] respecto de la prohibición de la celebración de contratos interadministrativos en los cuales se ejecuten recursos públicos, es importante tener en cuenta que la Ley 996 de 2005 no estableció ninguna excepción a la prohibición del artículo 38 para este tipo de contratos, como si lo hizo con la restricción del artículo 33, por lo que se entiende que la prohibición comprende la celebración de contratos interadministrativos de cualquier sector, incluidos los relacionados con el sector de la salud.</w:t>
      </w:r>
    </w:p>
    <w:p w14:paraId="16352EB4" w14:textId="63C99904" w:rsidR="00DE104F" w:rsidRPr="00AF70C7" w:rsidRDefault="00F56DF8" w:rsidP="00713B6C">
      <w:pPr>
        <w:rPr>
          <w:rFonts w:ascii="Arial" w:hAnsi="Arial" w:cs="Arial"/>
          <w:color w:val="000000" w:themeColor="text1"/>
          <w:sz w:val="22"/>
        </w:rPr>
      </w:pPr>
      <w:r w:rsidRPr="00AF70C7" w:rsidDel="00F56DF8">
        <w:rPr>
          <w:rFonts w:ascii="Arial" w:hAnsi="Arial" w:cs="Arial"/>
          <w:bCs/>
          <w:color w:val="000000" w:themeColor="text1"/>
          <w:sz w:val="20"/>
          <w:szCs w:val="20"/>
        </w:rPr>
        <w:t xml:space="preserve"> </w:t>
      </w:r>
    </w:p>
    <w:p w14:paraId="7A4E8D31"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3C3CD04D"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7F7E5E95"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6BB4BC8E"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61B659C2"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45EDA3D0"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3C5B61C4"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14B04D59" w14:textId="77777777"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246A2A59" w14:textId="4A328E7B" w:rsidR="001A3C58" w:rsidRPr="00AF70C7" w:rsidRDefault="001A3C5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r w:rsidRPr="00AF70C7">
        <w:rPr>
          <w:rFonts w:ascii="Arial" w:eastAsia="Arial MT" w:hAnsi="Arial MT" w:cs="Arial MT"/>
          <w:b/>
          <w:color w:val="000000" w:themeColor="text1"/>
          <w:sz w:val="18"/>
          <w:szCs w:val="22"/>
          <w:lang w:val="es-ES" w:eastAsia="en-US"/>
        </w:rPr>
        <w:t xml:space="preserve">           </w:t>
      </w:r>
    </w:p>
    <w:p w14:paraId="45FC6D28" w14:textId="522878B4"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75AB6994" w14:textId="7DF558DA"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4E600E55" w14:textId="1CEB94C9" w:rsidR="00F56DF8" w:rsidRPr="00AF70C7" w:rsidRDefault="00F56DF8"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14B79B5E" w14:textId="1139FB8D" w:rsidR="00713B6C" w:rsidRPr="00AF70C7" w:rsidRDefault="00713B6C" w:rsidP="00300726">
      <w:pPr>
        <w:widowControl w:val="0"/>
        <w:autoSpaceDE w:val="0"/>
        <w:autoSpaceDN w:val="0"/>
        <w:spacing w:before="94"/>
        <w:ind w:right="533"/>
        <w:jc w:val="right"/>
        <w:rPr>
          <w:rFonts w:ascii="Arial" w:eastAsia="Arial MT" w:hAnsi="Arial MT" w:cs="Arial MT"/>
          <w:b/>
          <w:color w:val="000000" w:themeColor="text1"/>
          <w:sz w:val="18"/>
          <w:szCs w:val="22"/>
          <w:lang w:val="es-ES" w:eastAsia="en-US"/>
        </w:rPr>
      </w:pPr>
    </w:p>
    <w:p w14:paraId="78740B7D" w14:textId="602CF18B" w:rsidR="00713B6C" w:rsidRPr="00AF70C7" w:rsidRDefault="00B76A79" w:rsidP="00B76A79">
      <w:pPr>
        <w:widowControl w:val="0"/>
        <w:tabs>
          <w:tab w:val="left" w:pos="315"/>
        </w:tabs>
        <w:autoSpaceDE w:val="0"/>
        <w:autoSpaceDN w:val="0"/>
        <w:spacing w:before="94"/>
        <w:ind w:right="533"/>
        <w:rPr>
          <w:rFonts w:ascii="Arial" w:eastAsia="Arial MT" w:hAnsi="Arial MT" w:cs="Arial MT"/>
          <w:b/>
          <w:color w:val="000000" w:themeColor="text1"/>
          <w:sz w:val="18"/>
          <w:szCs w:val="22"/>
          <w:lang w:val="es-ES" w:eastAsia="en-US"/>
        </w:rPr>
      </w:pPr>
      <w:r w:rsidRPr="00AF70C7">
        <w:rPr>
          <w:rFonts w:ascii="Arial" w:eastAsia="Arial MT" w:hAnsi="Arial MT" w:cs="Arial MT"/>
          <w:b/>
          <w:color w:val="000000" w:themeColor="text1"/>
          <w:sz w:val="18"/>
          <w:szCs w:val="22"/>
          <w:lang w:val="es-ES" w:eastAsia="en-US"/>
        </w:rPr>
        <w:tab/>
      </w:r>
    </w:p>
    <w:p w14:paraId="42F1D0CC" w14:textId="1F91F072" w:rsidR="00300726" w:rsidRPr="00AF70C7" w:rsidRDefault="00300726" w:rsidP="00300726">
      <w:pPr>
        <w:widowControl w:val="0"/>
        <w:autoSpaceDE w:val="0"/>
        <w:autoSpaceDN w:val="0"/>
        <w:rPr>
          <w:rFonts w:ascii="Arial" w:eastAsia="Arial MT" w:hAnsi="Arial MT" w:cs="Arial MT"/>
          <w:b/>
          <w:color w:val="000000" w:themeColor="text1"/>
          <w:sz w:val="20"/>
          <w:szCs w:val="22"/>
          <w:lang w:val="es-ES" w:eastAsia="en-US"/>
        </w:rPr>
      </w:pPr>
    </w:p>
    <w:p w14:paraId="313F1E48" w14:textId="3C55C201" w:rsidR="00700BDE" w:rsidRPr="00AF70C7" w:rsidRDefault="00700BDE" w:rsidP="00B95C30">
      <w:pPr>
        <w:jc w:val="both"/>
        <w:rPr>
          <w:rFonts w:ascii="Arial" w:hAnsi="Arial" w:cs="Arial"/>
          <w:bCs/>
          <w:color w:val="000000" w:themeColor="text1"/>
          <w:sz w:val="22"/>
          <w:szCs w:val="22"/>
        </w:rPr>
      </w:pPr>
    </w:p>
    <w:p w14:paraId="410080A5" w14:textId="33E7F0CB" w:rsidR="00E740CD" w:rsidRPr="00AF70C7" w:rsidRDefault="00802BE8" w:rsidP="00B95C30">
      <w:pPr>
        <w:jc w:val="both"/>
        <w:rPr>
          <w:rFonts w:ascii="Arial" w:hAnsi="Arial" w:cs="Arial"/>
          <w:bCs/>
          <w:color w:val="000000" w:themeColor="text1"/>
          <w:sz w:val="22"/>
          <w:szCs w:val="22"/>
        </w:rPr>
      </w:pPr>
      <w:r w:rsidRPr="00802BE8">
        <w:rPr>
          <w:rFonts w:ascii="Arial" w:eastAsia="Calibri" w:hAnsi="Arial" w:cs="Arial"/>
          <w:color w:val="000000" w:themeColor="text1"/>
          <w:sz w:val="22"/>
          <w:szCs w:val="22"/>
        </w:rPr>
        <w:lastRenderedPageBreak/>
        <w:drawing>
          <wp:anchor distT="0" distB="0" distL="114300" distR="114300" simplePos="0" relativeHeight="251660288" behindDoc="1" locked="0" layoutInCell="1" allowOverlap="1" wp14:anchorId="1FEF2B0E" wp14:editId="640D72D0">
            <wp:simplePos x="0" y="0"/>
            <wp:positionH relativeFrom="margin">
              <wp:align>right</wp:align>
            </wp:positionH>
            <wp:positionV relativeFrom="paragraph">
              <wp:posOffset>-839264</wp:posOffset>
            </wp:positionV>
            <wp:extent cx="2572109" cy="1257475"/>
            <wp:effectExtent l="0" t="0" r="0" b="0"/>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stretch>
                      <a:fillRect/>
                    </a:stretch>
                  </pic:blipFill>
                  <pic:spPr>
                    <a:xfrm>
                      <a:off x="0" y="0"/>
                      <a:ext cx="2572109" cy="1257475"/>
                    </a:xfrm>
                    <a:prstGeom prst="rect">
                      <a:avLst/>
                    </a:prstGeom>
                  </pic:spPr>
                </pic:pic>
              </a:graphicData>
            </a:graphic>
          </wp:anchor>
        </w:drawing>
      </w:r>
    </w:p>
    <w:p w14:paraId="75E0764C" w14:textId="35627A2F" w:rsidR="00E740CD" w:rsidRPr="00AF70C7" w:rsidRDefault="00E740CD" w:rsidP="00B95C30">
      <w:pPr>
        <w:jc w:val="both"/>
        <w:rPr>
          <w:rFonts w:ascii="Arial" w:hAnsi="Arial" w:cs="Arial"/>
          <w:bCs/>
          <w:color w:val="000000" w:themeColor="text1"/>
          <w:sz w:val="22"/>
          <w:szCs w:val="22"/>
        </w:rPr>
      </w:pPr>
    </w:p>
    <w:p w14:paraId="1DF6374A" w14:textId="77777777" w:rsidR="00E740CD" w:rsidRDefault="00E740CD" w:rsidP="00B95C30">
      <w:pPr>
        <w:jc w:val="both"/>
        <w:rPr>
          <w:rFonts w:ascii="Arial" w:hAnsi="Arial" w:cs="Arial"/>
          <w:bCs/>
          <w:color w:val="000000" w:themeColor="text1"/>
          <w:sz w:val="22"/>
          <w:szCs w:val="22"/>
        </w:rPr>
      </w:pPr>
    </w:p>
    <w:p w14:paraId="0CF24FB2" w14:textId="77777777" w:rsidR="00802BE8" w:rsidRDefault="00802BE8" w:rsidP="00B95C30">
      <w:pPr>
        <w:jc w:val="both"/>
        <w:rPr>
          <w:rFonts w:ascii="Arial" w:hAnsi="Arial" w:cs="Arial"/>
          <w:bCs/>
          <w:color w:val="000000" w:themeColor="text1"/>
          <w:sz w:val="22"/>
          <w:szCs w:val="22"/>
        </w:rPr>
      </w:pPr>
    </w:p>
    <w:p w14:paraId="7F17002D" w14:textId="77777777" w:rsidR="00802BE8" w:rsidRDefault="00802BE8" w:rsidP="00802BE8">
      <w:pPr>
        <w:autoSpaceDE w:val="0"/>
        <w:autoSpaceDN w:val="0"/>
        <w:adjustRightInd w:val="0"/>
        <w:jc w:val="right"/>
        <w:rPr>
          <w:rFonts w:ascii="Arial-BoldMT" w:eastAsiaTheme="minorHAnsi" w:hAnsi="Arial-BoldMT" w:cs="Arial-BoldMT"/>
          <w:b/>
          <w:bCs/>
          <w:color w:val="595959"/>
          <w:sz w:val="18"/>
          <w:szCs w:val="18"/>
          <w:lang w:eastAsia="en-US"/>
        </w:rPr>
      </w:pPr>
      <w:r>
        <w:rPr>
          <w:rFonts w:ascii="Arial-BoldMT" w:eastAsiaTheme="minorHAnsi" w:hAnsi="Arial-BoldMT" w:cs="Arial-BoldMT"/>
          <w:b/>
          <w:bCs/>
          <w:color w:val="595959"/>
          <w:sz w:val="18"/>
          <w:szCs w:val="18"/>
          <w:lang w:eastAsia="en-US"/>
        </w:rPr>
        <w:t>CCE-DES-FM-17</w:t>
      </w:r>
    </w:p>
    <w:p w14:paraId="4027FE4A" w14:textId="77777777" w:rsidR="00802BE8" w:rsidRDefault="00802BE8" w:rsidP="00802BE8">
      <w:pPr>
        <w:jc w:val="both"/>
        <w:rPr>
          <w:rFonts w:ascii="ArialMT" w:eastAsiaTheme="minorHAnsi" w:hAnsi="ArialMT" w:cs="ArialMT"/>
          <w:color w:val="4E4D4D"/>
          <w:sz w:val="22"/>
          <w:szCs w:val="22"/>
          <w:lang w:eastAsia="en-US"/>
        </w:rPr>
      </w:pPr>
    </w:p>
    <w:p w14:paraId="6FD297B2" w14:textId="5893FB99" w:rsidR="00802BE8" w:rsidRPr="00AF70C7" w:rsidRDefault="00802BE8" w:rsidP="00802BE8">
      <w:pPr>
        <w:jc w:val="both"/>
        <w:rPr>
          <w:rFonts w:ascii="Arial" w:hAnsi="Arial" w:cs="Arial"/>
          <w:bCs/>
          <w:color w:val="000000" w:themeColor="text1"/>
          <w:sz w:val="22"/>
          <w:szCs w:val="22"/>
        </w:rPr>
      </w:pPr>
      <w:r>
        <w:rPr>
          <w:rFonts w:ascii="ArialMT" w:eastAsiaTheme="minorHAnsi" w:hAnsi="ArialMT" w:cs="ArialMT"/>
          <w:color w:val="4E4D4D"/>
          <w:sz w:val="22"/>
          <w:szCs w:val="22"/>
          <w:lang w:eastAsia="en-US"/>
        </w:rPr>
        <w:t>Bogotá, 31 Marzo 2022</w:t>
      </w:r>
    </w:p>
    <w:p w14:paraId="456336C4" w14:textId="77777777" w:rsidR="000A771C" w:rsidRDefault="000A771C" w:rsidP="00B95C30">
      <w:pPr>
        <w:jc w:val="both"/>
        <w:rPr>
          <w:rFonts w:ascii="Arial" w:eastAsia="Calibri" w:hAnsi="Arial" w:cs="Arial"/>
          <w:color w:val="000000" w:themeColor="text1"/>
          <w:sz w:val="22"/>
          <w:szCs w:val="22"/>
        </w:rPr>
      </w:pPr>
      <w:bookmarkStart w:id="5" w:name="_Hlk80951783"/>
    </w:p>
    <w:p w14:paraId="5F5AE9EF" w14:textId="18BD5EBB" w:rsidR="00B95C30" w:rsidRPr="00AF70C7" w:rsidRDefault="00BE4FBF" w:rsidP="00B95C30">
      <w:pPr>
        <w:jc w:val="both"/>
        <w:rPr>
          <w:rFonts w:ascii="Arial" w:eastAsia="Calibri" w:hAnsi="Arial" w:cs="Arial"/>
          <w:color w:val="000000" w:themeColor="text1"/>
          <w:sz w:val="22"/>
          <w:szCs w:val="22"/>
        </w:rPr>
      </w:pPr>
      <w:r w:rsidRPr="00AF70C7">
        <w:rPr>
          <w:rFonts w:ascii="Arial" w:eastAsia="Calibri" w:hAnsi="Arial" w:cs="Arial"/>
          <w:color w:val="000000" w:themeColor="text1"/>
          <w:sz w:val="22"/>
          <w:szCs w:val="22"/>
        </w:rPr>
        <w:t>Señor</w:t>
      </w:r>
    </w:p>
    <w:p w14:paraId="34BF62D2" w14:textId="5DDC8B10" w:rsidR="00A56E1D" w:rsidRPr="00AF70C7" w:rsidRDefault="00D17162" w:rsidP="00B95C30">
      <w:pPr>
        <w:jc w:val="both"/>
        <w:rPr>
          <w:rFonts w:ascii="Arial" w:eastAsia="Calibri" w:hAnsi="Arial" w:cs="Arial"/>
          <w:b/>
          <w:color w:val="000000" w:themeColor="text1"/>
          <w:sz w:val="22"/>
          <w:szCs w:val="22"/>
        </w:rPr>
      </w:pPr>
      <w:r w:rsidRPr="00AF70C7">
        <w:rPr>
          <w:rFonts w:ascii="Arial" w:eastAsia="Calibri" w:hAnsi="Arial" w:cs="Arial"/>
          <w:b/>
          <w:color w:val="000000" w:themeColor="text1"/>
          <w:sz w:val="22"/>
          <w:szCs w:val="22"/>
        </w:rPr>
        <w:t>Carlos Eduardo Tovar Galindo</w:t>
      </w:r>
    </w:p>
    <w:p w14:paraId="6514542E" w14:textId="4CA54BD6" w:rsidR="00093B01" w:rsidRPr="00AF70C7" w:rsidRDefault="00D17162" w:rsidP="00B95C30">
      <w:pPr>
        <w:jc w:val="both"/>
        <w:rPr>
          <w:rFonts w:ascii="Arial" w:eastAsia="Calibri" w:hAnsi="Arial" w:cs="Arial"/>
          <w:color w:val="000000" w:themeColor="text1"/>
          <w:sz w:val="22"/>
          <w:szCs w:val="22"/>
        </w:rPr>
      </w:pPr>
      <w:r w:rsidRPr="00AF70C7">
        <w:rPr>
          <w:rFonts w:ascii="Arial" w:eastAsia="Calibri" w:hAnsi="Arial" w:cs="Arial"/>
          <w:color w:val="000000" w:themeColor="text1"/>
          <w:sz w:val="22"/>
          <w:szCs w:val="22"/>
        </w:rPr>
        <w:t>carlostovar787@gmail.com</w:t>
      </w:r>
    </w:p>
    <w:p w14:paraId="211DBEE9" w14:textId="77777777" w:rsidR="00FE1180" w:rsidRPr="00AF70C7" w:rsidRDefault="00FE1180" w:rsidP="00FE1180">
      <w:pPr>
        <w:rPr>
          <w:rFonts w:ascii="Arial" w:eastAsia="Calibri" w:hAnsi="Arial" w:cs="Arial"/>
          <w:b/>
          <w:sz w:val="22"/>
          <w:szCs w:val="22"/>
          <w:lang w:val="es-MX" w:eastAsia="en-US"/>
        </w:rPr>
      </w:pPr>
    </w:p>
    <w:p w14:paraId="12E66182" w14:textId="54A1E16D" w:rsidR="00B95C30" w:rsidRPr="00AF70C7" w:rsidRDefault="00B95C30" w:rsidP="00FC5772">
      <w:pPr>
        <w:jc w:val="center"/>
        <w:rPr>
          <w:rFonts w:ascii="Arial" w:eastAsia="Calibri" w:hAnsi="Arial" w:cs="Arial"/>
          <w:b/>
          <w:sz w:val="22"/>
          <w:szCs w:val="22"/>
          <w:lang w:val="es-MX" w:eastAsia="en-US"/>
        </w:rPr>
      </w:pPr>
      <w:r w:rsidRPr="00AF70C7">
        <w:rPr>
          <w:rFonts w:ascii="Arial" w:eastAsia="Calibri" w:hAnsi="Arial" w:cs="Arial"/>
          <w:b/>
          <w:sz w:val="22"/>
          <w:szCs w:val="22"/>
          <w:lang w:val="es-MX" w:eastAsia="en-US"/>
        </w:rPr>
        <w:t>Concepto C</w:t>
      </w:r>
      <w:r w:rsidR="00373741" w:rsidRPr="00AF70C7">
        <w:rPr>
          <w:rFonts w:ascii="Arial" w:eastAsia="Calibri" w:hAnsi="Arial" w:cs="Arial"/>
          <w:b/>
          <w:sz w:val="22"/>
          <w:szCs w:val="22"/>
          <w:lang w:val="es-MX" w:eastAsia="en-US"/>
        </w:rPr>
        <w:t>–</w:t>
      </w:r>
      <w:r w:rsidR="00D17162" w:rsidRPr="00AF70C7">
        <w:rPr>
          <w:rFonts w:ascii="Arial" w:eastAsia="Calibri" w:hAnsi="Arial" w:cs="Arial"/>
          <w:b/>
          <w:sz w:val="22"/>
          <w:szCs w:val="22"/>
          <w:lang w:val="es-MX" w:eastAsia="en-US"/>
        </w:rPr>
        <w:t>139</w:t>
      </w:r>
      <w:r w:rsidR="00DF2B34" w:rsidRPr="00AF70C7">
        <w:rPr>
          <w:rFonts w:ascii="Arial" w:eastAsia="Calibri" w:hAnsi="Arial" w:cs="Arial"/>
          <w:b/>
          <w:sz w:val="22"/>
          <w:szCs w:val="22"/>
          <w:lang w:val="es-MX" w:eastAsia="en-US"/>
        </w:rPr>
        <w:t xml:space="preserve"> </w:t>
      </w:r>
      <w:r w:rsidR="005E3AF3" w:rsidRPr="00AF70C7">
        <w:rPr>
          <w:rFonts w:ascii="Arial" w:eastAsia="Calibri" w:hAnsi="Arial" w:cs="Arial"/>
          <w:b/>
          <w:sz w:val="22"/>
          <w:szCs w:val="22"/>
          <w:lang w:val="es-MX" w:eastAsia="en-US"/>
        </w:rPr>
        <w:t>de 2022</w:t>
      </w:r>
    </w:p>
    <w:p w14:paraId="20200123" w14:textId="461A4C5D" w:rsidR="0096347F" w:rsidRPr="00AF70C7"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6B87" w:rsidRPr="00AF70C7" w14:paraId="19DFC051" w14:textId="77777777" w:rsidTr="008F4163">
        <w:tc>
          <w:tcPr>
            <w:tcW w:w="2689" w:type="dxa"/>
          </w:tcPr>
          <w:p w14:paraId="6BC0D1AC" w14:textId="77777777" w:rsidR="00B95C30" w:rsidRPr="00AF70C7" w:rsidRDefault="00B95C30" w:rsidP="008F4163">
            <w:pPr>
              <w:jc w:val="both"/>
              <w:rPr>
                <w:rFonts w:ascii="Arial" w:eastAsia="Calibri" w:hAnsi="Arial" w:cs="Arial"/>
                <w:b/>
                <w:color w:val="000000" w:themeColor="text1"/>
                <w:sz w:val="22"/>
                <w:szCs w:val="22"/>
                <w:lang w:val="es-ES_tradnl"/>
              </w:rPr>
            </w:pPr>
            <w:r w:rsidRPr="00AF70C7">
              <w:rPr>
                <w:rFonts w:ascii="Arial" w:eastAsia="Calibri" w:hAnsi="Arial" w:cs="Arial"/>
                <w:b/>
                <w:color w:val="000000" w:themeColor="text1"/>
                <w:sz w:val="22"/>
                <w:szCs w:val="22"/>
                <w:lang w:val="es-ES_tradnl"/>
              </w:rPr>
              <w:t xml:space="preserve">Temas:                                      </w:t>
            </w:r>
          </w:p>
        </w:tc>
        <w:tc>
          <w:tcPr>
            <w:tcW w:w="6237" w:type="dxa"/>
          </w:tcPr>
          <w:p w14:paraId="5F389CAF" w14:textId="15FAEA05" w:rsidR="009A773A" w:rsidRPr="00AF70C7" w:rsidRDefault="00713B6C" w:rsidP="002E5E73">
            <w:pPr>
              <w:widowControl w:val="0"/>
              <w:autoSpaceDE w:val="0"/>
              <w:autoSpaceDN w:val="0"/>
              <w:adjustRightInd w:val="0"/>
              <w:spacing w:line="300" w:lineRule="atLeast"/>
              <w:jc w:val="both"/>
              <w:rPr>
                <w:rFonts w:ascii="Arial" w:eastAsiaTheme="minorHAnsi" w:hAnsi="Arial" w:cs="Arial"/>
                <w:color w:val="000000" w:themeColor="text1"/>
                <w:sz w:val="22"/>
                <w:szCs w:val="22"/>
                <w:lang w:val="es-ES_tradnl" w:eastAsia="en-US"/>
              </w:rPr>
            </w:pPr>
            <w:r w:rsidRPr="00AF70C7">
              <w:rPr>
                <w:rFonts w:ascii="Arial" w:eastAsiaTheme="minorHAnsi" w:hAnsi="Arial" w:cs="Arial"/>
                <w:color w:val="000000" w:themeColor="text1"/>
                <w:sz w:val="22"/>
                <w:szCs w:val="22"/>
                <w:lang w:val="es-ES_tradnl" w:eastAsia="en-US"/>
              </w:rPr>
              <w:t xml:space="preserve">PLAN DE SALUD PÚBLICA DE INTERVENCIONES COLECTIVAS – </w:t>
            </w:r>
            <w:proofErr w:type="spellStart"/>
            <w:r w:rsidRPr="00AF70C7">
              <w:rPr>
                <w:rFonts w:ascii="Arial" w:eastAsiaTheme="minorHAnsi" w:hAnsi="Arial" w:cs="Arial"/>
                <w:color w:val="000000" w:themeColor="text1"/>
                <w:sz w:val="22"/>
                <w:szCs w:val="22"/>
                <w:lang w:val="es-ES_tradnl" w:eastAsia="en-US"/>
              </w:rPr>
              <w:t>PIC</w:t>
            </w:r>
            <w:proofErr w:type="spellEnd"/>
            <w:r w:rsidRPr="00AF70C7">
              <w:rPr>
                <w:rFonts w:ascii="Arial" w:eastAsiaTheme="minorHAnsi" w:hAnsi="Arial" w:cs="Arial"/>
                <w:color w:val="000000" w:themeColor="text1"/>
                <w:sz w:val="22"/>
                <w:szCs w:val="22"/>
                <w:lang w:val="es-ES_tradnl" w:eastAsia="en-US"/>
              </w:rPr>
              <w:t xml:space="preserve"> – Definición – contratación / LEY DE GARANTÍAS ELECTORALES – Contratos y convenios interadministrativos – </w:t>
            </w:r>
            <w:r w:rsidR="00B76A79" w:rsidRPr="00AF70C7">
              <w:rPr>
                <w:rFonts w:ascii="Arial" w:eastAsiaTheme="minorHAnsi" w:hAnsi="Arial" w:cs="Arial"/>
                <w:color w:val="000000" w:themeColor="text1"/>
                <w:sz w:val="22"/>
                <w:szCs w:val="22"/>
                <w:lang w:val="es-ES_tradnl" w:eastAsia="en-US"/>
              </w:rPr>
              <w:t>Restricción – P</w:t>
            </w:r>
            <w:r w:rsidRPr="00AF70C7">
              <w:rPr>
                <w:rFonts w:ascii="Arial" w:eastAsiaTheme="minorHAnsi" w:hAnsi="Arial" w:cs="Arial"/>
                <w:color w:val="000000" w:themeColor="text1"/>
                <w:sz w:val="22"/>
                <w:szCs w:val="22"/>
                <w:lang w:val="es-ES_tradnl" w:eastAsia="en-US"/>
              </w:rPr>
              <w:t xml:space="preserve">arágrafo del artículo 38 / LEY DE GARANTÍAS ELECTORALES ─ Prohibición artículo 33 ‒ Contratación directa ‒ Alcance / LEY DE GARANTÍAS ELECTORALES – Excepciones – </w:t>
            </w:r>
            <w:r w:rsidR="00B76A79" w:rsidRPr="00AF70C7">
              <w:rPr>
                <w:rFonts w:ascii="Arial" w:eastAsiaTheme="minorHAnsi" w:hAnsi="Arial" w:cs="Arial"/>
                <w:color w:val="000000" w:themeColor="text1"/>
                <w:sz w:val="22"/>
                <w:szCs w:val="22"/>
                <w:lang w:val="es-ES_tradnl" w:eastAsia="en-US"/>
              </w:rPr>
              <w:t>A</w:t>
            </w:r>
            <w:r w:rsidRPr="00AF70C7">
              <w:rPr>
                <w:rFonts w:ascii="Arial" w:eastAsiaTheme="minorHAnsi" w:hAnsi="Arial" w:cs="Arial"/>
                <w:color w:val="000000" w:themeColor="text1"/>
                <w:sz w:val="22"/>
                <w:szCs w:val="22"/>
                <w:lang w:val="es-ES_tradnl" w:eastAsia="en-US"/>
              </w:rPr>
              <w:t>rtículo 33 / LEY DE GARANTÍAS ELECTORALES – Excepciones – Destinatarios - Entidades sanitarias y hospitalarias</w:t>
            </w:r>
            <w:r w:rsidR="00067979" w:rsidRPr="00AF70C7">
              <w:rPr>
                <w:rFonts w:ascii="Arial" w:eastAsiaTheme="minorHAnsi" w:hAnsi="Arial" w:cs="Arial"/>
                <w:color w:val="000000" w:themeColor="text1"/>
                <w:sz w:val="22"/>
                <w:szCs w:val="22"/>
                <w:lang w:val="es-ES_tradnl" w:eastAsia="en-US"/>
              </w:rPr>
              <w:t>.</w:t>
            </w:r>
          </w:p>
        </w:tc>
      </w:tr>
      <w:tr w:rsidR="00B95C30" w:rsidRPr="00AF70C7" w14:paraId="27CD52AB" w14:textId="77777777" w:rsidTr="0096347F">
        <w:trPr>
          <w:trHeight w:val="391"/>
        </w:trPr>
        <w:tc>
          <w:tcPr>
            <w:tcW w:w="2689" w:type="dxa"/>
          </w:tcPr>
          <w:p w14:paraId="37E195A1" w14:textId="1BA218D5" w:rsidR="00B95C30" w:rsidRPr="00AF70C7" w:rsidRDefault="00B95C30" w:rsidP="008F4163">
            <w:pPr>
              <w:spacing w:before="120"/>
              <w:jc w:val="both"/>
              <w:rPr>
                <w:rFonts w:ascii="Arial" w:eastAsia="Calibri" w:hAnsi="Arial" w:cs="Arial"/>
                <w:color w:val="000000" w:themeColor="text1"/>
                <w:sz w:val="22"/>
                <w:szCs w:val="22"/>
                <w:lang w:val="es-ES_tradnl"/>
              </w:rPr>
            </w:pPr>
            <w:r w:rsidRPr="00AF70C7">
              <w:rPr>
                <w:rFonts w:ascii="Arial" w:eastAsia="Calibri" w:hAnsi="Arial" w:cs="Arial"/>
                <w:b/>
                <w:color w:val="000000" w:themeColor="text1"/>
                <w:sz w:val="22"/>
                <w:szCs w:val="22"/>
                <w:lang w:val="es-ES_tradnl"/>
              </w:rPr>
              <w:t>Radicación</w:t>
            </w:r>
            <w:r w:rsidRPr="00AF70C7">
              <w:rPr>
                <w:rFonts w:ascii="Arial" w:eastAsia="Calibri" w:hAnsi="Arial" w:cs="Arial"/>
                <w:color w:val="000000" w:themeColor="text1"/>
                <w:sz w:val="22"/>
                <w:szCs w:val="22"/>
                <w:lang w:val="es-ES_tradnl"/>
              </w:rPr>
              <w:t xml:space="preserve">:                              </w:t>
            </w:r>
          </w:p>
        </w:tc>
        <w:tc>
          <w:tcPr>
            <w:tcW w:w="6237" w:type="dxa"/>
          </w:tcPr>
          <w:p w14:paraId="09088B1B" w14:textId="4C8C6A2B" w:rsidR="00B95C30" w:rsidRPr="00AF70C7" w:rsidRDefault="00B95C30" w:rsidP="00067979">
            <w:pPr>
              <w:widowControl w:val="0"/>
              <w:autoSpaceDE w:val="0"/>
              <w:autoSpaceDN w:val="0"/>
              <w:adjustRightInd w:val="0"/>
              <w:spacing w:line="300" w:lineRule="atLeast"/>
              <w:rPr>
                <w:rFonts w:ascii="Arial" w:eastAsiaTheme="minorHAnsi" w:hAnsi="Arial" w:cs="Arial"/>
                <w:color w:val="000000" w:themeColor="text1"/>
                <w:sz w:val="22"/>
                <w:szCs w:val="22"/>
                <w:lang w:val="es-ES_tradnl" w:eastAsia="en-US"/>
              </w:rPr>
            </w:pPr>
            <w:r w:rsidRPr="00AF70C7">
              <w:rPr>
                <w:rFonts w:ascii="Arial" w:eastAsiaTheme="minorHAnsi" w:hAnsi="Arial" w:cs="Arial"/>
                <w:color w:val="000000" w:themeColor="text1"/>
                <w:sz w:val="22"/>
                <w:szCs w:val="22"/>
                <w:lang w:val="es-ES_tradnl" w:eastAsia="en-US"/>
              </w:rPr>
              <w:t xml:space="preserve">Respuesta a consulta </w:t>
            </w:r>
            <w:r w:rsidR="00700BDE" w:rsidRPr="00AF70C7">
              <w:rPr>
                <w:rFonts w:ascii="Arial" w:eastAsiaTheme="minorHAnsi" w:hAnsi="Arial" w:cs="Arial"/>
                <w:color w:val="000000" w:themeColor="text1"/>
                <w:sz w:val="22"/>
                <w:szCs w:val="22"/>
                <w:lang w:val="es-ES_tradnl" w:eastAsia="en-US"/>
              </w:rPr>
              <w:t xml:space="preserve"># </w:t>
            </w:r>
            <w:r w:rsidR="00D17162" w:rsidRPr="00AF70C7">
              <w:rPr>
                <w:rFonts w:ascii="Arial" w:eastAsiaTheme="minorHAnsi" w:hAnsi="Arial" w:cs="Arial"/>
                <w:color w:val="000000" w:themeColor="text1"/>
                <w:sz w:val="22"/>
                <w:szCs w:val="22"/>
                <w:lang w:val="es-ES_tradnl" w:eastAsia="en-US"/>
              </w:rPr>
              <w:t>P20220216001536</w:t>
            </w:r>
          </w:p>
        </w:tc>
      </w:tr>
    </w:tbl>
    <w:p w14:paraId="019E1DF8" w14:textId="534BD368" w:rsidR="00493CDA" w:rsidRPr="00AF70C7" w:rsidRDefault="00493CDA" w:rsidP="003C3339">
      <w:pPr>
        <w:jc w:val="both"/>
        <w:rPr>
          <w:rFonts w:ascii="Arial" w:eastAsia="Calibri" w:hAnsi="Arial" w:cs="Arial"/>
          <w:color w:val="000000" w:themeColor="text1"/>
          <w:sz w:val="22"/>
          <w:lang w:val="es-ES_tradnl"/>
        </w:rPr>
      </w:pPr>
    </w:p>
    <w:p w14:paraId="1CF4AEA0" w14:textId="1ACAFD96" w:rsidR="003C3339" w:rsidRPr="00AF70C7" w:rsidRDefault="003C3339" w:rsidP="003C3339">
      <w:pPr>
        <w:jc w:val="both"/>
        <w:rPr>
          <w:rFonts w:ascii="Arial" w:eastAsia="Calibri" w:hAnsi="Arial" w:cs="Arial"/>
          <w:color w:val="000000" w:themeColor="text1"/>
          <w:sz w:val="22"/>
          <w:lang w:val="es-ES_tradnl"/>
        </w:rPr>
      </w:pPr>
      <w:r w:rsidRPr="00AF70C7">
        <w:rPr>
          <w:rFonts w:ascii="Arial" w:eastAsia="Calibri" w:hAnsi="Arial" w:cs="Arial"/>
          <w:color w:val="000000" w:themeColor="text1"/>
          <w:sz w:val="22"/>
          <w:lang w:val="es-ES_tradnl"/>
        </w:rPr>
        <w:t>Estimad</w:t>
      </w:r>
      <w:r w:rsidR="003D1E53" w:rsidRPr="00AF70C7">
        <w:rPr>
          <w:rFonts w:ascii="Arial" w:eastAsia="Calibri" w:hAnsi="Arial" w:cs="Arial"/>
          <w:color w:val="000000" w:themeColor="text1"/>
          <w:sz w:val="22"/>
          <w:lang w:val="es-ES_tradnl"/>
        </w:rPr>
        <w:t>o s</w:t>
      </w:r>
      <w:r w:rsidR="008164D9" w:rsidRPr="00AF70C7">
        <w:rPr>
          <w:rFonts w:ascii="Arial" w:eastAsia="Calibri" w:hAnsi="Arial" w:cs="Arial"/>
          <w:color w:val="000000" w:themeColor="text1"/>
          <w:sz w:val="22"/>
          <w:lang w:val="es-ES_tradnl"/>
        </w:rPr>
        <w:t>eñor</w:t>
      </w:r>
      <w:r w:rsidR="003D1E53" w:rsidRPr="00AF70C7">
        <w:rPr>
          <w:rFonts w:ascii="Arial" w:eastAsia="Calibri" w:hAnsi="Arial" w:cs="Arial"/>
          <w:color w:val="000000" w:themeColor="text1"/>
          <w:sz w:val="22"/>
          <w:lang w:val="es-ES_tradnl"/>
        </w:rPr>
        <w:t xml:space="preserve"> </w:t>
      </w:r>
      <w:r w:rsidR="00D17162" w:rsidRPr="00AF70C7">
        <w:rPr>
          <w:rFonts w:ascii="Arial" w:eastAsia="Calibri" w:hAnsi="Arial" w:cs="Arial"/>
          <w:color w:val="000000" w:themeColor="text1"/>
          <w:sz w:val="22"/>
          <w:lang w:val="es-ES_tradnl"/>
        </w:rPr>
        <w:t>Tovar</w:t>
      </w:r>
      <w:r w:rsidR="00E746A6" w:rsidRPr="00AF70C7">
        <w:rPr>
          <w:rFonts w:ascii="Arial" w:eastAsia="Calibri" w:hAnsi="Arial" w:cs="Arial"/>
          <w:color w:val="000000" w:themeColor="text1"/>
          <w:sz w:val="22"/>
          <w:lang w:val="es-ES_tradnl"/>
        </w:rPr>
        <w:t xml:space="preserve">: </w:t>
      </w:r>
    </w:p>
    <w:p w14:paraId="1EAE5543" w14:textId="77777777" w:rsidR="00DD5B04" w:rsidRPr="00AF70C7" w:rsidRDefault="00DD5B04" w:rsidP="00DF76A2">
      <w:pPr>
        <w:jc w:val="both"/>
        <w:rPr>
          <w:rFonts w:ascii="Arial" w:eastAsia="Calibri" w:hAnsi="Arial" w:cs="Arial"/>
          <w:color w:val="000000" w:themeColor="text1"/>
          <w:sz w:val="22"/>
          <w:lang w:val="es-ES_tradnl"/>
        </w:rPr>
      </w:pPr>
    </w:p>
    <w:p w14:paraId="2109B2D3" w14:textId="29974513" w:rsidR="00DD5B04" w:rsidRPr="00AF70C7" w:rsidRDefault="00DD5B04" w:rsidP="00DF76A2">
      <w:pPr>
        <w:spacing w:line="276" w:lineRule="auto"/>
        <w:jc w:val="both"/>
        <w:rPr>
          <w:rFonts w:ascii="Arial" w:eastAsia="Calibri" w:hAnsi="Arial" w:cs="Arial"/>
          <w:color w:val="000000" w:themeColor="text1"/>
          <w:sz w:val="22"/>
          <w:lang w:val="es-ES_tradnl"/>
        </w:rPr>
      </w:pPr>
      <w:r w:rsidRPr="00AF70C7">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AF70C7">
        <w:rPr>
          <w:rFonts w:ascii="Arial" w:eastAsia="Calibri" w:hAnsi="Arial" w:cs="Arial"/>
          <w:color w:val="000000" w:themeColor="text1"/>
          <w:sz w:val="22"/>
          <w:lang w:val="es-ES_tradnl"/>
        </w:rPr>
        <w:t>–</w:t>
      </w:r>
      <w:r w:rsidRPr="00AF70C7">
        <w:rPr>
          <w:rFonts w:ascii="Arial" w:eastAsia="Calibri" w:hAnsi="Arial" w:cs="Arial"/>
          <w:color w:val="000000" w:themeColor="text1"/>
          <w:sz w:val="22"/>
          <w:lang w:val="es-ES_tradnl"/>
        </w:rPr>
        <w:t xml:space="preserve"> Colombia Compra Eficiente</w:t>
      </w:r>
      <w:r w:rsidR="008C3C57" w:rsidRPr="00AF70C7">
        <w:rPr>
          <w:rFonts w:ascii="Arial" w:eastAsia="Calibri" w:hAnsi="Arial" w:cs="Arial"/>
          <w:color w:val="000000" w:themeColor="text1"/>
          <w:sz w:val="22"/>
          <w:lang w:val="es-ES_tradnl"/>
        </w:rPr>
        <w:t xml:space="preserve"> </w:t>
      </w:r>
      <w:r w:rsidR="00436B3F" w:rsidRPr="00AF70C7">
        <w:rPr>
          <w:rFonts w:ascii="Arial" w:eastAsia="Calibri" w:hAnsi="Arial" w:cs="Arial"/>
          <w:color w:val="000000" w:themeColor="text1"/>
          <w:sz w:val="22"/>
          <w:lang w:val="es-ES_tradnl"/>
        </w:rPr>
        <w:t xml:space="preserve">responde a su consulta del </w:t>
      </w:r>
      <w:r w:rsidR="00D17162" w:rsidRPr="00AF70C7">
        <w:rPr>
          <w:rFonts w:ascii="Arial" w:eastAsia="Calibri" w:hAnsi="Arial" w:cs="Arial"/>
          <w:color w:val="000000" w:themeColor="text1"/>
          <w:sz w:val="22"/>
          <w:lang w:val="es-ES_tradnl"/>
        </w:rPr>
        <w:t>16</w:t>
      </w:r>
      <w:r w:rsidR="003D1E53" w:rsidRPr="00AF70C7">
        <w:rPr>
          <w:rFonts w:ascii="Arial" w:eastAsia="Calibri" w:hAnsi="Arial" w:cs="Arial"/>
          <w:color w:val="000000" w:themeColor="text1"/>
          <w:sz w:val="22"/>
          <w:lang w:val="es-ES_tradnl"/>
        </w:rPr>
        <w:t xml:space="preserve"> de febrero</w:t>
      </w:r>
      <w:r w:rsidR="005A5564" w:rsidRPr="00AF70C7">
        <w:rPr>
          <w:rFonts w:ascii="Arial" w:eastAsia="Calibri" w:hAnsi="Arial" w:cs="Arial"/>
          <w:color w:val="000000" w:themeColor="text1"/>
          <w:sz w:val="22"/>
          <w:lang w:val="es-ES_tradnl"/>
        </w:rPr>
        <w:t xml:space="preserve"> de 2022. </w:t>
      </w:r>
    </w:p>
    <w:p w14:paraId="2FA4B1AA" w14:textId="52055B2D" w:rsidR="001A3C58" w:rsidRPr="00AF70C7"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AF70C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F70C7">
        <w:rPr>
          <w:rFonts w:ascii="Arial" w:eastAsia="Calibri" w:hAnsi="Arial" w:cs="Arial"/>
          <w:b/>
          <w:color w:val="000000" w:themeColor="text1"/>
          <w:sz w:val="22"/>
          <w:lang w:val="es-ES_tradnl"/>
        </w:rPr>
        <w:t xml:space="preserve">Problema planteado </w:t>
      </w:r>
    </w:p>
    <w:p w14:paraId="224B43D3" w14:textId="77777777" w:rsidR="00DD5B04" w:rsidRPr="00AF70C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FC4A233" w14:textId="59803E82" w:rsidR="00913A0F" w:rsidRPr="00AF70C7" w:rsidRDefault="00913A0F" w:rsidP="00481870">
      <w:pPr>
        <w:autoSpaceDE w:val="0"/>
        <w:autoSpaceDN w:val="0"/>
        <w:adjustRightInd w:val="0"/>
        <w:spacing w:line="276" w:lineRule="auto"/>
        <w:jc w:val="both"/>
        <w:rPr>
          <w:rFonts w:ascii="Arial" w:eastAsia="Arial" w:hAnsi="Arial" w:cs="Arial"/>
          <w:color w:val="000000" w:themeColor="text1"/>
          <w:sz w:val="22"/>
          <w:szCs w:val="22"/>
          <w:lang w:val="es-MX"/>
        </w:rPr>
      </w:pPr>
      <w:r w:rsidRPr="00AF70C7">
        <w:rPr>
          <w:rFonts w:ascii="Arial" w:eastAsia="Arial" w:hAnsi="Arial" w:cs="Arial"/>
          <w:color w:val="000000" w:themeColor="text1"/>
          <w:sz w:val="22"/>
          <w:szCs w:val="22"/>
          <w:lang w:val="es-MX"/>
        </w:rPr>
        <w:t>Bajo el contexto de la</w:t>
      </w:r>
      <w:r w:rsidR="00157B5C" w:rsidRPr="00AF70C7">
        <w:rPr>
          <w:rFonts w:ascii="Arial" w:eastAsia="Arial" w:hAnsi="Arial" w:cs="Arial"/>
          <w:color w:val="000000" w:themeColor="text1"/>
          <w:sz w:val="22"/>
          <w:szCs w:val="22"/>
          <w:lang w:val="es-MX"/>
        </w:rPr>
        <w:t>s</w:t>
      </w:r>
      <w:r w:rsidRPr="00AF70C7">
        <w:rPr>
          <w:rFonts w:ascii="Arial" w:eastAsia="Arial" w:hAnsi="Arial" w:cs="Arial"/>
          <w:color w:val="000000" w:themeColor="text1"/>
          <w:sz w:val="22"/>
          <w:szCs w:val="22"/>
          <w:lang w:val="es-MX"/>
        </w:rPr>
        <w:t xml:space="preserve"> prohibici</w:t>
      </w:r>
      <w:r w:rsidR="00157B5C" w:rsidRPr="00AF70C7">
        <w:rPr>
          <w:rFonts w:ascii="Arial" w:eastAsia="Arial" w:hAnsi="Arial" w:cs="Arial"/>
          <w:color w:val="000000" w:themeColor="text1"/>
          <w:sz w:val="22"/>
          <w:szCs w:val="22"/>
          <w:lang w:val="es-MX"/>
        </w:rPr>
        <w:t>o</w:t>
      </w:r>
      <w:r w:rsidRPr="00AF70C7">
        <w:rPr>
          <w:rFonts w:ascii="Arial" w:eastAsia="Arial" w:hAnsi="Arial" w:cs="Arial"/>
          <w:color w:val="000000" w:themeColor="text1"/>
          <w:sz w:val="22"/>
          <w:szCs w:val="22"/>
          <w:lang w:val="es-MX"/>
        </w:rPr>
        <w:t>n</w:t>
      </w:r>
      <w:r w:rsidR="00157B5C" w:rsidRPr="00AF70C7">
        <w:rPr>
          <w:rFonts w:ascii="Arial" w:eastAsia="Arial" w:hAnsi="Arial" w:cs="Arial"/>
          <w:color w:val="000000" w:themeColor="text1"/>
          <w:sz w:val="22"/>
          <w:szCs w:val="22"/>
          <w:lang w:val="es-MX"/>
        </w:rPr>
        <w:t>es en materia contractual</w:t>
      </w:r>
      <w:r w:rsidRPr="00AF70C7">
        <w:rPr>
          <w:rFonts w:ascii="Arial" w:eastAsia="Arial" w:hAnsi="Arial" w:cs="Arial"/>
          <w:color w:val="000000" w:themeColor="text1"/>
          <w:sz w:val="22"/>
          <w:szCs w:val="22"/>
          <w:lang w:val="es-MX"/>
        </w:rPr>
        <w:t xml:space="preserve"> </w:t>
      </w:r>
      <w:r w:rsidR="00157B5C" w:rsidRPr="00AF70C7">
        <w:rPr>
          <w:rFonts w:ascii="Arial" w:eastAsia="Arial" w:hAnsi="Arial" w:cs="Arial"/>
          <w:color w:val="000000" w:themeColor="text1"/>
          <w:sz w:val="22"/>
          <w:szCs w:val="22"/>
          <w:lang w:val="es-MX"/>
        </w:rPr>
        <w:t xml:space="preserve">establecidas en </w:t>
      </w:r>
      <w:r w:rsidRPr="00AF70C7">
        <w:rPr>
          <w:rFonts w:ascii="Arial" w:eastAsia="Arial" w:hAnsi="Arial" w:cs="Arial"/>
          <w:color w:val="000000" w:themeColor="text1"/>
          <w:sz w:val="22"/>
          <w:szCs w:val="22"/>
          <w:lang w:val="es-MX"/>
        </w:rPr>
        <w:t>la Ley 996 de 2005</w:t>
      </w:r>
      <w:r w:rsidR="00157B5C" w:rsidRPr="00AF70C7">
        <w:rPr>
          <w:rFonts w:ascii="Arial" w:eastAsia="Arial" w:hAnsi="Arial" w:cs="Arial"/>
          <w:color w:val="000000" w:themeColor="text1"/>
          <w:sz w:val="22"/>
          <w:szCs w:val="22"/>
          <w:lang w:val="es-MX"/>
        </w:rPr>
        <w:t xml:space="preserve"> –Ley de Garantías Electorales–</w:t>
      </w:r>
      <w:r w:rsidRPr="00AF70C7">
        <w:rPr>
          <w:rFonts w:ascii="Arial" w:eastAsia="Arial" w:hAnsi="Arial" w:cs="Arial"/>
          <w:color w:val="000000" w:themeColor="text1"/>
          <w:sz w:val="22"/>
          <w:szCs w:val="22"/>
          <w:lang w:val="es-MX"/>
        </w:rPr>
        <w:t>,</w:t>
      </w:r>
      <w:r w:rsidR="003D1E53" w:rsidRPr="00AF70C7">
        <w:rPr>
          <w:rFonts w:ascii="Arial" w:eastAsia="Arial" w:hAnsi="Arial" w:cs="Arial"/>
          <w:color w:val="000000" w:themeColor="text1"/>
          <w:sz w:val="22"/>
          <w:szCs w:val="22"/>
          <w:lang w:val="es-MX"/>
        </w:rPr>
        <w:t xml:space="preserve"> </w:t>
      </w:r>
      <w:r w:rsidR="005119ED" w:rsidRPr="00AF70C7">
        <w:rPr>
          <w:rFonts w:ascii="Arial" w:eastAsia="Arial" w:hAnsi="Arial" w:cs="Arial"/>
          <w:color w:val="000000" w:themeColor="text1"/>
          <w:sz w:val="22"/>
          <w:szCs w:val="22"/>
          <w:lang w:val="es-MX"/>
        </w:rPr>
        <w:t>el peticionario</w:t>
      </w:r>
      <w:r w:rsidR="00A24E1D" w:rsidRPr="00AF70C7">
        <w:rPr>
          <w:rFonts w:ascii="Arial" w:eastAsia="Arial" w:hAnsi="Arial" w:cs="Arial"/>
          <w:color w:val="000000" w:themeColor="text1"/>
          <w:sz w:val="22"/>
          <w:szCs w:val="22"/>
          <w:lang w:val="es-MX"/>
        </w:rPr>
        <w:t xml:space="preserve"> </w:t>
      </w:r>
      <w:r w:rsidR="009433D1" w:rsidRPr="00AF70C7">
        <w:rPr>
          <w:rFonts w:ascii="Arial" w:eastAsia="Arial" w:hAnsi="Arial" w:cs="Arial"/>
          <w:color w:val="000000" w:themeColor="text1"/>
          <w:sz w:val="22"/>
          <w:szCs w:val="22"/>
          <w:lang w:val="es-MX"/>
        </w:rPr>
        <w:t xml:space="preserve">consulta sobre su aplicación </w:t>
      </w:r>
      <w:r w:rsidR="00A24E1D" w:rsidRPr="00AF70C7">
        <w:rPr>
          <w:rFonts w:ascii="Arial" w:eastAsia="Arial" w:hAnsi="Arial" w:cs="Arial"/>
          <w:color w:val="000000" w:themeColor="text1"/>
          <w:sz w:val="22"/>
          <w:szCs w:val="22"/>
          <w:lang w:val="es-MX"/>
        </w:rPr>
        <w:t xml:space="preserve">en relación con </w:t>
      </w:r>
      <w:r w:rsidR="009433D1" w:rsidRPr="00AF70C7">
        <w:rPr>
          <w:rFonts w:ascii="Arial" w:eastAsia="Arial" w:hAnsi="Arial" w:cs="Arial"/>
          <w:color w:val="000000" w:themeColor="text1"/>
          <w:sz w:val="22"/>
          <w:szCs w:val="22"/>
          <w:lang w:val="es-MX"/>
        </w:rPr>
        <w:t xml:space="preserve">el Plan de Salud </w:t>
      </w:r>
      <w:r w:rsidR="00A24E1D" w:rsidRPr="00AF70C7">
        <w:rPr>
          <w:rFonts w:ascii="Arial" w:eastAsia="Arial" w:hAnsi="Arial" w:cs="Arial"/>
          <w:color w:val="000000" w:themeColor="text1"/>
          <w:sz w:val="22"/>
          <w:szCs w:val="22"/>
          <w:lang w:val="es-MX"/>
        </w:rPr>
        <w:t xml:space="preserve">Pública </w:t>
      </w:r>
      <w:r w:rsidR="009433D1" w:rsidRPr="00AF70C7">
        <w:rPr>
          <w:rFonts w:ascii="Arial" w:eastAsia="Arial" w:hAnsi="Arial" w:cs="Arial"/>
          <w:color w:val="000000" w:themeColor="text1"/>
          <w:sz w:val="22"/>
          <w:szCs w:val="22"/>
          <w:lang w:val="es-MX"/>
        </w:rPr>
        <w:t>de Intervenciones Colectivas –</w:t>
      </w:r>
      <w:proofErr w:type="spellStart"/>
      <w:r w:rsidR="009433D1" w:rsidRPr="00AF70C7">
        <w:rPr>
          <w:rFonts w:ascii="Arial" w:eastAsia="Arial" w:hAnsi="Arial" w:cs="Arial"/>
          <w:color w:val="000000" w:themeColor="text1"/>
          <w:sz w:val="22"/>
          <w:szCs w:val="22"/>
          <w:lang w:val="es-MX"/>
        </w:rPr>
        <w:t>PIC</w:t>
      </w:r>
      <w:proofErr w:type="spellEnd"/>
      <w:r w:rsidR="009433D1" w:rsidRPr="00AF70C7">
        <w:rPr>
          <w:rFonts w:ascii="Arial" w:eastAsia="Arial" w:hAnsi="Arial" w:cs="Arial"/>
          <w:color w:val="000000" w:themeColor="text1"/>
          <w:sz w:val="22"/>
          <w:szCs w:val="22"/>
          <w:lang w:val="es-MX"/>
        </w:rPr>
        <w:t>–.</w:t>
      </w:r>
      <w:r w:rsidR="00781CAE" w:rsidRPr="00AF70C7">
        <w:rPr>
          <w:rFonts w:ascii="Arial" w:eastAsia="Arial" w:hAnsi="Arial" w:cs="Arial"/>
          <w:color w:val="000000" w:themeColor="text1"/>
          <w:sz w:val="22"/>
          <w:szCs w:val="22"/>
          <w:lang w:val="es-MX"/>
        </w:rPr>
        <w:t xml:space="preserve"> En este sentido, </w:t>
      </w:r>
      <w:r w:rsidR="006161BE" w:rsidRPr="00AF70C7">
        <w:rPr>
          <w:rFonts w:ascii="Arial" w:eastAsia="Arial" w:hAnsi="Arial" w:cs="Arial"/>
          <w:color w:val="000000" w:themeColor="text1"/>
          <w:sz w:val="22"/>
          <w:szCs w:val="22"/>
          <w:lang w:val="es-MX"/>
        </w:rPr>
        <w:t xml:space="preserve">en </w:t>
      </w:r>
      <w:r w:rsidR="00781CAE" w:rsidRPr="00AF70C7">
        <w:rPr>
          <w:rFonts w:ascii="Arial" w:eastAsia="Arial" w:hAnsi="Arial" w:cs="Arial"/>
          <w:color w:val="000000" w:themeColor="text1"/>
          <w:sz w:val="22"/>
          <w:szCs w:val="22"/>
          <w:lang w:val="es-MX"/>
        </w:rPr>
        <w:t xml:space="preserve">la solicitud de </w:t>
      </w:r>
      <w:r w:rsidR="006161BE" w:rsidRPr="00AF70C7">
        <w:rPr>
          <w:rFonts w:ascii="Arial" w:eastAsia="Arial" w:hAnsi="Arial" w:cs="Arial"/>
          <w:color w:val="000000" w:themeColor="text1"/>
          <w:sz w:val="22"/>
          <w:szCs w:val="22"/>
          <w:lang w:val="es-MX"/>
        </w:rPr>
        <w:t xml:space="preserve">concepto </w:t>
      </w:r>
      <w:r w:rsidR="00781CAE" w:rsidRPr="00AF70C7">
        <w:rPr>
          <w:rFonts w:ascii="Arial" w:eastAsia="Arial" w:hAnsi="Arial" w:cs="Arial"/>
          <w:color w:val="000000" w:themeColor="text1"/>
          <w:sz w:val="22"/>
          <w:szCs w:val="22"/>
          <w:lang w:val="es-MX"/>
        </w:rPr>
        <w:t>se expresa:</w:t>
      </w:r>
      <w:r w:rsidR="009433D1" w:rsidRPr="00AF70C7">
        <w:rPr>
          <w:rFonts w:ascii="Arial" w:eastAsia="Arial" w:hAnsi="Arial" w:cs="Arial"/>
          <w:color w:val="000000" w:themeColor="text1"/>
          <w:sz w:val="22"/>
          <w:szCs w:val="22"/>
          <w:lang w:val="es-MX"/>
        </w:rPr>
        <w:t xml:space="preserve">  </w:t>
      </w:r>
    </w:p>
    <w:p w14:paraId="0DF6BBB3" w14:textId="77777777" w:rsidR="00913A0F" w:rsidRPr="00AF70C7" w:rsidRDefault="00913A0F" w:rsidP="00481870">
      <w:pPr>
        <w:autoSpaceDE w:val="0"/>
        <w:autoSpaceDN w:val="0"/>
        <w:adjustRightInd w:val="0"/>
        <w:spacing w:line="276" w:lineRule="auto"/>
        <w:jc w:val="both"/>
        <w:rPr>
          <w:rFonts w:ascii="Arial" w:eastAsia="Arial" w:hAnsi="Arial" w:cs="Arial"/>
          <w:color w:val="000000" w:themeColor="text1"/>
          <w:sz w:val="22"/>
          <w:szCs w:val="22"/>
          <w:lang w:val="es-MX"/>
        </w:rPr>
      </w:pPr>
    </w:p>
    <w:p w14:paraId="46BA7D1E" w14:textId="509EF022" w:rsidR="00CB7A34" w:rsidRPr="00AF70C7" w:rsidRDefault="00CB7A34" w:rsidP="00CB7A34">
      <w:pPr>
        <w:ind w:left="709" w:right="709"/>
        <w:jc w:val="both"/>
        <w:rPr>
          <w:rFonts w:ascii="Arial" w:hAnsi="Arial" w:cs="Arial"/>
          <w:sz w:val="21"/>
          <w:szCs w:val="21"/>
        </w:rPr>
      </w:pPr>
      <w:r w:rsidRPr="00AF70C7">
        <w:rPr>
          <w:rFonts w:ascii="Arial" w:hAnsi="Arial" w:cs="Arial"/>
          <w:bCs/>
          <w:sz w:val="21"/>
          <w:szCs w:val="21"/>
        </w:rPr>
        <w:t>«[…]</w:t>
      </w:r>
      <w:r w:rsidR="00671268" w:rsidRPr="00AF70C7">
        <w:rPr>
          <w:rFonts w:ascii="Arial" w:hAnsi="Arial" w:cs="Arial"/>
          <w:sz w:val="21"/>
          <w:szCs w:val="21"/>
        </w:rPr>
        <w:t xml:space="preserve"> </w:t>
      </w:r>
      <w:r w:rsidRPr="00AF70C7">
        <w:rPr>
          <w:rFonts w:ascii="Arial" w:hAnsi="Arial" w:cs="Arial"/>
          <w:sz w:val="21"/>
          <w:szCs w:val="21"/>
        </w:rPr>
        <w:t xml:space="preserve"> 1. Según lo define el numeral 3.2 del artículo 3 de la Resolución 518 de 2015 emanada del Ministerio de Salud y Protección Social ¿Son los Departamentos autoridades sanitarias conforme a las competencias en salud asignadas por la ley 715 de 2001?</w:t>
      </w:r>
    </w:p>
    <w:p w14:paraId="39BA5FDE" w14:textId="77777777" w:rsidR="00DF12BD" w:rsidRPr="00AF70C7" w:rsidRDefault="00DF12BD" w:rsidP="00CB7A34">
      <w:pPr>
        <w:ind w:left="709" w:right="709"/>
        <w:jc w:val="both"/>
        <w:rPr>
          <w:rFonts w:ascii="Arial" w:hAnsi="Arial" w:cs="Arial"/>
          <w:sz w:val="21"/>
          <w:szCs w:val="21"/>
        </w:rPr>
      </w:pPr>
    </w:p>
    <w:p w14:paraId="7B5EAF87" w14:textId="357167A4" w:rsidR="00CB7A34" w:rsidRPr="00AF70C7" w:rsidRDefault="00CB7A34" w:rsidP="00CB7A34">
      <w:pPr>
        <w:ind w:left="709" w:right="709"/>
        <w:jc w:val="both"/>
        <w:rPr>
          <w:rFonts w:ascii="Arial" w:hAnsi="Arial" w:cs="Arial"/>
          <w:bCs/>
          <w:sz w:val="21"/>
          <w:szCs w:val="21"/>
        </w:rPr>
      </w:pPr>
      <w:r w:rsidRPr="00AF70C7">
        <w:rPr>
          <w:rFonts w:ascii="Arial" w:hAnsi="Arial" w:cs="Arial"/>
          <w:sz w:val="21"/>
          <w:szCs w:val="21"/>
        </w:rPr>
        <w:lastRenderedPageBreak/>
        <w:t>2. Se encuentra inmerso en las causales de excepción que establece el inciso 2 del artículo 33 de la ley 996 de 2005, los contratos directos (contratos-interadministrativos) que celebre el Departamento con la Empresa Social del Estado (</w:t>
      </w:r>
      <w:proofErr w:type="spellStart"/>
      <w:r w:rsidRPr="00AF70C7">
        <w:rPr>
          <w:rFonts w:ascii="Arial" w:hAnsi="Arial" w:cs="Arial"/>
          <w:sz w:val="21"/>
          <w:szCs w:val="21"/>
        </w:rPr>
        <w:t>E.S.E</w:t>
      </w:r>
      <w:proofErr w:type="spellEnd"/>
      <w:r w:rsidRPr="00AF70C7">
        <w:rPr>
          <w:rFonts w:ascii="Arial" w:hAnsi="Arial" w:cs="Arial"/>
          <w:sz w:val="21"/>
          <w:szCs w:val="21"/>
        </w:rPr>
        <w:t>) y/o IPS públicas, para el desarrollo de las acciones de prestación de servicios de salud previstas en el Plan de Salud Pública de Intervenciones Colectivas?»</w:t>
      </w:r>
    </w:p>
    <w:p w14:paraId="037E7D68" w14:textId="67363858" w:rsidR="007446F6" w:rsidRPr="002E5E73" w:rsidRDefault="007446F6" w:rsidP="005873AF">
      <w:pPr>
        <w:ind w:left="709" w:right="709"/>
        <w:jc w:val="both"/>
        <w:rPr>
          <w:rFonts w:ascii="Arial" w:hAnsi="Arial" w:cs="Arial"/>
          <w:color w:val="000000" w:themeColor="text1"/>
          <w:sz w:val="21"/>
          <w:szCs w:val="21"/>
        </w:rPr>
      </w:pPr>
    </w:p>
    <w:p w14:paraId="124D2DCA" w14:textId="77777777" w:rsidR="00DD5B04" w:rsidRPr="00AF70C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F70C7">
        <w:rPr>
          <w:rFonts w:ascii="Arial" w:eastAsia="Calibri" w:hAnsi="Arial" w:cs="Arial"/>
          <w:b/>
          <w:color w:val="000000" w:themeColor="text1"/>
          <w:sz w:val="22"/>
          <w:lang w:val="es-ES_tradnl"/>
        </w:rPr>
        <w:t>Consideraciones</w:t>
      </w:r>
    </w:p>
    <w:p w14:paraId="4AF2B0B0" w14:textId="77777777" w:rsidR="00E740CD" w:rsidRPr="00AF70C7" w:rsidRDefault="00E740CD" w:rsidP="002E5E73">
      <w:pPr>
        <w:spacing w:line="276" w:lineRule="auto"/>
        <w:jc w:val="both"/>
        <w:rPr>
          <w:rFonts w:ascii="Arial" w:hAnsi="Arial" w:cs="Arial"/>
          <w:bCs/>
          <w:color w:val="000000" w:themeColor="text1"/>
          <w:sz w:val="22"/>
        </w:rPr>
      </w:pPr>
    </w:p>
    <w:p w14:paraId="75899EA6" w14:textId="30125925" w:rsidR="007233F6" w:rsidRPr="00AF70C7" w:rsidRDefault="009E0444" w:rsidP="002E5E73">
      <w:pPr>
        <w:spacing w:line="276" w:lineRule="auto"/>
        <w:jc w:val="both"/>
        <w:rPr>
          <w:rFonts w:ascii="Arial" w:hAnsi="Arial" w:cs="Arial"/>
          <w:bCs/>
          <w:color w:val="000000" w:themeColor="text1"/>
          <w:sz w:val="22"/>
        </w:rPr>
      </w:pPr>
      <w:r w:rsidRPr="00AF70C7">
        <w:rPr>
          <w:rFonts w:ascii="Arial" w:hAnsi="Arial" w:cs="Arial"/>
          <w:bCs/>
          <w:color w:val="000000" w:themeColor="text1"/>
          <w:sz w:val="22"/>
        </w:rPr>
        <w:t>E</w:t>
      </w:r>
      <w:r w:rsidR="007233F6" w:rsidRPr="00AF70C7">
        <w:rPr>
          <w:rFonts w:ascii="Arial" w:hAnsi="Arial" w:cs="Arial"/>
          <w:bCs/>
          <w:color w:val="000000" w:themeColor="text1"/>
          <w:sz w:val="22"/>
        </w:rPr>
        <w:t>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6" w:name="_Hlk61701014"/>
      <w:bookmarkStart w:id="7" w:name="_Hlk62136649"/>
      <w:r w:rsidR="007233F6" w:rsidRPr="00AF70C7">
        <w:rPr>
          <w:rFonts w:ascii="Arial" w:hAnsi="Arial" w:cs="Arial"/>
          <w:bCs/>
          <w:color w:val="000000" w:themeColor="text1"/>
          <w:sz w:val="22"/>
        </w:rPr>
        <w:t xml:space="preserve"> </w:t>
      </w:r>
      <w:r w:rsidR="007233F6" w:rsidRPr="00AF70C7">
        <w:rPr>
          <w:rFonts w:ascii="Arial" w:hAnsi="Arial" w:cs="Arial"/>
          <w:color w:val="000000" w:themeColor="text1"/>
          <w:sz w:val="22"/>
          <w:lang w:val="es-ES"/>
        </w:rPr>
        <w:t xml:space="preserve">Es necesario tener en cuenta que </w:t>
      </w:r>
      <w:bookmarkStart w:id="8" w:name="_Hlk61026958"/>
      <w:r w:rsidR="007233F6" w:rsidRPr="00AF70C7">
        <w:rPr>
          <w:rFonts w:ascii="Arial" w:hAnsi="Arial" w:cs="Arial"/>
          <w:color w:val="000000" w:themeColor="text1"/>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7233F6" w:rsidRPr="00AF70C7">
        <w:rPr>
          <w:rFonts w:ascii="Arial" w:hAnsi="Arial" w:cs="Arial"/>
          <w:bCs/>
          <w:color w:val="000000" w:themeColor="text1"/>
          <w:sz w:val="22"/>
        </w:rPr>
        <w:t xml:space="preserve"> de todos los partícipes de la contratación estatal.</w:t>
      </w:r>
    </w:p>
    <w:p w14:paraId="2C2E31C4" w14:textId="77777777" w:rsidR="005119ED" w:rsidRPr="00AF70C7" w:rsidRDefault="007233F6" w:rsidP="00B6207F">
      <w:pPr>
        <w:spacing w:before="120" w:line="276" w:lineRule="auto"/>
        <w:ind w:firstLine="708"/>
        <w:jc w:val="both"/>
        <w:rPr>
          <w:rFonts w:ascii="Arial" w:hAnsi="Arial" w:cs="Arial"/>
          <w:color w:val="000000" w:themeColor="text1"/>
          <w:sz w:val="22"/>
          <w:lang w:val="es-ES"/>
        </w:rPr>
      </w:pPr>
      <w:r w:rsidRPr="00AF70C7">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F70C7">
        <w:rPr>
          <w:rFonts w:ascii="Arial" w:hAnsi="Arial" w:cs="Arial"/>
          <w:color w:val="000000" w:themeColor="text1"/>
          <w:sz w:val="22"/>
          <w:vertAlign w:val="superscript"/>
          <w:lang w:val="es-ES"/>
        </w:rPr>
        <w:footnoteReference w:id="2"/>
      </w:r>
      <w:r w:rsidRPr="00AF70C7">
        <w:rPr>
          <w:rFonts w:ascii="Arial" w:hAnsi="Arial" w:cs="Arial"/>
          <w:color w:val="000000" w:themeColor="text1"/>
          <w:sz w:val="22"/>
          <w:lang w:val="es-ES"/>
        </w:rPr>
        <w:t>. Esta competencia de interpretación de normas generales, por definición, no puede extenderse a la resolución de controversias, ni a brindar asesorías sobre casos puntuales.</w:t>
      </w:r>
      <w:bookmarkEnd w:id="8"/>
      <w:r w:rsidRPr="00AF70C7">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6"/>
      <w:bookmarkEnd w:id="7"/>
    </w:p>
    <w:p w14:paraId="718A48D6" w14:textId="4B9D57B3" w:rsidR="00F54C37" w:rsidRPr="00AF70C7" w:rsidRDefault="007233F6" w:rsidP="00B6207F">
      <w:pPr>
        <w:spacing w:before="120" w:line="276" w:lineRule="auto"/>
        <w:ind w:firstLine="708"/>
        <w:jc w:val="both"/>
        <w:rPr>
          <w:rFonts w:ascii="Arial" w:eastAsia="Calibri" w:hAnsi="Arial" w:cs="Arial"/>
          <w:color w:val="000000" w:themeColor="text1"/>
          <w:sz w:val="22"/>
          <w:szCs w:val="22"/>
          <w:lang w:val="es-ES_tradnl"/>
        </w:rPr>
      </w:pPr>
      <w:r w:rsidRPr="00AF70C7">
        <w:rPr>
          <w:rFonts w:ascii="Arial" w:eastAsia="Calibri" w:hAnsi="Arial" w:cs="Arial"/>
          <w:color w:val="000000" w:themeColor="text1"/>
          <w:sz w:val="22"/>
        </w:rPr>
        <w:t xml:space="preserve">Sin perjuicio de lo anterior, </w:t>
      </w:r>
      <w:r w:rsidRPr="00AF70C7">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w:t>
      </w:r>
      <w:r w:rsidR="009E0444" w:rsidRPr="00AF70C7">
        <w:rPr>
          <w:rFonts w:ascii="Arial" w:eastAsia="Calibri" w:hAnsi="Arial" w:cs="Arial"/>
          <w:color w:val="000000" w:themeColor="text1"/>
          <w:sz w:val="22"/>
          <w:lang w:val="es-ES"/>
        </w:rPr>
        <w:t>, para lo cual se analizarán</w:t>
      </w:r>
      <w:r w:rsidR="00E85CE0" w:rsidRPr="00AF70C7">
        <w:rPr>
          <w:rFonts w:ascii="Arial" w:eastAsia="Calibri" w:hAnsi="Arial" w:cs="Arial"/>
          <w:color w:val="000000" w:themeColor="text1"/>
          <w:sz w:val="22"/>
          <w:lang w:val="es-ES"/>
        </w:rPr>
        <w:t xml:space="preserve"> los siguientes temas:</w:t>
      </w:r>
      <w:r w:rsidR="00E85CE0" w:rsidRPr="00AF70C7">
        <w:rPr>
          <w:rFonts w:ascii="Arial" w:eastAsia="Calibri" w:hAnsi="Arial" w:cs="Arial"/>
          <w:bCs/>
          <w:color w:val="000000" w:themeColor="text1"/>
          <w:sz w:val="22"/>
        </w:rPr>
        <w:t xml:space="preserve"> i) </w:t>
      </w:r>
      <w:r w:rsidR="006161BE" w:rsidRPr="00AF70C7">
        <w:rPr>
          <w:rFonts w:ascii="Arial" w:eastAsia="Calibri" w:hAnsi="Arial" w:cs="Arial"/>
          <w:bCs/>
          <w:color w:val="000000" w:themeColor="text1"/>
          <w:sz w:val="22"/>
        </w:rPr>
        <w:t>Plan de Salud Público de In</w:t>
      </w:r>
      <w:r w:rsidR="004D1322" w:rsidRPr="00AF70C7">
        <w:rPr>
          <w:rFonts w:ascii="Arial" w:eastAsia="Calibri" w:hAnsi="Arial" w:cs="Arial"/>
          <w:bCs/>
          <w:color w:val="000000" w:themeColor="text1"/>
          <w:sz w:val="22"/>
        </w:rPr>
        <w:t>tervención Colectiva –</w:t>
      </w:r>
      <w:proofErr w:type="spellStart"/>
      <w:r w:rsidR="004D1322" w:rsidRPr="00AF70C7">
        <w:rPr>
          <w:rFonts w:ascii="Arial" w:eastAsia="Calibri" w:hAnsi="Arial" w:cs="Arial"/>
          <w:bCs/>
          <w:color w:val="000000" w:themeColor="text1"/>
          <w:sz w:val="22"/>
        </w:rPr>
        <w:t>PIC</w:t>
      </w:r>
      <w:proofErr w:type="spellEnd"/>
      <w:r w:rsidR="004D1322" w:rsidRPr="00AF70C7">
        <w:rPr>
          <w:rFonts w:ascii="Arial" w:eastAsia="Calibri" w:hAnsi="Arial" w:cs="Arial"/>
          <w:bCs/>
          <w:color w:val="000000" w:themeColor="text1"/>
          <w:sz w:val="22"/>
        </w:rPr>
        <w:t xml:space="preserve">–; </w:t>
      </w:r>
      <w:proofErr w:type="spellStart"/>
      <w:r w:rsidR="004D1322" w:rsidRPr="00AF70C7">
        <w:rPr>
          <w:rFonts w:ascii="Arial" w:eastAsia="Calibri" w:hAnsi="Arial" w:cs="Arial"/>
          <w:bCs/>
          <w:color w:val="000000" w:themeColor="text1"/>
          <w:sz w:val="22"/>
        </w:rPr>
        <w:t>ii</w:t>
      </w:r>
      <w:proofErr w:type="spellEnd"/>
      <w:r w:rsidR="004D1322" w:rsidRPr="00AF70C7">
        <w:rPr>
          <w:rFonts w:ascii="Arial" w:eastAsia="Calibri" w:hAnsi="Arial" w:cs="Arial"/>
          <w:bCs/>
          <w:color w:val="000000" w:themeColor="text1"/>
          <w:sz w:val="22"/>
        </w:rPr>
        <w:t>) R</w:t>
      </w:r>
      <w:r w:rsidR="006161BE" w:rsidRPr="00AF70C7">
        <w:rPr>
          <w:rFonts w:ascii="Arial" w:eastAsia="Calibri" w:hAnsi="Arial" w:cs="Arial"/>
          <w:bCs/>
          <w:color w:val="000000" w:themeColor="text1"/>
          <w:sz w:val="22"/>
        </w:rPr>
        <w:t xml:space="preserve">estricciones para la celebración de contratos y convenios interadministrativos en </w:t>
      </w:r>
      <w:r w:rsidR="003D1E53" w:rsidRPr="00AF70C7">
        <w:rPr>
          <w:rFonts w:ascii="Arial" w:eastAsia="Calibri" w:hAnsi="Arial" w:cs="Arial"/>
          <w:bCs/>
          <w:color w:val="000000" w:themeColor="text1"/>
          <w:sz w:val="22"/>
        </w:rPr>
        <w:t xml:space="preserve">cualquier contienda electoral para </w:t>
      </w:r>
      <w:r w:rsidR="006161BE" w:rsidRPr="00AF70C7">
        <w:rPr>
          <w:rFonts w:ascii="Arial" w:eastAsia="Calibri" w:hAnsi="Arial" w:cs="Arial"/>
          <w:bCs/>
          <w:color w:val="000000" w:themeColor="text1"/>
          <w:sz w:val="22"/>
        </w:rPr>
        <w:t xml:space="preserve">cargos de elección popular: </w:t>
      </w:r>
      <w:r w:rsidR="006161BE" w:rsidRPr="00AF70C7">
        <w:rPr>
          <w:rFonts w:ascii="Arial" w:eastAsia="Calibri" w:hAnsi="Arial" w:cs="Arial"/>
          <w:bCs/>
          <w:color w:val="000000" w:themeColor="text1"/>
          <w:sz w:val="22"/>
        </w:rPr>
        <w:lastRenderedPageBreak/>
        <w:t>prohibición del parágrafo del artíc</w:t>
      </w:r>
      <w:r w:rsidR="003D1E53" w:rsidRPr="00AF70C7">
        <w:rPr>
          <w:rFonts w:ascii="Arial" w:eastAsia="Calibri" w:hAnsi="Arial" w:cs="Arial"/>
          <w:bCs/>
          <w:color w:val="000000" w:themeColor="text1"/>
          <w:sz w:val="22"/>
        </w:rPr>
        <w:t xml:space="preserve">ulo 38 de la Ley 996 de 2005; </w:t>
      </w:r>
      <w:proofErr w:type="spellStart"/>
      <w:r w:rsidR="003D1E53" w:rsidRPr="00AF70C7">
        <w:rPr>
          <w:rFonts w:ascii="Arial" w:eastAsia="Calibri" w:hAnsi="Arial" w:cs="Arial"/>
          <w:bCs/>
          <w:color w:val="000000" w:themeColor="text1"/>
          <w:sz w:val="22"/>
        </w:rPr>
        <w:t>iii</w:t>
      </w:r>
      <w:proofErr w:type="spellEnd"/>
      <w:r w:rsidR="006161BE" w:rsidRPr="00AF70C7">
        <w:rPr>
          <w:rFonts w:ascii="Arial" w:eastAsia="Calibri" w:hAnsi="Arial" w:cs="Arial"/>
          <w:bCs/>
          <w:color w:val="000000" w:themeColor="text1"/>
          <w:sz w:val="22"/>
        </w:rPr>
        <w:t xml:space="preserve">) </w:t>
      </w:r>
      <w:r w:rsidR="004D1322" w:rsidRPr="00AF70C7">
        <w:rPr>
          <w:rFonts w:ascii="Arial" w:eastAsia="Calibri" w:hAnsi="Arial" w:cs="Arial"/>
          <w:bCs/>
          <w:color w:val="000000" w:themeColor="text1"/>
          <w:sz w:val="22"/>
        </w:rPr>
        <w:t>R</w:t>
      </w:r>
      <w:r w:rsidR="003D2D38" w:rsidRPr="00AF70C7">
        <w:rPr>
          <w:rFonts w:ascii="Arial" w:eastAsia="Calibri" w:hAnsi="Arial" w:cs="Arial"/>
          <w:bCs/>
          <w:color w:val="000000" w:themeColor="text1"/>
          <w:sz w:val="22"/>
        </w:rPr>
        <w:t>estricciones en elecciones presidenciales: prohibición del artículo 33 de la Ley 996 de 2005</w:t>
      </w:r>
      <w:r w:rsidR="00E85CE0" w:rsidRPr="00AF70C7">
        <w:rPr>
          <w:rFonts w:ascii="Arial" w:eastAsia="Calibri" w:hAnsi="Arial" w:cs="Arial"/>
          <w:bCs/>
          <w:color w:val="000000" w:themeColor="text1"/>
          <w:sz w:val="22"/>
        </w:rPr>
        <w:t>,</w:t>
      </w:r>
      <w:r w:rsidR="003D1E53" w:rsidRPr="00AF70C7">
        <w:rPr>
          <w:rFonts w:ascii="Arial" w:eastAsia="Calibri" w:hAnsi="Arial" w:cs="Arial"/>
          <w:bCs/>
          <w:color w:val="000000" w:themeColor="text1"/>
          <w:sz w:val="22"/>
        </w:rPr>
        <w:t xml:space="preserve"> </w:t>
      </w:r>
      <w:r w:rsidR="00E85CE0" w:rsidRPr="00AF70C7">
        <w:rPr>
          <w:rFonts w:ascii="Arial" w:eastAsia="Calibri" w:hAnsi="Arial" w:cs="Arial"/>
          <w:bCs/>
          <w:color w:val="000000" w:themeColor="text1"/>
          <w:sz w:val="22"/>
        </w:rPr>
        <w:t xml:space="preserve"> </w:t>
      </w:r>
      <w:proofErr w:type="spellStart"/>
      <w:r w:rsidR="003D1E53" w:rsidRPr="00AF70C7">
        <w:rPr>
          <w:rFonts w:ascii="Arial" w:eastAsia="Calibri" w:hAnsi="Arial" w:cs="Arial"/>
          <w:bCs/>
          <w:color w:val="000000" w:themeColor="text1"/>
          <w:sz w:val="22"/>
        </w:rPr>
        <w:t>i</w:t>
      </w:r>
      <w:r w:rsidR="003D2D38" w:rsidRPr="00AF70C7">
        <w:rPr>
          <w:rFonts w:ascii="Arial" w:eastAsia="Calibri" w:hAnsi="Arial" w:cs="Arial"/>
          <w:bCs/>
          <w:color w:val="000000" w:themeColor="text1"/>
          <w:sz w:val="22"/>
        </w:rPr>
        <w:t>v</w:t>
      </w:r>
      <w:proofErr w:type="spellEnd"/>
      <w:r w:rsidR="00E85CE0" w:rsidRPr="00AF70C7">
        <w:rPr>
          <w:rFonts w:ascii="Arial" w:eastAsia="Calibri" w:hAnsi="Arial" w:cs="Arial"/>
          <w:bCs/>
          <w:color w:val="000000" w:themeColor="text1"/>
          <w:sz w:val="22"/>
        </w:rPr>
        <w:t xml:space="preserve">) </w:t>
      </w:r>
      <w:r w:rsidR="00E740CD" w:rsidRPr="00AF70C7">
        <w:rPr>
          <w:rFonts w:ascii="Arial" w:eastAsia="Calibri" w:hAnsi="Arial" w:cs="Arial"/>
          <w:bCs/>
          <w:color w:val="000000" w:themeColor="text1"/>
          <w:sz w:val="22"/>
        </w:rPr>
        <w:t xml:space="preserve">Destinatarios de la restricción del artículo 33 de la Ley 996 de 2005. Alcance de la excepción referida a entidades sanitarias. </w:t>
      </w:r>
    </w:p>
    <w:p w14:paraId="433DF896" w14:textId="6E3A38A7" w:rsidR="003827B5" w:rsidRPr="00AF70C7" w:rsidRDefault="001459D2" w:rsidP="00B6207F">
      <w:pPr>
        <w:spacing w:before="120" w:line="276" w:lineRule="auto"/>
        <w:ind w:firstLine="708"/>
        <w:jc w:val="both"/>
        <w:rPr>
          <w:rFonts w:ascii="Arial" w:eastAsia="Calibri" w:hAnsi="Arial" w:cs="Arial"/>
          <w:color w:val="000000" w:themeColor="text1"/>
          <w:sz w:val="22"/>
        </w:rPr>
      </w:pPr>
      <w:r w:rsidRPr="00AF70C7">
        <w:rPr>
          <w:rFonts w:ascii="Arial" w:eastAsia="Calibri" w:hAnsi="Arial" w:cs="Arial"/>
          <w:color w:val="000000" w:themeColor="text1"/>
          <w:sz w:val="22"/>
        </w:rPr>
        <w:t>Esta Agencia</w:t>
      </w:r>
      <w:r w:rsidR="00E670DD" w:rsidRPr="00AF70C7">
        <w:rPr>
          <w:rFonts w:ascii="Arial" w:eastAsia="Calibri" w:hAnsi="Arial" w:cs="Arial"/>
          <w:color w:val="000000" w:themeColor="text1"/>
          <w:sz w:val="22"/>
        </w:rPr>
        <w:t xml:space="preserve"> se ha pronunciado en diferentes ocasiones sobre la Ley de Garantías</w:t>
      </w:r>
      <w:r w:rsidRPr="00AF70C7">
        <w:rPr>
          <w:rFonts w:ascii="Arial" w:eastAsia="Calibri" w:hAnsi="Arial" w:cs="Arial"/>
          <w:color w:val="000000" w:themeColor="text1"/>
          <w:sz w:val="22"/>
        </w:rPr>
        <w:t xml:space="preserve"> Electorales</w:t>
      </w:r>
      <w:r w:rsidR="00E670DD" w:rsidRPr="00AF70C7">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AF70C7">
        <w:rPr>
          <w:rFonts w:ascii="Arial" w:eastAsia="Calibri" w:hAnsi="Arial" w:cs="Arial"/>
          <w:color w:val="000000" w:themeColor="text1"/>
          <w:sz w:val="22"/>
        </w:rPr>
        <w:t xml:space="preserve">, </w:t>
      </w:r>
      <w:r w:rsidR="00974B94" w:rsidRPr="00AF70C7">
        <w:rPr>
          <w:rFonts w:ascii="Arial" w:eastAsia="Calibri" w:hAnsi="Arial" w:cs="Arial"/>
          <w:color w:val="000000" w:themeColor="text1"/>
          <w:sz w:val="22"/>
        </w:rPr>
        <w:t xml:space="preserve"> C-227 del 24 de mayo de 2021</w:t>
      </w:r>
      <w:r w:rsidR="00E746A6" w:rsidRPr="00AF70C7">
        <w:rPr>
          <w:rFonts w:ascii="Arial" w:eastAsia="Calibri" w:hAnsi="Arial" w:cs="Arial"/>
          <w:color w:val="000000" w:themeColor="text1"/>
          <w:sz w:val="22"/>
        </w:rPr>
        <w:t xml:space="preserve"> y </w:t>
      </w:r>
      <w:r w:rsidR="0030575F" w:rsidRPr="00AF70C7">
        <w:rPr>
          <w:rFonts w:ascii="Arial" w:eastAsia="Calibri" w:hAnsi="Arial" w:cs="Arial"/>
          <w:color w:val="000000" w:themeColor="text1"/>
          <w:sz w:val="22"/>
        </w:rPr>
        <w:t>3</w:t>
      </w:r>
      <w:r w:rsidR="00E746A6" w:rsidRPr="00AF70C7">
        <w:rPr>
          <w:rFonts w:ascii="Arial" w:eastAsia="Calibri" w:hAnsi="Arial" w:cs="Arial"/>
          <w:color w:val="000000" w:themeColor="text1"/>
          <w:sz w:val="22"/>
        </w:rPr>
        <w:t>96 de</w:t>
      </w:r>
      <w:r w:rsidR="0030575F" w:rsidRPr="00AF70C7">
        <w:rPr>
          <w:rFonts w:ascii="Arial" w:eastAsia="Calibri" w:hAnsi="Arial" w:cs="Arial"/>
          <w:color w:val="000000" w:themeColor="text1"/>
          <w:sz w:val="22"/>
        </w:rPr>
        <w:t>l 13 de agosto de</w:t>
      </w:r>
      <w:r w:rsidR="00E746A6" w:rsidRPr="00AF70C7">
        <w:rPr>
          <w:rFonts w:ascii="Arial" w:eastAsia="Calibri" w:hAnsi="Arial" w:cs="Arial"/>
          <w:color w:val="000000" w:themeColor="text1"/>
          <w:sz w:val="22"/>
        </w:rPr>
        <w:t xml:space="preserve"> 2021</w:t>
      </w:r>
      <w:r w:rsidR="00E552DD" w:rsidRPr="00AF70C7">
        <w:rPr>
          <w:rFonts w:ascii="Arial" w:eastAsia="Calibri" w:hAnsi="Arial" w:cs="Arial"/>
          <w:color w:val="000000" w:themeColor="text1"/>
          <w:sz w:val="22"/>
        </w:rPr>
        <w:t>, C-429 del 27 de agosto de 2021</w:t>
      </w:r>
      <w:r w:rsidR="00A161D5" w:rsidRPr="00AF70C7">
        <w:rPr>
          <w:rFonts w:ascii="Arial" w:eastAsia="Calibri" w:hAnsi="Arial" w:cs="Arial"/>
          <w:color w:val="000000" w:themeColor="text1"/>
          <w:sz w:val="22"/>
        </w:rPr>
        <w:t xml:space="preserve">, C-456 del 3 de septiembre, C-481 del 9 de septiembre de 2021, </w:t>
      </w:r>
      <w:r w:rsidR="000A0A18" w:rsidRPr="00AF70C7">
        <w:rPr>
          <w:rFonts w:ascii="Arial" w:eastAsia="Calibri" w:hAnsi="Arial" w:cs="Arial"/>
          <w:color w:val="000000" w:themeColor="text1"/>
          <w:sz w:val="22"/>
        </w:rPr>
        <w:t>C- 528 del 27 de septiembre de 2021, C-550 del 5 de octubre de 2021</w:t>
      </w:r>
      <w:r w:rsidR="00E552DD" w:rsidRPr="00AF70C7">
        <w:rPr>
          <w:rFonts w:ascii="Arial" w:eastAsia="Calibri" w:hAnsi="Arial" w:cs="Arial"/>
          <w:color w:val="000000" w:themeColor="text1"/>
          <w:sz w:val="22"/>
        </w:rPr>
        <w:t xml:space="preserve"> y C-523 del </w:t>
      </w:r>
      <w:r w:rsidR="00E17CD1" w:rsidRPr="00AF70C7">
        <w:rPr>
          <w:rFonts w:ascii="Arial" w:eastAsia="Calibri" w:hAnsi="Arial" w:cs="Arial"/>
          <w:color w:val="000000" w:themeColor="text1"/>
          <w:sz w:val="22"/>
        </w:rPr>
        <w:t>10 de octubre de 2021</w:t>
      </w:r>
      <w:r w:rsidR="008D5CD5" w:rsidRPr="00AF70C7">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FB33E1" w:rsidRPr="00AF70C7">
        <w:rPr>
          <w:rFonts w:ascii="Arial" w:eastAsia="Calibri" w:hAnsi="Arial" w:cs="Arial"/>
          <w:color w:val="000000" w:themeColor="text1"/>
          <w:sz w:val="22"/>
        </w:rPr>
        <w:t>,</w:t>
      </w:r>
      <w:r w:rsidR="00913A0F" w:rsidRPr="00AF70C7">
        <w:rPr>
          <w:rFonts w:ascii="Arial" w:eastAsia="Calibri" w:hAnsi="Arial" w:cs="Arial"/>
          <w:color w:val="000000" w:themeColor="text1"/>
          <w:sz w:val="22"/>
        </w:rPr>
        <w:t xml:space="preserve"> C-002 del 15 de febrero de 2022,</w:t>
      </w:r>
      <w:r w:rsidR="00FB33E1" w:rsidRPr="00AF70C7">
        <w:rPr>
          <w:rFonts w:ascii="Arial" w:eastAsia="Calibri" w:hAnsi="Arial" w:cs="Arial"/>
          <w:color w:val="000000" w:themeColor="text1"/>
          <w:sz w:val="22"/>
        </w:rPr>
        <w:t xml:space="preserve"> C-014</w:t>
      </w:r>
      <w:r w:rsidR="00FE5EF7" w:rsidRPr="00AF70C7">
        <w:rPr>
          <w:rFonts w:ascii="Arial" w:eastAsia="Calibri" w:hAnsi="Arial" w:cs="Arial"/>
          <w:color w:val="000000" w:themeColor="text1"/>
          <w:sz w:val="22"/>
        </w:rPr>
        <w:t xml:space="preserve"> del 18 de febrero de 2022,</w:t>
      </w:r>
      <w:r w:rsidR="00913A0F" w:rsidRPr="00AF70C7">
        <w:rPr>
          <w:rFonts w:ascii="Arial" w:eastAsia="Calibri" w:hAnsi="Arial" w:cs="Arial"/>
          <w:color w:val="000000" w:themeColor="text1"/>
          <w:sz w:val="22"/>
        </w:rPr>
        <w:t xml:space="preserve"> entre otros</w:t>
      </w:r>
      <w:r w:rsidR="00974B94" w:rsidRPr="00AF70C7">
        <w:rPr>
          <w:rFonts w:ascii="Arial" w:eastAsia="Calibri" w:hAnsi="Arial" w:cs="Arial"/>
          <w:color w:val="000000" w:themeColor="text1"/>
          <w:sz w:val="22"/>
        </w:rPr>
        <w:t>.</w:t>
      </w:r>
      <w:r w:rsidR="008F06C1" w:rsidRPr="00AF70C7">
        <w:rPr>
          <w:rFonts w:ascii="Arial" w:eastAsia="Calibri" w:hAnsi="Arial" w:cs="Arial"/>
          <w:color w:val="000000" w:themeColor="text1"/>
          <w:sz w:val="22"/>
        </w:rPr>
        <w:t xml:space="preserve"> De igual manera, en el concepto C-044 del 04 de marzo de 2022, </w:t>
      </w:r>
      <w:r w:rsidR="00C84DD3" w:rsidRPr="00AF70C7">
        <w:rPr>
          <w:rFonts w:ascii="Arial" w:eastAsia="Calibri" w:hAnsi="Arial" w:cs="Arial"/>
          <w:color w:val="000000" w:themeColor="text1"/>
          <w:sz w:val="22"/>
        </w:rPr>
        <w:t xml:space="preserve">la Agencia </w:t>
      </w:r>
      <w:r w:rsidR="008F06C1" w:rsidRPr="00AF70C7">
        <w:rPr>
          <w:rFonts w:ascii="Arial" w:eastAsia="Calibri" w:hAnsi="Arial" w:cs="Arial"/>
          <w:color w:val="000000" w:themeColor="text1"/>
          <w:sz w:val="22"/>
        </w:rPr>
        <w:t xml:space="preserve">abordó el tema de la contratación del </w:t>
      </w:r>
      <w:proofErr w:type="spellStart"/>
      <w:r w:rsidR="008F06C1" w:rsidRPr="00AF70C7">
        <w:rPr>
          <w:rFonts w:ascii="Arial" w:eastAsia="Calibri" w:hAnsi="Arial" w:cs="Arial"/>
          <w:color w:val="000000" w:themeColor="text1"/>
          <w:sz w:val="22"/>
        </w:rPr>
        <w:t>PIC</w:t>
      </w:r>
      <w:proofErr w:type="spellEnd"/>
      <w:r w:rsidR="008F06C1" w:rsidRPr="00AF70C7">
        <w:rPr>
          <w:rFonts w:ascii="Arial" w:eastAsia="Calibri" w:hAnsi="Arial" w:cs="Arial"/>
          <w:color w:val="000000" w:themeColor="text1"/>
          <w:sz w:val="22"/>
        </w:rPr>
        <w:t xml:space="preserve"> y la Ley de Garantías. </w:t>
      </w:r>
      <w:r w:rsidR="009A773A" w:rsidRPr="00AF70C7">
        <w:rPr>
          <w:rFonts w:ascii="Arial" w:eastAsia="Calibri" w:hAnsi="Arial" w:cs="Arial"/>
          <w:color w:val="000000" w:themeColor="text1"/>
          <w:sz w:val="22"/>
        </w:rPr>
        <w:t xml:space="preserve"> </w:t>
      </w:r>
      <w:r w:rsidR="008F06C1" w:rsidRPr="00AF70C7">
        <w:rPr>
          <w:rFonts w:ascii="Arial" w:eastAsia="Calibri" w:hAnsi="Arial" w:cs="Arial"/>
          <w:color w:val="000000" w:themeColor="text1"/>
          <w:sz w:val="22"/>
        </w:rPr>
        <w:t>Las tesis expuestas en estos conceptos se desarrollan y se complementan en lo pertinente a continuación.</w:t>
      </w:r>
    </w:p>
    <w:p w14:paraId="49C896A7" w14:textId="68D46CA3" w:rsidR="008F06C1" w:rsidRPr="00AF70C7" w:rsidRDefault="008F06C1" w:rsidP="00B6207F">
      <w:pPr>
        <w:spacing w:line="276" w:lineRule="auto"/>
        <w:jc w:val="both"/>
        <w:rPr>
          <w:rFonts w:ascii="Arial" w:eastAsia="Calibri" w:hAnsi="Arial" w:cs="Arial"/>
          <w:color w:val="000000" w:themeColor="text1"/>
          <w:sz w:val="22"/>
        </w:rPr>
      </w:pPr>
    </w:p>
    <w:p w14:paraId="3AD5D1A6" w14:textId="77777777" w:rsidR="00F7557E" w:rsidRPr="00AF70C7" w:rsidRDefault="00F7557E" w:rsidP="00F7557E">
      <w:pPr>
        <w:spacing w:line="276" w:lineRule="auto"/>
        <w:jc w:val="both"/>
        <w:rPr>
          <w:rFonts w:ascii="Arial" w:eastAsia="Calibri" w:hAnsi="Arial" w:cs="Arial"/>
          <w:b/>
          <w:bCs/>
          <w:color w:val="000000" w:themeColor="text1"/>
          <w:sz w:val="22"/>
        </w:rPr>
      </w:pPr>
      <w:r w:rsidRPr="00AF70C7">
        <w:rPr>
          <w:rFonts w:ascii="Arial" w:eastAsia="Calibri" w:hAnsi="Arial" w:cs="Arial"/>
          <w:b/>
          <w:bCs/>
          <w:color w:val="000000" w:themeColor="text1"/>
          <w:sz w:val="22"/>
        </w:rPr>
        <w:t>2.1. Plan de Salud Público de Intervención Colectiva –</w:t>
      </w:r>
      <w:proofErr w:type="spellStart"/>
      <w:r w:rsidRPr="00AF70C7">
        <w:rPr>
          <w:rFonts w:ascii="Arial" w:eastAsia="Calibri" w:hAnsi="Arial" w:cs="Arial"/>
          <w:b/>
          <w:bCs/>
          <w:color w:val="000000" w:themeColor="text1"/>
          <w:sz w:val="22"/>
        </w:rPr>
        <w:t>PIC</w:t>
      </w:r>
      <w:proofErr w:type="spellEnd"/>
      <w:r w:rsidRPr="00AF70C7">
        <w:rPr>
          <w:rFonts w:ascii="Arial" w:eastAsia="Calibri" w:hAnsi="Arial" w:cs="Arial"/>
          <w:b/>
          <w:bCs/>
          <w:color w:val="000000" w:themeColor="text1"/>
          <w:sz w:val="22"/>
        </w:rPr>
        <w:t>–</w:t>
      </w:r>
    </w:p>
    <w:p w14:paraId="37D8A832" w14:textId="77777777" w:rsidR="00F7557E" w:rsidRPr="00AF70C7" w:rsidRDefault="00F7557E" w:rsidP="00F7557E">
      <w:pPr>
        <w:spacing w:line="276" w:lineRule="auto"/>
        <w:jc w:val="both"/>
        <w:rPr>
          <w:rFonts w:ascii="Arial" w:eastAsia="Calibri" w:hAnsi="Arial" w:cs="Arial"/>
          <w:b/>
          <w:bCs/>
          <w:color w:val="000000" w:themeColor="text1"/>
          <w:sz w:val="22"/>
        </w:rPr>
      </w:pPr>
    </w:p>
    <w:p w14:paraId="0DB9464E" w14:textId="77777777" w:rsidR="00F7557E" w:rsidRPr="00AF70C7" w:rsidRDefault="00F7557E" w:rsidP="00F7557E">
      <w:pPr>
        <w:spacing w:after="120" w:line="276" w:lineRule="auto"/>
        <w:jc w:val="both"/>
        <w:rPr>
          <w:rFonts w:ascii="Arial" w:hAnsi="Arial" w:cs="Arial"/>
          <w:color w:val="000000" w:themeColor="text1"/>
          <w:sz w:val="22"/>
          <w:szCs w:val="22"/>
        </w:rPr>
      </w:pPr>
      <w:r w:rsidRPr="00AF70C7">
        <w:rPr>
          <w:rFonts w:ascii="Arial" w:eastAsia="Arial" w:hAnsi="Arial" w:cs="Arial"/>
          <w:color w:val="000000" w:themeColor="text1"/>
          <w:sz w:val="22"/>
          <w:szCs w:val="22"/>
          <w:lang w:val="es-MX"/>
        </w:rPr>
        <w:t>Teniendo en cuenta que las preguntas del peticionario se relacionan con el Plan de Salud Público de Intervención Colectiva –</w:t>
      </w:r>
      <w:proofErr w:type="spellStart"/>
      <w:r w:rsidRPr="00AF70C7">
        <w:rPr>
          <w:rFonts w:ascii="Arial" w:eastAsia="Arial" w:hAnsi="Arial" w:cs="Arial"/>
          <w:color w:val="000000" w:themeColor="text1"/>
          <w:sz w:val="22"/>
          <w:szCs w:val="22"/>
          <w:lang w:val="es-MX"/>
        </w:rPr>
        <w:t>PIC</w:t>
      </w:r>
      <w:proofErr w:type="spellEnd"/>
      <w:r w:rsidRPr="00AF70C7">
        <w:rPr>
          <w:rFonts w:ascii="Arial" w:eastAsia="Arial" w:hAnsi="Arial" w:cs="Arial"/>
          <w:color w:val="000000" w:themeColor="text1"/>
          <w:sz w:val="22"/>
          <w:szCs w:val="22"/>
          <w:lang w:val="es-MX"/>
        </w:rPr>
        <w:t>–, desarrollado en la Resolución 518 de 2015, a continuación, se realizarán algunas consideraciones en torno al mismo, atendiendo a los aspectos contractuales, para posteriormente analizar las prohibiciones establecidas en la Ley de Garantías Electorales. De esta manera, e</w:t>
      </w:r>
      <w:r w:rsidRPr="00AF70C7">
        <w:rPr>
          <w:rFonts w:ascii="Arial" w:hAnsi="Arial" w:cs="Arial"/>
          <w:color w:val="000000" w:themeColor="text1"/>
          <w:sz w:val="22"/>
          <w:szCs w:val="22"/>
        </w:rPr>
        <w:t>l artículo 8 de la Resolución 518 de 2015, «Por la cual se dictan disposiciones en relación con la Gestión de la Salud Pública y se establecen directrices para la ejecución, seguimiento y evaluación del Plan de Salud Pública de Intervenciones Colectivas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define a los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así: </w:t>
      </w:r>
      <w:r w:rsidRPr="00AF70C7">
        <w:rPr>
          <w:rFonts w:ascii="Arial" w:hAnsi="Arial" w:cs="Arial"/>
          <w:bCs/>
          <w:color w:val="000000" w:themeColor="text1"/>
          <w:sz w:val="22"/>
          <w:szCs w:val="22"/>
          <w:lang w:eastAsia="es-CO"/>
        </w:rPr>
        <w:t>«</w:t>
      </w:r>
      <w:r w:rsidRPr="00AF70C7">
        <w:rPr>
          <w:rFonts w:ascii="Arial" w:hAnsi="Arial" w:cs="Arial"/>
          <w:color w:val="000000" w:themeColor="text1"/>
          <w:sz w:val="22"/>
          <w:szCs w:val="22"/>
        </w:rPr>
        <w:t xml:space="preserve">Es un plan complementario al Plan Obligatorio de Salud - </w:t>
      </w:r>
      <w:proofErr w:type="spellStart"/>
      <w:r w:rsidRPr="00AF70C7">
        <w:rPr>
          <w:rFonts w:ascii="Arial" w:hAnsi="Arial" w:cs="Arial"/>
          <w:color w:val="000000" w:themeColor="text1"/>
          <w:sz w:val="22"/>
          <w:szCs w:val="22"/>
        </w:rPr>
        <w:t>POS</w:t>
      </w:r>
      <w:proofErr w:type="spellEnd"/>
      <w:r w:rsidRPr="00AF70C7">
        <w:rPr>
          <w:rFonts w:ascii="Arial" w:hAnsi="Arial" w:cs="Arial"/>
          <w:color w:val="000000" w:themeColor="text1"/>
          <w:sz w:val="22"/>
          <w:szCs w:val="22"/>
        </w:rPr>
        <w:t xml:space="preserve"> y otros beneficios, dirigido a impactar positivamente los determinantes sociales de la salud e incidir en los resultados en salud, a través de la ejecución de intervenciones colectivas o individuales de alta externalidad en salud definidas en la presente resolución, desarrolladas a lo largo del curso de vida, en el marco del derecho a la salud y de lo definido en el Plan Decenal de Salud Pública </w:t>
      </w:r>
      <w:proofErr w:type="spellStart"/>
      <w:r w:rsidRPr="00AF70C7">
        <w:rPr>
          <w:rFonts w:ascii="Arial" w:hAnsi="Arial" w:cs="Arial"/>
          <w:color w:val="000000" w:themeColor="text1"/>
          <w:sz w:val="22"/>
          <w:szCs w:val="22"/>
        </w:rPr>
        <w:t>PDSP</w:t>
      </w:r>
      <w:proofErr w:type="spellEnd"/>
      <w:r w:rsidRPr="00AF70C7">
        <w:rPr>
          <w:rFonts w:ascii="Arial" w:hAnsi="Arial" w:cs="Arial"/>
          <w:bCs/>
          <w:color w:val="000000" w:themeColor="text1"/>
          <w:sz w:val="22"/>
          <w:szCs w:val="22"/>
          <w:lang w:eastAsia="es-CO"/>
        </w:rPr>
        <w:t>»</w:t>
      </w:r>
      <w:r w:rsidRPr="00AF70C7">
        <w:rPr>
          <w:rFonts w:ascii="Arial" w:hAnsi="Arial" w:cs="Arial"/>
          <w:color w:val="000000" w:themeColor="text1"/>
          <w:sz w:val="22"/>
          <w:szCs w:val="22"/>
        </w:rPr>
        <w:t xml:space="preserve">. </w:t>
      </w:r>
    </w:p>
    <w:p w14:paraId="17CAE466" w14:textId="77777777" w:rsidR="00F7557E" w:rsidRPr="00AF70C7" w:rsidRDefault="00F7557E" w:rsidP="00F7557E">
      <w:pPr>
        <w:spacing w:after="120" w:line="276" w:lineRule="auto"/>
        <w:ind w:firstLine="708"/>
        <w:jc w:val="both"/>
        <w:rPr>
          <w:rFonts w:ascii="Arial" w:hAnsi="Arial" w:cs="Arial"/>
          <w:color w:val="000000" w:themeColor="text1"/>
          <w:sz w:val="22"/>
          <w:szCs w:val="22"/>
        </w:rPr>
      </w:pPr>
      <w:r w:rsidRPr="00AF70C7">
        <w:rPr>
          <w:rFonts w:ascii="Arial" w:hAnsi="Arial" w:cs="Arial"/>
          <w:color w:val="000000" w:themeColor="text1"/>
          <w:sz w:val="22"/>
          <w:szCs w:val="22"/>
        </w:rPr>
        <w:t xml:space="preserve">Posteriormente, el artículo 14 de la Resolución 518 de 2015 dispone que las intervenciones colectivas se contratarán con las instituciones que tengan capacidad técnica y operativa, de acuerdo con los criterios establecidos en el artículo 15 de dicha resolución </w:t>
      </w:r>
      <w:r w:rsidRPr="00AF70C7">
        <w:rPr>
          <w:rFonts w:ascii="Arial" w:hAnsi="Arial" w:cs="Arial"/>
          <w:color w:val="000000" w:themeColor="text1"/>
          <w:sz w:val="22"/>
          <w:szCs w:val="22"/>
        </w:rPr>
        <w:lastRenderedPageBreak/>
        <w:t xml:space="preserve">y cumpliendo con la normatividad vigente en materia de contratación estatal, para lo cual se tendrá en cuenta lo siguiente: en primer lugar, la entidad territorial contratará prioritariamente con las Empresas Sociales del Estado ubicadas en el territorio (incluye las IPS indígenas), las acciones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para las cuales tenga capacidad técnica y operativa. En segundo lugar, cuando la IPS pública ubicada en el territorio no esté en capacidad de ejecutar algunas acciones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la entidad territorial podrá contratarlas con Empresas Sociales del Estado de municipios vecinos. Del mismo modo, podrá contratarlas cuando por su ubicación geográfica, estas IPS estén en mejor capacidad de garantizar el acceso de la población a dichas intervenciones. En tercer lugar, en el evento de que las IPS públicas no cuenten con la capacidad técnica y operativa, la entidad territorial podrá contratar las acciones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con instituciones prestadoras de salud privadas ubicadas en el municipio, organizaciones no gubernamentales (ONG), universidades y otras entidades privadas cuyo objeto social esté relacionado con la prestación de las acciones que se contraten, siempre y cuando cumplan los criterios definidos en el artículo 15 de dicha resolución. En estos eventos se acudirá a los parámetros de selección previstos en la normativa vigente sobre la materia. </w:t>
      </w:r>
    </w:p>
    <w:p w14:paraId="5DA8CA29" w14:textId="77777777" w:rsidR="00F7557E" w:rsidRPr="00AF70C7" w:rsidRDefault="00F7557E" w:rsidP="00F7557E">
      <w:pPr>
        <w:spacing w:after="120" w:line="276" w:lineRule="auto"/>
        <w:ind w:firstLine="708"/>
        <w:jc w:val="both"/>
        <w:rPr>
          <w:rFonts w:ascii="Arial" w:hAnsi="Arial" w:cs="Arial"/>
          <w:color w:val="000000" w:themeColor="text1"/>
          <w:sz w:val="22"/>
          <w:szCs w:val="22"/>
        </w:rPr>
      </w:pPr>
      <w:r w:rsidRPr="00AF70C7">
        <w:rPr>
          <w:rFonts w:ascii="Arial" w:hAnsi="Arial" w:cs="Arial"/>
          <w:color w:val="000000" w:themeColor="text1"/>
          <w:sz w:val="22"/>
          <w:szCs w:val="22"/>
        </w:rPr>
        <w:t xml:space="preserve">En este sentido, se señala dentro de la Resolución 518 de 2015 que la institución que sea contratada para ejecutar las acciones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no podrá subcontratarlas. Sin embargo, podrá contratar las actividades de apoyo que permitan la ejecución de las intervenciones, procedimientos, actividades y adquisición de insumos, descritos en el Anexo Técnico que hace parte integral de la presente resolución. Así mismo, se señala que podrán realizarse alianzas entre dos o más municipios para la contratación de intervenciones colectivas en el marco de estrategias conjuntas de salud pública, que tengan un alcance regional o que permitan optimizar esfuerzos y recursos.</w:t>
      </w:r>
    </w:p>
    <w:p w14:paraId="2F606E12" w14:textId="77777777" w:rsidR="00F7557E" w:rsidRPr="00AF70C7" w:rsidRDefault="00F7557E" w:rsidP="00F7557E">
      <w:pPr>
        <w:spacing w:after="120" w:line="276" w:lineRule="auto"/>
        <w:ind w:firstLine="708"/>
        <w:jc w:val="both"/>
        <w:rPr>
          <w:rFonts w:ascii="Arial" w:hAnsi="Arial" w:cs="Arial"/>
          <w:color w:val="000000" w:themeColor="text1"/>
          <w:sz w:val="22"/>
          <w:szCs w:val="22"/>
        </w:rPr>
      </w:pPr>
      <w:r w:rsidRPr="00AF70C7">
        <w:rPr>
          <w:rFonts w:ascii="Arial" w:hAnsi="Arial" w:cs="Arial"/>
          <w:color w:val="000000" w:themeColor="text1"/>
          <w:sz w:val="22"/>
          <w:szCs w:val="22"/>
        </w:rPr>
        <w:t xml:space="preserve">En esa misma línea, el artículo 15 de la Resolución 518 de 2015 establece que para la contratación de las acciones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la entidad territorial debe verificar que la institución a contratar cumpla con los siguientes criterios: i) tener mínimo dos (2) años de experiencia relacionada con la ejecución de las acciones que se pretendan contratar; </w:t>
      </w:r>
      <w:proofErr w:type="spellStart"/>
      <w:r w:rsidRPr="00AF70C7">
        <w:rPr>
          <w:rFonts w:ascii="Arial" w:hAnsi="Arial" w:cs="Arial"/>
          <w:color w:val="000000" w:themeColor="text1"/>
          <w:sz w:val="22"/>
          <w:szCs w:val="22"/>
        </w:rPr>
        <w:t>ii</w:t>
      </w:r>
      <w:proofErr w:type="spellEnd"/>
      <w:r w:rsidRPr="00AF70C7">
        <w:rPr>
          <w:rFonts w:ascii="Arial" w:hAnsi="Arial" w:cs="Arial"/>
          <w:color w:val="000000" w:themeColor="text1"/>
          <w:sz w:val="22"/>
          <w:szCs w:val="22"/>
        </w:rPr>
        <w:t xml:space="preserve">) disponer de un coordinador para la ejecución de las acciones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que se pretenda contratar, respecto del cual se debe acreditar que cuenta con el perfil establecido por la entidad territorial; </w:t>
      </w:r>
      <w:proofErr w:type="spellStart"/>
      <w:r w:rsidRPr="00AF70C7">
        <w:rPr>
          <w:rFonts w:ascii="Arial" w:hAnsi="Arial" w:cs="Arial"/>
          <w:color w:val="000000" w:themeColor="text1"/>
          <w:sz w:val="22"/>
          <w:szCs w:val="22"/>
        </w:rPr>
        <w:t>iii</w:t>
      </w:r>
      <w:proofErr w:type="spellEnd"/>
      <w:r w:rsidRPr="00AF70C7">
        <w:rPr>
          <w:rFonts w:ascii="Arial" w:hAnsi="Arial" w:cs="Arial"/>
          <w:color w:val="000000" w:themeColor="text1"/>
          <w:sz w:val="22"/>
          <w:szCs w:val="22"/>
        </w:rPr>
        <w:t xml:space="preserve">) tener una evaluación satisfactoria en la ejecución técnica y financiera del último contrato suscrito con una entidad territorial; la evaluación deberá estar soportada y documentada frente a los lineamientos técnicos pactados; y </w:t>
      </w:r>
      <w:proofErr w:type="spellStart"/>
      <w:r w:rsidRPr="00AF70C7">
        <w:rPr>
          <w:rFonts w:ascii="Arial" w:hAnsi="Arial" w:cs="Arial"/>
          <w:color w:val="000000" w:themeColor="text1"/>
          <w:sz w:val="22"/>
          <w:szCs w:val="22"/>
        </w:rPr>
        <w:t>iv</w:t>
      </w:r>
      <w:proofErr w:type="spellEnd"/>
      <w:r w:rsidRPr="00AF70C7">
        <w:rPr>
          <w:rFonts w:ascii="Arial" w:hAnsi="Arial" w:cs="Arial"/>
          <w:color w:val="000000" w:themeColor="text1"/>
          <w:sz w:val="22"/>
          <w:szCs w:val="22"/>
        </w:rPr>
        <w:t xml:space="preserve">) deberá cumplirse con lo establecido por el Sistema Único de Habilitación, cuando la acción del </w:t>
      </w:r>
      <w:proofErr w:type="spellStart"/>
      <w:r w:rsidRPr="00AF70C7">
        <w:rPr>
          <w:rFonts w:ascii="Arial" w:hAnsi="Arial" w:cs="Arial"/>
          <w:color w:val="000000" w:themeColor="text1"/>
          <w:sz w:val="22"/>
          <w:szCs w:val="22"/>
        </w:rPr>
        <w:t>PIC</w:t>
      </w:r>
      <w:proofErr w:type="spellEnd"/>
      <w:r w:rsidRPr="00AF70C7">
        <w:rPr>
          <w:rFonts w:ascii="Arial" w:hAnsi="Arial" w:cs="Arial"/>
          <w:color w:val="000000" w:themeColor="text1"/>
          <w:sz w:val="22"/>
          <w:szCs w:val="22"/>
        </w:rPr>
        <w:t xml:space="preserve"> a contratar lo requiera –manejo de biológicos, medicamentos, dispositivos, tamizajes o insumos médicos–. </w:t>
      </w:r>
    </w:p>
    <w:p w14:paraId="216B86F3" w14:textId="12F60F4A" w:rsidR="00F7557E" w:rsidRPr="00AF70C7" w:rsidRDefault="00F7557E" w:rsidP="00F7557E">
      <w:pPr>
        <w:spacing w:after="120" w:line="276" w:lineRule="auto"/>
        <w:ind w:firstLine="708"/>
        <w:jc w:val="both"/>
        <w:rPr>
          <w:rFonts w:ascii="Arial" w:hAnsi="Arial" w:cs="Arial"/>
          <w:color w:val="000000" w:themeColor="text1"/>
          <w:sz w:val="22"/>
          <w:szCs w:val="22"/>
        </w:rPr>
      </w:pPr>
      <w:r w:rsidRPr="00AF70C7">
        <w:rPr>
          <w:rFonts w:ascii="Arial" w:hAnsi="Arial" w:cs="Arial"/>
          <w:color w:val="000000" w:themeColor="text1"/>
          <w:sz w:val="22"/>
          <w:szCs w:val="22"/>
        </w:rPr>
        <w:t xml:space="preserve">Expuesto lo anterior y teniendo en cuenta que las preguntas del peticionario están relacionadas con el alcance de </w:t>
      </w:r>
      <w:proofErr w:type="gramStart"/>
      <w:r w:rsidRPr="00AF70C7">
        <w:rPr>
          <w:rFonts w:ascii="Arial" w:hAnsi="Arial" w:cs="Arial"/>
          <w:color w:val="000000" w:themeColor="text1"/>
          <w:sz w:val="22"/>
          <w:szCs w:val="22"/>
        </w:rPr>
        <w:t>las prohibici</w:t>
      </w:r>
      <w:r w:rsidR="00557099" w:rsidRPr="00AF70C7">
        <w:rPr>
          <w:rFonts w:ascii="Arial" w:hAnsi="Arial" w:cs="Arial"/>
          <w:color w:val="000000" w:themeColor="text1"/>
          <w:sz w:val="22"/>
          <w:szCs w:val="22"/>
        </w:rPr>
        <w:t>ón</w:t>
      </w:r>
      <w:proofErr w:type="gramEnd"/>
      <w:r w:rsidRPr="00AF70C7">
        <w:rPr>
          <w:rFonts w:ascii="Arial" w:hAnsi="Arial" w:cs="Arial"/>
          <w:color w:val="000000" w:themeColor="text1"/>
          <w:sz w:val="22"/>
          <w:szCs w:val="22"/>
        </w:rPr>
        <w:t xml:space="preserve"> </w:t>
      </w:r>
      <w:r w:rsidR="00557099" w:rsidRPr="00AF70C7">
        <w:rPr>
          <w:rFonts w:ascii="Arial" w:hAnsi="Arial" w:cs="Arial"/>
          <w:color w:val="000000" w:themeColor="text1"/>
          <w:sz w:val="22"/>
          <w:szCs w:val="22"/>
        </w:rPr>
        <w:t>a la</w:t>
      </w:r>
      <w:r w:rsidRPr="00AF70C7">
        <w:rPr>
          <w:rFonts w:ascii="Arial" w:hAnsi="Arial" w:cs="Arial"/>
          <w:color w:val="000000" w:themeColor="text1"/>
          <w:sz w:val="22"/>
          <w:szCs w:val="22"/>
        </w:rPr>
        <w:t xml:space="preserve"> </w:t>
      </w:r>
      <w:r w:rsidR="00557099" w:rsidRPr="00AF70C7">
        <w:rPr>
          <w:rFonts w:ascii="Arial" w:hAnsi="Arial" w:cs="Arial"/>
          <w:color w:val="000000" w:themeColor="text1"/>
          <w:sz w:val="22"/>
          <w:szCs w:val="22"/>
        </w:rPr>
        <w:t xml:space="preserve">contratación directa </w:t>
      </w:r>
      <w:r w:rsidRPr="00AF70C7">
        <w:rPr>
          <w:rFonts w:ascii="Arial" w:hAnsi="Arial" w:cs="Arial"/>
          <w:color w:val="000000" w:themeColor="text1"/>
          <w:sz w:val="22"/>
          <w:szCs w:val="22"/>
        </w:rPr>
        <w:t xml:space="preserve">establecida en la </w:t>
      </w:r>
      <w:r w:rsidR="00557099" w:rsidRPr="00AF70C7">
        <w:rPr>
          <w:rFonts w:ascii="Arial" w:hAnsi="Arial" w:cs="Arial"/>
          <w:color w:val="000000" w:themeColor="text1"/>
          <w:sz w:val="22"/>
          <w:szCs w:val="22"/>
        </w:rPr>
        <w:t>L</w:t>
      </w:r>
      <w:r w:rsidRPr="00AF70C7">
        <w:rPr>
          <w:rFonts w:ascii="Arial" w:hAnsi="Arial" w:cs="Arial"/>
          <w:color w:val="000000" w:themeColor="text1"/>
          <w:sz w:val="22"/>
          <w:szCs w:val="22"/>
        </w:rPr>
        <w:t>ey 996 de 2005 –Ley de Garantías Electorales–, a continuación, se analizará el alcance de las restricción establecida en el artículo 33</w:t>
      </w:r>
      <w:r w:rsidR="00557099" w:rsidRPr="00AF70C7">
        <w:rPr>
          <w:rFonts w:ascii="Arial" w:hAnsi="Arial" w:cs="Arial"/>
          <w:color w:val="000000" w:themeColor="text1"/>
          <w:sz w:val="22"/>
          <w:szCs w:val="22"/>
        </w:rPr>
        <w:t>.</w:t>
      </w:r>
    </w:p>
    <w:p w14:paraId="38589EEE" w14:textId="77777777" w:rsidR="00F7557E" w:rsidRPr="00AF70C7" w:rsidRDefault="00F7557E" w:rsidP="00B6207F">
      <w:pPr>
        <w:spacing w:line="276" w:lineRule="auto"/>
        <w:jc w:val="both"/>
        <w:rPr>
          <w:rFonts w:ascii="Arial" w:eastAsia="Calibri" w:hAnsi="Arial" w:cs="Arial"/>
          <w:color w:val="000000" w:themeColor="text1"/>
          <w:sz w:val="22"/>
        </w:rPr>
      </w:pPr>
    </w:p>
    <w:p w14:paraId="76DD091D" w14:textId="7C870F21" w:rsidR="001D4D28" w:rsidRPr="00AF70C7" w:rsidRDefault="001D4D28" w:rsidP="001459D2">
      <w:pPr>
        <w:spacing w:line="276" w:lineRule="auto"/>
        <w:jc w:val="both"/>
        <w:rPr>
          <w:rFonts w:ascii="Arial" w:eastAsia="Calibri" w:hAnsi="Arial" w:cs="Arial"/>
          <w:color w:val="000000" w:themeColor="text1"/>
          <w:sz w:val="22"/>
        </w:rPr>
      </w:pPr>
    </w:p>
    <w:p w14:paraId="49BD3456" w14:textId="3BCE3841" w:rsidR="00D16F3C" w:rsidRPr="00AF70C7" w:rsidRDefault="00D16F3C" w:rsidP="00D16F3C">
      <w:pPr>
        <w:tabs>
          <w:tab w:val="left" w:pos="426"/>
        </w:tabs>
        <w:spacing w:line="276" w:lineRule="auto"/>
        <w:jc w:val="both"/>
        <w:rPr>
          <w:rFonts w:ascii="Arial" w:eastAsia="Arial" w:hAnsi="Arial" w:cs="Arial"/>
          <w:b/>
          <w:sz w:val="22"/>
          <w:szCs w:val="22"/>
          <w:lang w:val="es-MX"/>
        </w:rPr>
      </w:pPr>
      <w:r w:rsidRPr="00AF70C7">
        <w:rPr>
          <w:rFonts w:ascii="Arial" w:eastAsia="Arial" w:hAnsi="Arial" w:cs="Arial"/>
          <w:b/>
          <w:sz w:val="22"/>
          <w:szCs w:val="22"/>
          <w:lang w:val="es-MX"/>
        </w:rPr>
        <w:t>2.</w:t>
      </w:r>
      <w:r w:rsidR="00557099" w:rsidRPr="00AF70C7">
        <w:rPr>
          <w:rFonts w:ascii="Arial" w:eastAsia="Arial" w:hAnsi="Arial" w:cs="Arial"/>
          <w:b/>
          <w:sz w:val="22"/>
          <w:szCs w:val="22"/>
          <w:lang w:val="es-MX"/>
        </w:rPr>
        <w:t>2</w:t>
      </w:r>
      <w:r w:rsidRPr="00AF70C7">
        <w:rPr>
          <w:rFonts w:ascii="Arial" w:eastAsia="Arial" w:hAnsi="Arial" w:cs="Arial"/>
          <w:b/>
          <w:sz w:val="22"/>
          <w:szCs w:val="22"/>
          <w:lang w:val="es-MX"/>
        </w:rPr>
        <w:t>. Definición y finalidad de la Ley de Garantías Electorales: alcance de las restricciones</w:t>
      </w:r>
    </w:p>
    <w:p w14:paraId="7A8DAB31" w14:textId="77777777" w:rsidR="00D16F3C" w:rsidRPr="00AF70C7" w:rsidRDefault="00D16F3C" w:rsidP="00D16F3C">
      <w:pPr>
        <w:tabs>
          <w:tab w:val="left" w:pos="426"/>
        </w:tabs>
        <w:spacing w:line="276" w:lineRule="auto"/>
        <w:ind w:firstLine="709"/>
        <w:jc w:val="both"/>
        <w:rPr>
          <w:rFonts w:ascii="Arial" w:eastAsia="Arial" w:hAnsi="Arial" w:cs="Arial"/>
          <w:sz w:val="22"/>
          <w:szCs w:val="22"/>
          <w:lang w:val="es-MX"/>
        </w:rPr>
      </w:pPr>
    </w:p>
    <w:p w14:paraId="27ED82D8" w14:textId="77777777" w:rsidR="00D16F3C" w:rsidRPr="00AF70C7" w:rsidRDefault="00D16F3C" w:rsidP="00D16F3C">
      <w:pPr>
        <w:tabs>
          <w:tab w:val="left" w:pos="426"/>
        </w:tabs>
        <w:spacing w:after="120" w:line="276" w:lineRule="auto"/>
        <w:jc w:val="both"/>
        <w:rPr>
          <w:rFonts w:ascii="Arial" w:eastAsia="Arial" w:hAnsi="Arial" w:cs="Arial"/>
          <w:sz w:val="22"/>
          <w:szCs w:val="22"/>
          <w:lang w:val="es-MX"/>
        </w:rPr>
      </w:pPr>
      <w:r w:rsidRPr="00AF70C7">
        <w:rPr>
          <w:rFonts w:ascii="Arial" w:eastAsia="Arial" w:hAnsi="Arial" w:cs="Arial"/>
          <w:sz w:val="22"/>
          <w:szCs w:val="22"/>
          <w:lang w:val="es-MX"/>
        </w:rPr>
        <w:t>El ordenamiento jurídico colombiano contempla previsiones claras para evitar la obtención de beneficios personales en asuntos propios de la administración pública</w:t>
      </w:r>
      <w:r w:rsidRPr="00AF70C7">
        <w:rPr>
          <w:rFonts w:ascii="Arial" w:eastAsia="Arial" w:hAnsi="Arial" w:cs="Arial"/>
          <w:i/>
          <w:sz w:val="22"/>
          <w:szCs w:val="22"/>
          <w:lang w:val="es-MX"/>
        </w:rPr>
        <w:t xml:space="preserve">. </w:t>
      </w:r>
      <w:r w:rsidRPr="00AF70C7">
        <w:rPr>
          <w:rFonts w:ascii="Arial" w:eastAsia="Arial" w:hAnsi="Arial" w:cs="Arial"/>
          <w:sz w:val="22"/>
          <w:szCs w:val="22"/>
          <w:lang w:val="es-MX"/>
        </w:rPr>
        <w:t>Por ejemplo, el artículo 127 de la Constitución Política establece una prohibición contractual a los servidores públicos y en cuanto a aspectos políticos establece restricciones a ciertos empleados del Estado, incluso en época no electoral</w:t>
      </w:r>
      <w:r w:rsidRPr="00AF70C7">
        <w:rPr>
          <w:rFonts w:ascii="Arial" w:eastAsia="Arial" w:hAnsi="Arial" w:cs="Arial"/>
          <w:sz w:val="22"/>
          <w:szCs w:val="22"/>
          <w:vertAlign w:val="superscript"/>
          <w:lang w:val="es-MX"/>
        </w:rPr>
        <w:footnoteReference w:id="3"/>
      </w:r>
      <w:r w:rsidRPr="00AF70C7">
        <w:rPr>
          <w:rFonts w:ascii="Arial" w:eastAsia="Arial" w:hAnsi="Arial" w:cs="Arial"/>
          <w:sz w:val="22"/>
          <w:szCs w:val="22"/>
          <w:lang w:val="es-MX"/>
        </w:rPr>
        <w:t xml:space="preserve">. </w:t>
      </w:r>
    </w:p>
    <w:p w14:paraId="5DC15EAD" w14:textId="77777777" w:rsidR="00D16F3C" w:rsidRPr="00AF70C7" w:rsidRDefault="00D16F3C" w:rsidP="00D16F3C">
      <w:pPr>
        <w:tabs>
          <w:tab w:val="left" w:pos="426"/>
        </w:tabs>
        <w:spacing w:line="276" w:lineRule="auto"/>
        <w:ind w:firstLine="709"/>
        <w:jc w:val="both"/>
        <w:rPr>
          <w:rFonts w:ascii="Arial" w:eastAsia="Arial" w:hAnsi="Arial" w:cs="Arial"/>
          <w:sz w:val="22"/>
          <w:szCs w:val="22"/>
          <w:lang w:val="es-MX"/>
        </w:rPr>
      </w:pPr>
      <w:r w:rsidRPr="00AF70C7">
        <w:rPr>
          <w:rFonts w:ascii="Arial" w:eastAsia="Arial" w:hAnsi="Arial" w:cs="Arial"/>
          <w:sz w:val="22"/>
          <w:szCs w:val="22"/>
          <w:lang w:val="es-MX"/>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AF70C7">
        <w:rPr>
          <w:rFonts w:ascii="Arial" w:eastAsia="Arial" w:hAnsi="Arial" w:cs="Arial"/>
          <w:sz w:val="22"/>
          <w:szCs w:val="22"/>
          <w:vertAlign w:val="superscript"/>
          <w:lang w:val="es-MX"/>
        </w:rPr>
        <w:footnoteReference w:id="4"/>
      </w:r>
      <w:r w:rsidRPr="00AF70C7">
        <w:rPr>
          <w:rFonts w:ascii="Arial" w:eastAsia="Arial" w:hAnsi="Arial" w:cs="Arial"/>
          <w:sz w:val="22"/>
          <w:szCs w:val="22"/>
          <w:lang w:val="es-MX"/>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5E59F441" w14:textId="77777777" w:rsidR="00D16F3C" w:rsidRPr="00AF70C7" w:rsidRDefault="00D16F3C" w:rsidP="00D16F3C">
      <w:pPr>
        <w:spacing w:line="276" w:lineRule="auto"/>
        <w:ind w:right="709"/>
        <w:jc w:val="both"/>
        <w:rPr>
          <w:rFonts w:ascii="Arial" w:eastAsia="Arial" w:hAnsi="Arial" w:cs="Arial"/>
          <w:sz w:val="21"/>
          <w:szCs w:val="21"/>
          <w:lang w:val="es-MX"/>
        </w:rPr>
      </w:pPr>
    </w:p>
    <w:p w14:paraId="3BFC408C" w14:textId="77777777" w:rsidR="00D16F3C" w:rsidRPr="00AF70C7" w:rsidRDefault="00D16F3C" w:rsidP="00D16F3C">
      <w:pPr>
        <w:spacing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 la definición de reglas claras que permitan acceder a los canales de expresión democrática de manera efectiva e igualitaria. El objetivo de una ley de garantías es definir esas reglas.</w:t>
      </w:r>
    </w:p>
    <w:p w14:paraId="57451A04" w14:textId="77777777" w:rsidR="00D16F3C" w:rsidRPr="00AF70C7" w:rsidRDefault="00D16F3C" w:rsidP="00D16F3C">
      <w:pPr>
        <w:spacing w:after="120"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 xml:space="preserve">[…] </w:t>
      </w:r>
    </w:p>
    <w:p w14:paraId="1103FF85" w14:textId="77777777" w:rsidR="00D16F3C" w:rsidRPr="00AF70C7" w:rsidRDefault="00D16F3C" w:rsidP="00D16F3C">
      <w:pPr>
        <w:spacing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w:t>
      </w:r>
      <w:r w:rsidRPr="00AF70C7">
        <w:rPr>
          <w:rFonts w:ascii="Arial" w:eastAsia="Arial" w:hAnsi="Arial" w:cs="Arial"/>
          <w:sz w:val="21"/>
          <w:szCs w:val="21"/>
          <w:lang w:val="es-MX"/>
        </w:rPr>
        <w:lastRenderedPageBreak/>
        <w:t>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AF70C7">
        <w:rPr>
          <w:rFonts w:ascii="Arial" w:eastAsia="Arial" w:hAnsi="Arial" w:cs="Arial"/>
          <w:sz w:val="20"/>
          <w:szCs w:val="20"/>
          <w:vertAlign w:val="superscript"/>
          <w:lang w:val="es-MX"/>
        </w:rPr>
        <w:footnoteReference w:id="5"/>
      </w:r>
    </w:p>
    <w:p w14:paraId="616E52A7" w14:textId="77777777" w:rsidR="00D16F3C" w:rsidRPr="00AF70C7" w:rsidRDefault="00D16F3C" w:rsidP="00D16F3C">
      <w:pPr>
        <w:spacing w:line="276" w:lineRule="auto"/>
        <w:ind w:left="709" w:right="709"/>
        <w:jc w:val="both"/>
        <w:rPr>
          <w:rFonts w:ascii="Arial" w:eastAsia="Arial" w:hAnsi="Arial" w:cs="Arial"/>
          <w:sz w:val="21"/>
          <w:szCs w:val="21"/>
          <w:lang w:val="es-MX"/>
        </w:rPr>
      </w:pPr>
    </w:p>
    <w:p w14:paraId="6065B97E" w14:textId="77777777" w:rsidR="00D16F3C" w:rsidRPr="00AF70C7" w:rsidRDefault="00D16F3C" w:rsidP="00D16F3C">
      <w:pPr>
        <w:spacing w:line="276" w:lineRule="auto"/>
        <w:ind w:firstLine="709"/>
        <w:jc w:val="both"/>
        <w:rPr>
          <w:rFonts w:ascii="Arial" w:eastAsia="Arial" w:hAnsi="Arial" w:cs="Arial"/>
          <w:sz w:val="22"/>
          <w:szCs w:val="22"/>
          <w:lang w:val="es-MX"/>
        </w:rPr>
      </w:pPr>
      <w:bookmarkStart w:id="9" w:name="_26in1rg" w:colFirst="0" w:colLast="0"/>
      <w:bookmarkEnd w:id="9"/>
      <w:r w:rsidRPr="00AF70C7">
        <w:rPr>
          <w:rFonts w:ascii="Arial" w:eastAsia="Arial" w:hAnsi="Arial" w:cs="Arial"/>
          <w:sz w:val="22"/>
          <w:szCs w:val="22"/>
          <w:lang w:val="es-MX"/>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989F509" w14:textId="77777777" w:rsidR="00D16F3C" w:rsidRPr="00AF70C7" w:rsidRDefault="00D16F3C" w:rsidP="00D16F3C">
      <w:pPr>
        <w:spacing w:line="276" w:lineRule="auto"/>
        <w:ind w:firstLine="709"/>
        <w:jc w:val="both"/>
        <w:rPr>
          <w:rFonts w:ascii="Arial" w:eastAsia="Arial" w:hAnsi="Arial" w:cs="Arial"/>
          <w:sz w:val="22"/>
          <w:szCs w:val="22"/>
          <w:lang w:val="es-MX"/>
        </w:rPr>
      </w:pPr>
    </w:p>
    <w:p w14:paraId="7C8A2113" w14:textId="77777777" w:rsidR="00D16F3C" w:rsidRPr="00AF70C7" w:rsidRDefault="00D16F3C" w:rsidP="00D16F3C">
      <w:pPr>
        <w:spacing w:after="120"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AF70C7">
        <w:rPr>
          <w:rFonts w:ascii="Arial" w:eastAsia="Arial" w:hAnsi="Arial" w:cs="Arial"/>
          <w:sz w:val="21"/>
          <w:szCs w:val="21"/>
          <w:lang w:val="es-MX"/>
        </w:rPr>
        <w:t>legis</w:t>
      </w:r>
      <w:proofErr w:type="spellEnd"/>
      <w:r w:rsidRPr="00AF70C7">
        <w:rPr>
          <w:rFonts w:ascii="Arial" w:eastAsia="Arial" w:hAnsi="Arial" w:cs="Arial"/>
          <w:sz w:val="21"/>
          <w:szCs w:val="21"/>
          <w:lang w:val="es-MX"/>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A23C8B1" w14:textId="77777777" w:rsidR="00D16F3C" w:rsidRPr="00AF70C7" w:rsidRDefault="00D16F3C" w:rsidP="00D16F3C">
      <w:pPr>
        <w:spacing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La jurisprudencia de la Corte Constitucional</w:t>
      </w:r>
      <w:r w:rsidRPr="00AF70C7">
        <w:rPr>
          <w:rFonts w:ascii="Arial" w:eastAsia="Arial" w:hAnsi="Arial" w:cs="Arial"/>
          <w:sz w:val="21"/>
          <w:szCs w:val="21"/>
          <w:vertAlign w:val="superscript"/>
          <w:lang w:val="es-MX"/>
        </w:rPr>
        <w:footnoteReference w:id="6"/>
      </w:r>
      <w:r w:rsidRPr="00AF70C7">
        <w:rPr>
          <w:rFonts w:ascii="Arial" w:eastAsia="Arial" w:hAnsi="Arial" w:cs="Arial"/>
          <w:sz w:val="21"/>
          <w:szCs w:val="21"/>
          <w:lang w:val="es-MX"/>
        </w:rPr>
        <w:t> y del Consejo de Estado</w:t>
      </w:r>
      <w:r w:rsidRPr="00AF70C7">
        <w:rPr>
          <w:rFonts w:ascii="Arial" w:eastAsia="Arial" w:hAnsi="Arial" w:cs="Arial"/>
          <w:sz w:val="21"/>
          <w:szCs w:val="21"/>
          <w:vertAlign w:val="superscript"/>
          <w:lang w:val="es-MX"/>
        </w:rPr>
        <w:footnoteReference w:id="7"/>
      </w:r>
      <w:r w:rsidRPr="00AF70C7">
        <w:rPr>
          <w:rFonts w:ascii="Arial" w:eastAsia="Arial" w:hAnsi="Arial" w:cs="Arial"/>
          <w:sz w:val="21"/>
          <w:szCs w:val="21"/>
          <w:lang w:val="es-MX"/>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w:t>
      </w:r>
      <w:r w:rsidRPr="00AF70C7">
        <w:rPr>
          <w:rFonts w:ascii="Arial" w:eastAsia="Arial" w:hAnsi="Arial" w:cs="Arial"/>
          <w:sz w:val="21"/>
          <w:szCs w:val="21"/>
          <w:lang w:val="es-MX"/>
        </w:rPr>
        <w:lastRenderedPageBreak/>
        <w:t>libertad de actuar o capacidad de obrar, sobrepasar sus precisos términos comporta el desconocimiento de la voluntad del legislador</w:t>
      </w:r>
      <w:r w:rsidRPr="00AF70C7">
        <w:rPr>
          <w:rFonts w:ascii="Arial" w:eastAsia="Arial" w:hAnsi="Arial" w:cs="Arial"/>
          <w:sz w:val="22"/>
          <w:szCs w:val="22"/>
          <w:vertAlign w:val="superscript"/>
          <w:lang w:val="es-MX"/>
        </w:rPr>
        <w:footnoteReference w:id="8"/>
      </w:r>
      <w:r w:rsidRPr="00AF70C7">
        <w:rPr>
          <w:rFonts w:ascii="Arial" w:eastAsia="Arial" w:hAnsi="Arial" w:cs="Arial"/>
          <w:sz w:val="21"/>
          <w:szCs w:val="21"/>
          <w:lang w:val="es-MX"/>
        </w:rPr>
        <w:t>.</w:t>
      </w:r>
    </w:p>
    <w:p w14:paraId="29D712A2" w14:textId="77777777" w:rsidR="00D16F3C" w:rsidRPr="00AF70C7" w:rsidRDefault="00D16F3C" w:rsidP="00D16F3C">
      <w:pPr>
        <w:spacing w:line="276" w:lineRule="auto"/>
        <w:ind w:right="709"/>
        <w:jc w:val="both"/>
        <w:rPr>
          <w:rFonts w:ascii="Arial" w:eastAsia="Arial" w:hAnsi="Arial" w:cs="Arial"/>
          <w:sz w:val="21"/>
          <w:szCs w:val="21"/>
          <w:lang w:val="es-MX"/>
        </w:rPr>
      </w:pPr>
    </w:p>
    <w:p w14:paraId="3AF28CA5" w14:textId="77777777" w:rsidR="00D16F3C" w:rsidRPr="00AF70C7" w:rsidRDefault="00D16F3C" w:rsidP="00D16F3C">
      <w:pPr>
        <w:spacing w:after="120" w:line="276" w:lineRule="auto"/>
        <w:jc w:val="both"/>
        <w:rPr>
          <w:rFonts w:ascii="Arial" w:eastAsia="Arial" w:hAnsi="Arial" w:cs="Arial"/>
          <w:sz w:val="22"/>
          <w:szCs w:val="22"/>
          <w:lang w:val="es-MX"/>
        </w:rPr>
      </w:pPr>
      <w:bookmarkStart w:id="10" w:name="_lnxbz9" w:colFirst="0" w:colLast="0"/>
      <w:bookmarkEnd w:id="10"/>
      <w:r w:rsidRPr="00AF70C7">
        <w:rPr>
          <w:rFonts w:ascii="Arial" w:eastAsia="Arial" w:hAnsi="Arial" w:cs="Arial"/>
          <w:sz w:val="22"/>
          <w:szCs w:val="22"/>
          <w:lang w:val="es-MX"/>
        </w:rPr>
        <w:tab/>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60A6DD6"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AF70C7">
        <w:rPr>
          <w:rFonts w:ascii="Arial" w:eastAsia="Arial" w:hAnsi="Arial" w:cs="Arial"/>
          <w:sz w:val="22"/>
          <w:szCs w:val="22"/>
          <w:vertAlign w:val="superscript"/>
          <w:lang w:val="es-MX"/>
        </w:rPr>
        <w:footnoteReference w:id="9"/>
      </w:r>
      <w:r w:rsidRPr="00AF70C7">
        <w:rPr>
          <w:rFonts w:ascii="Arial" w:eastAsia="Arial" w:hAnsi="Arial" w:cs="Arial"/>
          <w:sz w:val="22"/>
          <w:szCs w:val="22"/>
          <w:lang w:val="es-MX"/>
        </w:rPr>
        <w:t>.</w:t>
      </w:r>
    </w:p>
    <w:p w14:paraId="592460B0" w14:textId="77777777" w:rsidR="00D16F3C" w:rsidRPr="00AF70C7" w:rsidRDefault="00D16F3C" w:rsidP="00D16F3C">
      <w:pPr>
        <w:widowControl w:val="0"/>
        <w:spacing w:line="276" w:lineRule="auto"/>
        <w:ind w:right="113" w:firstLine="708"/>
        <w:jc w:val="both"/>
        <w:rPr>
          <w:rFonts w:ascii="Arial" w:eastAsia="Arial" w:hAnsi="Arial" w:cs="Arial"/>
          <w:sz w:val="22"/>
          <w:szCs w:val="22"/>
          <w:lang w:val="es-MX"/>
        </w:rPr>
      </w:pPr>
      <w:r w:rsidRPr="00AF70C7">
        <w:rPr>
          <w:rFonts w:ascii="Arial" w:eastAsia="Arial" w:hAnsi="Arial" w:cs="Arial"/>
          <w:sz w:val="22"/>
          <w:szCs w:val="22"/>
          <w:lang w:val="es-MX"/>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AF70C7">
        <w:rPr>
          <w:rFonts w:ascii="Arial" w:eastAsia="Arial" w:hAnsi="Arial" w:cs="Arial"/>
          <w:sz w:val="19"/>
          <w:szCs w:val="19"/>
          <w:lang w:val="es-MX"/>
        </w:rPr>
        <w:t>»</w:t>
      </w:r>
      <w:r w:rsidRPr="00AF70C7">
        <w:rPr>
          <w:rFonts w:ascii="Arial" w:eastAsia="Arial" w:hAnsi="Arial" w:cs="Arial"/>
          <w:sz w:val="19"/>
          <w:szCs w:val="19"/>
          <w:vertAlign w:val="superscript"/>
          <w:lang w:val="es-MX"/>
        </w:rPr>
        <w:footnoteReference w:id="10"/>
      </w:r>
      <w:r w:rsidRPr="00AF70C7">
        <w:rPr>
          <w:rFonts w:ascii="Arial" w:eastAsia="Arial" w:hAnsi="Arial" w:cs="Arial"/>
          <w:sz w:val="22"/>
          <w:szCs w:val="22"/>
          <w:lang w:val="es-MX"/>
        </w:rPr>
        <w:t xml:space="preserve">. La Sala de Consulta y Servicio Civil del Consejo de Estado ha aclarado la </w:t>
      </w:r>
      <w:r w:rsidRPr="00AF70C7">
        <w:rPr>
          <w:rFonts w:ascii="Arial" w:eastAsia="Arial" w:hAnsi="Arial" w:cs="Arial"/>
          <w:sz w:val="22"/>
          <w:szCs w:val="22"/>
          <w:lang w:val="es-MX"/>
        </w:rPr>
        <w:lastRenderedPageBreak/>
        <w:t>distinción en la aplicación de las prohibiciones de la Ley 996 de 2005, dependiendo del tipo de elección que se trate. Al respecto, considera que:</w:t>
      </w:r>
    </w:p>
    <w:p w14:paraId="639E37BF" w14:textId="77777777" w:rsidR="00D16F3C" w:rsidRPr="00AF70C7" w:rsidRDefault="00D16F3C" w:rsidP="00D16F3C">
      <w:pPr>
        <w:widowControl w:val="0"/>
        <w:spacing w:line="276" w:lineRule="auto"/>
        <w:ind w:left="805" w:right="812"/>
        <w:jc w:val="both"/>
        <w:rPr>
          <w:rFonts w:ascii="Arial" w:eastAsia="Arial" w:hAnsi="Arial" w:cs="Arial"/>
          <w:sz w:val="22"/>
          <w:szCs w:val="22"/>
          <w:lang w:val="es-MX"/>
        </w:rPr>
      </w:pPr>
    </w:p>
    <w:p w14:paraId="47CD853C" w14:textId="77777777" w:rsidR="00D16F3C" w:rsidRPr="00AF70C7" w:rsidRDefault="00D16F3C" w:rsidP="00D16F3C">
      <w:pPr>
        <w:widowControl w:val="0"/>
        <w:spacing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AF70C7">
        <w:rPr>
          <w:rFonts w:ascii="Arial" w:eastAsia="Arial" w:hAnsi="Arial" w:cs="Arial"/>
          <w:sz w:val="21"/>
          <w:szCs w:val="21"/>
          <w:vertAlign w:val="superscript"/>
          <w:lang w:val="es-MX"/>
        </w:rPr>
        <w:footnoteReference w:id="11"/>
      </w:r>
    </w:p>
    <w:p w14:paraId="327D2963" w14:textId="77777777" w:rsidR="00D16F3C" w:rsidRPr="00AF70C7" w:rsidRDefault="00D16F3C" w:rsidP="00D16F3C">
      <w:pPr>
        <w:widowControl w:val="0"/>
        <w:spacing w:before="8" w:line="276" w:lineRule="auto"/>
        <w:rPr>
          <w:rFonts w:ascii="Arial" w:eastAsia="Arial" w:hAnsi="Arial" w:cs="Arial"/>
          <w:sz w:val="22"/>
          <w:szCs w:val="22"/>
          <w:lang w:val="es-MX"/>
        </w:rPr>
      </w:pPr>
    </w:p>
    <w:p w14:paraId="06A98599" w14:textId="77777777" w:rsidR="00D16F3C" w:rsidRPr="00AF70C7" w:rsidRDefault="00D16F3C" w:rsidP="00D16F3C">
      <w:pPr>
        <w:spacing w:after="120" w:line="276" w:lineRule="auto"/>
        <w:ind w:firstLine="709"/>
        <w:jc w:val="both"/>
        <w:rPr>
          <w:rFonts w:ascii="Arial" w:eastAsia="Arial" w:hAnsi="Arial" w:cs="Arial"/>
          <w:sz w:val="22"/>
          <w:szCs w:val="22"/>
          <w:lang w:val="es-MX"/>
        </w:rPr>
      </w:pPr>
      <w:r w:rsidRPr="00AF70C7">
        <w:rPr>
          <w:rFonts w:ascii="Arial" w:eastAsia="Arial" w:hAnsi="Arial" w:cs="Arial"/>
          <w:sz w:val="22"/>
          <w:szCs w:val="22"/>
          <w:lang w:val="es-MX"/>
        </w:rPr>
        <w:t xml:space="preserve">De conformidad con lo anterior, la Ley 996 de 2005 establece dos (2) tipos de restricciones en materia de contratación, las cuales coinciden parcialmente. </w:t>
      </w:r>
      <w:r w:rsidRPr="00AF70C7">
        <w:rPr>
          <w:rFonts w:ascii="Arial" w:eastAsia="Arial" w:hAnsi="Arial" w:cs="Arial"/>
          <w:i/>
          <w:sz w:val="22"/>
          <w:szCs w:val="22"/>
          <w:lang w:val="es-MX"/>
        </w:rPr>
        <w:t>En primer lugar</w:t>
      </w:r>
      <w:r w:rsidRPr="00AF70C7">
        <w:rPr>
          <w:rFonts w:ascii="Arial" w:eastAsia="Arial" w:hAnsi="Arial" w:cs="Arial"/>
          <w:sz w:val="22"/>
          <w:szCs w:val="22"/>
          <w:lang w:val="es-MX"/>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AF70C7">
        <w:rPr>
          <w:rFonts w:ascii="Arial" w:eastAsia="Arial" w:hAnsi="Arial" w:cs="Arial"/>
          <w:i/>
          <w:sz w:val="22"/>
          <w:szCs w:val="22"/>
          <w:lang w:val="es-MX"/>
        </w:rPr>
        <w:t>En segundo lugar</w:t>
      </w:r>
      <w:r w:rsidRPr="00AF70C7">
        <w:rPr>
          <w:rFonts w:ascii="Arial" w:eastAsia="Arial" w:hAnsi="Arial" w:cs="Arial"/>
          <w:sz w:val="22"/>
          <w:szCs w:val="22"/>
          <w:lang w:val="es-MX"/>
        </w:rPr>
        <w:t xml:space="preserve">, también se encuentra la prohibición del parágrafo del artículo 38, el cual debe aplicarse respecto de cualquier tipo de contienda electoral, y que prohíbe la celebración de </w:t>
      </w:r>
      <w:r w:rsidRPr="00AF70C7">
        <w:rPr>
          <w:rFonts w:ascii="Arial" w:eastAsia="Arial" w:hAnsi="Arial" w:cs="Arial"/>
          <w:sz w:val="22"/>
          <w:szCs w:val="22"/>
          <w:lang w:val="es-MX"/>
        </w:rPr>
        <w:lastRenderedPageBreak/>
        <w:t>convenios interadministrativos que impliquen la ejecución de recursos públicos dentro de los cuatro (4) meses anteriores a la respectiva jornada de votaciones.</w:t>
      </w:r>
    </w:p>
    <w:p w14:paraId="3076EEC3" w14:textId="77777777" w:rsidR="00D16F3C" w:rsidRPr="00AF70C7" w:rsidRDefault="00D16F3C" w:rsidP="00D16F3C">
      <w:pPr>
        <w:spacing w:after="120" w:line="276" w:lineRule="auto"/>
        <w:ind w:firstLine="709"/>
        <w:jc w:val="both"/>
        <w:rPr>
          <w:rFonts w:ascii="Arial" w:eastAsia="Arial" w:hAnsi="Arial" w:cs="Arial"/>
          <w:sz w:val="22"/>
          <w:szCs w:val="22"/>
          <w:lang w:val="es-MX"/>
        </w:rPr>
      </w:pPr>
      <w:r w:rsidRPr="00AF70C7">
        <w:rPr>
          <w:rFonts w:ascii="Arial" w:eastAsia="Arial" w:hAnsi="Arial" w:cs="Arial"/>
          <w:sz w:val="22"/>
          <w:szCs w:val="22"/>
          <w:lang w:val="es-MX"/>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5DB280CF" w14:textId="77777777" w:rsidR="00D16F3C" w:rsidRPr="00AF70C7" w:rsidRDefault="00D16F3C" w:rsidP="00D16F3C">
      <w:pPr>
        <w:spacing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24047A77" w14:textId="77777777" w:rsidR="00D16F3C" w:rsidRPr="00AF70C7" w:rsidRDefault="00D16F3C" w:rsidP="00D16F3C">
      <w:pPr>
        <w:spacing w:line="276" w:lineRule="auto"/>
        <w:jc w:val="both"/>
        <w:rPr>
          <w:rFonts w:ascii="Arial" w:eastAsia="Arial" w:hAnsi="Arial" w:cs="Arial"/>
          <w:sz w:val="22"/>
          <w:szCs w:val="22"/>
          <w:lang w:val="es-MX"/>
        </w:rPr>
      </w:pPr>
    </w:p>
    <w:p w14:paraId="5ADAE4F8" w14:textId="46898322" w:rsidR="00D16F3C" w:rsidRPr="00AF70C7" w:rsidRDefault="00D16F3C" w:rsidP="00D16F3C">
      <w:pPr>
        <w:spacing w:line="276" w:lineRule="auto"/>
        <w:jc w:val="both"/>
        <w:rPr>
          <w:rFonts w:ascii="Arial" w:eastAsia="Arial" w:hAnsi="Arial" w:cs="Arial"/>
          <w:b/>
          <w:sz w:val="22"/>
          <w:szCs w:val="22"/>
          <w:lang w:val="es-MX"/>
        </w:rPr>
      </w:pPr>
      <w:r w:rsidRPr="00AF70C7">
        <w:rPr>
          <w:rFonts w:ascii="Arial" w:eastAsia="Arial" w:hAnsi="Arial" w:cs="Arial"/>
          <w:b/>
          <w:sz w:val="22"/>
          <w:szCs w:val="22"/>
          <w:lang w:val="es-MX"/>
        </w:rPr>
        <w:t>2.</w:t>
      </w:r>
      <w:r w:rsidR="00557099" w:rsidRPr="00AF70C7">
        <w:rPr>
          <w:rFonts w:ascii="Arial" w:eastAsia="Arial" w:hAnsi="Arial" w:cs="Arial"/>
          <w:b/>
          <w:sz w:val="22"/>
          <w:szCs w:val="22"/>
          <w:lang w:val="es-MX"/>
        </w:rPr>
        <w:t>3</w:t>
      </w:r>
      <w:r w:rsidRPr="00AF70C7">
        <w:rPr>
          <w:rFonts w:ascii="Arial" w:eastAsia="Arial" w:hAnsi="Arial" w:cs="Arial"/>
          <w:b/>
          <w:sz w:val="22"/>
          <w:szCs w:val="22"/>
          <w:lang w:val="es-MX"/>
        </w:rPr>
        <w:t xml:space="preserve">. Restricciones en elecciones presidenciales </w:t>
      </w:r>
    </w:p>
    <w:p w14:paraId="1A8EF1B6" w14:textId="77777777" w:rsidR="00D16F3C" w:rsidRPr="00AF70C7" w:rsidRDefault="00D16F3C" w:rsidP="00D16F3C">
      <w:pPr>
        <w:spacing w:line="276" w:lineRule="auto"/>
        <w:jc w:val="both"/>
        <w:rPr>
          <w:rFonts w:ascii="Arial" w:eastAsia="Arial" w:hAnsi="Arial" w:cs="Arial"/>
          <w:sz w:val="22"/>
          <w:szCs w:val="22"/>
          <w:lang w:val="es-MX"/>
        </w:rPr>
      </w:pPr>
    </w:p>
    <w:p w14:paraId="78DB9101" w14:textId="77777777" w:rsidR="00D16F3C" w:rsidRPr="00AF70C7" w:rsidRDefault="00D16F3C" w:rsidP="00D16F3C">
      <w:pPr>
        <w:spacing w:line="276" w:lineRule="auto"/>
        <w:jc w:val="both"/>
        <w:rPr>
          <w:rFonts w:ascii="Arial" w:eastAsia="Arial" w:hAnsi="Arial" w:cs="Arial"/>
          <w:sz w:val="22"/>
          <w:szCs w:val="22"/>
          <w:lang w:val="es-MX"/>
        </w:rPr>
      </w:pPr>
      <w:r w:rsidRPr="00AF70C7">
        <w:rPr>
          <w:rFonts w:ascii="Arial" w:eastAsia="Arial" w:hAnsi="Arial" w:cs="Arial"/>
          <w:sz w:val="22"/>
          <w:szCs w:val="22"/>
          <w:lang w:val="es-MX"/>
        </w:rPr>
        <w:t xml:space="preserve">El ámbito material de la prohibición contenida en el artículo 33 de la ley 996 de 2005 está delimitado por la expresión </w:t>
      </w:r>
      <w:r w:rsidRPr="00AF70C7">
        <w:rPr>
          <w:rFonts w:ascii="Arial" w:eastAsia="Arial" w:hAnsi="Arial" w:cs="Arial"/>
          <w:sz w:val="20"/>
          <w:szCs w:val="20"/>
          <w:lang w:val="es-MX"/>
        </w:rPr>
        <w:t>«</w:t>
      </w:r>
      <w:r w:rsidRPr="00AF70C7">
        <w:rPr>
          <w:rFonts w:ascii="Arial" w:eastAsia="Arial" w:hAnsi="Arial" w:cs="Arial"/>
          <w:sz w:val="22"/>
          <w:szCs w:val="22"/>
          <w:lang w:val="es-MX"/>
        </w:rPr>
        <w:t>queda prohibida la contratación directa</w:t>
      </w:r>
      <w:r w:rsidRPr="00AF70C7">
        <w:rPr>
          <w:rFonts w:ascii="Arial" w:eastAsia="Arial" w:hAnsi="Arial" w:cs="Arial"/>
          <w:sz w:val="20"/>
          <w:szCs w:val="20"/>
          <w:lang w:val="es-MX"/>
        </w:rPr>
        <w:t>»</w:t>
      </w:r>
      <w:r w:rsidRPr="00AF70C7">
        <w:rPr>
          <w:rFonts w:ascii="Arial" w:eastAsia="Arial" w:hAnsi="Arial" w:cs="Arial"/>
          <w:sz w:val="22"/>
          <w:szCs w:val="22"/>
          <w:lang w:val="es-MX"/>
        </w:rPr>
        <w:t>.  A propósito de esta restricción de la Ley de Garantías Electorales, la Sala de Consulta y Servicio Civil del Consejo de Estado ha considerado que:</w:t>
      </w:r>
    </w:p>
    <w:p w14:paraId="1A56D4EB" w14:textId="77777777" w:rsidR="00D16F3C" w:rsidRPr="00AF70C7" w:rsidRDefault="00D16F3C" w:rsidP="00D16F3C">
      <w:pPr>
        <w:spacing w:line="276" w:lineRule="auto"/>
        <w:ind w:left="708" w:right="709"/>
        <w:jc w:val="both"/>
        <w:rPr>
          <w:rFonts w:ascii="Arial" w:eastAsia="Arial" w:hAnsi="Arial" w:cs="Arial"/>
          <w:sz w:val="21"/>
          <w:szCs w:val="21"/>
          <w:lang w:val="es-MX"/>
        </w:rPr>
      </w:pPr>
    </w:p>
    <w:p w14:paraId="1032F119" w14:textId="77777777" w:rsidR="00D16F3C" w:rsidRPr="00AF70C7" w:rsidRDefault="00D16F3C" w:rsidP="00D16F3C">
      <w:pPr>
        <w:spacing w:after="120" w:line="276" w:lineRule="auto"/>
        <w:ind w:left="709" w:right="709"/>
        <w:jc w:val="both"/>
        <w:rPr>
          <w:rFonts w:ascii="Calibri" w:eastAsia="Calibri" w:hAnsi="Calibri" w:cs="Calibri"/>
          <w:lang w:val="es-MX"/>
        </w:rPr>
      </w:pPr>
      <w:r w:rsidRPr="00AF70C7">
        <w:rPr>
          <w:rFonts w:ascii="Arial" w:eastAsia="Arial"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AF70C7">
        <w:rPr>
          <w:rFonts w:ascii="Arial" w:eastAsia="Arial" w:hAnsi="Arial" w:cs="Arial"/>
          <w:sz w:val="22"/>
          <w:szCs w:val="22"/>
          <w:vertAlign w:val="superscript"/>
          <w:lang w:val="es-MX"/>
        </w:rPr>
        <w:footnoteReference w:id="12"/>
      </w:r>
      <w:r w:rsidRPr="00AF70C7">
        <w:rPr>
          <w:rFonts w:ascii="Arial" w:eastAsia="Arial" w:hAnsi="Arial" w:cs="Arial"/>
          <w:sz w:val="21"/>
          <w:szCs w:val="21"/>
          <w:lang w:val="es-MX"/>
        </w:rPr>
        <w:t>.</w:t>
      </w:r>
    </w:p>
    <w:p w14:paraId="0D5808A1" w14:textId="77777777" w:rsidR="00D16F3C" w:rsidRPr="00AF70C7" w:rsidRDefault="00D16F3C" w:rsidP="00D16F3C">
      <w:pPr>
        <w:spacing w:line="276" w:lineRule="auto"/>
        <w:ind w:left="708" w:right="709"/>
        <w:jc w:val="both"/>
        <w:rPr>
          <w:rFonts w:ascii="Calibri" w:eastAsia="Calibri" w:hAnsi="Calibri" w:cs="Calibri"/>
          <w:lang w:val="es-MX"/>
        </w:rPr>
      </w:pPr>
      <w:r w:rsidRPr="00AF70C7">
        <w:rPr>
          <w:rFonts w:ascii="Arial" w:eastAsia="Arial" w:hAnsi="Arial" w:cs="Arial"/>
          <w:sz w:val="21"/>
          <w:szCs w:val="21"/>
          <w:lang w:val="es-MX"/>
        </w:rPr>
        <w:t xml:space="preserve">Esta Sala ha entendido </w:t>
      </w:r>
      <w:proofErr w:type="gramStart"/>
      <w:r w:rsidRPr="00AF70C7">
        <w:rPr>
          <w:rFonts w:ascii="Arial" w:eastAsia="Arial" w:hAnsi="Arial" w:cs="Arial"/>
          <w:sz w:val="21"/>
          <w:szCs w:val="21"/>
          <w:lang w:val="es-MX"/>
        </w:rPr>
        <w:t>que</w:t>
      </w:r>
      <w:proofErr w:type="gramEnd"/>
      <w:r w:rsidRPr="00AF70C7">
        <w:rPr>
          <w:rFonts w:ascii="Arial" w:eastAsia="Arial" w:hAnsi="Arial" w:cs="Arial"/>
          <w:sz w:val="21"/>
          <w:szCs w:val="21"/>
          <w:lang w:val="es-MX"/>
        </w:rPr>
        <w:t xml:space="preserve"> para los efectos de la ley de garantías, y dada su finalidad, el enunciado ´contratación directa´ es sinónimo de cualquier sistema </w:t>
      </w:r>
      <w:r w:rsidRPr="00AF70C7">
        <w:rPr>
          <w:rFonts w:ascii="Arial" w:eastAsia="Arial" w:hAnsi="Arial" w:cs="Arial"/>
          <w:sz w:val="21"/>
          <w:szCs w:val="21"/>
          <w:lang w:val="es-MX"/>
        </w:rPr>
        <w:lastRenderedPageBreak/>
        <w:t>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AF70C7">
        <w:rPr>
          <w:rFonts w:ascii="Arial" w:eastAsia="Arial" w:hAnsi="Arial" w:cs="Arial"/>
          <w:sz w:val="21"/>
          <w:szCs w:val="21"/>
          <w:vertAlign w:val="superscript"/>
          <w:lang w:val="es-MX"/>
        </w:rPr>
        <w:footnoteReference w:id="13"/>
      </w:r>
      <w:r w:rsidRPr="00AF70C7">
        <w:rPr>
          <w:rFonts w:ascii="Arial" w:eastAsia="Arial" w:hAnsi="Arial" w:cs="Arial"/>
          <w:sz w:val="21"/>
          <w:szCs w:val="21"/>
          <w:vertAlign w:val="superscript"/>
          <w:lang w:val="es-MX"/>
        </w:rPr>
        <w:t>.</w:t>
      </w:r>
      <w:r w:rsidRPr="00AF70C7">
        <w:rPr>
          <w:rFonts w:ascii="Arial" w:eastAsia="Arial"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AF70C7">
        <w:rPr>
          <w:rFonts w:ascii="Arial" w:eastAsia="Arial" w:hAnsi="Arial" w:cs="Arial"/>
          <w:sz w:val="22"/>
          <w:szCs w:val="22"/>
          <w:vertAlign w:val="superscript"/>
          <w:lang w:val="es-MX"/>
        </w:rPr>
        <w:footnoteReference w:id="14"/>
      </w:r>
      <w:r w:rsidRPr="00AF70C7">
        <w:rPr>
          <w:rFonts w:ascii="Arial" w:eastAsia="Arial" w:hAnsi="Arial" w:cs="Arial"/>
          <w:sz w:val="21"/>
          <w:szCs w:val="21"/>
          <w:lang w:val="es-MX"/>
        </w:rPr>
        <w:t xml:space="preserve"> .</w:t>
      </w:r>
    </w:p>
    <w:p w14:paraId="054FB2FA" w14:textId="77777777" w:rsidR="00D16F3C" w:rsidRPr="00AF70C7" w:rsidRDefault="00D16F3C" w:rsidP="00D16F3C">
      <w:pPr>
        <w:shd w:val="clear" w:color="auto" w:fill="FFFFFF"/>
        <w:spacing w:line="276" w:lineRule="auto"/>
        <w:ind w:firstLine="709"/>
        <w:jc w:val="both"/>
        <w:rPr>
          <w:rFonts w:ascii="Arial" w:eastAsia="Arial" w:hAnsi="Arial" w:cs="Arial"/>
          <w:sz w:val="22"/>
          <w:szCs w:val="22"/>
          <w:lang w:val="es-MX"/>
        </w:rPr>
      </w:pPr>
    </w:p>
    <w:p w14:paraId="5D91D3EC"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De conformidad con el citado concepto, la prohibición del artículo 33 de la Ley de Garantías Electorales se refiere a </w:t>
      </w:r>
      <w:r w:rsidRPr="00AF70C7">
        <w:rPr>
          <w:rFonts w:ascii="Arial" w:eastAsia="Arial" w:hAnsi="Arial" w:cs="Arial"/>
          <w:sz w:val="19"/>
          <w:szCs w:val="19"/>
          <w:lang w:val="es-MX"/>
        </w:rPr>
        <w:t>«</w:t>
      </w:r>
      <w:r w:rsidRPr="00AF70C7">
        <w:rPr>
          <w:rFonts w:ascii="Arial" w:eastAsia="Arial" w:hAnsi="Arial" w:cs="Arial"/>
          <w:sz w:val="22"/>
          <w:szCs w:val="22"/>
          <w:lang w:val="es-MX"/>
        </w:rPr>
        <w:t>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AF70C7">
        <w:rPr>
          <w:rFonts w:ascii="Arial" w:eastAsia="Arial" w:hAnsi="Arial" w:cs="Arial"/>
          <w:sz w:val="22"/>
          <w:szCs w:val="22"/>
          <w:vertAlign w:val="superscript"/>
          <w:lang w:val="es-MX"/>
        </w:rPr>
        <w:footnoteReference w:id="15"/>
      </w:r>
      <w:r w:rsidRPr="00AF70C7">
        <w:rPr>
          <w:rFonts w:ascii="Arial" w:eastAsia="Arial" w:hAnsi="Arial" w:cs="Arial"/>
          <w:sz w:val="22"/>
          <w:szCs w:val="22"/>
          <w:lang w:val="es-MX"/>
        </w:rPr>
        <w:t xml:space="preserve"> y sistematizó las causales de contratación directa</w:t>
      </w:r>
      <w:r w:rsidRPr="00AF70C7">
        <w:rPr>
          <w:rFonts w:ascii="Arial" w:eastAsia="Arial" w:hAnsi="Arial" w:cs="Arial"/>
          <w:sz w:val="22"/>
          <w:szCs w:val="22"/>
          <w:vertAlign w:val="superscript"/>
          <w:lang w:val="es-MX"/>
        </w:rPr>
        <w:footnoteReference w:id="16"/>
      </w:r>
      <w:r w:rsidRPr="00AF70C7">
        <w:rPr>
          <w:rFonts w:ascii="Arial" w:eastAsia="Arial" w:hAnsi="Arial" w:cs="Arial"/>
          <w:sz w:val="22"/>
          <w:szCs w:val="22"/>
          <w:lang w:val="es-MX"/>
        </w:rPr>
        <w:t xml:space="preserve">. </w:t>
      </w:r>
    </w:p>
    <w:p w14:paraId="3E7BD9EE"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De esta forma, con fundamento en la evolución de la normativa sobre la contratación pública, se ha depurado la noción de </w:t>
      </w:r>
      <w:r w:rsidRPr="00AF70C7">
        <w:rPr>
          <w:rFonts w:ascii="Arial" w:eastAsia="Arial" w:hAnsi="Arial" w:cs="Arial"/>
          <w:sz w:val="19"/>
          <w:szCs w:val="19"/>
          <w:lang w:val="es-MX"/>
        </w:rPr>
        <w:t>«</w:t>
      </w:r>
      <w:r w:rsidRPr="00AF70C7">
        <w:rPr>
          <w:rFonts w:ascii="Arial" w:eastAsia="Arial" w:hAnsi="Arial" w:cs="Arial"/>
          <w:sz w:val="22"/>
          <w:szCs w:val="22"/>
          <w:lang w:val="es-MX"/>
        </w:rPr>
        <w:t>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AF70C7">
        <w:rPr>
          <w:rFonts w:ascii="Arial" w:eastAsia="Arial" w:hAnsi="Arial" w:cs="Arial"/>
          <w:sz w:val="22"/>
          <w:szCs w:val="22"/>
          <w:vertAlign w:val="superscript"/>
          <w:lang w:val="es-MX"/>
        </w:rPr>
        <w:footnoteReference w:id="17"/>
      </w:r>
      <w:r w:rsidRPr="00AF70C7">
        <w:rPr>
          <w:rFonts w:ascii="Arial" w:eastAsia="Arial" w:hAnsi="Arial" w:cs="Arial"/>
          <w:sz w:val="22"/>
          <w:szCs w:val="22"/>
          <w:lang w:val="es-MX"/>
        </w:rPr>
        <w:t xml:space="preserve">, han establecido sistemas de contratación que implican convocatoria pública y participación de varios oferentes». </w:t>
      </w:r>
    </w:p>
    <w:p w14:paraId="30644718"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En efecto, vale la pena mencionar que, en algunos sistemas de contratación, utilizados por entidades públicas con regímenes especiales, o sujetas al derecho privado, </w:t>
      </w:r>
      <w:r w:rsidRPr="00AF70C7">
        <w:rPr>
          <w:rFonts w:ascii="Arial" w:eastAsia="Arial" w:hAnsi="Arial" w:cs="Arial"/>
          <w:sz w:val="22"/>
          <w:szCs w:val="22"/>
          <w:lang w:val="es-MX"/>
        </w:rPr>
        <w:lastRenderedPageBreak/>
        <w:t>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AF70C7">
        <w:rPr>
          <w:rFonts w:ascii="Arial" w:eastAsia="Arial" w:hAnsi="Arial" w:cs="Arial"/>
          <w:sz w:val="22"/>
          <w:szCs w:val="22"/>
          <w:vertAlign w:val="superscript"/>
          <w:lang w:val="es-MX"/>
        </w:rPr>
        <w:footnoteReference w:id="18"/>
      </w:r>
      <w:r w:rsidRPr="00AF70C7">
        <w:rPr>
          <w:rFonts w:ascii="Arial" w:eastAsia="Arial" w:hAnsi="Arial" w:cs="Arial"/>
          <w:sz w:val="22"/>
          <w:szCs w:val="22"/>
          <w:lang w:val="es-MX"/>
        </w:rPr>
        <w:t xml:space="preserve">. </w:t>
      </w:r>
    </w:p>
    <w:p w14:paraId="12083013"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F28FFE6"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AF70C7">
        <w:rPr>
          <w:rFonts w:ascii="Arial" w:eastAsia="Arial" w:hAnsi="Arial" w:cs="Arial"/>
          <w:sz w:val="22"/>
          <w:szCs w:val="22"/>
          <w:vertAlign w:val="superscript"/>
          <w:lang w:val="es-MX"/>
        </w:rPr>
        <w:footnoteReference w:id="19"/>
      </w:r>
      <w:r w:rsidRPr="00AF70C7">
        <w:rPr>
          <w:rFonts w:ascii="Arial" w:eastAsia="Arial" w:hAnsi="Arial" w:cs="Arial"/>
          <w:sz w:val="22"/>
          <w:szCs w:val="22"/>
          <w:lang w:val="es-MX"/>
        </w:rPr>
        <w:t>.</w:t>
      </w:r>
      <w:r w:rsidRPr="00AF70C7">
        <w:rPr>
          <w:rFonts w:ascii="Arial" w:eastAsia="Arial" w:hAnsi="Arial" w:cs="Arial"/>
          <w:sz w:val="22"/>
          <w:szCs w:val="22"/>
          <w:vertAlign w:val="superscript"/>
          <w:lang w:val="es-MX"/>
        </w:rPr>
        <w:t xml:space="preserve"> </w:t>
      </w:r>
    </w:p>
    <w:p w14:paraId="42EE00D5"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FA2C2E5"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Como en otras oportunidades lo ha manifestado esta Agencia, las prórrogas, modificaciones o adiciones de los contratos suscritos antes de la </w:t>
      </w:r>
      <w:proofErr w:type="gramStart"/>
      <w:r w:rsidRPr="00AF70C7">
        <w:rPr>
          <w:rFonts w:ascii="Arial" w:eastAsia="Arial" w:hAnsi="Arial" w:cs="Arial"/>
          <w:sz w:val="22"/>
          <w:szCs w:val="22"/>
          <w:lang w:val="es-MX"/>
        </w:rPr>
        <w:t>entrada en vigencia</w:t>
      </w:r>
      <w:proofErr w:type="gramEnd"/>
      <w:r w:rsidRPr="00AF70C7">
        <w:rPr>
          <w:rFonts w:ascii="Arial" w:eastAsia="Arial" w:hAnsi="Arial" w:cs="Arial"/>
          <w:sz w:val="22"/>
          <w:szCs w:val="22"/>
          <w:lang w:val="es-MX"/>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621BAB06" w14:textId="77777777" w:rsidR="00D16F3C" w:rsidRPr="00AF70C7" w:rsidRDefault="00D16F3C" w:rsidP="00D16F3C">
      <w:pPr>
        <w:spacing w:after="120" w:line="276" w:lineRule="auto"/>
        <w:ind w:firstLine="708"/>
        <w:jc w:val="both"/>
        <w:rPr>
          <w:rFonts w:ascii="Arial" w:eastAsia="Arial" w:hAnsi="Arial" w:cs="Arial"/>
          <w:sz w:val="22"/>
          <w:szCs w:val="22"/>
          <w:lang w:val="es-MX"/>
        </w:rPr>
      </w:pPr>
      <w:r w:rsidRPr="00AF70C7">
        <w:rPr>
          <w:rFonts w:ascii="Arial" w:eastAsia="Arial" w:hAnsi="Arial" w:cs="Arial"/>
          <w:sz w:val="22"/>
          <w:szCs w:val="22"/>
          <w:lang w:val="es-MX"/>
        </w:rPr>
        <w:t xml:space="preserve">De otro lado, las excepciones a la restricción prevista en la Ley de Garantías, con fundamento en las cuales podrán las entidades públicas adelantar procedimientos de </w:t>
      </w:r>
      <w:r w:rsidRPr="00AF70C7">
        <w:rPr>
          <w:rFonts w:ascii="Arial" w:eastAsia="Arial" w:hAnsi="Arial" w:cs="Arial"/>
          <w:sz w:val="22"/>
          <w:szCs w:val="22"/>
          <w:lang w:val="es-MX"/>
        </w:rPr>
        <w:lastRenderedPageBreak/>
        <w:t xml:space="preserve">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AF70C7">
        <w:rPr>
          <w:rFonts w:ascii="Arial" w:eastAsia="Arial" w:hAnsi="Arial" w:cs="Arial"/>
          <w:sz w:val="22"/>
          <w:szCs w:val="22"/>
          <w:lang w:val="es-MX"/>
        </w:rPr>
        <w:t>ii</w:t>
      </w:r>
      <w:proofErr w:type="spellEnd"/>
      <w:r w:rsidRPr="00AF70C7">
        <w:rPr>
          <w:rFonts w:ascii="Arial" w:eastAsia="Arial" w:hAnsi="Arial" w:cs="Arial"/>
          <w:sz w:val="22"/>
          <w:szCs w:val="22"/>
          <w:lang w:val="es-MX"/>
        </w:rPr>
        <w:t xml:space="preserve">) los contratos de crédito público; </w:t>
      </w:r>
      <w:proofErr w:type="spellStart"/>
      <w:r w:rsidRPr="00AF70C7">
        <w:rPr>
          <w:rFonts w:ascii="Arial" w:eastAsia="Arial" w:hAnsi="Arial" w:cs="Arial"/>
          <w:sz w:val="22"/>
          <w:szCs w:val="22"/>
          <w:lang w:val="es-MX"/>
        </w:rPr>
        <w:t>iii</w:t>
      </w:r>
      <w:proofErr w:type="spellEnd"/>
      <w:r w:rsidRPr="00AF70C7">
        <w:rPr>
          <w:rFonts w:ascii="Arial" w:eastAsia="Arial" w:hAnsi="Arial" w:cs="Arial"/>
          <w:sz w:val="22"/>
          <w:szCs w:val="22"/>
          <w:lang w:val="es-MX"/>
        </w:rPr>
        <w:t xml:space="preserve">) los requeridos para cubrir las emergencias educativas, sanitarias y desastres; </w:t>
      </w:r>
      <w:proofErr w:type="spellStart"/>
      <w:r w:rsidRPr="00AF70C7">
        <w:rPr>
          <w:rFonts w:ascii="Arial" w:eastAsia="Arial" w:hAnsi="Arial" w:cs="Arial"/>
          <w:sz w:val="22"/>
          <w:szCs w:val="22"/>
          <w:lang w:val="es-MX"/>
        </w:rPr>
        <w:t>iv</w:t>
      </w:r>
      <w:proofErr w:type="spellEnd"/>
      <w:r w:rsidRPr="00AF70C7">
        <w:rPr>
          <w:rFonts w:ascii="Arial" w:eastAsia="Arial" w:hAnsi="Arial" w:cs="Arial"/>
          <w:sz w:val="22"/>
          <w:szCs w:val="22"/>
          <w:lang w:val="es-MX"/>
        </w:rPr>
        <w:t>) los utilizados para la reconstrucción de vías, puentes, carreteras, infraestructura energética y de comunicaciones, en caso de que hayan sido objeto de atentados, acciones terroristas, desastres naturales o casos de fuerza mayor; y, v</w:t>
      </w:r>
      <w:r w:rsidRPr="00AF70C7">
        <w:rPr>
          <w:rFonts w:ascii="Arial" w:eastAsia="Arial" w:hAnsi="Arial" w:cs="Arial"/>
          <w:sz w:val="22"/>
          <w:szCs w:val="22"/>
          <w:u w:val="single"/>
          <w:lang w:val="es-MX"/>
        </w:rPr>
        <w:t>) los que deban realizar las entidades sanitarias y hospitalarias.</w:t>
      </w:r>
      <w:r w:rsidRPr="00AF70C7">
        <w:rPr>
          <w:rFonts w:ascii="Arial" w:eastAsia="Arial" w:hAnsi="Arial" w:cs="Arial"/>
          <w:sz w:val="22"/>
          <w:szCs w:val="22"/>
          <w:lang w:val="es-MX"/>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0A0F663" w14:textId="77777777" w:rsidR="009D6AD3" w:rsidRPr="00AF70C7" w:rsidRDefault="009D6AD3" w:rsidP="009D6AD3">
      <w:pPr>
        <w:spacing w:before="120" w:line="276" w:lineRule="auto"/>
        <w:ind w:firstLine="709"/>
        <w:jc w:val="both"/>
        <w:rPr>
          <w:rFonts w:ascii="Arial" w:eastAsia="Arial" w:hAnsi="Arial" w:cs="Arial"/>
          <w:sz w:val="22"/>
          <w:szCs w:val="22"/>
        </w:rPr>
      </w:pPr>
      <w:r w:rsidRPr="00AF70C7">
        <w:rPr>
          <w:rFonts w:ascii="Arial" w:eastAsia="Arial" w:hAnsi="Arial" w:cs="Arial"/>
          <w:sz w:val="22"/>
          <w:szCs w:val="22"/>
        </w:rPr>
        <w:t>En esta labor es importante tener en cuenta, como lo anotó la Corte Constitucional, en Sentencia C-1153 de noviembre 11 de 2005</w:t>
      </w:r>
      <w:r w:rsidRPr="00AF70C7">
        <w:rPr>
          <w:vertAlign w:val="superscript"/>
        </w:rPr>
        <w:t>,</w:t>
      </w:r>
      <w:r w:rsidRPr="00AF70C7">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AF70C7">
        <w:rPr>
          <w:rFonts w:ascii="Arial" w:eastAsia="Arial" w:hAnsi="Arial" w:cs="Arial"/>
          <w:sz w:val="22"/>
          <w:szCs w:val="22"/>
          <w:vertAlign w:val="superscript"/>
        </w:rPr>
        <w:footnoteReference w:id="20"/>
      </w:r>
      <w:r w:rsidRPr="00AF70C7">
        <w:rPr>
          <w:rFonts w:ascii="Arial" w:eastAsia="Arial" w:hAnsi="Arial" w:cs="Arial"/>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A1908B5" w14:textId="77777777" w:rsidR="009D6AD3" w:rsidRPr="00AF70C7" w:rsidRDefault="009D6AD3" w:rsidP="009D6AD3">
      <w:pPr>
        <w:spacing w:before="120" w:line="276" w:lineRule="auto"/>
        <w:ind w:firstLine="709"/>
        <w:jc w:val="both"/>
        <w:rPr>
          <w:rFonts w:ascii="Arial" w:eastAsia="Arial" w:hAnsi="Arial" w:cs="Arial"/>
          <w:sz w:val="22"/>
          <w:szCs w:val="22"/>
        </w:rPr>
      </w:pPr>
      <w:r w:rsidRPr="00AF70C7">
        <w:rPr>
          <w:rFonts w:ascii="Arial" w:eastAsia="Arial" w:hAnsi="Arial" w:cs="Arial"/>
          <w:sz w:val="22"/>
          <w:szCs w:val="22"/>
        </w:rPr>
        <w:t xml:space="preserve">Como se puede apreciar, el inciso segundo del artículo 33 dispone de dos (2) grandes grupos de excepciones a la prohibición de contratar directamente en la época preelectoral. </w:t>
      </w:r>
      <w:r w:rsidRPr="00AF70C7">
        <w:rPr>
          <w:rFonts w:ascii="Arial" w:eastAsia="Arial" w:hAnsi="Arial" w:cs="Arial"/>
          <w:i/>
          <w:iCs/>
          <w:sz w:val="22"/>
          <w:szCs w:val="22"/>
        </w:rPr>
        <w:t>Por un lado</w:t>
      </w:r>
      <w:r w:rsidRPr="00AF70C7">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AF70C7">
        <w:rPr>
          <w:rFonts w:ascii="Arial" w:eastAsia="Arial" w:hAnsi="Arial" w:cs="Arial"/>
          <w:i/>
          <w:iCs/>
          <w:sz w:val="22"/>
          <w:szCs w:val="22"/>
        </w:rPr>
        <w:t>Por otra parte</w:t>
      </w:r>
      <w:r w:rsidRPr="00AF70C7">
        <w:rPr>
          <w:rFonts w:ascii="Arial" w:eastAsia="Arial" w:hAnsi="Arial" w:cs="Arial"/>
          <w:sz w:val="22"/>
          <w:szCs w:val="22"/>
        </w:rPr>
        <w:t>, las que aluden a las entidades sanitarias y hospitalarias acudiendo a un criterio eminentemente subjetivo, pese a que no limita la excepción a un tipo de entidad en particular, sino que ata su aplicación a la naturaleza del respectivo ente.</w:t>
      </w:r>
    </w:p>
    <w:p w14:paraId="2D6FF24E" w14:textId="77777777" w:rsidR="009D6AD3" w:rsidRPr="00AF70C7" w:rsidRDefault="009D6AD3" w:rsidP="009D6AD3">
      <w:pPr>
        <w:spacing w:before="120" w:line="276" w:lineRule="auto"/>
        <w:ind w:firstLine="709"/>
        <w:jc w:val="both"/>
        <w:rPr>
          <w:rFonts w:ascii="Arial" w:eastAsia="Arial" w:hAnsi="Arial" w:cs="Arial"/>
          <w:sz w:val="22"/>
          <w:szCs w:val="22"/>
        </w:rPr>
      </w:pPr>
      <w:r w:rsidRPr="00AF70C7">
        <w:rPr>
          <w:rFonts w:ascii="Arial" w:eastAsia="Arial" w:hAnsi="Arial" w:cs="Arial"/>
          <w:sz w:val="22"/>
          <w:szCs w:val="22"/>
        </w:rPr>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 En este punto, dado que la norma no lo establece, no es posible limitar la excepción a cierto tipo de entidades públicas o hacer depender la aplicación de la excepción al nivel u orden administrativo en el que se </w:t>
      </w:r>
      <w:r w:rsidRPr="00AF70C7">
        <w:rPr>
          <w:rFonts w:ascii="Arial" w:eastAsia="Arial" w:hAnsi="Arial" w:cs="Arial"/>
          <w:sz w:val="22"/>
          <w:szCs w:val="22"/>
        </w:rPr>
        <w:lastRenderedPageBreak/>
        <w:t xml:space="preserve">encuentre. Como se explicó, lo relevante será verificar la naturaleza de la entidad para determinar si tiene carácter sanitario u hospitalario. </w:t>
      </w:r>
    </w:p>
    <w:p w14:paraId="3AAF5934" w14:textId="77777777" w:rsidR="009D6AD3" w:rsidRPr="00AF70C7" w:rsidRDefault="009D6AD3" w:rsidP="009D6AD3">
      <w:pPr>
        <w:spacing w:line="276" w:lineRule="auto"/>
        <w:ind w:right="49"/>
        <w:jc w:val="both"/>
        <w:rPr>
          <w:rFonts w:ascii="Arial" w:hAnsi="Arial" w:cs="Arial"/>
          <w:bCs/>
          <w:sz w:val="22"/>
          <w:szCs w:val="22"/>
          <w:lang w:val="es-ES" w:eastAsia="es-CO"/>
        </w:rPr>
      </w:pPr>
    </w:p>
    <w:p w14:paraId="73FDE293" w14:textId="34391BC8" w:rsidR="009D6AD3" w:rsidRPr="00AF70C7" w:rsidRDefault="009D6AD3" w:rsidP="009D6AD3">
      <w:pPr>
        <w:spacing w:line="276" w:lineRule="auto"/>
        <w:ind w:right="49"/>
        <w:jc w:val="both"/>
        <w:rPr>
          <w:rFonts w:ascii="Arial" w:hAnsi="Arial" w:cs="Arial"/>
          <w:b/>
          <w:sz w:val="22"/>
          <w:szCs w:val="22"/>
          <w:lang w:val="es-MX" w:eastAsia="x-none"/>
        </w:rPr>
      </w:pPr>
      <w:r w:rsidRPr="00AF70C7">
        <w:rPr>
          <w:rFonts w:ascii="Arial" w:hAnsi="Arial" w:cs="Arial"/>
          <w:b/>
          <w:sz w:val="22"/>
          <w:szCs w:val="22"/>
          <w:lang w:val="es-MX" w:eastAsia="x-none"/>
        </w:rPr>
        <w:t>2.</w:t>
      </w:r>
      <w:r w:rsidR="00557099" w:rsidRPr="00AF70C7">
        <w:rPr>
          <w:rFonts w:ascii="Arial" w:hAnsi="Arial" w:cs="Arial"/>
          <w:b/>
          <w:sz w:val="22"/>
          <w:szCs w:val="22"/>
          <w:lang w:val="es-MX" w:eastAsia="x-none"/>
        </w:rPr>
        <w:t>4</w:t>
      </w:r>
      <w:r w:rsidRPr="00AF70C7">
        <w:rPr>
          <w:rFonts w:ascii="Arial" w:hAnsi="Arial" w:cs="Arial"/>
          <w:b/>
          <w:sz w:val="22"/>
          <w:szCs w:val="22"/>
          <w:lang w:val="es-MX" w:eastAsia="x-none"/>
        </w:rPr>
        <w:t>.  Destinatarios de la restricción del artículo 33 de la Ley 996 de 2005</w:t>
      </w:r>
      <w:r w:rsidR="00557099" w:rsidRPr="00AF70C7">
        <w:rPr>
          <w:rFonts w:ascii="Arial" w:hAnsi="Arial" w:cs="Arial"/>
          <w:b/>
          <w:sz w:val="22"/>
          <w:szCs w:val="22"/>
          <w:lang w:val="es-MX" w:eastAsia="x-none"/>
        </w:rPr>
        <w:t xml:space="preserve">. Alcance de la excepción referida a entidades </w:t>
      </w:r>
      <w:r w:rsidR="00E740CD" w:rsidRPr="00AF70C7">
        <w:rPr>
          <w:rFonts w:ascii="Arial" w:hAnsi="Arial" w:cs="Arial"/>
          <w:b/>
          <w:sz w:val="22"/>
          <w:szCs w:val="22"/>
          <w:lang w:val="es-MX" w:eastAsia="x-none"/>
        </w:rPr>
        <w:t>sanitarias</w:t>
      </w:r>
    </w:p>
    <w:p w14:paraId="6DEA1491" w14:textId="77777777" w:rsidR="009D6AD3" w:rsidRPr="00AF70C7" w:rsidRDefault="009D6AD3" w:rsidP="009D6AD3">
      <w:pPr>
        <w:spacing w:line="276" w:lineRule="auto"/>
        <w:ind w:right="49"/>
        <w:jc w:val="both"/>
        <w:rPr>
          <w:rFonts w:ascii="Arial" w:hAnsi="Arial" w:cs="Arial"/>
          <w:bCs/>
          <w:sz w:val="22"/>
          <w:szCs w:val="22"/>
          <w:lang w:val="es-MX" w:eastAsia="x-none"/>
        </w:rPr>
      </w:pPr>
    </w:p>
    <w:p w14:paraId="4823DF8F" w14:textId="77777777" w:rsidR="009D6AD3" w:rsidRPr="00AF70C7" w:rsidRDefault="009D6AD3" w:rsidP="009D6AD3">
      <w:pPr>
        <w:spacing w:line="276" w:lineRule="auto"/>
        <w:jc w:val="both"/>
        <w:rPr>
          <w:rFonts w:ascii="Arial" w:eastAsia="Arial" w:hAnsi="Arial" w:cs="Arial"/>
          <w:sz w:val="22"/>
          <w:szCs w:val="22"/>
        </w:rPr>
      </w:pPr>
      <w:r w:rsidRPr="00AF70C7">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AF70C7">
        <w:t xml:space="preserve"> </w:t>
      </w:r>
      <w:r w:rsidRPr="00AF70C7">
        <w:rPr>
          <w:rFonts w:ascii="Arial" w:eastAsia="Arial" w:hAnsi="Arial" w:cs="Arial"/>
          <w:sz w:val="22"/>
          <w:szCs w:val="22"/>
        </w:rPr>
        <w:t>En efecto, tal como lo ha sostenido el Consejo de Estado, el vocablo «todos» utilizado por el legislador comprende</w:t>
      </w:r>
      <w:r w:rsidRPr="00AF70C7">
        <w:t xml:space="preserve"> </w:t>
      </w:r>
      <w:r w:rsidRPr="00AF70C7">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344458C" w14:textId="77777777" w:rsidR="009D6AD3" w:rsidRPr="00AF70C7" w:rsidRDefault="009D6AD3" w:rsidP="009D6AD3">
      <w:pPr>
        <w:spacing w:line="276" w:lineRule="auto"/>
        <w:ind w:firstLine="708"/>
        <w:jc w:val="both"/>
        <w:rPr>
          <w:rFonts w:ascii="Arial" w:eastAsia="Arial" w:hAnsi="Arial" w:cs="Arial"/>
          <w:sz w:val="22"/>
          <w:szCs w:val="22"/>
        </w:rPr>
      </w:pPr>
    </w:p>
    <w:p w14:paraId="0D2CC21C" w14:textId="77777777" w:rsidR="009D6AD3" w:rsidRPr="00AF70C7" w:rsidRDefault="009D6AD3" w:rsidP="009D6AD3">
      <w:pPr>
        <w:ind w:left="709" w:right="709"/>
        <w:jc w:val="both"/>
      </w:pPr>
      <w:r w:rsidRPr="00AF70C7">
        <w:rPr>
          <w:rFonts w:ascii="Arial" w:eastAsia="Arial" w:hAnsi="Arial" w:cs="Arial"/>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AF70C7">
        <w:rPr>
          <w:rFonts w:ascii="Arial" w:eastAsia="Arial" w:hAnsi="Arial" w:cs="Arial"/>
          <w:sz w:val="21"/>
          <w:szCs w:val="21"/>
          <w:vertAlign w:val="superscript"/>
        </w:rPr>
        <w:footnoteReference w:id="21"/>
      </w:r>
      <w:r w:rsidRPr="00AF70C7">
        <w:rPr>
          <w:rFonts w:ascii="Arial" w:eastAsia="Arial" w:hAnsi="Arial" w:cs="Arial"/>
          <w:sz w:val="21"/>
          <w:szCs w:val="21"/>
        </w:rPr>
        <w:t xml:space="preserve">. </w:t>
      </w:r>
    </w:p>
    <w:p w14:paraId="091F7322" w14:textId="77777777" w:rsidR="009D6AD3" w:rsidRPr="00AF70C7" w:rsidRDefault="009D6AD3" w:rsidP="009D6AD3">
      <w:pPr>
        <w:spacing w:line="276" w:lineRule="auto"/>
        <w:jc w:val="both"/>
        <w:rPr>
          <w:rFonts w:ascii="Arial" w:eastAsia="Arial" w:hAnsi="Arial" w:cs="Arial"/>
          <w:sz w:val="22"/>
          <w:szCs w:val="22"/>
        </w:rPr>
      </w:pPr>
    </w:p>
    <w:p w14:paraId="1690935B" w14:textId="77777777" w:rsidR="009D6AD3" w:rsidRPr="00AF70C7" w:rsidRDefault="009D6AD3" w:rsidP="009D6AD3">
      <w:pPr>
        <w:spacing w:line="276" w:lineRule="auto"/>
        <w:ind w:firstLine="709"/>
        <w:jc w:val="both"/>
        <w:rPr>
          <w:rFonts w:ascii="Arial" w:eastAsia="Arial" w:hAnsi="Arial" w:cs="Arial"/>
          <w:bCs/>
          <w:sz w:val="22"/>
          <w:szCs w:val="22"/>
        </w:rPr>
      </w:pPr>
      <w:r w:rsidRPr="00AF70C7">
        <w:rPr>
          <w:rFonts w:ascii="Arial" w:eastAsia="Arial" w:hAnsi="Arial" w:cs="Arial"/>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2195383F" w14:textId="77777777" w:rsidR="00994835" w:rsidRPr="00AF70C7" w:rsidRDefault="00994835" w:rsidP="00994835">
      <w:pPr>
        <w:spacing w:before="120" w:line="276" w:lineRule="auto"/>
        <w:ind w:firstLine="709"/>
        <w:jc w:val="both"/>
        <w:rPr>
          <w:rFonts w:ascii="Arial" w:eastAsia="Arial" w:hAnsi="Arial" w:cs="Arial"/>
          <w:bCs/>
          <w:sz w:val="22"/>
          <w:szCs w:val="22"/>
        </w:rPr>
      </w:pPr>
      <w:r w:rsidRPr="00AF70C7">
        <w:rPr>
          <w:rFonts w:ascii="Arial" w:eastAsia="Arial" w:hAnsi="Arial" w:cs="Arial"/>
          <w:bCs/>
          <w:sz w:val="22"/>
          <w:szCs w:val="22"/>
        </w:rPr>
        <w:lastRenderedPageBreak/>
        <w:t xml:space="preserve">En este punto, debe tenerse en cuenta que los departamentos estarían cobijados por la prohibición para contratar directamente establecida en el artículo 33 de la Ley de Garantías. Sin embargo, es necesario señalar que el inciso 2 del mismo artículo consagra excepciones a dicha prohibición sin hacer distingo entre entidades </w:t>
      </w:r>
      <w:proofErr w:type="gramStart"/>
      <w:r w:rsidRPr="00AF70C7">
        <w:rPr>
          <w:rFonts w:ascii="Arial" w:eastAsia="Arial" w:hAnsi="Arial" w:cs="Arial"/>
          <w:bCs/>
          <w:sz w:val="22"/>
          <w:szCs w:val="22"/>
        </w:rPr>
        <w:t>sino</w:t>
      </w:r>
      <w:proofErr w:type="gramEnd"/>
      <w:r w:rsidRPr="00AF70C7">
        <w:rPr>
          <w:rFonts w:ascii="Arial" w:eastAsia="Arial" w:hAnsi="Arial" w:cs="Arial"/>
          <w:bCs/>
          <w:sz w:val="22"/>
          <w:szCs w:val="22"/>
        </w:rPr>
        <w:t>, como se explicó, atendiendo a la naturaleza de las funciones y actividades que ellas desarrollen. Así las cosas, no es relevante ni la nominación ni el 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749B7BFC" w14:textId="77777777" w:rsidR="00994835" w:rsidRPr="00AF70C7" w:rsidRDefault="00994835" w:rsidP="00994835">
      <w:pPr>
        <w:tabs>
          <w:tab w:val="left" w:pos="426"/>
        </w:tabs>
        <w:spacing w:before="120" w:line="276" w:lineRule="auto"/>
        <w:jc w:val="both"/>
        <w:rPr>
          <w:rFonts w:ascii="Arial" w:hAnsi="Arial" w:cs="Arial"/>
          <w:bCs/>
          <w:sz w:val="22"/>
          <w:lang w:val="es-ES_tradnl"/>
        </w:rPr>
      </w:pPr>
      <w:r w:rsidRPr="00AF70C7">
        <w:rPr>
          <w:rFonts w:ascii="Arial" w:eastAsia="Arial" w:hAnsi="Arial" w:cs="Arial"/>
          <w:bCs/>
          <w:sz w:val="22"/>
          <w:szCs w:val="22"/>
        </w:rPr>
        <w:tab/>
      </w:r>
      <w:r w:rsidRPr="00AF70C7">
        <w:rPr>
          <w:rFonts w:ascii="Arial" w:eastAsia="Arial" w:hAnsi="Arial" w:cs="Arial"/>
          <w:bCs/>
          <w:sz w:val="22"/>
          <w:szCs w:val="22"/>
        </w:rPr>
        <w:tab/>
        <w:t xml:space="preserve">Al respecto, es importante reiterar que </w:t>
      </w:r>
      <w:r w:rsidRPr="00AF70C7">
        <w:rPr>
          <w:rFonts w:ascii="Arial" w:hAnsi="Arial" w:cs="Arial"/>
          <w:bCs/>
          <w:sz w:val="22"/>
          <w:lang w:val="es-ES_tradnl"/>
        </w:rPr>
        <w:t>el segundo inciso del artículo 33 de la Ley de Garantías Electorales consagró las excepciones aplicables a la prohibición de contratación directa establecida en el mismo artículo. Como se indicó, las excepciones a la prohibición del artículo 33 de la norma mencionada son las siguientes:</w:t>
      </w:r>
    </w:p>
    <w:p w14:paraId="0BF06E1B" w14:textId="77777777" w:rsidR="00994835" w:rsidRPr="00AF70C7" w:rsidRDefault="00994835" w:rsidP="00994835">
      <w:pPr>
        <w:tabs>
          <w:tab w:val="left" w:pos="709"/>
        </w:tabs>
        <w:spacing w:before="120" w:line="276" w:lineRule="auto"/>
        <w:jc w:val="both"/>
        <w:rPr>
          <w:rFonts w:ascii="Arial" w:hAnsi="Arial" w:cs="Arial"/>
          <w:bCs/>
          <w:sz w:val="22"/>
          <w:lang w:val="es-ES_tradnl"/>
        </w:rPr>
      </w:pPr>
      <w:r w:rsidRPr="00AF70C7">
        <w:rPr>
          <w:rFonts w:ascii="Arial" w:hAnsi="Arial" w:cs="Arial"/>
          <w:bCs/>
          <w:sz w:val="22"/>
          <w:lang w:val="es-ES_tradnl"/>
        </w:rPr>
        <w:tab/>
        <w:t>i) La contratación referente a la defensa y seguridad del Estado;</w:t>
      </w:r>
    </w:p>
    <w:p w14:paraId="21BCC984" w14:textId="77777777" w:rsidR="00994835" w:rsidRPr="00AF70C7" w:rsidRDefault="00994835" w:rsidP="00994835">
      <w:pPr>
        <w:tabs>
          <w:tab w:val="left" w:pos="709"/>
        </w:tabs>
        <w:spacing w:before="120" w:line="276" w:lineRule="auto"/>
        <w:jc w:val="both"/>
        <w:rPr>
          <w:rFonts w:ascii="Arial" w:hAnsi="Arial" w:cs="Arial"/>
          <w:bCs/>
          <w:sz w:val="22"/>
          <w:lang w:val="es-ES_tradnl"/>
        </w:rPr>
      </w:pPr>
      <w:r w:rsidRPr="00AF70C7">
        <w:rPr>
          <w:rFonts w:ascii="Arial" w:hAnsi="Arial" w:cs="Arial"/>
          <w:bCs/>
          <w:sz w:val="22"/>
          <w:lang w:val="es-ES_tradnl"/>
        </w:rPr>
        <w:tab/>
      </w:r>
      <w:proofErr w:type="spellStart"/>
      <w:r w:rsidRPr="00AF70C7">
        <w:rPr>
          <w:rFonts w:ascii="Arial" w:hAnsi="Arial" w:cs="Arial"/>
          <w:bCs/>
          <w:sz w:val="22"/>
          <w:lang w:val="es-ES_tradnl"/>
        </w:rPr>
        <w:t>ii</w:t>
      </w:r>
      <w:proofErr w:type="spellEnd"/>
      <w:r w:rsidRPr="00AF70C7">
        <w:rPr>
          <w:rFonts w:ascii="Arial" w:hAnsi="Arial" w:cs="Arial"/>
          <w:bCs/>
          <w:sz w:val="22"/>
          <w:lang w:val="es-ES_tradnl"/>
        </w:rPr>
        <w:t>) Los contratos de crédito público;</w:t>
      </w:r>
    </w:p>
    <w:p w14:paraId="628BA046" w14:textId="77777777" w:rsidR="00994835" w:rsidRPr="00AF70C7" w:rsidRDefault="00994835" w:rsidP="00994835">
      <w:pPr>
        <w:tabs>
          <w:tab w:val="left" w:pos="709"/>
        </w:tabs>
        <w:spacing w:before="120" w:line="276" w:lineRule="auto"/>
        <w:jc w:val="both"/>
        <w:rPr>
          <w:rFonts w:ascii="Arial" w:hAnsi="Arial" w:cs="Arial"/>
          <w:bCs/>
          <w:sz w:val="22"/>
          <w:lang w:val="es-ES_tradnl"/>
        </w:rPr>
      </w:pPr>
      <w:r w:rsidRPr="00AF70C7">
        <w:rPr>
          <w:rFonts w:ascii="Arial" w:hAnsi="Arial" w:cs="Arial"/>
          <w:bCs/>
          <w:sz w:val="22"/>
          <w:lang w:val="es-ES_tradnl"/>
        </w:rPr>
        <w:tab/>
      </w:r>
      <w:proofErr w:type="spellStart"/>
      <w:r w:rsidRPr="00AF70C7">
        <w:rPr>
          <w:rFonts w:ascii="Arial" w:hAnsi="Arial" w:cs="Arial"/>
          <w:bCs/>
          <w:sz w:val="22"/>
          <w:lang w:val="es-ES_tradnl"/>
        </w:rPr>
        <w:t>iii</w:t>
      </w:r>
      <w:proofErr w:type="spellEnd"/>
      <w:r w:rsidRPr="00AF70C7">
        <w:rPr>
          <w:rFonts w:ascii="Arial" w:hAnsi="Arial" w:cs="Arial"/>
          <w:bCs/>
          <w:sz w:val="22"/>
          <w:lang w:val="es-ES_tradnl"/>
        </w:rPr>
        <w:t xml:space="preserve">) Los contratos requeridos para cubrir las emergencias educativas, sanitarias y desastres; </w:t>
      </w:r>
    </w:p>
    <w:p w14:paraId="219076AC" w14:textId="77777777" w:rsidR="00994835" w:rsidRPr="00AF70C7" w:rsidRDefault="00994835" w:rsidP="00994835">
      <w:pPr>
        <w:tabs>
          <w:tab w:val="left" w:pos="709"/>
        </w:tabs>
        <w:spacing w:before="120" w:line="276" w:lineRule="auto"/>
        <w:jc w:val="both"/>
        <w:rPr>
          <w:rFonts w:ascii="Arial" w:hAnsi="Arial" w:cs="Arial"/>
          <w:bCs/>
          <w:sz w:val="22"/>
          <w:lang w:val="es-ES_tradnl"/>
        </w:rPr>
      </w:pPr>
      <w:r w:rsidRPr="00AF70C7">
        <w:rPr>
          <w:rFonts w:ascii="Arial" w:hAnsi="Arial" w:cs="Arial"/>
          <w:bCs/>
          <w:sz w:val="22"/>
          <w:lang w:val="es-ES_tradnl"/>
        </w:rPr>
        <w:tab/>
      </w:r>
      <w:proofErr w:type="spellStart"/>
      <w:r w:rsidRPr="00AF70C7">
        <w:rPr>
          <w:rFonts w:ascii="Arial" w:hAnsi="Arial" w:cs="Arial"/>
          <w:bCs/>
          <w:sz w:val="22"/>
          <w:lang w:val="es-ES_tradnl"/>
        </w:rPr>
        <w:t>iv</w:t>
      </w:r>
      <w:proofErr w:type="spellEnd"/>
      <w:r w:rsidRPr="00AF70C7">
        <w:rPr>
          <w:rFonts w:ascii="Arial" w:hAnsi="Arial" w:cs="Arial"/>
          <w:bCs/>
          <w:sz w:val="22"/>
          <w:lang w:val="es-ES_tradnl"/>
        </w:rPr>
        <w:t>) La contratación para la reconstrucción de vías, puentes, carreteras, infraestructura energética y de comunicaciones, en caso de que hayan sido objeto de atentados, acciones terroristas, desastres naturales o casos de fuerza mayor y;</w:t>
      </w:r>
    </w:p>
    <w:p w14:paraId="3E2564C6" w14:textId="77777777" w:rsidR="00994835" w:rsidRPr="00AF70C7" w:rsidRDefault="00994835" w:rsidP="00994835">
      <w:pPr>
        <w:tabs>
          <w:tab w:val="left" w:pos="709"/>
        </w:tabs>
        <w:spacing w:before="120" w:line="276" w:lineRule="auto"/>
        <w:jc w:val="both"/>
        <w:rPr>
          <w:rFonts w:ascii="Arial" w:hAnsi="Arial" w:cs="Arial"/>
          <w:bCs/>
          <w:sz w:val="22"/>
          <w:lang w:val="es-ES_tradnl"/>
        </w:rPr>
      </w:pPr>
      <w:r w:rsidRPr="00AF70C7">
        <w:rPr>
          <w:rFonts w:ascii="Arial" w:hAnsi="Arial" w:cs="Arial"/>
          <w:bCs/>
          <w:sz w:val="22"/>
          <w:lang w:val="es-ES_tradnl"/>
        </w:rPr>
        <w:tab/>
        <w:t xml:space="preserve">v) La contratación que deban realizar las entidades sanitarias y hospitalarias. </w:t>
      </w:r>
    </w:p>
    <w:p w14:paraId="3184C4CE" w14:textId="77777777" w:rsidR="000932C6" w:rsidRPr="002E5E73" w:rsidRDefault="00994835" w:rsidP="000932C6">
      <w:pPr>
        <w:tabs>
          <w:tab w:val="left" w:pos="426"/>
        </w:tabs>
        <w:spacing w:before="120" w:line="276" w:lineRule="auto"/>
        <w:ind w:firstLine="709"/>
        <w:jc w:val="both"/>
        <w:rPr>
          <w:rFonts w:ascii="Arial" w:hAnsi="Arial" w:cs="Arial"/>
          <w:sz w:val="21"/>
          <w:szCs w:val="21"/>
          <w:lang w:val="es-ES_tradnl" w:eastAsia="es-CO"/>
        </w:rPr>
      </w:pPr>
      <w:r w:rsidRPr="00AF70C7">
        <w:rPr>
          <w:rFonts w:ascii="Arial" w:hAnsi="Arial" w:cs="Arial"/>
          <w:bCs/>
          <w:sz w:val="22"/>
          <w:lang w:val="es-ES_tradnl"/>
        </w:rPr>
        <w:t>La Sala de Consulta y Servicio Civil del Consejo de Estado, en concepto del 4 de febrero de 2010, se pronunció frente a las razones por las que el legislador consagró excepciones al artículo 33 de la Ley de Garantías Electorales</w:t>
      </w:r>
      <w:r w:rsidR="00164C8E" w:rsidRPr="002E5E73">
        <w:rPr>
          <w:rFonts w:ascii="Arial" w:hAnsi="Arial" w:cs="Arial"/>
          <w:bCs/>
          <w:sz w:val="22"/>
          <w:lang w:val="es-ES_tradnl"/>
        </w:rPr>
        <w:t>, manifestado que</w:t>
      </w:r>
      <w:r w:rsidRPr="00AF70C7">
        <w:rPr>
          <w:rFonts w:ascii="Arial" w:hAnsi="Arial" w:cs="Arial"/>
          <w:bCs/>
          <w:sz w:val="22"/>
          <w:lang w:val="es-ES_tradnl"/>
        </w:rPr>
        <w:t xml:space="preserve"> </w:t>
      </w:r>
      <w:r w:rsidR="00164C8E" w:rsidRPr="002E5E73">
        <w:rPr>
          <w:rFonts w:ascii="Arial" w:hAnsi="Arial" w:cs="Arial"/>
          <w:bCs/>
          <w:sz w:val="22"/>
          <w:lang w:val="es-ES_tradnl"/>
        </w:rPr>
        <w:t>«</w:t>
      </w:r>
      <w:r w:rsidRPr="00AF70C7">
        <w:rPr>
          <w:rFonts w:ascii="Arial" w:hAnsi="Arial" w:cs="Arial"/>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00164C8E" w:rsidRPr="002E5E73">
        <w:rPr>
          <w:rFonts w:ascii="Arial" w:hAnsi="Arial" w:cs="Arial"/>
          <w:sz w:val="21"/>
          <w:szCs w:val="21"/>
          <w:lang w:val="es-ES_tradnl" w:eastAsia="es-CO"/>
        </w:rPr>
        <w:t>».</w:t>
      </w:r>
      <w:r w:rsidRPr="00AF70C7">
        <w:rPr>
          <w:rStyle w:val="Refdenotaalpie"/>
          <w:rFonts w:ascii="Arial" w:hAnsi="Arial" w:cs="Arial"/>
          <w:sz w:val="21"/>
          <w:szCs w:val="21"/>
          <w:lang w:val="es-ES_tradnl" w:eastAsia="es-CO"/>
        </w:rPr>
        <w:footnoteReference w:id="22"/>
      </w:r>
      <w:r w:rsidRPr="00AF70C7">
        <w:rPr>
          <w:rFonts w:ascii="Arial" w:hAnsi="Arial" w:cs="Arial"/>
          <w:sz w:val="21"/>
          <w:szCs w:val="21"/>
          <w:lang w:val="es-ES_tradnl" w:eastAsia="es-CO"/>
        </w:rPr>
        <w:t xml:space="preserve">. </w:t>
      </w:r>
    </w:p>
    <w:p w14:paraId="6E09BCE5" w14:textId="1563D23A" w:rsidR="00994835" w:rsidRPr="00AF70C7" w:rsidRDefault="00994835" w:rsidP="002E5E73">
      <w:pPr>
        <w:tabs>
          <w:tab w:val="left" w:pos="426"/>
        </w:tabs>
        <w:spacing w:before="120" w:line="276" w:lineRule="auto"/>
        <w:ind w:firstLine="709"/>
        <w:jc w:val="both"/>
        <w:rPr>
          <w:rFonts w:ascii="Arial" w:hAnsi="Arial" w:cs="Arial"/>
          <w:sz w:val="22"/>
          <w:lang w:val="es-ES_tradnl" w:eastAsia="es-CO"/>
        </w:rPr>
      </w:pPr>
      <w:r w:rsidRPr="00AF70C7">
        <w:rPr>
          <w:rFonts w:ascii="Arial" w:hAnsi="Arial" w:cs="Arial"/>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w:t>
      </w:r>
      <w:proofErr w:type="spellStart"/>
      <w:r w:rsidRPr="00AF70C7">
        <w:rPr>
          <w:rFonts w:ascii="Arial" w:hAnsi="Arial" w:cs="Arial"/>
          <w:sz w:val="22"/>
          <w:lang w:val="es-ES_tradnl" w:eastAsia="es-CO"/>
        </w:rPr>
        <w:t>exequibilidad</w:t>
      </w:r>
      <w:proofErr w:type="spellEnd"/>
      <w:r w:rsidRPr="00AF70C7">
        <w:rPr>
          <w:rFonts w:ascii="Arial" w:hAnsi="Arial" w:cs="Arial"/>
          <w:sz w:val="22"/>
          <w:lang w:val="es-ES_tradnl" w:eastAsia="es-CO"/>
        </w:rPr>
        <w:t xml:space="preserve">. Así, por ejemplo, la Corte Constitucional explicó que «las excepciones de limitación protegen diversos tipos de urgencias de defensa, salud, educación, infraestructura vial y de servicios públicos y </w:t>
      </w:r>
      <w:r w:rsidRPr="00AF70C7">
        <w:rPr>
          <w:rFonts w:ascii="Arial" w:hAnsi="Arial" w:cs="Arial"/>
          <w:sz w:val="22"/>
          <w:lang w:val="es-ES_tradnl" w:eastAsia="es-CO"/>
        </w:rPr>
        <w:lastRenderedPageBreak/>
        <w:t>ecológicas tienden a no limitar desproporcionadamente la acción del Estado en el cumplimiento de sus fines, en procura de la igualdad entre candidatos como garantía electoral»</w:t>
      </w:r>
      <w:r w:rsidRPr="00AF70C7">
        <w:rPr>
          <w:rStyle w:val="Refdenotaalpie"/>
          <w:rFonts w:ascii="Arial" w:hAnsi="Arial" w:cs="Arial"/>
          <w:sz w:val="22"/>
          <w:lang w:val="es-ES_tradnl" w:eastAsia="es-CO"/>
        </w:rPr>
        <w:footnoteReference w:id="23"/>
      </w:r>
      <w:r w:rsidRPr="00AF70C7">
        <w:rPr>
          <w:rFonts w:ascii="Arial" w:hAnsi="Arial" w:cs="Arial"/>
          <w:sz w:val="22"/>
          <w:lang w:val="es-ES_tradnl" w:eastAsia="es-CO"/>
        </w:rPr>
        <w:t xml:space="preserve">. </w:t>
      </w:r>
    </w:p>
    <w:p w14:paraId="06A0996D" w14:textId="75800CFD" w:rsidR="00994835" w:rsidRPr="00AF70C7" w:rsidRDefault="00994835" w:rsidP="00994835">
      <w:pPr>
        <w:tabs>
          <w:tab w:val="left" w:pos="426"/>
        </w:tabs>
        <w:spacing w:before="120" w:line="276" w:lineRule="auto"/>
        <w:ind w:firstLine="709"/>
        <w:jc w:val="both"/>
        <w:rPr>
          <w:rFonts w:ascii="Arial" w:hAnsi="Arial" w:cs="Arial"/>
          <w:sz w:val="22"/>
          <w:lang w:val="es-ES_tradnl"/>
        </w:rPr>
      </w:pPr>
      <w:r w:rsidRPr="00AF70C7">
        <w:rPr>
          <w:rFonts w:ascii="Arial" w:hAnsi="Arial" w:cs="Arial"/>
          <w:bCs/>
          <w:sz w:val="22"/>
          <w:lang w:val="es-ES_tradnl"/>
        </w:rPr>
        <w:t xml:space="preserve">Por tanto, las excepciones a la prohibición contenida en el inciso segundo de artículo 33 de la ley de garantías electorales tienen por finalidad garantizar la prestación ininterrumpida de algunos servicios públicos, </w:t>
      </w:r>
      <w:r w:rsidR="000932C6" w:rsidRPr="002E5E73">
        <w:rPr>
          <w:rFonts w:ascii="Arial" w:hAnsi="Arial" w:cs="Arial"/>
          <w:bCs/>
          <w:sz w:val="22"/>
          <w:lang w:val="es-ES_tradnl"/>
        </w:rPr>
        <w:t>que,</w:t>
      </w:r>
      <w:r w:rsidRPr="00AF70C7">
        <w:rPr>
          <w:rFonts w:ascii="Arial" w:hAnsi="Arial" w:cs="Arial"/>
          <w:bCs/>
          <w:sz w:val="22"/>
          <w:lang w:val="es-ES_tradnl"/>
        </w:rPr>
        <w:t xml:space="preserve"> dada su importancia en el orden interno, se verían irrazonablemente afectados por la restricción explicada. De igual forma, la Sala de Consulta y Servicio Civil del Consejo de Estado, en concepto del 2 de septiembre de 2013</w:t>
      </w:r>
      <w:r w:rsidRPr="00AF70C7">
        <w:rPr>
          <w:rFonts w:ascii="Arial" w:hAnsi="Arial" w:cs="Arial"/>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5A2AA45E" w14:textId="77777777" w:rsidR="00994835" w:rsidRPr="00AF70C7" w:rsidRDefault="00994835" w:rsidP="00994835">
      <w:pPr>
        <w:tabs>
          <w:tab w:val="left" w:pos="426"/>
        </w:tabs>
        <w:spacing w:line="276" w:lineRule="auto"/>
        <w:ind w:firstLine="709"/>
        <w:jc w:val="both"/>
        <w:rPr>
          <w:rFonts w:ascii="Arial" w:hAnsi="Arial" w:cs="Arial"/>
          <w:bCs/>
          <w:sz w:val="22"/>
          <w:lang w:val="es-ES_tradnl"/>
        </w:rPr>
      </w:pPr>
    </w:p>
    <w:p w14:paraId="30F085B6" w14:textId="77777777" w:rsidR="00994835" w:rsidRPr="00AF70C7" w:rsidRDefault="00994835" w:rsidP="00994835">
      <w:pPr>
        <w:tabs>
          <w:tab w:val="left" w:pos="426"/>
        </w:tabs>
        <w:ind w:right="709"/>
        <w:jc w:val="both"/>
        <w:rPr>
          <w:rFonts w:ascii="Arial" w:hAnsi="Arial" w:cs="Arial"/>
          <w:sz w:val="21"/>
          <w:szCs w:val="21"/>
          <w:lang w:val="es-ES_tradnl"/>
        </w:rPr>
      </w:pPr>
      <w:r w:rsidRPr="00AF70C7">
        <w:rPr>
          <w:rFonts w:ascii="Arial" w:hAnsi="Arial" w:cs="Arial"/>
          <w:sz w:val="21"/>
          <w:szCs w:val="21"/>
          <w:lang w:val="es-ES_tradnl"/>
        </w:rPr>
        <w:tab/>
      </w:r>
      <w:r w:rsidRPr="00AF70C7">
        <w:rPr>
          <w:rFonts w:ascii="Arial" w:hAnsi="Arial" w:cs="Arial"/>
          <w:sz w:val="21"/>
          <w:szCs w:val="21"/>
          <w:lang w:val="es-ES_tradnl"/>
        </w:rPr>
        <w:tab/>
        <w:t>[…]</w:t>
      </w:r>
    </w:p>
    <w:p w14:paraId="16466F9C" w14:textId="77777777" w:rsidR="00994835" w:rsidRPr="00AF70C7" w:rsidRDefault="00994835" w:rsidP="00994835">
      <w:pPr>
        <w:tabs>
          <w:tab w:val="left" w:pos="426"/>
        </w:tabs>
        <w:ind w:right="709"/>
        <w:jc w:val="both"/>
        <w:rPr>
          <w:rFonts w:ascii="Arial" w:hAnsi="Arial" w:cs="Arial"/>
          <w:sz w:val="21"/>
          <w:szCs w:val="21"/>
          <w:lang w:val="es-ES_tradnl"/>
        </w:rPr>
      </w:pPr>
    </w:p>
    <w:p w14:paraId="27347B01" w14:textId="77777777" w:rsidR="00994835" w:rsidRPr="00AF70C7" w:rsidRDefault="00994835" w:rsidP="00994835">
      <w:pPr>
        <w:ind w:left="709" w:right="709"/>
        <w:jc w:val="both"/>
        <w:rPr>
          <w:rFonts w:ascii="Arial" w:hAnsi="Arial" w:cs="Arial"/>
          <w:i/>
          <w:sz w:val="21"/>
          <w:szCs w:val="21"/>
          <w:lang w:val="es-ES_tradnl"/>
        </w:rPr>
      </w:pPr>
      <w:r w:rsidRPr="00AF70C7">
        <w:rPr>
          <w:rFonts w:ascii="Arial" w:hAnsi="Arial" w:cs="Arial"/>
          <w:i/>
          <w:sz w:val="21"/>
          <w:szCs w:val="21"/>
          <w:lang w:val="es-ES_tradnl"/>
        </w:rPr>
        <w:t>Las excepciones aplicables a la restricción de contratación pública</w:t>
      </w:r>
    </w:p>
    <w:p w14:paraId="235FAC35" w14:textId="77777777" w:rsidR="00994835" w:rsidRPr="00AF70C7" w:rsidRDefault="00994835" w:rsidP="00994835">
      <w:pPr>
        <w:ind w:left="709" w:right="709"/>
        <w:jc w:val="both"/>
        <w:rPr>
          <w:rFonts w:ascii="Arial" w:hAnsi="Arial" w:cs="Arial"/>
          <w:i/>
          <w:sz w:val="21"/>
          <w:szCs w:val="21"/>
          <w:lang w:val="es-ES_tradnl"/>
        </w:rPr>
      </w:pPr>
    </w:p>
    <w:p w14:paraId="285E34BD" w14:textId="77777777" w:rsidR="00994835" w:rsidRPr="00AF70C7" w:rsidRDefault="00994835" w:rsidP="00994835">
      <w:pPr>
        <w:ind w:left="709" w:right="709"/>
        <w:jc w:val="both"/>
        <w:rPr>
          <w:rFonts w:ascii="Arial" w:hAnsi="Arial" w:cs="Arial"/>
          <w:sz w:val="21"/>
          <w:szCs w:val="21"/>
          <w:shd w:val="clear" w:color="auto" w:fill="FFFFFF"/>
          <w:lang w:val="es-ES_tradnl"/>
        </w:rPr>
      </w:pPr>
      <w:r w:rsidRPr="00AF70C7">
        <w:rPr>
          <w:rFonts w:ascii="Arial" w:hAnsi="Arial" w:cs="Arial"/>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4119F513" w14:textId="77777777" w:rsidR="00994835" w:rsidRPr="00AF70C7" w:rsidRDefault="00994835" w:rsidP="00994835">
      <w:pPr>
        <w:ind w:left="709" w:right="709"/>
        <w:jc w:val="both"/>
        <w:rPr>
          <w:rFonts w:ascii="Arial" w:hAnsi="Arial" w:cs="Arial"/>
          <w:sz w:val="21"/>
          <w:szCs w:val="21"/>
          <w:shd w:val="clear" w:color="auto" w:fill="FFFFFF"/>
          <w:lang w:val="es-ES_tradnl"/>
        </w:rPr>
      </w:pPr>
    </w:p>
    <w:p w14:paraId="1BDBBF82" w14:textId="77777777" w:rsidR="00994835" w:rsidRPr="00AF70C7" w:rsidRDefault="00994835" w:rsidP="00994835">
      <w:pPr>
        <w:ind w:left="709" w:right="709"/>
        <w:jc w:val="both"/>
        <w:rPr>
          <w:rFonts w:ascii="Arial" w:hAnsi="Arial" w:cs="Arial"/>
          <w:sz w:val="21"/>
          <w:szCs w:val="21"/>
          <w:shd w:val="clear" w:color="auto" w:fill="FFFFFF"/>
          <w:lang w:val="es-ES_tradnl"/>
        </w:rPr>
      </w:pPr>
      <w:r w:rsidRPr="00AF70C7">
        <w:rPr>
          <w:rFonts w:ascii="Arial" w:hAnsi="Arial" w:cs="Arial"/>
          <w:sz w:val="21"/>
          <w:szCs w:val="21"/>
          <w:shd w:val="clear" w:color="auto" w:fill="FFFFFF"/>
          <w:lang w:val="es-ES_tradnl"/>
        </w:rPr>
        <w:t xml:space="preserve">[…] </w:t>
      </w:r>
    </w:p>
    <w:p w14:paraId="584E9D64" w14:textId="77777777" w:rsidR="00994835" w:rsidRPr="00AF70C7" w:rsidRDefault="00994835" w:rsidP="00994835">
      <w:pPr>
        <w:ind w:left="709" w:right="709"/>
        <w:jc w:val="both"/>
        <w:rPr>
          <w:rFonts w:ascii="Arial" w:hAnsi="Arial" w:cs="Arial"/>
          <w:sz w:val="21"/>
          <w:szCs w:val="21"/>
          <w:shd w:val="clear" w:color="auto" w:fill="FFFFFF"/>
          <w:lang w:val="es-ES_tradnl"/>
        </w:rPr>
      </w:pPr>
    </w:p>
    <w:p w14:paraId="5AF8E3E3" w14:textId="77777777" w:rsidR="00994835" w:rsidRPr="00AF70C7" w:rsidRDefault="00994835" w:rsidP="00994835">
      <w:pPr>
        <w:ind w:left="709" w:right="709"/>
        <w:jc w:val="both"/>
        <w:rPr>
          <w:rFonts w:ascii="Arial" w:hAnsi="Arial" w:cs="Arial"/>
          <w:sz w:val="21"/>
          <w:szCs w:val="21"/>
          <w:shd w:val="clear" w:color="auto" w:fill="FFFFFF"/>
          <w:lang w:val="es-ES_tradnl"/>
        </w:rPr>
      </w:pPr>
      <w:r w:rsidRPr="00AF70C7">
        <w:rPr>
          <w:rFonts w:ascii="Arial" w:hAnsi="Arial" w:cs="Arial"/>
          <w:sz w:val="21"/>
          <w:szCs w:val="21"/>
          <w:shd w:val="clear" w:color="auto" w:fill="FFFFFF"/>
          <w:lang w:val="es-ES_tradnl"/>
        </w:rPr>
        <w:t>5. Los que deban realizar las entidades sanitarias y hospitalarias […]</w:t>
      </w:r>
      <w:r w:rsidRPr="00AF70C7">
        <w:rPr>
          <w:rStyle w:val="Refdenotaalpie"/>
          <w:rFonts w:ascii="Arial" w:hAnsi="Arial" w:cs="Arial"/>
          <w:sz w:val="21"/>
          <w:szCs w:val="21"/>
          <w:shd w:val="clear" w:color="auto" w:fill="FFFFFF"/>
          <w:lang w:val="es-ES_tradnl"/>
        </w:rPr>
        <w:footnoteReference w:id="24"/>
      </w:r>
      <w:r w:rsidRPr="00AF70C7">
        <w:rPr>
          <w:rFonts w:ascii="Arial" w:hAnsi="Arial" w:cs="Arial"/>
          <w:sz w:val="21"/>
          <w:szCs w:val="21"/>
          <w:shd w:val="clear" w:color="auto" w:fill="FFFFFF"/>
          <w:lang w:val="es-ES_tradnl"/>
        </w:rPr>
        <w:t>.</w:t>
      </w:r>
    </w:p>
    <w:p w14:paraId="194B5E26" w14:textId="77777777" w:rsidR="00994835" w:rsidRPr="00AF70C7" w:rsidRDefault="00994835" w:rsidP="00994835">
      <w:pPr>
        <w:spacing w:line="276" w:lineRule="auto"/>
        <w:ind w:left="709" w:right="709"/>
        <w:jc w:val="both"/>
        <w:rPr>
          <w:rFonts w:ascii="Arial" w:hAnsi="Arial" w:cs="Arial"/>
          <w:sz w:val="21"/>
          <w:szCs w:val="21"/>
          <w:shd w:val="clear" w:color="auto" w:fill="FFFFFF"/>
          <w:lang w:val="es-ES_tradnl"/>
        </w:rPr>
      </w:pPr>
    </w:p>
    <w:p w14:paraId="7B6793BE" w14:textId="77777777" w:rsidR="00994835" w:rsidRPr="00AF70C7" w:rsidRDefault="00994835" w:rsidP="00994835">
      <w:pPr>
        <w:tabs>
          <w:tab w:val="left" w:pos="426"/>
        </w:tabs>
        <w:spacing w:line="276" w:lineRule="auto"/>
        <w:ind w:firstLine="709"/>
        <w:jc w:val="both"/>
        <w:rPr>
          <w:rFonts w:ascii="Arial" w:hAnsi="Arial" w:cs="Arial"/>
          <w:bCs/>
          <w:sz w:val="22"/>
          <w:lang w:val="es-ES_tradnl"/>
        </w:rPr>
      </w:pPr>
      <w:r w:rsidRPr="00AF70C7">
        <w:rPr>
          <w:rFonts w:ascii="Arial" w:hAnsi="Arial" w:cs="Arial"/>
          <w:bCs/>
          <w:sz w:val="22"/>
          <w:lang w:val="es-ES_tradnl"/>
        </w:rPr>
        <w:t>Lo anterior implica que las excepciones al artículo 33 en comento deben interpretarse y aplicarse manera restrictiva. En otras palabras, que no sería factible hacer interpretaciones extensivas</w:t>
      </w:r>
      <w:r w:rsidRPr="00AF70C7">
        <w:rPr>
          <w:rFonts w:ascii="Arial" w:hAnsi="Arial" w:cs="Arial"/>
          <w:bCs/>
          <w:i/>
          <w:iCs/>
          <w:sz w:val="22"/>
          <w:lang w:val="es-ES_tradnl"/>
        </w:rPr>
        <w:t xml:space="preserve"> </w:t>
      </w:r>
      <w:r w:rsidRPr="00AF70C7">
        <w:rPr>
          <w:rFonts w:ascii="Arial"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4F9BEC37" w14:textId="425EAC70" w:rsidR="00994835" w:rsidRPr="00AF70C7" w:rsidRDefault="00994835" w:rsidP="00994835">
      <w:pPr>
        <w:tabs>
          <w:tab w:val="left" w:pos="426"/>
        </w:tabs>
        <w:spacing w:before="120" w:line="276" w:lineRule="auto"/>
        <w:ind w:firstLine="709"/>
        <w:jc w:val="both"/>
        <w:rPr>
          <w:rFonts w:ascii="Arial" w:hAnsi="Arial" w:cs="Arial"/>
          <w:sz w:val="22"/>
          <w:lang w:val="es-ES_tradnl"/>
        </w:rPr>
      </w:pPr>
      <w:r w:rsidRPr="00AF70C7">
        <w:rPr>
          <w:rFonts w:ascii="Arial" w:hAnsi="Arial" w:cs="Arial"/>
          <w:bCs/>
          <w:sz w:val="22"/>
          <w:lang w:val="es-ES_tradnl"/>
        </w:rPr>
        <w:t>Ahora, para responder su consulta, es pertinente analizar el quinto evento</w:t>
      </w:r>
      <w:r w:rsidRPr="00AF70C7">
        <w:rPr>
          <w:rFonts w:ascii="Arial" w:hAnsi="Arial" w:cs="Arial"/>
          <w:bCs/>
          <w:i/>
          <w:sz w:val="22"/>
          <w:lang w:val="es-ES_tradnl"/>
        </w:rPr>
        <w:t xml:space="preserve"> </w:t>
      </w:r>
      <w:r w:rsidRPr="00AF70C7">
        <w:rPr>
          <w:rFonts w:ascii="Arial" w:hAnsi="Arial" w:cs="Arial"/>
          <w:bCs/>
          <w:iCs/>
          <w:sz w:val="22"/>
          <w:lang w:val="es-ES_tradnl"/>
        </w:rPr>
        <w:t xml:space="preserve">exceptuado de la prohibición, relacionado con la contratación por parte de las </w:t>
      </w:r>
      <w:r w:rsidRPr="00AF70C7">
        <w:rPr>
          <w:rFonts w:ascii="Arial" w:hAnsi="Arial" w:cs="Arial"/>
          <w:bCs/>
          <w:sz w:val="22"/>
          <w:lang w:val="es-ES_tradnl"/>
        </w:rPr>
        <w:t>entidades sanitarias y hospitalarias, a efectos de determinar si la excepción referida es aplicable a los contratos suscritos por los departamentos</w:t>
      </w:r>
      <w:r w:rsidR="00D47458" w:rsidRPr="002E5E73">
        <w:rPr>
          <w:rFonts w:ascii="Arial" w:hAnsi="Arial" w:cs="Arial"/>
          <w:bCs/>
          <w:sz w:val="22"/>
          <w:lang w:val="es-ES_tradnl"/>
        </w:rPr>
        <w:t xml:space="preserve"> y las Empresas Sociales del Estado</w:t>
      </w:r>
      <w:r w:rsidRPr="00AF70C7">
        <w:rPr>
          <w:rFonts w:ascii="Arial" w:hAnsi="Arial" w:cs="Arial"/>
          <w:bCs/>
          <w:sz w:val="22"/>
          <w:lang w:val="es-ES_tradnl"/>
        </w:rPr>
        <w:t xml:space="preserve">. </w:t>
      </w:r>
      <w:r w:rsidR="006F6D40" w:rsidRPr="002E5E73">
        <w:rPr>
          <w:rFonts w:ascii="Arial" w:hAnsi="Arial" w:cs="Arial"/>
          <w:bCs/>
          <w:sz w:val="22"/>
          <w:lang w:val="es-ES_tradnl"/>
        </w:rPr>
        <w:t>Al respecto, estima la Agencia, que la</w:t>
      </w:r>
      <w:r w:rsidRPr="00AF70C7">
        <w:rPr>
          <w:rFonts w:ascii="Arial" w:hAnsi="Arial" w:cs="Arial"/>
          <w:bCs/>
          <w:sz w:val="22"/>
          <w:lang w:val="es-ES_tradnl"/>
        </w:rPr>
        <w:t xml:space="preserve"> respuesta es negativa</w:t>
      </w:r>
      <w:r w:rsidR="00252A4F" w:rsidRPr="002E5E73">
        <w:rPr>
          <w:rFonts w:ascii="Arial" w:hAnsi="Arial" w:cs="Arial"/>
          <w:bCs/>
          <w:sz w:val="22"/>
          <w:lang w:val="es-ES_tradnl"/>
        </w:rPr>
        <w:t xml:space="preserve"> frente a los prim</w:t>
      </w:r>
      <w:r w:rsidR="006F6D40" w:rsidRPr="002E5E73">
        <w:rPr>
          <w:rFonts w:ascii="Arial" w:hAnsi="Arial" w:cs="Arial"/>
          <w:bCs/>
          <w:sz w:val="22"/>
          <w:lang w:val="es-ES_tradnl"/>
        </w:rPr>
        <w:t>eros y posi</w:t>
      </w:r>
      <w:r w:rsidR="00AF7257" w:rsidRPr="002E5E73">
        <w:rPr>
          <w:rFonts w:ascii="Arial" w:hAnsi="Arial" w:cs="Arial"/>
          <w:bCs/>
          <w:sz w:val="22"/>
          <w:lang w:val="es-ES_tradnl"/>
        </w:rPr>
        <w:t>tiva para los segundas,</w:t>
      </w:r>
      <w:r w:rsidRPr="00AF70C7">
        <w:rPr>
          <w:rFonts w:ascii="Arial" w:hAnsi="Arial" w:cs="Arial"/>
          <w:bCs/>
          <w:sz w:val="22"/>
          <w:lang w:val="es-ES_tradnl"/>
        </w:rPr>
        <w:t xml:space="preserve"> teniendo en cuenta que el artículo 94 de la Ley 100 de 1993 señaló que, </w:t>
      </w:r>
      <w:r w:rsidRPr="00AF70C7">
        <w:rPr>
          <w:rFonts w:ascii="Arial" w:hAnsi="Arial" w:cs="Arial"/>
          <w:bCs/>
          <w:sz w:val="22"/>
          <w:lang w:val="es-ES_tradnl" w:eastAsia="es-CO"/>
        </w:rPr>
        <w:t>«</w:t>
      </w:r>
      <w:r w:rsidRPr="00AF70C7">
        <w:rPr>
          <w:rFonts w:ascii="Arial" w:hAnsi="Arial" w:cs="Arial"/>
          <w:bCs/>
          <w:sz w:val="22"/>
          <w:lang w:val="es-ES_tradnl"/>
        </w:rPr>
        <w:t>l</w:t>
      </w:r>
      <w:r w:rsidRPr="00AF70C7">
        <w:rPr>
          <w:rFonts w:ascii="Arial" w:hAnsi="Arial" w:cs="Arial"/>
          <w:sz w:val="22"/>
          <w:lang w:val="es-ES_tradnl"/>
        </w:rPr>
        <w:t xml:space="preserve">a </w:t>
      </w:r>
      <w:r w:rsidRPr="00AF70C7">
        <w:rPr>
          <w:rFonts w:ascii="Arial" w:hAnsi="Arial" w:cs="Arial"/>
          <w:sz w:val="22"/>
          <w:lang w:val="es-ES_tradnl"/>
        </w:rPr>
        <w:lastRenderedPageBreak/>
        <w:t>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AF70C7">
        <w:rPr>
          <w:rFonts w:ascii="Arial" w:hAnsi="Arial" w:cs="Arial"/>
          <w:bCs/>
          <w:sz w:val="22"/>
          <w:lang w:val="es-ES_tradnl" w:eastAsia="es-CO"/>
        </w:rPr>
        <w:t>»</w:t>
      </w:r>
      <w:r w:rsidRPr="00AF70C7">
        <w:rPr>
          <w:rFonts w:ascii="Arial" w:hAnsi="Arial" w:cs="Arial"/>
          <w:sz w:val="22"/>
          <w:lang w:val="es-ES_tradnl"/>
        </w:rPr>
        <w:t xml:space="preserve">. </w:t>
      </w:r>
    </w:p>
    <w:p w14:paraId="450D7ACA" w14:textId="29F09F90" w:rsidR="00994835" w:rsidRPr="00AF70C7" w:rsidRDefault="00994835" w:rsidP="00994835">
      <w:pPr>
        <w:tabs>
          <w:tab w:val="left" w:pos="426"/>
        </w:tabs>
        <w:spacing w:before="120" w:line="276" w:lineRule="auto"/>
        <w:ind w:firstLine="709"/>
        <w:jc w:val="both"/>
        <w:rPr>
          <w:rFonts w:ascii="Arial" w:hAnsi="Arial" w:cs="Arial"/>
          <w:sz w:val="22"/>
          <w:lang w:val="es-ES_tradnl"/>
        </w:rPr>
      </w:pPr>
      <w:r w:rsidRPr="00AF70C7">
        <w:rPr>
          <w:rFonts w:ascii="Arial" w:hAnsi="Arial" w:cs="Arial"/>
          <w:sz w:val="22"/>
          <w:lang w:val="es-ES_tradnl"/>
        </w:rPr>
        <w:t xml:space="preserve">Es decir que, a partir de la </w:t>
      </w:r>
      <w:proofErr w:type="gramStart"/>
      <w:r w:rsidRPr="00AF70C7">
        <w:rPr>
          <w:rFonts w:ascii="Arial" w:hAnsi="Arial" w:cs="Arial"/>
          <w:sz w:val="22"/>
          <w:lang w:val="es-ES_tradnl"/>
        </w:rPr>
        <w:t>entrada en vigencia</w:t>
      </w:r>
      <w:proofErr w:type="gramEnd"/>
      <w:r w:rsidRPr="00AF70C7">
        <w:rPr>
          <w:rFonts w:ascii="Arial" w:hAnsi="Arial" w:cs="Arial"/>
          <w:sz w:val="22"/>
          <w:lang w:val="es-ES_tradnl"/>
        </w:rPr>
        <w:t xml:space="preserve"> de la Ley 100 de 1993, las Empresas Sociales del Estado son las entidades públicas que tienen a su cargo la prestación de servicios de salud de manera directa. Igualmente, el artículo 197 de la misma disposición</w:t>
      </w:r>
      <w:r w:rsidRPr="00AF70C7">
        <w:rPr>
          <w:rStyle w:val="Refdenotaalpie"/>
          <w:rFonts w:ascii="Arial" w:hAnsi="Arial" w:cs="Arial"/>
          <w:sz w:val="22"/>
          <w:lang w:val="es-ES_tradnl"/>
        </w:rPr>
        <w:footnoteReference w:id="25"/>
      </w:r>
      <w:r w:rsidRPr="00AF70C7">
        <w:rPr>
          <w:rFonts w:ascii="Arial" w:hAnsi="Arial" w:cs="Arial"/>
          <w:sz w:val="22"/>
          <w:lang w:val="es-ES_tradnl"/>
        </w:rPr>
        <w:t xml:space="preserve"> otorgó un término de 6 meses a las entidades territoriales prestadoras del servicio de salud para restructurarlas en Empresas Sociales del Estado. De lo anterior se desprende que, bajo la Ley 100 de 1993, dentro de la estructura de la administración pública las entidades encargadas de prestar el servicio de salud de manera directa son las Empresas Sociales del Estado, no los departamentos.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11E09F4B" w14:textId="56AE2CC8" w:rsidR="00994835" w:rsidRPr="00AF70C7" w:rsidRDefault="00994835" w:rsidP="00994835">
      <w:pPr>
        <w:tabs>
          <w:tab w:val="left" w:pos="426"/>
        </w:tabs>
        <w:spacing w:before="120" w:line="276" w:lineRule="auto"/>
        <w:ind w:firstLine="709"/>
        <w:jc w:val="both"/>
        <w:rPr>
          <w:rFonts w:ascii="Arial" w:hAnsi="Arial" w:cs="Arial"/>
          <w:bCs/>
          <w:sz w:val="22"/>
          <w:lang w:val="es-ES_tradnl"/>
        </w:rPr>
      </w:pPr>
      <w:r w:rsidRPr="00AF70C7">
        <w:rPr>
          <w:rFonts w:ascii="Arial" w:hAnsi="Arial" w:cs="Arial"/>
          <w:sz w:val="22"/>
          <w:lang w:val="es-ES_tradnl"/>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r w:rsidRPr="00AF70C7">
        <w:rPr>
          <w:rFonts w:ascii="Arial" w:hAnsi="Arial" w:cs="Arial"/>
          <w:bCs/>
          <w:sz w:val="22"/>
          <w:lang w:val="es-ES_tradnl"/>
        </w:rPr>
        <w:t xml:space="preserve">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714BCB19" w14:textId="77777777" w:rsidR="00994835" w:rsidRPr="00AF70C7" w:rsidRDefault="00994835" w:rsidP="00994835">
      <w:pPr>
        <w:tabs>
          <w:tab w:val="left" w:pos="426"/>
        </w:tabs>
        <w:spacing w:line="276" w:lineRule="auto"/>
        <w:ind w:firstLine="709"/>
        <w:jc w:val="both"/>
        <w:rPr>
          <w:rFonts w:ascii="Arial" w:hAnsi="Arial" w:cs="Arial"/>
          <w:bCs/>
          <w:sz w:val="22"/>
          <w:lang w:val="es-ES_tradnl"/>
        </w:rPr>
      </w:pPr>
    </w:p>
    <w:p w14:paraId="03BB6989" w14:textId="77777777" w:rsidR="00994835" w:rsidRPr="00AF70C7" w:rsidRDefault="00994835" w:rsidP="00994835">
      <w:pPr>
        <w:tabs>
          <w:tab w:val="left" w:pos="426"/>
        </w:tabs>
        <w:ind w:left="709" w:right="709"/>
        <w:jc w:val="both"/>
        <w:rPr>
          <w:rFonts w:ascii="Arial" w:hAnsi="Arial" w:cs="Arial"/>
          <w:sz w:val="21"/>
          <w:szCs w:val="21"/>
          <w:shd w:val="clear" w:color="auto" w:fill="FFFFFF"/>
          <w:lang w:val="es-ES_tradnl"/>
        </w:rPr>
      </w:pPr>
      <w:r w:rsidRPr="00AF70C7">
        <w:rPr>
          <w:rFonts w:ascii="Arial" w:hAnsi="Arial" w:cs="Arial"/>
          <w:sz w:val="21"/>
          <w:szCs w:val="21"/>
          <w:shd w:val="clear" w:color="auto" w:fill="FFFFFF"/>
          <w:lang w:val="es-ES_tradnl"/>
        </w:rPr>
        <w:t xml:space="preserve">[…] se encuentran cubiertos por la excepción contemplada en el inciso 2 del artículo 33 de la Ley de Garantías Electorales, las entidades hospitalarias que a la luz de las normas vigentes </w:t>
      </w:r>
      <w:r w:rsidRPr="00AF70C7">
        <w:rPr>
          <w:rFonts w:ascii="Arial" w:hAnsi="Arial" w:cs="Arial"/>
          <w:i/>
          <w:iCs/>
          <w:sz w:val="21"/>
          <w:szCs w:val="21"/>
          <w:shd w:val="clear" w:color="auto" w:fill="FFFFFF"/>
          <w:lang w:val="es-ES_tradnl"/>
        </w:rPr>
        <w:t xml:space="preserve">no son otras distintas que las Empresas Sociales del estado y todas aquellas instituciones públicas </w:t>
      </w:r>
      <w:proofErr w:type="gramStart"/>
      <w:r w:rsidRPr="00AF70C7">
        <w:rPr>
          <w:rFonts w:ascii="Arial" w:hAnsi="Arial" w:cs="Arial"/>
          <w:i/>
          <w:iCs/>
          <w:sz w:val="21"/>
          <w:szCs w:val="21"/>
          <w:shd w:val="clear" w:color="auto" w:fill="FFFFFF"/>
          <w:lang w:val="es-ES_tradnl"/>
        </w:rPr>
        <w:t>que</w:t>
      </w:r>
      <w:proofErr w:type="gramEnd"/>
      <w:r w:rsidRPr="00AF70C7">
        <w:rPr>
          <w:rFonts w:ascii="Arial" w:hAnsi="Arial" w:cs="Arial"/>
          <w:i/>
          <w:iCs/>
          <w:sz w:val="21"/>
          <w:szCs w:val="21"/>
          <w:shd w:val="clear" w:color="auto" w:fill="FFFFFF"/>
          <w:lang w:val="es-ES_tradnl"/>
        </w:rPr>
        <w:t xml:space="preserve"> a pesar de no haberse transformado en Empresas Sociales del Estado, prestan un servicio de salud </w:t>
      </w:r>
      <w:r w:rsidRPr="00AF70C7">
        <w:rPr>
          <w:rFonts w:ascii="Arial" w:hAnsi="Arial" w:cs="Arial"/>
          <w:i/>
          <w:iCs/>
          <w:sz w:val="21"/>
          <w:szCs w:val="21"/>
          <w:shd w:val="clear" w:color="auto" w:fill="FFFFFF"/>
          <w:lang w:val="es-ES_tradnl"/>
        </w:rPr>
        <w:lastRenderedPageBreak/>
        <w:t>directo sobre el usuario en su carácter general de entidad hospitalaria</w:t>
      </w:r>
      <w:r w:rsidRPr="00AF70C7">
        <w:rPr>
          <w:rFonts w:ascii="Arial" w:hAnsi="Arial" w:cs="Arial"/>
          <w:sz w:val="21"/>
          <w:szCs w:val="21"/>
          <w:shd w:val="clear" w:color="auto" w:fill="FFFFFF"/>
          <w:lang w:val="es-ES_tradnl"/>
        </w:rPr>
        <w:t xml:space="preserve"> […]. (Énfasis fuera de texto) </w:t>
      </w:r>
    </w:p>
    <w:p w14:paraId="47CC4C2A" w14:textId="77777777" w:rsidR="00994835" w:rsidRPr="00AF70C7" w:rsidRDefault="00994835" w:rsidP="00994835">
      <w:pPr>
        <w:tabs>
          <w:tab w:val="left" w:pos="426"/>
        </w:tabs>
        <w:spacing w:line="276" w:lineRule="auto"/>
        <w:ind w:left="709" w:right="709"/>
        <w:jc w:val="both"/>
        <w:rPr>
          <w:rFonts w:ascii="Arial" w:hAnsi="Arial" w:cs="Arial"/>
          <w:bCs/>
          <w:sz w:val="21"/>
          <w:szCs w:val="21"/>
          <w:lang w:val="es-ES_tradnl"/>
        </w:rPr>
      </w:pPr>
    </w:p>
    <w:p w14:paraId="0392C539" w14:textId="77777777" w:rsidR="00994835" w:rsidRPr="00AF70C7" w:rsidRDefault="00994835" w:rsidP="00994835">
      <w:pPr>
        <w:tabs>
          <w:tab w:val="left" w:pos="426"/>
        </w:tabs>
        <w:spacing w:line="276" w:lineRule="auto"/>
        <w:ind w:firstLine="709"/>
        <w:jc w:val="both"/>
        <w:rPr>
          <w:rFonts w:ascii="Arial" w:hAnsi="Arial" w:cs="Arial"/>
          <w:bCs/>
          <w:sz w:val="22"/>
          <w:lang w:val="es-ES_tradnl"/>
        </w:rPr>
      </w:pPr>
      <w:r w:rsidRPr="00AF70C7">
        <w:rPr>
          <w:rFonts w:ascii="Arial" w:hAnsi="Arial" w:cs="Arial"/>
          <w:bCs/>
          <w:sz w:val="22"/>
          <w:lang w:val="es-ES_tradnl"/>
        </w:rPr>
        <w:t xml:space="preserve">Del aparte transcrito se encuentra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30A4C6A4" w14:textId="77777777" w:rsidR="00994835" w:rsidRPr="00AF70C7" w:rsidRDefault="00994835" w:rsidP="00994835">
      <w:pPr>
        <w:tabs>
          <w:tab w:val="left" w:pos="426"/>
        </w:tabs>
        <w:spacing w:before="120" w:line="276" w:lineRule="auto"/>
        <w:ind w:firstLine="709"/>
        <w:jc w:val="both"/>
        <w:rPr>
          <w:rFonts w:ascii="Arial" w:hAnsi="Arial" w:cs="Arial"/>
          <w:bCs/>
          <w:sz w:val="22"/>
          <w:lang w:val="es-ES_tradnl"/>
        </w:rPr>
      </w:pPr>
      <w:r w:rsidRPr="00AF70C7">
        <w:rPr>
          <w:rFonts w:ascii="Arial" w:hAnsi="Arial" w:cs="Arial"/>
          <w:bCs/>
          <w:sz w:val="22"/>
          <w:lang w:val="es-ES_tradnl"/>
        </w:rPr>
        <w:t xml:space="preserve">Por tanto, las Empresas Sociales del Estado podrían suscribir contratos bajo la modalidad de contratación directa, porque el inciso segundo del artículo 33 de la Ley 996 de 2005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Sin embargo, esta idea no se extiende a los departamentos, por las razones explicadas </w:t>
      </w:r>
      <w:r w:rsidRPr="00AF70C7">
        <w:rPr>
          <w:rFonts w:ascii="Arial" w:hAnsi="Arial" w:cs="Arial"/>
          <w:bCs/>
          <w:i/>
          <w:iCs/>
          <w:sz w:val="22"/>
          <w:lang w:val="es-ES_tradnl"/>
        </w:rPr>
        <w:t>ut supra</w:t>
      </w:r>
      <w:r w:rsidRPr="00AF70C7">
        <w:rPr>
          <w:rFonts w:ascii="Arial" w:hAnsi="Arial" w:cs="Arial"/>
          <w:bCs/>
          <w:sz w:val="22"/>
          <w:lang w:val="es-ES_tradnl"/>
        </w:rPr>
        <w:t xml:space="preserve">. </w:t>
      </w:r>
    </w:p>
    <w:p w14:paraId="3C655E7D" w14:textId="77777777" w:rsidR="00994835" w:rsidRPr="00AF70C7" w:rsidRDefault="00994835" w:rsidP="00994835">
      <w:pPr>
        <w:tabs>
          <w:tab w:val="left" w:pos="426"/>
        </w:tabs>
        <w:spacing w:before="120" w:line="276" w:lineRule="auto"/>
        <w:ind w:firstLine="709"/>
        <w:jc w:val="both"/>
        <w:rPr>
          <w:rFonts w:ascii="Arial" w:hAnsi="Arial" w:cs="Arial"/>
          <w:bCs/>
          <w:sz w:val="22"/>
          <w:lang w:val="es-ES_tradnl"/>
        </w:rPr>
      </w:pPr>
      <w:r w:rsidRPr="00AF70C7">
        <w:rPr>
          <w:rFonts w:ascii="Arial" w:hAnsi="Arial" w:cs="Arial"/>
          <w:bCs/>
          <w:sz w:val="22"/>
          <w:lang w:val="es-ES_tradnl"/>
        </w:rPr>
        <w:t xml:space="preserve">En tal sentido, debido a que los departamentos no son entidades hospitalarias y no prestan un servicio de salud directo sobre el usuario, no estarían cobijados por la excepción del inciso segundo del artículo 33 de la Ley 996 de 20015 relacionada con las entidades hospitalarias y, por tanto, no pueden suscribir contratos de manera directa. Así, aunque la ESE esta exceptuada de la prohibición del inciso segundo del artículo 33, no podría celebrar contrato directo con el departamento, en la medida en que a este último si le aplica la prohibición de dicha norma. </w:t>
      </w:r>
    </w:p>
    <w:p w14:paraId="17E6C43E" w14:textId="77777777" w:rsidR="00994835" w:rsidRPr="00AF70C7" w:rsidRDefault="00994835" w:rsidP="00994835">
      <w:pPr>
        <w:spacing w:before="120" w:line="276" w:lineRule="auto"/>
        <w:ind w:firstLine="709"/>
        <w:jc w:val="both"/>
        <w:rPr>
          <w:rFonts w:ascii="Arial" w:eastAsia="Arial" w:hAnsi="Arial" w:cs="Arial"/>
          <w:bCs/>
          <w:sz w:val="22"/>
          <w:szCs w:val="22"/>
        </w:rPr>
      </w:pPr>
      <w:r w:rsidRPr="00AF70C7">
        <w:rPr>
          <w:rFonts w:ascii="Arial" w:eastAsia="Arial" w:hAnsi="Arial" w:cs="Arial"/>
          <w:bCs/>
          <w:sz w:val="22"/>
          <w:szCs w:val="22"/>
        </w:rPr>
        <w:t xml:space="preserve">De igual manera, conviene diferenciar los conceptos de entidad sanitaria y autoridad sanitara. En efecto, el artículo 2.8.8.1.1.3 del Decreto 780 de 2016, «Por medio del cual se expide el Decreto Único Reglamentario del Sector Salud y Protección Social», define las </w:t>
      </w:r>
      <w:r w:rsidRPr="00AF70C7">
        <w:rPr>
          <w:rFonts w:ascii="Arial" w:eastAsia="Arial" w:hAnsi="Arial" w:cs="Arial"/>
          <w:bCs/>
          <w:i/>
          <w:iCs/>
          <w:sz w:val="22"/>
          <w:szCs w:val="22"/>
        </w:rPr>
        <w:t>entidades sanitarias</w:t>
      </w:r>
      <w:r w:rsidRPr="00AF70C7">
        <w:rPr>
          <w:rFonts w:ascii="Arial" w:eastAsia="Arial" w:hAnsi="Arial" w:cs="Arial"/>
          <w:bCs/>
          <w:sz w:val="22"/>
          <w:szCs w:val="22"/>
        </w:rPr>
        <w:t xml:space="preserve"> como «Entidades del Estado que prestan servicios sanitarios o de sanidad con el propósito de preservar la salud humana y la salud pública». Si bien los departamentos mediante sus secretarias de salud juegan un rol importante en la materia, no prestan un servicio directo, pues coordinan las políticas de esta naturaleza desde un punto de vista administrativo para efectos del control y vigilancia. Por ello, el artículo citado también define las </w:t>
      </w:r>
      <w:r w:rsidRPr="00AF70C7">
        <w:rPr>
          <w:rFonts w:ascii="Arial" w:eastAsia="Arial" w:hAnsi="Arial" w:cs="Arial"/>
          <w:bCs/>
          <w:i/>
          <w:iCs/>
          <w:sz w:val="22"/>
          <w:szCs w:val="22"/>
        </w:rPr>
        <w:t>autoridades sanitarias</w:t>
      </w:r>
      <w:r w:rsidRPr="00AF70C7">
        <w:rPr>
          <w:rFonts w:ascii="Arial" w:eastAsia="Arial" w:hAnsi="Arial" w:cs="Arial"/>
          <w:bCs/>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w:t>
      </w:r>
      <w:r w:rsidRPr="00AF70C7">
        <w:rPr>
          <w:rFonts w:ascii="Arial" w:eastAsia="Arial" w:hAnsi="Arial" w:cs="Arial"/>
          <w:bCs/>
          <w:sz w:val="22"/>
          <w:szCs w:val="22"/>
        </w:rPr>
        <w:lastRenderedPageBreak/>
        <w:t>que garanticen la protección de la salud pública»</w:t>
      </w:r>
      <w:r w:rsidRPr="00AF70C7">
        <w:rPr>
          <w:rStyle w:val="Refdenotaalpie"/>
          <w:rFonts w:ascii="Arial" w:eastAsia="Arial" w:hAnsi="Arial" w:cs="Arial"/>
          <w:bCs/>
          <w:sz w:val="22"/>
          <w:szCs w:val="22"/>
        </w:rPr>
        <w:footnoteReference w:id="26"/>
      </w:r>
      <w:r w:rsidRPr="00AF70C7">
        <w:rPr>
          <w:rFonts w:ascii="Arial" w:eastAsia="Arial" w:hAnsi="Arial" w:cs="Arial"/>
          <w:bCs/>
          <w:sz w:val="22"/>
          <w:szCs w:val="22"/>
        </w:rPr>
        <w:t xml:space="preserve">. Sin embargo, es necesario tener en cuenta que la excepción del artículo 33 de la Ley de Garantías solo aplica a las </w:t>
      </w:r>
      <w:r w:rsidRPr="00AF70C7">
        <w:rPr>
          <w:rFonts w:ascii="Arial" w:eastAsia="Arial" w:hAnsi="Arial" w:cs="Arial"/>
          <w:bCs/>
          <w:i/>
          <w:iCs/>
          <w:sz w:val="22"/>
          <w:szCs w:val="22"/>
        </w:rPr>
        <w:t>entidades sanitarias</w:t>
      </w:r>
      <w:r w:rsidRPr="00AF70C7">
        <w:rPr>
          <w:rFonts w:ascii="Arial" w:eastAsia="Arial" w:hAnsi="Arial" w:cs="Arial"/>
          <w:bCs/>
          <w:sz w:val="22"/>
          <w:szCs w:val="22"/>
        </w:rPr>
        <w:t xml:space="preserve">, no a las </w:t>
      </w:r>
      <w:r w:rsidRPr="00AF70C7">
        <w:rPr>
          <w:rFonts w:ascii="Arial" w:eastAsia="Arial" w:hAnsi="Arial" w:cs="Arial"/>
          <w:bCs/>
          <w:i/>
          <w:iCs/>
          <w:sz w:val="22"/>
          <w:szCs w:val="22"/>
        </w:rPr>
        <w:t>autoridades sanitarias</w:t>
      </w:r>
      <w:r w:rsidRPr="00AF70C7">
        <w:rPr>
          <w:rFonts w:ascii="Arial" w:eastAsia="Arial" w:hAnsi="Arial" w:cs="Arial"/>
          <w:bCs/>
          <w:sz w:val="22"/>
          <w:szCs w:val="22"/>
        </w:rPr>
        <w:t xml:space="preserve">. Por tanto, en caso en que los departamentos ejerzan funciones de autoridad sanitaria y no de entidades sanitarias tampoco estarían dentro de la excepción. </w:t>
      </w:r>
    </w:p>
    <w:p w14:paraId="0B034868" w14:textId="39A9426A" w:rsidR="00994835" w:rsidRPr="00AF70C7" w:rsidRDefault="00994835" w:rsidP="00994835">
      <w:pPr>
        <w:spacing w:before="120" w:line="276" w:lineRule="auto"/>
        <w:ind w:firstLine="709"/>
        <w:jc w:val="both"/>
        <w:rPr>
          <w:rFonts w:ascii="Arial" w:eastAsia="Arial" w:hAnsi="Arial" w:cs="Arial"/>
          <w:bCs/>
          <w:sz w:val="22"/>
          <w:szCs w:val="22"/>
          <w:lang w:val="es-ES_tradnl"/>
        </w:rPr>
      </w:pPr>
      <w:r w:rsidRPr="00AF70C7">
        <w:rPr>
          <w:rFonts w:ascii="Arial" w:eastAsia="Arial" w:hAnsi="Arial" w:cs="Arial"/>
          <w:bCs/>
          <w:sz w:val="22"/>
          <w:szCs w:val="22"/>
          <w:lang w:val="es-ES_tradnl"/>
        </w:rPr>
        <w:t xml:space="preserve">Así las cosas, para efectos de la excepción del artículo 33 es indiferente que la entidad estatal tenga funciones de </w:t>
      </w:r>
      <w:r w:rsidRPr="00AF70C7">
        <w:rPr>
          <w:rFonts w:ascii="Arial" w:eastAsia="Arial" w:hAnsi="Arial" w:cs="Arial"/>
          <w:bCs/>
          <w:i/>
          <w:iCs/>
          <w:sz w:val="22"/>
          <w:szCs w:val="22"/>
          <w:lang w:val="es-ES_tradnl"/>
        </w:rPr>
        <w:t>autoridad sanitaria</w:t>
      </w:r>
      <w:r w:rsidRPr="00AF70C7">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Pr="00AF70C7">
        <w:rPr>
          <w:rFonts w:ascii="Arial" w:eastAsia="Arial" w:hAnsi="Arial" w:cs="Arial"/>
          <w:bCs/>
          <w:i/>
          <w:iCs/>
          <w:sz w:val="22"/>
          <w:szCs w:val="22"/>
          <w:lang w:val="es-ES_tradnl"/>
        </w:rPr>
        <w:t>entidad sanitaria</w:t>
      </w:r>
      <w:r w:rsidRPr="00AF70C7">
        <w:rPr>
          <w:rFonts w:ascii="Arial" w:eastAsia="Arial" w:hAnsi="Arial" w:cs="Arial"/>
          <w:bCs/>
          <w:sz w:val="22"/>
          <w:szCs w:val="22"/>
          <w:lang w:val="es-ES_tradnl"/>
        </w:rPr>
        <w:t>. Por lo demás, no corresponde a la competencia de esta Agencia determinar si los departamentos cumplen funciones de autoridad sanitaria conforme a la Ley 715 de 2001</w:t>
      </w:r>
      <w:r w:rsidR="005534B8" w:rsidRPr="002E5E73">
        <w:rPr>
          <w:rFonts w:ascii="Arial" w:eastAsia="Arial" w:hAnsi="Arial" w:cs="Arial"/>
          <w:bCs/>
          <w:sz w:val="22"/>
          <w:szCs w:val="22"/>
          <w:lang w:val="es-ES_tradnl"/>
        </w:rPr>
        <w:t xml:space="preserve"> o la Resolución 518 de 2015,</w:t>
      </w:r>
      <w:r w:rsidRPr="00AF70C7">
        <w:rPr>
          <w:rFonts w:ascii="Arial" w:eastAsia="Arial" w:hAnsi="Arial" w:cs="Arial"/>
          <w:bCs/>
          <w:sz w:val="22"/>
          <w:szCs w:val="22"/>
          <w:lang w:val="es-ES_tradnl"/>
        </w:rPr>
        <w:t xml:space="preserve"> pues la </w:t>
      </w:r>
      <w:r w:rsidR="005534B8" w:rsidRPr="002E5E73">
        <w:rPr>
          <w:rFonts w:ascii="Arial" w:eastAsia="Arial" w:hAnsi="Arial" w:cs="Arial"/>
          <w:bCs/>
          <w:sz w:val="22"/>
          <w:szCs w:val="22"/>
          <w:lang w:val="es-ES_tradnl"/>
        </w:rPr>
        <w:t xml:space="preserve">competencia consultiva de la </w:t>
      </w:r>
      <w:r w:rsidRPr="00AF70C7">
        <w:rPr>
          <w:rFonts w:ascii="Arial" w:eastAsia="Arial" w:hAnsi="Arial" w:cs="Arial"/>
          <w:bCs/>
          <w:sz w:val="22"/>
          <w:szCs w:val="22"/>
          <w:lang w:val="es-ES_tradnl"/>
        </w:rPr>
        <w:t xml:space="preserve">entidad </w:t>
      </w:r>
      <w:r w:rsidR="005534B8" w:rsidRPr="002E5E73">
        <w:rPr>
          <w:rFonts w:ascii="Arial" w:eastAsia="Arial" w:hAnsi="Arial" w:cs="Arial"/>
          <w:bCs/>
          <w:sz w:val="22"/>
          <w:szCs w:val="22"/>
          <w:lang w:val="es-ES_tradnl"/>
        </w:rPr>
        <w:t>se limita a</w:t>
      </w:r>
      <w:r w:rsidRPr="00AF70C7">
        <w:rPr>
          <w:rFonts w:ascii="Arial" w:eastAsia="Arial" w:hAnsi="Arial" w:cs="Arial"/>
          <w:bCs/>
          <w:sz w:val="22"/>
          <w:szCs w:val="22"/>
          <w:lang w:val="es-ES_tradnl"/>
        </w:rPr>
        <w:t xml:space="preserve"> la</w:t>
      </w:r>
      <w:r w:rsidR="003A5B87" w:rsidRPr="002E5E73">
        <w:rPr>
          <w:rFonts w:ascii="Arial" w:eastAsia="Arial" w:hAnsi="Arial" w:cs="Arial"/>
          <w:bCs/>
          <w:sz w:val="22"/>
          <w:szCs w:val="22"/>
          <w:lang w:val="es-ES_tradnl"/>
        </w:rPr>
        <w:t xml:space="preserve"> interpretación de </w:t>
      </w:r>
      <w:r w:rsidRPr="00AF70C7">
        <w:rPr>
          <w:rFonts w:ascii="Arial" w:eastAsia="Arial" w:hAnsi="Arial" w:cs="Arial"/>
          <w:bCs/>
          <w:sz w:val="22"/>
          <w:szCs w:val="22"/>
          <w:lang w:val="es-ES_tradnl"/>
        </w:rPr>
        <w:t>normas generales en materia de compras y contratación pública.</w:t>
      </w:r>
    </w:p>
    <w:p w14:paraId="762A5451" w14:textId="77777777" w:rsidR="009D4832" w:rsidRPr="00AF70C7" w:rsidRDefault="009D4832" w:rsidP="00496039">
      <w:pPr>
        <w:tabs>
          <w:tab w:val="left" w:pos="0"/>
        </w:tabs>
        <w:jc w:val="both"/>
        <w:rPr>
          <w:rFonts w:ascii="Arial" w:eastAsia="Calibri" w:hAnsi="Arial" w:cs="Arial"/>
          <w:b/>
          <w:color w:val="000000" w:themeColor="text1"/>
          <w:sz w:val="22"/>
          <w:lang w:val="es-ES_tradnl"/>
        </w:rPr>
      </w:pPr>
      <w:bookmarkStart w:id="15" w:name="_35nkun2" w:colFirst="0" w:colLast="0"/>
      <w:bookmarkStart w:id="16" w:name="_1ksv4uv" w:colFirst="0" w:colLast="0"/>
      <w:bookmarkStart w:id="17" w:name="_44sinio" w:colFirst="0" w:colLast="0"/>
      <w:bookmarkStart w:id="18" w:name="_2jxsxqh" w:colFirst="0" w:colLast="0"/>
      <w:bookmarkStart w:id="19" w:name="_z337ya" w:colFirst="0" w:colLast="0"/>
      <w:bookmarkStart w:id="20" w:name="_3j2qqm3" w:colFirst="0" w:colLast="0"/>
      <w:bookmarkStart w:id="21" w:name="_1y810tw" w:colFirst="0" w:colLast="0"/>
      <w:bookmarkStart w:id="22" w:name="_4i7ojhp" w:colFirst="0" w:colLast="0"/>
      <w:bookmarkStart w:id="23" w:name="_2xcytpi" w:colFirst="0" w:colLast="0"/>
      <w:bookmarkStart w:id="24" w:name="_1ci93xb" w:colFirst="0" w:colLast="0"/>
      <w:bookmarkStart w:id="25" w:name="_3whwml4" w:colFirst="0" w:colLast="0"/>
      <w:bookmarkStart w:id="26" w:name="_2bn6wsx" w:colFirst="0" w:colLast="0"/>
      <w:bookmarkStart w:id="27" w:name="_3as4poj" w:colFirst="0" w:colLast="0"/>
      <w:bookmarkStart w:id="28" w:name="_1pxezwc" w:colFirst="0" w:colLast="0"/>
      <w:bookmarkStart w:id="29" w:name="_49x2ik5" w:colFirst="0" w:colLast="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5071167E" w14:textId="5CDF1B62" w:rsidR="008A6AA1" w:rsidRPr="00AF70C7" w:rsidRDefault="008A6AA1" w:rsidP="00496039">
      <w:pPr>
        <w:tabs>
          <w:tab w:val="left" w:pos="0"/>
        </w:tabs>
        <w:jc w:val="both"/>
        <w:rPr>
          <w:rFonts w:ascii="Arial" w:eastAsia="Calibri" w:hAnsi="Arial" w:cs="Arial"/>
          <w:b/>
          <w:color w:val="000000" w:themeColor="text1"/>
          <w:sz w:val="22"/>
          <w:lang w:val="es-ES_tradnl"/>
        </w:rPr>
      </w:pPr>
      <w:r w:rsidRPr="00AF70C7">
        <w:rPr>
          <w:rFonts w:ascii="Arial" w:eastAsia="Calibri" w:hAnsi="Arial" w:cs="Arial"/>
          <w:b/>
          <w:color w:val="000000" w:themeColor="text1"/>
          <w:sz w:val="22"/>
          <w:lang w:val="es-ES_tradnl"/>
        </w:rPr>
        <w:t>3. Respuesta</w:t>
      </w:r>
    </w:p>
    <w:p w14:paraId="0ECE0DAD" w14:textId="24E588F1" w:rsidR="008612BD" w:rsidRPr="00AF70C7" w:rsidRDefault="008612BD" w:rsidP="00496039">
      <w:pPr>
        <w:tabs>
          <w:tab w:val="left" w:pos="0"/>
        </w:tabs>
        <w:jc w:val="both"/>
        <w:rPr>
          <w:rFonts w:ascii="Arial" w:eastAsia="Calibri" w:hAnsi="Arial" w:cs="Arial"/>
          <w:b/>
          <w:color w:val="000000" w:themeColor="text1"/>
          <w:sz w:val="22"/>
          <w:lang w:val="es-ES_tradnl"/>
        </w:rPr>
      </w:pPr>
    </w:p>
    <w:p w14:paraId="6557F78B" w14:textId="7542DF65" w:rsidR="00BA2C1D" w:rsidRPr="00AF70C7" w:rsidRDefault="00BA2C1D" w:rsidP="00BA2C1D">
      <w:pPr>
        <w:ind w:left="709" w:right="709"/>
        <w:jc w:val="both"/>
        <w:rPr>
          <w:rFonts w:ascii="Arial" w:hAnsi="Arial" w:cs="Arial"/>
          <w:sz w:val="21"/>
          <w:szCs w:val="21"/>
        </w:rPr>
      </w:pPr>
      <w:r w:rsidRPr="00AF70C7">
        <w:rPr>
          <w:rFonts w:ascii="Arial" w:hAnsi="Arial" w:cs="Arial"/>
          <w:bCs/>
          <w:sz w:val="21"/>
          <w:szCs w:val="21"/>
        </w:rPr>
        <w:t>«[…]</w:t>
      </w:r>
      <w:r w:rsidR="003A5B87" w:rsidRPr="00AF70C7">
        <w:rPr>
          <w:rFonts w:ascii="Arial" w:hAnsi="Arial" w:cs="Arial"/>
          <w:sz w:val="21"/>
          <w:szCs w:val="21"/>
        </w:rPr>
        <w:t xml:space="preserve"> </w:t>
      </w:r>
      <w:r w:rsidRPr="00AF70C7">
        <w:rPr>
          <w:rFonts w:ascii="Arial" w:hAnsi="Arial" w:cs="Arial"/>
          <w:sz w:val="21"/>
          <w:szCs w:val="21"/>
        </w:rPr>
        <w:t xml:space="preserve"> 1. Según lo define el numeral 3.2 del artículo 3 de la Resolución 518 de 2015 emanada del Ministerio de Salud y Protección Social ¿Son los Departamentos autoridades sanitarias conforme a las competencias en salud asignadas por la ley 715 de </w:t>
      </w:r>
      <w:proofErr w:type="gramStart"/>
      <w:r w:rsidRPr="00AF70C7">
        <w:rPr>
          <w:rFonts w:ascii="Arial" w:hAnsi="Arial" w:cs="Arial"/>
          <w:sz w:val="21"/>
          <w:szCs w:val="21"/>
        </w:rPr>
        <w:t>2001 ?</w:t>
      </w:r>
      <w:proofErr w:type="gramEnd"/>
    </w:p>
    <w:p w14:paraId="2DBA4B2D" w14:textId="77777777" w:rsidR="00A82882" w:rsidRPr="00AF70C7" w:rsidRDefault="00A82882" w:rsidP="00BA2C1D">
      <w:pPr>
        <w:ind w:left="709" w:right="709"/>
        <w:jc w:val="both"/>
        <w:rPr>
          <w:rFonts w:ascii="Arial" w:hAnsi="Arial" w:cs="Arial"/>
          <w:sz w:val="21"/>
          <w:szCs w:val="21"/>
        </w:rPr>
      </w:pPr>
    </w:p>
    <w:p w14:paraId="432E330F" w14:textId="32A5ABDF" w:rsidR="00BA2C1D" w:rsidRPr="00AF70C7" w:rsidRDefault="00BA2C1D" w:rsidP="009B1D10">
      <w:pPr>
        <w:ind w:left="709" w:right="709"/>
        <w:jc w:val="both"/>
        <w:rPr>
          <w:rFonts w:ascii="Arial" w:hAnsi="Arial" w:cs="Arial"/>
          <w:bCs/>
          <w:sz w:val="21"/>
          <w:szCs w:val="21"/>
        </w:rPr>
      </w:pPr>
      <w:r w:rsidRPr="00AF70C7">
        <w:rPr>
          <w:rFonts w:ascii="Arial" w:hAnsi="Arial" w:cs="Arial"/>
          <w:sz w:val="21"/>
          <w:szCs w:val="21"/>
        </w:rPr>
        <w:t xml:space="preserve"> 2. Se encuentra inmerso en las causales de excepción que establece el inciso 2 del artículo 33 de la ley 996 de 2005, los contratos directos (contratos-interadministrativos) que celebre el Departamento con la Empresa Social del Estado (</w:t>
      </w:r>
      <w:proofErr w:type="spellStart"/>
      <w:r w:rsidRPr="00AF70C7">
        <w:rPr>
          <w:rFonts w:ascii="Arial" w:hAnsi="Arial" w:cs="Arial"/>
          <w:sz w:val="21"/>
          <w:szCs w:val="21"/>
        </w:rPr>
        <w:t>E.S.E</w:t>
      </w:r>
      <w:proofErr w:type="spellEnd"/>
      <w:r w:rsidRPr="00AF70C7">
        <w:rPr>
          <w:rFonts w:ascii="Arial" w:hAnsi="Arial" w:cs="Arial"/>
          <w:sz w:val="21"/>
          <w:szCs w:val="21"/>
        </w:rPr>
        <w:t>) y/o IPS públicas, para el desarrollo de las acciones de prestación de servicios de salud previstas en el Plan de Salud Pública de Intervenciones Colectivas?»</w:t>
      </w:r>
    </w:p>
    <w:p w14:paraId="14C35534" w14:textId="77777777" w:rsidR="008612BD" w:rsidRPr="00AF70C7" w:rsidRDefault="008612BD" w:rsidP="00496039">
      <w:pPr>
        <w:tabs>
          <w:tab w:val="left" w:pos="0"/>
        </w:tabs>
        <w:jc w:val="both"/>
        <w:rPr>
          <w:rFonts w:ascii="Arial" w:eastAsia="Calibri" w:hAnsi="Arial" w:cs="Arial"/>
          <w:b/>
          <w:color w:val="000000" w:themeColor="text1"/>
          <w:sz w:val="22"/>
        </w:rPr>
      </w:pPr>
    </w:p>
    <w:p w14:paraId="26B38835" w14:textId="77777777" w:rsidR="000E3D29" w:rsidRPr="00AF70C7" w:rsidRDefault="000E3D29" w:rsidP="000E3D29">
      <w:pPr>
        <w:spacing w:line="276" w:lineRule="auto"/>
        <w:jc w:val="both"/>
        <w:rPr>
          <w:rFonts w:ascii="Arial" w:eastAsia="Arial" w:hAnsi="Arial" w:cs="Arial"/>
          <w:sz w:val="22"/>
          <w:szCs w:val="22"/>
        </w:rPr>
      </w:pPr>
      <w:r w:rsidRPr="00AF70C7">
        <w:rPr>
          <w:rFonts w:ascii="Arial" w:eastAsia="Arial" w:hAnsi="Arial" w:cs="Arial"/>
          <w:sz w:val="22"/>
          <w:szCs w:val="22"/>
        </w:rPr>
        <w:t xml:space="preserve">El inciso segundo del artículo 33 dispone de dos (2) grandes grupos de excepciones a la prohibición de contratar directamente en la época preelectoral. </w:t>
      </w:r>
      <w:r w:rsidRPr="00AF70C7">
        <w:rPr>
          <w:rFonts w:ascii="Arial" w:eastAsia="Arial" w:hAnsi="Arial" w:cs="Arial"/>
          <w:i/>
          <w:iCs/>
          <w:sz w:val="22"/>
          <w:szCs w:val="22"/>
        </w:rPr>
        <w:t>Por un lado</w:t>
      </w:r>
      <w:r w:rsidRPr="00AF70C7">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AF70C7">
        <w:rPr>
          <w:rFonts w:ascii="Arial" w:eastAsia="Arial" w:hAnsi="Arial" w:cs="Arial"/>
          <w:i/>
          <w:iCs/>
          <w:sz w:val="22"/>
          <w:szCs w:val="22"/>
        </w:rPr>
        <w:t>Por otra parte</w:t>
      </w:r>
      <w:r w:rsidRPr="00AF70C7">
        <w:rPr>
          <w:rFonts w:ascii="Arial" w:eastAsia="Arial" w:hAnsi="Arial" w:cs="Arial"/>
          <w:sz w:val="22"/>
          <w:szCs w:val="22"/>
        </w:rPr>
        <w:t xml:space="preserve">, las que aluden a las entidades sanitarias y hospitalarias acudiendo a un criterio eminentemente subjetivo, pese a que no limita la excepción a un tipo de entidad en particular, sino que ata su aplicación a la naturaleza del respectivo ente. Así, para determinar si la contratación de una entidad pública está exceptuada de la prohibición general para la contratación directa, el intérprete </w:t>
      </w:r>
      <w:r w:rsidRPr="00AF70C7">
        <w:rPr>
          <w:rFonts w:ascii="Arial" w:eastAsia="Arial" w:hAnsi="Arial" w:cs="Arial"/>
          <w:sz w:val="22"/>
          <w:szCs w:val="22"/>
        </w:rPr>
        <w:lastRenderedPageBreak/>
        <w:t>deberá analizar el caso concreto para establecer que se trata de una actividad de las descritas en la norma o que se encuentra frente a una entidad de sanidad u hospitalaria.</w:t>
      </w:r>
    </w:p>
    <w:p w14:paraId="507D132C" w14:textId="77777777" w:rsidR="000E3D29" w:rsidRPr="00AF70C7" w:rsidRDefault="000E3D29" w:rsidP="000E3D29">
      <w:pPr>
        <w:spacing w:before="120" w:line="276" w:lineRule="auto"/>
        <w:ind w:firstLine="709"/>
        <w:jc w:val="both"/>
        <w:rPr>
          <w:rFonts w:ascii="Arial" w:eastAsia="Arial" w:hAnsi="Arial" w:cs="Arial"/>
          <w:sz w:val="22"/>
          <w:szCs w:val="22"/>
        </w:rPr>
      </w:pPr>
      <w:r w:rsidRPr="00AF70C7">
        <w:rPr>
          <w:rFonts w:ascii="Arial" w:eastAsia="Arial" w:hAnsi="Arial" w:cs="Arial"/>
          <w:sz w:val="22"/>
          <w:szCs w:val="22"/>
        </w:rPr>
        <w:t xml:space="preserve"> En relación con las actividades descritas en el inciso segundo del artículo 33,</w:t>
      </w:r>
      <w:r w:rsidRPr="00AF70C7">
        <w:rPr>
          <w:rFonts w:ascii="Arial" w:eastAsia="Arial" w:hAnsi="Arial" w:cs="Arial"/>
          <w:bCs/>
          <w:sz w:val="22"/>
          <w:szCs w:val="22"/>
        </w:rPr>
        <w:t xml:space="preserve"> no resulta relevante ni la nominación ni el régimen aplicable para la respectiva entidad, sino que basta con que la misma desarrolle cierto tipo de actividades cuya contratación, por su naturaleza especialmente sensible, no admiten postergación. Por ello, los departamentos podrán contratar directamente bajo esta excepción en la medida en que las actividades a ejecutar se traten de: </w:t>
      </w:r>
      <w:r w:rsidRPr="00AF70C7">
        <w:rPr>
          <w:rFonts w:ascii="Arial" w:eastAsia="Arial" w:hAnsi="Arial" w:cs="Arial"/>
          <w:sz w:val="22"/>
          <w:szCs w:val="22"/>
        </w:rPr>
        <w:t xml:space="preserve">i) defensa y seguridad del Estado; </w:t>
      </w:r>
      <w:proofErr w:type="spellStart"/>
      <w:r w:rsidRPr="00AF70C7">
        <w:rPr>
          <w:rFonts w:ascii="Arial" w:eastAsia="Arial" w:hAnsi="Arial" w:cs="Arial"/>
          <w:sz w:val="22"/>
          <w:szCs w:val="22"/>
        </w:rPr>
        <w:t>ii</w:t>
      </w:r>
      <w:proofErr w:type="spellEnd"/>
      <w:r w:rsidRPr="00AF70C7">
        <w:rPr>
          <w:rFonts w:ascii="Arial" w:eastAsia="Arial" w:hAnsi="Arial" w:cs="Arial"/>
          <w:sz w:val="22"/>
          <w:szCs w:val="22"/>
        </w:rPr>
        <w:t xml:space="preserve">) contratos de crédito público; </w:t>
      </w:r>
      <w:proofErr w:type="spellStart"/>
      <w:r w:rsidRPr="00AF70C7">
        <w:rPr>
          <w:rFonts w:ascii="Arial" w:eastAsia="Arial" w:hAnsi="Arial" w:cs="Arial"/>
          <w:sz w:val="22"/>
          <w:szCs w:val="22"/>
        </w:rPr>
        <w:t>iii</w:t>
      </w:r>
      <w:proofErr w:type="spellEnd"/>
      <w:r w:rsidRPr="00AF70C7">
        <w:rPr>
          <w:rFonts w:ascii="Arial" w:eastAsia="Arial" w:hAnsi="Arial" w:cs="Arial"/>
          <w:sz w:val="22"/>
          <w:szCs w:val="22"/>
        </w:rPr>
        <w:t xml:space="preserve">) cubrir emergencias educativas, sanitarias y desastres; </w:t>
      </w:r>
      <w:proofErr w:type="spellStart"/>
      <w:r w:rsidRPr="00AF70C7">
        <w:rPr>
          <w:rFonts w:ascii="Arial" w:eastAsia="Arial" w:hAnsi="Arial" w:cs="Arial"/>
          <w:sz w:val="22"/>
          <w:szCs w:val="22"/>
        </w:rPr>
        <w:t>iv</w:t>
      </w:r>
      <w:proofErr w:type="spellEnd"/>
      <w:r w:rsidRPr="00AF70C7">
        <w:rPr>
          <w:rFonts w:ascii="Arial" w:eastAsia="Arial" w:hAnsi="Arial" w:cs="Arial"/>
          <w:sz w:val="22"/>
          <w:szCs w:val="22"/>
        </w:rPr>
        <w:t>) reconstrucción de vías, puentes, carreteras, infraestructura energética y de comunicaciones, en caso de que hayan sido objeto de atentados, acciones terroristas, desastres naturales o casos de fuerza mayor.</w:t>
      </w:r>
    </w:p>
    <w:p w14:paraId="73185C41" w14:textId="0228D62D" w:rsidR="005E6128" w:rsidRPr="002E5E73" w:rsidRDefault="000E3D29" w:rsidP="002E5E73">
      <w:pPr>
        <w:spacing w:before="120" w:line="276" w:lineRule="auto"/>
        <w:ind w:firstLine="709"/>
        <w:jc w:val="both"/>
        <w:rPr>
          <w:rFonts w:ascii="Arial" w:hAnsi="Arial" w:cs="Arial"/>
          <w:bCs/>
          <w:i/>
          <w:iCs/>
          <w:sz w:val="22"/>
          <w:lang w:val="es-ES_tradnl"/>
        </w:rPr>
      </w:pPr>
      <w:r w:rsidRPr="00AF70C7">
        <w:rPr>
          <w:rFonts w:ascii="Arial" w:eastAsia="Arial" w:hAnsi="Arial" w:cs="Arial"/>
          <w:sz w:val="22"/>
          <w:szCs w:val="22"/>
        </w:rPr>
        <w:t xml:space="preserve">Por su parte, respecto de la excepción referente a entidades de sanidad u hospitalaria, </w:t>
      </w:r>
      <w:r w:rsidRPr="00AF70C7">
        <w:rPr>
          <w:rFonts w:ascii="Arial" w:eastAsia="Arial" w:hAnsi="Arial" w:cs="Arial"/>
          <w:bCs/>
          <w:sz w:val="22"/>
          <w:szCs w:val="22"/>
        </w:rPr>
        <w:t xml:space="preserve">es necesario tener en cuenta </w:t>
      </w:r>
      <w:r w:rsidRPr="00AF70C7">
        <w:rPr>
          <w:rFonts w:ascii="Arial" w:hAnsi="Arial" w:cs="Arial"/>
          <w:bCs/>
          <w:sz w:val="22"/>
          <w:lang w:val="es-ES_tradnl"/>
        </w:rPr>
        <w:t xml:space="preserve">que de conformidad con el artículo 94 de la Ley 100 de 1993 </w:t>
      </w:r>
      <w:r w:rsidRPr="00AF70C7">
        <w:rPr>
          <w:rFonts w:ascii="Arial" w:hAnsi="Arial" w:cs="Arial"/>
          <w:sz w:val="22"/>
          <w:lang w:val="es-ES_tradnl"/>
        </w:rPr>
        <w:t xml:space="preserve">las entidades encargadas de prestar el servicio de salud de manera directa en su calidad de entidades hospitalarias son las Empresas Sociales del Estado, no los departamentos. </w:t>
      </w:r>
      <w:r w:rsidRPr="00AF70C7">
        <w:rPr>
          <w:rFonts w:ascii="Arial" w:hAnsi="Arial" w:cs="Arial"/>
          <w:bCs/>
          <w:sz w:val="22"/>
          <w:lang w:val="es-ES_tradnl"/>
        </w:rPr>
        <w:t>Por tanto,</w:t>
      </w:r>
      <w:r w:rsidR="005E6128" w:rsidRPr="002E5E73">
        <w:rPr>
          <w:rFonts w:ascii="Arial" w:hAnsi="Arial" w:cs="Arial"/>
          <w:bCs/>
          <w:sz w:val="22"/>
          <w:lang w:val="es-ES_tradnl"/>
        </w:rPr>
        <w:t xml:space="preserve"> a pesar de que las Empresas Sociales del Estado están exceptuadas de la prohibición del inciso segundo del artículo 33, no podrían celebrar contratos de manera directa con departamentos, en la medida en que </w:t>
      </w:r>
      <w:r w:rsidR="00261E96" w:rsidRPr="002E5E73">
        <w:rPr>
          <w:rFonts w:ascii="Arial" w:hAnsi="Arial" w:cs="Arial"/>
          <w:bCs/>
          <w:sz w:val="22"/>
          <w:lang w:val="es-ES_tradnl"/>
        </w:rPr>
        <w:t>esto no se encuentran cobijados</w:t>
      </w:r>
      <w:r w:rsidR="002A002A" w:rsidRPr="002E5E73">
        <w:rPr>
          <w:rFonts w:ascii="Arial" w:hAnsi="Arial" w:cs="Arial"/>
          <w:bCs/>
          <w:sz w:val="22"/>
          <w:lang w:val="es-ES_tradnl"/>
        </w:rPr>
        <w:t xml:space="preserve"> por la referida excepción</w:t>
      </w:r>
      <w:r w:rsidR="009166AB" w:rsidRPr="002E5E73">
        <w:rPr>
          <w:rFonts w:ascii="Arial" w:hAnsi="Arial" w:cs="Arial"/>
          <w:bCs/>
          <w:sz w:val="22"/>
          <w:lang w:val="es-ES_tradnl"/>
        </w:rPr>
        <w:t xml:space="preserve">, al no ser </w:t>
      </w:r>
      <w:r w:rsidR="009166AB" w:rsidRPr="002E5E73">
        <w:rPr>
          <w:rFonts w:ascii="Arial" w:hAnsi="Arial" w:cs="Arial"/>
          <w:bCs/>
          <w:i/>
          <w:iCs/>
          <w:sz w:val="22"/>
          <w:lang w:val="es-ES_tradnl"/>
        </w:rPr>
        <w:t xml:space="preserve">entidades sanitarias. </w:t>
      </w:r>
      <w:r w:rsidR="002A002A" w:rsidRPr="002E5E73">
        <w:rPr>
          <w:rFonts w:ascii="Arial" w:hAnsi="Arial" w:cs="Arial"/>
          <w:bCs/>
          <w:i/>
          <w:iCs/>
          <w:sz w:val="22"/>
          <w:lang w:val="es-ES_tradnl"/>
        </w:rPr>
        <w:t xml:space="preserve"> </w:t>
      </w:r>
      <w:r w:rsidR="005E6128" w:rsidRPr="002E5E73">
        <w:rPr>
          <w:rFonts w:ascii="Arial" w:hAnsi="Arial" w:cs="Arial"/>
          <w:bCs/>
          <w:i/>
          <w:iCs/>
          <w:sz w:val="22"/>
          <w:lang w:val="es-ES_tradnl"/>
        </w:rPr>
        <w:t xml:space="preserve"> </w:t>
      </w:r>
    </w:p>
    <w:p w14:paraId="0C962D4C" w14:textId="73CC9296" w:rsidR="000E3D29" w:rsidRPr="00AF70C7" w:rsidRDefault="000E3D29" w:rsidP="002E5E73">
      <w:pPr>
        <w:spacing w:before="120" w:after="120" w:line="276" w:lineRule="auto"/>
        <w:ind w:firstLine="709"/>
        <w:jc w:val="both"/>
        <w:rPr>
          <w:rFonts w:ascii="Arial" w:eastAsia="Arial" w:hAnsi="Arial" w:cs="Arial"/>
          <w:bCs/>
          <w:sz w:val="22"/>
          <w:szCs w:val="22"/>
          <w:lang w:val="es-ES_tradnl"/>
        </w:rPr>
      </w:pPr>
      <w:r w:rsidRPr="00AF70C7">
        <w:rPr>
          <w:rFonts w:ascii="Arial" w:hAnsi="Arial" w:cs="Arial"/>
          <w:bCs/>
          <w:sz w:val="22"/>
          <w:lang w:val="es-ES_tradnl"/>
        </w:rPr>
        <w:t>A</w:t>
      </w:r>
      <w:r w:rsidR="009166AB" w:rsidRPr="00AF70C7">
        <w:rPr>
          <w:rFonts w:ascii="Arial" w:hAnsi="Arial" w:cs="Arial"/>
          <w:bCs/>
          <w:sz w:val="22"/>
          <w:lang w:val="es-ES_tradnl"/>
        </w:rPr>
        <w:t xml:space="preserve">l respecto es importante tener en cuenta que, </w:t>
      </w:r>
      <w:r w:rsidRPr="00AF70C7">
        <w:rPr>
          <w:rFonts w:ascii="Arial" w:hAnsi="Arial" w:cs="Arial"/>
          <w:bCs/>
          <w:sz w:val="22"/>
          <w:lang w:val="es-ES_tradnl"/>
        </w:rPr>
        <w:t xml:space="preserve">conforme al </w:t>
      </w:r>
      <w:r w:rsidRPr="00AF70C7">
        <w:rPr>
          <w:rFonts w:ascii="Arial" w:eastAsia="Arial" w:hAnsi="Arial" w:cs="Arial"/>
          <w:bCs/>
          <w:sz w:val="22"/>
          <w:szCs w:val="22"/>
        </w:rPr>
        <w:t xml:space="preserve">artículo 2.8.8.1.1.3 del Decreto 780 de 2016, las </w:t>
      </w:r>
      <w:r w:rsidRPr="00AF70C7">
        <w:rPr>
          <w:rFonts w:ascii="Arial" w:eastAsia="Arial" w:hAnsi="Arial" w:cs="Arial"/>
          <w:bCs/>
          <w:i/>
          <w:iCs/>
          <w:sz w:val="22"/>
          <w:szCs w:val="22"/>
        </w:rPr>
        <w:t>entidades sanitarias</w:t>
      </w:r>
      <w:r w:rsidRPr="00AF70C7">
        <w:rPr>
          <w:rFonts w:ascii="Arial" w:eastAsia="Arial" w:hAnsi="Arial" w:cs="Arial"/>
          <w:bCs/>
          <w:sz w:val="22"/>
          <w:szCs w:val="22"/>
        </w:rPr>
        <w:t xml:space="preserve"> se definen como «Entidades del Estado que prestan servicios sanitarios o de sanidad con el propósito de preservar la salud humana y la salud pública» y las </w:t>
      </w:r>
      <w:r w:rsidRPr="00AF70C7">
        <w:rPr>
          <w:rFonts w:ascii="Arial" w:eastAsia="Arial" w:hAnsi="Arial" w:cs="Arial"/>
          <w:bCs/>
          <w:i/>
          <w:iCs/>
          <w:sz w:val="22"/>
          <w:szCs w:val="22"/>
        </w:rPr>
        <w:t>autoridades sanitarias</w:t>
      </w:r>
      <w:r w:rsidRPr="00AF70C7">
        <w:rPr>
          <w:rFonts w:ascii="Arial" w:eastAsia="Arial" w:hAnsi="Arial" w:cs="Arial"/>
          <w:bCs/>
          <w:sz w:val="22"/>
          <w:szCs w:val="22"/>
        </w:rPr>
        <w:t xml:space="preserve"> son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Sin embargo, es necesario tener en cuenta que la excepción del artículo 33 de la Ley de Garantías solo aplica a las </w:t>
      </w:r>
      <w:r w:rsidRPr="00AF70C7">
        <w:rPr>
          <w:rFonts w:ascii="Arial" w:eastAsia="Arial" w:hAnsi="Arial" w:cs="Arial"/>
          <w:bCs/>
          <w:i/>
          <w:iCs/>
          <w:sz w:val="22"/>
          <w:szCs w:val="22"/>
        </w:rPr>
        <w:t>entidades sanitarias</w:t>
      </w:r>
      <w:r w:rsidRPr="00AF70C7">
        <w:rPr>
          <w:rFonts w:ascii="Arial" w:eastAsia="Arial" w:hAnsi="Arial" w:cs="Arial"/>
          <w:bCs/>
          <w:sz w:val="22"/>
          <w:szCs w:val="22"/>
        </w:rPr>
        <w:t xml:space="preserve">, no a las </w:t>
      </w:r>
      <w:r w:rsidRPr="00AF70C7">
        <w:rPr>
          <w:rFonts w:ascii="Arial" w:eastAsia="Arial" w:hAnsi="Arial" w:cs="Arial"/>
          <w:bCs/>
          <w:i/>
          <w:iCs/>
          <w:sz w:val="22"/>
          <w:szCs w:val="22"/>
        </w:rPr>
        <w:t>autoridades sanitarias</w:t>
      </w:r>
      <w:r w:rsidRPr="00AF70C7">
        <w:rPr>
          <w:rFonts w:ascii="Arial" w:eastAsia="Arial" w:hAnsi="Arial" w:cs="Arial"/>
          <w:bCs/>
          <w:sz w:val="22"/>
          <w:szCs w:val="22"/>
        </w:rPr>
        <w:t>. Por tanto, en caso en que los departamentos ejerzan funciones de autoridad sanitaria y no de entidades sanitarias tampoco estarían dentro de la excepción del artículo 33.</w:t>
      </w:r>
      <w:r w:rsidRPr="00AF70C7">
        <w:rPr>
          <w:rFonts w:ascii="Arial" w:eastAsia="Arial" w:hAnsi="Arial" w:cs="Arial"/>
          <w:bCs/>
          <w:sz w:val="22"/>
          <w:szCs w:val="22"/>
          <w:lang w:val="es-ES_tradnl"/>
        </w:rPr>
        <w:t xml:space="preserve"> Por lo demás, no es competencia de esta Agencia determinar si los departamentos cumplen funciones de autoridad sanitaria conforme a la Ley 715 de 2001, pues la entidad conceptúa especialmente sobre las normas generales en materia de compras y contratación pública.</w:t>
      </w:r>
    </w:p>
    <w:p w14:paraId="3B65FA0C" w14:textId="345BB510" w:rsidR="00400F0C" w:rsidRPr="00AF70C7" w:rsidRDefault="009C18C3" w:rsidP="002E5E73">
      <w:pPr>
        <w:spacing w:line="276" w:lineRule="auto"/>
        <w:ind w:firstLine="708"/>
        <w:jc w:val="both"/>
        <w:rPr>
          <w:rFonts w:ascii="Arial" w:hAnsi="Arial" w:cs="Arial"/>
          <w:color w:val="000000" w:themeColor="text1"/>
          <w:sz w:val="22"/>
          <w:szCs w:val="22"/>
        </w:rPr>
      </w:pPr>
      <w:r w:rsidRPr="00AF70C7">
        <w:rPr>
          <w:rFonts w:ascii="Arial" w:hAnsi="Arial" w:cs="Arial"/>
          <w:bCs/>
          <w:sz w:val="22"/>
          <w:szCs w:val="22"/>
          <w:lang w:eastAsia="es-CO"/>
        </w:rPr>
        <w:t xml:space="preserve">Sin perjuicio de lo anterior, se </w:t>
      </w:r>
      <w:r w:rsidR="00F94044" w:rsidRPr="00AF70C7">
        <w:rPr>
          <w:rFonts w:ascii="Arial" w:hAnsi="Arial" w:cs="Arial"/>
          <w:bCs/>
          <w:sz w:val="22"/>
          <w:szCs w:val="22"/>
          <w:lang w:eastAsia="es-CO"/>
        </w:rPr>
        <w:t>advierte que</w:t>
      </w:r>
      <w:r w:rsidRPr="00AF70C7">
        <w:rPr>
          <w:rFonts w:ascii="Arial" w:hAnsi="Arial" w:cs="Arial"/>
          <w:bCs/>
          <w:sz w:val="22"/>
          <w:szCs w:val="22"/>
          <w:lang w:eastAsia="es-CO"/>
        </w:rPr>
        <w:t xml:space="preserve"> </w:t>
      </w:r>
      <w:r w:rsidR="00F55514" w:rsidRPr="00AF70C7">
        <w:rPr>
          <w:rFonts w:ascii="Arial" w:hAnsi="Arial" w:cs="Arial"/>
          <w:bCs/>
          <w:sz w:val="22"/>
          <w:szCs w:val="22"/>
          <w:lang w:eastAsia="es-CO"/>
        </w:rPr>
        <w:t xml:space="preserve">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  </w:t>
      </w:r>
      <w:r w:rsidR="00400F0C" w:rsidRPr="00AF70C7">
        <w:rPr>
          <w:rFonts w:ascii="Arial" w:eastAsia="Calibri" w:hAnsi="Arial" w:cs="Arial"/>
          <w:bCs/>
          <w:color w:val="000000" w:themeColor="text1"/>
          <w:sz w:val="22"/>
          <w:szCs w:val="22"/>
          <w:lang w:val="es-ES_tradnl" w:eastAsia="es-CO"/>
        </w:rPr>
        <w:t>En tal sentido, de acuerdo con el marco jurídico expuesto le corresponderá a cada entidad estatal</w:t>
      </w:r>
      <w:r w:rsidR="0064091A" w:rsidRPr="00AF70C7">
        <w:rPr>
          <w:rFonts w:ascii="Arial" w:eastAsia="Calibri" w:hAnsi="Arial" w:cs="Arial"/>
          <w:bCs/>
          <w:color w:val="000000" w:themeColor="text1"/>
          <w:sz w:val="22"/>
          <w:szCs w:val="22"/>
          <w:lang w:val="es-ES_tradnl" w:eastAsia="es-CO"/>
        </w:rPr>
        <w:t xml:space="preserve">, </w:t>
      </w:r>
      <w:r w:rsidR="0064091A" w:rsidRPr="00AF70C7">
        <w:rPr>
          <w:rFonts w:ascii="Arial" w:eastAsia="Arial" w:hAnsi="Arial" w:cs="Arial"/>
          <w:bCs/>
          <w:color w:val="000000" w:themeColor="text1"/>
          <w:sz w:val="22"/>
          <w:szCs w:val="22"/>
          <w:lang w:val="es-ES_tradnl"/>
        </w:rPr>
        <w:lastRenderedPageBreak/>
        <w:t xml:space="preserve">incluyendo a aquellas autorizadas para suscribir contratos en el marco de los </w:t>
      </w:r>
      <w:r w:rsidR="0064091A" w:rsidRPr="00AF70C7">
        <w:rPr>
          <w:rFonts w:ascii="Arial" w:eastAsia="Arial" w:hAnsi="Arial" w:cs="Arial"/>
          <w:color w:val="000000" w:themeColor="text1"/>
          <w:sz w:val="22"/>
          <w:szCs w:val="22"/>
          <w:lang w:val="es-MX"/>
        </w:rPr>
        <w:t>Planes de Salud Pública de Intervenciones Colectivas –</w:t>
      </w:r>
      <w:proofErr w:type="spellStart"/>
      <w:r w:rsidR="0064091A" w:rsidRPr="00AF70C7">
        <w:rPr>
          <w:rFonts w:ascii="Arial" w:eastAsia="Arial" w:hAnsi="Arial" w:cs="Arial"/>
          <w:color w:val="000000" w:themeColor="text1"/>
          <w:sz w:val="22"/>
          <w:szCs w:val="22"/>
          <w:lang w:val="es-MX"/>
        </w:rPr>
        <w:t>PIC</w:t>
      </w:r>
      <w:proofErr w:type="spellEnd"/>
      <w:r w:rsidR="0064091A" w:rsidRPr="00AF70C7">
        <w:rPr>
          <w:rFonts w:ascii="Arial" w:eastAsia="Arial" w:hAnsi="Arial" w:cs="Arial"/>
          <w:color w:val="000000" w:themeColor="text1"/>
          <w:sz w:val="22"/>
          <w:szCs w:val="22"/>
          <w:lang w:val="es-MX"/>
        </w:rPr>
        <w:t>–,</w:t>
      </w:r>
      <w:r w:rsidR="00400F0C" w:rsidRPr="00AF70C7">
        <w:rPr>
          <w:rFonts w:ascii="Arial" w:eastAsia="Calibri" w:hAnsi="Arial" w:cs="Arial"/>
          <w:bCs/>
          <w:color w:val="000000" w:themeColor="text1"/>
          <w:sz w:val="22"/>
          <w:szCs w:val="22"/>
          <w:lang w:val="es-ES_tradnl" w:eastAsia="es-CO"/>
        </w:rPr>
        <w:t xml:space="preserve"> definir la forma como adelanta</w:t>
      </w:r>
      <w:r w:rsidR="0064091A" w:rsidRPr="00AF70C7">
        <w:rPr>
          <w:rFonts w:ascii="Arial" w:eastAsia="Calibri" w:hAnsi="Arial" w:cs="Arial"/>
          <w:bCs/>
          <w:color w:val="000000" w:themeColor="text1"/>
          <w:sz w:val="22"/>
          <w:szCs w:val="22"/>
          <w:lang w:val="es-ES_tradnl" w:eastAsia="es-CO"/>
        </w:rPr>
        <w:t>n</w:t>
      </w:r>
      <w:r w:rsidR="00400F0C" w:rsidRPr="00AF70C7">
        <w:rPr>
          <w:rFonts w:ascii="Arial" w:eastAsia="Calibri" w:hAnsi="Arial" w:cs="Arial"/>
          <w:bCs/>
          <w:color w:val="000000" w:themeColor="text1"/>
          <w:sz w:val="22"/>
          <w:szCs w:val="22"/>
          <w:lang w:val="es-ES_tradnl" w:eastAsia="es-CO"/>
        </w:rPr>
        <w:t xml:space="preserve"> su actividad contractual, de manera que resulte armónica con las prohibiciones establecidas en la Ley 996 de 2005</w:t>
      </w:r>
      <w:r w:rsidR="008612BD" w:rsidRPr="00AF70C7">
        <w:rPr>
          <w:rFonts w:ascii="Arial" w:eastAsia="Calibri" w:hAnsi="Arial" w:cs="Arial"/>
          <w:bCs/>
          <w:color w:val="000000" w:themeColor="text1"/>
          <w:sz w:val="22"/>
          <w:szCs w:val="22"/>
          <w:lang w:val="es-ES_tradnl" w:eastAsia="es-CO"/>
        </w:rPr>
        <w:t xml:space="preserve"> y se garantice la prestació</w:t>
      </w:r>
      <w:r w:rsidR="00380D09" w:rsidRPr="00AF70C7">
        <w:rPr>
          <w:rFonts w:ascii="Arial" w:eastAsia="Calibri" w:hAnsi="Arial" w:cs="Arial"/>
          <w:bCs/>
          <w:color w:val="000000" w:themeColor="text1"/>
          <w:sz w:val="22"/>
          <w:szCs w:val="22"/>
          <w:lang w:val="es-ES_tradnl" w:eastAsia="es-CO"/>
        </w:rPr>
        <w:t>n de los servicios esenciales.</w:t>
      </w:r>
    </w:p>
    <w:p w14:paraId="52684671" w14:textId="77777777" w:rsidR="00400F0C" w:rsidRPr="00AF70C7" w:rsidRDefault="00400F0C">
      <w:pPr>
        <w:autoSpaceDE w:val="0"/>
        <w:autoSpaceDN w:val="0"/>
        <w:adjustRightInd w:val="0"/>
        <w:ind w:left="709" w:right="709"/>
        <w:jc w:val="both"/>
        <w:rPr>
          <w:rFonts w:ascii="Arial" w:hAnsi="Arial" w:cs="Arial"/>
          <w:color w:val="000000" w:themeColor="text1"/>
          <w:sz w:val="22"/>
          <w:szCs w:val="22"/>
        </w:rPr>
      </w:pPr>
    </w:p>
    <w:p w14:paraId="7B2C921D" w14:textId="0F779FF9" w:rsidR="00DD5B04" w:rsidRPr="00AF70C7" w:rsidRDefault="00DD5B04" w:rsidP="00861F5C">
      <w:pPr>
        <w:spacing w:line="276" w:lineRule="auto"/>
        <w:jc w:val="both"/>
        <w:rPr>
          <w:rFonts w:ascii="Arial" w:hAnsi="Arial" w:cs="Arial"/>
          <w:color w:val="000000" w:themeColor="text1"/>
          <w:sz w:val="22"/>
          <w:lang w:val="es-ES_tradnl"/>
        </w:rPr>
      </w:pPr>
      <w:r w:rsidRPr="00AF70C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AF70C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2CACB9E8" w:rsidR="00DD5B04" w:rsidRPr="00AF70C7" w:rsidRDefault="00367FC6"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E5E73">
        <w:rPr>
          <w:noProof/>
          <w:color w:val="000000" w:themeColor="text1"/>
          <w:lang w:val="en-US" w:eastAsia="en-US"/>
        </w:rPr>
        <w:drawing>
          <wp:anchor distT="0" distB="0" distL="0" distR="0" simplePos="0" relativeHeight="251659264" behindDoc="0" locked="0" layoutInCell="1" allowOverlap="1" wp14:anchorId="4DC6A50C" wp14:editId="4FFDE281">
            <wp:simplePos x="0" y="0"/>
            <wp:positionH relativeFrom="page">
              <wp:posOffset>2625725</wp:posOffset>
            </wp:positionH>
            <wp:positionV relativeFrom="paragraph">
              <wp:posOffset>287020</wp:posOffset>
            </wp:positionV>
            <wp:extent cx="2453005" cy="1078230"/>
            <wp:effectExtent l="0" t="0" r="4445" b="762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12"/>
                    <a:stretch>
                      <a:fillRect/>
                    </a:stretch>
                  </pic:blipFill>
                  <pic:spPr>
                    <a:xfrm>
                      <a:off x="0" y="0"/>
                      <a:ext cx="2453005" cy="1078230"/>
                    </a:xfrm>
                    <a:prstGeom prst="rect">
                      <a:avLst/>
                    </a:prstGeom>
                  </pic:spPr>
                </pic:pic>
              </a:graphicData>
            </a:graphic>
            <wp14:sizeRelV relativeFrom="margin">
              <wp14:pctHeight>0</wp14:pctHeight>
            </wp14:sizeRelV>
          </wp:anchor>
        </w:drawing>
      </w:r>
      <w:r w:rsidR="00DD5B04" w:rsidRPr="00AF70C7">
        <w:rPr>
          <w:rFonts w:ascii="Arial" w:hAnsi="Arial" w:cs="Arial"/>
          <w:color w:val="000000" w:themeColor="text1"/>
          <w:sz w:val="22"/>
          <w:szCs w:val="22"/>
          <w:lang w:val="es-ES_tradnl"/>
        </w:rPr>
        <w:t>Atentamente,</w:t>
      </w:r>
    </w:p>
    <w:p w14:paraId="49730030" w14:textId="7EDE2E8C" w:rsidR="00DD5B04" w:rsidRPr="00AF70C7" w:rsidRDefault="00DD5B04" w:rsidP="009A773A">
      <w:pPr>
        <w:pStyle w:val="NormalWeb"/>
        <w:spacing w:before="0" w:beforeAutospacing="0" w:after="0" w:afterAutospacing="0" w:line="276" w:lineRule="auto"/>
        <w:rPr>
          <w:color w:val="000000" w:themeColor="text1"/>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6A6B87" w:rsidRPr="00AF70C7" w14:paraId="0C7DC5F7" w14:textId="77777777" w:rsidTr="002E5E73">
        <w:trPr>
          <w:trHeight w:val="315"/>
        </w:trPr>
        <w:tc>
          <w:tcPr>
            <w:tcW w:w="812" w:type="dxa"/>
            <w:vAlign w:val="center"/>
            <w:hideMark/>
          </w:tcPr>
          <w:p w14:paraId="5BDB1AC9" w14:textId="77777777" w:rsidR="00DD5B04" w:rsidRPr="00AF70C7" w:rsidRDefault="00DD5B04"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Elaboró:</w:t>
            </w:r>
          </w:p>
        </w:tc>
        <w:tc>
          <w:tcPr>
            <w:tcW w:w="5284" w:type="dxa"/>
            <w:tcBorders>
              <w:top w:val="nil"/>
              <w:left w:val="nil"/>
              <w:bottom w:val="dotted" w:sz="4" w:space="0" w:color="7F7F7F" w:themeColor="text1" w:themeTint="80"/>
              <w:right w:val="nil"/>
            </w:tcBorders>
            <w:vAlign w:val="center"/>
            <w:hideMark/>
          </w:tcPr>
          <w:p w14:paraId="7F9F79B1" w14:textId="70518FB1" w:rsidR="00DD5B04" w:rsidRPr="00AF70C7" w:rsidRDefault="00EE3D05"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 xml:space="preserve">Guillermo Escolar Flórez </w:t>
            </w:r>
          </w:p>
          <w:p w14:paraId="240C71FD" w14:textId="31312C95" w:rsidR="00DD5B04" w:rsidRPr="00AF70C7" w:rsidRDefault="00DD5B04"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Contratista</w:t>
            </w:r>
            <w:r w:rsidR="00FF0050" w:rsidRPr="00AF70C7">
              <w:rPr>
                <w:rFonts w:ascii="Arial" w:hAnsi="Arial" w:cs="Arial"/>
                <w:color w:val="000000" w:themeColor="text1"/>
                <w:sz w:val="16"/>
                <w:szCs w:val="16"/>
                <w:lang w:val="es-ES_tradnl" w:eastAsia="es-ES"/>
              </w:rPr>
              <w:t xml:space="preserve"> de la </w:t>
            </w:r>
            <w:r w:rsidRPr="00AF70C7">
              <w:rPr>
                <w:rFonts w:ascii="Arial" w:hAnsi="Arial" w:cs="Arial"/>
                <w:color w:val="000000" w:themeColor="text1"/>
                <w:sz w:val="16"/>
                <w:szCs w:val="16"/>
                <w:lang w:val="es-ES_tradnl" w:eastAsia="es-ES"/>
              </w:rPr>
              <w:t>Subdirección de Gestión Contractual</w:t>
            </w:r>
          </w:p>
        </w:tc>
      </w:tr>
      <w:tr w:rsidR="006A6B87" w:rsidRPr="00AF70C7" w14:paraId="2F8FD650" w14:textId="77777777" w:rsidTr="002E5E73">
        <w:trPr>
          <w:trHeight w:val="330"/>
        </w:trPr>
        <w:tc>
          <w:tcPr>
            <w:tcW w:w="812" w:type="dxa"/>
            <w:vAlign w:val="center"/>
            <w:hideMark/>
          </w:tcPr>
          <w:p w14:paraId="50203A0B" w14:textId="77777777" w:rsidR="00DD5B04" w:rsidRPr="00AF70C7" w:rsidRDefault="00DD5B04"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6E9293D" w14:textId="2F294B4E" w:rsidR="00A1108C" w:rsidRPr="00AF70C7" w:rsidRDefault="00BE204A" w:rsidP="00C05A61">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Alejandro Sarmiento Cantillo</w:t>
            </w:r>
          </w:p>
          <w:p w14:paraId="130B3228" w14:textId="37410BEF" w:rsidR="002B08BA" w:rsidRPr="002E5E73" w:rsidRDefault="00C84DD3" w:rsidP="00C05A61">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 xml:space="preserve">Gestor T1-15 de la </w:t>
            </w:r>
            <w:r w:rsidR="00A1108C" w:rsidRPr="00AF70C7">
              <w:rPr>
                <w:rFonts w:ascii="Arial" w:hAnsi="Arial" w:cs="Arial"/>
                <w:color w:val="000000" w:themeColor="text1"/>
                <w:sz w:val="16"/>
                <w:szCs w:val="16"/>
                <w:lang w:val="es-ES_tradnl" w:eastAsia="es-ES"/>
              </w:rPr>
              <w:t xml:space="preserve">de </w:t>
            </w:r>
            <w:r w:rsidR="00015642" w:rsidRPr="00AF70C7">
              <w:rPr>
                <w:rFonts w:ascii="Arial" w:hAnsi="Arial" w:cs="Arial"/>
                <w:color w:val="000000" w:themeColor="text1"/>
                <w:sz w:val="16"/>
                <w:szCs w:val="16"/>
                <w:lang w:val="es-ES_tradnl" w:eastAsia="es-ES"/>
              </w:rPr>
              <w:t xml:space="preserve">la </w:t>
            </w:r>
            <w:r w:rsidR="003D281F" w:rsidRPr="00AF70C7">
              <w:rPr>
                <w:rFonts w:ascii="Arial" w:hAnsi="Arial" w:cs="Arial"/>
                <w:color w:val="000000" w:themeColor="text1"/>
                <w:sz w:val="16"/>
                <w:szCs w:val="16"/>
                <w:lang w:val="es-ES_tradnl" w:eastAsia="es-ES"/>
              </w:rPr>
              <w:t xml:space="preserve">Subdirección de Gestión Contractual </w:t>
            </w:r>
            <w:r w:rsidR="00015642" w:rsidRPr="00AF70C7">
              <w:rPr>
                <w:rFonts w:ascii="Arial" w:hAnsi="Arial" w:cs="Arial"/>
                <w:color w:val="000000" w:themeColor="text1"/>
                <w:sz w:val="16"/>
                <w:szCs w:val="16"/>
                <w:lang w:val="es-ES_tradnl" w:eastAsia="es-ES"/>
              </w:rPr>
              <w:t xml:space="preserve"> </w:t>
            </w:r>
          </w:p>
        </w:tc>
      </w:tr>
      <w:tr w:rsidR="00DD5B04" w:rsidRPr="006A6B87" w14:paraId="0FCBCA4A" w14:textId="77777777" w:rsidTr="002E5E73">
        <w:trPr>
          <w:trHeight w:val="300"/>
        </w:trPr>
        <w:tc>
          <w:tcPr>
            <w:tcW w:w="812" w:type="dxa"/>
            <w:vAlign w:val="center"/>
            <w:hideMark/>
          </w:tcPr>
          <w:p w14:paraId="3C1D943A" w14:textId="29B4D648" w:rsidR="00DD5B04" w:rsidRPr="00AF70C7" w:rsidRDefault="00DD5B04"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F70C7" w:rsidRDefault="00C05A61"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 xml:space="preserve">Jorge </w:t>
            </w:r>
            <w:r w:rsidR="00647A36" w:rsidRPr="00AF70C7">
              <w:rPr>
                <w:rFonts w:ascii="Arial" w:hAnsi="Arial" w:cs="Arial"/>
                <w:color w:val="000000" w:themeColor="text1"/>
                <w:sz w:val="16"/>
                <w:szCs w:val="16"/>
                <w:lang w:val="es-ES_tradnl" w:eastAsia="es-ES"/>
              </w:rPr>
              <w:t xml:space="preserve">Augusto </w:t>
            </w:r>
            <w:r w:rsidRPr="00AF70C7">
              <w:rPr>
                <w:rFonts w:ascii="Arial" w:hAnsi="Arial" w:cs="Arial"/>
                <w:color w:val="000000" w:themeColor="text1"/>
                <w:sz w:val="16"/>
                <w:szCs w:val="16"/>
                <w:lang w:val="es-ES_tradnl" w:eastAsia="es-ES"/>
              </w:rPr>
              <w:t>Tirado Navarro</w:t>
            </w:r>
          </w:p>
          <w:p w14:paraId="1ADC483B" w14:textId="384FAF72" w:rsidR="00DD5B04" w:rsidRPr="006A6B87" w:rsidRDefault="00DD5B04" w:rsidP="00DF76A2">
            <w:pPr>
              <w:jc w:val="both"/>
              <w:rPr>
                <w:rFonts w:ascii="Arial" w:hAnsi="Arial" w:cs="Arial"/>
                <w:color w:val="000000" w:themeColor="text1"/>
                <w:sz w:val="16"/>
                <w:szCs w:val="16"/>
                <w:lang w:val="es-ES_tradnl" w:eastAsia="es-ES"/>
              </w:rPr>
            </w:pPr>
            <w:r w:rsidRPr="00AF70C7">
              <w:rPr>
                <w:rFonts w:ascii="Arial" w:hAnsi="Arial" w:cs="Arial"/>
                <w:color w:val="000000" w:themeColor="text1"/>
                <w:sz w:val="16"/>
                <w:szCs w:val="16"/>
                <w:lang w:val="es-ES_tradnl" w:eastAsia="es-ES"/>
              </w:rPr>
              <w:t>Subdirector de Gestión Contractual</w:t>
            </w:r>
            <w:r w:rsidR="003D369D" w:rsidRPr="00AF70C7">
              <w:rPr>
                <w:rFonts w:ascii="Arial" w:hAnsi="Arial" w:cs="Arial"/>
                <w:color w:val="000000" w:themeColor="text1"/>
                <w:sz w:val="16"/>
                <w:szCs w:val="16"/>
                <w:lang w:val="es-ES_tradnl" w:eastAsia="es-ES"/>
              </w:rPr>
              <w:t xml:space="preserve"> </w:t>
            </w:r>
            <w:proofErr w:type="spellStart"/>
            <w:r w:rsidR="003D369D" w:rsidRPr="00AF70C7">
              <w:rPr>
                <w:rFonts w:ascii="Arial" w:hAnsi="Arial" w:cs="Arial"/>
                <w:color w:val="000000" w:themeColor="text1"/>
                <w:sz w:val="16"/>
                <w:szCs w:val="16"/>
                <w:lang w:val="es-ES_tradnl" w:eastAsia="es-ES"/>
              </w:rPr>
              <w:t>ANCP</w:t>
            </w:r>
            <w:proofErr w:type="spellEnd"/>
            <w:r w:rsidR="003D369D" w:rsidRPr="00AF70C7">
              <w:rPr>
                <w:rFonts w:ascii="Arial" w:hAnsi="Arial" w:cs="Arial"/>
                <w:color w:val="000000" w:themeColor="text1"/>
                <w:sz w:val="16"/>
                <w:szCs w:val="16"/>
                <w:lang w:val="es-ES_tradnl" w:eastAsia="es-ES"/>
              </w:rPr>
              <w:t xml:space="preserve"> – </w:t>
            </w:r>
            <w:proofErr w:type="spellStart"/>
            <w:r w:rsidR="003D369D" w:rsidRPr="00AF70C7">
              <w:rPr>
                <w:rFonts w:ascii="Arial" w:hAnsi="Arial" w:cs="Arial"/>
                <w:color w:val="000000" w:themeColor="text1"/>
                <w:sz w:val="16"/>
                <w:szCs w:val="16"/>
                <w:lang w:val="es-ES_tradnl" w:eastAsia="es-ES"/>
              </w:rPr>
              <w:t>CCE</w:t>
            </w:r>
            <w:proofErr w:type="spellEnd"/>
          </w:p>
        </w:tc>
      </w:tr>
      <w:bookmarkEnd w:id="5"/>
    </w:tbl>
    <w:p w14:paraId="75F18CB2" w14:textId="2AF73C9D" w:rsidR="00630845" w:rsidRPr="006A6B87" w:rsidRDefault="00630845" w:rsidP="00630845">
      <w:pPr>
        <w:rPr>
          <w:rFonts w:ascii="Arial" w:hAnsi="Arial" w:cs="Arial"/>
          <w:color w:val="000000" w:themeColor="text1"/>
          <w:lang w:val="es-ES_tradnl"/>
        </w:rPr>
      </w:pPr>
    </w:p>
    <w:p w14:paraId="5E9C37DB" w14:textId="5057876E" w:rsidR="00746E08" w:rsidRPr="006A6B87" w:rsidRDefault="00630845" w:rsidP="00322342">
      <w:pPr>
        <w:tabs>
          <w:tab w:val="left" w:pos="3795"/>
        </w:tabs>
        <w:rPr>
          <w:rFonts w:ascii="Arial" w:hAnsi="Arial" w:cs="Arial"/>
          <w:color w:val="000000" w:themeColor="text1"/>
          <w:lang w:val="es-ES_tradnl"/>
        </w:rPr>
      </w:pPr>
      <w:r w:rsidRPr="006A6B87">
        <w:rPr>
          <w:rFonts w:ascii="Arial" w:hAnsi="Arial" w:cs="Arial"/>
          <w:color w:val="000000" w:themeColor="text1"/>
          <w:lang w:val="es-ES_tradnl"/>
        </w:rPr>
        <w:tab/>
      </w:r>
    </w:p>
    <w:sectPr w:rsidR="00746E08" w:rsidRPr="006A6B8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338B4" w14:textId="77777777" w:rsidR="00CC3EAE" w:rsidRDefault="00CC3EAE">
      <w:r>
        <w:separator/>
      </w:r>
    </w:p>
  </w:endnote>
  <w:endnote w:type="continuationSeparator" w:id="0">
    <w:p w14:paraId="29DF5792" w14:textId="77777777" w:rsidR="00CC3EAE" w:rsidRDefault="00CC3EAE">
      <w:r>
        <w:continuationSeparator/>
      </w:r>
    </w:p>
  </w:endnote>
  <w:endnote w:type="continuationNotice" w:id="1">
    <w:p w14:paraId="479D3156" w14:textId="77777777" w:rsidR="00CC3EAE" w:rsidRDefault="00CC3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Calisto MT"/>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A6380" w:rsidRDefault="000A6380" w:rsidP="00322937">
    <w:pPr>
      <w:pStyle w:val="Sinespaciado"/>
      <w:jc w:val="right"/>
      <w:rPr>
        <w:rFonts w:ascii="Arial" w:hAnsi="Arial" w:cs="Arial"/>
        <w:sz w:val="18"/>
        <w:szCs w:val="18"/>
      </w:rPr>
    </w:pPr>
  </w:p>
  <w:p w14:paraId="7A3785F3" w14:textId="2367AA39" w:rsidR="000A6380" w:rsidRPr="008217B7" w:rsidRDefault="000A6380"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E05D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E05D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8FC6A04" w14:textId="5FD1A7C9" w:rsidR="000A6380" w:rsidRDefault="000A6380"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A6380" w:rsidRDefault="000A6380" w:rsidP="007B0854">
    <w:pPr>
      <w:pStyle w:val="Piedepgina"/>
      <w:jc w:val="center"/>
      <w:rPr>
        <w:lang w:val="es-ES"/>
      </w:rPr>
    </w:pPr>
  </w:p>
  <w:p w14:paraId="6C0EFC49" w14:textId="77777777" w:rsidR="000A6380" w:rsidRPr="007B0854" w:rsidRDefault="000A638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77CD3" w14:textId="77777777" w:rsidR="00CC3EAE" w:rsidRDefault="00CC3EAE">
      <w:r>
        <w:separator/>
      </w:r>
    </w:p>
  </w:footnote>
  <w:footnote w:type="continuationSeparator" w:id="0">
    <w:p w14:paraId="7441FC65" w14:textId="77777777" w:rsidR="00CC3EAE" w:rsidRDefault="00CC3EAE">
      <w:r>
        <w:continuationSeparator/>
      </w:r>
    </w:p>
  </w:footnote>
  <w:footnote w:type="continuationNotice" w:id="1">
    <w:p w14:paraId="20CD814A" w14:textId="77777777" w:rsidR="00CC3EAE" w:rsidRDefault="00CC3EAE"/>
  </w:footnote>
  <w:footnote w:id="2">
    <w:p w14:paraId="4F3142D7" w14:textId="77777777" w:rsidR="007233F6" w:rsidRPr="009026AC" w:rsidRDefault="007233F6" w:rsidP="00FE5EF7">
      <w:pPr>
        <w:pStyle w:val="Textonotapie"/>
        <w:ind w:firstLine="709"/>
        <w:jc w:val="both"/>
        <w:rPr>
          <w:rFonts w:ascii="Arial" w:hAnsi="Arial" w:cs="Arial"/>
          <w:color w:val="000000" w:themeColor="text1"/>
          <w:sz w:val="19"/>
          <w:szCs w:val="19"/>
          <w:lang w:val="es-ES"/>
        </w:rPr>
      </w:pPr>
      <w:r w:rsidRPr="009026AC">
        <w:rPr>
          <w:rStyle w:val="Refdenotaalpie"/>
          <w:rFonts w:ascii="Arial" w:hAnsi="Arial" w:cs="Arial"/>
          <w:color w:val="000000" w:themeColor="text1"/>
          <w:sz w:val="19"/>
          <w:szCs w:val="19"/>
        </w:rPr>
        <w:footnoteRef/>
      </w:r>
      <w:r w:rsidRPr="009026AC">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9026AC">
        <w:rPr>
          <w:rFonts w:ascii="Arial" w:hAnsi="Arial" w:cs="Arial"/>
          <w:i/>
          <w:iCs/>
          <w:color w:val="000000" w:themeColor="text1"/>
          <w:sz w:val="19"/>
          <w:szCs w:val="19"/>
        </w:rPr>
        <w:t xml:space="preserve">ibidem </w:t>
      </w:r>
      <w:r w:rsidRPr="009026AC">
        <w:rPr>
          <w:rFonts w:ascii="Arial" w:hAnsi="Arial" w:cs="Arial"/>
          <w:color w:val="000000" w:themeColor="text1"/>
          <w:sz w:val="19"/>
          <w:szCs w:val="19"/>
        </w:rPr>
        <w:t>señala, de manera precisa, las funciones de Colombia Compra Eficiente. Concretamente, el numeral 5º de este artículo establece que le corresponde a esta entidad: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9026AC">
        <w:rPr>
          <w:rFonts w:ascii="Arial" w:hAnsi="Arial" w:cs="Arial"/>
          <w:color w:val="000000" w:themeColor="text1"/>
          <w:sz w:val="19"/>
          <w:szCs w:val="19"/>
        </w:rPr>
        <w:t>bsolver</w:t>
      </w:r>
      <w:proofErr w:type="spellEnd"/>
      <w:r w:rsidRPr="009026AC">
        <w:rPr>
          <w:rFonts w:ascii="Arial" w:hAnsi="Arial" w:cs="Arial"/>
          <w:color w:val="000000" w:themeColor="text1"/>
          <w:sz w:val="19"/>
          <w:szCs w:val="19"/>
        </w:rPr>
        <w:t xml:space="preserve"> consultas sobre la aplicación de normas de carácter general».</w:t>
      </w:r>
    </w:p>
  </w:footnote>
  <w:footnote w:id="3">
    <w:p w14:paraId="5317AEC4"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E986779"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roofErr w:type="gramStart"/>
      <w:r>
        <w:rPr>
          <w:rFonts w:ascii="Arial" w:eastAsia="Arial" w:hAnsi="Arial" w:cs="Arial"/>
          <w:color w:val="000000"/>
          <w:sz w:val="18"/>
          <w:szCs w:val="18"/>
        </w:rPr>
        <w:t>»A</w:t>
      </w:r>
      <w:proofErr w:type="gramEnd"/>
      <w:r>
        <w:rPr>
          <w:rFonts w:ascii="Arial" w:eastAsia="Arial" w:hAnsi="Arial" w:cs="Arial"/>
          <w:color w:val="000000"/>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7C677BB"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4">
    <w:p w14:paraId="23EC148E"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Gaceta del Congreso de la República No. 71 del 2005.</w:t>
      </w:r>
    </w:p>
    <w:p w14:paraId="32DD5A56"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5">
    <w:p w14:paraId="70DF6B68"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Corte Constitucional, Sentencia C- 1153 de 2005, </w:t>
      </w:r>
      <w:proofErr w:type="spellStart"/>
      <w:r>
        <w:rPr>
          <w:rFonts w:ascii="Arial" w:eastAsia="Arial" w:hAnsi="Arial" w:cs="Arial"/>
          <w:color w:val="000000"/>
          <w:sz w:val="18"/>
          <w:szCs w:val="18"/>
        </w:rPr>
        <w:t>M.P</w:t>
      </w:r>
      <w:proofErr w:type="spellEnd"/>
      <w:r>
        <w:rPr>
          <w:rFonts w:ascii="Arial" w:eastAsia="Arial" w:hAnsi="Arial" w:cs="Arial"/>
          <w:color w:val="000000"/>
          <w:sz w:val="18"/>
          <w:szCs w:val="18"/>
        </w:rPr>
        <w:t>. Marco Gerardo Monroy Cabra.</w:t>
      </w:r>
    </w:p>
  </w:footnote>
  <w:footnote w:id="6">
    <w:p w14:paraId="462870A3"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87600CC"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7">
    <w:p w14:paraId="020954F3"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B0CA2A7"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8">
    <w:p w14:paraId="6EC8B93C"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de fecha 24 de julio de 2013, radicado 2166, Consejero Ponente: Álvaro </w:t>
      </w:r>
      <w:proofErr w:type="spellStart"/>
      <w:r>
        <w:rPr>
          <w:rFonts w:ascii="Arial" w:eastAsia="Arial" w:hAnsi="Arial" w:cs="Arial"/>
          <w:color w:val="000000"/>
          <w:sz w:val="18"/>
          <w:szCs w:val="18"/>
        </w:rPr>
        <w:t>Namén</w:t>
      </w:r>
      <w:proofErr w:type="spellEnd"/>
      <w:r>
        <w:rPr>
          <w:rFonts w:ascii="Arial" w:eastAsia="Arial" w:hAnsi="Arial" w:cs="Arial"/>
          <w:color w:val="000000"/>
          <w:sz w:val="18"/>
          <w:szCs w:val="18"/>
        </w:rPr>
        <w:t xml:space="preserve"> Vargas.  </w:t>
      </w:r>
    </w:p>
  </w:footnote>
  <w:footnote w:id="9">
    <w:p w14:paraId="2577181A" w14:textId="77777777" w:rsidR="00D16F3C" w:rsidRDefault="00D16F3C" w:rsidP="002E5E73">
      <w:pPr>
        <w:ind w:firstLine="709"/>
        <w:jc w:val="both"/>
        <w:rPr>
          <w:rFonts w:ascii="Arial" w:eastAsia="Arial" w:hAnsi="Arial" w:cs="Arial"/>
          <w:sz w:val="18"/>
          <w:szCs w:val="18"/>
        </w:rPr>
      </w:pPr>
      <w:r>
        <w:rPr>
          <w:vertAlign w:val="superscript"/>
        </w:rPr>
        <w:footnoteRef/>
      </w:r>
      <w:r>
        <w:rPr>
          <w:rFonts w:ascii="Arial" w:eastAsia="Arial" w:hAnsi="Arial" w:cs="Arial"/>
          <w:sz w:val="18"/>
          <w:szCs w:val="18"/>
        </w:rPr>
        <w:t xml:space="preserve"> </w:t>
      </w:r>
      <w:bookmarkStart w:id="11" w:name="4f1mdlm" w:colFirst="0" w:colLast="0"/>
      <w:bookmarkEnd w:id="11"/>
      <w:r>
        <w:rPr>
          <w:rFonts w:ascii="Arial" w:eastAsia="Arial" w:hAnsi="Arial" w:cs="Arial"/>
          <w:color w:val="000000"/>
          <w:sz w:val="18"/>
          <w:szCs w:val="18"/>
        </w:rPr>
        <w:t>«</w:t>
      </w:r>
      <w:r>
        <w:rPr>
          <w:rFonts w:ascii="Arial" w:eastAsia="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4E46719" w14:textId="77777777" w:rsidR="00D16F3C" w:rsidRDefault="00D16F3C" w:rsidP="002E5E73">
      <w:pPr>
        <w:ind w:firstLine="709"/>
        <w:jc w:val="both"/>
        <w:rPr>
          <w:rFonts w:ascii="Arial" w:eastAsia="Arial" w:hAnsi="Arial" w:cs="Arial"/>
          <w:sz w:val="18"/>
          <w:szCs w:val="18"/>
        </w:rPr>
      </w:pPr>
      <w:r>
        <w:rPr>
          <w:rFonts w:ascii="Arial" w:eastAsia="Arial" w:hAnsi="Arial" w:cs="Arial"/>
          <w:color w:val="000000"/>
          <w:sz w:val="18"/>
          <w:szCs w:val="18"/>
        </w:rPr>
        <w:t>»</w:t>
      </w:r>
      <w:r>
        <w:rPr>
          <w:rFonts w:ascii="Arial" w:eastAsia="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Arial" w:eastAsia="Arial" w:hAnsi="Arial" w:cs="Arial"/>
          <w:color w:val="000000"/>
          <w:sz w:val="18"/>
          <w:szCs w:val="18"/>
        </w:rPr>
        <w:t>»</w:t>
      </w:r>
      <w:r>
        <w:rPr>
          <w:rFonts w:ascii="Arial" w:eastAsia="Arial" w:hAnsi="Arial" w:cs="Arial"/>
          <w:sz w:val="18"/>
          <w:szCs w:val="18"/>
        </w:rPr>
        <w:t>.</w:t>
      </w:r>
    </w:p>
  </w:footnote>
  <w:footnote w:id="10">
    <w:p w14:paraId="29541921"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bookmarkStart w:id="12" w:name="2u6wntf" w:colFirst="0" w:colLast="0"/>
      <w:bookmarkEnd w:id="12"/>
      <w:r>
        <w:rPr>
          <w:rFonts w:ascii="Arial" w:eastAsia="Arial" w:hAnsi="Arial" w:cs="Arial"/>
          <w:color w:val="000000"/>
          <w:sz w:val="18"/>
          <w:szCs w:val="18"/>
        </w:rPr>
        <w:t>«Artículo 38. Prohibiciones para los servidores públicos. A los empleados del Estado les está prohibido:</w:t>
      </w:r>
    </w:p>
    <w:p w14:paraId="1A54C1CF"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rFonts w:ascii="Arial" w:eastAsia="Arial" w:hAnsi="Arial" w:cs="Arial"/>
          <w:color w:val="000000"/>
          <w:sz w:val="18"/>
          <w:szCs w:val="18"/>
        </w:rPr>
        <w:t>» […]</w:t>
      </w:r>
    </w:p>
    <w:p w14:paraId="409BEC3B"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rFonts w:ascii="Arial" w:eastAsia="Arial" w:hAnsi="Arial" w:cs="Arial"/>
          <w:color w:val="000000"/>
          <w:sz w:val="18"/>
          <w:szCs w:val="18"/>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38C25898"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11">
    <w:p w14:paraId="12CD8BCC" w14:textId="77777777" w:rsidR="00D16F3C" w:rsidRDefault="00D16F3C" w:rsidP="002E5E73">
      <w:pPr>
        <w:ind w:left="100" w:right="244" w:firstLine="709"/>
        <w:jc w:val="both"/>
        <w:rPr>
          <w:rFonts w:ascii="Arial" w:eastAsia="Arial" w:hAnsi="Arial" w:cs="Arial"/>
          <w:sz w:val="18"/>
          <w:szCs w:val="18"/>
        </w:rPr>
      </w:pPr>
      <w:r>
        <w:rPr>
          <w:vertAlign w:val="superscript"/>
        </w:rPr>
        <w:footnoteRef/>
      </w:r>
      <w:r>
        <w:rPr>
          <w:rFonts w:ascii="Arial" w:eastAsia="Arial" w:hAnsi="Arial" w:cs="Arial"/>
          <w:sz w:val="18"/>
          <w:szCs w:val="18"/>
        </w:rPr>
        <w:t xml:space="preserve"> Consejo de Estado. Sala de Consulta y Servicio Civil. Concepto del 17 de febrero de 2015. C.P. William Zambrano Cetina. Radicación No. 11001-03-06-000-2015-00164-00(2269).</w:t>
      </w:r>
    </w:p>
    <w:p w14:paraId="7278DD02"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12">
    <w:p w14:paraId="21C39602" w14:textId="77777777" w:rsidR="00D16F3C" w:rsidRDefault="00D16F3C" w:rsidP="002E5E73">
      <w:pPr>
        <w:pBdr>
          <w:top w:val="nil"/>
          <w:left w:val="nil"/>
          <w:bottom w:val="nil"/>
          <w:right w:val="nil"/>
          <w:between w:val="nil"/>
        </w:pBdr>
        <w:ind w:right="51"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«[25] Cfr. Consejo de Estado. Sección Tercera. Sentencia de 3 de diciembre de 2007. Radicados: 24.715, 25.206, 25.409, 24.524, 27.834, 25.410, 26.105, 28.244, 31.447 -acumulados-».</w:t>
      </w:r>
    </w:p>
    <w:p w14:paraId="675E7D00" w14:textId="77777777" w:rsidR="00D16F3C" w:rsidRDefault="00D16F3C" w:rsidP="002E5E73">
      <w:pPr>
        <w:pBdr>
          <w:top w:val="nil"/>
          <w:left w:val="nil"/>
          <w:bottom w:val="nil"/>
          <w:right w:val="nil"/>
          <w:between w:val="nil"/>
        </w:pBdr>
        <w:ind w:right="51" w:firstLine="709"/>
        <w:jc w:val="both"/>
        <w:rPr>
          <w:rFonts w:ascii="Arial" w:eastAsia="Arial" w:hAnsi="Arial" w:cs="Arial"/>
          <w:color w:val="000000"/>
          <w:sz w:val="18"/>
          <w:szCs w:val="18"/>
        </w:rPr>
      </w:pPr>
    </w:p>
  </w:footnote>
  <w:footnote w:id="13">
    <w:p w14:paraId="2EEE64A2" w14:textId="77777777" w:rsidR="00D16F3C" w:rsidRDefault="00D16F3C" w:rsidP="002E5E73">
      <w:pPr>
        <w:pBdr>
          <w:top w:val="nil"/>
          <w:left w:val="nil"/>
          <w:bottom w:val="nil"/>
          <w:right w:val="nil"/>
          <w:between w:val="nil"/>
        </w:pBdr>
        <w:ind w:right="51"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«[26] Al respecto ver el concepto 1712 de 2 de febrero de 2006. Consejo de Estado Sala de Consulta y Servicio Civil».</w:t>
      </w:r>
    </w:p>
    <w:p w14:paraId="0A976974" w14:textId="77777777" w:rsidR="00D16F3C" w:rsidRDefault="00D16F3C" w:rsidP="002E5E73">
      <w:pPr>
        <w:pBdr>
          <w:top w:val="nil"/>
          <w:left w:val="nil"/>
          <w:bottom w:val="nil"/>
          <w:right w:val="nil"/>
          <w:between w:val="nil"/>
        </w:pBdr>
        <w:ind w:right="51" w:firstLine="709"/>
        <w:jc w:val="both"/>
        <w:rPr>
          <w:rFonts w:ascii="Arial" w:eastAsia="Arial" w:hAnsi="Arial" w:cs="Arial"/>
          <w:color w:val="000000"/>
          <w:sz w:val="18"/>
          <w:szCs w:val="18"/>
        </w:rPr>
      </w:pPr>
    </w:p>
  </w:footnote>
  <w:footnote w:id="14">
    <w:p w14:paraId="6DB54F5E"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Concepto del 2 de septiembre de 2013. Radicación número: 11001-03-06-000-2013-00412-00 (2168). Consejero Ponente: Álvaro </w:t>
      </w:r>
      <w:proofErr w:type="spellStart"/>
      <w:r>
        <w:rPr>
          <w:rFonts w:ascii="Arial" w:eastAsia="Arial" w:hAnsi="Arial" w:cs="Arial"/>
          <w:color w:val="000000"/>
          <w:sz w:val="18"/>
          <w:szCs w:val="18"/>
        </w:rPr>
        <w:t>Namén</w:t>
      </w:r>
      <w:proofErr w:type="spellEnd"/>
      <w:r>
        <w:rPr>
          <w:rFonts w:ascii="Arial" w:eastAsia="Arial" w:hAnsi="Arial" w:cs="Arial"/>
          <w:color w:val="000000"/>
          <w:sz w:val="18"/>
          <w:szCs w:val="18"/>
        </w:rPr>
        <w:t xml:space="preserve"> Vargas.</w:t>
      </w:r>
    </w:p>
  </w:footnote>
  <w:footnote w:id="15">
    <w:p w14:paraId="5FB2CD3F"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Artículo 2. </w:t>
      </w:r>
    </w:p>
    <w:p w14:paraId="6978CCB7"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16">
    <w:p w14:paraId="5A5278B9"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w:t>
      </w:r>
      <w:r>
        <w:rPr>
          <w:rFonts w:ascii="Arial" w:eastAsia="Arial" w:hAnsi="Arial" w:cs="Arial"/>
          <w:i/>
          <w:color w:val="000000"/>
          <w:sz w:val="18"/>
          <w:szCs w:val="18"/>
        </w:rPr>
        <w:t>Ídem</w:t>
      </w:r>
      <w:r>
        <w:rPr>
          <w:rFonts w:ascii="Arial" w:eastAsia="Arial" w:hAnsi="Arial" w:cs="Arial"/>
          <w:color w:val="000000"/>
          <w:sz w:val="18"/>
          <w:szCs w:val="18"/>
        </w:rPr>
        <w:t>.</w:t>
      </w:r>
    </w:p>
    <w:p w14:paraId="28EE2ECB"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bookmarkStart w:id="13" w:name="_28h4qwu" w:colFirst="0" w:colLast="0"/>
    <w:bookmarkEnd w:id="13"/>
  </w:footnote>
  <w:footnote w:id="17">
    <w:p w14:paraId="5485F690"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bookmarkStart w:id="14" w:name="_28h4qwu" w:colFirst="0" w:colLast="0"/>
      <w:bookmarkEnd w:id="14"/>
      <w:r>
        <w:rPr>
          <w:vertAlign w:val="superscript"/>
        </w:rPr>
        <w:footnoteRef/>
      </w:r>
      <w:r>
        <w:rPr>
          <w:rFonts w:ascii="Arial" w:eastAsia="Arial" w:hAnsi="Arial" w:cs="Arial"/>
          <w:color w:val="000000"/>
          <w:sz w:val="18"/>
          <w:szCs w:val="18"/>
          <w:vertAlign w:val="superscript"/>
        </w:rPr>
        <w:t xml:space="preserve"> </w:t>
      </w:r>
      <w:r>
        <w:rPr>
          <w:rFonts w:ascii="Arial" w:eastAsia="Arial" w:hAnsi="Arial" w:cs="Arial"/>
          <w:color w:val="000000"/>
          <w:sz w:val="18"/>
          <w:szCs w:val="18"/>
        </w:rPr>
        <w:t xml:space="preserve">«[…] A este respecto, cabe recordar que el artículo 860 del Código de Comercio regula la licitación en el derecho privado». </w:t>
      </w:r>
    </w:p>
    <w:p w14:paraId="3250E3D4"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p>
  </w:footnote>
  <w:footnote w:id="18">
    <w:p w14:paraId="64411CF9" w14:textId="77777777" w:rsidR="00D16F3C" w:rsidRDefault="00D16F3C" w:rsidP="002E5E73">
      <w:pPr>
        <w:shd w:val="clear" w:color="auto" w:fill="FFFFFF"/>
        <w:ind w:firstLine="709"/>
        <w:jc w:val="both"/>
        <w:rPr>
          <w:rFonts w:ascii="Arial" w:eastAsia="Arial" w:hAnsi="Arial" w:cs="Arial"/>
          <w:sz w:val="18"/>
          <w:szCs w:val="18"/>
        </w:rPr>
      </w:pPr>
      <w:r>
        <w:rPr>
          <w:vertAlign w:val="superscript"/>
        </w:rPr>
        <w:footnoteRef/>
      </w:r>
      <w:r>
        <w:rPr>
          <w:rFonts w:ascii="Arial" w:eastAsia="Arial" w:hAnsi="Arial" w:cs="Arial"/>
          <w:sz w:val="18"/>
          <w:szCs w:val="18"/>
          <w:vertAlign w:val="superscript"/>
        </w:rPr>
        <w:t xml:space="preserve"> </w:t>
      </w:r>
      <w:r>
        <w:rPr>
          <w:rFonts w:ascii="Arial" w:eastAsia="Arial" w:hAnsi="Arial" w:cs="Arial"/>
          <w:sz w:val="18"/>
          <w:szCs w:val="18"/>
        </w:rPr>
        <w:t xml:space="preserve">Consejo de Estado. Sala de Consulta y Servicio Civil, Concepto de 8 de mayo de 2018. Radicación Número: 11001-03-06-000-2018-00095-00(2382). Consejero Ponente: Álvaro </w:t>
      </w:r>
      <w:proofErr w:type="spellStart"/>
      <w:r>
        <w:rPr>
          <w:rFonts w:ascii="Arial" w:eastAsia="Arial" w:hAnsi="Arial" w:cs="Arial"/>
          <w:sz w:val="18"/>
          <w:szCs w:val="18"/>
        </w:rPr>
        <w:t>Namén</w:t>
      </w:r>
      <w:proofErr w:type="spellEnd"/>
      <w:r>
        <w:rPr>
          <w:rFonts w:ascii="Arial" w:eastAsia="Arial" w:hAnsi="Arial" w:cs="Arial"/>
          <w:sz w:val="18"/>
          <w:szCs w:val="18"/>
        </w:rPr>
        <w:t xml:space="preserve"> Vargas.</w:t>
      </w:r>
    </w:p>
    <w:p w14:paraId="310157F2" w14:textId="77777777" w:rsidR="00D16F3C" w:rsidRDefault="00D16F3C" w:rsidP="002E5E73">
      <w:pPr>
        <w:shd w:val="clear" w:color="auto" w:fill="FFFFFF"/>
        <w:ind w:firstLine="709"/>
        <w:jc w:val="both"/>
        <w:rPr>
          <w:rFonts w:ascii="Arial" w:eastAsia="Arial" w:hAnsi="Arial" w:cs="Arial"/>
          <w:sz w:val="18"/>
          <w:szCs w:val="18"/>
        </w:rPr>
      </w:pPr>
    </w:p>
  </w:footnote>
  <w:footnote w:id="19">
    <w:p w14:paraId="1B97B070" w14:textId="77777777" w:rsidR="00D16F3C" w:rsidRDefault="00D16F3C" w:rsidP="002E5E73">
      <w:pPr>
        <w:pBdr>
          <w:top w:val="nil"/>
          <w:left w:val="nil"/>
          <w:bottom w:val="nil"/>
          <w:right w:val="nil"/>
          <w:between w:val="nil"/>
        </w:pBdr>
        <w:ind w:firstLine="709"/>
        <w:jc w:val="both"/>
        <w:rPr>
          <w:rFonts w:ascii="Arial" w:eastAsia="Arial" w:hAnsi="Arial" w:cs="Arial"/>
          <w:color w:val="000000"/>
          <w:sz w:val="18"/>
          <w:szCs w:val="18"/>
        </w:rPr>
      </w:pPr>
      <w:r>
        <w:rPr>
          <w:vertAlign w:val="superscript"/>
        </w:rPr>
        <w:footnoteRef/>
      </w:r>
      <w:r>
        <w:rPr>
          <w:rFonts w:ascii="Arial" w:eastAsia="Arial" w:hAnsi="Arial" w:cs="Arial"/>
          <w:color w:val="000000"/>
          <w:sz w:val="18"/>
          <w:szCs w:val="18"/>
        </w:rPr>
        <w:t xml:space="preserve"> Consejo de Estado. Sala de Consulta y Servicio Civil. Concepto del 08 de mayo de 2018. </w:t>
      </w:r>
      <w:proofErr w:type="spellStart"/>
      <w:r>
        <w:rPr>
          <w:rFonts w:ascii="Arial" w:eastAsia="Arial" w:hAnsi="Arial" w:cs="Arial"/>
          <w:color w:val="000000"/>
          <w:sz w:val="18"/>
          <w:szCs w:val="18"/>
        </w:rPr>
        <w:t>Exp</w:t>
      </w:r>
      <w:proofErr w:type="spellEnd"/>
      <w:r>
        <w:rPr>
          <w:rFonts w:ascii="Arial" w:eastAsia="Arial" w:hAnsi="Arial" w:cs="Arial"/>
          <w:color w:val="000000"/>
          <w:sz w:val="18"/>
          <w:szCs w:val="18"/>
        </w:rPr>
        <w:t xml:space="preserve">. 2.382. C.P. Álvaro </w:t>
      </w:r>
      <w:proofErr w:type="spellStart"/>
      <w:r>
        <w:rPr>
          <w:rFonts w:ascii="Arial" w:eastAsia="Arial" w:hAnsi="Arial" w:cs="Arial"/>
          <w:color w:val="000000"/>
          <w:sz w:val="18"/>
          <w:szCs w:val="18"/>
        </w:rPr>
        <w:t>Namén</w:t>
      </w:r>
      <w:proofErr w:type="spellEnd"/>
      <w:r>
        <w:rPr>
          <w:rFonts w:ascii="Arial" w:eastAsia="Arial" w:hAnsi="Arial" w:cs="Arial"/>
          <w:color w:val="000000"/>
          <w:sz w:val="18"/>
          <w:szCs w:val="18"/>
        </w:rPr>
        <w:t xml:space="preserve"> Vargas.</w:t>
      </w:r>
    </w:p>
  </w:footnote>
  <w:footnote w:id="20">
    <w:p w14:paraId="4371BFC8" w14:textId="77777777" w:rsidR="009D6AD3" w:rsidRPr="006A662B" w:rsidRDefault="009D6AD3">
      <w:pPr>
        <w:pBdr>
          <w:top w:val="nil"/>
          <w:left w:val="nil"/>
          <w:bottom w:val="nil"/>
          <w:right w:val="nil"/>
          <w:between w:val="nil"/>
        </w:pBdr>
        <w:ind w:firstLine="709"/>
        <w:jc w:val="both"/>
        <w:rPr>
          <w:rFonts w:ascii="Arial" w:eastAsia="Arial" w:hAnsi="Arial" w:cs="Arial"/>
          <w:color w:val="000000"/>
          <w:sz w:val="19"/>
          <w:szCs w:val="19"/>
        </w:rPr>
      </w:pPr>
      <w:r w:rsidRPr="006A662B">
        <w:rPr>
          <w:rFonts w:ascii="Arial" w:hAnsi="Arial" w:cs="Arial"/>
          <w:sz w:val="19"/>
          <w:szCs w:val="19"/>
          <w:vertAlign w:val="superscript"/>
        </w:rPr>
        <w:footnoteRef/>
      </w:r>
      <w:r w:rsidRPr="006A662B">
        <w:rPr>
          <w:rFonts w:ascii="Arial" w:eastAsia="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6A662B">
        <w:rPr>
          <w:rFonts w:ascii="Arial" w:eastAsia="Arial" w:hAnsi="Arial" w:cs="Arial"/>
          <w:color w:val="000000"/>
          <w:sz w:val="19"/>
          <w:szCs w:val="19"/>
        </w:rPr>
        <w:t>N°</w:t>
      </w:r>
      <w:proofErr w:type="spellEnd"/>
      <w:r w:rsidRPr="006A662B">
        <w:rPr>
          <w:rFonts w:ascii="Arial" w:eastAsia="Arial" w:hAnsi="Arial" w:cs="Arial"/>
          <w:color w:val="000000"/>
          <w:sz w:val="19"/>
          <w:szCs w:val="19"/>
        </w:rPr>
        <w:t xml:space="preserve"> 216/05 Senado, </w:t>
      </w:r>
      <w:proofErr w:type="spellStart"/>
      <w:r w:rsidRPr="006A662B">
        <w:rPr>
          <w:rFonts w:ascii="Arial" w:eastAsia="Arial" w:hAnsi="Arial" w:cs="Arial"/>
          <w:color w:val="000000"/>
          <w:sz w:val="19"/>
          <w:szCs w:val="19"/>
        </w:rPr>
        <w:t>N°</w:t>
      </w:r>
      <w:proofErr w:type="spellEnd"/>
      <w:r w:rsidRPr="006A662B">
        <w:rPr>
          <w:rFonts w:ascii="Arial" w:eastAsia="Arial" w:hAnsi="Arial" w:cs="Arial"/>
          <w:color w:val="000000"/>
          <w:sz w:val="19"/>
          <w:szCs w:val="19"/>
        </w:rPr>
        <w:t xml:space="preserve"> 235-Cámara que dio lugar a la Ley de Garantías Electorales.</w:t>
      </w:r>
    </w:p>
  </w:footnote>
  <w:footnote w:id="21">
    <w:p w14:paraId="7DD73E8F" w14:textId="77777777" w:rsidR="009D6AD3" w:rsidRPr="006A662B" w:rsidRDefault="009D6AD3">
      <w:pPr>
        <w:ind w:firstLine="709"/>
        <w:jc w:val="both"/>
        <w:rPr>
          <w:rFonts w:ascii="Arial" w:eastAsia="Arial" w:hAnsi="Arial" w:cs="Arial"/>
          <w:sz w:val="19"/>
          <w:szCs w:val="19"/>
        </w:rPr>
      </w:pPr>
      <w:r w:rsidRPr="006A662B">
        <w:rPr>
          <w:rFonts w:ascii="Arial" w:hAnsi="Arial" w:cs="Arial"/>
          <w:sz w:val="19"/>
          <w:szCs w:val="19"/>
          <w:vertAlign w:val="superscript"/>
        </w:rPr>
        <w:footnoteRef/>
      </w:r>
      <w:r w:rsidRPr="006A662B">
        <w:rPr>
          <w:rFonts w:ascii="Arial" w:eastAsia="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587EB29" w14:textId="77777777" w:rsidR="009D6AD3" w:rsidRPr="006A662B" w:rsidRDefault="009D6AD3">
      <w:pPr>
        <w:ind w:firstLine="709"/>
        <w:jc w:val="both"/>
        <w:rPr>
          <w:rFonts w:ascii="Arial" w:eastAsia="Arial" w:hAnsi="Arial" w:cs="Arial"/>
          <w:sz w:val="19"/>
          <w:szCs w:val="19"/>
        </w:rPr>
      </w:pPr>
    </w:p>
  </w:footnote>
  <w:footnote w:id="22">
    <w:p w14:paraId="17FD7502" w14:textId="77777777" w:rsidR="00994835" w:rsidRPr="006A662B" w:rsidRDefault="00994835">
      <w:pPr>
        <w:pStyle w:val="Textonotapie"/>
        <w:ind w:firstLine="708"/>
        <w:jc w:val="both"/>
        <w:rPr>
          <w:rFonts w:ascii="Arial" w:hAnsi="Arial" w:cs="Arial"/>
          <w:sz w:val="19"/>
          <w:szCs w:val="19"/>
        </w:rPr>
      </w:pPr>
      <w:r w:rsidRPr="006A662B">
        <w:rPr>
          <w:rStyle w:val="Refdenotaalpie"/>
          <w:rFonts w:ascii="Arial" w:hAnsi="Arial" w:cs="Arial"/>
          <w:sz w:val="19"/>
          <w:szCs w:val="19"/>
        </w:rPr>
        <w:footnoteRef/>
      </w:r>
      <w:r w:rsidRPr="006A662B">
        <w:rPr>
          <w:rFonts w:ascii="Arial" w:hAnsi="Arial" w:cs="Arial"/>
          <w:sz w:val="19"/>
          <w:szCs w:val="19"/>
        </w:rPr>
        <w:t xml:space="preserve"> Consejo de Estado. Sala de Consulta y Servicio Civil. Concepto del 18 de febrero 2010. Rad. 11001-03-06-000-2010-00006-00 (1985). C.P. Enrique José Arboleda Perdomo.</w:t>
      </w:r>
    </w:p>
    <w:p w14:paraId="717E7C2E" w14:textId="77777777" w:rsidR="00994835" w:rsidRPr="006A662B" w:rsidRDefault="00994835">
      <w:pPr>
        <w:pStyle w:val="Textonotapie"/>
        <w:ind w:firstLine="708"/>
        <w:jc w:val="both"/>
        <w:rPr>
          <w:rFonts w:ascii="Arial" w:hAnsi="Arial" w:cs="Arial"/>
          <w:sz w:val="19"/>
          <w:szCs w:val="19"/>
        </w:rPr>
      </w:pPr>
    </w:p>
  </w:footnote>
  <w:footnote w:id="23">
    <w:p w14:paraId="1C6EE23B" w14:textId="4DA91528" w:rsidR="00994835" w:rsidRDefault="00994835" w:rsidP="00FE5EF7">
      <w:pPr>
        <w:pStyle w:val="Textonotapie"/>
        <w:ind w:firstLine="708"/>
        <w:jc w:val="both"/>
        <w:rPr>
          <w:rFonts w:ascii="Arial" w:hAnsi="Arial" w:cs="Arial"/>
          <w:sz w:val="19"/>
          <w:szCs w:val="19"/>
        </w:rPr>
      </w:pPr>
      <w:r w:rsidRPr="006A662B">
        <w:rPr>
          <w:rStyle w:val="Refdenotaalpie"/>
          <w:rFonts w:ascii="Arial" w:hAnsi="Arial" w:cs="Arial"/>
          <w:sz w:val="19"/>
          <w:szCs w:val="19"/>
        </w:rPr>
        <w:footnoteRef/>
      </w:r>
      <w:r w:rsidRPr="006A662B">
        <w:rPr>
          <w:rFonts w:ascii="Arial" w:hAnsi="Arial" w:cs="Arial"/>
          <w:sz w:val="19"/>
          <w:szCs w:val="19"/>
        </w:rPr>
        <w:t xml:space="preserve"> Corte Constitucional. Sentencia C-1153 de 2005 </w:t>
      </w:r>
      <w:proofErr w:type="spellStart"/>
      <w:r w:rsidRPr="006A662B">
        <w:rPr>
          <w:rFonts w:ascii="Arial" w:hAnsi="Arial" w:cs="Arial"/>
          <w:sz w:val="19"/>
          <w:szCs w:val="19"/>
        </w:rPr>
        <w:t>M.P</w:t>
      </w:r>
      <w:proofErr w:type="spellEnd"/>
      <w:r w:rsidRPr="006A662B">
        <w:rPr>
          <w:rFonts w:ascii="Arial" w:hAnsi="Arial" w:cs="Arial"/>
          <w:sz w:val="19"/>
          <w:szCs w:val="19"/>
        </w:rPr>
        <w:t xml:space="preserve">. Marco Gerardo Monroy Cabra. </w:t>
      </w:r>
    </w:p>
    <w:p w14:paraId="6A9D8C2D" w14:textId="77777777" w:rsidR="00E740CD" w:rsidRPr="006A662B" w:rsidRDefault="00E740CD">
      <w:pPr>
        <w:pStyle w:val="Textonotapie"/>
        <w:ind w:firstLine="708"/>
        <w:jc w:val="both"/>
        <w:rPr>
          <w:rFonts w:ascii="Arial" w:hAnsi="Arial" w:cs="Arial"/>
          <w:sz w:val="19"/>
          <w:szCs w:val="19"/>
        </w:rPr>
      </w:pPr>
    </w:p>
  </w:footnote>
  <w:footnote w:id="24">
    <w:p w14:paraId="64E9AC1A" w14:textId="77777777" w:rsidR="00994835" w:rsidRPr="006A662B" w:rsidRDefault="00994835">
      <w:pPr>
        <w:pStyle w:val="Textonotapie"/>
        <w:ind w:firstLine="708"/>
        <w:jc w:val="both"/>
        <w:rPr>
          <w:rFonts w:ascii="Arial" w:hAnsi="Arial" w:cs="Arial"/>
          <w:sz w:val="19"/>
          <w:szCs w:val="19"/>
        </w:rPr>
      </w:pPr>
      <w:r w:rsidRPr="006A662B">
        <w:rPr>
          <w:rStyle w:val="Refdenotaalpie"/>
          <w:rFonts w:ascii="Arial" w:hAnsi="Arial" w:cs="Arial"/>
          <w:sz w:val="19"/>
          <w:szCs w:val="19"/>
        </w:rPr>
        <w:footnoteRef/>
      </w:r>
      <w:r w:rsidRPr="006A662B">
        <w:rPr>
          <w:rFonts w:ascii="Arial" w:hAnsi="Arial" w:cs="Arial"/>
          <w:sz w:val="19"/>
          <w:szCs w:val="19"/>
        </w:rPr>
        <w:t xml:space="preserve"> Consejo de Estado. Sala de Consulta y Servicio Civil. Concepto del 02 de septiembre de 2013. Rad. 11001-03-06-000-2013-00412-00 (2168). C.P. Álvaro </w:t>
      </w:r>
      <w:proofErr w:type="spellStart"/>
      <w:r w:rsidRPr="006A662B">
        <w:rPr>
          <w:rFonts w:ascii="Arial" w:hAnsi="Arial" w:cs="Arial"/>
          <w:sz w:val="19"/>
          <w:szCs w:val="19"/>
        </w:rPr>
        <w:t>Namén</w:t>
      </w:r>
      <w:proofErr w:type="spellEnd"/>
      <w:r w:rsidRPr="006A662B">
        <w:rPr>
          <w:rFonts w:ascii="Arial" w:hAnsi="Arial" w:cs="Arial"/>
          <w:sz w:val="19"/>
          <w:szCs w:val="19"/>
        </w:rPr>
        <w:t xml:space="preserve"> Vargas.</w:t>
      </w:r>
    </w:p>
    <w:p w14:paraId="737C43E6" w14:textId="77777777" w:rsidR="00994835" w:rsidRPr="006A662B" w:rsidRDefault="00994835">
      <w:pPr>
        <w:pStyle w:val="Textonotapie"/>
        <w:jc w:val="both"/>
        <w:rPr>
          <w:rFonts w:ascii="Arial" w:hAnsi="Arial" w:cs="Arial"/>
          <w:sz w:val="19"/>
          <w:szCs w:val="19"/>
        </w:rPr>
      </w:pPr>
    </w:p>
  </w:footnote>
  <w:footnote w:id="25">
    <w:p w14:paraId="0145C253" w14:textId="77777777" w:rsidR="00994835" w:rsidRPr="006A662B" w:rsidRDefault="00994835">
      <w:pPr>
        <w:pStyle w:val="Textonotapie"/>
        <w:ind w:firstLine="708"/>
        <w:jc w:val="both"/>
        <w:rPr>
          <w:rFonts w:ascii="Arial" w:hAnsi="Arial" w:cs="Arial"/>
          <w:sz w:val="19"/>
          <w:szCs w:val="19"/>
          <w:lang w:val="es-ES"/>
        </w:rPr>
      </w:pPr>
      <w:r w:rsidRPr="006A662B">
        <w:rPr>
          <w:rStyle w:val="Refdenotaalpie"/>
          <w:rFonts w:ascii="Arial" w:hAnsi="Arial" w:cs="Arial"/>
          <w:sz w:val="19"/>
          <w:szCs w:val="19"/>
        </w:rPr>
        <w:footnoteRef/>
      </w:r>
      <w:r w:rsidRPr="006A662B">
        <w:rPr>
          <w:rFonts w:ascii="Arial" w:hAnsi="Arial" w:cs="Arial"/>
          <w:sz w:val="19"/>
          <w:szCs w:val="19"/>
        </w:rPr>
        <w:t xml:space="preserve"> </w:t>
      </w:r>
      <w:r w:rsidRPr="006A662B">
        <w:rPr>
          <w:rFonts w:ascii="Arial" w:hAnsi="Arial" w:cs="Arial"/>
          <w:sz w:val="19"/>
          <w:szCs w:val="19"/>
          <w:lang w:val="es-CO"/>
        </w:rPr>
        <w:t>«</w:t>
      </w:r>
      <w:r w:rsidRPr="006A662B">
        <w:rPr>
          <w:rFonts w:ascii="Arial" w:hAnsi="Arial" w:cs="Arial"/>
          <w:sz w:val="19"/>
          <w:szCs w:val="19"/>
        </w:rPr>
        <w:t>Artículo 197. Empresas sociales de salud de carácter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26">
    <w:p w14:paraId="6C3C8FB0" w14:textId="77777777" w:rsidR="00994835" w:rsidRPr="006A662B" w:rsidRDefault="00994835">
      <w:pPr>
        <w:pStyle w:val="Textonotapie"/>
        <w:ind w:firstLine="708"/>
        <w:jc w:val="both"/>
        <w:rPr>
          <w:rFonts w:ascii="Arial" w:hAnsi="Arial" w:cs="Arial"/>
          <w:sz w:val="19"/>
          <w:szCs w:val="19"/>
        </w:rPr>
      </w:pPr>
      <w:r w:rsidRPr="006A662B">
        <w:rPr>
          <w:rStyle w:val="Refdenotaalpie"/>
          <w:rFonts w:ascii="Arial" w:hAnsi="Arial" w:cs="Arial"/>
          <w:sz w:val="19"/>
          <w:szCs w:val="19"/>
        </w:rPr>
        <w:footnoteRef/>
      </w:r>
      <w:r w:rsidRPr="006A662B">
        <w:rPr>
          <w:rFonts w:ascii="Arial" w:hAnsi="Arial" w:cs="Arial"/>
          <w:sz w:val="19"/>
          <w:szCs w:val="19"/>
        </w:rPr>
        <w:t xml:space="preserve"> El artículo 2.8.8.1.4.2 del Decreto </w:t>
      </w:r>
      <w:r>
        <w:rPr>
          <w:rFonts w:ascii="Arial" w:hAnsi="Arial" w:cs="Arial"/>
          <w:sz w:val="19"/>
          <w:szCs w:val="19"/>
        </w:rPr>
        <w:t>7</w:t>
      </w:r>
      <w:r w:rsidRPr="006A662B">
        <w:rPr>
          <w:rFonts w:ascii="Arial" w:hAnsi="Arial" w:cs="Arial"/>
          <w:sz w:val="19"/>
          <w:szCs w:val="19"/>
        </w:rPr>
        <w:t>80 de 201</w:t>
      </w:r>
      <w:r>
        <w:rPr>
          <w:rFonts w:ascii="Arial" w:hAnsi="Arial" w:cs="Arial"/>
          <w:sz w:val="19"/>
          <w:szCs w:val="19"/>
        </w:rPr>
        <w:t>6</w:t>
      </w:r>
      <w:r w:rsidRPr="006A662B">
        <w:rPr>
          <w:rFonts w:ascii="Arial" w:hAnsi="Arial" w:cs="Arial"/>
          <w:sz w:val="19"/>
          <w:szCs w:val="19"/>
        </w:rPr>
        <w:t xml:space="preserve"> dispone que «Para efectos de la aplicación del presente Capítulo, entiéndase por Autoridades Sanitarias del </w:t>
      </w:r>
      <w:proofErr w:type="spellStart"/>
      <w:r w:rsidRPr="006A662B">
        <w:rPr>
          <w:rFonts w:ascii="Arial" w:hAnsi="Arial" w:cs="Arial"/>
          <w:sz w:val="19"/>
          <w:szCs w:val="19"/>
        </w:rPr>
        <w:t>Sivigila</w:t>
      </w:r>
      <w:proofErr w:type="spellEnd"/>
      <w:r w:rsidRPr="006A662B">
        <w:rPr>
          <w:rFonts w:ascii="Arial" w:hAnsi="Arial" w:cs="Arial"/>
          <w:sz w:val="19"/>
          <w:szCs w:val="19"/>
        </w:rPr>
        <w:t xml:space="preserve">, el Ministerio de Salud y Protección Social; el Instituto Nacional de Salud (INS); el Instituto Nacional de Vigilancia de Medicamentos y Alimentos (Invima), las Direcciones Territoriales de Salud, </w:t>
      </w:r>
      <w:r w:rsidRPr="006A662B">
        <w:rPr>
          <w:rFonts w:ascii="Arial" w:hAnsi="Arial" w:cs="Arial"/>
          <w:i/>
          <w:iCs/>
          <w:sz w:val="19"/>
          <w:szCs w:val="19"/>
        </w:rPr>
        <w:t>y todas aquellas entidades que de acuerdo con la ley ejerzan funciones de vigilancia y control sanitario</w:t>
      </w:r>
      <w:r w:rsidRPr="006A662B">
        <w:rPr>
          <w:rFonts w:ascii="Arial" w:hAnsi="Arial" w:cs="Arial"/>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A6380" w:rsidRDefault="000A6380">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5D35"/>
    <w:rsid w:val="00026203"/>
    <w:rsid w:val="000263F0"/>
    <w:rsid w:val="00026407"/>
    <w:rsid w:val="00026608"/>
    <w:rsid w:val="00027787"/>
    <w:rsid w:val="000278D2"/>
    <w:rsid w:val="0002797C"/>
    <w:rsid w:val="00031364"/>
    <w:rsid w:val="000315E1"/>
    <w:rsid w:val="0003236E"/>
    <w:rsid w:val="0003339A"/>
    <w:rsid w:val="00033BD8"/>
    <w:rsid w:val="000340B3"/>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67979"/>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2C6"/>
    <w:rsid w:val="000936F7"/>
    <w:rsid w:val="00093B01"/>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380"/>
    <w:rsid w:val="000A648E"/>
    <w:rsid w:val="000A73BB"/>
    <w:rsid w:val="000A73E8"/>
    <w:rsid w:val="000A771C"/>
    <w:rsid w:val="000A79C2"/>
    <w:rsid w:val="000A7C27"/>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3A"/>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D29"/>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5780"/>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317"/>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0E9B"/>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57B5C"/>
    <w:rsid w:val="00160401"/>
    <w:rsid w:val="00160D4E"/>
    <w:rsid w:val="00161DDA"/>
    <w:rsid w:val="00161E62"/>
    <w:rsid w:val="00161F1C"/>
    <w:rsid w:val="0016200B"/>
    <w:rsid w:val="0016204B"/>
    <w:rsid w:val="00162552"/>
    <w:rsid w:val="00163786"/>
    <w:rsid w:val="00163C03"/>
    <w:rsid w:val="00163D7A"/>
    <w:rsid w:val="00164281"/>
    <w:rsid w:val="00164BA2"/>
    <w:rsid w:val="00164C8E"/>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30F"/>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809"/>
    <w:rsid w:val="001B19D8"/>
    <w:rsid w:val="001B1A0D"/>
    <w:rsid w:val="001B1BF1"/>
    <w:rsid w:val="001B2456"/>
    <w:rsid w:val="001B3C85"/>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4D28"/>
    <w:rsid w:val="001D56E9"/>
    <w:rsid w:val="001D6006"/>
    <w:rsid w:val="001D646C"/>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3A1C"/>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A4F"/>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96"/>
    <w:rsid w:val="00261EC0"/>
    <w:rsid w:val="0026231B"/>
    <w:rsid w:val="00262D7C"/>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8C9"/>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02A"/>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3C4"/>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6A1"/>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5E73"/>
    <w:rsid w:val="002E635A"/>
    <w:rsid w:val="002E6D68"/>
    <w:rsid w:val="002E7847"/>
    <w:rsid w:val="002F0036"/>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534"/>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12A"/>
    <w:rsid w:val="00364E04"/>
    <w:rsid w:val="003650AA"/>
    <w:rsid w:val="00365457"/>
    <w:rsid w:val="00365D3A"/>
    <w:rsid w:val="003664FF"/>
    <w:rsid w:val="00366BD2"/>
    <w:rsid w:val="003670B8"/>
    <w:rsid w:val="00367FC6"/>
    <w:rsid w:val="003704A3"/>
    <w:rsid w:val="0037058F"/>
    <w:rsid w:val="003706F2"/>
    <w:rsid w:val="003707CB"/>
    <w:rsid w:val="0037124F"/>
    <w:rsid w:val="00373741"/>
    <w:rsid w:val="00373827"/>
    <w:rsid w:val="0037401C"/>
    <w:rsid w:val="0037507B"/>
    <w:rsid w:val="003754B0"/>
    <w:rsid w:val="00375C7C"/>
    <w:rsid w:val="00375DA0"/>
    <w:rsid w:val="00377027"/>
    <w:rsid w:val="00377135"/>
    <w:rsid w:val="00380272"/>
    <w:rsid w:val="003805DB"/>
    <w:rsid w:val="00380D09"/>
    <w:rsid w:val="0038152A"/>
    <w:rsid w:val="003827B5"/>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4BD"/>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5B87"/>
    <w:rsid w:val="003A6160"/>
    <w:rsid w:val="003A65A5"/>
    <w:rsid w:val="003A69AD"/>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1E53"/>
    <w:rsid w:val="003D21C1"/>
    <w:rsid w:val="003D281F"/>
    <w:rsid w:val="003D2D38"/>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8C"/>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B4D"/>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0F0C"/>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6F1"/>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1AA"/>
    <w:rsid w:val="0042639C"/>
    <w:rsid w:val="00426FB4"/>
    <w:rsid w:val="004273FA"/>
    <w:rsid w:val="004275A7"/>
    <w:rsid w:val="00430186"/>
    <w:rsid w:val="00430F17"/>
    <w:rsid w:val="004313B9"/>
    <w:rsid w:val="0043269A"/>
    <w:rsid w:val="004333C2"/>
    <w:rsid w:val="00433415"/>
    <w:rsid w:val="00434787"/>
    <w:rsid w:val="00434C13"/>
    <w:rsid w:val="00435128"/>
    <w:rsid w:val="0043549E"/>
    <w:rsid w:val="00435703"/>
    <w:rsid w:val="00435AA2"/>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0E8"/>
    <w:rsid w:val="004505D4"/>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28D"/>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6F11"/>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38FD"/>
    <w:rsid w:val="00484DA1"/>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039"/>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322"/>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19ED"/>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682"/>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4B8"/>
    <w:rsid w:val="005535B9"/>
    <w:rsid w:val="005546CD"/>
    <w:rsid w:val="00554D57"/>
    <w:rsid w:val="005551AA"/>
    <w:rsid w:val="0055604C"/>
    <w:rsid w:val="005564CA"/>
    <w:rsid w:val="005568EA"/>
    <w:rsid w:val="00557099"/>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BE8"/>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8D3"/>
    <w:rsid w:val="00574D81"/>
    <w:rsid w:val="005756AA"/>
    <w:rsid w:val="0057696F"/>
    <w:rsid w:val="00576DB6"/>
    <w:rsid w:val="00577379"/>
    <w:rsid w:val="005774FE"/>
    <w:rsid w:val="005776CB"/>
    <w:rsid w:val="00577D2E"/>
    <w:rsid w:val="005803E7"/>
    <w:rsid w:val="0058040C"/>
    <w:rsid w:val="00580D6D"/>
    <w:rsid w:val="00581151"/>
    <w:rsid w:val="005813DE"/>
    <w:rsid w:val="00581796"/>
    <w:rsid w:val="00581B45"/>
    <w:rsid w:val="00582480"/>
    <w:rsid w:val="00582805"/>
    <w:rsid w:val="0058290E"/>
    <w:rsid w:val="00582CAB"/>
    <w:rsid w:val="00582FA6"/>
    <w:rsid w:val="00582FBF"/>
    <w:rsid w:val="005836D5"/>
    <w:rsid w:val="0058375E"/>
    <w:rsid w:val="00584233"/>
    <w:rsid w:val="005842D0"/>
    <w:rsid w:val="005843E8"/>
    <w:rsid w:val="005845FB"/>
    <w:rsid w:val="005855AE"/>
    <w:rsid w:val="00585829"/>
    <w:rsid w:val="00585CA8"/>
    <w:rsid w:val="00586412"/>
    <w:rsid w:val="005864B9"/>
    <w:rsid w:val="005866C4"/>
    <w:rsid w:val="005873AF"/>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542B"/>
    <w:rsid w:val="00595AF6"/>
    <w:rsid w:val="00596AF7"/>
    <w:rsid w:val="00596CCE"/>
    <w:rsid w:val="005A1976"/>
    <w:rsid w:val="005A2120"/>
    <w:rsid w:val="005A2349"/>
    <w:rsid w:val="005A2501"/>
    <w:rsid w:val="005A2C80"/>
    <w:rsid w:val="005A3066"/>
    <w:rsid w:val="005A3B35"/>
    <w:rsid w:val="005A3C4B"/>
    <w:rsid w:val="005A3E5A"/>
    <w:rsid w:val="005A43F3"/>
    <w:rsid w:val="005A47B3"/>
    <w:rsid w:val="005A496F"/>
    <w:rsid w:val="005A4A56"/>
    <w:rsid w:val="005A4F69"/>
    <w:rsid w:val="005A5564"/>
    <w:rsid w:val="005A5608"/>
    <w:rsid w:val="005A5A3D"/>
    <w:rsid w:val="005A6035"/>
    <w:rsid w:val="005A6B75"/>
    <w:rsid w:val="005A6E00"/>
    <w:rsid w:val="005A718A"/>
    <w:rsid w:val="005A7885"/>
    <w:rsid w:val="005B12B2"/>
    <w:rsid w:val="005B143B"/>
    <w:rsid w:val="005B19BD"/>
    <w:rsid w:val="005B1E45"/>
    <w:rsid w:val="005B1F70"/>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E6128"/>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BE"/>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3DBF"/>
    <w:rsid w:val="00634122"/>
    <w:rsid w:val="0063444B"/>
    <w:rsid w:val="006359EC"/>
    <w:rsid w:val="00635E32"/>
    <w:rsid w:val="006360FC"/>
    <w:rsid w:val="006361C9"/>
    <w:rsid w:val="006365DE"/>
    <w:rsid w:val="00636BE4"/>
    <w:rsid w:val="00636F88"/>
    <w:rsid w:val="0063732C"/>
    <w:rsid w:val="00637802"/>
    <w:rsid w:val="00637836"/>
    <w:rsid w:val="00637C26"/>
    <w:rsid w:val="00637F44"/>
    <w:rsid w:val="0064091A"/>
    <w:rsid w:val="00641078"/>
    <w:rsid w:val="00641242"/>
    <w:rsid w:val="00642A32"/>
    <w:rsid w:val="00642D7A"/>
    <w:rsid w:val="006433D5"/>
    <w:rsid w:val="00643412"/>
    <w:rsid w:val="00644BFD"/>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346"/>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268"/>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7B7"/>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4CA0"/>
    <w:rsid w:val="006959A5"/>
    <w:rsid w:val="00695C0C"/>
    <w:rsid w:val="00696736"/>
    <w:rsid w:val="00696A05"/>
    <w:rsid w:val="00697665"/>
    <w:rsid w:val="006978E1"/>
    <w:rsid w:val="00697C9A"/>
    <w:rsid w:val="00697E68"/>
    <w:rsid w:val="00697FC1"/>
    <w:rsid w:val="006A005E"/>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87"/>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BD0"/>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D40"/>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B6C"/>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3F6"/>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832"/>
    <w:rsid w:val="00781939"/>
    <w:rsid w:val="00781CAE"/>
    <w:rsid w:val="00781D29"/>
    <w:rsid w:val="007821A7"/>
    <w:rsid w:val="007825EF"/>
    <w:rsid w:val="0078286B"/>
    <w:rsid w:val="00782D2C"/>
    <w:rsid w:val="00782FC2"/>
    <w:rsid w:val="0078347A"/>
    <w:rsid w:val="00784938"/>
    <w:rsid w:val="00784FC4"/>
    <w:rsid w:val="00785BBB"/>
    <w:rsid w:val="00786937"/>
    <w:rsid w:val="00786FAD"/>
    <w:rsid w:val="00787A27"/>
    <w:rsid w:val="00787B1B"/>
    <w:rsid w:val="00787C81"/>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4AF"/>
    <w:rsid w:val="00795647"/>
    <w:rsid w:val="00795887"/>
    <w:rsid w:val="007963F6"/>
    <w:rsid w:val="00796CD4"/>
    <w:rsid w:val="00796DC8"/>
    <w:rsid w:val="00796E80"/>
    <w:rsid w:val="0079744F"/>
    <w:rsid w:val="0079776F"/>
    <w:rsid w:val="007979AD"/>
    <w:rsid w:val="00797A9C"/>
    <w:rsid w:val="007A02C2"/>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3D"/>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6B"/>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3A2"/>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BE8"/>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07FA"/>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0CB4"/>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4CF"/>
    <w:rsid w:val="00847535"/>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2BD"/>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3B0"/>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403B"/>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A9F"/>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06C1"/>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A23"/>
    <w:rsid w:val="00901F1D"/>
    <w:rsid w:val="009026AC"/>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3A0F"/>
    <w:rsid w:val="0091480F"/>
    <w:rsid w:val="00914B9A"/>
    <w:rsid w:val="00914C3F"/>
    <w:rsid w:val="00914F33"/>
    <w:rsid w:val="00915A9E"/>
    <w:rsid w:val="00915EFE"/>
    <w:rsid w:val="00915FCE"/>
    <w:rsid w:val="00916528"/>
    <w:rsid w:val="009166AB"/>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01"/>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2E51"/>
    <w:rsid w:val="009433D1"/>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9E6"/>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1F86"/>
    <w:rsid w:val="0099211C"/>
    <w:rsid w:val="00993013"/>
    <w:rsid w:val="00993B78"/>
    <w:rsid w:val="00994835"/>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BBD"/>
    <w:rsid w:val="009A4D63"/>
    <w:rsid w:val="009A5356"/>
    <w:rsid w:val="009A5468"/>
    <w:rsid w:val="009A5D99"/>
    <w:rsid w:val="009A608C"/>
    <w:rsid w:val="009A6FDF"/>
    <w:rsid w:val="009A715F"/>
    <w:rsid w:val="009A76D6"/>
    <w:rsid w:val="009A773A"/>
    <w:rsid w:val="009B0B1E"/>
    <w:rsid w:val="009B1AE9"/>
    <w:rsid w:val="009B1D10"/>
    <w:rsid w:val="009B231D"/>
    <w:rsid w:val="009B2374"/>
    <w:rsid w:val="009B2E29"/>
    <w:rsid w:val="009B3163"/>
    <w:rsid w:val="009B35AE"/>
    <w:rsid w:val="009B422F"/>
    <w:rsid w:val="009B46BC"/>
    <w:rsid w:val="009B4D01"/>
    <w:rsid w:val="009B4D1A"/>
    <w:rsid w:val="009B519D"/>
    <w:rsid w:val="009B558B"/>
    <w:rsid w:val="009B5981"/>
    <w:rsid w:val="009B6D21"/>
    <w:rsid w:val="009B78ED"/>
    <w:rsid w:val="009C0D57"/>
    <w:rsid w:val="009C181C"/>
    <w:rsid w:val="009C18C3"/>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E9B"/>
    <w:rsid w:val="009D4529"/>
    <w:rsid w:val="009D4832"/>
    <w:rsid w:val="009D604F"/>
    <w:rsid w:val="009D61BB"/>
    <w:rsid w:val="009D6410"/>
    <w:rsid w:val="009D68BB"/>
    <w:rsid w:val="009D6909"/>
    <w:rsid w:val="009D6AD3"/>
    <w:rsid w:val="009D7049"/>
    <w:rsid w:val="009D70C2"/>
    <w:rsid w:val="009D7244"/>
    <w:rsid w:val="009D7ADB"/>
    <w:rsid w:val="009D7B33"/>
    <w:rsid w:val="009D7D06"/>
    <w:rsid w:val="009E020C"/>
    <w:rsid w:val="009E0444"/>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08C"/>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4E1D"/>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0A9"/>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60F"/>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882"/>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2AEC"/>
    <w:rsid w:val="00AB358D"/>
    <w:rsid w:val="00AB37A1"/>
    <w:rsid w:val="00AB3BAD"/>
    <w:rsid w:val="00AB3CFD"/>
    <w:rsid w:val="00AB49BC"/>
    <w:rsid w:val="00AB4B42"/>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8A2"/>
    <w:rsid w:val="00AE2AD4"/>
    <w:rsid w:val="00AE2CA7"/>
    <w:rsid w:val="00AE2F1D"/>
    <w:rsid w:val="00AE4C81"/>
    <w:rsid w:val="00AE50BD"/>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0C7"/>
    <w:rsid w:val="00AF7257"/>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35"/>
    <w:rsid w:val="00B17B91"/>
    <w:rsid w:val="00B20209"/>
    <w:rsid w:val="00B203C9"/>
    <w:rsid w:val="00B2088D"/>
    <w:rsid w:val="00B208FF"/>
    <w:rsid w:val="00B20A58"/>
    <w:rsid w:val="00B20E8F"/>
    <w:rsid w:val="00B220D1"/>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2FA2"/>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07F"/>
    <w:rsid w:val="00B62880"/>
    <w:rsid w:val="00B63872"/>
    <w:rsid w:val="00B63CB2"/>
    <w:rsid w:val="00B64246"/>
    <w:rsid w:val="00B64EDB"/>
    <w:rsid w:val="00B65938"/>
    <w:rsid w:val="00B65C8A"/>
    <w:rsid w:val="00B65CE2"/>
    <w:rsid w:val="00B65E6C"/>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124"/>
    <w:rsid w:val="00B764C9"/>
    <w:rsid w:val="00B76A7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6F70"/>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1D"/>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C21"/>
    <w:rsid w:val="00BB0DF1"/>
    <w:rsid w:val="00BB0E9B"/>
    <w:rsid w:val="00BB2410"/>
    <w:rsid w:val="00BB2841"/>
    <w:rsid w:val="00BB2E38"/>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BD3"/>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04A"/>
    <w:rsid w:val="00BE26C0"/>
    <w:rsid w:val="00BE281E"/>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EBD"/>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360"/>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2EFB"/>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9F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DD3"/>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61"/>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35DD"/>
    <w:rsid w:val="00CA41E7"/>
    <w:rsid w:val="00CA4A99"/>
    <w:rsid w:val="00CA4AD7"/>
    <w:rsid w:val="00CA4D7D"/>
    <w:rsid w:val="00CA5520"/>
    <w:rsid w:val="00CA5812"/>
    <w:rsid w:val="00CA5BD4"/>
    <w:rsid w:val="00CA5C14"/>
    <w:rsid w:val="00CA5CF3"/>
    <w:rsid w:val="00CA76FC"/>
    <w:rsid w:val="00CA7E7B"/>
    <w:rsid w:val="00CA7F21"/>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B7A34"/>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3EAE"/>
    <w:rsid w:val="00CC40C3"/>
    <w:rsid w:val="00CC4751"/>
    <w:rsid w:val="00CC4CB4"/>
    <w:rsid w:val="00CC4E5D"/>
    <w:rsid w:val="00CC50AE"/>
    <w:rsid w:val="00CC5444"/>
    <w:rsid w:val="00CC5E38"/>
    <w:rsid w:val="00CC5FFE"/>
    <w:rsid w:val="00CC61B7"/>
    <w:rsid w:val="00CC61CA"/>
    <w:rsid w:val="00CC69EC"/>
    <w:rsid w:val="00CC71D3"/>
    <w:rsid w:val="00CC743D"/>
    <w:rsid w:val="00CC7D38"/>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35E"/>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6F3C"/>
    <w:rsid w:val="00D17162"/>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918"/>
    <w:rsid w:val="00D42AC2"/>
    <w:rsid w:val="00D4498E"/>
    <w:rsid w:val="00D4515F"/>
    <w:rsid w:val="00D451E8"/>
    <w:rsid w:val="00D45230"/>
    <w:rsid w:val="00D466C9"/>
    <w:rsid w:val="00D47275"/>
    <w:rsid w:val="00D47458"/>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3B6B"/>
    <w:rsid w:val="00DC478F"/>
    <w:rsid w:val="00DC4F6D"/>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5DC"/>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2BD"/>
    <w:rsid w:val="00DF146A"/>
    <w:rsid w:val="00DF158B"/>
    <w:rsid w:val="00DF193C"/>
    <w:rsid w:val="00DF1E36"/>
    <w:rsid w:val="00DF236B"/>
    <w:rsid w:val="00DF2A91"/>
    <w:rsid w:val="00DF2B34"/>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6803"/>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1C71"/>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D0E"/>
    <w:rsid w:val="00E436BF"/>
    <w:rsid w:val="00E43D00"/>
    <w:rsid w:val="00E443B4"/>
    <w:rsid w:val="00E445E4"/>
    <w:rsid w:val="00E457CB"/>
    <w:rsid w:val="00E45D47"/>
    <w:rsid w:val="00E45DE4"/>
    <w:rsid w:val="00E45E63"/>
    <w:rsid w:val="00E4759C"/>
    <w:rsid w:val="00E47C87"/>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0CD"/>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3D05"/>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40E"/>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D28"/>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38F"/>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514"/>
    <w:rsid w:val="00F55679"/>
    <w:rsid w:val="00F561DA"/>
    <w:rsid w:val="00F561E3"/>
    <w:rsid w:val="00F565E6"/>
    <w:rsid w:val="00F56AFA"/>
    <w:rsid w:val="00F56DF8"/>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557E"/>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044"/>
    <w:rsid w:val="00F94644"/>
    <w:rsid w:val="00F952E4"/>
    <w:rsid w:val="00F9537B"/>
    <w:rsid w:val="00F96079"/>
    <w:rsid w:val="00F963FC"/>
    <w:rsid w:val="00F97CF1"/>
    <w:rsid w:val="00FA015F"/>
    <w:rsid w:val="00FA0850"/>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4E3"/>
    <w:rsid w:val="00FB27B7"/>
    <w:rsid w:val="00FB33E1"/>
    <w:rsid w:val="00FB35E3"/>
    <w:rsid w:val="00FB3FBE"/>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772"/>
    <w:rsid w:val="00FC5B0B"/>
    <w:rsid w:val="00FC5CF4"/>
    <w:rsid w:val="00FC5D64"/>
    <w:rsid w:val="00FC6A39"/>
    <w:rsid w:val="00FC6DB9"/>
    <w:rsid w:val="00FC76A9"/>
    <w:rsid w:val="00FC79AB"/>
    <w:rsid w:val="00FC7BE7"/>
    <w:rsid w:val="00FC7DAC"/>
    <w:rsid w:val="00FD005D"/>
    <w:rsid w:val="00FD013F"/>
    <w:rsid w:val="00FD04AE"/>
    <w:rsid w:val="00FD0DFA"/>
    <w:rsid w:val="00FD10E4"/>
    <w:rsid w:val="00FD1854"/>
    <w:rsid w:val="00FD1890"/>
    <w:rsid w:val="00FD1994"/>
    <w:rsid w:val="00FD3508"/>
    <w:rsid w:val="00FD393C"/>
    <w:rsid w:val="00FD3AFF"/>
    <w:rsid w:val="00FD43BB"/>
    <w:rsid w:val="00FD47F6"/>
    <w:rsid w:val="00FD4AF3"/>
    <w:rsid w:val="00FD4B22"/>
    <w:rsid w:val="00FD72B1"/>
    <w:rsid w:val="00FD798D"/>
    <w:rsid w:val="00FE0EFF"/>
    <w:rsid w:val="00FE1180"/>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5EF7"/>
    <w:rsid w:val="00FE6432"/>
    <w:rsid w:val="00FE72A0"/>
    <w:rsid w:val="00FF0050"/>
    <w:rsid w:val="00FF045F"/>
    <w:rsid w:val="00FF0490"/>
    <w:rsid w:val="00FF13CE"/>
    <w:rsid w:val="00FF13D4"/>
    <w:rsid w:val="00FF2053"/>
    <w:rsid w:val="00FF2E82"/>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1663742">
      <w:bodyDiv w:val="1"/>
      <w:marLeft w:val="0"/>
      <w:marRight w:val="0"/>
      <w:marTop w:val="0"/>
      <w:marBottom w:val="0"/>
      <w:divBdr>
        <w:top w:val="none" w:sz="0" w:space="0" w:color="auto"/>
        <w:left w:val="none" w:sz="0" w:space="0" w:color="auto"/>
        <w:bottom w:val="none" w:sz="0" w:space="0" w:color="auto"/>
        <w:right w:val="none" w:sz="0" w:space="0" w:color="auto"/>
      </w:divBdr>
      <w:divsChild>
        <w:div w:id="1567910524">
          <w:marLeft w:val="0"/>
          <w:marRight w:val="0"/>
          <w:marTop w:val="0"/>
          <w:marBottom w:val="0"/>
          <w:divBdr>
            <w:top w:val="none" w:sz="0" w:space="0" w:color="auto"/>
            <w:left w:val="none" w:sz="0" w:space="0" w:color="auto"/>
            <w:bottom w:val="none" w:sz="0" w:space="0" w:color="auto"/>
            <w:right w:val="none" w:sz="0" w:space="0" w:color="auto"/>
          </w:divBdr>
        </w:div>
      </w:divsChild>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83F66085-9C3F-4F00-A30E-F1156784CA07}">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239</TotalTime>
  <Pages>23</Pages>
  <Words>9048</Words>
  <Characters>49764</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Andrea Ramírez Castañeda</cp:lastModifiedBy>
  <cp:revision>57</cp:revision>
  <cp:lastPrinted>2021-08-27T20:19:00Z</cp:lastPrinted>
  <dcterms:created xsi:type="dcterms:W3CDTF">2022-03-16T20:43:00Z</dcterms:created>
  <dcterms:modified xsi:type="dcterms:W3CDTF">2022-04-04T22:39:00Z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