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0659F8" w:rsidP="000659F8" w:rsidRDefault="000659F8" w14:paraId="4236FB67" w14:textId="77777777">
      <w:pPr>
        <w:widowControl w:val="0"/>
        <w:autoSpaceDE w:val="0"/>
        <w:autoSpaceDN w:val="0"/>
        <w:spacing w:after="0" w:line="276" w:lineRule="auto"/>
        <w:rPr>
          <w:rFonts w:ascii="Arial" w:hAnsi="Arial" w:eastAsia="Times New Roman" w:cs="Arial"/>
          <w:lang w:val="es-ES" w:eastAsia="es-ES"/>
        </w:rPr>
      </w:pPr>
      <w:bookmarkStart w:name="_Hlk100647184" w:id="0"/>
      <w:bookmarkStart w:name="_Hlk136007359" w:id="1"/>
      <w:bookmarkStart w:name="_Hlk94281581" w:id="2"/>
    </w:p>
    <w:p w:rsidRPr="00553325" w:rsidR="00492C37" w:rsidP="00492C37" w:rsidRDefault="00492C37" w14:paraId="36016F81" w14:textId="77777777">
      <w:pPr>
        <w:spacing w:after="0" w:line="240" w:lineRule="auto"/>
        <w:jc w:val="both"/>
        <w:rPr>
          <w:rFonts w:ascii="Arial" w:hAnsi="Arial" w:eastAsia="Calibri" w:cs="Arial"/>
          <w:b/>
          <w:bCs/>
          <w:color w:val="000000" w:themeColor="text1"/>
          <w:lang w:val="es-MX"/>
        </w:rPr>
      </w:pPr>
      <w:r w:rsidRPr="00553325">
        <w:rPr>
          <w:rFonts w:ascii="Arial" w:hAnsi="Arial" w:eastAsia="Calibri" w:cs="Arial"/>
          <w:b/>
          <w:bCs/>
          <w:color w:val="000000" w:themeColor="text1"/>
          <w:lang w:val="es-MX"/>
        </w:rPr>
        <w:t>EXPERIENCIA – Noción ‒ Colombia Compra Eficiente</w:t>
      </w:r>
    </w:p>
    <w:p w:rsidR="00492C37" w:rsidP="00492C37" w:rsidRDefault="00492C37" w14:paraId="701F659A" w14:textId="77777777">
      <w:pPr>
        <w:spacing w:after="0" w:line="240" w:lineRule="auto"/>
        <w:jc w:val="both"/>
        <w:rPr>
          <w:rFonts w:ascii="Arial" w:hAnsi="Arial" w:eastAsia="Calibri" w:cs="Arial"/>
          <w:b/>
          <w:bCs/>
          <w:color w:val="000000" w:themeColor="text1"/>
          <w:sz w:val="20"/>
          <w:szCs w:val="20"/>
          <w:lang w:val="es-MX"/>
        </w:rPr>
      </w:pPr>
    </w:p>
    <w:p w:rsidR="00492C37" w:rsidP="00492C37" w:rsidRDefault="00492C37" w14:paraId="7F89B88E" w14:textId="77777777">
      <w:pPr>
        <w:spacing w:after="0" w:line="240" w:lineRule="auto"/>
        <w:jc w:val="both"/>
        <w:rPr>
          <w:rFonts w:ascii="Arial" w:hAnsi="Arial" w:eastAsia="Calibri" w:cs="Arial"/>
          <w:color w:val="000000" w:themeColor="text1"/>
          <w:sz w:val="20"/>
          <w:szCs w:val="20"/>
        </w:rPr>
      </w:pPr>
      <w:r w:rsidRPr="00553325">
        <w:rPr>
          <w:rFonts w:ascii="Arial" w:hAnsi="Arial" w:eastAsia="Calibri" w:cs="Arial"/>
          <w:color w:val="000000" w:themeColor="text1"/>
          <w:sz w:val="20"/>
          <w:szCs w:val="20"/>
        </w:rPr>
        <w:t xml:space="preserve">i) La experiencia es </w:t>
      </w:r>
      <w:r w:rsidRPr="007B5F1D">
        <w:rPr>
          <w:rFonts w:ascii="Arial" w:hAnsi="Arial" w:eastAsia="Calibri" w:cs="Arial"/>
          <w:i/>
          <w:iCs/>
          <w:color w:val="000000" w:themeColor="text1"/>
          <w:sz w:val="20"/>
          <w:szCs w:val="20"/>
        </w:rPr>
        <w:t>personal</w:t>
      </w:r>
      <w:r w:rsidRPr="00553325">
        <w:rPr>
          <w:rFonts w:ascii="Arial" w:hAnsi="Arial" w:eastAsia="Calibri" w:cs="Arial"/>
          <w:color w:val="000000" w:themeColor="text1"/>
          <w:sz w:val="20"/>
          <w:szCs w:val="20"/>
        </w:rPr>
        <w:t>, esto es, se adquiere participando, directa o indirectamente, sin que sea posible no hacerlo y tener experiencia.</w:t>
      </w:r>
    </w:p>
    <w:p w:rsidRPr="00553325" w:rsidR="00492C37" w:rsidP="00492C37" w:rsidRDefault="00492C37" w14:paraId="617A2A47" w14:textId="77777777">
      <w:pPr>
        <w:spacing w:after="0" w:line="240" w:lineRule="auto"/>
        <w:jc w:val="both"/>
        <w:rPr>
          <w:rFonts w:ascii="Arial" w:hAnsi="Arial" w:eastAsia="Calibri" w:cs="Arial"/>
          <w:color w:val="000000" w:themeColor="text1"/>
          <w:sz w:val="20"/>
          <w:szCs w:val="20"/>
        </w:rPr>
      </w:pPr>
    </w:p>
    <w:p w:rsidR="00492C37" w:rsidP="00492C37" w:rsidRDefault="00492C37" w14:paraId="26B4C807" w14:textId="77777777">
      <w:pPr>
        <w:spacing w:after="0" w:line="240" w:lineRule="auto"/>
        <w:jc w:val="both"/>
        <w:rPr>
          <w:rFonts w:ascii="Arial" w:hAnsi="Arial" w:eastAsia="Calibri" w:cs="Arial"/>
          <w:color w:val="000000" w:themeColor="text1"/>
          <w:sz w:val="20"/>
          <w:szCs w:val="20"/>
        </w:rPr>
      </w:pPr>
      <w:proofErr w:type="spellStart"/>
      <w:r w:rsidRPr="00553325">
        <w:rPr>
          <w:rFonts w:ascii="Arial" w:hAnsi="Arial" w:eastAsia="Calibri" w:cs="Arial"/>
          <w:color w:val="000000" w:themeColor="text1"/>
          <w:sz w:val="20"/>
          <w:szCs w:val="20"/>
        </w:rPr>
        <w:t>ii</w:t>
      </w:r>
      <w:proofErr w:type="spellEnd"/>
      <w:r w:rsidRPr="00553325">
        <w:rPr>
          <w:rFonts w:ascii="Arial" w:hAnsi="Arial" w:eastAsia="Calibri" w:cs="Arial"/>
          <w:color w:val="000000" w:themeColor="text1"/>
          <w:sz w:val="20"/>
          <w:szCs w:val="20"/>
        </w:rPr>
        <w:t xml:space="preserve">) La experiencia se puede </w:t>
      </w:r>
      <w:r w:rsidRPr="007B5F1D">
        <w:rPr>
          <w:rFonts w:ascii="Arial" w:hAnsi="Arial" w:eastAsia="Calibri" w:cs="Arial"/>
          <w:i/>
          <w:iCs/>
          <w:color w:val="000000" w:themeColor="text1"/>
          <w:sz w:val="20"/>
          <w:szCs w:val="20"/>
        </w:rPr>
        <w:t>compartir</w:t>
      </w:r>
      <w:r w:rsidRPr="00553325">
        <w:rPr>
          <w:rFonts w:ascii="Arial" w:hAnsi="Arial" w:eastAsia="Calibri" w:cs="Arial"/>
          <w:color w:val="000000" w:themeColor="text1"/>
          <w:sz w:val="20"/>
          <w:szCs w:val="20"/>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553325">
        <w:rPr>
          <w:rFonts w:ascii="Arial" w:hAnsi="Arial" w:eastAsia="Calibri" w:cs="Arial"/>
          <w:color w:val="000000" w:themeColor="text1"/>
          <w:sz w:val="20"/>
          <w:szCs w:val="20"/>
        </w:rPr>
        <w:t>asociativas  ̶</w:t>
      </w:r>
      <w:proofErr w:type="gramEnd"/>
      <w:r w:rsidRPr="00553325">
        <w:rPr>
          <w:rFonts w:ascii="Arial" w:hAnsi="Arial" w:eastAsia="Calibri" w:cs="Arial"/>
          <w:color w:val="000000" w:themeColor="text1"/>
          <w:sz w:val="20"/>
          <w:szCs w:val="20"/>
        </w:rPr>
        <w:t xml:space="preserve"> consorcios y uniones temporales ̶  que se verificará en el documento privado de constitución.</w:t>
      </w:r>
    </w:p>
    <w:p w:rsidRPr="00553325" w:rsidR="00492C37" w:rsidP="00492C37" w:rsidRDefault="00492C37" w14:paraId="006A6D0B" w14:textId="77777777">
      <w:pPr>
        <w:spacing w:after="0" w:line="240" w:lineRule="auto"/>
        <w:jc w:val="both"/>
        <w:rPr>
          <w:rFonts w:ascii="Arial" w:hAnsi="Arial" w:eastAsia="Calibri" w:cs="Arial"/>
          <w:color w:val="000000" w:themeColor="text1"/>
          <w:sz w:val="20"/>
          <w:szCs w:val="20"/>
        </w:rPr>
      </w:pPr>
    </w:p>
    <w:p w:rsidR="00492C37" w:rsidP="00492C37" w:rsidRDefault="00492C37" w14:paraId="0DE5F0D4" w14:textId="77777777">
      <w:pPr>
        <w:spacing w:after="0" w:line="240" w:lineRule="auto"/>
        <w:jc w:val="both"/>
        <w:rPr>
          <w:rFonts w:ascii="Arial" w:hAnsi="Arial" w:eastAsia="Calibri" w:cs="Arial"/>
          <w:color w:val="000000" w:themeColor="text1"/>
          <w:sz w:val="20"/>
          <w:szCs w:val="20"/>
        </w:rPr>
      </w:pPr>
      <w:proofErr w:type="spellStart"/>
      <w:r w:rsidRPr="00553325">
        <w:rPr>
          <w:rFonts w:ascii="Arial" w:hAnsi="Arial" w:eastAsia="Calibri" w:cs="Arial"/>
          <w:color w:val="000000" w:themeColor="text1"/>
          <w:sz w:val="20"/>
          <w:szCs w:val="20"/>
        </w:rPr>
        <w:t>iii</w:t>
      </w:r>
      <w:proofErr w:type="spellEnd"/>
      <w:r w:rsidRPr="00553325">
        <w:rPr>
          <w:rFonts w:ascii="Arial" w:hAnsi="Arial" w:eastAsia="Calibri" w:cs="Arial"/>
          <w:color w:val="000000" w:themeColor="text1"/>
          <w:sz w:val="20"/>
          <w:szCs w:val="20"/>
        </w:rPr>
        <w:t xml:space="preserve">) La experiencia se puede </w:t>
      </w:r>
      <w:r w:rsidRPr="007B5F1D">
        <w:rPr>
          <w:rFonts w:ascii="Arial" w:hAnsi="Arial" w:eastAsia="Calibri" w:cs="Arial"/>
          <w:i/>
          <w:iCs/>
          <w:color w:val="000000" w:themeColor="text1"/>
          <w:sz w:val="20"/>
          <w:szCs w:val="20"/>
        </w:rPr>
        <w:t>transferir</w:t>
      </w:r>
      <w:r w:rsidRPr="00553325">
        <w:rPr>
          <w:rFonts w:ascii="Arial" w:hAnsi="Arial" w:eastAsia="Calibri" w:cs="Arial"/>
          <w:color w:val="000000" w:themeColor="text1"/>
          <w:sz w:val="20"/>
          <w:szCs w:val="20"/>
        </w:rPr>
        <w:t>, y esto es diferente a compartir, lo que implica que la experiencia de una persona se traslada a otra, y esta última acredita la experiencia como propia, como sucede con algunas figuras y reformas estatutarias como la transformación, fusión o escisión.</w:t>
      </w:r>
    </w:p>
    <w:p w:rsidRPr="00553325" w:rsidR="00492C37" w:rsidP="00492C37" w:rsidRDefault="00492C37" w14:paraId="4954A07A" w14:textId="77777777">
      <w:pPr>
        <w:spacing w:after="0" w:line="240" w:lineRule="auto"/>
        <w:jc w:val="both"/>
        <w:rPr>
          <w:rFonts w:ascii="Arial" w:hAnsi="Arial" w:eastAsia="Calibri" w:cs="Arial"/>
          <w:color w:val="000000" w:themeColor="text1"/>
          <w:sz w:val="20"/>
          <w:szCs w:val="20"/>
        </w:rPr>
      </w:pPr>
    </w:p>
    <w:p w:rsidR="00492C37" w:rsidP="00492C37" w:rsidRDefault="00492C37" w14:paraId="4E9D34C9" w14:textId="77777777">
      <w:pPr>
        <w:spacing w:after="0" w:line="240" w:lineRule="auto"/>
        <w:jc w:val="both"/>
        <w:rPr>
          <w:rFonts w:ascii="Arial" w:hAnsi="Arial" w:eastAsia="Calibri" w:cs="Arial"/>
          <w:color w:val="000000" w:themeColor="text1"/>
          <w:sz w:val="20"/>
          <w:szCs w:val="20"/>
        </w:rPr>
      </w:pPr>
      <w:proofErr w:type="spellStart"/>
      <w:r w:rsidRPr="00553325">
        <w:rPr>
          <w:rFonts w:ascii="Arial" w:hAnsi="Arial" w:eastAsia="Calibri" w:cs="Arial"/>
          <w:color w:val="000000" w:themeColor="text1"/>
          <w:sz w:val="20"/>
          <w:szCs w:val="20"/>
        </w:rPr>
        <w:t>iv</w:t>
      </w:r>
      <w:proofErr w:type="spellEnd"/>
      <w:r w:rsidRPr="00553325">
        <w:rPr>
          <w:rFonts w:ascii="Arial" w:hAnsi="Arial" w:eastAsia="Calibri" w:cs="Arial"/>
          <w:color w:val="000000" w:themeColor="text1"/>
          <w:sz w:val="20"/>
          <w:szCs w:val="20"/>
        </w:rPr>
        <w:t xml:space="preserve">) Solo es posible transferir o compartir la experiencia de una persona natural o jurídica a otra, en los casos señalados en los numerales anteriores, por lo cual no es posible que se acredite la experiencia adquirida por un </w:t>
      </w:r>
      <w:proofErr w:type="gramStart"/>
      <w:r w:rsidRPr="00553325">
        <w:rPr>
          <w:rFonts w:ascii="Arial" w:hAnsi="Arial" w:eastAsia="Calibri" w:cs="Arial"/>
          <w:color w:val="000000" w:themeColor="text1"/>
          <w:sz w:val="20"/>
          <w:szCs w:val="20"/>
        </w:rPr>
        <w:t>tercero  ̶</w:t>
      </w:r>
      <w:proofErr w:type="gramEnd"/>
      <w:r w:rsidRPr="00553325">
        <w:rPr>
          <w:rFonts w:ascii="Arial" w:hAnsi="Arial" w:eastAsia="Calibri" w:cs="Arial"/>
          <w:color w:val="000000" w:themeColor="text1"/>
          <w:sz w:val="20"/>
          <w:szCs w:val="20"/>
        </w:rPr>
        <w:t xml:space="preserve"> que es otra persona diferente a la principal ̶  sin que se relacione con lo establecido, ya que la experiencia es personal, esto es, de quien la adquirió. Asimismo, cuando la persona que adquirió la experiencia desaparece o se liquida no es posible que comparta o transfiera su experiencia, porque al ser personal sigue la suerte de quien la adquirió.</w:t>
      </w:r>
    </w:p>
    <w:p w:rsidRPr="00492C37" w:rsidR="003E3DAF" w:rsidP="000659F8" w:rsidRDefault="003E3DAF" w14:paraId="2E964F8B" w14:textId="77777777">
      <w:pPr>
        <w:widowControl w:val="0"/>
        <w:autoSpaceDE w:val="0"/>
        <w:autoSpaceDN w:val="0"/>
        <w:spacing w:after="0" w:line="276" w:lineRule="auto"/>
        <w:rPr>
          <w:rFonts w:ascii="Arial" w:hAnsi="Arial" w:eastAsia="Times New Roman" w:cs="Arial"/>
          <w:lang w:eastAsia="es-ES"/>
        </w:rPr>
      </w:pPr>
    </w:p>
    <w:p w:rsidRPr="00E34C1A" w:rsidR="00BF59B3" w:rsidP="00BF59B3" w:rsidRDefault="00BF59B3" w14:paraId="6C6C0441" w14:textId="77777777">
      <w:pPr>
        <w:spacing w:after="0" w:line="240" w:lineRule="auto"/>
        <w:jc w:val="both"/>
        <w:rPr>
          <w:rFonts w:ascii="Arial" w:hAnsi="Arial" w:eastAsia="Calibri" w:cs="Arial"/>
          <w:b/>
          <w:bCs/>
          <w:color w:val="000000" w:themeColor="text1"/>
          <w:lang w:val="es-MX"/>
        </w:rPr>
      </w:pPr>
      <w:r w:rsidRPr="00E34C1A">
        <w:rPr>
          <w:rFonts w:ascii="Arial" w:hAnsi="Arial" w:eastAsia="Calibri" w:cs="Arial"/>
          <w:b/>
          <w:bCs/>
          <w:color w:val="000000" w:themeColor="text1"/>
          <w:lang w:val="es-MX"/>
        </w:rPr>
        <w:t>SOCIEDADES NUEVAS ‒ Experiencia ‒ Inferior a tres años ‒ Requisitos habilitantes ‒ Desarrollo de la empresa</w:t>
      </w:r>
      <w:r w:rsidRPr="00994504">
        <w:rPr>
          <w:rFonts w:ascii="Arial" w:hAnsi="Arial" w:eastAsia="Calibri" w:cs="Arial"/>
          <w:b/>
          <w:bCs/>
          <w:color w:val="000000" w:themeColor="text1"/>
          <w:lang w:val="es-ES_tradnl"/>
        </w:rPr>
        <w:t xml:space="preserve"> </w:t>
      </w:r>
    </w:p>
    <w:p w:rsidRPr="00504597" w:rsidR="00BF59B3" w:rsidP="00BF59B3" w:rsidRDefault="00BF59B3" w14:paraId="06EC1246" w14:textId="77777777">
      <w:pPr>
        <w:spacing w:after="0" w:line="240" w:lineRule="auto"/>
        <w:jc w:val="both"/>
        <w:rPr>
          <w:rFonts w:ascii="Arial" w:hAnsi="Arial" w:eastAsia="Calibri" w:cs="Arial"/>
          <w:b/>
          <w:bCs/>
          <w:color w:val="000000" w:themeColor="text1"/>
          <w:sz w:val="20"/>
          <w:szCs w:val="20"/>
          <w:lang w:val="es-MX"/>
        </w:rPr>
      </w:pPr>
    </w:p>
    <w:p w:rsidR="00BF59B3" w:rsidP="00BF59B3" w:rsidRDefault="00BF59B3" w14:paraId="2985C732" w14:textId="77777777">
      <w:pPr>
        <w:spacing w:after="0" w:line="240" w:lineRule="auto"/>
        <w:jc w:val="both"/>
        <w:rPr>
          <w:rFonts w:ascii="Arial" w:hAnsi="Arial" w:eastAsia="Calibri" w:cs="Arial"/>
          <w:bCs/>
          <w:color w:val="000000" w:themeColor="text1"/>
          <w:sz w:val="20"/>
          <w:szCs w:val="20"/>
          <w:lang w:val="es-ES"/>
        </w:rPr>
      </w:pPr>
      <w:r w:rsidRPr="00E34C1A">
        <w:rPr>
          <w:rFonts w:ascii="Arial" w:hAnsi="Arial" w:eastAsia="Calibri" w:cs="Arial"/>
          <w:bCs/>
          <w:color w:val="000000" w:themeColor="text1"/>
          <w:sz w:val="20"/>
          <w:szCs w:val="20"/>
          <w:lang w:val="es-ES"/>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rsidRPr="00E34C1A" w:rsidR="00BF59B3" w:rsidP="00BF59B3" w:rsidRDefault="00BF59B3" w14:paraId="0C3792BF" w14:textId="77777777">
      <w:pPr>
        <w:spacing w:after="0" w:line="240" w:lineRule="auto"/>
        <w:jc w:val="both"/>
        <w:rPr>
          <w:rFonts w:ascii="Arial" w:hAnsi="Arial" w:eastAsia="Calibri" w:cs="Arial"/>
          <w:bCs/>
          <w:color w:val="000000" w:themeColor="text1"/>
          <w:sz w:val="20"/>
          <w:szCs w:val="20"/>
          <w:lang w:val="es-ES"/>
        </w:rPr>
      </w:pPr>
    </w:p>
    <w:p w:rsidR="00BF59B3" w:rsidP="00BF59B3" w:rsidRDefault="00BF59B3" w14:paraId="4B056B19" w14:textId="77777777">
      <w:pPr>
        <w:spacing w:after="0" w:line="240" w:lineRule="auto"/>
        <w:jc w:val="both"/>
        <w:rPr>
          <w:rFonts w:ascii="Arial" w:hAnsi="Arial" w:eastAsia="Calibri" w:cs="Arial"/>
          <w:bCs/>
          <w:color w:val="000000" w:themeColor="text1"/>
          <w:sz w:val="20"/>
          <w:szCs w:val="20"/>
          <w:lang w:val="es-ES"/>
        </w:rPr>
      </w:pPr>
      <w:r w:rsidRPr="00E34C1A">
        <w:rPr>
          <w:rFonts w:ascii="Arial" w:hAnsi="Arial" w:eastAsia="Calibri" w:cs="Arial"/>
          <w:bCs/>
          <w:color w:val="000000" w:themeColor="text1"/>
          <w:sz w:val="20"/>
          <w:szCs w:val="20"/>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rsidR="003E3DAF" w:rsidP="000659F8" w:rsidRDefault="003E3DAF" w14:paraId="7067959B" w14:textId="77777777">
      <w:pPr>
        <w:widowControl w:val="0"/>
        <w:autoSpaceDE w:val="0"/>
        <w:autoSpaceDN w:val="0"/>
        <w:spacing w:after="0" w:line="276" w:lineRule="auto"/>
        <w:rPr>
          <w:rFonts w:ascii="Arial" w:hAnsi="Arial" w:eastAsia="Times New Roman" w:cs="Arial"/>
          <w:lang w:val="es-ES" w:eastAsia="es-ES"/>
        </w:rPr>
      </w:pPr>
    </w:p>
    <w:p w:rsidRPr="00B04831" w:rsidR="00BC1067" w:rsidP="00BC1067" w:rsidRDefault="00BC1067" w14:paraId="4238FD55" w14:textId="77777777">
      <w:pPr>
        <w:spacing w:after="0" w:line="240" w:lineRule="auto"/>
        <w:jc w:val="both"/>
        <w:rPr>
          <w:rFonts w:ascii="Arial" w:hAnsi="Arial" w:eastAsia="Calibri" w:cs="Arial"/>
          <w:b/>
          <w:bCs/>
          <w:color w:val="000000" w:themeColor="text1"/>
          <w:lang w:val="es-ES"/>
        </w:rPr>
      </w:pPr>
      <w:r w:rsidRPr="00D54695">
        <w:rPr>
          <w:rFonts w:ascii="Arial" w:hAnsi="Arial" w:eastAsia="Calibri" w:cs="Arial"/>
          <w:b/>
          <w:bCs/>
          <w:color w:val="000000" w:themeColor="text1"/>
          <w:lang w:val="es-ES"/>
        </w:rPr>
        <w:t>EXPERIENCIA ‒ Conservación ‒ Renovación RUP ‒ Cesación efectos RUP</w:t>
      </w:r>
    </w:p>
    <w:p w:rsidRPr="00504597" w:rsidR="00BC1067" w:rsidP="00BC1067" w:rsidRDefault="00BC1067" w14:paraId="1F5B79BA" w14:textId="77777777">
      <w:pPr>
        <w:spacing w:after="0" w:line="240" w:lineRule="auto"/>
        <w:jc w:val="both"/>
        <w:rPr>
          <w:rFonts w:ascii="Arial" w:hAnsi="Arial" w:eastAsia="Calibri" w:cs="Arial"/>
          <w:b/>
          <w:bCs/>
          <w:color w:val="000000" w:themeColor="text1"/>
          <w:sz w:val="20"/>
          <w:szCs w:val="20"/>
          <w:lang w:val="es-ES"/>
        </w:rPr>
      </w:pPr>
    </w:p>
    <w:p w:rsidRPr="00D368FA" w:rsidR="00BC1067" w:rsidP="00BC1067" w:rsidRDefault="00BC1067" w14:paraId="135991DD" w14:textId="77777777">
      <w:pPr>
        <w:spacing w:after="0" w:line="240" w:lineRule="auto"/>
        <w:jc w:val="both"/>
        <w:rPr>
          <w:rFonts w:ascii="Arial" w:hAnsi="Arial" w:eastAsia="Calibri" w:cs="Arial"/>
          <w:color w:val="000000" w:themeColor="text1"/>
          <w:sz w:val="20"/>
          <w:szCs w:val="20"/>
        </w:rPr>
      </w:pPr>
      <w:r>
        <w:rPr>
          <w:rFonts w:ascii="Arial" w:hAnsi="Arial" w:eastAsia="Calibri" w:cs="Arial"/>
          <w:color w:val="000000" w:themeColor="text1"/>
          <w:sz w:val="20"/>
          <w:szCs w:val="20"/>
          <w:lang w:val="es-ES"/>
        </w:rPr>
        <w:t xml:space="preserve">[…] </w:t>
      </w:r>
      <w:r w:rsidRPr="00D368FA">
        <w:rPr>
          <w:rFonts w:ascii="Arial" w:hAnsi="Arial" w:eastAsia="Calibri" w:cs="Arial"/>
          <w:color w:val="000000" w:themeColor="text1"/>
          <w:sz w:val="20"/>
          <w:szCs w:val="20"/>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w:t>
      </w:r>
      <w:r w:rsidRPr="00D368FA">
        <w:rPr>
          <w:rFonts w:ascii="Arial" w:hAnsi="Arial" w:eastAsia="Calibri" w:cs="Arial"/>
          <w:color w:val="000000" w:themeColor="text1"/>
          <w:sz w:val="20"/>
          <w:szCs w:val="20"/>
        </w:rPr>
        <w:lastRenderedPageBreak/>
        <w:t xml:space="preserve">sus efectos y la cámara de comercio tiene que hacer nuevamente la verificación documental de la información presentada al momento de inscribirse en el registro.  </w:t>
      </w:r>
    </w:p>
    <w:p w:rsidR="003E3DAF" w:rsidP="000659F8" w:rsidRDefault="003E3DAF" w14:paraId="23E98156" w14:textId="77777777">
      <w:pPr>
        <w:widowControl w:val="0"/>
        <w:autoSpaceDE w:val="0"/>
        <w:autoSpaceDN w:val="0"/>
        <w:spacing w:after="0" w:line="276" w:lineRule="auto"/>
        <w:rPr>
          <w:rFonts w:ascii="Arial" w:hAnsi="Arial" w:eastAsia="Times New Roman" w:cs="Arial"/>
          <w:lang w:eastAsia="es-ES"/>
        </w:rPr>
      </w:pPr>
    </w:p>
    <w:p w:rsidRPr="007D2505" w:rsidR="007D2505" w:rsidP="007D2505" w:rsidRDefault="007D2505" w14:paraId="1CC189D6" w14:textId="77777777">
      <w:pPr>
        <w:spacing w:after="0" w:line="240" w:lineRule="auto"/>
        <w:jc w:val="both"/>
        <w:rPr>
          <w:rFonts w:ascii="Arial" w:hAnsi="Arial" w:eastAsia="Calibri" w:cs="Arial"/>
          <w:b/>
          <w:sz w:val="20"/>
          <w:szCs w:val="20"/>
          <w:lang w:val="es-ES_tradnl"/>
        </w:rPr>
      </w:pPr>
      <w:r w:rsidRPr="007D2505">
        <w:rPr>
          <w:rFonts w:ascii="Arial" w:hAnsi="Arial" w:eastAsia="Calibri" w:cs="Arial"/>
          <w:b/>
          <w:sz w:val="20"/>
          <w:szCs w:val="20"/>
          <w:lang w:val="es-ES_tradnl"/>
        </w:rPr>
        <w:t>EXPERIENCIA – Retiro del socio − Sociedades – Menor a 3 años de constitución</w:t>
      </w:r>
    </w:p>
    <w:p w:rsidRPr="007D2505" w:rsidR="007D2505" w:rsidP="007D2505" w:rsidRDefault="007D2505" w14:paraId="47D1A4D1" w14:textId="77777777">
      <w:pPr>
        <w:spacing w:after="0" w:line="240" w:lineRule="auto"/>
        <w:jc w:val="both"/>
        <w:rPr>
          <w:rFonts w:ascii="Arial" w:hAnsi="Arial" w:eastAsia="Calibri" w:cs="Arial"/>
          <w:bCs/>
          <w:sz w:val="20"/>
          <w:szCs w:val="20"/>
          <w:lang w:val="es-ES_tradnl"/>
        </w:rPr>
      </w:pPr>
    </w:p>
    <w:p w:rsidRPr="007D2505" w:rsidR="007D2505" w:rsidP="007D2505" w:rsidRDefault="007D2505" w14:paraId="50ACCA1B" w14:textId="77777777">
      <w:pPr>
        <w:spacing w:after="0" w:line="240" w:lineRule="auto"/>
        <w:jc w:val="both"/>
        <w:rPr>
          <w:rFonts w:ascii="Arial" w:hAnsi="Arial" w:eastAsia="Calibri" w:cs="Arial"/>
          <w:bCs/>
          <w:sz w:val="20"/>
          <w:szCs w:val="20"/>
          <w:lang w:val="es-ES_tradnl"/>
        </w:rPr>
      </w:pPr>
      <w:r w:rsidRPr="007D2505">
        <w:rPr>
          <w:rFonts w:ascii="Arial" w:hAnsi="Arial" w:eastAsia="Calibri" w:cs="Arial"/>
          <w:bCs/>
          <w:sz w:val="20"/>
          <w:szCs w:val="20"/>
          <w:lang w:val="es-ES_tradnl"/>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rsidRPr="007D2505" w:rsidR="00354834" w:rsidP="000659F8" w:rsidRDefault="00354834" w14:paraId="5B3790FC" w14:textId="77777777">
      <w:pPr>
        <w:widowControl w:val="0"/>
        <w:autoSpaceDE w:val="0"/>
        <w:autoSpaceDN w:val="0"/>
        <w:spacing w:after="0" w:line="276" w:lineRule="auto"/>
        <w:rPr>
          <w:rFonts w:ascii="Arial" w:hAnsi="Arial" w:eastAsia="Times New Roman" w:cs="Arial"/>
          <w:lang w:val="es-ES_tradnl" w:eastAsia="es-ES"/>
        </w:rPr>
      </w:pPr>
    </w:p>
    <w:p w:rsidR="00701F87" w:rsidP="000659F8" w:rsidRDefault="00701F87" w14:paraId="7EC45078" w14:textId="77777777">
      <w:pPr>
        <w:widowControl w:val="0"/>
        <w:autoSpaceDE w:val="0"/>
        <w:autoSpaceDN w:val="0"/>
        <w:spacing w:after="0" w:line="276" w:lineRule="auto"/>
      </w:pPr>
      <w:r w:rsidRPr="00701F87">
        <w:rPr>
          <w:rFonts w:ascii="Arial" w:hAnsi="Arial" w:eastAsia="Calibri" w:cs="Arial"/>
          <w:b/>
          <w:sz w:val="20"/>
          <w:szCs w:val="20"/>
          <w:lang w:val="es-ES_tradnl"/>
        </w:rPr>
        <w:t>PERSONAS EN CONDICIÓN DE DISCAPACIDAD – Puntaje adicional – Fundamento normativo</w:t>
      </w:r>
      <w:r>
        <w:t xml:space="preserve"> </w:t>
      </w:r>
    </w:p>
    <w:p w:rsidR="00701F87" w:rsidP="000659F8" w:rsidRDefault="00701F87" w14:paraId="36B8F93C" w14:textId="77777777">
      <w:pPr>
        <w:widowControl w:val="0"/>
        <w:autoSpaceDE w:val="0"/>
        <w:autoSpaceDN w:val="0"/>
        <w:spacing w:after="0" w:line="276" w:lineRule="auto"/>
      </w:pPr>
    </w:p>
    <w:p w:rsidR="003E3DAF" w:rsidP="00701F87" w:rsidRDefault="00701F87" w14:paraId="196A1C0E" w14:textId="4C50116A">
      <w:pPr>
        <w:widowControl w:val="0"/>
        <w:autoSpaceDE w:val="0"/>
        <w:autoSpaceDN w:val="0"/>
        <w:spacing w:after="0" w:line="240" w:lineRule="auto"/>
        <w:jc w:val="both"/>
        <w:rPr>
          <w:rFonts w:ascii="Arial" w:hAnsi="Arial" w:eastAsia="Calibri" w:cs="Arial"/>
          <w:bCs/>
          <w:sz w:val="20"/>
          <w:szCs w:val="20"/>
          <w:lang w:val="es-ES_tradnl"/>
        </w:rPr>
      </w:pPr>
      <w:r w:rsidRPr="00701F87">
        <w:rPr>
          <w:rFonts w:ascii="Arial" w:hAnsi="Arial" w:eastAsia="Calibri" w:cs="Arial"/>
          <w:bCs/>
          <w:sz w:val="20"/>
          <w:szCs w:val="20"/>
          <w:lang w:val="es-ES_tradnl"/>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Por su parte, cuando se trate de proponentes plurales, esto es, consorcio o unión temporal, la acreditación de requisito corresponderá a los integrantes en la forma antes enunciada. Por ende, deben certificar el número de trabajadores vinculados a la planta de personal, según se trate de persona natural o persona jurídica. En segundo lugar, para acreditar que se cumple con el número mínimo de trabajadores con discapacidad exigido, se empleará un certificado expedido por el Ministerio de Trabajo, el cual debe estar vigente al cierre del respectivo proceso. 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rsidR="00701F87" w:rsidP="00701F87" w:rsidRDefault="00701F87" w14:paraId="44A6B327" w14:textId="77777777">
      <w:pPr>
        <w:widowControl w:val="0"/>
        <w:autoSpaceDE w:val="0"/>
        <w:autoSpaceDN w:val="0"/>
        <w:spacing w:after="0" w:line="240" w:lineRule="auto"/>
        <w:jc w:val="both"/>
        <w:rPr>
          <w:rFonts w:ascii="Arial" w:hAnsi="Arial" w:eastAsia="Calibri" w:cs="Arial"/>
          <w:bCs/>
          <w:sz w:val="20"/>
          <w:szCs w:val="20"/>
          <w:lang w:val="es-ES_tradnl"/>
        </w:rPr>
      </w:pPr>
    </w:p>
    <w:p w:rsidR="00701F87" w:rsidP="000D44EE" w:rsidRDefault="000D44EE" w14:paraId="3C367FF2" w14:textId="0BC23904">
      <w:pPr>
        <w:widowControl w:val="0"/>
        <w:autoSpaceDE w:val="0"/>
        <w:autoSpaceDN w:val="0"/>
        <w:spacing w:after="0" w:line="276" w:lineRule="auto"/>
        <w:rPr>
          <w:rFonts w:ascii="Arial" w:hAnsi="Arial" w:eastAsia="Calibri" w:cs="Arial"/>
          <w:b/>
          <w:bCs/>
          <w:lang w:val="es-ES_tradnl"/>
        </w:rPr>
      </w:pPr>
      <w:r w:rsidRPr="000D44EE">
        <w:rPr>
          <w:rFonts w:ascii="Arial" w:hAnsi="Arial" w:eastAsia="Calibri" w:cs="Arial"/>
          <w:b/>
          <w:sz w:val="20"/>
          <w:szCs w:val="20"/>
          <w:lang w:val="es-ES_tradnl"/>
        </w:rPr>
        <w:t>PUNTAJE ADICIONAL</w:t>
      </w:r>
      <w:r w:rsidR="00AB43C3">
        <w:rPr>
          <w:rFonts w:ascii="Arial" w:hAnsi="Arial" w:eastAsia="Calibri" w:cs="Arial"/>
          <w:b/>
          <w:sz w:val="20"/>
          <w:szCs w:val="20"/>
          <w:lang w:val="es-ES_tradnl"/>
        </w:rPr>
        <w:t xml:space="preserve"> </w:t>
      </w:r>
      <w:r w:rsidRPr="00AB43C3" w:rsidR="00AB43C3">
        <w:rPr>
          <w:rFonts w:ascii="Arial" w:hAnsi="Arial" w:eastAsia="Calibri" w:cs="Arial"/>
          <w:b/>
          <w:bCs/>
          <w:lang w:val="es-ES_tradnl"/>
        </w:rPr>
        <w:t>– Personas con discapacidad – Requisitos – Acreditación – Persona natural – Persona jurídica – Proponente plural</w:t>
      </w:r>
    </w:p>
    <w:p w:rsidR="00AB43C3" w:rsidP="000D44EE" w:rsidRDefault="00AB43C3" w14:paraId="1081A662" w14:textId="77777777">
      <w:pPr>
        <w:widowControl w:val="0"/>
        <w:autoSpaceDE w:val="0"/>
        <w:autoSpaceDN w:val="0"/>
        <w:spacing w:after="0" w:line="276" w:lineRule="auto"/>
        <w:rPr>
          <w:rFonts w:ascii="Arial" w:hAnsi="Arial" w:eastAsia="Calibri" w:cs="Arial"/>
          <w:b/>
          <w:bCs/>
          <w:lang w:val="es-ES_tradnl"/>
        </w:rPr>
      </w:pPr>
    </w:p>
    <w:p w:rsidRPr="005D1166" w:rsidR="005D1166" w:rsidP="005D1166" w:rsidRDefault="005D1166" w14:paraId="4DB11BE3" w14:textId="541AFDEC">
      <w:pPr>
        <w:spacing w:after="240" w:line="240" w:lineRule="auto"/>
        <w:jc w:val="both"/>
        <w:rPr>
          <w:rFonts w:ascii="Arial" w:hAnsi="Arial" w:eastAsia="Calibri" w:cs="Arial"/>
          <w:color w:val="000000"/>
          <w:sz w:val="20"/>
          <w:szCs w:val="20"/>
          <w:lang w:eastAsia="es-MX"/>
        </w:rPr>
      </w:pPr>
      <w:r>
        <w:rPr>
          <w:rFonts w:ascii="Arial" w:hAnsi="Arial" w:eastAsia="Calibri" w:cs="Arial"/>
          <w:color w:val="000000"/>
          <w:sz w:val="20"/>
          <w:szCs w:val="20"/>
          <w:lang w:eastAsia="es-MX"/>
        </w:rPr>
        <w:t xml:space="preserve">[…] </w:t>
      </w:r>
      <w:r w:rsidRPr="005D1166">
        <w:rPr>
          <w:rFonts w:ascii="Arial" w:hAnsi="Arial" w:eastAsia="Calibri" w:cs="Arial"/>
          <w:color w:val="000000"/>
          <w:sz w:val="20"/>
          <w:szCs w:val="20"/>
          <w:lang w:eastAsia="es-MX"/>
        </w:rPr>
        <w:t xml:space="preserve">el numeral 1 del artículo en mención dispone que, para asignar el puntaje adicional a los proponentes con trabajadores en condición de discapacidad, se requiere un certificado expedido por la persona natural, el representante legal de la persona jurídica o el revisor fiscal que acredite el número total de trabajadores vinculados </w:t>
      </w:r>
      <w:r w:rsidRPr="005D1166">
        <w:rPr>
          <w:rFonts w:ascii="Arial" w:hAnsi="Arial" w:eastAsia="Calibri" w:cs="Arial"/>
          <w:i/>
          <w:iCs/>
          <w:color w:val="000000"/>
          <w:sz w:val="20"/>
          <w:szCs w:val="20"/>
          <w:lang w:eastAsia="es-MX"/>
        </w:rPr>
        <w:t xml:space="preserve">a la planta de personal </w:t>
      </w:r>
      <w:r w:rsidRPr="005D1166">
        <w:rPr>
          <w:rFonts w:ascii="Arial" w:hAnsi="Arial" w:eastAsia="Calibri" w:cs="Arial"/>
          <w:color w:val="000000"/>
          <w:sz w:val="20"/>
          <w:szCs w:val="20"/>
          <w:lang w:eastAsia="es-MX"/>
        </w:rPr>
        <w:t xml:space="preserve">del proponente </w:t>
      </w:r>
      <w:r w:rsidRPr="005D1166">
        <w:rPr>
          <w:rFonts w:ascii="Arial" w:hAnsi="Arial" w:eastAsia="Calibri" w:cs="Arial"/>
          <w:iCs/>
          <w:color w:val="000000"/>
          <w:sz w:val="20"/>
          <w:szCs w:val="20"/>
          <w:lang w:eastAsia="es-MX"/>
        </w:rPr>
        <w:t>o</w:t>
      </w:r>
      <w:r w:rsidRPr="005D1166">
        <w:rPr>
          <w:rFonts w:ascii="Arial" w:hAnsi="Arial" w:eastAsia="Calibri" w:cs="Arial"/>
          <w:color w:val="000000"/>
          <w:sz w:val="20"/>
          <w:szCs w:val="20"/>
          <w:lang w:eastAsia="es-MX"/>
        </w:rPr>
        <w:t xml:space="preserve"> sus integrantes a la fecha de cierre del procedimiento de selección.</w:t>
      </w:r>
    </w:p>
    <w:p w:rsidRPr="005D1166" w:rsidR="005D1166" w:rsidP="005D1166" w:rsidRDefault="005D1166" w14:paraId="1E87A3B7" w14:textId="13EF20E4">
      <w:pPr>
        <w:spacing w:after="240" w:line="240" w:lineRule="auto"/>
        <w:jc w:val="both"/>
        <w:rPr>
          <w:rFonts w:ascii="Arial" w:hAnsi="Arial" w:eastAsia="Calibri" w:cs="Arial"/>
          <w:color w:val="000000"/>
          <w:sz w:val="20"/>
          <w:szCs w:val="20"/>
          <w:lang w:eastAsia="es-MX"/>
        </w:rPr>
      </w:pPr>
      <w:r w:rsidRPr="005D1166">
        <w:rPr>
          <w:rFonts w:ascii="Arial" w:hAnsi="Arial" w:eastAsia="Calibri" w:cs="Arial"/>
          <w:color w:val="000000"/>
          <w:sz w:val="20"/>
          <w:szCs w:val="20"/>
          <w:lang w:eastAsia="es-MX"/>
        </w:rPr>
        <w:t xml:space="preserve">De conformidad con la disyunción prevista en el numeral 1 del artículo </w:t>
      </w:r>
      <w:r w:rsidRPr="005D1166">
        <w:rPr>
          <w:rFonts w:ascii="Arial" w:hAnsi="Arial" w:eastAsia="Calibri" w:cs="Arial"/>
          <w:color w:val="000000"/>
          <w:sz w:val="20"/>
          <w:szCs w:val="20"/>
          <w:lang w:val="es-ES" w:eastAsia="es-MX"/>
        </w:rPr>
        <w:t xml:space="preserve">2.2.1.2.4.2.6 </w:t>
      </w:r>
      <w:r w:rsidRPr="005D1166">
        <w:rPr>
          <w:rFonts w:ascii="Arial" w:hAnsi="Arial" w:eastAsia="Calibri" w:cs="Arial"/>
          <w:color w:val="000000"/>
          <w:sz w:val="20"/>
          <w:szCs w:val="20"/>
          <w:lang w:eastAsia="es-MX"/>
        </w:rPr>
        <w:t>del Decreto 1082 de 2015, es posible afirmar 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con el Decreto 392 de 2018, tratándose de empresas o sociedades que están obligadas a tener revisor fiscal, este es quien certifica el número total de trabajadores vinculados a la planta de personal del proponente o sus integrantes a la fecha de cierre.</w:t>
      </w:r>
    </w:p>
    <w:p w:rsidRPr="005D1166" w:rsidR="005D1166" w:rsidP="005D1166" w:rsidRDefault="005D1166" w14:paraId="54A06B90" w14:textId="77777777">
      <w:pPr>
        <w:spacing w:after="240" w:line="240" w:lineRule="auto"/>
        <w:jc w:val="both"/>
        <w:rPr>
          <w:rFonts w:ascii="Arial" w:hAnsi="Arial" w:cs="Arial"/>
          <w:color w:val="000000"/>
          <w:sz w:val="20"/>
          <w:szCs w:val="20"/>
          <w:lang w:eastAsia="es-MX"/>
        </w:rPr>
      </w:pPr>
      <w:r w:rsidRPr="005D1166">
        <w:rPr>
          <w:rFonts w:ascii="Arial" w:hAnsi="Arial" w:cs="Arial"/>
          <w:color w:val="000000"/>
          <w:sz w:val="20"/>
          <w:szCs w:val="20"/>
          <w:lang w:eastAsia="es-MX"/>
        </w:rPr>
        <w:lastRenderedPageBreak/>
        <w:t xml:space="preserve">En todo caso, el parágrafo del artículo </w:t>
      </w:r>
      <w:r w:rsidRPr="005D1166">
        <w:rPr>
          <w:rFonts w:ascii="Arial" w:hAnsi="Arial" w:eastAsia="Calibri" w:cs="Arial"/>
          <w:color w:val="000000"/>
          <w:sz w:val="20"/>
          <w:szCs w:val="20"/>
          <w:lang w:val="es-ES" w:eastAsia="es-MX"/>
        </w:rPr>
        <w:t>2.2.1.2.4.2.6</w:t>
      </w:r>
      <w:r w:rsidRPr="005D1166">
        <w:rPr>
          <w:rFonts w:ascii="Arial" w:hAnsi="Arial" w:cs="Arial"/>
          <w:color w:val="000000"/>
          <w:sz w:val="20"/>
          <w:szCs w:val="20"/>
          <w:lang w:eastAsia="es-MX"/>
        </w:rPr>
        <w:t xml:space="preserve"> del Decreto 1082 de 2015 dispone que “</w:t>
      </w:r>
      <w:r w:rsidRPr="005D1166">
        <w:rPr>
          <w:rFonts w:ascii="Arial" w:hAnsi="Arial" w:cs="Arial"/>
          <w:color w:val="000000"/>
          <w:sz w:val="20"/>
          <w:szCs w:val="20"/>
          <w:lang w:eastAsia="es-CO"/>
        </w:rPr>
        <w:t>[…]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sidRPr="005D1166">
        <w:rPr>
          <w:rFonts w:ascii="Arial" w:hAnsi="Arial" w:cs="Arial"/>
          <w:color w:val="000000"/>
          <w:sz w:val="20"/>
          <w:szCs w:val="20"/>
          <w:lang w:eastAsia="es-MX"/>
        </w:rPr>
        <w:t xml:space="preserve"> Esto significa que el cumplimiento de los requisitos establecidos en el Decreto 392 de 2019 lo acredita el integrante de la estructura plural que aporte más </w:t>
      </w:r>
      <w:proofErr w:type="spellStart"/>
      <w:r w:rsidRPr="005D1166">
        <w:rPr>
          <w:rFonts w:ascii="Arial" w:hAnsi="Arial" w:cs="Arial"/>
          <w:color w:val="000000"/>
          <w:sz w:val="20"/>
          <w:szCs w:val="20"/>
          <w:lang w:eastAsia="es-MX"/>
        </w:rPr>
        <w:t>del</w:t>
      </w:r>
      <w:proofErr w:type="spellEnd"/>
      <w:r w:rsidRPr="005D1166">
        <w:rPr>
          <w:rFonts w:ascii="Arial" w:hAnsi="Arial" w:cs="Arial"/>
          <w:color w:val="000000"/>
          <w:sz w:val="20"/>
          <w:szCs w:val="20"/>
          <w:lang w:eastAsia="es-MX"/>
        </w:rPr>
        <w:t xml:space="preserve">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rsidRPr="005D1166" w:rsidR="00AB43C3" w:rsidP="000D44EE" w:rsidRDefault="00AB43C3" w14:paraId="0E6CA2A7" w14:textId="77777777">
      <w:pPr>
        <w:widowControl w:val="0"/>
        <w:autoSpaceDE w:val="0"/>
        <w:autoSpaceDN w:val="0"/>
        <w:spacing w:after="0" w:line="276" w:lineRule="auto"/>
        <w:rPr>
          <w:rFonts w:ascii="Arial" w:hAnsi="Arial" w:eastAsia="Calibri" w:cs="Arial"/>
          <w:b/>
          <w:sz w:val="20"/>
          <w:szCs w:val="20"/>
        </w:rPr>
      </w:pPr>
    </w:p>
    <w:p w:rsidR="003E3DAF" w:rsidP="000659F8" w:rsidRDefault="003E3DAF" w14:paraId="775817DD"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378558A9"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538029A6"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59D19760"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6ADFCF10"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4D171A11"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32221A04"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5E081FC9"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53ED9E44"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16527238"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06DD1EB0"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4A8FA16B"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74F97693"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375F19EF"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096C62BD"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17789A17"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332D3514"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60E24F6C"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5DF4740B"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62A1661C"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2BC2CE9E"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3EF3D26F"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71D094C1"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79441B15"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27DD7593"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365C3065"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25A89B91"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4922D481"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0CBF6719" w14:textId="77777777">
      <w:pPr>
        <w:widowControl w:val="0"/>
        <w:autoSpaceDE w:val="0"/>
        <w:autoSpaceDN w:val="0"/>
        <w:spacing w:after="0" w:line="276" w:lineRule="auto"/>
        <w:rPr>
          <w:rFonts w:ascii="Arial" w:hAnsi="Arial" w:eastAsia="Times New Roman" w:cs="Arial"/>
          <w:lang w:val="es-ES" w:eastAsia="es-ES"/>
        </w:rPr>
      </w:pPr>
    </w:p>
    <w:p w:rsidR="003E3DAF" w:rsidP="000659F8" w:rsidRDefault="003E3DAF" w14:paraId="0D93AF05" w14:textId="77777777">
      <w:pPr>
        <w:widowControl w:val="0"/>
        <w:autoSpaceDE w:val="0"/>
        <w:autoSpaceDN w:val="0"/>
        <w:spacing w:after="0" w:line="276" w:lineRule="auto"/>
        <w:rPr>
          <w:rFonts w:ascii="Arial" w:hAnsi="Arial" w:eastAsia="Times New Roman" w:cs="Arial"/>
          <w:lang w:val="es-ES" w:eastAsia="es-ES"/>
        </w:rPr>
      </w:pPr>
    </w:p>
    <w:p w:rsidR="000659F8" w:rsidP="000659F8" w:rsidRDefault="000659F8" w14:paraId="525786F1" w14:textId="25E2EC65">
      <w:pPr>
        <w:widowControl w:val="0"/>
        <w:autoSpaceDE w:val="0"/>
        <w:autoSpaceDN w:val="0"/>
        <w:spacing w:after="0" w:line="276" w:lineRule="auto"/>
        <w:rPr>
          <w:rFonts w:ascii="Arial" w:hAnsi="Arial" w:eastAsia="Times New Roman" w:cs="Arial"/>
          <w:lang w:val="es-ES" w:eastAsia="es-ES"/>
        </w:rPr>
      </w:pPr>
      <w:r w:rsidRPr="009C7623">
        <w:rPr>
          <w:rFonts w:ascii="Arial" w:hAnsi="Arial" w:eastAsia="Times New Roman" w:cs="Arial"/>
          <w:lang w:val="es-ES" w:eastAsia="es-ES"/>
        </w:rPr>
        <w:lastRenderedPageBreak/>
        <w:t xml:space="preserve">Bogotá D.C., </w:t>
      </w:r>
      <w:r w:rsidR="00A651D8">
        <w:rPr>
          <w:rFonts w:ascii="Arial" w:hAnsi="Arial" w:eastAsia="Times New Roman" w:cs="Arial"/>
          <w:lang w:val="es-ES" w:eastAsia="es-ES"/>
        </w:rPr>
        <w:t>29</w:t>
      </w:r>
      <w:r w:rsidRPr="009C7623">
        <w:rPr>
          <w:rFonts w:ascii="Arial" w:hAnsi="Arial" w:eastAsia="Times New Roman" w:cs="Arial"/>
          <w:lang w:val="es-ES" w:eastAsia="es-ES"/>
        </w:rPr>
        <w:t xml:space="preserve"> d</w:t>
      </w:r>
      <w:r w:rsidR="00A651D8">
        <w:rPr>
          <w:rFonts w:ascii="Arial" w:hAnsi="Arial" w:eastAsia="Times New Roman" w:cs="Arial"/>
          <w:lang w:val="es-ES" w:eastAsia="es-ES"/>
        </w:rPr>
        <w:t>e mayo</w:t>
      </w:r>
      <w:r w:rsidRPr="009C7623">
        <w:rPr>
          <w:rFonts w:ascii="Arial" w:hAnsi="Arial" w:eastAsia="Times New Roman" w:cs="Arial"/>
          <w:lang w:val="es-ES" w:eastAsia="es-ES"/>
        </w:rPr>
        <w:t xml:space="preserve"> de </w:t>
      </w:r>
      <w:r w:rsidR="00A651D8">
        <w:rPr>
          <w:rFonts w:ascii="Arial" w:hAnsi="Arial" w:eastAsia="Times New Roman" w:cs="Arial"/>
          <w:lang w:val="es-ES" w:eastAsia="es-ES"/>
        </w:rPr>
        <w:t>2023</w:t>
      </w:r>
    </w:p>
    <w:p w:rsidRPr="00BC0F9B" w:rsidR="00A651D8" w:rsidP="000659F8" w:rsidRDefault="00A651D8" w14:paraId="253AEFA3" w14:textId="77777777">
      <w:pPr>
        <w:widowControl w:val="0"/>
        <w:autoSpaceDE w:val="0"/>
        <w:autoSpaceDN w:val="0"/>
        <w:spacing w:after="0" w:line="276" w:lineRule="auto"/>
        <w:rPr>
          <w:rFonts w:ascii="Arial" w:hAnsi="Arial" w:eastAsia="Calibri" w:cs="Arial"/>
          <w:b/>
          <w:bCs/>
          <w:lang w:val="es-ES"/>
        </w:rPr>
      </w:pPr>
    </w:p>
    <w:p w:rsidRPr="009208B9" w:rsidR="000659F8" w:rsidP="000659F8" w:rsidRDefault="00E629F2" w14:paraId="02E0B44E" w14:textId="18F3C651">
      <w:pPr>
        <w:spacing w:after="0" w:line="276" w:lineRule="auto"/>
        <w:jc w:val="right"/>
        <w:rPr>
          <w:rFonts w:ascii="Arial" w:hAnsi="Arial" w:eastAsia="Calibri" w:cs="Arial"/>
          <w:b/>
          <w:bCs/>
          <w:lang w:val="es-ES"/>
        </w:rPr>
      </w:pPr>
      <w:r>
        <w:rPr>
          <w:noProof/>
        </w:rPr>
        <w:drawing>
          <wp:inline distT="0" distB="0" distL="0" distR="0" wp14:anchorId="3BD6FABF" wp14:editId="608993B1">
            <wp:extent cx="2660650" cy="647700"/>
            <wp:effectExtent l="0" t="0" r="6350" b="0"/>
            <wp:docPr id="163904187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0650" cy="647700"/>
                    </a:xfrm>
                    <a:prstGeom prst="rect">
                      <a:avLst/>
                    </a:prstGeom>
                    <a:noFill/>
                    <a:ln>
                      <a:noFill/>
                    </a:ln>
                  </pic:spPr>
                </pic:pic>
              </a:graphicData>
            </a:graphic>
          </wp:inline>
        </w:drawing>
      </w:r>
    </w:p>
    <w:p w:rsidR="000659F8" w:rsidP="000659F8" w:rsidRDefault="000659F8" w14:paraId="0171C545" w14:textId="77777777">
      <w:pPr>
        <w:spacing w:after="0" w:line="276" w:lineRule="auto"/>
        <w:jc w:val="both"/>
        <w:rPr>
          <w:rFonts w:ascii="Arial" w:hAnsi="Arial" w:eastAsia="Calibri" w:cs="Arial"/>
          <w:lang w:val="es-ES"/>
        </w:rPr>
      </w:pPr>
      <w:r w:rsidRPr="00FB47D0">
        <w:rPr>
          <w:rFonts w:ascii="Arial" w:hAnsi="Arial" w:eastAsia="Calibri" w:cs="Arial"/>
          <w:lang w:val="es-ES"/>
        </w:rPr>
        <w:t>Señor</w:t>
      </w:r>
      <w:r w:rsidRPr="0024233C">
        <w:rPr>
          <w:noProof/>
        </w:rPr>
        <w:t xml:space="preserve"> </w:t>
      </w:r>
    </w:p>
    <w:p w:rsidR="000659F8" w:rsidP="000659F8" w:rsidRDefault="000659F8" w14:paraId="04A98CA3" w14:textId="77777777">
      <w:pPr>
        <w:spacing w:after="0" w:line="276" w:lineRule="auto"/>
        <w:jc w:val="both"/>
        <w:rPr>
          <w:rFonts w:ascii="Arial" w:hAnsi="Arial" w:eastAsia="Calibri" w:cs="Arial"/>
          <w:b/>
          <w:bCs/>
          <w:lang w:val="es-ES"/>
        </w:rPr>
      </w:pPr>
      <w:r>
        <w:rPr>
          <w:rFonts w:ascii="Arial" w:hAnsi="Arial" w:eastAsia="Calibri" w:cs="Arial"/>
          <w:b/>
          <w:bCs/>
          <w:lang w:val="es-ES"/>
        </w:rPr>
        <w:t>Alirio Pabón Acosta</w:t>
      </w:r>
    </w:p>
    <w:p w:rsidRPr="0024233C" w:rsidR="000659F8" w:rsidP="000659F8" w:rsidRDefault="00000000" w14:paraId="778505E6" w14:textId="77777777">
      <w:pPr>
        <w:spacing w:after="0" w:line="276" w:lineRule="auto"/>
        <w:jc w:val="both"/>
        <w:rPr>
          <w:rFonts w:ascii="Arial" w:hAnsi="Arial" w:eastAsia="Calibri" w:cs="Arial"/>
          <w:lang w:val="es-ES"/>
        </w:rPr>
      </w:pPr>
      <w:hyperlink w:history="1" r:id="rId8">
        <w:r w:rsidRPr="00594B1D" w:rsidR="000659F8">
          <w:rPr>
            <w:rStyle w:val="Hipervnculo"/>
            <w:rFonts w:ascii="Arial" w:hAnsi="Arial" w:eastAsia="Calibri" w:cs="Arial"/>
            <w:lang w:val="es-ES"/>
          </w:rPr>
          <w:t>aliriopab@gmail.com</w:t>
        </w:r>
      </w:hyperlink>
      <w:r w:rsidR="000659F8">
        <w:rPr>
          <w:rFonts w:ascii="Arial" w:hAnsi="Arial" w:eastAsia="Calibri" w:cs="Arial"/>
          <w:lang w:val="es-ES"/>
        </w:rPr>
        <w:t xml:space="preserve">  </w:t>
      </w:r>
    </w:p>
    <w:p w:rsidRPr="0024233C" w:rsidR="000659F8" w:rsidP="000659F8" w:rsidRDefault="000659F8" w14:paraId="45403A94" w14:textId="77777777">
      <w:pPr>
        <w:spacing w:after="0" w:line="276" w:lineRule="auto"/>
        <w:jc w:val="both"/>
        <w:rPr>
          <w:rFonts w:ascii="Arial" w:hAnsi="Arial" w:eastAsia="Calibri" w:cs="Arial"/>
          <w:lang w:val="es-ES"/>
        </w:rPr>
      </w:pPr>
      <w:r>
        <w:rPr>
          <w:rFonts w:ascii="Arial" w:hAnsi="Arial" w:eastAsia="Calibri" w:cs="Arial"/>
          <w:lang w:val="es-ES"/>
        </w:rPr>
        <w:t>Girón</w:t>
      </w:r>
      <w:r w:rsidRPr="0024233C">
        <w:rPr>
          <w:rFonts w:ascii="Arial" w:hAnsi="Arial" w:eastAsia="Calibri" w:cs="Arial"/>
          <w:lang w:val="es-ES"/>
        </w:rPr>
        <w:t xml:space="preserve">, </w:t>
      </w:r>
      <w:r>
        <w:rPr>
          <w:rFonts w:ascii="Arial" w:hAnsi="Arial" w:eastAsia="Calibri" w:cs="Arial"/>
          <w:lang w:val="es-ES"/>
        </w:rPr>
        <w:t>Santander</w:t>
      </w:r>
      <w:r w:rsidRPr="0024233C">
        <w:rPr>
          <w:rFonts w:ascii="Arial" w:hAnsi="Arial" w:eastAsia="Calibri" w:cs="Arial"/>
          <w:lang w:val="es-ES"/>
        </w:rPr>
        <w:cr/>
      </w:r>
    </w:p>
    <w:p w:rsidRPr="005264A0" w:rsidR="000659F8" w:rsidP="000659F8" w:rsidRDefault="000659F8" w14:paraId="4C140CB7" w14:textId="77777777">
      <w:pPr>
        <w:spacing w:after="0" w:line="240" w:lineRule="auto"/>
        <w:ind w:left="3969"/>
        <w:jc w:val="both"/>
        <w:rPr>
          <w:rFonts w:ascii="Arial" w:hAnsi="Arial" w:eastAsia="Calibri" w:cs="Arial"/>
          <w:b/>
          <w:bCs/>
          <w:lang w:val="es-ES_tradnl"/>
        </w:rPr>
      </w:pPr>
      <w:r w:rsidRPr="005264A0">
        <w:rPr>
          <w:rFonts w:ascii="Arial" w:hAnsi="Arial" w:eastAsia="Calibri" w:cs="Arial"/>
          <w:b/>
          <w:bCs/>
          <w:lang w:val="es-ES_tradnl"/>
        </w:rPr>
        <w:t>Concepto C</w:t>
      </w:r>
      <w:r>
        <w:rPr>
          <w:rFonts w:ascii="Arial" w:hAnsi="Arial" w:eastAsia="Calibri" w:cs="Arial"/>
          <w:b/>
          <w:bCs/>
          <w:lang w:val="es-ES_tradnl"/>
        </w:rPr>
        <w:t>–139</w:t>
      </w:r>
      <w:r w:rsidRPr="005264A0">
        <w:rPr>
          <w:rFonts w:ascii="Arial" w:hAnsi="Arial" w:eastAsia="Calibri" w:cs="Arial"/>
          <w:b/>
          <w:bCs/>
          <w:lang w:val="es-ES_tradnl"/>
        </w:rPr>
        <w:t xml:space="preserve"> de 202</w:t>
      </w:r>
      <w:r>
        <w:rPr>
          <w:rFonts w:ascii="Arial" w:hAnsi="Arial" w:eastAsia="Calibri" w:cs="Arial"/>
          <w:b/>
          <w:bCs/>
          <w:lang w:val="es-ES_tradnl"/>
        </w:rPr>
        <w:t>3</w:t>
      </w:r>
    </w:p>
    <w:p w:rsidRPr="005264A0" w:rsidR="000659F8" w:rsidP="000659F8" w:rsidRDefault="000659F8" w14:paraId="3838B73A" w14:textId="77777777">
      <w:pPr>
        <w:jc w:val="both"/>
        <w:rPr>
          <w:rFonts w:ascii="Arial" w:hAnsi="Arial" w:eastAsia="Calibri" w:cs="Arial"/>
          <w:lang w:val="es-ES_tradnl"/>
        </w:rPr>
      </w:pPr>
    </w:p>
    <w:tbl>
      <w:tblPr>
        <w:tblStyle w:val="Tablaconcuadrcula"/>
        <w:tblW w:w="9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809"/>
      </w:tblGrid>
      <w:tr w:rsidRPr="005264A0" w:rsidR="000659F8" w:rsidTr="006C25E2" w14:paraId="67D9DFC5" w14:textId="77777777">
        <w:tc>
          <w:tcPr>
            <w:tcW w:w="2689" w:type="dxa"/>
          </w:tcPr>
          <w:p w:rsidRPr="005264A0" w:rsidR="000659F8" w:rsidP="006C25E2" w:rsidRDefault="000659F8" w14:paraId="72D9F160" w14:textId="77777777">
            <w:pPr>
              <w:jc w:val="both"/>
              <w:rPr>
                <w:rFonts w:ascii="Arial" w:hAnsi="Arial" w:eastAsia="Calibri" w:cs="Arial"/>
                <w:lang w:val="es-ES_tradnl"/>
              </w:rPr>
            </w:pPr>
            <w:r w:rsidRPr="005264A0">
              <w:rPr>
                <w:rFonts w:ascii="Arial" w:hAnsi="Arial" w:eastAsia="Calibri" w:cs="Arial"/>
                <w:b/>
                <w:lang w:val="es-ES_tradnl"/>
              </w:rPr>
              <w:t>Temas:</w:t>
            </w:r>
            <w:r w:rsidRPr="005264A0">
              <w:rPr>
                <w:rFonts w:ascii="Arial" w:hAnsi="Arial" w:eastAsia="Calibri" w:cs="Arial"/>
                <w:lang w:val="es-ES_tradnl"/>
              </w:rPr>
              <w:t xml:space="preserve">                                      </w:t>
            </w:r>
          </w:p>
        </w:tc>
        <w:tc>
          <w:tcPr>
            <w:tcW w:w="6809" w:type="dxa"/>
          </w:tcPr>
          <w:p w:rsidRPr="005264A0" w:rsidR="000659F8" w:rsidP="006C25E2" w:rsidRDefault="000659F8" w14:paraId="2E0DF0C1" w14:textId="77777777">
            <w:pPr>
              <w:spacing w:before="120"/>
              <w:ind w:left="1284"/>
              <w:jc w:val="both"/>
              <w:rPr>
                <w:rFonts w:ascii="Arial" w:hAnsi="Arial" w:eastAsia="Calibri" w:cs="Arial"/>
                <w:lang w:val="es-ES_tradnl"/>
              </w:rPr>
            </w:pPr>
            <w:r w:rsidRPr="001F769E">
              <w:rPr>
                <w:rFonts w:ascii="Arial" w:hAnsi="Arial" w:eastAsia="Calibri" w:cs="Arial"/>
                <w:lang w:val="es-ES_tradnl"/>
              </w:rPr>
              <w:t>EXPERIENCIA – Noción / EXPERIENCIA – Noción ‒ Colombia Compra Eficiente / SOCIEDADES NUEVAS ‒ Experiencia ‒ Inferior a tres años ‒ Requisitos habilitantes ‒ Desarrollo de la empresa / EXPERIENCIA ‒ Conservación ‒ Renovación RUP ‒ Cesación efectos RUP / EXPERIENCIA – Retiro del socio − Sociedades – Menor a 3 años de constitución</w:t>
            </w:r>
            <w:r>
              <w:rPr>
                <w:rFonts w:ascii="Arial" w:hAnsi="Arial" w:eastAsia="Calibri" w:cs="Arial"/>
                <w:lang w:val="es-ES_tradnl"/>
              </w:rPr>
              <w:t xml:space="preserve"> / </w:t>
            </w:r>
            <w:r w:rsidRPr="00FC0BFB">
              <w:rPr>
                <w:rFonts w:ascii="Arial" w:hAnsi="Arial" w:eastAsia="Calibri" w:cs="Arial"/>
                <w:lang w:val="es-ES_tradnl"/>
              </w:rPr>
              <w:t>PERSONAS CON DISCAPACIDAD – Puntaje adicional – Fundamento normativo</w:t>
            </w:r>
            <w:r>
              <w:rPr>
                <w:rFonts w:ascii="Arial" w:hAnsi="Arial" w:eastAsia="Calibri" w:cs="Arial"/>
                <w:lang w:val="es-ES_tradnl"/>
              </w:rPr>
              <w:t xml:space="preserve"> / </w:t>
            </w:r>
            <w:r w:rsidRPr="00B53F5E">
              <w:rPr>
                <w:rFonts w:ascii="Arial" w:hAnsi="Arial" w:eastAsia="Calibri" w:cs="Arial"/>
                <w:lang w:val="es-ES_tradnl"/>
              </w:rPr>
              <w:t>PUNTAJE ADICIONAL – Personas con discapacidad – Requisitos – Acreditación – Persona natural – Persona jurídica – Proponente plural</w:t>
            </w:r>
          </w:p>
        </w:tc>
      </w:tr>
      <w:tr w:rsidRPr="005264A0" w:rsidR="000659F8" w:rsidTr="006C25E2" w14:paraId="7D74ED58" w14:textId="77777777">
        <w:tc>
          <w:tcPr>
            <w:tcW w:w="2689" w:type="dxa"/>
          </w:tcPr>
          <w:p w:rsidRPr="005264A0" w:rsidR="000659F8" w:rsidP="006C25E2" w:rsidRDefault="000659F8" w14:paraId="2C6A8998" w14:textId="77777777">
            <w:pPr>
              <w:spacing w:before="120"/>
              <w:jc w:val="both"/>
              <w:rPr>
                <w:rFonts w:ascii="Arial" w:hAnsi="Arial" w:eastAsia="Calibri" w:cs="Arial"/>
                <w:b/>
                <w:lang w:val="es-ES_tradnl"/>
              </w:rPr>
            </w:pPr>
            <w:r w:rsidRPr="005264A0">
              <w:rPr>
                <w:rFonts w:ascii="Arial" w:hAnsi="Arial" w:eastAsia="Calibri" w:cs="Arial"/>
                <w:b/>
                <w:lang w:val="es-ES_tradnl"/>
              </w:rPr>
              <w:t>Radicación:</w:t>
            </w:r>
            <w:r w:rsidRPr="005264A0">
              <w:rPr>
                <w:rFonts w:ascii="Arial" w:hAnsi="Arial" w:eastAsia="Calibri" w:cs="Arial"/>
                <w:lang w:val="es-ES_tradnl"/>
              </w:rPr>
              <w:t xml:space="preserve">                              </w:t>
            </w:r>
          </w:p>
        </w:tc>
        <w:tc>
          <w:tcPr>
            <w:tcW w:w="6809" w:type="dxa"/>
          </w:tcPr>
          <w:p w:rsidRPr="005264A0" w:rsidR="000659F8" w:rsidP="006C25E2" w:rsidRDefault="000659F8" w14:paraId="0E2D5DD2" w14:textId="77777777">
            <w:pPr>
              <w:spacing w:before="120"/>
              <w:ind w:left="1284"/>
              <w:jc w:val="both"/>
              <w:rPr>
                <w:rFonts w:ascii="Arial" w:hAnsi="Arial" w:eastAsia="Calibri" w:cs="Arial"/>
                <w:lang w:val="es-ES_tradnl"/>
              </w:rPr>
            </w:pPr>
            <w:r w:rsidRPr="001F769E">
              <w:rPr>
                <w:rFonts w:ascii="Arial" w:hAnsi="Arial" w:eastAsia="Calibri" w:cs="Arial"/>
                <w:lang w:val="es-ES_tradnl"/>
              </w:rPr>
              <w:t>Respuesta a l</w:t>
            </w:r>
            <w:r>
              <w:rPr>
                <w:rFonts w:ascii="Arial" w:hAnsi="Arial" w:eastAsia="Calibri" w:cs="Arial"/>
                <w:lang w:val="es-ES_tradnl"/>
              </w:rPr>
              <w:t xml:space="preserve">a consulta No. </w:t>
            </w:r>
            <w:r w:rsidRPr="00147746">
              <w:rPr>
                <w:rFonts w:ascii="Arial" w:hAnsi="Arial" w:eastAsia="Calibri" w:cs="Arial"/>
                <w:lang w:val="es-ES_tradnl"/>
              </w:rPr>
              <w:t>P20230413003303</w:t>
            </w:r>
            <w:r w:rsidRPr="005264A0">
              <w:rPr>
                <w:rFonts w:ascii="Arial" w:hAnsi="Arial" w:eastAsia="Calibri" w:cs="Arial"/>
                <w:lang w:val="es-ES_tradnl"/>
              </w:rPr>
              <w:t xml:space="preserve"> </w:t>
            </w:r>
          </w:p>
        </w:tc>
      </w:tr>
    </w:tbl>
    <w:p w:rsidR="000659F8" w:rsidP="000659F8" w:rsidRDefault="000659F8" w14:paraId="09C241AF" w14:textId="77777777">
      <w:pPr>
        <w:jc w:val="both"/>
        <w:rPr>
          <w:rFonts w:ascii="Arial" w:hAnsi="Arial" w:eastAsia="Calibri" w:cs="Arial"/>
          <w:lang w:val="es-ES_tradnl"/>
        </w:rPr>
      </w:pPr>
    </w:p>
    <w:p w:rsidRPr="005264A0" w:rsidR="000659F8" w:rsidP="000659F8" w:rsidRDefault="000659F8" w14:paraId="7C5E7BA9" w14:textId="77777777">
      <w:pPr>
        <w:jc w:val="both"/>
        <w:rPr>
          <w:rFonts w:ascii="Arial" w:hAnsi="Arial" w:eastAsia="Calibri" w:cs="Arial"/>
          <w:lang w:val="es-ES_tradnl"/>
        </w:rPr>
      </w:pPr>
      <w:r w:rsidRPr="005264A0">
        <w:rPr>
          <w:rFonts w:ascii="Arial" w:hAnsi="Arial" w:eastAsia="Calibri" w:cs="Arial"/>
          <w:lang w:val="es-ES_tradnl"/>
        </w:rPr>
        <w:t>Estimad</w:t>
      </w:r>
      <w:r>
        <w:rPr>
          <w:rFonts w:ascii="Arial" w:hAnsi="Arial" w:eastAsia="Calibri" w:cs="Arial"/>
          <w:lang w:val="es-ES_tradnl"/>
        </w:rPr>
        <w:t>o señor Pabón Acosta</w:t>
      </w:r>
      <w:r w:rsidRPr="005264A0">
        <w:rPr>
          <w:rFonts w:ascii="Arial" w:hAnsi="Arial" w:eastAsia="Calibri" w:cs="Arial"/>
          <w:lang w:val="es-ES_tradnl"/>
        </w:rPr>
        <w:t>:</w:t>
      </w:r>
    </w:p>
    <w:p w:rsidRPr="005264A0" w:rsidR="000659F8" w:rsidP="000659F8" w:rsidRDefault="000659F8" w14:paraId="4FBAFF39" w14:textId="77777777">
      <w:pPr>
        <w:spacing w:line="276" w:lineRule="auto"/>
        <w:jc w:val="both"/>
        <w:rPr>
          <w:rFonts w:ascii="Arial" w:hAnsi="Arial" w:eastAsia="Calibri" w:cs="Arial"/>
          <w:lang w:val="es-ES_tradnl"/>
        </w:rPr>
      </w:pPr>
      <w:r w:rsidRPr="005264A0">
        <w:rPr>
          <w:rFonts w:ascii="Arial" w:hAnsi="Arial" w:eastAsia="Calibri" w:cs="Arial"/>
          <w:lang w:val="es-ES_tradnl"/>
        </w:rPr>
        <w:t xml:space="preserve">En ejercicio de la competencia otorgada por el numeral 8 del artículo 11 y el numeral 5 del artículo 3 del Decreto Ley 4170 de 2011, la Agencia Nacional de Contratación Pública ― Colombia Compra Eficiente </w:t>
      </w:r>
      <w:r>
        <w:rPr>
          <w:rFonts w:ascii="Arial" w:hAnsi="Arial" w:eastAsia="Calibri" w:cs="Arial"/>
          <w:lang w:val="es-ES_tradnl"/>
        </w:rPr>
        <w:t>r</w:t>
      </w:r>
      <w:r w:rsidRPr="001F769E">
        <w:rPr>
          <w:rFonts w:ascii="Arial" w:hAnsi="Arial" w:eastAsia="Calibri" w:cs="Arial"/>
          <w:lang w:val="es-ES_tradnl"/>
        </w:rPr>
        <w:t xml:space="preserve">esponde la consulta radicada el </w:t>
      </w:r>
      <w:r>
        <w:rPr>
          <w:rFonts w:ascii="Arial" w:hAnsi="Arial" w:eastAsia="Calibri" w:cs="Arial"/>
          <w:lang w:val="es-ES_tradnl"/>
        </w:rPr>
        <w:t>13 de abril de 2023.</w:t>
      </w:r>
    </w:p>
    <w:p w:rsidRPr="00042BBC" w:rsidR="000659F8" w:rsidP="000659F8" w:rsidRDefault="000659F8" w14:paraId="53DE1F39" w14:textId="77777777">
      <w:pPr>
        <w:pStyle w:val="Prrafodelista"/>
        <w:numPr>
          <w:ilvl w:val="0"/>
          <w:numId w:val="1"/>
        </w:numPr>
        <w:tabs>
          <w:tab w:val="left" w:pos="0"/>
          <w:tab w:val="left" w:pos="142"/>
          <w:tab w:val="left" w:pos="284"/>
        </w:tabs>
        <w:spacing w:after="0" w:line="276" w:lineRule="auto"/>
        <w:ind w:left="0" w:firstLine="0"/>
        <w:jc w:val="both"/>
        <w:rPr>
          <w:rFonts w:ascii="Arial" w:hAnsi="Arial" w:eastAsia="Times New Roman" w:cs="Arial"/>
          <w:szCs w:val="24"/>
          <w:lang w:val="es-ES_tradnl" w:eastAsia="es-ES_tradnl"/>
        </w:rPr>
      </w:pPr>
      <w:r w:rsidRPr="005264A0">
        <w:rPr>
          <w:rFonts w:ascii="Arial" w:hAnsi="Arial" w:eastAsia="Calibri" w:cs="Arial"/>
          <w:b/>
          <w:lang w:val="es-ES_tradnl"/>
        </w:rPr>
        <w:t xml:space="preserve">Problema planteado </w:t>
      </w:r>
    </w:p>
    <w:p w:rsidR="000659F8" w:rsidP="000659F8" w:rsidRDefault="000659F8" w14:paraId="0B60AEAB" w14:textId="77777777">
      <w:pPr>
        <w:spacing w:after="0" w:line="276" w:lineRule="auto"/>
        <w:jc w:val="both"/>
        <w:rPr>
          <w:rFonts w:ascii="Arial" w:hAnsi="Arial" w:cs="Arial"/>
          <w:lang w:val="es-ES_tradnl"/>
        </w:rPr>
      </w:pPr>
    </w:p>
    <w:p w:rsidR="000659F8" w:rsidP="000659F8" w:rsidRDefault="000659F8" w14:paraId="17198B40" w14:textId="77777777">
      <w:pPr>
        <w:spacing w:after="0" w:line="276" w:lineRule="auto"/>
        <w:jc w:val="both"/>
        <w:rPr>
          <w:rFonts w:ascii="Arial" w:hAnsi="Arial" w:cs="Arial"/>
          <w:lang w:val="es-ES_tradnl"/>
        </w:rPr>
      </w:pPr>
      <w:r w:rsidRPr="005264A0">
        <w:rPr>
          <w:rFonts w:ascii="Arial" w:hAnsi="Arial" w:cs="Arial"/>
          <w:lang w:val="es-ES_tradnl"/>
        </w:rPr>
        <w:t>Usted formula la</w:t>
      </w:r>
      <w:r>
        <w:rPr>
          <w:rFonts w:ascii="Arial" w:hAnsi="Arial" w:cs="Arial"/>
          <w:lang w:val="es-ES_tradnl"/>
        </w:rPr>
        <w:t>s</w:t>
      </w:r>
      <w:r w:rsidRPr="005264A0">
        <w:rPr>
          <w:rFonts w:ascii="Arial" w:hAnsi="Arial" w:cs="Arial"/>
          <w:lang w:val="es-ES_tradnl"/>
        </w:rPr>
        <w:t xml:space="preserve"> siguiente</w:t>
      </w:r>
      <w:r>
        <w:rPr>
          <w:rFonts w:ascii="Arial" w:hAnsi="Arial" w:cs="Arial"/>
          <w:lang w:val="es-ES_tradnl"/>
        </w:rPr>
        <w:t>s</w:t>
      </w:r>
      <w:r w:rsidRPr="005264A0">
        <w:rPr>
          <w:rFonts w:ascii="Arial" w:hAnsi="Arial" w:cs="Arial"/>
          <w:lang w:val="es-ES_tradnl"/>
        </w:rPr>
        <w:t xml:space="preserve"> pregunta</w:t>
      </w:r>
      <w:r>
        <w:rPr>
          <w:rFonts w:ascii="Arial" w:hAnsi="Arial" w:cs="Arial"/>
          <w:lang w:val="es-ES_tradnl"/>
        </w:rPr>
        <w:t>s</w:t>
      </w:r>
      <w:r w:rsidRPr="005264A0">
        <w:rPr>
          <w:rFonts w:ascii="Arial" w:hAnsi="Arial" w:cs="Arial"/>
          <w:lang w:val="es-ES_tradnl"/>
        </w:rPr>
        <w:t>:</w:t>
      </w:r>
      <w:r>
        <w:rPr>
          <w:rFonts w:ascii="Arial" w:hAnsi="Arial" w:cs="Arial"/>
          <w:lang w:val="es-ES_tradnl"/>
        </w:rPr>
        <w:t xml:space="preserve"> </w:t>
      </w:r>
    </w:p>
    <w:p w:rsidR="000659F8" w:rsidP="000659F8" w:rsidRDefault="000659F8" w14:paraId="49FFC169" w14:textId="77777777">
      <w:pPr>
        <w:spacing w:after="0" w:line="276" w:lineRule="auto"/>
        <w:jc w:val="both"/>
        <w:rPr>
          <w:rFonts w:ascii="Arial" w:hAnsi="Arial" w:cs="Arial"/>
          <w:lang w:val="es-ES_tradnl"/>
        </w:rPr>
      </w:pPr>
    </w:p>
    <w:p w:rsidRPr="00C67804" w:rsidR="000659F8" w:rsidP="000659F8" w:rsidRDefault="000659F8" w14:paraId="73ABA498" w14:textId="77777777">
      <w:pPr>
        <w:ind w:left="709" w:right="709"/>
        <w:jc w:val="both"/>
        <w:rPr>
          <w:rFonts w:ascii="Arial" w:hAnsi="Arial" w:eastAsia="Calibri" w:cs="Arial"/>
          <w:sz w:val="21"/>
          <w:szCs w:val="21"/>
        </w:rPr>
      </w:pPr>
      <w:r>
        <w:rPr>
          <w:rFonts w:ascii="Arial" w:hAnsi="Arial" w:eastAsia="Calibri" w:cs="Arial"/>
          <w:sz w:val="21"/>
          <w:szCs w:val="21"/>
        </w:rPr>
        <w:t>“[…</w:t>
      </w:r>
      <w:r w:rsidRPr="001F769E">
        <w:rPr>
          <w:rFonts w:ascii="Arial" w:hAnsi="Arial" w:eastAsia="Calibri" w:cs="Arial"/>
          <w:sz w:val="21"/>
          <w:szCs w:val="21"/>
        </w:rPr>
        <w:t xml:space="preserve">] </w:t>
      </w:r>
      <w:r w:rsidRPr="00C67804">
        <w:rPr>
          <w:rFonts w:ascii="Arial" w:hAnsi="Arial" w:eastAsia="Calibri" w:cs="Arial"/>
          <w:sz w:val="21"/>
          <w:szCs w:val="21"/>
        </w:rPr>
        <w:t>Si un socio constituyente de una empresa se retira de la sociedad (deja de ser</w:t>
      </w:r>
      <w:r>
        <w:rPr>
          <w:rFonts w:ascii="Arial" w:hAnsi="Arial" w:eastAsia="Calibri" w:cs="Arial"/>
          <w:sz w:val="21"/>
          <w:szCs w:val="21"/>
        </w:rPr>
        <w:t xml:space="preserve"> </w:t>
      </w:r>
      <w:r w:rsidRPr="00C67804">
        <w:rPr>
          <w:rFonts w:ascii="Arial" w:hAnsi="Arial" w:eastAsia="Calibri" w:cs="Arial"/>
          <w:sz w:val="21"/>
          <w:szCs w:val="21"/>
        </w:rPr>
        <w:t>socio),</w:t>
      </w:r>
      <w:r>
        <w:rPr>
          <w:rFonts w:ascii="Arial" w:hAnsi="Arial" w:eastAsia="Calibri" w:cs="Arial"/>
          <w:sz w:val="21"/>
          <w:szCs w:val="21"/>
        </w:rPr>
        <w:t xml:space="preserve"> </w:t>
      </w:r>
      <w:r w:rsidRPr="00C67804">
        <w:rPr>
          <w:rFonts w:ascii="Arial" w:hAnsi="Arial" w:eastAsia="Calibri" w:cs="Arial"/>
          <w:sz w:val="21"/>
          <w:szCs w:val="21"/>
        </w:rPr>
        <w:t xml:space="preserve">la empresa que él fue constituyente, </w:t>
      </w:r>
      <w:r>
        <w:rPr>
          <w:rFonts w:ascii="Arial" w:hAnsi="Arial" w:eastAsia="Calibri" w:cs="Arial"/>
          <w:sz w:val="21"/>
          <w:szCs w:val="21"/>
        </w:rPr>
        <w:t>¿</w:t>
      </w:r>
      <w:r w:rsidRPr="00C67804">
        <w:rPr>
          <w:rFonts w:ascii="Arial" w:hAnsi="Arial" w:eastAsia="Calibri" w:cs="Arial"/>
          <w:sz w:val="21"/>
          <w:szCs w:val="21"/>
        </w:rPr>
        <w:t>puede seguir utilizando la experiencia de este</w:t>
      </w:r>
      <w:r>
        <w:rPr>
          <w:rFonts w:ascii="Arial" w:hAnsi="Arial" w:eastAsia="Calibri" w:cs="Arial"/>
          <w:sz w:val="21"/>
          <w:szCs w:val="21"/>
        </w:rPr>
        <w:t xml:space="preserve"> </w:t>
      </w:r>
      <w:r w:rsidRPr="00C67804">
        <w:rPr>
          <w:rFonts w:ascii="Arial" w:hAnsi="Arial" w:eastAsia="Calibri" w:cs="Arial"/>
          <w:sz w:val="21"/>
          <w:szCs w:val="21"/>
        </w:rPr>
        <w:t>socio retirado para acreditarla en proceso de selección publica?</w:t>
      </w:r>
    </w:p>
    <w:p w:rsidR="000659F8" w:rsidP="000659F8" w:rsidRDefault="000659F8" w14:paraId="1AD6580D" w14:textId="77777777">
      <w:pPr>
        <w:ind w:left="709" w:right="709"/>
        <w:jc w:val="both"/>
        <w:rPr>
          <w:rFonts w:ascii="Arial" w:hAnsi="Arial" w:eastAsia="Calibri" w:cs="Arial"/>
          <w:sz w:val="21"/>
          <w:szCs w:val="21"/>
        </w:rPr>
      </w:pPr>
      <w:r w:rsidRPr="00C67804">
        <w:rPr>
          <w:rFonts w:ascii="Arial" w:hAnsi="Arial" w:eastAsia="Calibri" w:cs="Arial"/>
          <w:sz w:val="21"/>
          <w:szCs w:val="21"/>
        </w:rPr>
        <w:t>Lo anterior teniendo en cuenta que, si la empresa mantiene renovado el RUP, la</w:t>
      </w:r>
      <w:r>
        <w:rPr>
          <w:rFonts w:ascii="Arial" w:hAnsi="Arial" w:eastAsia="Calibri" w:cs="Arial"/>
          <w:sz w:val="21"/>
          <w:szCs w:val="21"/>
        </w:rPr>
        <w:t xml:space="preserve"> </w:t>
      </w:r>
      <w:r w:rsidRPr="00C67804">
        <w:rPr>
          <w:rFonts w:ascii="Arial" w:hAnsi="Arial" w:eastAsia="Calibri" w:cs="Arial"/>
          <w:sz w:val="21"/>
          <w:szCs w:val="21"/>
        </w:rPr>
        <w:t>experiencia relacionada se mantiene inscrita.</w:t>
      </w:r>
    </w:p>
    <w:p w:rsidR="000659F8" w:rsidP="000659F8" w:rsidRDefault="000659F8" w14:paraId="2BFCB5E1" w14:textId="77777777">
      <w:pPr>
        <w:ind w:left="709" w:right="709"/>
        <w:jc w:val="both"/>
        <w:rPr>
          <w:rFonts w:ascii="Arial" w:hAnsi="Arial" w:eastAsia="Calibri" w:cs="Arial"/>
          <w:sz w:val="21"/>
          <w:szCs w:val="21"/>
        </w:rPr>
      </w:pPr>
      <w:r w:rsidRPr="00D9319C">
        <w:rPr>
          <w:rFonts w:ascii="Arial" w:hAnsi="Arial" w:eastAsia="Calibri" w:cs="Arial"/>
          <w:sz w:val="21"/>
          <w:szCs w:val="21"/>
        </w:rPr>
        <w:lastRenderedPageBreak/>
        <w:t xml:space="preserve">Si un proponente debe subsanar la experiencia, </w:t>
      </w:r>
      <w:r>
        <w:rPr>
          <w:rFonts w:ascii="Arial" w:hAnsi="Arial" w:eastAsia="Calibri" w:cs="Arial"/>
          <w:sz w:val="21"/>
          <w:szCs w:val="21"/>
        </w:rPr>
        <w:t>¿</w:t>
      </w:r>
      <w:r w:rsidRPr="00D9319C">
        <w:rPr>
          <w:rFonts w:ascii="Arial" w:hAnsi="Arial" w:eastAsia="Calibri" w:cs="Arial"/>
          <w:sz w:val="21"/>
          <w:szCs w:val="21"/>
        </w:rPr>
        <w:t xml:space="preserve">el mismo pierde el puntaje correspondiente a Vinculación de personas en condición de discapacidad? </w:t>
      </w:r>
    </w:p>
    <w:p w:rsidRPr="001F769E" w:rsidR="000659F8" w:rsidP="000659F8" w:rsidRDefault="000659F8" w14:paraId="18DA3356" w14:textId="77777777">
      <w:pPr>
        <w:ind w:left="709" w:right="709"/>
        <w:jc w:val="both"/>
        <w:rPr>
          <w:rFonts w:ascii="Arial" w:hAnsi="Arial" w:eastAsia="Calibri" w:cs="Arial"/>
          <w:sz w:val="21"/>
          <w:szCs w:val="21"/>
        </w:rPr>
      </w:pPr>
      <w:r w:rsidRPr="00D9319C">
        <w:rPr>
          <w:rFonts w:ascii="Arial" w:hAnsi="Arial" w:eastAsia="Calibri" w:cs="Arial"/>
          <w:sz w:val="21"/>
          <w:szCs w:val="21"/>
        </w:rPr>
        <w:t>Lo anterior teniendo en cuenta que uno de los requisitos para poder acreditar la vinculación de personas en condición de discapacidad, es que el integrante que aporte dicho requisitos debe aportar por lo menos el 40% de la experiencia</w:t>
      </w:r>
      <w:r>
        <w:rPr>
          <w:rFonts w:ascii="Arial" w:hAnsi="Arial" w:eastAsia="Calibri" w:cs="Arial"/>
          <w:sz w:val="21"/>
          <w:szCs w:val="21"/>
        </w:rPr>
        <w:t>”</w:t>
      </w:r>
      <w:r w:rsidRPr="001F769E">
        <w:rPr>
          <w:rFonts w:ascii="Arial" w:hAnsi="Arial" w:eastAsia="Calibri" w:cs="Arial"/>
          <w:sz w:val="21"/>
          <w:szCs w:val="21"/>
        </w:rPr>
        <w:t xml:space="preserve"> </w:t>
      </w:r>
      <w:r>
        <w:rPr>
          <w:rFonts w:ascii="Arial" w:hAnsi="Arial" w:eastAsia="Calibri" w:cs="Arial"/>
          <w:sz w:val="21"/>
          <w:szCs w:val="21"/>
        </w:rPr>
        <w:t>[</w:t>
      </w:r>
      <w:r w:rsidRPr="001F769E">
        <w:rPr>
          <w:rFonts w:ascii="Arial" w:hAnsi="Arial" w:eastAsia="Calibri" w:cs="Arial"/>
          <w:sz w:val="21"/>
          <w:szCs w:val="21"/>
        </w:rPr>
        <w:t>sic</w:t>
      </w:r>
      <w:r>
        <w:rPr>
          <w:rFonts w:ascii="Arial" w:hAnsi="Arial" w:eastAsia="Calibri" w:cs="Arial"/>
          <w:sz w:val="21"/>
          <w:szCs w:val="21"/>
        </w:rPr>
        <w:t>]</w:t>
      </w:r>
      <w:r w:rsidRPr="001F769E">
        <w:rPr>
          <w:rFonts w:ascii="Arial" w:hAnsi="Arial" w:eastAsia="Calibri" w:cs="Arial"/>
          <w:sz w:val="21"/>
          <w:szCs w:val="21"/>
        </w:rPr>
        <w:t>.</w:t>
      </w:r>
    </w:p>
    <w:p w:rsidRPr="00D96CA5" w:rsidR="000659F8" w:rsidP="000659F8" w:rsidRDefault="000659F8" w14:paraId="05F01F5F" w14:textId="77777777">
      <w:pPr>
        <w:spacing w:after="0"/>
        <w:ind w:left="709" w:right="709"/>
        <w:jc w:val="both"/>
        <w:rPr>
          <w:rFonts w:ascii="Arial" w:hAnsi="Arial" w:cs="Arial"/>
          <w:sz w:val="21"/>
          <w:szCs w:val="21"/>
          <w:lang w:val="es-ES_tradnl"/>
        </w:rPr>
      </w:pPr>
    </w:p>
    <w:p w:rsidR="000659F8" w:rsidP="000659F8" w:rsidRDefault="000659F8" w14:paraId="67F02AAB" w14:textId="77777777">
      <w:pPr>
        <w:pStyle w:val="Prrafodelista"/>
        <w:numPr>
          <w:ilvl w:val="0"/>
          <w:numId w:val="1"/>
        </w:numPr>
        <w:tabs>
          <w:tab w:val="left" w:pos="0"/>
          <w:tab w:val="left" w:pos="284"/>
        </w:tabs>
        <w:spacing w:after="0" w:line="240" w:lineRule="auto"/>
        <w:ind w:left="0" w:firstLine="0"/>
        <w:jc w:val="both"/>
        <w:rPr>
          <w:rFonts w:ascii="Arial" w:hAnsi="Arial" w:eastAsia="Calibri" w:cs="Arial"/>
          <w:b/>
          <w:lang w:val="es-ES_tradnl"/>
        </w:rPr>
      </w:pPr>
      <w:r w:rsidRPr="005264A0">
        <w:rPr>
          <w:rFonts w:ascii="Arial" w:hAnsi="Arial" w:eastAsia="Calibri" w:cs="Arial"/>
          <w:b/>
          <w:lang w:val="es-ES_tradnl"/>
        </w:rPr>
        <w:t>Consideraciones</w:t>
      </w:r>
    </w:p>
    <w:p w:rsidR="000659F8" w:rsidP="000659F8" w:rsidRDefault="000659F8" w14:paraId="03A1D3F1" w14:textId="77777777">
      <w:pPr>
        <w:spacing w:after="0" w:line="276" w:lineRule="auto"/>
        <w:jc w:val="both"/>
        <w:rPr>
          <w:rFonts w:ascii="Arial" w:hAnsi="Arial" w:cs="Arial"/>
          <w:noProof/>
          <w:lang w:val="es-ES_tradnl"/>
        </w:rPr>
      </w:pPr>
    </w:p>
    <w:p w:rsidR="000659F8" w:rsidP="7B62B570" w:rsidRDefault="000659F8" w14:paraId="724C74A7" w14:textId="77777777" w14:noSpellErr="1">
      <w:pPr>
        <w:spacing w:line="276" w:lineRule="auto"/>
        <w:jc w:val="both"/>
        <w:rPr>
          <w:rFonts w:ascii="Arial" w:hAnsi="Arial" w:cs="Arial"/>
          <w:lang w:val="es-ES"/>
        </w:rPr>
      </w:pPr>
      <w:r w:rsidRPr="7B62B570" w:rsidR="000659F8">
        <w:rPr>
          <w:rFonts w:ascii="Arial" w:hAnsi="Arial" w:cs="Arial"/>
          <w:lang w:val="es-ES"/>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7B62B570" w:rsidR="000659F8">
        <w:rPr>
          <w:rFonts w:ascii="Arial" w:hAnsi="Arial" w:cs="Arial"/>
          <w:lang w:val="es-ES"/>
        </w:rPr>
        <w:t xml:space="preserve"> </w:t>
      </w:r>
    </w:p>
    <w:p w:rsidR="000659F8" w:rsidP="000659F8" w:rsidRDefault="000659F8" w14:paraId="7A241C08" w14:textId="77777777">
      <w:pPr>
        <w:spacing w:line="276" w:lineRule="auto"/>
        <w:ind w:firstLine="708"/>
        <w:jc w:val="both"/>
        <w:rPr>
          <w:rFonts w:ascii="Arial" w:hAnsi="Arial" w:cs="Arial"/>
          <w:lang w:val="es-ES_tradnl"/>
        </w:rPr>
      </w:pPr>
      <w:r w:rsidRPr="001F769E">
        <w:rPr>
          <w:rFonts w:ascii="Arial" w:hAnsi="Arial" w:cs="Arial"/>
          <w:lang w:val="es-ES_tradnl"/>
        </w:rPr>
        <w:t xml:space="preserve">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p>
    <w:p w:rsidR="000659F8" w:rsidP="000659F8" w:rsidRDefault="000659F8" w14:paraId="5654585D" w14:textId="77777777">
      <w:pPr>
        <w:spacing w:line="276" w:lineRule="auto"/>
        <w:ind w:firstLine="708"/>
        <w:jc w:val="both"/>
        <w:rPr>
          <w:rFonts w:ascii="Arial" w:hAnsi="Arial" w:cs="Arial"/>
          <w:lang w:val="es-ES_tradnl"/>
        </w:rPr>
      </w:pPr>
      <w:r w:rsidRPr="001F769E">
        <w:rPr>
          <w:rFonts w:ascii="Arial" w:hAnsi="Arial"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Style w:val="Refdenotaalpie"/>
          <w:rFonts w:ascii="Arial" w:hAnsi="Arial" w:cs="Arial"/>
          <w:lang w:val="es-ES_tradnl"/>
        </w:rPr>
        <w:footnoteReference w:id="1"/>
      </w:r>
      <w:r>
        <w:rPr>
          <w:rFonts w:ascii="Arial" w:hAnsi="Arial" w:cs="Arial"/>
          <w:lang w:val="es-ES_tradnl"/>
        </w:rPr>
        <w:t xml:space="preserve">. </w:t>
      </w:r>
      <w:r w:rsidRPr="001F769E">
        <w:rPr>
          <w:rFonts w:ascii="Arial" w:hAnsi="Arial" w:cs="Arial"/>
          <w:lang w:val="es-ES_tradnl"/>
        </w:rPr>
        <w:t xml:space="preserve">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w:t>
      </w:r>
    </w:p>
    <w:p w:rsidR="000659F8" w:rsidP="7B62B570" w:rsidRDefault="000659F8" w14:paraId="7CCED28E" w14:textId="77777777">
      <w:pPr>
        <w:spacing w:line="276" w:lineRule="auto"/>
        <w:ind w:firstLine="708"/>
        <w:jc w:val="both"/>
        <w:rPr>
          <w:rFonts w:ascii="Arial" w:hAnsi="Arial" w:cs="Arial"/>
          <w:lang w:val="es-ES"/>
        </w:rPr>
      </w:pPr>
      <w:r w:rsidRPr="7B62B570" w:rsidR="000659F8">
        <w:rPr>
          <w:rFonts w:ascii="Arial" w:hAnsi="Arial" w:cs="Arial"/>
          <w:lang w:val="es-ES"/>
        </w:rPr>
        <w:t xml:space="preserve">Conforme con lo anterior, la Subdirección de Gestión Contractual dentro de los límites de sus atribuciones resolverá la consulta conforme a las normas generales en materia de contratación estatal. Con este objetivo se analizarán los siguientes temas: i) aproximación general al concepto de experiencia en la contratación pública; </w:t>
      </w:r>
      <w:r w:rsidRPr="7B62B570" w:rsidR="000659F8">
        <w:rPr>
          <w:rFonts w:ascii="Arial" w:hAnsi="Arial" w:cs="Arial"/>
          <w:lang w:val="es-ES"/>
        </w:rPr>
        <w:t>ii</w:t>
      </w:r>
      <w:r w:rsidRPr="7B62B570" w:rsidR="000659F8">
        <w:rPr>
          <w:rFonts w:ascii="Arial" w:hAnsi="Arial" w:cs="Arial"/>
          <w:lang w:val="es-ES"/>
        </w:rPr>
        <w:t xml:space="preserve">) consideraciones de la Agencia respecto de la experiencia; </w:t>
      </w:r>
      <w:r w:rsidRPr="7B62B570" w:rsidR="000659F8">
        <w:rPr>
          <w:rFonts w:ascii="Arial" w:hAnsi="Arial" w:cs="Arial"/>
          <w:lang w:val="es-ES"/>
        </w:rPr>
        <w:t>iii</w:t>
      </w:r>
      <w:r w:rsidRPr="7B62B570" w:rsidR="000659F8">
        <w:rPr>
          <w:rFonts w:ascii="Arial" w:hAnsi="Arial" w:cs="Arial"/>
          <w:lang w:val="es-ES"/>
        </w:rPr>
        <w:t xml:space="preserve">) acreditación de la experiencia de socios, accionistas o constituyentes por parte de sociedades con menos de tres (3) años de constitución </w:t>
      </w:r>
      <w:r w:rsidRPr="7B62B570" w:rsidR="000659F8">
        <w:rPr>
          <w:rFonts w:ascii="Arial" w:hAnsi="Arial" w:cs="Arial"/>
          <w:lang w:val="es-ES"/>
        </w:rPr>
        <w:t>iv</w:t>
      </w:r>
      <w:r w:rsidRPr="7B62B570" w:rsidR="000659F8">
        <w:rPr>
          <w:rFonts w:ascii="Arial" w:hAnsi="Arial" w:cs="Arial"/>
          <w:lang w:val="es-ES"/>
        </w:rPr>
        <w:t>) límites de la prerrogativa que contempla el numeral 2.5 del artículo 2.2.1.1.1.5.2 del Decreto 1082 de 2015</w:t>
      </w:r>
      <w:r w:rsidRPr="7B62B570" w:rsidR="000659F8">
        <w:rPr>
          <w:rFonts w:ascii="Arial" w:hAnsi="Arial" w:cs="Arial"/>
          <w:lang w:val="es-ES"/>
        </w:rPr>
        <w:t xml:space="preserve"> y v) </w:t>
      </w:r>
      <w:r w:rsidRPr="7B62B570" w:rsidR="000659F8">
        <w:rPr>
          <w:rFonts w:ascii="Arial" w:hAnsi="Arial" w:cs="Arial"/>
          <w:lang w:val="es-ES"/>
        </w:rPr>
        <w:t>Acreditación para obtener el puntaje de vinculación de trabajadores con discapacidad</w:t>
      </w:r>
      <w:r w:rsidRPr="7B62B570" w:rsidR="000659F8">
        <w:rPr>
          <w:rFonts w:ascii="Arial" w:hAnsi="Arial" w:cs="Arial"/>
          <w:lang w:val="es-ES"/>
        </w:rPr>
        <w:t>.</w:t>
      </w:r>
      <w:r w:rsidRPr="7B62B570" w:rsidR="000659F8">
        <w:rPr>
          <w:rFonts w:ascii="Arial" w:hAnsi="Arial" w:cs="Arial"/>
          <w:lang w:val="es-ES"/>
        </w:rPr>
        <w:t xml:space="preserve"> </w:t>
      </w:r>
    </w:p>
    <w:p w:rsidR="000659F8" w:rsidP="7B62B570" w:rsidRDefault="000659F8" w14:paraId="25708B92" w14:textId="77777777" w14:noSpellErr="1">
      <w:pPr>
        <w:spacing w:line="276" w:lineRule="auto"/>
        <w:ind w:firstLine="708"/>
        <w:jc w:val="both"/>
        <w:rPr>
          <w:rFonts w:ascii="Arial" w:hAnsi="Arial" w:cs="Arial"/>
          <w:lang w:val="es-ES"/>
        </w:rPr>
      </w:pPr>
      <w:r w:rsidRPr="7B62B570" w:rsidR="000659F8">
        <w:rPr>
          <w:rFonts w:ascii="Arial" w:hAnsi="Arial" w:cs="Arial"/>
          <w:lang w:val="es-ES"/>
        </w:rPr>
        <w:t>La Agencia Nacional de Contratación Pública – Colombia Compra Eficiente, en los conceptos C-002 del 20 de febrero de 2020, C-491 del 27 de julio de 2020, C-511 del 10 de agosto de 2020, C-708 del 9 de diciembre de 2020, C-052 de 8 de marzo de 2021, C-727 del 26 de enero de 2022, C-010 del 15 de febrero de 2022, C-018 del 22 de febrero de 2022, C-034 del 2 de marzo de 2022, C-056 del 7 de febrero de 2022, C-084 del 16 de marzo de 2022, C-090 del 16 de marzo de 2022, C-108 del 23 de marzo de 2022, C-121 del 30 de marzo de 2022, C-142 del 28 de marzo</w:t>
      </w:r>
      <w:r w:rsidRPr="7B62B570" w:rsidR="000659F8">
        <w:rPr>
          <w:rFonts w:ascii="Arial" w:hAnsi="Arial" w:cs="Arial"/>
          <w:lang w:val="es-ES"/>
        </w:rPr>
        <w:t xml:space="preserve"> de 2022, C-144 del 12 de abril de 2022, C-193 del 18 de abril de 2022, C-200 del 21 de abril de 2022, C-226 del 26 de abril de 2022, C-234 del 26 de abril de 2022, C-235 del 26 de abril de 2022, C-239, C-242 del 2 de mayo de 2022, C-287 del 11 de mayo de 2022, C-319 del 19 de mayo de 2022, C-569 del 13 de septiembre de 2022, C-574 del 14 de septiembre de 2022, se pronunció sobre la experiencia como requisito habilitante en la contratación pública. </w:t>
      </w:r>
      <w:r w:rsidRPr="7B62B570" w:rsidR="000659F8">
        <w:rPr>
          <w:rFonts w:ascii="Arial" w:hAnsi="Arial" w:cs="Arial"/>
          <w:lang w:val="es-ES"/>
        </w:rPr>
        <w:t>Del mismo modo, en los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w:t>
      </w:r>
    </w:p>
    <w:p w:rsidR="000659F8" w:rsidP="000659F8" w:rsidRDefault="000659F8" w14:paraId="69A72EC9" w14:textId="77777777">
      <w:pPr>
        <w:spacing w:after="0" w:line="276" w:lineRule="auto"/>
        <w:ind w:firstLine="708"/>
        <w:jc w:val="both"/>
        <w:rPr>
          <w:rFonts w:ascii="Arial" w:hAnsi="Arial" w:cs="Arial"/>
          <w:lang w:val="es-ES_tradnl"/>
        </w:rPr>
      </w:pPr>
      <w:r w:rsidRPr="00564997">
        <w:rPr>
          <w:rFonts w:ascii="Arial" w:hAnsi="Arial" w:cs="Arial"/>
          <w:lang w:val="es-ES_tradnl"/>
        </w:rPr>
        <w:t xml:space="preserve">Por otra parte, en las consultas de radicado de entrada No. 1201913000000667 del 19 de junio de 2019, con radicado de salida No. 2201913000004779 del 7 de julio de 2019, 4201912000004380 con radicado de salida No. 2201913000006245 del 27 de agosto de 2019, 4201912000004704 con radicado de salida No. 2201913000006275 del 27 de agosto de 2019, 4201912000004743 con el radicado de salida No. 2201913000006297 del 28 de agosto de 2019, 4201912000003636 con radicado de salida No. 2201913000006028 del 28 de agosto de 2019, 4201913000005158 con radicado de salida No. 2201913000006577 del 5 de septiembre de 2019 y C-717 del 10 de diciembre de 2020, la Agencia conceptuó sobre la posibilidad de que la experiencia de los socios, aportada a la empresa pueda ser utilizada a pesar del retiro de alguno de ellos. </w:t>
      </w:r>
    </w:p>
    <w:p w:rsidR="000659F8" w:rsidP="000659F8" w:rsidRDefault="000659F8" w14:paraId="4DBAD18D" w14:textId="77777777">
      <w:pPr>
        <w:spacing w:after="240" w:line="276" w:lineRule="auto"/>
        <w:ind w:firstLine="708"/>
        <w:jc w:val="both"/>
        <w:rPr>
          <w:rFonts w:ascii="Arial" w:hAnsi="Arial" w:cs="Arial"/>
          <w:lang w:val="es-ES_tradnl"/>
        </w:rPr>
      </w:pPr>
      <w:r>
        <w:rPr>
          <w:rFonts w:ascii="Arial" w:hAnsi="Arial" w:cs="Arial"/>
          <w:lang w:val="es-ES_tradnl"/>
        </w:rPr>
        <w:t xml:space="preserve">Asimismo, </w:t>
      </w:r>
      <w:r>
        <w:rPr>
          <w:rFonts w:ascii="Arial" w:hAnsi="Arial" w:cs="Arial"/>
          <w:color w:val="000000"/>
          <w:bdr w:val="none" w:color="auto" w:sz="0" w:space="0" w:frame="1"/>
        </w:rPr>
        <w:t>l</w:t>
      </w:r>
      <w:r w:rsidRPr="00447DD1">
        <w:rPr>
          <w:rFonts w:ascii="Arial" w:hAnsi="Arial" w:cs="Arial"/>
          <w:color w:val="000000"/>
          <w:bdr w:val="none" w:color="auto" w:sz="0" w:space="0" w:frame="1"/>
        </w:rPr>
        <w:t xml:space="preserve">a Agencia </w:t>
      </w:r>
      <w:r w:rsidRPr="00447DD1">
        <w:rPr>
          <w:rFonts w:ascii="Arial" w:hAnsi="Arial" w:cs="Arial"/>
          <w:color w:val="000000"/>
          <w:bdr w:val="none" w:color="auto" w:sz="0" w:space="0" w:frame="1"/>
          <w:lang w:val="es-MX"/>
        </w:rPr>
        <w:t>en el concepto con radicado No. 4201912000004631 de 10 de julio de 2019, reiterado y desarrollado en los conceptos con radicados Nos.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C-669 del 20 de noviembre de 2020, C-676 del 27 de noviembre de 2020</w:t>
      </w:r>
      <w:r w:rsidRPr="00447DD1">
        <w:rPr>
          <w:rFonts w:ascii="Arial" w:hAnsi="Arial" w:cs="Arial"/>
          <w:color w:val="000000"/>
          <w:bdr w:val="none" w:color="auto" w:sz="0" w:space="0" w:frame="1"/>
        </w:rPr>
        <w:t xml:space="preserve">, </w:t>
      </w:r>
      <w:r w:rsidRPr="00447DD1">
        <w:rPr>
          <w:rFonts w:ascii="Arial" w:hAnsi="Arial" w:cs="Arial"/>
          <w:color w:val="000000"/>
          <w:bdr w:val="none" w:color="auto" w:sz="0" w:space="0" w:frame="1"/>
          <w:lang w:val="es-MX"/>
        </w:rPr>
        <w:t>C-747 del 15 de diciembre de 2020</w:t>
      </w:r>
      <w:r w:rsidRPr="00447DD1">
        <w:rPr>
          <w:rFonts w:ascii="Arial" w:hAnsi="Arial" w:cs="Arial"/>
          <w:color w:val="000000"/>
          <w:bdr w:val="none" w:color="auto" w:sz="0" w:space="0" w:frame="1"/>
        </w:rPr>
        <w:t>, C-119 del 30 de marzo de 2021, C-383 del 02 de agosto de 2022</w:t>
      </w:r>
      <w:r>
        <w:rPr>
          <w:rFonts w:ascii="Arial" w:hAnsi="Arial" w:cs="Arial"/>
          <w:color w:val="000000"/>
          <w:bdr w:val="none" w:color="auto" w:sz="0" w:space="0" w:frame="1"/>
        </w:rPr>
        <w:t>,</w:t>
      </w:r>
      <w:r w:rsidRPr="00447DD1">
        <w:rPr>
          <w:rFonts w:ascii="Arial" w:hAnsi="Arial" w:cs="Arial"/>
          <w:color w:val="000000"/>
          <w:bdr w:val="none" w:color="auto" w:sz="0" w:space="0" w:frame="1"/>
        </w:rPr>
        <w:t xml:space="preserve"> C-641 de 5 de octubre </w:t>
      </w:r>
      <w:r w:rsidRPr="00447DD1">
        <w:rPr>
          <w:rFonts w:ascii="Arial" w:hAnsi="Arial" w:cs="Arial"/>
          <w:color w:val="000000"/>
          <w:bdr w:val="none" w:color="auto" w:sz="0" w:space="0" w:frame="1"/>
        </w:rPr>
        <w:lastRenderedPageBreak/>
        <w:t>de 2022</w:t>
      </w:r>
      <w:r>
        <w:rPr>
          <w:rFonts w:ascii="Arial" w:hAnsi="Arial" w:cs="Arial"/>
          <w:color w:val="000000"/>
          <w:bdr w:val="none" w:color="auto" w:sz="0" w:space="0" w:frame="1"/>
        </w:rPr>
        <w:t xml:space="preserve"> y C-926 del 28 de diciembre de 2022</w:t>
      </w:r>
      <w:r w:rsidRPr="00447DD1">
        <w:rPr>
          <w:rFonts w:ascii="Arial" w:hAnsi="Arial" w:cs="Arial"/>
          <w:color w:val="000000"/>
          <w:bdr w:val="none" w:color="auto" w:sz="0" w:space="0" w:frame="1"/>
          <w:lang w:val="es-MX"/>
        </w:rPr>
        <w:t>,  estudió los requisitos para acreditar el personal con discapacidad</w:t>
      </w:r>
      <w:r w:rsidRPr="00447DD1">
        <w:rPr>
          <w:rFonts w:ascii="Arial" w:hAnsi="Arial" w:cs="Arial"/>
          <w:color w:val="000000"/>
          <w:bdr w:val="none" w:color="auto" w:sz="0" w:space="0" w:frame="1"/>
        </w:rPr>
        <w:t>.</w:t>
      </w:r>
      <w:r>
        <w:rPr>
          <w:rFonts w:ascii="Arial" w:hAnsi="Arial" w:cs="Arial"/>
          <w:color w:val="000000"/>
          <w:bdr w:val="none" w:color="auto" w:sz="0" w:space="0" w:frame="1"/>
        </w:rPr>
        <w:t xml:space="preserve"> </w:t>
      </w:r>
      <w:r w:rsidRPr="00564997">
        <w:rPr>
          <w:rFonts w:ascii="Arial" w:hAnsi="Arial" w:cs="Arial"/>
          <w:lang w:val="es-ES_tradnl"/>
        </w:rPr>
        <w:t>La tesis desarrollada en estos conceptos se reitera y se complementa en lo pertinente a continuación:</w:t>
      </w:r>
    </w:p>
    <w:p w:rsidRPr="00564997" w:rsidR="000659F8" w:rsidP="000659F8" w:rsidRDefault="000659F8" w14:paraId="1305E3B8" w14:textId="77777777">
      <w:pPr>
        <w:spacing w:after="0" w:line="276" w:lineRule="auto"/>
        <w:jc w:val="both"/>
        <w:rPr>
          <w:rFonts w:ascii="Arial" w:hAnsi="Arial" w:eastAsia="Calibri" w:cs="Arial"/>
          <w:b/>
          <w:color w:val="000000" w:themeColor="text1"/>
        </w:rPr>
      </w:pPr>
      <w:r w:rsidRPr="00564997">
        <w:rPr>
          <w:rFonts w:ascii="Arial" w:hAnsi="Arial" w:eastAsia="Calibri" w:cs="Arial"/>
          <w:b/>
          <w:color w:val="000000" w:themeColor="text1"/>
        </w:rPr>
        <w:t>2.1. Aproximación general al concepto de experiencia en la contratación pública</w:t>
      </w:r>
    </w:p>
    <w:p w:rsidRPr="001F769E" w:rsidR="000659F8" w:rsidP="000659F8" w:rsidRDefault="000659F8" w14:paraId="63FDC6FC" w14:textId="77777777">
      <w:pPr>
        <w:spacing w:after="0" w:line="276" w:lineRule="auto"/>
        <w:jc w:val="both"/>
        <w:rPr>
          <w:rFonts w:ascii="Arial" w:hAnsi="Arial" w:cs="Arial"/>
          <w:lang w:val="es-ES_tradnl"/>
        </w:rPr>
      </w:pPr>
      <w:r w:rsidRPr="001F769E">
        <w:rPr>
          <w:rFonts w:ascii="Arial" w:hAnsi="Arial" w:cs="Arial"/>
          <w:lang w:val="es-ES_tradnl"/>
        </w:rPr>
        <w:t xml:space="preserve">  </w:t>
      </w:r>
    </w:p>
    <w:p w:rsidR="000659F8" w:rsidP="000659F8" w:rsidRDefault="000659F8" w14:paraId="19C793C8" w14:textId="77777777">
      <w:pPr>
        <w:spacing w:line="276" w:lineRule="auto"/>
        <w:jc w:val="both"/>
        <w:rPr>
          <w:rFonts w:ascii="Arial" w:hAnsi="Arial" w:eastAsia="Calibri" w:cs="Arial"/>
          <w:color w:val="000000" w:themeColor="text1"/>
        </w:rPr>
      </w:pPr>
      <w:r w:rsidRPr="00564997">
        <w:rPr>
          <w:rFonts w:ascii="Arial" w:hAnsi="Arial" w:eastAsia="Calibri" w:cs="Arial"/>
          <w:color w:val="000000" w:themeColor="text1"/>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Pr>
          <w:rStyle w:val="Refdenotaalpie"/>
          <w:rFonts w:ascii="Arial" w:hAnsi="Arial" w:eastAsia="Calibri" w:cs="Arial"/>
          <w:color w:val="000000" w:themeColor="text1"/>
        </w:rPr>
        <w:footnoteReference w:id="2"/>
      </w:r>
      <w:r w:rsidRPr="00287B72">
        <w:rPr>
          <w:rFonts w:ascii="Arial" w:hAnsi="Arial" w:eastAsia="Calibri" w:cs="Arial"/>
          <w:color w:val="000000" w:themeColor="text1"/>
        </w:rPr>
        <w:t>.</w:t>
      </w:r>
      <w:r>
        <w:rPr>
          <w:rFonts w:ascii="Arial" w:hAnsi="Arial" w:eastAsia="Calibri" w:cs="Arial"/>
          <w:color w:val="000000" w:themeColor="text1"/>
        </w:rPr>
        <w:t xml:space="preserve"> </w:t>
      </w:r>
      <w:r w:rsidRPr="00E760A1">
        <w:rPr>
          <w:rFonts w:ascii="Arial" w:hAnsi="Arial" w:eastAsia="Calibri" w:cs="Arial"/>
          <w:color w:val="000000" w:themeColor="text1"/>
        </w:rPr>
        <w:t>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r>
        <w:rPr>
          <w:rStyle w:val="Refdenotaalpie"/>
          <w:rFonts w:ascii="Arial" w:hAnsi="Arial" w:eastAsia="Calibri" w:cs="Arial"/>
          <w:color w:val="000000" w:themeColor="text1"/>
        </w:rPr>
        <w:footnoteReference w:id="3"/>
      </w:r>
      <w:r>
        <w:rPr>
          <w:rFonts w:ascii="Arial" w:hAnsi="Arial" w:eastAsia="Calibri" w:cs="Arial"/>
          <w:color w:val="000000" w:themeColor="text1"/>
        </w:rPr>
        <w:t>.</w:t>
      </w:r>
    </w:p>
    <w:p w:rsidR="000659F8" w:rsidP="000659F8" w:rsidRDefault="000659F8" w14:paraId="187D1828" w14:textId="77777777">
      <w:pPr>
        <w:spacing w:line="276" w:lineRule="auto"/>
        <w:ind w:firstLine="708"/>
        <w:jc w:val="both"/>
        <w:rPr>
          <w:rFonts w:ascii="Arial" w:hAnsi="Arial" w:eastAsia="Calibri" w:cs="Arial"/>
          <w:color w:val="000000" w:themeColor="text1"/>
        </w:rPr>
      </w:pPr>
      <w:r w:rsidRPr="00E760A1">
        <w:rPr>
          <w:rFonts w:ascii="Arial" w:hAnsi="Arial" w:eastAsia="Calibri" w:cs="Arial"/>
          <w:color w:val="000000" w:themeColor="text1"/>
        </w:rPr>
        <w:t>La experiencia que se deriva de los contratos que el proponente ha celebrado y ejecutado con diferentes contratantes, sin importar la naturaleza de estos, se verifica con el Registro Único de Proponentes – en adelante RUP -</w:t>
      </w:r>
      <w:r>
        <w:rPr>
          <w:rStyle w:val="Refdenotaalpie"/>
          <w:rFonts w:ascii="Arial" w:hAnsi="Arial" w:eastAsia="Calibri" w:cs="Arial"/>
          <w:color w:val="000000" w:themeColor="text1"/>
        </w:rPr>
        <w:footnoteReference w:id="4"/>
      </w:r>
      <w:r>
        <w:rPr>
          <w:rFonts w:ascii="Arial" w:hAnsi="Arial" w:eastAsia="Calibri" w:cs="Arial"/>
          <w:color w:val="000000" w:themeColor="text1"/>
        </w:rPr>
        <w:t xml:space="preserve">, </w:t>
      </w:r>
      <w:r w:rsidRPr="00E760A1">
        <w:rPr>
          <w:rFonts w:ascii="Arial" w:hAnsi="Arial" w:eastAsia="Calibri" w:cs="Arial"/>
          <w:color w:val="000000" w:themeColor="text1"/>
        </w:rPr>
        <w:t>cuando este certificado sea exigible de acuerdo con la ley. En este registro constan los requisitos habilitantes que se evalúan exclusivamente con este documento, que es plena prueba, sin que la entidad o el proponente puedan solicitar o aportar otra documentación</w:t>
      </w:r>
      <w:r>
        <w:rPr>
          <w:rStyle w:val="Refdenotaalpie"/>
          <w:rFonts w:ascii="Arial" w:hAnsi="Arial" w:eastAsia="Calibri" w:cs="Arial"/>
          <w:color w:val="000000" w:themeColor="text1"/>
        </w:rPr>
        <w:footnoteReference w:id="5"/>
      </w:r>
      <w:r>
        <w:rPr>
          <w:rFonts w:ascii="Arial" w:hAnsi="Arial" w:eastAsia="Calibri" w:cs="Arial"/>
          <w:color w:val="000000" w:themeColor="text1"/>
        </w:rPr>
        <w:t>.</w:t>
      </w:r>
    </w:p>
    <w:p w:rsidR="000659F8" w:rsidP="000659F8" w:rsidRDefault="000659F8" w14:paraId="1214685D"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Style w:val="Refdenotaalpie"/>
          <w:rFonts w:ascii="Arial" w:hAnsi="Arial" w:eastAsia="Calibri" w:cs="Arial"/>
          <w:color w:val="000000" w:themeColor="text1"/>
        </w:rPr>
        <w:footnoteReference w:id="6"/>
      </w:r>
      <w:r>
        <w:rPr>
          <w:rFonts w:ascii="Arial" w:hAnsi="Arial" w:eastAsia="Calibri" w:cs="Arial"/>
          <w:color w:val="000000" w:themeColor="text1"/>
        </w:rPr>
        <w:t xml:space="preserve">. </w:t>
      </w:r>
      <w:r w:rsidRPr="00F21C34">
        <w:rPr>
          <w:rFonts w:ascii="Arial" w:hAnsi="Arial" w:eastAsia="Calibri" w:cs="Arial"/>
          <w:color w:val="000000" w:themeColor="text1"/>
        </w:rPr>
        <w:t>De esta manera, con el RUP</w:t>
      </w:r>
      <w:r>
        <w:rPr>
          <w:rFonts w:ascii="Arial" w:hAnsi="Arial" w:eastAsia="Calibri" w:cs="Arial"/>
          <w:color w:val="000000" w:themeColor="text1"/>
        </w:rPr>
        <w:t xml:space="preserve"> </w:t>
      </w:r>
      <w:r w:rsidRPr="00F21C34">
        <w:rPr>
          <w:rFonts w:ascii="Arial" w:hAnsi="Arial" w:eastAsia="Calibri" w:cs="Arial"/>
          <w:color w:val="000000" w:themeColor="text1"/>
        </w:rPr>
        <w:t xml:space="preserve">se </w:t>
      </w:r>
      <w:r w:rsidRPr="00F21C34">
        <w:rPr>
          <w:rFonts w:ascii="Arial" w:hAnsi="Arial" w:eastAsia="Calibri" w:cs="Arial"/>
          <w:color w:val="000000" w:themeColor="text1"/>
        </w:rPr>
        <w:lastRenderedPageBreak/>
        <w:t>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rsidR="000659F8" w:rsidP="000659F8" w:rsidRDefault="000659F8" w14:paraId="33F4633F" w14:textId="77777777">
      <w:pPr>
        <w:spacing w:after="0" w:line="276" w:lineRule="auto"/>
        <w:jc w:val="both"/>
        <w:rPr>
          <w:rFonts w:ascii="Arial" w:hAnsi="Arial" w:eastAsia="Calibri" w:cs="Arial"/>
          <w:b/>
          <w:color w:val="000000" w:themeColor="text1"/>
        </w:rPr>
      </w:pPr>
      <w:r w:rsidRPr="00F21C34">
        <w:rPr>
          <w:rFonts w:ascii="Arial" w:hAnsi="Arial" w:eastAsia="Calibri" w:cs="Arial"/>
          <w:b/>
          <w:color w:val="000000" w:themeColor="text1"/>
        </w:rPr>
        <w:t>2.2. Consideraciones de la Agencia respecto de la experiencia</w:t>
      </w:r>
    </w:p>
    <w:p w:rsidR="000659F8" w:rsidP="000659F8" w:rsidRDefault="000659F8" w14:paraId="419028DA" w14:textId="77777777">
      <w:pPr>
        <w:spacing w:after="0" w:line="276" w:lineRule="auto"/>
        <w:jc w:val="both"/>
        <w:rPr>
          <w:rFonts w:ascii="Arial" w:hAnsi="Arial" w:eastAsia="Calibri" w:cs="Arial"/>
          <w:b/>
          <w:color w:val="000000" w:themeColor="text1"/>
        </w:rPr>
      </w:pPr>
    </w:p>
    <w:p w:rsidR="000659F8" w:rsidP="000659F8" w:rsidRDefault="000659F8" w14:paraId="527BF92D" w14:textId="77777777">
      <w:pPr>
        <w:spacing w:line="276" w:lineRule="auto"/>
        <w:jc w:val="both"/>
        <w:rPr>
          <w:rFonts w:ascii="Arial" w:hAnsi="Arial" w:eastAsia="Calibri" w:cs="Arial"/>
          <w:color w:val="000000" w:themeColor="text1"/>
        </w:rPr>
      </w:pPr>
      <w:r w:rsidRPr="00F21C34">
        <w:rPr>
          <w:rFonts w:ascii="Arial" w:hAnsi="Arial" w:eastAsia="Calibri" w:cs="Arial"/>
          <w:color w:val="000000" w:themeColor="text1"/>
        </w:rPr>
        <w:t xml:space="preserve">La Agencia Nacional de Contratación Pública – Colombia Compra Eficiente puso a disposición de los interesados del Sistema de Compra Pública el </w:t>
      </w:r>
      <w:r>
        <w:rPr>
          <w:rFonts w:ascii="Arial" w:hAnsi="Arial" w:eastAsia="Calibri" w:cs="Arial"/>
          <w:color w:val="000000" w:themeColor="text1"/>
        </w:rPr>
        <w:t>“</w:t>
      </w:r>
      <w:r w:rsidRPr="00F21C34">
        <w:rPr>
          <w:rFonts w:ascii="Arial" w:hAnsi="Arial" w:eastAsia="Calibri" w:cs="Arial"/>
          <w:color w:val="000000" w:themeColor="text1"/>
        </w:rPr>
        <w:t>Manual para determinar y verificar requisitos habilitantes en los procesos de contratación</w:t>
      </w:r>
      <w:r>
        <w:rPr>
          <w:rFonts w:ascii="Arial" w:hAnsi="Arial" w:eastAsia="Calibri" w:cs="Arial"/>
          <w:color w:val="000000" w:themeColor="text1"/>
        </w:rPr>
        <w:t>”</w:t>
      </w:r>
      <w:r>
        <w:rPr>
          <w:rStyle w:val="Refdenotaalpie"/>
          <w:rFonts w:ascii="Arial" w:hAnsi="Arial" w:eastAsia="Calibri" w:cs="Arial"/>
          <w:color w:val="000000" w:themeColor="text1"/>
        </w:rPr>
        <w:footnoteReference w:id="7"/>
      </w:r>
      <w:r>
        <w:rPr>
          <w:rFonts w:ascii="Arial" w:hAnsi="Arial" w:eastAsia="Calibri" w:cs="Arial"/>
          <w:color w:val="000000" w:themeColor="text1"/>
        </w:rPr>
        <w:t xml:space="preserve">, </w:t>
      </w:r>
      <w:r w:rsidRPr="00F21C34">
        <w:rPr>
          <w:rFonts w:ascii="Arial" w:hAnsi="Arial" w:eastAsia="Calibri" w:cs="Arial"/>
          <w:color w:val="000000" w:themeColor="text1"/>
        </w:rPr>
        <w:t>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del proponente, con anterioridad, en actividades que le permitieron conocer cómo ejecutar determinado objeto contractual, que la entidad ahora pretende desarrollar</w:t>
      </w:r>
      <w:r>
        <w:rPr>
          <w:rStyle w:val="Refdenotaalpie"/>
          <w:rFonts w:ascii="Arial" w:hAnsi="Arial" w:eastAsia="Calibri" w:cs="Arial"/>
          <w:color w:val="000000" w:themeColor="text1"/>
        </w:rPr>
        <w:footnoteReference w:id="8"/>
      </w:r>
      <w:r>
        <w:rPr>
          <w:rFonts w:ascii="Arial" w:hAnsi="Arial" w:eastAsia="Calibri" w:cs="Arial"/>
          <w:color w:val="000000" w:themeColor="text1"/>
        </w:rPr>
        <w:t>.</w:t>
      </w:r>
    </w:p>
    <w:p w:rsidR="000659F8" w:rsidP="000659F8" w:rsidRDefault="000659F8" w14:paraId="79132636"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Lo anterior es determinante, porque no es posible adquirir la experiencia si en la práctica no se han ejecutado actividades similares de forma previa. Precisamente, de la experiencia se deriva el conocimiento del proponente, y para la contratación pública este conocimiento es importante, pues ello garantiza que no habrá improvisación ni mayores costos por errores o dificultades originadas en realizar una actividad por primera vez.</w:t>
      </w:r>
    </w:p>
    <w:p w:rsidR="000659F8" w:rsidP="000659F8" w:rsidRDefault="000659F8" w14:paraId="6EADD0E9"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w:t>
      </w:r>
    </w:p>
    <w:p w:rsidR="000659F8" w:rsidP="000659F8" w:rsidRDefault="000659F8" w14:paraId="1D347F0C"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 xml:space="preserve">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rsidR="000659F8" w:rsidP="000659F8" w:rsidRDefault="000659F8" w14:paraId="01FAA157"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lastRenderedPageBreak/>
        <w:t xml:space="preserve">Finalmente, pueden extraerse cuatro (4) conclusiones relevantes para evaluar las figuras y reformas estatutarias de las sociedades comerciales, respecto de la experiencia: </w:t>
      </w:r>
    </w:p>
    <w:p w:rsidR="000659F8" w:rsidP="000659F8" w:rsidRDefault="000659F8" w14:paraId="070C4001"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 xml:space="preserve">i) La experiencia es personal, esto es, se adquiere participando, directa o indirectamente, sin que sea posible no hacerlo y tener experiencia. </w:t>
      </w:r>
    </w:p>
    <w:p w:rsidR="000659F8" w:rsidP="000659F8" w:rsidRDefault="000659F8" w14:paraId="7C001F15" w14:textId="77777777">
      <w:pPr>
        <w:spacing w:line="276" w:lineRule="auto"/>
        <w:ind w:firstLine="708"/>
        <w:jc w:val="both"/>
        <w:rPr>
          <w:rFonts w:ascii="Arial" w:hAnsi="Arial" w:eastAsia="Calibri" w:cs="Arial"/>
          <w:color w:val="000000" w:themeColor="text1"/>
        </w:rPr>
      </w:pPr>
      <w:proofErr w:type="spellStart"/>
      <w:r w:rsidRPr="00F21C34">
        <w:rPr>
          <w:rFonts w:ascii="Arial" w:hAnsi="Arial" w:eastAsia="Calibri" w:cs="Arial"/>
          <w:color w:val="000000" w:themeColor="text1"/>
        </w:rPr>
        <w:t>ii</w:t>
      </w:r>
      <w:proofErr w:type="spellEnd"/>
      <w:r w:rsidRPr="00F21C34">
        <w:rPr>
          <w:rFonts w:ascii="Arial" w:hAnsi="Arial" w:eastAsia="Calibri" w:cs="Arial"/>
          <w:color w:val="000000" w:themeColor="text1"/>
        </w:rPr>
        <w:t xml:space="preserve">) La experiencia se puede compartir, sin que implique que la compartida a una persona se entienda suya, ya que dentro del procedimiento contractual se reflejará que esa persona tiene la experiencia de otra, como es el caso de las figuras </w:t>
      </w:r>
      <w:proofErr w:type="gramStart"/>
      <w:r w:rsidRPr="00F21C34">
        <w:rPr>
          <w:rFonts w:ascii="Arial" w:hAnsi="Arial" w:eastAsia="Calibri" w:cs="Arial"/>
          <w:color w:val="000000" w:themeColor="text1"/>
        </w:rPr>
        <w:t>asociativas</w:t>
      </w:r>
      <w:r>
        <w:rPr>
          <w:rFonts w:ascii="Arial" w:hAnsi="Arial" w:eastAsia="Calibri" w:cs="Arial"/>
          <w:color w:val="000000" w:themeColor="text1"/>
        </w:rPr>
        <w:t xml:space="preserve"> </w:t>
      </w:r>
      <w:r w:rsidRPr="00F21C34">
        <w:rPr>
          <w:rFonts w:ascii="Arial" w:hAnsi="Arial" w:eastAsia="Calibri" w:cs="Arial"/>
          <w:color w:val="000000" w:themeColor="text1"/>
        </w:rPr>
        <w:t xml:space="preserve"> ̶</w:t>
      </w:r>
      <w:proofErr w:type="gramEnd"/>
      <w:r>
        <w:rPr>
          <w:rFonts w:ascii="Arial" w:hAnsi="Arial" w:eastAsia="Calibri" w:cs="Arial"/>
          <w:color w:val="000000" w:themeColor="text1"/>
        </w:rPr>
        <w:t xml:space="preserve"> </w:t>
      </w:r>
      <w:r w:rsidRPr="00F21C34">
        <w:rPr>
          <w:rFonts w:ascii="Arial" w:hAnsi="Arial" w:eastAsia="Calibri" w:cs="Arial"/>
          <w:color w:val="000000" w:themeColor="text1"/>
        </w:rPr>
        <w:t xml:space="preserve">consorcios y uniones temporales ̶ </w:t>
      </w:r>
      <w:r>
        <w:rPr>
          <w:rFonts w:ascii="Arial" w:hAnsi="Arial" w:eastAsia="Calibri" w:cs="Arial"/>
          <w:color w:val="000000" w:themeColor="text1"/>
        </w:rPr>
        <w:t xml:space="preserve"> </w:t>
      </w:r>
      <w:r w:rsidRPr="00F21C34">
        <w:rPr>
          <w:rFonts w:ascii="Arial" w:hAnsi="Arial" w:eastAsia="Calibri" w:cs="Arial"/>
          <w:color w:val="000000" w:themeColor="text1"/>
        </w:rPr>
        <w:t>que se verificará en el documento privado de constitución</w:t>
      </w:r>
      <w:r>
        <w:rPr>
          <w:rStyle w:val="Refdenotaalpie"/>
          <w:rFonts w:ascii="Arial" w:hAnsi="Arial" w:eastAsia="Calibri" w:cs="Arial"/>
          <w:color w:val="000000" w:themeColor="text1"/>
        </w:rPr>
        <w:footnoteReference w:id="9"/>
      </w:r>
      <w:r>
        <w:rPr>
          <w:rFonts w:ascii="Arial" w:hAnsi="Arial" w:eastAsia="Calibri" w:cs="Arial"/>
          <w:color w:val="000000" w:themeColor="text1"/>
        </w:rPr>
        <w:t>.</w:t>
      </w:r>
    </w:p>
    <w:p w:rsidR="000659F8" w:rsidP="000659F8" w:rsidRDefault="000659F8" w14:paraId="2BB56CB8" w14:textId="77777777">
      <w:pPr>
        <w:spacing w:line="276" w:lineRule="auto"/>
        <w:ind w:firstLine="708"/>
        <w:jc w:val="both"/>
        <w:rPr>
          <w:rFonts w:ascii="Arial" w:hAnsi="Arial" w:eastAsia="Calibri" w:cs="Arial"/>
          <w:color w:val="000000" w:themeColor="text1"/>
        </w:rPr>
      </w:pPr>
      <w:proofErr w:type="spellStart"/>
      <w:r w:rsidRPr="00F21C34">
        <w:rPr>
          <w:rFonts w:ascii="Arial" w:hAnsi="Arial" w:eastAsia="Calibri" w:cs="Arial"/>
          <w:color w:val="000000" w:themeColor="text1"/>
        </w:rPr>
        <w:t>iii</w:t>
      </w:r>
      <w:proofErr w:type="spellEnd"/>
      <w:r w:rsidRPr="00F21C34">
        <w:rPr>
          <w:rFonts w:ascii="Arial" w:hAnsi="Arial" w:eastAsia="Calibri" w:cs="Arial"/>
          <w:color w:val="000000" w:themeColor="text1"/>
        </w:rPr>
        <w:t xml:space="preserve">) </w:t>
      </w:r>
      <w:r w:rsidRPr="00B31227">
        <w:rPr>
          <w:rFonts w:ascii="Arial" w:hAnsi="Arial" w:eastAsia="Calibri" w:cs="Arial"/>
          <w:color w:val="000000" w:themeColor="text1"/>
        </w:rPr>
        <w:t xml:space="preserve">La experiencia se puede transferir, y es diferente a compartir, puesto que implica que la experiencia de una persona se traslada a otra, y esta última acredita esa experiencia como propia, lo cual es el caso de algunas figuras y reformas estatutarias. </w:t>
      </w:r>
    </w:p>
    <w:p w:rsidR="000659F8" w:rsidP="000659F8" w:rsidRDefault="000659F8" w14:paraId="6A18A263" w14:textId="77777777">
      <w:pPr>
        <w:spacing w:line="276" w:lineRule="auto"/>
        <w:ind w:firstLine="708"/>
        <w:jc w:val="both"/>
        <w:rPr>
          <w:rFonts w:ascii="Arial" w:hAnsi="Arial" w:eastAsia="Calibri" w:cs="Arial"/>
          <w:color w:val="000000" w:themeColor="text1"/>
        </w:rPr>
      </w:pPr>
      <w:proofErr w:type="spellStart"/>
      <w:r w:rsidRPr="00F21C34">
        <w:rPr>
          <w:rFonts w:ascii="Arial" w:hAnsi="Arial" w:eastAsia="Calibri" w:cs="Arial"/>
          <w:color w:val="000000" w:themeColor="text1"/>
        </w:rPr>
        <w:t>iv</w:t>
      </w:r>
      <w:proofErr w:type="spellEnd"/>
      <w:r w:rsidRPr="00F21C34">
        <w:rPr>
          <w:rFonts w:ascii="Arial" w:hAnsi="Arial" w:eastAsia="Calibri" w:cs="Arial"/>
          <w:color w:val="000000" w:themeColor="text1"/>
        </w:rPr>
        <w:t>) Cuando la persona que adquirió la experiencia desaparece o se liquida no es posible que comparta o transfiera su experiencia, porque al ser personal sigue la suerte de quien la adquirió.</w:t>
      </w:r>
    </w:p>
    <w:p w:rsidR="000659F8" w:rsidP="000659F8" w:rsidRDefault="000659F8" w14:paraId="4E1A9E1C"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Ahora bien, respecto a la forma como se acredita la experiencia, debe destacarse que, el RUP fue creado por el artículo 6 de la Ley 1150 de 2007</w:t>
      </w:r>
      <w:r>
        <w:rPr>
          <w:rStyle w:val="Refdenotaalpie"/>
          <w:rFonts w:ascii="Arial" w:hAnsi="Arial" w:eastAsia="Calibri" w:cs="Arial"/>
          <w:color w:val="000000" w:themeColor="text1"/>
        </w:rPr>
        <w:footnoteReference w:id="10"/>
      </w:r>
      <w:r>
        <w:rPr>
          <w:rFonts w:ascii="Arial" w:hAnsi="Arial" w:eastAsia="Calibri" w:cs="Arial"/>
          <w:color w:val="000000" w:themeColor="text1"/>
        </w:rPr>
        <w:t xml:space="preserve"> </w:t>
      </w:r>
      <w:r w:rsidRPr="00F21C34">
        <w:rPr>
          <w:rFonts w:ascii="Arial" w:hAnsi="Arial" w:eastAsia="Calibri" w:cs="Arial"/>
          <w:color w:val="000000" w:themeColor="text1"/>
        </w:rPr>
        <w:t xml:space="preserve">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r>
        <w:rPr>
          <w:rFonts w:ascii="Arial" w:hAnsi="Arial" w:eastAsia="Calibri" w:cs="Arial"/>
          <w:color w:val="000000" w:themeColor="text1"/>
        </w:rPr>
        <w:t>“</w:t>
      </w:r>
      <w:proofErr w:type="spellStart"/>
      <w:r w:rsidRPr="00F21C34">
        <w:rPr>
          <w:rFonts w:ascii="Arial" w:hAnsi="Arial" w:eastAsia="Calibri" w:cs="Arial"/>
          <w:color w:val="000000" w:themeColor="text1"/>
        </w:rPr>
        <w:t>sometid</w:t>
      </w:r>
      <w:proofErr w:type="spellEnd"/>
      <w:r w:rsidRPr="00F21C34">
        <w:rPr>
          <w:rFonts w:ascii="Arial" w:hAnsi="Arial" w:eastAsia="Calibri" w:cs="Arial"/>
          <w:color w:val="000000" w:themeColor="text1"/>
        </w:rPr>
        <w:t>[a] a los principios de la función administrativa y de contratación estatal</w:t>
      </w:r>
      <w:r>
        <w:rPr>
          <w:rFonts w:ascii="Arial" w:hAnsi="Arial" w:eastAsia="Calibri" w:cs="Arial"/>
          <w:color w:val="000000" w:themeColor="text1"/>
        </w:rPr>
        <w:t>”</w:t>
      </w:r>
      <w:r>
        <w:rPr>
          <w:rStyle w:val="Refdenotaalpie"/>
          <w:rFonts w:ascii="Arial" w:hAnsi="Arial" w:eastAsia="Calibri" w:cs="Arial"/>
          <w:color w:val="000000" w:themeColor="text1"/>
        </w:rPr>
        <w:footnoteReference w:id="11"/>
      </w:r>
      <w:r>
        <w:rPr>
          <w:rFonts w:ascii="Arial" w:hAnsi="Arial" w:eastAsia="Calibri" w:cs="Arial"/>
          <w:color w:val="000000" w:themeColor="text1"/>
        </w:rPr>
        <w:t>.</w:t>
      </w:r>
    </w:p>
    <w:p w:rsidR="000659F8" w:rsidP="000659F8" w:rsidRDefault="000659F8" w14:paraId="6E307275"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El artículo 6 de la Ley 1150 de 2007 señala que el RUP </w:t>
      </w:r>
      <w:r>
        <w:rPr>
          <w:rFonts w:ascii="Arial" w:hAnsi="Arial" w:eastAsia="Calibri" w:cs="Arial"/>
          <w:color w:val="000000" w:themeColor="text1"/>
        </w:rPr>
        <w:t>“</w:t>
      </w:r>
      <w:r w:rsidRPr="005F1985">
        <w:rPr>
          <w:rFonts w:ascii="Arial" w:hAnsi="Arial" w:eastAsia="Calibri" w:cs="Arial"/>
          <w:color w:val="000000" w:themeColor="text1"/>
        </w:rPr>
        <w:t>es plena prueba de las circunstancias que en ella se hagan constar y que hayan sido verificadas por las Cámaras de Comercio</w:t>
      </w:r>
      <w:r>
        <w:rPr>
          <w:rFonts w:ascii="Arial" w:hAnsi="Arial" w:eastAsia="Calibri" w:cs="Arial"/>
          <w:color w:val="000000" w:themeColor="text1"/>
        </w:rPr>
        <w:t>”</w:t>
      </w:r>
      <w:r w:rsidRPr="005F1985">
        <w:rPr>
          <w:rFonts w:ascii="Arial" w:hAnsi="Arial" w:eastAsia="Calibri" w:cs="Arial"/>
          <w:color w:val="000000" w:themeColor="text1"/>
        </w:rPr>
        <w:t xml:space="preserve">, es decir, estableció una regla probatoria en lo que se refiere a las condiciones de </w:t>
      </w:r>
      <w:proofErr w:type="gramStart"/>
      <w:r w:rsidRPr="005F1985">
        <w:rPr>
          <w:rFonts w:ascii="Arial" w:hAnsi="Arial" w:eastAsia="Calibri" w:cs="Arial"/>
          <w:color w:val="000000" w:themeColor="text1"/>
        </w:rPr>
        <w:t>los proponentes contenidas</w:t>
      </w:r>
      <w:proofErr w:type="gramEnd"/>
      <w:r w:rsidRPr="005F1985">
        <w:rPr>
          <w:rFonts w:ascii="Arial" w:hAnsi="Arial" w:eastAsia="Calibri" w:cs="Arial"/>
          <w:color w:val="000000" w:themeColor="text1"/>
        </w:rPr>
        <w:t xml:space="preserve"> en el registro y asignó la competencia a las cámaras para verificarlas. </w:t>
      </w:r>
    </w:p>
    <w:p w:rsidR="000659F8" w:rsidP="000659F8" w:rsidRDefault="000659F8" w14:paraId="53A3EDFC"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La norma impuso la obligación a todos los proponentes de inscribirse en el RUP,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rsidR="000659F8" w:rsidP="000659F8" w:rsidRDefault="000659F8" w14:paraId="52EDC393"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lastRenderedPageBreak/>
        <w:t xml:space="preserve">Asimismo, correlativo a este deber de los proponentes, la norma impuso a las cámaras de comercio la obligación de verificar los requisitos habilitantes de quienes se registren. El inciso 2 del numeral 6.1. de la Ley 1150 de 2007 le otorga carácter de plena prueba a la información contenida en el registro que haya sido verificada por las cámaras de comercio y, además, dispuso que la verificación de las condiciones de que trata el numeral 1 del artículo 5 ibidem se demostrará </w:t>
      </w:r>
      <w:r>
        <w:rPr>
          <w:rFonts w:ascii="Arial" w:hAnsi="Arial" w:eastAsia="Calibri" w:cs="Arial"/>
          <w:color w:val="000000" w:themeColor="text1"/>
        </w:rPr>
        <w:t>“</w:t>
      </w:r>
      <w:r w:rsidRPr="005F1985">
        <w:rPr>
          <w:rFonts w:ascii="Arial" w:hAnsi="Arial" w:eastAsia="Calibri" w:cs="Arial"/>
          <w:color w:val="000000" w:themeColor="text1"/>
        </w:rPr>
        <w:t>exclusivamente con el respectivo certificado del RUP en donde deberán constar dichas condiciones</w:t>
      </w:r>
      <w:r>
        <w:rPr>
          <w:rFonts w:ascii="Arial" w:hAnsi="Arial" w:eastAsia="Calibri" w:cs="Arial"/>
          <w:color w:val="000000" w:themeColor="text1"/>
        </w:rPr>
        <w:t>”</w:t>
      </w:r>
      <w:r w:rsidRPr="005F1985">
        <w:rPr>
          <w:rFonts w:ascii="Arial" w:hAnsi="Arial" w:eastAsia="Calibri" w:cs="Arial"/>
          <w:color w:val="000000" w:themeColor="text1"/>
        </w:rPr>
        <w:t xml:space="preserve">. </w:t>
      </w:r>
    </w:p>
    <w:p w:rsidR="000659F8" w:rsidP="000659F8" w:rsidRDefault="000659F8" w14:paraId="0674AEE1"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rsidRPr="00F21C34" w:rsidR="000659F8" w:rsidP="000659F8" w:rsidRDefault="000659F8" w14:paraId="4565A45C"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RUP.</w:t>
      </w:r>
    </w:p>
    <w:p w:rsidR="000659F8" w:rsidP="000659F8" w:rsidRDefault="000659F8" w14:paraId="675F4738" w14:textId="77777777">
      <w:pPr>
        <w:spacing w:after="0" w:line="276" w:lineRule="auto"/>
        <w:jc w:val="both"/>
        <w:rPr>
          <w:rFonts w:ascii="Arial" w:hAnsi="Arial" w:eastAsia="Calibri" w:cs="Arial"/>
          <w:b/>
          <w:color w:val="000000" w:themeColor="text1"/>
        </w:rPr>
      </w:pPr>
      <w:r w:rsidRPr="005F1985">
        <w:rPr>
          <w:rFonts w:ascii="Arial" w:hAnsi="Arial" w:eastAsia="Calibri" w:cs="Arial"/>
          <w:b/>
          <w:color w:val="000000" w:themeColor="text1"/>
        </w:rPr>
        <w:t>2.3. Acreditación de la experiencia de socios, accionistas o constituyentes por parte de sociedades con menos de tres (3) años de constitución</w:t>
      </w:r>
    </w:p>
    <w:p w:rsidR="000659F8" w:rsidP="000659F8" w:rsidRDefault="000659F8" w14:paraId="4D3C1B77" w14:textId="77777777">
      <w:pPr>
        <w:spacing w:after="0" w:line="276" w:lineRule="auto"/>
        <w:jc w:val="both"/>
        <w:rPr>
          <w:rFonts w:ascii="Arial" w:hAnsi="Arial" w:eastAsia="Calibri" w:cs="Arial"/>
          <w:b/>
          <w:color w:val="000000" w:themeColor="text1"/>
        </w:rPr>
      </w:pPr>
    </w:p>
    <w:p w:rsidR="000659F8" w:rsidP="000659F8" w:rsidRDefault="000659F8" w14:paraId="15F68232" w14:textId="77777777">
      <w:pPr>
        <w:spacing w:line="276" w:lineRule="auto"/>
        <w:jc w:val="both"/>
        <w:rPr>
          <w:rFonts w:ascii="Arial" w:hAnsi="Arial" w:eastAsia="Calibri" w:cs="Arial"/>
          <w:color w:val="000000" w:themeColor="text1"/>
        </w:rPr>
      </w:pPr>
      <w:r w:rsidRPr="005F1985">
        <w:rPr>
          <w:rFonts w:ascii="Arial" w:hAnsi="Arial" w:eastAsia="Calibri" w:cs="Arial"/>
          <w:color w:val="000000" w:themeColor="text1"/>
        </w:rPr>
        <w:t>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w:t>
      </w:r>
    </w:p>
    <w:p w:rsidR="000659F8" w:rsidP="000659F8" w:rsidRDefault="000659F8" w14:paraId="2CED6319"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Por su parte, conforme lo expuesto en el numeral anterior de este concepto,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w:t>
      </w:r>
      <w:r>
        <w:rPr>
          <w:rFonts w:ascii="Arial" w:hAnsi="Arial" w:eastAsia="Calibri" w:cs="Arial"/>
          <w:color w:val="000000" w:themeColor="text1"/>
        </w:rPr>
        <w:t>“</w:t>
      </w:r>
      <w:r w:rsidRPr="005F1985">
        <w:rPr>
          <w:rFonts w:ascii="Arial" w:hAnsi="Arial" w:eastAsia="Calibri" w:cs="Arial"/>
          <w:color w:val="000000" w:themeColor="text1"/>
        </w:rPr>
        <w:t>Manual para determinar y verificar requisitos habilitantes en los procesos de contratación</w:t>
      </w:r>
      <w:r>
        <w:rPr>
          <w:rFonts w:ascii="Arial" w:hAnsi="Arial" w:eastAsia="Calibri" w:cs="Arial"/>
          <w:color w:val="000000" w:themeColor="text1"/>
        </w:rPr>
        <w:t>”</w:t>
      </w:r>
      <w:r w:rsidRPr="005F1985">
        <w:rPr>
          <w:rFonts w:ascii="Arial" w:hAnsi="Arial" w:eastAsia="Calibri" w:cs="Arial"/>
          <w:color w:val="000000" w:themeColor="text1"/>
        </w:rPr>
        <w:t xml:space="preserve"> se define la experiencia como </w:t>
      </w:r>
      <w:r>
        <w:rPr>
          <w:rFonts w:ascii="Arial" w:hAnsi="Arial" w:eastAsia="Calibri" w:cs="Arial"/>
          <w:color w:val="000000" w:themeColor="text1"/>
        </w:rPr>
        <w:t>“</w:t>
      </w:r>
      <w:r w:rsidRPr="005F1985">
        <w:rPr>
          <w:rFonts w:ascii="Arial" w:hAnsi="Arial" w:eastAsia="Calibri" w:cs="Arial"/>
          <w:color w:val="000000" w:themeColor="text1"/>
        </w:rPr>
        <w:t>el conocimiento del proponente derivado de su participación previa en actividades iguales o similares a las previstas en el objeto del contrato</w:t>
      </w:r>
      <w:r>
        <w:rPr>
          <w:rFonts w:ascii="Arial" w:hAnsi="Arial" w:eastAsia="Calibri" w:cs="Arial"/>
          <w:color w:val="000000" w:themeColor="text1"/>
        </w:rPr>
        <w:t>”</w:t>
      </w:r>
      <w:r w:rsidRPr="005F1985">
        <w:rPr>
          <w:rFonts w:ascii="Arial" w:hAnsi="Arial" w:eastAsia="Calibri" w:cs="Arial"/>
          <w:color w:val="000000" w:themeColor="text1"/>
        </w:rPr>
        <w:t xml:space="preserve">. </w:t>
      </w:r>
    </w:p>
    <w:p w:rsidR="000659F8" w:rsidP="000659F8" w:rsidRDefault="000659F8" w14:paraId="29FF92FF"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El numeral 2.1 del artículo 2.2.1.1.1.5.2 del Decreto 1082 de 2015 establece que si una persona natural se inscribe en el RUP aportará los certificados de experiencia en provisión de </w:t>
      </w:r>
      <w:r w:rsidRPr="005F1985">
        <w:rPr>
          <w:rFonts w:ascii="Arial" w:hAnsi="Arial" w:eastAsia="Calibri" w:cs="Arial"/>
          <w:color w:val="000000" w:themeColor="text1"/>
        </w:rPr>
        <w:lastRenderedPageBreak/>
        <w:t>bienes, obras y servicios, los cuales deben ser expedidos por terceros que hayan recibido tales bienes, obras y servicios, y deben corresponder a contratos ejecutados o copias de los contratos cuando el interesado no puede obtener tal certificado</w:t>
      </w:r>
      <w:r>
        <w:rPr>
          <w:rStyle w:val="Refdenotaalpie"/>
          <w:rFonts w:ascii="Arial" w:hAnsi="Arial" w:eastAsia="Calibri" w:cs="Arial"/>
          <w:color w:val="000000" w:themeColor="text1"/>
        </w:rPr>
        <w:footnoteReference w:id="12"/>
      </w:r>
      <w:r>
        <w:rPr>
          <w:rFonts w:ascii="Arial" w:hAnsi="Arial" w:eastAsia="Calibri" w:cs="Arial"/>
          <w:color w:val="000000" w:themeColor="text1"/>
        </w:rPr>
        <w:t>.</w:t>
      </w:r>
    </w:p>
    <w:p w:rsidR="000659F8" w:rsidP="000659F8" w:rsidRDefault="000659F8" w14:paraId="4CB6FD1A"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Pr>
          <w:rStyle w:val="Refdenotaalpie"/>
          <w:rFonts w:ascii="Arial" w:hAnsi="Arial" w:eastAsia="Calibri" w:cs="Arial"/>
          <w:color w:val="000000" w:themeColor="text1"/>
        </w:rPr>
        <w:footnoteReference w:id="13"/>
      </w:r>
      <w:r>
        <w:rPr>
          <w:rFonts w:ascii="Arial" w:hAnsi="Arial" w:eastAsia="Calibri" w:cs="Arial"/>
          <w:color w:val="000000" w:themeColor="text1"/>
        </w:rPr>
        <w:t>.</w:t>
      </w:r>
    </w:p>
    <w:p w:rsidR="000659F8" w:rsidP="000659F8" w:rsidRDefault="000659F8" w14:paraId="2318BEB1"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w:t>
      </w:r>
      <w:r>
        <w:rPr>
          <w:rFonts w:ascii="Arial" w:hAnsi="Arial" w:eastAsia="Calibri" w:cs="Arial"/>
          <w:color w:val="000000" w:themeColor="text1"/>
        </w:rPr>
        <w:t>“</w:t>
      </w:r>
      <w:r w:rsidRPr="005F1985">
        <w:rPr>
          <w:rFonts w:ascii="Arial" w:hAnsi="Arial" w:eastAsia="Calibri" w:cs="Arial"/>
          <w:color w:val="000000" w:themeColor="text1"/>
        </w:rPr>
        <w:t>Si la constitución del interesado es menor a tres (3) años, puede acreditar la experiencia de sus accionistas, socios o constituyentes</w:t>
      </w:r>
      <w:r>
        <w:rPr>
          <w:rFonts w:ascii="Arial" w:hAnsi="Arial" w:eastAsia="Calibri" w:cs="Arial"/>
          <w:color w:val="000000" w:themeColor="text1"/>
        </w:rPr>
        <w:t>”</w:t>
      </w:r>
      <w:r w:rsidRPr="005F1985">
        <w:rPr>
          <w:rFonts w:ascii="Arial" w:hAnsi="Arial" w:eastAsia="Calibri" w:cs="Arial"/>
          <w:color w:val="000000" w:themeColor="text1"/>
        </w:rPr>
        <w:t>.</w:t>
      </w:r>
    </w:p>
    <w:p w:rsidR="000659F8" w:rsidP="000659F8" w:rsidRDefault="000659F8" w14:paraId="07584387"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De este modo, se evidencia que, la parte final del numeral 2.5 del artículo citado incluye una medida diferenciada para las personas jurídicas cuya constitución sea menor a tres (3) años</w:t>
      </w:r>
      <w:r>
        <w:rPr>
          <w:rFonts w:ascii="Arial" w:hAnsi="Arial" w:eastAsia="Calibri" w:cs="Arial"/>
          <w:color w:val="000000" w:themeColor="text1"/>
        </w:rPr>
        <w:t xml:space="preserve"> </w:t>
      </w:r>
      <w:r w:rsidRPr="005F1985">
        <w:rPr>
          <w:rFonts w:ascii="Arial" w:hAnsi="Arial" w:eastAsia="Calibri" w:cs="Arial"/>
          <w:color w:val="000000" w:themeColor="text1"/>
        </w:rPr>
        <w:t>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rsidR="000659F8" w:rsidP="000659F8" w:rsidRDefault="000659F8" w14:paraId="6023407F"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A pesar de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rsidR="000659F8" w:rsidP="000659F8" w:rsidRDefault="000659F8" w14:paraId="436E39A7"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w:t>
      </w:r>
      <w:r w:rsidRPr="005F1985">
        <w:rPr>
          <w:rFonts w:ascii="Arial" w:hAnsi="Arial" w:eastAsia="Calibri" w:cs="Arial"/>
          <w:color w:val="000000" w:themeColor="text1"/>
        </w:rPr>
        <w:lastRenderedPageBreak/>
        <w:t xml:space="preserve">contratación, y de esta forma promover el desarrollo de la empresa y la pluralidad de oferentes en la contratación pública. </w:t>
      </w:r>
    </w:p>
    <w:p w:rsidR="000659F8" w:rsidP="000659F8" w:rsidRDefault="000659F8" w14:paraId="76A69C9F"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rsidR="000659F8" w:rsidP="000659F8" w:rsidRDefault="000659F8" w14:paraId="70D3819C"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En el concepto identificado con radicado No. 4201814000001418 del 3 de abril de 2018, donde frente a la misma pregunta esta Subdirección respondió que después de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rsidR="000659F8" w:rsidP="000659F8" w:rsidRDefault="000659F8" w14:paraId="7D2035A1"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i) 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rsidR="000659F8" w:rsidP="000659F8" w:rsidRDefault="000659F8" w14:paraId="57B65A59" w14:textId="77777777">
      <w:pPr>
        <w:spacing w:line="276" w:lineRule="auto"/>
        <w:ind w:firstLine="708"/>
        <w:jc w:val="both"/>
        <w:rPr>
          <w:rFonts w:ascii="Arial" w:hAnsi="Arial" w:eastAsia="Calibri" w:cs="Arial"/>
          <w:color w:val="000000" w:themeColor="text1"/>
        </w:rPr>
      </w:pPr>
      <w:proofErr w:type="spellStart"/>
      <w:r w:rsidRPr="005F1985">
        <w:rPr>
          <w:rFonts w:ascii="Arial" w:hAnsi="Arial" w:eastAsia="Calibri" w:cs="Arial"/>
          <w:color w:val="000000" w:themeColor="text1"/>
        </w:rPr>
        <w:t>ii</w:t>
      </w:r>
      <w:proofErr w:type="spellEnd"/>
      <w:r w:rsidRPr="005F1985">
        <w:rPr>
          <w:rFonts w:ascii="Arial" w:hAnsi="Arial" w:eastAsia="Calibri" w:cs="Arial"/>
          <w:color w:val="000000" w:themeColor="text1"/>
        </w:rPr>
        <w:t xml:space="preserve">) El Decreto 1082 de 2015 establece que, para la inscripción en el RUP de una persona jurídica si su constitución es menor a tres (3) años, puede acreditar la experiencia de sus accionistas, socios o constituyentes. </w:t>
      </w:r>
    </w:p>
    <w:p w:rsidR="000659F8" w:rsidP="000659F8" w:rsidRDefault="000659F8" w14:paraId="09B4E1BA" w14:textId="77777777">
      <w:pPr>
        <w:spacing w:line="276" w:lineRule="auto"/>
        <w:ind w:firstLine="708"/>
        <w:jc w:val="both"/>
        <w:rPr>
          <w:rFonts w:ascii="Arial" w:hAnsi="Arial" w:eastAsia="Calibri" w:cs="Arial"/>
          <w:color w:val="000000" w:themeColor="text1"/>
        </w:rPr>
      </w:pPr>
      <w:proofErr w:type="spellStart"/>
      <w:r w:rsidRPr="005F1985">
        <w:rPr>
          <w:rFonts w:ascii="Arial" w:hAnsi="Arial" w:eastAsia="Calibri" w:cs="Arial"/>
          <w:color w:val="000000" w:themeColor="text1"/>
        </w:rPr>
        <w:t>iii</w:t>
      </w:r>
      <w:proofErr w:type="spellEnd"/>
      <w:r w:rsidRPr="005F1985">
        <w:rPr>
          <w:rFonts w:ascii="Arial" w:hAnsi="Arial" w:eastAsia="Calibri" w:cs="Arial"/>
          <w:color w:val="000000" w:themeColor="text1"/>
        </w:rPr>
        <w:t>) La finalidad de esta norma es permitir que las sociedades que no cuentan con la experiencia suficiente para contratar con el Estado puedan apoyarse en la experiencia de sus</w:t>
      </w:r>
      <w:r>
        <w:rPr>
          <w:rFonts w:ascii="Arial" w:hAnsi="Arial" w:eastAsia="Calibri" w:cs="Arial"/>
          <w:color w:val="000000" w:themeColor="text1"/>
        </w:rPr>
        <w:t xml:space="preserve"> </w:t>
      </w:r>
      <w:r w:rsidRPr="005F1985">
        <w:rPr>
          <w:rFonts w:ascii="Arial" w:hAnsi="Arial" w:eastAsia="Calibri" w:cs="Arial"/>
          <w:color w:val="000000" w:themeColor="text1"/>
        </w:rPr>
        <w:t>accionistas, socios o constituyentes con el fin de incentivar la libre competencia en la contratación estatal.</w:t>
      </w:r>
    </w:p>
    <w:p w:rsidR="000659F8" w:rsidP="000659F8" w:rsidRDefault="000659F8" w14:paraId="7B44446E" w14:textId="77777777">
      <w:pPr>
        <w:spacing w:line="276" w:lineRule="auto"/>
        <w:ind w:firstLine="708"/>
        <w:jc w:val="both"/>
        <w:rPr>
          <w:rFonts w:ascii="Arial" w:hAnsi="Arial" w:eastAsia="Calibri" w:cs="Arial"/>
          <w:color w:val="000000" w:themeColor="text1"/>
        </w:rPr>
      </w:pPr>
      <w:proofErr w:type="spellStart"/>
      <w:r>
        <w:rPr>
          <w:rFonts w:ascii="Arial" w:hAnsi="Arial" w:eastAsia="Calibri" w:cs="Arial"/>
          <w:color w:val="000000" w:themeColor="text1"/>
        </w:rPr>
        <w:t>i</w:t>
      </w:r>
      <w:r w:rsidRPr="00F2390A">
        <w:rPr>
          <w:rFonts w:ascii="Arial" w:hAnsi="Arial" w:eastAsia="Calibri" w:cs="Arial"/>
          <w:color w:val="000000" w:themeColor="text1"/>
        </w:rPr>
        <w:t>v</w:t>
      </w:r>
      <w:proofErr w:type="spellEnd"/>
      <w:r w:rsidRPr="00F2390A">
        <w:rPr>
          <w:rFonts w:ascii="Arial" w:hAnsi="Arial" w:eastAsia="Calibri" w:cs="Arial"/>
          <w:color w:val="000000" w:themeColor="text1"/>
        </w:rPr>
        <w:t xml:space="preserve">)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rsidR="000659F8" w:rsidP="000659F8" w:rsidRDefault="000659F8" w14:paraId="05022215"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rsidR="000659F8" w:rsidP="000659F8" w:rsidRDefault="000659F8" w14:paraId="3DE22551"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lastRenderedPageBreak/>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Pr>
          <w:rStyle w:val="Refdenotaalpie"/>
          <w:rFonts w:ascii="Arial" w:hAnsi="Arial" w:eastAsia="Calibri" w:cs="Arial"/>
          <w:color w:val="000000" w:themeColor="text1"/>
        </w:rPr>
        <w:footnoteReference w:id="14"/>
      </w:r>
      <w:r>
        <w:rPr>
          <w:rFonts w:ascii="Arial" w:hAnsi="Arial" w:eastAsia="Calibri" w:cs="Arial"/>
          <w:color w:val="000000" w:themeColor="text1"/>
        </w:rPr>
        <w:t xml:space="preserve">, </w:t>
      </w:r>
      <w:r w:rsidRPr="00F2390A">
        <w:rPr>
          <w:rFonts w:ascii="Arial" w:hAnsi="Arial" w:eastAsia="Calibri" w:cs="Arial"/>
          <w:color w:val="000000" w:themeColor="text1"/>
        </w:rPr>
        <w:t>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w:t>
      </w:r>
    </w:p>
    <w:p w:rsidR="000659F8" w:rsidP="000659F8" w:rsidRDefault="000659F8" w14:paraId="27BE7C47"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Pr>
          <w:rStyle w:val="Refdenotaalpie"/>
          <w:rFonts w:ascii="Arial" w:hAnsi="Arial" w:eastAsia="Calibri" w:cs="Arial"/>
          <w:color w:val="000000" w:themeColor="text1"/>
        </w:rPr>
        <w:footnoteReference w:id="15"/>
      </w:r>
      <w:r>
        <w:rPr>
          <w:rFonts w:ascii="Arial" w:hAnsi="Arial" w:eastAsia="Calibri" w:cs="Arial"/>
          <w:color w:val="000000" w:themeColor="text1"/>
        </w:rPr>
        <w:t xml:space="preserve">. </w:t>
      </w:r>
      <w:r w:rsidRPr="00F2390A">
        <w:rPr>
          <w:rFonts w:ascii="Arial" w:hAnsi="Arial" w:eastAsia="Calibri" w:cs="Arial"/>
          <w:color w:val="000000" w:themeColor="text1"/>
        </w:rPr>
        <w:t>En la actualidad, las cámaras de comercio solo pueden eliminar la experiencia registrada en el RUP a solicitud del proponente. Por tanto, les corresponde a las personas jurídicas mantener su RUP actualizado y a las entidades estatales verificar este registro para efectos de verificar y evaluar la experiencia.</w:t>
      </w:r>
    </w:p>
    <w:p w:rsidR="000659F8" w:rsidP="000659F8" w:rsidRDefault="000659F8" w14:paraId="51B28031"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En otras palabras, si la persona jurídica con menos de tres (3) años de constituida registra la experiencia de sus socios, accionistas o constituyentes en el RUP, y éste es renovado, puede continuar utilizando la experiencia inscrita mientras no cesen los efectos del RUP. Por el contrario</w:t>
      </w:r>
      <w:r>
        <w:rPr>
          <w:rFonts w:ascii="Arial" w:hAnsi="Arial" w:eastAsia="Calibri" w:cs="Arial"/>
          <w:color w:val="000000" w:themeColor="text1"/>
        </w:rPr>
        <w:t xml:space="preserve">, </w:t>
      </w:r>
      <w:r w:rsidRPr="00F2390A">
        <w:rPr>
          <w:rFonts w:ascii="Arial" w:hAnsi="Arial" w:eastAsia="Calibri" w:cs="Arial"/>
          <w:color w:val="000000" w:themeColor="text1"/>
        </w:rPr>
        <w:t>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Lo anterior, tiene fundamento en la Circular Única de la Superintendencia de Industria y Comercio, cuyo numeral 4.2, sobre el procedimiento para llevar el registro único de proponentes, dispone lo siguiente:</w:t>
      </w:r>
    </w:p>
    <w:p w:rsidR="000659F8" w:rsidP="000659F8" w:rsidRDefault="000659F8" w14:paraId="47ECADD1" w14:textId="77777777">
      <w:pPr>
        <w:ind w:left="709" w:right="709"/>
        <w:jc w:val="both"/>
        <w:rPr>
          <w:rFonts w:ascii="Arial" w:hAnsi="Arial" w:eastAsia="Calibri" w:cs="Arial"/>
          <w:sz w:val="21"/>
          <w:szCs w:val="21"/>
        </w:rPr>
      </w:pPr>
      <w:r w:rsidRPr="00F2390A">
        <w:rPr>
          <w:rFonts w:ascii="Arial" w:hAnsi="Arial" w:eastAsia="Calibri" w:cs="Arial"/>
          <w:sz w:val="21"/>
          <w:szCs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rsidR="000659F8" w:rsidP="000659F8" w:rsidRDefault="000659F8" w14:paraId="5DD518D8"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(3) </w:t>
      </w:r>
      <w:r w:rsidRPr="00F2390A">
        <w:rPr>
          <w:rFonts w:ascii="Arial" w:hAnsi="Arial" w:eastAsia="Calibri" w:cs="Arial"/>
          <w:color w:val="000000" w:themeColor="text1"/>
        </w:rPr>
        <w:lastRenderedPageBreak/>
        <w:t xml:space="preserve">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 </w:t>
      </w:r>
    </w:p>
    <w:p w:rsidR="000659F8" w:rsidP="000659F8" w:rsidRDefault="000659F8" w14:paraId="53270237"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rsidRPr="00F2390A" w:rsidR="000659F8" w:rsidP="000659F8" w:rsidRDefault="000659F8" w14:paraId="1A8CD977"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Por tanto, en atención al principio general de interpretación según el cual donde el legislador no distingue no le es dado hacerlo al interprete, el hecho de 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rsidR="000659F8" w:rsidP="000659F8" w:rsidRDefault="000659F8" w14:paraId="287F69C5" w14:textId="77777777">
      <w:pPr>
        <w:spacing w:line="276" w:lineRule="auto"/>
        <w:jc w:val="both"/>
        <w:rPr>
          <w:rFonts w:ascii="Arial" w:hAnsi="Arial" w:eastAsia="Calibri" w:cs="Arial"/>
          <w:b/>
          <w:bCs/>
          <w:lang w:val="es-ES_tradnl"/>
        </w:rPr>
      </w:pPr>
      <w:r w:rsidRPr="00F2390A">
        <w:rPr>
          <w:rFonts w:ascii="Arial" w:hAnsi="Arial" w:eastAsia="Calibri" w:cs="Arial"/>
          <w:b/>
          <w:bCs/>
          <w:lang w:val="es-ES_tradnl"/>
        </w:rPr>
        <w:t>2.4. Límites de la prerrogativa que contempla el numeral 2.5 del artículo 2.2.1.1.1.5.2 del Decreto 1082 de 2015</w:t>
      </w:r>
    </w:p>
    <w:p w:rsidR="000659F8" w:rsidP="000659F8" w:rsidRDefault="000659F8" w14:paraId="3B09859B" w14:textId="77777777">
      <w:pPr>
        <w:spacing w:line="276" w:lineRule="auto"/>
        <w:jc w:val="both"/>
        <w:rPr>
          <w:rFonts w:ascii="Arial" w:hAnsi="Arial" w:eastAsia="Calibri" w:cs="Arial"/>
          <w:color w:val="000000" w:themeColor="text1"/>
        </w:rPr>
      </w:pPr>
      <w:r w:rsidRPr="00F2390A">
        <w:rPr>
          <w:rFonts w:ascii="Arial" w:hAnsi="Arial" w:eastAsia="Calibri" w:cs="Arial"/>
          <w:color w:val="000000" w:themeColor="text1"/>
        </w:rPr>
        <w:t>En relación con la consulta pla</w:t>
      </w:r>
      <w:r>
        <w:rPr>
          <w:rFonts w:ascii="Arial" w:hAnsi="Arial" w:eastAsia="Calibri" w:cs="Arial"/>
          <w:color w:val="000000" w:themeColor="text1"/>
        </w:rPr>
        <w:t>n</w:t>
      </w:r>
      <w:r w:rsidRPr="00F2390A">
        <w:rPr>
          <w:rFonts w:ascii="Arial" w:hAnsi="Arial" w:eastAsia="Calibri" w:cs="Arial"/>
          <w:color w:val="000000" w:themeColor="text1"/>
        </w:rPr>
        <w:t xml:space="preserve">teada acerca de si una persona jurídica puede seguir acreditando la experiencia de un socio o accionista que ya no hace parte de la sociedad, porque este se ha retirado, debe darse respuesta con base en los mismos argumentos presentados en el numeral anterior del presente concepto: la experiencia podrá ser acreditada siempre que se haga válidamente de acuerdo con los requisitos establecidos en el ordenamiento. </w:t>
      </w:r>
    </w:p>
    <w:p w:rsidR="000659F8" w:rsidP="000659F8" w:rsidRDefault="000659F8" w14:paraId="77575961"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En ese orden de ideas, no debe perderse de vista que el Decreto 1082 de 2015 solo permite que una sociedad acredite la experiencia de quienes tienen la calidad de accionistas, socios o constituyentes durante los primeros tres (3) años de su constitución. Por tanto, como límite a la prerrogativa que contempla el numeral 2.5 del artículo 2.2.1.1.1.5.2 del Decreto 1082 de 2015, la cual puede ser entendida como una medida de fomento a la participación de las sociedades relativamente nuevas en la contratación estatal, se encuentra la situación en la cual alguno de los socios, accionistas o constituyente pierde estas calidades, como sucedería cuando uno de ellos se retira y pierde su calidad de socio. </w:t>
      </w:r>
    </w:p>
    <w:p w:rsidR="000659F8" w:rsidP="000659F8" w:rsidRDefault="000659F8" w14:paraId="6D0CE8C7"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Así las cosas, si alguno de los integrantes de la persona jurídica pierde la calidad de accionista, socio o constituyente la experiencia aportada por quien se retira no deberá ser tenida </w:t>
      </w:r>
      <w:r w:rsidRPr="00F2390A">
        <w:rPr>
          <w:rFonts w:ascii="Arial" w:hAnsi="Arial" w:eastAsia="Calibri" w:cs="Arial"/>
          <w:color w:val="000000" w:themeColor="text1"/>
        </w:rPr>
        <w:lastRenderedPageBreak/>
        <w:t xml:space="preserve">en cuenta por las entidades estatales, y no debería ser utilizada por el proponente en procesos de contratación, ya que es inherente a la persona que la ha obtenido. En consecuencia, el proponente debería actualizar la experiencia en el RUP y abstenerse de inscribir la adquirida por el socio que se retira de la sociedad, actuando así de buena fe en el proceso de contratación. </w:t>
      </w:r>
    </w:p>
    <w:p w:rsidR="000659F8" w:rsidP="000659F8" w:rsidRDefault="000659F8" w14:paraId="234B14F4"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Esta interpretación, además, se impone en atención a fin de evitar prácticas corruptas o que atenten contra la transparencia en la contratación estatal, por lo que la experiencia aportada por quien se retira en cualquier momento no debería ser utilizada por el proponente en los procesos de contratación. De igual forma, lo anterior se fundamenta como se explicó en líneas atrás, en el carácter personalísimo de la experiencia respecto de la persona que la ha adquirido y que solo en casos excepcionales y por disposición legal o reglamentaria se presume de otra forma. En ese sentido, si el socio se retira de la sociedad por venta o cesión de su participación accionaria, no puede vender o ceder su experiencia para que el adquirente o cesionario de la participación accionaria la aporte a la sociedad.</w:t>
      </w:r>
    </w:p>
    <w:p w:rsidRPr="00447DD1" w:rsidR="000659F8" w:rsidP="000659F8" w:rsidRDefault="000659F8" w14:paraId="126F9575" w14:textId="77777777">
      <w:pPr>
        <w:spacing w:after="240" w:line="276" w:lineRule="auto"/>
        <w:jc w:val="both"/>
        <w:rPr>
          <w:rFonts w:ascii="Arial" w:hAnsi="Arial" w:cs="Arial"/>
          <w:b/>
          <w:color w:val="000000"/>
          <w:bdr w:val="none" w:color="auto" w:sz="0" w:space="0" w:frame="1"/>
          <w:lang w:eastAsia="es-MX"/>
        </w:rPr>
      </w:pPr>
      <w:r w:rsidRPr="00447DD1">
        <w:rPr>
          <w:rFonts w:ascii="Arial" w:hAnsi="Arial" w:cs="Arial"/>
          <w:b/>
          <w:color w:val="000000"/>
          <w:bdr w:val="none" w:color="auto" w:sz="0" w:space="0" w:frame="1"/>
          <w:lang w:eastAsia="es-MX"/>
        </w:rPr>
        <w:t>2.</w:t>
      </w:r>
      <w:r>
        <w:rPr>
          <w:rFonts w:ascii="Arial" w:hAnsi="Arial" w:cs="Arial"/>
          <w:b/>
          <w:color w:val="000000"/>
          <w:bdr w:val="none" w:color="auto" w:sz="0" w:space="0" w:frame="1"/>
          <w:lang w:eastAsia="es-MX"/>
        </w:rPr>
        <w:t>5</w:t>
      </w:r>
      <w:r w:rsidRPr="00447DD1">
        <w:rPr>
          <w:rFonts w:ascii="Arial" w:hAnsi="Arial" w:cs="Arial"/>
          <w:b/>
          <w:color w:val="000000"/>
          <w:bdr w:val="none" w:color="auto" w:sz="0" w:space="0" w:frame="1"/>
          <w:lang w:eastAsia="es-MX"/>
        </w:rPr>
        <w:t xml:space="preserve">. </w:t>
      </w:r>
      <w:bookmarkStart w:name="_Hlk135995196" w:id="3"/>
      <w:r w:rsidRPr="00447DD1">
        <w:rPr>
          <w:rFonts w:ascii="Arial" w:hAnsi="Arial" w:cs="Arial"/>
          <w:b/>
          <w:color w:val="000000"/>
          <w:bdr w:val="none" w:color="auto" w:sz="0" w:space="0" w:frame="1"/>
          <w:lang w:eastAsia="es-MX"/>
        </w:rPr>
        <w:t>Acreditación para obtener el puntaje de vinculación de trabajadores con discapacidad</w:t>
      </w:r>
      <w:bookmarkEnd w:id="3"/>
    </w:p>
    <w:p w:rsidRPr="00447DD1" w:rsidR="000659F8" w:rsidP="000659F8" w:rsidRDefault="000659F8" w14:paraId="5DC5618C" w14:textId="77777777">
      <w:pPr>
        <w:spacing w:after="240" w:line="276" w:lineRule="auto"/>
        <w:jc w:val="both"/>
        <w:rPr>
          <w:rFonts w:ascii="Arial" w:hAnsi="Arial" w:cs="Arial"/>
          <w:color w:val="000000"/>
          <w:lang w:eastAsia="es-MX"/>
        </w:rPr>
      </w:pPr>
      <w:bookmarkStart w:name="_Hlk60826619" w:id="4"/>
      <w:r w:rsidRPr="00447DD1">
        <w:rPr>
          <w:rFonts w:ascii="Arial" w:hAnsi="Arial" w:cs="Arial"/>
          <w:color w:val="000000"/>
          <w:lang w:eastAsia="es-MX"/>
        </w:rPr>
        <w:t>Con la Ley Estatutaria 1618 de 2013, el legislador garantizó el ejercicio de los derechos de las personas con discapacidad</w:t>
      </w:r>
      <w:r w:rsidRPr="00447DD1">
        <w:rPr>
          <w:rFonts w:ascii="Arial" w:hAnsi="Arial" w:cs="Arial"/>
          <w:vertAlign w:val="superscript"/>
        </w:rPr>
        <w:footnoteReference w:id="16"/>
      </w:r>
      <w:r w:rsidRPr="00447DD1">
        <w:rPr>
          <w:rFonts w:ascii="Arial" w:hAnsi="Arial" w:cs="Arial"/>
          <w:color w:val="000000"/>
          <w:sz w:val="21"/>
          <w:szCs w:val="21"/>
          <w:lang w:eastAsia="es-MX"/>
        </w:rPr>
        <w:t xml:space="preserve">. </w:t>
      </w:r>
      <w:r w:rsidRPr="00D7236E">
        <w:rPr>
          <w:rFonts w:ascii="Arial" w:hAnsi="Arial" w:cs="Arial"/>
          <w:color w:val="000000"/>
          <w:lang w:eastAsia="es-MX"/>
        </w:rPr>
        <w:t>Por ello, el</w:t>
      </w:r>
      <w:r w:rsidRPr="00447DD1">
        <w:rPr>
          <w:rFonts w:ascii="Arial" w:hAnsi="Arial" w:cs="Arial"/>
          <w:color w:val="000000"/>
          <w:lang w:eastAsia="es-MX"/>
        </w:rPr>
        <w:t xml:space="preserve"> artículo 13 ordenó al Gobierno Nacional expedir un reglamento que determinara la metodología mediante la cual se otorgaría el puntaje adicional a las empresas que en su planta tuvieran contratado personal en situación de discapacidad. En lo pertinente, la norma dispone que:</w:t>
      </w:r>
    </w:p>
    <w:p w:rsidRPr="00447DD1" w:rsidR="000659F8" w:rsidP="000659F8" w:rsidRDefault="000659F8" w14:paraId="783C32F7" w14:textId="77777777">
      <w:pPr>
        <w:spacing w:after="240"/>
        <w:ind w:left="709" w:right="709"/>
        <w:jc w:val="both"/>
        <w:rPr>
          <w:rFonts w:ascii="Arial" w:hAnsi="Arial" w:cs="Arial"/>
          <w:color w:val="000000"/>
          <w:sz w:val="21"/>
          <w:szCs w:val="21"/>
          <w:lang w:eastAsia="es-MX"/>
        </w:rPr>
      </w:pPr>
      <w:r w:rsidRPr="00447DD1">
        <w:rPr>
          <w:rFonts w:ascii="Arial" w:hAnsi="Arial" w:cs="Arial"/>
          <w:color w:val="000000"/>
          <w:sz w:val="21"/>
          <w:szCs w:val="21"/>
          <w:lang w:eastAsia="es-MX"/>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Pr="00447DD1" w:rsidR="000659F8" w:rsidP="000659F8" w:rsidRDefault="000659F8" w14:paraId="387C1848" w14:textId="77777777">
      <w:pPr>
        <w:spacing w:after="240"/>
        <w:ind w:left="709" w:right="709"/>
        <w:jc w:val="both"/>
        <w:rPr>
          <w:rFonts w:ascii="Arial" w:hAnsi="Arial" w:cs="Arial"/>
          <w:color w:val="000000"/>
          <w:sz w:val="21"/>
          <w:szCs w:val="21"/>
          <w:lang w:eastAsia="es-MX"/>
        </w:rPr>
      </w:pPr>
      <w:r w:rsidRPr="00447DD1">
        <w:rPr>
          <w:rFonts w:ascii="Arial" w:hAnsi="Arial" w:cs="Arial"/>
          <w:color w:val="000000"/>
          <w:sz w:val="21"/>
          <w:szCs w:val="21"/>
          <w:lang w:eastAsia="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447DD1" w:rsidR="000659F8" w:rsidP="000659F8" w:rsidRDefault="000659F8" w14:paraId="0BBC4106" w14:textId="77777777">
      <w:pPr>
        <w:spacing w:after="240"/>
        <w:ind w:left="709" w:right="709"/>
        <w:jc w:val="both"/>
        <w:rPr>
          <w:rFonts w:ascii="Arial" w:hAnsi="Arial" w:cs="Arial"/>
          <w:color w:val="000000"/>
          <w:sz w:val="21"/>
          <w:szCs w:val="21"/>
          <w:lang w:eastAsia="es-MX"/>
        </w:rPr>
      </w:pPr>
      <w:r w:rsidRPr="00447DD1">
        <w:rPr>
          <w:rFonts w:ascii="Arial" w:hAnsi="Arial" w:cs="Arial"/>
          <w:color w:val="000000"/>
          <w:sz w:val="21"/>
          <w:szCs w:val="21"/>
          <w:lang w:eastAsia="es-MX"/>
        </w:rPr>
        <w:t>[…]</w:t>
      </w:r>
    </w:p>
    <w:p w:rsidRPr="00447DD1" w:rsidR="000659F8" w:rsidP="000659F8" w:rsidRDefault="000659F8" w14:paraId="501745DD" w14:textId="77777777">
      <w:pPr>
        <w:spacing w:after="240"/>
        <w:ind w:left="708" w:right="709"/>
        <w:jc w:val="both"/>
        <w:rPr>
          <w:rFonts w:ascii="Arial" w:hAnsi="Arial" w:cs="Arial"/>
          <w:color w:val="000000"/>
          <w:sz w:val="21"/>
          <w:szCs w:val="21"/>
          <w:lang w:eastAsia="es-MX"/>
        </w:rPr>
      </w:pPr>
      <w:r w:rsidRPr="00447DD1">
        <w:rPr>
          <w:rFonts w:ascii="Arial" w:hAnsi="Arial" w:cs="Arial"/>
          <w:color w:val="000000"/>
          <w:sz w:val="21"/>
          <w:szCs w:val="21"/>
          <w:lang w:eastAsia="es-MX"/>
        </w:rPr>
        <w:lastRenderedPageBreak/>
        <w:t xml:space="preserve">8. Los </w:t>
      </w:r>
      <w:proofErr w:type="gramStart"/>
      <w:r w:rsidRPr="00447DD1">
        <w:rPr>
          <w:rFonts w:ascii="Arial" w:hAnsi="Arial" w:cs="Arial"/>
          <w:color w:val="000000"/>
          <w:sz w:val="21"/>
          <w:szCs w:val="21"/>
          <w:lang w:eastAsia="es-MX"/>
        </w:rPr>
        <w:t>gobiernos nacional</w:t>
      </w:r>
      <w:proofErr w:type="gramEnd"/>
      <w:r w:rsidRPr="00447DD1">
        <w:rPr>
          <w:rFonts w:ascii="Arial" w:hAnsi="Arial" w:cs="Arial"/>
          <w:color w:val="000000"/>
          <w:sz w:val="21"/>
          <w:szCs w:val="21"/>
          <w:lang w:eastAsia="es-MX"/>
        </w:rPr>
        <w:t>, departamentales, distritales y municipales, deberán fijar mediante decreto reglamentario, en los procesos de selección de los contratistas y proveedores, un sistema de preferencias a favor de las personas con discapacidad.</w:t>
      </w:r>
    </w:p>
    <w:p w:rsidRPr="00447DD1" w:rsidR="000659F8" w:rsidP="000659F8" w:rsidRDefault="000659F8" w14:paraId="27E02274" w14:textId="77777777">
      <w:pPr>
        <w:spacing w:after="240" w:line="276" w:lineRule="auto"/>
        <w:ind w:firstLine="709"/>
        <w:jc w:val="both"/>
        <w:rPr>
          <w:rFonts w:ascii="Arial" w:hAnsi="Arial" w:cs="Arial"/>
          <w:color w:val="000000"/>
          <w:lang w:eastAsia="es-MX"/>
        </w:rPr>
      </w:pPr>
      <w:bookmarkStart w:name="_Hlk78783360" w:id="5"/>
      <w:r w:rsidRPr="00447DD1">
        <w:rPr>
          <w:rFonts w:ascii="Arial" w:hAnsi="Arial" w:cs="Arial"/>
          <w:color w:val="000000"/>
          <w:lang w:eastAsia="es-MX"/>
        </w:rPr>
        <w:t xml:space="preserve">Para estos efectos, el Gobierno Nacional expidió el Decreto 392 de 2018, </w:t>
      </w:r>
      <w:r>
        <w:rPr>
          <w:rFonts w:ascii="Arial" w:hAnsi="Arial" w:cs="Arial"/>
          <w:color w:val="000000"/>
          <w:lang w:eastAsia="es-MX"/>
        </w:rPr>
        <w:t>“</w:t>
      </w:r>
      <w:r w:rsidRPr="00447DD1">
        <w:rPr>
          <w:rFonts w:ascii="Arial" w:hAnsi="Arial" w:cs="Arial"/>
          <w:color w:val="000000"/>
          <w:lang w:eastAsia="es-MX"/>
        </w:rPr>
        <w:t>Por el cual se reglamentan los numerales 1 y 8 del artículo 13 de la Ley 1618 de 2013, sobre incentivos en Procesos de Contratación en favor de personas con discapacidad</w:t>
      </w:r>
      <w:r>
        <w:rPr>
          <w:rFonts w:ascii="Arial" w:hAnsi="Arial" w:cs="Arial"/>
          <w:color w:val="000000"/>
          <w:lang w:eastAsia="es-MX"/>
        </w:rPr>
        <w:t>”</w:t>
      </w:r>
      <w:r w:rsidRPr="00447DD1">
        <w:rPr>
          <w:rFonts w:ascii="Arial" w:hAnsi="Arial" w:cs="Arial"/>
          <w:color w:val="000000"/>
          <w:lang w:eastAsia="es-MX"/>
        </w:rPr>
        <w:t xml:space="preserve">, regulando el deber de las entidades del Estado de otorgar un puntaje adicional en los procedimientos de selección, especialmente, los que se desarrollan en las modalidades de licitación pública y concurso de méritos. </w:t>
      </w:r>
      <w:bookmarkEnd w:id="5"/>
      <w:r w:rsidRPr="00447DD1">
        <w:rPr>
          <w:rFonts w:ascii="Arial" w:hAnsi="Arial" w:eastAsia="Calibri" w:cs="Arial"/>
          <w:color w:val="000000"/>
          <w:lang w:val="es-ES" w:eastAsia="es-MX"/>
        </w:rPr>
        <w:t xml:space="preserve">De esta manera, adicionó el artículo </w:t>
      </w:r>
      <w:bookmarkStart w:name="_Hlk76741673" w:id="6"/>
      <w:r w:rsidRPr="00447DD1">
        <w:rPr>
          <w:rFonts w:ascii="Arial" w:hAnsi="Arial" w:eastAsia="Calibri" w:cs="Arial"/>
          <w:color w:val="000000"/>
          <w:lang w:val="es-ES" w:eastAsia="es-MX"/>
        </w:rPr>
        <w:t>2.2.1.2.4.2.6 al Decreto 1082 de 2015</w:t>
      </w:r>
      <w:bookmarkEnd w:id="6"/>
      <w:r w:rsidRPr="00447DD1">
        <w:rPr>
          <w:rFonts w:ascii="Arial" w:hAnsi="Arial" w:eastAsia="Calibri" w:cs="Arial"/>
          <w:color w:val="000000"/>
          <w:lang w:val="es-ES" w:eastAsia="es-MX"/>
        </w:rPr>
        <w:t xml:space="preserve">, el cual dispone lo siguiente: </w:t>
      </w:r>
    </w:p>
    <w:p w:rsidRPr="00447DD1" w:rsidR="000659F8" w:rsidP="000659F8" w:rsidRDefault="000659F8" w14:paraId="5C967695" w14:textId="77777777">
      <w:pPr>
        <w:spacing w:after="240"/>
        <w:ind w:left="709" w:right="709"/>
        <w:jc w:val="both"/>
        <w:rPr>
          <w:rFonts w:ascii="Arial" w:hAnsi="Arial" w:cs="Arial"/>
          <w:color w:val="000000"/>
          <w:sz w:val="21"/>
          <w:szCs w:val="21"/>
          <w:lang w:eastAsia="es-CO"/>
        </w:rPr>
      </w:pPr>
      <w:r w:rsidRPr="00447DD1">
        <w:rPr>
          <w:rFonts w:ascii="Arial" w:hAnsi="Arial" w:cs="Arial"/>
          <w:color w:val="000000"/>
          <w:sz w:val="21"/>
          <w:szCs w:val="21"/>
          <w:lang w:eastAsia="es-CO"/>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447DD1" w:rsidR="000659F8" w:rsidP="000659F8" w:rsidRDefault="000659F8" w14:paraId="1350260C" w14:textId="77777777">
      <w:pPr>
        <w:spacing w:after="240"/>
        <w:ind w:left="709" w:right="709"/>
        <w:jc w:val="both"/>
        <w:rPr>
          <w:rFonts w:ascii="Arial" w:hAnsi="Arial" w:cs="Arial"/>
          <w:color w:val="000000"/>
          <w:sz w:val="21"/>
          <w:szCs w:val="21"/>
          <w:lang w:eastAsia="es-CO"/>
        </w:rPr>
      </w:pPr>
      <w:r w:rsidRPr="00447DD1">
        <w:rPr>
          <w:rFonts w:ascii="Arial" w:hAnsi="Arial" w:cs="Arial"/>
          <w:color w:val="000000"/>
          <w:sz w:val="21"/>
          <w:szCs w:val="21"/>
          <w:lang w:eastAsia="es-CO"/>
        </w:rPr>
        <w:t xml:space="preserve">1. </w:t>
      </w:r>
      <w:bookmarkStart w:name="_Hlk47271597" w:id="7"/>
      <w:r w:rsidRPr="00447DD1">
        <w:rPr>
          <w:rFonts w:ascii="Arial" w:hAnsi="Arial" w:cs="Arial"/>
          <w:color w:val="000000"/>
          <w:sz w:val="21"/>
          <w:szCs w:val="21"/>
          <w:lang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bookmarkEnd w:id="7"/>
      <w:r w:rsidRPr="00447DD1">
        <w:rPr>
          <w:rFonts w:ascii="Arial" w:hAnsi="Arial" w:cs="Arial"/>
          <w:color w:val="000000"/>
          <w:sz w:val="21"/>
          <w:szCs w:val="21"/>
          <w:lang w:eastAsia="es-CO"/>
        </w:rPr>
        <w:t>.</w:t>
      </w:r>
    </w:p>
    <w:p w:rsidRPr="00447DD1" w:rsidR="000659F8" w:rsidP="000659F8" w:rsidRDefault="000659F8" w14:paraId="04D04DC4" w14:textId="77777777">
      <w:pPr>
        <w:spacing w:after="240"/>
        <w:ind w:left="709" w:right="709"/>
        <w:jc w:val="both"/>
        <w:rPr>
          <w:rFonts w:ascii="Arial" w:hAnsi="Arial" w:cs="Arial"/>
          <w:color w:val="000000"/>
          <w:sz w:val="21"/>
          <w:szCs w:val="21"/>
          <w:lang w:eastAsia="es-CO"/>
        </w:rPr>
      </w:pPr>
      <w:r w:rsidRPr="00447DD1">
        <w:rPr>
          <w:rFonts w:ascii="Arial" w:hAnsi="Arial" w:cs="Arial"/>
          <w:color w:val="000000"/>
          <w:sz w:val="21"/>
          <w:szCs w:val="21"/>
          <w:lang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rsidRPr="00447DD1" w:rsidR="000659F8" w:rsidP="000659F8" w:rsidRDefault="000659F8" w14:paraId="4643FC8B" w14:textId="77777777">
      <w:pPr>
        <w:spacing w:after="240" w:line="276" w:lineRule="auto"/>
        <w:ind w:firstLine="709"/>
        <w:jc w:val="both"/>
        <w:rPr>
          <w:rFonts w:ascii="Arial" w:hAnsi="Arial" w:cs="Arial"/>
          <w:color w:val="000000"/>
          <w:lang w:eastAsia="es-MX"/>
        </w:rPr>
      </w:pPr>
      <w:r w:rsidRPr="00447DD1">
        <w:rPr>
          <w:rFonts w:ascii="Arial" w:hAnsi="Arial" w:cs="Arial"/>
          <w:color w:val="000000"/>
          <w:lang w:eastAsia="es-MX"/>
        </w:rPr>
        <w:t xml:space="preserve">Respecto al </w:t>
      </w:r>
      <w:r w:rsidRPr="00447DD1">
        <w:rPr>
          <w:rFonts w:ascii="Arial" w:hAnsi="Arial" w:cs="Arial"/>
          <w:i/>
          <w:iCs/>
          <w:color w:val="000000"/>
          <w:lang w:eastAsia="es-MX"/>
        </w:rPr>
        <w:t>primer requisito</w:t>
      </w:r>
      <w:r w:rsidRPr="00447DD1">
        <w:rPr>
          <w:rFonts w:ascii="Arial" w:hAnsi="Arial" w:cs="Arial"/>
          <w:color w:val="000000"/>
          <w:lang w:eastAsia="es-MX"/>
        </w:rPr>
        <w:t xml:space="preserve">, la norma dispone que la persona natural, el representante legal de la persona jurídica o el revisor fiscal, según corresponda, deberá certificar el número total de trabajadores </w:t>
      </w:r>
      <w:r w:rsidRPr="00447DD1">
        <w:rPr>
          <w:rFonts w:ascii="Arial" w:hAnsi="Arial" w:cs="Arial"/>
          <w:i/>
          <w:iCs/>
          <w:color w:val="000000"/>
          <w:lang w:eastAsia="es-MX"/>
        </w:rPr>
        <w:t xml:space="preserve">vinculados a la planta de personal </w:t>
      </w:r>
      <w:r w:rsidRPr="00447DD1">
        <w:rPr>
          <w:rFonts w:ascii="Arial" w:hAnsi="Arial" w:cs="Arial"/>
          <w:color w:val="000000"/>
          <w:lang w:eastAsia="es-MX"/>
        </w:rPr>
        <w:t xml:space="preserve">del proponente o sus integrantes a la fecha de cierre del proceso de selección. Para el caso de </w:t>
      </w:r>
      <w:r w:rsidRPr="00447DD1">
        <w:rPr>
          <w:rFonts w:ascii="Arial" w:hAnsi="Arial" w:cs="Arial"/>
          <w:i/>
          <w:iCs/>
          <w:color w:val="000000"/>
          <w:lang w:eastAsia="es-MX"/>
        </w:rPr>
        <w:t>proponentes singulares</w:t>
      </w:r>
      <w:r w:rsidRPr="00447DD1">
        <w:rPr>
          <w:rFonts w:ascii="Arial" w:hAnsi="Arial" w:cs="Arial"/>
          <w:color w:val="000000"/>
          <w:lang w:eastAsia="es-MX"/>
        </w:rPr>
        <w:t xml:space="preserve">, la acreditación del número total de trabajadores vinculados en la planta de personal se realizará a través de certificación emitida por: i) la persona natural o </w:t>
      </w:r>
      <w:proofErr w:type="spellStart"/>
      <w:r w:rsidRPr="00447DD1">
        <w:rPr>
          <w:rFonts w:ascii="Arial" w:hAnsi="Arial" w:cs="Arial"/>
          <w:color w:val="000000"/>
          <w:lang w:eastAsia="es-MX"/>
        </w:rPr>
        <w:t>ii</w:t>
      </w:r>
      <w:proofErr w:type="spellEnd"/>
      <w:r w:rsidRPr="00447DD1">
        <w:rPr>
          <w:rFonts w:ascii="Arial" w:hAnsi="Arial" w:cs="Arial"/>
          <w:color w:val="000000"/>
          <w:lang w:eastAsia="es-MX"/>
        </w:rPr>
        <w:t xml:space="preserve">) el representante legal de la persona jurídica o su revisor fiscal cuando esté obligado a tenerlo. Por su parte, cuando se trate de </w:t>
      </w:r>
      <w:r w:rsidRPr="00447DD1">
        <w:rPr>
          <w:rFonts w:ascii="Arial" w:hAnsi="Arial" w:cs="Arial"/>
          <w:i/>
          <w:iCs/>
          <w:color w:val="000000"/>
          <w:lang w:eastAsia="es-MX"/>
        </w:rPr>
        <w:t>proponentes plurales</w:t>
      </w:r>
      <w:r w:rsidRPr="00447DD1">
        <w:rPr>
          <w:rFonts w:ascii="Arial" w:hAnsi="Arial" w:cs="Arial"/>
          <w:color w:val="000000"/>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p>
    <w:p w:rsidRPr="00447DD1" w:rsidR="000659F8" w:rsidP="000659F8" w:rsidRDefault="000659F8" w14:paraId="393C3E02" w14:textId="77777777">
      <w:pPr>
        <w:spacing w:after="240" w:line="276" w:lineRule="auto"/>
        <w:ind w:firstLine="709"/>
        <w:jc w:val="both"/>
        <w:rPr>
          <w:rFonts w:ascii="Arial" w:hAnsi="Arial" w:cs="Arial"/>
          <w:color w:val="000000"/>
          <w:lang w:eastAsia="es-MX"/>
        </w:rPr>
      </w:pPr>
      <w:r w:rsidRPr="00447DD1">
        <w:rPr>
          <w:rFonts w:ascii="Arial" w:hAnsi="Arial" w:cs="Arial"/>
          <w:color w:val="000000"/>
          <w:lang w:eastAsia="es-MX"/>
        </w:rPr>
        <w:t xml:space="preserve">Por lo anterior es necesario tener en cuenta que esta condición es propia de la persona que pretende acreditar la obtención del puntaje de acuerdo con su naturaleza jurídica. En efecto, cuando el numeral 1 del artículo </w:t>
      </w:r>
      <w:r w:rsidRPr="00447DD1">
        <w:rPr>
          <w:rFonts w:ascii="Arial" w:hAnsi="Arial" w:eastAsia="Calibri" w:cs="Arial"/>
          <w:color w:val="000000"/>
          <w:lang w:val="es-ES" w:eastAsia="es-MX"/>
        </w:rPr>
        <w:t>2.2.1.2.4.2.6 del Decreto 1082 de 2015 se refiere a</w:t>
      </w:r>
      <w:r w:rsidRPr="00447DD1">
        <w:rPr>
          <w:rFonts w:ascii="Arial" w:hAnsi="Arial" w:cs="Arial"/>
          <w:color w:val="000000"/>
          <w:lang w:eastAsia="es-MX"/>
        </w:rPr>
        <w:t xml:space="preserve"> </w:t>
      </w:r>
      <w:r>
        <w:rPr>
          <w:rFonts w:ascii="Arial" w:hAnsi="Arial" w:cs="Arial"/>
          <w:color w:val="000000"/>
          <w:lang w:eastAsia="es-MX"/>
        </w:rPr>
        <w:t>“</w:t>
      </w:r>
      <w:r w:rsidRPr="00447DD1">
        <w:rPr>
          <w:rFonts w:ascii="Arial" w:hAnsi="Arial" w:cs="Arial"/>
          <w:color w:val="000000"/>
          <w:lang w:eastAsia="es-MX"/>
        </w:rPr>
        <w:t xml:space="preserve">la planta de </w:t>
      </w:r>
      <w:r w:rsidRPr="00447DD1">
        <w:rPr>
          <w:rFonts w:ascii="Arial" w:hAnsi="Arial" w:cs="Arial"/>
          <w:color w:val="000000"/>
          <w:lang w:eastAsia="es-MX"/>
        </w:rPr>
        <w:lastRenderedPageBreak/>
        <w:t>personal del proponente o sus integrantes</w:t>
      </w:r>
      <w:r>
        <w:rPr>
          <w:rFonts w:ascii="Arial" w:hAnsi="Arial" w:cs="Arial"/>
          <w:color w:val="000000"/>
          <w:lang w:eastAsia="es-MX"/>
        </w:rPr>
        <w:t>”</w:t>
      </w:r>
      <w:r w:rsidRPr="00447DD1">
        <w:rPr>
          <w:rFonts w:ascii="Arial" w:hAnsi="Arial" w:cs="Arial"/>
          <w:color w:val="000000"/>
          <w:lang w:eastAsia="es-MX"/>
        </w:rPr>
        <w:t xml:space="preserve">, esta expresión debe entenderse de acuerdo con el tipo de oferente. Así, la expresión </w:t>
      </w:r>
      <w:r>
        <w:rPr>
          <w:rFonts w:ascii="Arial" w:hAnsi="Arial" w:cs="Arial"/>
          <w:color w:val="000000"/>
          <w:lang w:eastAsia="es-MX"/>
        </w:rPr>
        <w:t>“</w:t>
      </w:r>
      <w:r w:rsidRPr="00447DD1">
        <w:rPr>
          <w:rFonts w:ascii="Arial" w:hAnsi="Arial" w:cs="Arial"/>
          <w:color w:val="000000"/>
          <w:lang w:eastAsia="es-MX"/>
        </w:rPr>
        <w:t>proponente</w:t>
      </w:r>
      <w:r>
        <w:rPr>
          <w:rFonts w:ascii="Arial" w:hAnsi="Arial" w:cs="Arial"/>
          <w:color w:val="000000"/>
          <w:lang w:eastAsia="es-MX"/>
        </w:rPr>
        <w:t>”</w:t>
      </w:r>
      <w:r w:rsidRPr="00447DD1">
        <w:rPr>
          <w:rFonts w:ascii="Arial" w:hAnsi="Arial" w:cs="Arial"/>
          <w:color w:val="000000"/>
          <w:lang w:eastAsia="es-MX"/>
        </w:rPr>
        <w:t xml:space="preserve"> se refiere a las personas naturales o jurídicas que se presentan individual o colectivamente, en este último caso con independencia de que formen un consorcio, una unión temporal o suscriban una promesa de sociedad futura. De allí que la expresión </w:t>
      </w:r>
      <w:r>
        <w:rPr>
          <w:rFonts w:ascii="Arial" w:hAnsi="Arial" w:cs="Arial"/>
          <w:color w:val="000000"/>
          <w:lang w:eastAsia="es-MX"/>
        </w:rPr>
        <w:t>“</w:t>
      </w:r>
      <w:r w:rsidRPr="00447DD1">
        <w:rPr>
          <w:rFonts w:ascii="Arial" w:hAnsi="Arial" w:cs="Arial"/>
          <w:color w:val="000000"/>
          <w:lang w:eastAsia="es-MX"/>
        </w:rPr>
        <w:t>o sus integrantes</w:t>
      </w:r>
      <w:r>
        <w:rPr>
          <w:rFonts w:ascii="Arial" w:hAnsi="Arial" w:cs="Arial"/>
          <w:color w:val="000000"/>
          <w:lang w:eastAsia="es-MX"/>
        </w:rPr>
        <w:t>”</w:t>
      </w:r>
      <w:r w:rsidRPr="00447DD1">
        <w:rPr>
          <w:rFonts w:ascii="Arial" w:hAnsi="Arial" w:cs="Arial"/>
          <w:color w:val="000000"/>
          <w:lang w:eastAsia="es-MX"/>
        </w:rPr>
        <w:t>, califica el oferente y se refiere también a los integrantes de las estructuras plurales mencionadas.</w:t>
      </w:r>
    </w:p>
    <w:p w:rsidRPr="00447DD1" w:rsidR="000659F8" w:rsidP="000659F8" w:rsidRDefault="000659F8" w14:paraId="5723A093" w14:textId="77777777">
      <w:pPr>
        <w:spacing w:after="240" w:line="276" w:lineRule="auto"/>
        <w:ind w:firstLine="709"/>
        <w:jc w:val="both"/>
        <w:rPr>
          <w:rFonts w:ascii="Arial" w:hAnsi="Arial" w:eastAsia="Calibri" w:cs="Arial"/>
          <w:color w:val="000000"/>
          <w:lang w:eastAsia="es-MX"/>
        </w:rPr>
      </w:pPr>
      <w:r w:rsidRPr="00447DD1">
        <w:rPr>
          <w:rFonts w:ascii="Arial" w:hAnsi="Arial" w:eastAsia="Calibri" w:cs="Arial"/>
          <w:color w:val="000000"/>
          <w:lang w:eastAsia="es-MX"/>
        </w:rPr>
        <w:t xml:space="preserve">Por otro lado, el numeral 1 del artículo en mención dispone que, para asignar el puntaje adicional a los proponentes con trabajadores en condición de discapacidad, se requiere un certificado expedido por la persona natural, el representante legal de la persona jurídica o el revisor fiscal que acredite el número total de trabajadores vinculados </w:t>
      </w:r>
      <w:r w:rsidRPr="00447DD1">
        <w:rPr>
          <w:rFonts w:ascii="Arial" w:hAnsi="Arial" w:eastAsia="Calibri" w:cs="Arial"/>
          <w:i/>
          <w:iCs/>
          <w:color w:val="000000"/>
          <w:lang w:eastAsia="es-MX"/>
        </w:rPr>
        <w:t xml:space="preserve">a la planta de personal </w:t>
      </w:r>
      <w:r w:rsidRPr="00447DD1">
        <w:rPr>
          <w:rFonts w:ascii="Arial" w:hAnsi="Arial" w:eastAsia="Calibri" w:cs="Arial"/>
          <w:color w:val="000000"/>
          <w:lang w:eastAsia="es-MX"/>
        </w:rPr>
        <w:t xml:space="preserve">del proponente </w:t>
      </w:r>
      <w:r w:rsidRPr="00447DD1">
        <w:rPr>
          <w:rFonts w:ascii="Arial" w:hAnsi="Arial" w:eastAsia="Calibri" w:cs="Arial"/>
          <w:iCs/>
          <w:color w:val="000000"/>
          <w:lang w:eastAsia="es-MX"/>
        </w:rPr>
        <w:t>o</w:t>
      </w:r>
      <w:r w:rsidRPr="00447DD1">
        <w:rPr>
          <w:rFonts w:ascii="Arial" w:hAnsi="Arial" w:eastAsia="Calibri" w:cs="Arial"/>
          <w:color w:val="000000"/>
          <w:lang w:eastAsia="es-MX"/>
        </w:rPr>
        <w:t xml:space="preserve"> sus integrantes a la fecha de cierre del procedimiento de selección.</w:t>
      </w:r>
    </w:p>
    <w:p w:rsidRPr="00447DD1" w:rsidR="000659F8" w:rsidP="000659F8" w:rsidRDefault="000659F8" w14:paraId="0CD41D0B" w14:textId="77777777">
      <w:pPr>
        <w:spacing w:after="240" w:line="276" w:lineRule="auto"/>
        <w:ind w:firstLine="709"/>
        <w:jc w:val="both"/>
        <w:rPr>
          <w:rFonts w:ascii="Arial" w:hAnsi="Arial" w:eastAsia="Calibri" w:cs="Arial"/>
          <w:color w:val="000000"/>
          <w:lang w:eastAsia="es-MX"/>
        </w:rPr>
      </w:pPr>
      <w:r w:rsidRPr="00447DD1">
        <w:rPr>
          <w:rFonts w:ascii="Arial" w:hAnsi="Arial" w:eastAsia="Calibri" w:cs="Arial"/>
          <w:color w:val="000000"/>
          <w:lang w:eastAsia="es-MX"/>
        </w:rPr>
        <w:t xml:space="preserve">De conformidad con la disyunción prevista en el numeral 1 del artículo </w:t>
      </w:r>
      <w:r w:rsidRPr="00447DD1">
        <w:rPr>
          <w:rFonts w:ascii="Arial" w:hAnsi="Arial" w:eastAsia="Calibri" w:cs="Arial"/>
          <w:color w:val="000000"/>
          <w:lang w:val="es-ES" w:eastAsia="es-MX"/>
        </w:rPr>
        <w:t xml:space="preserve">2.2.1.2.4.2.6 </w:t>
      </w:r>
      <w:r w:rsidRPr="00447DD1">
        <w:rPr>
          <w:rFonts w:ascii="Arial" w:hAnsi="Arial" w:eastAsia="Calibri" w:cs="Arial"/>
          <w:color w:val="000000"/>
          <w:lang w:eastAsia="es-MX"/>
        </w:rPr>
        <w:t>del Decreto 1082 de 2015, es posible afirmar 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con el Decreto 392 de 2018, tratándose de empresas o sociedades que están obligadas a tener revisor fiscal, este es quien certifica el número total de trabajadores vinculados a la planta de personal del proponente o sus integrantes a la fecha de cierre</w:t>
      </w:r>
      <w:r w:rsidRPr="00447DD1">
        <w:rPr>
          <w:rFonts w:ascii="Arial" w:hAnsi="Arial" w:cs="Arial"/>
          <w:vertAlign w:val="superscript"/>
        </w:rPr>
        <w:footnoteReference w:id="17"/>
      </w:r>
      <w:r w:rsidRPr="00447DD1">
        <w:rPr>
          <w:rFonts w:ascii="Arial" w:hAnsi="Arial" w:eastAsia="Calibri" w:cs="Arial"/>
          <w:color w:val="000000"/>
          <w:lang w:eastAsia="es-MX"/>
        </w:rPr>
        <w:t>.</w:t>
      </w:r>
    </w:p>
    <w:p w:rsidRPr="00447DD1" w:rsidR="000659F8" w:rsidP="000659F8" w:rsidRDefault="000659F8" w14:paraId="406AE937" w14:textId="77777777">
      <w:pPr>
        <w:spacing w:after="240" w:line="276" w:lineRule="auto"/>
        <w:ind w:firstLine="708"/>
        <w:jc w:val="both"/>
        <w:rPr>
          <w:rFonts w:ascii="Arial" w:hAnsi="Arial" w:cs="Arial"/>
          <w:color w:val="000000"/>
          <w:lang w:eastAsia="es-MX"/>
        </w:rPr>
      </w:pPr>
      <w:r w:rsidRPr="00447DD1">
        <w:rPr>
          <w:rFonts w:ascii="Arial" w:hAnsi="Arial" w:cs="Arial"/>
          <w:color w:val="000000"/>
          <w:lang w:eastAsia="es-MX"/>
        </w:rPr>
        <w:t xml:space="preserve">En todo caso, el parágrafo del artículo </w:t>
      </w:r>
      <w:r w:rsidRPr="00447DD1">
        <w:rPr>
          <w:rFonts w:ascii="Arial" w:hAnsi="Arial" w:eastAsia="Calibri" w:cs="Arial"/>
          <w:color w:val="000000"/>
          <w:lang w:val="es-ES" w:eastAsia="es-MX"/>
        </w:rPr>
        <w:t>2.2.1.2.4.2.6</w:t>
      </w:r>
      <w:r w:rsidRPr="00447DD1">
        <w:rPr>
          <w:rFonts w:ascii="Arial" w:hAnsi="Arial" w:cs="Arial"/>
          <w:color w:val="000000"/>
          <w:lang w:eastAsia="es-MX"/>
        </w:rPr>
        <w:t xml:space="preserve"> del Decreto 1082 de 2015 dispone que </w:t>
      </w:r>
      <w:r>
        <w:rPr>
          <w:rFonts w:ascii="Arial" w:hAnsi="Arial" w:cs="Arial"/>
          <w:color w:val="000000"/>
          <w:lang w:eastAsia="es-MX"/>
        </w:rPr>
        <w:t>“</w:t>
      </w:r>
      <w:r w:rsidRPr="00447DD1">
        <w:rPr>
          <w:rFonts w:ascii="Arial" w:hAnsi="Arial" w:cs="Arial"/>
          <w:color w:val="000000"/>
          <w:lang w:eastAsia="es-CO"/>
        </w:rPr>
        <w:t>[…]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Pr>
          <w:rFonts w:ascii="Arial" w:hAnsi="Arial" w:cs="Arial"/>
          <w:color w:val="000000"/>
          <w:lang w:eastAsia="es-CO"/>
        </w:rPr>
        <w:t>”</w:t>
      </w:r>
      <w:r w:rsidRPr="00447DD1">
        <w:rPr>
          <w:rFonts w:ascii="Arial" w:hAnsi="Arial" w:cs="Arial"/>
          <w:color w:val="000000"/>
          <w:lang w:eastAsia="es-CO"/>
        </w:rPr>
        <w:t>.</w:t>
      </w:r>
      <w:r w:rsidRPr="00447DD1">
        <w:rPr>
          <w:rFonts w:ascii="Arial" w:hAnsi="Arial" w:cs="Arial"/>
          <w:color w:val="000000"/>
          <w:lang w:eastAsia="es-MX"/>
        </w:rPr>
        <w:t xml:space="preserve"> Esto significa que el cumplimiento de los requisitos establecidos en el Decreto 392 de 2019 lo acredita el integrante de la estructura plural que aporte más </w:t>
      </w:r>
      <w:proofErr w:type="spellStart"/>
      <w:r w:rsidRPr="00447DD1">
        <w:rPr>
          <w:rFonts w:ascii="Arial" w:hAnsi="Arial" w:cs="Arial"/>
          <w:color w:val="000000"/>
          <w:lang w:eastAsia="es-MX"/>
        </w:rPr>
        <w:t>del</w:t>
      </w:r>
      <w:proofErr w:type="spellEnd"/>
      <w:r w:rsidRPr="00447DD1">
        <w:rPr>
          <w:rFonts w:ascii="Arial" w:hAnsi="Arial" w:cs="Arial"/>
          <w:color w:val="000000"/>
          <w:lang w:eastAsia="es-MX"/>
        </w:rPr>
        <w:t xml:space="preserve">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rsidRPr="003C558A" w:rsidR="000659F8" w:rsidP="000659F8" w:rsidRDefault="000659F8" w14:paraId="6081C1FD" w14:textId="77777777">
      <w:pPr>
        <w:spacing w:after="240" w:line="276" w:lineRule="auto"/>
        <w:ind w:firstLine="708"/>
        <w:jc w:val="both"/>
        <w:rPr>
          <w:rFonts w:ascii="Arial" w:hAnsi="Arial" w:eastAsia="Times New Roman" w:cs="Arial"/>
          <w:lang w:val="es-ES_tradnl" w:eastAsia="es-CO"/>
        </w:rPr>
      </w:pPr>
      <w:r>
        <w:rPr>
          <w:rFonts w:ascii="Arial" w:hAnsi="Arial" w:cs="Arial"/>
          <w:color w:val="000000"/>
          <w:lang w:eastAsia="es-MX"/>
        </w:rPr>
        <w:t xml:space="preserve">Ahora bien, respecto de su pregunta sobre la subsanación de experiencia por parte del integrante del proponente plural que aporta como </w:t>
      </w:r>
      <w:r w:rsidRPr="00447DD1">
        <w:rPr>
          <w:rFonts w:ascii="Arial" w:hAnsi="Arial" w:cs="Arial"/>
          <w:color w:val="000000"/>
          <w:lang w:eastAsia="es-CO"/>
        </w:rPr>
        <w:t>mínimo el cuarenta por ciento (40%) de la experiencia requerida para la respectiva contratación</w:t>
      </w:r>
      <w:r>
        <w:rPr>
          <w:rFonts w:ascii="Arial" w:hAnsi="Arial" w:cs="Arial"/>
          <w:color w:val="000000"/>
          <w:lang w:eastAsia="es-CO"/>
        </w:rPr>
        <w:t xml:space="preserve">, y si esto tiene implicaciones respecto del </w:t>
      </w:r>
      <w:r w:rsidRPr="003C558A">
        <w:rPr>
          <w:rFonts w:ascii="Arial" w:hAnsi="Arial" w:cs="Arial"/>
          <w:color w:val="000000"/>
          <w:lang w:eastAsia="es-CO"/>
        </w:rPr>
        <w:lastRenderedPageBreak/>
        <w:t>puntaje para los proponentes que acrediten la vinculación de trabajadores con discapacidad en su planta de personal, se deben tener en cuenta las normas s</w:t>
      </w:r>
      <w:r w:rsidRPr="003C558A">
        <w:rPr>
          <w:rFonts w:ascii="Arial" w:hAnsi="Arial" w:eastAsia="Calibri" w:cs="Arial"/>
          <w:color w:val="000000"/>
          <w:lang w:eastAsia="es-MX"/>
        </w:rPr>
        <w:t>obre la subsanabilidad de las ofertas</w:t>
      </w:r>
      <w:r w:rsidRPr="003C558A">
        <w:rPr>
          <w:rFonts w:ascii="Arial" w:hAnsi="Arial" w:cs="Arial"/>
          <w:color w:val="000000"/>
          <w:lang w:eastAsia="es-CO"/>
        </w:rPr>
        <w:t>, donde e</w:t>
      </w:r>
      <w:r w:rsidRPr="003C558A">
        <w:rPr>
          <w:rFonts w:ascii="Arial" w:hAnsi="Arial" w:eastAsia="Times New Roman" w:cs="Arial"/>
          <w:lang w:val="es-ES_tradnl" w:eastAsia="es-CO"/>
        </w:rPr>
        <w:t xml:space="preserve">l legislador expidió la Ley 1882 de 2018 con la finalidad de introducir cambios y ajustes para fortalecer la contratación pública. El artículo 5 modificó el parágrafo 1º y adicionó algunos otros, entre ellos el 4° del artículo 5 de la Ley 1150 de 2007: </w:t>
      </w:r>
    </w:p>
    <w:p w:rsidR="000659F8" w:rsidP="000659F8" w:rsidRDefault="000659F8" w14:paraId="6CFBED09" w14:textId="77777777">
      <w:pPr>
        <w:spacing w:after="0" w:line="240" w:lineRule="auto"/>
        <w:ind w:left="709" w:right="709"/>
        <w:jc w:val="both"/>
        <w:rPr>
          <w:rFonts w:ascii="Arial" w:hAnsi="Arial" w:eastAsia="Times New Roman" w:cs="Arial"/>
          <w:sz w:val="21"/>
          <w:szCs w:val="21"/>
          <w:lang w:val="es-ES_tradnl" w:eastAsia="es-CO"/>
        </w:rPr>
      </w:pPr>
      <w:r>
        <w:rPr>
          <w:rFonts w:ascii="Arial" w:hAnsi="Arial" w:eastAsia="Times New Roman" w:cs="Arial"/>
          <w:sz w:val="21"/>
          <w:szCs w:val="21"/>
          <w:lang w:val="es-ES_tradnl" w:eastAsia="es-CO"/>
        </w:rPr>
        <w:t xml:space="preserve">“Artículo 5°. De la selección objetiva. </w:t>
      </w:r>
    </w:p>
    <w:p w:rsidR="000659F8" w:rsidP="000659F8" w:rsidRDefault="000659F8" w14:paraId="17C16237" w14:textId="77777777">
      <w:pPr>
        <w:spacing w:after="0" w:line="240" w:lineRule="auto"/>
        <w:ind w:left="709" w:right="709"/>
        <w:jc w:val="both"/>
        <w:rPr>
          <w:rFonts w:ascii="Arial" w:hAnsi="Arial" w:eastAsia="Times New Roman" w:cs="Arial"/>
          <w:sz w:val="21"/>
          <w:szCs w:val="21"/>
          <w:lang w:val="es-ES_tradnl" w:eastAsia="es-CO"/>
        </w:rPr>
      </w:pPr>
      <w:r>
        <w:rPr>
          <w:rFonts w:ascii="Arial" w:hAnsi="Arial" w:eastAsia="Times New Roman" w:cs="Arial"/>
          <w:sz w:val="21"/>
          <w:szCs w:val="21"/>
          <w:lang w:val="es-ES_tradnl" w:eastAsia="es-CO"/>
        </w:rPr>
        <w:t>[... ]</w:t>
      </w:r>
    </w:p>
    <w:p w:rsidR="000659F8" w:rsidP="7B62B570" w:rsidRDefault="000659F8" w14:paraId="70E199D7" w14:textId="77777777" w14:noSpellErr="1">
      <w:pPr>
        <w:spacing w:after="0" w:line="240" w:lineRule="auto"/>
        <w:ind w:left="709" w:right="709"/>
        <w:jc w:val="both"/>
        <w:rPr>
          <w:rFonts w:ascii="Arial" w:hAnsi="Arial" w:eastAsia="Times New Roman" w:cs="Arial"/>
          <w:sz w:val="21"/>
          <w:szCs w:val="21"/>
          <w:lang w:val="es-ES" w:eastAsia="es-CO"/>
        </w:rPr>
      </w:pPr>
      <w:r w:rsidRPr="7B62B570" w:rsidR="000659F8">
        <w:rPr>
          <w:rFonts w:ascii="Arial" w:hAnsi="Arial" w:eastAsia="Times New Roman" w:cs="Arial"/>
          <w:sz w:val="21"/>
          <w:szCs w:val="21"/>
          <w:lang w:val="es-ES" w:eastAsia="es-CO"/>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r w:rsidRPr="7B62B570" w:rsidR="000659F8">
        <w:rPr>
          <w:rFonts w:ascii="Arial" w:hAnsi="Arial" w:eastAsia="Times New Roman" w:cs="Arial"/>
          <w:sz w:val="21"/>
          <w:szCs w:val="21"/>
          <w:lang w:val="es-ES" w:eastAsia="es-CO"/>
        </w:rPr>
        <w:t>puntaje,</w:t>
      </w:r>
      <w:r w:rsidRPr="7B62B570" w:rsidR="000659F8">
        <w:rPr>
          <w:rFonts w:ascii="Arial" w:hAnsi="Arial" w:eastAsia="Times New Roman" w:cs="Arial"/>
          <w:sz w:val="21"/>
          <w:szCs w:val="21"/>
          <w:lang w:val="es-ES" w:eastAsia="es-CO"/>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000659F8" w:rsidP="000659F8" w:rsidRDefault="000659F8" w14:paraId="19D7C059" w14:textId="77777777">
      <w:pPr>
        <w:spacing w:after="0" w:line="240" w:lineRule="auto"/>
        <w:ind w:left="709" w:right="709"/>
        <w:jc w:val="both"/>
        <w:rPr>
          <w:rFonts w:ascii="Arial" w:hAnsi="Arial" w:eastAsia="Times New Roman" w:cs="Arial"/>
          <w:sz w:val="21"/>
          <w:szCs w:val="21"/>
          <w:lang w:val="es-ES_tradnl" w:eastAsia="es-CO"/>
        </w:rPr>
      </w:pPr>
    </w:p>
    <w:p w:rsidRPr="003C558A" w:rsidR="000659F8" w:rsidP="7B62B570" w:rsidRDefault="000659F8" w14:paraId="04FAD7E6" w14:textId="77777777">
      <w:pPr>
        <w:spacing w:after="120" w:line="276" w:lineRule="auto"/>
        <w:ind w:firstLine="709"/>
        <w:jc w:val="both"/>
        <w:rPr>
          <w:rFonts w:ascii="Arial" w:hAnsi="Arial" w:eastAsia="Times New Roman" w:cs="Arial"/>
          <w:lang w:val="es-ES" w:eastAsia="es-ES"/>
        </w:rPr>
      </w:pPr>
      <w:r w:rsidRPr="7B62B570" w:rsidR="000659F8">
        <w:rPr>
          <w:rFonts w:ascii="Arial" w:hAnsi="Arial" w:eastAsia="Times New Roman" w:cs="Arial"/>
          <w:lang w:val="es-ES" w:eastAsia="es-ES"/>
        </w:rPr>
        <w:t xml:space="preserve">Como puede observarse, la Ley 1882 de 2018: i) mantiene el criterio de la Ley 80 de 1993, relativo a que todo lo que no sea necesario para la comparación de propuestas no es título suficiente para su rechazo; </w:t>
      </w:r>
      <w:r w:rsidRPr="7B62B570" w:rsidR="000659F8">
        <w:rPr>
          <w:rFonts w:ascii="Arial" w:hAnsi="Arial" w:eastAsia="Times New Roman" w:cs="Arial"/>
          <w:lang w:val="es-ES" w:eastAsia="es-ES"/>
        </w:rPr>
        <w:t>ii</w:t>
      </w:r>
      <w:r w:rsidRPr="7B62B570" w:rsidR="000659F8">
        <w:rPr>
          <w:rFonts w:ascii="Arial" w:hAnsi="Arial" w:eastAsia="Times New Roman" w:cs="Arial"/>
          <w:lang w:val="es-ES" w:eastAsia="es-ES"/>
        </w:rPr>
        <w:t xml:space="preserve">) mantiene el criterio aclaratorio de la Ley 1150 de 2007, según el cual todo lo que no afecte la asignación de puntaje puede subsanarse; e, </w:t>
      </w:r>
      <w:r w:rsidRPr="7B62B570" w:rsidR="000659F8">
        <w:rPr>
          <w:rFonts w:ascii="Arial" w:hAnsi="Arial" w:eastAsia="Times New Roman" w:cs="Arial"/>
          <w:lang w:val="es-ES" w:eastAsia="es-ES"/>
        </w:rPr>
        <w:t>iii</w:t>
      </w:r>
      <w:r w:rsidRPr="7B62B570" w:rsidR="000659F8">
        <w:rPr>
          <w:rFonts w:ascii="Arial" w:hAnsi="Arial" w:eastAsia="Times New Roman" w:cs="Arial"/>
          <w:lang w:val="es-ES" w:eastAsia="es-ES"/>
        </w:rPr>
        <w:t>) introduce modificaciones en relación con algunos aspectos como la acreditación de circunstancias ocurridas con posterioridad al cierre del proceso.</w:t>
      </w:r>
    </w:p>
    <w:p w:rsidRPr="003C558A" w:rsidR="000659F8" w:rsidP="000659F8" w:rsidRDefault="000659F8" w14:paraId="2639438F" w14:textId="77777777">
      <w:pPr>
        <w:spacing w:after="240" w:line="276" w:lineRule="auto"/>
        <w:ind w:firstLine="708"/>
        <w:jc w:val="both"/>
        <w:rPr>
          <w:rFonts w:ascii="Arial" w:hAnsi="Arial" w:cs="Arial"/>
          <w:color w:val="000000"/>
          <w:lang w:val="es-ES_tradnl" w:eastAsia="es-MX"/>
        </w:rPr>
      </w:pPr>
      <w:r w:rsidRPr="003C558A">
        <w:rPr>
          <w:rFonts w:ascii="Arial" w:hAnsi="Arial" w:cs="Arial"/>
          <w:color w:val="000000"/>
          <w:lang w:val="es-ES_tradnl" w:eastAsia="es-MX"/>
        </w:rPr>
        <w:t xml:space="preserve">En ese sentido, respecto de su consulta se observa que no es posible subsanar aspectos que afecten la asignación de puntaje, pero este análisis debe realizarse respecto de los requisitos para acceder al </w:t>
      </w:r>
      <w:r w:rsidRPr="003C558A">
        <w:rPr>
          <w:rFonts w:ascii="Arial" w:hAnsi="Arial" w:cs="Arial"/>
          <w:color w:val="000000"/>
          <w:lang w:eastAsia="es-CO"/>
        </w:rPr>
        <w:t>puntaje por la vinculación de trabajadores con discapacidad en su planta de personal, en donde los numerales 1 y 2</w:t>
      </w:r>
      <w:r w:rsidRPr="003C558A">
        <w:rPr>
          <w:rFonts w:ascii="Arial" w:hAnsi="Arial" w:eastAsia="Calibri" w:cs="Arial"/>
          <w:color w:val="000000"/>
          <w:lang w:val="es-ES" w:eastAsia="es-MX"/>
        </w:rPr>
        <w:t xml:space="preserve"> del artículo 2.2.1.2.4.2.6 del Decreto 1082 de 2015</w:t>
      </w:r>
      <w:r w:rsidRPr="003C558A">
        <w:rPr>
          <w:rFonts w:ascii="Arial" w:hAnsi="Arial" w:cs="Arial"/>
          <w:color w:val="000000"/>
          <w:lang w:eastAsia="es-CO"/>
        </w:rPr>
        <w:t xml:space="preserve"> establecen los documentos que deben aportar los proponentes singulares o plurales, y para el caso del proponente plural, quien debe aportarlos es el miembro que aporte </w:t>
      </w:r>
      <w:r w:rsidRPr="003C558A">
        <w:rPr>
          <w:rFonts w:ascii="Arial" w:hAnsi="Arial" w:cs="Arial"/>
          <w:color w:val="000000"/>
          <w:lang w:eastAsia="es-MX"/>
        </w:rPr>
        <w:t xml:space="preserve">como </w:t>
      </w:r>
      <w:r w:rsidRPr="003C558A">
        <w:rPr>
          <w:rFonts w:ascii="Arial" w:hAnsi="Arial" w:cs="Arial"/>
          <w:color w:val="000000"/>
          <w:lang w:eastAsia="es-CO"/>
        </w:rPr>
        <w:t>mínimo el cuarenta por ciento (40%) de la experiencia requerida para la respectiva contratación.</w:t>
      </w:r>
    </w:p>
    <w:p w:rsidRPr="00283D49" w:rsidR="000659F8" w:rsidP="000659F8" w:rsidRDefault="000659F8" w14:paraId="7DE196D8" w14:textId="77777777">
      <w:pPr>
        <w:spacing w:after="240" w:line="276" w:lineRule="auto"/>
        <w:ind w:firstLine="708"/>
        <w:jc w:val="both"/>
        <w:rPr>
          <w:rFonts w:ascii="Arial" w:hAnsi="Arial" w:cs="Arial"/>
          <w:color w:val="000000"/>
          <w:lang w:val="es-ES_tradnl" w:eastAsia="es-MX"/>
        </w:rPr>
      </w:pPr>
      <w:r w:rsidRPr="003C558A">
        <w:rPr>
          <w:rFonts w:ascii="Arial" w:hAnsi="Arial" w:cs="Arial"/>
          <w:color w:val="000000"/>
          <w:lang w:val="es-ES_tradnl" w:eastAsia="es-MX"/>
        </w:rPr>
        <w:t xml:space="preserve">Por tanto, no es posible subsanar los requisitos señalados en </w:t>
      </w:r>
      <w:r w:rsidRPr="003C558A">
        <w:rPr>
          <w:rFonts w:ascii="Arial" w:hAnsi="Arial" w:cs="Arial"/>
          <w:color w:val="000000"/>
          <w:lang w:eastAsia="es-CO"/>
        </w:rPr>
        <w:t>los numerales 1 y 2</w:t>
      </w:r>
      <w:r w:rsidRPr="003C558A">
        <w:rPr>
          <w:rFonts w:ascii="Arial" w:hAnsi="Arial" w:eastAsia="Calibri" w:cs="Arial"/>
          <w:color w:val="000000"/>
          <w:lang w:val="es-ES" w:eastAsia="es-MX"/>
        </w:rPr>
        <w:t xml:space="preserve"> del artículo 2.2.1.2.4.2.6 del Decreto 1082 de 2015 que son los que se verifican para que el proponente acceda al puntaje, pero si es posible que el proponente subsane la experiencia, </w:t>
      </w:r>
      <w:proofErr w:type="gramStart"/>
      <w:r w:rsidRPr="003C558A">
        <w:rPr>
          <w:rFonts w:ascii="Arial" w:hAnsi="Arial" w:eastAsia="Calibri" w:cs="Arial"/>
          <w:color w:val="000000"/>
          <w:lang w:val="es-ES" w:eastAsia="es-MX"/>
        </w:rPr>
        <w:t>que</w:t>
      </w:r>
      <w:proofErr w:type="gramEnd"/>
      <w:r w:rsidRPr="003C558A">
        <w:rPr>
          <w:rFonts w:ascii="Arial" w:hAnsi="Arial" w:eastAsia="Calibri" w:cs="Arial"/>
          <w:color w:val="000000"/>
          <w:lang w:val="es-ES" w:eastAsia="es-MX"/>
        </w:rPr>
        <w:t xml:space="preserve"> al ser un requisito habilitante, como se explicó en este concepto, no tiene asignación de puntaje. No obstante, si la subsanación de experiencia disminuyó la experiencia del miembro del proponente plural que aportaba como </w:t>
      </w:r>
      <w:r w:rsidRPr="003C558A">
        <w:rPr>
          <w:rFonts w:ascii="Arial" w:hAnsi="Arial" w:cs="Arial"/>
          <w:color w:val="000000"/>
          <w:lang w:eastAsia="es-CO"/>
        </w:rPr>
        <w:t>mínimo el cuarenta por ciento (40%) de la experiencia</w:t>
      </w:r>
      <w:r w:rsidRPr="00447DD1">
        <w:rPr>
          <w:rFonts w:ascii="Arial" w:hAnsi="Arial" w:cs="Arial"/>
          <w:color w:val="000000"/>
          <w:lang w:eastAsia="es-CO"/>
        </w:rPr>
        <w:t xml:space="preserve"> </w:t>
      </w:r>
      <w:r w:rsidRPr="00447DD1">
        <w:rPr>
          <w:rFonts w:ascii="Arial" w:hAnsi="Arial" w:cs="Arial"/>
          <w:color w:val="000000"/>
          <w:lang w:eastAsia="es-CO"/>
        </w:rPr>
        <w:lastRenderedPageBreak/>
        <w:t>requerida para la respectiva contratación</w:t>
      </w:r>
      <w:r>
        <w:rPr>
          <w:rFonts w:ascii="Arial" w:hAnsi="Arial" w:cs="Arial"/>
          <w:color w:val="000000"/>
          <w:lang w:eastAsia="es-CO"/>
        </w:rPr>
        <w:t xml:space="preserve">, se debe tener en cuenta que </w:t>
      </w:r>
      <w:r>
        <w:rPr>
          <w:rFonts w:ascii="Arial" w:hAnsi="Arial" w:cs="Arial"/>
          <w:color w:val="000000"/>
          <w:lang w:eastAsia="es-MX"/>
        </w:rPr>
        <w:t>el proponente plural debe acreditar los documentos a través del miembro que aporte dicho mínimo de experiencia, so pena de no</w:t>
      </w:r>
      <w:r w:rsidRPr="00447DD1">
        <w:rPr>
          <w:rFonts w:ascii="Arial" w:hAnsi="Arial" w:cs="Arial"/>
          <w:color w:val="000000"/>
          <w:lang w:eastAsia="es-MX"/>
        </w:rPr>
        <w:t xml:space="preserve"> obtener puntaje por este criterio, aun cuando los demás integrantes –con un porcentaje menor de experiencia– cuenten con trabajadores discapacitados.</w:t>
      </w:r>
    </w:p>
    <w:p w:rsidRPr="00447DD1" w:rsidR="000659F8" w:rsidP="000659F8" w:rsidRDefault="000659F8" w14:paraId="5264CAC3" w14:textId="77777777">
      <w:pPr>
        <w:spacing w:after="240" w:line="276" w:lineRule="auto"/>
        <w:ind w:firstLine="708"/>
        <w:jc w:val="both"/>
        <w:rPr>
          <w:rFonts w:ascii="Arial" w:hAnsi="Arial" w:eastAsia="Calibri" w:cs="Arial"/>
          <w:color w:val="000000"/>
          <w:lang w:val="es-ES" w:eastAsia="es-MX"/>
        </w:rPr>
      </w:pPr>
      <w:r>
        <w:rPr>
          <w:rFonts w:ascii="Arial" w:hAnsi="Arial" w:cs="Arial"/>
          <w:color w:val="000000"/>
          <w:lang w:eastAsia="es-MX"/>
        </w:rPr>
        <w:t>Finalmente, c</w:t>
      </w:r>
      <w:r w:rsidRPr="00447DD1">
        <w:rPr>
          <w:rFonts w:ascii="Arial" w:hAnsi="Arial" w:cs="Arial"/>
          <w:color w:val="000000"/>
          <w:lang w:eastAsia="es-MX"/>
        </w:rPr>
        <w:t xml:space="preserve">omo se explicó </w:t>
      </w:r>
      <w:r w:rsidRPr="00447DD1">
        <w:rPr>
          <w:rFonts w:ascii="Arial" w:hAnsi="Arial" w:cs="Arial"/>
          <w:i/>
          <w:iCs/>
          <w:color w:val="000000"/>
          <w:lang w:eastAsia="es-MX"/>
        </w:rPr>
        <w:t>ut supra</w:t>
      </w:r>
      <w:r w:rsidRPr="00447DD1">
        <w:rPr>
          <w:rFonts w:ascii="Arial" w:hAnsi="Arial" w:cs="Arial"/>
          <w:color w:val="000000"/>
          <w:lang w:eastAsia="es-MX"/>
        </w:rPr>
        <w:t xml:space="preserve">, </w:t>
      </w:r>
      <w:r w:rsidRPr="00447DD1">
        <w:rPr>
          <w:rFonts w:ascii="Arial" w:hAnsi="Arial" w:eastAsia="Calibri" w:cs="Arial"/>
          <w:color w:val="000000"/>
          <w:lang w:val="es-ES" w:eastAsia="es-MX"/>
        </w:rPr>
        <w:t xml:space="preserve">el artículo 2.2.1.2.4.2.6 del Decreto 1082 de 2015 aplica en los procedimientos de contratación regulados en los numerales 1 y 3 del artículo 2 de la Ley 1150 de 2007. Por tanto, el puntaje adicional para los proponentes con trabajadores en situación de discapacidad debe evaluarse obligatoriamente en los </w:t>
      </w:r>
      <w:r>
        <w:rPr>
          <w:rFonts w:ascii="Arial" w:hAnsi="Arial" w:eastAsia="Calibri" w:cs="Arial"/>
          <w:color w:val="000000"/>
          <w:lang w:val="es-ES" w:eastAsia="es-MX"/>
        </w:rPr>
        <w:t>“</w:t>
      </w:r>
      <w:r w:rsidRPr="00447DD1">
        <w:rPr>
          <w:rFonts w:ascii="Arial" w:hAnsi="Arial" w:eastAsia="Calibri" w:cs="Arial"/>
          <w:color w:val="000000"/>
          <w:lang w:val="es-ES" w:eastAsia="es-MX"/>
        </w:rPr>
        <w:t>Documentos Tipo – Versión 3</w:t>
      </w:r>
      <w:r>
        <w:rPr>
          <w:rFonts w:ascii="Arial" w:hAnsi="Arial" w:eastAsia="Calibri" w:cs="Arial"/>
          <w:color w:val="000000"/>
          <w:lang w:val="es-ES" w:eastAsia="es-MX"/>
        </w:rPr>
        <w:t>”</w:t>
      </w:r>
      <w:r w:rsidRPr="00447DD1">
        <w:rPr>
          <w:rFonts w:ascii="Arial" w:hAnsi="Arial" w:eastAsia="Calibri" w:cs="Arial"/>
          <w:color w:val="000000"/>
          <w:lang w:val="es-ES" w:eastAsia="es-MX"/>
        </w:rPr>
        <w:t xml:space="preserve"> de licitación para obras públicas de infraestructura de transporte, adoptados en la Resolución 240 del 27 de noviembre de 2020. Para estos efectos, el apartado 4.4 del documento base dispone lo siguiente:</w:t>
      </w:r>
    </w:p>
    <w:p w:rsidRPr="00447DD1" w:rsidR="000659F8" w:rsidP="000659F8" w:rsidRDefault="000659F8" w14:paraId="7FC38310" w14:textId="77777777">
      <w:pPr>
        <w:spacing w:after="240"/>
        <w:ind w:left="709" w:right="709"/>
        <w:jc w:val="both"/>
        <w:rPr>
          <w:rFonts w:ascii="Arial" w:hAnsi="Arial" w:eastAsia="Calibri" w:cs="Arial"/>
          <w:color w:val="000000"/>
          <w:sz w:val="21"/>
          <w:szCs w:val="21"/>
          <w:lang w:eastAsia="es-MX"/>
        </w:rPr>
      </w:pPr>
      <w:r w:rsidRPr="00447DD1">
        <w:rPr>
          <w:rFonts w:ascii="Arial" w:hAnsi="Arial" w:eastAsia="Calibri" w:cs="Arial"/>
          <w:color w:val="000000"/>
          <w:sz w:val="21"/>
          <w:szCs w:val="21"/>
          <w:lang w:eastAsia="es-MX"/>
        </w:rPr>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rsidRPr="00447DD1" w:rsidR="000659F8" w:rsidP="000659F8" w:rsidRDefault="000659F8" w14:paraId="0A87F00E" w14:textId="77777777">
      <w:pPr>
        <w:spacing w:after="240"/>
        <w:ind w:left="709" w:right="709"/>
        <w:jc w:val="both"/>
        <w:rPr>
          <w:rFonts w:ascii="Arial" w:hAnsi="Arial" w:eastAsia="Calibri" w:cs="Arial"/>
          <w:color w:val="000000"/>
          <w:sz w:val="21"/>
          <w:szCs w:val="21"/>
          <w:lang w:eastAsia="es-MX"/>
        </w:rPr>
      </w:pPr>
      <w:r w:rsidRPr="00447DD1">
        <w:rPr>
          <w:rFonts w:ascii="Arial" w:hAnsi="Arial" w:eastAsia="Calibri" w:cs="Arial"/>
          <w:color w:val="000000"/>
          <w:sz w:val="21"/>
          <w:szCs w:val="21"/>
          <w:lang w:eastAsia="es-MX"/>
        </w:rPr>
        <w:t xml:space="preserve">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w:t>
      </w:r>
      <w:proofErr w:type="spellStart"/>
      <w:r w:rsidRPr="00447DD1">
        <w:rPr>
          <w:rFonts w:ascii="Arial" w:hAnsi="Arial" w:eastAsia="Calibri" w:cs="Arial"/>
          <w:color w:val="000000"/>
          <w:sz w:val="21"/>
          <w:szCs w:val="21"/>
          <w:lang w:eastAsia="es-MX"/>
        </w:rPr>
        <w:t>ii</w:t>
      </w:r>
      <w:proofErr w:type="spellEnd"/>
      <w:r w:rsidRPr="00447DD1">
        <w:rPr>
          <w:rFonts w:ascii="Arial" w:hAnsi="Arial" w:eastAsia="Calibri" w:cs="Arial"/>
          <w:color w:val="000000"/>
          <w:sz w:val="21"/>
          <w:szCs w:val="21"/>
          <w:lang w:eastAsia="es-MX"/>
        </w:rPr>
        <w:t>) acreditar el número mínimo de personas con discapacidad en su planta de personal, de conformidad con lo señalado en el certificado expedido por el Ministerio de Trabajo, el cual deberá estar vigente a la fecha de cierre del proceso de selección.</w:t>
      </w:r>
    </w:p>
    <w:p w:rsidRPr="00447DD1" w:rsidR="000659F8" w:rsidP="000659F8" w:rsidRDefault="000659F8" w14:paraId="1C110AA7" w14:textId="77777777">
      <w:pPr>
        <w:spacing w:after="240"/>
        <w:ind w:left="709" w:right="709"/>
        <w:jc w:val="both"/>
        <w:rPr>
          <w:rFonts w:ascii="Arial" w:hAnsi="Arial" w:eastAsia="Calibri" w:cs="Arial"/>
          <w:color w:val="000000"/>
          <w:sz w:val="21"/>
          <w:szCs w:val="21"/>
          <w:lang w:eastAsia="es-MX"/>
        </w:rPr>
      </w:pPr>
      <w:r w:rsidRPr="00447DD1">
        <w:rPr>
          <w:rFonts w:ascii="Arial" w:hAnsi="Arial" w:eastAsia="Calibri" w:cs="Arial"/>
          <w:color w:val="000000"/>
          <w:sz w:val="21"/>
          <w:szCs w:val="21"/>
          <w:lang w:eastAsia="es-MX"/>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rsidRPr="00447DD1" w:rsidR="000659F8" w:rsidP="000659F8" w:rsidRDefault="000659F8" w14:paraId="54D259AC" w14:textId="77777777">
      <w:pPr>
        <w:spacing w:after="240"/>
        <w:ind w:left="709" w:right="709"/>
        <w:jc w:val="both"/>
        <w:rPr>
          <w:rFonts w:ascii="Arial" w:hAnsi="Arial" w:eastAsia="Calibri" w:cs="Arial"/>
          <w:color w:val="000000"/>
          <w:lang w:val="es-ES" w:eastAsia="es-MX"/>
        </w:rPr>
      </w:pPr>
      <w:r w:rsidRPr="00447DD1">
        <w:rPr>
          <w:rFonts w:ascii="Arial" w:hAnsi="Arial" w:eastAsia="Calibri" w:cs="Arial"/>
          <w:color w:val="000000"/>
          <w:sz w:val="21"/>
          <w:szCs w:val="21"/>
          <w:lang w:eastAsia="es-MX"/>
        </w:rPr>
        <w:t>El Formato 8, en el caso de los proponentes plurales, debe suscribirse por la persona natural o el representante legal de la persona jurídica que aporte como mínimo el cuarenta por ciento (40%) de la experiencia requerida para el proceso de contratación</w:t>
      </w:r>
      <w:r w:rsidRPr="00447DD1">
        <w:rPr>
          <w:rFonts w:ascii="Arial" w:hAnsi="Arial" w:eastAsia="Calibri" w:cs="Arial"/>
          <w:color w:val="000000"/>
          <w:lang w:val="es-ES" w:eastAsia="es-MX"/>
        </w:rPr>
        <w:t>.</w:t>
      </w:r>
    </w:p>
    <w:p w:rsidRPr="00447DD1" w:rsidR="000659F8" w:rsidP="000659F8" w:rsidRDefault="000659F8" w14:paraId="24C6ED62" w14:textId="77777777">
      <w:pPr>
        <w:spacing w:after="240" w:line="276" w:lineRule="auto"/>
        <w:ind w:firstLine="709"/>
        <w:jc w:val="both"/>
        <w:rPr>
          <w:rFonts w:ascii="Arial" w:hAnsi="Arial" w:eastAsia="Calibri" w:cs="Arial"/>
          <w:lang w:eastAsia="es-MX"/>
        </w:rPr>
      </w:pPr>
      <w:r w:rsidRPr="00447DD1">
        <w:rPr>
          <w:rFonts w:ascii="Arial" w:hAnsi="Arial" w:eastAsia="Calibri" w:cs="Arial"/>
          <w:lang w:eastAsia="es-MX"/>
        </w:rPr>
        <w:t xml:space="preserve">Para obtener el puntaje adicional, los proponentes deben presentar el </w:t>
      </w:r>
      <w:r>
        <w:rPr>
          <w:rFonts w:ascii="Arial" w:hAnsi="Arial" w:eastAsia="Calibri" w:cs="Arial"/>
          <w:lang w:eastAsia="es-MX"/>
        </w:rPr>
        <w:t>“</w:t>
      </w:r>
      <w:r w:rsidRPr="00447DD1">
        <w:rPr>
          <w:rFonts w:ascii="Arial" w:hAnsi="Arial" w:eastAsia="Calibri" w:cs="Arial"/>
          <w:lang w:eastAsia="es-MX"/>
        </w:rPr>
        <w:t>Formato 8 – Vinculación de personas con discapacidad</w:t>
      </w:r>
      <w:r>
        <w:rPr>
          <w:rFonts w:ascii="Arial" w:hAnsi="Arial" w:eastAsia="Calibri" w:cs="Arial"/>
          <w:lang w:eastAsia="es-MX"/>
        </w:rPr>
        <w:t>”</w:t>
      </w:r>
      <w:r w:rsidRPr="00447DD1">
        <w:rPr>
          <w:rFonts w:ascii="Arial" w:hAnsi="Arial" w:eastAsia="Calibri" w:cs="Arial"/>
          <w:lang w:eastAsia="es-MX"/>
        </w:rPr>
        <w:t xml:space="preserve">,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447DD1">
        <w:rPr>
          <w:rFonts w:ascii="Arial" w:hAnsi="Arial" w:eastAsia="Calibri" w:cs="Arial"/>
          <w:color w:val="000000"/>
          <w:lang w:val="es-ES" w:eastAsia="es-MX"/>
        </w:rPr>
        <w:t>artículo 2.2.1.2.4.2.6 del Decreto 1082 de 2015</w:t>
      </w:r>
      <w:r w:rsidRPr="00447DD1">
        <w:rPr>
          <w:rFonts w:ascii="Arial" w:hAnsi="Arial" w:eastAsia="Calibri" w:cs="Arial"/>
          <w:lang w:eastAsia="es-MX"/>
        </w:rPr>
        <w:t xml:space="preserve">. Por lo demás, junto al formato, el oferente </w:t>
      </w:r>
      <w:r w:rsidRPr="00447DD1">
        <w:rPr>
          <w:rFonts w:ascii="Arial" w:hAnsi="Arial" w:eastAsia="Calibri" w:cs="Arial"/>
          <w:lang w:eastAsia="es-MX"/>
        </w:rPr>
        <w:lastRenderedPageBreak/>
        <w:t xml:space="preserve">también debe entregar el certificado del Ministerio de Trabajo que acredite el número mínimo de personas con discapacidad en su planta de personal, el cual deberá estar vigente a la fecha de cierre del proceso de selección. </w:t>
      </w:r>
    </w:p>
    <w:bookmarkEnd w:id="4"/>
    <w:p w:rsidRPr="005264A0" w:rsidR="000659F8" w:rsidP="000659F8" w:rsidRDefault="000659F8" w14:paraId="7E8D9087" w14:textId="77777777">
      <w:pPr>
        <w:tabs>
          <w:tab w:val="left" w:pos="0"/>
        </w:tabs>
        <w:jc w:val="both"/>
        <w:rPr>
          <w:rFonts w:ascii="Arial" w:hAnsi="Arial" w:eastAsia="Calibri" w:cs="Arial"/>
          <w:b/>
          <w:lang w:val="es-ES_tradnl"/>
        </w:rPr>
      </w:pPr>
      <w:r w:rsidRPr="005264A0">
        <w:rPr>
          <w:rFonts w:ascii="Arial" w:hAnsi="Arial" w:eastAsia="Calibri" w:cs="Arial"/>
          <w:b/>
          <w:lang w:val="es-ES_tradnl"/>
        </w:rPr>
        <w:t>3. Respuesta</w:t>
      </w:r>
      <w:r>
        <w:rPr>
          <w:rFonts w:ascii="Arial" w:hAnsi="Arial" w:eastAsia="Calibri" w:cs="Arial"/>
          <w:b/>
          <w:lang w:val="es-ES_tradnl"/>
        </w:rPr>
        <w:t>s</w:t>
      </w:r>
    </w:p>
    <w:p w:rsidRPr="00C67804" w:rsidR="000659F8" w:rsidP="000659F8" w:rsidRDefault="000659F8" w14:paraId="17EE99A2" w14:textId="77777777">
      <w:pPr>
        <w:ind w:left="709" w:right="709"/>
        <w:jc w:val="both"/>
        <w:rPr>
          <w:rFonts w:ascii="Arial" w:hAnsi="Arial" w:eastAsia="Calibri" w:cs="Arial"/>
          <w:sz w:val="21"/>
          <w:szCs w:val="21"/>
        </w:rPr>
      </w:pPr>
      <w:r>
        <w:rPr>
          <w:rFonts w:ascii="Arial" w:hAnsi="Arial" w:cs="Arial"/>
          <w:sz w:val="21"/>
          <w:szCs w:val="21"/>
          <w:lang w:val="es-ES_tradnl"/>
        </w:rPr>
        <w:t>“</w:t>
      </w:r>
      <w:r>
        <w:rPr>
          <w:rFonts w:ascii="Arial" w:hAnsi="Arial" w:eastAsia="Calibri" w:cs="Arial"/>
          <w:sz w:val="21"/>
          <w:szCs w:val="21"/>
        </w:rPr>
        <w:t>[…</w:t>
      </w:r>
      <w:r w:rsidRPr="001F769E">
        <w:rPr>
          <w:rFonts w:ascii="Arial" w:hAnsi="Arial" w:eastAsia="Calibri" w:cs="Arial"/>
          <w:sz w:val="21"/>
          <w:szCs w:val="21"/>
        </w:rPr>
        <w:t xml:space="preserve">] </w:t>
      </w:r>
      <w:r w:rsidRPr="00C67804">
        <w:rPr>
          <w:rFonts w:ascii="Arial" w:hAnsi="Arial" w:eastAsia="Calibri" w:cs="Arial"/>
          <w:sz w:val="21"/>
          <w:szCs w:val="21"/>
        </w:rPr>
        <w:t>Si un socio constituyente de una empresa se retira de la sociedad (deja de ser</w:t>
      </w:r>
      <w:r>
        <w:rPr>
          <w:rFonts w:ascii="Arial" w:hAnsi="Arial" w:eastAsia="Calibri" w:cs="Arial"/>
          <w:sz w:val="21"/>
          <w:szCs w:val="21"/>
        </w:rPr>
        <w:t xml:space="preserve"> </w:t>
      </w:r>
      <w:r w:rsidRPr="00C67804">
        <w:rPr>
          <w:rFonts w:ascii="Arial" w:hAnsi="Arial" w:eastAsia="Calibri" w:cs="Arial"/>
          <w:sz w:val="21"/>
          <w:szCs w:val="21"/>
        </w:rPr>
        <w:t>socio),</w:t>
      </w:r>
      <w:r>
        <w:rPr>
          <w:rFonts w:ascii="Arial" w:hAnsi="Arial" w:eastAsia="Calibri" w:cs="Arial"/>
          <w:sz w:val="21"/>
          <w:szCs w:val="21"/>
        </w:rPr>
        <w:t xml:space="preserve"> </w:t>
      </w:r>
      <w:r w:rsidRPr="00C67804">
        <w:rPr>
          <w:rFonts w:ascii="Arial" w:hAnsi="Arial" w:eastAsia="Calibri" w:cs="Arial"/>
          <w:sz w:val="21"/>
          <w:szCs w:val="21"/>
        </w:rPr>
        <w:t xml:space="preserve">la empresa que él fue constituyente, </w:t>
      </w:r>
      <w:r>
        <w:rPr>
          <w:rFonts w:ascii="Arial" w:hAnsi="Arial" w:eastAsia="Calibri" w:cs="Arial"/>
          <w:sz w:val="21"/>
          <w:szCs w:val="21"/>
        </w:rPr>
        <w:t>¿</w:t>
      </w:r>
      <w:r w:rsidRPr="00C67804">
        <w:rPr>
          <w:rFonts w:ascii="Arial" w:hAnsi="Arial" w:eastAsia="Calibri" w:cs="Arial"/>
          <w:sz w:val="21"/>
          <w:szCs w:val="21"/>
        </w:rPr>
        <w:t>puede seguir utilizando la experiencia de este</w:t>
      </w:r>
      <w:r>
        <w:rPr>
          <w:rFonts w:ascii="Arial" w:hAnsi="Arial" w:eastAsia="Calibri" w:cs="Arial"/>
          <w:sz w:val="21"/>
          <w:szCs w:val="21"/>
        </w:rPr>
        <w:t xml:space="preserve"> </w:t>
      </w:r>
      <w:r w:rsidRPr="00C67804">
        <w:rPr>
          <w:rFonts w:ascii="Arial" w:hAnsi="Arial" w:eastAsia="Calibri" w:cs="Arial"/>
          <w:sz w:val="21"/>
          <w:szCs w:val="21"/>
        </w:rPr>
        <w:t>socio retirado para acreditarla en proceso de selección publica?</w:t>
      </w:r>
    </w:p>
    <w:p w:rsidRPr="00747AE2" w:rsidR="000659F8" w:rsidP="000659F8" w:rsidRDefault="000659F8" w14:paraId="3788A8CE" w14:textId="77777777">
      <w:pPr>
        <w:ind w:left="709" w:right="709"/>
        <w:jc w:val="both"/>
        <w:rPr>
          <w:rFonts w:ascii="Arial" w:hAnsi="Arial" w:eastAsia="Calibri" w:cs="Arial"/>
          <w:sz w:val="21"/>
          <w:szCs w:val="21"/>
        </w:rPr>
      </w:pPr>
      <w:r w:rsidRPr="00C67804">
        <w:rPr>
          <w:rFonts w:ascii="Arial" w:hAnsi="Arial" w:eastAsia="Calibri" w:cs="Arial"/>
          <w:sz w:val="21"/>
          <w:szCs w:val="21"/>
        </w:rPr>
        <w:t>Lo anterior teniendo en cuenta que, si la empresa mantiene renovado el RUP, la</w:t>
      </w:r>
      <w:r>
        <w:rPr>
          <w:rFonts w:ascii="Arial" w:hAnsi="Arial" w:eastAsia="Calibri" w:cs="Arial"/>
          <w:sz w:val="21"/>
          <w:szCs w:val="21"/>
        </w:rPr>
        <w:t xml:space="preserve"> </w:t>
      </w:r>
      <w:r w:rsidRPr="00C67804">
        <w:rPr>
          <w:rFonts w:ascii="Arial" w:hAnsi="Arial" w:eastAsia="Calibri" w:cs="Arial"/>
          <w:sz w:val="21"/>
          <w:szCs w:val="21"/>
        </w:rPr>
        <w:t>experiencia relacionada se mantiene inscrita</w:t>
      </w:r>
      <w:r>
        <w:rPr>
          <w:rFonts w:ascii="Arial" w:hAnsi="Arial" w:eastAsia="Calibri" w:cs="Arial"/>
          <w:sz w:val="21"/>
          <w:szCs w:val="21"/>
        </w:rPr>
        <w:t>”</w:t>
      </w:r>
      <w:r w:rsidRPr="00C67804">
        <w:rPr>
          <w:rFonts w:ascii="Arial" w:hAnsi="Arial" w:eastAsia="Calibri" w:cs="Arial"/>
          <w:sz w:val="21"/>
          <w:szCs w:val="21"/>
        </w:rPr>
        <w:t>.</w:t>
      </w:r>
      <w:r>
        <w:rPr>
          <w:rFonts w:ascii="Arial" w:hAnsi="Arial" w:eastAsia="Calibri" w:cs="Arial"/>
          <w:sz w:val="21"/>
          <w:szCs w:val="21"/>
        </w:rPr>
        <w:t xml:space="preserve"> </w:t>
      </w:r>
      <w:r w:rsidRPr="00EB6F40">
        <w:rPr>
          <w:rFonts w:ascii="Arial" w:hAnsi="Arial" w:cs="Arial"/>
          <w:sz w:val="21"/>
          <w:szCs w:val="21"/>
          <w:lang w:val="es-ES_tradnl"/>
        </w:rPr>
        <w:t>[sic]</w:t>
      </w:r>
    </w:p>
    <w:p w:rsidR="000659F8" w:rsidP="000659F8" w:rsidRDefault="000659F8" w14:paraId="10C0AF38" w14:textId="77777777">
      <w:pPr>
        <w:spacing w:line="276" w:lineRule="auto"/>
        <w:jc w:val="both"/>
        <w:rPr>
          <w:rFonts w:ascii="Arial" w:hAnsi="Arial" w:eastAsia="Calibri" w:cs="Arial"/>
          <w:color w:val="000000" w:themeColor="text1"/>
        </w:rPr>
      </w:pPr>
      <w:r w:rsidRPr="00EB6F40">
        <w:rPr>
          <w:rFonts w:ascii="Arial" w:hAnsi="Arial" w:eastAsia="Calibri" w:cs="Arial"/>
          <w:color w:val="000000" w:themeColor="text1"/>
        </w:rPr>
        <w:t xml:space="preserve">Conforme a lo expuesto, el numeral 2.5 del artículo 2.2.1.1.1.5. del Decreto 1082 de 2015 establece una prerrogativa en atención a la cual, las personas jurídicas con menos de tres (3) años de constitución pueden inscribir en el RUP la experiencia adquirida por sus socios, accionistas o constituyentes y, en consecuencia, acreditarla como propia en los </w:t>
      </w:r>
      <w:r>
        <w:rPr>
          <w:rFonts w:ascii="Arial" w:hAnsi="Arial" w:eastAsia="Calibri" w:cs="Arial"/>
          <w:color w:val="000000" w:themeColor="text1"/>
        </w:rPr>
        <w:t>P</w:t>
      </w:r>
      <w:r w:rsidRPr="00EB6F40">
        <w:rPr>
          <w:rFonts w:ascii="Arial" w:hAnsi="Arial" w:eastAsia="Calibri" w:cs="Arial"/>
          <w:color w:val="000000" w:themeColor="text1"/>
        </w:rPr>
        <w:t xml:space="preserve">rocesos de </w:t>
      </w:r>
      <w:r>
        <w:rPr>
          <w:rFonts w:ascii="Arial" w:hAnsi="Arial" w:eastAsia="Calibri" w:cs="Arial"/>
          <w:color w:val="000000" w:themeColor="text1"/>
        </w:rPr>
        <w:t>C</w:t>
      </w:r>
      <w:r w:rsidRPr="00EB6F40">
        <w:rPr>
          <w:rFonts w:ascii="Arial" w:hAnsi="Arial" w:eastAsia="Calibri" w:cs="Arial"/>
          <w:color w:val="000000" w:themeColor="text1"/>
        </w:rPr>
        <w:t xml:space="preserve">ontratación en los que participen o pretendan participar. Lo anterior, con el fin de permitir que las sociedades que no cuentan con la experiencia suficiente para contratar con el </w:t>
      </w:r>
      <w:proofErr w:type="gramStart"/>
      <w:r w:rsidRPr="00EB6F40">
        <w:rPr>
          <w:rFonts w:ascii="Arial" w:hAnsi="Arial" w:eastAsia="Calibri" w:cs="Arial"/>
          <w:color w:val="000000" w:themeColor="text1"/>
        </w:rPr>
        <w:t>Estado,</w:t>
      </w:r>
      <w:proofErr w:type="gramEnd"/>
      <w:r w:rsidRPr="00EB6F40">
        <w:rPr>
          <w:rFonts w:ascii="Arial" w:hAnsi="Arial" w:eastAsia="Calibri" w:cs="Arial"/>
          <w:color w:val="000000" w:themeColor="text1"/>
        </w:rPr>
        <w:t xml:space="preserve"> puedan apoyarse en la experiencia de sus accionistas, socios o constituyentes, para así incentivar la competencia en la contratación estatal y garantizar la pluralidad de oferentes. </w:t>
      </w:r>
    </w:p>
    <w:p w:rsidR="000659F8" w:rsidP="000659F8" w:rsidRDefault="000659F8" w14:paraId="4B0EBCA7" w14:textId="77777777">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 xml:space="preserve">En ese orden, la transferencia de la experiencia de los accionistas, socios o constituyentes a la persona jurídica sólo podrá realizarse cuando esta cuente con menos de tres (3) años de constitución. </w:t>
      </w:r>
    </w:p>
    <w:p w:rsidR="000659F8" w:rsidP="000659F8" w:rsidRDefault="000659F8" w14:paraId="0F682D2F" w14:textId="77777777">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 xml:space="preserve">En lo que respecta a la conservación de esta experiencia, debe señalarse que, la sociedad con menos de tres (3) años de constituida que ha registrado la experiencia de sus socios, accionistas y constituyentes en el RUP y lo ha renovado con frecuencia de forma oportuna, tendrá la facultad de continuar utilizando la experiencia inscrita mientras no cesen los efectos del RUP, incluso después de transcurridos los tres (3) años. Por el contrario, si este no se renueva y la persona jurídica supera los tres (3)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rsidR="000659F8" w:rsidP="000659F8" w:rsidRDefault="000659F8" w14:paraId="2A9A27BC" w14:textId="77777777">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Finalmente, frente a la consulta planteada acerca de la posibilidad de que una persona jurídica pued</w:t>
      </w:r>
      <w:r>
        <w:rPr>
          <w:rFonts w:ascii="Arial" w:hAnsi="Arial" w:eastAsia="Calibri" w:cs="Arial"/>
          <w:color w:val="000000" w:themeColor="text1"/>
        </w:rPr>
        <w:t>a</w:t>
      </w:r>
      <w:r w:rsidRPr="00EB6F40">
        <w:rPr>
          <w:rFonts w:ascii="Arial" w:hAnsi="Arial" w:eastAsia="Calibri" w:cs="Arial"/>
          <w:color w:val="000000" w:themeColor="text1"/>
        </w:rPr>
        <w:t xml:space="preserve"> seguir acreditando la experiencia de un socio o accionista que ya no hace parte de la sociedad porque se ha retirado, se debe señalar que el Decreto 1082 de 2015 solo permite que una sociedad acredite la experiencia de quienes tienen la calidad de accionistas, socios o constituyentes durante los primeros tres (3) años de su constitución. Por tanto, si se pierden estas calidades, como sucedería cuando uno de ellos se retira por venta o cesión de su participación, ya no sería posible que la sociedad en uso de la prerrogativa dispuesta en la precitada norma </w:t>
      </w:r>
      <w:r w:rsidRPr="00EB6F40">
        <w:rPr>
          <w:rFonts w:ascii="Arial" w:hAnsi="Arial" w:eastAsia="Calibri" w:cs="Arial"/>
          <w:color w:val="000000" w:themeColor="text1"/>
        </w:rPr>
        <w:lastRenderedPageBreak/>
        <w:t>acredite la experiencia aportada por dicha persona. En consecuencia, la persona jurídica debería actualizar la experiencia en el RUP y abstenerse de inscribir la adquirida por el socio que vendió o cedió sus acciones y se retira de la sociedad, actuando así de buena fe en el proceso de contratación.</w:t>
      </w:r>
    </w:p>
    <w:p w:rsidR="000659F8" w:rsidP="000659F8" w:rsidRDefault="000659F8" w14:paraId="76F331F5" w14:textId="77777777">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Esta interpretación se impone a fin de evitar prácticas corruptas o que atenten contra la transparencia en la contratación estatal. De igual forma, lo anterior se fundamenta como se explicó en líneas atrás, en el carácter personalísimo de la experiencia respecto de la persona que la ha adquirido y que solo en casos excepcionales y por disposición legal o reglamentaria, como en el caso del numeral 2.5. del artículo 2.2.1.1.1.5.2. del Decreto 1082 de 2015, se presume de otra forma. En ese sentido, si el socio se retira de la sociedad por venta o cesión de su participación accionaria, no puede vender o ceder su experiencia para que el adquirente o cesionario de la participación accionaria la aporte a la sociedad.</w:t>
      </w:r>
    </w:p>
    <w:p w:rsidR="000659F8" w:rsidP="000659F8" w:rsidRDefault="000659F8" w14:paraId="6AD07BF6" w14:textId="77777777">
      <w:pPr>
        <w:ind w:left="709" w:right="709"/>
        <w:jc w:val="both"/>
        <w:rPr>
          <w:rFonts w:ascii="Arial" w:hAnsi="Arial" w:eastAsia="Calibri" w:cs="Arial"/>
          <w:sz w:val="21"/>
          <w:szCs w:val="21"/>
        </w:rPr>
      </w:pPr>
      <w:r>
        <w:rPr>
          <w:rFonts w:ascii="Arial" w:hAnsi="Arial" w:eastAsia="Calibri" w:cs="Arial"/>
          <w:sz w:val="21"/>
          <w:szCs w:val="21"/>
        </w:rPr>
        <w:t>“</w:t>
      </w:r>
      <w:r w:rsidRPr="00D9319C">
        <w:rPr>
          <w:rFonts w:ascii="Arial" w:hAnsi="Arial" w:eastAsia="Calibri" w:cs="Arial"/>
          <w:sz w:val="21"/>
          <w:szCs w:val="21"/>
        </w:rPr>
        <w:t xml:space="preserve">Si un proponente debe subsanar la experiencia, </w:t>
      </w:r>
      <w:r>
        <w:rPr>
          <w:rFonts w:ascii="Arial" w:hAnsi="Arial" w:eastAsia="Calibri" w:cs="Arial"/>
          <w:sz w:val="21"/>
          <w:szCs w:val="21"/>
        </w:rPr>
        <w:t>¿</w:t>
      </w:r>
      <w:r w:rsidRPr="00D9319C">
        <w:rPr>
          <w:rFonts w:ascii="Arial" w:hAnsi="Arial" w:eastAsia="Calibri" w:cs="Arial"/>
          <w:sz w:val="21"/>
          <w:szCs w:val="21"/>
        </w:rPr>
        <w:t xml:space="preserve">el mismo pierde el puntaje correspondiente a Vinculación de personas en condición de discapacidad? </w:t>
      </w:r>
    </w:p>
    <w:p w:rsidRPr="001F769E" w:rsidR="000659F8" w:rsidP="000659F8" w:rsidRDefault="000659F8" w14:paraId="5B30853A" w14:textId="77777777">
      <w:pPr>
        <w:ind w:left="709" w:right="709"/>
        <w:jc w:val="both"/>
        <w:rPr>
          <w:rFonts w:ascii="Arial" w:hAnsi="Arial" w:eastAsia="Calibri" w:cs="Arial"/>
          <w:sz w:val="21"/>
          <w:szCs w:val="21"/>
        </w:rPr>
      </w:pPr>
      <w:r w:rsidRPr="00D9319C">
        <w:rPr>
          <w:rFonts w:ascii="Arial" w:hAnsi="Arial" w:eastAsia="Calibri" w:cs="Arial"/>
          <w:sz w:val="21"/>
          <w:szCs w:val="21"/>
        </w:rPr>
        <w:t>Lo anterior teniendo en cuenta que uno de los requisitos para poder acreditar la vinculación de personas en condición de discapacidad, es que el integrante que aporte dicho requisitos debe aportar por lo menos el 40% de la experiencia</w:t>
      </w:r>
      <w:r>
        <w:rPr>
          <w:rFonts w:ascii="Arial" w:hAnsi="Arial" w:eastAsia="Calibri" w:cs="Arial"/>
          <w:sz w:val="21"/>
          <w:szCs w:val="21"/>
        </w:rPr>
        <w:t>”.</w:t>
      </w:r>
      <w:r w:rsidRPr="001F769E">
        <w:rPr>
          <w:rFonts w:ascii="Arial" w:hAnsi="Arial" w:eastAsia="Calibri" w:cs="Arial"/>
          <w:sz w:val="21"/>
          <w:szCs w:val="21"/>
        </w:rPr>
        <w:t xml:space="preserve"> </w:t>
      </w:r>
      <w:r>
        <w:rPr>
          <w:rFonts w:ascii="Arial" w:hAnsi="Arial" w:eastAsia="Calibri" w:cs="Arial"/>
          <w:sz w:val="21"/>
          <w:szCs w:val="21"/>
        </w:rPr>
        <w:t>[</w:t>
      </w:r>
      <w:r w:rsidRPr="001F769E">
        <w:rPr>
          <w:rFonts w:ascii="Arial" w:hAnsi="Arial" w:eastAsia="Calibri" w:cs="Arial"/>
          <w:sz w:val="21"/>
          <w:szCs w:val="21"/>
        </w:rPr>
        <w:t>sic</w:t>
      </w:r>
      <w:r>
        <w:rPr>
          <w:rFonts w:ascii="Arial" w:hAnsi="Arial" w:eastAsia="Calibri" w:cs="Arial"/>
          <w:sz w:val="21"/>
          <w:szCs w:val="21"/>
        </w:rPr>
        <w:t>]</w:t>
      </w:r>
    </w:p>
    <w:p w:rsidR="000659F8" w:rsidP="000659F8" w:rsidRDefault="000659F8" w14:paraId="6F73DB75" w14:textId="77777777">
      <w:pPr>
        <w:spacing w:line="276" w:lineRule="auto"/>
        <w:jc w:val="both"/>
        <w:rPr>
          <w:rFonts w:ascii="Arial" w:hAnsi="Arial" w:cs="Arial"/>
          <w:color w:val="000000"/>
          <w:lang w:eastAsia="es-MX"/>
        </w:rPr>
      </w:pPr>
      <w:r>
        <w:rPr>
          <w:rFonts w:ascii="Arial" w:hAnsi="Arial" w:cs="Arial"/>
          <w:color w:val="000000"/>
          <w:lang w:eastAsia="es-MX"/>
        </w:rPr>
        <w:t>E</w:t>
      </w:r>
      <w:r w:rsidRPr="00447DD1">
        <w:rPr>
          <w:rFonts w:ascii="Arial" w:hAnsi="Arial" w:cs="Arial"/>
          <w:color w:val="000000"/>
          <w:lang w:eastAsia="es-MX"/>
        </w:rPr>
        <w:t xml:space="preserve">l parágrafo del artículo </w:t>
      </w:r>
      <w:r w:rsidRPr="00447DD1">
        <w:rPr>
          <w:rFonts w:ascii="Arial" w:hAnsi="Arial" w:eastAsia="Calibri" w:cs="Arial"/>
          <w:color w:val="000000"/>
          <w:lang w:val="es-ES" w:eastAsia="es-MX"/>
        </w:rPr>
        <w:t>2.2.1.2.4.2.6</w:t>
      </w:r>
      <w:r w:rsidRPr="00447DD1">
        <w:rPr>
          <w:rFonts w:ascii="Arial" w:hAnsi="Arial" w:cs="Arial"/>
          <w:color w:val="000000"/>
          <w:lang w:eastAsia="es-MX"/>
        </w:rPr>
        <w:t xml:space="preserve"> del Decreto 1082 de 2015 dispone que </w:t>
      </w:r>
      <w:r>
        <w:rPr>
          <w:rFonts w:ascii="Arial" w:hAnsi="Arial" w:cs="Arial"/>
          <w:color w:val="000000"/>
          <w:lang w:eastAsia="es-MX"/>
        </w:rPr>
        <w:t>“</w:t>
      </w:r>
      <w:r w:rsidRPr="00447DD1">
        <w:rPr>
          <w:rFonts w:ascii="Arial" w:hAnsi="Arial" w:cs="Arial"/>
          <w:color w:val="000000"/>
          <w:lang w:eastAsia="es-CO"/>
        </w:rPr>
        <w:t>[…]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Pr>
          <w:rFonts w:ascii="Arial" w:hAnsi="Arial" w:cs="Arial"/>
          <w:color w:val="000000"/>
          <w:lang w:eastAsia="es-CO"/>
        </w:rPr>
        <w:t>”</w:t>
      </w:r>
      <w:r w:rsidRPr="00447DD1">
        <w:rPr>
          <w:rFonts w:ascii="Arial" w:hAnsi="Arial" w:cs="Arial"/>
          <w:color w:val="000000"/>
          <w:lang w:eastAsia="es-CO"/>
        </w:rPr>
        <w:t>.</w:t>
      </w:r>
      <w:r w:rsidRPr="00447DD1">
        <w:rPr>
          <w:rFonts w:ascii="Arial" w:hAnsi="Arial" w:cs="Arial"/>
          <w:color w:val="000000"/>
          <w:lang w:eastAsia="es-MX"/>
        </w:rPr>
        <w:t xml:space="preserve"> Esto significa que el cumplimiento de los requisitos establecidos en el Decreto 392 de 2019 lo acredita el integrante de la estructura plural que aporte más </w:t>
      </w:r>
      <w:proofErr w:type="spellStart"/>
      <w:r w:rsidRPr="00447DD1">
        <w:rPr>
          <w:rFonts w:ascii="Arial" w:hAnsi="Arial" w:cs="Arial"/>
          <w:color w:val="000000"/>
          <w:lang w:eastAsia="es-MX"/>
        </w:rPr>
        <w:t>del</w:t>
      </w:r>
      <w:proofErr w:type="spellEnd"/>
      <w:r w:rsidRPr="00447DD1">
        <w:rPr>
          <w:rFonts w:ascii="Arial" w:hAnsi="Arial" w:cs="Arial"/>
          <w:color w:val="000000"/>
          <w:lang w:eastAsia="es-MX"/>
        </w:rPr>
        <w:t xml:space="preserve">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w:t>
      </w:r>
    </w:p>
    <w:p w:rsidRPr="003C558A" w:rsidR="000659F8" w:rsidP="000659F8" w:rsidRDefault="000659F8" w14:paraId="4AB70C18" w14:textId="77777777">
      <w:pPr>
        <w:spacing w:after="240" w:line="276" w:lineRule="auto"/>
        <w:ind w:firstLine="708"/>
        <w:jc w:val="both"/>
        <w:rPr>
          <w:rFonts w:ascii="Arial" w:hAnsi="Arial" w:cs="Arial"/>
          <w:color w:val="000000"/>
          <w:lang w:val="es-ES_tradnl" w:eastAsia="es-MX"/>
        </w:rPr>
      </w:pPr>
      <w:r>
        <w:rPr>
          <w:rFonts w:ascii="Arial" w:hAnsi="Arial" w:cs="Arial"/>
          <w:color w:val="000000"/>
          <w:lang w:eastAsia="es-MX"/>
        </w:rPr>
        <w:t>Ahora bien</w:t>
      </w:r>
      <w:r w:rsidRPr="003C558A">
        <w:rPr>
          <w:rFonts w:ascii="Arial" w:hAnsi="Arial" w:cs="Arial"/>
          <w:color w:val="000000"/>
          <w:lang w:val="es-ES_tradnl" w:eastAsia="es-MX"/>
        </w:rPr>
        <w:t>,</w:t>
      </w:r>
      <w:r>
        <w:rPr>
          <w:rFonts w:ascii="Arial" w:hAnsi="Arial" w:cs="Arial"/>
          <w:color w:val="000000"/>
          <w:lang w:val="es-ES_tradnl" w:eastAsia="es-MX"/>
        </w:rPr>
        <w:t xml:space="preserve"> respecto de su pregunta,</w:t>
      </w:r>
      <w:r w:rsidRPr="003C558A">
        <w:rPr>
          <w:rFonts w:ascii="Arial" w:hAnsi="Arial" w:cs="Arial"/>
          <w:color w:val="000000"/>
          <w:lang w:val="es-ES_tradnl" w:eastAsia="es-MX"/>
        </w:rPr>
        <w:t xml:space="preserve"> </w:t>
      </w:r>
      <w:r>
        <w:rPr>
          <w:rFonts w:ascii="Arial" w:hAnsi="Arial" w:cs="Arial"/>
          <w:color w:val="000000"/>
          <w:lang w:val="es-ES_tradnl" w:eastAsia="es-MX"/>
        </w:rPr>
        <w:t>de acuerdo con la Ley 1150 de 2007,</w:t>
      </w:r>
      <w:r w:rsidRPr="003C558A">
        <w:rPr>
          <w:rFonts w:ascii="Arial" w:hAnsi="Arial" w:cs="Arial"/>
          <w:color w:val="000000"/>
          <w:lang w:val="es-ES_tradnl" w:eastAsia="es-MX"/>
        </w:rPr>
        <w:t xml:space="preserve"> no es posible subsanar aspectos que afecten la asignación de puntaje, pero este análisis debe realizarse respecto de los requisitos para acceder al </w:t>
      </w:r>
      <w:r w:rsidRPr="003C558A">
        <w:rPr>
          <w:rFonts w:ascii="Arial" w:hAnsi="Arial" w:cs="Arial"/>
          <w:color w:val="000000"/>
          <w:lang w:eastAsia="es-CO"/>
        </w:rPr>
        <w:t>puntaje por la vinculación de trabajadores con discapacidad en su planta de personal, en donde los numerales 1 y 2</w:t>
      </w:r>
      <w:r w:rsidRPr="003C558A">
        <w:rPr>
          <w:rFonts w:ascii="Arial" w:hAnsi="Arial" w:eastAsia="Calibri" w:cs="Arial"/>
          <w:color w:val="000000"/>
          <w:lang w:val="es-ES" w:eastAsia="es-MX"/>
        </w:rPr>
        <w:t xml:space="preserve"> del artículo 2.2.1.2.4.2.6 del Decreto 1082 de 2015</w:t>
      </w:r>
      <w:r w:rsidRPr="003C558A">
        <w:rPr>
          <w:rFonts w:ascii="Arial" w:hAnsi="Arial" w:cs="Arial"/>
          <w:color w:val="000000"/>
          <w:lang w:eastAsia="es-CO"/>
        </w:rPr>
        <w:t xml:space="preserve"> establecen los documentos que deben aportar los proponentes singulares o plurales, y para el caso del proponente plural, quien debe aportarlos es el miembro que aporte </w:t>
      </w:r>
      <w:r w:rsidRPr="003C558A">
        <w:rPr>
          <w:rFonts w:ascii="Arial" w:hAnsi="Arial" w:cs="Arial"/>
          <w:color w:val="000000"/>
          <w:lang w:eastAsia="es-MX"/>
        </w:rPr>
        <w:t xml:space="preserve">como </w:t>
      </w:r>
      <w:r w:rsidRPr="003C558A">
        <w:rPr>
          <w:rFonts w:ascii="Arial" w:hAnsi="Arial" w:cs="Arial"/>
          <w:color w:val="000000"/>
          <w:lang w:eastAsia="es-CO"/>
        </w:rPr>
        <w:t>mínimo el cuarenta por ciento (40%) de la experiencia requerida para la respectiva contratación.</w:t>
      </w:r>
    </w:p>
    <w:p w:rsidR="000659F8" w:rsidP="000659F8" w:rsidRDefault="000659F8" w14:paraId="6B57C078" w14:textId="77777777">
      <w:pPr>
        <w:spacing w:after="240" w:line="276" w:lineRule="auto"/>
        <w:ind w:firstLine="708"/>
        <w:jc w:val="both"/>
        <w:rPr>
          <w:rFonts w:ascii="Arial" w:hAnsi="Arial" w:eastAsia="Calibri" w:cs="Arial"/>
          <w:color w:val="000000"/>
          <w:lang w:val="es-ES" w:eastAsia="es-MX"/>
        </w:rPr>
      </w:pPr>
      <w:r w:rsidRPr="003C558A">
        <w:rPr>
          <w:rFonts w:ascii="Arial" w:hAnsi="Arial" w:cs="Arial"/>
          <w:color w:val="000000"/>
          <w:lang w:val="es-ES_tradnl" w:eastAsia="es-MX"/>
        </w:rPr>
        <w:lastRenderedPageBreak/>
        <w:t xml:space="preserve">Por tanto, no es posible subsanar los requisitos señalados en </w:t>
      </w:r>
      <w:r w:rsidRPr="003C558A">
        <w:rPr>
          <w:rFonts w:ascii="Arial" w:hAnsi="Arial" w:cs="Arial"/>
          <w:color w:val="000000"/>
          <w:lang w:eastAsia="es-CO"/>
        </w:rPr>
        <w:t>los numerales 1 y 2</w:t>
      </w:r>
      <w:r w:rsidRPr="003C558A">
        <w:rPr>
          <w:rFonts w:ascii="Arial" w:hAnsi="Arial" w:eastAsia="Calibri" w:cs="Arial"/>
          <w:color w:val="000000"/>
          <w:lang w:val="es-ES" w:eastAsia="es-MX"/>
        </w:rPr>
        <w:t xml:space="preserve"> del artículo 2.2.1.2.4.2.6 del Decreto 1082 de 2015 </w:t>
      </w:r>
      <w:r>
        <w:rPr>
          <w:rFonts w:ascii="Arial" w:hAnsi="Arial" w:eastAsia="Calibri" w:cs="Arial"/>
          <w:color w:val="000000"/>
          <w:lang w:val="es-ES" w:eastAsia="es-MX"/>
        </w:rPr>
        <w:t xml:space="preserve">teniendo en cuenta que se trata de criterios ponderables con asignación de puntaje; sin embargo, </w:t>
      </w:r>
      <w:r w:rsidRPr="003C558A">
        <w:rPr>
          <w:rFonts w:ascii="Arial" w:hAnsi="Arial" w:eastAsia="Calibri" w:cs="Arial"/>
          <w:color w:val="000000"/>
          <w:lang w:val="es-ES" w:eastAsia="es-MX"/>
        </w:rPr>
        <w:t>es posible que el proponente subsane</w:t>
      </w:r>
      <w:r>
        <w:rPr>
          <w:rFonts w:ascii="Arial" w:hAnsi="Arial" w:eastAsia="Calibri" w:cs="Arial"/>
          <w:color w:val="000000"/>
          <w:lang w:val="es-ES" w:eastAsia="es-MX"/>
        </w:rPr>
        <w:t xml:space="preserve"> criterios relacionados con la experiencia cuando se trate de </w:t>
      </w:r>
      <w:r>
        <w:t xml:space="preserve">requisitos habilitantes para la participación en el </w:t>
      </w:r>
      <w:r w:rsidRPr="00346422">
        <w:rPr>
          <w:rFonts w:ascii="Arial" w:hAnsi="Arial" w:eastAsia="Calibri" w:cs="Arial"/>
          <w:color w:val="000000"/>
          <w:lang w:val="es-ES" w:eastAsia="es-MX"/>
        </w:rPr>
        <w:t xml:space="preserve">proceso de selección y no otorguen puntaje. </w:t>
      </w:r>
      <w:r w:rsidRPr="003C558A">
        <w:rPr>
          <w:rFonts w:ascii="Arial" w:hAnsi="Arial" w:eastAsia="Calibri" w:cs="Arial"/>
          <w:color w:val="000000"/>
          <w:lang w:val="es-ES" w:eastAsia="es-MX"/>
        </w:rPr>
        <w:t>requisito</w:t>
      </w:r>
      <w:r>
        <w:rPr>
          <w:rFonts w:ascii="Arial" w:hAnsi="Arial" w:eastAsia="Calibri" w:cs="Arial"/>
          <w:color w:val="000000"/>
          <w:lang w:val="es-ES" w:eastAsia="es-MX"/>
        </w:rPr>
        <w:t>s</w:t>
      </w:r>
      <w:r w:rsidRPr="003C558A">
        <w:rPr>
          <w:rFonts w:ascii="Arial" w:hAnsi="Arial" w:eastAsia="Calibri" w:cs="Arial"/>
          <w:color w:val="000000"/>
          <w:lang w:val="es-ES" w:eastAsia="es-MX"/>
        </w:rPr>
        <w:t xml:space="preserve"> habilitante</w:t>
      </w:r>
      <w:r>
        <w:rPr>
          <w:rFonts w:ascii="Arial" w:hAnsi="Arial" w:eastAsia="Calibri" w:cs="Arial"/>
          <w:color w:val="000000"/>
          <w:lang w:val="es-ES" w:eastAsia="es-MX"/>
        </w:rPr>
        <w:t>s. Asimismo, d</w:t>
      </w:r>
      <w:r w:rsidRPr="00346422">
        <w:rPr>
          <w:rFonts w:ascii="Arial" w:hAnsi="Arial" w:eastAsia="Calibri" w:cs="Arial"/>
          <w:color w:val="000000"/>
          <w:lang w:val="es-ES" w:eastAsia="es-MX"/>
        </w:rPr>
        <w:t>urante el término otorgado para subsanar las ofertas, los proponentes no podrán acreditar circunstancias ocurridas con posterioridad al cierre del proceso</w:t>
      </w:r>
      <w:r>
        <w:rPr>
          <w:rFonts w:ascii="Arial" w:hAnsi="Arial" w:eastAsia="Calibri" w:cs="Arial"/>
          <w:color w:val="000000"/>
          <w:lang w:val="es-ES" w:eastAsia="es-MX"/>
        </w:rPr>
        <w:t xml:space="preserve">. </w:t>
      </w:r>
    </w:p>
    <w:p w:rsidRPr="00697150" w:rsidR="000659F8" w:rsidP="000659F8" w:rsidRDefault="000659F8" w14:paraId="207FADF0" w14:textId="77777777">
      <w:pPr>
        <w:pStyle w:val="NormalWeb"/>
        <w:spacing w:before="0" w:beforeAutospacing="0" w:after="0" w:afterAutospacing="0" w:line="276" w:lineRule="auto"/>
        <w:jc w:val="both"/>
        <w:rPr>
          <w:rFonts w:ascii="Arial" w:hAnsi="Arial" w:eastAsia="Calibri" w:cs="Arial"/>
          <w:sz w:val="22"/>
          <w:szCs w:val="22"/>
          <w:lang w:val="es-ES_tradnl" w:eastAsia="en-US"/>
        </w:rPr>
      </w:pPr>
    </w:p>
    <w:p w:rsidR="000659F8" w:rsidP="000659F8" w:rsidRDefault="000659F8" w14:paraId="5D408ADB" w14:textId="77777777">
      <w:pPr>
        <w:pStyle w:val="NormalWeb"/>
        <w:spacing w:before="0" w:beforeAutospacing="0" w:after="0" w:afterAutospacing="0" w:line="276" w:lineRule="auto"/>
        <w:jc w:val="both"/>
        <w:rPr>
          <w:rFonts w:ascii="Arial" w:hAnsi="Arial" w:eastAsia="Calibri" w:cs="Arial"/>
          <w:sz w:val="22"/>
          <w:szCs w:val="22"/>
          <w:lang w:val="es-ES_tradnl" w:eastAsia="en-US"/>
        </w:rPr>
      </w:pPr>
      <w:r w:rsidRPr="00376DD9">
        <w:rPr>
          <w:rFonts w:ascii="Arial" w:hAnsi="Arial" w:eastAsia="Calibri" w:cs="Arial"/>
          <w:sz w:val="22"/>
          <w:szCs w:val="22"/>
          <w:lang w:val="es-ES_tradnl" w:eastAsia="en-US"/>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Pr="005264A0" w:rsidR="000659F8" w:rsidP="000659F8" w:rsidRDefault="000659F8" w14:paraId="101BD605" w14:textId="77777777">
      <w:pPr>
        <w:pStyle w:val="NormalWeb"/>
        <w:spacing w:before="0" w:beforeAutospacing="0" w:after="0" w:afterAutospacing="0" w:line="276" w:lineRule="auto"/>
        <w:jc w:val="both"/>
        <w:rPr>
          <w:rFonts w:ascii="Arial" w:hAnsi="Arial" w:cs="Arial"/>
          <w:sz w:val="22"/>
          <w:szCs w:val="22"/>
          <w:lang w:val="es-ES_tradnl"/>
        </w:rPr>
      </w:pPr>
    </w:p>
    <w:p w:rsidRPr="005264A0" w:rsidR="000659F8" w:rsidP="000659F8" w:rsidRDefault="000659F8" w14:paraId="16EE24DB" w14:textId="77777777">
      <w:pPr>
        <w:pStyle w:val="NormalWeb"/>
        <w:spacing w:before="0" w:beforeAutospacing="0" w:after="0" w:afterAutospacing="0" w:line="276" w:lineRule="auto"/>
        <w:jc w:val="both"/>
        <w:rPr>
          <w:rFonts w:ascii="Arial" w:hAnsi="Arial" w:cs="Arial"/>
          <w:sz w:val="22"/>
          <w:szCs w:val="22"/>
          <w:lang w:val="es-ES_tradnl"/>
        </w:rPr>
      </w:pPr>
      <w:r w:rsidRPr="005264A0">
        <w:rPr>
          <w:rFonts w:ascii="Arial" w:hAnsi="Arial" w:cs="Arial"/>
          <w:sz w:val="22"/>
          <w:szCs w:val="22"/>
          <w:lang w:val="es-ES_tradnl"/>
        </w:rPr>
        <w:t>Atentamente,</w:t>
      </w:r>
    </w:p>
    <w:p w:rsidRPr="005264A0" w:rsidR="000659F8" w:rsidP="000659F8" w:rsidRDefault="000659F8" w14:paraId="4908B163" w14:textId="77777777">
      <w:pPr>
        <w:jc w:val="center"/>
        <w:rPr>
          <w:rFonts w:ascii="Arial" w:hAnsi="Arial" w:cs="Arial"/>
          <w:lang w:eastAsia="es-CO"/>
        </w:rPr>
      </w:pPr>
    </w:p>
    <w:p w:rsidRPr="005264A0" w:rsidR="000659F8" w:rsidP="000659F8" w:rsidRDefault="00823BB2" w14:paraId="6D89F5E8" w14:textId="0E1C6F9B">
      <w:pPr>
        <w:jc w:val="center"/>
      </w:pPr>
      <w:r>
        <w:rPr>
          <w:rStyle w:val="wacimagecontainer"/>
          <w:rFonts w:ascii="Segoe UI" w:hAnsi="Segoe UI" w:cs="Segoe UI"/>
          <w:noProof/>
          <w:color w:val="000000"/>
          <w:sz w:val="18"/>
          <w:szCs w:val="18"/>
          <w:shd w:val="clear" w:color="auto" w:fill="FFFFFF"/>
        </w:rPr>
        <w:drawing>
          <wp:inline distT="0" distB="0" distL="0" distR="0" wp14:anchorId="51B3AD92" wp14:editId="2ADD7D4B">
            <wp:extent cx="3155950" cy="1212850"/>
            <wp:effectExtent l="0" t="0" r="6350" b="6350"/>
            <wp:docPr id="26314852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48528" name="Imagen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r>
        <w:rPr>
          <w:rFonts w:ascii="Calibri" w:hAnsi="Calibri" w:cs="Calibri"/>
          <w:color w:val="000000"/>
          <w:shd w:val="clear" w:color="auto" w:fill="FFFFFF"/>
        </w:rPr>
        <w:br/>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291"/>
      </w:tblGrid>
      <w:tr w:rsidRPr="005264A0" w:rsidR="000659F8" w:rsidTr="006C25E2" w14:paraId="5E3202B6" w14:textId="77777777">
        <w:trPr>
          <w:trHeight w:val="315"/>
        </w:trPr>
        <w:tc>
          <w:tcPr>
            <w:tcW w:w="812" w:type="dxa"/>
            <w:vAlign w:val="center"/>
            <w:hideMark/>
          </w:tcPr>
          <w:p w:rsidRPr="005264A0" w:rsidR="000659F8" w:rsidP="006C25E2" w:rsidRDefault="000659F8" w14:paraId="60ABC867" w14:textId="77777777">
            <w:pPr>
              <w:rPr>
                <w:rFonts w:ascii="Arial" w:hAnsi="Arial" w:cs="Arial"/>
                <w:sz w:val="16"/>
                <w:szCs w:val="16"/>
                <w:lang w:eastAsia="es-ES"/>
              </w:rPr>
            </w:pPr>
            <w:r w:rsidRPr="005264A0">
              <w:rPr>
                <w:rFonts w:ascii="Arial" w:hAnsi="Arial" w:cs="Arial"/>
                <w:sz w:val="16"/>
                <w:szCs w:val="16"/>
                <w:lang w:eastAsia="es-ES"/>
              </w:rPr>
              <w:t>Elaboró:</w:t>
            </w:r>
          </w:p>
        </w:tc>
        <w:tc>
          <w:tcPr>
            <w:tcW w:w="4291" w:type="dxa"/>
            <w:tcBorders>
              <w:top w:val="nil"/>
              <w:left w:val="nil"/>
              <w:bottom w:val="dotted" w:color="7F7F7F" w:themeColor="text1" w:themeTint="80" w:sz="4" w:space="0"/>
              <w:right w:val="nil"/>
            </w:tcBorders>
            <w:vAlign w:val="center"/>
            <w:hideMark/>
          </w:tcPr>
          <w:p w:rsidRPr="005264A0" w:rsidR="000659F8" w:rsidP="006C25E2" w:rsidRDefault="000659F8" w14:paraId="393412D3" w14:textId="77777777">
            <w:pPr>
              <w:rPr>
                <w:rFonts w:ascii="Arial" w:hAnsi="Arial" w:cs="Arial"/>
                <w:sz w:val="16"/>
                <w:szCs w:val="16"/>
                <w:lang w:eastAsia="es-ES"/>
              </w:rPr>
            </w:pPr>
            <w:r>
              <w:rPr>
                <w:rFonts w:ascii="Arial" w:hAnsi="Arial" w:cs="Arial"/>
                <w:sz w:val="16"/>
                <w:szCs w:val="16"/>
                <w:lang w:eastAsia="es-ES"/>
              </w:rPr>
              <w:t>Sergio Enrique Caballero Lesmes</w:t>
            </w:r>
          </w:p>
          <w:p w:rsidRPr="005264A0" w:rsidR="000659F8" w:rsidP="006C25E2" w:rsidRDefault="000659F8" w14:paraId="1DC308B6" w14:textId="77777777">
            <w:pPr>
              <w:ind w:right="-110"/>
              <w:rPr>
                <w:rFonts w:ascii="Arial" w:hAnsi="Arial" w:cs="Arial"/>
                <w:sz w:val="16"/>
                <w:szCs w:val="16"/>
                <w:lang w:eastAsia="es-ES"/>
              </w:rPr>
            </w:pPr>
            <w:r>
              <w:rPr>
                <w:rFonts w:ascii="Arial" w:hAnsi="Arial" w:cs="Arial"/>
                <w:sz w:val="16"/>
                <w:szCs w:val="16"/>
                <w:lang w:eastAsia="es-ES"/>
              </w:rPr>
              <w:t>Analista T2 - 01</w:t>
            </w:r>
            <w:r w:rsidRPr="005264A0">
              <w:rPr>
                <w:rFonts w:ascii="Arial" w:hAnsi="Arial" w:cs="Arial"/>
                <w:sz w:val="16"/>
                <w:szCs w:val="16"/>
                <w:lang w:eastAsia="es-ES"/>
              </w:rPr>
              <w:t xml:space="preserve"> de la Subdirección de Gestión Contractual</w:t>
            </w:r>
          </w:p>
        </w:tc>
      </w:tr>
      <w:tr w:rsidRPr="005264A0" w:rsidR="000659F8" w:rsidTr="006C25E2" w14:paraId="49857CE3" w14:textId="77777777">
        <w:trPr>
          <w:trHeight w:val="330"/>
        </w:trPr>
        <w:tc>
          <w:tcPr>
            <w:tcW w:w="812" w:type="dxa"/>
            <w:vAlign w:val="center"/>
            <w:hideMark/>
          </w:tcPr>
          <w:p w:rsidRPr="005264A0" w:rsidR="000659F8" w:rsidP="006C25E2" w:rsidRDefault="000659F8" w14:paraId="3F9EDCBB" w14:textId="77777777">
            <w:pPr>
              <w:rPr>
                <w:rFonts w:ascii="Arial" w:hAnsi="Arial" w:cs="Arial"/>
                <w:sz w:val="16"/>
                <w:szCs w:val="16"/>
                <w:lang w:eastAsia="es-ES"/>
              </w:rPr>
            </w:pPr>
            <w:r w:rsidRPr="005264A0">
              <w:rPr>
                <w:rFonts w:ascii="Arial" w:hAnsi="Arial" w:cs="Arial"/>
                <w:sz w:val="16"/>
                <w:szCs w:val="16"/>
                <w:lang w:eastAsia="es-ES"/>
              </w:rPr>
              <w:t>Revisó:</w:t>
            </w:r>
          </w:p>
        </w:tc>
        <w:tc>
          <w:tcPr>
            <w:tcW w:w="4291" w:type="dxa"/>
            <w:tcBorders>
              <w:top w:val="dotted" w:color="7F7F7F" w:themeColor="text1" w:themeTint="80" w:sz="4" w:space="0"/>
              <w:left w:val="nil"/>
              <w:bottom w:val="dotted" w:color="7F7F7F" w:themeColor="text1" w:themeTint="80" w:sz="4" w:space="0"/>
              <w:right w:val="nil"/>
            </w:tcBorders>
            <w:vAlign w:val="center"/>
            <w:hideMark/>
          </w:tcPr>
          <w:p w:rsidRPr="005264A0" w:rsidR="000659F8" w:rsidP="006C25E2" w:rsidRDefault="000659F8" w14:paraId="4C86B8E4" w14:textId="77777777">
            <w:pPr>
              <w:rPr>
                <w:rFonts w:ascii="Arial" w:hAnsi="Arial" w:cs="Arial"/>
                <w:sz w:val="16"/>
                <w:szCs w:val="16"/>
                <w:lang w:eastAsia="es-ES"/>
              </w:rPr>
            </w:pPr>
            <w:r>
              <w:rPr>
                <w:rFonts w:ascii="Arial" w:hAnsi="Arial" w:cs="Arial"/>
                <w:sz w:val="16"/>
                <w:szCs w:val="16"/>
                <w:lang w:eastAsia="es-ES"/>
              </w:rPr>
              <w:t>Martha Alicia Romero Vargas</w:t>
            </w:r>
          </w:p>
          <w:p w:rsidRPr="005264A0" w:rsidR="000659F8" w:rsidP="006C25E2" w:rsidRDefault="000659F8" w14:paraId="676FDD31" w14:textId="77777777">
            <w:pPr>
              <w:jc w:val="both"/>
              <w:rPr>
                <w:rFonts w:ascii="Arial" w:hAnsi="Arial" w:cs="Arial"/>
                <w:sz w:val="16"/>
                <w:szCs w:val="16"/>
                <w:lang w:eastAsia="es-ES"/>
              </w:rPr>
            </w:pPr>
            <w:r>
              <w:rPr>
                <w:rFonts w:ascii="Arial" w:hAnsi="Arial" w:cs="Arial"/>
                <w:sz w:val="16"/>
                <w:szCs w:val="16"/>
                <w:lang w:eastAsia="es-ES"/>
              </w:rPr>
              <w:t xml:space="preserve">Gestora T1 - 15 </w:t>
            </w:r>
            <w:r w:rsidRPr="005264A0">
              <w:rPr>
                <w:rFonts w:ascii="Arial" w:hAnsi="Arial" w:cs="Arial"/>
                <w:sz w:val="16"/>
                <w:szCs w:val="16"/>
                <w:lang w:eastAsia="es-ES"/>
              </w:rPr>
              <w:t>de la Subdirección de Gestión Contractual</w:t>
            </w:r>
          </w:p>
        </w:tc>
      </w:tr>
      <w:tr w:rsidRPr="005264A0" w:rsidR="000659F8" w:rsidTr="006C25E2" w14:paraId="27FEA7A9" w14:textId="77777777">
        <w:trPr>
          <w:trHeight w:val="300"/>
        </w:trPr>
        <w:tc>
          <w:tcPr>
            <w:tcW w:w="812" w:type="dxa"/>
            <w:vAlign w:val="center"/>
            <w:hideMark/>
          </w:tcPr>
          <w:p w:rsidRPr="005264A0" w:rsidR="000659F8" w:rsidP="006C25E2" w:rsidRDefault="000659F8" w14:paraId="2114F35F" w14:textId="77777777">
            <w:pPr>
              <w:rPr>
                <w:rFonts w:ascii="Arial" w:hAnsi="Arial" w:cs="Arial"/>
                <w:sz w:val="16"/>
                <w:szCs w:val="16"/>
                <w:lang w:eastAsia="es-ES"/>
              </w:rPr>
            </w:pPr>
            <w:r w:rsidRPr="005264A0">
              <w:rPr>
                <w:rFonts w:ascii="Arial" w:hAnsi="Arial" w:cs="Arial"/>
                <w:sz w:val="16"/>
                <w:szCs w:val="16"/>
                <w:lang w:eastAsia="es-ES"/>
              </w:rPr>
              <w:t>Aprobó:</w:t>
            </w:r>
          </w:p>
        </w:tc>
        <w:tc>
          <w:tcPr>
            <w:tcW w:w="4291" w:type="dxa"/>
            <w:tcBorders>
              <w:top w:val="dotted" w:color="7F7F7F" w:themeColor="text1" w:themeTint="80" w:sz="4" w:space="0"/>
              <w:left w:val="nil"/>
              <w:bottom w:val="dotted" w:color="7F7F7F" w:themeColor="text1" w:themeTint="80" w:sz="4" w:space="0"/>
              <w:right w:val="nil"/>
            </w:tcBorders>
            <w:vAlign w:val="center"/>
            <w:hideMark/>
          </w:tcPr>
          <w:p w:rsidRPr="00A50458" w:rsidR="000659F8" w:rsidP="006C25E2" w:rsidRDefault="000659F8" w14:paraId="3BC9545C" w14:textId="77777777">
            <w:pPr>
              <w:rPr>
                <w:rFonts w:ascii="Arial" w:hAnsi="Arial" w:cs="Arial"/>
                <w:sz w:val="16"/>
                <w:szCs w:val="16"/>
                <w:lang w:eastAsia="es-ES"/>
              </w:rPr>
            </w:pPr>
            <w:r w:rsidRPr="00A50458">
              <w:rPr>
                <w:rFonts w:ascii="Arial" w:hAnsi="Arial" w:cs="Arial"/>
                <w:sz w:val="16"/>
                <w:szCs w:val="16"/>
                <w:lang w:eastAsia="es-ES"/>
              </w:rPr>
              <w:t>Nohelia del Carmen Zawady Palacio</w:t>
            </w:r>
          </w:p>
          <w:p w:rsidRPr="005264A0" w:rsidR="000659F8" w:rsidP="006C25E2" w:rsidRDefault="000659F8" w14:paraId="35B626E3" w14:textId="77777777">
            <w:pPr>
              <w:rPr>
                <w:rFonts w:ascii="Arial" w:hAnsi="Arial" w:cs="Arial"/>
                <w:sz w:val="16"/>
                <w:szCs w:val="16"/>
                <w:lang w:eastAsia="es-ES"/>
              </w:rPr>
            </w:pPr>
            <w:r w:rsidRPr="00A50458">
              <w:rPr>
                <w:rFonts w:ascii="Arial" w:hAnsi="Arial" w:cs="Arial"/>
                <w:sz w:val="16"/>
                <w:szCs w:val="16"/>
                <w:lang w:eastAsia="es-ES"/>
              </w:rPr>
              <w:t>Subdirectora de Gestión Contractual ANCP - CCE</w:t>
            </w:r>
          </w:p>
        </w:tc>
      </w:tr>
      <w:bookmarkEnd w:id="0"/>
      <w:bookmarkEnd w:id="1"/>
      <w:bookmarkEnd w:id="2"/>
    </w:tbl>
    <w:p w:rsidRPr="005264A0" w:rsidR="000659F8" w:rsidP="000659F8" w:rsidRDefault="000659F8" w14:paraId="6F72C606" w14:textId="77777777">
      <w:pPr>
        <w:jc w:val="both"/>
        <w:rPr>
          <w:rFonts w:ascii="Arial" w:hAnsi="Arial" w:cs="Arial"/>
          <w:lang w:val="es-ES_tradnl"/>
        </w:rPr>
      </w:pPr>
    </w:p>
    <w:p w:rsidRPr="000659F8" w:rsidR="000659F8" w:rsidRDefault="000659F8" w14:paraId="47E6BC8F" w14:textId="77777777">
      <w:pPr>
        <w:rPr>
          <w:lang w:val="es-ES_tradnl"/>
        </w:rPr>
      </w:pPr>
    </w:p>
    <w:sectPr w:rsidRPr="000659F8" w:rsidR="000659F8" w:rsidSect="0039439C">
      <w:headerReference w:type="default" r:id="rId10"/>
      <w:footerReference w:type="default" r:id="rId11"/>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96818" w:rsidP="000659F8" w:rsidRDefault="00396818" w14:paraId="57F27210" w14:textId="77777777">
      <w:pPr>
        <w:spacing w:after="0" w:line="240" w:lineRule="auto"/>
      </w:pPr>
      <w:r>
        <w:separator/>
      </w:r>
    </w:p>
  </w:endnote>
  <w:endnote w:type="continuationSeparator" w:id="0">
    <w:p w:rsidR="00396818" w:rsidP="000659F8" w:rsidRDefault="00396818" w14:paraId="50B9AD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00000" w:rsidP="008614E5" w:rsidRDefault="00000000" w14:paraId="4E999199" w14:textId="77777777">
    <w:pPr>
      <w:pStyle w:val="Piedepgina"/>
    </w:pPr>
    <w:r>
      <w:rPr>
        <w:noProof/>
      </w:rPr>
      <w:drawing>
        <wp:inline distT="0" distB="0" distL="0" distR="0" wp14:anchorId="1CACDAFE" wp14:editId="2E5A10CD">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2CC63477"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000000" w:rsidP="00A07532" w:rsidRDefault="00000000" w14:paraId="7473722C" w14:textId="7777777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000000" w:rsidP="00A07532" w:rsidRDefault="00000000" w14:paraId="0BEFE8CA" w14:textId="7777777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000000" w:rsidP="00A07532" w:rsidRDefault="00000000" w14:paraId="0DC248F4" w14:textId="7777777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000000" w:rsidP="00A07532" w:rsidRDefault="00000000" w14:paraId="71757BA0" w14:textId="77777777">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000000" w:rsidP="00A07532" w:rsidRDefault="00000000" w14:paraId="431491CD"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000000" w:rsidP="00A07532" w:rsidRDefault="00000000" w14:paraId="072A35E0" w14:textId="77777777">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000000" w:rsidP="00A07532" w:rsidRDefault="00000000" w14:paraId="79618207" w14:textId="7777777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000000" w:rsidP="00A07532" w:rsidRDefault="00000000" w14:paraId="4AD77EB0"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96818" w:rsidP="000659F8" w:rsidRDefault="00396818" w14:paraId="1CA5CBF9" w14:textId="77777777">
      <w:pPr>
        <w:spacing w:after="0" w:line="240" w:lineRule="auto"/>
      </w:pPr>
      <w:r>
        <w:separator/>
      </w:r>
    </w:p>
  </w:footnote>
  <w:footnote w:type="continuationSeparator" w:id="0">
    <w:p w:rsidR="00396818" w:rsidP="000659F8" w:rsidRDefault="00396818" w14:paraId="42D63CA0" w14:textId="77777777">
      <w:pPr>
        <w:spacing w:after="0" w:line="240" w:lineRule="auto"/>
      </w:pPr>
      <w:r>
        <w:continuationSeparator/>
      </w:r>
    </w:p>
  </w:footnote>
  <w:footnote w:id="1">
    <w:p w:rsidRPr="000B0A23" w:rsidR="000659F8" w:rsidP="000659F8" w:rsidRDefault="000659F8" w14:paraId="2461135F"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del referido artículo establece que le corresponde a esta entidad: “[a]</w:t>
      </w:r>
      <w:proofErr w:type="spellStart"/>
      <w:r w:rsidRPr="000B0A23">
        <w:rPr>
          <w:rFonts w:ascii="Arial" w:hAnsi="Arial" w:cs="Arial"/>
          <w:sz w:val="10"/>
          <w:szCs w:val="10"/>
        </w:rPr>
        <w:t>bsolver</w:t>
      </w:r>
      <w:proofErr w:type="spellEnd"/>
      <w:r w:rsidRPr="000B0A23">
        <w:rPr>
          <w:rFonts w:ascii="Arial" w:hAnsi="Arial" w:cs="Arial"/>
          <w:sz w:val="10"/>
          <w:szCs w:val="10"/>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0B0A23">
        <w:rPr>
          <w:rFonts w:ascii="Arial" w:hAnsi="Arial" w:cs="Arial"/>
          <w:sz w:val="10"/>
          <w:szCs w:val="10"/>
        </w:rPr>
        <w:t>bsolver</w:t>
      </w:r>
      <w:proofErr w:type="spellEnd"/>
      <w:r w:rsidRPr="000B0A23">
        <w:rPr>
          <w:rFonts w:ascii="Arial" w:hAnsi="Arial" w:cs="Arial"/>
          <w:sz w:val="10"/>
          <w:szCs w:val="10"/>
        </w:rPr>
        <w:t xml:space="preserve"> consultas sobre la aplicación de normas de carácter general”.</w:t>
      </w:r>
    </w:p>
    <w:p w:rsidRPr="000B0A23" w:rsidR="000659F8" w:rsidP="000659F8" w:rsidRDefault="000659F8" w14:paraId="3B30F70F" w14:textId="77777777">
      <w:pPr>
        <w:pStyle w:val="Textonotapie"/>
        <w:ind w:firstLine="708"/>
        <w:jc w:val="both"/>
        <w:rPr>
          <w:rFonts w:ascii="Arial" w:hAnsi="Arial" w:cs="Arial"/>
          <w:sz w:val="10"/>
          <w:szCs w:val="10"/>
          <w:lang w:val="es-CO"/>
        </w:rPr>
      </w:pPr>
    </w:p>
  </w:footnote>
  <w:footnote w:id="2">
    <w:p w:rsidRPr="000B0A23" w:rsidR="000659F8" w:rsidP="000659F8" w:rsidRDefault="000659F8" w14:paraId="6082C23B"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rsidRPr="000B0A23" w:rsidR="000659F8" w:rsidP="000659F8" w:rsidRDefault="000659F8" w14:paraId="13622BBA" w14:textId="77777777">
      <w:pPr>
        <w:pStyle w:val="Textonotapie"/>
        <w:ind w:firstLine="708"/>
        <w:jc w:val="both"/>
        <w:rPr>
          <w:rFonts w:ascii="Arial" w:hAnsi="Arial" w:cs="Arial"/>
          <w:sz w:val="10"/>
          <w:szCs w:val="10"/>
        </w:rPr>
      </w:pPr>
      <w:r w:rsidRPr="000B0A23">
        <w:rPr>
          <w:rFonts w:ascii="Arial" w:hAnsi="Arial" w:cs="Arial"/>
          <w:sz w:val="10"/>
          <w:szCs w:val="1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0B0A23" w:rsidR="000659F8" w:rsidP="000659F8" w:rsidRDefault="000659F8" w14:paraId="38342D54" w14:textId="77777777">
      <w:pPr>
        <w:pStyle w:val="Textonotapie"/>
        <w:ind w:firstLine="708"/>
        <w:jc w:val="both"/>
        <w:rPr>
          <w:rFonts w:ascii="Arial" w:hAnsi="Arial" w:cs="Arial"/>
          <w:sz w:val="10"/>
          <w:szCs w:val="10"/>
          <w:lang w:val="es-CO"/>
        </w:rPr>
      </w:pPr>
    </w:p>
  </w:footnote>
  <w:footnote w:id="3">
    <w:p w:rsidRPr="000B0A23" w:rsidR="000659F8" w:rsidP="000659F8" w:rsidRDefault="000659F8" w14:paraId="44BBB02E"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 </w:t>
      </w:r>
    </w:p>
    <w:p w:rsidRPr="000B0A23" w:rsidR="000659F8" w:rsidP="000659F8" w:rsidRDefault="000659F8" w14:paraId="6F62A52E" w14:textId="77777777">
      <w:pPr>
        <w:pStyle w:val="Textonotapie"/>
        <w:jc w:val="both"/>
        <w:rPr>
          <w:rFonts w:ascii="Arial" w:hAnsi="Arial" w:cs="Arial"/>
          <w:sz w:val="10"/>
          <w:szCs w:val="10"/>
        </w:rPr>
      </w:pPr>
    </w:p>
  </w:footnote>
  <w:footnote w:id="4">
    <w:p w:rsidRPr="000B0A23" w:rsidR="000659F8" w:rsidP="000659F8" w:rsidRDefault="000659F8" w14:paraId="3667D910"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rsidRPr="000B0A23" w:rsidR="000659F8" w:rsidP="000659F8" w:rsidRDefault="000659F8" w14:paraId="48FEFE53" w14:textId="77777777">
      <w:pPr>
        <w:pStyle w:val="Textonotapie"/>
        <w:ind w:firstLine="708"/>
        <w:jc w:val="both"/>
        <w:rPr>
          <w:rFonts w:ascii="Arial" w:hAnsi="Arial" w:cs="Arial"/>
          <w:sz w:val="10"/>
          <w:szCs w:val="10"/>
          <w:lang w:val="es-CO"/>
        </w:rPr>
      </w:pPr>
    </w:p>
  </w:footnote>
  <w:footnote w:id="5">
    <w:p w:rsidRPr="000B0A23" w:rsidR="000659F8" w:rsidP="000659F8" w:rsidRDefault="000659F8" w14:paraId="796F82E0"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0B0A23" w:rsidR="000659F8" w:rsidP="000659F8" w:rsidRDefault="000659F8" w14:paraId="45FCCB94" w14:textId="77777777">
      <w:pPr>
        <w:pStyle w:val="Textonotapie"/>
        <w:ind w:firstLine="708"/>
        <w:jc w:val="both"/>
        <w:rPr>
          <w:rFonts w:ascii="Arial" w:hAnsi="Arial" w:cs="Arial"/>
          <w:sz w:val="10"/>
          <w:szCs w:val="10"/>
          <w:lang w:val="es-CO"/>
        </w:rPr>
      </w:pPr>
    </w:p>
  </w:footnote>
  <w:footnote w:id="6">
    <w:p w:rsidRPr="000B0A23" w:rsidR="000659F8" w:rsidP="000659F8" w:rsidRDefault="000659F8" w14:paraId="0E1ABE84"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rsidRPr="000B0A23" w:rsidR="000659F8" w:rsidP="000659F8" w:rsidRDefault="000659F8" w14:paraId="330B87F3" w14:textId="77777777">
      <w:pPr>
        <w:pStyle w:val="Textonotapie"/>
        <w:ind w:firstLine="708"/>
        <w:jc w:val="both"/>
        <w:rPr>
          <w:rFonts w:ascii="Arial" w:hAnsi="Arial" w:cs="Arial"/>
          <w:sz w:val="10"/>
          <w:szCs w:val="10"/>
        </w:rPr>
      </w:pPr>
      <w:r w:rsidRPr="000B0A23">
        <w:rPr>
          <w:rFonts w:ascii="Arial" w:hAnsi="Arial" w:cs="Arial"/>
          <w:sz w:val="10"/>
          <w:szCs w:val="10"/>
        </w:rPr>
        <w:t xml:space="preserve">1. Si es una persona natural: </w:t>
      </w:r>
    </w:p>
    <w:p w:rsidRPr="000B0A23" w:rsidR="000659F8" w:rsidP="000659F8" w:rsidRDefault="000659F8" w14:paraId="5C6B3F61" w14:textId="77777777">
      <w:pPr>
        <w:pStyle w:val="Textonotapie"/>
        <w:ind w:firstLine="708"/>
        <w:jc w:val="both"/>
        <w:rPr>
          <w:rFonts w:ascii="Arial" w:hAnsi="Arial" w:cs="Arial"/>
          <w:sz w:val="10"/>
          <w:szCs w:val="10"/>
        </w:rPr>
      </w:pPr>
      <w:r w:rsidRPr="000B0A23">
        <w:rPr>
          <w:rFonts w:ascii="Arial" w:hAnsi="Arial" w:cs="Arial"/>
          <w:sz w:val="10"/>
          <w:szCs w:val="10"/>
        </w:rPr>
        <w:t xml:space="preserve">1.1. Bienes, obras y servicios que ofrecerá a las Entidades Estatales, identificados con el Clasificador de Bienes y Servicios en el tercer nivel. </w:t>
      </w:r>
    </w:p>
    <w:p w:rsidRPr="000B0A23" w:rsidR="000659F8" w:rsidP="000659F8" w:rsidRDefault="000659F8" w14:paraId="196B5EBB" w14:textId="77777777">
      <w:pPr>
        <w:pStyle w:val="Textonotapie"/>
        <w:ind w:firstLine="708"/>
        <w:jc w:val="both"/>
        <w:rPr>
          <w:rFonts w:ascii="Arial" w:hAnsi="Arial" w:cs="Arial"/>
          <w:sz w:val="10"/>
          <w:szCs w:val="10"/>
        </w:rPr>
      </w:pPr>
      <w:r w:rsidRPr="000B0A23">
        <w:rPr>
          <w:rFonts w:ascii="Arial" w:hAnsi="Arial" w:cs="Arial"/>
          <w:sz w:val="10"/>
          <w:szCs w:val="10"/>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Pr="000B0A23" w:rsidR="000659F8" w:rsidP="000659F8" w:rsidRDefault="000659F8" w14:paraId="471DF464" w14:textId="77777777">
      <w:pPr>
        <w:pStyle w:val="Textonotapie"/>
        <w:jc w:val="both"/>
        <w:rPr>
          <w:rFonts w:ascii="Arial" w:hAnsi="Arial" w:cs="Arial"/>
          <w:sz w:val="10"/>
          <w:szCs w:val="10"/>
        </w:rPr>
      </w:pPr>
    </w:p>
  </w:footnote>
  <w:footnote w:id="7">
    <w:p w:rsidRPr="000B0A23" w:rsidR="000659F8" w:rsidP="000659F8" w:rsidRDefault="000659F8" w14:paraId="63356C9A"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El “Manual para determinar y verificar requisitos habilitantes en los procesos de contratación”, expedido por esta Agencia puede ser consultado en el siguiente enlace: </w:t>
      </w:r>
      <w:hyperlink w:history="1" r:id="rId1">
        <w:r w:rsidRPr="000B0A23">
          <w:rPr>
            <w:rStyle w:val="Hipervnculo"/>
            <w:rFonts w:ascii="Arial" w:hAnsi="Arial" w:cs="Arial"/>
            <w:sz w:val="10"/>
            <w:szCs w:val="10"/>
          </w:rPr>
          <w:t>https://colombiacompra.gov.co/sites/cce_public/files/cce_documents/cce_manual_requisitos_habilitantes.pdf</w:t>
        </w:r>
      </w:hyperlink>
      <w:r w:rsidRPr="000B0A23">
        <w:rPr>
          <w:rFonts w:ascii="Arial" w:hAnsi="Arial" w:cs="Arial"/>
          <w:sz w:val="10"/>
          <w:szCs w:val="10"/>
        </w:rPr>
        <w:t xml:space="preserve">  </w:t>
      </w:r>
    </w:p>
    <w:p w:rsidRPr="000B0A23" w:rsidR="000659F8" w:rsidP="000659F8" w:rsidRDefault="000659F8" w14:paraId="13944CB4" w14:textId="77777777">
      <w:pPr>
        <w:pStyle w:val="Textonotapie"/>
        <w:ind w:firstLine="708"/>
        <w:jc w:val="both"/>
        <w:rPr>
          <w:rFonts w:ascii="Arial" w:hAnsi="Arial" w:cs="Arial"/>
          <w:sz w:val="10"/>
          <w:szCs w:val="10"/>
          <w:lang w:val="es-CO"/>
        </w:rPr>
      </w:pPr>
    </w:p>
  </w:footnote>
  <w:footnote w:id="8">
    <w:p w:rsidRPr="000B0A23" w:rsidR="000659F8" w:rsidP="000659F8" w:rsidRDefault="000659F8" w14:paraId="3B4F596D"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Agencia Nacional de Contratación Pública -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 </w:t>
      </w:r>
    </w:p>
    <w:p w:rsidRPr="000B0A23" w:rsidR="000659F8" w:rsidP="000659F8" w:rsidRDefault="000659F8" w14:paraId="6E2681BD" w14:textId="77777777">
      <w:pPr>
        <w:pStyle w:val="Textonotapie"/>
        <w:ind w:firstLine="708"/>
        <w:jc w:val="both"/>
        <w:rPr>
          <w:rFonts w:ascii="Arial" w:hAnsi="Arial" w:cs="Arial"/>
          <w:sz w:val="10"/>
          <w:szCs w:val="10"/>
        </w:rPr>
      </w:pPr>
      <w:r w:rsidRPr="000B0A23">
        <w:rPr>
          <w:rFonts w:ascii="Arial" w:hAnsi="Arial" w:cs="Arial"/>
          <w:sz w:val="10"/>
          <w:szCs w:val="10"/>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 </w:t>
      </w:r>
    </w:p>
    <w:p w:rsidRPr="000B0A23" w:rsidR="000659F8" w:rsidP="000659F8" w:rsidRDefault="000659F8" w14:paraId="564C1304" w14:textId="77777777">
      <w:pPr>
        <w:pStyle w:val="Textonotapie"/>
        <w:ind w:firstLine="708"/>
        <w:jc w:val="both"/>
        <w:rPr>
          <w:rFonts w:ascii="Arial" w:hAnsi="Arial" w:cs="Arial"/>
          <w:sz w:val="10"/>
          <w:szCs w:val="10"/>
        </w:rPr>
      </w:pPr>
      <w:r w:rsidRPr="000B0A23">
        <w:rPr>
          <w:rFonts w:ascii="Arial" w:hAnsi="Arial" w:cs="Arial"/>
          <w:sz w:val="10"/>
          <w:szCs w:val="10"/>
        </w:rPr>
        <w:t xml:space="preserve">[...] </w:t>
      </w:r>
    </w:p>
    <w:p w:rsidRPr="000B0A23" w:rsidR="000659F8" w:rsidP="000659F8" w:rsidRDefault="000659F8" w14:paraId="3F8254E6" w14:textId="77777777">
      <w:pPr>
        <w:pStyle w:val="Textonotapie"/>
        <w:ind w:firstLine="708"/>
        <w:jc w:val="both"/>
        <w:rPr>
          <w:rFonts w:ascii="Arial" w:hAnsi="Arial" w:cs="Arial"/>
          <w:sz w:val="10"/>
          <w:szCs w:val="10"/>
        </w:rPr>
      </w:pPr>
      <w:r w:rsidRPr="000B0A23">
        <w:rPr>
          <w:rFonts w:ascii="Arial" w:hAnsi="Arial" w:cs="Arial"/>
          <w:sz w:val="10"/>
          <w:szCs w:val="10"/>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rsidRPr="000B0A23" w:rsidR="000659F8" w:rsidP="000659F8" w:rsidRDefault="000659F8" w14:paraId="05FFCA3C" w14:textId="77777777">
      <w:pPr>
        <w:pStyle w:val="Textonotapie"/>
        <w:ind w:firstLine="708"/>
        <w:jc w:val="both"/>
        <w:rPr>
          <w:rFonts w:ascii="Arial" w:hAnsi="Arial" w:cs="Arial"/>
          <w:sz w:val="10"/>
          <w:szCs w:val="10"/>
        </w:rPr>
      </w:pPr>
      <w:r w:rsidRPr="000B0A23">
        <w:rPr>
          <w:rFonts w:ascii="Arial" w:hAnsi="Arial" w:cs="Arial"/>
          <w:sz w:val="10"/>
          <w:szCs w:val="10"/>
        </w:rPr>
        <w:t xml:space="preserve">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 </w:t>
      </w:r>
    </w:p>
    <w:p w:rsidRPr="000B0A23" w:rsidR="000659F8" w:rsidP="000659F8" w:rsidRDefault="000659F8" w14:paraId="40FE08A2" w14:textId="77777777">
      <w:pPr>
        <w:pStyle w:val="Textonotapie"/>
        <w:ind w:firstLine="708"/>
        <w:jc w:val="both"/>
        <w:rPr>
          <w:rFonts w:ascii="Arial" w:hAnsi="Arial" w:cs="Arial"/>
          <w:sz w:val="10"/>
          <w:szCs w:val="10"/>
        </w:rPr>
      </w:pPr>
      <w:r w:rsidRPr="000B0A23">
        <w:rPr>
          <w:rFonts w:ascii="Arial" w:hAnsi="Arial" w:cs="Arial"/>
          <w:sz w:val="10"/>
          <w:szCs w:val="10"/>
        </w:rPr>
        <w:t>[...]”.</w:t>
      </w:r>
    </w:p>
    <w:p w:rsidRPr="000B0A23" w:rsidR="000659F8" w:rsidP="000659F8" w:rsidRDefault="000659F8" w14:paraId="6C9E0877" w14:textId="77777777">
      <w:pPr>
        <w:pStyle w:val="Textonotapie"/>
        <w:jc w:val="both"/>
        <w:rPr>
          <w:rFonts w:ascii="Arial" w:hAnsi="Arial" w:cs="Arial"/>
          <w:sz w:val="10"/>
          <w:szCs w:val="10"/>
          <w:lang w:val="es-CO"/>
        </w:rPr>
      </w:pPr>
    </w:p>
  </w:footnote>
  <w:footnote w:id="9">
    <w:p w:rsidRPr="000B0A23" w:rsidR="000659F8" w:rsidP="000659F8" w:rsidRDefault="000659F8" w14:paraId="05B7A05D"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Esta conclusión cambió respecto del concepto C – 002 del 20 de febrero de 2020, para adecuarla a un mejor entendimiento de las normas sobre la experiencia.</w:t>
      </w:r>
    </w:p>
    <w:p w:rsidRPr="000B0A23" w:rsidR="000659F8" w:rsidP="000659F8" w:rsidRDefault="000659F8" w14:paraId="708FCF3F" w14:textId="77777777">
      <w:pPr>
        <w:pStyle w:val="Textonotapie"/>
        <w:ind w:firstLine="708"/>
        <w:jc w:val="both"/>
        <w:rPr>
          <w:rFonts w:ascii="Arial" w:hAnsi="Arial" w:cs="Arial"/>
          <w:sz w:val="10"/>
          <w:szCs w:val="10"/>
          <w:lang w:val="es-CO"/>
        </w:rPr>
      </w:pPr>
    </w:p>
  </w:footnote>
  <w:footnote w:id="10">
    <w:p w:rsidRPr="000B0A23" w:rsidR="000659F8" w:rsidP="000659F8" w:rsidRDefault="000659F8" w14:paraId="580E9E52"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Artículo 6 de la Ley 1150 de 2007: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rsidRPr="000B0A23" w:rsidR="000659F8" w:rsidP="000659F8" w:rsidRDefault="000659F8" w14:paraId="43DC8223" w14:textId="77777777">
      <w:pPr>
        <w:pStyle w:val="Textonotapie"/>
        <w:ind w:firstLine="708"/>
        <w:jc w:val="both"/>
        <w:rPr>
          <w:rFonts w:ascii="Arial" w:hAnsi="Arial" w:cs="Arial"/>
          <w:sz w:val="10"/>
          <w:szCs w:val="10"/>
          <w:lang w:val="es-CO"/>
        </w:rPr>
      </w:pPr>
    </w:p>
  </w:footnote>
  <w:footnote w:id="11">
    <w:p w:rsidRPr="000B0A23" w:rsidR="000659F8" w:rsidP="000659F8" w:rsidRDefault="000659F8" w14:paraId="7D794417" w14:textId="77777777">
      <w:pPr>
        <w:pStyle w:val="Textonotapie"/>
        <w:ind w:firstLine="708"/>
        <w:jc w:val="both"/>
        <w:rPr>
          <w:rFonts w:ascii="Arial" w:hAnsi="Arial" w:cs="Arial"/>
          <w:sz w:val="10"/>
          <w:szCs w:val="10"/>
          <w:lang w:val="es-CO"/>
        </w:rPr>
      </w:pPr>
      <w:r w:rsidRPr="000B0A23">
        <w:rPr>
          <w:rStyle w:val="Refdenotaalpie"/>
          <w:rFonts w:ascii="Arial" w:hAnsi="Arial" w:cs="Arial"/>
          <w:sz w:val="10"/>
          <w:szCs w:val="10"/>
        </w:rPr>
        <w:footnoteRef/>
      </w:r>
      <w:r w:rsidRPr="000B0A23">
        <w:rPr>
          <w:rFonts w:ascii="Arial" w:hAnsi="Arial" w:cs="Arial"/>
          <w:sz w:val="10"/>
          <w:szCs w:val="10"/>
        </w:rPr>
        <w:t xml:space="preserve"> Corte Constitucional. Sentencia C - 259 del 11 de marzo 2008. M.P. Jaime Córdoba Triviño.</w:t>
      </w:r>
    </w:p>
  </w:footnote>
  <w:footnote w:id="12">
    <w:p w:rsidRPr="000B0A23" w:rsidR="000659F8" w:rsidP="000659F8" w:rsidRDefault="000659F8" w14:paraId="30361C38"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rsidRPr="000B0A23" w:rsidR="000659F8" w:rsidP="000659F8" w:rsidRDefault="000659F8" w14:paraId="26E55F8B" w14:textId="77777777">
      <w:pPr>
        <w:pStyle w:val="Textonotapie"/>
        <w:ind w:firstLine="708"/>
        <w:jc w:val="both"/>
        <w:rPr>
          <w:rFonts w:ascii="Arial" w:hAnsi="Arial" w:cs="Arial"/>
          <w:sz w:val="10"/>
          <w:szCs w:val="10"/>
        </w:rPr>
      </w:pPr>
      <w:r w:rsidRPr="000B0A23">
        <w:rPr>
          <w:rFonts w:ascii="Arial" w:hAnsi="Arial" w:cs="Arial"/>
          <w:sz w:val="10"/>
          <w:szCs w:val="10"/>
        </w:rPr>
        <w:t xml:space="preserve">[…] </w:t>
      </w:r>
    </w:p>
    <w:p w:rsidRPr="000B0A23" w:rsidR="000659F8" w:rsidP="000659F8" w:rsidRDefault="000659F8" w14:paraId="488F311C" w14:textId="77777777">
      <w:pPr>
        <w:pStyle w:val="Textonotapie"/>
        <w:ind w:firstLine="708"/>
        <w:jc w:val="both"/>
        <w:rPr>
          <w:rFonts w:ascii="Arial" w:hAnsi="Arial" w:cs="Arial"/>
          <w:sz w:val="10"/>
          <w:szCs w:val="10"/>
        </w:rPr>
      </w:pPr>
      <w:r w:rsidRPr="000B0A23">
        <w:rPr>
          <w:rFonts w:ascii="Arial" w:hAnsi="Arial" w:cs="Arial"/>
          <w:sz w:val="10"/>
          <w:szCs w:val="10"/>
        </w:rPr>
        <w:t>“2.1. Bienes, obras y servicios que ofrecerá a las Entidades Estatales, identificados con el Clasificador de Bienes y Servicios en el tercer nivel”.</w:t>
      </w:r>
    </w:p>
    <w:p w:rsidRPr="000B0A23" w:rsidR="000659F8" w:rsidP="000659F8" w:rsidRDefault="000659F8" w14:paraId="385BE24E" w14:textId="77777777">
      <w:pPr>
        <w:pStyle w:val="Textonotapie"/>
        <w:ind w:firstLine="708"/>
        <w:jc w:val="both"/>
        <w:rPr>
          <w:rFonts w:ascii="Arial" w:hAnsi="Arial" w:cs="Arial"/>
          <w:sz w:val="10"/>
          <w:szCs w:val="10"/>
          <w:lang w:val="es-CO"/>
        </w:rPr>
      </w:pPr>
    </w:p>
  </w:footnote>
  <w:footnote w:id="13">
    <w:p w:rsidRPr="000B0A23" w:rsidR="000659F8" w:rsidP="000659F8" w:rsidRDefault="000659F8" w14:paraId="380589BA"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0B0A23" w:rsidR="000659F8" w:rsidP="000659F8" w:rsidRDefault="000659F8" w14:paraId="478171AC" w14:textId="77777777">
      <w:pPr>
        <w:pStyle w:val="Textonotapie"/>
        <w:ind w:firstLine="708"/>
        <w:jc w:val="both"/>
        <w:rPr>
          <w:rFonts w:ascii="Arial" w:hAnsi="Arial" w:cs="Arial"/>
          <w:sz w:val="10"/>
          <w:szCs w:val="10"/>
        </w:rPr>
      </w:pPr>
      <w:r w:rsidRPr="000B0A23">
        <w:rPr>
          <w:rFonts w:ascii="Arial" w:hAnsi="Arial" w:cs="Arial"/>
          <w:sz w:val="10"/>
          <w:szCs w:val="10"/>
        </w:rPr>
        <w:t xml:space="preserve">[…] </w:t>
      </w:r>
    </w:p>
    <w:p w:rsidRPr="000B0A23" w:rsidR="000659F8" w:rsidP="000659F8" w:rsidRDefault="000659F8" w14:paraId="4BF2A9CD" w14:textId="77777777">
      <w:pPr>
        <w:pStyle w:val="Textonotapie"/>
        <w:ind w:firstLine="708"/>
        <w:jc w:val="both"/>
        <w:rPr>
          <w:rFonts w:ascii="Arial" w:hAnsi="Arial" w:cs="Arial"/>
          <w:sz w:val="10"/>
          <w:szCs w:val="10"/>
          <w:lang w:val="es-CO"/>
        </w:rPr>
      </w:pPr>
      <w:r w:rsidRPr="000B0A23">
        <w:rPr>
          <w:rFonts w:ascii="Arial" w:hAnsi="Arial" w:cs="Arial"/>
          <w:sz w:val="10"/>
          <w:szCs w:val="10"/>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 w:id="14">
    <w:p w:rsidRPr="000B0A23" w:rsidR="000659F8" w:rsidP="000659F8" w:rsidRDefault="000659F8" w14:paraId="376900E7" w14:textId="77777777">
      <w:pPr>
        <w:pStyle w:val="Textonotapie"/>
        <w:ind w:firstLine="708"/>
        <w:jc w:val="both"/>
        <w:rPr>
          <w:rFonts w:ascii="Arial" w:hAnsi="Arial" w:cs="Arial"/>
          <w:sz w:val="10"/>
          <w:szCs w:val="10"/>
        </w:rPr>
      </w:pPr>
      <w:r w:rsidRPr="000B0A23">
        <w:rPr>
          <w:rStyle w:val="Refdenotaalpie"/>
          <w:rFonts w:ascii="Arial" w:hAnsi="Arial" w:cs="Arial"/>
          <w:sz w:val="10"/>
          <w:szCs w:val="10"/>
        </w:rPr>
        <w:footnoteRef/>
      </w:r>
      <w:r w:rsidRPr="000B0A23">
        <w:rPr>
          <w:rFonts w:ascii="Arial" w:hAnsi="Arial" w:cs="Arial"/>
          <w:sz w:val="10"/>
          <w:szCs w:val="10"/>
        </w:rPr>
        <w:t xml:space="preserve"> Colombia Compra Eficiente. Concepto del 7 de febrero de 2018, Rad. 2201813000000954.</w:t>
      </w:r>
    </w:p>
    <w:p w:rsidRPr="000B0A23" w:rsidR="000659F8" w:rsidP="000659F8" w:rsidRDefault="000659F8" w14:paraId="5254792E" w14:textId="77777777">
      <w:pPr>
        <w:pStyle w:val="Textonotapie"/>
        <w:ind w:firstLine="708"/>
        <w:jc w:val="both"/>
        <w:rPr>
          <w:rFonts w:ascii="Arial" w:hAnsi="Arial" w:cs="Arial"/>
          <w:sz w:val="10"/>
          <w:szCs w:val="10"/>
          <w:lang w:val="es-CO"/>
        </w:rPr>
      </w:pPr>
    </w:p>
  </w:footnote>
  <w:footnote w:id="15">
    <w:p w:rsidRPr="000B0A23" w:rsidR="000659F8" w:rsidP="000659F8" w:rsidRDefault="000659F8" w14:paraId="0DB9BCB2" w14:textId="77777777">
      <w:pPr>
        <w:pStyle w:val="Textonotapie"/>
        <w:ind w:firstLine="708"/>
        <w:jc w:val="both"/>
        <w:rPr>
          <w:rFonts w:ascii="Arial" w:hAnsi="Arial" w:cs="Arial"/>
          <w:sz w:val="10"/>
          <w:szCs w:val="10"/>
          <w:lang w:val="es-CO"/>
        </w:rPr>
      </w:pPr>
      <w:r w:rsidRPr="000B0A23">
        <w:rPr>
          <w:rStyle w:val="Refdenotaalpie"/>
          <w:rFonts w:ascii="Arial" w:hAnsi="Arial" w:cs="Arial"/>
          <w:sz w:val="10"/>
          <w:szCs w:val="10"/>
        </w:rPr>
        <w:footnoteRef/>
      </w:r>
      <w:r w:rsidRPr="000B0A23">
        <w:rPr>
          <w:rFonts w:ascii="Arial" w:hAnsi="Arial" w:cs="Arial"/>
          <w:sz w:val="10"/>
          <w:szCs w:val="10"/>
        </w:rPr>
        <w:t xml:space="preserve"> En el marco del Estado de emergencia económica, social y ecológica declarado por el Gobierno Nacional a través del Decreto 417 de 2020, a causa de la pandemia mundial desatada por el virus del </w:t>
      </w:r>
      <w:proofErr w:type="spellStart"/>
      <w:r w:rsidRPr="000B0A23">
        <w:rPr>
          <w:rFonts w:ascii="Arial" w:hAnsi="Arial" w:cs="Arial"/>
          <w:sz w:val="10"/>
          <w:szCs w:val="10"/>
        </w:rPr>
        <w:t>Covid</w:t>
      </w:r>
      <w:proofErr w:type="spellEnd"/>
      <w:r w:rsidRPr="000B0A23">
        <w:rPr>
          <w:rFonts w:ascii="Arial" w:hAnsi="Arial" w:cs="Arial"/>
          <w:sz w:val="10"/>
          <w:szCs w:val="10"/>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16">
    <w:p w:rsidRPr="000B0A23" w:rsidR="000659F8" w:rsidP="000659F8" w:rsidRDefault="000659F8" w14:paraId="2988AA1E" w14:textId="77777777">
      <w:pPr>
        <w:pStyle w:val="Textonotapie"/>
        <w:ind w:firstLine="708"/>
        <w:jc w:val="both"/>
        <w:rPr>
          <w:rFonts w:ascii="Arial" w:hAnsi="Arial" w:cs="Arial"/>
          <w:color w:val="000000"/>
          <w:sz w:val="10"/>
          <w:szCs w:val="10"/>
        </w:rPr>
      </w:pPr>
      <w:r w:rsidRPr="000B0A23">
        <w:rPr>
          <w:rStyle w:val="Refdenotaalpie"/>
          <w:rFonts w:ascii="Arial" w:hAnsi="Arial" w:cs="Arial"/>
          <w:sz w:val="10"/>
          <w:szCs w:val="10"/>
        </w:rPr>
        <w:footnoteRef/>
      </w:r>
      <w:r w:rsidRPr="000B0A23">
        <w:rPr>
          <w:rFonts w:ascii="Arial" w:hAnsi="Arial" w:cs="Arial"/>
          <w:color w:val="000000"/>
          <w:sz w:val="10"/>
          <w:szCs w:val="10"/>
        </w:rPr>
        <w:t xml:space="preserve"> Ley 1618 de 2013: </w:t>
      </w:r>
      <w:r>
        <w:rPr>
          <w:rFonts w:ascii="Arial" w:hAnsi="Arial" w:cs="Arial"/>
          <w:color w:val="000000"/>
          <w:sz w:val="10"/>
          <w:szCs w:val="10"/>
        </w:rPr>
        <w:t>“</w:t>
      </w:r>
      <w:r w:rsidRPr="000B0A23">
        <w:rPr>
          <w:rFonts w:ascii="Arial" w:hAnsi="Arial" w:cs="Arial"/>
          <w:color w:val="000000"/>
          <w:sz w:val="10"/>
          <w:szCs w:val="10"/>
        </w:rPr>
        <w:t>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r>
        <w:rPr>
          <w:rFonts w:ascii="Arial" w:hAnsi="Arial" w:cs="Arial"/>
          <w:color w:val="000000"/>
          <w:sz w:val="10"/>
          <w:szCs w:val="10"/>
        </w:rPr>
        <w:t>”</w:t>
      </w:r>
      <w:r w:rsidRPr="000B0A23">
        <w:rPr>
          <w:rFonts w:ascii="Arial" w:hAnsi="Arial" w:cs="Arial"/>
          <w:color w:val="000000"/>
          <w:sz w:val="10"/>
          <w:szCs w:val="10"/>
        </w:rPr>
        <w:t>.</w:t>
      </w:r>
    </w:p>
  </w:footnote>
  <w:footnote w:id="17">
    <w:p w:rsidRPr="000B0A23" w:rsidR="000659F8" w:rsidP="000659F8" w:rsidRDefault="000659F8" w14:paraId="7AF3163D" w14:textId="77777777">
      <w:pPr>
        <w:pStyle w:val="Textonotapie"/>
        <w:ind w:firstLine="708"/>
        <w:jc w:val="both"/>
        <w:rPr>
          <w:rFonts w:ascii="Arial" w:hAnsi="Arial" w:cs="Arial"/>
          <w:color w:val="000000"/>
          <w:sz w:val="10"/>
          <w:szCs w:val="10"/>
        </w:rPr>
      </w:pPr>
      <w:r w:rsidRPr="000B0A23">
        <w:rPr>
          <w:rStyle w:val="Refdenotaalpie"/>
          <w:rFonts w:ascii="Arial" w:hAnsi="Arial" w:cs="Arial"/>
          <w:sz w:val="10"/>
          <w:szCs w:val="10"/>
        </w:rPr>
        <w:footnoteRef/>
      </w:r>
      <w:r w:rsidRPr="000B0A23">
        <w:rPr>
          <w:rFonts w:ascii="Arial" w:hAnsi="Arial" w:cs="Arial"/>
          <w:color w:val="000000"/>
          <w:sz w:val="10"/>
          <w:szCs w:val="10"/>
        </w:rPr>
        <w:t xml:space="preserve"> Conforme al parágrafo 2 del artículo 13 de la Ley 43 de 1990, </w:t>
      </w:r>
      <w:r>
        <w:rPr>
          <w:rFonts w:ascii="Arial" w:hAnsi="Arial" w:cs="Arial"/>
          <w:color w:val="000000"/>
          <w:sz w:val="10"/>
          <w:szCs w:val="10"/>
        </w:rPr>
        <w:t>“</w:t>
      </w:r>
      <w:r w:rsidRPr="000B0A23">
        <w:rPr>
          <w:rFonts w:ascii="Arial" w:hAnsi="Arial" w:cs="Arial"/>
          <w:color w:val="000000"/>
          <w:sz w:val="10"/>
          <w:szCs w:val="10"/>
        </w:rPr>
        <w:t>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w:t>
      </w:r>
      <w:r>
        <w:rPr>
          <w:rFonts w:ascii="Arial" w:hAnsi="Arial" w:cs="Arial"/>
          <w:color w:val="000000"/>
          <w:sz w:val="10"/>
          <w:szCs w:val="10"/>
        </w:rPr>
        <w:t>”</w:t>
      </w:r>
      <w:r w:rsidRPr="000B0A23">
        <w:rPr>
          <w:rFonts w:ascii="Arial" w:hAnsi="Arial" w:cs="Arial"/>
          <w:color w:val="000000"/>
          <w:sz w:val="10"/>
          <w:szCs w:val="10"/>
        </w:rPr>
        <w:t xml:space="preserve">. </w:t>
      </w:r>
    </w:p>
    <w:p w:rsidRPr="000B0A23" w:rsidR="000659F8" w:rsidP="000659F8" w:rsidRDefault="000659F8" w14:paraId="5AA91E17" w14:textId="77777777">
      <w:pPr>
        <w:pStyle w:val="Textonotapie"/>
        <w:ind w:firstLine="708"/>
        <w:jc w:val="both"/>
        <w:rPr>
          <w:rFonts w:ascii="Arial" w:hAnsi="Arial" w:cs="Arial"/>
          <w:color w:val="000000"/>
          <w:sz w:val="10"/>
          <w:szCs w:val="10"/>
        </w:rPr>
      </w:pPr>
      <w:r w:rsidRPr="000B0A23">
        <w:rPr>
          <w:rFonts w:ascii="Arial" w:hAnsi="Arial" w:cs="Arial"/>
          <w:color w:val="000000"/>
          <w:sz w:val="10"/>
          <w:szCs w:val="10"/>
        </w:rPr>
        <w:t xml:space="preserve">La revisoría fiscal también es obligatoria en los casos previstos en el artículo 203 del Código de Comercio –sociedades por acciones; sucursales de compañías extrajeras; sociedades que voluntariamente lo dispongan, siempre que la decisión sea tomada por socios que representen como mínimo el 20 % del capital y no hagan parte de la administración de la entidad–, así como los demás dispuestos en la ley.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3E3DAF" w:rsidR="00000000" w:rsidP="008614E5" w:rsidRDefault="00000000" w14:paraId="24F442FB" w14:textId="77777777">
    <w:pPr>
      <w:spacing w:after="0"/>
      <w:rPr>
        <w:rFonts w:ascii="Geomanist Light" w:hAnsi="Geomanist Light"/>
        <w:color w:val="002060"/>
        <w:sz w:val="16"/>
        <w:szCs w:val="16"/>
        <w:lang w:val="pt-BR"/>
      </w:rPr>
    </w:pPr>
    <w:r w:rsidRPr="007566FE">
      <w:rPr>
        <w:rFonts w:ascii="Geomanist Light" w:hAnsi="Geomanist Light" w:eastAsia="Arial Nova" w:cs="Arial Nova"/>
        <w:noProof/>
        <w:sz w:val="16"/>
        <w:szCs w:val="16"/>
        <w:lang w:eastAsia="es-CO"/>
      </w:rPr>
      <w:drawing>
        <wp:anchor distT="0" distB="0" distL="0" distR="0" simplePos="0" relativeHeight="251659264" behindDoc="1" locked="0" layoutInCell="1" hidden="0" allowOverlap="1" wp14:anchorId="2A48CDBF" wp14:editId="4609F3CD">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3E3DAF">
      <w:rPr>
        <w:rFonts w:ascii="Geomanist Light" w:hAnsi="Geomanist Light"/>
        <w:color w:val="002060"/>
        <w:sz w:val="16"/>
        <w:szCs w:val="16"/>
        <w:lang w:val="pt-BR"/>
      </w:rPr>
      <w:t>FORMATO PQRSD</w:t>
    </w:r>
  </w:p>
  <w:p w:rsidRPr="003E3DAF" w:rsidR="00000000" w:rsidP="00793403" w:rsidRDefault="00000000" w14:paraId="49BA5CDE" w14:textId="777777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val="pt-BR" w:eastAsia="es-CO"/>
      </w:rPr>
    </w:pPr>
    <w:r w:rsidRPr="003E3DAF">
      <w:rPr>
        <w:rFonts w:ascii="Geomanist Light" w:hAnsi="Geomanist Light" w:eastAsia="Geo" w:cs="Geo"/>
        <w:b/>
        <w:color w:val="000000"/>
        <w:sz w:val="16"/>
        <w:szCs w:val="16"/>
        <w:lang w:val="pt-BR" w:eastAsia="es-CO"/>
      </w:rPr>
      <w:t xml:space="preserve">Código: </w:t>
    </w:r>
    <w:r w:rsidRPr="003E3DAF">
      <w:rPr>
        <w:rFonts w:ascii="Geomanist Light" w:hAnsi="Geomanist Light" w:eastAsia="Geo" w:cs="Geo"/>
        <w:bCs/>
        <w:color w:val="000000"/>
        <w:sz w:val="16"/>
        <w:szCs w:val="16"/>
        <w:lang w:val="pt-BR" w:eastAsia="es-CO"/>
      </w:rPr>
      <w:t>CCE-PQRSD-FM-08</w:t>
    </w:r>
  </w:p>
  <w:p w:rsidR="00000000" w:rsidP="008614E5" w:rsidRDefault="00000000" w14:paraId="0D8987A5" w14:textId="77777777">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06DACA08" wp14:editId="12853E1F">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eastAsia="Geo" w:cs="Geo"/>
        <w:b/>
        <w:color w:val="000000"/>
        <w:sz w:val="16"/>
        <w:szCs w:val="16"/>
        <w:lang w:eastAsia="es-CO"/>
      </w:rPr>
      <w:t>Versión</w:t>
    </w:r>
    <w:r w:rsidRPr="007566FE">
      <w:rPr>
        <w:rFonts w:ascii="Geomanist Light" w:hAnsi="Geomanist Light" w:eastAsia="Arial Nova" w:cs="Arial Nova"/>
        <w:b/>
        <w:color w:val="000000"/>
        <w:sz w:val="16"/>
        <w:szCs w:val="16"/>
        <w:lang w:eastAsia="es-CO"/>
      </w:rPr>
      <w:t xml:space="preserve">: </w:t>
    </w:r>
    <w:r w:rsidRPr="007566FE">
      <w:rPr>
        <w:rFonts w:ascii="Geomanist Light" w:hAnsi="Geomanist Light" w:eastAsia="Geo" w:cs="Geo"/>
        <w:sz w:val="16"/>
        <w:szCs w:val="16"/>
        <w:lang w:eastAsia="es-CO"/>
      </w:rPr>
      <w:t>0</w:t>
    </w:r>
    <w:r>
      <w:rPr>
        <w:rFonts w:ascii="Geomanist Light" w:hAnsi="Geomanist Light" w:eastAsia="Geo" w:cs="Geo"/>
        <w:sz w:val="16"/>
        <w:szCs w:val="16"/>
        <w:lang w:eastAsia="es-CO"/>
      </w:rPr>
      <w:t>2</w:t>
    </w:r>
    <w:r w:rsidRPr="007566FE">
      <w:rPr>
        <w:rFonts w:ascii="Geomanist Light" w:hAnsi="Geomanist Light" w:eastAsia="Geo" w:cs="Geo"/>
        <w:sz w:val="16"/>
        <w:szCs w:val="16"/>
        <w:lang w:eastAsia="es-CO"/>
      </w:rPr>
      <w:t xml:space="preserve"> DEL </w:t>
    </w:r>
    <w:r>
      <w:rPr>
        <w:rFonts w:ascii="Geomanist Light" w:hAnsi="Geomanist Light" w:eastAsia="Geo" w:cs="Geo"/>
        <w:sz w:val="16"/>
        <w:szCs w:val="16"/>
        <w:lang w:eastAsia="es-CO"/>
      </w:rPr>
      <w:t>28</w:t>
    </w:r>
    <w:r w:rsidRPr="007566FE">
      <w:rPr>
        <w:rFonts w:ascii="Geomanist Light" w:hAnsi="Geomanist Light" w:eastAsia="Geo" w:cs="Geo"/>
        <w:sz w:val="16"/>
        <w:szCs w:val="16"/>
        <w:lang w:eastAsia="es-CO"/>
      </w:rPr>
      <w:t xml:space="preserve"> DE </w:t>
    </w:r>
    <w:r>
      <w:rPr>
        <w:rFonts w:ascii="Geomanist Light" w:hAnsi="Geomanist Light" w:eastAsia="Geo" w:cs="Geo"/>
        <w:sz w:val="16"/>
        <w:szCs w:val="16"/>
        <w:lang w:eastAsia="es-CO"/>
      </w:rPr>
      <w:t>SEPTIEMBRE</w:t>
    </w:r>
    <w:r w:rsidRPr="007566FE">
      <w:rPr>
        <w:rFonts w:ascii="Geomanist Light" w:hAnsi="Geomanist Light" w:eastAsia="Geo" w:cs="Geo"/>
        <w:sz w:val="16"/>
        <w:szCs w:val="16"/>
        <w:lang w:eastAsia="es-CO"/>
      </w:rPr>
      <w:t xml:space="preserve"> DE 2022</w:t>
    </w:r>
  </w:p>
  <w:p w:rsidRPr="007566FE" w:rsidR="00000000" w:rsidP="008614E5" w:rsidRDefault="00000000" w14:paraId="702573FE" w14:textId="77777777">
    <w:pPr>
      <w:spacing w:after="0"/>
      <w:rPr>
        <w:rFonts w:ascii="Geomanist Light" w:hAnsi="Geomanist Light"/>
        <w:color w:val="002060"/>
        <w:sz w:val="16"/>
        <w:szCs w:val="16"/>
      </w:rPr>
    </w:pPr>
  </w:p>
  <w:p w:rsidRPr="00906B3C" w:rsidR="00000000" w:rsidP="00906B3C" w:rsidRDefault="00000000" w14:paraId="67DFDA2C" w14:textId="77777777">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346519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9F8"/>
    <w:rsid w:val="000659F8"/>
    <w:rsid w:val="000D44EE"/>
    <w:rsid w:val="001807F9"/>
    <w:rsid w:val="00354834"/>
    <w:rsid w:val="00393B7C"/>
    <w:rsid w:val="00396818"/>
    <w:rsid w:val="003E3DAF"/>
    <w:rsid w:val="00492C37"/>
    <w:rsid w:val="005D1166"/>
    <w:rsid w:val="00665F65"/>
    <w:rsid w:val="00701F87"/>
    <w:rsid w:val="0072507E"/>
    <w:rsid w:val="007D2505"/>
    <w:rsid w:val="00823BB2"/>
    <w:rsid w:val="008B40D2"/>
    <w:rsid w:val="00A651D8"/>
    <w:rsid w:val="00AB43C3"/>
    <w:rsid w:val="00BC1067"/>
    <w:rsid w:val="00BF59B3"/>
    <w:rsid w:val="00E629F2"/>
    <w:rsid w:val="7B62B5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09B15"/>
  <w15:chartTrackingRefBased/>
  <w15:docId w15:val="{EED201FE-D0AE-45FA-8069-A9B43E86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1166"/>
    <w:rPr>
      <w:kern w:val="0"/>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0659F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0659F8"/>
    <w:rPr>
      <w:kern w:val="0"/>
      <w14:ligatures w14:val="none"/>
    </w:rPr>
  </w:style>
  <w:style w:type="paragraph" w:styleId="Piedepgina">
    <w:name w:val="footer"/>
    <w:basedOn w:val="Normal"/>
    <w:link w:val="PiedepginaCar"/>
    <w:uiPriority w:val="99"/>
    <w:unhideWhenUsed/>
    <w:rsid w:val="000659F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0659F8"/>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65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659F8"/>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0659F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0659F8"/>
    <w:rPr>
      <w:vertAlign w:val="superscript"/>
    </w:rPr>
  </w:style>
  <w:style w:type="table" w:styleId="Tablaconcuadrcula">
    <w:name w:val="Table Grid"/>
    <w:basedOn w:val="Tablanormal"/>
    <w:uiPriority w:val="59"/>
    <w:rsid w:val="000659F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659F8"/>
    <w:pPr>
      <w:ind w:left="720"/>
      <w:contextualSpacing/>
    </w:pPr>
    <w:rPr>
      <w:rFonts w:ascii="Geomanist Light" w:hAnsi="Geomanist Light"/>
      <w:lang w:val="es-ES"/>
    </w:rPr>
  </w:style>
  <w:style w:type="paragraph" w:styleId="NormalWeb">
    <w:name w:val="Normal (Web)"/>
    <w:basedOn w:val="Normal"/>
    <w:link w:val="NormalWebCar"/>
    <w:uiPriority w:val="99"/>
    <w:unhideWhenUsed/>
    <w:rsid w:val="000659F8"/>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Appelnotedebasde" w:customStyle="1">
    <w:name w:val="Appel note de bas de..."/>
    <w:basedOn w:val="Normal"/>
    <w:link w:val="Refdenotaalpie"/>
    <w:uiPriority w:val="99"/>
    <w:rsid w:val="000659F8"/>
    <w:pPr>
      <w:spacing w:line="240" w:lineRule="exact"/>
    </w:pPr>
    <w:rPr>
      <w:kern w:val="2"/>
      <w:vertAlign w:val="superscript"/>
      <w14:ligatures w14:val="standardContextual"/>
    </w:rPr>
  </w:style>
  <w:style w:type="character" w:styleId="NormalWebCar" w:customStyle="1">
    <w:name w:val="Normal (Web) Car"/>
    <w:link w:val="NormalWeb"/>
    <w:uiPriority w:val="99"/>
    <w:rsid w:val="000659F8"/>
    <w:rPr>
      <w:rFonts w:ascii="Times New Roman" w:hAnsi="Times New Roman" w:eastAsia="Times New Roman" w:cs="Times New Roman"/>
      <w:kern w:val="0"/>
      <w:sz w:val="24"/>
      <w:szCs w:val="24"/>
      <w:lang w:eastAsia="es-CO"/>
      <w14:ligatures w14:val="none"/>
    </w:rPr>
  </w:style>
  <w:style w:type="character" w:styleId="Hipervnculo">
    <w:name w:val="Hyperlink"/>
    <w:basedOn w:val="Fuentedeprrafopredeter"/>
    <w:uiPriority w:val="99"/>
    <w:unhideWhenUsed/>
    <w:rsid w:val="000659F8"/>
    <w:rPr>
      <w:color w:val="0563C1" w:themeColor="hyperlink"/>
      <w:u w:val="single"/>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59F8"/>
    <w:rPr>
      <w:rFonts w:ascii="Geomanist Light" w:hAnsi="Geomanist Light"/>
      <w:kern w:val="0"/>
      <w:lang w:val="es-ES"/>
      <w14:ligatures w14:val="none"/>
    </w:rPr>
  </w:style>
  <w:style w:type="character" w:styleId="wacimagecontainer" w:customStyle="1">
    <w:name w:val="wacimagecontainer"/>
    <w:basedOn w:val="Fuentedeprrafopredeter"/>
    <w:rsid w:val="0082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liriopab@gmail.com"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customXml" Target="../customXml/item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EA34FC-F06B-4CAE-A8B8-9206C6ED3860}"/>
</file>

<file path=customXml/itemProps2.xml><?xml version="1.0" encoding="utf-8"?>
<ds:datastoreItem xmlns:ds="http://schemas.openxmlformats.org/officeDocument/2006/customXml" ds:itemID="{FBCD425E-B167-4EBC-9B06-50B4E382EBEB}"/>
</file>

<file path=customXml/itemProps3.xml><?xml version="1.0" encoding="utf-8"?>
<ds:datastoreItem xmlns:ds="http://schemas.openxmlformats.org/officeDocument/2006/customXml" ds:itemID="{A1C8592F-A63E-4F02-8F2A-F3D7AD0960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Sergio Enrique Caballero Lesmes</dc:creator>
  <keywords/>
  <dc:description/>
  <lastModifiedBy>Andreina Cerpa Muñoz</lastModifiedBy>
  <revision>18</revision>
  <dcterms:created xsi:type="dcterms:W3CDTF">2023-05-29T22:07:00.0000000Z</dcterms:created>
  <dcterms:modified xsi:type="dcterms:W3CDTF">2024-06-12T16:47:16.2925018Z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