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3A1B8" w14:textId="77777777" w:rsidR="0040648C" w:rsidRPr="00151C8B" w:rsidRDefault="0040648C" w:rsidP="00FC2176">
      <w:pPr>
        <w:spacing w:after="0" w:line="240" w:lineRule="auto"/>
        <w:rPr>
          <w:rFonts w:ascii="Verdana" w:eastAsia="Calibri" w:hAnsi="Verdana" w:cs="Arial"/>
          <w:b/>
          <w:bCs/>
          <w:lang w:val="es-ES" w:eastAsia="es-ES"/>
        </w:rPr>
      </w:pPr>
      <w:bookmarkStart w:id="0" w:name="_Hlk143780582"/>
      <w:r w:rsidRPr="00151C8B">
        <w:rPr>
          <w:rFonts w:ascii="Verdana" w:eastAsia="Calibri" w:hAnsi="Verdana" w:cs="Arial"/>
          <w:b/>
          <w:bCs/>
          <w:lang w:val="es-ES" w:eastAsia="es-ES"/>
        </w:rPr>
        <w:t>PUBLICIDAD SECOP – Deber de publicación - Entidades exceptuadas</w:t>
      </w:r>
    </w:p>
    <w:p w14:paraId="65FFC8A3" w14:textId="77777777" w:rsidR="0040648C" w:rsidRDefault="0040648C" w:rsidP="00FC2176">
      <w:pPr>
        <w:spacing w:after="0" w:line="240" w:lineRule="auto"/>
        <w:rPr>
          <w:rFonts w:ascii="Verdana" w:eastAsia="Calibri" w:hAnsi="Verdana" w:cs="Arial"/>
          <w:b/>
          <w:bCs/>
          <w:color w:val="7030A0"/>
          <w:lang w:val="es-ES" w:eastAsia="es-ES"/>
        </w:rPr>
      </w:pPr>
    </w:p>
    <w:p w14:paraId="20C10948" w14:textId="77777777" w:rsidR="0040648C" w:rsidRDefault="0040648C" w:rsidP="00FC2176">
      <w:pPr>
        <w:spacing w:after="0" w:line="240" w:lineRule="auto"/>
        <w:jc w:val="both"/>
        <w:rPr>
          <w:rFonts w:ascii="Verdana" w:hAnsi="Verdana" w:cs="Arial"/>
          <w:bCs/>
        </w:rPr>
      </w:pPr>
      <w:r w:rsidRPr="00CA3378">
        <w:rPr>
          <w:rFonts w:ascii="Verdana" w:eastAsia="Calibri" w:hAnsi="Verdana" w:cs="Arial"/>
          <w:lang w:val="es-ES" w:eastAsia="es-ES"/>
        </w:rPr>
        <w:t xml:space="preserve">En particular, tratándose del deber de publicación de las entidades estatales exceptuadas del Estatuto General de Contratación de la Administración Pública, resulta particularmente relevante lo dispuesto en el artículo 53 de la Ley 2195 de 2022, </w:t>
      </w:r>
      <w:r w:rsidRPr="001272A0">
        <w:rPr>
          <w:rFonts w:ascii="Verdana" w:hAnsi="Verdana" w:cs="Arial"/>
          <w:bCs/>
        </w:rPr>
        <w:t xml:space="preserve">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w:t>
      </w:r>
    </w:p>
    <w:p w14:paraId="288DD07F" w14:textId="77777777" w:rsidR="0040648C" w:rsidRDefault="0040648C" w:rsidP="00FC2176">
      <w:pPr>
        <w:spacing w:after="0" w:line="240" w:lineRule="auto"/>
        <w:rPr>
          <w:rFonts w:ascii="Verdana" w:hAnsi="Verdana" w:cs="Arial"/>
          <w:bCs/>
        </w:rPr>
      </w:pPr>
    </w:p>
    <w:p w14:paraId="63845A99" w14:textId="77777777" w:rsidR="0040648C" w:rsidRPr="00151C8B" w:rsidRDefault="0040648C" w:rsidP="00FC2176">
      <w:pPr>
        <w:spacing w:after="0" w:line="240" w:lineRule="auto"/>
        <w:rPr>
          <w:rFonts w:ascii="Verdana" w:eastAsia="Calibri" w:hAnsi="Verdana" w:cs="Arial"/>
          <w:b/>
          <w:bCs/>
          <w:lang w:val="es-ES" w:eastAsia="es-ES"/>
        </w:rPr>
      </w:pPr>
      <w:r w:rsidRPr="00151C8B">
        <w:rPr>
          <w:rFonts w:ascii="Verdana" w:eastAsia="Calibri" w:hAnsi="Verdana" w:cs="Arial"/>
          <w:b/>
          <w:bCs/>
          <w:lang w:val="es-ES" w:eastAsia="es-ES"/>
        </w:rPr>
        <w:t>EMPRESAS DE SERVICIOS PUBLICOS DOMICILIARIOS– Régimen jurídico</w:t>
      </w:r>
    </w:p>
    <w:p w14:paraId="67947DD7" w14:textId="77777777" w:rsidR="0040648C" w:rsidRDefault="0040648C" w:rsidP="00FC2176">
      <w:pPr>
        <w:spacing w:after="0" w:line="240" w:lineRule="auto"/>
        <w:rPr>
          <w:rFonts w:ascii="Verdana" w:eastAsia="Geomanist Light" w:hAnsi="Verdana" w:cs="Arial"/>
          <w:b/>
          <w:bCs/>
          <w:color w:val="000000" w:themeColor="text1"/>
          <w:lang w:val="es-ES"/>
        </w:rPr>
      </w:pPr>
    </w:p>
    <w:p w14:paraId="46AC8E47" w14:textId="77777777" w:rsidR="0040648C" w:rsidRDefault="0040648C" w:rsidP="00FC2176">
      <w:pPr>
        <w:spacing w:after="0" w:line="240" w:lineRule="auto"/>
        <w:jc w:val="both"/>
        <w:rPr>
          <w:rFonts w:ascii="Verdana" w:eastAsia="Calibri" w:hAnsi="Verdana" w:cs="Arial"/>
          <w:color w:val="000000" w:themeColor="text1"/>
          <w:szCs w:val="24"/>
          <w:lang w:val="es-ES_tradnl" w:eastAsia="es-ES_tradnl"/>
        </w:rPr>
      </w:pPr>
      <w:r>
        <w:rPr>
          <w:rFonts w:ascii="Verdana" w:eastAsia="Arial" w:hAnsi="Verdana" w:cs="Arial"/>
          <w:lang w:eastAsia="es-CO"/>
        </w:rPr>
        <w:t xml:space="preserve">En relación con el régimen de contratación de las empresas de servicios públicos, </w:t>
      </w:r>
      <w:r w:rsidRPr="008E6A3E">
        <w:rPr>
          <w:rFonts w:ascii="Verdana" w:eastAsia="Calibri" w:hAnsi="Verdana" w:cs="Arial"/>
          <w:color w:val="000000" w:themeColor="text1"/>
          <w:szCs w:val="24"/>
          <w:lang w:val="es-ES_tradnl" w:eastAsia="es-ES_tradnl"/>
        </w:rPr>
        <w:t>el artículo 31 de la Ley 142 de 1994, modificado por el artículo 3 de la Ley 689 de 2001, dispone que</w:t>
      </w:r>
      <w:r w:rsidRPr="008E6A3E">
        <w:rPr>
          <w:rFonts w:ascii="Verdana" w:hAnsi="Verdana" w:cs="Arial"/>
          <w:color w:val="000000"/>
          <w:bdr w:val="none" w:sz="0" w:space="0" w:color="auto" w:frame="1"/>
        </w:rPr>
        <w:t xml:space="preserve"> los contratos que celebren las entidades estatales que prestan los servicios públicos domiciliarios </w:t>
      </w:r>
      <w:r w:rsidRPr="001272A0">
        <w:rPr>
          <w:rFonts w:ascii="Verdana" w:hAnsi="Verdana" w:cs="Arial"/>
          <w:i/>
          <w:color w:val="000000"/>
          <w:bdr w:val="none" w:sz="0" w:space="0" w:color="auto" w:frame="1"/>
        </w:rPr>
        <w:t>“no estarán sujetos a las disposiciones del Estatuto General de Contratación de la Administración Pública, salvo en lo que la presente ley disponga otra cosa”</w:t>
      </w:r>
      <w:r w:rsidRPr="008E6A3E">
        <w:rPr>
          <w:rFonts w:ascii="Verdana" w:eastAsia="Calibri" w:hAnsi="Verdana" w:cs="Arial"/>
          <w:color w:val="000000" w:themeColor="text1"/>
          <w:szCs w:val="24"/>
          <w:lang w:val="es-ES_tradnl" w:eastAsia="es-ES_tradnl"/>
        </w:rPr>
        <w:t>. Por su parte, el artículo 32 de la Ley 142 consagra el régimen de derecho privado para las empresas de servicios públicos domiciliarios, indicando que sus actos se rigen por los principios y reglas aplicables a los particulares</w:t>
      </w:r>
      <w:r w:rsidRPr="008E6A3E">
        <w:rPr>
          <w:rFonts w:ascii="Verdana" w:eastAsia="Calibri" w:hAnsi="Verdana" w:cs="Arial"/>
          <w:color w:val="000000" w:themeColor="text1"/>
          <w:szCs w:val="24"/>
          <w:vertAlign w:val="superscript"/>
          <w:lang w:val="es-ES_tradnl" w:eastAsia="es-ES_tradnl"/>
        </w:rPr>
        <w:footnoteReference w:id="2"/>
      </w:r>
      <w:r w:rsidRPr="008E6A3E">
        <w:rPr>
          <w:rFonts w:ascii="Verdana" w:eastAsia="Calibri" w:hAnsi="Verdana" w:cs="Arial"/>
          <w:color w:val="000000" w:themeColor="text1"/>
          <w:szCs w:val="24"/>
          <w:lang w:val="es-ES_tradnl" w:eastAsia="es-ES_tradnl"/>
        </w:rPr>
        <w:t>.</w:t>
      </w:r>
    </w:p>
    <w:p w14:paraId="64DB0638" w14:textId="77777777" w:rsidR="0040648C" w:rsidRDefault="0040648C" w:rsidP="00FC2176">
      <w:pPr>
        <w:spacing w:after="0" w:line="240" w:lineRule="auto"/>
        <w:jc w:val="both"/>
        <w:rPr>
          <w:rFonts w:ascii="Verdana" w:eastAsia="Calibri" w:hAnsi="Verdana" w:cs="Arial"/>
          <w:lang w:val="es-ES"/>
        </w:rPr>
      </w:pPr>
    </w:p>
    <w:p w14:paraId="418A76AC" w14:textId="77777777" w:rsidR="0040648C" w:rsidRDefault="0040648C" w:rsidP="00FC2176">
      <w:pPr>
        <w:spacing w:after="0" w:line="240" w:lineRule="auto"/>
        <w:jc w:val="both"/>
        <w:rPr>
          <w:rFonts w:ascii="Verdana" w:eastAsia="Calibri" w:hAnsi="Verdana" w:cs="Arial"/>
          <w:color w:val="000000" w:themeColor="text1"/>
          <w:lang w:val="es-ES" w:eastAsia="es-ES"/>
        </w:rPr>
      </w:pPr>
      <w:r>
        <w:rPr>
          <w:rFonts w:ascii="Verdana" w:eastAsia="Times New Roman" w:hAnsi="Verdana" w:cs="Arial"/>
          <w:lang w:val="es-ES_tradnl" w:eastAsia="es-ES_tradnl"/>
          <w14:ligatures w14:val="standardContextual"/>
        </w:rPr>
        <w:t xml:space="preserve">Así, en la actividad contractual las empresas de servicios públicos se sujetan a las disposiciones del derecho privado, salvo en aquellos casos en que la normativa (Constitución Política, Ley 142 de 1994 u otras normas especiales) someta dicha actuación al </w:t>
      </w:r>
      <w:r w:rsidRPr="008E6A3E">
        <w:rPr>
          <w:rFonts w:ascii="Verdana" w:eastAsia="Calibri" w:hAnsi="Verdana" w:cs="Arial"/>
          <w:color w:val="000000" w:themeColor="text1"/>
          <w:lang w:val="es-ES" w:eastAsia="es-ES"/>
        </w:rPr>
        <w:t>al Estatuto General de Contratación de la Administración Pública</w:t>
      </w:r>
      <w:r>
        <w:rPr>
          <w:rFonts w:ascii="Verdana" w:eastAsia="Calibri" w:hAnsi="Verdana" w:cs="Arial"/>
          <w:color w:val="000000" w:themeColor="text1"/>
          <w:lang w:val="es-ES" w:eastAsia="es-ES"/>
        </w:rPr>
        <w:t>.</w:t>
      </w:r>
    </w:p>
    <w:p w14:paraId="737A8198" w14:textId="77777777" w:rsidR="0040648C" w:rsidRDefault="0040648C" w:rsidP="0040648C">
      <w:pPr>
        <w:spacing w:after="0" w:line="240" w:lineRule="auto"/>
        <w:jc w:val="both"/>
        <w:rPr>
          <w:rFonts w:ascii="Verdana" w:eastAsia="Calibri" w:hAnsi="Verdana" w:cs="Arial"/>
          <w:color w:val="000000" w:themeColor="text1"/>
          <w:lang w:val="es-ES" w:eastAsia="es-ES"/>
        </w:rPr>
      </w:pPr>
    </w:p>
    <w:p w14:paraId="21A559E6" w14:textId="77777777" w:rsidR="0040648C" w:rsidRDefault="0040648C" w:rsidP="0040648C">
      <w:pPr>
        <w:spacing w:after="0" w:line="240" w:lineRule="auto"/>
        <w:jc w:val="both"/>
        <w:rPr>
          <w:rFonts w:ascii="Verdana" w:eastAsia="Calibri" w:hAnsi="Verdana" w:cs="Arial"/>
          <w:color w:val="000000" w:themeColor="text1"/>
          <w:lang w:val="es-ES" w:eastAsia="es-ES"/>
        </w:rPr>
      </w:pPr>
    </w:p>
    <w:p w14:paraId="618D53E5" w14:textId="77777777" w:rsidR="0040648C" w:rsidRDefault="0040648C" w:rsidP="0040648C">
      <w:pPr>
        <w:spacing w:after="0" w:line="240" w:lineRule="auto"/>
        <w:jc w:val="both"/>
        <w:rPr>
          <w:rFonts w:ascii="Verdana" w:eastAsia="Calibri" w:hAnsi="Verdana" w:cs="Arial"/>
          <w:color w:val="000000" w:themeColor="text1"/>
          <w:lang w:val="es-ES" w:eastAsia="es-ES"/>
        </w:rPr>
      </w:pPr>
    </w:p>
    <w:p w14:paraId="579065EA" w14:textId="77777777" w:rsidR="0040648C" w:rsidRDefault="0040648C" w:rsidP="0040648C">
      <w:pPr>
        <w:spacing w:after="0" w:line="240" w:lineRule="auto"/>
        <w:jc w:val="both"/>
        <w:rPr>
          <w:rFonts w:ascii="Verdana" w:eastAsia="Geomanist Light" w:hAnsi="Verdana" w:cs="Arial"/>
          <w:color w:val="000000" w:themeColor="text1"/>
          <w:lang w:val="es-MX"/>
        </w:rPr>
      </w:pPr>
    </w:p>
    <w:p w14:paraId="77F786A3" w14:textId="77777777" w:rsidR="0040648C" w:rsidRDefault="0040648C" w:rsidP="0040648C">
      <w:pPr>
        <w:spacing w:after="0" w:line="240" w:lineRule="auto"/>
        <w:rPr>
          <w:rFonts w:ascii="Verdana" w:eastAsia="Geomanist Light" w:hAnsi="Verdana" w:cs="Arial"/>
          <w:color w:val="000000" w:themeColor="text1"/>
          <w:lang w:val="es-MX"/>
        </w:rPr>
      </w:pPr>
    </w:p>
    <w:p w14:paraId="01004FAE" w14:textId="77777777" w:rsidR="007D584D" w:rsidRDefault="007D584D" w:rsidP="0040648C">
      <w:pPr>
        <w:spacing w:after="0" w:line="240" w:lineRule="auto"/>
        <w:rPr>
          <w:rFonts w:ascii="Verdana" w:eastAsia="Geomanist Light" w:hAnsi="Verdana" w:cs="Arial"/>
          <w:color w:val="000000" w:themeColor="text1"/>
          <w:lang w:val="es-MX"/>
        </w:rPr>
      </w:pPr>
    </w:p>
    <w:p w14:paraId="6DF51977" w14:textId="375D32CC" w:rsidR="0040648C" w:rsidRPr="00593A5F" w:rsidRDefault="0040648C" w:rsidP="0040648C">
      <w:pPr>
        <w:spacing w:after="0" w:line="240" w:lineRule="auto"/>
        <w:rPr>
          <w:rFonts w:ascii="Verdana" w:eastAsia="Geomanist Light" w:hAnsi="Verdana" w:cs="Arial"/>
          <w:color w:val="201F1E"/>
          <w:lang w:val="es-MX"/>
        </w:rPr>
      </w:pPr>
      <w:r>
        <w:rPr>
          <w:rFonts w:ascii="Verdana" w:eastAsia="Geomanist Light" w:hAnsi="Verdana" w:cs="Arial"/>
          <w:color w:val="000000" w:themeColor="text1"/>
          <w:lang w:val="es-MX"/>
        </w:rPr>
        <w:lastRenderedPageBreak/>
        <w:t>B</w:t>
      </w:r>
      <w:r w:rsidRPr="00593A5F">
        <w:rPr>
          <w:rFonts w:ascii="Verdana" w:eastAsia="Geomanist Light" w:hAnsi="Verdana" w:cs="Arial"/>
          <w:color w:val="000000" w:themeColor="text1"/>
          <w:lang w:val="es-MX"/>
        </w:rPr>
        <w:t>ogotá D.C., </w:t>
      </w:r>
      <w:r w:rsidR="009F2578">
        <w:rPr>
          <w:rFonts w:ascii="Verdana" w:eastAsia="Geomanist Light" w:hAnsi="Verdana" w:cs="Arial"/>
          <w:color w:val="201F1E"/>
          <w:lang w:val="es-MX"/>
        </w:rPr>
        <w:t>13 de Marzo de 2025</w:t>
      </w:r>
    </w:p>
    <w:p w14:paraId="6EDEECFA" w14:textId="78E2971C" w:rsidR="0040648C" w:rsidRPr="00593A5F" w:rsidRDefault="009F2578" w:rsidP="0040648C">
      <w:pPr>
        <w:spacing w:after="0" w:line="240" w:lineRule="auto"/>
        <w:jc w:val="both"/>
        <w:rPr>
          <w:rFonts w:ascii="Verdana" w:eastAsia="Calibri" w:hAnsi="Verdana" w:cs="Arial"/>
          <w:color w:val="000000"/>
          <w:lang w:val="es-ES"/>
        </w:rPr>
      </w:pPr>
      <w:r>
        <w:rPr>
          <w:rFonts w:ascii="Verdana" w:eastAsia="Calibri" w:hAnsi="Verdana" w:cs="Arial"/>
          <w:b/>
          <w:bCs/>
          <w:noProof/>
          <w:lang w:val="es-ES" w:eastAsia="es-ES"/>
        </w:rPr>
        <w:drawing>
          <wp:anchor distT="0" distB="0" distL="114300" distR="114300" simplePos="0" relativeHeight="251658240" behindDoc="0" locked="0" layoutInCell="1" allowOverlap="1" wp14:anchorId="426AE7D9" wp14:editId="44FF5982">
            <wp:simplePos x="0" y="0"/>
            <wp:positionH relativeFrom="column">
              <wp:posOffset>2018665</wp:posOffset>
            </wp:positionH>
            <wp:positionV relativeFrom="paragraph">
              <wp:posOffset>61595</wp:posOffset>
            </wp:positionV>
            <wp:extent cx="3352800" cy="1060450"/>
            <wp:effectExtent l="0" t="0" r="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3352800" cy="1060450"/>
                    </a:xfrm>
                    <a:prstGeom prst="rect">
                      <a:avLst/>
                    </a:prstGeom>
                  </pic:spPr>
                </pic:pic>
              </a:graphicData>
            </a:graphic>
            <wp14:sizeRelH relativeFrom="page">
              <wp14:pctWidth>0</wp14:pctWidth>
            </wp14:sizeRelH>
            <wp14:sizeRelV relativeFrom="page">
              <wp14:pctHeight>0</wp14:pctHeight>
            </wp14:sizeRelV>
          </wp:anchor>
        </w:drawing>
      </w:r>
    </w:p>
    <w:p w14:paraId="793631AC" w14:textId="74A6F954" w:rsidR="0040648C" w:rsidRPr="00B96799" w:rsidRDefault="0040648C" w:rsidP="0040648C">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F1C8141" w14:textId="6E2F620C" w:rsidR="0040648C" w:rsidRPr="00B96799" w:rsidRDefault="0040648C" w:rsidP="0040648C">
      <w:pPr>
        <w:spacing w:after="0" w:line="240" w:lineRule="auto"/>
        <w:rPr>
          <w:rFonts w:ascii="Verdana" w:eastAsia="Calibri" w:hAnsi="Verdana" w:cs="Arial"/>
          <w:b/>
          <w:lang w:val="es-ES" w:eastAsia="es-ES"/>
        </w:rPr>
      </w:pPr>
      <w:r w:rsidRPr="4D2AC75C">
        <w:rPr>
          <w:rFonts w:ascii="Verdana" w:eastAsia="Calibri" w:hAnsi="Verdana" w:cs="Arial"/>
          <w:b/>
          <w:lang w:val="es-ES" w:eastAsia="es-ES"/>
        </w:rPr>
        <w:t>Dawer Rivera Zamudio</w:t>
      </w:r>
    </w:p>
    <w:p w14:paraId="7397787F" w14:textId="0C055F10" w:rsidR="0040648C" w:rsidRDefault="008B30AF" w:rsidP="0040648C">
      <w:pPr>
        <w:spacing w:after="0" w:line="240" w:lineRule="auto"/>
        <w:rPr>
          <w:rFonts w:ascii="ArialMT" w:hAnsi="ArialMT" w:cs="ArialMT"/>
        </w:rPr>
      </w:pPr>
      <w:hyperlink r:id="rId11" w:history="1">
        <w:r w:rsidR="0040648C" w:rsidRPr="006C439A">
          <w:rPr>
            <w:rStyle w:val="Hipervnculo"/>
            <w:rFonts w:ascii="ArialMT" w:hAnsi="ArialMT" w:cs="ArialMT"/>
          </w:rPr>
          <w:t>dawer.rivera@gmail.com</w:t>
        </w:r>
      </w:hyperlink>
    </w:p>
    <w:p w14:paraId="14F690D5" w14:textId="61B9C4BF" w:rsidR="0040648C" w:rsidRPr="00B96799" w:rsidRDefault="0040648C" w:rsidP="0040648C">
      <w:pPr>
        <w:spacing w:after="0" w:line="240" w:lineRule="auto"/>
        <w:rPr>
          <w:rFonts w:ascii="Verdana" w:eastAsia="Calibri" w:hAnsi="Verdana" w:cs="Arial"/>
          <w:b/>
          <w:bCs/>
          <w:lang w:val="es-ES" w:eastAsia="es-ES"/>
        </w:rPr>
      </w:pPr>
      <w:r>
        <w:rPr>
          <w:rFonts w:ascii="Verdana" w:eastAsia="Calibri" w:hAnsi="Verdana" w:cs="Arial"/>
          <w:lang w:val="es-ES" w:eastAsia="es-ES"/>
        </w:rPr>
        <w:t>Garagoa, Boyacá</w:t>
      </w:r>
    </w:p>
    <w:p w14:paraId="521EF60C" w14:textId="77777777" w:rsidR="0040648C" w:rsidRPr="00593A5F" w:rsidRDefault="0040648C" w:rsidP="0040648C">
      <w:pPr>
        <w:spacing w:after="0" w:line="240" w:lineRule="auto"/>
        <w:rPr>
          <w:rFonts w:ascii="Verdana" w:eastAsia="Calibri" w:hAnsi="Verdana" w:cs="Arial"/>
          <w:b/>
          <w:bCs/>
          <w:color w:val="000000"/>
          <w:lang w:val="es-ES_tradnl" w:eastAsia="es-ES_tradnl"/>
        </w:rPr>
      </w:pPr>
    </w:p>
    <w:p w14:paraId="08D20CD2" w14:textId="77777777" w:rsidR="0040648C" w:rsidRPr="00593A5F" w:rsidRDefault="0040648C" w:rsidP="0040648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0648C" w:rsidRPr="00593A5F" w14:paraId="6AE02FE9" w14:textId="77777777" w:rsidTr="003A5419">
        <w:trPr>
          <w:trHeight w:val="884"/>
        </w:trPr>
        <w:tc>
          <w:tcPr>
            <w:tcW w:w="2689" w:type="dxa"/>
          </w:tcPr>
          <w:p w14:paraId="7D427B53" w14:textId="77777777" w:rsidR="0040648C" w:rsidRPr="00C00976" w:rsidRDefault="0040648C" w:rsidP="003A5419">
            <w:pPr>
              <w:jc w:val="both"/>
              <w:rPr>
                <w:rFonts w:ascii="Verdana" w:eastAsia="Calibri" w:hAnsi="Verdana" w:cs="Arial"/>
                <w:b/>
                <w:bCs/>
                <w:color w:val="7030A0"/>
                <w:lang w:val="es-ES_tradnl" w:eastAsia="es-ES_tradnl"/>
              </w:rPr>
            </w:pPr>
          </w:p>
        </w:tc>
        <w:tc>
          <w:tcPr>
            <w:tcW w:w="6100" w:type="dxa"/>
          </w:tcPr>
          <w:p w14:paraId="7A821157" w14:textId="2AC26867" w:rsidR="0040648C" w:rsidRPr="00C00976" w:rsidRDefault="0040648C" w:rsidP="003A5419">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139</w:t>
            </w:r>
            <w:r w:rsidRPr="00C00976">
              <w:rPr>
                <w:rFonts w:ascii="Verdana" w:eastAsia="Calibri" w:hAnsi="Verdana" w:cs="Arial"/>
                <w:b/>
                <w:bCs/>
                <w:color w:val="7030A0"/>
                <w:lang w:val="es-ES" w:eastAsia="es-ES"/>
              </w:rPr>
              <w:t xml:space="preserve"> </w:t>
            </w:r>
            <w:r w:rsidRPr="00EF61B5">
              <w:rPr>
                <w:rFonts w:ascii="Verdana" w:eastAsia="Calibri" w:hAnsi="Verdana" w:cs="Arial"/>
                <w:b/>
                <w:bCs/>
                <w:lang w:val="es-ES" w:eastAsia="es-ES"/>
              </w:rPr>
              <w:t>de 2025</w:t>
            </w:r>
          </w:p>
        </w:tc>
      </w:tr>
      <w:tr w:rsidR="0040648C" w:rsidRPr="00593A5F" w14:paraId="5093AAD7" w14:textId="77777777" w:rsidTr="003A5419">
        <w:trPr>
          <w:trHeight w:val="884"/>
        </w:trPr>
        <w:tc>
          <w:tcPr>
            <w:tcW w:w="2689" w:type="dxa"/>
          </w:tcPr>
          <w:p w14:paraId="359B00D8" w14:textId="77777777" w:rsidR="0040648C" w:rsidRPr="00593A5F" w:rsidRDefault="0040648C" w:rsidP="003A541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67C3A69" w14:textId="77777777" w:rsidR="0040648C" w:rsidRPr="00C7262F" w:rsidRDefault="0040648C" w:rsidP="003A5419">
            <w:pPr>
              <w:spacing w:line="276" w:lineRule="auto"/>
              <w:jc w:val="both"/>
              <w:rPr>
                <w:rFonts w:ascii="Verdana" w:eastAsia="Calibri" w:hAnsi="Verdana" w:cs="Arial"/>
                <w:lang w:val="es-ES" w:eastAsia="es-ES"/>
              </w:rPr>
            </w:pPr>
            <w:r w:rsidRPr="00C7262F">
              <w:rPr>
                <w:rFonts w:ascii="Verdana" w:eastAsia="Calibri" w:hAnsi="Verdana" w:cs="Arial"/>
                <w:lang w:val="es-ES" w:eastAsia="es-ES"/>
              </w:rPr>
              <w:t>PUBLICIDAD SECOP – Deber de publicación - Entidades exceptuadas / EMPRESAS DE SERVICIOS PUBLICOS DOMICILIARIOS– Régimen jurídico</w:t>
            </w:r>
          </w:p>
          <w:p w14:paraId="36D97CC0" w14:textId="77777777" w:rsidR="0040648C" w:rsidRPr="00593A5F" w:rsidRDefault="0040648C" w:rsidP="003A5419">
            <w:pPr>
              <w:spacing w:line="276" w:lineRule="auto"/>
              <w:jc w:val="both"/>
              <w:rPr>
                <w:rFonts w:ascii="Verdana" w:eastAsia="Calibri" w:hAnsi="Verdana" w:cs="Arial"/>
                <w:lang w:val="es-ES" w:eastAsia="es-ES"/>
              </w:rPr>
            </w:pPr>
          </w:p>
        </w:tc>
      </w:tr>
      <w:tr w:rsidR="0040648C" w:rsidRPr="00593A5F" w14:paraId="27976B86" w14:textId="77777777" w:rsidTr="003A5419">
        <w:tc>
          <w:tcPr>
            <w:tcW w:w="2689" w:type="dxa"/>
          </w:tcPr>
          <w:p w14:paraId="4C0DD2D2" w14:textId="77777777" w:rsidR="0040648C" w:rsidRPr="00EF61B5" w:rsidRDefault="0040648C" w:rsidP="003A5419">
            <w:pPr>
              <w:jc w:val="both"/>
              <w:rPr>
                <w:rFonts w:ascii="Verdana" w:eastAsia="Calibri" w:hAnsi="Verdana" w:cs="Arial"/>
                <w:b/>
                <w:lang w:val="es-ES_tradnl" w:eastAsia="es-ES_tradnl"/>
              </w:rPr>
            </w:pPr>
            <w:r w:rsidRPr="00EF61B5">
              <w:rPr>
                <w:rFonts w:ascii="Verdana" w:eastAsia="Calibri" w:hAnsi="Verdana" w:cs="Arial"/>
                <w:b/>
                <w:lang w:val="es-ES_tradnl" w:eastAsia="es-ES_tradnl"/>
              </w:rPr>
              <w:t>Radicación:</w:t>
            </w:r>
            <w:r w:rsidRPr="00EF61B5">
              <w:rPr>
                <w:rFonts w:ascii="Verdana" w:eastAsia="Calibri" w:hAnsi="Verdana" w:cs="Arial"/>
                <w:lang w:val="es-ES_tradnl" w:eastAsia="es-ES_tradnl"/>
              </w:rPr>
              <w:t xml:space="preserve">               </w:t>
            </w:r>
          </w:p>
        </w:tc>
        <w:tc>
          <w:tcPr>
            <w:tcW w:w="6100" w:type="dxa"/>
          </w:tcPr>
          <w:p w14:paraId="495D9E87" w14:textId="77777777" w:rsidR="0040648C" w:rsidRPr="00EF61B5" w:rsidRDefault="0040648C" w:rsidP="003A5419">
            <w:pPr>
              <w:jc w:val="both"/>
              <w:rPr>
                <w:rFonts w:ascii="Verdana" w:eastAsia="Calibri" w:hAnsi="Verdana" w:cs="Arial"/>
                <w:lang w:val="es-ES_tradnl" w:eastAsia="es-ES_tradnl"/>
              </w:rPr>
            </w:pPr>
            <w:r w:rsidRPr="00EF61B5">
              <w:rPr>
                <w:rFonts w:ascii="Verdana" w:eastAsia="Calibri" w:hAnsi="Verdana" w:cs="Arial"/>
                <w:lang w:val="es-ES_tradnl" w:eastAsia="es-ES_tradnl"/>
              </w:rPr>
              <w:t>Respuesta a consulta con radicado No. P20250206001091</w:t>
            </w:r>
          </w:p>
        </w:tc>
      </w:tr>
    </w:tbl>
    <w:p w14:paraId="7704BC48" w14:textId="77777777" w:rsidR="0040648C" w:rsidRPr="00593A5F" w:rsidRDefault="0040648C" w:rsidP="0040648C">
      <w:pPr>
        <w:spacing w:after="0" w:line="240" w:lineRule="auto"/>
        <w:jc w:val="both"/>
        <w:rPr>
          <w:rFonts w:ascii="Verdana" w:eastAsia="Calibri" w:hAnsi="Verdana" w:cs="Arial"/>
          <w:color w:val="000000"/>
          <w:lang w:val="es-ES_tradnl" w:eastAsia="es-ES_tradnl"/>
        </w:rPr>
      </w:pPr>
    </w:p>
    <w:p w14:paraId="0BB816BD" w14:textId="77777777" w:rsidR="0040648C" w:rsidRPr="00593A5F" w:rsidRDefault="0040648C" w:rsidP="0040648C">
      <w:pPr>
        <w:spacing w:after="0" w:line="240" w:lineRule="auto"/>
        <w:jc w:val="both"/>
        <w:rPr>
          <w:rFonts w:ascii="Verdana" w:eastAsia="Calibri" w:hAnsi="Verdana" w:cs="Arial"/>
          <w:color w:val="000000"/>
          <w:lang w:val="es-ES_tradnl" w:eastAsia="es-ES_tradnl"/>
        </w:rPr>
      </w:pPr>
    </w:p>
    <w:p w14:paraId="304CF873" w14:textId="77777777" w:rsidR="0040648C" w:rsidRDefault="0040648C" w:rsidP="0040648C">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EF61B5">
        <w:rPr>
          <w:rFonts w:ascii="Verdana" w:eastAsia="Calibri" w:hAnsi="Verdana" w:cs="Arial"/>
          <w:lang w:val="es-ES" w:eastAsia="es-ES"/>
        </w:rPr>
        <w:t xml:space="preserve">señor Rivera: </w:t>
      </w:r>
    </w:p>
    <w:p w14:paraId="13E41891" w14:textId="77777777" w:rsidR="0040648C" w:rsidRDefault="0040648C" w:rsidP="0040648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08F1C6A" w14:textId="77777777" w:rsidR="0040648C" w:rsidRPr="00593A5F" w:rsidRDefault="0040648C" w:rsidP="0040648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EF61B5">
        <w:rPr>
          <w:rFonts w:ascii="Verdana" w:eastAsia="Calibri" w:hAnsi="Verdana" w:cs="Arial"/>
          <w:lang w:val="es-ES" w:eastAsia="es-ES"/>
        </w:rPr>
        <w:t xml:space="preserve">fecha 06 de febrero de 2025, en la cual manifiesta lo siguiente: </w:t>
      </w:r>
    </w:p>
    <w:p w14:paraId="7D41C8A6" w14:textId="77777777" w:rsidR="0040648C" w:rsidRPr="00272A7B" w:rsidRDefault="0040648C" w:rsidP="0040648C">
      <w:pPr>
        <w:pStyle w:val="Prrafodelista"/>
        <w:tabs>
          <w:tab w:val="left" w:pos="142"/>
          <w:tab w:val="left" w:pos="284"/>
        </w:tabs>
        <w:spacing w:line="276" w:lineRule="auto"/>
        <w:ind w:left="0"/>
        <w:jc w:val="both"/>
        <w:rPr>
          <w:rFonts w:ascii="Verdana" w:eastAsia="Century Gothic" w:hAnsi="Verdana" w:cs="Century Gothic"/>
          <w:b/>
          <w:bCs/>
        </w:rPr>
      </w:pPr>
    </w:p>
    <w:p w14:paraId="5FBB86B5" w14:textId="77777777" w:rsidR="0040648C" w:rsidRPr="00EF61B5" w:rsidRDefault="0040648C" w:rsidP="0040648C">
      <w:pPr>
        <w:pStyle w:val="Prrafodelista"/>
        <w:tabs>
          <w:tab w:val="left" w:pos="142"/>
          <w:tab w:val="left" w:pos="284"/>
        </w:tabs>
        <w:spacing w:line="276" w:lineRule="auto"/>
        <w:ind w:right="616"/>
        <w:jc w:val="both"/>
        <w:rPr>
          <w:rFonts w:ascii="Verdana" w:eastAsia="Century Gothic" w:hAnsi="Verdana" w:cs="Century Gothic"/>
          <w:b/>
          <w:bCs/>
          <w:i/>
          <w:iCs/>
        </w:rPr>
      </w:pPr>
      <w:r w:rsidRPr="00EF61B5">
        <w:rPr>
          <w:rFonts w:ascii="Verdana" w:eastAsia="Century Gothic" w:hAnsi="Verdana" w:cs="Century Gothic"/>
          <w:i/>
          <w:iCs/>
          <w:sz w:val="20"/>
          <w:szCs w:val="20"/>
        </w:rPr>
        <w:t>“solicito apoyo en aclarar la siguiente duda: Una Empresa de Servicios Públicos de un municipio que maneja lo que corresponde a Aseso, Acueducto y Alcantarillado, de naturaleza mixta, constituida como sociedad Anónima, sometida a régimen general de las empresas de servicios Públicos; que incluye o recibe en el presupuesto de cada vigencia recursos del municipio por Subsidios y un contrato interadministrativo para rocería de los parques del municipio ¿debe publicar los procesos contractuales en el SECOP?”</w:t>
      </w:r>
    </w:p>
    <w:p w14:paraId="382BB814" w14:textId="77777777" w:rsidR="0040648C" w:rsidRDefault="0040648C" w:rsidP="0040648C">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593A5F">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041A771" w14:textId="77777777" w:rsidR="0040648C" w:rsidRDefault="0040648C" w:rsidP="0040648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1C15B29" w14:textId="77777777" w:rsidR="0040648C" w:rsidRPr="00593A5F" w:rsidRDefault="0040648C" w:rsidP="0040648C">
      <w:pPr>
        <w:spacing w:after="0" w:line="276" w:lineRule="auto"/>
        <w:ind w:firstLine="709"/>
        <w:jc w:val="both"/>
        <w:rPr>
          <w:rFonts w:ascii="Verdana" w:eastAsia="Calibri" w:hAnsi="Verdana" w:cs="Arial"/>
          <w:color w:val="000000"/>
          <w:lang w:val="es-ES" w:eastAsia="es-ES"/>
        </w:rPr>
      </w:pPr>
    </w:p>
    <w:p w14:paraId="21D32E2E" w14:textId="77777777" w:rsidR="0040648C" w:rsidRPr="00593A5F" w:rsidRDefault="0040648C" w:rsidP="0040648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D9F6D5B" w14:textId="77777777" w:rsidR="0040648C" w:rsidRPr="00593A5F" w:rsidRDefault="0040648C" w:rsidP="0040648C">
      <w:pPr>
        <w:tabs>
          <w:tab w:val="left" w:pos="426"/>
        </w:tabs>
        <w:spacing w:after="0" w:line="276" w:lineRule="auto"/>
        <w:jc w:val="both"/>
        <w:rPr>
          <w:rFonts w:ascii="Verdana" w:eastAsia="Century Gothic" w:hAnsi="Verdana" w:cs="Century Gothic"/>
          <w:lang w:val="es-ES"/>
        </w:rPr>
      </w:pPr>
    </w:p>
    <w:p w14:paraId="28332350" w14:textId="77777777" w:rsidR="0040648C" w:rsidRPr="00593A5F" w:rsidRDefault="0040648C" w:rsidP="0040648C">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w:t>
      </w:r>
      <w:r>
        <w:rPr>
          <w:rFonts w:ascii="Verdana" w:eastAsia="Century Gothic" w:hAnsi="Verdana" w:cs="Century Gothic"/>
        </w:rPr>
        <w:t>e</w:t>
      </w:r>
      <w:r w:rsidRPr="00593A5F">
        <w:rPr>
          <w:rFonts w:ascii="Verdana" w:eastAsia="Century Gothic" w:hAnsi="Verdana" w:cs="Century Gothic"/>
        </w:rPr>
        <w:t xml:space="preserve"> problema jurídico:</w:t>
      </w:r>
      <w:r>
        <w:rPr>
          <w:rFonts w:ascii="Verdana" w:eastAsia="Century Gothic" w:hAnsi="Verdana" w:cs="Century Gothic"/>
        </w:rPr>
        <w:t xml:space="preserve"> al recibir recursos públicos</w:t>
      </w:r>
      <w:r w:rsidRPr="00593A5F">
        <w:rPr>
          <w:rFonts w:ascii="Verdana" w:eastAsia="Century Gothic" w:hAnsi="Verdana" w:cs="Century Gothic"/>
        </w:rPr>
        <w:t xml:space="preserve"> </w:t>
      </w:r>
      <w:r w:rsidRPr="00EF61B5">
        <w:rPr>
          <w:rFonts w:ascii="Verdana" w:eastAsia="Century Gothic" w:hAnsi="Verdana" w:cs="Century Gothic"/>
        </w:rPr>
        <w:t>¿las empresas de servicios públicos de naturaleza mixta</w:t>
      </w:r>
      <w:r>
        <w:rPr>
          <w:rFonts w:ascii="Verdana" w:eastAsia="Century Gothic" w:hAnsi="Verdana" w:cs="Century Gothic"/>
        </w:rPr>
        <w:t xml:space="preserve"> </w:t>
      </w:r>
      <w:r w:rsidRPr="00EF61B5">
        <w:rPr>
          <w:rFonts w:ascii="Verdana" w:eastAsia="Century Gothic" w:hAnsi="Verdana" w:cs="Century Gothic"/>
        </w:rPr>
        <w:t xml:space="preserve">deben publicar sus procesos contractuales en el SECOP? </w:t>
      </w:r>
    </w:p>
    <w:p w14:paraId="0CF196E4" w14:textId="77777777" w:rsidR="0040648C" w:rsidRPr="00593A5F" w:rsidRDefault="0040648C" w:rsidP="0040648C">
      <w:pPr>
        <w:spacing w:after="0" w:line="276" w:lineRule="auto"/>
        <w:jc w:val="both"/>
        <w:rPr>
          <w:rFonts w:ascii="Verdana" w:eastAsia="Calibri" w:hAnsi="Verdana" w:cs="Arial"/>
          <w:color w:val="7030A0"/>
          <w:lang w:val="es-ES"/>
        </w:rPr>
      </w:pPr>
    </w:p>
    <w:p w14:paraId="2B366D64" w14:textId="77777777" w:rsidR="0040648C" w:rsidRPr="00593A5F" w:rsidRDefault="0040648C" w:rsidP="0040648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20F5085" w14:textId="77777777" w:rsidR="0040648C" w:rsidRPr="00593A5F" w:rsidRDefault="0040648C" w:rsidP="0040648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0648C" w:rsidRPr="00593A5F" w14:paraId="529B675A" w14:textId="77777777" w:rsidTr="003A5419">
        <w:tc>
          <w:tcPr>
            <w:tcW w:w="8828" w:type="dxa"/>
            <w:shd w:val="clear" w:color="auto" w:fill="auto"/>
          </w:tcPr>
          <w:p w14:paraId="0090EB31" w14:textId="77777777" w:rsidR="0040648C" w:rsidRPr="00593A5F" w:rsidRDefault="0040648C" w:rsidP="003A5419">
            <w:pPr>
              <w:spacing w:line="276" w:lineRule="auto"/>
              <w:jc w:val="both"/>
              <w:rPr>
                <w:rFonts w:ascii="Verdana" w:eastAsia="Calibri" w:hAnsi="Verdana" w:cs="Arial"/>
                <w:color w:val="7030A0"/>
                <w:lang w:val="es-ES"/>
              </w:rPr>
            </w:pPr>
            <w:r>
              <w:rPr>
                <w:rFonts w:ascii="Verdana" w:hAnsi="Verdana" w:cs="Arial"/>
              </w:rPr>
              <w:t xml:space="preserve">Sí, las empresas de servicios públicos como entidades </w:t>
            </w:r>
            <w:r w:rsidRPr="007F1114">
              <w:rPr>
                <w:rFonts w:ascii="Verdana" w:hAnsi="Verdana" w:cs="Arial"/>
                <w:bCs/>
              </w:rPr>
              <w:t xml:space="preserve">no sometidas al </w:t>
            </w:r>
            <w:r>
              <w:rPr>
                <w:rFonts w:ascii="Verdana" w:hAnsi="Verdana" w:cs="Arial"/>
                <w:bCs/>
              </w:rPr>
              <w:t>E</w:t>
            </w:r>
            <w:r w:rsidRPr="007F1114">
              <w:rPr>
                <w:rFonts w:ascii="Verdana" w:hAnsi="Verdana" w:cs="Arial"/>
                <w:bCs/>
              </w:rPr>
              <w:t xml:space="preserve">statuto </w:t>
            </w:r>
            <w:r>
              <w:rPr>
                <w:rFonts w:ascii="Verdana" w:hAnsi="Verdana" w:cs="Arial"/>
                <w:bCs/>
              </w:rPr>
              <w:t>G</w:t>
            </w:r>
            <w:r w:rsidRPr="007F1114">
              <w:rPr>
                <w:rFonts w:ascii="Verdana" w:hAnsi="Verdana" w:cs="Arial"/>
                <w:bCs/>
              </w:rPr>
              <w:t xml:space="preserve">eneral de </w:t>
            </w:r>
            <w:r>
              <w:rPr>
                <w:rFonts w:ascii="Verdana" w:hAnsi="Verdana" w:cs="Arial"/>
                <w:bCs/>
              </w:rPr>
              <w:t>C</w:t>
            </w:r>
            <w:r w:rsidRPr="007F1114">
              <w:rPr>
                <w:rFonts w:ascii="Verdana" w:hAnsi="Verdana" w:cs="Arial"/>
                <w:bCs/>
              </w:rPr>
              <w:t xml:space="preserve">ontratación de la </w:t>
            </w:r>
            <w:r>
              <w:rPr>
                <w:rFonts w:ascii="Verdana" w:hAnsi="Verdana" w:cs="Arial"/>
                <w:bCs/>
              </w:rPr>
              <w:t>A</w:t>
            </w:r>
            <w:r w:rsidRPr="007F1114">
              <w:rPr>
                <w:rFonts w:ascii="Verdana" w:hAnsi="Verdana" w:cs="Arial"/>
                <w:bCs/>
              </w:rPr>
              <w:t xml:space="preserve">dministración </w:t>
            </w:r>
            <w:r>
              <w:rPr>
                <w:rFonts w:ascii="Verdana" w:hAnsi="Verdana" w:cs="Arial"/>
                <w:bCs/>
              </w:rPr>
              <w:t>P</w:t>
            </w:r>
            <w:r w:rsidRPr="007F1114">
              <w:rPr>
                <w:rFonts w:ascii="Verdana" w:hAnsi="Verdana" w:cs="Arial"/>
                <w:bCs/>
              </w:rPr>
              <w:t>ública</w:t>
            </w:r>
            <w:r>
              <w:rPr>
                <w:rFonts w:ascii="Verdana" w:hAnsi="Verdana" w:cs="Arial"/>
                <w:bCs/>
              </w:rPr>
              <w:t xml:space="preserve">, </w:t>
            </w:r>
            <w:r>
              <w:rPr>
                <w:rFonts w:ascii="Verdana" w:hAnsi="Verdana" w:cs="Arial"/>
              </w:rPr>
              <w:t xml:space="preserve">en virtud del artículo </w:t>
            </w:r>
            <w:r w:rsidRPr="005E58E0">
              <w:rPr>
                <w:rFonts w:ascii="Verdana" w:eastAsia="Calibri" w:hAnsi="Verdana" w:cs="Arial"/>
                <w:color w:val="000000"/>
              </w:rPr>
              <w:t>53 de la Ley 2195 de 2022</w:t>
            </w:r>
            <w:r>
              <w:rPr>
                <w:rFonts w:ascii="Verdana" w:eastAsia="Calibri" w:hAnsi="Verdana" w:cs="Arial"/>
                <w:color w:val="000000"/>
              </w:rPr>
              <w:t xml:space="preserve"> y el </w:t>
            </w:r>
            <w:r w:rsidRPr="005817C0">
              <w:rPr>
                <w:rFonts w:ascii="Verdana" w:eastAsia="Times New Roman" w:hAnsi="Verdana" w:cs="Arial"/>
                <w:lang w:val="es-ES_tradnl" w:eastAsia="es-ES_tradnl"/>
                <w14:ligatures w14:val="standardContextual"/>
              </w:rPr>
              <w:t>artículo 3 de la Ley 1150 de 2007</w:t>
            </w:r>
            <w:r>
              <w:rPr>
                <w:rFonts w:ascii="Verdana" w:eastAsia="Times New Roman" w:hAnsi="Verdana" w:cs="Arial"/>
                <w:lang w:val="es-ES_tradnl" w:eastAsia="es-ES_tradnl"/>
                <w14:ligatures w14:val="standardContextual"/>
              </w:rPr>
              <w:t>,</w:t>
            </w:r>
            <w:r>
              <w:rPr>
                <w:rFonts w:ascii="Verdana" w:hAnsi="Verdana" w:cs="Arial"/>
                <w:bCs/>
              </w:rPr>
              <w:t xml:space="preserve"> </w:t>
            </w:r>
            <w:r w:rsidRPr="003E2CCE">
              <w:rPr>
                <w:rFonts w:ascii="Verdana" w:hAnsi="Verdana" w:cs="Arial"/>
              </w:rPr>
              <w:t xml:space="preserve">se encuentran obligadas a publicar </w:t>
            </w:r>
            <w:r>
              <w:rPr>
                <w:rFonts w:ascii="Verdana" w:hAnsi="Verdana" w:cs="Arial"/>
              </w:rPr>
              <w:t xml:space="preserve">en el SECOP II </w:t>
            </w:r>
            <w:r w:rsidRPr="003E2CCE">
              <w:rPr>
                <w:rFonts w:ascii="Verdana" w:hAnsi="Verdana" w:cs="Arial"/>
              </w:rPr>
              <w:t>los documentos de su actividad contractual</w:t>
            </w:r>
            <w:r>
              <w:rPr>
                <w:rFonts w:ascii="Verdana" w:hAnsi="Verdana" w:cs="Arial"/>
              </w:rPr>
              <w:t xml:space="preserve"> cuya fuente de financiación sea con recursos públicos</w:t>
            </w:r>
            <w:r w:rsidRPr="003E2CCE">
              <w:rPr>
                <w:rFonts w:ascii="Verdana" w:hAnsi="Verdana" w:cs="Arial"/>
              </w:rPr>
              <w:t>,</w:t>
            </w:r>
            <w:r>
              <w:rPr>
                <w:rFonts w:ascii="Verdana" w:hAnsi="Verdana" w:cs="Arial"/>
              </w:rPr>
              <w:t xml:space="preserve"> </w:t>
            </w:r>
            <w:r w:rsidRPr="003E2CCE">
              <w:rPr>
                <w:rFonts w:ascii="Verdana" w:hAnsi="Verdana" w:cs="Arial"/>
              </w:rPr>
              <w:t>sin perjuicio de estar sometidas a regímenes de derecho privado</w:t>
            </w:r>
            <w:r>
              <w:rPr>
                <w:rFonts w:ascii="Verdana" w:hAnsi="Verdana" w:cs="Arial"/>
              </w:rPr>
              <w:t>.</w:t>
            </w:r>
          </w:p>
        </w:tc>
      </w:tr>
    </w:tbl>
    <w:p w14:paraId="2ED8DC83" w14:textId="77777777" w:rsidR="0040648C" w:rsidRPr="00593A5F" w:rsidRDefault="0040648C" w:rsidP="0040648C">
      <w:pPr>
        <w:tabs>
          <w:tab w:val="left" w:pos="142"/>
          <w:tab w:val="left" w:pos="284"/>
        </w:tabs>
        <w:spacing w:after="0" w:line="276" w:lineRule="auto"/>
        <w:jc w:val="both"/>
        <w:rPr>
          <w:rFonts w:ascii="Verdana" w:eastAsia="Century Gothic" w:hAnsi="Verdana" w:cs="Century Gothic"/>
          <w:b/>
          <w:bCs/>
          <w:lang w:val="es-ES"/>
        </w:rPr>
      </w:pPr>
    </w:p>
    <w:p w14:paraId="50905359" w14:textId="77777777" w:rsidR="0040648C" w:rsidRPr="00593A5F" w:rsidRDefault="0040648C" w:rsidP="0040648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BDA5B4B" w14:textId="77777777" w:rsidR="0040648C" w:rsidRPr="00593A5F" w:rsidRDefault="0040648C" w:rsidP="0040648C">
      <w:pPr>
        <w:spacing w:after="0" w:line="276" w:lineRule="auto"/>
        <w:jc w:val="both"/>
        <w:rPr>
          <w:rFonts w:ascii="Verdana" w:eastAsia="Calibri" w:hAnsi="Verdana" w:cs="Arial"/>
          <w:color w:val="7030A0"/>
          <w:lang w:val="es-ES"/>
        </w:rPr>
      </w:pPr>
    </w:p>
    <w:p w14:paraId="12ED1D8C" w14:textId="77777777" w:rsidR="0040648C" w:rsidRDefault="0040648C" w:rsidP="0040648C">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2D933A69" w14:textId="77777777" w:rsidR="0040648C" w:rsidRDefault="0040648C" w:rsidP="0040648C">
      <w:pPr>
        <w:spacing w:after="0" w:line="276" w:lineRule="auto"/>
        <w:jc w:val="both"/>
        <w:rPr>
          <w:rFonts w:ascii="Verdana" w:eastAsia="Calibri" w:hAnsi="Verdana" w:cs="Arial"/>
          <w:lang w:val="es-ES"/>
        </w:rPr>
      </w:pPr>
    </w:p>
    <w:p w14:paraId="04348A9E" w14:textId="77777777" w:rsidR="0040648C" w:rsidRDefault="0040648C" w:rsidP="0040648C">
      <w:pPr>
        <w:widowControl w:val="0"/>
        <w:spacing w:after="0" w:line="276" w:lineRule="auto"/>
        <w:ind w:right="112"/>
        <w:jc w:val="both"/>
        <w:rPr>
          <w:rFonts w:ascii="Verdana" w:eastAsia="Arial" w:hAnsi="Verdana" w:cs="Arial"/>
          <w:lang w:eastAsia="es-CO"/>
        </w:rPr>
      </w:pPr>
      <w:r>
        <w:rPr>
          <w:rFonts w:ascii="Verdana" w:eastAsia="Arial" w:hAnsi="Verdana" w:cs="Arial"/>
          <w:lang w:eastAsia="es-CO"/>
        </w:rPr>
        <w:t>El</w:t>
      </w:r>
      <w:r w:rsidRPr="00484B65">
        <w:rPr>
          <w:rFonts w:ascii="Verdana" w:eastAsia="Arial" w:hAnsi="Verdana" w:cs="Arial"/>
          <w:lang w:eastAsia="es-CO"/>
        </w:rPr>
        <w:t xml:space="preserve"> artículo 14 de la Ley 142 de 1994 contiene las definiciones para la correcta aplicación e interpretación del régimen de servicios públicos domiciliarios. Esta norma define las Empresas de Servicios Públicos Oficial, la mixta y la privada, </w:t>
      </w:r>
      <w:r w:rsidRPr="00484B65">
        <w:rPr>
          <w:rFonts w:ascii="Verdana" w:eastAsia="Arial" w:hAnsi="Verdana" w:cs="Arial"/>
          <w:lang w:eastAsia="es-CO"/>
        </w:rPr>
        <w:lastRenderedPageBreak/>
        <w:t xml:space="preserve">en los siguientes términos: </w:t>
      </w:r>
    </w:p>
    <w:p w14:paraId="6EB672E9" w14:textId="77777777" w:rsidR="0040648C" w:rsidRPr="00484B65" w:rsidRDefault="0040648C" w:rsidP="0040648C">
      <w:pPr>
        <w:widowControl w:val="0"/>
        <w:spacing w:after="0" w:line="276" w:lineRule="auto"/>
        <w:ind w:right="112"/>
        <w:jc w:val="both"/>
        <w:rPr>
          <w:rFonts w:ascii="Verdana" w:eastAsia="Arial" w:hAnsi="Verdana" w:cs="Arial"/>
          <w:sz w:val="16"/>
          <w:szCs w:val="16"/>
          <w:lang w:eastAsia="es-CO"/>
        </w:rPr>
      </w:pPr>
    </w:p>
    <w:p w14:paraId="68635897" w14:textId="1D4798AE" w:rsidR="0040648C" w:rsidRPr="00CA1BE7" w:rsidRDefault="009E71B1" w:rsidP="0040648C">
      <w:pPr>
        <w:widowControl w:val="0"/>
        <w:numPr>
          <w:ilvl w:val="1"/>
          <w:numId w:val="17"/>
        </w:numPr>
        <w:tabs>
          <w:tab w:val="left" w:pos="1361"/>
        </w:tabs>
        <w:spacing w:after="120" w:line="240" w:lineRule="auto"/>
        <w:ind w:left="709" w:right="709"/>
        <w:jc w:val="both"/>
        <w:rPr>
          <w:rFonts w:ascii="Verdana" w:eastAsia="Calibri" w:hAnsi="Verdana" w:cs="Calibri"/>
          <w:sz w:val="20"/>
          <w:szCs w:val="20"/>
          <w:lang w:eastAsia="es-CO"/>
        </w:rPr>
      </w:pPr>
      <w:r>
        <w:rPr>
          <w:rFonts w:ascii="Verdana" w:eastAsia="Arial" w:hAnsi="Verdana" w:cs="Arial"/>
          <w:sz w:val="20"/>
          <w:szCs w:val="20"/>
          <w:lang w:eastAsia="es-CO"/>
        </w:rPr>
        <w:t>“</w:t>
      </w:r>
      <w:r w:rsidR="0040648C" w:rsidRPr="00CA1BE7">
        <w:rPr>
          <w:rFonts w:ascii="Verdana" w:eastAsia="Arial" w:hAnsi="Verdana" w:cs="Arial"/>
          <w:sz w:val="20"/>
          <w:szCs w:val="20"/>
          <w:lang w:eastAsia="es-CO"/>
        </w:rPr>
        <w:t>Empresa de servicios públicos oficial. Es aquella en cuyo capital la Nación, las entidades territoriales, o las entidades descentralizadas de aquella o estas tienen el 100% de los aportes.</w:t>
      </w:r>
    </w:p>
    <w:p w14:paraId="464A941D" w14:textId="77777777" w:rsidR="0040648C" w:rsidRPr="00CA1BE7" w:rsidRDefault="0040648C" w:rsidP="0040648C">
      <w:pPr>
        <w:widowControl w:val="0"/>
        <w:numPr>
          <w:ilvl w:val="1"/>
          <w:numId w:val="17"/>
        </w:numPr>
        <w:tabs>
          <w:tab w:val="left" w:pos="1363"/>
        </w:tabs>
        <w:spacing w:after="120" w:line="240" w:lineRule="auto"/>
        <w:ind w:left="709" w:right="709"/>
        <w:jc w:val="both"/>
        <w:rPr>
          <w:rFonts w:ascii="Verdana" w:eastAsia="Calibri" w:hAnsi="Verdana" w:cs="Calibri"/>
          <w:sz w:val="20"/>
          <w:szCs w:val="20"/>
          <w:lang w:eastAsia="es-CO"/>
        </w:rPr>
      </w:pPr>
      <w:r w:rsidRPr="00CA1BE7">
        <w:rPr>
          <w:rFonts w:ascii="Verdana" w:eastAsia="Arial" w:hAnsi="Verdana" w:cs="Arial"/>
          <w:sz w:val="20"/>
          <w:szCs w:val="20"/>
          <w:lang w:eastAsia="es-CO"/>
        </w:rPr>
        <w:t>Empresa de servicios públicos mixta. Es aquella en cuyo capital la Nación, las entidades territoriales, o las entidades descentralizadas de aquella o éstas tienen aportes iguales o superiores al 50%.</w:t>
      </w:r>
    </w:p>
    <w:p w14:paraId="3620EEA8" w14:textId="1C7D752C" w:rsidR="0040648C" w:rsidRPr="00CA1BE7" w:rsidRDefault="0040648C" w:rsidP="0040648C">
      <w:pPr>
        <w:widowControl w:val="0"/>
        <w:numPr>
          <w:ilvl w:val="1"/>
          <w:numId w:val="17"/>
        </w:numPr>
        <w:tabs>
          <w:tab w:val="left" w:pos="1531"/>
        </w:tabs>
        <w:spacing w:before="1" w:after="0" w:line="240" w:lineRule="auto"/>
        <w:ind w:left="709" w:right="709"/>
        <w:jc w:val="both"/>
        <w:rPr>
          <w:rFonts w:ascii="Verdana" w:eastAsia="Calibri" w:hAnsi="Verdana" w:cs="Calibri"/>
          <w:sz w:val="20"/>
          <w:szCs w:val="20"/>
          <w:lang w:eastAsia="es-CO"/>
        </w:rPr>
      </w:pPr>
      <w:r w:rsidRPr="00CA1BE7">
        <w:rPr>
          <w:rFonts w:ascii="Verdana" w:eastAsia="Arial" w:hAnsi="Verdana" w:cs="Arial"/>
          <w:sz w:val="20"/>
          <w:szCs w:val="20"/>
          <w:lang w:eastAsia="es-CO"/>
        </w:rPr>
        <w:t>Empresa de servicios públicos privada. Es aquella cuyo capital pertenece mayoritariamente a particulares, o a entidades surgidas de convenios internacionales que deseen someterse íntegramente para estos efectos a las reglas a las que se someten los particulares.</w:t>
      </w:r>
      <w:r w:rsidR="009E71B1">
        <w:rPr>
          <w:rFonts w:ascii="Verdana" w:eastAsia="Arial" w:hAnsi="Verdana" w:cs="Arial"/>
          <w:sz w:val="20"/>
          <w:szCs w:val="20"/>
          <w:lang w:eastAsia="es-CO"/>
        </w:rPr>
        <w:t>”</w:t>
      </w:r>
    </w:p>
    <w:p w14:paraId="28707FDF" w14:textId="77777777" w:rsidR="0040648C" w:rsidRPr="00484B65" w:rsidRDefault="0040648C" w:rsidP="0040648C">
      <w:pPr>
        <w:widowControl w:val="0"/>
        <w:spacing w:after="0"/>
        <w:rPr>
          <w:rFonts w:ascii="Verdana" w:eastAsia="Arial" w:hAnsi="Verdana" w:cs="Arial"/>
          <w:szCs w:val="24"/>
          <w:lang w:eastAsia="es-CO"/>
        </w:rPr>
      </w:pPr>
    </w:p>
    <w:p w14:paraId="7EE64382" w14:textId="77777777" w:rsidR="0040648C" w:rsidRPr="00484B65" w:rsidRDefault="0040648C" w:rsidP="0040648C">
      <w:pPr>
        <w:widowControl w:val="0"/>
        <w:spacing w:after="120" w:line="276" w:lineRule="auto"/>
        <w:ind w:right="112" w:firstLine="708"/>
        <w:jc w:val="both"/>
        <w:rPr>
          <w:rFonts w:ascii="Verdana" w:eastAsia="Calibri" w:hAnsi="Verdana" w:cs="Calibri"/>
          <w:szCs w:val="24"/>
          <w:lang w:eastAsia="es-CO"/>
        </w:rPr>
      </w:pPr>
      <w:r w:rsidRPr="00484B65">
        <w:rPr>
          <w:rFonts w:ascii="Verdana" w:eastAsia="Arial" w:hAnsi="Verdana" w:cs="Arial"/>
          <w:lang w:eastAsia="es-CO"/>
        </w:rPr>
        <w:t xml:space="preserve">A su turno, el artículo 17 de la ley citada señala que </w:t>
      </w:r>
      <w:r w:rsidRPr="00DF7FAA">
        <w:rPr>
          <w:rFonts w:ascii="Verdana" w:eastAsia="Arial" w:hAnsi="Verdana" w:cs="Arial"/>
          <w:lang w:eastAsia="es-CO"/>
        </w:rPr>
        <w:t xml:space="preserve">“las empresas de servicios públicos son sociedades por acciones cuyo objeto es la prestación de los servicios públicos de que trata esta ley”. </w:t>
      </w:r>
      <w:r w:rsidRPr="00484B65">
        <w:rPr>
          <w:rFonts w:ascii="Verdana" w:eastAsia="Arial" w:hAnsi="Verdana" w:cs="Arial"/>
          <w:lang w:eastAsia="es-CO"/>
        </w:rPr>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100%</w:t>
      </w:r>
      <w:r w:rsidRPr="00484B65">
        <w:rPr>
          <w:rFonts w:ascii="Verdana" w:eastAsia="Arial" w:hAnsi="Verdana" w:cs="Arial"/>
          <w:vertAlign w:val="superscript"/>
          <w:lang w:eastAsia="es-CO"/>
        </w:rPr>
        <w:footnoteReference w:id="3"/>
      </w:r>
      <w:r w:rsidRPr="00484B65">
        <w:rPr>
          <w:rFonts w:ascii="Verdana" w:eastAsia="Arial" w:hAnsi="Verdana" w:cs="Arial"/>
          <w:lang w:eastAsia="es-CO"/>
        </w:rPr>
        <w:t>.</w:t>
      </w:r>
    </w:p>
    <w:p w14:paraId="62B8C697" w14:textId="77777777" w:rsidR="0040648C" w:rsidRPr="00484B65" w:rsidRDefault="0040648C" w:rsidP="0040648C">
      <w:pPr>
        <w:widowControl w:val="0"/>
        <w:spacing w:after="120" w:line="276" w:lineRule="auto"/>
        <w:ind w:right="104" w:firstLine="720"/>
        <w:jc w:val="both"/>
        <w:rPr>
          <w:rFonts w:ascii="Verdana" w:eastAsia="Calibri" w:hAnsi="Verdana" w:cs="Calibri"/>
          <w:szCs w:val="24"/>
          <w:lang w:eastAsia="es-CO"/>
        </w:rPr>
      </w:pPr>
      <w:r w:rsidRPr="00484B65">
        <w:rPr>
          <w:rFonts w:ascii="Verdana" w:eastAsia="Arial" w:hAnsi="Verdana" w:cs="Arial"/>
          <w:lang w:eastAsia="es-CO"/>
        </w:rPr>
        <w:t xml:space="preserve">Lo anterior llevó a pensar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w:t>
      </w:r>
      <w:r>
        <w:rPr>
          <w:rFonts w:ascii="Verdana" w:eastAsia="Arial" w:hAnsi="Verdana" w:cs="Arial"/>
          <w:lang w:eastAsia="es-CO"/>
        </w:rPr>
        <w:t>“</w:t>
      </w:r>
      <w:r w:rsidRPr="007E4E71">
        <w:rPr>
          <w:rFonts w:ascii="Verdana" w:eastAsia="Arial" w:hAnsi="Verdana" w:cs="Arial"/>
          <w:i/>
          <w:iCs/>
          <w:lang w:eastAsia="es-CO"/>
        </w:rPr>
        <w:t>g) Las demás entidades administrativas nacionales con personería jurídica que cree, organice o autorice la ley para que formen parte de la Rama Ejecutiva del Poder Público</w:t>
      </w:r>
      <w:r>
        <w:rPr>
          <w:rFonts w:ascii="Verdana" w:eastAsia="Arial" w:hAnsi="Verdana" w:cs="Arial"/>
          <w:lang w:eastAsia="es-CO"/>
        </w:rPr>
        <w:t>”</w:t>
      </w:r>
      <w:r w:rsidRPr="00484B65">
        <w:rPr>
          <w:rFonts w:ascii="Verdana" w:eastAsia="Arial" w:hAnsi="Verdana" w:cs="Arial"/>
          <w:lang w:eastAsia="es-CO"/>
        </w:rPr>
        <w:t xml:space="preserve">. </w:t>
      </w:r>
    </w:p>
    <w:p w14:paraId="65A76C24" w14:textId="77777777" w:rsidR="0040648C" w:rsidRPr="00484B65" w:rsidRDefault="0040648C" w:rsidP="0040648C">
      <w:pPr>
        <w:widowControl w:val="0"/>
        <w:spacing w:before="93" w:after="0" w:line="276" w:lineRule="auto"/>
        <w:ind w:right="106" w:firstLine="720"/>
        <w:jc w:val="both"/>
        <w:rPr>
          <w:rFonts w:ascii="Verdana" w:eastAsia="Calibri" w:hAnsi="Verdana" w:cs="Calibri"/>
          <w:szCs w:val="24"/>
          <w:lang w:eastAsia="es-CO"/>
        </w:rPr>
      </w:pPr>
      <w:r w:rsidRPr="00484B65">
        <w:rPr>
          <w:rFonts w:ascii="Verdana" w:eastAsia="Arial" w:hAnsi="Verdana" w:cs="Arial"/>
          <w:lang w:eastAsia="es-CO"/>
        </w:rPr>
        <w:t xml:space="preserve">La Corte Constitucional, además de señalar la pertenencia a la Rama </w:t>
      </w:r>
      <w:r w:rsidRPr="00484B65">
        <w:rPr>
          <w:rFonts w:ascii="Verdana" w:eastAsia="Arial" w:hAnsi="Verdana" w:cs="Arial"/>
          <w:lang w:eastAsia="es-CO"/>
        </w:rPr>
        <w:lastRenderedPageBreak/>
        <w:t>Ejecutiva de las empresas de servicios públicos mixtas y privadas, también sostuvo que se trataba de entidades descentralizadas por servicios, en los términos del artículo 68 de la Ley 489 de 1998:</w:t>
      </w:r>
    </w:p>
    <w:p w14:paraId="62EC8063" w14:textId="77777777" w:rsidR="0040648C" w:rsidRPr="00484B65" w:rsidRDefault="0040648C" w:rsidP="0040648C">
      <w:pPr>
        <w:widowControl w:val="0"/>
        <w:spacing w:after="0"/>
        <w:rPr>
          <w:rFonts w:ascii="Verdana" w:eastAsia="Arial" w:hAnsi="Verdana" w:cs="Arial"/>
          <w:lang w:eastAsia="es-CO"/>
        </w:rPr>
      </w:pPr>
    </w:p>
    <w:p w14:paraId="2606319B" w14:textId="77777777" w:rsidR="0040648C" w:rsidRPr="001272A0" w:rsidRDefault="0040648C" w:rsidP="0040648C">
      <w:pPr>
        <w:widowControl w:val="0"/>
        <w:spacing w:after="120"/>
        <w:ind w:left="709" w:right="709"/>
        <w:jc w:val="both"/>
        <w:rPr>
          <w:rFonts w:ascii="Verdana" w:eastAsia="Arial" w:hAnsi="Verdana" w:cs="Arial"/>
          <w:sz w:val="20"/>
          <w:szCs w:val="20"/>
          <w:lang w:eastAsia="es-CO"/>
        </w:rPr>
      </w:pPr>
      <w:r>
        <w:rPr>
          <w:rFonts w:ascii="Verdana" w:eastAsia="Arial" w:hAnsi="Verdana" w:cs="Arial"/>
          <w:sz w:val="20"/>
          <w:szCs w:val="20"/>
          <w:lang w:eastAsia="es-CO"/>
        </w:rPr>
        <w:t>“</w:t>
      </w:r>
      <w:r w:rsidRPr="001272A0">
        <w:rPr>
          <w:rFonts w:ascii="Verdana" w:eastAsia="Arial" w:hAnsi="Verdana" w:cs="Arial"/>
          <w:sz w:val="20"/>
          <w:szCs w:val="20"/>
          <w:lang w:eastAsia="es-CO"/>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56A9C067" w14:textId="77777777" w:rsidR="0040648C" w:rsidRPr="001272A0" w:rsidRDefault="0040648C" w:rsidP="0040648C">
      <w:pPr>
        <w:widowControl w:val="0"/>
        <w:spacing w:after="12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494718FE" w14:textId="77777777" w:rsidR="0040648C" w:rsidRPr="001272A0" w:rsidRDefault="0040648C" w:rsidP="0040648C">
      <w:pPr>
        <w:widowControl w:val="0"/>
        <w:spacing w:after="12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47969F7D" w14:textId="77777777" w:rsidR="0040648C" w:rsidRPr="001272A0" w:rsidRDefault="0040648C" w:rsidP="0040648C">
      <w:pPr>
        <w:widowControl w:val="0"/>
        <w:spacing w:after="12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Así las cosas, de cara a la constitucionalidad del artículo 38 de la Ley 498 de 1998, y concretamente de la expresión “las empresas oficiales de servicios públicos domiciliarios” contenida en su literal d), la Corte declarará su exequibilidad, por considerar que dentro del supuesto normativo del literal g) se comprenden las empresas mixtas o privadas de servicios públicos, que de esta manera viene a conformar también la Rama Ejecutiva del poder público.</w:t>
      </w:r>
    </w:p>
    <w:p w14:paraId="787168BB" w14:textId="77777777" w:rsidR="0040648C" w:rsidRPr="001272A0" w:rsidRDefault="0040648C" w:rsidP="0040648C">
      <w:pPr>
        <w:widowControl w:val="0"/>
        <w:spacing w:after="12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w:t>
      </w:r>
    </w:p>
    <w:p w14:paraId="31CBC479" w14:textId="77777777" w:rsidR="0040648C" w:rsidRPr="001272A0" w:rsidRDefault="0040648C" w:rsidP="0040648C">
      <w:pPr>
        <w:widowControl w:val="0"/>
        <w:spacing w:after="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 xml:space="preserve">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w:t>
      </w:r>
      <w:r w:rsidRPr="001272A0">
        <w:rPr>
          <w:rFonts w:ascii="Verdana" w:eastAsia="Arial" w:hAnsi="Verdana" w:cs="Arial"/>
          <w:sz w:val="20"/>
          <w:szCs w:val="20"/>
          <w:lang w:eastAsia="es-CO"/>
        </w:rPr>
        <w:lastRenderedPageBreak/>
        <w:t>“las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Pr>
          <w:rFonts w:ascii="Verdana" w:eastAsia="Arial" w:hAnsi="Verdana" w:cs="Arial"/>
          <w:sz w:val="20"/>
          <w:szCs w:val="20"/>
          <w:lang w:eastAsia="es-CO"/>
        </w:rPr>
        <w:t>”</w:t>
      </w:r>
      <w:r w:rsidRPr="001272A0">
        <w:rPr>
          <w:rFonts w:ascii="Verdana" w:eastAsia="Arial" w:hAnsi="Verdana" w:cs="Arial"/>
          <w:sz w:val="20"/>
          <w:szCs w:val="20"/>
          <w:vertAlign w:val="superscript"/>
          <w:lang w:eastAsia="es-CO"/>
        </w:rPr>
        <w:footnoteReference w:id="4"/>
      </w:r>
      <w:r w:rsidRPr="001272A0">
        <w:rPr>
          <w:rFonts w:ascii="Verdana" w:eastAsia="Arial" w:hAnsi="Verdana" w:cs="Arial"/>
          <w:sz w:val="20"/>
          <w:szCs w:val="20"/>
          <w:lang w:eastAsia="es-CO"/>
        </w:rPr>
        <w:t>.</w:t>
      </w:r>
    </w:p>
    <w:p w14:paraId="713D1738" w14:textId="77777777" w:rsidR="0040648C" w:rsidRPr="00484B65" w:rsidRDefault="0040648C" w:rsidP="0040648C">
      <w:pPr>
        <w:widowControl w:val="0"/>
        <w:spacing w:before="1" w:after="0" w:line="276" w:lineRule="auto"/>
        <w:ind w:left="100" w:right="110"/>
        <w:jc w:val="both"/>
        <w:rPr>
          <w:rFonts w:ascii="Verdana" w:eastAsia="Arial" w:hAnsi="Verdana" w:cs="Arial"/>
          <w:lang w:eastAsia="es-CO"/>
        </w:rPr>
      </w:pPr>
    </w:p>
    <w:p w14:paraId="4FB0A133" w14:textId="77777777" w:rsidR="0040648C" w:rsidRDefault="0040648C" w:rsidP="0040648C">
      <w:pPr>
        <w:spacing w:after="0" w:line="276" w:lineRule="auto"/>
        <w:ind w:firstLine="708"/>
        <w:jc w:val="both"/>
        <w:rPr>
          <w:rFonts w:ascii="Verdana" w:eastAsia="Arial" w:hAnsi="Verdana" w:cs="Arial"/>
          <w:lang w:eastAsia="es-CO"/>
        </w:rPr>
      </w:pPr>
      <w:r w:rsidRPr="00484B65">
        <w:rPr>
          <w:rFonts w:ascii="Verdana" w:eastAsia="Arial" w:hAnsi="Verdana" w:cs="Arial"/>
          <w:lang w:eastAsia="es-CO"/>
        </w:rPr>
        <w:t>En esta providencia también se hace una aclaración que resulta importante: las empresas prestadoras de servicios públicos, de carácter mixto no deben ser consideradas como sociedades de economía mixta</w:t>
      </w:r>
      <w:r>
        <w:rPr>
          <w:rStyle w:val="Refdenotaalpie"/>
          <w:rFonts w:ascii="Verdana" w:eastAsia="Arial" w:hAnsi="Verdana" w:cs="Arial"/>
          <w:lang w:eastAsia="es-CO"/>
        </w:rPr>
        <w:footnoteReference w:id="5"/>
      </w:r>
      <w:r w:rsidRPr="00484B65">
        <w:rPr>
          <w:rFonts w:ascii="Verdana" w:eastAsia="Arial" w:hAnsi="Verdana" w:cs="Arial"/>
          <w:lang w:eastAsia="es-CO"/>
        </w:rPr>
        <w:t>.</w:t>
      </w:r>
      <w:r>
        <w:rPr>
          <w:rFonts w:ascii="Verdana" w:eastAsia="Arial" w:hAnsi="Verdana" w:cs="Arial"/>
          <w:lang w:eastAsia="es-CO"/>
        </w:rPr>
        <w:t xml:space="preserve"> </w:t>
      </w:r>
      <w:r w:rsidRPr="00484B65">
        <w:rPr>
          <w:rFonts w:ascii="Verdana" w:eastAsia="Arial" w:hAnsi="Verdana" w:cs="Arial"/>
          <w:lang w:eastAsia="es-CO"/>
        </w:rPr>
        <w:t>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p>
    <w:p w14:paraId="4625040F" w14:textId="77777777" w:rsidR="0040648C" w:rsidRDefault="0040648C" w:rsidP="0040648C">
      <w:pPr>
        <w:spacing w:after="0" w:line="276" w:lineRule="auto"/>
        <w:jc w:val="both"/>
        <w:rPr>
          <w:rFonts w:ascii="Verdana" w:eastAsia="Arial" w:hAnsi="Verdana" w:cs="Arial"/>
          <w:lang w:eastAsia="es-CO"/>
        </w:rPr>
      </w:pPr>
    </w:p>
    <w:p w14:paraId="151987D2" w14:textId="77777777" w:rsidR="0040648C" w:rsidRDefault="0040648C" w:rsidP="0040648C">
      <w:pPr>
        <w:spacing w:after="0" w:line="276" w:lineRule="auto"/>
        <w:jc w:val="both"/>
        <w:rPr>
          <w:rFonts w:ascii="Verdana" w:eastAsia="Calibri" w:hAnsi="Verdana" w:cs="Arial"/>
          <w:lang w:val="es-ES"/>
        </w:rPr>
      </w:pPr>
      <w:r>
        <w:rPr>
          <w:rFonts w:ascii="Verdana" w:eastAsia="Arial" w:hAnsi="Verdana" w:cs="Arial"/>
          <w:lang w:eastAsia="es-CO"/>
        </w:rPr>
        <w:tab/>
        <w:t xml:space="preserve">En relación con el régimen de contratación de las empresas de servicios públicos, </w:t>
      </w:r>
      <w:r w:rsidRPr="008E6A3E">
        <w:rPr>
          <w:rFonts w:ascii="Verdana" w:eastAsia="Calibri" w:hAnsi="Verdana" w:cs="Arial"/>
          <w:color w:val="000000" w:themeColor="text1"/>
          <w:szCs w:val="24"/>
          <w:lang w:val="es-ES_tradnl" w:eastAsia="es-ES_tradnl"/>
        </w:rPr>
        <w:t>el artículo 31 de la Ley 142 de 1994, modificado por el artículo 3 de la Ley 689 de 2001, dispone que</w:t>
      </w:r>
      <w:r w:rsidRPr="008E6A3E">
        <w:rPr>
          <w:rFonts w:ascii="Verdana" w:hAnsi="Verdana" w:cs="Arial"/>
          <w:color w:val="000000"/>
          <w:bdr w:val="none" w:sz="0" w:space="0" w:color="auto" w:frame="1"/>
        </w:rPr>
        <w:t xml:space="preserve"> los contratos que celebren las entidades estatales que prestan los servicios públicos domiciliarios </w:t>
      </w:r>
      <w:r w:rsidRPr="001272A0">
        <w:rPr>
          <w:rFonts w:ascii="Verdana" w:hAnsi="Verdana" w:cs="Arial"/>
          <w:i/>
          <w:color w:val="000000"/>
          <w:bdr w:val="none" w:sz="0" w:space="0" w:color="auto" w:frame="1"/>
        </w:rPr>
        <w:t>“no estarán sujetos a las disposiciones del Estatuto General de Contratación de la Administración Pública, salvo en lo que la presente ley disponga otra cosa”</w:t>
      </w:r>
      <w:r w:rsidRPr="008E6A3E">
        <w:rPr>
          <w:rFonts w:ascii="Verdana" w:eastAsia="Calibri" w:hAnsi="Verdana" w:cs="Arial"/>
          <w:color w:val="000000" w:themeColor="text1"/>
          <w:szCs w:val="24"/>
          <w:lang w:val="es-ES_tradnl" w:eastAsia="es-ES_tradnl"/>
        </w:rPr>
        <w:t xml:space="preserve">. Por su parte, el artículo 32 de la Ley 142 consagra el régimen de derecho privado para las empresas de </w:t>
      </w:r>
      <w:r w:rsidRPr="008E6A3E">
        <w:rPr>
          <w:rFonts w:ascii="Verdana" w:eastAsia="Calibri" w:hAnsi="Verdana" w:cs="Arial"/>
          <w:color w:val="000000" w:themeColor="text1"/>
          <w:szCs w:val="24"/>
          <w:lang w:val="es-ES_tradnl" w:eastAsia="es-ES_tradnl"/>
        </w:rPr>
        <w:lastRenderedPageBreak/>
        <w:t>servicios públicos domiciliarios, indicando que sus actos se rigen por los principios y reglas aplicables a los particulares</w:t>
      </w:r>
      <w:r w:rsidRPr="008E6A3E">
        <w:rPr>
          <w:rFonts w:ascii="Verdana" w:eastAsia="Calibri" w:hAnsi="Verdana" w:cs="Arial"/>
          <w:color w:val="000000" w:themeColor="text1"/>
          <w:szCs w:val="24"/>
          <w:vertAlign w:val="superscript"/>
          <w:lang w:val="es-ES_tradnl" w:eastAsia="es-ES_tradnl"/>
        </w:rPr>
        <w:footnoteReference w:id="6"/>
      </w:r>
      <w:r w:rsidRPr="008E6A3E">
        <w:rPr>
          <w:rFonts w:ascii="Verdana" w:eastAsia="Calibri" w:hAnsi="Verdana" w:cs="Arial"/>
          <w:color w:val="000000" w:themeColor="text1"/>
          <w:szCs w:val="24"/>
          <w:lang w:val="es-ES_tradnl" w:eastAsia="es-ES_tradnl"/>
        </w:rPr>
        <w:t>.</w:t>
      </w:r>
    </w:p>
    <w:p w14:paraId="0F7C4B00" w14:textId="77777777" w:rsidR="0040648C" w:rsidRPr="008E6A3E" w:rsidRDefault="0040648C" w:rsidP="0040648C">
      <w:pPr>
        <w:spacing w:before="120" w:line="276" w:lineRule="auto"/>
        <w:ind w:firstLine="709"/>
        <w:jc w:val="both"/>
        <w:rPr>
          <w:rFonts w:ascii="Verdana" w:eastAsia="Calibri" w:hAnsi="Verdana" w:cs="Arial"/>
          <w:color w:val="000000" w:themeColor="text1"/>
          <w:szCs w:val="24"/>
          <w:lang w:val="es-ES_tradnl" w:eastAsia="es-ES_tradnl"/>
        </w:rPr>
      </w:pPr>
      <w:r>
        <w:rPr>
          <w:rFonts w:ascii="Verdana" w:eastAsia="Times New Roman" w:hAnsi="Verdana" w:cs="Arial"/>
          <w:lang w:val="es-ES_tradnl" w:eastAsia="es-ES_tradnl"/>
          <w14:ligatures w14:val="standardContextual"/>
        </w:rPr>
        <w:t xml:space="preserve">Así, en la actividad contractual las empresas de servicios públicos se sujetan a las disposiciones del derecho privado, salvo en aquellos casos en que la normativa (Constitución Política, Ley 142 de 1994 u otras normas especiales) someta dicha actuación al </w:t>
      </w:r>
      <w:r w:rsidRPr="008E6A3E">
        <w:rPr>
          <w:rFonts w:ascii="Verdana" w:eastAsia="Calibri" w:hAnsi="Verdana" w:cs="Arial"/>
          <w:color w:val="000000" w:themeColor="text1"/>
          <w:lang w:val="es-ES" w:eastAsia="es-ES"/>
        </w:rPr>
        <w:t>al Estatuto General de Contratación de la Administración Pública</w:t>
      </w:r>
      <w:r>
        <w:rPr>
          <w:rFonts w:ascii="Verdana" w:eastAsia="Calibri" w:hAnsi="Verdana" w:cs="Arial"/>
          <w:color w:val="000000" w:themeColor="text1"/>
          <w:lang w:val="es-ES" w:eastAsia="es-ES"/>
        </w:rPr>
        <w:t xml:space="preserve">. Adicionalmente, su actuar se encuentra regido por </w:t>
      </w:r>
      <w:r w:rsidRPr="008E6A3E">
        <w:rPr>
          <w:rFonts w:ascii="Verdana" w:eastAsia="Calibri" w:hAnsi="Verdana" w:cs="Arial"/>
          <w:color w:val="000000" w:themeColor="text1"/>
          <w:szCs w:val="24"/>
          <w:lang w:val="es-ES_tradnl" w:eastAsia="es-ES_tradnl"/>
        </w:rPr>
        <w:t>los principios de la función administrativa y de la gestión fiscal, previstos en los artículos 209 y 267 de la Constitución, toda vez que así lo dispone el artículo 13 de la Ley 1150 de 2007</w:t>
      </w:r>
      <w:r w:rsidRPr="008E6A3E">
        <w:rPr>
          <w:rFonts w:ascii="Verdana" w:eastAsia="Calibri" w:hAnsi="Verdana" w:cs="Arial"/>
          <w:color w:val="000000" w:themeColor="text1"/>
          <w:szCs w:val="24"/>
          <w:vertAlign w:val="superscript"/>
          <w:lang w:val="es-ES_tradnl" w:eastAsia="es-ES_tradnl"/>
        </w:rPr>
        <w:footnoteReference w:id="7"/>
      </w:r>
      <w:r w:rsidRPr="008E6A3E">
        <w:rPr>
          <w:rFonts w:ascii="Verdana" w:eastAsia="Calibri" w:hAnsi="Verdana" w:cs="Arial"/>
          <w:color w:val="000000" w:themeColor="text1"/>
          <w:szCs w:val="24"/>
          <w:lang w:val="es-ES_tradnl" w:eastAsia="es-ES_tradnl"/>
        </w:rPr>
        <w:t>.</w:t>
      </w:r>
    </w:p>
    <w:p w14:paraId="2E55EBF5" w14:textId="77777777" w:rsidR="0040648C" w:rsidRPr="00330EF6" w:rsidRDefault="0040648C" w:rsidP="0040648C">
      <w:pPr>
        <w:spacing w:before="120" w:after="120" w:line="276" w:lineRule="auto"/>
        <w:ind w:firstLine="709"/>
        <w:jc w:val="both"/>
        <w:rPr>
          <w:rFonts w:ascii="Verdana" w:eastAsia="Times New Roman" w:hAnsi="Verdana" w:cs="Arial"/>
          <w:lang w:val="es-ES_tradnl" w:eastAsia="es-ES_tradnl"/>
          <w14:ligatures w14:val="standardContextual"/>
        </w:rPr>
      </w:pPr>
      <w:r>
        <w:rPr>
          <w:rFonts w:ascii="Verdana" w:eastAsia="Times New Roman" w:hAnsi="Verdana" w:cs="Arial"/>
          <w:lang w:val="es-ES_tradnl" w:eastAsia="es-ES_tradnl"/>
          <w14:ligatures w14:val="standardContextual"/>
        </w:rPr>
        <w:t>En esa medida, e</w:t>
      </w:r>
      <w:r w:rsidRPr="005817C0">
        <w:rPr>
          <w:rFonts w:ascii="Verdana" w:eastAsia="Times New Roman" w:hAnsi="Verdana" w:cs="Arial"/>
          <w:lang w:val="es-ES_tradnl" w:eastAsia="es-ES_tradnl"/>
          <w14:ligatures w14:val="standardContextual"/>
        </w:rPr>
        <w:t xml:space="preserv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w:t>
      </w:r>
      <w:r w:rsidRPr="00330EF6">
        <w:rPr>
          <w:rFonts w:ascii="Verdana" w:eastAsia="Times New Roman" w:hAnsi="Verdana" w:cs="Arial"/>
          <w:lang w:val="es-ES_tradnl" w:eastAsia="es-ES_tradnl"/>
          <w14:ligatures w14:val="standardContextual"/>
        </w:rPr>
        <w:t>información oficial de la contratación realizada con dineros públicos, para lo cual establecerá los patrones a que haya lugar y se encargará de su difusión a través de canales electrónicos”</w:t>
      </w:r>
      <w:r w:rsidRPr="00330EF6">
        <w:rPr>
          <w:rFonts w:ascii="Verdana" w:eastAsia="Times New Roman" w:hAnsi="Verdana" w:cs="Arial"/>
          <w:vertAlign w:val="superscript"/>
          <w:lang w:val="es-ES_tradnl" w:eastAsia="es-ES_tradnl"/>
          <w14:ligatures w14:val="standardContextual"/>
        </w:rPr>
        <w:footnoteReference w:id="8"/>
      </w:r>
      <w:r w:rsidRPr="00330EF6">
        <w:rPr>
          <w:rFonts w:ascii="Verdana" w:eastAsia="Times New Roman" w:hAnsi="Verdana" w:cs="Arial"/>
          <w:lang w:val="es-ES_tradnl" w:eastAsia="es-ES_tradnl"/>
          <w14:ligatures w14:val="standardContextual"/>
        </w:rPr>
        <w:t>.</w:t>
      </w:r>
    </w:p>
    <w:p w14:paraId="3149EF3F" w14:textId="77777777" w:rsidR="0040648C" w:rsidRPr="001272A0" w:rsidRDefault="0040648C" w:rsidP="0040648C">
      <w:pPr>
        <w:spacing w:line="276" w:lineRule="auto"/>
        <w:ind w:firstLine="708"/>
        <w:contextualSpacing/>
        <w:jc w:val="both"/>
        <w:rPr>
          <w:rFonts w:ascii="Verdana" w:hAnsi="Verdana" w:cs="Arial"/>
          <w:bCs/>
        </w:rPr>
      </w:pPr>
      <w:r w:rsidRPr="00CA3378">
        <w:rPr>
          <w:rFonts w:ascii="Verdana" w:eastAsia="Calibri" w:hAnsi="Verdana" w:cs="Arial"/>
          <w:lang w:val="es-ES" w:eastAsia="es-ES"/>
        </w:rPr>
        <w:t xml:space="preserve">En particular, tratándose del deber de publicación de las entidades estatales exceptuadas del Estatuto General de Contratación de la Administración Pública, resulta particularmente relevante lo dispuesto en el artículo 53 de la Ley </w:t>
      </w:r>
      <w:r w:rsidRPr="00CA3378">
        <w:rPr>
          <w:rFonts w:ascii="Verdana" w:eastAsia="Calibri" w:hAnsi="Verdana" w:cs="Arial"/>
          <w:lang w:val="es-ES" w:eastAsia="es-ES"/>
        </w:rPr>
        <w:lastRenderedPageBreak/>
        <w:t xml:space="preserve">2195 de 2022, </w:t>
      </w:r>
      <w:r w:rsidRPr="001272A0">
        <w:rPr>
          <w:rFonts w:ascii="Verdana" w:hAnsi="Verdana" w:cs="Arial"/>
          <w:bCs/>
        </w:rPr>
        <w:t>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Al respecto, la norma citada, de manera expresa, señala:</w:t>
      </w:r>
    </w:p>
    <w:p w14:paraId="7C6C042C" w14:textId="77777777" w:rsidR="0040648C" w:rsidRPr="001272A0" w:rsidRDefault="0040648C" w:rsidP="0040648C">
      <w:pPr>
        <w:ind w:firstLine="301"/>
        <w:contextualSpacing/>
        <w:rPr>
          <w:rFonts w:ascii="Verdana" w:hAnsi="Verdana" w:cs="Arial"/>
          <w:bCs/>
        </w:rPr>
      </w:pPr>
    </w:p>
    <w:p w14:paraId="56E90657" w14:textId="77777777" w:rsidR="0040648C" w:rsidRPr="001272A0" w:rsidRDefault="0040648C" w:rsidP="0040648C">
      <w:pPr>
        <w:ind w:left="709" w:right="709"/>
        <w:contextualSpacing/>
        <w:jc w:val="both"/>
        <w:rPr>
          <w:rFonts w:ascii="Verdana" w:hAnsi="Verdana" w:cs="Arial"/>
          <w:bCs/>
          <w:sz w:val="20"/>
          <w:szCs w:val="20"/>
        </w:rPr>
      </w:pPr>
      <w:r w:rsidRPr="001272A0">
        <w:rPr>
          <w:rFonts w:ascii="Verdana" w:hAnsi="Verdana" w:cs="Arial"/>
          <w:bCs/>
          <w:sz w:val="20"/>
          <w:szCs w:val="20"/>
        </w:rPr>
        <w:t>“Adiciónese los siguientes incisos al artículo 13 de la Ley 1150 de 2007, el cual quedará así:</w:t>
      </w:r>
    </w:p>
    <w:p w14:paraId="44A52946" w14:textId="77777777" w:rsidR="0040648C" w:rsidRPr="001272A0" w:rsidRDefault="0040648C" w:rsidP="0040648C">
      <w:pPr>
        <w:ind w:left="709" w:right="709"/>
        <w:contextualSpacing/>
        <w:jc w:val="both"/>
        <w:rPr>
          <w:rFonts w:ascii="Verdana" w:hAnsi="Verdana" w:cs="Arial"/>
          <w:bCs/>
          <w:sz w:val="20"/>
          <w:szCs w:val="20"/>
        </w:rPr>
      </w:pPr>
    </w:p>
    <w:p w14:paraId="0F2D2AF7" w14:textId="77777777" w:rsidR="0040648C" w:rsidRPr="001272A0" w:rsidRDefault="0040648C" w:rsidP="0040648C">
      <w:pPr>
        <w:ind w:left="709" w:right="709"/>
        <w:contextualSpacing/>
        <w:jc w:val="both"/>
        <w:rPr>
          <w:rFonts w:ascii="Verdana" w:hAnsi="Verdana" w:cs="Arial"/>
          <w:bCs/>
          <w:sz w:val="20"/>
          <w:szCs w:val="20"/>
        </w:rPr>
      </w:pPr>
      <w:r w:rsidRPr="001272A0">
        <w:rPr>
          <w:rFonts w:ascii="Verdana" w:hAnsi="Verdana" w:cs="Arial"/>
          <w:bCs/>
          <w:sz w:val="20"/>
          <w:szCs w:val="20"/>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52D5F29D" w14:textId="77777777" w:rsidR="0040648C" w:rsidRPr="001272A0" w:rsidRDefault="0040648C" w:rsidP="0040648C">
      <w:pPr>
        <w:ind w:left="709" w:right="709"/>
        <w:contextualSpacing/>
        <w:jc w:val="both"/>
        <w:rPr>
          <w:rFonts w:ascii="Verdana" w:hAnsi="Verdana" w:cs="Arial"/>
          <w:bCs/>
          <w:sz w:val="20"/>
          <w:szCs w:val="20"/>
        </w:rPr>
      </w:pPr>
    </w:p>
    <w:p w14:paraId="74C9434E" w14:textId="77777777" w:rsidR="0040648C" w:rsidRPr="001272A0" w:rsidRDefault="0040648C" w:rsidP="0040648C">
      <w:pPr>
        <w:ind w:left="709" w:right="709"/>
        <w:contextualSpacing/>
        <w:jc w:val="both"/>
        <w:rPr>
          <w:rFonts w:ascii="Verdana" w:hAnsi="Verdana" w:cs="Arial"/>
          <w:bCs/>
          <w:sz w:val="20"/>
          <w:szCs w:val="20"/>
        </w:rPr>
      </w:pPr>
      <w:r w:rsidRPr="001272A0">
        <w:rPr>
          <w:rFonts w:ascii="Verdana" w:hAnsi="Verdana" w:cs="Arial"/>
          <w:bCs/>
          <w:sz w:val="20"/>
          <w:szCs w:val="20"/>
        </w:rPr>
        <w:t xml:space="preserve">En desarrollo de los anteriores principios, deberán publicar los documentos relacionados con su </w:t>
      </w:r>
      <w:r w:rsidRPr="001272A0">
        <w:rPr>
          <w:rFonts w:ascii="Verdana" w:hAnsi="Verdana" w:cs="Arial"/>
          <w:bCs/>
          <w:i/>
          <w:iCs/>
          <w:sz w:val="20"/>
          <w:szCs w:val="20"/>
        </w:rPr>
        <w:t>actividad contractual</w:t>
      </w:r>
      <w:r w:rsidRPr="001272A0">
        <w:rPr>
          <w:rFonts w:ascii="Verdana" w:hAnsi="Verdana" w:cs="Arial"/>
          <w:bCs/>
          <w:sz w:val="20"/>
          <w:szCs w:val="20"/>
        </w:rPr>
        <w:t xml:space="preserve"> en el Sistema Electrónico para la Contratación Pública –SECOP II– o la plataforma transaccional que haga sus veces. Para los efectos de este artículo</w:t>
      </w:r>
      <w:r w:rsidRPr="00DF7FAA">
        <w:rPr>
          <w:rFonts w:ascii="Verdana" w:hAnsi="Verdana" w:cs="Arial"/>
          <w:bCs/>
          <w:sz w:val="20"/>
          <w:szCs w:val="20"/>
        </w:rPr>
        <w:t>, se entiende por actividad contractual los documentos, contratos, actos e información generada por oferentes, contratista, contratante, supervisor o interventor, tanto en la etapa precontractual, como en la contractual y la postcontractual.</w:t>
      </w:r>
    </w:p>
    <w:p w14:paraId="6827F21B" w14:textId="77777777" w:rsidR="0040648C" w:rsidRPr="001272A0" w:rsidRDefault="0040648C" w:rsidP="0040648C">
      <w:pPr>
        <w:ind w:left="709" w:right="709"/>
        <w:contextualSpacing/>
        <w:jc w:val="both"/>
        <w:rPr>
          <w:rFonts w:ascii="Verdana" w:hAnsi="Verdana" w:cs="Arial"/>
          <w:bCs/>
          <w:sz w:val="20"/>
          <w:szCs w:val="20"/>
        </w:rPr>
      </w:pPr>
    </w:p>
    <w:p w14:paraId="5F7FEFDD" w14:textId="77777777" w:rsidR="0040648C" w:rsidRPr="001272A0" w:rsidRDefault="0040648C" w:rsidP="0040648C">
      <w:pPr>
        <w:ind w:left="709" w:right="709"/>
        <w:contextualSpacing/>
        <w:jc w:val="both"/>
        <w:rPr>
          <w:rFonts w:ascii="Verdana" w:hAnsi="Verdana" w:cs="Arial"/>
          <w:bCs/>
          <w:sz w:val="20"/>
          <w:szCs w:val="20"/>
        </w:rPr>
      </w:pPr>
      <w:r w:rsidRPr="001272A0">
        <w:rPr>
          <w:rFonts w:ascii="Verdana" w:hAnsi="Verdana" w:cs="Arial"/>
          <w:bCs/>
          <w:sz w:val="20"/>
          <w:szCs w:val="20"/>
        </w:rPr>
        <w:t xml:space="preserve">A partir de la entrada en vigencia de la presente Ley, se establecerá un periodo de transición de seis (6) meses, para que las entidades den cumplimiento efectivo a lo aquí establecido”. </w:t>
      </w:r>
    </w:p>
    <w:p w14:paraId="4A21ED5E" w14:textId="77777777" w:rsidR="0040648C" w:rsidRDefault="0040648C" w:rsidP="0040648C">
      <w:pPr>
        <w:spacing w:after="0" w:line="276" w:lineRule="auto"/>
        <w:jc w:val="both"/>
        <w:rPr>
          <w:rFonts w:ascii="Verdana" w:eastAsia="Calibri" w:hAnsi="Verdana" w:cs="Arial"/>
          <w:lang w:val="es-ES"/>
        </w:rPr>
      </w:pPr>
    </w:p>
    <w:p w14:paraId="129C0133" w14:textId="77777777" w:rsidR="0040648C" w:rsidRDefault="0040648C" w:rsidP="0040648C">
      <w:pPr>
        <w:spacing w:after="0" w:line="276" w:lineRule="auto"/>
        <w:ind w:firstLine="708"/>
        <w:jc w:val="both"/>
        <w:rPr>
          <w:rFonts w:ascii="Verdana" w:hAnsi="Verdana" w:cs="Arial"/>
          <w:bCs/>
        </w:rPr>
      </w:pPr>
      <w:r w:rsidRPr="001272A0">
        <w:rPr>
          <w:rFonts w:ascii="Verdana" w:hAnsi="Verdana" w:cs="Arial"/>
          <w:bCs/>
        </w:rPr>
        <w:t xml:space="preserve">Cabe destacar que cuando la norma trascrita hace referencia a que el mencionado deber de publicidad debe cumplirse en el SECOP II </w:t>
      </w:r>
      <w:r w:rsidRPr="001272A0">
        <w:rPr>
          <w:rFonts w:ascii="Verdana" w:hAnsi="Verdana" w:cs="Arial"/>
          <w:bCs/>
          <w:i/>
          <w:iCs/>
        </w:rPr>
        <w:t>“o la plataforma transaccional que haga sus veces”</w:t>
      </w:r>
      <w:r w:rsidRPr="001272A0">
        <w:rPr>
          <w:rFonts w:ascii="Verdana" w:hAnsi="Verdana" w:cs="Arial"/>
          <w:bCs/>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w:t>
      </w:r>
      <w:r w:rsidRPr="001272A0">
        <w:rPr>
          <w:rFonts w:ascii="Verdana" w:hAnsi="Verdana" w:cs="Arial"/>
          <w:bCs/>
        </w:rPr>
        <w:lastRenderedPageBreak/>
        <w:t>tienen un régimen exceptuado deben continuar publicando la documentación de su actividad contractual en la nueva plataforma</w:t>
      </w:r>
      <w:r>
        <w:rPr>
          <w:rFonts w:ascii="Verdana" w:hAnsi="Verdana" w:cs="Arial"/>
          <w:bCs/>
        </w:rPr>
        <w:t>.</w:t>
      </w:r>
    </w:p>
    <w:p w14:paraId="05E6B109" w14:textId="77777777" w:rsidR="0040648C" w:rsidRDefault="0040648C" w:rsidP="0040648C">
      <w:pPr>
        <w:spacing w:after="0" w:line="276" w:lineRule="auto"/>
        <w:jc w:val="both"/>
        <w:rPr>
          <w:rFonts w:ascii="Verdana" w:hAnsi="Verdana" w:cs="Arial"/>
          <w:bCs/>
        </w:rPr>
      </w:pPr>
    </w:p>
    <w:p w14:paraId="7E225FE3" w14:textId="77777777" w:rsidR="0040648C" w:rsidRPr="003E2CCE" w:rsidRDefault="0040648C" w:rsidP="0040648C">
      <w:pPr>
        <w:spacing w:after="120" w:line="276" w:lineRule="auto"/>
        <w:ind w:firstLine="709"/>
        <w:jc w:val="both"/>
        <w:rPr>
          <w:rFonts w:ascii="Verdana" w:eastAsia="Calibri" w:hAnsi="Verdana" w:cs="Arial"/>
          <w:color w:val="000000" w:themeColor="text1"/>
        </w:rPr>
      </w:pPr>
      <w:r>
        <w:rPr>
          <w:rFonts w:ascii="Verdana" w:hAnsi="Verdana" w:cs="Arial"/>
          <w:bCs/>
        </w:rPr>
        <w:t xml:space="preserve">Adicionalmente, se aclara </w:t>
      </w:r>
      <w:r w:rsidRPr="003E2CCE">
        <w:rPr>
          <w:rFonts w:ascii="Verdana" w:eastAsia="Calibri" w:hAnsi="Verdana" w:cs="Arial"/>
          <w:color w:val="000000" w:themeColor="text1"/>
        </w:rPr>
        <w:t>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r w:rsidRPr="003E2CCE">
        <w:rPr>
          <w:rStyle w:val="Refdenotaalpie"/>
          <w:rFonts w:ascii="Verdana" w:eastAsia="Calibri" w:hAnsi="Verdana" w:cs="Arial"/>
          <w:color w:val="000000" w:themeColor="text1"/>
        </w:rPr>
        <w:footnoteReference w:id="9"/>
      </w:r>
      <w:r w:rsidRPr="003E2CCE">
        <w:rPr>
          <w:rFonts w:ascii="Verdana" w:eastAsia="Calibri" w:hAnsi="Verdana" w:cs="Arial"/>
          <w:color w:val="000000" w:themeColor="text1"/>
        </w:rPr>
        <w:t>.</w:t>
      </w:r>
    </w:p>
    <w:p w14:paraId="07C57B75" w14:textId="77777777" w:rsidR="0040648C" w:rsidRPr="00A9456D" w:rsidRDefault="0040648C" w:rsidP="0040648C">
      <w:pPr>
        <w:spacing w:after="120" w:line="276" w:lineRule="auto"/>
        <w:ind w:firstLine="709"/>
        <w:jc w:val="both"/>
        <w:rPr>
          <w:rFonts w:ascii="Verdana" w:eastAsia="Calibri" w:hAnsi="Verdana" w:cs="Arial"/>
          <w:color w:val="000000"/>
        </w:rPr>
      </w:pPr>
      <w:r>
        <w:rPr>
          <w:rFonts w:ascii="Verdana" w:eastAsia="Calibri" w:hAnsi="Verdana" w:cs="Arial"/>
          <w:color w:val="000000"/>
        </w:rPr>
        <w:t xml:space="preserve">Ahora bien, sobre la procedencia de los recursos para efectos de la publicidad de la actividad contractual de las entidades exceptuadas, es preciso indicar que </w:t>
      </w:r>
      <w:r w:rsidRPr="003E2CCE">
        <w:rPr>
          <w:rFonts w:ascii="Verdana" w:eastAsia="Calibri" w:hAnsi="Verdana" w:cs="Arial"/>
          <w:color w:val="000000"/>
          <w:lang w:val="es-ES_tradnl"/>
        </w:rPr>
        <w:t xml:space="preserve">la Agencia Nacional de Contratación Pública – Colombia Compra Eficiente </w:t>
      </w:r>
      <w:r>
        <w:rPr>
          <w:rFonts w:ascii="Verdana" w:eastAsia="Calibri" w:hAnsi="Verdana" w:cs="Arial"/>
          <w:color w:val="000000"/>
          <w:lang w:val="es-ES_tradnl"/>
        </w:rPr>
        <w:t>expidió</w:t>
      </w:r>
      <w:r>
        <w:rPr>
          <w:rFonts w:ascii="Verdana" w:eastAsia="Calibri" w:hAnsi="Verdana" w:cs="Arial"/>
          <w:color w:val="000000"/>
        </w:rPr>
        <w:t xml:space="preserve"> </w:t>
      </w:r>
      <w:r w:rsidRPr="003E2CCE">
        <w:rPr>
          <w:rFonts w:ascii="Verdana" w:eastAsia="Calibri" w:hAnsi="Verdana" w:cs="Arial"/>
          <w:color w:val="000000"/>
        </w:rPr>
        <w:t>Circular</w:t>
      </w:r>
      <w:r w:rsidRPr="003E2CCE">
        <w:rPr>
          <w:rFonts w:ascii="Verdana" w:eastAsia="Calibri" w:hAnsi="Verdana" w:cs="Arial"/>
          <w:color w:val="000000"/>
          <w:lang w:val="es-ES_tradnl"/>
        </w:rPr>
        <w:t xml:space="preserve"> Externa 00</w:t>
      </w:r>
      <w:r>
        <w:rPr>
          <w:rFonts w:ascii="Verdana" w:eastAsia="Calibri" w:hAnsi="Verdana" w:cs="Arial"/>
          <w:color w:val="000000"/>
          <w:lang w:val="es-ES_tradnl"/>
        </w:rPr>
        <w:t>2</w:t>
      </w:r>
      <w:r w:rsidRPr="003E2CCE">
        <w:rPr>
          <w:rFonts w:ascii="Verdana" w:eastAsia="Calibri" w:hAnsi="Verdana" w:cs="Arial"/>
          <w:color w:val="000000"/>
          <w:lang w:val="es-ES_tradnl"/>
        </w:rPr>
        <w:t xml:space="preserve"> del </w:t>
      </w:r>
      <w:r>
        <w:rPr>
          <w:rFonts w:ascii="Verdana" w:eastAsia="Calibri" w:hAnsi="Verdana" w:cs="Arial"/>
          <w:color w:val="000000"/>
          <w:lang w:val="es-ES_tradnl"/>
        </w:rPr>
        <w:t>23</w:t>
      </w:r>
      <w:r w:rsidRPr="003E2CCE">
        <w:rPr>
          <w:rFonts w:ascii="Verdana" w:eastAsia="Calibri" w:hAnsi="Verdana" w:cs="Arial"/>
          <w:color w:val="000000"/>
          <w:lang w:val="es-ES_tradnl"/>
        </w:rPr>
        <w:t xml:space="preserve"> de </w:t>
      </w:r>
      <w:r>
        <w:rPr>
          <w:rFonts w:ascii="Verdana" w:eastAsia="Calibri" w:hAnsi="Verdana" w:cs="Arial"/>
          <w:color w:val="000000"/>
          <w:lang w:val="es-ES_tradnl"/>
        </w:rPr>
        <w:t>agosto</w:t>
      </w:r>
      <w:r w:rsidRPr="003E2CCE">
        <w:rPr>
          <w:rFonts w:ascii="Verdana" w:eastAsia="Calibri" w:hAnsi="Verdana" w:cs="Arial"/>
          <w:color w:val="000000"/>
          <w:lang w:val="es-ES_tradnl"/>
        </w:rPr>
        <w:t xml:space="preserve"> de 202</w:t>
      </w:r>
      <w:r>
        <w:rPr>
          <w:rFonts w:ascii="Verdana" w:eastAsia="Calibri" w:hAnsi="Verdana" w:cs="Arial"/>
          <w:color w:val="000000"/>
          <w:lang w:val="es-ES_tradnl"/>
        </w:rPr>
        <w:t xml:space="preserve">4, </w:t>
      </w:r>
      <w:r>
        <w:rPr>
          <w:rFonts w:ascii="Verdana" w:eastAsia="Calibri" w:hAnsi="Verdana" w:cs="Arial"/>
          <w:color w:val="000000"/>
        </w:rPr>
        <w:t>en la cual</w:t>
      </w:r>
      <w:r w:rsidRPr="003E2CCE">
        <w:rPr>
          <w:rFonts w:ascii="Verdana" w:eastAsia="Calibri" w:hAnsi="Verdana" w:cs="Arial"/>
          <w:color w:val="000000"/>
          <w:lang w:val="es-ES_tradnl"/>
        </w:rPr>
        <w:t xml:space="preserve"> </w:t>
      </w:r>
      <w:r>
        <w:rPr>
          <w:rFonts w:ascii="Verdana" w:eastAsia="Calibri" w:hAnsi="Verdana" w:cs="Arial"/>
          <w:color w:val="000000"/>
          <w:lang w:val="es-ES_tradnl"/>
        </w:rPr>
        <w:t xml:space="preserve">señaló lo siguiente: </w:t>
      </w:r>
    </w:p>
    <w:p w14:paraId="3E1DF1E0" w14:textId="357B8D69" w:rsidR="0040648C" w:rsidRPr="00743D9D" w:rsidRDefault="009E71B1" w:rsidP="0040648C">
      <w:pPr>
        <w:spacing w:before="120" w:line="276" w:lineRule="auto"/>
        <w:ind w:left="709" w:right="616"/>
        <w:jc w:val="both"/>
        <w:rPr>
          <w:rFonts w:ascii="Verdana" w:eastAsia="Calibri" w:hAnsi="Verdana" w:cs="Arial"/>
          <w:color w:val="000000"/>
          <w:sz w:val="21"/>
          <w:szCs w:val="21"/>
          <w:lang w:val="es-ES_tradnl"/>
        </w:rPr>
      </w:pPr>
      <w:r>
        <w:rPr>
          <w:rFonts w:ascii="Verdana" w:eastAsia="Calibri" w:hAnsi="Verdana" w:cs="Arial"/>
          <w:color w:val="000000"/>
          <w:sz w:val="21"/>
          <w:szCs w:val="21"/>
        </w:rPr>
        <w:t>“</w:t>
      </w:r>
      <w:r w:rsidR="0040648C" w:rsidRPr="007911FF">
        <w:rPr>
          <w:rFonts w:ascii="Verdana" w:eastAsia="Calibri" w:hAnsi="Verdana" w:cs="Arial"/>
          <w:color w:val="000000"/>
          <w:sz w:val="21"/>
          <w:szCs w:val="21"/>
        </w:rPr>
        <w:t xml:space="preserve">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De conformidad con lo expuesto, teniendo en cuenta que el artículo 53 complementa la disposición contenida en el artículo 3 de la </w:t>
      </w:r>
      <w:r w:rsidR="0040648C" w:rsidRPr="007911FF">
        <w:rPr>
          <w:rFonts w:ascii="Verdana" w:eastAsia="Calibri" w:hAnsi="Verdana" w:cs="Arial"/>
          <w:color w:val="000000"/>
          <w:sz w:val="21"/>
          <w:szCs w:val="21"/>
        </w:rPr>
        <w:lastRenderedPageBreak/>
        <w:t xml:space="preserve">Ley 1150 de 2007, debe entenderse que la contratación a la que se refiere es aquella </w:t>
      </w:r>
      <w:bookmarkStart w:id="1" w:name="_Hlk186230457"/>
      <w:r w:rsidR="0040648C" w:rsidRPr="007911FF">
        <w:rPr>
          <w:rFonts w:ascii="Verdana" w:eastAsia="Calibri" w:hAnsi="Verdana" w:cs="Arial"/>
          <w:color w:val="000000"/>
          <w:sz w:val="21"/>
          <w:szCs w:val="21"/>
        </w:rPr>
        <w:t>realizada con recursos públicos</w:t>
      </w:r>
      <w:bookmarkEnd w:id="1"/>
      <w:r w:rsidR="0040648C" w:rsidRPr="007911FF">
        <w:rPr>
          <w:rFonts w:ascii="Verdana" w:eastAsia="Calibri" w:hAnsi="Verdana" w:cs="Arial"/>
          <w:color w:val="000000"/>
          <w:sz w:val="21"/>
          <w:szCs w:val="21"/>
        </w:rPr>
        <w:t>, cuya información es la que debe publicarse en el SECOP II</w:t>
      </w:r>
      <w:r>
        <w:rPr>
          <w:rFonts w:ascii="Verdana" w:eastAsia="Calibri" w:hAnsi="Verdana" w:cs="Arial"/>
          <w:color w:val="000000"/>
          <w:sz w:val="21"/>
          <w:szCs w:val="21"/>
        </w:rPr>
        <w:t>”</w:t>
      </w:r>
      <w:r w:rsidR="0040648C" w:rsidRPr="007911FF">
        <w:rPr>
          <w:rFonts w:ascii="Verdana" w:eastAsia="Calibri" w:hAnsi="Verdana" w:cs="Arial"/>
          <w:color w:val="000000"/>
          <w:sz w:val="21"/>
          <w:szCs w:val="21"/>
        </w:rPr>
        <w:t>.</w:t>
      </w:r>
    </w:p>
    <w:p w14:paraId="1DD4E4F6" w14:textId="77777777" w:rsidR="0040648C" w:rsidRDefault="0040648C" w:rsidP="007D584D">
      <w:pPr>
        <w:spacing w:after="120" w:line="276" w:lineRule="auto"/>
        <w:jc w:val="both"/>
        <w:rPr>
          <w:rFonts w:ascii="Verdana" w:hAnsi="Verdana" w:cs="Arial"/>
        </w:rPr>
      </w:pPr>
      <w:r w:rsidRPr="003E2CCE">
        <w:rPr>
          <w:rFonts w:ascii="Verdana" w:hAnsi="Verdana" w:cs="Arial"/>
        </w:rPr>
        <w:t>Conforme a lo anterior,</w:t>
      </w:r>
      <w:r>
        <w:rPr>
          <w:rFonts w:ascii="Verdana" w:hAnsi="Verdana" w:cs="Arial"/>
        </w:rPr>
        <w:t xml:space="preserve"> el entendimiento de esta Agencia </w:t>
      </w:r>
      <w:r>
        <w:rPr>
          <w:rFonts w:ascii="Verdana" w:eastAsia="Calibri" w:hAnsi="Verdana" w:cs="Arial"/>
          <w:color w:val="000000"/>
          <w:lang w:val="es-ES_tradnl"/>
        </w:rPr>
        <w:t xml:space="preserve">sobre la </w:t>
      </w:r>
      <w:r>
        <w:rPr>
          <w:rFonts w:ascii="Verdana" w:eastAsia="Calibri" w:hAnsi="Verdana" w:cs="Arial"/>
          <w:color w:val="000000"/>
        </w:rPr>
        <w:t>a</w:t>
      </w:r>
      <w:r w:rsidRPr="005E58E0">
        <w:rPr>
          <w:rFonts w:ascii="Verdana" w:eastAsia="Calibri" w:hAnsi="Verdana" w:cs="Arial"/>
          <w:color w:val="000000"/>
        </w:rPr>
        <w:t xml:space="preserve">plicación del artículo 53 de la </w:t>
      </w:r>
      <w:bookmarkStart w:id="2" w:name="_Hlk186230347"/>
      <w:r w:rsidRPr="005E58E0">
        <w:rPr>
          <w:rFonts w:ascii="Verdana" w:eastAsia="Calibri" w:hAnsi="Verdana" w:cs="Arial"/>
          <w:color w:val="000000"/>
        </w:rPr>
        <w:t>Ley 2195 de 2022</w:t>
      </w:r>
      <w:bookmarkEnd w:id="2"/>
      <w:r w:rsidRPr="005E58E0">
        <w:rPr>
          <w:rFonts w:ascii="Verdana" w:eastAsia="Calibri" w:hAnsi="Verdana" w:cs="Arial"/>
          <w:color w:val="000000"/>
        </w:rPr>
        <w:t>,</w:t>
      </w:r>
      <w:r>
        <w:rPr>
          <w:rFonts w:ascii="Verdana" w:eastAsia="Calibri" w:hAnsi="Verdana" w:cs="Arial"/>
          <w:color w:val="000000"/>
        </w:rPr>
        <w:t xml:space="preserve"> </w:t>
      </w:r>
      <w:r>
        <w:rPr>
          <w:rFonts w:ascii="Verdana" w:hAnsi="Verdana" w:cs="Arial"/>
        </w:rPr>
        <w:t>es que</w:t>
      </w:r>
      <w:r w:rsidRPr="003E2CCE">
        <w:rPr>
          <w:rFonts w:ascii="Verdana" w:hAnsi="Verdana" w:cs="Arial"/>
        </w:rPr>
        <w:t xml:space="preserve"> las entidades exceptuadas se encuentran obligadas a publicar </w:t>
      </w:r>
      <w:r>
        <w:rPr>
          <w:rFonts w:ascii="Verdana" w:hAnsi="Verdana" w:cs="Arial"/>
        </w:rPr>
        <w:t xml:space="preserve">en el SECOP II </w:t>
      </w:r>
      <w:r w:rsidRPr="003E2CCE">
        <w:rPr>
          <w:rFonts w:ascii="Verdana" w:hAnsi="Verdana" w:cs="Arial"/>
        </w:rPr>
        <w:t>los documentos de su actividad contractual</w:t>
      </w:r>
      <w:r>
        <w:rPr>
          <w:rFonts w:ascii="Verdana" w:hAnsi="Verdana" w:cs="Arial"/>
        </w:rPr>
        <w:t xml:space="preserve"> cuya fuente de financiación sea con recursos públicos</w:t>
      </w:r>
      <w:r w:rsidRPr="003E2CCE">
        <w:rPr>
          <w:rFonts w:ascii="Verdana" w:hAnsi="Verdana" w:cs="Arial"/>
        </w:rPr>
        <w:t>,</w:t>
      </w:r>
      <w:r>
        <w:rPr>
          <w:rFonts w:ascii="Verdana" w:hAnsi="Verdana" w:cs="Arial"/>
        </w:rPr>
        <w:t xml:space="preserve"> </w:t>
      </w:r>
      <w:r w:rsidRPr="003E2CCE">
        <w:rPr>
          <w:rFonts w:ascii="Verdana" w:hAnsi="Verdana" w:cs="Arial"/>
        </w:rPr>
        <w:t>sin perjuicio de estar sometidas a regímenes de derecho privado.</w:t>
      </w:r>
      <w:r>
        <w:rPr>
          <w:rFonts w:ascii="Verdana" w:hAnsi="Verdana" w:cs="Arial"/>
        </w:rPr>
        <w:t xml:space="preserve"> </w:t>
      </w:r>
    </w:p>
    <w:p w14:paraId="0B6068E5" w14:textId="77777777" w:rsidR="0040648C" w:rsidRPr="00593A5F" w:rsidRDefault="0040648C" w:rsidP="0040648C">
      <w:pPr>
        <w:widowControl w:val="0"/>
        <w:autoSpaceDE w:val="0"/>
        <w:autoSpaceDN w:val="0"/>
        <w:spacing w:after="0" w:line="276" w:lineRule="auto"/>
        <w:jc w:val="both"/>
        <w:rPr>
          <w:rFonts w:ascii="Verdana" w:hAnsi="Verdana" w:cs="Arial"/>
        </w:rPr>
      </w:pPr>
    </w:p>
    <w:p w14:paraId="0CA4BD29" w14:textId="77777777" w:rsidR="0040648C" w:rsidRPr="00593A5F" w:rsidRDefault="0040648C" w:rsidP="0040648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6F98891" w14:textId="77777777" w:rsidR="0040648C" w:rsidRPr="00593A5F" w:rsidRDefault="0040648C" w:rsidP="0040648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0648C" w:rsidRPr="00593A5F" w14:paraId="4570E95A" w14:textId="77777777" w:rsidTr="003A5419">
        <w:trPr>
          <w:trHeight w:val="870"/>
        </w:trPr>
        <w:tc>
          <w:tcPr>
            <w:tcW w:w="8647" w:type="dxa"/>
          </w:tcPr>
          <w:p w14:paraId="4DF8DEC5" w14:textId="77777777" w:rsidR="0040648C" w:rsidRPr="00615FF2" w:rsidRDefault="0040648C" w:rsidP="0040648C">
            <w:pPr>
              <w:pStyle w:val="Prrafodelista"/>
              <w:numPr>
                <w:ilvl w:val="0"/>
                <w:numId w:val="18"/>
              </w:numPr>
              <w:spacing w:before="120" w:line="276" w:lineRule="auto"/>
              <w:jc w:val="both"/>
              <w:rPr>
                <w:rFonts w:ascii="Verdana" w:eastAsia="Times New Roman" w:hAnsi="Verdana" w:cs="Arial"/>
                <w:color w:val="000000" w:themeColor="text1"/>
                <w:lang w:eastAsia="es-ES_tradnl"/>
              </w:rPr>
            </w:pPr>
            <w:r w:rsidRPr="00615FF2">
              <w:rPr>
                <w:rFonts w:ascii="Verdana" w:eastAsia="Arial" w:hAnsi="Verdana" w:cs="Arial"/>
                <w:lang w:eastAsia="es-CO"/>
              </w:rPr>
              <w:t xml:space="preserve">Ley 142 de 1994, artículo 14, </w:t>
            </w:r>
            <w:r w:rsidRPr="00615FF2">
              <w:rPr>
                <w:rFonts w:ascii="Verdana" w:eastAsia="Times New Roman" w:hAnsi="Verdana" w:cs="Arial"/>
                <w:color w:val="000000" w:themeColor="text1"/>
                <w:lang w:eastAsia="es-ES_tradnl"/>
              </w:rPr>
              <w:t>17, 31, 32</w:t>
            </w:r>
          </w:p>
          <w:p w14:paraId="5F86F8F7" w14:textId="77777777" w:rsidR="0040648C" w:rsidRPr="00615FF2" w:rsidRDefault="0040648C" w:rsidP="0040648C">
            <w:pPr>
              <w:pStyle w:val="Prrafodelista"/>
              <w:numPr>
                <w:ilvl w:val="0"/>
                <w:numId w:val="18"/>
              </w:numPr>
              <w:spacing w:before="120" w:line="276" w:lineRule="auto"/>
              <w:jc w:val="both"/>
              <w:rPr>
                <w:rFonts w:ascii="Verdana" w:eastAsia="Times New Roman" w:hAnsi="Verdana" w:cs="Arial"/>
                <w:color w:val="000000" w:themeColor="text1"/>
                <w:lang w:eastAsia="es-ES_tradnl"/>
              </w:rPr>
            </w:pPr>
            <w:r w:rsidRPr="00615FF2">
              <w:rPr>
                <w:rFonts w:ascii="Verdana" w:eastAsia="Times New Roman" w:hAnsi="Verdana" w:cs="Arial"/>
                <w:color w:val="000000" w:themeColor="text1"/>
                <w:lang w:eastAsia="es-ES_tradnl"/>
              </w:rPr>
              <w:t>Ley 489 de 1998, artículo 38 y 68</w:t>
            </w:r>
          </w:p>
          <w:p w14:paraId="580A0DEC" w14:textId="77777777" w:rsidR="0040648C" w:rsidRPr="00615FF2" w:rsidRDefault="0040648C" w:rsidP="0040648C">
            <w:pPr>
              <w:pStyle w:val="Prrafodelista"/>
              <w:numPr>
                <w:ilvl w:val="0"/>
                <w:numId w:val="18"/>
              </w:numPr>
              <w:spacing w:before="120" w:line="276" w:lineRule="auto"/>
              <w:jc w:val="both"/>
              <w:rPr>
                <w:rFonts w:ascii="Verdana" w:eastAsia="Times New Roman" w:hAnsi="Verdana" w:cs="Arial"/>
                <w:color w:val="000000" w:themeColor="text1"/>
                <w:lang w:eastAsia="es-ES_tradnl"/>
              </w:rPr>
            </w:pPr>
            <w:r w:rsidRPr="00615FF2">
              <w:rPr>
                <w:rFonts w:ascii="Verdana" w:eastAsia="Times New Roman" w:hAnsi="Verdana" w:cs="Arial"/>
                <w:color w:val="000000" w:themeColor="text1"/>
                <w:lang w:eastAsia="es-ES_tradnl"/>
              </w:rPr>
              <w:t>Ley 1150 de 2007, artículo 3 y 13</w:t>
            </w:r>
          </w:p>
          <w:p w14:paraId="14C4E9AF" w14:textId="77777777" w:rsidR="0040648C" w:rsidRPr="00615FF2" w:rsidRDefault="0040648C" w:rsidP="0040648C">
            <w:pPr>
              <w:pStyle w:val="Prrafodelista"/>
              <w:numPr>
                <w:ilvl w:val="0"/>
                <w:numId w:val="18"/>
              </w:numPr>
              <w:spacing w:before="120" w:line="276" w:lineRule="auto"/>
              <w:jc w:val="both"/>
              <w:rPr>
                <w:rFonts w:ascii="Verdana" w:eastAsia="Times New Roman" w:hAnsi="Verdana" w:cs="Arial"/>
                <w:color w:val="000000" w:themeColor="text1"/>
                <w:lang w:eastAsia="es-ES_tradnl"/>
              </w:rPr>
            </w:pPr>
            <w:r w:rsidRPr="00615FF2">
              <w:rPr>
                <w:rFonts w:ascii="Verdana" w:eastAsia="Times New Roman" w:hAnsi="Verdana" w:cs="Arial"/>
                <w:color w:val="000000" w:themeColor="text1"/>
                <w:lang w:eastAsia="es-ES_tradnl"/>
              </w:rPr>
              <w:t>Ley 2195 de 2022, artículo 53</w:t>
            </w:r>
          </w:p>
          <w:p w14:paraId="614594F8" w14:textId="77777777" w:rsidR="0040648C" w:rsidRPr="00615FF2" w:rsidRDefault="0040648C" w:rsidP="0040648C">
            <w:pPr>
              <w:pStyle w:val="Prrafodelista"/>
              <w:numPr>
                <w:ilvl w:val="0"/>
                <w:numId w:val="18"/>
              </w:numPr>
              <w:spacing w:before="120" w:line="276" w:lineRule="auto"/>
              <w:jc w:val="both"/>
              <w:rPr>
                <w:rFonts w:ascii="Arial" w:eastAsia="Times New Roman" w:hAnsi="Arial" w:cs="Arial"/>
                <w:color w:val="000000" w:themeColor="text1"/>
                <w:lang w:eastAsia="es-ES_tradnl"/>
              </w:rPr>
            </w:pPr>
            <w:r w:rsidRPr="00615FF2">
              <w:rPr>
                <w:rFonts w:ascii="Verdana" w:hAnsi="Verdana" w:cs="Arial"/>
              </w:rPr>
              <w:t>Circular Externa No. 002 del 23 de agosto de 2024</w:t>
            </w:r>
          </w:p>
        </w:tc>
      </w:tr>
    </w:tbl>
    <w:p w14:paraId="17B4F3D2" w14:textId="77777777" w:rsidR="0040648C" w:rsidRPr="00593A5F" w:rsidRDefault="0040648C" w:rsidP="0040648C">
      <w:pPr>
        <w:widowControl w:val="0"/>
        <w:autoSpaceDE w:val="0"/>
        <w:autoSpaceDN w:val="0"/>
        <w:spacing w:after="0" w:line="276" w:lineRule="auto"/>
        <w:jc w:val="both"/>
        <w:rPr>
          <w:rFonts w:ascii="Verdana" w:hAnsi="Verdana" w:cs="Arial"/>
        </w:rPr>
      </w:pPr>
    </w:p>
    <w:p w14:paraId="13FA75C4" w14:textId="77777777" w:rsidR="0040648C" w:rsidRPr="00593A5F" w:rsidRDefault="0040648C" w:rsidP="0040648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A8495B5" w14:textId="77777777" w:rsidR="0040648C" w:rsidRPr="00593A5F" w:rsidRDefault="0040648C" w:rsidP="0040648C">
      <w:pPr>
        <w:widowControl w:val="0"/>
        <w:autoSpaceDE w:val="0"/>
        <w:autoSpaceDN w:val="0"/>
        <w:spacing w:after="0" w:line="276" w:lineRule="auto"/>
        <w:jc w:val="both"/>
        <w:rPr>
          <w:rFonts w:ascii="Verdana" w:hAnsi="Verdana" w:cs="Arial"/>
        </w:rPr>
      </w:pPr>
    </w:p>
    <w:p w14:paraId="1B6FE865" w14:textId="77777777" w:rsidR="0040648C" w:rsidRDefault="0040648C" w:rsidP="0040648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15FF2">
        <w:rPr>
          <w:rStyle w:val="normaltextrun"/>
          <w:rFonts w:ascii="Verdana" w:hAnsi="Verdana" w:cs="Arial"/>
          <w:shd w:val="clear" w:color="auto" w:fill="FFFFFF"/>
          <w:lang w:val="es-ES"/>
        </w:rPr>
        <w:t xml:space="preserve">Sobre el principio de publicidad, la obligatoriedad de publicación en la plataforma SECOP II y </w:t>
      </w:r>
      <w:r w:rsidRPr="00615FF2">
        <w:rPr>
          <w:rFonts w:ascii="Verdana" w:hAnsi="Verdana"/>
        </w:rPr>
        <w:t>la interpretación del artículo 53 de la Ley 2195 de 2022, se pronunció esta Subdirección en los conceptos CU-367 del 23 de julio de 2020, C-049 del 7 de marzo de 2022, C-120 del 22 de marzo de 2022, C-124 del 22 de marzo de 2022, C-132 del 28 de marzo de 2022,</w:t>
      </w:r>
      <w:r w:rsidRPr="00615FF2">
        <w:rPr>
          <w:rStyle w:val="normaltextrun"/>
          <w:rFonts w:ascii="Verdana" w:hAnsi="Verdana" w:cs="Arial"/>
          <w:shd w:val="clear" w:color="auto" w:fill="FFFFFF"/>
          <w:lang w:val="es-ES"/>
        </w:rPr>
        <w:t xml:space="preserve"> C-941-2024, C-009 de 2025, C-073 de 2025, entre otros. Es</w:t>
      </w:r>
      <w:r w:rsidRPr="00615FF2">
        <w:rPr>
          <w:rFonts w:ascii="Verdana" w:hAnsi="Verdana"/>
        </w:rPr>
        <w:t xml:space="preserve">tos y </w:t>
      </w:r>
      <w:r w:rsidRPr="00A1554D">
        <w:rPr>
          <w:rFonts w:ascii="Verdana" w:hAnsi="Verdana"/>
        </w:rPr>
        <w:t xml:space="preserve">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F33218A" w14:textId="77777777" w:rsidR="0040648C" w:rsidRDefault="0040648C" w:rsidP="0040648C">
      <w:pPr>
        <w:spacing w:after="0" w:line="240" w:lineRule="auto"/>
        <w:jc w:val="both"/>
        <w:rPr>
          <w:rStyle w:val="normaltextrun"/>
          <w:rFonts w:cs="Arial"/>
          <w:color w:val="000000" w:themeColor="text1"/>
          <w:shd w:val="clear" w:color="auto" w:fill="FFFFFF"/>
          <w:lang w:val="es-ES"/>
        </w:rPr>
      </w:pPr>
    </w:p>
    <w:p w14:paraId="579A8379" w14:textId="77777777" w:rsidR="0040648C" w:rsidRDefault="0040648C" w:rsidP="0040648C">
      <w:pPr>
        <w:spacing w:after="0" w:line="240" w:lineRule="auto"/>
        <w:jc w:val="both"/>
        <w:rPr>
          <w:rFonts w:ascii="Verdana" w:eastAsia="Calibri" w:hAnsi="Verdana" w:cs="Arial"/>
          <w:lang w:val="es-ES" w:eastAsia="es-ES"/>
        </w:rPr>
      </w:pPr>
      <w:r w:rsidRPr="00944E10">
        <w:rPr>
          <w:rFonts w:ascii="Verdana" w:eastAsia="Calibri" w:hAnsi="Verdana" w:cs="Arial"/>
          <w:lang w:eastAsia="es-ES"/>
        </w:rPr>
        <w:t xml:space="preserve">Te informamos que ya se encuentra disponible la </w:t>
      </w:r>
      <w:r w:rsidRPr="00944E10">
        <w:rPr>
          <w:rFonts w:ascii="Verdana" w:eastAsia="Calibri" w:hAnsi="Verdana" w:cs="Arial"/>
          <w:b/>
          <w:bCs/>
          <w:lang w:eastAsia="es-ES"/>
        </w:rPr>
        <w:t>Cartilla para incentivar y fortalecer el acceso a las compras y contratación pública de los pueblos y comunidades étnicas en Colombia.</w:t>
      </w:r>
      <w:r w:rsidRPr="00944E10">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history="1">
        <w:r w:rsidRPr="00944E10">
          <w:rPr>
            <w:rStyle w:val="Hipervnculo"/>
            <w:rFonts w:ascii="Verdana" w:eastAsia="Calibri" w:hAnsi="Verdana" w:cs="Arial"/>
            <w:lang w:eastAsia="es-ES"/>
          </w:rPr>
          <w:t xml:space="preserve">Cartilla para incentivar y fortalecer el acceso a las compras y </w:t>
        </w:r>
        <w:r w:rsidRPr="00944E10">
          <w:rPr>
            <w:rStyle w:val="Hipervnculo"/>
            <w:rFonts w:ascii="Verdana" w:eastAsia="Calibri" w:hAnsi="Verdana" w:cs="Arial"/>
            <w:lang w:eastAsia="es-ES"/>
          </w:rPr>
          <w:lastRenderedPageBreak/>
          <w:t>contratación pública de los pueblos y comunidades étnicas en Colombia | Colombia Compra Eficiente | Agencia Nacional de Contratación Pública</w:t>
        </w:r>
      </w:hyperlink>
    </w:p>
    <w:p w14:paraId="5DB298B7" w14:textId="77777777" w:rsidR="0040648C" w:rsidRPr="00944E10" w:rsidRDefault="0040648C" w:rsidP="0040648C">
      <w:pPr>
        <w:spacing w:after="0" w:line="240" w:lineRule="auto"/>
        <w:jc w:val="both"/>
        <w:rPr>
          <w:rFonts w:ascii="Verdana" w:eastAsia="Calibri" w:hAnsi="Verdana" w:cs="Arial"/>
          <w:lang w:eastAsia="es-ES"/>
        </w:rPr>
      </w:pPr>
    </w:p>
    <w:p w14:paraId="27998391" w14:textId="77777777" w:rsidR="0040648C" w:rsidRDefault="0040648C" w:rsidP="0040648C">
      <w:pPr>
        <w:spacing w:after="0" w:line="240" w:lineRule="auto"/>
        <w:jc w:val="both"/>
        <w:rPr>
          <w:rFonts w:ascii="Verdana" w:eastAsia="Calibri" w:hAnsi="Verdana" w:cs="Arial"/>
          <w:lang w:val="es-ES" w:eastAsia="es-ES"/>
        </w:rPr>
      </w:pPr>
      <w:r w:rsidRPr="00944E10">
        <w:rPr>
          <w:rFonts w:ascii="Verdana" w:eastAsia="Calibri" w:hAnsi="Verdana" w:cs="Arial"/>
          <w:lang w:eastAsia="es-ES"/>
        </w:rPr>
        <w:t>De otra parte, </w:t>
      </w:r>
      <w:r>
        <w:rPr>
          <w:rFonts w:ascii="Verdana" w:eastAsia="Calibri" w:hAnsi="Verdana" w:cs="Arial"/>
          <w:lang w:eastAsia="es-ES"/>
        </w:rPr>
        <w:t>l</w:t>
      </w:r>
      <w:r w:rsidRPr="00944E10">
        <w:rPr>
          <w:rFonts w:ascii="Verdana" w:eastAsia="Calibri" w:hAnsi="Verdana" w:cs="Arial"/>
          <w:lang w:eastAsia="es-ES"/>
        </w:rPr>
        <w:t xml:space="preserve">e informamos que, con el objetivo de garantizar un conocimiento adecuado de las </w:t>
      </w:r>
      <w:r w:rsidRPr="00944E10">
        <w:rPr>
          <w:rFonts w:ascii="Verdana" w:eastAsia="Calibri" w:hAnsi="Verdana" w:cs="Arial"/>
          <w:b/>
          <w:bCs/>
          <w:lang w:eastAsia="es-ES"/>
        </w:rPr>
        <w:t>modificaciones y/o actualizaciones realizadas a los Documentos Tipo</w:t>
      </w:r>
      <w:r w:rsidRPr="00944E10">
        <w:rPr>
          <w:rFonts w:ascii="Verdana" w:eastAsia="Calibri" w:hAnsi="Verdana" w:cs="Arial"/>
          <w:lang w:eastAsia="es-ES"/>
        </w:rPr>
        <w:t xml:space="preserve">, hemos programado una serie de </w:t>
      </w:r>
      <w:r w:rsidRPr="00944E10">
        <w:rPr>
          <w:rFonts w:ascii="Verdana" w:eastAsia="Calibri" w:hAnsi="Verdana" w:cs="Arial"/>
          <w:b/>
          <w:bCs/>
          <w:lang w:eastAsia="es-ES"/>
        </w:rPr>
        <w:t xml:space="preserve">capacitaciones </w:t>
      </w:r>
      <w:r w:rsidRPr="00944E10">
        <w:rPr>
          <w:rFonts w:ascii="Verdana" w:eastAsia="Calibri" w:hAnsi="Verdana" w:cs="Arial"/>
          <w:lang w:eastAsia="es-ES"/>
        </w:rPr>
        <w:t xml:space="preserve">dirigidas a todos los actores involucrados en los procesos de selección. Podrá conocer la programación y realizar tu inscripción a estas capacitaciones a través del siguiente enlace: </w:t>
      </w:r>
      <w:hyperlink r:id="rId14" w:history="1">
        <w:r w:rsidRPr="00944E10">
          <w:rPr>
            <w:rStyle w:val="Hipervnculo"/>
            <w:rFonts w:ascii="Verdana" w:eastAsia="Calibri" w:hAnsi="Verdana" w:cs="Arial"/>
            <w:lang w:eastAsia="es-ES"/>
          </w:rPr>
          <w:t>Calendario | Colombia Compra Eficiente | Agencia Nacional de Contratación Pública</w:t>
        </w:r>
      </w:hyperlink>
    </w:p>
    <w:p w14:paraId="47591868" w14:textId="77777777" w:rsidR="0040648C" w:rsidRPr="00944E10" w:rsidRDefault="0040648C" w:rsidP="0040648C">
      <w:pPr>
        <w:spacing w:after="0" w:line="240" w:lineRule="auto"/>
        <w:jc w:val="both"/>
        <w:rPr>
          <w:rFonts w:ascii="Verdana" w:eastAsia="Calibri" w:hAnsi="Verdana" w:cs="Arial"/>
          <w:lang w:eastAsia="es-ES"/>
        </w:rPr>
      </w:pPr>
    </w:p>
    <w:p w14:paraId="400A399A" w14:textId="77777777" w:rsidR="0040648C" w:rsidRPr="00944E10" w:rsidRDefault="0040648C" w:rsidP="0040648C">
      <w:pPr>
        <w:spacing w:after="0" w:line="240" w:lineRule="auto"/>
        <w:jc w:val="both"/>
        <w:rPr>
          <w:rFonts w:ascii="Verdana" w:eastAsia="Calibri" w:hAnsi="Verdana" w:cs="Arial"/>
          <w:lang w:eastAsia="es-ES"/>
        </w:rPr>
      </w:pPr>
      <w:r>
        <w:rPr>
          <w:rFonts w:ascii="Verdana" w:eastAsia="Calibri" w:hAnsi="Verdana" w:cs="Arial"/>
          <w:lang w:eastAsia="es-ES"/>
        </w:rPr>
        <w:t>Se le informa que</w:t>
      </w:r>
      <w:r w:rsidRPr="00944E10">
        <w:rPr>
          <w:rFonts w:ascii="Verdana" w:eastAsia="Calibri" w:hAnsi="Verdana" w:cs="Arial"/>
          <w:lang w:eastAsia="es-ES"/>
        </w:rPr>
        <w:t xml:space="preserve"> publicamos </w:t>
      </w:r>
      <w:r w:rsidRPr="00944E10">
        <w:rPr>
          <w:rFonts w:ascii="Verdana" w:eastAsia="Calibri" w:hAnsi="Verdana" w:cs="Arial"/>
          <w:b/>
          <w:bCs/>
          <w:lang w:eastAsia="es-ES"/>
        </w:rPr>
        <w:t>la nueva Guía de Contratación Pública Sostenible y Socialmente Responsable</w:t>
      </w:r>
      <w:r w:rsidRPr="00944E10">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history="1">
        <w:r w:rsidRPr="00944E10">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6350B165" w14:textId="77777777" w:rsidR="0040648C" w:rsidRDefault="0040648C" w:rsidP="0040648C">
      <w:pPr>
        <w:spacing w:after="0" w:line="240" w:lineRule="auto"/>
        <w:jc w:val="both"/>
      </w:pPr>
    </w:p>
    <w:p w14:paraId="29B25179" w14:textId="77777777" w:rsidR="0040648C" w:rsidRPr="00504DD6" w:rsidRDefault="0040648C" w:rsidP="0040648C">
      <w:pPr>
        <w:spacing w:after="0" w:line="240" w:lineRule="auto"/>
        <w:jc w:val="both"/>
        <w:rPr>
          <w:rFonts w:ascii="Verdana" w:eastAsia="Calibri" w:hAnsi="Verdana" w:cs="Arial"/>
          <w:lang w:eastAsia="es-ES_tradnl"/>
        </w:rPr>
      </w:pPr>
      <w:r>
        <w:rPr>
          <w:rFonts w:ascii="Verdana" w:eastAsia="Calibri" w:hAnsi="Verdana" w:cs="Arial"/>
          <w:lang w:eastAsia="es-ES_tradnl"/>
        </w:rPr>
        <w:t>Así mismo, lo</w:t>
      </w:r>
      <w:r w:rsidRPr="00B84822">
        <w:rPr>
          <w:rFonts w:ascii="Verdana" w:eastAsia="Calibri" w:hAnsi="Verdana" w:cs="Arial"/>
          <w:lang w:eastAsia="es-ES_tradnl"/>
        </w:rPr>
        <w:t xml:space="preserv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6" w:history="1">
        <w:r w:rsidRPr="00B84822">
          <w:rPr>
            <w:rStyle w:val="Hipervnculo"/>
            <w:rFonts w:ascii="Verdana" w:eastAsia="Calibri" w:hAnsi="Verdana"/>
            <w:lang w:eastAsia="es-ES_tradnl"/>
          </w:rPr>
          <w:t>https://www.colombiacompra.gov.co/sites/cce_public/files/files_2020/boletin_de_realtoria_viii.pdf</w:t>
        </w:r>
      </w:hyperlink>
    </w:p>
    <w:p w14:paraId="38EC6A5F" w14:textId="77777777" w:rsidR="0040648C" w:rsidRDefault="0040648C" w:rsidP="0040648C">
      <w:pPr>
        <w:spacing w:after="0" w:line="240" w:lineRule="auto"/>
        <w:jc w:val="both"/>
        <w:rPr>
          <w:rStyle w:val="normaltextrun"/>
          <w:rFonts w:cs="Arial"/>
          <w:color w:val="000000" w:themeColor="text1"/>
          <w:shd w:val="clear" w:color="auto" w:fill="FFFFFF"/>
          <w:lang w:val="es-ES"/>
        </w:rPr>
      </w:pPr>
    </w:p>
    <w:p w14:paraId="60B98910" w14:textId="77777777" w:rsidR="0040648C" w:rsidRPr="003E2460" w:rsidRDefault="0040648C" w:rsidP="0040648C">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8CC20C0" w14:textId="77777777" w:rsidR="0040648C" w:rsidRPr="003E2460" w:rsidRDefault="0040648C" w:rsidP="0040648C">
      <w:pPr>
        <w:spacing w:after="0" w:line="240" w:lineRule="auto"/>
        <w:jc w:val="both"/>
        <w:rPr>
          <w:rFonts w:ascii="Verdana" w:hAnsi="Verdana"/>
        </w:rPr>
      </w:pPr>
    </w:p>
    <w:p w14:paraId="5A113BD7" w14:textId="77777777" w:rsidR="0040648C" w:rsidRPr="003E2460" w:rsidRDefault="0040648C" w:rsidP="0040648C">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62319BFE" w14:textId="77777777" w:rsidR="0040648C" w:rsidRPr="003E2460" w:rsidRDefault="0040648C" w:rsidP="0040648C">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243A46E7" w14:textId="77777777" w:rsidR="0040648C" w:rsidRPr="003E2460" w:rsidRDefault="0040648C" w:rsidP="0040648C">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ABEC769" w14:textId="77777777" w:rsidR="0040648C" w:rsidRPr="00593A5F" w:rsidRDefault="0040648C" w:rsidP="0040648C">
      <w:pPr>
        <w:widowControl w:val="0"/>
        <w:autoSpaceDE w:val="0"/>
        <w:autoSpaceDN w:val="0"/>
        <w:spacing w:after="0" w:line="276" w:lineRule="auto"/>
        <w:jc w:val="both"/>
        <w:rPr>
          <w:rFonts w:ascii="Verdana" w:hAnsi="Verdana" w:cs="Arial"/>
        </w:rPr>
      </w:pPr>
    </w:p>
    <w:p w14:paraId="33F4E987" w14:textId="77777777" w:rsidR="0040648C" w:rsidRPr="00593A5F" w:rsidRDefault="0040648C" w:rsidP="0040648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5AFA679" w14:textId="77777777" w:rsidR="0040648C" w:rsidRPr="00593A5F" w:rsidRDefault="0040648C" w:rsidP="0040648C">
      <w:pPr>
        <w:widowControl w:val="0"/>
        <w:autoSpaceDE w:val="0"/>
        <w:autoSpaceDN w:val="0"/>
        <w:spacing w:after="0" w:line="276" w:lineRule="auto"/>
        <w:jc w:val="both"/>
        <w:rPr>
          <w:rFonts w:ascii="Verdana" w:hAnsi="Verdana" w:cs="Arial"/>
        </w:rPr>
      </w:pPr>
    </w:p>
    <w:p w14:paraId="6835AAF0" w14:textId="77777777" w:rsidR="007D584D" w:rsidRDefault="007D584D" w:rsidP="0040648C">
      <w:pPr>
        <w:spacing w:after="0" w:line="240" w:lineRule="auto"/>
        <w:rPr>
          <w:rFonts w:ascii="Verdana" w:eastAsia="Times New Roman" w:hAnsi="Verdana" w:cs="Arial"/>
          <w:lang w:eastAsia="es-CO"/>
        </w:rPr>
      </w:pPr>
    </w:p>
    <w:p w14:paraId="027139D7" w14:textId="77777777" w:rsidR="007D584D" w:rsidRDefault="007D584D" w:rsidP="0040648C">
      <w:pPr>
        <w:spacing w:after="0" w:line="240" w:lineRule="auto"/>
        <w:rPr>
          <w:rFonts w:ascii="Verdana" w:eastAsia="Times New Roman" w:hAnsi="Verdana" w:cs="Arial"/>
          <w:lang w:eastAsia="es-CO"/>
        </w:rPr>
      </w:pPr>
    </w:p>
    <w:p w14:paraId="4E926645" w14:textId="6DEB999E" w:rsidR="0040648C" w:rsidRPr="00593A5F" w:rsidRDefault="0040648C" w:rsidP="0040648C">
      <w:pPr>
        <w:spacing w:after="0" w:line="240" w:lineRule="auto"/>
        <w:rPr>
          <w:rFonts w:ascii="Verdana" w:hAnsi="Verdana" w:cs="Arial"/>
          <w:lang w:eastAsia="es-CO"/>
        </w:rPr>
      </w:pPr>
      <w:r w:rsidRPr="00593A5F">
        <w:rPr>
          <w:rFonts w:ascii="Verdana" w:eastAsia="Times New Roman" w:hAnsi="Verdana" w:cs="Arial"/>
          <w:lang w:eastAsia="es-CO"/>
        </w:rPr>
        <w:lastRenderedPageBreak/>
        <w:t>Atentamente,</w:t>
      </w:r>
      <w:r w:rsidRPr="00593A5F">
        <w:rPr>
          <w:rFonts w:ascii="Verdana" w:hAnsi="Verdana" w:cs="Arial"/>
          <w:lang w:eastAsia="es-CO"/>
        </w:rPr>
        <w:t xml:space="preserve"> </w:t>
      </w:r>
    </w:p>
    <w:p w14:paraId="616A37A3" w14:textId="7DEEA48C" w:rsidR="0040648C" w:rsidRPr="00593A5F" w:rsidRDefault="009F2578" w:rsidP="0040648C">
      <w:pPr>
        <w:spacing w:line="276" w:lineRule="auto"/>
        <w:jc w:val="center"/>
        <w:rPr>
          <w:rFonts w:ascii="Verdana" w:hAnsi="Verdana" w:cs="Arial"/>
          <w:color w:val="000000"/>
          <w:lang w:val="es-ES_tradnl" w:eastAsia="es-CO"/>
        </w:rPr>
      </w:pPr>
      <w:r>
        <w:rPr>
          <w:rFonts w:ascii="Verdana" w:hAnsi="Verdana" w:cs="Arial"/>
          <w:noProof/>
          <w:color w:val="000000"/>
          <w:lang w:val="es-ES_tradnl"/>
        </w:rPr>
        <w:drawing>
          <wp:inline distT="0" distB="0" distL="0" distR="0" wp14:anchorId="472B9A27" wp14:editId="6EC5976B">
            <wp:extent cx="3768725" cy="139954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0648C" w:rsidRPr="00593A5F" w14:paraId="756F6762" w14:textId="77777777" w:rsidTr="003A5419">
        <w:trPr>
          <w:trHeight w:val="315"/>
        </w:trPr>
        <w:tc>
          <w:tcPr>
            <w:tcW w:w="893" w:type="dxa"/>
            <w:vAlign w:val="center"/>
            <w:hideMark/>
          </w:tcPr>
          <w:p w14:paraId="42E5487F" w14:textId="77777777" w:rsidR="0040648C" w:rsidRPr="003751C7" w:rsidRDefault="0040648C" w:rsidP="003A541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11B19A2" w14:textId="77777777" w:rsidR="0040648C" w:rsidRPr="00151C8B" w:rsidRDefault="0040648C" w:rsidP="003A5419">
            <w:pPr>
              <w:contextualSpacing/>
              <w:rPr>
                <w:rFonts w:ascii="Verdana" w:eastAsia="Arial" w:hAnsi="Verdana" w:cs="Arial"/>
                <w:sz w:val="16"/>
                <w:szCs w:val="16"/>
              </w:rPr>
            </w:pPr>
            <w:r w:rsidRPr="00151C8B">
              <w:rPr>
                <w:rFonts w:ascii="Verdana" w:eastAsia="Arial" w:hAnsi="Verdana" w:cs="Arial"/>
                <w:sz w:val="16"/>
                <w:szCs w:val="16"/>
              </w:rPr>
              <w:t>Catalina Cubides Estupiñan</w:t>
            </w:r>
          </w:p>
          <w:p w14:paraId="37B35277" w14:textId="77777777" w:rsidR="0040648C" w:rsidRPr="00151C8B" w:rsidRDefault="0040648C" w:rsidP="003A5419">
            <w:pPr>
              <w:contextualSpacing/>
              <w:rPr>
                <w:rFonts w:ascii="Verdana" w:eastAsia="Arial" w:hAnsi="Verdana" w:cs="Arial"/>
                <w:sz w:val="16"/>
                <w:szCs w:val="16"/>
              </w:rPr>
            </w:pPr>
            <w:r w:rsidRPr="00151C8B">
              <w:rPr>
                <w:rStyle w:val="normaltextrun"/>
                <w:rFonts w:ascii="Verdana" w:eastAsia="Arial" w:hAnsi="Verdana" w:cs="Arial"/>
                <w:sz w:val="16"/>
                <w:szCs w:val="16"/>
              </w:rPr>
              <w:t>Contratista de la Subdirección de Gestión Contractual</w:t>
            </w:r>
          </w:p>
        </w:tc>
      </w:tr>
      <w:tr w:rsidR="0040648C" w:rsidRPr="00593A5F" w14:paraId="7592AD17" w14:textId="77777777" w:rsidTr="003A5419">
        <w:trPr>
          <w:trHeight w:val="330"/>
        </w:trPr>
        <w:tc>
          <w:tcPr>
            <w:tcW w:w="893" w:type="dxa"/>
            <w:vAlign w:val="center"/>
            <w:hideMark/>
          </w:tcPr>
          <w:p w14:paraId="4DDE17BB" w14:textId="77777777" w:rsidR="0040648C" w:rsidRPr="003751C7" w:rsidRDefault="0040648C" w:rsidP="003A541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4147F5" w14:textId="77777777" w:rsidR="0040648C" w:rsidRPr="00151C8B" w:rsidRDefault="0040648C" w:rsidP="003A5419">
            <w:pPr>
              <w:pStyle w:val="paragraph"/>
              <w:spacing w:before="0" w:beforeAutospacing="0" w:after="0" w:afterAutospacing="0"/>
              <w:contextualSpacing/>
              <w:textAlignment w:val="baseline"/>
              <w:rPr>
                <w:rFonts w:ascii="Verdana" w:hAnsi="Verdana" w:cs="Segoe UI"/>
                <w:sz w:val="16"/>
                <w:szCs w:val="16"/>
              </w:rPr>
            </w:pPr>
            <w:r w:rsidRPr="00151C8B">
              <w:rPr>
                <w:rStyle w:val="normaltextrun"/>
                <w:rFonts w:ascii="Verdana" w:hAnsi="Verdana" w:cs="Arial"/>
                <w:sz w:val="16"/>
                <w:szCs w:val="16"/>
                <w:lang w:val="es-ES"/>
              </w:rPr>
              <w:t>Juan Carlos Gonzalez Vasquez</w:t>
            </w:r>
          </w:p>
          <w:p w14:paraId="4F7278D7" w14:textId="77777777" w:rsidR="0040648C" w:rsidRPr="00151C8B" w:rsidRDefault="0040648C" w:rsidP="003A5419">
            <w:pPr>
              <w:pStyle w:val="paragraph"/>
              <w:spacing w:before="0" w:beforeAutospacing="0" w:after="0" w:afterAutospacing="0"/>
              <w:contextualSpacing/>
              <w:textAlignment w:val="baseline"/>
              <w:rPr>
                <w:rFonts w:ascii="Verdana" w:hAnsi="Verdana" w:cs="Segoe UI"/>
                <w:sz w:val="16"/>
                <w:szCs w:val="16"/>
              </w:rPr>
            </w:pPr>
            <w:r w:rsidRPr="00151C8B">
              <w:rPr>
                <w:rStyle w:val="normaltextrun"/>
                <w:rFonts w:ascii="Verdana" w:hAnsi="Verdana" w:cs="Arial"/>
                <w:sz w:val="16"/>
                <w:szCs w:val="16"/>
                <w:lang w:val="es-ES"/>
              </w:rPr>
              <w:t>Contratista de la Subdirección de Gestión Contractual</w:t>
            </w:r>
            <w:r w:rsidRPr="00151C8B">
              <w:rPr>
                <w:rStyle w:val="eop"/>
                <w:rFonts w:ascii="Verdana" w:hAnsi="Verdana" w:cs="Arial"/>
                <w:sz w:val="16"/>
                <w:szCs w:val="16"/>
              </w:rPr>
              <w:t> </w:t>
            </w:r>
          </w:p>
        </w:tc>
      </w:tr>
      <w:tr w:rsidR="0040648C" w:rsidRPr="00593A5F" w14:paraId="1D14C0C5" w14:textId="77777777" w:rsidTr="003A5419">
        <w:trPr>
          <w:trHeight w:val="300"/>
        </w:trPr>
        <w:tc>
          <w:tcPr>
            <w:tcW w:w="893" w:type="dxa"/>
            <w:vAlign w:val="center"/>
          </w:tcPr>
          <w:p w14:paraId="17073528" w14:textId="77777777" w:rsidR="0040648C" w:rsidRPr="003751C7" w:rsidRDefault="0040648C" w:rsidP="003A541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A8F054B" w14:textId="77777777" w:rsidR="0040648C" w:rsidRPr="003751C7" w:rsidRDefault="0040648C" w:rsidP="003A541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2BCAC5D8" w14:textId="77777777" w:rsidR="0040648C" w:rsidRPr="003751C7" w:rsidRDefault="0040648C" w:rsidP="003A541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bookmarkEnd w:id="0"/>
    </w:tbl>
    <w:p w14:paraId="255BC75E" w14:textId="77777777" w:rsidR="0040648C" w:rsidRPr="00871B59" w:rsidRDefault="0040648C" w:rsidP="0040648C"/>
    <w:sectPr w:rsidR="0040648C" w:rsidRPr="00871B5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F9B38" w14:textId="77777777" w:rsidR="008B30AF" w:rsidRDefault="008B30AF" w:rsidP="004A1847">
      <w:pPr>
        <w:spacing w:after="0" w:line="240" w:lineRule="auto"/>
      </w:pPr>
      <w:r>
        <w:separator/>
      </w:r>
    </w:p>
  </w:endnote>
  <w:endnote w:type="continuationSeparator" w:id="0">
    <w:p w14:paraId="139DAF44" w14:textId="77777777" w:rsidR="008B30AF" w:rsidRDefault="008B30AF" w:rsidP="004A1847">
      <w:pPr>
        <w:spacing w:after="0" w:line="240" w:lineRule="auto"/>
      </w:pPr>
      <w:r>
        <w:continuationSeparator/>
      </w:r>
    </w:p>
  </w:endnote>
  <w:endnote w:type="continuationNotice" w:id="1">
    <w:p w14:paraId="3CCA7407" w14:textId="77777777" w:rsidR="008B30AF" w:rsidRDefault="008B30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28401" w14:textId="77777777" w:rsidR="008B30AF" w:rsidRDefault="008B30AF" w:rsidP="004A1847">
      <w:pPr>
        <w:spacing w:after="0" w:line="240" w:lineRule="auto"/>
      </w:pPr>
      <w:r>
        <w:separator/>
      </w:r>
    </w:p>
  </w:footnote>
  <w:footnote w:type="continuationSeparator" w:id="0">
    <w:p w14:paraId="0F725456" w14:textId="77777777" w:rsidR="008B30AF" w:rsidRDefault="008B30AF" w:rsidP="004A1847">
      <w:pPr>
        <w:spacing w:after="0" w:line="240" w:lineRule="auto"/>
      </w:pPr>
      <w:r>
        <w:continuationSeparator/>
      </w:r>
    </w:p>
  </w:footnote>
  <w:footnote w:type="continuationNotice" w:id="1">
    <w:p w14:paraId="75EFC5F5" w14:textId="77777777" w:rsidR="008B30AF" w:rsidRDefault="008B30AF">
      <w:pPr>
        <w:spacing w:after="0" w:line="240" w:lineRule="auto"/>
      </w:pPr>
    </w:p>
  </w:footnote>
  <w:footnote w:id="2">
    <w:p w14:paraId="32988BCF" w14:textId="77777777" w:rsidR="0040648C" w:rsidRPr="00F46BF1" w:rsidRDefault="0040648C" w:rsidP="0040648C">
      <w:pPr>
        <w:pStyle w:val="Textonotapie"/>
        <w:ind w:firstLine="709"/>
        <w:jc w:val="both"/>
        <w:rPr>
          <w:rFonts w:ascii="Verdana" w:hAnsi="Verdana" w:cs="Arial"/>
          <w:color w:val="000000" w:themeColor="text1"/>
          <w:sz w:val="12"/>
          <w:szCs w:val="12"/>
        </w:rPr>
      </w:pPr>
      <w:r w:rsidRPr="00F46BF1">
        <w:rPr>
          <w:rStyle w:val="Refdenotaalpie"/>
          <w:rFonts w:ascii="Verdana" w:hAnsi="Verdana" w:cs="Arial"/>
          <w:color w:val="000000" w:themeColor="text1"/>
          <w:sz w:val="12"/>
          <w:szCs w:val="12"/>
        </w:rPr>
        <w:footnoteRef/>
      </w:r>
      <w:r w:rsidRPr="00F46BF1">
        <w:rPr>
          <w:rFonts w:ascii="Verdana" w:hAnsi="Verdana" w:cs="Arial"/>
          <w:color w:val="000000" w:themeColor="text1"/>
          <w:sz w:val="12"/>
          <w:szCs w:val="12"/>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21384F5B" w14:textId="77777777" w:rsidR="0040648C" w:rsidRPr="00F46BF1" w:rsidRDefault="0040648C" w:rsidP="0040648C">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La regla precedente se aplicará, inclusive, a las sociedades en las que las entidades públicas sean parte, sin atender al porcentaje que sus aportes representen dentro del capital social, ni a la naturaleza del acto o del derecho que se ejerce.</w:t>
      </w:r>
    </w:p>
    <w:p w14:paraId="08491C28" w14:textId="77777777" w:rsidR="0040648C" w:rsidRPr="00F46BF1" w:rsidRDefault="0040648C" w:rsidP="0040648C">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footnote>
  <w:footnote w:id="3">
    <w:p w14:paraId="77C9EE4D" w14:textId="77777777" w:rsidR="0040648C" w:rsidRPr="00F46BF1" w:rsidRDefault="0040648C" w:rsidP="0040648C">
      <w:pPr>
        <w:ind w:firstLine="707"/>
        <w:jc w:val="both"/>
        <w:rPr>
          <w:rFonts w:ascii="Verdana" w:eastAsia="Arial" w:hAnsi="Verdana" w:cs="Arial"/>
          <w:sz w:val="12"/>
          <w:szCs w:val="12"/>
        </w:rPr>
      </w:pPr>
      <w:r w:rsidRPr="00F46BF1">
        <w:rPr>
          <w:rFonts w:ascii="Verdana" w:hAnsi="Verdana" w:cs="Arial"/>
          <w:sz w:val="12"/>
          <w:szCs w:val="12"/>
          <w:vertAlign w:val="superscript"/>
        </w:rPr>
        <w:footnoteRef/>
      </w:r>
      <w:r w:rsidRPr="00F46BF1">
        <w:rPr>
          <w:rFonts w:ascii="Verdana" w:eastAsia="Arial" w:hAnsi="Verdana" w:cs="Arial"/>
          <w:sz w:val="12"/>
          <w:szCs w:val="12"/>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F46BF1">
        <w:rPr>
          <w:rFonts w:ascii="Verdana" w:eastAsia="Arial" w:hAnsi="Verdana" w:cs="Arial"/>
          <w:b/>
          <w:sz w:val="12"/>
          <w:szCs w:val="12"/>
        </w:rPr>
        <w:t xml:space="preserve">las empresas oficiales de servicios públicos </w:t>
      </w:r>
      <w:r w:rsidRPr="00F46BF1">
        <w:rPr>
          <w:rFonts w:ascii="Verdana" w:eastAsia="Arial" w:hAnsi="Verdana" w:cs="Arial"/>
          <w:sz w:val="12"/>
          <w:szCs w:val="12"/>
        </w:rPr>
        <w:t>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18C7F846" w14:textId="77777777" w:rsidR="0040648C" w:rsidRPr="00F46BF1" w:rsidRDefault="0040648C" w:rsidP="0040648C">
      <w:pPr>
        <w:pBdr>
          <w:top w:val="nil"/>
          <w:left w:val="nil"/>
          <w:bottom w:val="nil"/>
          <w:right w:val="nil"/>
          <w:between w:val="nil"/>
        </w:pBdr>
        <w:jc w:val="both"/>
        <w:rPr>
          <w:rFonts w:ascii="Verdana" w:eastAsia="Arial" w:hAnsi="Verdana" w:cs="Arial"/>
          <w:color w:val="000000"/>
          <w:sz w:val="12"/>
          <w:szCs w:val="12"/>
        </w:rPr>
      </w:pPr>
    </w:p>
  </w:footnote>
  <w:footnote w:id="4">
    <w:p w14:paraId="4A8C4DB3" w14:textId="77777777" w:rsidR="0040648C" w:rsidRPr="00F46BF1" w:rsidRDefault="0040648C" w:rsidP="0040648C">
      <w:pPr>
        <w:pBdr>
          <w:top w:val="nil"/>
          <w:left w:val="nil"/>
          <w:bottom w:val="nil"/>
          <w:right w:val="nil"/>
          <w:between w:val="nil"/>
        </w:pBdr>
        <w:ind w:firstLine="708"/>
        <w:rPr>
          <w:rFonts w:ascii="Verdana" w:eastAsia="Arial" w:hAnsi="Verdana" w:cs="Arial"/>
          <w:color w:val="000000"/>
          <w:sz w:val="12"/>
          <w:szCs w:val="12"/>
        </w:rPr>
      </w:pPr>
      <w:r w:rsidRPr="00F46BF1">
        <w:rPr>
          <w:rFonts w:ascii="Verdana" w:hAnsi="Verdana" w:cs="Arial"/>
          <w:sz w:val="12"/>
          <w:szCs w:val="12"/>
          <w:vertAlign w:val="superscript"/>
        </w:rPr>
        <w:footnoteRef/>
      </w:r>
      <w:r w:rsidRPr="00F46BF1">
        <w:rPr>
          <w:rFonts w:ascii="Verdana" w:eastAsia="Arial" w:hAnsi="Verdana" w:cs="Arial"/>
          <w:color w:val="000000"/>
          <w:sz w:val="12"/>
          <w:szCs w:val="12"/>
        </w:rPr>
        <w:t xml:space="preserve"> Corte Constitucional. Sentencia C-736 de 2007. C.P. Marco Gerardo Monroy Cabra.</w:t>
      </w:r>
    </w:p>
  </w:footnote>
  <w:footnote w:id="5">
    <w:p w14:paraId="038DB5AE" w14:textId="77777777" w:rsidR="0040648C" w:rsidRPr="00DF7FAA" w:rsidRDefault="0040648C" w:rsidP="0040648C">
      <w:pPr>
        <w:widowControl w:val="0"/>
        <w:ind w:right="49" w:firstLine="709"/>
        <w:jc w:val="both"/>
        <w:rPr>
          <w:rFonts w:ascii="Verdana" w:eastAsia="Arial" w:hAnsi="Verdana" w:cs="Arial"/>
          <w:i/>
          <w:iCs/>
          <w:sz w:val="12"/>
          <w:szCs w:val="12"/>
          <w:lang w:eastAsia="es-CO"/>
        </w:rPr>
      </w:pPr>
      <w:r>
        <w:rPr>
          <w:rStyle w:val="Refdenotaalpie"/>
        </w:rPr>
        <w:footnoteRef/>
      </w:r>
      <w:r>
        <w:t xml:space="preserve"> </w:t>
      </w:r>
      <w:r w:rsidRPr="00DF7FAA">
        <w:rPr>
          <w:rFonts w:ascii="Verdana" w:hAnsi="Verdana"/>
          <w:i/>
          <w:iCs/>
          <w:sz w:val="12"/>
          <w:szCs w:val="12"/>
        </w:rPr>
        <w:t>“</w:t>
      </w:r>
      <w:r w:rsidRPr="00DF7FAA">
        <w:rPr>
          <w:rFonts w:ascii="Verdana" w:eastAsia="Arial" w:hAnsi="Verdana" w:cs="Arial"/>
          <w:i/>
          <w:iCs/>
          <w:sz w:val="12"/>
          <w:szCs w:val="12"/>
          <w:lang w:eastAsia="es-CO"/>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6E7F8C08" w14:textId="77777777" w:rsidR="0040648C" w:rsidRPr="00DF7FAA" w:rsidRDefault="0040648C" w:rsidP="0040648C">
      <w:pPr>
        <w:widowControl w:val="0"/>
        <w:spacing w:before="1" w:after="120"/>
        <w:ind w:right="49" w:firstLine="709"/>
        <w:jc w:val="both"/>
        <w:rPr>
          <w:rFonts w:ascii="Verdana" w:eastAsia="Calibri" w:hAnsi="Verdana" w:cs="Calibri"/>
          <w:i/>
          <w:iCs/>
          <w:sz w:val="12"/>
          <w:szCs w:val="12"/>
          <w:lang w:eastAsia="es-CO"/>
        </w:rPr>
      </w:pPr>
      <w:r w:rsidRPr="00DF7FAA">
        <w:rPr>
          <w:rFonts w:ascii="Verdana" w:eastAsia="Arial" w:hAnsi="Verdana" w:cs="Arial"/>
          <w:i/>
          <w:iCs/>
          <w:sz w:val="12"/>
          <w:szCs w:val="12"/>
          <w:lang w:eastAsia="es-CO"/>
        </w:rPr>
        <w:t>[…]</w:t>
      </w:r>
    </w:p>
    <w:p w14:paraId="2E2BF51C" w14:textId="77777777" w:rsidR="0040648C" w:rsidRPr="007E4E71" w:rsidRDefault="0040648C" w:rsidP="0040648C">
      <w:pPr>
        <w:pStyle w:val="Textonotapie"/>
        <w:ind w:right="49" w:firstLine="709"/>
        <w:jc w:val="both"/>
        <w:rPr>
          <w:lang w:val="es-ES"/>
        </w:rPr>
      </w:pPr>
      <w:r w:rsidRPr="00DF7FAA">
        <w:rPr>
          <w:rFonts w:ascii="Verdana" w:eastAsia="Arial" w:hAnsi="Verdana" w:cs="Arial"/>
          <w:i/>
          <w:iCs/>
          <w:sz w:val="12"/>
          <w:szCs w:val="12"/>
          <w:lang w:eastAsia="es-CO"/>
        </w:rPr>
        <w:t>Al parecer de la Corte, la interpretación según la cual las empresas de servicios públicos son sociedades de economía mixta resulta contraria a la Constitución. Ciertamente, según se dijo arriba, del artículo 365 superior se desprende que el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distintas de los establecimientos públicos, las empresas comerciales e industriales de Estado y</w:t>
      </w:r>
      <w:r w:rsidRPr="007E4E71">
        <w:rPr>
          <w:rFonts w:ascii="Verdana" w:eastAsia="Arial" w:hAnsi="Verdana" w:cs="Arial"/>
          <w:i/>
          <w:iCs/>
          <w:sz w:val="16"/>
          <w:szCs w:val="16"/>
          <w:lang w:eastAsia="es-CO"/>
        </w:rPr>
        <w:t xml:space="preserve"> las sociedades de economía mixta”</w:t>
      </w:r>
      <w:r>
        <w:rPr>
          <w:rFonts w:ascii="Verdana" w:eastAsia="Arial" w:hAnsi="Verdana" w:cs="Arial"/>
          <w:i/>
          <w:iCs/>
          <w:sz w:val="16"/>
          <w:szCs w:val="16"/>
          <w:lang w:eastAsia="es-CO"/>
        </w:rPr>
        <w:t xml:space="preserve"> </w:t>
      </w:r>
      <w:r w:rsidRPr="00F46BF1">
        <w:rPr>
          <w:rFonts w:ascii="Verdana" w:eastAsia="Arial" w:hAnsi="Verdana" w:cs="Arial"/>
          <w:color w:val="000000"/>
          <w:sz w:val="12"/>
          <w:szCs w:val="12"/>
        </w:rPr>
        <w:t>Corte Constitucional. Sentencia C-736 de 2007. C.P. Marco Gerardo Monroy Cabra.</w:t>
      </w:r>
    </w:p>
  </w:footnote>
  <w:footnote w:id="6">
    <w:p w14:paraId="676703B8" w14:textId="77777777" w:rsidR="0040648C" w:rsidRPr="00F46BF1" w:rsidRDefault="0040648C" w:rsidP="0040648C">
      <w:pPr>
        <w:pStyle w:val="Textonotapie"/>
        <w:ind w:firstLine="709"/>
        <w:jc w:val="both"/>
        <w:rPr>
          <w:rFonts w:ascii="Verdana" w:hAnsi="Verdana" w:cs="Arial"/>
          <w:color w:val="000000" w:themeColor="text1"/>
          <w:sz w:val="12"/>
          <w:szCs w:val="12"/>
        </w:rPr>
      </w:pPr>
      <w:r w:rsidRPr="00F46BF1">
        <w:rPr>
          <w:rStyle w:val="Refdenotaalpie"/>
          <w:rFonts w:ascii="Verdana" w:hAnsi="Verdana" w:cs="Arial"/>
          <w:color w:val="000000" w:themeColor="text1"/>
          <w:sz w:val="12"/>
          <w:szCs w:val="12"/>
        </w:rPr>
        <w:footnoteRef/>
      </w:r>
      <w:r w:rsidRPr="00F46BF1">
        <w:rPr>
          <w:rFonts w:ascii="Verdana" w:hAnsi="Verdana" w:cs="Arial"/>
          <w:color w:val="000000" w:themeColor="text1"/>
          <w:sz w:val="12"/>
          <w:szCs w:val="12"/>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76068DCC" w14:textId="77777777" w:rsidR="0040648C" w:rsidRPr="00F46BF1" w:rsidRDefault="0040648C" w:rsidP="0040648C">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La regla precedente se aplicará, inclusive, a las sociedades en las que las entidades públicas sean parte, sin atender al porcentaje que sus aportes representen dentro del capital social, ni a la naturaleza del acto o del derecho que se ejerce.</w:t>
      </w:r>
    </w:p>
    <w:p w14:paraId="747AB0C9" w14:textId="77777777" w:rsidR="0040648C" w:rsidRPr="00F46BF1" w:rsidRDefault="0040648C" w:rsidP="0040648C">
      <w:pPr>
        <w:pStyle w:val="Textonotapie"/>
        <w:ind w:firstLine="709"/>
        <w:jc w:val="both"/>
        <w:rPr>
          <w:rFonts w:ascii="Verdana" w:hAnsi="Verdana" w:cs="Arial"/>
          <w:color w:val="000000" w:themeColor="text1"/>
          <w:sz w:val="12"/>
          <w:szCs w:val="12"/>
        </w:rPr>
      </w:pPr>
      <w:r w:rsidRPr="00F46BF1">
        <w:rPr>
          <w:rFonts w:ascii="Verdana" w:hAnsi="Verdana" w:cs="Arial"/>
          <w:color w:val="000000" w:themeColor="text1"/>
          <w:sz w:val="12"/>
          <w:szCs w:val="12"/>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footnote>
  <w:footnote w:id="7">
    <w:p w14:paraId="21DCFB98" w14:textId="77777777" w:rsidR="0040648C" w:rsidRPr="00F46BF1" w:rsidRDefault="0040648C" w:rsidP="0040648C">
      <w:pPr>
        <w:ind w:firstLine="709"/>
        <w:jc w:val="both"/>
        <w:rPr>
          <w:rFonts w:ascii="Verdana" w:eastAsia="Calibri" w:hAnsi="Verdana" w:cs="Arial"/>
          <w:color w:val="000000" w:themeColor="text1"/>
          <w:sz w:val="12"/>
          <w:szCs w:val="12"/>
          <w:lang w:val="es-ES_tradnl"/>
        </w:rPr>
      </w:pPr>
      <w:r w:rsidRPr="00F46BF1">
        <w:rPr>
          <w:rStyle w:val="Refdenotaalpie"/>
          <w:rFonts w:ascii="Verdana" w:hAnsi="Verdana" w:cs="Arial"/>
          <w:color w:val="000000" w:themeColor="text1"/>
          <w:sz w:val="12"/>
          <w:szCs w:val="12"/>
        </w:rPr>
        <w:footnoteRef/>
      </w:r>
      <w:r w:rsidRPr="00F46BF1">
        <w:rPr>
          <w:rFonts w:ascii="Verdana" w:hAnsi="Verdana" w:cs="Arial"/>
          <w:color w:val="000000" w:themeColor="text1"/>
          <w:sz w:val="12"/>
          <w:szCs w:val="12"/>
        </w:rPr>
        <w:t xml:space="preserve"> </w:t>
      </w:r>
      <w:r w:rsidRPr="00F46BF1">
        <w:rPr>
          <w:rFonts w:ascii="Verdana" w:hAnsi="Verdana" w:cs="Arial"/>
          <w:color w:val="000000" w:themeColor="text1"/>
          <w:sz w:val="12"/>
          <w:szCs w:val="12"/>
          <w:lang w:val="es-ES"/>
        </w:rPr>
        <w:t>Esta norma dispone: “</w:t>
      </w:r>
      <w:r w:rsidRPr="00F46BF1">
        <w:rPr>
          <w:rFonts w:ascii="Verdana" w:eastAsia="Calibri" w:hAnsi="Verdana" w:cs="Arial"/>
          <w:color w:val="000000" w:themeColor="text1"/>
          <w:sz w:val="12"/>
          <w:szCs w:val="12"/>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8">
    <w:p w14:paraId="35ACB157" w14:textId="77777777" w:rsidR="0040648C" w:rsidRPr="00C92145" w:rsidRDefault="0040648C" w:rsidP="0040648C">
      <w:pPr>
        <w:pStyle w:val="Textonotapie"/>
        <w:ind w:firstLine="709"/>
        <w:jc w:val="both"/>
        <w:rPr>
          <w:rFonts w:ascii="Verdana" w:hAnsi="Verdana" w:cs="Arial"/>
          <w:color w:val="000000" w:themeColor="text1"/>
          <w:sz w:val="14"/>
          <w:szCs w:val="14"/>
        </w:rPr>
      </w:pPr>
      <w:r w:rsidRPr="00C92145">
        <w:rPr>
          <w:rStyle w:val="Refdenotaalpie"/>
          <w:rFonts w:ascii="Verdana" w:hAnsi="Verdana" w:cs="Arial"/>
          <w:color w:val="000000" w:themeColor="text1"/>
          <w:sz w:val="14"/>
          <w:szCs w:val="14"/>
        </w:rPr>
        <w:footnoteRef/>
      </w:r>
      <w:r w:rsidRPr="00C92145">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D1C1625" w14:textId="77777777" w:rsidR="0040648C" w:rsidRPr="00C92145" w:rsidRDefault="0040648C" w:rsidP="0040648C">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Lo anterior, sin perjuicio de las publicaciones previstas en el numeral 3 del artículo 30 de la Ley 80 de 1993.</w:t>
      </w:r>
    </w:p>
    <w:p w14:paraId="798A647A" w14:textId="77777777" w:rsidR="0040648C" w:rsidRPr="00C92145" w:rsidRDefault="0040648C" w:rsidP="0040648C">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4D3D90C2" w14:textId="77777777" w:rsidR="0040648C" w:rsidRPr="00C92145" w:rsidRDefault="0040648C" w:rsidP="0040648C">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w:t>
      </w:r>
    </w:p>
    <w:p w14:paraId="4DE746CE" w14:textId="77777777" w:rsidR="0040648C" w:rsidRPr="00C92145" w:rsidRDefault="0040648C" w:rsidP="0040648C">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3C942EFE" w14:textId="77777777" w:rsidR="0040648C" w:rsidRPr="00C92145" w:rsidRDefault="0040648C" w:rsidP="0040648C">
      <w:pPr>
        <w:pStyle w:val="Textonotapie"/>
        <w:ind w:firstLine="709"/>
        <w:jc w:val="both"/>
        <w:rPr>
          <w:rFonts w:ascii="Verdana" w:hAnsi="Verdana" w:cs="Arial"/>
          <w:color w:val="000000" w:themeColor="text1"/>
          <w:sz w:val="14"/>
          <w:szCs w:val="14"/>
          <w:lang w:val="es-CO"/>
        </w:rPr>
      </w:pPr>
    </w:p>
  </w:footnote>
  <w:footnote w:id="9">
    <w:p w14:paraId="1BDB9E2B" w14:textId="77777777" w:rsidR="0040648C" w:rsidRPr="00D61139" w:rsidRDefault="0040648C" w:rsidP="0040648C">
      <w:pPr>
        <w:pStyle w:val="Textonotapie"/>
        <w:ind w:firstLine="709"/>
        <w:jc w:val="both"/>
        <w:rPr>
          <w:rFonts w:ascii="Verdana" w:hAnsi="Verdana"/>
          <w:sz w:val="16"/>
          <w:szCs w:val="16"/>
        </w:rPr>
      </w:pPr>
      <w:r w:rsidRPr="00404B7A">
        <w:rPr>
          <w:rStyle w:val="Refdenotaalpie"/>
          <w:rFonts w:ascii="Verdana" w:hAnsi="Verdana"/>
          <w:sz w:val="16"/>
          <w:szCs w:val="16"/>
        </w:rPr>
        <w:footnoteRef/>
      </w:r>
      <w:r w:rsidRPr="00404B7A">
        <w:rPr>
          <w:rFonts w:ascii="Verdana" w:hAnsi="Verdana"/>
          <w:sz w:val="16"/>
          <w:szCs w:val="16"/>
        </w:rPr>
        <w:t xml:space="preserve"> </w:t>
      </w:r>
      <w:r w:rsidRPr="00D61139">
        <w:rPr>
          <w:rFonts w:ascii="Verdana" w:hAnsi="Verdana"/>
          <w:sz w:val="16"/>
          <w:szCs w:val="16"/>
        </w:rPr>
        <w:t xml:space="preserve">Ley 1437 de 2011: “Artículo 24. Informaciones y documentos reservados. Solo tendrán carácter reservado las informaciones y documentos expresamente sometidos a reserva por la Constitución Política o la ley, y en especial:   </w:t>
      </w:r>
    </w:p>
    <w:p w14:paraId="534F8D92" w14:textId="77777777" w:rsidR="0040648C" w:rsidRPr="00D61139" w:rsidRDefault="0040648C" w:rsidP="0040648C">
      <w:pPr>
        <w:pStyle w:val="Textonotapie"/>
        <w:ind w:firstLine="709"/>
        <w:jc w:val="both"/>
        <w:rPr>
          <w:rFonts w:ascii="Verdana" w:hAnsi="Verdana"/>
          <w:sz w:val="16"/>
          <w:szCs w:val="16"/>
        </w:rPr>
      </w:pPr>
      <w:r w:rsidRPr="00D61139">
        <w:rPr>
          <w:rFonts w:ascii="Verdana" w:hAnsi="Verdana"/>
          <w:sz w:val="16"/>
          <w:szCs w:val="16"/>
        </w:rPr>
        <w:t xml:space="preserve">1. Los relacionados con la defensa o seguridad nacionales.   </w:t>
      </w:r>
    </w:p>
    <w:p w14:paraId="2DF6EB7D" w14:textId="77777777" w:rsidR="0040648C" w:rsidRPr="00D61139" w:rsidRDefault="0040648C" w:rsidP="0040648C">
      <w:pPr>
        <w:pStyle w:val="Textonotapie"/>
        <w:ind w:firstLine="709"/>
        <w:jc w:val="both"/>
        <w:rPr>
          <w:rFonts w:ascii="Verdana" w:hAnsi="Verdana"/>
          <w:sz w:val="16"/>
          <w:szCs w:val="16"/>
        </w:rPr>
      </w:pPr>
      <w:r w:rsidRPr="00D61139">
        <w:rPr>
          <w:rFonts w:ascii="Verdana" w:hAnsi="Verdana"/>
          <w:sz w:val="16"/>
          <w:szCs w:val="16"/>
        </w:rPr>
        <w:t xml:space="preserve">2. Las instrucciones en materia diplomática o sobre negociaciones reservadas.   </w:t>
      </w:r>
    </w:p>
    <w:p w14:paraId="74B4DEE4" w14:textId="77777777" w:rsidR="0040648C" w:rsidRPr="00D61139" w:rsidRDefault="0040648C" w:rsidP="0040648C">
      <w:pPr>
        <w:pStyle w:val="Textonotapie"/>
        <w:ind w:firstLine="709"/>
        <w:jc w:val="both"/>
        <w:rPr>
          <w:rFonts w:ascii="Verdana" w:hAnsi="Verdana"/>
          <w:sz w:val="16"/>
          <w:szCs w:val="16"/>
        </w:rPr>
      </w:pPr>
      <w:r w:rsidRPr="00D61139">
        <w:rPr>
          <w:rFonts w:ascii="Verdana" w:hAnsi="Verdana"/>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59D7D1C7" w14:textId="77777777" w:rsidR="0040648C" w:rsidRPr="00D61139" w:rsidRDefault="0040648C" w:rsidP="0040648C">
      <w:pPr>
        <w:pStyle w:val="Textonotapie"/>
        <w:ind w:firstLine="709"/>
        <w:jc w:val="both"/>
        <w:rPr>
          <w:rFonts w:ascii="Verdana" w:hAnsi="Verdana"/>
          <w:sz w:val="16"/>
          <w:szCs w:val="16"/>
        </w:rPr>
      </w:pPr>
      <w:r w:rsidRPr="00D61139">
        <w:rPr>
          <w:rFonts w:ascii="Verdana" w:hAnsi="Verdana"/>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4797B05C" w14:textId="77777777" w:rsidR="0040648C" w:rsidRPr="00D61139" w:rsidRDefault="0040648C" w:rsidP="0040648C">
      <w:pPr>
        <w:pStyle w:val="Textonotapie"/>
        <w:ind w:firstLine="709"/>
        <w:jc w:val="both"/>
        <w:rPr>
          <w:rFonts w:ascii="Verdana" w:hAnsi="Verdana"/>
          <w:sz w:val="16"/>
          <w:szCs w:val="16"/>
        </w:rPr>
      </w:pPr>
      <w:r w:rsidRPr="00D61139">
        <w:rPr>
          <w:rFonts w:ascii="Verdana" w:hAnsi="Verdana"/>
          <w:sz w:val="16"/>
          <w:szCs w:val="16"/>
        </w:rPr>
        <w:t xml:space="preserve">5. Los datos referentes a la información financiera y comercial, en los términos de la Ley Estatutaria 1266 de 2008. </w:t>
      </w:r>
    </w:p>
    <w:p w14:paraId="215596EF" w14:textId="77777777" w:rsidR="0040648C" w:rsidRPr="00D61139" w:rsidRDefault="0040648C" w:rsidP="0040648C">
      <w:pPr>
        <w:pStyle w:val="Textonotapie"/>
        <w:ind w:firstLine="709"/>
        <w:jc w:val="both"/>
        <w:rPr>
          <w:rFonts w:ascii="Verdana" w:hAnsi="Verdana"/>
          <w:sz w:val="16"/>
          <w:szCs w:val="16"/>
        </w:rPr>
      </w:pPr>
      <w:r w:rsidRPr="00D61139">
        <w:rPr>
          <w:rFonts w:ascii="Verdana" w:hAnsi="Verdana"/>
          <w:sz w:val="16"/>
          <w:szCs w:val="16"/>
        </w:rPr>
        <w:t xml:space="preserve">6. Los protegidos por el secreto comercial o industrial, así como los planes estratégicos de las empresas públicas de servicios públicos. </w:t>
      </w:r>
    </w:p>
    <w:p w14:paraId="6B8C1CAC" w14:textId="77777777" w:rsidR="0040648C" w:rsidRPr="00D61139" w:rsidRDefault="0040648C" w:rsidP="0040648C">
      <w:pPr>
        <w:pStyle w:val="Textonotapie"/>
        <w:ind w:firstLine="709"/>
        <w:jc w:val="both"/>
        <w:rPr>
          <w:rFonts w:ascii="Verdana" w:hAnsi="Verdana"/>
          <w:sz w:val="16"/>
          <w:szCs w:val="16"/>
        </w:rPr>
      </w:pPr>
      <w:r w:rsidRPr="00D61139">
        <w:rPr>
          <w:rFonts w:ascii="Verdana" w:hAnsi="Verdana"/>
          <w:sz w:val="16"/>
          <w:szCs w:val="16"/>
        </w:rPr>
        <w:t xml:space="preserve">7. Los amparados por el secreto profesional. </w:t>
      </w:r>
    </w:p>
    <w:p w14:paraId="7934E81E" w14:textId="77777777" w:rsidR="0040648C" w:rsidRPr="00D61139" w:rsidRDefault="0040648C" w:rsidP="0040648C">
      <w:pPr>
        <w:pStyle w:val="Textonotapie"/>
        <w:ind w:firstLine="709"/>
        <w:jc w:val="both"/>
        <w:rPr>
          <w:rFonts w:ascii="Verdana" w:hAnsi="Verdana"/>
          <w:sz w:val="16"/>
          <w:szCs w:val="16"/>
        </w:rPr>
      </w:pPr>
      <w:r w:rsidRPr="00D61139">
        <w:rPr>
          <w:rFonts w:ascii="Verdana" w:hAnsi="Verdana"/>
          <w:sz w:val="16"/>
          <w:szCs w:val="16"/>
        </w:rPr>
        <w:t>8. Los datos genéticos humanos. 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5pt;height:11.5pt" o:bullet="t">
        <v:imagedata r:id="rId1" o:title="mso1B13"/>
      </v:shape>
    </w:pict>
  </w:numPicBullet>
  <w:abstractNum w:abstractNumId="0" w15:restartNumberingAfterBreak="0">
    <w:nsid w:val="005E411A"/>
    <w:multiLevelType w:val="multilevel"/>
    <w:tmpl w:val="F9586922"/>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0"/>
        <w:szCs w:val="20"/>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57C5D36"/>
    <w:multiLevelType w:val="hybridMultilevel"/>
    <w:tmpl w:val="5F140C3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3"/>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4"/>
  </w:num>
  <w:num w:numId="7">
    <w:abstractNumId w:val="7"/>
  </w:num>
  <w:num w:numId="8">
    <w:abstractNumId w:val="13"/>
  </w:num>
  <w:num w:numId="9">
    <w:abstractNumId w:val="9"/>
  </w:num>
  <w:num w:numId="10">
    <w:abstractNumId w:val="12"/>
  </w:num>
  <w:num w:numId="11">
    <w:abstractNumId w:val="10"/>
  </w:num>
  <w:num w:numId="12">
    <w:abstractNumId w:val="2"/>
  </w:num>
  <w:num w:numId="13">
    <w:abstractNumId w:val="5"/>
  </w:num>
  <w:num w:numId="14">
    <w:abstractNumId w:val="15"/>
  </w:num>
  <w:num w:numId="15">
    <w:abstractNumId w:val="11"/>
  </w:num>
  <w:num w:numId="16">
    <w:abstractNumId w:val="1"/>
  </w:num>
  <w:num w:numId="17">
    <w:abstractNumId w:val="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48C"/>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6A41F2"/>
    <w:rsid w:val="006E0CD4"/>
    <w:rsid w:val="00706C16"/>
    <w:rsid w:val="00756841"/>
    <w:rsid w:val="007649AB"/>
    <w:rsid w:val="00771D0C"/>
    <w:rsid w:val="007833AC"/>
    <w:rsid w:val="007B268C"/>
    <w:rsid w:val="007B7171"/>
    <w:rsid w:val="007C0C0F"/>
    <w:rsid w:val="007C3DC2"/>
    <w:rsid w:val="007D584D"/>
    <w:rsid w:val="007E5497"/>
    <w:rsid w:val="00806F5F"/>
    <w:rsid w:val="00820278"/>
    <w:rsid w:val="0084076E"/>
    <w:rsid w:val="00867F95"/>
    <w:rsid w:val="008843B6"/>
    <w:rsid w:val="00891928"/>
    <w:rsid w:val="008A446D"/>
    <w:rsid w:val="008B30AF"/>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E71B1"/>
    <w:rsid w:val="009F257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176"/>
    <w:rsid w:val="00FC2B5D"/>
    <w:rsid w:val="00FF1449"/>
    <w:rsid w:val="4D2AC75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0648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0648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ites/cce_public/files/files_2020/boletin_de_realtoria_viii.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wer.river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10" Type="http://schemas.openxmlformats.org/officeDocument/2006/relationships/image" Target="media/image2.tmp"/><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9188F4F-0968-493C-88D2-996E1D46652C}"/>
</file>

<file path=docProps/app.xml><?xml version="1.0" encoding="utf-8"?>
<Properties xmlns="http://schemas.openxmlformats.org/officeDocument/2006/extended-properties" xmlns:vt="http://schemas.openxmlformats.org/officeDocument/2006/docPropsVTypes">
  <Template>Normal</Template>
  <TotalTime>4</TotalTime>
  <Pages>12</Pages>
  <Words>3677</Words>
  <Characters>20228</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2025-03-13T18:33:00Z</dcterms:created>
  <dcterms:modified xsi:type="dcterms:W3CDTF">2025-03-13T20:16:00Z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