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A7577" w14:textId="77777777" w:rsidR="002845A8" w:rsidRPr="000F7403" w:rsidRDefault="002845A8" w:rsidP="002845A8">
      <w:pPr>
        <w:spacing w:after="0" w:line="240" w:lineRule="auto"/>
        <w:jc w:val="both"/>
        <w:rPr>
          <w:rFonts w:ascii="Verdana" w:eastAsia="Calibri" w:hAnsi="Verdana" w:cs="Arial"/>
          <w:b/>
          <w:sz w:val="20"/>
          <w:szCs w:val="20"/>
        </w:rPr>
      </w:pPr>
    </w:p>
    <w:p w14:paraId="06B91E04"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Regulación normativa </w:t>
      </w:r>
    </w:p>
    <w:p w14:paraId="06C13362"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p>
    <w:p w14:paraId="3CDCE55B"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hAnsi="Verdana" w:cs="Arial"/>
          <w:sz w:val="20"/>
          <w:szCs w:val="20"/>
          <w:lang w:val="es-ES_tradnl"/>
        </w:rPr>
        <w:t>“</w:t>
      </w:r>
      <w:r w:rsidRPr="000F7403">
        <w:rPr>
          <w:rFonts w:ascii="Verdana" w:hAnsi="Verdana" w:cs="Arial"/>
          <w:sz w:val="20"/>
          <w:szCs w:val="20"/>
          <w:lang w:val="es-ES_tradnl"/>
        </w:rPr>
        <w:t>En los contratos que celebren las entidades estatales se podrá pactar el pago anticipado y la entrega de anticipos, pero su monto no podrá exceder del cincuenta por ciento (50%) del valor del respectivo contrato</w:t>
      </w:r>
      <w:r>
        <w:rPr>
          <w:rFonts w:ascii="Verdana" w:hAnsi="Verdana" w:cs="Arial"/>
          <w:sz w:val="20"/>
          <w:szCs w:val="20"/>
          <w:lang w:val="es-ES_tradnl"/>
        </w:rPr>
        <w:t>”</w:t>
      </w:r>
      <w:r w:rsidRPr="000F7403">
        <w:rPr>
          <w:rFonts w:ascii="Verdana" w:hAnsi="Verdana" w:cs="Arial"/>
          <w:sz w:val="20"/>
          <w:szCs w:val="20"/>
          <w:lang w:val="es-ES_tradnl"/>
        </w:rPr>
        <w:t>.</w:t>
      </w:r>
    </w:p>
    <w:p w14:paraId="0157BB17"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p>
    <w:p w14:paraId="1DB10B78"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ANTICIPO – Definición jurisprudencial</w:t>
      </w:r>
    </w:p>
    <w:p w14:paraId="2C11B138"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b/>
          <w:bCs/>
          <w:sz w:val="20"/>
          <w:szCs w:val="20"/>
          <w:lang w:val="es-ES_tradnl"/>
        </w:rPr>
      </w:pPr>
    </w:p>
    <w:p w14:paraId="3DC88048"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[Sobre la calidad de recurso público del anticipo, la jurisprudencia ha reiterado que </w:t>
      </w:r>
      <w:r>
        <w:rPr>
          <w:rFonts w:ascii="Verdana" w:hAnsi="Verdana" w:cs="Arial"/>
          <w:sz w:val="20"/>
          <w:szCs w:val="20"/>
          <w:lang w:val="es-ES_tradnl"/>
        </w:rPr>
        <w:t>“</w:t>
      </w:r>
      <w:r w:rsidRPr="000F7403">
        <w:rPr>
          <w:rFonts w:ascii="Verdana" w:hAnsi="Verdana" w:cs="Arial"/>
          <w:sz w:val="20"/>
          <w:szCs w:val="20"/>
          <w:lang w:val="es-ES_tradn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hAnsi="Verdana" w:cs="Arial"/>
          <w:sz w:val="20"/>
          <w:szCs w:val="20"/>
          <w:lang w:val="es-ES_tradnl"/>
        </w:rPr>
        <w:t>”</w:t>
      </w:r>
      <w:r w:rsidRPr="000F7403">
        <w:rPr>
          <w:rFonts w:ascii="Verdana" w:hAnsi="Verdana" w:cs="Arial"/>
          <w:sz w:val="20"/>
          <w:szCs w:val="20"/>
          <w:lang w:val="es-ES_tradnl"/>
        </w:rPr>
        <w:t xml:space="preserve">. Igualmente, explica que el anticipo, al facilitar al contratista la financiación de los bienes y servicios que se le han encargado, es un factor determinante para impulsar la ejecución del contrato. Este también es el entendimiento de la doctrina, que ha considerado el anticipo como un dinero entregado al contratista que debe cancelarse mediante descuentos parciales, siendo una práctica común que permite impulsar la ejecución del contrato. </w:t>
      </w:r>
    </w:p>
    <w:p w14:paraId="4FEE1E90"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p>
    <w:p w14:paraId="7D1758B8"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Así, de acuerdo con las consideraciones de la jurisprudencia y la doctrina, el anticipo es aquella suma de dinero entregada al contratista con la finalidad de apalancarlo financieramente para solventar los costos iniciales de la ejecución del contrato. Este dinero debe amortizarse </w:t>
      </w:r>
      <w:proofErr w:type="gramStart"/>
      <w:r w:rsidRPr="000F7403">
        <w:rPr>
          <w:rFonts w:ascii="Verdana" w:hAnsi="Verdana" w:cs="Arial"/>
          <w:sz w:val="20"/>
          <w:szCs w:val="20"/>
          <w:lang w:val="es-ES_tradnl"/>
        </w:rPr>
        <w:t>de acuerdo al</w:t>
      </w:r>
      <w:proofErr w:type="gramEnd"/>
      <w:r w:rsidRPr="000F7403">
        <w:rPr>
          <w:rFonts w:ascii="Verdana" w:hAnsi="Verdana" w:cs="Arial"/>
          <w:sz w:val="20"/>
          <w:szCs w:val="20"/>
          <w:lang w:val="es-ES_tradnl"/>
        </w:rPr>
        <w:t xml:space="preserve"> avance en la ejecución. De esta forma, los recursos entregados a título de anticipo son del erario, razón por la que debe garantizarse su buen manejo y correcta inversión.</w:t>
      </w:r>
    </w:p>
    <w:p w14:paraId="03B385F4"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b/>
          <w:bCs/>
          <w:sz w:val="20"/>
          <w:szCs w:val="20"/>
          <w:lang w:val="es-ES_tradnl"/>
        </w:rPr>
      </w:pPr>
    </w:p>
    <w:p w14:paraId="1926A5E7"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Autonomía de la voluntad – Derechos y obligaciones recíprocas </w:t>
      </w:r>
    </w:p>
    <w:p w14:paraId="7AB75499"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p>
    <w:p w14:paraId="66356EEF"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w:t>
      </w:r>
    </w:p>
    <w:p w14:paraId="2AEDC2AF" w14:textId="77777777" w:rsidR="002845A8" w:rsidRPr="005549AE" w:rsidRDefault="002845A8" w:rsidP="002845A8">
      <w:pPr>
        <w:spacing w:after="0" w:line="240" w:lineRule="auto"/>
        <w:jc w:val="both"/>
        <w:rPr>
          <w:rFonts w:ascii="Verdana" w:hAnsi="Verdana"/>
          <w:b/>
          <w:bCs/>
          <w:sz w:val="20"/>
          <w:szCs w:val="20"/>
          <w:lang w:val="es-ES"/>
        </w:rPr>
      </w:pPr>
    </w:p>
    <w:p w14:paraId="7E5270B6" w14:textId="77777777" w:rsidR="002845A8" w:rsidRPr="005549AE" w:rsidRDefault="002845A8" w:rsidP="002845A8">
      <w:pPr>
        <w:spacing w:after="0" w:line="240" w:lineRule="auto"/>
        <w:jc w:val="both"/>
        <w:rPr>
          <w:rFonts w:ascii="Verdana" w:hAnsi="Verdana"/>
          <w:b/>
        </w:rPr>
      </w:pPr>
      <w:r w:rsidRPr="00660AA2">
        <w:rPr>
          <w:rFonts w:ascii="Verdana" w:hAnsi="Verdana"/>
          <w:b/>
        </w:rPr>
        <w:t>EQUILIBRIO ECONÓMICO – Contrato estatal – Fundamento</w:t>
      </w:r>
    </w:p>
    <w:p w14:paraId="3BBAFEB6" w14:textId="77777777" w:rsidR="002845A8" w:rsidRPr="005549AE" w:rsidRDefault="002845A8" w:rsidP="002845A8">
      <w:pPr>
        <w:spacing w:after="0" w:line="240" w:lineRule="auto"/>
        <w:jc w:val="both"/>
        <w:rPr>
          <w:rFonts w:ascii="Verdana" w:hAnsi="Verdana"/>
          <w:bCs/>
          <w:sz w:val="20"/>
          <w:szCs w:val="20"/>
        </w:rPr>
      </w:pPr>
    </w:p>
    <w:p w14:paraId="0FCA6B0E" w14:textId="77777777" w:rsidR="002845A8" w:rsidRPr="00660AA2" w:rsidRDefault="002845A8" w:rsidP="002845A8">
      <w:pPr>
        <w:spacing w:after="0" w:line="240" w:lineRule="auto"/>
        <w:jc w:val="both"/>
        <w:rPr>
          <w:rFonts w:ascii="Verdana" w:eastAsia="Calibri" w:hAnsi="Verdana" w:cs="Arial"/>
          <w:sz w:val="20"/>
          <w:szCs w:val="20"/>
          <w:shd w:val="clear" w:color="auto" w:fill="FFFFFF"/>
          <w:lang w:val="es-ES"/>
        </w:rPr>
      </w:pPr>
      <w:r w:rsidRPr="00660AA2">
        <w:rPr>
          <w:rFonts w:ascii="Verdana" w:eastAsia="Calibri" w:hAnsi="Verdana" w:cs="Arial"/>
          <w:sz w:val="20"/>
          <w:szCs w:val="20"/>
          <w:shd w:val="clear" w:color="auto" w:fill="FFFFFF"/>
          <w:lang w:val="es-ES"/>
        </w:rPr>
        <w:lastRenderedPageBreak/>
        <w:t xml:space="preserve">De conformidad con el artículo 3 de la Ley 80 de 1993 la celebración y ejecución de los contratos estatales 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 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w:t>
      </w:r>
      <w:proofErr w:type="gramStart"/>
      <w:r w:rsidRPr="00660AA2">
        <w:rPr>
          <w:rFonts w:ascii="Verdana" w:eastAsia="Calibri" w:hAnsi="Verdana" w:cs="Arial"/>
          <w:sz w:val="20"/>
          <w:szCs w:val="20"/>
          <w:shd w:val="clear" w:color="auto" w:fill="FFFFFF"/>
          <w:lang w:val="es-ES"/>
        </w:rPr>
        <w:t>y</w:t>
      </w:r>
      <w:proofErr w:type="gramEnd"/>
      <w:r w:rsidRPr="00660AA2">
        <w:rPr>
          <w:rFonts w:ascii="Verdana" w:eastAsia="Calibri" w:hAnsi="Verdana" w:cs="Arial"/>
          <w:sz w:val="20"/>
          <w:szCs w:val="20"/>
          <w:shd w:val="clear" w:color="auto" w:fill="FFFFFF"/>
          <w:lang w:val="es-ES"/>
        </w:rPr>
        <w:t xml:space="preserve"> por otro lado, generar un beneficio económico para el particular que colabora en su ejecución. </w:t>
      </w:r>
    </w:p>
    <w:p w14:paraId="6379B0E1" w14:textId="77777777" w:rsidR="002845A8" w:rsidRPr="00660AA2" w:rsidRDefault="002845A8" w:rsidP="002845A8">
      <w:pPr>
        <w:spacing w:after="0" w:line="240" w:lineRule="auto"/>
        <w:jc w:val="both"/>
        <w:rPr>
          <w:rFonts w:ascii="Verdana" w:eastAsia="Calibri" w:hAnsi="Verdana" w:cs="Arial"/>
          <w:sz w:val="20"/>
          <w:szCs w:val="20"/>
          <w:shd w:val="clear" w:color="auto" w:fill="FFFFFF"/>
          <w:lang w:val="es-ES"/>
        </w:rPr>
      </w:pPr>
    </w:p>
    <w:p w14:paraId="4E839BCD" w14:textId="77777777" w:rsidR="002845A8" w:rsidRPr="005549AE" w:rsidRDefault="002845A8" w:rsidP="002845A8">
      <w:pPr>
        <w:spacing w:after="0" w:line="240" w:lineRule="auto"/>
        <w:jc w:val="both"/>
        <w:rPr>
          <w:rFonts w:ascii="Verdana" w:eastAsia="Arial MT" w:hAnsi="Verdana" w:cs="Arial"/>
          <w:sz w:val="20"/>
          <w:szCs w:val="20"/>
          <w:lang w:eastAsia="es-ES" w:bidi="es-ES"/>
        </w:rPr>
      </w:pPr>
      <w:r w:rsidRPr="00660AA2">
        <w:rPr>
          <w:rFonts w:ascii="Verdana" w:eastAsia="Calibri" w:hAnsi="Verdana" w:cs="Arial"/>
          <w:sz w:val="20"/>
          <w:szCs w:val="20"/>
          <w:shd w:val="clear" w:color="auto" w:fill="FFFFFF"/>
          <w:lang w:val="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w:t>
      </w:r>
    </w:p>
    <w:p w14:paraId="29FCEF2D" w14:textId="77777777" w:rsidR="002845A8" w:rsidRPr="005549AE" w:rsidRDefault="002845A8" w:rsidP="002845A8">
      <w:pPr>
        <w:spacing w:after="0" w:line="240" w:lineRule="auto"/>
        <w:jc w:val="both"/>
        <w:rPr>
          <w:rFonts w:ascii="Verdana" w:hAnsi="Verdana"/>
          <w:bCs/>
          <w:sz w:val="20"/>
          <w:szCs w:val="20"/>
        </w:rPr>
      </w:pPr>
    </w:p>
    <w:p w14:paraId="677053CF" w14:textId="77777777" w:rsidR="002845A8" w:rsidRPr="005549AE" w:rsidRDefault="002845A8" w:rsidP="002845A8">
      <w:pPr>
        <w:spacing w:after="0" w:line="240" w:lineRule="auto"/>
        <w:jc w:val="both"/>
        <w:rPr>
          <w:rFonts w:ascii="Verdana" w:hAnsi="Verdana"/>
          <w:b/>
        </w:rPr>
      </w:pPr>
      <w:r w:rsidRPr="00660AA2">
        <w:rPr>
          <w:rFonts w:ascii="Verdana" w:hAnsi="Verdana"/>
          <w:b/>
        </w:rPr>
        <w:t>EQUILIBRIO ECONÓMICO – Contrato estatal – Concepto</w:t>
      </w:r>
    </w:p>
    <w:p w14:paraId="5B4C0A75" w14:textId="77777777" w:rsidR="002845A8" w:rsidRPr="005549AE" w:rsidRDefault="002845A8" w:rsidP="002845A8">
      <w:pPr>
        <w:spacing w:after="0" w:line="240" w:lineRule="auto"/>
        <w:jc w:val="both"/>
        <w:rPr>
          <w:rFonts w:ascii="Verdana" w:hAnsi="Verdana"/>
          <w:bCs/>
          <w:sz w:val="20"/>
          <w:szCs w:val="20"/>
        </w:rPr>
      </w:pPr>
    </w:p>
    <w:p w14:paraId="0F3A17AD" w14:textId="77777777" w:rsidR="002845A8" w:rsidRPr="005549AE" w:rsidRDefault="002845A8" w:rsidP="002845A8">
      <w:pPr>
        <w:spacing w:after="0" w:line="240" w:lineRule="auto"/>
        <w:jc w:val="both"/>
        <w:rPr>
          <w:rFonts w:ascii="Verdana" w:hAnsi="Verdana"/>
          <w:b/>
          <w:bCs/>
          <w:sz w:val="20"/>
          <w:szCs w:val="20"/>
        </w:rPr>
      </w:pPr>
      <w:r w:rsidRPr="00660AA2">
        <w:rPr>
          <w:rFonts w:ascii="Verdana" w:eastAsia="Arial MT" w:hAnsi="Verdana" w:cs="Arial"/>
          <w:sz w:val="20"/>
          <w:szCs w:val="20"/>
          <w:lang w:eastAsia="es-ES" w:bidi="es-ES"/>
        </w:rPr>
        <w:t xml:space="preserve">Sobre el principio del equilibrio financiero del contrato, el Consejo de Estado ha señalado que consiste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 xml:space="preserve">. En concordancia, la doctrina ha indicado que con este principio, también denominado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el de la honesta equivalencia de prestaciones</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 xml:space="preserve">, se privilegia el carácter conmutativo o sinalagmático que, por regla general, tiene el contrato estatal, </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MT" w:hAnsi="Verdana" w:cs="Arial"/>
          <w:sz w:val="20"/>
          <w:szCs w:val="20"/>
          <w:lang w:eastAsia="es-ES" w:bidi="es-ES"/>
        </w:rPr>
        <w:t>”</w:t>
      </w:r>
      <w:r w:rsidRPr="00660AA2">
        <w:rPr>
          <w:rFonts w:ascii="Verdana" w:eastAsia="Arial MT" w:hAnsi="Verdana" w:cs="Arial"/>
          <w:sz w:val="20"/>
          <w:szCs w:val="20"/>
          <w:lang w:eastAsia="es-ES" w:bidi="es-ES"/>
        </w:rPr>
        <w:t>.</w:t>
      </w:r>
    </w:p>
    <w:p w14:paraId="42AB1446" w14:textId="77777777" w:rsidR="002845A8" w:rsidRPr="005549AE" w:rsidRDefault="002845A8" w:rsidP="002845A8">
      <w:pPr>
        <w:spacing w:after="0" w:line="240" w:lineRule="auto"/>
        <w:jc w:val="both"/>
        <w:rPr>
          <w:rFonts w:ascii="Verdana" w:hAnsi="Verdana"/>
          <w:b/>
          <w:bCs/>
          <w:sz w:val="20"/>
          <w:szCs w:val="20"/>
        </w:rPr>
      </w:pPr>
    </w:p>
    <w:p w14:paraId="3835A5C2" w14:textId="77777777" w:rsidR="002845A8" w:rsidRPr="005549AE" w:rsidRDefault="002845A8" w:rsidP="002845A8">
      <w:pPr>
        <w:spacing w:after="0" w:line="240" w:lineRule="auto"/>
        <w:jc w:val="both"/>
        <w:rPr>
          <w:rFonts w:ascii="Verdana" w:hAnsi="Verdana"/>
          <w:b/>
          <w:bCs/>
        </w:rPr>
      </w:pPr>
      <w:r w:rsidRPr="00660AA2">
        <w:rPr>
          <w:rFonts w:ascii="Verdana" w:hAnsi="Verdana"/>
          <w:b/>
          <w:bCs/>
        </w:rPr>
        <w:t>EQUILIBRIO ECONÓMICO – Contrato estatal – Restablecimiento – Procedencia – Requisitos</w:t>
      </w:r>
    </w:p>
    <w:p w14:paraId="7D24E5A1" w14:textId="77777777" w:rsidR="002845A8" w:rsidRPr="005549AE" w:rsidRDefault="002845A8" w:rsidP="002845A8">
      <w:pPr>
        <w:spacing w:after="0" w:line="240" w:lineRule="auto"/>
        <w:jc w:val="both"/>
        <w:rPr>
          <w:rFonts w:ascii="Verdana" w:hAnsi="Verdana"/>
          <w:b/>
          <w:bCs/>
          <w:sz w:val="20"/>
          <w:szCs w:val="20"/>
        </w:rPr>
      </w:pPr>
    </w:p>
    <w:p w14:paraId="0B8A4FBF" w14:textId="77777777" w:rsidR="002845A8" w:rsidRPr="00660AA2" w:rsidRDefault="002845A8" w:rsidP="002845A8">
      <w:pPr>
        <w:spacing w:after="0" w:line="240" w:lineRule="auto"/>
        <w:jc w:val="both"/>
        <w:rPr>
          <w:rFonts w:ascii="Verdana" w:hAnsi="Verdana"/>
          <w:sz w:val="20"/>
          <w:szCs w:val="20"/>
        </w:rPr>
      </w:pPr>
      <w:r w:rsidRPr="00660AA2">
        <w:rPr>
          <w:rFonts w:ascii="Verdana" w:hAnsi="Verdana"/>
          <w:sz w:val="20"/>
          <w:szCs w:val="20"/>
          <w:lang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sidRPr="00660AA2">
        <w:rPr>
          <w:rFonts w:ascii="Verdana" w:hAnsi="Verdana"/>
          <w:sz w:val="20"/>
          <w:szCs w:val="20"/>
        </w:rPr>
        <w:t xml:space="preserve">si las solicitudes, o salvedades </w:t>
      </w:r>
      <w:r>
        <w:rPr>
          <w:rFonts w:ascii="Verdana" w:hAnsi="Verdana"/>
          <w:sz w:val="20"/>
          <w:szCs w:val="20"/>
          <w:lang w:val="es-MX"/>
        </w:rPr>
        <w:t>“</w:t>
      </w:r>
      <w:r w:rsidRPr="00660AA2">
        <w:rPr>
          <w:rFonts w:ascii="Verdana" w:hAnsi="Verdana"/>
          <w:sz w:val="20"/>
          <w:szCs w:val="20"/>
        </w:rPr>
        <w:t xml:space="preserve">no se hacen al momento de suscribir las suspensiones, adiciones o </w:t>
      </w:r>
      <w:r w:rsidRPr="00660AA2">
        <w:rPr>
          <w:rFonts w:ascii="Verdana" w:hAnsi="Verdana"/>
          <w:sz w:val="20"/>
          <w:szCs w:val="20"/>
        </w:rPr>
        <w:lastRenderedPageBreak/>
        <w:t>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hAnsi="Verdana"/>
          <w:sz w:val="20"/>
          <w:szCs w:val="20"/>
          <w:lang w:val="es-MX"/>
        </w:rPr>
        <w:t>”</w:t>
      </w:r>
      <w:r w:rsidRPr="00660AA2">
        <w:rPr>
          <w:rFonts w:ascii="Verdana" w:hAnsi="Verdana"/>
          <w:sz w:val="20"/>
          <w:szCs w:val="20"/>
          <w:lang w:val="es-MX"/>
        </w:rPr>
        <w:t xml:space="preserve">. </w:t>
      </w:r>
    </w:p>
    <w:p w14:paraId="54220869" w14:textId="77777777" w:rsidR="002845A8" w:rsidRPr="00660AA2" w:rsidRDefault="002845A8" w:rsidP="002845A8">
      <w:pPr>
        <w:spacing w:after="0" w:line="240" w:lineRule="auto"/>
        <w:jc w:val="both"/>
        <w:rPr>
          <w:rFonts w:ascii="Verdana" w:hAnsi="Verdana"/>
          <w:sz w:val="20"/>
          <w:szCs w:val="20"/>
          <w:lang w:bidi="es-ES"/>
        </w:rPr>
      </w:pPr>
    </w:p>
    <w:p w14:paraId="38A97C90" w14:textId="77777777" w:rsidR="002845A8" w:rsidRPr="00660AA2" w:rsidRDefault="002845A8" w:rsidP="002845A8">
      <w:pPr>
        <w:spacing w:after="0" w:line="240" w:lineRule="auto"/>
        <w:jc w:val="both"/>
        <w:rPr>
          <w:rFonts w:ascii="Verdana" w:hAnsi="Verdana"/>
          <w:sz w:val="20"/>
          <w:szCs w:val="20"/>
          <w:lang w:bidi="es-ES"/>
        </w:rPr>
      </w:pPr>
      <w:r w:rsidRPr="00660AA2">
        <w:rPr>
          <w:rFonts w:ascii="Verdana" w:hAnsi="Verdana"/>
          <w:sz w:val="20"/>
          <w:szCs w:val="20"/>
          <w:lang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591C60AD" w14:textId="77777777" w:rsidR="002845A8" w:rsidRPr="00660AA2" w:rsidRDefault="002845A8" w:rsidP="002845A8">
      <w:pPr>
        <w:spacing w:after="0" w:line="240" w:lineRule="auto"/>
        <w:jc w:val="both"/>
        <w:rPr>
          <w:rFonts w:ascii="Verdana" w:hAnsi="Verdana"/>
          <w:sz w:val="20"/>
          <w:szCs w:val="20"/>
        </w:rPr>
      </w:pPr>
    </w:p>
    <w:p w14:paraId="30B5A7D0" w14:textId="77777777" w:rsidR="002845A8" w:rsidRPr="00660AA2" w:rsidRDefault="002845A8" w:rsidP="002845A8">
      <w:pPr>
        <w:spacing w:after="0" w:line="240" w:lineRule="auto"/>
        <w:jc w:val="both"/>
        <w:rPr>
          <w:rFonts w:ascii="Verdana" w:hAnsi="Verdana"/>
          <w:sz w:val="20"/>
          <w:szCs w:val="20"/>
        </w:rPr>
      </w:pPr>
      <w:r w:rsidRPr="00660AA2">
        <w:rPr>
          <w:rFonts w:ascii="Verdana" w:hAnsi="Verdana"/>
          <w:sz w:val="20"/>
          <w:szCs w:val="20"/>
          <w:lang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660AA2">
        <w:rPr>
          <w:rFonts w:ascii="Verdana" w:hAnsi="Verdana"/>
          <w:sz w:val="20"/>
          <w:szCs w:val="20"/>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hAnsi="Verdana"/>
          <w:sz w:val="20"/>
          <w:szCs w:val="20"/>
          <w:lang w:val="es-MX"/>
        </w:rPr>
        <w:t>“</w:t>
      </w:r>
      <w:r w:rsidRPr="00660AA2">
        <w:rPr>
          <w:rFonts w:ascii="Verdana" w:hAnsi="Verdana"/>
          <w:sz w:val="20"/>
          <w:szCs w:val="20"/>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 de tales situaciones, haya concurrido a suscribirlo, sin dejar alguna manifestación sobre la insuficiencia de ese acuerdo para satisfacer sus reclamaciones</w:t>
      </w:r>
      <w:r>
        <w:rPr>
          <w:rFonts w:ascii="Verdana" w:hAnsi="Verdana"/>
          <w:sz w:val="20"/>
          <w:szCs w:val="20"/>
          <w:lang w:val="es-MX"/>
        </w:rPr>
        <w:t>”</w:t>
      </w:r>
      <w:r w:rsidRPr="00660AA2">
        <w:rPr>
          <w:rFonts w:ascii="Verdana" w:hAnsi="Verdana"/>
          <w:sz w:val="20"/>
          <w:szCs w:val="20"/>
        </w:rPr>
        <w:t>.</w:t>
      </w:r>
    </w:p>
    <w:p w14:paraId="43F39DAB" w14:textId="77777777" w:rsidR="002845A8" w:rsidRPr="007A65DE" w:rsidRDefault="002845A8" w:rsidP="002845A8">
      <w:pPr>
        <w:pStyle w:val="NormalWeb"/>
        <w:shd w:val="clear" w:color="auto" w:fill="FFFFFF"/>
        <w:spacing w:before="0" w:beforeAutospacing="0" w:after="0" w:afterAutospacing="0"/>
        <w:jc w:val="both"/>
        <w:rPr>
          <w:rFonts w:ascii="Verdana" w:hAnsi="Verdana" w:cs="Arial"/>
          <w:sz w:val="20"/>
          <w:szCs w:val="20"/>
        </w:rPr>
      </w:pPr>
    </w:p>
    <w:p w14:paraId="73F4916B"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ES_tradnl"/>
        </w:rPr>
      </w:pPr>
    </w:p>
    <w:p w14:paraId="087BB015" w14:textId="77777777" w:rsidR="002845A8" w:rsidRPr="000F7403" w:rsidRDefault="002845A8" w:rsidP="002845A8">
      <w:pPr>
        <w:pStyle w:val="NormalWeb"/>
        <w:shd w:val="clear" w:color="auto" w:fill="FFFFFF"/>
        <w:spacing w:before="0" w:beforeAutospacing="0" w:after="0" w:afterAutospacing="0"/>
        <w:jc w:val="both"/>
        <w:rPr>
          <w:rFonts w:ascii="Verdana" w:hAnsi="Verdana" w:cs="Arial"/>
          <w:sz w:val="20"/>
          <w:szCs w:val="20"/>
          <w:lang w:val="es-MX"/>
        </w:rPr>
      </w:pPr>
    </w:p>
    <w:p w14:paraId="0C1ED300" w14:textId="77777777" w:rsidR="002845A8" w:rsidRPr="000F7403" w:rsidRDefault="002845A8" w:rsidP="002845A8">
      <w:pPr>
        <w:spacing w:after="0" w:line="240" w:lineRule="auto"/>
        <w:rPr>
          <w:rFonts w:ascii="Verdana" w:eastAsia="Calibri" w:hAnsi="Verdana" w:cs="Arial"/>
          <w:sz w:val="20"/>
          <w:szCs w:val="20"/>
          <w:lang w:val="es-MX" w:eastAsia="es-ES"/>
        </w:rPr>
      </w:pPr>
    </w:p>
    <w:p w14:paraId="1591516A" w14:textId="77777777" w:rsidR="002845A8" w:rsidRDefault="002845A8" w:rsidP="002845A8">
      <w:pPr>
        <w:spacing w:after="0" w:line="240" w:lineRule="auto"/>
        <w:rPr>
          <w:rFonts w:ascii="Verdana" w:eastAsia="Geomanist Light" w:hAnsi="Verdana" w:cs="Arial"/>
          <w:color w:val="000000" w:themeColor="text1"/>
          <w:lang w:val="es-MX"/>
        </w:rPr>
      </w:pPr>
    </w:p>
    <w:p w14:paraId="02ECFBA5" w14:textId="77777777" w:rsidR="002845A8" w:rsidRDefault="002845A8" w:rsidP="002845A8">
      <w:pPr>
        <w:spacing w:after="0" w:line="240" w:lineRule="auto"/>
        <w:rPr>
          <w:rFonts w:ascii="Verdana" w:eastAsia="Geomanist Light" w:hAnsi="Verdana" w:cs="Arial"/>
          <w:color w:val="000000" w:themeColor="text1"/>
          <w:lang w:val="es-MX"/>
        </w:rPr>
      </w:pPr>
    </w:p>
    <w:p w14:paraId="587E9BE4" w14:textId="77777777" w:rsidR="002845A8" w:rsidRDefault="002845A8" w:rsidP="002845A8">
      <w:pPr>
        <w:spacing w:after="0" w:line="240" w:lineRule="auto"/>
        <w:rPr>
          <w:rFonts w:ascii="Verdana" w:eastAsia="Geomanist Light" w:hAnsi="Verdana" w:cs="Arial"/>
          <w:color w:val="000000" w:themeColor="text1"/>
          <w:lang w:val="es-MX"/>
        </w:rPr>
      </w:pPr>
    </w:p>
    <w:p w14:paraId="0C2F6774" w14:textId="77777777" w:rsidR="002845A8" w:rsidRDefault="002845A8" w:rsidP="002845A8">
      <w:pPr>
        <w:spacing w:after="0" w:line="240" w:lineRule="auto"/>
        <w:rPr>
          <w:rFonts w:ascii="Verdana" w:eastAsia="Geomanist Light" w:hAnsi="Verdana" w:cs="Arial"/>
          <w:color w:val="000000" w:themeColor="text1"/>
          <w:lang w:val="es-MX"/>
        </w:rPr>
      </w:pPr>
    </w:p>
    <w:p w14:paraId="11A08DA8" w14:textId="77777777" w:rsidR="002845A8" w:rsidRDefault="002845A8" w:rsidP="002845A8">
      <w:pPr>
        <w:spacing w:after="0" w:line="240" w:lineRule="auto"/>
        <w:rPr>
          <w:rFonts w:ascii="Verdana" w:eastAsia="Geomanist Light" w:hAnsi="Verdana" w:cs="Arial"/>
          <w:color w:val="000000" w:themeColor="text1"/>
          <w:lang w:val="es-MX"/>
        </w:rPr>
      </w:pPr>
    </w:p>
    <w:p w14:paraId="57672891" w14:textId="77777777" w:rsidR="002845A8" w:rsidRDefault="002845A8" w:rsidP="002845A8">
      <w:pPr>
        <w:spacing w:after="0" w:line="240" w:lineRule="auto"/>
        <w:rPr>
          <w:rFonts w:ascii="Verdana" w:eastAsia="Geomanist Light" w:hAnsi="Verdana" w:cs="Arial"/>
          <w:color w:val="000000" w:themeColor="text1"/>
          <w:lang w:val="es-MX"/>
        </w:rPr>
      </w:pPr>
    </w:p>
    <w:p w14:paraId="2B8C27E8" w14:textId="77777777" w:rsidR="002845A8" w:rsidRDefault="002845A8" w:rsidP="002845A8">
      <w:pPr>
        <w:spacing w:after="0" w:line="240" w:lineRule="auto"/>
        <w:rPr>
          <w:rFonts w:ascii="Verdana" w:eastAsia="Geomanist Light" w:hAnsi="Verdana" w:cs="Arial"/>
          <w:color w:val="000000" w:themeColor="text1"/>
          <w:lang w:val="es-MX"/>
        </w:rPr>
      </w:pPr>
    </w:p>
    <w:p w14:paraId="3AE3B1F8" w14:textId="77777777" w:rsidR="002845A8" w:rsidRDefault="002845A8" w:rsidP="002845A8">
      <w:pPr>
        <w:spacing w:after="0" w:line="240" w:lineRule="auto"/>
        <w:rPr>
          <w:rFonts w:ascii="Verdana" w:eastAsia="Geomanist Light" w:hAnsi="Verdana" w:cs="Arial"/>
          <w:color w:val="000000" w:themeColor="text1"/>
          <w:lang w:val="es-MX"/>
        </w:rPr>
      </w:pPr>
    </w:p>
    <w:p w14:paraId="4C2F43E5" w14:textId="77777777" w:rsidR="002845A8" w:rsidRDefault="002845A8" w:rsidP="002845A8">
      <w:pPr>
        <w:spacing w:after="0" w:line="240" w:lineRule="auto"/>
        <w:rPr>
          <w:rFonts w:ascii="Verdana" w:eastAsia="Geomanist Light" w:hAnsi="Verdana" w:cs="Arial"/>
          <w:color w:val="000000" w:themeColor="text1"/>
          <w:lang w:val="es-MX"/>
        </w:rPr>
      </w:pPr>
    </w:p>
    <w:p w14:paraId="4C4C8900" w14:textId="77777777" w:rsidR="002845A8" w:rsidRDefault="002845A8" w:rsidP="002845A8">
      <w:pPr>
        <w:spacing w:after="0" w:line="240" w:lineRule="auto"/>
        <w:rPr>
          <w:rFonts w:ascii="Verdana" w:eastAsia="Geomanist Light" w:hAnsi="Verdana" w:cs="Arial"/>
          <w:color w:val="000000" w:themeColor="text1"/>
          <w:lang w:val="es-MX"/>
        </w:rPr>
      </w:pPr>
    </w:p>
    <w:p w14:paraId="2F30928D" w14:textId="77777777" w:rsidR="002845A8" w:rsidRDefault="002845A8" w:rsidP="002845A8">
      <w:pPr>
        <w:spacing w:after="0" w:line="240" w:lineRule="auto"/>
        <w:rPr>
          <w:rFonts w:ascii="Verdana" w:eastAsia="Geomanist Light" w:hAnsi="Verdana" w:cs="Arial"/>
          <w:color w:val="000000" w:themeColor="text1"/>
          <w:lang w:val="es-MX"/>
        </w:rPr>
      </w:pPr>
    </w:p>
    <w:p w14:paraId="757304FC" w14:textId="77777777" w:rsidR="002845A8" w:rsidRDefault="002845A8" w:rsidP="002845A8">
      <w:pPr>
        <w:spacing w:after="0" w:line="240" w:lineRule="auto"/>
        <w:rPr>
          <w:rFonts w:ascii="Verdana" w:eastAsia="Geomanist Light" w:hAnsi="Verdana" w:cs="Arial"/>
          <w:color w:val="000000" w:themeColor="text1"/>
          <w:lang w:val="es-MX"/>
        </w:rPr>
      </w:pPr>
    </w:p>
    <w:p w14:paraId="5893289D" w14:textId="77777777" w:rsidR="002845A8" w:rsidRDefault="002845A8" w:rsidP="002845A8">
      <w:pPr>
        <w:spacing w:after="0" w:line="240" w:lineRule="auto"/>
        <w:rPr>
          <w:rFonts w:ascii="Verdana" w:eastAsia="Geomanist Light" w:hAnsi="Verdana" w:cs="Arial"/>
          <w:color w:val="000000" w:themeColor="text1"/>
          <w:lang w:val="es-MX"/>
        </w:rPr>
      </w:pPr>
    </w:p>
    <w:p w14:paraId="2089EC9F" w14:textId="77777777" w:rsidR="002845A8" w:rsidRDefault="002845A8" w:rsidP="002845A8">
      <w:pPr>
        <w:spacing w:after="0" w:line="240" w:lineRule="auto"/>
        <w:rPr>
          <w:rFonts w:ascii="Verdana" w:eastAsia="Geomanist Light" w:hAnsi="Verdana" w:cs="Arial"/>
          <w:color w:val="000000" w:themeColor="text1"/>
          <w:lang w:val="es-MX"/>
        </w:rPr>
      </w:pPr>
    </w:p>
    <w:p w14:paraId="2F314081" w14:textId="77777777" w:rsidR="002845A8" w:rsidRDefault="002845A8" w:rsidP="00DB2443">
      <w:pPr>
        <w:spacing w:after="0" w:line="240" w:lineRule="auto"/>
        <w:rPr>
          <w:rFonts w:ascii="Verdana" w:eastAsia="Geomanist Light" w:hAnsi="Verdana" w:cs="Arial"/>
          <w:color w:val="000000" w:themeColor="text1"/>
          <w:lang w:val="es-MX"/>
        </w:rPr>
      </w:pPr>
    </w:p>
    <w:p w14:paraId="2F502966" w14:textId="2236E664" w:rsidR="00DB2443" w:rsidRPr="00593A5F" w:rsidRDefault="00DB2443" w:rsidP="00DB244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w:t>
      </w:r>
      <w:r w:rsidR="005A3CF8">
        <w:rPr>
          <w:rFonts w:ascii="Verdana" w:eastAsia="Geomanist Light" w:hAnsi="Verdana" w:cs="Arial"/>
          <w:color w:val="000000" w:themeColor="text1"/>
          <w:lang w:val="es-MX"/>
        </w:rPr>
        <w:t xml:space="preserve"> 16 de Octubre de 2025</w:t>
      </w:r>
    </w:p>
    <w:p w14:paraId="3150EB33" w14:textId="77777777" w:rsidR="00DB2443" w:rsidRDefault="00DB2443" w:rsidP="00DB2443">
      <w:pPr>
        <w:spacing w:after="0" w:line="240" w:lineRule="auto"/>
        <w:jc w:val="both"/>
        <w:rPr>
          <w:rFonts w:ascii="Verdana" w:eastAsia="Calibri" w:hAnsi="Verdana" w:cs="Arial"/>
          <w:color w:val="000000"/>
          <w:lang w:val="es-ES"/>
        </w:rPr>
      </w:pPr>
    </w:p>
    <w:p w14:paraId="31219019" w14:textId="46EC59ED" w:rsidR="00667D3E" w:rsidRDefault="00667D3E" w:rsidP="00667D3E">
      <w:pPr>
        <w:spacing w:after="0" w:line="240" w:lineRule="auto"/>
        <w:jc w:val="right"/>
        <w:rPr>
          <w:rFonts w:ascii="Verdana" w:eastAsia="Calibri" w:hAnsi="Verdana" w:cs="Arial"/>
          <w:color w:val="000000"/>
          <w:lang w:val="es-ES"/>
        </w:rPr>
      </w:pPr>
      <w:r w:rsidRPr="00667D3E">
        <w:rPr>
          <w:rFonts w:ascii="Verdana" w:eastAsia="Calibri" w:hAnsi="Verdana" w:cs="Arial"/>
          <w:noProof/>
          <w:color w:val="000000"/>
          <w:lang w:val="es-ES"/>
        </w:rPr>
        <w:drawing>
          <wp:inline distT="0" distB="0" distL="0" distR="0" wp14:anchorId="7442B2C9" wp14:editId="3DD1B31E">
            <wp:extent cx="2400300" cy="622300"/>
            <wp:effectExtent l="0" t="0" r="0" b="0"/>
            <wp:docPr id="468413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13343" name=""/>
                    <pic:cNvPicPr/>
                  </pic:nvPicPr>
                  <pic:blipFill>
                    <a:blip r:embed="rId10"/>
                    <a:stretch>
                      <a:fillRect/>
                    </a:stretch>
                  </pic:blipFill>
                  <pic:spPr>
                    <a:xfrm>
                      <a:off x="0" y="0"/>
                      <a:ext cx="2400300" cy="622300"/>
                    </a:xfrm>
                    <a:prstGeom prst="rect">
                      <a:avLst/>
                    </a:prstGeom>
                  </pic:spPr>
                </pic:pic>
              </a:graphicData>
            </a:graphic>
          </wp:inline>
        </w:drawing>
      </w:r>
    </w:p>
    <w:p w14:paraId="085BBF66" w14:textId="77777777" w:rsidR="00DB2443" w:rsidRPr="00593A5F" w:rsidRDefault="00DB2443" w:rsidP="00DB2443">
      <w:pPr>
        <w:spacing w:after="0" w:line="240" w:lineRule="auto"/>
        <w:jc w:val="both"/>
        <w:rPr>
          <w:rFonts w:ascii="Verdana" w:eastAsia="Calibri" w:hAnsi="Verdana" w:cs="Arial"/>
          <w:color w:val="000000"/>
          <w:lang w:val="es-ES"/>
        </w:rPr>
      </w:pPr>
    </w:p>
    <w:p w14:paraId="42CA648D" w14:textId="77777777" w:rsidR="00DB2443" w:rsidRPr="000C555D" w:rsidRDefault="00DB2443" w:rsidP="00DB2443">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69804D69" w14:textId="77777777" w:rsidR="00DB2443" w:rsidRPr="00583C7F" w:rsidRDefault="00DB2443" w:rsidP="00DB2443">
      <w:pPr>
        <w:spacing w:after="0" w:line="240" w:lineRule="auto"/>
        <w:rPr>
          <w:rFonts w:ascii="Verdana" w:eastAsia="Calibri" w:hAnsi="Verdana" w:cs="Arial"/>
          <w:b/>
          <w:lang w:val="es-ES" w:eastAsia="es-ES"/>
        </w:rPr>
      </w:pPr>
      <w:r w:rsidRPr="005570C8">
        <w:rPr>
          <w:rFonts w:ascii="Verdana" w:eastAsia="Calibri" w:hAnsi="Verdana" w:cs="Arial"/>
          <w:b/>
          <w:lang w:val="es-ES" w:eastAsia="es-ES"/>
        </w:rPr>
        <w:t>Carlos Alberto Piedrahita Gutiérrez</w:t>
      </w:r>
      <w:r w:rsidRPr="56F3586C">
        <w:rPr>
          <w:rFonts w:ascii="Verdana" w:eastAsia="Calibri" w:hAnsi="Verdana" w:cs="Arial"/>
          <w:b/>
          <w:lang w:val="es-ES" w:eastAsia="es-ES"/>
        </w:rPr>
        <w:t xml:space="preserve"> </w:t>
      </w:r>
    </w:p>
    <w:p w14:paraId="7A26AD54" w14:textId="77777777" w:rsidR="00DB2443" w:rsidRPr="005570C8" w:rsidRDefault="00DB2443" w:rsidP="00DB2443">
      <w:pPr>
        <w:spacing w:after="0" w:line="240" w:lineRule="auto"/>
        <w:rPr>
          <w:rFonts w:ascii="Verdana" w:eastAsia="Calibri" w:hAnsi="Verdana" w:cs="Arial"/>
          <w:lang w:val="es-ES" w:eastAsia="es-ES"/>
        </w:rPr>
      </w:pPr>
      <w:hyperlink r:id="rId11" w:history="1">
        <w:r w:rsidRPr="00A56792">
          <w:rPr>
            <w:rStyle w:val="Hipervnculo"/>
            <w:rFonts w:ascii="Verdana" w:hAnsi="Verdana"/>
          </w:rPr>
          <w:t>santasofia@santasofia.com.co</w:t>
        </w:r>
      </w:hyperlink>
      <w:r>
        <w:rPr>
          <w:rFonts w:ascii="Verdana" w:hAnsi="Verdana"/>
        </w:rPr>
        <w:t xml:space="preserve"> </w:t>
      </w:r>
      <w:r w:rsidRPr="005570C8">
        <w:rPr>
          <w:rFonts w:ascii="Verdana" w:hAnsi="Verdana"/>
        </w:rPr>
        <w:t xml:space="preserve">               </w:t>
      </w:r>
      <w:r w:rsidRPr="005570C8">
        <w:rPr>
          <w:rFonts w:ascii="Verdana" w:eastAsia="Calibri" w:hAnsi="Verdana" w:cs="Arial"/>
          <w:lang w:val="es-ES" w:eastAsia="es-ES"/>
        </w:rPr>
        <w:t xml:space="preserve">    </w:t>
      </w:r>
    </w:p>
    <w:p w14:paraId="38D456D8" w14:textId="77777777" w:rsidR="00DB2443" w:rsidRDefault="00DB2443" w:rsidP="00DB2443">
      <w:pPr>
        <w:spacing w:after="0" w:line="240" w:lineRule="auto"/>
        <w:rPr>
          <w:rFonts w:ascii="Verdana" w:eastAsia="Calibri" w:hAnsi="Verdana" w:cs="Arial"/>
          <w:lang w:val="es-ES" w:eastAsia="es-ES"/>
        </w:rPr>
      </w:pPr>
      <w:r w:rsidRPr="00331580">
        <w:rPr>
          <w:rFonts w:ascii="Verdana" w:eastAsia="Calibri" w:hAnsi="Verdana" w:cs="Arial"/>
          <w:lang w:val="es-ES" w:eastAsia="es-ES"/>
        </w:rPr>
        <w:t>Bogotá D.C.</w:t>
      </w:r>
      <w:r>
        <w:rPr>
          <w:rFonts w:ascii="Verdana" w:eastAsia="Calibri" w:hAnsi="Verdana" w:cs="Arial"/>
          <w:lang w:val="es-ES" w:eastAsia="es-ES"/>
        </w:rPr>
        <w:t xml:space="preserve"> </w:t>
      </w:r>
    </w:p>
    <w:p w14:paraId="45146287" w14:textId="77777777" w:rsidR="00DB2443" w:rsidRDefault="00DB2443" w:rsidP="00DB2443">
      <w:pPr>
        <w:spacing w:after="0" w:line="240" w:lineRule="auto"/>
        <w:rPr>
          <w:rFonts w:ascii="Verdana" w:eastAsia="Calibri" w:hAnsi="Verdana" w:cs="Arial"/>
          <w:b/>
          <w:bCs/>
          <w:color w:val="000000"/>
          <w:lang w:val="es-ES_tradnl" w:eastAsia="es-ES_tradnl"/>
        </w:rPr>
      </w:pPr>
    </w:p>
    <w:p w14:paraId="3DED3AA9" w14:textId="77777777" w:rsidR="00027556" w:rsidRPr="00593A5F" w:rsidRDefault="00027556" w:rsidP="00DB244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B2443" w:rsidRPr="00593A5F" w14:paraId="452494C7" w14:textId="77777777" w:rsidTr="003B43F3">
        <w:trPr>
          <w:trHeight w:val="884"/>
        </w:trPr>
        <w:tc>
          <w:tcPr>
            <w:tcW w:w="2689" w:type="dxa"/>
          </w:tcPr>
          <w:p w14:paraId="459190C4" w14:textId="77777777" w:rsidR="00DB2443" w:rsidRPr="00C00976" w:rsidRDefault="00DB2443" w:rsidP="003B43F3">
            <w:pPr>
              <w:jc w:val="both"/>
              <w:rPr>
                <w:rFonts w:ascii="Verdana" w:eastAsia="Calibri" w:hAnsi="Verdana" w:cs="Arial"/>
                <w:b/>
                <w:bCs/>
                <w:color w:val="7030A0"/>
                <w:lang w:val="es-ES_tradnl" w:eastAsia="es-ES_tradnl"/>
              </w:rPr>
            </w:pPr>
          </w:p>
        </w:tc>
        <w:tc>
          <w:tcPr>
            <w:tcW w:w="6100" w:type="dxa"/>
          </w:tcPr>
          <w:p w14:paraId="7C6B8D9C" w14:textId="77777777" w:rsidR="00DB2443" w:rsidRPr="00C00976" w:rsidRDefault="00DB2443" w:rsidP="003B43F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1393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DB2443" w:rsidRPr="00593A5F" w14:paraId="39B229AF" w14:textId="77777777" w:rsidTr="003B43F3">
        <w:trPr>
          <w:trHeight w:val="884"/>
        </w:trPr>
        <w:tc>
          <w:tcPr>
            <w:tcW w:w="2689" w:type="dxa"/>
          </w:tcPr>
          <w:p w14:paraId="276C80EB" w14:textId="77777777" w:rsidR="00DB2443" w:rsidRPr="00593A5F" w:rsidRDefault="00DB2443" w:rsidP="003B43F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89A7D0F" w14:textId="77777777" w:rsidR="00DB2443" w:rsidRPr="00A11406" w:rsidRDefault="00DB2443" w:rsidP="003B43F3">
            <w:pPr>
              <w:spacing w:line="276" w:lineRule="auto"/>
              <w:jc w:val="both"/>
              <w:rPr>
                <w:rFonts w:ascii="Verdana" w:eastAsia="Calibri" w:hAnsi="Verdana" w:cs="Arial"/>
                <w:lang w:val="es-ES" w:eastAsia="es-ES"/>
              </w:rPr>
            </w:pPr>
            <w:r w:rsidRPr="00267F65">
              <w:rPr>
                <w:rFonts w:ascii="Verdana" w:eastAsia="Calibri" w:hAnsi="Verdana" w:cs="Arial"/>
                <w:lang w:val="es-ES" w:eastAsia="es-ES"/>
              </w:rPr>
              <w:t>ANTICIPO – Regulación normativa</w:t>
            </w:r>
            <w:r>
              <w:rPr>
                <w:rFonts w:ascii="Verdana" w:eastAsia="Calibri" w:hAnsi="Verdana" w:cs="Arial"/>
                <w:lang w:val="es-ES" w:eastAsia="es-ES"/>
              </w:rPr>
              <w:t xml:space="preserve"> / </w:t>
            </w:r>
            <w:r w:rsidRPr="00267F65">
              <w:rPr>
                <w:rFonts w:ascii="Verdana" w:eastAsia="Calibri" w:hAnsi="Verdana" w:cs="Arial"/>
                <w:lang w:val="es-ES" w:eastAsia="es-ES"/>
              </w:rPr>
              <w:t>ANTICIPO – Definición jurisprudencial</w:t>
            </w:r>
            <w:r>
              <w:rPr>
                <w:rFonts w:ascii="Verdana" w:eastAsia="Calibri" w:hAnsi="Verdana" w:cs="Arial"/>
                <w:lang w:val="es-ES" w:eastAsia="es-ES"/>
              </w:rPr>
              <w:t xml:space="preserve"> / </w:t>
            </w:r>
            <w:r w:rsidRPr="00267F65">
              <w:rPr>
                <w:rFonts w:ascii="Verdana" w:eastAsia="Calibri" w:hAnsi="Verdana" w:cs="Arial"/>
                <w:lang w:val="es-ES" w:eastAsia="es-ES"/>
              </w:rPr>
              <w:t xml:space="preserve">ANTICIPO – Autonomía de la voluntad – Derechos y obligaciones recíprocas </w:t>
            </w:r>
            <w:r>
              <w:rPr>
                <w:rFonts w:ascii="Verdana" w:eastAsia="Calibri" w:hAnsi="Verdana" w:cs="Arial"/>
                <w:lang w:val="es-ES" w:eastAsia="es-ES"/>
              </w:rPr>
              <w:t>/</w:t>
            </w:r>
            <w:r w:rsidRPr="00683DFF">
              <w:rPr>
                <w:rFonts w:ascii="Verdana" w:eastAsia="Calibri" w:hAnsi="Verdana" w:cs="Arial"/>
                <w:lang w:val="es-ES" w:eastAsia="es-ES"/>
              </w:rPr>
              <w:t xml:space="preserve"> </w:t>
            </w:r>
            <w:r w:rsidRPr="00702887">
              <w:rPr>
                <w:rFonts w:ascii="Verdana" w:eastAsia="Calibri" w:hAnsi="Verdana" w:cs="Arial"/>
                <w:lang w:val="es-ES" w:eastAsia="es-ES"/>
              </w:rPr>
              <w:t>EQUILIBRIO ECONÓMICO – Contrato estatal – Fundamento / EQUILIBRIO ECONÓMICO – Contrato estatal – Concepto / EQUILIBRIO ECONÓMICO – Contrato estatal – Restablecimiento – Procedencia – Requisitos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9BC5914" w14:textId="77777777" w:rsidR="00DB2443" w:rsidRPr="00593A5F" w:rsidRDefault="00DB2443" w:rsidP="003B43F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B2443" w:rsidRPr="008E6AD9" w14:paraId="2C57BE2B" w14:textId="77777777" w:rsidTr="003B43F3">
        <w:tc>
          <w:tcPr>
            <w:tcW w:w="2689" w:type="dxa"/>
          </w:tcPr>
          <w:p w14:paraId="02F5FB1D" w14:textId="77777777" w:rsidR="00DB2443" w:rsidRPr="008E6AD9" w:rsidRDefault="00DB2443" w:rsidP="003B43F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1AF4786" w14:textId="77777777" w:rsidR="00DB2443" w:rsidRPr="00B92340" w:rsidRDefault="00DB2443" w:rsidP="003B43F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05534F">
              <w:rPr>
                <w:rFonts w:ascii="Verdana" w:eastAsia="Calibri" w:hAnsi="Verdana" w:cs="Arial"/>
                <w:lang w:val="es-ES_tradnl" w:eastAsia="es-ES_tradnl"/>
              </w:rPr>
              <w:t>1_2025_09_26_010675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D2743F9" w14:textId="77777777" w:rsidR="00DB2443" w:rsidRPr="00593A5F" w:rsidRDefault="00DB2443" w:rsidP="00DB2443">
      <w:pPr>
        <w:spacing w:after="0" w:line="240" w:lineRule="auto"/>
        <w:jc w:val="both"/>
        <w:rPr>
          <w:rFonts w:ascii="Verdana" w:eastAsia="Calibri" w:hAnsi="Verdana" w:cs="Arial"/>
          <w:color w:val="000000"/>
          <w:lang w:val="es-ES_tradnl" w:eastAsia="es-ES_tradnl"/>
        </w:rPr>
      </w:pPr>
    </w:p>
    <w:p w14:paraId="266784D2" w14:textId="77777777" w:rsidR="00DB2443" w:rsidRPr="00593A5F" w:rsidRDefault="00DB2443" w:rsidP="00DB2443">
      <w:pPr>
        <w:spacing w:after="0" w:line="240" w:lineRule="auto"/>
        <w:jc w:val="both"/>
        <w:rPr>
          <w:rFonts w:ascii="Verdana" w:eastAsia="Calibri" w:hAnsi="Verdana" w:cs="Arial"/>
          <w:color w:val="000000"/>
          <w:lang w:val="es-ES_tradnl" w:eastAsia="es-ES_tradnl"/>
        </w:rPr>
      </w:pPr>
    </w:p>
    <w:p w14:paraId="6C5F2C33" w14:textId="77777777" w:rsidR="00DB2443" w:rsidRPr="008E6AD9" w:rsidRDefault="00DB2443" w:rsidP="00DB244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5570C8">
        <w:rPr>
          <w:rFonts w:ascii="Verdana" w:eastAsia="Calibri" w:hAnsi="Verdana" w:cs="Arial"/>
          <w:lang w:val="es-ES" w:eastAsia="es-ES"/>
        </w:rPr>
        <w:t>Piedrahita Gutiérrez</w:t>
      </w:r>
      <w:r w:rsidRPr="008E6AD9">
        <w:rPr>
          <w:rFonts w:ascii="Verdana" w:eastAsia="Calibri" w:hAnsi="Verdana" w:cs="Arial"/>
          <w:lang w:val="es-ES" w:eastAsia="es-ES"/>
        </w:rPr>
        <w:t xml:space="preserve">: </w:t>
      </w:r>
    </w:p>
    <w:p w14:paraId="1A2F9E69" w14:textId="77777777" w:rsidR="00DB2443" w:rsidRDefault="00DB2443" w:rsidP="00DB244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DCDB9E" w14:textId="77777777" w:rsidR="00DB2443" w:rsidRPr="00593A5F" w:rsidRDefault="00DB2443" w:rsidP="00DB244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26 de septiembre de 2025, </w:t>
      </w:r>
      <w:r w:rsidRPr="008E6AD9">
        <w:rPr>
          <w:rFonts w:ascii="Verdana" w:eastAsia="Calibri" w:hAnsi="Verdana" w:cs="Arial"/>
          <w:lang w:val="es-ES" w:eastAsia="es-ES"/>
        </w:rPr>
        <w:t xml:space="preserve">en </w:t>
      </w:r>
      <w:r>
        <w:rPr>
          <w:rFonts w:ascii="Verdana" w:eastAsia="Calibri" w:hAnsi="Verdana" w:cs="Arial"/>
          <w:lang w:val="es-ES" w:eastAsia="es-ES"/>
        </w:rPr>
        <w:t>la cual manifiesta que</w:t>
      </w:r>
      <w:r w:rsidRPr="008E6AD9">
        <w:rPr>
          <w:rFonts w:ascii="Verdana" w:eastAsia="Calibri" w:hAnsi="Verdana" w:cs="Arial"/>
          <w:lang w:val="es-ES" w:eastAsia="es-ES"/>
        </w:rPr>
        <w:t xml:space="preserve">: </w:t>
      </w:r>
    </w:p>
    <w:p w14:paraId="46E1FC16" w14:textId="77777777" w:rsidR="00DB2443" w:rsidRPr="00272A7B" w:rsidRDefault="00DB2443" w:rsidP="00DB2443">
      <w:pPr>
        <w:pStyle w:val="Prrafodelista"/>
        <w:tabs>
          <w:tab w:val="left" w:pos="142"/>
          <w:tab w:val="left" w:pos="284"/>
        </w:tabs>
        <w:spacing w:after="0" w:line="276" w:lineRule="auto"/>
        <w:ind w:left="0"/>
        <w:jc w:val="both"/>
        <w:rPr>
          <w:rFonts w:ascii="Verdana" w:eastAsia="Century Gothic" w:hAnsi="Verdana" w:cs="Century Gothic"/>
          <w:b/>
          <w:bCs/>
        </w:rPr>
      </w:pPr>
    </w:p>
    <w:p w14:paraId="6690C0F7"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lang w:val="es-ES"/>
        </w:rPr>
      </w:pPr>
      <w:bookmarkStart w:id="0" w:name="_Hlk95313578"/>
      <w:r w:rsidRPr="00FA14FD">
        <w:rPr>
          <w:rFonts w:ascii="Verdana" w:eastAsia="Century Gothic" w:hAnsi="Verdana" w:cs="Century Gothic"/>
          <w:sz w:val="20"/>
          <w:szCs w:val="20"/>
          <w:lang w:val="es-ES"/>
        </w:rPr>
        <w:t>“</w:t>
      </w:r>
      <w:bookmarkEnd w:id="0"/>
      <w:r w:rsidRPr="00FA14FD">
        <w:rPr>
          <w:rFonts w:ascii="Verdana" w:eastAsia="Century Gothic" w:hAnsi="Verdana" w:cs="Century Gothic"/>
          <w:sz w:val="20"/>
          <w:szCs w:val="20"/>
          <w:lang w:val="es-ES"/>
        </w:rPr>
        <w:t>En el marco del Contrato de Obra No. 0668 de 2024, cuyo objeto es la ejecución del proyecto de inversión BPIN 2024000040003, denominado ‘</w:t>
      </w:r>
      <w:r w:rsidRPr="00FA14FD">
        <w:rPr>
          <w:rFonts w:ascii="Verdana" w:eastAsia="Century Gothic" w:hAnsi="Verdana" w:cs="Century Gothic"/>
          <w:i/>
          <w:iCs/>
          <w:sz w:val="20"/>
          <w:szCs w:val="20"/>
          <w:lang w:val="es-ES"/>
        </w:rPr>
        <w:t xml:space="preserve">Reposición de la Infraestructura Fase 1 de la ESE Hospital Santa Sofía de </w:t>
      </w:r>
      <w:r w:rsidRPr="00FA14FD">
        <w:rPr>
          <w:rFonts w:ascii="Verdana" w:eastAsia="Century Gothic" w:hAnsi="Verdana" w:cs="Century Gothic"/>
          <w:i/>
          <w:iCs/>
          <w:sz w:val="20"/>
          <w:szCs w:val="20"/>
          <w:lang w:val="es-ES"/>
        </w:rPr>
        <w:lastRenderedPageBreak/>
        <w:t>Caldas</w:t>
      </w:r>
      <w:r w:rsidRPr="00FA14FD">
        <w:rPr>
          <w:rFonts w:ascii="Verdana" w:eastAsia="Century Gothic" w:hAnsi="Verdana" w:cs="Century Gothic"/>
          <w:sz w:val="20"/>
          <w:szCs w:val="20"/>
          <w:lang w:val="es-ES"/>
        </w:rPr>
        <w:t>’, se pactó un anticipo del 30% del valor total del contrato distribuido de la siguiente manera:</w:t>
      </w:r>
    </w:p>
    <w:p w14:paraId="5A47AFED"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lang w:val="es-ES"/>
        </w:rPr>
      </w:pPr>
      <w:r w:rsidRPr="00FA14FD">
        <w:rPr>
          <w:rFonts w:ascii="Verdana" w:eastAsia="Century Gothic" w:hAnsi="Verdana" w:cs="Century Gothic"/>
          <w:sz w:val="20"/>
          <w:szCs w:val="20"/>
          <w:lang w:val="es-ES"/>
        </w:rPr>
        <w:t>• 15% con cargo a recursos del Sistema General de Regalías (SGR), ya girado y ejecutado conforme al plan de inversiones aprobado.</w:t>
      </w:r>
    </w:p>
    <w:p w14:paraId="0B34FC08"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lang w:val="es-ES"/>
        </w:rPr>
      </w:pPr>
      <w:r w:rsidRPr="00FA14FD">
        <w:rPr>
          <w:rFonts w:ascii="Verdana" w:eastAsia="Century Gothic" w:hAnsi="Verdana" w:cs="Century Gothic"/>
          <w:sz w:val="20"/>
          <w:szCs w:val="20"/>
          <w:lang w:val="es-ES"/>
        </w:rPr>
        <w:t>• 15% con cargo a recursos del Presupuesto General de la Nación. Ministerio de Salud y Protección Social, condicionado a concepto favorable de dicha entidad, conforme a lo dispuesto en la Resolución 1440 de 2024, artículo 1, que modificó el artículo 9 de la Resolución 5185 de 2013.</w:t>
      </w:r>
    </w:p>
    <w:p w14:paraId="0AB565B9"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lang w:val="es-ES"/>
        </w:rPr>
      </w:pPr>
      <w:r w:rsidRPr="00FA14FD">
        <w:rPr>
          <w:rFonts w:ascii="Verdana" w:eastAsia="Century Gothic" w:hAnsi="Verdana" w:cs="Century Gothic"/>
          <w:b/>
          <w:bCs/>
          <w:sz w:val="20"/>
          <w:szCs w:val="20"/>
          <w:lang w:val="es-ES"/>
        </w:rPr>
        <w:t>1. Reiteración de solicitudes sin respuesta:</w:t>
      </w:r>
      <w:r w:rsidRPr="00FA14FD">
        <w:rPr>
          <w:rFonts w:ascii="Verdana" w:eastAsia="Century Gothic" w:hAnsi="Verdana" w:cs="Century Gothic"/>
          <w:sz w:val="20"/>
          <w:szCs w:val="20"/>
          <w:lang w:val="es-ES"/>
        </w:rPr>
        <w:t xml:space="preserve"> La ESE, en cumplimiento del marco normativo, elevó en reiteradas ocasiones la solicitud de aprobación del anticipo del 15% ante el Ministerio de Salud y Protección Social. Sin embargo, a la fecha no se ha recibido respuesta alguna, lo cual constituye una omisión administrativa que ha generado afectación financiera en el flujo contractual.</w:t>
      </w:r>
    </w:p>
    <w:p w14:paraId="6C0C2121"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b/>
          <w:bCs/>
          <w:sz w:val="20"/>
          <w:szCs w:val="20"/>
        </w:rPr>
        <w:t>2. Cumplimiento del contratista:</w:t>
      </w:r>
      <w:r w:rsidRPr="00FA14FD">
        <w:rPr>
          <w:rFonts w:ascii="Verdana" w:eastAsia="Century Gothic" w:hAnsi="Verdana" w:cs="Century Gothic"/>
          <w:sz w:val="20"/>
          <w:szCs w:val="20"/>
        </w:rPr>
        <w:t xml:space="preserve"> El contratista, siguiendo los lineamientos del proceso licitatorio y de la contratación estatal y lo dispuesto en la minuta del contrato 0668 de 2024, constituyó y entregó la póliza de anticipo correspondiente al 30%, cumpliendo con los requisitos exigidos por la normatividad vigente y las condiciones contractuales.</w:t>
      </w:r>
    </w:p>
    <w:p w14:paraId="285FCE4D"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b/>
          <w:bCs/>
          <w:sz w:val="20"/>
          <w:szCs w:val="20"/>
        </w:rPr>
        <w:t>3. Ejecución total de los recursos de Minsalud:</w:t>
      </w:r>
      <w:r w:rsidRPr="00FA14FD">
        <w:rPr>
          <w:rFonts w:ascii="Verdana" w:eastAsia="Century Gothic" w:hAnsi="Verdana" w:cs="Century Gothic"/>
          <w:sz w:val="20"/>
          <w:szCs w:val="20"/>
        </w:rPr>
        <w:t xml:space="preserve"> Los recursos aportados por el Ministerio de Salud ($30.000.000.000), asociados al contrato de obra y objeto de la solicitud de autorización del giro del anticipo, ya fueron ejecutados en su totalidad dentro del proyecto. En consecuencia, dicho componente dejó de ser objeto de análisis para la autorización del giro, configurándose una imposibilidad material de cumplir la condición inicialmente pactada.</w:t>
      </w:r>
    </w:p>
    <w:p w14:paraId="7E7A153E"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b/>
          <w:bCs/>
          <w:sz w:val="20"/>
          <w:szCs w:val="20"/>
        </w:rPr>
        <w:t>4. Avance en la ejecución del anticipo del SGR:</w:t>
      </w:r>
      <w:r w:rsidRPr="00FA14FD">
        <w:rPr>
          <w:rFonts w:ascii="Verdana" w:eastAsia="Century Gothic" w:hAnsi="Verdana" w:cs="Century Gothic"/>
          <w:sz w:val="20"/>
          <w:szCs w:val="20"/>
        </w:rPr>
        <w:t xml:space="preserve"> El contratista ya ejecutó el 15% del anticipo girado con cargo a recursos del SGR, según el plan de anticipos aprobado, evidenciando que el proyecto mantiene un nivel de avance superior al programado y que las obligaciones pactadas se han atendido oportunamente.</w:t>
      </w:r>
    </w:p>
    <w:p w14:paraId="2C8DF159" w14:textId="77777777" w:rsidR="00DB2443" w:rsidRPr="00FA14FD" w:rsidRDefault="00DB2443" w:rsidP="00DB2443">
      <w:pPr>
        <w:spacing w:after="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b/>
          <w:bCs/>
          <w:sz w:val="20"/>
          <w:szCs w:val="20"/>
        </w:rPr>
        <w:t>5. Necesidad del otro 15% para adquisición de equipos:</w:t>
      </w:r>
      <w:r w:rsidRPr="00FA14FD">
        <w:rPr>
          <w:rFonts w:ascii="Verdana" w:eastAsia="Century Gothic" w:hAnsi="Verdana" w:cs="Century Gothic"/>
          <w:sz w:val="20"/>
          <w:szCs w:val="20"/>
        </w:rPr>
        <w:t xml:space="preserve"> A la fecha, el hospital ha recibido reiteradas solicitudes formales de pago por parle del contratista, quien ha manifestado la urgencia de contar con el otro 15% del anticipo pactado para atender compromisos contractuales relacionados con la adquisición de equipos importados de alta especificidad, entre ellos ascensores hospitalarios.</w:t>
      </w:r>
    </w:p>
    <w:p w14:paraId="5C70A68B"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sz w:val="20"/>
          <w:szCs w:val="20"/>
        </w:rPr>
        <w:t>[…]</w:t>
      </w:r>
    </w:p>
    <w:p w14:paraId="68B1F9B6"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sz w:val="20"/>
          <w:szCs w:val="20"/>
        </w:rPr>
        <w:t>Desde una perspectiva técnica y jurídica, esta situación se enmarca en la imposibilidad sobreviniente parcial, entendida como la circunstancia jurídica o fáctica que surge con posterioridad a la celebración del contrato y que, sin ser atribuible a las partes, impide cumplir parte de las condiciones pactadas.</w:t>
      </w:r>
    </w:p>
    <w:p w14:paraId="0EC5A572"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sz w:val="20"/>
          <w:szCs w:val="20"/>
        </w:rPr>
        <w:lastRenderedPageBreak/>
        <w:t>En este sentido, el artículo 16 de la Ley 80 de 1993 faculta a las entidades estatales para introducir modificaciones unilaterales al contrato cuando ello resulte necesario para evitar la paralización o afectación grave de los servicios públicos a su cargo, o para ajustarlo a disposiciones legales o reglamentarias sobrevinientes.</w:t>
      </w:r>
    </w:p>
    <w:p w14:paraId="4F68B039" w14:textId="77777777" w:rsidR="00DB2443" w:rsidRPr="00FA14FD" w:rsidRDefault="00DB2443" w:rsidP="00DB2443">
      <w:pPr>
        <w:spacing w:after="120" w:line="240" w:lineRule="auto"/>
        <w:ind w:left="709" w:right="709"/>
        <w:jc w:val="both"/>
        <w:rPr>
          <w:rFonts w:ascii="Verdana" w:eastAsia="Century Gothic" w:hAnsi="Verdana" w:cs="Century Gothic"/>
          <w:sz w:val="20"/>
          <w:szCs w:val="20"/>
        </w:rPr>
      </w:pPr>
      <w:r w:rsidRPr="00FA14FD">
        <w:rPr>
          <w:rFonts w:ascii="Verdana" w:eastAsia="Century Gothic" w:hAnsi="Verdana" w:cs="Century Gothic"/>
          <w:sz w:val="20"/>
          <w:szCs w:val="20"/>
        </w:rPr>
        <w:t>De igual manera, el artículo 27 de la Ley 80 de 1993 establece el principio del equilibrio económico del contrato, el cual debe restablecerse siempre que sobrevengan situaciones no imputables a las partes que alteren la ecuación contractual, garantizando así la equivalencia entre prestaciones y obligaciones asumidas.</w:t>
      </w:r>
    </w:p>
    <w:p w14:paraId="7E3D622E" w14:textId="77777777" w:rsidR="00DB2443" w:rsidRPr="00FA14FD" w:rsidRDefault="00DB2443" w:rsidP="00DB2443">
      <w:pPr>
        <w:spacing w:after="0" w:line="240" w:lineRule="auto"/>
        <w:ind w:left="709" w:right="709"/>
        <w:jc w:val="both"/>
        <w:rPr>
          <w:rFonts w:ascii="Verdana" w:eastAsia="Century Gothic" w:hAnsi="Verdana" w:cs="Century Gothic"/>
          <w:sz w:val="21"/>
          <w:szCs w:val="21"/>
        </w:rPr>
      </w:pPr>
      <w:r w:rsidRPr="00FA14FD">
        <w:rPr>
          <w:rFonts w:ascii="Verdana" w:eastAsia="Century Gothic" w:hAnsi="Verdana" w:cs="Century Gothic"/>
          <w:sz w:val="20"/>
          <w:szCs w:val="20"/>
        </w:rPr>
        <w:t>En este caso, la imposibilidad se configura por la no emisión del concepto favorable por parte del Ministerio de Salud, condición ajena a la voluntad de las partes y que afecta exclusivamente la financiación del anticipo, mas no el objeto global del contrato”.</w:t>
      </w:r>
    </w:p>
    <w:p w14:paraId="13EC78FF" w14:textId="77777777" w:rsidR="00DB2443" w:rsidRPr="008E6AD9" w:rsidRDefault="00DB2443" w:rsidP="00DB2443">
      <w:pPr>
        <w:pStyle w:val="Prrafodelista"/>
        <w:tabs>
          <w:tab w:val="left" w:pos="142"/>
          <w:tab w:val="left" w:pos="284"/>
        </w:tabs>
        <w:spacing w:after="0" w:line="276" w:lineRule="auto"/>
        <w:ind w:left="0"/>
        <w:jc w:val="both"/>
        <w:rPr>
          <w:rFonts w:ascii="Verdana" w:eastAsia="Century Gothic" w:hAnsi="Verdana" w:cs="Century Gothic"/>
          <w:b/>
          <w:bCs/>
        </w:rPr>
      </w:pPr>
    </w:p>
    <w:p w14:paraId="71EA92E5" w14:textId="77777777" w:rsidR="00DB2443" w:rsidRDefault="00DB2443" w:rsidP="00DB2443">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Por tanto, usted solicita:</w:t>
      </w:r>
    </w:p>
    <w:p w14:paraId="4F12473D" w14:textId="77777777" w:rsidR="00DB2443" w:rsidRDefault="00DB2443" w:rsidP="00DB2443">
      <w:pPr>
        <w:spacing w:after="0" w:line="276" w:lineRule="auto"/>
        <w:ind w:firstLine="709"/>
        <w:jc w:val="both"/>
        <w:rPr>
          <w:rFonts w:ascii="Verdana" w:eastAsia="Calibri" w:hAnsi="Verdana" w:cs="Arial"/>
          <w:color w:val="000000"/>
          <w:lang w:val="es-ES" w:eastAsia="es-ES"/>
        </w:rPr>
      </w:pPr>
    </w:p>
    <w:p w14:paraId="0B43C628" w14:textId="77777777" w:rsidR="00DB2443" w:rsidRPr="00F2577C" w:rsidRDefault="00DB2443" w:rsidP="00DB2443">
      <w:pPr>
        <w:spacing w:after="120" w:line="240" w:lineRule="auto"/>
        <w:ind w:left="709" w:right="709"/>
        <w:jc w:val="both"/>
        <w:rPr>
          <w:rFonts w:ascii="Verdana" w:eastAsia="Calibri" w:hAnsi="Verdana" w:cs="Arial"/>
          <w:color w:val="000000"/>
          <w:sz w:val="20"/>
          <w:szCs w:val="20"/>
          <w:lang w:val="es-ES" w:eastAsia="es-ES"/>
        </w:rPr>
      </w:pPr>
      <w:r w:rsidRPr="00F2577C">
        <w:rPr>
          <w:rFonts w:ascii="Verdana" w:eastAsia="Calibri" w:hAnsi="Verdana" w:cs="Arial"/>
          <w:color w:val="000000"/>
          <w:sz w:val="20"/>
          <w:szCs w:val="20"/>
          <w:lang w:val="es-ES" w:eastAsia="es-ES"/>
        </w:rPr>
        <w:t>“[…] analizar la viabilidad jurídica de modificar la cláusula contractual respectiva, sustituyendo la fuente condicionada por otra fuente alternativa disponible (recursos del SGR), sin alterar el objeto, el valor ni los compromisos sustanciales del contrato.</w:t>
      </w:r>
    </w:p>
    <w:p w14:paraId="42159B96" w14:textId="77777777" w:rsidR="00DB2443" w:rsidRPr="00F2577C" w:rsidRDefault="00DB2443" w:rsidP="00DB2443">
      <w:pPr>
        <w:spacing w:after="120" w:line="240" w:lineRule="auto"/>
        <w:ind w:left="709" w:right="709"/>
        <w:jc w:val="both"/>
        <w:rPr>
          <w:rFonts w:ascii="Verdana" w:eastAsia="Calibri" w:hAnsi="Verdana" w:cs="Arial"/>
          <w:color w:val="000000"/>
          <w:sz w:val="20"/>
          <w:szCs w:val="20"/>
          <w:lang w:val="es-ES" w:eastAsia="es-ES"/>
        </w:rPr>
      </w:pPr>
      <w:r w:rsidRPr="00F2577C">
        <w:rPr>
          <w:rFonts w:ascii="Verdana" w:eastAsia="Calibri" w:hAnsi="Verdana" w:cs="Arial"/>
          <w:color w:val="000000"/>
          <w:sz w:val="20"/>
          <w:szCs w:val="20"/>
          <w:lang w:val="es-ES" w:eastAsia="es-ES"/>
        </w:rPr>
        <w:t>En ese sentido, solicitamos respetuosamente su ilustrado concepto en relación con los siguientes aspectos:</w:t>
      </w:r>
    </w:p>
    <w:p w14:paraId="51FEA607" w14:textId="77777777" w:rsidR="00DB2443" w:rsidRPr="00F2577C" w:rsidRDefault="00DB2443" w:rsidP="00DB2443">
      <w:pPr>
        <w:spacing w:after="120" w:line="240" w:lineRule="auto"/>
        <w:ind w:left="709" w:right="709"/>
        <w:jc w:val="both"/>
        <w:rPr>
          <w:rFonts w:ascii="Verdana" w:eastAsia="Calibri" w:hAnsi="Verdana" w:cs="Arial"/>
          <w:color w:val="000000"/>
          <w:sz w:val="20"/>
          <w:szCs w:val="20"/>
          <w:lang w:val="es-ES" w:eastAsia="es-ES"/>
        </w:rPr>
      </w:pPr>
      <w:r w:rsidRPr="00F2577C">
        <w:rPr>
          <w:rFonts w:ascii="Verdana" w:eastAsia="Calibri" w:hAnsi="Verdana" w:cs="Arial"/>
          <w:color w:val="000000"/>
          <w:sz w:val="20"/>
          <w:szCs w:val="20"/>
          <w:lang w:val="es-ES" w:eastAsia="es-ES"/>
        </w:rPr>
        <w:t>1. El hecho de que el Ministerio de Salud no haya aprobado el giro del 15% del anticipo pactado con recursos de esa entidad, amparados en la Resolución 1440 de 2024, y que además ya fueron ejecutados en el desarrollo normal de la obra, puede considerarse una imposibilidad sobreviniente que justifique modificar el contrato para garantizar su cumplimiento y hacer efectivo el giro total del 30% del anticipo pactado?</w:t>
      </w:r>
    </w:p>
    <w:p w14:paraId="313440E5" w14:textId="77777777" w:rsidR="00DB2443" w:rsidRPr="00F2577C" w:rsidRDefault="00DB2443" w:rsidP="00DB2443">
      <w:pPr>
        <w:spacing w:after="120" w:line="240" w:lineRule="auto"/>
        <w:ind w:left="709" w:right="709"/>
        <w:jc w:val="both"/>
        <w:rPr>
          <w:rFonts w:ascii="Verdana" w:eastAsia="Calibri" w:hAnsi="Verdana" w:cs="Arial"/>
          <w:color w:val="000000"/>
          <w:sz w:val="20"/>
          <w:szCs w:val="20"/>
          <w:lang w:val="es-ES" w:eastAsia="es-ES"/>
        </w:rPr>
      </w:pPr>
      <w:r w:rsidRPr="00F2577C">
        <w:rPr>
          <w:rFonts w:ascii="Verdana" w:eastAsia="Calibri" w:hAnsi="Verdana" w:cs="Arial"/>
          <w:color w:val="000000"/>
          <w:sz w:val="20"/>
          <w:szCs w:val="20"/>
          <w:lang w:val="es-ES" w:eastAsia="es-ES"/>
        </w:rPr>
        <w:t>2. Resulta viable, desde el punto de vista jurídico, modificar una cláusula contractual relacionada con la fuente de financiación del anticipo, sustituyendo el 30% del valor contractual originalmente distribuido en dos fuentes, por una sola fuente (SGR), sin que ello implique transgresión del principio de planeación ni del principio de legalidad del gasto?</w:t>
      </w:r>
    </w:p>
    <w:p w14:paraId="3CAA6FAD" w14:textId="77777777" w:rsidR="00DB2443" w:rsidRPr="00F2577C" w:rsidRDefault="00DB2443" w:rsidP="00DB2443">
      <w:pPr>
        <w:spacing w:after="0" w:line="240" w:lineRule="auto"/>
        <w:ind w:left="709" w:right="709"/>
        <w:jc w:val="both"/>
        <w:rPr>
          <w:rFonts w:ascii="Verdana" w:eastAsia="Calibri" w:hAnsi="Verdana" w:cs="Arial"/>
          <w:color w:val="000000"/>
          <w:sz w:val="20"/>
          <w:szCs w:val="20"/>
          <w:lang w:val="es-ES" w:eastAsia="es-ES"/>
        </w:rPr>
      </w:pPr>
      <w:r w:rsidRPr="00F2577C">
        <w:rPr>
          <w:rFonts w:ascii="Verdana" w:eastAsia="Calibri" w:hAnsi="Verdana" w:cs="Arial"/>
          <w:color w:val="000000"/>
          <w:sz w:val="20"/>
          <w:szCs w:val="20"/>
          <w:lang w:val="es-ES" w:eastAsia="es-ES"/>
        </w:rPr>
        <w:t>3. Existe doctrina institucional por parte de esa Agencia sobre el tratamiento contractual de hechos sobrevinientes que afectan condiciones pactadas en la etapa precontractual, en especial en lo relativo a anticipos o fuentes de financiación condicionadas?”.</w:t>
      </w:r>
    </w:p>
    <w:p w14:paraId="718B1B8F" w14:textId="77777777" w:rsidR="00DB2443" w:rsidRDefault="00DB2443" w:rsidP="00DB2443">
      <w:pPr>
        <w:spacing w:after="0" w:line="276" w:lineRule="auto"/>
        <w:jc w:val="both"/>
        <w:rPr>
          <w:rFonts w:ascii="Verdana" w:eastAsia="Calibri" w:hAnsi="Verdana" w:cs="Arial"/>
          <w:color w:val="000000"/>
          <w:lang w:val="es-ES" w:eastAsia="es-ES"/>
        </w:rPr>
      </w:pPr>
    </w:p>
    <w:p w14:paraId="00AD2361" w14:textId="77777777" w:rsidR="00DB2443" w:rsidRPr="00A652FF" w:rsidRDefault="00DB2443" w:rsidP="00DB244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w:t>
      </w:r>
      <w:r w:rsidRPr="00593A5F">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D32FF68" w14:textId="77777777" w:rsidR="00DB2443" w:rsidRDefault="00DB2443" w:rsidP="00DB244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87CF0FA" w14:textId="77777777" w:rsidR="00DB2443" w:rsidRPr="00593A5F" w:rsidRDefault="00DB2443" w:rsidP="00DB2443">
      <w:pPr>
        <w:spacing w:after="0" w:line="276" w:lineRule="auto"/>
        <w:ind w:firstLine="709"/>
        <w:jc w:val="both"/>
        <w:rPr>
          <w:rFonts w:ascii="Verdana" w:eastAsia="Calibri" w:hAnsi="Verdana" w:cs="Arial"/>
          <w:color w:val="000000"/>
          <w:lang w:val="es-ES" w:eastAsia="es-ES"/>
        </w:rPr>
      </w:pPr>
    </w:p>
    <w:p w14:paraId="6C359500" w14:textId="77777777" w:rsidR="00DB2443" w:rsidRPr="00593A5F" w:rsidRDefault="00DB2443" w:rsidP="00DB24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p>
    <w:p w14:paraId="5EA211EA" w14:textId="77777777" w:rsidR="00DB2443" w:rsidRPr="00593A5F" w:rsidRDefault="00DB2443" w:rsidP="00DB2443">
      <w:pPr>
        <w:tabs>
          <w:tab w:val="left" w:pos="426"/>
        </w:tabs>
        <w:spacing w:after="0" w:line="276" w:lineRule="auto"/>
        <w:jc w:val="both"/>
        <w:rPr>
          <w:rFonts w:ascii="Verdana" w:eastAsia="Century Gothic" w:hAnsi="Verdana" w:cs="Century Gothic"/>
          <w:lang w:val="es-ES"/>
        </w:rPr>
      </w:pPr>
    </w:p>
    <w:p w14:paraId="0A963406" w14:textId="5FA00A2C" w:rsidR="00DB2443" w:rsidRPr="00593A5F" w:rsidRDefault="00DB2443" w:rsidP="00DB2443">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¿el anticipo pactado en el contrato es un derecho del contratista? y </w:t>
      </w:r>
      <w:proofErr w:type="spellStart"/>
      <w:r>
        <w:rPr>
          <w:rFonts w:ascii="Verdana" w:eastAsia="Century Gothic" w:hAnsi="Verdana" w:cs="Century Gothic"/>
        </w:rPr>
        <w:t>ii</w:t>
      </w:r>
      <w:proofErr w:type="spellEnd"/>
      <w:r>
        <w:rPr>
          <w:rFonts w:ascii="Verdana" w:eastAsia="Century Gothic" w:hAnsi="Verdana" w:cs="Century Gothic"/>
        </w:rPr>
        <w:t>) ¿en qué casos y mediante qué mecanismos procede el restablecimiento de la ecuación económica contractual?</w:t>
      </w:r>
    </w:p>
    <w:p w14:paraId="3F5680E1" w14:textId="77777777" w:rsidR="00DB2443" w:rsidRPr="004B140F" w:rsidRDefault="00DB2443" w:rsidP="00DB2443">
      <w:pPr>
        <w:spacing w:after="0" w:line="276" w:lineRule="auto"/>
        <w:jc w:val="both"/>
        <w:rPr>
          <w:rFonts w:ascii="Verdana" w:eastAsia="Calibri" w:hAnsi="Verdana" w:cs="Arial"/>
          <w:color w:val="7030A0"/>
        </w:rPr>
      </w:pPr>
    </w:p>
    <w:p w14:paraId="749B0224" w14:textId="77777777" w:rsidR="00DB2443" w:rsidRPr="00593A5F" w:rsidRDefault="00DB2443" w:rsidP="00DB24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79AE0713" w14:textId="77777777" w:rsidR="00DB2443" w:rsidRPr="00593A5F" w:rsidRDefault="00DB2443" w:rsidP="00DB244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2443" w:rsidRPr="00593A5F" w14:paraId="34D8002A" w14:textId="77777777" w:rsidTr="003B43F3">
        <w:trPr>
          <w:jc w:val="center"/>
        </w:trPr>
        <w:tc>
          <w:tcPr>
            <w:tcW w:w="8828" w:type="dxa"/>
          </w:tcPr>
          <w:p w14:paraId="2452689A" w14:textId="32E2BD75" w:rsidR="00DB2443" w:rsidRDefault="00DB2443" w:rsidP="003B43F3">
            <w:pPr>
              <w:pStyle w:val="Textoindependiente"/>
              <w:spacing w:after="120" w:line="276" w:lineRule="auto"/>
              <w:jc w:val="both"/>
              <w:rPr>
                <w:rFonts w:eastAsia="Arial" w:cs="Arial"/>
                <w:color w:val="000000" w:themeColor="text1"/>
              </w:rPr>
            </w:pPr>
            <w:bookmarkStart w:id="1" w:name="_Hlk171694685"/>
            <w:r>
              <w:rPr>
                <w:rFonts w:eastAsia="Arial" w:cs="Arial"/>
                <w:color w:val="000000" w:themeColor="text1"/>
              </w:rPr>
              <w:t xml:space="preserve">Conforme a la interpretación general de las normas del sistema de compras públicas, </w:t>
            </w:r>
            <w:r w:rsidRPr="00326D28">
              <w:rPr>
                <w:rFonts w:eastAsia="Calibri" w:cs="Arial"/>
                <w:color w:val="000000" w:themeColor="text1"/>
              </w:rPr>
              <w:t xml:space="preserve">el anticipo es </w:t>
            </w:r>
            <w:r w:rsidRPr="00326D28">
              <w:rPr>
                <w:rFonts w:eastAsia="Calibri" w:cs="Arial"/>
              </w:rPr>
              <w:t xml:space="preserve">aquella suma de dinero entregada al contratista con la finalidad de apalancarlo financieramente para solventar los costos iniciales de la ejecución del contrato. Este dinero debe amortizarse de acuerdo </w:t>
            </w:r>
            <w:r w:rsidR="00FC1010" w:rsidRPr="00326D28">
              <w:rPr>
                <w:rFonts w:eastAsia="Calibri" w:cs="Arial"/>
              </w:rPr>
              <w:t>con el</w:t>
            </w:r>
            <w:r w:rsidRPr="00326D28">
              <w:rPr>
                <w:rFonts w:eastAsia="Calibri" w:cs="Arial"/>
              </w:rPr>
              <w:t xml:space="preserve"> avance en la ejecución. De esta forma, los recursos entregados a título de anticipo son del erario, razón por la que debe garantizarse su buen manejo y correcta inversión</w:t>
            </w:r>
          </w:p>
          <w:p w14:paraId="0883A9CD" w14:textId="77777777" w:rsidR="00DB2443" w:rsidRDefault="00DB2443" w:rsidP="003B43F3">
            <w:pPr>
              <w:pStyle w:val="Textoindependiente"/>
              <w:spacing w:after="120" w:line="276" w:lineRule="auto"/>
              <w:ind w:firstLine="737"/>
              <w:jc w:val="both"/>
              <w:rPr>
                <w:rFonts w:eastAsia="Calibri" w:cs="Arial"/>
                <w:color w:val="000000" w:themeColor="text1"/>
              </w:rPr>
            </w:pPr>
            <w:r w:rsidRPr="00326D28">
              <w:rPr>
                <w:rFonts w:eastAsia="Calibri"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w:t>
            </w:r>
            <w:r w:rsidRPr="00326D28">
              <w:rPr>
                <w:rFonts w:eastAsia="Calibri" w:cs="Arial"/>
                <w:color w:val="000000" w:themeColor="text1"/>
              </w:rPr>
              <w:lastRenderedPageBreak/>
              <w:t>forma estipulada. Por otro lado, el contratista tiene derecho a recibir dicho anticipo y la obligación de destinarlo a la ejecución del contrato.</w:t>
            </w:r>
          </w:p>
          <w:p w14:paraId="3E15C662" w14:textId="77777777" w:rsidR="00DB2443" w:rsidRDefault="00DB2443" w:rsidP="003B43F3">
            <w:pPr>
              <w:pStyle w:val="Textoindependiente"/>
              <w:spacing w:after="120" w:line="276" w:lineRule="auto"/>
              <w:ind w:firstLine="737"/>
              <w:jc w:val="both"/>
              <w:rPr>
                <w:rFonts w:eastAsia="Arial" w:cs="Arial"/>
                <w:color w:val="000000" w:themeColor="text1"/>
                <w:lang w:eastAsia="es-ES" w:bidi="es-ES"/>
              </w:rPr>
            </w:pPr>
            <w:r>
              <w:rPr>
                <w:rFonts w:eastAsia="Calibri" w:cs="Arial"/>
                <w:color w:val="000000" w:themeColor="text1"/>
              </w:rPr>
              <w:t>Por lo demás, el equilibro económico del contrato por las siguientes causas: i) a</w:t>
            </w:r>
            <w:r w:rsidRPr="0009664C">
              <w:rPr>
                <w:rFonts w:eastAsia="Calibri" w:cs="Arial"/>
                <w:color w:val="000000" w:themeColor="text1"/>
              </w:rPr>
              <w:t>ctos de la entidad administrativa contratante</w:t>
            </w:r>
            <w:r>
              <w:rPr>
                <w:rFonts w:eastAsia="Calibri" w:cs="Arial"/>
                <w:color w:val="000000" w:themeColor="text1"/>
              </w:rPr>
              <w:t xml:space="preserve"> –incumplimiento o ejercicio de </w:t>
            </w:r>
            <w:r w:rsidRPr="0009664C">
              <w:rPr>
                <w:rFonts w:eastAsia="Calibri" w:cs="Arial"/>
                <w:i/>
                <w:iCs/>
                <w:color w:val="000000" w:themeColor="text1"/>
              </w:rPr>
              <w:t>ius variandi</w:t>
            </w:r>
            <w:r>
              <w:rPr>
                <w:rFonts w:eastAsia="Calibri" w:cs="Arial"/>
                <w:color w:val="000000" w:themeColor="text1"/>
              </w:rPr>
              <w:t xml:space="preserve">–, </w:t>
            </w:r>
            <w:proofErr w:type="spellStart"/>
            <w:r>
              <w:rPr>
                <w:rFonts w:eastAsia="Calibri" w:cs="Arial"/>
                <w:color w:val="000000" w:themeColor="text1"/>
              </w:rPr>
              <w:t>ii</w:t>
            </w:r>
            <w:proofErr w:type="spellEnd"/>
            <w:r>
              <w:rPr>
                <w:rFonts w:eastAsia="Calibri" w:cs="Arial"/>
                <w:color w:val="000000" w:themeColor="text1"/>
              </w:rPr>
              <w:t>) a</w:t>
            </w:r>
            <w:r w:rsidRPr="0009664C">
              <w:rPr>
                <w:rFonts w:eastAsia="Calibri" w:cs="Arial"/>
                <w:color w:val="000000" w:themeColor="text1"/>
              </w:rPr>
              <w:t>ctos generales de la administración como Estado</w:t>
            </w:r>
            <w:r>
              <w:rPr>
                <w:rFonts w:eastAsia="Calibri" w:cs="Arial"/>
                <w:color w:val="000000" w:themeColor="text1"/>
              </w:rPr>
              <w:t xml:space="preserve"> –hecho del príncipe– o </w:t>
            </w:r>
            <w:proofErr w:type="spellStart"/>
            <w:r>
              <w:rPr>
                <w:rFonts w:eastAsia="Calibri" w:cs="Arial"/>
                <w:color w:val="000000" w:themeColor="text1"/>
              </w:rPr>
              <w:t>iii</w:t>
            </w:r>
            <w:proofErr w:type="spellEnd"/>
            <w:r>
              <w:rPr>
                <w:rFonts w:eastAsia="Calibri" w:cs="Arial"/>
                <w:color w:val="000000" w:themeColor="text1"/>
              </w:rPr>
              <w:t xml:space="preserve">) </w:t>
            </w:r>
            <w:r w:rsidRPr="0009664C">
              <w:rPr>
                <w:rFonts w:eastAsia="Calibri" w:cs="Arial"/>
                <w:color w:val="000000" w:themeColor="text1"/>
              </w:rPr>
              <w:t>circunstancias no imputables al Estado y externas al contrato, pero con incidencia en él</w:t>
            </w:r>
            <w:r>
              <w:rPr>
                <w:rFonts w:eastAsia="Calibri" w:cs="Arial"/>
                <w:color w:val="000000" w:themeColor="text1"/>
              </w:rPr>
              <w:t xml:space="preserve"> –teoría de la imprevisión–</w:t>
            </w:r>
            <w:r>
              <w:rPr>
                <w:rFonts w:eastAsia="Arial" w:cs="Arial"/>
                <w:color w:val="000000" w:themeColor="text1"/>
                <w:lang w:eastAsia="es-ES" w:bidi="es-ES"/>
              </w:rPr>
              <w:t xml:space="preserve">. </w:t>
            </w:r>
            <w:r w:rsidRPr="00E97A27">
              <w:rPr>
                <w:rFonts w:eastAsia="Arial" w:cs="Arial"/>
                <w:color w:val="000000" w:themeColor="text1"/>
                <w:lang w:eastAsia="es-ES" w:bidi="es-ES"/>
              </w:rPr>
              <w:t>En lo que atañe a la procedencia del restablecimiento, la jurisprudencia ha señalado que para estos efectos es imperativo la prueba del menoscabo, demostrar que este es grave y que además no corresponde a un riesgo propio de la actividad que deba ser asumido por una de las partes contractuales</w:t>
            </w:r>
            <w:r>
              <w:rPr>
                <w:rFonts w:eastAsia="Arial" w:cs="Arial"/>
                <w:color w:val="000000" w:themeColor="text1"/>
                <w:lang w:eastAsia="es-ES" w:bidi="es-ES"/>
              </w:rPr>
              <w:t>.</w:t>
            </w:r>
          </w:p>
          <w:p w14:paraId="64687E2F" w14:textId="77777777" w:rsidR="00DB2443" w:rsidRDefault="00DB2443" w:rsidP="003B43F3">
            <w:pPr>
              <w:pStyle w:val="Textoindependiente"/>
              <w:spacing w:after="120" w:line="276" w:lineRule="auto"/>
              <w:ind w:firstLine="737"/>
              <w:jc w:val="both"/>
              <w:rPr>
                <w:rFonts w:eastAsia="Arial" w:cs="Arial"/>
                <w:color w:val="000000" w:themeColor="text1"/>
                <w:lang w:eastAsia="es-ES" w:bidi="es-ES"/>
              </w:rPr>
            </w:pPr>
            <w:r>
              <w:rPr>
                <w:rFonts w:eastAsia="Arial" w:cs="Arial"/>
                <w:color w:val="000000" w:themeColor="text1"/>
                <w:lang w:eastAsia="es-ES" w:bidi="es-ES"/>
              </w:rPr>
              <w:t>M</w:t>
            </w:r>
            <w:r w:rsidRPr="00E97A27">
              <w:rPr>
                <w:rFonts w:eastAsia="Arial" w:cs="Arial"/>
                <w:color w:val="000000" w:themeColor="text1"/>
                <w:lang w:eastAsia="es-ES" w:bidi="es-ES"/>
              </w:rPr>
              <w:t>ás allá de las distintas posturas que se han generado al interior del Consejo de Estado en torno a la oportunidad de la reclamación del restablecimiento del equilibrio económico del contrato, lo relevante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w:t>
            </w:r>
          </w:p>
          <w:p w14:paraId="17BDB016" w14:textId="77777777" w:rsidR="00DB2443" w:rsidRDefault="00DB2443" w:rsidP="003B43F3">
            <w:pPr>
              <w:pStyle w:val="Textoindependiente"/>
              <w:spacing w:after="120" w:line="276" w:lineRule="auto"/>
              <w:ind w:firstLine="737"/>
              <w:jc w:val="both"/>
              <w:rPr>
                <w:rFonts w:eastAsia="Arial" w:cs="Arial"/>
                <w:color w:val="000000" w:themeColor="text1"/>
              </w:rPr>
            </w:pPr>
            <w:r>
              <w:rPr>
                <w:rFonts w:eastAsia="Arial" w:cs="Arial"/>
                <w:color w:val="000000" w:themeColor="text1"/>
                <w:lang w:eastAsia="es-ES" w:bidi="es-ES"/>
              </w:rPr>
              <w:t>L</w:t>
            </w:r>
            <w:r w:rsidRPr="00E97A27">
              <w:rPr>
                <w:rFonts w:eastAsia="Arial" w:cs="Arial"/>
                <w:color w:val="000000" w:themeColor="text1"/>
                <w:lang w:eastAsia="es-ES" w:bidi="es-ES"/>
              </w:rPr>
              <w:t>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E97A27">
              <w:rPr>
                <w:rFonts w:eastAsia="Arial" w:cs="Arial"/>
                <w:lang w:eastAsia="es-ES" w:bidi="es-ES"/>
              </w:rPr>
              <w:t xml:space="preserve"> es </w:t>
            </w:r>
            <w:r w:rsidRPr="00200CC7">
              <w:rPr>
                <w:rFonts w:eastAsia="Arial" w:cs="Arial"/>
                <w:i/>
                <w:color w:val="000000" w:themeColor="text1"/>
                <w:lang w:val="es-MX" w:eastAsia="es-ES" w:bidi="es-ES"/>
              </w:rPr>
              <w:t>“</w:t>
            </w:r>
            <w:r w:rsidRPr="00200CC7">
              <w:rPr>
                <w:rFonts w:eastAsia="Arial" w:cs="Arial"/>
                <w:i/>
                <w:lang w:eastAsia="es-ES" w:bidi="es-ES"/>
              </w:rPr>
              <w:t>preciso entonces el diseño de reglas que permitan la adaptación y la resolución pacífica de las controversias para evitar el fracaso</w:t>
            </w:r>
            <w:r w:rsidRPr="00200CC7">
              <w:rPr>
                <w:rFonts w:eastAsia="Arial" w:cs="Arial"/>
                <w:i/>
                <w:color w:val="000000" w:themeColor="text1"/>
                <w:lang w:val="es-MX" w:eastAsia="es-ES" w:bidi="es-ES"/>
              </w:rPr>
              <w:t>”.</w:t>
            </w:r>
          </w:p>
          <w:p w14:paraId="6318FBC1" w14:textId="77777777" w:rsidR="00DB2443" w:rsidRDefault="00DB2443" w:rsidP="003B43F3">
            <w:pPr>
              <w:spacing w:after="120" w:line="276" w:lineRule="auto"/>
              <w:ind w:right="51" w:firstLine="737"/>
              <w:jc w:val="both"/>
              <w:rPr>
                <w:rFonts w:ascii="Verdana" w:hAnsi="Verdana"/>
                <w:color w:val="000000"/>
              </w:rPr>
            </w:pPr>
            <w:r w:rsidRPr="006A39AF">
              <w:rPr>
                <w:rFonts w:ascii="Verdana" w:hAnsi="Verdana"/>
                <w:color w:val="000000"/>
              </w:rPr>
              <w:t xml:space="preserve">Al margen de la explicación precedente debe advertirse que el análisis requerido para resolver problemas específicos en torno a los reconocimientos económicos derivados del desequilibrio en el contrato debe ser realizado por </w:t>
            </w:r>
            <w:r w:rsidRPr="006A39AF">
              <w:rPr>
                <w:rFonts w:ascii="Verdana" w:hAnsi="Verdana"/>
                <w:color w:val="000000"/>
              </w:rPr>
              <w:lastRenderedPageBreak/>
              <w:t>quienes tengan interés en ello, de acuerdo con lo explicado la aclaración preliminar del presente oficio. </w:t>
            </w: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 xml:space="preserve">relacionado </w:t>
            </w:r>
            <w:r>
              <w:rPr>
                <w:rFonts w:ascii="Verdana" w:hAnsi="Verdana" w:cs="Arial"/>
                <w:lang w:eastAsia="es-ES"/>
              </w:rPr>
              <w:t>con las situaciones susceptibles de calificarse como “imposibilidad sobreviniente”, así como el impacto de las modificaciones sobre el principio de planeación y legalidad del gasto</w:t>
            </w:r>
            <w:r w:rsidRPr="00301910">
              <w:rPr>
                <w:rFonts w:ascii="Verdana" w:hAnsi="Verdana" w:cs="Arial"/>
                <w:lang w:eastAsia="es-ES"/>
              </w:rPr>
              <w:t>.</w:t>
            </w:r>
            <w:r>
              <w:rPr>
                <w:rFonts w:ascii="Verdana" w:hAnsi="Verdana" w:cs="Arial"/>
                <w:lang w:eastAsia="es-ES"/>
              </w:rPr>
              <w:t xml:space="preserve"> </w:t>
            </w:r>
            <w:r w:rsidRPr="006A39AF">
              <w:rPr>
                <w:rFonts w:ascii="Verdana" w:hAnsi="Verdana"/>
                <w:color w:val="000000"/>
              </w:rPr>
              <w:t>Por lo anterior,</w:t>
            </w:r>
            <w:r>
              <w:rPr>
                <w:rFonts w:ascii="Verdana" w:hAnsi="Verdana"/>
                <w:color w:val="000000"/>
              </w:rPr>
              <w:t xml:space="preserve"> </w:t>
            </w:r>
            <w:r w:rsidRPr="006A39AF">
              <w:rPr>
                <w:rFonts w:ascii="Verdana" w:hAnsi="Verdana"/>
                <w:color w:val="000000"/>
              </w:rPr>
              <w:t>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507F0B0E" w14:textId="77777777" w:rsidR="00DB2443" w:rsidRPr="001941FD" w:rsidRDefault="00DB2443" w:rsidP="003B43F3">
            <w:pPr>
              <w:spacing w:line="276" w:lineRule="auto"/>
              <w:ind w:right="51" w:firstLine="737"/>
              <w:jc w:val="both"/>
              <w:rPr>
                <w:rFonts w:ascii="Verdana" w:eastAsia="Calibri" w:hAnsi="Verdana" w:cs="Arial"/>
                <w:bCs/>
                <w:color w:val="000000" w:themeColor="text1"/>
              </w:rPr>
            </w:pPr>
            <w:r>
              <w:rPr>
                <w:rFonts w:ascii="Verdana" w:eastAsia="Calibri" w:hAnsi="Verdana" w:cs="Arial"/>
                <w:bCs/>
                <w:color w:val="000000" w:themeColor="text1"/>
              </w:rPr>
              <w:t>Por las mismas razones, tampoco existen conceptos de la ANCP – CCE</w:t>
            </w:r>
            <w:r w:rsidRPr="00550DC3">
              <w:rPr>
                <w:rFonts w:ascii="Verdana" w:eastAsia="Calibri" w:hAnsi="Verdana" w:cs="Arial"/>
                <w:bCs/>
                <w:color w:val="000000" w:themeColor="text1"/>
              </w:rPr>
              <w:t xml:space="preserve"> sobre el tratamiento contractual de hechos sobrevinientes que afectan condiciones pactadas en la etapa precontractual, </w:t>
            </w:r>
            <w:r>
              <w:rPr>
                <w:rFonts w:ascii="Verdana" w:eastAsia="Calibri" w:hAnsi="Verdana" w:cs="Arial"/>
                <w:bCs/>
                <w:color w:val="000000" w:themeColor="text1"/>
              </w:rPr>
              <w:t>especialmente,</w:t>
            </w:r>
            <w:r w:rsidRPr="00550DC3">
              <w:rPr>
                <w:rFonts w:ascii="Verdana" w:eastAsia="Calibri" w:hAnsi="Verdana" w:cs="Arial"/>
                <w:bCs/>
                <w:color w:val="000000" w:themeColor="text1"/>
              </w:rPr>
              <w:t xml:space="preserve"> en lo </w:t>
            </w:r>
            <w:r>
              <w:rPr>
                <w:rFonts w:ascii="Verdana" w:eastAsia="Calibri" w:hAnsi="Verdana" w:cs="Arial"/>
                <w:bCs/>
                <w:color w:val="000000" w:themeColor="text1"/>
              </w:rPr>
              <w:t>relacionado</w:t>
            </w:r>
            <w:r w:rsidRPr="00550DC3">
              <w:rPr>
                <w:rFonts w:ascii="Verdana" w:eastAsia="Calibri" w:hAnsi="Verdana" w:cs="Arial"/>
                <w:bCs/>
                <w:color w:val="000000" w:themeColor="text1"/>
              </w:rPr>
              <w:t xml:space="preserve"> </w:t>
            </w:r>
            <w:r>
              <w:rPr>
                <w:rFonts w:ascii="Verdana" w:eastAsia="Calibri" w:hAnsi="Verdana" w:cs="Arial"/>
                <w:bCs/>
                <w:color w:val="000000" w:themeColor="text1"/>
              </w:rPr>
              <w:t>con los</w:t>
            </w:r>
            <w:r w:rsidRPr="00550DC3">
              <w:rPr>
                <w:rFonts w:ascii="Verdana" w:eastAsia="Calibri" w:hAnsi="Verdana" w:cs="Arial"/>
                <w:bCs/>
                <w:color w:val="000000" w:themeColor="text1"/>
              </w:rPr>
              <w:t xml:space="preserve"> anticipos o fuentes de financiación condicionadas</w:t>
            </w:r>
            <w:r>
              <w:rPr>
                <w:rFonts w:ascii="Verdana" w:eastAsia="Calibri" w:hAnsi="Verdana" w:cs="Arial"/>
                <w:bCs/>
                <w:color w:val="000000" w:themeColor="text1"/>
              </w:rPr>
              <w:t xml:space="preserve">.  </w:t>
            </w:r>
          </w:p>
        </w:tc>
      </w:tr>
    </w:tbl>
    <w:p w14:paraId="5D8B0A32" w14:textId="77777777" w:rsidR="00DB2443" w:rsidRPr="00593A5F" w:rsidRDefault="00DB2443" w:rsidP="00DB2443">
      <w:pPr>
        <w:tabs>
          <w:tab w:val="left" w:pos="142"/>
          <w:tab w:val="left" w:pos="284"/>
        </w:tabs>
        <w:spacing w:after="0" w:line="276" w:lineRule="auto"/>
        <w:jc w:val="both"/>
        <w:rPr>
          <w:rFonts w:ascii="Verdana" w:eastAsia="Century Gothic" w:hAnsi="Verdana" w:cs="Century Gothic"/>
          <w:b/>
          <w:bCs/>
          <w:lang w:val="es-ES"/>
        </w:rPr>
      </w:pPr>
    </w:p>
    <w:bookmarkEnd w:id="1"/>
    <w:p w14:paraId="3A13102F" w14:textId="77777777" w:rsidR="00DB2443" w:rsidRPr="00593A5F" w:rsidRDefault="00DB2443" w:rsidP="00DB24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0860A3C2" w14:textId="77777777" w:rsidR="00DB2443" w:rsidRPr="00593A5F" w:rsidRDefault="00DB2443" w:rsidP="00DB2443">
      <w:pPr>
        <w:spacing w:after="0" w:line="276" w:lineRule="auto"/>
        <w:jc w:val="both"/>
        <w:rPr>
          <w:rFonts w:ascii="Verdana" w:eastAsia="Calibri" w:hAnsi="Verdana" w:cs="Arial"/>
          <w:color w:val="7030A0"/>
          <w:lang w:val="es-ES"/>
        </w:rPr>
      </w:pPr>
    </w:p>
    <w:p w14:paraId="7E77044B" w14:textId="77777777" w:rsidR="00DB2443" w:rsidRDefault="00DB2443" w:rsidP="00DB244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6ECA1A4" w14:textId="77777777" w:rsidR="00DB2443" w:rsidRDefault="00DB2443" w:rsidP="00DB2443">
      <w:pPr>
        <w:spacing w:after="0" w:line="276" w:lineRule="auto"/>
        <w:jc w:val="both"/>
        <w:rPr>
          <w:rFonts w:ascii="Verdana" w:eastAsia="Calibri" w:hAnsi="Verdana" w:cs="Arial"/>
          <w:lang w:val="es-ES"/>
        </w:rPr>
      </w:pPr>
    </w:p>
    <w:p w14:paraId="2F01D5BD" w14:textId="77777777" w:rsidR="00DB2443" w:rsidRPr="00326D28" w:rsidRDefault="00DB2443" w:rsidP="00DB2443">
      <w:pPr>
        <w:tabs>
          <w:tab w:val="left" w:pos="0"/>
        </w:tabs>
        <w:spacing w:after="120" w:line="276" w:lineRule="auto"/>
        <w:jc w:val="both"/>
        <w:rPr>
          <w:rFonts w:ascii="Verdana" w:hAnsi="Verdana" w:cs="Arial"/>
          <w:color w:val="000000" w:themeColor="text1"/>
        </w:rPr>
      </w:pPr>
      <w:r w:rsidRPr="00326D28">
        <w:rPr>
          <w:rFonts w:ascii="Verdana" w:hAnsi="Verdana" w:cs="Arial"/>
          <w:lang w:val="es-ES_tradnl"/>
        </w:rPr>
        <w:t xml:space="preserve">i. </w:t>
      </w:r>
      <w:r w:rsidRPr="00326D28">
        <w:rPr>
          <w:rFonts w:ascii="Verdana" w:eastAsia="Calibri" w:hAnsi="Verdana" w:cs="Arial"/>
          <w:color w:val="000000"/>
          <w:lang w:eastAsia="en-GB"/>
        </w:rPr>
        <w:t>En materia de contratación pública, la figura del anticipo está prevista en dos (2) normas: el</w:t>
      </w:r>
      <w:r w:rsidRPr="00326D28">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eastAsia="Calibri" w:hAnsi="Verdana" w:cs="Arial"/>
          <w:color w:val="000000" w:themeColor="text1"/>
          <w:lang w:val="es-ES"/>
        </w:rPr>
        <w:t>“</w:t>
      </w:r>
      <w:r w:rsidRPr="00326D28">
        <w:rPr>
          <w:rFonts w:ascii="Verdana" w:hAnsi="Verdana" w:cs="Arial"/>
          <w:color w:val="000000" w:themeColor="text1"/>
        </w:rPr>
        <w:t>En los contratos que celebren las entidades estatales se podrá pactar el pago anticipado y la entrega de anticipos, pero su monto no podrá exceder del cincuenta por ciento (50%) del valor del respectivo contrato</w:t>
      </w:r>
      <w:r>
        <w:rPr>
          <w:rFonts w:ascii="Verdana" w:eastAsia="Calibri" w:hAnsi="Verdana" w:cs="Arial"/>
          <w:color w:val="000000" w:themeColor="text1"/>
          <w:lang w:val="es-ES"/>
        </w:rPr>
        <w:t>”</w:t>
      </w:r>
      <w:r w:rsidRPr="00326D28">
        <w:rPr>
          <w:rFonts w:ascii="Verdana" w:hAnsi="Verdana" w:cs="Arial"/>
          <w:color w:val="000000" w:themeColor="text1"/>
        </w:rPr>
        <w:t xml:space="preserve">. </w:t>
      </w:r>
    </w:p>
    <w:p w14:paraId="7471803C" w14:textId="77777777" w:rsidR="00DB2443" w:rsidRPr="00326D28" w:rsidRDefault="00DB2443" w:rsidP="00DB2443">
      <w:pPr>
        <w:tabs>
          <w:tab w:val="left" w:pos="0"/>
        </w:tabs>
        <w:spacing w:after="120" w:line="276" w:lineRule="auto"/>
        <w:ind w:firstLine="709"/>
        <w:jc w:val="both"/>
        <w:rPr>
          <w:rFonts w:ascii="Verdana" w:hAnsi="Verdana" w:cs="Arial"/>
          <w:color w:val="000000" w:themeColor="text1"/>
        </w:rPr>
      </w:pPr>
      <w:r w:rsidRPr="00326D28">
        <w:rPr>
          <w:rFonts w:ascii="Verdana" w:hAnsi="Verdana" w:cs="Arial"/>
          <w:color w:val="000000" w:themeColor="text1"/>
        </w:rPr>
        <w:t xml:space="preserve">Por su parte, </w:t>
      </w:r>
      <w:r w:rsidRPr="00326D28">
        <w:rPr>
          <w:rFonts w:ascii="Verdana" w:hAnsi="Verdana" w:cs="Arial"/>
          <w:color w:val="000000" w:themeColor="text1"/>
          <w:lang w:val="es-ES"/>
        </w:rPr>
        <w:t>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41517010" w14:textId="77777777" w:rsidR="00DB2443" w:rsidRPr="00326D28" w:rsidRDefault="00DB2443" w:rsidP="00DB2443">
      <w:pPr>
        <w:tabs>
          <w:tab w:val="left" w:pos="0"/>
        </w:tabs>
        <w:spacing w:after="120" w:line="276" w:lineRule="auto"/>
        <w:ind w:firstLine="709"/>
        <w:jc w:val="both"/>
        <w:rPr>
          <w:rFonts w:ascii="Verdana" w:eastAsia="Calibri" w:hAnsi="Verdana" w:cs="Arial"/>
          <w:vertAlign w:val="superscript"/>
        </w:rPr>
      </w:pPr>
      <w:r w:rsidRPr="00326D28">
        <w:rPr>
          <w:rFonts w:ascii="Verdana" w:eastAsia="Calibri" w:hAnsi="Verdana" w:cs="Arial"/>
        </w:rPr>
        <w:lastRenderedPageBreak/>
        <w:t>Aunque las normas citadas no definen el anticipo, el Consejo de Estado ha precisado su naturaleza jurídica fijando parámetros para su aplicación</w:t>
      </w:r>
      <w:r w:rsidRPr="00326D28">
        <w:rPr>
          <w:rStyle w:val="Refdenotaalpie"/>
          <w:rFonts w:ascii="Verdana" w:eastAsia="Calibri" w:hAnsi="Verdana" w:cs="Arial"/>
        </w:rPr>
        <w:footnoteReference w:id="2"/>
      </w:r>
      <w:r w:rsidRPr="00326D28">
        <w:rPr>
          <w:rFonts w:ascii="Verdana" w:eastAsia="Calibri" w:hAnsi="Verdana" w:cs="Arial"/>
        </w:rPr>
        <w:t xml:space="preserve">. Dicha Corporación se ha referido  al anticipo como </w:t>
      </w:r>
      <w:r>
        <w:rPr>
          <w:rFonts w:ascii="Verdana" w:eastAsia="Calibri" w:hAnsi="Verdana" w:cs="Arial"/>
          <w:color w:val="000000" w:themeColor="text1"/>
          <w:lang w:val="es-ES"/>
        </w:rPr>
        <w:t>“</w:t>
      </w:r>
      <w:r w:rsidRPr="00326D28">
        <w:rPr>
          <w:rFonts w:ascii="Verdana" w:eastAsia="Calibri" w:hAnsi="Verdana"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Pr>
          <w:rFonts w:ascii="Verdana" w:eastAsia="Calibri" w:hAnsi="Verdana" w:cs="Arial"/>
          <w:color w:val="000000" w:themeColor="text1"/>
          <w:lang w:val="es-ES"/>
        </w:rPr>
        <w:t>”</w:t>
      </w:r>
      <w:r w:rsidRPr="00326D28">
        <w:rPr>
          <w:rFonts w:ascii="Verdana" w:eastAsia="Calibri" w:hAnsi="Verdana" w:cs="Arial"/>
          <w:vertAlign w:val="superscript"/>
        </w:rPr>
        <w:footnoteReference w:id="3"/>
      </w:r>
      <w:r w:rsidRPr="00326D28">
        <w:rPr>
          <w:rFonts w:ascii="Verdana" w:eastAsia="Calibri" w:hAnsi="Verdana" w:cs="Arial"/>
          <w:color w:val="000000" w:themeColor="text1"/>
          <w:lang w:val="es-ES"/>
        </w:rPr>
        <w:t>.</w:t>
      </w:r>
    </w:p>
    <w:p w14:paraId="6C44EFCD" w14:textId="77777777" w:rsidR="00DB2443" w:rsidRPr="00326D28" w:rsidRDefault="00DB2443" w:rsidP="00DB2443">
      <w:pPr>
        <w:spacing w:after="120" w:line="276" w:lineRule="auto"/>
        <w:ind w:firstLine="708"/>
        <w:jc w:val="both"/>
        <w:rPr>
          <w:rFonts w:ascii="Verdana" w:eastAsia="Calibri" w:hAnsi="Verdana" w:cs="Arial"/>
        </w:rPr>
      </w:pPr>
      <w:r w:rsidRPr="00326D28">
        <w:rPr>
          <w:rFonts w:ascii="Verdana" w:eastAsia="Calibri" w:hAnsi="Verdana" w:cs="Arial"/>
        </w:rPr>
        <w:t xml:space="preserve">Sobre la calidad de recurso público del anticipo, la jurisprudencia ha reiterado que </w:t>
      </w:r>
      <w:r>
        <w:rPr>
          <w:rFonts w:ascii="Verdana" w:eastAsia="Calibri" w:hAnsi="Verdana" w:cs="Arial"/>
          <w:color w:val="000000" w:themeColor="text1"/>
          <w:lang w:val="es-ES"/>
        </w:rPr>
        <w:t>“</w:t>
      </w:r>
      <w:r w:rsidRPr="00326D28">
        <w:rPr>
          <w:rFonts w:ascii="Verdana" w:eastAsia="Calibri"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eastAsia="Calibri" w:hAnsi="Verdana" w:cs="Arial"/>
          <w:color w:val="000000" w:themeColor="text1"/>
          <w:lang w:val="es-ES"/>
        </w:rPr>
        <w:t>”</w:t>
      </w:r>
      <w:r w:rsidRPr="00326D28">
        <w:rPr>
          <w:rStyle w:val="Refdenotaalpie"/>
          <w:rFonts w:ascii="Verdana" w:eastAsia="Calibri" w:hAnsi="Verdana" w:cs="Arial"/>
        </w:rPr>
        <w:footnoteReference w:id="4"/>
      </w:r>
      <w:r w:rsidRPr="00326D28">
        <w:rPr>
          <w:rFonts w:ascii="Verdana" w:eastAsia="Calibri" w:hAnsi="Verdana" w:cs="Arial"/>
        </w:rPr>
        <w:t>. Igualmente, explica que el anticipo, al facilitar al contratista la financiación de los bienes y servicios que se le han encargado, es un factor determinante para impulsar la ejecución del contrato</w:t>
      </w:r>
      <w:r w:rsidRPr="00326D28">
        <w:rPr>
          <w:rStyle w:val="Refdenotaalpie"/>
          <w:rFonts w:ascii="Verdana" w:eastAsia="Calibri" w:hAnsi="Verdana" w:cs="Arial"/>
        </w:rPr>
        <w:footnoteReference w:id="5"/>
      </w:r>
      <w:r w:rsidRPr="00326D28">
        <w:rPr>
          <w:rFonts w:ascii="Verdana" w:eastAsia="Calibri" w:hAnsi="Verdana" w:cs="Arial"/>
        </w:rPr>
        <w:t>. Este también es el entendimiento de la doctrina</w:t>
      </w:r>
      <w:r w:rsidRPr="00326D28">
        <w:rPr>
          <w:rFonts w:ascii="Verdana" w:eastAsia="Calibri" w:hAnsi="Verdana" w:cs="Arial"/>
          <w:color w:val="000000" w:themeColor="text1"/>
        </w:rPr>
        <w:t>,</w:t>
      </w:r>
      <w:r w:rsidRPr="00326D28">
        <w:rPr>
          <w:rFonts w:ascii="Verdana" w:eastAsia="Calibri" w:hAnsi="Verdana" w:cs="Arial"/>
        </w:rPr>
        <w:t xml:space="preserve"> que ha considerado el anticipo como un dinero entregado al contratista que debe cancelarse mediante descuentos parciales, siendo una práctica común que permite impulsar la ejecución del contrato</w:t>
      </w:r>
      <w:r w:rsidRPr="00326D28">
        <w:rPr>
          <w:rStyle w:val="Refdenotaalpie"/>
          <w:rFonts w:ascii="Verdana" w:eastAsia="Calibri" w:hAnsi="Verdana" w:cs="Arial"/>
        </w:rPr>
        <w:footnoteReference w:id="6"/>
      </w:r>
      <w:r w:rsidRPr="00326D28">
        <w:rPr>
          <w:rFonts w:ascii="Verdana" w:eastAsia="Calibri" w:hAnsi="Verdana" w:cs="Arial"/>
        </w:rPr>
        <w:t xml:space="preserve">. </w:t>
      </w:r>
    </w:p>
    <w:p w14:paraId="2BB06B15" w14:textId="77777777" w:rsidR="00DB2443" w:rsidRPr="00326D28" w:rsidRDefault="00DB2443" w:rsidP="00DB2443">
      <w:pPr>
        <w:spacing w:before="120" w:after="120" w:line="276" w:lineRule="auto"/>
        <w:ind w:firstLine="708"/>
        <w:jc w:val="both"/>
        <w:rPr>
          <w:rFonts w:ascii="Verdana" w:eastAsia="Calibri" w:hAnsi="Verdana" w:cs="Arial"/>
          <w:color w:val="000000" w:themeColor="text1"/>
        </w:rPr>
      </w:pPr>
      <w:r w:rsidRPr="00326D28">
        <w:rPr>
          <w:rFonts w:ascii="Verdana" w:eastAsia="Calibri" w:hAnsi="Verdana" w:cs="Arial"/>
          <w:color w:val="000000" w:themeColor="text1"/>
        </w:rPr>
        <w:lastRenderedPageBreak/>
        <w:t xml:space="preserve">Así, de acuerdo con las consideraciones de la jurisprudencia y la doctrina, el anticipo es </w:t>
      </w:r>
      <w:r w:rsidRPr="00326D28">
        <w:rPr>
          <w:rFonts w:ascii="Verdana" w:eastAsia="Calibri" w:hAnsi="Verdana" w:cs="Arial"/>
        </w:rPr>
        <w:t>aquella suma de dinero entregada al contratista con la finalidad de apalancarlo financieramente para solventar los costos iniciales de la ejecución del contrato. Este dinero debe amortizarse de acuerdo al avance en la ejecución. De esta forma, los recursos entregados a título de anticipo son del erario, razón por la que debe garantizarse su buen manejo y correcta inversión.</w:t>
      </w:r>
    </w:p>
    <w:p w14:paraId="2A08D5C7" w14:textId="77777777" w:rsidR="00DB2443" w:rsidRPr="00326D28" w:rsidRDefault="00DB2443" w:rsidP="00DB2443">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2FFE0245" w14:textId="77777777" w:rsidR="00DB2443" w:rsidRPr="00326D28" w:rsidRDefault="00DB2443" w:rsidP="00DB2443">
      <w:pPr>
        <w:spacing w:after="0" w:line="276" w:lineRule="auto"/>
        <w:ind w:firstLine="709"/>
        <w:jc w:val="both"/>
        <w:rPr>
          <w:rFonts w:ascii="Verdana" w:eastAsia="Calibri" w:hAnsi="Verdana" w:cs="Arial"/>
          <w:lang w:val="es-MX"/>
        </w:rPr>
      </w:pPr>
    </w:p>
    <w:p w14:paraId="3EA9D5C7" w14:textId="77777777" w:rsidR="00DB2443" w:rsidRPr="00F2577C" w:rsidRDefault="00DB2443" w:rsidP="00DB2443">
      <w:pPr>
        <w:spacing w:after="0" w:line="240" w:lineRule="auto"/>
        <w:ind w:left="709" w:right="709"/>
        <w:jc w:val="both"/>
        <w:rPr>
          <w:rFonts w:ascii="Verdana" w:eastAsia="Calibri" w:hAnsi="Verdana" w:cs="Arial"/>
          <w:sz w:val="20"/>
          <w:szCs w:val="20"/>
        </w:rPr>
      </w:pPr>
      <w:r w:rsidRPr="00F2577C">
        <w:rPr>
          <w:rFonts w:ascii="Verdana" w:eastAsia="Calibri" w:hAnsi="Verdana" w:cs="Arial"/>
          <w:sz w:val="20"/>
          <w:szCs w:val="20"/>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F2577C">
        <w:rPr>
          <w:rFonts w:ascii="Verdana" w:eastAsia="Calibri" w:hAnsi="Verdana" w:cs="Arial"/>
          <w:sz w:val="20"/>
          <w:szCs w:val="20"/>
        </w:rPr>
        <w:t>etc</w:t>
      </w:r>
      <w:proofErr w:type="spellEnd"/>
      <w:r w:rsidRPr="00F2577C">
        <w:rPr>
          <w:rFonts w:ascii="Verdana" w:eastAsia="Calibri" w:hAnsi="Verdana" w:cs="Arial"/>
          <w:sz w:val="20"/>
          <w:szCs w:val="20"/>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F2577C">
        <w:rPr>
          <w:rFonts w:ascii="Verdana" w:eastAsia="Calibri" w:hAnsi="Verdana" w:cs="Arial"/>
          <w:b/>
          <w:bCs/>
          <w:sz w:val="20"/>
          <w:szCs w:val="20"/>
        </w:rPr>
        <w:t xml:space="preserve"> </w:t>
      </w:r>
      <w:r w:rsidRPr="00F2577C">
        <w:rPr>
          <w:rFonts w:ascii="Verdana" w:eastAsia="Calibri" w:hAnsi="Verdana" w:cs="Arial"/>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F2577C">
        <w:rPr>
          <w:rStyle w:val="Refdenotaalpie"/>
          <w:rFonts w:ascii="Verdana" w:eastAsia="Calibri" w:hAnsi="Verdana" w:cs="Arial"/>
          <w:sz w:val="20"/>
          <w:szCs w:val="20"/>
        </w:rPr>
        <w:footnoteReference w:id="7"/>
      </w:r>
      <w:r w:rsidRPr="00F2577C">
        <w:rPr>
          <w:rFonts w:ascii="Verdana" w:eastAsia="Calibri" w:hAnsi="Verdana" w:cs="Arial"/>
          <w:sz w:val="20"/>
          <w:szCs w:val="20"/>
        </w:rPr>
        <w:t>.</w:t>
      </w:r>
    </w:p>
    <w:p w14:paraId="147AFC6D" w14:textId="77777777" w:rsidR="00DB2443" w:rsidRPr="00326D28" w:rsidRDefault="00DB2443" w:rsidP="00DB2443">
      <w:pPr>
        <w:spacing w:after="0" w:line="276" w:lineRule="auto"/>
        <w:ind w:left="567" w:right="709"/>
        <w:jc w:val="both"/>
        <w:rPr>
          <w:rFonts w:ascii="Verdana" w:eastAsia="Calibri" w:hAnsi="Verdana" w:cs="Arial"/>
        </w:rPr>
      </w:pPr>
      <w:r>
        <w:rPr>
          <w:rFonts w:ascii="Verdana" w:eastAsia="Calibri" w:hAnsi="Verdana" w:cs="Arial"/>
          <w:sz w:val="21"/>
          <w:szCs w:val="21"/>
        </w:rPr>
        <w:tab/>
      </w:r>
    </w:p>
    <w:p w14:paraId="4D329FDD" w14:textId="77777777" w:rsidR="00DB2443" w:rsidRPr="00326D28" w:rsidRDefault="00DB2443" w:rsidP="00DB2443">
      <w:pPr>
        <w:tabs>
          <w:tab w:val="left" w:pos="0"/>
        </w:tabs>
        <w:spacing w:after="120" w:line="276" w:lineRule="auto"/>
        <w:ind w:firstLine="709"/>
        <w:jc w:val="both"/>
        <w:rPr>
          <w:rFonts w:ascii="Verdana" w:eastAsia="Calibri" w:hAnsi="Verdana" w:cs="Arial"/>
          <w:lang w:val="es-MX"/>
        </w:rPr>
      </w:pPr>
      <w:r w:rsidRPr="00326D28">
        <w:rPr>
          <w:rFonts w:ascii="Verdana" w:eastAsia="Calibri" w:hAnsi="Verdana" w:cs="Arial"/>
        </w:rPr>
        <w:lastRenderedPageBreak/>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obligaciones para su correcta inversión.</w:t>
      </w:r>
    </w:p>
    <w:p w14:paraId="2A2BB8F4" w14:textId="77777777" w:rsidR="00DB2443" w:rsidRPr="00326D28" w:rsidRDefault="00DB2443" w:rsidP="00DB2443">
      <w:pPr>
        <w:tabs>
          <w:tab w:val="left" w:pos="0"/>
        </w:tabs>
        <w:spacing w:before="120" w:after="120" w:line="276" w:lineRule="auto"/>
        <w:ind w:firstLine="709"/>
        <w:jc w:val="both"/>
        <w:rPr>
          <w:rFonts w:ascii="Verdana" w:hAnsi="Verdana" w:cs="Arial"/>
          <w:color w:val="000000" w:themeColor="text1"/>
          <w:lang w:val="es-ES"/>
        </w:rPr>
      </w:pPr>
      <w:r w:rsidRPr="00326D28">
        <w:rPr>
          <w:rFonts w:ascii="Verdana" w:eastAsia="Calibri"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326D28">
        <w:rPr>
          <w:rFonts w:ascii="Verdana" w:hAnsi="Verdana" w:cs="Arial"/>
          <w:color w:val="000000" w:themeColor="text1"/>
          <w:lang w:val="es-ES"/>
        </w:rPr>
        <w:t xml:space="preserve">De hecho, el Estatuto General de Contratación de la Administración Pública dispone como única limitación el valor máximo que puede desembolsar la entidad para pactar el anticipo. </w:t>
      </w:r>
    </w:p>
    <w:p w14:paraId="6A63300C" w14:textId="77777777" w:rsidR="00DB2443" w:rsidRPr="00326D28" w:rsidRDefault="00DB2443" w:rsidP="00DB2443">
      <w:pPr>
        <w:tabs>
          <w:tab w:val="left" w:pos="0"/>
        </w:tabs>
        <w:spacing w:before="120" w:after="120" w:line="276" w:lineRule="auto"/>
        <w:ind w:firstLine="709"/>
        <w:jc w:val="both"/>
        <w:rPr>
          <w:rFonts w:ascii="Verdana" w:hAnsi="Verdana" w:cs="Arial"/>
          <w:color w:val="000000" w:themeColor="text1"/>
          <w:lang w:val="es-MX"/>
        </w:rPr>
      </w:pPr>
      <w:r w:rsidRPr="00326D28">
        <w:rPr>
          <w:rFonts w:ascii="Verdana" w:hAnsi="Verdana" w:cs="Arial"/>
          <w:color w:val="000000" w:themeColor="text1"/>
          <w:lang w:val="es-ES"/>
        </w:rPr>
        <w:t>La entidad y el contratista podrán disponer, en ejercicio de la autonomía de la voluntad, las condiciones que consideren convenientes de acuerdo con las normas civiles, siempre que no contraríen los parámetros normativos y los principios de la actividad contractual. No obstante, se reitera la importancia de analizar y justificar en cada caso la pertinencia y conveniencia de entregar al contratista recursos en calidad de anticipo.</w:t>
      </w:r>
    </w:p>
    <w:p w14:paraId="7A371A2B" w14:textId="77777777" w:rsidR="00DB2443" w:rsidRDefault="00DB2443" w:rsidP="00DB2443">
      <w:pPr>
        <w:spacing w:after="0" w:line="276" w:lineRule="auto"/>
        <w:ind w:firstLine="709"/>
        <w:jc w:val="both"/>
        <w:rPr>
          <w:rFonts w:ascii="Verdana" w:eastAsia="Calibri" w:hAnsi="Verdana" w:cs="Arial"/>
        </w:rPr>
      </w:pPr>
      <w:r w:rsidRPr="00326D28">
        <w:rPr>
          <w:rFonts w:ascii="Verdana" w:hAnsi="Verdana" w:cs="Arial"/>
          <w:color w:val="000000" w:themeColor="text1"/>
        </w:rPr>
        <w:t>Del análisis realizado se desprende</w:t>
      </w:r>
      <w:r w:rsidRPr="00326D28">
        <w:rPr>
          <w:rFonts w:ascii="Verdana" w:hAnsi="Verdana" w:cs="Arial"/>
          <w:color w:val="000000" w:themeColor="text1"/>
          <w:lang w:val="es-ES"/>
        </w:rPr>
        <w:t xml:space="preserve"> que los recursos entregados al contratista en calidad de anticipo son recursos públicos. Por tanto, corresponde a la entidad </w:t>
      </w:r>
      <w:r w:rsidRPr="00326D28">
        <w:rPr>
          <w:rFonts w:ascii="Verdana" w:eastAsia="Calibri" w:hAnsi="Verdana" w:cs="Arial"/>
        </w:rPr>
        <w:t>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w:t>
      </w:r>
      <w:r>
        <w:rPr>
          <w:rFonts w:ascii="Verdana" w:eastAsia="Calibri" w:hAnsi="Verdana" w:cs="Arial"/>
        </w:rPr>
        <w:t xml:space="preserve"> (3)</w:t>
      </w:r>
      <w:r w:rsidRPr="00326D28">
        <w:rPr>
          <w:rFonts w:ascii="Verdana" w:eastAsia="Calibri" w:hAnsi="Verdana" w:cs="Arial"/>
        </w:rPr>
        <w:t xml:space="preserve"> circunstancias que deben ser objeto de cobertura: i) la no inversión del anticipo; </w:t>
      </w:r>
      <w:proofErr w:type="spellStart"/>
      <w:r w:rsidRPr="00326D28">
        <w:rPr>
          <w:rFonts w:ascii="Verdana" w:eastAsia="Calibri" w:hAnsi="Verdana" w:cs="Arial"/>
        </w:rPr>
        <w:t>ii</w:t>
      </w:r>
      <w:proofErr w:type="spellEnd"/>
      <w:r w:rsidRPr="00326D28">
        <w:rPr>
          <w:rFonts w:ascii="Verdana" w:eastAsia="Calibri" w:hAnsi="Verdana" w:cs="Arial"/>
        </w:rPr>
        <w:t xml:space="preserve">) el uso indebido del anticipo; y </w:t>
      </w:r>
      <w:proofErr w:type="spellStart"/>
      <w:r w:rsidRPr="00326D28">
        <w:rPr>
          <w:rFonts w:ascii="Verdana" w:eastAsia="Calibri" w:hAnsi="Verdana" w:cs="Arial"/>
        </w:rPr>
        <w:t>iii</w:t>
      </w:r>
      <w:proofErr w:type="spellEnd"/>
      <w:r w:rsidRPr="00326D28">
        <w:rPr>
          <w:rFonts w:ascii="Verdana" w:eastAsia="Calibri" w:hAnsi="Verdana" w:cs="Arial"/>
        </w:rPr>
        <w:t xml:space="preserve">) la apropiación indebida de los recursos recibidos en calidad de anticipo. </w:t>
      </w:r>
    </w:p>
    <w:p w14:paraId="2EF3CD59" w14:textId="77777777" w:rsidR="00DB2443" w:rsidRDefault="00DB2443" w:rsidP="00DB2443">
      <w:pPr>
        <w:spacing w:after="0" w:line="276" w:lineRule="auto"/>
        <w:ind w:firstLine="709"/>
        <w:jc w:val="both"/>
        <w:rPr>
          <w:rFonts w:ascii="Verdana" w:eastAsia="Calibri" w:hAnsi="Verdana" w:cs="Arial"/>
        </w:rPr>
      </w:pPr>
    </w:p>
    <w:p w14:paraId="5A198E32" w14:textId="77777777" w:rsidR="00DB2443" w:rsidRPr="00E97A27" w:rsidRDefault="00DB2443" w:rsidP="00DB2443">
      <w:pPr>
        <w:widowControl w:val="0"/>
        <w:autoSpaceDE w:val="0"/>
        <w:autoSpaceDN w:val="0"/>
        <w:spacing w:after="0" w:line="276" w:lineRule="auto"/>
        <w:jc w:val="both"/>
        <w:rPr>
          <w:rFonts w:ascii="Verdana" w:eastAsia="Arial" w:hAnsi="Verdana" w:cs="Arial"/>
          <w:color w:val="000000" w:themeColor="text1"/>
          <w:lang w:eastAsia="es-ES" w:bidi="es-ES"/>
        </w:rPr>
      </w:pPr>
      <w:proofErr w:type="spellStart"/>
      <w:r>
        <w:rPr>
          <w:rFonts w:ascii="Verdana" w:eastAsia="Calibri" w:hAnsi="Verdana" w:cs="Arial"/>
        </w:rPr>
        <w:t>ii</w:t>
      </w:r>
      <w:proofErr w:type="spellEnd"/>
      <w:r>
        <w:rPr>
          <w:rFonts w:ascii="Verdana" w:eastAsia="Calibri" w:hAnsi="Verdana" w:cs="Arial"/>
        </w:rPr>
        <w:t xml:space="preserve">. </w:t>
      </w:r>
      <w:r w:rsidRPr="00E97A27">
        <w:rPr>
          <w:rFonts w:ascii="Verdana" w:eastAsia="Arial" w:hAnsi="Verdana" w:cs="Arial"/>
          <w:color w:val="000000" w:themeColor="text1"/>
          <w:lang w:val="es-ES" w:eastAsia="es-ES" w:bidi="es-ES"/>
        </w:rPr>
        <w:t xml:space="preserve">De conformidad con el artículo 3 de la Ley 80 de 1993 la celebración y ejecución de los contratos estatales </w:t>
      </w:r>
      <w:r w:rsidRPr="00E97A27">
        <w:rPr>
          <w:rFonts w:ascii="Verdana" w:eastAsia="Arial" w:hAnsi="Verdana" w:cs="Arial"/>
          <w:color w:val="000000" w:themeColor="text1"/>
          <w:lang w:eastAsia="es-ES" w:bidi="es-ES"/>
        </w:rPr>
        <w:t xml:space="preserve">tiene como fin el cumplimiento de los fines estatales, la continua y eficiente prestación de los servicios públicos y la efectividad de los derechos e intereses de los administrados que colaboran con ellas en la consecución de dichos fines. Por su parte, los particulares que </w:t>
      </w:r>
      <w:r w:rsidRPr="00E97A27">
        <w:rPr>
          <w:rFonts w:ascii="Verdana" w:eastAsia="Arial" w:hAnsi="Verdana" w:cs="Arial"/>
          <w:color w:val="000000" w:themeColor="text1"/>
          <w:lang w:eastAsia="es-ES" w:bidi="es-ES"/>
        </w:rPr>
        <w:lastRenderedPageBreak/>
        <w:t>celebran y ejecutan contratos con las entidades estatales tendrán en cuenta que</w:t>
      </w:r>
      <w:r w:rsidRPr="00E97A27">
        <w:rPr>
          <w:rFonts w:ascii="Verdana" w:hAnsi="Verdana" w:cs="Arial"/>
          <w:color w:val="4B4949"/>
          <w:sz w:val="18"/>
          <w:szCs w:val="18"/>
        </w:rPr>
        <w:t xml:space="preserve"> </w:t>
      </w:r>
      <w:r w:rsidRPr="00E97A27">
        <w:rPr>
          <w:rFonts w:ascii="Verdana" w:eastAsia="Arial" w:hAnsi="Verdana"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2170FD37"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eastAsia="es-ES" w:bidi="es-ES"/>
        </w:rPr>
        <w:t xml:space="preserve">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06AEF3C9" w14:textId="77777777" w:rsidR="00DB2443" w:rsidRPr="00E97A27" w:rsidRDefault="00DB2443" w:rsidP="00DB244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00CB2078" w14:textId="77777777" w:rsidR="00DB2443" w:rsidRPr="007A65DE" w:rsidRDefault="00DB2443" w:rsidP="00DB2443">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A65DE">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2" w:anchor="25" w:history="1">
        <w:r w:rsidRPr="007A65DE">
          <w:rPr>
            <w:rFonts w:ascii="Verdana" w:hAnsi="Verdana" w:cs="Arial"/>
            <w:sz w:val="20"/>
            <w:szCs w:val="20"/>
            <w:lang w:val="es-ES" w:eastAsia="es-ES" w:bidi="es-ES"/>
          </w:rPr>
          <w:t>25</w:t>
        </w:r>
      </w:hyperlink>
      <w:r w:rsidRPr="007A65DE">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0BA942C9" w14:textId="77777777" w:rsidR="00DB2443" w:rsidRPr="00E97A27" w:rsidRDefault="00DB2443" w:rsidP="00DB244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7773CC6B" w14:textId="77777777" w:rsidR="00DB2443" w:rsidRPr="00E97A27" w:rsidRDefault="00DB2443" w:rsidP="00DB2443">
      <w:pPr>
        <w:autoSpaceDE w:val="0"/>
        <w:autoSpaceDN w:val="0"/>
        <w:adjustRightInd w:val="0"/>
        <w:spacing w:after="0" w:line="276" w:lineRule="auto"/>
        <w:ind w:firstLine="709"/>
        <w:jc w:val="both"/>
        <w:rPr>
          <w:rFonts w:ascii="Verdana" w:hAnsi="Verdana" w:cs="Arial"/>
        </w:rPr>
      </w:pPr>
      <w:r w:rsidRPr="00E97A27">
        <w:rPr>
          <w:rFonts w:ascii="Verdana" w:eastAsia="Arial" w:hAnsi="Verdana" w:cs="Arial"/>
          <w:color w:val="000000" w:themeColor="text1"/>
          <w:lang w:val="es-ES" w:eastAsia="es-ES" w:bidi="es-ES"/>
        </w:rPr>
        <w:t xml:space="preserve">Sobre el principio del equilibrio financiero del contrato, el Consejo de Estado ha señalado que </w:t>
      </w:r>
      <w:r w:rsidRPr="00E97A27">
        <w:rPr>
          <w:rFonts w:ascii="Verdana" w:eastAsia="Arial" w:hAnsi="Verdana" w:cs="Arial"/>
          <w:color w:val="000000" w:themeColor="text1"/>
          <w:lang w:eastAsia="es-ES" w:bidi="es-ES"/>
        </w:rPr>
        <w:t xml:space="preserve">consiste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8"/>
      </w:r>
      <w:r w:rsidRPr="00E97A27">
        <w:rPr>
          <w:rFonts w:ascii="Verdana" w:eastAsia="Arial" w:hAnsi="Verdana" w:cs="Arial"/>
          <w:color w:val="000000" w:themeColor="text1"/>
          <w:lang w:val="es-MX" w:eastAsia="es-ES" w:bidi="es-ES"/>
        </w:rPr>
        <w:t>. En concordancia, la doctrina ha indicado que con este</w:t>
      </w:r>
      <w:r w:rsidRPr="00E97A27">
        <w:rPr>
          <w:rFonts w:ascii="Verdana" w:hAnsi="Verdana" w:cs="Arial"/>
        </w:rPr>
        <w:t xml:space="preserve"> principio, también denominado </w:t>
      </w:r>
      <w:r>
        <w:rPr>
          <w:rFonts w:ascii="Verdana" w:eastAsia="Arial" w:hAnsi="Verdana" w:cs="Arial"/>
          <w:color w:val="000000" w:themeColor="text1"/>
          <w:lang w:val="es-MX" w:eastAsia="es-ES" w:bidi="es-ES"/>
        </w:rPr>
        <w:t>“</w:t>
      </w:r>
      <w:r w:rsidRPr="00E97A27">
        <w:rPr>
          <w:rFonts w:ascii="Verdana" w:hAnsi="Verdana" w:cs="Arial"/>
        </w:rPr>
        <w:t>el de la honesta equivalencia de prestaciones</w:t>
      </w:r>
      <w:r>
        <w:rPr>
          <w:rFonts w:ascii="Verdana" w:eastAsia="Arial" w:hAnsi="Verdana" w:cs="Arial"/>
          <w:color w:val="000000" w:themeColor="text1"/>
          <w:lang w:val="es-MX" w:eastAsia="es-ES" w:bidi="es-ES"/>
        </w:rPr>
        <w:t>”</w:t>
      </w:r>
      <w:r w:rsidRPr="00E97A27">
        <w:rPr>
          <w:rFonts w:ascii="Verdana" w:hAnsi="Verdana" w:cs="Arial"/>
        </w:rPr>
        <w:t xml:space="preserve">, se privilegia el </w:t>
      </w:r>
      <w:r w:rsidRPr="00E97A27">
        <w:rPr>
          <w:rFonts w:ascii="Verdana" w:hAnsi="Verdana" w:cs="Arial"/>
        </w:rPr>
        <w:lastRenderedPageBreak/>
        <w:t xml:space="preserve">carácter conmutativo o sinalagmático que, por regla general, tiene el contrato estatal, </w:t>
      </w:r>
      <w:r>
        <w:rPr>
          <w:rFonts w:ascii="Verdana" w:eastAsia="Arial" w:hAnsi="Verdana" w:cs="Arial"/>
          <w:color w:val="000000" w:themeColor="text1"/>
          <w:lang w:val="es-MX" w:eastAsia="es-ES" w:bidi="es-ES"/>
        </w:rPr>
        <w:t>“</w:t>
      </w:r>
      <w:r w:rsidRPr="00E97A27">
        <w:rPr>
          <w:rFonts w:ascii="Verdana" w:hAnsi="Verdana" w:cs="Arial"/>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9"/>
      </w:r>
      <w:r w:rsidRPr="00E97A27">
        <w:rPr>
          <w:rFonts w:ascii="Verdana" w:hAnsi="Verdana" w:cs="Arial"/>
        </w:rPr>
        <w:t xml:space="preserve">.  </w:t>
      </w:r>
    </w:p>
    <w:p w14:paraId="30762171"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MX" w:eastAsia="es-ES" w:bidi="es-ES"/>
        </w:rPr>
        <w:t xml:space="preserve">Conforme a lo anterior el equilibrio financiero del contrato se constituye en un principio medular de la contratación estatal que </w:t>
      </w:r>
      <w:r w:rsidRPr="00E97A27">
        <w:rPr>
          <w:rFonts w:ascii="Verdana" w:eastAsia="Arial" w:hAnsi="Verdana" w:cs="Arial"/>
          <w:color w:val="000000" w:themeColor="text1"/>
          <w:lang w:eastAsia="es-ES" w:bidi="es-ES"/>
        </w:rPr>
        <w:t xml:space="preserve">busca, precisamente, mantener las mismas condiciones </w:t>
      </w:r>
      <w:r w:rsidRPr="00E97A27">
        <w:rPr>
          <w:rFonts w:ascii="Verdana" w:eastAsia="Arial" w:hAnsi="Verdana"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3EEDB1CF"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E97A27">
        <w:rPr>
          <w:rFonts w:ascii="Verdana" w:eastAsia="Arial" w:hAnsi="Verdana" w:cs="Arial"/>
          <w:i/>
          <w:iCs/>
          <w:color w:val="000000" w:themeColor="text1"/>
          <w:lang w:val="es-ES" w:eastAsia="es-ES" w:bidi="es-ES"/>
        </w:rPr>
        <w:t>ibidem</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p>
    <w:p w14:paraId="3FCB3029"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E97A27">
        <w:rPr>
          <w:rFonts w:ascii="Verdana" w:eastAsia="Arial" w:hAnsi="Verdana" w:cs="Arial"/>
          <w:i/>
          <w:iCs/>
          <w:color w:val="000000" w:themeColor="text1"/>
          <w:lang w:val="es-ES" w:eastAsia="es-ES" w:bidi="es-ES"/>
        </w:rPr>
        <w:t>el equilibrio de la ecuación económica</w:t>
      </w:r>
      <w:r w:rsidRPr="00E97A27">
        <w:rPr>
          <w:rFonts w:ascii="Verdana" w:eastAsia="Arial" w:hAnsi="Verdana" w:cs="Arial"/>
          <w:color w:val="000000" w:themeColor="text1"/>
          <w:lang w:val="es-ES" w:eastAsia="es-ES" w:bidi="es-ES"/>
        </w:rPr>
        <w:t xml:space="preserve"> del contrato </w:t>
      </w:r>
      <w:r w:rsidRPr="00E97A27">
        <w:rPr>
          <w:rFonts w:ascii="Verdana" w:eastAsia="Arial" w:hAnsi="Verdana" w:cs="Arial"/>
          <w:color w:val="000000" w:themeColor="text1"/>
          <w:lang w:val="es-ES" w:eastAsia="es-ES" w:bidi="es-ES"/>
        </w:rPr>
        <w:lastRenderedPageBreak/>
        <w:t>por la ocurrencia de situaciones imprevistas que no sean imputables a los contratistas. Si dicho equilibrio se rompe por incumplimiento de la entidad estatal contratante, tendrá que restablecerse la ecuación surgida al momento del nacimiento del contrato.</w:t>
      </w:r>
    </w:p>
    <w:p w14:paraId="71036630" w14:textId="77777777" w:rsidR="00DB2443" w:rsidRPr="00E97A27" w:rsidRDefault="00DB2443" w:rsidP="00DB2443">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E97A27">
        <w:rPr>
          <w:rFonts w:ascii="Verdana" w:eastAsia="Arial" w:hAnsi="Verdana" w:cs="Arial"/>
          <w:i/>
          <w:iCs/>
          <w:color w:val="000000" w:themeColor="text1"/>
          <w:lang w:val="es-ES" w:eastAsia="es-ES" w:bidi="es-ES"/>
        </w:rPr>
        <w:t>la ecuación o equilibrio inicial.</w:t>
      </w:r>
    </w:p>
    <w:p w14:paraId="2A7442B7" w14:textId="77777777" w:rsidR="00DB2443" w:rsidRDefault="00DB2443" w:rsidP="00DB2443">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493022F3" w14:textId="77777777" w:rsidR="00DB2443" w:rsidRPr="00E97A27" w:rsidRDefault="00DB2443" w:rsidP="00DB2443">
      <w:pPr>
        <w:widowControl w:val="0"/>
        <w:autoSpaceDE w:val="0"/>
        <w:autoSpaceDN w:val="0"/>
        <w:spacing w:after="0" w:line="276" w:lineRule="auto"/>
        <w:ind w:firstLine="708"/>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56B98E28" w14:textId="77777777" w:rsidR="00DB2443" w:rsidRPr="00E97A27" w:rsidRDefault="00DB2443" w:rsidP="00DB244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278F721E" w14:textId="77777777" w:rsidR="00DB2443" w:rsidRPr="007A65DE" w:rsidRDefault="00DB2443" w:rsidP="00DB244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7A65DE">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4519BDB8" w14:textId="77777777" w:rsidR="00DB2443" w:rsidRPr="007A65DE" w:rsidRDefault="00DB2443" w:rsidP="00DB244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7A65DE">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07900700" w14:textId="77777777" w:rsidR="00DB2443" w:rsidRPr="007A65DE" w:rsidRDefault="00DB2443" w:rsidP="00DB2443">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7A65DE">
        <w:rPr>
          <w:rFonts w:ascii="Verdana" w:eastAsia="Arial" w:hAnsi="Verdana" w:cs="Arial"/>
          <w:color w:val="000000" w:themeColor="text1"/>
          <w:sz w:val="20"/>
          <w:szCs w:val="20"/>
          <w:lang w:val="es-ES" w:eastAsia="es-ES" w:bidi="es-ES"/>
        </w:rPr>
        <w:t xml:space="preserve">c) Factores exógenos a las partes del negocio, o ‘teoría de la imprevisión’, o ‘sujeciones materiales imprevistas’, que involucran circunstancias no imputables al Estado y externas al </w:t>
      </w:r>
      <w:proofErr w:type="gramStart"/>
      <w:r w:rsidRPr="007A65DE">
        <w:rPr>
          <w:rFonts w:ascii="Verdana" w:eastAsia="Arial" w:hAnsi="Verdana" w:cs="Arial"/>
          <w:color w:val="000000" w:themeColor="text1"/>
          <w:sz w:val="20"/>
          <w:szCs w:val="20"/>
          <w:lang w:val="es-ES" w:eastAsia="es-ES" w:bidi="es-ES"/>
        </w:rPr>
        <w:t>contrato</w:t>
      </w:r>
      <w:proofErr w:type="gramEnd"/>
      <w:r w:rsidRPr="007A65DE">
        <w:rPr>
          <w:rFonts w:ascii="Verdana" w:eastAsia="Arial" w:hAnsi="Verdana" w:cs="Arial"/>
          <w:color w:val="000000" w:themeColor="text1"/>
          <w:sz w:val="20"/>
          <w:szCs w:val="20"/>
          <w:lang w:val="es-ES" w:eastAsia="es-ES" w:bidi="es-ES"/>
        </w:rPr>
        <w:t xml:space="preserve"> pero con incidencia en él.</w:t>
      </w:r>
    </w:p>
    <w:p w14:paraId="3B694598" w14:textId="77777777" w:rsidR="00DB2443" w:rsidRPr="00E97A27" w:rsidRDefault="00DB2443" w:rsidP="00DB2443">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7A65DE">
        <w:rPr>
          <w:rFonts w:ascii="Verdana" w:eastAsia="Arial" w:hAnsi="Verdana" w:cs="Arial"/>
          <w:color w:val="000000" w:themeColor="text1"/>
          <w:sz w:val="20"/>
          <w:szCs w:val="20"/>
          <w:lang w:val="es-ES" w:eastAsia="es-ES" w:bidi="es-ES"/>
        </w:rPr>
        <w:t xml:space="preserve">En todos estos eventos surge la obligación de la administración contratante de auxiliar al contratista colaborador asumiendo mediante una </w:t>
      </w:r>
      <w:r w:rsidRPr="007A65DE">
        <w:rPr>
          <w:rFonts w:ascii="Verdana" w:eastAsia="Arial" w:hAnsi="Verdana" w:cs="Arial"/>
          <w:color w:val="000000" w:themeColor="text1"/>
          <w:sz w:val="20"/>
          <w:szCs w:val="20"/>
          <w:lang w:val="es-ES" w:eastAsia="es-ES" w:bidi="es-ES"/>
        </w:rPr>
        <w:lastRenderedPageBreak/>
        <w:t>compensación -llevarlo hasta el punto de no pérdida- o nace el deber de indemnizarlo integralmente, según el caso y si se cumplen los requisitos señalados para cada figura”</w:t>
      </w:r>
      <w:r w:rsidRPr="007A65DE">
        <w:rPr>
          <w:rStyle w:val="Refdenotaalpie"/>
          <w:rFonts w:ascii="Verdana" w:eastAsia="Arial" w:hAnsi="Verdana" w:cs="Arial"/>
          <w:color w:val="000000" w:themeColor="text1"/>
          <w:sz w:val="20"/>
          <w:szCs w:val="20"/>
          <w:lang w:val="es-ES" w:eastAsia="es-ES" w:bidi="es-ES"/>
        </w:rPr>
        <w:footnoteReference w:id="10"/>
      </w:r>
      <w:r w:rsidRPr="007A65DE">
        <w:rPr>
          <w:rFonts w:ascii="Verdana" w:eastAsia="Arial" w:hAnsi="Verdana" w:cs="Arial"/>
          <w:color w:val="000000" w:themeColor="text1"/>
          <w:sz w:val="20"/>
          <w:szCs w:val="20"/>
          <w:lang w:val="es-ES" w:eastAsia="es-ES" w:bidi="es-ES"/>
        </w:rPr>
        <w:t>.</w:t>
      </w:r>
    </w:p>
    <w:p w14:paraId="509FB3B5" w14:textId="77777777" w:rsidR="00DB2443" w:rsidRPr="00E97A27" w:rsidRDefault="00DB2443" w:rsidP="00DB2443">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19BDF847" w14:textId="77777777" w:rsidR="00DB2443" w:rsidRPr="00E97A27" w:rsidRDefault="00DB2443" w:rsidP="00DB2443">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E97A27">
        <w:rPr>
          <w:rStyle w:val="Refdenotaalpie"/>
          <w:rFonts w:ascii="Verdana" w:eastAsia="Arial" w:hAnsi="Verdana" w:cs="Arial"/>
          <w:color w:val="000000" w:themeColor="text1"/>
          <w:lang w:val="es-ES" w:eastAsia="es-ES" w:bidi="es-ES"/>
        </w:rPr>
        <w:footnoteReference w:id="11"/>
      </w:r>
      <w:r w:rsidRPr="00E97A27">
        <w:rPr>
          <w:rFonts w:ascii="Verdana" w:eastAsia="Arial" w:hAnsi="Verdana" w:cs="Arial"/>
          <w:color w:val="000000" w:themeColor="text1"/>
          <w:lang w:val="es-ES" w:eastAsia="es-ES" w:bidi="es-ES"/>
        </w:rPr>
        <w:t xml:space="preserve">. Además, es necesario que las reclamaciones para el restablecimiento se realicen en la oportunidad debida, de manera que </w:t>
      </w:r>
      <w:r w:rsidRPr="00E97A27">
        <w:rPr>
          <w:rFonts w:ascii="Verdana" w:eastAsia="Arial" w:hAnsi="Verdana" w:cs="Arial"/>
          <w:color w:val="000000" w:themeColor="text1"/>
          <w:lang w:eastAsia="es-ES" w:bidi="es-ES"/>
        </w:rPr>
        <w:t xml:space="preserve">si las solicitudes, o salvedades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12"/>
      </w:r>
      <w:r w:rsidRPr="00E97A27">
        <w:rPr>
          <w:rFonts w:ascii="Verdana" w:eastAsia="Arial" w:hAnsi="Verdana" w:cs="Arial"/>
          <w:color w:val="000000" w:themeColor="text1"/>
          <w:lang w:val="es-MX" w:eastAsia="es-ES" w:bidi="es-ES"/>
        </w:rPr>
        <w:t xml:space="preserve">. </w:t>
      </w:r>
    </w:p>
    <w:p w14:paraId="27EA873F"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6B53525A"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E97A27">
        <w:rPr>
          <w:rFonts w:ascii="Verdana" w:eastAsia="Arial" w:hAnsi="Verdana" w:cs="Arial"/>
          <w:color w:val="000000" w:themeColor="text1"/>
          <w:lang w:eastAsia="es-ES" w:bidi="es-ES"/>
        </w:rPr>
        <w:t xml:space="preserve"> cada caso el contenido del respectivo acuerdo y de sus antecedentes, para determinar el alcance de los otrosíes o de las actas de suspensión correspondientes</w:t>
      </w:r>
      <w:r w:rsidRPr="00E97A27">
        <w:rPr>
          <w:rStyle w:val="Refdenotaalpie"/>
          <w:rFonts w:ascii="Verdana" w:eastAsia="Arial" w:hAnsi="Verdana" w:cs="Arial"/>
          <w:color w:val="000000" w:themeColor="text1"/>
          <w:lang w:eastAsia="es-ES" w:bidi="es-ES"/>
        </w:rPr>
        <w:footnoteReference w:id="13"/>
      </w:r>
      <w:r w:rsidRPr="00E97A27">
        <w:rPr>
          <w:rFonts w:ascii="Verdana" w:eastAsia="Arial" w:hAnsi="Verdana" w:cs="Arial"/>
          <w:color w:val="000000" w:themeColor="text1"/>
          <w:lang w:eastAsia="es-ES" w:bidi="es-ES"/>
        </w:rPr>
        <w:t xml:space="preserve">. En tal sentido, con base en esta posición se considera que la inexistencia de una </w:t>
      </w:r>
      <w:r w:rsidRPr="00E97A27">
        <w:rPr>
          <w:rFonts w:ascii="Verdana" w:eastAsia="Arial" w:hAnsi="Verdana" w:cs="Arial"/>
          <w:color w:val="000000" w:themeColor="text1"/>
          <w:lang w:eastAsia="es-ES" w:bidi="es-ES"/>
        </w:rPr>
        <w:lastRenderedPageBreak/>
        <w:t xml:space="preserve">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E97A27">
        <w:rPr>
          <w:rFonts w:ascii="Verdana" w:hAnsi="Verdana" w:cs="Arial"/>
        </w:rPr>
        <w:t xml:space="preserve"> </w:t>
      </w:r>
      <w:r w:rsidRPr="00E97A27">
        <w:rPr>
          <w:rFonts w:ascii="Verdana" w:eastAsia="Arial" w:hAnsi="Verdana" w:cs="Arial"/>
          <w:color w:val="000000" w:themeColor="text1"/>
          <w:lang w:eastAsia="es-ES" w:bidi="es-ES"/>
        </w:rPr>
        <w:t>de tales situaciones, haya concurrido a suscribirlo, sin dejar alguna manifestación sobre la insuficiencia de ese acuerdo para satisfacer sus reclamaciones</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w:t>
      </w:r>
    </w:p>
    <w:p w14:paraId="768B380F"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55F290E8"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55ADFF0E"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Aunado a lo expuesto, la jurisprudencia resalta que la posibilidad de modificar los contratos estatales es una especial forma de hacer prevalecer la finalidad de este, en particular en aquellos contratos de largo plazo, como el de </w:t>
      </w:r>
      <w:r w:rsidRPr="00E97A27">
        <w:rPr>
          <w:rFonts w:ascii="Verdana" w:eastAsia="Arial" w:hAnsi="Verdana" w:cs="Arial"/>
          <w:color w:val="000000" w:themeColor="text1"/>
          <w:lang w:val="es-ES" w:eastAsia="es-ES" w:bidi="es-ES"/>
        </w:rPr>
        <w:lastRenderedPageBreak/>
        <w:t>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E97A27">
        <w:rPr>
          <w:rFonts w:ascii="Verdana" w:eastAsia="Arial" w:hAnsi="Verdana" w:cs="Arial"/>
          <w:lang w:val="es-ES" w:eastAsia="es-ES" w:bidi="es-ES"/>
        </w:rPr>
        <w:t xml:space="preserve"> es </w:t>
      </w:r>
      <w:r>
        <w:rPr>
          <w:rFonts w:ascii="Verdana" w:eastAsia="Arial" w:hAnsi="Verdana" w:cs="Arial"/>
          <w:color w:val="000000" w:themeColor="text1"/>
          <w:lang w:val="es-MX" w:eastAsia="es-ES" w:bidi="es-ES"/>
        </w:rPr>
        <w:t>“</w:t>
      </w:r>
      <w:r w:rsidRPr="00E97A27">
        <w:rPr>
          <w:rFonts w:ascii="Verdana" w:eastAsia="Arial" w:hAnsi="Verdana" w:cs="Arial"/>
          <w:lang w:val="es-ES" w:eastAsia="es-ES" w:bidi="es-ES"/>
        </w:rPr>
        <w:t>preciso entonces el diseño de reglas que permitan la adaptación y la resolución pacífica de las controversias para evitar el fracaso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14"/>
      </w:r>
      <w:r w:rsidRPr="00E97A27">
        <w:rPr>
          <w:rFonts w:ascii="Verdana" w:eastAsia="Arial" w:hAnsi="Verdana" w:cs="Arial"/>
          <w:lang w:val="es-ES" w:eastAsia="es-ES" w:bidi="es-ES"/>
        </w:rPr>
        <w:t>.</w:t>
      </w:r>
      <w:r w:rsidRPr="00E97A27">
        <w:rPr>
          <w:rFonts w:ascii="Verdana" w:eastAsia="Arial" w:hAnsi="Verdana" w:cs="Arial"/>
          <w:sz w:val="21"/>
          <w:szCs w:val="21"/>
          <w:lang w:val="es-ES" w:eastAsia="es-ES" w:bidi="es-ES"/>
        </w:rPr>
        <w:t xml:space="preserve"> </w:t>
      </w:r>
    </w:p>
    <w:p w14:paraId="0F1E8FB6" w14:textId="77777777" w:rsidR="00DB2443" w:rsidRPr="00E97A27"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En armonía con lo anterior, la doctrina ha señalado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E97A27">
        <w:rPr>
          <w:rFonts w:ascii="Verdana" w:eastAsia="Arial" w:hAnsi="Verdana" w:cs="Arial"/>
          <w:color w:val="000000" w:themeColor="text1"/>
          <w:lang w:val="es-ES" w:eastAsia="es-ES" w:bidi="es-ES"/>
        </w:rPr>
        <w:t>inc</w:t>
      </w:r>
      <w:proofErr w:type="spellEnd"/>
      <w:r w:rsidRPr="00E97A27">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ES" w:eastAsia="es-ES" w:bidi="es-ES"/>
        </w:rPr>
        <w:footnoteReference w:id="15"/>
      </w:r>
      <w:r w:rsidRPr="00E97A27">
        <w:rPr>
          <w:rFonts w:ascii="Verdana" w:eastAsia="Arial" w:hAnsi="Verdana" w:cs="Arial"/>
          <w:color w:val="000000" w:themeColor="text1"/>
          <w:lang w:val="es-ES" w:eastAsia="es-ES" w:bidi="es-ES"/>
        </w:rPr>
        <w:t xml:space="preserve">. </w:t>
      </w:r>
    </w:p>
    <w:p w14:paraId="227BE181" w14:textId="77777777" w:rsidR="00DB2443" w:rsidRDefault="00DB2443" w:rsidP="00DB2443">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Así la cosas,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p>
    <w:p w14:paraId="0586E809" w14:textId="77777777" w:rsidR="00DB2443" w:rsidRDefault="00DB2443" w:rsidP="00DB2443">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23805067" w14:textId="77777777" w:rsidR="00DB2443" w:rsidRPr="006A39AF" w:rsidRDefault="00DB2443" w:rsidP="00DB2443">
      <w:pPr>
        <w:widowControl w:val="0"/>
        <w:autoSpaceDE w:val="0"/>
        <w:autoSpaceDN w:val="0"/>
        <w:spacing w:after="120" w:line="276" w:lineRule="auto"/>
        <w:jc w:val="both"/>
        <w:rPr>
          <w:rFonts w:ascii="Verdana" w:eastAsia="Arial" w:hAnsi="Verdana" w:cs="Arial"/>
          <w:color w:val="000000" w:themeColor="text1"/>
          <w:lang w:val="es-ES" w:eastAsia="es-ES" w:bidi="es-ES"/>
        </w:rPr>
      </w:pPr>
      <w:proofErr w:type="spellStart"/>
      <w:r>
        <w:rPr>
          <w:rFonts w:ascii="Verdana" w:eastAsia="Arial" w:hAnsi="Verdana" w:cs="Arial"/>
          <w:color w:val="000000" w:themeColor="text1"/>
          <w:lang w:val="es-ES" w:eastAsia="es-ES" w:bidi="es-ES"/>
        </w:rPr>
        <w:t>iii</w:t>
      </w:r>
      <w:proofErr w:type="spellEnd"/>
      <w:r>
        <w:rPr>
          <w:rFonts w:ascii="Verdana" w:eastAsia="Arial" w:hAnsi="Verdana" w:cs="Arial"/>
          <w:color w:val="000000" w:themeColor="text1"/>
          <w:lang w:val="es-ES" w:eastAsia="es-ES" w:bidi="es-ES"/>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los reconocimientos económicos derivados del desequilibrio en el contrato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C993C90" w14:textId="77777777" w:rsidR="00DB2443" w:rsidRDefault="00DB2443" w:rsidP="00DB2443">
      <w:pPr>
        <w:spacing w:after="120" w:line="276" w:lineRule="auto"/>
        <w:ind w:firstLine="709"/>
        <w:jc w:val="both"/>
        <w:rPr>
          <w:rFonts w:ascii="Verdana" w:eastAsia="Calibri" w:hAnsi="Verdana" w:cs="Arial"/>
          <w:bCs/>
          <w:color w:val="000000" w:themeColor="text1"/>
        </w:rPr>
      </w:pPr>
      <w:r w:rsidRPr="00301910">
        <w:rPr>
          <w:rFonts w:ascii="Verdana" w:hAnsi="Verdana" w:cs="Arial"/>
          <w:lang w:eastAsia="es-ES"/>
        </w:rPr>
        <w:lastRenderedPageBreak/>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 xml:space="preserve">relacionado </w:t>
      </w:r>
      <w:r>
        <w:rPr>
          <w:rFonts w:ascii="Verdana" w:hAnsi="Verdana" w:cs="Arial"/>
          <w:lang w:eastAsia="es-ES"/>
        </w:rPr>
        <w:t>con las situaciones susceptibles de calificarse como “imposibilidad sobreviniente”, así como el impacto de las modificaciones sobre el principio de planeación y legalidad del gasto</w:t>
      </w:r>
      <w:r w:rsidRPr="00301910">
        <w:rPr>
          <w:rFonts w:ascii="Verdana" w:hAnsi="Verdana" w:cs="Arial"/>
          <w:lang w:eastAsia="es-ES"/>
        </w:rPr>
        <w:t>.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r w:rsidRPr="00E853DE">
        <w:rPr>
          <w:rFonts w:ascii="Verdana" w:eastAsia="Calibri" w:hAnsi="Verdana" w:cs="Arial"/>
          <w:bCs/>
          <w:color w:val="000000" w:themeColor="text1"/>
        </w:rPr>
        <w:t>.</w:t>
      </w:r>
      <w:r w:rsidRPr="00185EE9">
        <w:rPr>
          <w:rFonts w:ascii="Verdana" w:eastAsia="Calibri" w:hAnsi="Verdana" w:cs="Arial"/>
          <w:bCs/>
          <w:color w:val="000000" w:themeColor="text1"/>
        </w:rPr>
        <w:t xml:space="preserve"> </w:t>
      </w:r>
    </w:p>
    <w:p w14:paraId="6DB51C2E" w14:textId="77777777" w:rsidR="00DB2443" w:rsidRPr="00185EE9" w:rsidRDefault="00DB2443" w:rsidP="00DB2443">
      <w:pPr>
        <w:spacing w:after="0" w:line="276" w:lineRule="auto"/>
        <w:ind w:firstLine="708"/>
        <w:jc w:val="both"/>
        <w:rPr>
          <w:rFonts w:ascii="Verdana" w:eastAsia="Calibri" w:hAnsi="Verdana" w:cs="Arial"/>
          <w:bCs/>
          <w:color w:val="000000" w:themeColor="text1"/>
        </w:rPr>
      </w:pPr>
      <w:r w:rsidRPr="00C41FA7">
        <w:rPr>
          <w:rFonts w:ascii="Verdana" w:eastAsia="Calibri" w:hAnsi="Verdana" w:cs="Arial"/>
          <w:bCs/>
          <w:color w:val="000000" w:themeColor="text1"/>
        </w:rPr>
        <w:t xml:space="preserve">Por las mismas razones, tampoco existen conceptos de la ANCP – CCE sobre el tratamiento contractual de hechos sobrevinientes que afectan condiciones pactadas en la etapa precontractual, especialmente, en lo relacionado con los anticipos o fuentes de financiación condicionadas.  </w:t>
      </w:r>
    </w:p>
    <w:p w14:paraId="5806EF92" w14:textId="77777777" w:rsidR="00DB2443" w:rsidRPr="008415A2" w:rsidRDefault="00DB2443" w:rsidP="00DB2443">
      <w:pPr>
        <w:spacing w:after="0" w:line="276" w:lineRule="auto"/>
        <w:jc w:val="both"/>
        <w:rPr>
          <w:rFonts w:ascii="Verdana" w:hAnsi="Verdana"/>
        </w:rPr>
      </w:pPr>
      <w:r>
        <w:rPr>
          <w:rFonts w:ascii="Verdana" w:hAnsi="Verdana"/>
        </w:rPr>
        <w:t xml:space="preserve"> </w:t>
      </w:r>
    </w:p>
    <w:p w14:paraId="1D218C3B" w14:textId="77777777" w:rsidR="00DB2443" w:rsidRPr="00593A5F" w:rsidRDefault="00DB2443" w:rsidP="00DB24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B0D8542" w14:textId="77777777" w:rsidR="00DB2443" w:rsidRPr="00593A5F" w:rsidRDefault="00DB2443" w:rsidP="00DB244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2443" w:rsidRPr="002407CE" w14:paraId="50C1CA5D" w14:textId="77777777" w:rsidTr="003B43F3">
        <w:trPr>
          <w:trHeight w:val="870"/>
          <w:jc w:val="center"/>
        </w:trPr>
        <w:tc>
          <w:tcPr>
            <w:tcW w:w="8647" w:type="dxa"/>
          </w:tcPr>
          <w:p w14:paraId="40BDF5F1" w14:textId="77777777" w:rsidR="00DB2443" w:rsidRDefault="00DB2443" w:rsidP="003B43F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 4, 5, 14, 27, 40 y 41.</w:t>
            </w:r>
          </w:p>
          <w:p w14:paraId="5290E488" w14:textId="77777777" w:rsidR="00DB2443" w:rsidRDefault="00DB2443" w:rsidP="003B43F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91.</w:t>
            </w:r>
          </w:p>
          <w:p w14:paraId="1B9C2846" w14:textId="77777777" w:rsidR="00DB2443" w:rsidRPr="000F7403" w:rsidRDefault="00DB2443" w:rsidP="003B43F3">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 </w:t>
            </w:r>
            <w:r w:rsidRPr="00C41FA7">
              <w:rPr>
                <w:rFonts w:ascii="Verdana" w:hAnsi="Verdana" w:cs="Arial"/>
              </w:rPr>
              <w:t>2.2.1.2.3.1.7</w:t>
            </w:r>
            <w:r>
              <w:rPr>
                <w:rFonts w:ascii="Verdana" w:hAnsi="Verdana" w:cs="Arial"/>
              </w:rPr>
              <w:t>.</w:t>
            </w:r>
          </w:p>
        </w:tc>
      </w:tr>
    </w:tbl>
    <w:p w14:paraId="357D2FD2" w14:textId="77777777" w:rsidR="00DB2443" w:rsidRPr="002407CE" w:rsidRDefault="00DB2443" w:rsidP="00DB2443">
      <w:pPr>
        <w:widowControl w:val="0"/>
        <w:autoSpaceDE w:val="0"/>
        <w:autoSpaceDN w:val="0"/>
        <w:spacing w:after="0" w:line="276" w:lineRule="auto"/>
        <w:jc w:val="both"/>
        <w:rPr>
          <w:rFonts w:ascii="Verdana" w:hAnsi="Verdana" w:cs="Arial"/>
        </w:rPr>
      </w:pPr>
    </w:p>
    <w:p w14:paraId="1EA0638F" w14:textId="77777777" w:rsidR="00DB2443" w:rsidRPr="00593A5F" w:rsidRDefault="00DB2443" w:rsidP="00DB24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A181761" w14:textId="77777777" w:rsidR="00DB2443" w:rsidRPr="00593A5F" w:rsidRDefault="00DB2443" w:rsidP="00DB2443">
      <w:pPr>
        <w:widowControl w:val="0"/>
        <w:autoSpaceDE w:val="0"/>
        <w:autoSpaceDN w:val="0"/>
        <w:spacing w:after="0" w:line="276" w:lineRule="auto"/>
        <w:jc w:val="both"/>
        <w:rPr>
          <w:rFonts w:ascii="Verdana" w:hAnsi="Verdana" w:cs="Arial"/>
        </w:rPr>
      </w:pPr>
    </w:p>
    <w:p w14:paraId="5945A114" w14:textId="77777777" w:rsidR="00DB2443" w:rsidRPr="00ED0098" w:rsidRDefault="00DB2443" w:rsidP="00DB2443">
      <w:pPr>
        <w:widowControl w:val="0"/>
        <w:autoSpaceDE w:val="0"/>
        <w:autoSpaceDN w:val="0"/>
        <w:spacing w:after="0" w:line="276" w:lineRule="auto"/>
        <w:jc w:val="both"/>
        <w:rPr>
          <w:rStyle w:val="normaltextrun"/>
          <w:rFonts w:ascii="Verdana" w:hAnsi="Verdana" w:cs="Arial"/>
          <w:shd w:val="clear" w:color="auto" w:fill="FFFFFF"/>
        </w:rPr>
      </w:pP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w:t>
      </w:r>
      <w:r>
        <w:rPr>
          <w:rFonts w:ascii="Verdana" w:hAnsi="Verdana" w:cs="Arial"/>
          <w:shd w:val="clear" w:color="auto" w:fill="FFFFFF"/>
        </w:rPr>
        <w:t xml:space="preserve"> conceptos de la Subdirección</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F4168FC" w14:textId="77777777" w:rsidR="00DB2443" w:rsidRPr="00096788" w:rsidRDefault="00DB2443" w:rsidP="00DB2443">
      <w:pPr>
        <w:widowControl w:val="0"/>
        <w:autoSpaceDE w:val="0"/>
        <w:autoSpaceDN w:val="0"/>
        <w:spacing w:after="0" w:line="276" w:lineRule="auto"/>
        <w:jc w:val="both"/>
        <w:rPr>
          <w:rFonts w:ascii="Verdana" w:hAnsi="Verdana" w:cs="Arial"/>
          <w:color w:val="000000" w:themeColor="text1"/>
          <w:shd w:val="clear" w:color="auto" w:fill="FFFFFF"/>
        </w:rPr>
      </w:pPr>
    </w:p>
    <w:p w14:paraId="6B657AE3" w14:textId="77777777" w:rsidR="00DB2443" w:rsidRPr="001205D1" w:rsidRDefault="00DB2443" w:rsidP="00DB2443">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032009">
        <w:rPr>
          <w:rFonts w:ascii="Verdana" w:hAnsi="Verdana"/>
          <w:color w:val="000000"/>
        </w:rPr>
        <w:lastRenderedPageBreak/>
        <w:t xml:space="preserve">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F285386" w14:textId="77777777" w:rsidR="00DB2443" w:rsidRPr="009C4035" w:rsidRDefault="00DB2443" w:rsidP="00DB2443">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918F54D" w14:textId="77777777" w:rsidR="00DB2443" w:rsidRPr="00593A5F" w:rsidRDefault="00DB2443" w:rsidP="00DB244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D87589A" w14:textId="77777777" w:rsidR="00DB2443" w:rsidRPr="00593A5F" w:rsidRDefault="00DB2443" w:rsidP="00DB2443">
      <w:pPr>
        <w:widowControl w:val="0"/>
        <w:autoSpaceDE w:val="0"/>
        <w:autoSpaceDN w:val="0"/>
        <w:spacing w:after="0" w:line="276" w:lineRule="auto"/>
        <w:jc w:val="both"/>
        <w:rPr>
          <w:rFonts w:ascii="Verdana" w:hAnsi="Verdana" w:cs="Arial"/>
        </w:rPr>
      </w:pPr>
    </w:p>
    <w:p w14:paraId="1C5EC651" w14:textId="77777777" w:rsidR="00DB2443" w:rsidRPr="00593A5F" w:rsidRDefault="00DB2443" w:rsidP="00DB244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EAD801" w14:textId="043BD631" w:rsidR="00DB2443" w:rsidRPr="00593A5F" w:rsidRDefault="007463B9" w:rsidP="00DB2443">
      <w:pPr>
        <w:spacing w:line="276" w:lineRule="auto"/>
        <w:jc w:val="center"/>
        <w:rPr>
          <w:rFonts w:ascii="Verdana" w:hAnsi="Verdana" w:cs="Arial"/>
          <w:color w:val="000000"/>
          <w:lang w:val="es-ES_tradnl" w:eastAsia="es-CO"/>
        </w:rPr>
      </w:pPr>
      <w:r>
        <w:rPr>
          <w:noProof/>
        </w:rPr>
        <w:drawing>
          <wp:inline distT="0" distB="0" distL="0" distR="0" wp14:anchorId="0694B640" wp14:editId="12205B5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2443" w:rsidRPr="00593A5F" w14:paraId="3014F146" w14:textId="77777777" w:rsidTr="003B43F3">
        <w:trPr>
          <w:trHeight w:val="315"/>
        </w:trPr>
        <w:tc>
          <w:tcPr>
            <w:tcW w:w="893" w:type="dxa"/>
            <w:vAlign w:val="center"/>
            <w:hideMark/>
          </w:tcPr>
          <w:p w14:paraId="1E6DA29D" w14:textId="77777777" w:rsidR="00DB2443" w:rsidRPr="003751C7" w:rsidRDefault="00DB2443" w:rsidP="003B43F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042B70" w14:textId="77777777" w:rsidR="00DB2443" w:rsidRPr="00254A7A" w:rsidRDefault="00DB2443" w:rsidP="003B43F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E034FB1" w14:textId="77777777" w:rsidR="00DB2443" w:rsidRPr="00254A7A" w:rsidRDefault="00DB2443" w:rsidP="003B43F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B2443" w:rsidRPr="00593A5F" w14:paraId="7EC0284D" w14:textId="77777777" w:rsidTr="003B43F3">
        <w:trPr>
          <w:trHeight w:val="330"/>
        </w:trPr>
        <w:tc>
          <w:tcPr>
            <w:tcW w:w="893" w:type="dxa"/>
            <w:vAlign w:val="center"/>
            <w:hideMark/>
          </w:tcPr>
          <w:p w14:paraId="2E78D835" w14:textId="77777777" w:rsidR="00DB2443" w:rsidRPr="003751C7" w:rsidRDefault="00DB2443" w:rsidP="003B43F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D0B318F" w14:textId="77777777" w:rsidR="00DB2443" w:rsidRPr="001B6B73" w:rsidRDefault="00DB2443" w:rsidP="003B43F3">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61791FA7" w14:textId="77777777" w:rsidR="00DB2443" w:rsidRPr="00254A7A" w:rsidRDefault="00DB2443" w:rsidP="003B43F3">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DB2443" w:rsidRPr="00593A5F" w14:paraId="72F07172" w14:textId="77777777" w:rsidTr="003B43F3">
        <w:trPr>
          <w:trHeight w:val="300"/>
        </w:trPr>
        <w:tc>
          <w:tcPr>
            <w:tcW w:w="893" w:type="dxa"/>
            <w:vAlign w:val="center"/>
          </w:tcPr>
          <w:p w14:paraId="2CD6FB9F" w14:textId="77777777" w:rsidR="00DB2443" w:rsidRPr="003751C7" w:rsidRDefault="00DB2443" w:rsidP="003B43F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E7FE0F2" w14:textId="77777777" w:rsidR="00DB2443" w:rsidRPr="003751C7" w:rsidRDefault="00DB2443" w:rsidP="003B43F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AE58A1E" w14:textId="77777777" w:rsidR="00DB2443" w:rsidRPr="003751C7" w:rsidRDefault="00DB2443" w:rsidP="003B43F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D3D065F" w14:textId="77777777" w:rsidR="00DB2443" w:rsidRPr="00543BFE" w:rsidRDefault="00DB2443" w:rsidP="00DB2443"/>
    <w:p w14:paraId="792A29D3" w14:textId="77777777" w:rsidR="00DB2443" w:rsidRPr="00B36323" w:rsidRDefault="00DB2443" w:rsidP="00DB2443"/>
    <w:p w14:paraId="0F293BF4" w14:textId="4DD261D7" w:rsidR="00127233" w:rsidRPr="003041C9" w:rsidRDefault="00127233" w:rsidP="00DB2443"/>
    <w:sectPr w:rsidR="00127233" w:rsidRPr="003041C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9516D" w14:textId="77777777" w:rsidR="0068689D" w:rsidRDefault="0068689D" w:rsidP="004A1847">
      <w:pPr>
        <w:spacing w:after="0" w:line="240" w:lineRule="auto"/>
      </w:pPr>
      <w:r>
        <w:separator/>
      </w:r>
    </w:p>
  </w:endnote>
  <w:endnote w:type="continuationSeparator" w:id="0">
    <w:p w14:paraId="5B3EE0AF" w14:textId="77777777" w:rsidR="0068689D" w:rsidRDefault="0068689D" w:rsidP="004A1847">
      <w:pPr>
        <w:spacing w:after="0" w:line="240" w:lineRule="auto"/>
      </w:pPr>
      <w:r>
        <w:continuationSeparator/>
      </w:r>
    </w:p>
  </w:endnote>
  <w:endnote w:type="continuationNotice" w:id="1">
    <w:p w14:paraId="775F7E56" w14:textId="77777777" w:rsidR="0068689D" w:rsidRDefault="00686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15D7" w14:textId="77777777" w:rsidR="0068689D" w:rsidRDefault="0068689D" w:rsidP="004A1847">
      <w:pPr>
        <w:spacing w:after="0" w:line="240" w:lineRule="auto"/>
      </w:pPr>
      <w:r>
        <w:separator/>
      </w:r>
    </w:p>
  </w:footnote>
  <w:footnote w:type="continuationSeparator" w:id="0">
    <w:p w14:paraId="49BB8589" w14:textId="77777777" w:rsidR="0068689D" w:rsidRDefault="0068689D" w:rsidP="004A1847">
      <w:pPr>
        <w:spacing w:after="0" w:line="240" w:lineRule="auto"/>
      </w:pPr>
      <w:r>
        <w:continuationSeparator/>
      </w:r>
    </w:p>
  </w:footnote>
  <w:footnote w:type="continuationNotice" w:id="1">
    <w:p w14:paraId="7AAF60FF" w14:textId="77777777" w:rsidR="0068689D" w:rsidRDefault="0068689D">
      <w:pPr>
        <w:spacing w:after="0" w:line="240" w:lineRule="auto"/>
      </w:pPr>
    </w:p>
  </w:footnote>
  <w:footnote w:id="2">
    <w:p w14:paraId="380DF994" w14:textId="77777777" w:rsidR="00DB2443" w:rsidRPr="00984E13" w:rsidRDefault="00DB2443" w:rsidP="00DB2443">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eastAsia="Calibri" w:hAnsi="Verdana" w:cs="Arial"/>
          <w:color w:val="000000" w:themeColor="text1"/>
          <w:sz w:val="16"/>
          <w:szCs w:val="16"/>
          <w:lang w:val="es-ES"/>
        </w:rPr>
        <w:t>“</w:t>
      </w:r>
      <w:r w:rsidRPr="00984E13">
        <w:rPr>
          <w:rFonts w:ascii="Verdana" w:hAnsi="Verdana" w:cs="Arial"/>
          <w:sz w:val="16"/>
          <w:szCs w:val="16"/>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Pr>
          <w:rFonts w:ascii="Verdana" w:eastAsia="Calibri" w:hAnsi="Verdana" w:cs="Arial"/>
          <w:color w:val="000000" w:themeColor="text1"/>
          <w:sz w:val="16"/>
          <w:szCs w:val="16"/>
          <w:lang w:val="es-ES"/>
        </w:rPr>
        <w:t>”</w:t>
      </w:r>
      <w:r w:rsidRPr="00984E13">
        <w:rPr>
          <w:rFonts w:ascii="Verdana" w:eastAsia="Calibri" w:hAnsi="Verdana" w:cs="Arial"/>
          <w:color w:val="000000" w:themeColor="text1"/>
          <w:sz w:val="16"/>
          <w:szCs w:val="16"/>
          <w:lang w:val="es-ES"/>
        </w:rPr>
        <w:t>.</w:t>
      </w:r>
      <w:r w:rsidRPr="00984E13">
        <w:rPr>
          <w:rFonts w:ascii="Verdana" w:hAnsi="Verdana" w:cs="Arial"/>
          <w:sz w:val="16"/>
          <w:szCs w:val="16"/>
        </w:rPr>
        <w:t xml:space="preserve"> Citado en CONSEJO DE ESTADO. Sala de lo Contencioso Administrativo. Sección Tercera – Subsección A. Sentencia del 16 de mayo de 2019. Rad. (40102). C.P: María Adriana Marín [cita No. 35]. </w:t>
      </w:r>
    </w:p>
  </w:footnote>
  <w:footnote w:id="3">
    <w:p w14:paraId="0B2C818E" w14:textId="77777777" w:rsidR="00DB2443" w:rsidRPr="00984E13" w:rsidRDefault="00DB2443" w:rsidP="00DB2443">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CONSEJO DE ESTADO. Sala de lo Contencioso Administrativo. Sección Tercera – Subsección A. Sentencia del 16 de mayo de 2019. Rad. (40102). C.P: María Adriana Marín</w:t>
      </w:r>
    </w:p>
  </w:footnote>
  <w:footnote w:id="4">
    <w:p w14:paraId="4572CF72" w14:textId="77777777" w:rsidR="00DB2443" w:rsidRPr="00984E13" w:rsidRDefault="00DB2443" w:rsidP="00DB2443">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CONSEJO DE ESTADO. Sala de lo Contencioso Administrativo. Sección Tercera – Subsección C. Sentencia del 2 de octubre del 2020. Rad. 63644. CP. Jaime Enrique Rodríguez Nava. </w:t>
      </w:r>
    </w:p>
  </w:footnote>
  <w:footnote w:id="5">
    <w:p w14:paraId="608D1E5B" w14:textId="77777777" w:rsidR="00DB2443" w:rsidRPr="00984E13" w:rsidRDefault="00DB2443" w:rsidP="00DB2443">
      <w:pPr>
        <w:pStyle w:val="Textonotapie"/>
        <w:ind w:firstLine="709"/>
        <w:jc w:val="both"/>
        <w:rPr>
          <w:rFonts w:ascii="Verdana" w:hAnsi="Verdana" w:cs="Arial"/>
          <w:color w:val="000000" w:themeColor="text1"/>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color w:val="000000" w:themeColor="text1"/>
          <w:sz w:val="16"/>
          <w:szCs w:val="16"/>
          <w:lang w:val="es-ES"/>
        </w:rPr>
        <w:t>CONSEJO DE ESTADO. Sección Tercera. Sentencia de 22 de junio de 2001. Exp. 13436, C.P. Ricardo Hoyos Duque</w:t>
      </w:r>
    </w:p>
  </w:footnote>
  <w:footnote w:id="6">
    <w:p w14:paraId="20D27003" w14:textId="77777777" w:rsidR="00DB2443" w:rsidRPr="00984E13" w:rsidRDefault="00DB2443" w:rsidP="00DB2443">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hAnsi="Verdana" w:cs="Arial"/>
          <w:sz w:val="16"/>
          <w:szCs w:val="16"/>
        </w:rPr>
        <w:t>“</w:t>
      </w:r>
      <w:r w:rsidRPr="00984E13">
        <w:rPr>
          <w:rFonts w:ascii="Verdana" w:hAnsi="Verdana" w:cs="Arial"/>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Pr>
          <w:rFonts w:ascii="Verdana" w:eastAsia="Calibri" w:hAnsi="Verdana" w:cs="Arial"/>
          <w:color w:val="000000" w:themeColor="text1"/>
          <w:sz w:val="16"/>
          <w:szCs w:val="16"/>
          <w:lang w:val="es-ES"/>
        </w:rPr>
        <w:t>”</w:t>
      </w:r>
      <w:r w:rsidRPr="00984E13">
        <w:rPr>
          <w:rFonts w:ascii="Verdana" w:eastAsia="Calibri" w:hAnsi="Verdana" w:cs="Arial"/>
          <w:color w:val="000000" w:themeColor="text1"/>
          <w:sz w:val="16"/>
          <w:szCs w:val="16"/>
          <w:lang w:val="es-ES"/>
        </w:rPr>
        <w:t xml:space="preserve"> (</w:t>
      </w:r>
      <w:r w:rsidRPr="00984E13">
        <w:rPr>
          <w:rFonts w:ascii="Verdana" w:hAnsi="Verdana" w:cs="Arial"/>
          <w:sz w:val="16"/>
          <w:szCs w:val="16"/>
        </w:rPr>
        <w:t xml:space="preserve">EXPÓSITO VÉLEZ, Juan Carlos. Forma y contenido del contrato estatal. Bogotá: Universidad Externado de Colombia, 2013, p. 165-166). De igual manera, se ha expuesto que </w:t>
      </w:r>
      <w:r>
        <w:rPr>
          <w:rFonts w:ascii="Verdana" w:hAnsi="Verdana" w:cs="Arial"/>
          <w:sz w:val="16"/>
          <w:szCs w:val="16"/>
        </w:rPr>
        <w:t>“</w:t>
      </w:r>
      <w:r w:rsidRPr="00984E13">
        <w:rPr>
          <w:rFonts w:ascii="Verdana" w:hAnsi="Verdana" w:cs="Arial"/>
          <w:sz w:val="16"/>
          <w:szCs w:val="16"/>
        </w:rPr>
        <w:t>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Pr>
          <w:rFonts w:ascii="Verdana" w:eastAsia="Calibri" w:hAnsi="Verdana" w:cs="Arial"/>
          <w:color w:val="000000" w:themeColor="text1"/>
          <w:sz w:val="16"/>
          <w:szCs w:val="16"/>
          <w:lang w:val="es-ES"/>
        </w:rPr>
        <w:t>”</w:t>
      </w:r>
      <w:r w:rsidRPr="00984E13">
        <w:rPr>
          <w:rFonts w:ascii="Verdana" w:hAnsi="Verdana" w:cs="Arial"/>
          <w:sz w:val="16"/>
          <w:szCs w:val="16"/>
        </w:rPr>
        <w:t xml:space="preserve"> (MATALLANA CAMACHO, Ernesto. Manual de Contratación de la Administración Pública. Reforma de la Ley 80 de 1993. Cuarta edición. Bogotá: Universidad Externado de Colombia, 2015. p. 921 y ss).</w:t>
      </w:r>
    </w:p>
  </w:footnote>
  <w:footnote w:id="7">
    <w:p w14:paraId="441FEC98" w14:textId="77777777" w:rsidR="00DB2443" w:rsidRPr="00984E13" w:rsidRDefault="00DB2443" w:rsidP="00DB2443">
      <w:pPr>
        <w:spacing w:after="0" w:line="240" w:lineRule="auto"/>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CONSEJO DE ESTADO. Sala Plena. Sentencia del 8 de agosto de 2001. Exp. AC-10966 - AC-11274. Consejero Ponente: Reinaldo Chavarro Buriticá.</w:t>
      </w:r>
    </w:p>
  </w:footnote>
  <w:footnote w:id="8">
    <w:p w14:paraId="17C46454" w14:textId="77777777" w:rsidR="00DB2443" w:rsidRPr="00E97A27" w:rsidRDefault="00DB2443" w:rsidP="00DB2443">
      <w:pPr>
        <w:pStyle w:val="Textonotapie"/>
        <w:ind w:firstLine="709"/>
        <w:jc w:val="both"/>
        <w:rPr>
          <w:rFonts w:ascii="Verdana" w:hAnsi="Verdana" w:cs="Arial"/>
          <w:color w:val="000000" w:themeColor="text1"/>
          <w:sz w:val="16"/>
          <w:szCs w:val="16"/>
        </w:rPr>
      </w:pPr>
      <w:r w:rsidRPr="00E97A27">
        <w:rPr>
          <w:rStyle w:val="Refdenotaalpie"/>
          <w:rFonts w:ascii="Verdana" w:hAnsi="Verdana" w:cs="Arial"/>
          <w:sz w:val="16"/>
          <w:szCs w:val="16"/>
        </w:rPr>
        <w:footnoteRef/>
      </w:r>
      <w:r w:rsidRPr="00E97A27">
        <w:rPr>
          <w:rFonts w:ascii="Verdana" w:hAnsi="Verdana" w:cs="Arial"/>
          <w:sz w:val="16"/>
          <w:szCs w:val="16"/>
        </w:rPr>
        <w:t xml:space="preserve"> </w:t>
      </w:r>
      <w:r w:rsidRPr="00E97A27">
        <w:rPr>
          <w:rFonts w:ascii="Verdana" w:hAnsi="Verdana" w:cs="Arial"/>
          <w:color w:val="000000" w:themeColor="text1"/>
          <w:sz w:val="16"/>
          <w:szCs w:val="16"/>
        </w:rPr>
        <w:t xml:space="preserve">Consejo de Estado. Sentencia del 28 de junio de 2012. Rad. Nro. 21990. C.P: Ruth Stella Correa Palacio. </w:t>
      </w:r>
    </w:p>
  </w:footnote>
  <w:footnote w:id="9">
    <w:p w14:paraId="6449AD93" w14:textId="77777777" w:rsidR="00DB2443" w:rsidRPr="00E97A27" w:rsidRDefault="00DB2443" w:rsidP="00DB2443">
      <w:pPr>
        <w:pStyle w:val="Textonotapie"/>
        <w:ind w:firstLine="709"/>
        <w:jc w:val="both"/>
        <w:rPr>
          <w:rFonts w:ascii="Verdana" w:hAnsi="Verdana" w:cs="Arial"/>
          <w:iCs/>
          <w:sz w:val="16"/>
          <w:szCs w:val="16"/>
        </w:rPr>
      </w:pPr>
      <w:r w:rsidRPr="00E97A27">
        <w:rPr>
          <w:rStyle w:val="Refdenotaalpie"/>
          <w:rFonts w:ascii="Verdana" w:hAnsi="Verdana" w:cs="Arial"/>
          <w:sz w:val="16"/>
          <w:szCs w:val="16"/>
        </w:rPr>
        <w:footnoteRef/>
      </w:r>
      <w:r w:rsidRPr="00E97A27">
        <w:rPr>
          <w:rFonts w:ascii="Verdana" w:hAnsi="Verdana" w:cs="Arial"/>
          <w:sz w:val="16"/>
          <w:szCs w:val="16"/>
        </w:rPr>
        <w:t xml:space="preserve"> </w:t>
      </w:r>
      <w:r w:rsidRPr="00E97A27">
        <w:rPr>
          <w:rFonts w:ascii="Verdana" w:hAnsi="Verdana" w:cs="Arial"/>
          <w:iCs/>
          <w:sz w:val="16"/>
          <w:szCs w:val="16"/>
          <w:lang w:val="es-CO"/>
        </w:rPr>
        <w:t xml:space="preserve">IBAÑEZ NAJAR, Jorge Enrique. </w:t>
      </w:r>
      <w:r w:rsidRPr="00E97A27">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E97A27">
        <w:rPr>
          <w:rFonts w:ascii="Verdana" w:hAnsi="Verdana" w:cs="Arial"/>
          <w:iCs/>
          <w:sz w:val="16"/>
          <w:szCs w:val="16"/>
          <w:lang w:val="es-CO"/>
        </w:rPr>
        <w:t>y la jurisprudencia. En: PALACIO JARAMILLO, María Teresa (editora académica). Contratos Estatales. Tomo II. 2022. Bogotá: Universidad del Rosario. P. 630</w:t>
      </w:r>
    </w:p>
  </w:footnote>
  <w:footnote w:id="10">
    <w:p w14:paraId="7994D00B" w14:textId="77777777" w:rsidR="00DB2443" w:rsidRPr="00E97A27" w:rsidRDefault="00DB2443" w:rsidP="00DB2443">
      <w:pPr>
        <w:pStyle w:val="Textonotapie"/>
        <w:ind w:firstLine="709"/>
        <w:jc w:val="both"/>
        <w:rPr>
          <w:rFonts w:ascii="Verdana" w:hAnsi="Verdana" w:cs="Arial"/>
          <w:sz w:val="16"/>
          <w:szCs w:val="16"/>
          <w:lang w:val="es-CO"/>
        </w:rPr>
      </w:pPr>
      <w:r w:rsidRPr="00E97A27">
        <w:rPr>
          <w:rStyle w:val="Refdenotaalpie"/>
          <w:rFonts w:ascii="Verdana" w:hAnsi="Verdana" w:cs="Arial"/>
          <w:sz w:val="16"/>
          <w:szCs w:val="16"/>
        </w:rPr>
        <w:footnoteRef/>
      </w:r>
      <w:r w:rsidRPr="00E97A27">
        <w:rPr>
          <w:rFonts w:ascii="Verdana" w:hAnsi="Verdana" w:cs="Arial"/>
          <w:sz w:val="16"/>
          <w:szCs w:val="16"/>
        </w:rPr>
        <w:t xml:space="preserve">  Consejo de Estado. Sección Tercera. Sentencia del 31 de agosto de 2011. Exp. 18.080. CP.: Ruth Stella Correa Palacio. Reiterada en </w:t>
      </w:r>
      <w:r w:rsidRPr="00E97A27">
        <w:rPr>
          <w:rFonts w:ascii="Verdana" w:hAnsi="Verdana" w:cs="Arial"/>
          <w:sz w:val="16"/>
          <w:szCs w:val="16"/>
          <w:lang w:val="es-CO"/>
        </w:rPr>
        <w:t xml:space="preserve">Sentencia del 8 de febrero de 2012. Exp. 20344. </w:t>
      </w:r>
      <w:r w:rsidRPr="00E97A27">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11">
    <w:p w14:paraId="5CFE288F" w14:textId="77777777" w:rsidR="00DB2443" w:rsidRPr="009B27A5" w:rsidRDefault="00DB2443" w:rsidP="00DB2443">
      <w:pPr>
        <w:pStyle w:val="Textonotapie"/>
        <w:ind w:firstLine="708"/>
        <w:jc w:val="both"/>
        <w:rPr>
          <w:rFonts w:ascii="Verdana" w:hAnsi="Verdana" w:cs="Arial"/>
          <w:sz w:val="16"/>
          <w:szCs w:val="16"/>
          <w:lang w:val="pt-BR"/>
        </w:rPr>
      </w:pPr>
      <w:r w:rsidRPr="00E97A27">
        <w:rPr>
          <w:rStyle w:val="Refdenotaalpie"/>
          <w:rFonts w:ascii="Verdana" w:hAnsi="Verdana" w:cs="Arial"/>
          <w:sz w:val="16"/>
          <w:szCs w:val="16"/>
        </w:rPr>
        <w:footnoteRef/>
      </w:r>
      <w:r w:rsidRPr="00E97A27">
        <w:rPr>
          <w:rFonts w:ascii="Verdana" w:hAnsi="Verdana" w:cs="Arial"/>
          <w:sz w:val="16"/>
          <w:szCs w:val="16"/>
        </w:rPr>
        <w:t xml:space="preserve"> Consejo de Estado. Sección Tercera. Sentencia del 29 de enero de 2018. </w:t>
      </w:r>
      <w:r w:rsidRPr="009B27A5">
        <w:rPr>
          <w:rFonts w:ascii="Verdana" w:hAnsi="Verdana" w:cs="Arial"/>
          <w:sz w:val="16"/>
          <w:szCs w:val="16"/>
          <w:lang w:val="pt-BR"/>
        </w:rPr>
        <w:t>Exp. 52.666 CP.: Jaime Orlando Santofimio Gamboa.</w:t>
      </w:r>
    </w:p>
  </w:footnote>
  <w:footnote w:id="12">
    <w:p w14:paraId="1D66EBD0" w14:textId="77777777" w:rsidR="00DB2443" w:rsidRPr="009B27A5" w:rsidRDefault="00DB2443" w:rsidP="00DB2443">
      <w:pPr>
        <w:pStyle w:val="Textonotapie"/>
        <w:ind w:firstLine="708"/>
        <w:jc w:val="both"/>
        <w:rPr>
          <w:rFonts w:ascii="Verdana" w:hAnsi="Verdana" w:cs="Arial"/>
          <w:sz w:val="16"/>
          <w:szCs w:val="16"/>
          <w:lang w:val="pt-BR"/>
        </w:rPr>
      </w:pPr>
      <w:r w:rsidRPr="00E97A27">
        <w:rPr>
          <w:rStyle w:val="Refdenotaalpie"/>
          <w:rFonts w:ascii="Verdana" w:hAnsi="Verdana" w:cs="Arial"/>
          <w:sz w:val="16"/>
          <w:szCs w:val="16"/>
        </w:rPr>
        <w:footnoteRef/>
      </w:r>
      <w:r w:rsidRPr="009B27A5">
        <w:rPr>
          <w:rFonts w:ascii="Verdana" w:hAnsi="Verdana" w:cs="Arial"/>
          <w:sz w:val="16"/>
          <w:szCs w:val="16"/>
          <w:lang w:val="pt-BR"/>
        </w:rPr>
        <w:t xml:space="preserve"> Ibidem </w:t>
      </w:r>
    </w:p>
  </w:footnote>
  <w:footnote w:id="13">
    <w:p w14:paraId="107159B1" w14:textId="77777777" w:rsidR="00DB2443" w:rsidRPr="009B27A5" w:rsidRDefault="00DB2443" w:rsidP="00DB2443">
      <w:pPr>
        <w:pStyle w:val="Textonotapie"/>
        <w:ind w:firstLine="708"/>
        <w:jc w:val="both"/>
        <w:rPr>
          <w:rFonts w:ascii="Verdana" w:hAnsi="Verdana" w:cs="Arial"/>
          <w:sz w:val="16"/>
          <w:szCs w:val="16"/>
          <w:lang w:val="pt-BR"/>
        </w:rPr>
      </w:pPr>
      <w:r w:rsidRPr="00E97A27">
        <w:rPr>
          <w:rStyle w:val="Refdenotaalpie"/>
          <w:rFonts w:ascii="Verdana" w:hAnsi="Verdana" w:cs="Arial"/>
          <w:sz w:val="16"/>
          <w:szCs w:val="16"/>
        </w:rPr>
        <w:footnoteRef/>
      </w:r>
      <w:r w:rsidRPr="009B27A5">
        <w:rPr>
          <w:rFonts w:ascii="Verdana" w:hAnsi="Verdana" w:cs="Arial"/>
          <w:sz w:val="16"/>
          <w:szCs w:val="16"/>
          <w:lang w:val="pt-BR"/>
        </w:rPr>
        <w:t xml:space="preserve"> Consejo de Estado. </w:t>
      </w:r>
      <w:r w:rsidRPr="00E97A27">
        <w:rPr>
          <w:rFonts w:ascii="Verdana" w:hAnsi="Verdana" w:cs="Arial"/>
          <w:sz w:val="16"/>
          <w:szCs w:val="16"/>
        </w:rPr>
        <w:t>Sección Tercera.</w:t>
      </w:r>
      <w:r w:rsidRPr="00E97A27">
        <w:rPr>
          <w:rFonts w:ascii="Verdana" w:hAnsi="Verdana" w:cs="Arial"/>
          <w:sz w:val="16"/>
          <w:szCs w:val="16"/>
          <w:lang w:val="es-CO"/>
        </w:rPr>
        <w:t xml:space="preserve"> Subsección A.</w:t>
      </w:r>
      <w:r w:rsidRPr="00E97A27">
        <w:rPr>
          <w:rFonts w:ascii="Verdana" w:hAnsi="Verdana" w:cs="Arial"/>
          <w:sz w:val="16"/>
          <w:szCs w:val="16"/>
        </w:rPr>
        <w:t xml:space="preserve"> Sentencia del 6 de julio de 2022. Exp. 54.319 CP.: María Adriana Marín. Ver también: </w:t>
      </w:r>
      <w:r w:rsidRPr="00E97A27">
        <w:rPr>
          <w:rFonts w:ascii="Verdana" w:hAnsi="Verdana" w:cs="Arial"/>
          <w:sz w:val="16"/>
          <w:szCs w:val="16"/>
          <w:lang w:val="es-CO"/>
        </w:rPr>
        <w:t xml:space="preserve">Consejo de Estado. Sección Tercera. Subsección A. Sentencia del 3 de junio de 2022. Exp. 53299. </w:t>
      </w:r>
      <w:r w:rsidRPr="009B27A5">
        <w:rPr>
          <w:rFonts w:ascii="Verdana" w:hAnsi="Verdana" w:cs="Arial"/>
          <w:sz w:val="16"/>
          <w:szCs w:val="16"/>
          <w:lang w:val="pt-BR"/>
        </w:rPr>
        <w:t>C.P.: José Roberto Sáchica Méndez</w:t>
      </w:r>
    </w:p>
  </w:footnote>
  <w:footnote w:id="14">
    <w:p w14:paraId="678A8795" w14:textId="77777777" w:rsidR="00DB2443" w:rsidRPr="009B27A5" w:rsidRDefault="00DB2443" w:rsidP="00DB2443">
      <w:pPr>
        <w:pStyle w:val="Textonotapie"/>
        <w:ind w:firstLine="709"/>
        <w:jc w:val="both"/>
        <w:rPr>
          <w:rFonts w:ascii="Verdana" w:hAnsi="Verdana" w:cs="Arial"/>
          <w:sz w:val="16"/>
          <w:szCs w:val="16"/>
          <w:lang w:val="pt-BR" w:bidi="es-ES"/>
        </w:rPr>
      </w:pPr>
      <w:r w:rsidRPr="00E97A27">
        <w:rPr>
          <w:rStyle w:val="Refdenotaalpie"/>
          <w:rFonts w:ascii="Verdana" w:hAnsi="Verdana" w:cs="Arial"/>
          <w:sz w:val="16"/>
          <w:szCs w:val="16"/>
        </w:rPr>
        <w:footnoteRef/>
      </w:r>
      <w:r w:rsidRPr="009B27A5">
        <w:rPr>
          <w:rFonts w:ascii="Verdana" w:hAnsi="Verdana" w:cs="Arial"/>
          <w:sz w:val="16"/>
          <w:szCs w:val="16"/>
          <w:lang w:val="pt-BR"/>
        </w:rPr>
        <w:t xml:space="preserve"> </w:t>
      </w:r>
      <w:r w:rsidRPr="009B27A5">
        <w:rPr>
          <w:rFonts w:ascii="Verdana" w:hAnsi="Verdana" w:cs="Arial"/>
          <w:sz w:val="16"/>
          <w:szCs w:val="16"/>
          <w:lang w:val="pt-BR" w:bidi="es-ES"/>
        </w:rPr>
        <w:t xml:space="preserve">Corte Constitucional. Sentencia C-416 de 2012. </w:t>
      </w:r>
    </w:p>
  </w:footnote>
  <w:footnote w:id="15">
    <w:p w14:paraId="48804661" w14:textId="77777777" w:rsidR="00DB2443" w:rsidRPr="00E97A27" w:rsidRDefault="00DB2443" w:rsidP="00DB2443">
      <w:pPr>
        <w:pStyle w:val="Textonotapie"/>
        <w:ind w:firstLine="709"/>
        <w:jc w:val="both"/>
        <w:rPr>
          <w:rFonts w:ascii="Verdana" w:hAnsi="Verdana" w:cs="Arial"/>
          <w:sz w:val="16"/>
          <w:szCs w:val="16"/>
          <w:lang w:val="es-CO"/>
        </w:rPr>
      </w:pPr>
      <w:r w:rsidRPr="00E97A27">
        <w:rPr>
          <w:rStyle w:val="Refdenotaalpie"/>
          <w:rFonts w:ascii="Verdana" w:hAnsi="Verdana" w:cs="Arial"/>
          <w:sz w:val="16"/>
          <w:szCs w:val="16"/>
        </w:rPr>
        <w:footnoteRef/>
      </w:r>
      <w:r w:rsidRPr="00E97A27">
        <w:rPr>
          <w:rFonts w:ascii="Verdana" w:hAnsi="Verdana" w:cs="Arial"/>
          <w:sz w:val="16"/>
          <w:szCs w:val="16"/>
        </w:rPr>
        <w:t xml:space="preserve"> EXPÓSITO VÉLEZ, Juan Carlos. </w:t>
      </w:r>
      <w:r w:rsidRPr="00E97A27">
        <w:rPr>
          <w:rFonts w:ascii="Verdana" w:hAnsi="Verdana" w:cs="Arial"/>
          <w:sz w:val="16"/>
          <w:szCs w:val="16"/>
          <w:lang w:val="es-CO"/>
        </w:rPr>
        <w:t xml:space="preserve">Formas, formalidades y contenido del contrato estatal. Serie de derecho administrativo Nro. 34. Universidad Externado de Colombia.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556"/>
    <w:rsid w:val="00046945"/>
    <w:rsid w:val="000579D5"/>
    <w:rsid w:val="00061B2A"/>
    <w:rsid w:val="00082362"/>
    <w:rsid w:val="000A683E"/>
    <w:rsid w:val="000B19B9"/>
    <w:rsid w:val="000D0334"/>
    <w:rsid w:val="000E6AE4"/>
    <w:rsid w:val="000F6486"/>
    <w:rsid w:val="00107FCE"/>
    <w:rsid w:val="00125105"/>
    <w:rsid w:val="00127233"/>
    <w:rsid w:val="00133EB5"/>
    <w:rsid w:val="001E4177"/>
    <w:rsid w:val="001F7DC6"/>
    <w:rsid w:val="00200CC7"/>
    <w:rsid w:val="002421BB"/>
    <w:rsid w:val="0025796E"/>
    <w:rsid w:val="002707A2"/>
    <w:rsid w:val="00274BA1"/>
    <w:rsid w:val="002845A8"/>
    <w:rsid w:val="002951A0"/>
    <w:rsid w:val="002962BC"/>
    <w:rsid w:val="002A093D"/>
    <w:rsid w:val="002A0DD0"/>
    <w:rsid w:val="002A49AC"/>
    <w:rsid w:val="002A64FD"/>
    <w:rsid w:val="002C2E73"/>
    <w:rsid w:val="002C7A84"/>
    <w:rsid w:val="002E4FD9"/>
    <w:rsid w:val="002E7A8B"/>
    <w:rsid w:val="003041C9"/>
    <w:rsid w:val="00310362"/>
    <w:rsid w:val="00322A85"/>
    <w:rsid w:val="00324168"/>
    <w:rsid w:val="003448F4"/>
    <w:rsid w:val="00374F5E"/>
    <w:rsid w:val="00377E3E"/>
    <w:rsid w:val="003A779E"/>
    <w:rsid w:val="003C2794"/>
    <w:rsid w:val="003D0F4D"/>
    <w:rsid w:val="003D5B0D"/>
    <w:rsid w:val="003E0499"/>
    <w:rsid w:val="003F3941"/>
    <w:rsid w:val="00406575"/>
    <w:rsid w:val="00414C74"/>
    <w:rsid w:val="0042722E"/>
    <w:rsid w:val="0044528D"/>
    <w:rsid w:val="00460C5F"/>
    <w:rsid w:val="004A1847"/>
    <w:rsid w:val="004A305D"/>
    <w:rsid w:val="004F21C4"/>
    <w:rsid w:val="004F4F52"/>
    <w:rsid w:val="004F5A50"/>
    <w:rsid w:val="004F685F"/>
    <w:rsid w:val="005566E8"/>
    <w:rsid w:val="00574867"/>
    <w:rsid w:val="00591460"/>
    <w:rsid w:val="005A3CF8"/>
    <w:rsid w:val="005C3777"/>
    <w:rsid w:val="005C5CDC"/>
    <w:rsid w:val="005D476C"/>
    <w:rsid w:val="005E0AA5"/>
    <w:rsid w:val="00615EBD"/>
    <w:rsid w:val="006219F8"/>
    <w:rsid w:val="006302F7"/>
    <w:rsid w:val="00665D70"/>
    <w:rsid w:val="00667D3E"/>
    <w:rsid w:val="0068689D"/>
    <w:rsid w:val="006900D9"/>
    <w:rsid w:val="006901F5"/>
    <w:rsid w:val="006A760C"/>
    <w:rsid w:val="00706C16"/>
    <w:rsid w:val="00737606"/>
    <w:rsid w:val="007463B9"/>
    <w:rsid w:val="00756841"/>
    <w:rsid w:val="007649AB"/>
    <w:rsid w:val="00771D0C"/>
    <w:rsid w:val="007833AC"/>
    <w:rsid w:val="007A0178"/>
    <w:rsid w:val="007B268C"/>
    <w:rsid w:val="007B7171"/>
    <w:rsid w:val="007C0C0F"/>
    <w:rsid w:val="007C3DC2"/>
    <w:rsid w:val="007E5497"/>
    <w:rsid w:val="00806F5F"/>
    <w:rsid w:val="00820278"/>
    <w:rsid w:val="00826C26"/>
    <w:rsid w:val="00867F95"/>
    <w:rsid w:val="008843B6"/>
    <w:rsid w:val="00891928"/>
    <w:rsid w:val="00897A3A"/>
    <w:rsid w:val="008A446D"/>
    <w:rsid w:val="008B08B2"/>
    <w:rsid w:val="008D180B"/>
    <w:rsid w:val="008F0EA7"/>
    <w:rsid w:val="00923EEF"/>
    <w:rsid w:val="009419F9"/>
    <w:rsid w:val="0095685E"/>
    <w:rsid w:val="00961B09"/>
    <w:rsid w:val="00963C4B"/>
    <w:rsid w:val="00965334"/>
    <w:rsid w:val="0097093E"/>
    <w:rsid w:val="00977E0A"/>
    <w:rsid w:val="009A0DFA"/>
    <w:rsid w:val="009B25A8"/>
    <w:rsid w:val="009B27A5"/>
    <w:rsid w:val="009B2D26"/>
    <w:rsid w:val="009C71FA"/>
    <w:rsid w:val="009C72E7"/>
    <w:rsid w:val="009D3058"/>
    <w:rsid w:val="009F3A13"/>
    <w:rsid w:val="00A122D3"/>
    <w:rsid w:val="00A17F13"/>
    <w:rsid w:val="00A20739"/>
    <w:rsid w:val="00A33C78"/>
    <w:rsid w:val="00AA6E3B"/>
    <w:rsid w:val="00AB0ADB"/>
    <w:rsid w:val="00B00C0E"/>
    <w:rsid w:val="00B01B1A"/>
    <w:rsid w:val="00B15A2A"/>
    <w:rsid w:val="00B349C9"/>
    <w:rsid w:val="00B44A47"/>
    <w:rsid w:val="00B72CD3"/>
    <w:rsid w:val="00B72FFF"/>
    <w:rsid w:val="00B8705B"/>
    <w:rsid w:val="00B94DCF"/>
    <w:rsid w:val="00BC3D36"/>
    <w:rsid w:val="00BD3520"/>
    <w:rsid w:val="00BD7F72"/>
    <w:rsid w:val="00C04FB3"/>
    <w:rsid w:val="00C062C2"/>
    <w:rsid w:val="00C330EB"/>
    <w:rsid w:val="00C754BE"/>
    <w:rsid w:val="00C76B1C"/>
    <w:rsid w:val="00CB6357"/>
    <w:rsid w:val="00CC1B26"/>
    <w:rsid w:val="00D423A2"/>
    <w:rsid w:val="00D520D8"/>
    <w:rsid w:val="00D63AC2"/>
    <w:rsid w:val="00D7383B"/>
    <w:rsid w:val="00D8429A"/>
    <w:rsid w:val="00D93A58"/>
    <w:rsid w:val="00DA231B"/>
    <w:rsid w:val="00DA761D"/>
    <w:rsid w:val="00DB2443"/>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404D"/>
    <w:rsid w:val="00EF2D2E"/>
    <w:rsid w:val="00EF70D4"/>
    <w:rsid w:val="00F166E8"/>
    <w:rsid w:val="00F31EDC"/>
    <w:rsid w:val="00F462B3"/>
    <w:rsid w:val="00F5664F"/>
    <w:rsid w:val="00F666C4"/>
    <w:rsid w:val="00F76AFC"/>
    <w:rsid w:val="00FA47C0"/>
    <w:rsid w:val="00FB5DD1"/>
    <w:rsid w:val="00FC1010"/>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B24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B2443"/>
    <w:rPr>
      <w:rFonts w:ascii="Geomanist Light" w:hAnsi="Geomanist Light"/>
      <w:lang w:val="es-ES"/>
    </w:rPr>
  </w:style>
  <w:style w:type="paragraph" w:styleId="Textoindependiente">
    <w:name w:val="Body Text"/>
    <w:basedOn w:val="Normal"/>
    <w:link w:val="TextoindependienteCar"/>
    <w:uiPriority w:val="1"/>
    <w:qFormat/>
    <w:rsid w:val="00DB2443"/>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B2443"/>
    <w:rPr>
      <w:rFonts w:ascii="Verdana" w:eastAsia="Verdana" w:hAnsi="Verdana" w:cs="Verdana"/>
      <w:lang w:val="es-ES"/>
    </w:rPr>
  </w:style>
  <w:style w:type="character" w:customStyle="1" w:styleId="NormalWebCar">
    <w:name w:val="Normal (Web) Car"/>
    <w:link w:val="NormalWeb"/>
    <w:uiPriority w:val="99"/>
    <w:locked/>
    <w:rsid w:val="00DB244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tasofia@santasofia.com.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BECABBBA-DBDB-471A-AD9A-6F34D10FA79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7169</Words>
  <Characters>39430</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46506</CharactersWithSpaces>
  <SharedDoc>false</SharedDoc>
  <HLinks>
    <vt:vector size="24" baseType="variant">
      <vt:variant>
        <vt:i4>7995518</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786452</vt:i4>
      </vt:variant>
      <vt:variant>
        <vt:i4>3</vt:i4>
      </vt:variant>
      <vt:variant>
        <vt:i4>0</vt:i4>
      </vt:variant>
      <vt:variant>
        <vt:i4>5</vt:i4>
      </vt:variant>
      <vt:variant>
        <vt:lpwstr>http://www.secretariasenado.gov.co/senado/basedoc/ley_0080_1993.html</vt:lpwstr>
      </vt:variant>
      <vt:variant>
        <vt:lpwstr>25</vt:lpwstr>
      </vt:variant>
      <vt:variant>
        <vt:i4>5505086</vt:i4>
      </vt:variant>
      <vt:variant>
        <vt:i4>0</vt:i4>
      </vt:variant>
      <vt:variant>
        <vt:i4>0</vt:i4>
      </vt:variant>
      <vt:variant>
        <vt:i4>5</vt:i4>
      </vt:variant>
      <vt:variant>
        <vt:lpwstr>mailto:santasofia@santasofia.com.co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2025-10-16T03:58:00Z</dcterms:created>
  <dcterms:modified xsi:type="dcterms:W3CDTF">2025-10-16T21:41:00Z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