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3D1440" w14:textId="77777777" w:rsidR="00453BFB" w:rsidRPr="004E7E1E" w:rsidRDefault="00453BFB" w:rsidP="00453BFB">
      <w:pPr>
        <w:spacing w:after="0" w:line="240" w:lineRule="auto"/>
        <w:jc w:val="both"/>
        <w:rPr>
          <w:rFonts w:ascii="Verdana" w:eastAsia="Arial MT" w:hAnsi="Verdana" w:cs="Arial MT"/>
          <w:b/>
          <w:bCs/>
          <w:lang w:val="es-ES_tradnl"/>
        </w:rPr>
      </w:pPr>
      <w:bookmarkStart w:id="0" w:name="_Hlk181166130"/>
      <w:bookmarkStart w:id="1" w:name="_Hlk209714638"/>
      <w:r w:rsidRPr="004E7E1E">
        <w:rPr>
          <w:rFonts w:ascii="Verdana" w:eastAsia="Arial MT" w:hAnsi="Verdana" w:cs="Arial MT"/>
          <w:b/>
          <w:bCs/>
          <w:lang w:val="es-ES_tradnl"/>
        </w:rPr>
        <w:t>PRECIOS ARTIFICIALMENTE BAJOS – Noción –</w:t>
      </w:r>
      <w:r>
        <w:rPr>
          <w:rFonts w:ascii="Verdana" w:eastAsia="Arial MT" w:hAnsi="Verdana" w:cs="Arial MT"/>
          <w:b/>
          <w:bCs/>
          <w:lang w:val="es-ES_tradnl"/>
        </w:rPr>
        <w:t xml:space="preserve"> </w:t>
      </w:r>
      <w:r w:rsidRPr="004E7E1E">
        <w:rPr>
          <w:rFonts w:ascii="Verdana" w:eastAsia="Arial MT" w:hAnsi="Verdana" w:cs="Arial MT"/>
          <w:b/>
          <w:bCs/>
          <w:lang w:val="es-ES_tradnl"/>
        </w:rPr>
        <w:t xml:space="preserve">Deber de las entidades estatales </w:t>
      </w:r>
    </w:p>
    <w:p w14:paraId="6A3EC0B3" w14:textId="77777777" w:rsidR="00453BFB" w:rsidRPr="004E7E1E" w:rsidRDefault="00453BFB" w:rsidP="00453BFB">
      <w:pPr>
        <w:spacing w:after="0" w:line="240" w:lineRule="auto"/>
        <w:jc w:val="both"/>
        <w:rPr>
          <w:rFonts w:ascii="Verdana" w:eastAsia="Arial MT" w:hAnsi="Verdana" w:cs="Arial MT"/>
          <w:b/>
          <w:bCs/>
          <w:sz w:val="20"/>
          <w:szCs w:val="20"/>
          <w:lang w:val="es-ES_tradnl"/>
        </w:rPr>
      </w:pPr>
    </w:p>
    <w:p w14:paraId="047390FC" w14:textId="77777777" w:rsidR="00453BFB" w:rsidRPr="004E7E1E" w:rsidRDefault="00453BFB" w:rsidP="00453BFB">
      <w:pPr>
        <w:spacing w:after="0" w:line="240" w:lineRule="auto"/>
        <w:jc w:val="both"/>
        <w:rPr>
          <w:rFonts w:ascii="Verdana" w:eastAsia="Arial" w:hAnsi="Verdana" w:cs="Arial"/>
          <w:sz w:val="20"/>
          <w:szCs w:val="20"/>
          <w:lang w:val="es-ES" w:eastAsia="es-ES" w:bidi="es-ES"/>
        </w:rPr>
      </w:pPr>
      <w:r w:rsidRPr="004E7E1E">
        <w:rPr>
          <w:rFonts w:ascii="Verdana" w:eastAsia="Arial" w:hAnsi="Verdana" w:cs="Arial"/>
          <w:sz w:val="20"/>
          <w:szCs w:val="20"/>
          <w:lang w:val="es-ES" w:eastAsia="es-ES" w:bidi="es-ES"/>
        </w:rPr>
        <w:t>La Ley 80 de 1993, en el artículo 26, numeral 6, indica como una de las manifestaciones del principio de responsabilidad que los contratistas respondan cuando formulen propuestas en las que se fijen condiciones económicas y de contratación artificialmente bajas con el propósito de obtener la adjudicación del contrato.</w:t>
      </w:r>
    </w:p>
    <w:p w14:paraId="608DD3FC" w14:textId="77777777" w:rsidR="00453BFB" w:rsidRPr="004E7E1E" w:rsidRDefault="00453BFB" w:rsidP="00453BFB">
      <w:pPr>
        <w:spacing w:after="0" w:line="240" w:lineRule="auto"/>
        <w:jc w:val="both"/>
        <w:rPr>
          <w:rFonts w:ascii="Verdana" w:eastAsia="Arial MT" w:hAnsi="Verdana" w:cs="Arial MT"/>
          <w:bCs/>
          <w:sz w:val="20"/>
          <w:szCs w:val="20"/>
          <w:lang w:val="es-ES"/>
        </w:rPr>
      </w:pPr>
      <w:r w:rsidRPr="004E7E1E">
        <w:rPr>
          <w:rFonts w:ascii="Verdana" w:eastAsia="Arial MT" w:hAnsi="Verdana" w:cs="Arial MT"/>
          <w:bCs/>
          <w:sz w:val="20"/>
          <w:szCs w:val="20"/>
          <w:lang w:val="es-ES"/>
        </w:rPr>
        <w:t>[…]</w:t>
      </w:r>
    </w:p>
    <w:p w14:paraId="3C0A4C7B" w14:textId="77777777" w:rsidR="00453BFB" w:rsidRPr="004E7E1E" w:rsidRDefault="00453BFB" w:rsidP="00453BFB">
      <w:pPr>
        <w:spacing w:after="0" w:line="240" w:lineRule="auto"/>
        <w:jc w:val="both"/>
        <w:rPr>
          <w:rFonts w:ascii="Verdana" w:eastAsia="Calibri" w:hAnsi="Verdana" w:cs="Arial"/>
          <w:sz w:val="20"/>
          <w:szCs w:val="20"/>
          <w:lang w:val="es-ES"/>
        </w:rPr>
      </w:pPr>
      <w:r w:rsidRPr="004E7E1E">
        <w:rPr>
          <w:rFonts w:ascii="Verdana" w:eastAsia="Calibri" w:hAnsi="Verdana" w:cs="Arial"/>
          <w:sz w:val="20"/>
          <w:szCs w:val="20"/>
          <w:lang w:val="es-MX"/>
        </w:rPr>
        <w:t xml:space="preserve">Así pues, el artículo 2.2.1.1.2.2.4 ibidem, establece lo que debe hacer la entidad cuando el precio de una oferta parece artificialmente bajo, esto es: i) solicitar explicación al oferente, </w:t>
      </w:r>
      <w:proofErr w:type="spellStart"/>
      <w:r w:rsidRPr="004E7E1E">
        <w:rPr>
          <w:rFonts w:ascii="Verdana" w:eastAsia="Calibri" w:hAnsi="Verdana" w:cs="Arial"/>
          <w:sz w:val="20"/>
          <w:szCs w:val="20"/>
          <w:lang w:val="es-MX"/>
        </w:rPr>
        <w:t>ii</w:t>
      </w:r>
      <w:proofErr w:type="spellEnd"/>
      <w:r w:rsidRPr="004E7E1E">
        <w:rPr>
          <w:rFonts w:ascii="Verdana" w:eastAsia="Calibri" w:hAnsi="Verdana" w:cs="Arial"/>
          <w:sz w:val="20"/>
          <w:szCs w:val="20"/>
          <w:lang w:val="es-MX"/>
        </w:rPr>
        <w:t xml:space="preserve">) analizar las explicaciones del oferente, </w:t>
      </w:r>
      <w:proofErr w:type="spellStart"/>
      <w:r w:rsidRPr="004E7E1E">
        <w:rPr>
          <w:rFonts w:ascii="Verdana" w:eastAsia="Calibri" w:hAnsi="Verdana" w:cs="Arial"/>
          <w:sz w:val="20"/>
          <w:szCs w:val="20"/>
          <w:lang w:val="es-MX"/>
        </w:rPr>
        <w:t>iii</w:t>
      </w:r>
      <w:proofErr w:type="spellEnd"/>
      <w:r w:rsidRPr="004E7E1E">
        <w:rPr>
          <w:rFonts w:ascii="Verdana" w:eastAsia="Calibri" w:hAnsi="Verdana" w:cs="Arial"/>
          <w:sz w:val="20"/>
          <w:szCs w:val="20"/>
          <w:lang w:val="es-MX"/>
        </w:rPr>
        <w:t xml:space="preserve">) el responsable de la evaluación de las ofertas debe recomendar rechazar o continuar la evaluación de la oferta, y </w:t>
      </w:r>
      <w:proofErr w:type="spellStart"/>
      <w:r w:rsidRPr="004E7E1E">
        <w:rPr>
          <w:rFonts w:ascii="Verdana" w:eastAsia="Calibri" w:hAnsi="Verdana" w:cs="Arial"/>
          <w:sz w:val="20"/>
          <w:szCs w:val="20"/>
          <w:lang w:val="es-MX"/>
        </w:rPr>
        <w:t>iv</w:t>
      </w:r>
      <w:proofErr w:type="spellEnd"/>
      <w:r w:rsidRPr="004E7E1E">
        <w:rPr>
          <w:rFonts w:ascii="Verdana" w:eastAsia="Calibri" w:hAnsi="Verdana" w:cs="Arial"/>
          <w:sz w:val="20"/>
          <w:szCs w:val="20"/>
          <w:lang w:val="es-MX"/>
        </w:rPr>
        <w:t>) para la subasta inversa, lo anterior se debe hacer al finalizar el evento.</w:t>
      </w:r>
    </w:p>
    <w:p w14:paraId="7224CDAB" w14:textId="77777777" w:rsidR="00453BFB" w:rsidRPr="004E7E1E" w:rsidRDefault="00453BFB" w:rsidP="00453BFB">
      <w:pPr>
        <w:spacing w:after="0" w:line="240" w:lineRule="auto"/>
        <w:jc w:val="both"/>
        <w:rPr>
          <w:rFonts w:ascii="Verdana" w:eastAsia="Arial MT" w:hAnsi="Verdana" w:cs="Arial MT"/>
          <w:b/>
          <w:bCs/>
          <w:lang w:val="es-ES"/>
        </w:rPr>
      </w:pPr>
    </w:p>
    <w:p w14:paraId="08F301CD" w14:textId="77777777" w:rsidR="00453BFB" w:rsidRPr="004E7E1E" w:rsidRDefault="00453BFB" w:rsidP="00453BFB">
      <w:pPr>
        <w:spacing w:after="0" w:line="240" w:lineRule="auto"/>
        <w:jc w:val="both"/>
        <w:rPr>
          <w:rFonts w:ascii="Verdana" w:eastAsia="Arial MT" w:hAnsi="Verdana" w:cs="Arial MT"/>
          <w:b/>
          <w:bCs/>
          <w:lang w:val="es-ES_tradnl"/>
        </w:rPr>
      </w:pPr>
      <w:r w:rsidRPr="004E7E1E">
        <w:rPr>
          <w:rFonts w:ascii="Verdana" w:eastAsia="Arial MT" w:hAnsi="Verdana" w:cs="Arial MT"/>
          <w:b/>
          <w:bCs/>
          <w:lang w:val="es-ES_tradnl"/>
        </w:rPr>
        <w:t xml:space="preserve">EVALUACIÓN DE LAS OFERTAS – Finalidad – Oportunidad </w:t>
      </w:r>
    </w:p>
    <w:p w14:paraId="6D98BF81" w14:textId="77777777" w:rsidR="00453BFB" w:rsidRDefault="00453BFB" w:rsidP="00453BFB">
      <w:pPr>
        <w:spacing w:after="0" w:line="240" w:lineRule="auto"/>
        <w:jc w:val="both"/>
        <w:rPr>
          <w:rFonts w:ascii="Verdana" w:eastAsia="Calibri" w:hAnsi="Verdana" w:cs="Arial"/>
          <w:lang w:val="es-ES"/>
        </w:rPr>
      </w:pPr>
    </w:p>
    <w:p w14:paraId="17F7B43F" w14:textId="77777777" w:rsidR="00453BFB" w:rsidRPr="004E7E1E" w:rsidRDefault="00453BFB" w:rsidP="00453BFB">
      <w:pPr>
        <w:spacing w:after="0" w:line="240" w:lineRule="auto"/>
        <w:jc w:val="both"/>
        <w:rPr>
          <w:rFonts w:ascii="Verdana" w:eastAsia="Arial MT" w:hAnsi="Verdana" w:cs="Arial MT"/>
          <w:bCs/>
          <w:sz w:val="20"/>
          <w:lang w:val="es-MX"/>
        </w:rPr>
      </w:pPr>
      <w:r w:rsidRPr="004E7E1E">
        <w:rPr>
          <w:rFonts w:ascii="Verdana" w:eastAsia="Arial MT" w:hAnsi="Verdana" w:cs="Arial MT"/>
          <w:bCs/>
          <w:sz w:val="20"/>
          <w:lang w:val="es-ES"/>
        </w:rPr>
        <w:t>Sin embargo, debe precisarse que el análisis de los precios de una oferta se hace en la fase de evaluación del procedimiento de selección, que es la oportunidad para verificar, a través del comité evaluador</w:t>
      </w:r>
      <w:r w:rsidRPr="004E7E1E">
        <w:rPr>
          <w:rFonts w:ascii="Verdana" w:eastAsia="Arial MT" w:hAnsi="Verdana" w:cs="Arial MT"/>
          <w:bCs/>
          <w:sz w:val="20"/>
          <w:lang w:val="es-MX"/>
        </w:rPr>
        <w:t xml:space="preserve"> si se cumplen o no las reglas de los pliegos de condiciones. En efecto, el objeto de la evaluación de las ofertas es comprobar que estas cumplen con los parámetros exigidos, establecer la habilitación del proponente en dicho proceso de selección y definir si, de acuerdo con la ponderación de los factores de evaluación aplicables, cuál será el que resultará adjudicatario del futuro contrato.</w:t>
      </w:r>
    </w:p>
    <w:p w14:paraId="14CA9C72" w14:textId="77777777" w:rsidR="00453BFB" w:rsidRPr="004E7E1E" w:rsidRDefault="00453BFB" w:rsidP="00453BFB">
      <w:pPr>
        <w:spacing w:after="0" w:line="240" w:lineRule="auto"/>
        <w:jc w:val="both"/>
        <w:rPr>
          <w:rFonts w:ascii="Verdana" w:eastAsia="Arial MT" w:hAnsi="Verdana" w:cs="Arial MT"/>
          <w:bCs/>
          <w:sz w:val="20"/>
        </w:rPr>
      </w:pPr>
    </w:p>
    <w:p w14:paraId="3BE086CC" w14:textId="77777777" w:rsidR="00453BFB" w:rsidRPr="004E7E1E" w:rsidRDefault="00453BFB" w:rsidP="00453BFB">
      <w:pPr>
        <w:spacing w:after="0" w:line="240" w:lineRule="auto"/>
        <w:jc w:val="both"/>
        <w:rPr>
          <w:rFonts w:ascii="Verdana" w:eastAsia="Arial MT" w:hAnsi="Verdana" w:cs="Arial MT"/>
          <w:bCs/>
          <w:sz w:val="20"/>
          <w:lang w:val="es-ES"/>
        </w:rPr>
      </w:pPr>
      <w:r w:rsidRPr="004E7E1E">
        <w:rPr>
          <w:rFonts w:ascii="Verdana" w:eastAsia="Arial MT" w:hAnsi="Verdana" w:cs="Arial MT"/>
          <w:bCs/>
          <w:sz w:val="20"/>
          <w:lang w:val="es-ES"/>
        </w:rPr>
        <w:t xml:space="preserve">En ese sentido, en la evaluación que se realiza antes de la adjudicación del contrato la entidad debe verificar la oferta y su componente económico, para determinar si corresponde con el resultado del análisis de la oferta en el estudio de mercado, o si los precios tienen un componente atípico que no se identificó al observar el comportamiento de los proveedores del bien, obra o servicio que pretende contratarse. En ese caso, la entidad podrá identificar las ofertas con precios que parecen artificialmente bajos, y seguir el procedimiento del Decreto 1082 de 2015. </w:t>
      </w:r>
    </w:p>
    <w:p w14:paraId="2FA02198" w14:textId="77777777" w:rsidR="00453BFB" w:rsidRPr="004E7E1E" w:rsidRDefault="00453BFB" w:rsidP="00453BFB">
      <w:pPr>
        <w:spacing w:after="0" w:line="240" w:lineRule="auto"/>
        <w:jc w:val="both"/>
        <w:rPr>
          <w:rFonts w:ascii="Verdana" w:eastAsia="Arial MT" w:hAnsi="Verdana" w:cs="Arial MT"/>
          <w:b/>
          <w:bCs/>
          <w:lang w:val="es-ES"/>
        </w:rPr>
      </w:pPr>
    </w:p>
    <w:p w14:paraId="2D3583C2" w14:textId="77777777" w:rsidR="00453BFB" w:rsidRPr="004E7E1E" w:rsidRDefault="00453BFB" w:rsidP="00453BFB">
      <w:pPr>
        <w:spacing w:after="0" w:line="240" w:lineRule="auto"/>
        <w:jc w:val="both"/>
        <w:rPr>
          <w:rFonts w:ascii="Verdana" w:eastAsia="Arial MT" w:hAnsi="Verdana" w:cs="Arial MT"/>
          <w:b/>
          <w:bCs/>
          <w:lang w:val="es-ES_tradnl"/>
        </w:rPr>
      </w:pPr>
      <w:r w:rsidRPr="004E7E1E">
        <w:rPr>
          <w:rFonts w:ascii="Verdana" w:eastAsia="Arial MT" w:hAnsi="Verdana" w:cs="Arial MT"/>
          <w:b/>
          <w:bCs/>
          <w:lang w:val="es-ES_tradnl"/>
        </w:rPr>
        <w:t xml:space="preserve">GUÍA DE OFERTAS ARTIFICIALMENTE BAJAS – Manejo </w:t>
      </w:r>
    </w:p>
    <w:p w14:paraId="790C8483" w14:textId="77777777" w:rsidR="00453BFB" w:rsidRPr="004E7E1E" w:rsidRDefault="00453BFB" w:rsidP="00453BFB">
      <w:pPr>
        <w:spacing w:after="0" w:line="240" w:lineRule="auto"/>
        <w:jc w:val="both"/>
        <w:rPr>
          <w:rFonts w:ascii="Verdana" w:eastAsia="Arial MT" w:hAnsi="Verdana" w:cs="Arial MT"/>
          <w:bCs/>
          <w:sz w:val="20"/>
          <w:lang w:val="es-ES_tradnl"/>
        </w:rPr>
      </w:pPr>
    </w:p>
    <w:p w14:paraId="70448A07" w14:textId="77777777" w:rsidR="00453BFB" w:rsidRDefault="00453BFB" w:rsidP="00453BFB">
      <w:pPr>
        <w:spacing w:after="0" w:line="240" w:lineRule="auto"/>
        <w:jc w:val="both"/>
        <w:rPr>
          <w:rFonts w:ascii="Verdana" w:eastAsia="Arial MT" w:hAnsi="Verdana" w:cs="Arial MT"/>
          <w:bCs/>
          <w:sz w:val="20"/>
          <w:lang w:val="es-ES"/>
        </w:rPr>
      </w:pPr>
      <w:r w:rsidRPr="004E7E1E">
        <w:rPr>
          <w:rFonts w:ascii="Verdana" w:eastAsia="Arial MT" w:hAnsi="Verdana" w:cs="Arial MT"/>
          <w:bCs/>
          <w:sz w:val="20"/>
          <w:lang w:val="es-ES"/>
        </w:rPr>
        <w:t xml:space="preserve">De esta forma, y con el objetivo de brindar herramientas que orienten a las Entidades Estatales en este asunto, la Agencia Nacional de Contratación Pública – Colombia Compra Eficiente el 16 de diciembre de 2024, actualizó la “Guía para el manejo de ofertas artificialmente bajas en Procesos de Contratación”, en la que se señalan no sólo las posibles causas y consecuencias de ofertas artificialmente bajas, sino que también se relaciona a modo de sugerencia dos metodologías que podrían aplicar las entidades para identificarlas y manejarlas. Estas son: i) la comparación absoluta y; </w:t>
      </w:r>
      <w:proofErr w:type="spellStart"/>
      <w:r w:rsidRPr="004E7E1E">
        <w:rPr>
          <w:rFonts w:ascii="Verdana" w:eastAsia="Arial MT" w:hAnsi="Verdana" w:cs="Arial MT"/>
          <w:bCs/>
          <w:sz w:val="20"/>
          <w:lang w:val="es-ES"/>
        </w:rPr>
        <w:t>ii</w:t>
      </w:r>
      <w:proofErr w:type="spellEnd"/>
      <w:r w:rsidRPr="004E7E1E">
        <w:rPr>
          <w:rFonts w:ascii="Verdana" w:eastAsia="Arial MT" w:hAnsi="Verdana" w:cs="Arial MT"/>
          <w:bCs/>
          <w:sz w:val="20"/>
          <w:lang w:val="es-ES"/>
        </w:rPr>
        <w:t xml:space="preserve">) la comparación relativa. </w:t>
      </w:r>
    </w:p>
    <w:p w14:paraId="107012E0" w14:textId="77777777" w:rsidR="00453BFB" w:rsidRPr="004E7E1E" w:rsidRDefault="00453BFB" w:rsidP="00453BFB">
      <w:pPr>
        <w:spacing w:after="0" w:line="240" w:lineRule="auto"/>
        <w:jc w:val="both"/>
        <w:rPr>
          <w:rFonts w:ascii="Verdana" w:eastAsia="Arial MT" w:hAnsi="Verdana" w:cs="Arial MT"/>
          <w:bCs/>
          <w:sz w:val="20"/>
          <w:lang w:val="es-ES"/>
        </w:rPr>
      </w:pPr>
    </w:p>
    <w:p w14:paraId="3690D73E" w14:textId="77777777" w:rsidR="00453BFB" w:rsidRDefault="00453BFB" w:rsidP="00453BFB">
      <w:pPr>
        <w:spacing w:after="0" w:line="240" w:lineRule="auto"/>
        <w:jc w:val="both"/>
        <w:rPr>
          <w:rFonts w:ascii="Verdana" w:eastAsia="Arial MT" w:hAnsi="Verdana" w:cs="Arial MT"/>
          <w:bCs/>
          <w:sz w:val="20"/>
        </w:rPr>
      </w:pPr>
      <w:r w:rsidRPr="004E7E1E">
        <w:rPr>
          <w:rFonts w:ascii="Verdana" w:eastAsia="Arial MT" w:hAnsi="Verdana" w:cs="Arial MT"/>
          <w:bCs/>
          <w:sz w:val="20"/>
          <w:lang w:val="es-ES"/>
        </w:rPr>
        <w:t xml:space="preserve">Es importante precisar que dentro de la Guía para el manejo de ofertas artificialmente bajas en Procesos de Contratación” efectúa un análisis especial en torno a la subasta inversa, la cual puede ser </w:t>
      </w:r>
      <w:r w:rsidRPr="004E7E1E">
        <w:rPr>
          <w:rFonts w:ascii="Verdana" w:eastAsia="Arial MT" w:hAnsi="Verdana" w:cs="Arial MT"/>
          <w:bCs/>
          <w:sz w:val="20"/>
        </w:rPr>
        <w:t xml:space="preserve">ordinaria y a la inversa. La primera consiste en que los compradores compiten para obtener un bien o servicio, ofreciendo precios cada vez más </w:t>
      </w:r>
      <w:r w:rsidRPr="004E7E1E">
        <w:rPr>
          <w:rFonts w:ascii="Verdana" w:eastAsia="Arial MT" w:hAnsi="Verdana" w:cs="Arial MT"/>
          <w:bCs/>
          <w:sz w:val="20"/>
        </w:rPr>
        <w:lastRenderedPageBreak/>
        <w:t>altos, mediante lances, como es el caso de los procesos de contratación de enajenación directa a través de subasta pública mediante la modalidad de selección abreviada, de acuerdo a lo prescrito en el artículo 2.2.1.2.2.2.2 del Decreto 1082 de 1025. El segundo, es la subasta inversa que consiste en que los vendedores compiten para obtener un negocio del comprador, y para ello, los lances realizados sobre la oferta económica tienen como objetivo disminuir los precios de los bienes y servicios que se están ofertando.</w:t>
      </w:r>
    </w:p>
    <w:p w14:paraId="6D9E4461" w14:textId="77777777" w:rsidR="00453BFB" w:rsidRPr="004E7E1E" w:rsidRDefault="00453BFB" w:rsidP="00453BFB">
      <w:pPr>
        <w:spacing w:after="0" w:line="240" w:lineRule="auto"/>
        <w:jc w:val="both"/>
        <w:rPr>
          <w:rFonts w:ascii="Verdana" w:eastAsia="Arial MT" w:hAnsi="Verdana" w:cs="Arial MT"/>
          <w:bCs/>
          <w:sz w:val="20"/>
          <w:lang w:val="es-ES_tradnl"/>
        </w:rPr>
      </w:pPr>
    </w:p>
    <w:p w14:paraId="6BB23BCA" w14:textId="77777777" w:rsidR="00453BFB" w:rsidRPr="004E7E1E" w:rsidRDefault="00453BFB" w:rsidP="00453BFB">
      <w:pPr>
        <w:spacing w:after="0" w:line="240" w:lineRule="auto"/>
        <w:jc w:val="both"/>
        <w:rPr>
          <w:rFonts w:ascii="Verdana" w:eastAsia="Arial MT" w:hAnsi="Verdana" w:cs="Arial MT"/>
          <w:b/>
          <w:bCs/>
          <w:lang w:val="es-ES_tradnl"/>
        </w:rPr>
      </w:pPr>
      <w:r w:rsidRPr="004E7E1E">
        <w:rPr>
          <w:rFonts w:ascii="Verdana" w:eastAsia="Arial MT" w:hAnsi="Verdana" w:cs="Arial MT"/>
          <w:b/>
          <w:bCs/>
          <w:lang w:val="es-ES_tradnl"/>
        </w:rPr>
        <w:t xml:space="preserve">PRECIOS ARTIFICIALMENTE BAJOS – Guía – Procesos de </w:t>
      </w:r>
      <w:r>
        <w:rPr>
          <w:rFonts w:ascii="Verdana" w:eastAsia="Arial MT" w:hAnsi="Verdana" w:cs="Arial MT"/>
          <w:b/>
          <w:bCs/>
          <w:lang w:val="es-ES_tradnl"/>
        </w:rPr>
        <w:t>s</w:t>
      </w:r>
      <w:r w:rsidRPr="004E7E1E">
        <w:rPr>
          <w:rFonts w:ascii="Verdana" w:eastAsia="Arial MT" w:hAnsi="Verdana" w:cs="Arial MT"/>
          <w:b/>
          <w:bCs/>
          <w:lang w:val="es-ES_tradnl"/>
        </w:rPr>
        <w:t xml:space="preserve">ubasta – Subasta </w:t>
      </w:r>
      <w:r>
        <w:rPr>
          <w:rFonts w:ascii="Verdana" w:eastAsia="Arial MT" w:hAnsi="Verdana" w:cs="Arial MT"/>
          <w:b/>
          <w:bCs/>
          <w:lang w:val="es-ES_tradnl"/>
        </w:rPr>
        <w:t>i</w:t>
      </w:r>
      <w:r w:rsidRPr="004E7E1E">
        <w:rPr>
          <w:rFonts w:ascii="Verdana" w:eastAsia="Arial MT" w:hAnsi="Verdana" w:cs="Arial MT"/>
          <w:b/>
          <w:bCs/>
          <w:lang w:val="es-ES_tradnl"/>
        </w:rPr>
        <w:t>nversa</w:t>
      </w:r>
    </w:p>
    <w:p w14:paraId="2FACACA5" w14:textId="77777777" w:rsidR="00453BFB" w:rsidRDefault="00453BFB" w:rsidP="00453BFB">
      <w:pPr>
        <w:spacing w:after="0" w:line="240" w:lineRule="auto"/>
        <w:jc w:val="both"/>
        <w:rPr>
          <w:rFonts w:ascii="Verdana" w:eastAsia="Arial MT" w:hAnsi="Verdana" w:cs="Arial MT"/>
          <w:b/>
          <w:bCs/>
          <w:lang w:val="es-ES_tradnl"/>
        </w:rPr>
      </w:pPr>
    </w:p>
    <w:p w14:paraId="0E67FDF3" w14:textId="77777777" w:rsidR="00453BFB" w:rsidRPr="005C2082" w:rsidRDefault="00453BFB" w:rsidP="00453BFB">
      <w:pPr>
        <w:spacing w:after="0" w:line="240" w:lineRule="auto"/>
        <w:jc w:val="both"/>
        <w:rPr>
          <w:rFonts w:ascii="Verdana" w:eastAsia="Arial MT" w:hAnsi="Verdana" w:cs="Arial MT"/>
          <w:bCs/>
          <w:sz w:val="20"/>
          <w:szCs w:val="20"/>
        </w:rPr>
      </w:pPr>
      <w:r w:rsidRPr="005C2082">
        <w:rPr>
          <w:rFonts w:ascii="Verdana" w:eastAsia="Arial MT" w:hAnsi="Verdana" w:cs="Arial MT"/>
          <w:bCs/>
          <w:sz w:val="20"/>
          <w:szCs w:val="20"/>
        </w:rPr>
        <w:t xml:space="preserve">Ahora bien, en el evento en que los lances presentados en la audiencia del proceso de subasta inversa se evidencian que son precios artificialmente bajos, debe tener en cuenta lo siguiente: i) requerir al oferente con relación a los precios ofertados que parecen bajos, con el fin de que sustente las razones o motivos del valor; </w:t>
      </w:r>
      <w:proofErr w:type="spellStart"/>
      <w:r w:rsidRPr="005C2082">
        <w:rPr>
          <w:rFonts w:ascii="Verdana" w:eastAsia="Arial MT" w:hAnsi="Verdana" w:cs="Arial MT"/>
          <w:bCs/>
          <w:sz w:val="20"/>
          <w:szCs w:val="20"/>
        </w:rPr>
        <w:t>ii</w:t>
      </w:r>
      <w:proofErr w:type="spellEnd"/>
      <w:r w:rsidRPr="005C2082">
        <w:rPr>
          <w:rFonts w:ascii="Verdana" w:eastAsia="Arial MT" w:hAnsi="Verdana" w:cs="Arial MT"/>
          <w:bCs/>
          <w:sz w:val="20"/>
          <w:szCs w:val="20"/>
        </w:rPr>
        <w:t xml:space="preserve">) analizar las explicaciones del oferente, para verificar si están sustentados en los valores ofrecidos y si son suficientes para ejecutar el contrato; </w:t>
      </w:r>
      <w:proofErr w:type="spellStart"/>
      <w:r w:rsidRPr="005C2082">
        <w:rPr>
          <w:rFonts w:ascii="Verdana" w:eastAsia="Arial MT" w:hAnsi="Verdana" w:cs="Arial MT"/>
          <w:bCs/>
          <w:sz w:val="20"/>
          <w:szCs w:val="20"/>
        </w:rPr>
        <w:t>iii</w:t>
      </w:r>
      <w:proofErr w:type="spellEnd"/>
      <w:r w:rsidRPr="005C2082">
        <w:rPr>
          <w:rFonts w:ascii="Verdana" w:eastAsia="Arial MT" w:hAnsi="Verdana" w:cs="Arial MT"/>
          <w:bCs/>
          <w:sz w:val="20"/>
          <w:szCs w:val="20"/>
        </w:rPr>
        <w:t xml:space="preserve">) definir si continúa con la evaluación de la oferta, en el sentido de que la explicación demuestra la capacidad del proponente para cumplir adecuadamente con el contrato con los precios ofertados o, si por el contrario, rechaza la oferta porque no fue sustentada. Esto debe realizarse al finalizar el evento de subasta, de acuerdo con el precio ofrecido al final de esta. </w:t>
      </w:r>
    </w:p>
    <w:p w14:paraId="46861C1C" w14:textId="77777777" w:rsidR="00453BFB" w:rsidRPr="005C2082" w:rsidRDefault="00453BFB" w:rsidP="00453BFB">
      <w:pPr>
        <w:spacing w:after="0" w:line="240" w:lineRule="auto"/>
        <w:jc w:val="both"/>
        <w:rPr>
          <w:rFonts w:ascii="Verdana" w:eastAsia="Arial MT" w:hAnsi="Verdana" w:cs="Arial MT"/>
          <w:bCs/>
          <w:sz w:val="20"/>
          <w:szCs w:val="20"/>
        </w:rPr>
      </w:pPr>
      <w:r w:rsidRPr="005C2082">
        <w:rPr>
          <w:rFonts w:ascii="Verdana" w:eastAsia="Arial MT" w:hAnsi="Verdana" w:cs="Arial MT"/>
          <w:bCs/>
          <w:sz w:val="20"/>
          <w:szCs w:val="20"/>
        </w:rPr>
        <w:t>[…]</w:t>
      </w:r>
    </w:p>
    <w:p w14:paraId="21F126EE" w14:textId="77777777" w:rsidR="00453BFB" w:rsidRPr="005C2082" w:rsidRDefault="00453BFB" w:rsidP="00453BFB">
      <w:pPr>
        <w:spacing w:after="0" w:line="240" w:lineRule="auto"/>
        <w:jc w:val="both"/>
        <w:rPr>
          <w:rFonts w:ascii="Verdana" w:eastAsia="Arial MT" w:hAnsi="Verdana" w:cs="Arial MT"/>
          <w:bCs/>
          <w:sz w:val="20"/>
          <w:szCs w:val="20"/>
        </w:rPr>
      </w:pPr>
      <w:r w:rsidRPr="005C2082">
        <w:rPr>
          <w:rFonts w:ascii="Verdana" w:eastAsia="Arial MT" w:hAnsi="Verdana" w:cs="Arial MT"/>
          <w:bCs/>
          <w:sz w:val="20"/>
          <w:szCs w:val="20"/>
        </w:rPr>
        <w:t xml:space="preserve">En este escenario, dentro de la Guía expresa: “[…] la entidad en el marco de su autonomía puede evaluar la procedencia de volver a realizar el evento de subasta, retirando al proponente si está contemplado inicialmente en los pliegos; esto, con el fin de evitar que un participante de la subasta beneficie a otro a través de la presentación de una oferta artificialmente baja”. De igual modo, dichos eventos deben ponerse al conocimiento de la Superintendencia de Industria y Comercio. </w:t>
      </w:r>
    </w:p>
    <w:p w14:paraId="3B6F3A40" w14:textId="77777777" w:rsidR="00453BFB" w:rsidRPr="004E7E1E" w:rsidRDefault="00453BFB" w:rsidP="00453BFB">
      <w:pPr>
        <w:spacing w:after="0" w:line="240" w:lineRule="auto"/>
        <w:jc w:val="both"/>
        <w:rPr>
          <w:rFonts w:ascii="Verdana" w:eastAsia="Arial MT" w:hAnsi="Verdana" w:cs="Arial MT"/>
          <w:b/>
          <w:bCs/>
        </w:rPr>
      </w:pPr>
    </w:p>
    <w:p w14:paraId="351A6F29" w14:textId="77777777" w:rsidR="00453BFB" w:rsidRDefault="00453BFB" w:rsidP="00453BFB">
      <w:pPr>
        <w:spacing w:before="1" w:after="0" w:line="240" w:lineRule="auto"/>
        <w:jc w:val="both"/>
        <w:rPr>
          <w:rFonts w:ascii="Verdana" w:hAnsi="Verdana" w:cs="Arial"/>
          <w:sz w:val="20"/>
          <w:szCs w:val="20"/>
          <w:lang w:val="es-ES"/>
        </w:rPr>
      </w:pPr>
    </w:p>
    <w:p w14:paraId="52273D6D" w14:textId="77777777" w:rsidR="00453BFB" w:rsidRDefault="00453BFB" w:rsidP="00453BFB">
      <w:pPr>
        <w:spacing w:before="1" w:after="0" w:line="240" w:lineRule="auto"/>
        <w:jc w:val="both"/>
        <w:rPr>
          <w:rFonts w:ascii="Verdana" w:hAnsi="Verdana" w:cs="Arial"/>
          <w:sz w:val="20"/>
          <w:szCs w:val="20"/>
          <w:lang w:val="es-ES"/>
        </w:rPr>
      </w:pPr>
    </w:p>
    <w:p w14:paraId="466C6E04" w14:textId="77777777" w:rsidR="00453BFB" w:rsidRDefault="00453BFB" w:rsidP="00453BFB">
      <w:pPr>
        <w:spacing w:before="1" w:after="0" w:line="240" w:lineRule="auto"/>
        <w:jc w:val="both"/>
        <w:rPr>
          <w:rFonts w:ascii="Verdana" w:hAnsi="Verdana" w:cs="Arial"/>
          <w:sz w:val="20"/>
          <w:szCs w:val="20"/>
          <w:lang w:val="es-ES"/>
        </w:rPr>
      </w:pPr>
    </w:p>
    <w:p w14:paraId="4454A3AD" w14:textId="77777777" w:rsidR="00EC5C8D" w:rsidRDefault="00EC5C8D" w:rsidP="00103B90">
      <w:pPr>
        <w:spacing w:after="0" w:line="240" w:lineRule="auto"/>
        <w:rPr>
          <w:rFonts w:ascii="Verdana" w:hAnsi="Verdana"/>
        </w:rPr>
      </w:pPr>
    </w:p>
    <w:p w14:paraId="76BA39A5" w14:textId="77777777" w:rsidR="00EC5C8D" w:rsidRDefault="00EC5C8D" w:rsidP="00103B90">
      <w:pPr>
        <w:spacing w:after="0" w:line="240" w:lineRule="auto"/>
        <w:rPr>
          <w:rFonts w:ascii="Verdana" w:hAnsi="Verdana"/>
        </w:rPr>
      </w:pPr>
    </w:p>
    <w:p w14:paraId="4B613F31" w14:textId="77777777" w:rsidR="00EC5C8D" w:rsidRDefault="00EC5C8D" w:rsidP="00103B90">
      <w:pPr>
        <w:spacing w:after="0" w:line="240" w:lineRule="auto"/>
        <w:rPr>
          <w:rFonts w:ascii="Verdana" w:hAnsi="Verdana"/>
        </w:rPr>
      </w:pPr>
    </w:p>
    <w:p w14:paraId="6A7F61B1" w14:textId="77777777" w:rsidR="00EC5C8D" w:rsidRDefault="00EC5C8D" w:rsidP="00103B90">
      <w:pPr>
        <w:spacing w:after="0" w:line="240" w:lineRule="auto"/>
        <w:rPr>
          <w:rFonts w:ascii="Verdana" w:hAnsi="Verdana"/>
        </w:rPr>
      </w:pPr>
    </w:p>
    <w:p w14:paraId="59EF6C5A" w14:textId="77777777" w:rsidR="00EC5C8D" w:rsidRDefault="00EC5C8D" w:rsidP="00103B90">
      <w:pPr>
        <w:spacing w:after="0" w:line="240" w:lineRule="auto"/>
        <w:rPr>
          <w:rFonts w:ascii="Verdana" w:hAnsi="Verdana"/>
        </w:rPr>
      </w:pPr>
    </w:p>
    <w:p w14:paraId="7E58A460" w14:textId="77777777" w:rsidR="00911185" w:rsidRDefault="00911185" w:rsidP="00103B90">
      <w:pPr>
        <w:spacing w:after="0" w:line="240" w:lineRule="auto"/>
        <w:rPr>
          <w:rFonts w:ascii="Verdana" w:hAnsi="Verdana"/>
        </w:rPr>
      </w:pPr>
    </w:p>
    <w:p w14:paraId="04E03D4D" w14:textId="77777777" w:rsidR="00911185" w:rsidRDefault="00911185" w:rsidP="00103B90">
      <w:pPr>
        <w:spacing w:after="0" w:line="240" w:lineRule="auto"/>
        <w:rPr>
          <w:rFonts w:ascii="Verdana" w:hAnsi="Verdana"/>
        </w:rPr>
      </w:pPr>
    </w:p>
    <w:p w14:paraId="6EE54907" w14:textId="77777777" w:rsidR="00911185" w:rsidRDefault="00911185" w:rsidP="00103B90">
      <w:pPr>
        <w:spacing w:after="0" w:line="240" w:lineRule="auto"/>
        <w:rPr>
          <w:rFonts w:ascii="Verdana" w:hAnsi="Verdana"/>
        </w:rPr>
      </w:pPr>
    </w:p>
    <w:p w14:paraId="50C12E8E" w14:textId="77777777" w:rsidR="00911185" w:rsidRDefault="00911185" w:rsidP="00103B90">
      <w:pPr>
        <w:spacing w:after="0" w:line="240" w:lineRule="auto"/>
        <w:rPr>
          <w:rFonts w:ascii="Verdana" w:hAnsi="Verdana"/>
        </w:rPr>
      </w:pPr>
    </w:p>
    <w:p w14:paraId="619EB02A" w14:textId="77777777" w:rsidR="00911185" w:rsidRDefault="00911185" w:rsidP="00103B90">
      <w:pPr>
        <w:spacing w:after="0" w:line="240" w:lineRule="auto"/>
        <w:rPr>
          <w:rFonts w:ascii="Verdana" w:hAnsi="Verdana"/>
        </w:rPr>
      </w:pPr>
    </w:p>
    <w:p w14:paraId="65C0751D" w14:textId="77777777" w:rsidR="00911185" w:rsidRDefault="00911185" w:rsidP="00103B90">
      <w:pPr>
        <w:spacing w:after="0" w:line="240" w:lineRule="auto"/>
        <w:rPr>
          <w:rFonts w:ascii="Verdana" w:hAnsi="Verdana"/>
        </w:rPr>
      </w:pPr>
    </w:p>
    <w:p w14:paraId="47C107D1" w14:textId="77777777" w:rsidR="00911185" w:rsidRDefault="00911185" w:rsidP="00103B90">
      <w:pPr>
        <w:spacing w:after="0" w:line="240" w:lineRule="auto"/>
        <w:rPr>
          <w:rFonts w:ascii="Verdana" w:hAnsi="Verdana"/>
        </w:rPr>
      </w:pPr>
    </w:p>
    <w:p w14:paraId="65C455FD" w14:textId="77777777" w:rsidR="00172258" w:rsidRDefault="00172258" w:rsidP="00103B90">
      <w:pPr>
        <w:spacing w:after="0" w:line="240" w:lineRule="auto"/>
        <w:rPr>
          <w:rFonts w:ascii="Verdana" w:hAnsi="Verdana"/>
        </w:rPr>
      </w:pPr>
    </w:p>
    <w:p w14:paraId="4C14F8AB" w14:textId="77777777" w:rsidR="00172258" w:rsidRDefault="00172258" w:rsidP="00103B90">
      <w:pPr>
        <w:spacing w:after="0" w:line="240" w:lineRule="auto"/>
        <w:rPr>
          <w:rFonts w:ascii="Verdana" w:hAnsi="Verdana"/>
        </w:rPr>
      </w:pPr>
    </w:p>
    <w:p w14:paraId="1A6E0D96" w14:textId="77777777" w:rsidR="00911185" w:rsidRDefault="00911185" w:rsidP="00103B90">
      <w:pPr>
        <w:spacing w:after="0" w:line="240" w:lineRule="auto"/>
        <w:rPr>
          <w:rFonts w:ascii="Verdana" w:hAnsi="Verdana"/>
        </w:rPr>
      </w:pPr>
    </w:p>
    <w:p w14:paraId="622A0F74" w14:textId="77777777" w:rsidR="00911185" w:rsidRDefault="00911185" w:rsidP="00103B90">
      <w:pPr>
        <w:spacing w:after="0" w:line="240" w:lineRule="auto"/>
        <w:rPr>
          <w:rFonts w:ascii="Verdana" w:hAnsi="Verdana"/>
        </w:rPr>
      </w:pPr>
    </w:p>
    <w:p w14:paraId="734BF481" w14:textId="50355BAA" w:rsidR="00A64017" w:rsidRDefault="00EF17C6" w:rsidP="00103B90">
      <w:pPr>
        <w:spacing w:after="0" w:line="240" w:lineRule="auto"/>
        <w:rPr>
          <w:rFonts w:ascii="Verdana" w:hAnsi="Verdana"/>
        </w:rPr>
      </w:pPr>
      <w:r>
        <w:rPr>
          <w:rFonts w:ascii="Verdana" w:hAnsi="Verdana"/>
          <w:noProof/>
        </w:rPr>
        <w:drawing>
          <wp:anchor distT="0" distB="0" distL="114300" distR="114300" simplePos="0" relativeHeight="251658240" behindDoc="0" locked="0" layoutInCell="1" allowOverlap="1" wp14:anchorId="2F2A705C" wp14:editId="4724943D">
            <wp:simplePos x="0" y="0"/>
            <wp:positionH relativeFrom="column">
              <wp:posOffset>3014112</wp:posOffset>
            </wp:positionH>
            <wp:positionV relativeFrom="paragraph">
              <wp:posOffset>20418</wp:posOffset>
            </wp:positionV>
            <wp:extent cx="2597248" cy="783297"/>
            <wp:effectExtent l="0" t="0" r="0" b="0"/>
            <wp:wrapNone/>
            <wp:docPr id="1481218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97248" cy="783297"/>
                    </a:xfrm>
                    <a:prstGeom prst="rect">
                      <a:avLst/>
                    </a:prstGeom>
                    <a:noFill/>
                    <a:ln>
                      <a:noFill/>
                    </a:ln>
                  </pic:spPr>
                </pic:pic>
              </a:graphicData>
            </a:graphic>
            <wp14:sizeRelH relativeFrom="page">
              <wp14:pctWidth>0</wp14:pctWidth>
            </wp14:sizeRelH>
            <wp14:sizeRelV relativeFrom="page">
              <wp14:pctHeight>0</wp14:pctHeight>
            </wp14:sizeRelV>
          </wp:anchor>
        </w:drawing>
      </w:r>
      <w:r w:rsidR="00A800B4">
        <w:rPr>
          <w:rFonts w:ascii="Verdana" w:hAnsi="Verdana"/>
        </w:rPr>
        <w:t>B</w:t>
      </w:r>
      <w:r w:rsidR="00A64017" w:rsidRPr="0044528D">
        <w:rPr>
          <w:rFonts w:ascii="Verdana" w:hAnsi="Verdana"/>
        </w:rPr>
        <w:t xml:space="preserve">ogotá D.C., </w:t>
      </w:r>
      <w:r w:rsidR="00B11FE1">
        <w:rPr>
          <w:rFonts w:ascii="Verdana" w:hAnsi="Verdana"/>
        </w:rPr>
        <w:t>04</w:t>
      </w:r>
      <w:r w:rsidR="00324E0B">
        <w:rPr>
          <w:rFonts w:ascii="Verdana" w:hAnsi="Verdana"/>
        </w:rPr>
        <w:t xml:space="preserve"> </w:t>
      </w:r>
      <w:r w:rsidR="00763E4A">
        <w:rPr>
          <w:rFonts w:ascii="Verdana" w:hAnsi="Verdana"/>
        </w:rPr>
        <w:t xml:space="preserve">de </w:t>
      </w:r>
      <w:r w:rsidR="00B11FE1">
        <w:rPr>
          <w:rFonts w:ascii="Verdana" w:hAnsi="Verdana"/>
        </w:rPr>
        <w:t>noviembre</w:t>
      </w:r>
      <w:r w:rsidR="00763E4A">
        <w:rPr>
          <w:rFonts w:ascii="Verdana" w:hAnsi="Verdana"/>
        </w:rPr>
        <w:t xml:space="preserve"> de </w:t>
      </w:r>
      <w:r w:rsidR="00331CD0">
        <w:rPr>
          <w:rFonts w:ascii="Verdana" w:hAnsi="Verdana"/>
        </w:rPr>
        <w:t>2025</w:t>
      </w:r>
      <w:r w:rsidR="00763E4A">
        <w:rPr>
          <w:rFonts w:ascii="Verdana" w:hAnsi="Verdana"/>
        </w:rPr>
        <w:t>.</w:t>
      </w:r>
    </w:p>
    <w:bookmarkEnd w:id="0"/>
    <w:p w14:paraId="43EFFE03" w14:textId="705A3879" w:rsidR="00A64017" w:rsidRDefault="00A64017" w:rsidP="00103B90">
      <w:pPr>
        <w:spacing w:after="0" w:line="240" w:lineRule="auto"/>
        <w:rPr>
          <w:rFonts w:ascii="Verdana" w:hAnsi="Verdana"/>
        </w:rPr>
      </w:pPr>
    </w:p>
    <w:p w14:paraId="24B08334" w14:textId="45470646" w:rsidR="00331CD0" w:rsidRDefault="00331CD0" w:rsidP="00331CD0">
      <w:pPr>
        <w:spacing w:after="0" w:line="240" w:lineRule="auto"/>
        <w:jc w:val="right"/>
        <w:rPr>
          <w:rFonts w:ascii="Verdana" w:hAnsi="Verdana"/>
        </w:rPr>
      </w:pPr>
    </w:p>
    <w:p w14:paraId="32625BB2" w14:textId="47E88957" w:rsidR="00CE32D1" w:rsidRDefault="00CE32D1" w:rsidP="00331CD0">
      <w:pPr>
        <w:spacing w:after="0" w:line="240" w:lineRule="auto"/>
        <w:jc w:val="right"/>
        <w:rPr>
          <w:rFonts w:ascii="Verdana" w:hAnsi="Verdana"/>
        </w:rPr>
      </w:pPr>
    </w:p>
    <w:p w14:paraId="6EF9D4E0" w14:textId="5F07F081" w:rsidR="00A64017" w:rsidRPr="00631045" w:rsidRDefault="00A64017" w:rsidP="00A64017">
      <w:pPr>
        <w:spacing w:after="0" w:line="240" w:lineRule="auto"/>
        <w:jc w:val="both"/>
        <w:rPr>
          <w:rFonts w:ascii="Verdana" w:eastAsia="Calibri" w:hAnsi="Verdana" w:cs="Arial"/>
          <w:lang w:eastAsia="es-ES"/>
        </w:rPr>
      </w:pPr>
      <w:r w:rsidRPr="00631045">
        <w:rPr>
          <w:rFonts w:ascii="Verdana" w:eastAsia="Calibri" w:hAnsi="Verdana" w:cs="Arial"/>
          <w:lang w:eastAsia="es-ES"/>
        </w:rPr>
        <w:t>Señor</w:t>
      </w:r>
      <w:r w:rsidR="00423BFF">
        <w:rPr>
          <w:rFonts w:ascii="Verdana" w:eastAsia="Calibri" w:hAnsi="Verdana" w:cs="Arial"/>
          <w:lang w:eastAsia="es-ES"/>
        </w:rPr>
        <w:t>a</w:t>
      </w:r>
      <w:r w:rsidRPr="00631045">
        <w:rPr>
          <w:rFonts w:ascii="Verdana" w:eastAsia="Calibri" w:hAnsi="Verdana" w:cs="Arial"/>
          <w:lang w:eastAsia="es-ES"/>
        </w:rPr>
        <w:tab/>
      </w:r>
    </w:p>
    <w:p w14:paraId="200679A4" w14:textId="067A3F42" w:rsidR="00FA3CFE" w:rsidRDefault="00AB6E9A" w:rsidP="00A64017">
      <w:pPr>
        <w:spacing w:after="0" w:line="240" w:lineRule="auto"/>
        <w:rPr>
          <w:rFonts w:ascii="Verdana" w:eastAsia="Calibri" w:hAnsi="Verdana" w:cs="Arial"/>
          <w:b/>
          <w:bCs/>
          <w:lang w:eastAsia="es-ES"/>
        </w:rPr>
      </w:pPr>
      <w:r>
        <w:rPr>
          <w:rFonts w:ascii="Verdana" w:eastAsia="Calibri" w:hAnsi="Verdana" w:cs="Arial"/>
          <w:b/>
          <w:bCs/>
          <w:lang w:eastAsia="es-ES"/>
        </w:rPr>
        <w:t>IVONNE RINCÒN</w:t>
      </w:r>
    </w:p>
    <w:p w14:paraId="1FD85336" w14:textId="631351CF" w:rsidR="00A64017" w:rsidRPr="00AB6E9A" w:rsidRDefault="00B24230" w:rsidP="00A64017">
      <w:pPr>
        <w:spacing w:after="0" w:line="240" w:lineRule="auto"/>
        <w:rPr>
          <w:rFonts w:ascii="Verdana" w:hAnsi="Verdana"/>
        </w:rPr>
      </w:pPr>
      <w:hyperlink r:id="rId12" w:history="1">
        <w:r w:rsidR="00AB6E9A" w:rsidRPr="00AB6E9A">
          <w:rPr>
            <w:rStyle w:val="Hipervnculo"/>
            <w:rFonts w:ascii="Verdana" w:hAnsi="Verdana"/>
          </w:rPr>
          <w:t>ivonne.rincon@fac.mil.co</w:t>
        </w:r>
      </w:hyperlink>
      <w:r w:rsidR="00AB6E9A" w:rsidRPr="00AB6E9A">
        <w:rPr>
          <w:rFonts w:ascii="Verdana" w:hAnsi="Verdana"/>
        </w:rPr>
        <w:t xml:space="preserve"> </w:t>
      </w:r>
      <w:r w:rsidR="00E35B59" w:rsidRPr="00AB6E9A">
        <w:rPr>
          <w:rFonts w:ascii="Verdana" w:hAnsi="Verdana"/>
        </w:rPr>
        <w:t xml:space="preserve"> </w:t>
      </w:r>
      <w:r w:rsidR="00911185" w:rsidRPr="00AB6E9A">
        <w:rPr>
          <w:rFonts w:ascii="Verdana" w:hAnsi="Verdana"/>
        </w:rPr>
        <w:t xml:space="preserve"> </w:t>
      </w:r>
      <w:r w:rsidR="0057166B" w:rsidRPr="00AB6E9A">
        <w:rPr>
          <w:rFonts w:ascii="Verdana" w:hAnsi="Verdana"/>
        </w:rPr>
        <w:t xml:space="preserve"> </w:t>
      </w:r>
      <w:r w:rsidR="00631045" w:rsidRPr="00AB6E9A">
        <w:rPr>
          <w:rFonts w:ascii="Verdana" w:hAnsi="Verdana"/>
        </w:rPr>
        <w:t xml:space="preserve"> </w:t>
      </w:r>
    </w:p>
    <w:p w14:paraId="48FCFCCF" w14:textId="275C99B1" w:rsidR="00A64017" w:rsidRDefault="00911185" w:rsidP="00A64017">
      <w:pPr>
        <w:spacing w:after="0" w:line="240" w:lineRule="auto"/>
        <w:rPr>
          <w:rFonts w:ascii="Verdana" w:hAnsi="Verdana"/>
        </w:rPr>
      </w:pPr>
      <w:r>
        <w:rPr>
          <w:rFonts w:ascii="Verdana" w:hAnsi="Verdana"/>
        </w:rPr>
        <w:t xml:space="preserve">Bogotá D.C. </w:t>
      </w:r>
    </w:p>
    <w:p w14:paraId="2C7B6D66" w14:textId="77777777" w:rsidR="00A64017" w:rsidRPr="00FE3DEC" w:rsidRDefault="00A64017" w:rsidP="00A64017">
      <w:pPr>
        <w:spacing w:after="0" w:line="240" w:lineRule="auto"/>
        <w:rPr>
          <w:rFonts w:ascii="Verdana" w:eastAsia="Calibri" w:hAnsi="Verdana" w:cs="Arial"/>
          <w:color w:val="000000"/>
          <w:lang w:val="es-ES_tradnl" w:eastAsia="es-ES_tradnl"/>
        </w:rPr>
      </w:pPr>
    </w:p>
    <w:tbl>
      <w:tblPr>
        <w:tblStyle w:val="Tablaconcuadrcula"/>
        <w:tblW w:w="8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95"/>
        <w:gridCol w:w="6162"/>
        <w:gridCol w:w="319"/>
      </w:tblGrid>
      <w:tr w:rsidR="00A64017" w:rsidRPr="00593A5F" w14:paraId="01D86018" w14:textId="77777777" w:rsidTr="00A15B1F">
        <w:trPr>
          <w:trHeight w:val="273"/>
        </w:trPr>
        <w:tc>
          <w:tcPr>
            <w:tcW w:w="2295" w:type="dxa"/>
          </w:tcPr>
          <w:p w14:paraId="1620BC45" w14:textId="77777777" w:rsidR="00A64017" w:rsidRPr="00E5644F" w:rsidRDefault="00A64017" w:rsidP="00A15B1F">
            <w:pPr>
              <w:jc w:val="both"/>
              <w:rPr>
                <w:rFonts w:ascii="Verdana" w:eastAsia="Calibri" w:hAnsi="Verdana" w:cs="Arial"/>
                <w:b/>
                <w:bCs/>
                <w:color w:val="7030A0"/>
                <w:lang w:val="es-ES_tradnl" w:eastAsia="es-ES_tradnl"/>
              </w:rPr>
            </w:pPr>
          </w:p>
        </w:tc>
        <w:tc>
          <w:tcPr>
            <w:tcW w:w="6481" w:type="dxa"/>
            <w:gridSpan w:val="2"/>
          </w:tcPr>
          <w:p w14:paraId="00E37139" w14:textId="36EB23C8" w:rsidR="00A64017" w:rsidRDefault="00A64017" w:rsidP="00A15B1F">
            <w:pPr>
              <w:jc w:val="both"/>
              <w:rPr>
                <w:rFonts w:ascii="Verdana" w:eastAsia="Calibri" w:hAnsi="Verdana" w:cs="Arial"/>
                <w:b/>
                <w:bCs/>
                <w:lang w:val="es-ES" w:eastAsia="es-ES"/>
              </w:rPr>
            </w:pPr>
            <w:r w:rsidRPr="00E5644F">
              <w:rPr>
                <w:rFonts w:ascii="Verdana" w:eastAsia="Calibri" w:hAnsi="Verdana" w:cs="Arial"/>
                <w:b/>
                <w:bCs/>
                <w:lang w:val="es-ES" w:eastAsia="es-ES"/>
              </w:rPr>
              <w:t xml:space="preserve">Concepto C- </w:t>
            </w:r>
            <w:r w:rsidR="00911185">
              <w:rPr>
                <w:rFonts w:ascii="Verdana" w:eastAsia="Calibri" w:hAnsi="Verdana" w:cs="Arial"/>
                <w:b/>
                <w:bCs/>
                <w:lang w:val="es-ES" w:eastAsia="es-ES"/>
              </w:rPr>
              <w:t>13</w:t>
            </w:r>
            <w:r w:rsidR="00AB6E9A">
              <w:rPr>
                <w:rFonts w:ascii="Verdana" w:eastAsia="Calibri" w:hAnsi="Verdana" w:cs="Arial"/>
                <w:b/>
                <w:bCs/>
                <w:lang w:val="es-ES" w:eastAsia="es-ES"/>
              </w:rPr>
              <w:t>94</w:t>
            </w:r>
            <w:r>
              <w:rPr>
                <w:rFonts w:ascii="Verdana" w:eastAsia="Calibri" w:hAnsi="Verdana" w:cs="Arial"/>
                <w:b/>
                <w:bCs/>
                <w:lang w:val="es-ES" w:eastAsia="es-ES"/>
              </w:rPr>
              <w:t xml:space="preserve"> </w:t>
            </w:r>
            <w:r w:rsidRPr="00E5644F">
              <w:rPr>
                <w:rFonts w:ascii="Verdana" w:eastAsia="Calibri" w:hAnsi="Verdana" w:cs="Arial"/>
                <w:b/>
                <w:bCs/>
                <w:lang w:val="es-ES" w:eastAsia="es-ES"/>
              </w:rPr>
              <w:t>de 202</w:t>
            </w:r>
            <w:r>
              <w:rPr>
                <w:rFonts w:ascii="Verdana" w:eastAsia="Calibri" w:hAnsi="Verdana" w:cs="Arial"/>
                <w:b/>
                <w:bCs/>
                <w:lang w:val="es-ES" w:eastAsia="es-ES"/>
              </w:rPr>
              <w:t>5</w:t>
            </w:r>
          </w:p>
          <w:p w14:paraId="307B3621" w14:textId="77777777" w:rsidR="00A64017" w:rsidRPr="00E5644F" w:rsidRDefault="00A64017" w:rsidP="00A15B1F">
            <w:pPr>
              <w:jc w:val="both"/>
              <w:rPr>
                <w:rFonts w:ascii="Verdana" w:eastAsia="Calibri" w:hAnsi="Verdana" w:cs="Arial"/>
                <w:b/>
                <w:bCs/>
                <w:color w:val="7030A0"/>
                <w:lang w:val="es-ES" w:eastAsia="es-ES"/>
              </w:rPr>
            </w:pPr>
          </w:p>
        </w:tc>
      </w:tr>
      <w:tr w:rsidR="00A64017" w:rsidRPr="00280D79" w14:paraId="0E48C791" w14:textId="77777777" w:rsidTr="00A15B1F">
        <w:trPr>
          <w:trHeight w:val="1583"/>
        </w:trPr>
        <w:tc>
          <w:tcPr>
            <w:tcW w:w="2295" w:type="dxa"/>
          </w:tcPr>
          <w:p w14:paraId="64EB1800" w14:textId="77777777" w:rsidR="00A64017" w:rsidRPr="00593A5F" w:rsidRDefault="00A64017" w:rsidP="00A15B1F">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481" w:type="dxa"/>
            <w:gridSpan w:val="2"/>
          </w:tcPr>
          <w:p w14:paraId="45929AFF" w14:textId="77777777" w:rsidR="00453BFB" w:rsidRDefault="00453BFB" w:rsidP="00453BFB">
            <w:pPr>
              <w:jc w:val="both"/>
              <w:rPr>
                <w:rFonts w:ascii="Verdana" w:eastAsia="Arial MT" w:hAnsi="Verdana" w:cs="Arial MT"/>
                <w:bCs/>
                <w:lang w:val="es-ES_tradnl"/>
              </w:rPr>
            </w:pPr>
            <w:r w:rsidRPr="00FF383E">
              <w:rPr>
                <w:rFonts w:ascii="Verdana" w:eastAsia="Arial MT" w:hAnsi="Verdana" w:cs="Arial MT"/>
                <w:bCs/>
                <w:lang w:val="es-ES_tradnl"/>
              </w:rPr>
              <w:t>PRECIOS ARTIFICIALMENTE BAJOS – Noción – Deber de las entidades estatales / EVALUACIÓN DE LAS OFERTAS – Finalidad – Oportunidad / GUÍA DE OFERTAS ARTIFICIALMENTE BAJAS – Manejo / PRECIOS ARTIFICIALMENTE BAJOS – Guía – Procesos de subasta – Subasta inversa</w:t>
            </w:r>
          </w:p>
          <w:p w14:paraId="5DDDE71B" w14:textId="2CE34107" w:rsidR="002A22D8" w:rsidRPr="00905A2C" w:rsidRDefault="002A22D8" w:rsidP="002A22D8">
            <w:pPr>
              <w:jc w:val="both"/>
              <w:rPr>
                <w:rFonts w:ascii="Verdana" w:hAnsi="Verdana" w:cs="Arial"/>
                <w:lang w:val="es-ES_tradnl" w:eastAsia="es-ES"/>
              </w:rPr>
            </w:pPr>
          </w:p>
          <w:p w14:paraId="2A049EB1" w14:textId="7974BC7C" w:rsidR="00C91AF4" w:rsidRPr="00280D79" w:rsidRDefault="00C91AF4" w:rsidP="00103B90">
            <w:pPr>
              <w:jc w:val="both"/>
              <w:rPr>
                <w:rFonts w:ascii="Verdana" w:eastAsia="Calibri" w:hAnsi="Verdana" w:cs="Arial"/>
                <w:b/>
                <w:highlight w:val="yellow"/>
                <w:lang w:val="es-ES" w:eastAsia="es-ES"/>
              </w:rPr>
            </w:pPr>
          </w:p>
        </w:tc>
      </w:tr>
      <w:tr w:rsidR="00A64017" w:rsidRPr="00593A5F" w14:paraId="36BB2E28" w14:textId="77777777" w:rsidTr="00A15B1F">
        <w:trPr>
          <w:trHeight w:val="545"/>
        </w:trPr>
        <w:tc>
          <w:tcPr>
            <w:tcW w:w="2295" w:type="dxa"/>
          </w:tcPr>
          <w:p w14:paraId="191CC24C" w14:textId="77777777" w:rsidR="00A64017" w:rsidRPr="006730E9" w:rsidRDefault="00A64017" w:rsidP="00A15B1F">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481" w:type="dxa"/>
            <w:gridSpan w:val="2"/>
          </w:tcPr>
          <w:p w14:paraId="7F568F0F" w14:textId="68B5EE2D" w:rsidR="00A64017" w:rsidRPr="006730E9" w:rsidRDefault="00A64017" w:rsidP="00A15B1F">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00AB6E9A" w:rsidRPr="00AB6E9A">
              <w:rPr>
                <w:rFonts w:ascii="Verdana" w:eastAsia="Calibri" w:hAnsi="Verdana" w:cs="Arial"/>
                <w:lang w:val="es-ES_tradnl" w:eastAsia="es-ES_tradnl"/>
              </w:rPr>
              <w:t>1_2025_09_25_010635</w:t>
            </w:r>
            <w:r w:rsidR="00CE32D1">
              <w:rPr>
                <w:rFonts w:ascii="Verdana" w:eastAsia="Calibri" w:hAnsi="Verdana" w:cs="Arial"/>
                <w:lang w:val="es-ES_tradnl" w:eastAsia="es-ES_tradnl"/>
              </w:rPr>
              <w:t>.</w:t>
            </w:r>
          </w:p>
        </w:tc>
      </w:tr>
      <w:tr w:rsidR="00A64017" w:rsidRPr="00DB23D2" w14:paraId="384FAB6D" w14:textId="77777777" w:rsidTr="00A15B1F">
        <w:trPr>
          <w:gridAfter w:val="1"/>
          <w:wAfter w:w="319" w:type="dxa"/>
          <w:trHeight w:val="242"/>
        </w:trPr>
        <w:tc>
          <w:tcPr>
            <w:tcW w:w="8457" w:type="dxa"/>
            <w:gridSpan w:val="2"/>
          </w:tcPr>
          <w:p w14:paraId="45E68A2D" w14:textId="77777777" w:rsidR="00A64017" w:rsidRPr="00DB23D2" w:rsidRDefault="00A64017" w:rsidP="00103B90">
            <w:pPr>
              <w:spacing w:line="276" w:lineRule="auto"/>
              <w:jc w:val="both"/>
              <w:rPr>
                <w:rFonts w:ascii="Verdana" w:eastAsia="Calibri" w:hAnsi="Verdana" w:cs="Arial"/>
                <w:lang w:val="es-ES_tradnl" w:eastAsia="es-ES"/>
              </w:rPr>
            </w:pPr>
          </w:p>
        </w:tc>
      </w:tr>
    </w:tbl>
    <w:p w14:paraId="63704E96" w14:textId="5262E06A" w:rsidR="00A64017" w:rsidRPr="006730E9" w:rsidRDefault="00A64017" w:rsidP="00A64017">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sidR="00423BFF">
        <w:rPr>
          <w:rFonts w:ascii="Verdana" w:eastAsia="Calibri" w:hAnsi="Verdana" w:cs="Arial"/>
          <w:lang w:val="es-ES" w:eastAsia="es-ES"/>
        </w:rPr>
        <w:t>a</w:t>
      </w:r>
      <w:r>
        <w:rPr>
          <w:rFonts w:ascii="Verdana" w:eastAsia="Calibri" w:hAnsi="Verdana" w:cs="Arial"/>
          <w:lang w:val="es-ES" w:eastAsia="es-ES"/>
        </w:rPr>
        <w:t xml:space="preserve"> </w:t>
      </w:r>
      <w:r w:rsidRPr="006730E9">
        <w:rPr>
          <w:rFonts w:ascii="Verdana" w:eastAsia="Calibri" w:hAnsi="Verdana" w:cs="Arial"/>
          <w:lang w:val="es-ES" w:eastAsia="es-ES"/>
        </w:rPr>
        <w:t>señor</w:t>
      </w:r>
      <w:r w:rsidR="00423BFF">
        <w:rPr>
          <w:rFonts w:ascii="Verdana" w:eastAsia="Calibri" w:hAnsi="Verdana" w:cs="Arial"/>
          <w:lang w:val="es-ES" w:eastAsia="es-ES"/>
        </w:rPr>
        <w:t>a</w:t>
      </w:r>
      <w:r>
        <w:rPr>
          <w:rFonts w:ascii="Verdana" w:eastAsia="Calibri" w:hAnsi="Verdana" w:cs="Arial"/>
          <w:lang w:val="es-ES" w:eastAsia="es-ES"/>
        </w:rPr>
        <w:t xml:space="preserve"> </w:t>
      </w:r>
      <w:r w:rsidR="00AB6E9A">
        <w:rPr>
          <w:rFonts w:ascii="Verdana" w:eastAsia="Calibri" w:hAnsi="Verdana" w:cs="Arial"/>
          <w:lang w:val="es-ES" w:eastAsia="es-ES"/>
        </w:rPr>
        <w:t>Rincón</w:t>
      </w:r>
      <w:r>
        <w:rPr>
          <w:rFonts w:ascii="Verdana" w:eastAsia="Calibri" w:hAnsi="Verdana" w:cs="Arial"/>
          <w:lang w:val="es-ES" w:eastAsia="es-ES"/>
        </w:rPr>
        <w:t>;</w:t>
      </w:r>
    </w:p>
    <w:p w14:paraId="6683B019" w14:textId="77777777" w:rsidR="00A64017" w:rsidRDefault="00A64017" w:rsidP="00A64017">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6507A697" w14:textId="43921141" w:rsidR="00A64017" w:rsidRPr="006730E9" w:rsidRDefault="00A64017" w:rsidP="00A64017">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la Agencia Nacional de Contratación Pública – Colombia Compra Eficiente– responde su solicitud</w:t>
      </w:r>
      <w:r>
        <w:rPr>
          <w:rFonts w:ascii="Verdana" w:eastAsia="Calibri" w:hAnsi="Verdana" w:cs="Arial"/>
          <w:lang w:val="es-ES" w:eastAsia="es-ES"/>
        </w:rPr>
        <w:t xml:space="preserve"> radicada </w:t>
      </w:r>
      <w:r w:rsidR="0057166B">
        <w:rPr>
          <w:rFonts w:ascii="Verdana" w:eastAsia="Calibri" w:hAnsi="Verdana" w:cs="Arial"/>
          <w:lang w:val="es-ES" w:eastAsia="es-ES"/>
        </w:rPr>
        <w:t xml:space="preserve">en esta entidad </w:t>
      </w:r>
      <w:r w:rsidRPr="00E5644F">
        <w:rPr>
          <w:rFonts w:ascii="Verdana" w:eastAsia="Calibri" w:hAnsi="Verdana" w:cs="Arial"/>
          <w:lang w:val="es-ES" w:eastAsia="es-ES"/>
        </w:rPr>
        <w:t xml:space="preserve">el </w:t>
      </w:r>
      <w:r w:rsidR="0057166B">
        <w:rPr>
          <w:rFonts w:ascii="Verdana" w:eastAsia="Calibri" w:hAnsi="Verdana" w:cs="Arial"/>
          <w:lang w:val="es-ES" w:eastAsia="es-ES"/>
        </w:rPr>
        <w:t>2</w:t>
      </w:r>
      <w:r w:rsidR="00AB6E9A">
        <w:rPr>
          <w:rFonts w:ascii="Verdana" w:eastAsia="Calibri" w:hAnsi="Verdana" w:cs="Arial"/>
          <w:lang w:val="es-ES" w:eastAsia="es-ES"/>
        </w:rPr>
        <w:t>6</w:t>
      </w:r>
      <w:r w:rsidR="00CA01D8">
        <w:rPr>
          <w:rFonts w:ascii="Verdana" w:eastAsia="Calibri" w:hAnsi="Verdana" w:cs="Arial"/>
          <w:lang w:val="es-ES" w:eastAsia="es-ES"/>
        </w:rPr>
        <w:t xml:space="preserve"> </w:t>
      </w:r>
      <w:r w:rsidRPr="00E5644F">
        <w:rPr>
          <w:rFonts w:ascii="Verdana" w:eastAsia="Calibri" w:hAnsi="Verdana" w:cs="Arial"/>
          <w:lang w:val="es-ES" w:eastAsia="es-ES"/>
        </w:rPr>
        <w:t xml:space="preserve">de </w:t>
      </w:r>
      <w:r w:rsidR="00423BFF">
        <w:rPr>
          <w:rFonts w:ascii="Verdana" w:eastAsia="Calibri" w:hAnsi="Verdana" w:cs="Arial"/>
          <w:lang w:val="es-ES" w:eastAsia="es-ES"/>
        </w:rPr>
        <w:t>septiembre</w:t>
      </w:r>
      <w:r w:rsidRPr="00E5644F">
        <w:rPr>
          <w:rFonts w:ascii="Verdana" w:eastAsia="Calibri" w:hAnsi="Verdana" w:cs="Arial"/>
          <w:lang w:val="es-ES" w:eastAsia="es-ES"/>
        </w:rPr>
        <w:t xml:space="preserve"> de</w:t>
      </w:r>
      <w:r>
        <w:rPr>
          <w:rFonts w:ascii="Verdana" w:eastAsia="Calibri" w:hAnsi="Verdana" w:cs="Arial"/>
          <w:lang w:val="es-ES" w:eastAsia="es-ES"/>
        </w:rPr>
        <w:t xml:space="preserve"> </w:t>
      </w:r>
      <w:r w:rsidRPr="00E5644F">
        <w:rPr>
          <w:rFonts w:ascii="Verdana" w:eastAsia="Calibri" w:hAnsi="Verdana" w:cs="Arial"/>
          <w:lang w:val="es-ES" w:eastAsia="es-ES"/>
        </w:rPr>
        <w:t>202</w:t>
      </w:r>
      <w:r>
        <w:rPr>
          <w:rFonts w:ascii="Verdana" w:eastAsia="Calibri" w:hAnsi="Verdana" w:cs="Arial"/>
          <w:lang w:val="es-ES" w:eastAsia="es-ES"/>
        </w:rPr>
        <w:t>5</w:t>
      </w:r>
      <w:r w:rsidRPr="00E5644F">
        <w:rPr>
          <w:rFonts w:ascii="Verdana" w:eastAsia="Calibri" w:hAnsi="Verdana" w:cs="Arial"/>
          <w:lang w:val="es-ES" w:eastAsia="es-ES"/>
        </w:rPr>
        <w:t>, en</w:t>
      </w:r>
      <w:r w:rsidRPr="006730E9">
        <w:rPr>
          <w:rFonts w:ascii="Verdana" w:eastAsia="Calibri" w:hAnsi="Verdana" w:cs="Arial"/>
          <w:lang w:val="es-ES" w:eastAsia="es-ES"/>
        </w:rPr>
        <w:t xml:space="preserve"> la cual manifiesta lo siguiente: </w:t>
      </w:r>
    </w:p>
    <w:p w14:paraId="718EE431" w14:textId="77777777" w:rsidR="00A64017" w:rsidRPr="00326382" w:rsidRDefault="00A64017" w:rsidP="00103B90">
      <w:pPr>
        <w:spacing w:after="0" w:line="276" w:lineRule="auto"/>
        <w:ind w:left="709" w:right="474"/>
        <w:jc w:val="both"/>
        <w:rPr>
          <w:rFonts w:ascii="Verdana" w:hAnsi="Verdana" w:cs="Arial"/>
          <w:sz w:val="20"/>
          <w:szCs w:val="20"/>
          <w:shd w:val="clear" w:color="auto" w:fill="FFFFFF"/>
        </w:rPr>
      </w:pPr>
      <w:bookmarkStart w:id="2" w:name="_Hlk95313578"/>
    </w:p>
    <w:bookmarkEnd w:id="2"/>
    <w:p w14:paraId="11D516E0" w14:textId="1BA20C2B" w:rsidR="00A64017" w:rsidRDefault="00A64017" w:rsidP="00103B90">
      <w:pPr>
        <w:tabs>
          <w:tab w:val="left" w:pos="142"/>
          <w:tab w:val="left" w:pos="567"/>
        </w:tabs>
        <w:spacing w:after="0" w:line="240" w:lineRule="auto"/>
        <w:ind w:left="709" w:right="709"/>
        <w:jc w:val="both"/>
        <w:rPr>
          <w:rFonts w:ascii="Verdana" w:eastAsia="Century Gothic" w:hAnsi="Verdana" w:cs="Century Gothic"/>
          <w:i/>
          <w:iCs/>
          <w:sz w:val="20"/>
          <w:szCs w:val="20"/>
        </w:rPr>
      </w:pPr>
      <w:r w:rsidRPr="00B350FE">
        <w:rPr>
          <w:rFonts w:ascii="Verdana" w:eastAsia="Century Gothic" w:hAnsi="Verdana" w:cs="Century Gothic"/>
          <w:i/>
          <w:iCs/>
          <w:sz w:val="20"/>
          <w:szCs w:val="20"/>
        </w:rPr>
        <w:t xml:space="preserve">“(…) </w:t>
      </w:r>
    </w:p>
    <w:p w14:paraId="64401E59" w14:textId="77777777" w:rsidR="00B350FE" w:rsidRPr="00B350FE" w:rsidRDefault="00B350FE" w:rsidP="00103B90">
      <w:pPr>
        <w:tabs>
          <w:tab w:val="left" w:pos="142"/>
          <w:tab w:val="left" w:pos="567"/>
        </w:tabs>
        <w:spacing w:after="0" w:line="240" w:lineRule="auto"/>
        <w:ind w:left="709" w:right="709"/>
        <w:jc w:val="both"/>
        <w:rPr>
          <w:rFonts w:ascii="Verdana" w:eastAsia="Century Gothic" w:hAnsi="Verdana" w:cs="Century Gothic"/>
          <w:i/>
          <w:iCs/>
          <w:sz w:val="20"/>
          <w:szCs w:val="20"/>
        </w:rPr>
      </w:pPr>
    </w:p>
    <w:p w14:paraId="2CDDC996" w14:textId="3695A0B1" w:rsidR="00A64017" w:rsidRPr="00B350FE" w:rsidRDefault="00AB6E9A" w:rsidP="00AB6E9A">
      <w:pPr>
        <w:tabs>
          <w:tab w:val="left" w:pos="142"/>
          <w:tab w:val="left" w:pos="567"/>
        </w:tabs>
        <w:spacing w:after="0" w:line="240" w:lineRule="auto"/>
        <w:ind w:left="709" w:right="709"/>
        <w:jc w:val="both"/>
        <w:rPr>
          <w:rFonts w:ascii="Verdana" w:eastAsia="Century Gothic" w:hAnsi="Verdana" w:cs="Century Gothic"/>
          <w:i/>
          <w:iCs/>
          <w:sz w:val="20"/>
          <w:szCs w:val="20"/>
        </w:rPr>
      </w:pPr>
      <w:r w:rsidRPr="00AB6E9A">
        <w:rPr>
          <w:rFonts w:ascii="Verdana" w:eastAsia="Century Gothic" w:hAnsi="Verdana" w:cs="Century Gothic"/>
          <w:i/>
          <w:iCs/>
          <w:sz w:val="20"/>
          <w:szCs w:val="20"/>
        </w:rPr>
        <w:t>En caso que en un proceso de Subasta Inversa, la Entidad, decida rechazar la oferta</w:t>
      </w:r>
      <w:r>
        <w:rPr>
          <w:rFonts w:ascii="Verdana" w:eastAsia="Century Gothic" w:hAnsi="Verdana" w:cs="Century Gothic"/>
          <w:i/>
          <w:iCs/>
          <w:sz w:val="20"/>
          <w:szCs w:val="20"/>
        </w:rPr>
        <w:t xml:space="preserve"> </w:t>
      </w:r>
      <w:r w:rsidRPr="00AB6E9A">
        <w:rPr>
          <w:rFonts w:ascii="Verdana" w:eastAsia="Century Gothic" w:hAnsi="Verdana" w:cs="Century Gothic"/>
          <w:i/>
          <w:iCs/>
          <w:sz w:val="20"/>
          <w:szCs w:val="20"/>
        </w:rPr>
        <w:t>más baja, obtenida al final del evento de Subasta Electrónica, particularmente en</w:t>
      </w:r>
      <w:r>
        <w:rPr>
          <w:rFonts w:ascii="Verdana" w:eastAsia="Century Gothic" w:hAnsi="Verdana" w:cs="Century Gothic"/>
          <w:i/>
          <w:iCs/>
          <w:sz w:val="20"/>
          <w:szCs w:val="20"/>
        </w:rPr>
        <w:t xml:space="preserve"> </w:t>
      </w:r>
      <w:r w:rsidRPr="00AB6E9A">
        <w:rPr>
          <w:rFonts w:ascii="Verdana" w:eastAsia="Century Gothic" w:hAnsi="Verdana" w:cs="Century Gothic"/>
          <w:i/>
          <w:iCs/>
          <w:sz w:val="20"/>
          <w:szCs w:val="20"/>
        </w:rPr>
        <w:t>los casos en que el proponente no responda al requerimiento o atribuya el lance a</w:t>
      </w:r>
      <w:r>
        <w:rPr>
          <w:rFonts w:ascii="Verdana" w:eastAsia="Century Gothic" w:hAnsi="Verdana" w:cs="Century Gothic"/>
          <w:i/>
          <w:iCs/>
          <w:sz w:val="20"/>
          <w:szCs w:val="20"/>
        </w:rPr>
        <w:t xml:space="preserve"> </w:t>
      </w:r>
      <w:r w:rsidRPr="00AB6E9A">
        <w:rPr>
          <w:rFonts w:ascii="Verdana" w:eastAsia="Century Gothic" w:hAnsi="Verdana" w:cs="Century Gothic"/>
          <w:i/>
          <w:iCs/>
          <w:sz w:val="20"/>
          <w:szCs w:val="20"/>
        </w:rPr>
        <w:t>un error de digitación, manifestando que ese no era el lance que pretendía realizar,</w:t>
      </w:r>
      <w:r>
        <w:rPr>
          <w:rFonts w:ascii="Verdana" w:eastAsia="Century Gothic" w:hAnsi="Verdana" w:cs="Century Gothic"/>
          <w:i/>
          <w:iCs/>
          <w:sz w:val="20"/>
          <w:szCs w:val="20"/>
        </w:rPr>
        <w:t xml:space="preserve"> </w:t>
      </w:r>
      <w:r w:rsidRPr="00AB6E9A">
        <w:rPr>
          <w:rFonts w:ascii="Verdana" w:eastAsia="Century Gothic" w:hAnsi="Verdana" w:cs="Century Gothic"/>
          <w:i/>
          <w:iCs/>
          <w:sz w:val="20"/>
          <w:szCs w:val="20"/>
        </w:rPr>
        <w:t xml:space="preserve">la Entidad puede crear un </w:t>
      </w:r>
      <w:proofErr w:type="spellStart"/>
      <w:r w:rsidRPr="00AB6E9A">
        <w:rPr>
          <w:rFonts w:ascii="Verdana" w:eastAsia="Century Gothic" w:hAnsi="Verdana" w:cs="Century Gothic"/>
          <w:i/>
          <w:iCs/>
          <w:sz w:val="20"/>
          <w:szCs w:val="20"/>
        </w:rPr>
        <w:t>un</w:t>
      </w:r>
      <w:proofErr w:type="spellEnd"/>
      <w:r w:rsidRPr="00AB6E9A">
        <w:rPr>
          <w:rFonts w:ascii="Verdana" w:eastAsia="Century Gothic" w:hAnsi="Verdana" w:cs="Century Gothic"/>
          <w:i/>
          <w:iCs/>
          <w:sz w:val="20"/>
          <w:szCs w:val="20"/>
        </w:rPr>
        <w:t xml:space="preserve"> nuevo evento de subasta electrónica en la Plataforma</w:t>
      </w:r>
      <w:r>
        <w:rPr>
          <w:rFonts w:ascii="Verdana" w:eastAsia="Century Gothic" w:hAnsi="Verdana" w:cs="Century Gothic"/>
          <w:i/>
          <w:iCs/>
          <w:sz w:val="20"/>
          <w:szCs w:val="20"/>
        </w:rPr>
        <w:t xml:space="preserve"> </w:t>
      </w:r>
      <w:r w:rsidRPr="00AB6E9A">
        <w:rPr>
          <w:rFonts w:ascii="Verdana" w:eastAsia="Century Gothic" w:hAnsi="Verdana" w:cs="Century Gothic"/>
          <w:i/>
          <w:iCs/>
          <w:sz w:val="20"/>
          <w:szCs w:val="20"/>
        </w:rPr>
        <w:t>SECOP II, retirando al proponente que no justifico su precios, del nuevo evento y</w:t>
      </w:r>
      <w:r>
        <w:rPr>
          <w:rFonts w:ascii="Verdana" w:eastAsia="Century Gothic" w:hAnsi="Verdana" w:cs="Century Gothic"/>
          <w:i/>
          <w:iCs/>
          <w:sz w:val="20"/>
          <w:szCs w:val="20"/>
        </w:rPr>
        <w:t xml:space="preserve"> </w:t>
      </w:r>
      <w:r w:rsidRPr="00AB6E9A">
        <w:rPr>
          <w:rFonts w:ascii="Verdana" w:eastAsia="Century Gothic" w:hAnsi="Verdana" w:cs="Century Gothic"/>
          <w:i/>
          <w:iCs/>
          <w:sz w:val="20"/>
          <w:szCs w:val="20"/>
        </w:rPr>
        <w:t>permitiendo únicamente la participación de los otros proponentes que se encuentren</w:t>
      </w:r>
      <w:r>
        <w:rPr>
          <w:rFonts w:ascii="Verdana" w:eastAsia="Century Gothic" w:hAnsi="Verdana" w:cs="Century Gothic"/>
          <w:i/>
          <w:iCs/>
          <w:sz w:val="20"/>
          <w:szCs w:val="20"/>
        </w:rPr>
        <w:t xml:space="preserve"> </w:t>
      </w:r>
      <w:r w:rsidRPr="00AB6E9A">
        <w:rPr>
          <w:rFonts w:ascii="Verdana" w:eastAsia="Century Gothic" w:hAnsi="Verdana" w:cs="Century Gothic"/>
          <w:i/>
          <w:iCs/>
          <w:sz w:val="20"/>
          <w:szCs w:val="20"/>
        </w:rPr>
        <w:t xml:space="preserve">habilitados; con el fin de evitar que un participante de la </w:t>
      </w:r>
      <w:r w:rsidRPr="00AB6E9A">
        <w:rPr>
          <w:rFonts w:ascii="Verdana" w:eastAsia="Century Gothic" w:hAnsi="Verdana" w:cs="Century Gothic"/>
          <w:i/>
          <w:iCs/>
          <w:sz w:val="20"/>
          <w:szCs w:val="20"/>
        </w:rPr>
        <w:lastRenderedPageBreak/>
        <w:t>subasta beneficie a otro a</w:t>
      </w:r>
      <w:r>
        <w:rPr>
          <w:rFonts w:ascii="Verdana" w:eastAsia="Century Gothic" w:hAnsi="Verdana" w:cs="Century Gothic"/>
          <w:i/>
          <w:iCs/>
          <w:sz w:val="20"/>
          <w:szCs w:val="20"/>
        </w:rPr>
        <w:t xml:space="preserve"> </w:t>
      </w:r>
      <w:r w:rsidRPr="00AB6E9A">
        <w:rPr>
          <w:rFonts w:ascii="Verdana" w:eastAsia="Century Gothic" w:hAnsi="Verdana" w:cs="Century Gothic"/>
          <w:i/>
          <w:iCs/>
          <w:sz w:val="20"/>
          <w:szCs w:val="20"/>
        </w:rPr>
        <w:t>través de la presentación de una oferta artificialmente baja</w:t>
      </w:r>
      <w:r w:rsidR="00423BFF">
        <w:rPr>
          <w:rFonts w:ascii="Verdana" w:eastAsia="Century Gothic" w:hAnsi="Verdana" w:cs="Century Gothic"/>
          <w:i/>
          <w:iCs/>
          <w:sz w:val="20"/>
          <w:szCs w:val="20"/>
          <w:lang w:val="es-MX"/>
        </w:rPr>
        <w:t>.</w:t>
      </w:r>
      <w:r w:rsidR="00423BFF" w:rsidRPr="00423BFF">
        <w:rPr>
          <w:rFonts w:ascii="Verdana" w:eastAsia="Century Gothic" w:hAnsi="Verdana" w:cs="Century Gothic"/>
          <w:i/>
          <w:iCs/>
          <w:sz w:val="20"/>
          <w:szCs w:val="20"/>
          <w:lang w:val="es-MX"/>
        </w:rPr>
        <w:t xml:space="preserve"> </w:t>
      </w:r>
      <w:r w:rsidR="00A64017" w:rsidRPr="00B350FE">
        <w:rPr>
          <w:rFonts w:ascii="Verdana" w:eastAsia="Century Gothic" w:hAnsi="Verdana" w:cs="Century Gothic"/>
          <w:i/>
          <w:iCs/>
          <w:sz w:val="20"/>
          <w:szCs w:val="20"/>
        </w:rPr>
        <w:t xml:space="preserve">(…)”. </w:t>
      </w:r>
    </w:p>
    <w:p w14:paraId="5C2F274F" w14:textId="77777777" w:rsidR="008B5BD4" w:rsidRDefault="008B5BD4" w:rsidP="00103B90">
      <w:pPr>
        <w:spacing w:after="0" w:line="276" w:lineRule="auto"/>
        <w:ind w:firstLine="709"/>
        <w:jc w:val="both"/>
        <w:rPr>
          <w:rFonts w:ascii="Verdana" w:eastAsia="Calibri" w:hAnsi="Verdana" w:cs="Arial"/>
          <w:lang w:val="es-ES" w:eastAsia="es-ES"/>
        </w:rPr>
      </w:pPr>
    </w:p>
    <w:p w14:paraId="538B555C" w14:textId="2C99F5BA" w:rsidR="00A64017" w:rsidRPr="00AA3B9F" w:rsidRDefault="00A64017" w:rsidP="00A64017">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sidR="008B5BD4">
        <w:rPr>
          <w:rFonts w:ascii="Verdana" w:eastAsia="Calibri" w:hAnsi="Verdana" w:cs="Arial"/>
          <w:lang w:val="es-ES" w:eastAsia="es-ES"/>
        </w:rPr>
        <w:t>la Agencia Nacional de Contratación Pública –</w:t>
      </w:r>
      <w:r w:rsidRPr="00AA3B9F">
        <w:rPr>
          <w:rFonts w:ascii="Verdana" w:eastAsia="Calibri" w:hAnsi="Verdana" w:cs="Arial"/>
          <w:lang w:val="es-ES" w:eastAsia="es-ES"/>
        </w:rPr>
        <w:t xml:space="preserve">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23568A68" w14:textId="32B98A9D" w:rsidR="00A64017" w:rsidRPr="00AA3B9F" w:rsidRDefault="00A64017" w:rsidP="00A64017">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sidR="008B5BD4">
        <w:rPr>
          <w:rFonts w:ascii="Verdana" w:eastAsia="Calibri" w:hAnsi="Verdana" w:cs="Arial"/>
          <w:lang w:val="es-ES" w:eastAsia="es-ES"/>
        </w:rPr>
        <w:t>señala</w:t>
      </w:r>
      <w:r w:rsidR="008B5BD4" w:rsidRPr="00AA3B9F">
        <w:rPr>
          <w:rFonts w:ascii="Verdana" w:eastAsia="Calibri" w:hAnsi="Verdana" w:cs="Arial"/>
          <w:lang w:val="es-ES" w:eastAsia="es-ES"/>
        </w:rPr>
        <w:t xml:space="preserve">ndo </w:t>
      </w:r>
      <w:r w:rsidRPr="00AA3B9F">
        <w:rPr>
          <w:rFonts w:ascii="Verdana" w:eastAsia="Calibri" w:hAnsi="Verdana" w:cs="Arial"/>
          <w:lang w:val="es-ES" w:eastAsia="es-ES"/>
        </w:rPr>
        <w:t>unas consideraciones sobre las normas generales</w:t>
      </w:r>
      <w:r>
        <w:rPr>
          <w:rFonts w:ascii="Verdana" w:eastAsia="Calibri" w:hAnsi="Verdana" w:cs="Arial"/>
          <w:lang w:val="es-ES" w:eastAsia="es-ES"/>
        </w:rPr>
        <w:t xml:space="preserve"> que rigen el Sistema de Compras y Contratación Pública</w:t>
      </w:r>
      <w:r w:rsidRPr="00AA3B9F">
        <w:rPr>
          <w:rFonts w:ascii="Verdana" w:eastAsia="Calibri" w:hAnsi="Verdana" w:cs="Arial"/>
          <w:lang w:val="es-ES" w:eastAsia="es-ES"/>
        </w:rPr>
        <w:t xml:space="preserve"> relacionadas con los problemas jurídicos de su consulta.</w:t>
      </w:r>
      <w:r w:rsidRPr="00E21BD1">
        <w:t xml:space="preserve"> </w:t>
      </w:r>
    </w:p>
    <w:p w14:paraId="4A088568" w14:textId="77777777" w:rsidR="00A64017" w:rsidRDefault="00A64017" w:rsidP="00A64017">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43F2C784" w14:textId="77777777" w:rsidR="00A64017" w:rsidRDefault="00A64017" w:rsidP="00A64017">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 jurídico </w:t>
      </w:r>
      <w:r w:rsidRPr="00593A5F">
        <w:rPr>
          <w:rFonts w:ascii="Verdana" w:eastAsia="Century Gothic" w:hAnsi="Verdana" w:cs="Century Gothic"/>
          <w:b/>
          <w:bCs/>
        </w:rPr>
        <w:t>planteado:</w:t>
      </w:r>
    </w:p>
    <w:p w14:paraId="5A923AA7" w14:textId="77777777" w:rsidR="00A64017" w:rsidRDefault="00A64017" w:rsidP="00A64017">
      <w:pPr>
        <w:pStyle w:val="Prrafodelista"/>
        <w:tabs>
          <w:tab w:val="left" w:pos="142"/>
          <w:tab w:val="left" w:pos="284"/>
        </w:tabs>
        <w:spacing w:after="0" w:line="276" w:lineRule="auto"/>
        <w:ind w:left="0"/>
        <w:jc w:val="both"/>
        <w:rPr>
          <w:rFonts w:ascii="Verdana" w:eastAsia="Century Gothic" w:hAnsi="Verdana" w:cs="Century Gothic"/>
          <w:b/>
          <w:bCs/>
        </w:rPr>
      </w:pPr>
    </w:p>
    <w:p w14:paraId="28985346" w14:textId="5B05C3B1" w:rsidR="00D3590B" w:rsidRPr="00D3590B" w:rsidRDefault="00A64017" w:rsidP="00D3590B">
      <w:pPr>
        <w:spacing w:after="0" w:line="276" w:lineRule="auto"/>
        <w:jc w:val="both"/>
        <w:rPr>
          <w:rFonts w:ascii="Verdana" w:eastAsia="Century Gothic" w:hAnsi="Verdana" w:cs="Century Gothic"/>
        </w:rPr>
      </w:pPr>
      <w:r w:rsidRPr="00E21BD1">
        <w:rPr>
          <w:rFonts w:ascii="Verdana" w:eastAsia="Calibri" w:hAnsi="Verdana" w:cs="Arial"/>
          <w:lang w:eastAsia="es-ES"/>
        </w:rPr>
        <w:t xml:space="preserve">De acuerdo con el contenido de su solicitud, esta Agencia resolverá </w:t>
      </w:r>
      <w:r w:rsidR="00D3590B">
        <w:rPr>
          <w:rFonts w:ascii="Verdana" w:eastAsia="Calibri" w:hAnsi="Verdana" w:cs="Arial"/>
          <w:lang w:eastAsia="es-ES"/>
        </w:rPr>
        <w:t xml:space="preserve">el </w:t>
      </w:r>
      <w:r w:rsidRPr="00E21BD1">
        <w:rPr>
          <w:rFonts w:ascii="Verdana" w:eastAsia="Calibri" w:hAnsi="Verdana" w:cs="Arial"/>
          <w:lang w:eastAsia="es-ES"/>
        </w:rPr>
        <w:t>siguiente problema jurídico:</w:t>
      </w:r>
      <w:bookmarkStart w:id="3" w:name="_Hlk196737317"/>
      <w:r>
        <w:rPr>
          <w:rFonts w:ascii="Verdana" w:eastAsia="Calibri" w:hAnsi="Verdana" w:cs="Arial"/>
          <w:lang w:eastAsia="es-ES"/>
        </w:rPr>
        <w:t xml:space="preserve"> </w:t>
      </w:r>
      <w:r w:rsidR="006905C0" w:rsidRPr="00885D90">
        <w:rPr>
          <w:rFonts w:ascii="Verdana" w:eastAsia="Century Gothic" w:hAnsi="Verdana" w:cs="Century Gothic"/>
        </w:rPr>
        <w:t>¿</w:t>
      </w:r>
      <w:r w:rsidR="00A41289" w:rsidRPr="00A41289">
        <w:rPr>
          <w:rFonts w:ascii="Verdana" w:eastAsia="Century Gothic" w:hAnsi="Verdana" w:cs="Century Gothic"/>
        </w:rPr>
        <w:t>Puede una entidad estatal, en una Subasta Inversa Electrónica en SECOP II, rechazar la oferta más baja cuando el precio resulta presuntamente artificialmente bajo y el oferente no justifica su valor o alega error de digitación, conforme al Decreto 1082 de 2015 y la Guía de Ofertas Artificialmente Bajas de Colombia Compra Eficiente?</w:t>
      </w:r>
    </w:p>
    <w:p w14:paraId="76BF5ECC" w14:textId="77777777" w:rsidR="00D3590B" w:rsidRPr="00D3590B" w:rsidRDefault="00D3590B" w:rsidP="00D3590B">
      <w:pPr>
        <w:spacing w:after="0" w:line="276" w:lineRule="auto"/>
        <w:jc w:val="both"/>
        <w:rPr>
          <w:rFonts w:ascii="Verdana" w:eastAsia="Century Gothic" w:hAnsi="Verdana" w:cs="Century Gothic"/>
        </w:rPr>
      </w:pPr>
    </w:p>
    <w:bookmarkEnd w:id="3"/>
    <w:p w14:paraId="5A5F1798" w14:textId="77777777" w:rsidR="00A64017" w:rsidRDefault="00A64017" w:rsidP="00A6401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0D191623" w14:textId="77777777" w:rsidR="00A64017" w:rsidRPr="00593A5F" w:rsidRDefault="00A64017" w:rsidP="00A6401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64017" w:rsidRPr="00593A5F" w14:paraId="1ED9E821" w14:textId="77777777" w:rsidTr="00A15B1F">
        <w:tc>
          <w:tcPr>
            <w:tcW w:w="8828" w:type="dxa"/>
          </w:tcPr>
          <w:p w14:paraId="62D00021" w14:textId="5ABFDB02" w:rsidR="00A41289" w:rsidRDefault="009C3869" w:rsidP="00A41289">
            <w:pPr>
              <w:spacing w:before="120" w:after="120" w:line="276" w:lineRule="auto"/>
              <w:ind w:firstLine="708"/>
              <w:jc w:val="both"/>
              <w:rPr>
                <w:rFonts w:ascii="Verdana" w:eastAsia="Calibri" w:hAnsi="Verdana" w:cs="Arial"/>
                <w:bCs/>
                <w:color w:val="000000" w:themeColor="text1"/>
              </w:rPr>
            </w:pPr>
            <w:r>
              <w:rPr>
                <w:rFonts w:ascii="Verdana" w:eastAsia="Calibri" w:hAnsi="Verdana" w:cs="Arial"/>
                <w:lang w:val="es-ES_tradnl" w:eastAsia="es-ES"/>
              </w:rPr>
              <w:t xml:space="preserve">   </w:t>
            </w:r>
            <w:r w:rsidR="00A41289">
              <w:rPr>
                <w:rFonts w:ascii="Verdana" w:eastAsia="Calibri" w:hAnsi="Verdana" w:cs="Arial"/>
                <w:bCs/>
                <w:color w:val="000000" w:themeColor="text1"/>
              </w:rPr>
              <w:t>E</w:t>
            </w:r>
            <w:r w:rsidR="00A41289" w:rsidRPr="00C7680D">
              <w:rPr>
                <w:rFonts w:ascii="Verdana" w:eastAsia="Calibri" w:hAnsi="Verdana" w:cs="Arial"/>
                <w:bCs/>
                <w:color w:val="000000" w:themeColor="text1"/>
              </w:rPr>
              <w:t>n</w:t>
            </w:r>
            <w:r w:rsidR="00A41289">
              <w:rPr>
                <w:rFonts w:ascii="Verdana" w:eastAsia="Calibri" w:hAnsi="Verdana" w:cs="Arial"/>
                <w:bCs/>
                <w:color w:val="000000" w:themeColor="text1"/>
              </w:rPr>
              <w:t xml:space="preserve"> los procesos de</w:t>
            </w:r>
            <w:r w:rsidR="00A41289" w:rsidRPr="00C7680D">
              <w:rPr>
                <w:rFonts w:ascii="Verdana" w:eastAsia="Calibri" w:hAnsi="Verdana" w:cs="Arial"/>
                <w:bCs/>
                <w:color w:val="000000" w:themeColor="text1"/>
              </w:rPr>
              <w:t xml:space="preserve"> subasta inversa, la verificación de un </w:t>
            </w:r>
            <w:proofErr w:type="gramStart"/>
            <w:r w:rsidR="00A41289" w:rsidRPr="00C7680D">
              <w:rPr>
                <w:rFonts w:ascii="Verdana" w:eastAsia="Calibri" w:hAnsi="Verdana" w:cs="Arial"/>
                <w:bCs/>
                <w:color w:val="000000" w:themeColor="text1"/>
              </w:rPr>
              <w:t>precio  artificialmente</w:t>
            </w:r>
            <w:proofErr w:type="gramEnd"/>
            <w:r w:rsidR="00A41289" w:rsidRPr="00C7680D">
              <w:rPr>
                <w:rFonts w:ascii="Verdana" w:eastAsia="Calibri" w:hAnsi="Verdana" w:cs="Arial"/>
                <w:bCs/>
                <w:color w:val="000000" w:themeColor="text1"/>
              </w:rPr>
              <w:t xml:space="preserve"> bajo se hace al finalizar el evento, con el precio final ofertado, y la entidad debe (i) requerir </w:t>
            </w:r>
            <w:r w:rsidR="00A41289">
              <w:rPr>
                <w:rFonts w:ascii="Verdana" w:eastAsia="Calibri" w:hAnsi="Verdana" w:cs="Arial"/>
                <w:bCs/>
                <w:color w:val="000000" w:themeColor="text1"/>
              </w:rPr>
              <w:t>justificación</w:t>
            </w:r>
            <w:r w:rsidR="00A41289" w:rsidRPr="00C7680D">
              <w:rPr>
                <w:rFonts w:ascii="Verdana" w:eastAsia="Calibri" w:hAnsi="Verdana" w:cs="Arial"/>
                <w:bCs/>
                <w:color w:val="000000" w:themeColor="text1"/>
              </w:rPr>
              <w:t xml:space="preserve"> al oferente, (</w:t>
            </w:r>
            <w:proofErr w:type="spellStart"/>
            <w:r w:rsidR="00A41289" w:rsidRPr="00C7680D">
              <w:rPr>
                <w:rFonts w:ascii="Verdana" w:eastAsia="Calibri" w:hAnsi="Verdana" w:cs="Arial"/>
                <w:bCs/>
                <w:color w:val="000000" w:themeColor="text1"/>
              </w:rPr>
              <w:t>ii</w:t>
            </w:r>
            <w:proofErr w:type="spellEnd"/>
            <w:r w:rsidR="00A41289" w:rsidRPr="00C7680D">
              <w:rPr>
                <w:rFonts w:ascii="Verdana" w:eastAsia="Calibri" w:hAnsi="Verdana" w:cs="Arial"/>
                <w:bCs/>
                <w:color w:val="000000" w:themeColor="text1"/>
              </w:rPr>
              <w:t>) analizarlas y (</w:t>
            </w:r>
            <w:proofErr w:type="spellStart"/>
            <w:r w:rsidR="00A41289" w:rsidRPr="00C7680D">
              <w:rPr>
                <w:rFonts w:ascii="Verdana" w:eastAsia="Calibri" w:hAnsi="Verdana" w:cs="Arial"/>
                <w:bCs/>
                <w:color w:val="000000" w:themeColor="text1"/>
              </w:rPr>
              <w:t>iii</w:t>
            </w:r>
            <w:proofErr w:type="spellEnd"/>
            <w:r w:rsidR="00A41289" w:rsidRPr="00C7680D">
              <w:rPr>
                <w:rFonts w:ascii="Verdana" w:eastAsia="Calibri" w:hAnsi="Verdana" w:cs="Arial"/>
                <w:bCs/>
                <w:color w:val="000000" w:themeColor="text1"/>
              </w:rPr>
              <w:t xml:space="preserve">) </w:t>
            </w:r>
            <w:r w:rsidR="00A41289" w:rsidRPr="00C7680D">
              <w:rPr>
                <w:rFonts w:ascii="Verdana" w:eastAsia="Calibri" w:hAnsi="Verdana" w:cs="Arial"/>
                <w:bCs/>
                <w:color w:val="000000" w:themeColor="text1"/>
              </w:rPr>
              <w:lastRenderedPageBreak/>
              <w:t>decidir motivadamente si continúa con la evaluación o rechaza la oferta por insuficiencia, todo conforme al art. 2.2.1.1.2.2.4 del Decreto 1082 de 2015.</w:t>
            </w:r>
          </w:p>
          <w:p w14:paraId="60A1EE84" w14:textId="30CCAFB1" w:rsidR="00A41289" w:rsidRDefault="00A41289" w:rsidP="00A41289">
            <w:pPr>
              <w:spacing w:before="120" w:after="120" w:line="276" w:lineRule="auto"/>
              <w:ind w:firstLine="708"/>
              <w:jc w:val="both"/>
              <w:rPr>
                <w:rFonts w:ascii="Verdana" w:eastAsia="Calibri" w:hAnsi="Verdana" w:cs="Arial"/>
                <w:bCs/>
                <w:color w:val="000000" w:themeColor="text1"/>
              </w:rPr>
            </w:pPr>
            <w:r w:rsidRPr="00C7680D">
              <w:rPr>
                <w:rFonts w:ascii="Verdana" w:eastAsia="Calibri" w:hAnsi="Verdana" w:cs="Arial"/>
                <w:bCs/>
                <w:color w:val="000000" w:themeColor="text1"/>
              </w:rPr>
              <w:t>De acuerdo</w:t>
            </w:r>
            <w:r>
              <w:rPr>
                <w:rFonts w:ascii="Verdana" w:eastAsia="Calibri" w:hAnsi="Verdana" w:cs="Arial"/>
                <w:bCs/>
                <w:color w:val="000000" w:themeColor="text1"/>
              </w:rPr>
              <w:t xml:space="preserve"> con</w:t>
            </w:r>
            <w:r w:rsidRPr="00C7680D">
              <w:rPr>
                <w:rFonts w:ascii="Verdana" w:eastAsia="Calibri" w:hAnsi="Verdana" w:cs="Arial"/>
                <w:bCs/>
                <w:color w:val="000000" w:themeColor="text1"/>
              </w:rPr>
              <w:t xml:space="preserve"> la Guía para el Manejo de Ofertas Artificialmente Bajas emitida por la Agencia Nacional de Contratación Pública – Colombia Compra Eficiente (2024)</w:t>
            </w:r>
            <w:r w:rsidR="00D56D80">
              <w:rPr>
                <w:rStyle w:val="Refdenotaalpie"/>
                <w:rFonts w:ascii="Verdana" w:eastAsia="Calibri" w:hAnsi="Verdana" w:cs="Arial"/>
                <w:bCs/>
                <w:color w:val="000000" w:themeColor="text1"/>
              </w:rPr>
              <w:footnoteReference w:id="1"/>
            </w:r>
            <w:r w:rsidR="00874173">
              <w:rPr>
                <w:rFonts w:ascii="Verdana" w:eastAsia="Calibri" w:hAnsi="Verdana" w:cs="Arial"/>
                <w:bCs/>
                <w:color w:val="000000" w:themeColor="text1"/>
              </w:rPr>
              <w:t xml:space="preserve"> y en línea con los previsto en el concepto C-1299 del 20 de octubre de 2025 emitido por esta </w:t>
            </w:r>
            <w:r w:rsidR="000E20A9">
              <w:rPr>
                <w:rFonts w:ascii="Verdana" w:eastAsia="Calibri" w:hAnsi="Verdana" w:cs="Arial"/>
                <w:bCs/>
                <w:color w:val="000000" w:themeColor="text1"/>
              </w:rPr>
              <w:t>S</w:t>
            </w:r>
            <w:r w:rsidR="00874173">
              <w:rPr>
                <w:rFonts w:ascii="Verdana" w:eastAsia="Calibri" w:hAnsi="Verdana" w:cs="Arial"/>
                <w:bCs/>
                <w:color w:val="000000" w:themeColor="text1"/>
              </w:rPr>
              <w:t>ubdirección Contractual,</w:t>
            </w:r>
            <w:r w:rsidRPr="00C7680D">
              <w:rPr>
                <w:rFonts w:ascii="Verdana" w:eastAsia="Calibri" w:hAnsi="Verdana" w:cs="Arial"/>
                <w:bCs/>
                <w:color w:val="000000" w:themeColor="text1"/>
              </w:rPr>
              <w:t xml:space="preserve"> una oferta puede ser calificada como presuntamente artificialmente baja cuando, con base en la metodología de comparación definida por la entidad en los pliegos, su precio resulta significativamente inferior al del mercado o no guarda relación con el objeto contractual proyectado. En estos casos, el artículo 2.2.1.1.2.2.4 del Decreto 1082 de 2015 obliga a la entidad a requerir al oferente para que justifique el valor presentado. La Guía es clara en señalar que, </w:t>
            </w:r>
            <w:r>
              <w:rPr>
                <w:rFonts w:ascii="Verdana" w:eastAsia="Calibri" w:hAnsi="Verdana" w:cs="Arial"/>
                <w:bCs/>
                <w:color w:val="000000" w:themeColor="text1"/>
              </w:rPr>
              <w:t>“</w:t>
            </w:r>
            <w:r w:rsidRPr="00C7680D">
              <w:rPr>
                <w:rFonts w:ascii="Verdana" w:eastAsia="Calibri" w:hAnsi="Verdana" w:cs="Arial"/>
                <w:bCs/>
                <w:i/>
                <w:iCs/>
                <w:color w:val="000000" w:themeColor="text1"/>
              </w:rPr>
              <w:t>si el oferente no responde o su explicación resulta insuficiente, la entidad debe rechazar la oferta</w:t>
            </w:r>
            <w:r>
              <w:rPr>
                <w:rFonts w:ascii="Verdana" w:eastAsia="Calibri" w:hAnsi="Verdana" w:cs="Arial"/>
                <w:bCs/>
                <w:i/>
                <w:iCs/>
                <w:color w:val="000000" w:themeColor="text1"/>
              </w:rPr>
              <w:t>”</w:t>
            </w:r>
            <w:r w:rsidRPr="00C7680D">
              <w:rPr>
                <w:rFonts w:ascii="Verdana" w:eastAsia="Calibri" w:hAnsi="Verdana" w:cs="Arial"/>
                <w:bCs/>
                <w:color w:val="000000" w:themeColor="text1"/>
              </w:rPr>
              <w:t xml:space="preserve">, pues no se acredita su viabilidad técnica, económica o </w:t>
            </w:r>
            <w:proofErr w:type="gramStart"/>
            <w:r w:rsidRPr="00C7680D">
              <w:rPr>
                <w:rFonts w:ascii="Verdana" w:eastAsia="Calibri" w:hAnsi="Verdana" w:cs="Arial"/>
                <w:bCs/>
                <w:color w:val="000000" w:themeColor="text1"/>
              </w:rPr>
              <w:t>jurídica .</w:t>
            </w:r>
            <w:proofErr w:type="gramEnd"/>
            <w:r w:rsidRPr="00C7680D">
              <w:rPr>
                <w:rFonts w:ascii="Verdana" w:eastAsia="Calibri" w:hAnsi="Verdana" w:cs="Arial"/>
                <w:bCs/>
                <w:color w:val="000000" w:themeColor="text1"/>
              </w:rPr>
              <w:t xml:space="preserve"> Asimismo, cuando el comportamiento del oferente evidencia un posible patrón destinado a distorsionar la competencia</w:t>
            </w:r>
            <w:r>
              <w:rPr>
                <w:rFonts w:ascii="Verdana" w:eastAsia="Calibri" w:hAnsi="Verdana" w:cs="Arial"/>
                <w:bCs/>
                <w:color w:val="000000" w:themeColor="text1"/>
              </w:rPr>
              <w:t xml:space="preserve">, </w:t>
            </w:r>
            <w:r w:rsidRPr="00C7680D">
              <w:rPr>
                <w:rFonts w:ascii="Verdana" w:eastAsia="Calibri" w:hAnsi="Verdana" w:cs="Arial"/>
                <w:bCs/>
                <w:color w:val="000000" w:themeColor="text1"/>
              </w:rPr>
              <w:t xml:space="preserve">como presentar lances artificialmente bajos para afectar el resultado de una subasta inversa </w:t>
            </w:r>
            <w:proofErr w:type="gramStart"/>
            <w:r w:rsidRPr="00C7680D">
              <w:rPr>
                <w:rFonts w:ascii="Verdana" w:eastAsia="Calibri" w:hAnsi="Verdana" w:cs="Arial"/>
                <w:bCs/>
                <w:color w:val="000000" w:themeColor="text1"/>
              </w:rPr>
              <w:t>electrónica</w:t>
            </w:r>
            <w:r>
              <w:rPr>
                <w:rFonts w:ascii="Verdana" w:eastAsia="Calibri" w:hAnsi="Verdana" w:cs="Arial"/>
                <w:bCs/>
                <w:color w:val="000000" w:themeColor="text1"/>
              </w:rPr>
              <w:t xml:space="preserve">, </w:t>
            </w:r>
            <w:r w:rsidRPr="00C7680D">
              <w:rPr>
                <w:rFonts w:ascii="Verdana" w:eastAsia="Calibri" w:hAnsi="Verdana" w:cs="Arial"/>
                <w:bCs/>
                <w:color w:val="000000" w:themeColor="text1"/>
              </w:rPr>
              <w:t xml:space="preserve"> la</w:t>
            </w:r>
            <w:proofErr w:type="gramEnd"/>
            <w:r w:rsidRPr="00C7680D">
              <w:rPr>
                <w:rFonts w:ascii="Verdana" w:eastAsia="Calibri" w:hAnsi="Verdana" w:cs="Arial"/>
                <w:bCs/>
                <w:color w:val="000000" w:themeColor="text1"/>
              </w:rPr>
              <w:t xml:space="preserve"> Guía dispone que la entidad debe </w:t>
            </w:r>
            <w:r w:rsidRPr="00C7680D">
              <w:rPr>
                <w:rFonts w:ascii="Verdana" w:eastAsia="Calibri" w:hAnsi="Verdana" w:cs="Arial"/>
                <w:color w:val="000000" w:themeColor="text1"/>
              </w:rPr>
              <w:t>reportar el caso a la Superintendencia de Industria y Comercio (SIC)</w:t>
            </w:r>
            <w:r w:rsidRPr="00C7680D">
              <w:rPr>
                <w:rFonts w:ascii="Verdana" w:eastAsia="Calibri" w:hAnsi="Verdana" w:cs="Arial"/>
                <w:bCs/>
                <w:color w:val="000000" w:themeColor="text1"/>
              </w:rPr>
              <w:t>, por un posible escenario de colusión o práctica restrictiva de la competencia, dado que esta autoridad es la competente para investigar y sancionar dichas conductas.</w:t>
            </w:r>
          </w:p>
          <w:p w14:paraId="32B20F78" w14:textId="0DF0AB29" w:rsidR="00D56D80" w:rsidRPr="00C7680D" w:rsidRDefault="00D56D80" w:rsidP="00D56D80">
            <w:pPr>
              <w:spacing w:before="120" w:after="120" w:line="276" w:lineRule="auto"/>
              <w:jc w:val="both"/>
              <w:rPr>
                <w:rFonts w:ascii="Verdana" w:eastAsia="Calibri" w:hAnsi="Verdana" w:cs="Arial"/>
                <w:bCs/>
                <w:color w:val="000000" w:themeColor="text1"/>
              </w:rPr>
            </w:pPr>
            <w:r>
              <w:rPr>
                <w:rFonts w:ascii="Verdana" w:eastAsia="Calibri" w:hAnsi="Verdana" w:cs="Arial"/>
                <w:bCs/>
                <w:color w:val="000000" w:themeColor="text1"/>
              </w:rPr>
              <w:t xml:space="preserve">        Por último, se recomienda </w:t>
            </w:r>
            <w:r w:rsidRPr="00D56D80">
              <w:rPr>
                <w:rFonts w:ascii="Verdana" w:eastAsia="Calibri" w:hAnsi="Verdana" w:cs="Arial"/>
                <w:bCs/>
                <w:color w:val="000000" w:themeColor="text1"/>
              </w:rPr>
              <w:t>consultar la “Guía para el Manejo de Ofertas Artificialmente Bajas”, con el fin de orientar adecuadamente la actuación frente a ofertas que presenten precios inusualmente bajos o que los proponentes no justifiquen debidamente. Esta guía ofrece directrices claras sobre los pasos que debe seguir la entidad para requerir explicaciones, evaluar su suficiencia y adoptar decisiones motivadas, garantizando la transparencia, la selección objetiva y la protección de la competencia en los procesos de subasta inversa electrónica.</w:t>
            </w:r>
          </w:p>
          <w:p w14:paraId="4FED5380" w14:textId="51A90973" w:rsidR="00A64017" w:rsidRPr="00C71956" w:rsidRDefault="00D80A51" w:rsidP="00D56D80">
            <w:pPr>
              <w:tabs>
                <w:tab w:val="left" w:pos="426"/>
              </w:tabs>
              <w:spacing w:after="120" w:line="276" w:lineRule="auto"/>
              <w:ind w:firstLine="425"/>
              <w:jc w:val="both"/>
              <w:rPr>
                <w:rFonts w:ascii="Verdana" w:eastAsia="Aptos" w:hAnsi="Verdana" w:cs="Arial"/>
                <w:shd w:val="clear" w:color="auto" w:fill="FFFFFF"/>
              </w:rPr>
            </w:pPr>
            <w:r w:rsidRPr="00AB7349">
              <w:rPr>
                <w:rFonts w:ascii="Verdana" w:eastAsia="Calibri" w:hAnsi="Verdana" w:cs="Arial"/>
              </w:rPr>
              <w:t xml:space="preserve"> </w:t>
            </w:r>
            <w:r w:rsidR="00A64017">
              <w:rPr>
                <w:rFonts w:ascii="Verdana" w:eastAsia="Calibri" w:hAnsi="Verdana" w:cs="Arial"/>
                <w:lang w:eastAsia="es-ES"/>
              </w:rPr>
              <w:t>Finalmente</w:t>
            </w:r>
            <w:r w:rsidR="00A64017">
              <w:rPr>
                <w:rFonts w:ascii="Verdana" w:eastAsia="Calibri" w:hAnsi="Verdana" w:cs="Times New Roman"/>
              </w:rPr>
              <w:t>,</w:t>
            </w:r>
            <w:r w:rsidR="00A64017" w:rsidRPr="00DB4737">
              <w:rPr>
                <w:rFonts w:ascii="Verdana" w:eastAsia="Calibri" w:hAnsi="Verdana" w:cs="Times New Roman"/>
              </w:rPr>
              <w:t xml:space="preserve"> debe advertirse que el análisis en torno </w:t>
            </w:r>
            <w:r w:rsidR="00A64017">
              <w:rPr>
                <w:rFonts w:ascii="Verdana" w:eastAsia="Calibri" w:hAnsi="Verdana" w:cs="Times New Roman"/>
              </w:rPr>
              <w:t>a un proceso de contratación especifico debe</w:t>
            </w:r>
            <w:r w:rsidR="00A64017" w:rsidRPr="0012388D">
              <w:rPr>
                <w:rFonts w:ascii="Verdana" w:eastAsia="Calibri" w:hAnsi="Verdana" w:cs="Times New Roman"/>
              </w:rPr>
              <w:t xml:space="preserve"> ser realizado por quienes tengan interés en ello.</w:t>
            </w:r>
            <w:r w:rsidR="00A64017" w:rsidRPr="00DB4737">
              <w:rPr>
                <w:rFonts w:ascii="Verdana" w:eastAsia="Calibri" w:hAnsi="Verdana" w:cs="Times New Roman"/>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w:t>
            </w:r>
            <w:r w:rsidR="00A64017" w:rsidRPr="00DB4737">
              <w:rPr>
                <w:rFonts w:ascii="Verdana" w:eastAsia="Calibri" w:hAnsi="Verdana" w:cs="Times New Roman"/>
              </w:rPr>
              <w:lastRenderedPageBreak/>
              <w:t>interesados de adoptar la decisión y, en caso de conflicto, a las autoridades judiciales, fiscales y disciplinarias.</w:t>
            </w:r>
            <w:r w:rsidR="00A64017">
              <w:t xml:space="preserve"> </w:t>
            </w:r>
          </w:p>
          <w:p w14:paraId="101394EC" w14:textId="77777777" w:rsidR="00A64017" w:rsidRDefault="00A64017" w:rsidP="00A15B1F">
            <w:pPr>
              <w:spacing w:line="276" w:lineRule="auto"/>
              <w:jc w:val="both"/>
              <w:rPr>
                <w:rFonts w:ascii="Verdana" w:eastAsia="Calibri" w:hAnsi="Verdana" w:cs="Times New Roman"/>
                <w:lang w:val="es-ES"/>
              </w:rPr>
            </w:pPr>
            <w:r>
              <w:rPr>
                <w:rFonts w:ascii="Verdana" w:eastAsia="Calibri" w:hAnsi="Verdana" w:cs="Times New Roman"/>
                <w:lang w:val="es-ES"/>
              </w:rPr>
              <w:t xml:space="preserve">        </w:t>
            </w:r>
            <w:r w:rsidR="00C84124">
              <w:rPr>
                <w:rFonts w:ascii="Verdana" w:eastAsia="Calibri" w:hAnsi="Verdana" w:cs="Times New Roman"/>
                <w:lang w:val="es-ES"/>
              </w:rPr>
              <w:t xml:space="preserve">  </w:t>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p w14:paraId="5EA94571" w14:textId="11FC2CB2" w:rsidR="00A51CB5" w:rsidRPr="00E529C2" w:rsidRDefault="00A51CB5" w:rsidP="00A15B1F">
            <w:pPr>
              <w:spacing w:line="276" w:lineRule="auto"/>
              <w:jc w:val="both"/>
              <w:rPr>
                <w:rFonts w:ascii="Verdana" w:eastAsia="Calibri" w:hAnsi="Verdana" w:cs="Times New Roman"/>
                <w:lang w:val="es-ES"/>
              </w:rPr>
            </w:pPr>
          </w:p>
        </w:tc>
      </w:tr>
      <w:tr w:rsidR="00675FED" w:rsidRPr="00593A5F" w14:paraId="390C137A" w14:textId="77777777" w:rsidTr="00A15B1F">
        <w:tc>
          <w:tcPr>
            <w:tcW w:w="8828" w:type="dxa"/>
          </w:tcPr>
          <w:p w14:paraId="47EF0E80" w14:textId="77777777" w:rsidR="00675FED" w:rsidRDefault="00675FED" w:rsidP="00675FED">
            <w:pPr>
              <w:spacing w:after="120" w:line="276" w:lineRule="auto"/>
              <w:jc w:val="both"/>
              <w:rPr>
                <w:rFonts w:ascii="Verdana" w:eastAsia="Calibri" w:hAnsi="Verdana" w:cs="Arial"/>
                <w:bCs/>
                <w:lang w:eastAsia="es-ES_tradnl"/>
              </w:rPr>
            </w:pPr>
          </w:p>
        </w:tc>
      </w:tr>
    </w:tbl>
    <w:p w14:paraId="5C382394" w14:textId="77777777" w:rsidR="00A64017" w:rsidRDefault="00A64017" w:rsidP="00A64017">
      <w:pPr>
        <w:tabs>
          <w:tab w:val="left" w:pos="142"/>
          <w:tab w:val="left" w:pos="284"/>
        </w:tabs>
        <w:spacing w:after="0" w:line="276" w:lineRule="auto"/>
        <w:jc w:val="both"/>
        <w:rPr>
          <w:rFonts w:ascii="Verdana" w:eastAsia="Century Gothic" w:hAnsi="Verdana" w:cs="Century Gothic"/>
          <w:b/>
          <w:bCs/>
          <w:lang w:val="es-ES"/>
        </w:rPr>
      </w:pPr>
    </w:p>
    <w:p w14:paraId="70B9C5F2" w14:textId="77777777" w:rsidR="00A64017" w:rsidRPr="00593A5F" w:rsidRDefault="00A64017" w:rsidP="00A6401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09EEC6B3" w14:textId="77777777" w:rsidR="000645D4" w:rsidRDefault="000645D4" w:rsidP="000645D4">
      <w:pPr>
        <w:spacing w:line="276" w:lineRule="auto"/>
        <w:jc w:val="both"/>
        <w:rPr>
          <w:rFonts w:ascii="Verdana" w:eastAsia="Calibri" w:hAnsi="Verdana" w:cs="Arial"/>
          <w:color w:val="000000" w:themeColor="text1"/>
        </w:rPr>
      </w:pPr>
      <w:bookmarkStart w:id="4" w:name="_Hlk108519028"/>
    </w:p>
    <w:bookmarkEnd w:id="4"/>
    <w:p w14:paraId="09AB4F3C" w14:textId="6F222FB7" w:rsidR="006F4DCF" w:rsidRPr="00161B60" w:rsidRDefault="00BC23EF" w:rsidP="006F4DCF">
      <w:pPr>
        <w:widowControl w:val="0"/>
        <w:autoSpaceDE w:val="0"/>
        <w:autoSpaceDN w:val="0"/>
        <w:snapToGrid w:val="0"/>
        <w:spacing w:after="0" w:line="276" w:lineRule="auto"/>
        <w:jc w:val="both"/>
        <w:rPr>
          <w:rFonts w:ascii="Verdana" w:eastAsia="Calibri" w:hAnsi="Verdana" w:cs="Arial"/>
          <w:bCs/>
          <w:lang w:val="es-ES_tradnl"/>
        </w:rPr>
      </w:pPr>
      <w:r>
        <w:rPr>
          <w:rFonts w:ascii="Verdana" w:eastAsia="Arial" w:hAnsi="Verdana" w:cs="Arial"/>
          <w:lang w:val="es-ES" w:eastAsia="es-ES" w:bidi="es-ES"/>
        </w:rPr>
        <w:t xml:space="preserve">     </w:t>
      </w:r>
      <w:r w:rsidR="006F4DCF" w:rsidRPr="00910028">
        <w:rPr>
          <w:rFonts w:ascii="Verdana" w:eastAsia="Arial" w:hAnsi="Verdana" w:cs="Arial"/>
          <w:lang w:val="es-ES" w:eastAsia="es-ES" w:bidi="es-ES"/>
        </w:rPr>
        <w:t>La Ley 80 de 1993, en el artículo 26, numeral 6, indica como una de las manifestaciones del principio de responsabilidad que los contratistas respondan cuando formulen propuestas en las que se fijen condiciones económicas y de contratación artificialmente bajas con el propósito de obtener la adjudicación del contrato</w:t>
      </w:r>
      <w:r w:rsidR="006F4DCF" w:rsidRPr="00910028">
        <w:rPr>
          <w:rFonts w:ascii="Verdana" w:eastAsia="Arial" w:hAnsi="Verdana" w:cs="Arial"/>
          <w:vertAlign w:val="superscript"/>
          <w:lang w:val="es-ES" w:eastAsia="es-ES" w:bidi="es-ES"/>
        </w:rPr>
        <w:footnoteReference w:id="2"/>
      </w:r>
      <w:r w:rsidR="006F4DCF" w:rsidRPr="00910028">
        <w:rPr>
          <w:rFonts w:ascii="Verdana" w:eastAsia="Arial" w:hAnsi="Verdana" w:cs="Arial"/>
          <w:lang w:val="es-ES" w:eastAsia="es-ES" w:bidi="es-ES"/>
        </w:rPr>
        <w:t>.</w:t>
      </w:r>
      <w:r w:rsidR="006F4DCF">
        <w:rPr>
          <w:rFonts w:ascii="Verdana" w:eastAsia="Arial" w:hAnsi="Verdana" w:cs="Arial"/>
          <w:lang w:val="es-ES" w:eastAsia="es-ES" w:bidi="es-ES"/>
        </w:rPr>
        <w:t xml:space="preserve"> Al respecto, e</w:t>
      </w:r>
      <w:r w:rsidR="006F4DCF" w:rsidRPr="00910028">
        <w:rPr>
          <w:rFonts w:ascii="Verdana" w:eastAsia="Arial" w:hAnsi="Verdana" w:cs="Arial"/>
          <w:lang w:val="es-ES" w:eastAsia="es-ES" w:bidi="es-ES"/>
        </w:rPr>
        <w:t>l Consejo de Estado, Sección Tercera, sentencia 4 de junio de 2008, radicado No. 17.783, M.P. Myriam Guerrero de Escobar, define el precio artificialmente bajo como aquel que no tiene sustento o fundamento en su</w:t>
      </w:r>
      <w:r w:rsidR="006F4DCF" w:rsidRPr="00910028">
        <w:rPr>
          <w:rFonts w:ascii="Verdana" w:eastAsia="Arial" w:hAnsi="Verdana" w:cs="Arial"/>
          <w:spacing w:val="-45"/>
          <w:lang w:val="es-ES" w:eastAsia="es-ES" w:bidi="es-ES"/>
        </w:rPr>
        <w:t xml:space="preserve"> </w:t>
      </w:r>
      <w:r w:rsidR="006F4DCF" w:rsidRPr="00910028">
        <w:rPr>
          <w:rFonts w:ascii="Verdana" w:eastAsia="Arial" w:hAnsi="Verdana" w:cs="Arial"/>
          <w:lang w:val="es-ES" w:eastAsia="es-ES" w:bidi="es-ES"/>
        </w:rPr>
        <w:t>estructuración dentro del tráfico comercial:</w:t>
      </w:r>
    </w:p>
    <w:p w14:paraId="0C0B5D75" w14:textId="77777777" w:rsidR="006F4DCF" w:rsidRPr="00910028" w:rsidRDefault="006F4DCF" w:rsidP="006F4DCF">
      <w:pPr>
        <w:widowControl w:val="0"/>
        <w:autoSpaceDE w:val="0"/>
        <w:autoSpaceDN w:val="0"/>
        <w:spacing w:after="0" w:line="276" w:lineRule="auto"/>
        <w:ind w:left="720"/>
        <w:rPr>
          <w:rFonts w:ascii="Verdana" w:eastAsia="Arial" w:hAnsi="Verdana" w:cs="Arial"/>
          <w:lang w:val="es-ES" w:eastAsia="es-ES" w:bidi="es-ES"/>
        </w:rPr>
      </w:pPr>
    </w:p>
    <w:p w14:paraId="2B0D0EDF" w14:textId="77777777" w:rsidR="006F4DCF" w:rsidRPr="00666BAC" w:rsidRDefault="006F4DCF" w:rsidP="006F4DCF">
      <w:pPr>
        <w:spacing w:after="0" w:line="240" w:lineRule="auto"/>
        <w:ind w:left="709" w:right="709"/>
        <w:jc w:val="both"/>
        <w:rPr>
          <w:rFonts w:ascii="Verdana" w:eastAsia="Aptos" w:hAnsi="Verdana" w:cs="Times New Roman"/>
          <w:kern w:val="2"/>
          <w:sz w:val="20"/>
          <w:szCs w:val="20"/>
          <w14:ligatures w14:val="standardContextual"/>
        </w:rPr>
      </w:pPr>
      <w:r w:rsidRPr="00666BAC">
        <w:rPr>
          <w:rFonts w:ascii="Verdana" w:eastAsia="Aptos" w:hAnsi="Verdana" w:cs="Times New Roman"/>
          <w:kern w:val="2"/>
          <w:sz w:val="20"/>
          <w:szCs w:val="20"/>
          <w14:ligatures w14:val="standardContextual"/>
        </w:rPr>
        <w:t>“El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w:t>
      </w:r>
      <w:r w:rsidRPr="00666BAC">
        <w:rPr>
          <w:rFonts w:ascii="Verdana" w:eastAsia="Aptos" w:hAnsi="Verdana" w:cs="Times New Roman"/>
          <w:spacing w:val="-8"/>
          <w:kern w:val="2"/>
          <w:sz w:val="20"/>
          <w:szCs w:val="20"/>
          <w14:ligatures w14:val="standardContextual"/>
        </w:rPr>
        <w:t xml:space="preserve"> </w:t>
      </w:r>
      <w:r w:rsidRPr="00666BAC">
        <w:rPr>
          <w:rFonts w:ascii="Verdana" w:eastAsia="Aptos" w:hAnsi="Verdana" w:cs="Times New Roman"/>
          <w:kern w:val="2"/>
          <w:sz w:val="20"/>
          <w:szCs w:val="20"/>
          <w14:ligatures w14:val="standardContextual"/>
        </w:rPr>
        <w:t>[…]”.</w:t>
      </w:r>
    </w:p>
    <w:p w14:paraId="2F0051C9" w14:textId="77777777" w:rsidR="006F4DCF" w:rsidRPr="00910028" w:rsidRDefault="006F4DCF" w:rsidP="006F4DCF">
      <w:pPr>
        <w:widowControl w:val="0"/>
        <w:autoSpaceDE w:val="0"/>
        <w:autoSpaceDN w:val="0"/>
        <w:spacing w:after="0" w:line="276" w:lineRule="auto"/>
        <w:ind w:left="720"/>
        <w:jc w:val="both"/>
        <w:rPr>
          <w:rFonts w:ascii="Verdana" w:eastAsia="Arial" w:hAnsi="Verdana" w:cs="Arial"/>
          <w:lang w:val="es-ES" w:eastAsia="es-ES" w:bidi="es-ES"/>
        </w:rPr>
      </w:pPr>
    </w:p>
    <w:p w14:paraId="3A4E5E84" w14:textId="77777777" w:rsidR="006F4DCF" w:rsidRDefault="006F4DCF" w:rsidP="006F4DCF">
      <w:pPr>
        <w:widowControl w:val="0"/>
        <w:autoSpaceDE w:val="0"/>
        <w:autoSpaceDN w:val="0"/>
        <w:spacing w:after="0" w:line="276" w:lineRule="auto"/>
        <w:ind w:firstLine="709"/>
        <w:jc w:val="both"/>
        <w:rPr>
          <w:rFonts w:ascii="Verdana" w:eastAsia="Arial" w:hAnsi="Verdana" w:cs="Arial"/>
          <w:lang w:val="es-ES" w:eastAsia="es-ES" w:bidi="es-ES"/>
        </w:rPr>
      </w:pPr>
      <w:r w:rsidRPr="00910028">
        <w:rPr>
          <w:rFonts w:ascii="Verdana" w:eastAsia="Arial" w:hAnsi="Verdana" w:cs="Arial"/>
          <w:lang w:val="es-ES" w:eastAsia="es-ES" w:bidi="es-ES"/>
        </w:rPr>
        <w:t xml:space="preserve">Por su parte, el artículo 2.2.1.1.2.2.4. del Decreto 1082 de 2015 establece </w:t>
      </w:r>
      <w:r w:rsidRPr="00910028">
        <w:rPr>
          <w:rFonts w:ascii="Verdana" w:eastAsia="Arial" w:hAnsi="Verdana" w:cs="Arial"/>
          <w:lang w:val="es-ES" w:eastAsia="es-ES" w:bidi="es-ES"/>
        </w:rPr>
        <w:lastRenderedPageBreak/>
        <w:t xml:space="preserve">que cuando el valor de una oferta parezca artificialmente bajo, la entidad debe requerir al oferente para que explique las razones que sustentan el valor ofrecido. Frente a estas explicaciones le corresponde al comité evaluador </w:t>
      </w:r>
      <w:r>
        <w:rPr>
          <w:rFonts w:ascii="Verdana" w:eastAsia="Arial" w:hAnsi="Verdana" w:cs="Arial"/>
          <w:lang w:val="es-ES" w:eastAsia="es-ES" w:bidi="es-ES"/>
        </w:rPr>
        <w:t>analizarlas y recomendar si d</w:t>
      </w:r>
      <w:r w:rsidRPr="00910028">
        <w:rPr>
          <w:rFonts w:ascii="Verdana" w:eastAsia="Arial" w:hAnsi="Verdana" w:cs="Arial"/>
          <w:lang w:val="es-ES" w:eastAsia="es-ES" w:bidi="es-ES"/>
        </w:rPr>
        <w:t>ebe rechazar la oferta o continuar con el análisis de la oferta durante la evaluación de las ofertas</w:t>
      </w:r>
      <w:r>
        <w:rPr>
          <w:rFonts w:ascii="Verdana" w:eastAsia="Arial" w:hAnsi="Verdana" w:cs="Arial"/>
          <w:lang w:val="es-ES" w:eastAsia="es-ES" w:bidi="es-ES"/>
        </w:rPr>
        <w:t>:</w:t>
      </w:r>
    </w:p>
    <w:p w14:paraId="6B8CC744" w14:textId="77777777" w:rsidR="006F4DCF" w:rsidRPr="001F4545" w:rsidRDefault="006F4DCF" w:rsidP="006F4DCF">
      <w:pPr>
        <w:spacing w:after="0" w:line="240" w:lineRule="auto"/>
        <w:ind w:left="708" w:right="616" w:firstLine="1"/>
        <w:jc w:val="both"/>
        <w:rPr>
          <w:rFonts w:ascii="Verdana" w:hAnsi="Verdana"/>
          <w:sz w:val="21"/>
          <w:szCs w:val="21"/>
        </w:rPr>
      </w:pPr>
    </w:p>
    <w:p w14:paraId="12C56954" w14:textId="77777777" w:rsidR="006F4DCF" w:rsidRPr="00666BAC" w:rsidRDefault="006F4DCF" w:rsidP="006F4DCF">
      <w:pPr>
        <w:spacing w:after="0" w:line="240" w:lineRule="auto"/>
        <w:ind w:left="708" w:right="616" w:firstLine="1"/>
        <w:jc w:val="both"/>
        <w:rPr>
          <w:rFonts w:ascii="Verdana" w:hAnsi="Verdana"/>
          <w:sz w:val="20"/>
          <w:szCs w:val="20"/>
        </w:rPr>
      </w:pPr>
      <w:r w:rsidRPr="00666BAC">
        <w:rPr>
          <w:rFonts w:ascii="Verdana" w:hAnsi="Verdana"/>
          <w:bCs/>
          <w:sz w:val="20"/>
          <w:szCs w:val="20"/>
        </w:rPr>
        <w:t>“Artículo 2.2.1.1.2.2.4. </w:t>
      </w:r>
      <w:r w:rsidRPr="00666BAC">
        <w:rPr>
          <w:rFonts w:ascii="Verdana" w:hAnsi="Verdana"/>
          <w:bCs/>
          <w:i/>
          <w:iCs/>
          <w:sz w:val="20"/>
          <w:szCs w:val="20"/>
        </w:rPr>
        <w:t>Oferta con valor artificialmente bajo.</w:t>
      </w:r>
      <w:r w:rsidRPr="00666BAC">
        <w:rPr>
          <w:rFonts w:ascii="Verdana" w:hAnsi="Verdana"/>
          <w:i/>
          <w:iCs/>
          <w:sz w:val="20"/>
          <w:szCs w:val="20"/>
        </w:rPr>
        <w:t> </w:t>
      </w:r>
      <w:r w:rsidRPr="00666BAC">
        <w:rPr>
          <w:rFonts w:ascii="Verdana" w:hAnsi="Verdana"/>
          <w:sz w:val="20"/>
          <w:szCs w:val="20"/>
        </w:rPr>
        <w:t>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Analizadas las explicaciones, el comité evaluador de que trata el artículo anterior, o quien haga la evaluación de las ofertas, debe recomendar rechazar la oferta o continuar con el análisis de la misma en la evaluación de las ofertas.</w:t>
      </w:r>
    </w:p>
    <w:p w14:paraId="3A66651A" w14:textId="77777777" w:rsidR="006F4DCF" w:rsidRDefault="006F4DCF" w:rsidP="006F4DCF">
      <w:pPr>
        <w:spacing w:after="0" w:line="240" w:lineRule="auto"/>
        <w:ind w:left="708" w:right="616" w:firstLine="1"/>
        <w:jc w:val="both"/>
        <w:rPr>
          <w:rFonts w:ascii="Verdana" w:hAnsi="Verdana"/>
          <w:sz w:val="20"/>
          <w:szCs w:val="20"/>
        </w:rPr>
      </w:pPr>
    </w:p>
    <w:p w14:paraId="05416905" w14:textId="77777777" w:rsidR="006F4DCF" w:rsidRPr="00666BAC" w:rsidRDefault="006F4DCF" w:rsidP="006F4DCF">
      <w:pPr>
        <w:spacing w:after="0" w:line="240" w:lineRule="auto"/>
        <w:ind w:left="708" w:right="616" w:firstLine="1"/>
        <w:jc w:val="both"/>
        <w:rPr>
          <w:rFonts w:ascii="Verdana" w:hAnsi="Verdana"/>
          <w:sz w:val="20"/>
          <w:szCs w:val="20"/>
        </w:rPr>
      </w:pPr>
      <w:r w:rsidRPr="00666BAC">
        <w:rPr>
          <w:rFonts w:ascii="Verdana" w:hAnsi="Verdana"/>
          <w:sz w:val="20"/>
          <w:szCs w:val="20"/>
        </w:rPr>
        <w:t>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w:t>
      </w:r>
    </w:p>
    <w:p w14:paraId="39669EBD" w14:textId="77777777" w:rsidR="006F4DCF" w:rsidRPr="00666BAC" w:rsidRDefault="006F4DCF" w:rsidP="006F4DCF">
      <w:pPr>
        <w:spacing w:after="0" w:line="240" w:lineRule="auto"/>
        <w:ind w:left="708" w:right="616" w:firstLine="1"/>
        <w:jc w:val="both"/>
        <w:rPr>
          <w:rFonts w:ascii="Verdana" w:hAnsi="Verdana"/>
          <w:sz w:val="20"/>
          <w:szCs w:val="20"/>
        </w:rPr>
      </w:pPr>
      <w:r w:rsidRPr="00666BAC">
        <w:rPr>
          <w:rFonts w:ascii="Verdana" w:hAnsi="Verdana"/>
          <w:sz w:val="20"/>
          <w:szCs w:val="20"/>
        </w:rPr>
        <w:t>En la subasta inversa esta disposición es aplicable sobre el precio obtenido al final de la misma”.</w:t>
      </w:r>
    </w:p>
    <w:p w14:paraId="30E47BCC" w14:textId="77777777" w:rsidR="006F4DCF" w:rsidRPr="00C71D70" w:rsidRDefault="006F4DCF" w:rsidP="006F4DCF">
      <w:pPr>
        <w:spacing w:after="0" w:line="240" w:lineRule="auto"/>
        <w:ind w:left="708" w:right="616" w:firstLine="1"/>
        <w:jc w:val="both"/>
        <w:rPr>
          <w:rFonts w:ascii="Verdana" w:hAnsi="Verdana"/>
          <w:sz w:val="21"/>
          <w:szCs w:val="21"/>
        </w:rPr>
      </w:pPr>
    </w:p>
    <w:p w14:paraId="486E115B" w14:textId="77777777" w:rsidR="006F4DCF" w:rsidRPr="00AC1339" w:rsidRDefault="006F4DCF" w:rsidP="006F4DCF">
      <w:pPr>
        <w:spacing w:after="120" w:line="276" w:lineRule="auto"/>
        <w:ind w:firstLine="708"/>
        <w:jc w:val="both"/>
        <w:rPr>
          <w:rFonts w:ascii="Verdana" w:eastAsia="Calibri" w:hAnsi="Verdana" w:cs="Arial"/>
          <w:lang w:val="es-ES"/>
        </w:rPr>
      </w:pPr>
      <w:r w:rsidRPr="00AC1339">
        <w:rPr>
          <w:rFonts w:ascii="Verdana" w:eastAsia="Calibri" w:hAnsi="Verdana" w:cs="Arial"/>
          <w:lang w:val="es-MX"/>
        </w:rPr>
        <w:t xml:space="preserve">Así pues, el artículo 2.2.1.1.2.2.4 ibidem, establece lo que debe hacer la entidad cuando el precio de una oferta parece artificialmente bajo, esto es: i) solicitar explicación al oferente, </w:t>
      </w:r>
      <w:proofErr w:type="spellStart"/>
      <w:r w:rsidRPr="00AC1339">
        <w:rPr>
          <w:rFonts w:ascii="Verdana" w:eastAsia="Calibri" w:hAnsi="Verdana" w:cs="Arial"/>
          <w:lang w:val="es-MX"/>
        </w:rPr>
        <w:t>ii</w:t>
      </w:r>
      <w:proofErr w:type="spellEnd"/>
      <w:r w:rsidRPr="00AC1339">
        <w:rPr>
          <w:rFonts w:ascii="Verdana" w:eastAsia="Calibri" w:hAnsi="Verdana" w:cs="Arial"/>
          <w:lang w:val="es-MX"/>
        </w:rPr>
        <w:t xml:space="preserve">) analizar las explicaciones del oferente, </w:t>
      </w:r>
      <w:proofErr w:type="spellStart"/>
      <w:r w:rsidRPr="00AC1339">
        <w:rPr>
          <w:rFonts w:ascii="Verdana" w:eastAsia="Calibri" w:hAnsi="Verdana" w:cs="Arial"/>
          <w:lang w:val="es-MX"/>
        </w:rPr>
        <w:t>iii</w:t>
      </w:r>
      <w:proofErr w:type="spellEnd"/>
      <w:r w:rsidRPr="00AC1339">
        <w:rPr>
          <w:rFonts w:ascii="Verdana" w:eastAsia="Calibri" w:hAnsi="Verdana" w:cs="Arial"/>
          <w:lang w:val="es-MX"/>
        </w:rPr>
        <w:t xml:space="preserve">) el responsable de la evaluación de las ofertas debe recomendar rechazar o continuar la evaluación de la oferta, y </w:t>
      </w:r>
      <w:proofErr w:type="spellStart"/>
      <w:r w:rsidRPr="00AC1339">
        <w:rPr>
          <w:rFonts w:ascii="Verdana" w:eastAsia="Calibri" w:hAnsi="Verdana" w:cs="Arial"/>
          <w:lang w:val="es-MX"/>
        </w:rPr>
        <w:t>iv</w:t>
      </w:r>
      <w:proofErr w:type="spellEnd"/>
      <w:r w:rsidRPr="00AC1339">
        <w:rPr>
          <w:rFonts w:ascii="Verdana" w:eastAsia="Calibri" w:hAnsi="Verdana" w:cs="Arial"/>
          <w:lang w:val="es-MX"/>
        </w:rPr>
        <w:t>) para la subasta inversa, lo anterior se debe hacer al finalizar el evento.</w:t>
      </w:r>
    </w:p>
    <w:p w14:paraId="419CBE81" w14:textId="77777777" w:rsidR="006F4DCF" w:rsidRPr="00AC1339" w:rsidRDefault="006F4DCF" w:rsidP="006F4DCF">
      <w:pPr>
        <w:spacing w:before="120" w:line="276" w:lineRule="auto"/>
        <w:ind w:firstLine="708"/>
        <w:jc w:val="both"/>
        <w:rPr>
          <w:rFonts w:ascii="Verdana" w:eastAsia="Calibri" w:hAnsi="Verdana" w:cs="Arial"/>
        </w:rPr>
      </w:pPr>
      <w:r w:rsidRPr="00AC1339">
        <w:rPr>
          <w:rFonts w:ascii="Verdana" w:eastAsia="Calibri" w:hAnsi="Verdana" w:cs="Arial"/>
          <w:lang w:val="es-ES"/>
        </w:rPr>
        <w:t>Sin embargo, debe precisarse que el análisis de los precios de una oferta se hace en la fase de evaluación del procedimiento</w:t>
      </w:r>
      <w:r>
        <w:rPr>
          <w:rFonts w:ascii="Verdana" w:eastAsia="Calibri" w:hAnsi="Verdana" w:cs="Arial"/>
          <w:lang w:val="es-ES"/>
        </w:rPr>
        <w:t xml:space="preserve"> de selección</w:t>
      </w:r>
      <w:r w:rsidRPr="00AC1339">
        <w:rPr>
          <w:rFonts w:ascii="Verdana" w:eastAsia="Calibri" w:hAnsi="Verdana" w:cs="Arial"/>
          <w:lang w:val="es-ES"/>
        </w:rPr>
        <w:t>, que es la oportunidad para verificar, a través del comité evaluador</w:t>
      </w:r>
      <w:r w:rsidRPr="00AC1339">
        <w:rPr>
          <w:rFonts w:ascii="Verdana" w:eastAsia="Aptos" w:hAnsi="Verdana" w:cs="Times New Roman"/>
          <w:kern w:val="2"/>
          <w:vertAlign w:val="superscript"/>
          <w:lang w:val="es-MX"/>
          <w14:ligatures w14:val="standardContextual"/>
        </w:rPr>
        <w:footnoteReference w:id="3"/>
      </w:r>
      <w:r>
        <w:rPr>
          <w:rFonts w:ascii="Verdana" w:eastAsia="Calibri" w:hAnsi="Verdana" w:cs="Arial"/>
          <w:lang w:val="es-MX"/>
        </w:rPr>
        <w:t xml:space="preserve"> si se cumplen o no</w:t>
      </w:r>
      <w:r w:rsidRPr="00AC1339">
        <w:rPr>
          <w:rFonts w:ascii="Verdana" w:eastAsia="Calibri" w:hAnsi="Verdana" w:cs="Arial"/>
          <w:lang w:val="es-MX"/>
        </w:rPr>
        <w:t xml:space="preserve"> las reglas </w:t>
      </w:r>
      <w:r>
        <w:rPr>
          <w:rFonts w:ascii="Verdana" w:eastAsia="Calibri" w:hAnsi="Verdana" w:cs="Arial"/>
          <w:lang w:val="es-MX"/>
        </w:rPr>
        <w:t>de</w:t>
      </w:r>
      <w:r w:rsidRPr="00AC1339">
        <w:rPr>
          <w:rFonts w:ascii="Verdana" w:eastAsia="Calibri" w:hAnsi="Verdana" w:cs="Arial"/>
          <w:lang w:val="es-MX"/>
        </w:rPr>
        <w:t xml:space="preserve"> los pliegos de condiciones. En efecto, el objeto de la evaluación de las </w:t>
      </w:r>
      <w:r w:rsidRPr="00AC1339">
        <w:rPr>
          <w:rFonts w:ascii="Verdana" w:eastAsia="Calibri" w:hAnsi="Verdana" w:cs="Arial"/>
          <w:lang w:val="es-MX"/>
        </w:rPr>
        <w:lastRenderedPageBreak/>
        <w:t>ofertas es comprobar que estas cumplen con los parámetros exigidos, establecer la habilitación del proponente en dicho proceso de selección y definir si, de acuerdo con la ponderación de los factores de evaluación aplicables, cuál será el que resultará adjudicatario del futuro contrato.</w:t>
      </w:r>
    </w:p>
    <w:p w14:paraId="35452AAA" w14:textId="77777777" w:rsidR="006F4DCF" w:rsidRPr="00AC1339" w:rsidRDefault="006F4DCF" w:rsidP="006F4DCF">
      <w:pPr>
        <w:spacing w:after="120" w:line="276" w:lineRule="auto"/>
        <w:ind w:firstLine="708"/>
        <w:jc w:val="both"/>
        <w:rPr>
          <w:rFonts w:ascii="Verdana" w:eastAsia="Calibri" w:hAnsi="Verdana" w:cs="Arial"/>
          <w:highlight w:val="yellow"/>
          <w:lang w:val="es-ES"/>
        </w:rPr>
      </w:pPr>
      <w:r w:rsidRPr="00AC1339">
        <w:rPr>
          <w:rFonts w:ascii="Verdana" w:eastAsia="Calibri" w:hAnsi="Verdana" w:cs="Arial"/>
          <w:lang w:val="es-ES"/>
        </w:rPr>
        <w:t>En ese sentid</w:t>
      </w:r>
      <w:r>
        <w:rPr>
          <w:rFonts w:ascii="Verdana" w:eastAsia="Calibri" w:hAnsi="Verdana" w:cs="Arial"/>
          <w:lang w:val="es-ES"/>
        </w:rPr>
        <w:t xml:space="preserve">o, </w:t>
      </w:r>
      <w:r w:rsidRPr="00AC1339">
        <w:rPr>
          <w:rFonts w:ascii="Verdana" w:eastAsia="Calibri" w:hAnsi="Verdana" w:cs="Arial"/>
          <w:lang w:val="es-ES"/>
        </w:rPr>
        <w:t>en la evaluación</w:t>
      </w:r>
      <w:r>
        <w:rPr>
          <w:rFonts w:ascii="Verdana" w:eastAsia="Calibri" w:hAnsi="Verdana" w:cs="Arial"/>
          <w:lang w:val="es-ES"/>
        </w:rPr>
        <w:t xml:space="preserve"> que se realiza antes de la adjudicación del contrato</w:t>
      </w:r>
      <w:r w:rsidRPr="00AC1339">
        <w:rPr>
          <w:rFonts w:ascii="Verdana" w:eastAsia="Calibri" w:hAnsi="Verdana" w:cs="Arial"/>
          <w:lang w:val="es-ES"/>
        </w:rPr>
        <w:t xml:space="preserve"> la entidad debe verificar la oferta y su componente económico, para determinar si corresponde con el resultado del análisis de la oferta en el estudio de mercado, o si los precios tienen un componente atípico que no se identificó al observar el comportamiento de los proveedores d</w:t>
      </w:r>
      <w:r>
        <w:rPr>
          <w:rFonts w:ascii="Verdana" w:eastAsia="Calibri" w:hAnsi="Verdana" w:cs="Arial"/>
          <w:lang w:val="es-ES"/>
        </w:rPr>
        <w:t xml:space="preserve">el bien, obra o servicio que </w:t>
      </w:r>
      <w:r w:rsidRPr="00AC1339">
        <w:rPr>
          <w:rFonts w:ascii="Verdana" w:eastAsia="Calibri" w:hAnsi="Verdana" w:cs="Arial"/>
          <w:lang w:val="es-ES"/>
        </w:rPr>
        <w:t>pretende contratar</w:t>
      </w:r>
      <w:r>
        <w:rPr>
          <w:rFonts w:ascii="Verdana" w:eastAsia="Calibri" w:hAnsi="Verdana" w:cs="Arial"/>
          <w:lang w:val="es-ES"/>
        </w:rPr>
        <w:t>se</w:t>
      </w:r>
      <w:r w:rsidRPr="00AC1339">
        <w:rPr>
          <w:rFonts w:ascii="Verdana" w:eastAsia="Calibri" w:hAnsi="Verdana" w:cs="Arial"/>
          <w:lang w:val="es-ES"/>
        </w:rPr>
        <w:t>. En ese caso, la entidad podrá identificar las ofertas con precios que parecen artificialmente bajos, y seguir el procedimiento del Decreto 1082 de 2015. Concluido dicho análisis, es posible que a partir de las explicaciones ofrecidas por el proponente se determine que el valor responde a circunstancias objetivas que le permiten cumplir el contrato, sin que con ello termine la evaluación, porque el Decreto 1082 de 2015 señala que la entidad puede continuar el análisis en esta fase de evaluación.</w:t>
      </w:r>
    </w:p>
    <w:p w14:paraId="39828065" w14:textId="77777777" w:rsidR="006F4DCF" w:rsidRDefault="006F4DCF" w:rsidP="006F4DCF">
      <w:pPr>
        <w:spacing w:after="120" w:line="276" w:lineRule="auto"/>
        <w:ind w:firstLine="708"/>
        <w:jc w:val="both"/>
        <w:rPr>
          <w:rFonts w:ascii="Verdana" w:eastAsia="Times New Roman" w:hAnsi="Verdana" w:cs="Arial"/>
          <w:lang w:val="es-ES"/>
        </w:rPr>
      </w:pPr>
      <w:r w:rsidRPr="00AC1339">
        <w:rPr>
          <w:rFonts w:ascii="Verdana" w:eastAsia="Times New Roman" w:hAnsi="Verdana" w:cs="Arial"/>
          <w:lang w:val="es-ES"/>
        </w:rPr>
        <w:t xml:space="preserve">De esta forma, y con el objetivo de brindar herramientas que orienten a las Entidades Estatales en este asunto, la Agencia Nacional de Contratación Pública – Colombia Compra Eficiente el 16 de diciembre de 2024, actualizó la “Guía para el manejo de ofertas artificialmente bajas en Procesos de Contratación”, en la que se señalan no sólo las posibles causas y consecuencias de ofertas artificialmente bajas, sino que también se relaciona a modo de sugerencia dos metodologías que podrían aplicar las entidades para identificarlas y manejarlas. Estas son: i) la comparación absoluta y; </w:t>
      </w:r>
      <w:proofErr w:type="spellStart"/>
      <w:r w:rsidRPr="00AC1339">
        <w:rPr>
          <w:rFonts w:ascii="Verdana" w:eastAsia="Times New Roman" w:hAnsi="Verdana" w:cs="Arial"/>
          <w:lang w:val="es-ES"/>
        </w:rPr>
        <w:t>ii</w:t>
      </w:r>
      <w:proofErr w:type="spellEnd"/>
      <w:r w:rsidRPr="00AC1339">
        <w:rPr>
          <w:rFonts w:ascii="Verdana" w:eastAsia="Times New Roman" w:hAnsi="Verdana" w:cs="Arial"/>
          <w:lang w:val="es-ES"/>
        </w:rPr>
        <w:t>) la comparación relativa.</w:t>
      </w:r>
      <w:r>
        <w:rPr>
          <w:rFonts w:ascii="Verdana" w:eastAsia="Times New Roman" w:hAnsi="Verdana" w:cs="Arial"/>
          <w:lang w:val="es-ES"/>
        </w:rPr>
        <w:t xml:space="preserve"> </w:t>
      </w:r>
    </w:p>
    <w:p w14:paraId="5E8464DA" w14:textId="77777777" w:rsidR="006F4DCF" w:rsidRPr="00D40E49" w:rsidRDefault="006F4DCF" w:rsidP="006F4DCF">
      <w:pPr>
        <w:spacing w:after="120" w:line="276" w:lineRule="auto"/>
        <w:ind w:firstLine="708"/>
        <w:jc w:val="both"/>
        <w:rPr>
          <w:rFonts w:ascii="Verdana" w:eastAsia="Times New Roman" w:hAnsi="Verdana" w:cs="Arial"/>
          <w:lang w:val="es-ES"/>
        </w:rPr>
      </w:pPr>
      <w:r>
        <w:rPr>
          <w:rFonts w:ascii="Verdana" w:eastAsia="Times New Roman" w:hAnsi="Verdana" w:cs="Arial"/>
          <w:lang w:val="es-ES"/>
        </w:rPr>
        <w:t xml:space="preserve">Es importante precisar que dentro de la Guía para el manejo de ofertas artificialmente bajas en Procesos de Contratación” efectúa un análisis especial en torno a la subasta inversa, la cual puede ser </w:t>
      </w:r>
      <w:r w:rsidRPr="001E5EA5">
        <w:rPr>
          <w:rFonts w:ascii="Verdana" w:eastAsia="Times New Roman" w:hAnsi="Verdana" w:cs="Arial"/>
        </w:rPr>
        <w:t>ordinaria y a la inversa.</w:t>
      </w:r>
      <w:r>
        <w:rPr>
          <w:rFonts w:ascii="Verdana" w:eastAsia="Times New Roman" w:hAnsi="Verdana" w:cs="Arial"/>
        </w:rPr>
        <w:t xml:space="preserve"> La primera consiste en que </w:t>
      </w:r>
      <w:r w:rsidRPr="001E5EA5">
        <w:rPr>
          <w:rFonts w:ascii="Verdana" w:eastAsia="Times New Roman" w:hAnsi="Verdana" w:cs="Arial"/>
        </w:rPr>
        <w:t>los compradores compiten para obtener un bien o servicio, ofreciend</w:t>
      </w:r>
      <w:r>
        <w:rPr>
          <w:rFonts w:ascii="Verdana" w:eastAsia="Times New Roman" w:hAnsi="Verdana" w:cs="Arial"/>
        </w:rPr>
        <w:t xml:space="preserve">o precios cada vez más altos, mediante </w:t>
      </w:r>
      <w:r w:rsidRPr="001E5EA5">
        <w:rPr>
          <w:rFonts w:ascii="Verdana" w:eastAsia="Times New Roman" w:hAnsi="Verdana" w:cs="Arial"/>
        </w:rPr>
        <w:t xml:space="preserve">lances, </w:t>
      </w:r>
      <w:r>
        <w:rPr>
          <w:rFonts w:ascii="Verdana" w:eastAsia="Times New Roman" w:hAnsi="Verdana" w:cs="Arial"/>
        </w:rPr>
        <w:t xml:space="preserve">como es el caso de los procesos de contratación de enajenación </w:t>
      </w:r>
      <w:r w:rsidRPr="001E5EA5">
        <w:rPr>
          <w:rFonts w:ascii="Verdana" w:eastAsia="Times New Roman" w:hAnsi="Verdana" w:cs="Arial"/>
        </w:rPr>
        <w:t>directa a través de subasta pública mediante la modalidad de selecció</w:t>
      </w:r>
      <w:r>
        <w:rPr>
          <w:rFonts w:ascii="Verdana" w:eastAsia="Times New Roman" w:hAnsi="Verdana" w:cs="Arial"/>
        </w:rPr>
        <w:t xml:space="preserve">n abreviada, de acuerdo con lo prescrito en el artículo </w:t>
      </w:r>
      <w:r w:rsidRPr="001E5EA5">
        <w:rPr>
          <w:rFonts w:ascii="Verdana" w:eastAsia="Times New Roman" w:hAnsi="Verdana" w:cs="Arial"/>
        </w:rPr>
        <w:t xml:space="preserve">2.2.1.2.2.2.2 del Decreto 1082 </w:t>
      </w:r>
      <w:r>
        <w:rPr>
          <w:rFonts w:ascii="Verdana" w:eastAsia="Times New Roman" w:hAnsi="Verdana" w:cs="Arial"/>
        </w:rPr>
        <w:t>de 1025</w:t>
      </w:r>
      <w:r>
        <w:rPr>
          <w:rStyle w:val="Refdenotaalpie"/>
          <w:rFonts w:ascii="Verdana" w:eastAsia="Times New Roman" w:hAnsi="Verdana" w:cs="Arial"/>
        </w:rPr>
        <w:footnoteReference w:id="4"/>
      </w:r>
      <w:r>
        <w:rPr>
          <w:rFonts w:ascii="Verdana" w:eastAsia="Times New Roman" w:hAnsi="Verdana" w:cs="Arial"/>
        </w:rPr>
        <w:t xml:space="preserve">. El segundo, es </w:t>
      </w:r>
      <w:r>
        <w:rPr>
          <w:rFonts w:ascii="Verdana" w:eastAsia="Times New Roman" w:hAnsi="Verdana" w:cs="Arial"/>
        </w:rPr>
        <w:lastRenderedPageBreak/>
        <w:t xml:space="preserve">la subasta inversa que consiste en que los vendedores compiten para obtener </w:t>
      </w:r>
      <w:r w:rsidRPr="001E5EA5">
        <w:rPr>
          <w:rFonts w:ascii="Verdana" w:eastAsia="Times New Roman" w:hAnsi="Verdana" w:cs="Arial"/>
        </w:rPr>
        <w:t>un negocio del comprador, y para ello, los lances realizados sobre la oferta económica tienen como objetivo disminuir los precios</w:t>
      </w:r>
      <w:r>
        <w:rPr>
          <w:rFonts w:ascii="Verdana" w:eastAsia="Times New Roman" w:hAnsi="Verdana" w:cs="Arial"/>
        </w:rPr>
        <w:t xml:space="preserve"> de los bienes y servicios que se están ofertando</w:t>
      </w:r>
      <w:r w:rsidRPr="001E5EA5">
        <w:rPr>
          <w:rFonts w:ascii="Verdana" w:eastAsia="Times New Roman" w:hAnsi="Verdana" w:cs="Arial"/>
        </w:rPr>
        <w:t>. E</w:t>
      </w:r>
      <w:r>
        <w:rPr>
          <w:rFonts w:ascii="Verdana" w:eastAsia="Times New Roman" w:hAnsi="Verdana" w:cs="Arial"/>
        </w:rPr>
        <w:t xml:space="preserve">jemplo de este escenario, es el procedimiento de la selección abreviada mediante subasta inversa, en la que se busca </w:t>
      </w:r>
      <w:r w:rsidRPr="001E5EA5">
        <w:rPr>
          <w:rFonts w:ascii="Verdana" w:eastAsia="Times New Roman" w:hAnsi="Verdana" w:cs="Arial"/>
        </w:rPr>
        <w:t>la adquisición o s</w:t>
      </w:r>
      <w:r>
        <w:rPr>
          <w:rFonts w:ascii="Verdana" w:eastAsia="Times New Roman" w:hAnsi="Verdana" w:cs="Arial"/>
        </w:rPr>
        <w:t xml:space="preserve">uministro de bienes y servicios </w:t>
      </w:r>
      <w:r w:rsidRPr="001E5EA5">
        <w:rPr>
          <w:rFonts w:ascii="Verdana" w:eastAsia="Times New Roman" w:hAnsi="Verdana" w:cs="Arial"/>
        </w:rPr>
        <w:t xml:space="preserve">de características técnicas uniformes y de común utilización por parte de las Entidades Estatales, </w:t>
      </w:r>
      <w:r>
        <w:rPr>
          <w:rFonts w:ascii="Verdana" w:eastAsia="Times New Roman" w:hAnsi="Verdana" w:cs="Arial"/>
        </w:rPr>
        <w:t xml:space="preserve">que está regulada en el artículo </w:t>
      </w:r>
      <w:r w:rsidRPr="001E5EA5">
        <w:rPr>
          <w:rFonts w:ascii="Verdana" w:eastAsia="Times New Roman" w:hAnsi="Verdana" w:cs="Arial"/>
        </w:rPr>
        <w:t>2</w:t>
      </w:r>
      <w:r>
        <w:rPr>
          <w:rFonts w:ascii="Verdana" w:eastAsia="Times New Roman" w:hAnsi="Verdana" w:cs="Arial"/>
        </w:rPr>
        <w:t>, numeral 2, literal a)</w:t>
      </w:r>
      <w:r w:rsidRPr="001E5EA5">
        <w:rPr>
          <w:rFonts w:ascii="Verdana" w:eastAsia="Times New Roman" w:hAnsi="Verdana" w:cs="Arial"/>
        </w:rPr>
        <w:t xml:space="preserve"> de la Ley 1150 de 2007, y el artículo 2.2.1.2.1.2.2 del Decreto 1082 de 2015</w:t>
      </w:r>
      <w:r>
        <w:rPr>
          <w:rStyle w:val="Refdenotaalpie"/>
          <w:rFonts w:ascii="Verdana" w:eastAsia="Times New Roman" w:hAnsi="Verdana" w:cs="Arial"/>
        </w:rPr>
        <w:footnoteReference w:id="5"/>
      </w:r>
      <w:r w:rsidRPr="001E5EA5">
        <w:rPr>
          <w:rFonts w:ascii="Verdana" w:eastAsia="Times New Roman" w:hAnsi="Verdana" w:cs="Arial"/>
        </w:rPr>
        <w:t>.</w:t>
      </w:r>
    </w:p>
    <w:p w14:paraId="181DE7F3" w14:textId="77777777" w:rsidR="006F4DCF" w:rsidRDefault="006F4DCF" w:rsidP="006F4DCF">
      <w:pPr>
        <w:spacing w:after="0" w:line="276" w:lineRule="auto"/>
        <w:ind w:firstLine="709"/>
        <w:jc w:val="both"/>
        <w:rPr>
          <w:rFonts w:ascii="Verdana" w:eastAsia="Times New Roman" w:hAnsi="Verdana" w:cs="Arial"/>
        </w:rPr>
      </w:pPr>
      <w:r>
        <w:rPr>
          <w:rFonts w:ascii="Verdana" w:eastAsia="Times New Roman" w:hAnsi="Verdana" w:cs="Arial"/>
          <w:lang w:val="es-ES"/>
        </w:rPr>
        <w:t xml:space="preserve">Dentro de la subasta inversa </w:t>
      </w:r>
      <w:r w:rsidRPr="001E5EA5">
        <w:rPr>
          <w:rFonts w:ascii="Verdana" w:eastAsia="Times New Roman" w:hAnsi="Verdana" w:cs="Arial"/>
        </w:rPr>
        <w:t xml:space="preserve">el único criterio de selección es el precio, </w:t>
      </w:r>
      <w:r>
        <w:rPr>
          <w:rFonts w:ascii="Verdana" w:eastAsia="Times New Roman" w:hAnsi="Verdana" w:cs="Arial"/>
        </w:rPr>
        <w:t>que se origina de los lances que son manifestación de pujas competitivas, en las que los procesos terminen en pre</w:t>
      </w:r>
      <w:r w:rsidRPr="001E5EA5">
        <w:rPr>
          <w:rFonts w:ascii="Verdana" w:eastAsia="Times New Roman" w:hAnsi="Verdana" w:cs="Arial"/>
        </w:rPr>
        <w:t xml:space="preserve">cios u ofertas bajas. </w:t>
      </w:r>
      <w:r>
        <w:rPr>
          <w:rFonts w:ascii="Verdana" w:eastAsia="Times New Roman" w:hAnsi="Verdana" w:cs="Arial"/>
        </w:rPr>
        <w:t xml:space="preserve">No obstante, dichas ofertas dentro de la audiencia de subasta </w:t>
      </w:r>
      <w:r w:rsidRPr="001E5EA5">
        <w:rPr>
          <w:rFonts w:ascii="Verdana" w:eastAsia="Times New Roman" w:hAnsi="Verdana" w:cs="Arial"/>
        </w:rPr>
        <w:t xml:space="preserve">no siempre deben </w:t>
      </w:r>
      <w:r>
        <w:rPr>
          <w:rFonts w:ascii="Verdana" w:eastAsia="Times New Roman" w:hAnsi="Verdana" w:cs="Arial"/>
        </w:rPr>
        <w:t xml:space="preserve">interpretarse como artificialmente bajas. En torno a este proceso de contratación, la Guía recomienda: </w:t>
      </w:r>
    </w:p>
    <w:p w14:paraId="4E580634" w14:textId="77777777" w:rsidR="006F4DCF" w:rsidRDefault="006F4DCF" w:rsidP="006F4DCF">
      <w:pPr>
        <w:spacing w:after="120" w:line="240" w:lineRule="auto"/>
        <w:jc w:val="both"/>
        <w:rPr>
          <w:rFonts w:ascii="Verdana" w:eastAsia="Times New Roman" w:hAnsi="Verdana" w:cs="Arial"/>
        </w:rPr>
      </w:pPr>
    </w:p>
    <w:p w14:paraId="21F2EA2F" w14:textId="77777777" w:rsidR="006F4DCF" w:rsidRPr="009653FC" w:rsidRDefault="006F4DCF" w:rsidP="006F4DCF">
      <w:pPr>
        <w:pStyle w:val="Prrafodelista"/>
        <w:numPr>
          <w:ilvl w:val="0"/>
          <w:numId w:val="21"/>
        </w:numPr>
        <w:spacing w:after="0" w:line="240" w:lineRule="auto"/>
        <w:ind w:right="709"/>
        <w:jc w:val="both"/>
        <w:rPr>
          <w:rFonts w:ascii="Verdana" w:eastAsia="Times New Roman" w:hAnsi="Verdana" w:cs="Arial"/>
          <w:sz w:val="21"/>
          <w:szCs w:val="21"/>
        </w:rPr>
      </w:pPr>
      <w:r w:rsidRPr="009653FC">
        <w:rPr>
          <w:rFonts w:ascii="Verdana" w:eastAsia="Times New Roman" w:hAnsi="Verdana" w:cs="Arial"/>
          <w:sz w:val="21"/>
          <w:szCs w:val="21"/>
        </w:rPr>
        <w:t xml:space="preserve">Verificar la oferta y su componente económico, para así determinar si los precios tienen un componente extraño que no fue posible determinar al momento de realizar el Estudio del sector, en relación con los proveedores del bien, obra o servicio que se pretende contratar. </w:t>
      </w:r>
    </w:p>
    <w:p w14:paraId="7F0ED91F" w14:textId="77777777" w:rsidR="006F4DCF" w:rsidRDefault="006F4DCF" w:rsidP="006F4DCF">
      <w:pPr>
        <w:pStyle w:val="Prrafodelista"/>
        <w:numPr>
          <w:ilvl w:val="0"/>
          <w:numId w:val="21"/>
        </w:numPr>
        <w:spacing w:after="0" w:line="240" w:lineRule="auto"/>
        <w:ind w:right="709"/>
        <w:jc w:val="both"/>
        <w:rPr>
          <w:rFonts w:ascii="Verdana" w:eastAsia="Times New Roman" w:hAnsi="Verdana" w:cs="Arial"/>
          <w:sz w:val="21"/>
          <w:szCs w:val="21"/>
        </w:rPr>
      </w:pPr>
      <w:r w:rsidRPr="009653FC">
        <w:rPr>
          <w:rFonts w:ascii="Verdana" w:eastAsia="Times New Roman" w:hAnsi="Verdana" w:cs="Arial"/>
          <w:sz w:val="21"/>
          <w:szCs w:val="21"/>
        </w:rPr>
        <w:t xml:space="preserve">Comparar el valor de cada oferta con el costo estimado de la provisión del bien o servicio de acuerdo con el Estudio del Sector. La verificación de ofertas artificialmente bajas puede sustentarse en información adicional a la utilizada en el Estudio del Sector, como precios de fabricantes y otros factores económicos relevantes. </w:t>
      </w:r>
    </w:p>
    <w:p w14:paraId="77AC8879" w14:textId="77777777" w:rsidR="006F4DCF" w:rsidRPr="009653FC" w:rsidRDefault="006F4DCF" w:rsidP="006F4DCF">
      <w:pPr>
        <w:pStyle w:val="Prrafodelista"/>
        <w:numPr>
          <w:ilvl w:val="0"/>
          <w:numId w:val="21"/>
        </w:numPr>
        <w:spacing w:after="0" w:line="240" w:lineRule="auto"/>
        <w:ind w:right="709"/>
        <w:jc w:val="both"/>
        <w:rPr>
          <w:rFonts w:ascii="Verdana" w:eastAsia="Times New Roman" w:hAnsi="Verdana" w:cs="Arial"/>
          <w:sz w:val="21"/>
          <w:szCs w:val="21"/>
        </w:rPr>
      </w:pPr>
      <w:r w:rsidRPr="009653FC">
        <w:rPr>
          <w:rFonts w:ascii="Verdana" w:eastAsia="Times New Roman" w:hAnsi="Verdana" w:cs="Arial"/>
          <w:sz w:val="21"/>
          <w:szCs w:val="21"/>
          <w:lang w:val="es-CO"/>
        </w:rPr>
        <w:t xml:space="preserve">Solicitar explicaciones a los </w:t>
      </w:r>
      <w:proofErr w:type="spellStart"/>
      <w:r w:rsidRPr="009653FC">
        <w:rPr>
          <w:rFonts w:ascii="Verdana" w:eastAsia="Times New Roman" w:hAnsi="Verdana" w:cs="Arial"/>
          <w:sz w:val="21"/>
          <w:szCs w:val="21"/>
          <w:lang w:val="es-CO"/>
        </w:rPr>
        <w:t>pr</w:t>
      </w:r>
      <w:proofErr w:type="spellEnd"/>
      <w:r w:rsidRPr="009653FC">
        <w:rPr>
          <w:rFonts w:ascii="Verdana" w:eastAsia="Times New Roman" w:hAnsi="Verdana" w:cs="Arial"/>
          <w:sz w:val="21"/>
          <w:szCs w:val="21"/>
        </w:rPr>
        <w:t>oponentes cuyas ofertas sean me</w:t>
      </w:r>
      <w:proofErr w:type="spellStart"/>
      <w:r w:rsidRPr="009653FC">
        <w:rPr>
          <w:rFonts w:ascii="Verdana" w:eastAsia="Times New Roman" w:hAnsi="Verdana" w:cs="Arial"/>
          <w:sz w:val="21"/>
          <w:szCs w:val="21"/>
          <w:lang w:val="es-CO"/>
        </w:rPr>
        <w:t>nores</w:t>
      </w:r>
      <w:proofErr w:type="spellEnd"/>
      <w:r w:rsidRPr="009653FC">
        <w:rPr>
          <w:rFonts w:ascii="Verdana" w:eastAsia="Times New Roman" w:hAnsi="Verdana" w:cs="Arial"/>
          <w:sz w:val="21"/>
          <w:szCs w:val="21"/>
          <w:lang w:val="es-CO"/>
        </w:rPr>
        <w:t xml:space="preserve"> en un 20%, o un mayor porcentaje, al costo total estimado por la Entidad Estatal (comparación absoluta, ver numeral 2.1.1). </w:t>
      </w:r>
    </w:p>
    <w:p w14:paraId="30FC80DF" w14:textId="77777777" w:rsidR="006F4DCF" w:rsidRPr="009653FC" w:rsidRDefault="006F4DCF" w:rsidP="006F4DCF">
      <w:pPr>
        <w:pStyle w:val="Prrafodelista"/>
        <w:numPr>
          <w:ilvl w:val="0"/>
          <w:numId w:val="21"/>
        </w:numPr>
        <w:spacing w:after="0" w:line="240" w:lineRule="auto"/>
        <w:ind w:right="709"/>
        <w:jc w:val="both"/>
        <w:rPr>
          <w:rFonts w:ascii="Verdana" w:eastAsia="Times New Roman" w:hAnsi="Verdana" w:cs="Arial"/>
          <w:sz w:val="21"/>
          <w:szCs w:val="21"/>
        </w:rPr>
      </w:pPr>
      <w:r w:rsidRPr="009653FC">
        <w:rPr>
          <w:rFonts w:ascii="Verdana" w:eastAsia="Times New Roman" w:hAnsi="Verdana" w:cs="Arial"/>
          <w:sz w:val="21"/>
          <w:szCs w:val="21"/>
          <w:lang w:val="es-CO"/>
        </w:rPr>
        <w:t>Analizar la información remitida por el proponente y considerar el rechazo de las ofertas que cumplan con alguna de las condiciones establecidas en el numeral 4.2 de la presente Guía</w:t>
      </w:r>
      <w:r>
        <w:rPr>
          <w:rStyle w:val="Refdenotaalpie"/>
          <w:rFonts w:ascii="Verdana" w:eastAsia="Times New Roman" w:hAnsi="Verdana" w:cs="Arial"/>
          <w:sz w:val="21"/>
          <w:szCs w:val="21"/>
          <w:lang w:val="es-CO"/>
        </w:rPr>
        <w:footnoteReference w:id="6"/>
      </w:r>
      <w:r w:rsidRPr="009653FC">
        <w:rPr>
          <w:rFonts w:ascii="Verdana" w:eastAsia="Times New Roman" w:hAnsi="Verdana" w:cs="Arial"/>
          <w:sz w:val="21"/>
          <w:szCs w:val="21"/>
          <w:lang w:val="es-CO"/>
        </w:rPr>
        <w:t xml:space="preserve">. </w:t>
      </w:r>
    </w:p>
    <w:p w14:paraId="61E8A8AD" w14:textId="77777777" w:rsidR="006F4DCF" w:rsidRPr="001E5EA5" w:rsidRDefault="006F4DCF" w:rsidP="006F4DCF">
      <w:pPr>
        <w:spacing w:after="120" w:line="240" w:lineRule="auto"/>
        <w:ind w:firstLine="708"/>
        <w:jc w:val="both"/>
        <w:rPr>
          <w:rFonts w:ascii="Verdana" w:eastAsia="Times New Roman" w:hAnsi="Verdana" w:cs="Arial"/>
        </w:rPr>
      </w:pPr>
    </w:p>
    <w:p w14:paraId="2DED0879" w14:textId="77777777" w:rsidR="00BC23EF" w:rsidRDefault="006F4DCF" w:rsidP="006F4DCF">
      <w:pPr>
        <w:spacing w:after="120" w:line="276" w:lineRule="auto"/>
        <w:ind w:firstLine="708"/>
        <w:jc w:val="both"/>
        <w:rPr>
          <w:rFonts w:ascii="Verdana" w:hAnsi="Verdana"/>
        </w:rPr>
      </w:pPr>
      <w:r w:rsidRPr="00527F01">
        <w:rPr>
          <w:rFonts w:ascii="Verdana" w:eastAsia="Times New Roman" w:hAnsi="Verdana" w:cs="Arial"/>
        </w:rPr>
        <w:t>En este aspecto, también se destaca la importancia de hacer un análisis cuidadoso de la sostenibilidad de las ofertas</w:t>
      </w:r>
      <w:r>
        <w:rPr>
          <w:rFonts w:ascii="Verdana" w:eastAsia="Times New Roman" w:hAnsi="Verdana" w:cs="Arial"/>
        </w:rPr>
        <w:t xml:space="preserve"> en dichos procesos de contratación</w:t>
      </w:r>
      <w:r w:rsidRPr="00527F01">
        <w:rPr>
          <w:rFonts w:ascii="Verdana" w:eastAsia="Times New Roman" w:hAnsi="Verdana" w:cs="Arial"/>
        </w:rPr>
        <w:t xml:space="preserve">. Ahora bien, en el evento en que los lances presentados en la audiencia del proceso de subasta inversa se evidencian que son precios artificialmente bajos, debe tener en cuenta lo siguiente: i) requerir al oferente con relación a los </w:t>
      </w:r>
      <w:r w:rsidRPr="00527F01">
        <w:rPr>
          <w:rFonts w:ascii="Verdana" w:eastAsia="Times New Roman" w:hAnsi="Verdana" w:cs="Arial"/>
        </w:rPr>
        <w:lastRenderedPageBreak/>
        <w:t xml:space="preserve">precios ofertados que parecen bajos, con el fin de que sustente las razones o motivos del valor; </w:t>
      </w:r>
      <w:proofErr w:type="spellStart"/>
      <w:r w:rsidRPr="00527F01">
        <w:rPr>
          <w:rFonts w:ascii="Verdana" w:eastAsia="Times New Roman" w:hAnsi="Verdana" w:cs="Arial"/>
        </w:rPr>
        <w:t>ii</w:t>
      </w:r>
      <w:proofErr w:type="spellEnd"/>
      <w:r w:rsidRPr="00527F01">
        <w:rPr>
          <w:rFonts w:ascii="Verdana" w:eastAsia="Times New Roman" w:hAnsi="Verdana" w:cs="Arial"/>
        </w:rPr>
        <w:t>) a</w:t>
      </w:r>
      <w:r w:rsidRPr="00527F01">
        <w:rPr>
          <w:rFonts w:ascii="Verdana" w:hAnsi="Verdana"/>
        </w:rPr>
        <w:t xml:space="preserve">nalizar las explicaciones del oferente, para verificar si están sustentados en los valores ofrecidos y si son suficientes para ejecutar el contrato; </w:t>
      </w:r>
      <w:proofErr w:type="spellStart"/>
      <w:r w:rsidRPr="00527F01">
        <w:rPr>
          <w:rFonts w:ascii="Verdana" w:hAnsi="Verdana"/>
        </w:rPr>
        <w:t>iii</w:t>
      </w:r>
      <w:proofErr w:type="spellEnd"/>
      <w:r w:rsidRPr="00527F01">
        <w:rPr>
          <w:rFonts w:ascii="Verdana" w:hAnsi="Verdana"/>
        </w:rPr>
        <w:t>) definir si continúa con la evaluación de la oferta, en el sentido de que la explicación demuestra la capacidad del proponente para cumplir adecuadamente con el contrato con los precios ofertados o, si por el contrario, rechaza la oferta porque no fue sustentada</w:t>
      </w:r>
      <w:r>
        <w:rPr>
          <w:rStyle w:val="Refdenotaalpie"/>
          <w:rFonts w:ascii="Verdana" w:hAnsi="Verdana"/>
        </w:rPr>
        <w:footnoteReference w:id="7"/>
      </w:r>
      <w:r w:rsidRPr="00527F01">
        <w:rPr>
          <w:rFonts w:ascii="Verdana" w:hAnsi="Verdana"/>
        </w:rPr>
        <w:t>. Esto debe realizarse al finalizar el evento de subasta, de acuerdo con el precio ofrecido al final de esta.</w:t>
      </w:r>
    </w:p>
    <w:p w14:paraId="359BE17F" w14:textId="796AD8DA" w:rsidR="006F4DCF" w:rsidRPr="00527F01" w:rsidRDefault="00BC23EF" w:rsidP="006F4DCF">
      <w:pPr>
        <w:spacing w:after="120" w:line="276" w:lineRule="auto"/>
        <w:ind w:firstLine="708"/>
        <w:jc w:val="both"/>
        <w:rPr>
          <w:rFonts w:ascii="Verdana" w:hAnsi="Verdana"/>
        </w:rPr>
      </w:pPr>
      <w:r>
        <w:rPr>
          <w:rFonts w:ascii="Verdana" w:eastAsia="Calibri" w:hAnsi="Verdana" w:cs="Arial"/>
          <w:bCs/>
          <w:color w:val="000000" w:themeColor="text1"/>
        </w:rPr>
        <w:t xml:space="preserve">Por último, se recomienda </w:t>
      </w:r>
      <w:r w:rsidRPr="00D56D80">
        <w:rPr>
          <w:rFonts w:ascii="Verdana" w:eastAsia="Calibri" w:hAnsi="Verdana" w:cs="Arial"/>
          <w:bCs/>
          <w:color w:val="000000" w:themeColor="text1"/>
        </w:rPr>
        <w:t>consultar la “Guía para el Manejo de Ofertas Artificialmente Bajas”, con el fin de orientar adecuadamente la actuación frente a ofertas que presenten precios inusualmente bajos o que los proponentes no justifiquen debidamente. Esta guía ofrece directrices claras sobre los pasos que debe seguir la entidad para requerir explicaciones, evaluar su suficiencia y adoptar decisiones motivadas, garantizando la transparencia, la selección objetiva y la protección de la competencia en los procesos de subasta inversa electrónica.</w:t>
      </w:r>
      <w:r w:rsidR="006F4DCF" w:rsidRPr="00527F01">
        <w:rPr>
          <w:rFonts w:ascii="Verdana" w:hAnsi="Verdana"/>
        </w:rPr>
        <w:t xml:space="preserve"> </w:t>
      </w:r>
    </w:p>
    <w:p w14:paraId="38268726" w14:textId="77777777" w:rsidR="006F4DCF" w:rsidRPr="00527F01" w:rsidRDefault="006F4DCF" w:rsidP="006F4DCF">
      <w:pPr>
        <w:spacing w:after="120" w:line="276" w:lineRule="auto"/>
        <w:ind w:firstLine="708"/>
        <w:jc w:val="both"/>
        <w:rPr>
          <w:rFonts w:ascii="Verdana" w:eastAsia="Calibri" w:hAnsi="Verdana" w:cs="Arial"/>
        </w:rPr>
      </w:pPr>
      <w:r w:rsidRPr="00527F01">
        <w:rPr>
          <w:rFonts w:ascii="Verdana" w:eastAsia="Calibri" w:hAnsi="Verdana" w:cs="Arial"/>
        </w:rPr>
        <w:t xml:space="preserve">Finalmente, debe advertirse que el análisis requerido para resolver problemas específicos en torno a la verificación de ofertas que puedan resultar artificialmente bajas debe ser realizado por las Entidades.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391B979E" w14:textId="77777777" w:rsidR="006F4DCF" w:rsidRPr="00E61635" w:rsidRDefault="006F4DCF" w:rsidP="006F4DCF">
      <w:pPr>
        <w:widowControl w:val="0"/>
        <w:autoSpaceDE w:val="0"/>
        <w:autoSpaceDN w:val="0"/>
        <w:spacing w:after="0" w:line="276" w:lineRule="auto"/>
        <w:ind w:right="176" w:firstLine="708"/>
        <w:jc w:val="both"/>
        <w:rPr>
          <w:rFonts w:ascii="Verdana" w:hAnsi="Verdana"/>
        </w:rPr>
      </w:pPr>
      <w:r w:rsidRPr="00E61635">
        <w:rPr>
          <w:rFonts w:ascii="Verdana" w:hAnsi="Verdana"/>
        </w:rPr>
        <w:t xml:space="preserve">Dentro de este marco, corresponde a cada </w:t>
      </w:r>
      <w:r w:rsidRPr="005F3B31">
        <w:rPr>
          <w:rFonts w:ascii="Verdana" w:hAnsi="Verdana"/>
        </w:rPr>
        <w:t>entidad pública</w:t>
      </w:r>
      <w:r w:rsidRPr="00E61635">
        <w:rPr>
          <w:rFonts w:ascii="Verdana" w:hAnsi="Verdana"/>
        </w:rPr>
        <w:t>, en ejercicio de su competencia y previa valoración de los elementos fácticos y jurídicos, así como de las disposiciones legales mencionadas,</w:t>
      </w:r>
      <w:r>
        <w:rPr>
          <w:rFonts w:ascii="Verdana" w:hAnsi="Verdana"/>
        </w:rPr>
        <w:t xml:space="preserve"> en la fase de evaluación analizar los precios de las ofertas recibidas. </w:t>
      </w:r>
      <w:r w:rsidRPr="00E61635">
        <w:rPr>
          <w:rFonts w:ascii="Verdana" w:hAnsi="Verdana"/>
        </w:rPr>
        <w:t>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5746398F" w14:textId="729467EE" w:rsidR="00A64017" w:rsidRDefault="00A64017" w:rsidP="006F4DCF">
      <w:pPr>
        <w:spacing w:after="0" w:line="276" w:lineRule="auto"/>
        <w:jc w:val="both"/>
        <w:rPr>
          <w:rFonts w:ascii="Verdana" w:eastAsia="Calibri" w:hAnsi="Verdana" w:cs="Times New Roman"/>
          <w:lang w:val="es-ES"/>
        </w:rPr>
      </w:pPr>
    </w:p>
    <w:p w14:paraId="4388CDF6" w14:textId="77777777" w:rsidR="008E2432" w:rsidRPr="008E2432" w:rsidRDefault="008E2432" w:rsidP="00103B90">
      <w:pPr>
        <w:spacing w:after="0" w:line="276" w:lineRule="auto"/>
        <w:ind w:firstLine="708"/>
        <w:jc w:val="both"/>
        <w:rPr>
          <w:rFonts w:ascii="Verdana" w:eastAsia="Calibri" w:hAnsi="Verdana" w:cs="Times New Roman"/>
          <w:lang w:val="es-ES"/>
        </w:rPr>
      </w:pPr>
    </w:p>
    <w:p w14:paraId="3C1B09FA" w14:textId="77777777" w:rsidR="00A64017" w:rsidRPr="0060676F" w:rsidRDefault="00A64017" w:rsidP="00103B90">
      <w:pPr>
        <w:pStyle w:val="Prrafodelista"/>
        <w:numPr>
          <w:ilvl w:val="0"/>
          <w:numId w:val="16"/>
        </w:numPr>
        <w:spacing w:after="0" w:line="276" w:lineRule="auto"/>
        <w:ind w:left="284"/>
        <w:jc w:val="both"/>
        <w:rPr>
          <w:rFonts w:ascii="Verdana" w:eastAsia="Century Gothic" w:hAnsi="Verdana" w:cs="Century Gothic"/>
          <w:b/>
          <w:bCs/>
        </w:rPr>
      </w:pPr>
      <w:r w:rsidRPr="0060676F">
        <w:rPr>
          <w:rFonts w:ascii="Verdana" w:eastAsia="Century Gothic" w:hAnsi="Verdana" w:cs="Century Gothic"/>
          <w:b/>
          <w:bCs/>
        </w:rPr>
        <w:t>Referencias normativas, jurisprudenciales y otras fuentes:</w:t>
      </w:r>
    </w:p>
    <w:p w14:paraId="745A8C4A" w14:textId="77777777" w:rsidR="00A64017" w:rsidRPr="00593A5F" w:rsidRDefault="00A64017" w:rsidP="00A6401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64017" w:rsidRPr="00593A5F" w14:paraId="1DC30723" w14:textId="77777777" w:rsidTr="00A15B1F">
        <w:trPr>
          <w:trHeight w:val="870"/>
        </w:trPr>
        <w:tc>
          <w:tcPr>
            <w:tcW w:w="8647" w:type="dxa"/>
          </w:tcPr>
          <w:p w14:paraId="7519773A" w14:textId="77777777" w:rsidR="00172258" w:rsidRDefault="00172258" w:rsidP="00172258">
            <w:pPr>
              <w:widowControl w:val="0"/>
              <w:numPr>
                <w:ilvl w:val="0"/>
                <w:numId w:val="17"/>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rPr>
            </w:pPr>
            <w:r w:rsidRPr="005E5B81">
              <w:rPr>
                <w:rFonts w:ascii="Verdana" w:hAnsi="Verdana"/>
              </w:rPr>
              <w:t>Ley 80 de 1993. Artículo 26</w:t>
            </w:r>
          </w:p>
          <w:p w14:paraId="6CFFF15E" w14:textId="77777777" w:rsidR="00172258" w:rsidRPr="005E5B81" w:rsidRDefault="00172258" w:rsidP="00172258">
            <w:pPr>
              <w:widowControl w:val="0"/>
              <w:numPr>
                <w:ilvl w:val="0"/>
                <w:numId w:val="17"/>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rPr>
            </w:pPr>
            <w:r w:rsidRPr="005E5B81">
              <w:rPr>
                <w:rFonts w:ascii="Verdana" w:hAnsi="Verdana"/>
              </w:rPr>
              <w:t>Ley 1150 de 2007, artículo</w:t>
            </w:r>
            <w:r>
              <w:rPr>
                <w:rFonts w:ascii="Verdana" w:hAnsi="Verdana"/>
              </w:rPr>
              <w:t>s</w:t>
            </w:r>
            <w:r w:rsidRPr="005E5B81">
              <w:rPr>
                <w:rFonts w:ascii="Verdana" w:hAnsi="Verdana"/>
              </w:rPr>
              <w:t xml:space="preserve"> 4,</w:t>
            </w:r>
            <w:r>
              <w:rPr>
                <w:rFonts w:ascii="Verdana" w:hAnsi="Verdana"/>
              </w:rPr>
              <w:t xml:space="preserve"> 5 y 7. </w:t>
            </w:r>
          </w:p>
          <w:p w14:paraId="31DB8262" w14:textId="77777777" w:rsidR="00172258" w:rsidRPr="00156132" w:rsidRDefault="00172258" w:rsidP="00172258">
            <w:pPr>
              <w:widowControl w:val="0"/>
              <w:numPr>
                <w:ilvl w:val="0"/>
                <w:numId w:val="17"/>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rPr>
            </w:pPr>
            <w:r w:rsidRPr="005E5B81">
              <w:rPr>
                <w:rFonts w:ascii="Verdana" w:hAnsi="Verdana"/>
              </w:rPr>
              <w:t>Decreto 1082 de 2015, artículo 2.2.1.1.2.1.3. numeral 8 y 9 artículo 2.2.1.2.3.1.6 y 2.2.1.2.3.1.9., 2.2.1.2.3.1.13., 2.2.1.2.3.1.14</w:t>
            </w:r>
            <w:r>
              <w:rPr>
                <w:rFonts w:ascii="Verdana" w:hAnsi="Verdana"/>
              </w:rPr>
              <w:t xml:space="preserve"> 2.2.1.2.3.2.8. y 2.2.1.2.1.5.5, </w:t>
            </w:r>
            <w:r w:rsidRPr="00156132">
              <w:rPr>
                <w:rFonts w:ascii="Verdana" w:hAnsi="Verdana"/>
                <w:lang w:val="es-ES"/>
              </w:rPr>
              <w:t>2.2.1.1.1.6.1</w:t>
            </w:r>
            <w:r>
              <w:rPr>
                <w:rFonts w:ascii="Verdana" w:hAnsi="Verdana"/>
                <w:lang w:val="es-ES"/>
              </w:rPr>
              <w:t xml:space="preserve">, 2.2.1.1.2.2.3 y 2.2.1.1.2.2.4. </w:t>
            </w:r>
          </w:p>
          <w:p w14:paraId="4D25BE58" w14:textId="77777777" w:rsidR="00172258" w:rsidRPr="005E5B81" w:rsidRDefault="00172258" w:rsidP="00172258">
            <w:pPr>
              <w:widowControl w:val="0"/>
              <w:numPr>
                <w:ilvl w:val="0"/>
                <w:numId w:val="17"/>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rPr>
            </w:pPr>
            <w:r w:rsidRPr="005E5B81">
              <w:rPr>
                <w:rFonts w:ascii="Verdana" w:hAnsi="Verdana"/>
              </w:rPr>
              <w:t xml:space="preserve">Código de Comercio, artículos 846, 847 y 1068 </w:t>
            </w:r>
          </w:p>
          <w:p w14:paraId="3C042084" w14:textId="77777777" w:rsidR="00172258" w:rsidRPr="005E5B81" w:rsidRDefault="00172258" w:rsidP="00172258">
            <w:pPr>
              <w:widowControl w:val="0"/>
              <w:numPr>
                <w:ilvl w:val="0"/>
                <w:numId w:val="17"/>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rPr>
            </w:pPr>
            <w:r w:rsidRPr="005E5B81">
              <w:rPr>
                <w:rFonts w:ascii="Verdana" w:hAnsi="Verdana"/>
              </w:rPr>
              <w:t>CORTE CONSTITUCIONAL. Sentencia C-452 de 1999. M.P. Eduardo Cifuentes Muñoz.</w:t>
            </w:r>
          </w:p>
          <w:p w14:paraId="05604D09" w14:textId="77777777" w:rsidR="00172258" w:rsidRPr="005E5B81" w:rsidRDefault="00172258" w:rsidP="00172258">
            <w:pPr>
              <w:widowControl w:val="0"/>
              <w:numPr>
                <w:ilvl w:val="0"/>
                <w:numId w:val="17"/>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rPr>
            </w:pPr>
            <w:r w:rsidRPr="005E5B81">
              <w:rPr>
                <w:rFonts w:ascii="Verdana" w:hAnsi="Verdana"/>
              </w:rPr>
              <w:t xml:space="preserve">CONSEJO DE ESTADO. Sección Tercera. Sentencia del 4 de junio de 2008. </w:t>
            </w:r>
            <w:proofErr w:type="spellStart"/>
            <w:r w:rsidRPr="005E5B81">
              <w:rPr>
                <w:rFonts w:ascii="Verdana" w:hAnsi="Verdana"/>
              </w:rPr>
              <w:t>Exp</w:t>
            </w:r>
            <w:proofErr w:type="spellEnd"/>
            <w:r w:rsidRPr="005E5B81">
              <w:rPr>
                <w:rFonts w:ascii="Verdana" w:hAnsi="Verdana"/>
              </w:rPr>
              <w:t>. No. 17.783. C.P. Myriam Guerrero de Escobar.</w:t>
            </w:r>
          </w:p>
          <w:p w14:paraId="41B92B91" w14:textId="5A780705" w:rsidR="00C91AF4" w:rsidRPr="006E65CC" w:rsidRDefault="00172258" w:rsidP="00172258">
            <w:pPr>
              <w:pStyle w:val="Prrafodelista"/>
              <w:widowControl w:val="0"/>
              <w:autoSpaceDE w:val="0"/>
              <w:autoSpaceDN w:val="0"/>
              <w:ind w:left="714"/>
              <w:jc w:val="both"/>
              <w:rPr>
                <w:rFonts w:ascii="Verdana" w:hAnsi="Verdana" w:cs="Arial"/>
              </w:rPr>
            </w:pPr>
            <w:r w:rsidRPr="00156132">
              <w:rPr>
                <w:rFonts w:ascii="Verdana" w:hAnsi="Verdana"/>
              </w:rPr>
              <w:t xml:space="preserve">AGENCIA NACIONAL DE CONTRATACIÓN PÚBLICA –COLOMBIA COMPRA EFICIENTE. Guía para el manejo de ofertas artificialmente bajas en procesos de contratación. Disponible en línea: </w:t>
            </w:r>
            <w:hyperlink r:id="rId13" w:history="1">
              <w:r w:rsidRPr="00156132">
                <w:rPr>
                  <w:rStyle w:val="Hipervnculo"/>
                  <w:rFonts w:ascii="Verdana" w:hAnsi="Verdana"/>
                </w:rPr>
                <w:t>https://www.colombiacompra.gov.co/archivos/manual/guia-para-el-manejo-de-ofertas-artificialmente-bajas-en-procesos-de-contratacion-2</w:t>
              </w:r>
            </w:hyperlink>
            <w:r w:rsidRPr="00156132">
              <w:rPr>
                <w:rFonts w:ascii="Verdana" w:hAnsi="Verdana"/>
              </w:rPr>
              <w:t xml:space="preserve">. </w:t>
            </w:r>
            <w:r>
              <w:rPr>
                <w:rFonts w:ascii="Verdana" w:hAnsi="Verdana"/>
              </w:rPr>
              <w:t>2024.</w:t>
            </w:r>
          </w:p>
          <w:p w14:paraId="60CC6EC9" w14:textId="7684FF4C" w:rsidR="00A64017" w:rsidRPr="00332677" w:rsidRDefault="00A64017" w:rsidP="002A22D8">
            <w:pPr>
              <w:pStyle w:val="Prrafodelista"/>
              <w:widowControl w:val="0"/>
              <w:autoSpaceDE w:val="0"/>
              <w:autoSpaceDN w:val="0"/>
              <w:jc w:val="both"/>
              <w:rPr>
                <w:rFonts w:ascii="Verdana" w:hAnsi="Verdana" w:cs="Arial"/>
              </w:rPr>
            </w:pPr>
          </w:p>
        </w:tc>
      </w:tr>
    </w:tbl>
    <w:p w14:paraId="5DF595B1" w14:textId="77777777" w:rsidR="00A64017" w:rsidRDefault="00A64017" w:rsidP="00A6401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317C882F" w14:textId="77777777" w:rsidR="00A64017" w:rsidRDefault="00A64017" w:rsidP="00A64017">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11814799" w14:textId="77777777" w:rsidR="00A64017" w:rsidRPr="00593A5F" w:rsidRDefault="00A64017" w:rsidP="00A6401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7A467DD" w14:textId="39A335D2" w:rsidR="00A64017" w:rsidRPr="002A22D8" w:rsidRDefault="00172258" w:rsidP="00A64017">
      <w:pPr>
        <w:widowControl w:val="0"/>
        <w:autoSpaceDE w:val="0"/>
        <w:autoSpaceDN w:val="0"/>
        <w:spacing w:after="0" w:line="276" w:lineRule="auto"/>
        <w:jc w:val="both"/>
        <w:rPr>
          <w:rFonts w:ascii="Verdana" w:hAnsi="Verdana" w:cs="Arial"/>
          <w:bCs/>
          <w:shd w:val="clear" w:color="auto" w:fill="FFFFFF"/>
        </w:rPr>
      </w:pPr>
      <w:r w:rsidRPr="0094448B">
        <w:rPr>
          <w:rFonts w:ascii="Verdana" w:hAnsi="Verdana" w:cs="Arial"/>
          <w:bCs/>
          <w:shd w:val="clear" w:color="auto" w:fill="FFFFFF"/>
        </w:rPr>
        <w:t>La Agencia Nacional de Contratación Pública – Colombia Compra Eficiente ha expedido los siguientes conceptos</w:t>
      </w:r>
      <w:r>
        <w:rPr>
          <w:rFonts w:ascii="Verdana" w:hAnsi="Verdana" w:cs="Arial"/>
          <w:bCs/>
          <w:shd w:val="clear" w:color="auto" w:fill="FFFFFF"/>
        </w:rPr>
        <w:t xml:space="preserve"> sobre precios artificialmente bajos en subasta inversa:</w:t>
      </w:r>
      <w:r w:rsidRPr="0094448B">
        <w:rPr>
          <w:rFonts w:ascii="Verdana" w:hAnsi="Verdana" w:cs="Arial"/>
          <w:bCs/>
          <w:shd w:val="clear" w:color="auto" w:fill="FFFFFF"/>
        </w:rPr>
        <w:t xml:space="preserve"> </w:t>
      </w:r>
      <w:r w:rsidRPr="005E5B81">
        <w:rPr>
          <w:rFonts w:ascii="Verdana" w:hAnsi="Verdana" w:cs="Arial"/>
          <w:bCs/>
          <w:shd w:val="clear" w:color="auto" w:fill="FFFFFF"/>
          <w:lang w:val="es-ES"/>
        </w:rPr>
        <w:t xml:space="preserve">C–163 del 31 de marzo de 2020, C–200 del 14 de abril de 2020, C–767 del 7 de enero de 2021, C-205 del 7 de mayo de 2021, C-299 del 14 de mayo de 2022, C-484 de 2022, C-952 del 20 de enero de 2023, C-860 del 27 de diciembre de 2024, C-329 del 25 de abril de 2025, C-573 del 16 de junio de 2025, C-769 de 25 de julio de 2025, </w:t>
      </w:r>
      <w:r>
        <w:rPr>
          <w:rFonts w:ascii="Verdana" w:hAnsi="Verdana" w:cs="Arial"/>
          <w:bCs/>
          <w:shd w:val="clear" w:color="auto" w:fill="FFFFFF"/>
          <w:lang w:val="es-ES"/>
        </w:rPr>
        <w:t>C-1042 del 5 de septiembre de 2025, C-1069 del 12 de septiembre de 2025 y C-1299 del 20 de octubre de 2025</w:t>
      </w:r>
      <w:r w:rsidR="00092F62">
        <w:rPr>
          <w:rFonts w:ascii="Verdana" w:hAnsi="Verdana" w:cs="Arial"/>
          <w:shd w:val="clear" w:color="auto" w:fill="FFFFFF"/>
        </w:rPr>
        <w:t>,</w:t>
      </w:r>
      <w:r w:rsidR="00D66FF5">
        <w:rPr>
          <w:rFonts w:ascii="Verdana" w:hAnsi="Verdana" w:cs="Arial"/>
          <w:shd w:val="clear" w:color="auto" w:fill="FFFFFF"/>
        </w:rPr>
        <w:t xml:space="preserve"> </w:t>
      </w:r>
      <w:r w:rsidR="00D66FF5" w:rsidRPr="0027034B">
        <w:rPr>
          <w:rFonts w:ascii="Verdana" w:eastAsia="Calibri" w:hAnsi="Verdana" w:cs="Arial"/>
          <w:lang w:val="es-ES_tradnl" w:eastAsia="es-ES_tradnl"/>
        </w:rPr>
        <w:t>entre otros</w:t>
      </w:r>
      <w:r w:rsidR="001D1756">
        <w:rPr>
          <w:rStyle w:val="normaltextrun"/>
          <w:rFonts w:ascii="Verdana" w:hAnsi="Verdana" w:cs="Arial"/>
          <w:shd w:val="clear" w:color="auto" w:fill="FFFFFF"/>
          <w:lang w:val="es-ES"/>
        </w:rPr>
        <w:t>.</w:t>
      </w:r>
      <w:r w:rsidR="009552F8">
        <w:rPr>
          <w:rFonts w:ascii="Verdana" w:eastAsia="Calibri" w:hAnsi="Verdana" w:cs="Arial"/>
          <w:shd w:val="clear" w:color="auto" w:fill="FFFFFF"/>
        </w:rPr>
        <w:t xml:space="preserve"> </w:t>
      </w:r>
      <w:r w:rsidR="00A64017">
        <w:rPr>
          <w:rFonts w:ascii="Verdana" w:eastAsia="Calibri" w:hAnsi="Verdana" w:cs="Times New Roman"/>
        </w:rPr>
        <w:t xml:space="preserve">Estos </w:t>
      </w:r>
      <w:r w:rsidR="00A64017" w:rsidRPr="00185EE9">
        <w:rPr>
          <w:rFonts w:ascii="Verdana" w:eastAsia="Calibri" w:hAnsi="Verdana" w:cs="Times New Roman"/>
        </w:rPr>
        <w:t xml:space="preserve">se encuentran disponibles para consulta en el Sistema de Relatoría de la Agencia, en el cual también podrás encontrar jurisprudencia del Consejo de Estado, laudos arbitrales y la normativa de la contratación concordada con la </w:t>
      </w:r>
      <w:r w:rsidR="00A64017" w:rsidRPr="00185EE9">
        <w:rPr>
          <w:rFonts w:ascii="Verdana" w:eastAsia="Calibri" w:hAnsi="Verdana" w:cs="Times New Roman"/>
        </w:rPr>
        <w:lastRenderedPageBreak/>
        <w:t>doctrina de la Subdirección de Gestión Contractual, accede a través del siguiente enlace:</w:t>
      </w:r>
    </w:p>
    <w:p w14:paraId="6931545C" w14:textId="77777777" w:rsidR="00A64017" w:rsidRPr="0065720B" w:rsidRDefault="00B24230" w:rsidP="00A64017">
      <w:pPr>
        <w:widowControl w:val="0"/>
        <w:autoSpaceDE w:val="0"/>
        <w:autoSpaceDN w:val="0"/>
        <w:spacing w:after="0" w:line="276" w:lineRule="auto"/>
        <w:jc w:val="both"/>
        <w:rPr>
          <w:rStyle w:val="normaltextrun"/>
          <w:rFonts w:ascii="Verdana" w:eastAsia="Calibri" w:hAnsi="Verdana" w:cs="Arial"/>
          <w:lang w:val="es-ES_tradnl" w:eastAsia="en-GB"/>
        </w:rPr>
      </w:pPr>
      <w:hyperlink r:id="rId14" w:history="1">
        <w:r w:rsidR="00A64017" w:rsidRPr="00191357">
          <w:rPr>
            <w:rStyle w:val="Hipervnculo"/>
            <w:rFonts w:ascii="Verdana" w:eastAsia="Calibri" w:hAnsi="Verdana" w:cs="Times New Roman"/>
            <w:lang w:val="es-ES"/>
          </w:rPr>
          <w:t>https://relatoria.colombiacompra.gov.co/busqueda/conceptos</w:t>
        </w:r>
      </w:hyperlink>
      <w:r w:rsidR="00A64017" w:rsidRPr="00185EE9">
        <w:rPr>
          <w:rFonts w:ascii="Verdana" w:eastAsia="Calibri" w:hAnsi="Verdana" w:cs="Times New Roman"/>
        </w:rPr>
        <w:t>.</w:t>
      </w:r>
    </w:p>
    <w:p w14:paraId="247E4DC7" w14:textId="77777777" w:rsidR="00A64017" w:rsidRPr="00505CD6" w:rsidRDefault="00A64017" w:rsidP="00A64017">
      <w:pPr>
        <w:widowControl w:val="0"/>
        <w:autoSpaceDE w:val="0"/>
        <w:autoSpaceDN w:val="0"/>
        <w:spacing w:after="0" w:line="276" w:lineRule="auto"/>
        <w:jc w:val="both"/>
        <w:rPr>
          <w:rFonts w:ascii="Verdana" w:hAnsi="Verdana" w:cs="Arial"/>
          <w:color w:val="000000" w:themeColor="text1"/>
          <w:shd w:val="clear" w:color="auto" w:fill="FFFFFF"/>
        </w:rPr>
      </w:pPr>
    </w:p>
    <w:p w14:paraId="1C7A848A" w14:textId="77777777" w:rsidR="00A64017" w:rsidRPr="00103B90" w:rsidRDefault="00A64017" w:rsidP="00A64017">
      <w:pPr>
        <w:widowControl w:val="0"/>
        <w:autoSpaceDE w:val="0"/>
        <w:autoSpaceDN w:val="0"/>
        <w:spacing w:after="0" w:line="276" w:lineRule="auto"/>
        <w:jc w:val="both"/>
        <w:rPr>
          <w:rFonts w:ascii="Verdana" w:hAnsi="Verdana"/>
        </w:rPr>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rsidRPr="00103B90">
        <w:rPr>
          <w:rFonts w:ascii="Verdana" w:hAnsi="Verdana"/>
        </w:rPr>
        <w:t>.</w:t>
      </w:r>
    </w:p>
    <w:p w14:paraId="233B7348" w14:textId="77777777" w:rsidR="00A64017" w:rsidRPr="00103B90" w:rsidRDefault="00A64017" w:rsidP="00A64017">
      <w:pPr>
        <w:widowControl w:val="0"/>
        <w:autoSpaceDE w:val="0"/>
        <w:autoSpaceDN w:val="0"/>
        <w:spacing w:after="0" w:line="276" w:lineRule="auto"/>
        <w:jc w:val="both"/>
        <w:rPr>
          <w:rFonts w:ascii="Verdana" w:hAnsi="Verdana"/>
        </w:rPr>
      </w:pPr>
    </w:p>
    <w:p w14:paraId="3AC26022" w14:textId="77777777" w:rsidR="00A64017" w:rsidRPr="00505CD6" w:rsidRDefault="00A64017" w:rsidP="00A64017">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4DEEBD0F" w14:textId="77777777" w:rsidR="00A64017" w:rsidRPr="00505CD6" w:rsidRDefault="00A64017" w:rsidP="00A64017">
      <w:pPr>
        <w:widowControl w:val="0"/>
        <w:autoSpaceDE w:val="0"/>
        <w:autoSpaceDN w:val="0"/>
        <w:spacing w:after="0" w:line="276" w:lineRule="auto"/>
        <w:jc w:val="both"/>
        <w:rPr>
          <w:rFonts w:ascii="Verdana" w:hAnsi="Verdana" w:cs="Arial"/>
        </w:rPr>
      </w:pPr>
    </w:p>
    <w:p w14:paraId="58604560" w14:textId="06BDD46E" w:rsidR="00A64017" w:rsidRDefault="00A64017" w:rsidP="00A51CB5">
      <w:pPr>
        <w:spacing w:after="0" w:line="276" w:lineRule="auto"/>
        <w:jc w:val="both"/>
        <w:rPr>
          <w:noProof/>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7FC0DC1D" w14:textId="1FFD24E9" w:rsidR="00331CD0" w:rsidRDefault="00331CD0" w:rsidP="00A64017">
      <w:pPr>
        <w:spacing w:line="276" w:lineRule="auto"/>
        <w:jc w:val="center"/>
        <w:rPr>
          <w:noProof/>
        </w:rPr>
      </w:pPr>
    </w:p>
    <w:p w14:paraId="6ABC9A35" w14:textId="0487B018" w:rsidR="00CE32D1" w:rsidRDefault="00B11FE1" w:rsidP="00A64017">
      <w:pPr>
        <w:spacing w:line="276" w:lineRule="auto"/>
        <w:jc w:val="center"/>
        <w:rPr>
          <w:noProof/>
        </w:rPr>
      </w:pPr>
      <w:r>
        <w:rPr>
          <w:noProof/>
        </w:rPr>
        <w:drawing>
          <wp:inline distT="0" distB="0" distL="0" distR="0" wp14:anchorId="10DCA0FD" wp14:editId="2CA30AAC">
            <wp:extent cx="3392805" cy="1456472"/>
            <wp:effectExtent l="0" t="0" r="0" b="0"/>
            <wp:docPr id="147811036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96824" cy="1458197"/>
                    </a:xfrm>
                    <a:prstGeom prst="rect">
                      <a:avLst/>
                    </a:prstGeom>
                    <a:noFill/>
                    <a:ln>
                      <a:noFill/>
                    </a:ln>
                  </pic:spPr>
                </pic:pic>
              </a:graphicData>
            </a:graphic>
          </wp:inline>
        </w:drawing>
      </w:r>
    </w:p>
    <w:p w14:paraId="1B1C15E8" w14:textId="198E710D" w:rsidR="00CE32D1" w:rsidRDefault="00CE32D1" w:rsidP="00A64017">
      <w:pPr>
        <w:spacing w:line="276" w:lineRule="auto"/>
        <w:jc w:val="center"/>
        <w:rPr>
          <w:noProof/>
        </w:rPr>
      </w:pPr>
    </w:p>
    <w:p w14:paraId="2684EF3C" w14:textId="77777777" w:rsidR="00B11FE1" w:rsidRDefault="00B11FE1" w:rsidP="00A64017">
      <w:pPr>
        <w:spacing w:line="276" w:lineRule="auto"/>
        <w:jc w:val="center"/>
        <w:rPr>
          <w:noProof/>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64017" w:rsidRPr="00593A5F" w14:paraId="2074F15F" w14:textId="77777777" w:rsidTr="00A15B1F">
        <w:trPr>
          <w:trHeight w:val="315"/>
        </w:trPr>
        <w:tc>
          <w:tcPr>
            <w:tcW w:w="893" w:type="dxa"/>
            <w:vAlign w:val="center"/>
            <w:hideMark/>
          </w:tcPr>
          <w:p w14:paraId="7378D4C0" w14:textId="77777777" w:rsidR="00A64017" w:rsidRPr="003751C7" w:rsidRDefault="00A64017" w:rsidP="00A15B1F">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7D9818A" w14:textId="1B6CADDB" w:rsidR="00332320" w:rsidRDefault="00332320" w:rsidP="00A15B1F">
            <w:pPr>
              <w:contextualSpacing/>
              <w:rPr>
                <w:rFonts w:ascii="Verdana" w:hAnsi="Verdana"/>
                <w:sz w:val="16"/>
                <w:szCs w:val="16"/>
              </w:rPr>
            </w:pPr>
            <w:r>
              <w:rPr>
                <w:rFonts w:ascii="Verdana" w:hAnsi="Verdana"/>
                <w:sz w:val="16"/>
                <w:szCs w:val="16"/>
              </w:rPr>
              <w:t xml:space="preserve">Nicolas Andrés </w:t>
            </w:r>
            <w:proofErr w:type="spellStart"/>
            <w:r>
              <w:rPr>
                <w:rFonts w:ascii="Verdana" w:hAnsi="Verdana"/>
                <w:sz w:val="16"/>
                <w:szCs w:val="16"/>
              </w:rPr>
              <w:t>Guzman</w:t>
            </w:r>
            <w:proofErr w:type="spellEnd"/>
            <w:r>
              <w:rPr>
                <w:rFonts w:ascii="Verdana" w:hAnsi="Verdana"/>
                <w:sz w:val="16"/>
                <w:szCs w:val="16"/>
              </w:rPr>
              <w:t xml:space="preserve"> </w:t>
            </w:r>
          </w:p>
          <w:p w14:paraId="33A01C93" w14:textId="30026B42" w:rsidR="00A64017" w:rsidRPr="007911EE" w:rsidRDefault="00332320" w:rsidP="00A15B1F">
            <w:pPr>
              <w:contextualSpacing/>
              <w:rPr>
                <w:rFonts w:ascii="Verdana" w:eastAsia="Arial" w:hAnsi="Verdana" w:cs="Arial"/>
                <w:sz w:val="16"/>
                <w:szCs w:val="16"/>
              </w:rPr>
            </w:pPr>
            <w:r>
              <w:rPr>
                <w:rFonts w:ascii="Verdana" w:hAnsi="Verdana"/>
                <w:sz w:val="16"/>
                <w:szCs w:val="16"/>
              </w:rPr>
              <w:t>C</w:t>
            </w:r>
            <w:r w:rsidR="00A64017" w:rsidRPr="007911EE">
              <w:rPr>
                <w:rFonts w:ascii="Verdana" w:hAnsi="Verdana"/>
                <w:sz w:val="16"/>
                <w:szCs w:val="16"/>
              </w:rPr>
              <w:t>ontratista de la Subdirección de Gestión Contractual</w:t>
            </w:r>
          </w:p>
        </w:tc>
      </w:tr>
      <w:tr w:rsidR="00A64017" w:rsidRPr="00593A5F" w14:paraId="2D3F1B0D" w14:textId="77777777" w:rsidTr="00A15B1F">
        <w:trPr>
          <w:trHeight w:val="330"/>
        </w:trPr>
        <w:tc>
          <w:tcPr>
            <w:tcW w:w="893" w:type="dxa"/>
            <w:vAlign w:val="center"/>
            <w:hideMark/>
          </w:tcPr>
          <w:p w14:paraId="415C854E" w14:textId="77777777" w:rsidR="00A64017" w:rsidRPr="003751C7" w:rsidRDefault="00A64017" w:rsidP="00A15B1F">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FAC63A0" w14:textId="77777777" w:rsidR="00332320" w:rsidRDefault="00332320" w:rsidP="00332320">
            <w:pPr>
              <w:contextualSpacing/>
              <w:rPr>
                <w:rFonts w:ascii="Verdana" w:hAnsi="Verdana"/>
                <w:sz w:val="16"/>
                <w:szCs w:val="16"/>
              </w:rPr>
            </w:pPr>
            <w:r w:rsidRPr="00332320">
              <w:rPr>
                <w:rFonts w:ascii="Verdana" w:hAnsi="Verdana"/>
                <w:sz w:val="16"/>
                <w:szCs w:val="16"/>
              </w:rPr>
              <w:t>Juan Carlos González</w:t>
            </w:r>
          </w:p>
          <w:p w14:paraId="72046261" w14:textId="77777777" w:rsidR="00A64017" w:rsidRPr="007911EE" w:rsidRDefault="00A64017" w:rsidP="00A15B1F">
            <w:pPr>
              <w:spacing w:line="276" w:lineRule="auto"/>
              <w:contextualSpacing/>
              <w:jc w:val="both"/>
              <w:rPr>
                <w:rFonts w:ascii="Verdana" w:hAnsi="Verdana" w:cstheme="minorHAnsi"/>
                <w:sz w:val="16"/>
                <w:szCs w:val="16"/>
              </w:rPr>
            </w:pPr>
            <w:r>
              <w:rPr>
                <w:rStyle w:val="normaltextrun"/>
                <w:rFonts w:ascii="Verdana" w:eastAsia="Arial" w:hAnsi="Verdana"/>
                <w:sz w:val="16"/>
                <w:szCs w:val="16"/>
              </w:rPr>
              <w:t xml:space="preserve">Contratista </w:t>
            </w:r>
            <w:r w:rsidRPr="00CD7324">
              <w:rPr>
                <w:rStyle w:val="normaltextrun"/>
                <w:rFonts w:ascii="Verdana" w:eastAsia="Arial" w:hAnsi="Verdana"/>
                <w:sz w:val="16"/>
                <w:szCs w:val="16"/>
              </w:rPr>
              <w:t>de la</w:t>
            </w:r>
            <w:r w:rsidRPr="007911EE">
              <w:rPr>
                <w:rStyle w:val="normaltextrun"/>
                <w:rFonts w:ascii="Verdana" w:eastAsia="Arial" w:hAnsi="Verdana" w:cs="Arial"/>
                <w:sz w:val="16"/>
                <w:szCs w:val="16"/>
              </w:rPr>
              <w:t xml:space="preserve"> Subdirección de Gestión Contractual</w:t>
            </w:r>
          </w:p>
        </w:tc>
      </w:tr>
      <w:tr w:rsidR="00A64017" w:rsidRPr="00593A5F" w14:paraId="53B0CBD3" w14:textId="77777777" w:rsidTr="00A15B1F">
        <w:trPr>
          <w:trHeight w:val="330"/>
        </w:trPr>
        <w:tc>
          <w:tcPr>
            <w:tcW w:w="893" w:type="dxa"/>
            <w:vAlign w:val="center"/>
          </w:tcPr>
          <w:p w14:paraId="68FD8648" w14:textId="77777777" w:rsidR="00A64017" w:rsidRPr="003751C7" w:rsidRDefault="00A64017" w:rsidP="00A15B1F">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11559B6" w14:textId="77777777" w:rsidR="00A64017" w:rsidRDefault="00A64017" w:rsidP="00A15B1F">
            <w:pPr>
              <w:spacing w:line="276" w:lineRule="auto"/>
              <w:contextualSpacing/>
              <w:jc w:val="both"/>
              <w:rPr>
                <w:rFonts w:ascii="Verdana" w:hAnsi="Verdana"/>
                <w:sz w:val="16"/>
                <w:szCs w:val="16"/>
              </w:rPr>
            </w:pPr>
            <w:r>
              <w:rPr>
                <w:rFonts w:ascii="Verdana" w:hAnsi="Verdana"/>
                <w:sz w:val="16"/>
                <w:szCs w:val="16"/>
              </w:rPr>
              <w:t xml:space="preserve">Carolina Quintero Gacharna </w:t>
            </w:r>
          </w:p>
          <w:p w14:paraId="0B1F87FE" w14:textId="7E0E60C3" w:rsidR="00A64017" w:rsidRDefault="00A64017" w:rsidP="00A15B1F">
            <w:pPr>
              <w:spacing w:line="276" w:lineRule="auto"/>
              <w:contextualSpacing/>
              <w:jc w:val="both"/>
              <w:rPr>
                <w:rFonts w:ascii="Verdana" w:hAnsi="Verdana"/>
                <w:sz w:val="16"/>
                <w:szCs w:val="16"/>
              </w:rPr>
            </w:pPr>
            <w:r w:rsidRPr="00EB1CF7">
              <w:rPr>
                <w:rFonts w:ascii="Verdana" w:eastAsia="Calibri" w:hAnsi="Verdana" w:cs="Arial"/>
                <w:sz w:val="16"/>
                <w:szCs w:val="16"/>
                <w:lang w:eastAsia="es-ES"/>
              </w:rPr>
              <w:t>Subdirectora</w:t>
            </w:r>
            <w:r w:rsidRPr="00EB1CF7">
              <w:rPr>
                <w:rFonts w:ascii="Verdana" w:eastAsia="Calibri" w:hAnsi="Verdana" w:cs="Arial"/>
                <w:sz w:val="16"/>
                <w:szCs w:val="16"/>
                <w:lang w:val="pt-BR" w:eastAsia="es-ES"/>
              </w:rPr>
              <w:t xml:space="preserve"> de </w:t>
            </w:r>
            <w:proofErr w:type="spellStart"/>
            <w:r w:rsidRPr="00EB1CF7">
              <w:rPr>
                <w:rFonts w:ascii="Verdana" w:eastAsia="Calibri" w:hAnsi="Verdana" w:cs="Arial"/>
                <w:sz w:val="16"/>
                <w:szCs w:val="16"/>
                <w:lang w:val="pt-BR" w:eastAsia="es-ES"/>
              </w:rPr>
              <w:t>Gestión</w:t>
            </w:r>
            <w:proofErr w:type="spellEnd"/>
            <w:r w:rsidRPr="00EB1CF7">
              <w:rPr>
                <w:rFonts w:ascii="Verdana" w:eastAsia="Calibri" w:hAnsi="Verdana" w:cs="Arial"/>
                <w:sz w:val="16"/>
                <w:szCs w:val="16"/>
                <w:lang w:val="pt-BR" w:eastAsia="es-ES"/>
              </w:rPr>
              <w:t xml:space="preserve"> Contratual </w:t>
            </w:r>
            <w:r w:rsidR="008E2432">
              <w:rPr>
                <w:rFonts w:ascii="Verdana" w:eastAsia="Calibri" w:hAnsi="Verdana" w:cs="Arial"/>
                <w:sz w:val="16"/>
                <w:szCs w:val="16"/>
                <w:lang w:val="pt-BR" w:eastAsia="es-ES"/>
              </w:rPr>
              <w:t xml:space="preserve">- </w:t>
            </w:r>
            <w:r w:rsidRPr="00EB1CF7">
              <w:rPr>
                <w:rFonts w:ascii="Verdana" w:eastAsia="Calibri" w:hAnsi="Verdana" w:cs="Arial"/>
                <w:sz w:val="16"/>
                <w:szCs w:val="16"/>
                <w:lang w:val="pt-BR" w:eastAsia="es-ES"/>
              </w:rPr>
              <w:t>ANCP – CCE</w:t>
            </w:r>
          </w:p>
        </w:tc>
      </w:tr>
      <w:bookmarkEnd w:id="1"/>
    </w:tbl>
    <w:p w14:paraId="4C6F1CF3" w14:textId="644B0C8E" w:rsidR="00F30C63" w:rsidRPr="00F30C63" w:rsidRDefault="00F30C63" w:rsidP="00A51CB5"/>
    <w:sectPr w:rsidR="00F30C63" w:rsidRPr="00F30C6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94CC77" w14:textId="77777777" w:rsidR="00B24230" w:rsidRDefault="00B24230" w:rsidP="004A1847">
      <w:pPr>
        <w:spacing w:after="0" w:line="240" w:lineRule="auto"/>
      </w:pPr>
      <w:r>
        <w:separator/>
      </w:r>
    </w:p>
  </w:endnote>
  <w:endnote w:type="continuationSeparator" w:id="0">
    <w:p w14:paraId="109FC5BE" w14:textId="77777777" w:rsidR="00B24230" w:rsidRDefault="00B2423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58E82" w14:textId="77777777" w:rsidR="00B24230" w:rsidRDefault="00B24230" w:rsidP="004A1847">
      <w:pPr>
        <w:spacing w:after="0" w:line="240" w:lineRule="auto"/>
      </w:pPr>
      <w:r>
        <w:separator/>
      </w:r>
    </w:p>
  </w:footnote>
  <w:footnote w:type="continuationSeparator" w:id="0">
    <w:p w14:paraId="17455EA5" w14:textId="77777777" w:rsidR="00B24230" w:rsidRDefault="00B24230" w:rsidP="004A1847">
      <w:pPr>
        <w:spacing w:after="0" w:line="240" w:lineRule="auto"/>
      </w:pPr>
      <w:r>
        <w:continuationSeparator/>
      </w:r>
    </w:p>
  </w:footnote>
  <w:footnote w:id="1">
    <w:p w14:paraId="717DF196" w14:textId="28CD2E30" w:rsidR="00D56D80" w:rsidRPr="00D56D80" w:rsidRDefault="00D56D80" w:rsidP="00D56D80">
      <w:pPr>
        <w:pStyle w:val="Textonotapie"/>
        <w:jc w:val="both"/>
        <w:rPr>
          <w:rFonts w:ascii="Verdana" w:hAnsi="Verdana"/>
          <w:sz w:val="16"/>
          <w:szCs w:val="16"/>
          <w:lang w:val="es-ES"/>
        </w:rPr>
      </w:pPr>
      <w:r w:rsidRPr="00D56D80">
        <w:rPr>
          <w:rStyle w:val="Refdenotaalpie"/>
          <w:rFonts w:ascii="Verdana" w:hAnsi="Verdana"/>
          <w:sz w:val="16"/>
          <w:szCs w:val="16"/>
        </w:rPr>
        <w:footnoteRef/>
      </w:r>
      <w:r w:rsidRPr="00D56D80">
        <w:rPr>
          <w:rFonts w:ascii="Verdana" w:hAnsi="Verdana"/>
          <w:sz w:val="16"/>
          <w:szCs w:val="16"/>
        </w:rPr>
        <w:t xml:space="preserve"> https://www.colombiacompra.gov.co/archivos/manual/guia-para-el-manejo-de-ofertas-artificialmente-bajas-en-procesos-de-contratacion-2</w:t>
      </w:r>
    </w:p>
  </w:footnote>
  <w:footnote w:id="2">
    <w:p w14:paraId="42640601" w14:textId="77777777" w:rsidR="006F4DCF" w:rsidRPr="00666BAC" w:rsidRDefault="006F4DCF" w:rsidP="006F4DCF">
      <w:pPr>
        <w:spacing w:after="0" w:line="240" w:lineRule="auto"/>
        <w:ind w:firstLine="709"/>
        <w:jc w:val="both"/>
        <w:rPr>
          <w:rFonts w:ascii="Verdana" w:hAnsi="Verdana"/>
          <w:sz w:val="16"/>
          <w:szCs w:val="16"/>
        </w:rPr>
      </w:pPr>
      <w:r w:rsidRPr="00666BAC">
        <w:rPr>
          <w:rStyle w:val="Refdenotaalpie"/>
          <w:rFonts w:ascii="Verdana" w:hAnsi="Verdana"/>
          <w:sz w:val="16"/>
          <w:szCs w:val="16"/>
        </w:rPr>
        <w:footnoteRef/>
      </w:r>
      <w:r w:rsidRPr="00666BAC">
        <w:rPr>
          <w:rFonts w:ascii="Verdana" w:hAnsi="Verdana"/>
          <w:sz w:val="16"/>
          <w:szCs w:val="16"/>
        </w:rPr>
        <w:t xml:space="preserve"> Ley 80 de 1993: “Artículo 26. Del Principio de Responsabilidad. En virtud de este principio:</w:t>
      </w:r>
    </w:p>
    <w:p w14:paraId="1247279D" w14:textId="77777777" w:rsidR="006F4DCF" w:rsidRPr="00666BAC" w:rsidRDefault="006F4DCF" w:rsidP="006F4DCF">
      <w:pPr>
        <w:spacing w:after="0" w:line="240" w:lineRule="auto"/>
        <w:ind w:firstLine="709"/>
        <w:jc w:val="both"/>
        <w:rPr>
          <w:rFonts w:ascii="Verdana" w:hAnsi="Verdana"/>
          <w:sz w:val="16"/>
          <w:szCs w:val="16"/>
        </w:rPr>
      </w:pPr>
      <w:r w:rsidRPr="00666BAC">
        <w:rPr>
          <w:rFonts w:ascii="Verdana" w:hAnsi="Verdana"/>
          <w:sz w:val="16"/>
          <w:szCs w:val="16"/>
        </w:rPr>
        <w:t>[…]</w:t>
      </w:r>
    </w:p>
    <w:p w14:paraId="4EC75DF1" w14:textId="77777777" w:rsidR="006F4DCF" w:rsidRPr="00666BAC" w:rsidRDefault="006F4DCF" w:rsidP="006F4DCF">
      <w:pPr>
        <w:spacing w:after="0" w:line="240" w:lineRule="auto"/>
        <w:ind w:firstLine="709"/>
        <w:jc w:val="both"/>
        <w:rPr>
          <w:rFonts w:ascii="Verdana" w:hAnsi="Verdana"/>
          <w:sz w:val="16"/>
          <w:szCs w:val="16"/>
        </w:rPr>
      </w:pPr>
      <w:r w:rsidRPr="00666BAC">
        <w:rPr>
          <w:rFonts w:ascii="Verdana" w:hAnsi="Verdana"/>
          <w:sz w:val="16"/>
          <w:szCs w:val="16"/>
        </w:rPr>
        <w:t>6o. Los contratistas responderán cuando formulen propuestas en las que se fijen condiciones económicas y de contratación artificialmente bajas con el propósito de obtener la adjudicación del contrato”.</w:t>
      </w:r>
    </w:p>
  </w:footnote>
  <w:footnote w:id="3">
    <w:p w14:paraId="516BD153" w14:textId="77777777" w:rsidR="006F4DCF" w:rsidRPr="00666BAC" w:rsidRDefault="006F4DCF" w:rsidP="006F4DCF">
      <w:pPr>
        <w:pStyle w:val="Textonotapie"/>
        <w:ind w:firstLine="709"/>
        <w:jc w:val="both"/>
        <w:rPr>
          <w:rFonts w:ascii="Verdana" w:hAnsi="Verdana" w:cs="Arial"/>
          <w:sz w:val="16"/>
          <w:szCs w:val="16"/>
        </w:rPr>
      </w:pPr>
      <w:r w:rsidRPr="00666BAC">
        <w:rPr>
          <w:rStyle w:val="Refdenotaalpie"/>
          <w:rFonts w:ascii="Verdana" w:hAnsi="Verdana" w:cs="Arial"/>
          <w:sz w:val="16"/>
          <w:szCs w:val="16"/>
        </w:rPr>
        <w:footnoteRef/>
      </w:r>
      <w:r w:rsidRPr="00666BAC">
        <w:rPr>
          <w:rFonts w:ascii="Verdana" w:hAnsi="Verdana" w:cs="Arial"/>
          <w:sz w:val="16"/>
          <w:szCs w:val="16"/>
        </w:rPr>
        <w:t xml:space="preserve"> Decreto 1082 de 2015: </w:t>
      </w:r>
      <w:r w:rsidRPr="00666BAC">
        <w:rPr>
          <w:rFonts w:ascii="Verdana" w:eastAsia="Times New Roman" w:hAnsi="Verdana" w:cs="Arial"/>
          <w:sz w:val="16"/>
          <w:szCs w:val="16"/>
          <w:lang w:val="es-CO"/>
        </w:rPr>
        <w:t>“</w:t>
      </w:r>
      <w:r w:rsidRPr="00666BAC">
        <w:rPr>
          <w:rFonts w:ascii="Verdana" w:hAnsi="Verdana" w:cs="Arial"/>
          <w:sz w:val="16"/>
          <w:szCs w:val="16"/>
        </w:rPr>
        <w:t>Artículo 2.2.1.1.2.2.3. Comité evaluador. La Entidad Estatal puede designar un comité evaluador conformado por servidores públicos o por particulares contratados para el efecto para evaluar las ofertas y las manifestaciones de interés para cada Proceso de Contratación por licitación, selección abreviada y concurso de méritos. El comité evaluador debe realizar su labor de manera objetiva, ciñéndose exclusivamente a las reglas contenidas en los pliegos de condiciones. El carácter asesor del comité no lo exime de la responsabilidad del ejercicio de la labor encomendada. En el evento en el cual la Entidad Estatal no acoja la recomendación efectuada por el comité evaluador, debe justificar su decisión.</w:t>
      </w:r>
    </w:p>
    <w:p w14:paraId="304A30C6" w14:textId="77777777" w:rsidR="006F4DCF" w:rsidRPr="00666BAC" w:rsidRDefault="006F4DCF" w:rsidP="006F4DCF">
      <w:pPr>
        <w:pStyle w:val="Textonotapie"/>
        <w:ind w:firstLine="709"/>
        <w:jc w:val="both"/>
        <w:rPr>
          <w:rFonts w:ascii="Verdana" w:hAnsi="Verdana" w:cs="Arial"/>
          <w:sz w:val="16"/>
          <w:szCs w:val="16"/>
        </w:rPr>
      </w:pPr>
      <w:r w:rsidRPr="00666BAC">
        <w:rPr>
          <w:rFonts w:ascii="Verdana" w:hAnsi="Verdana" w:cs="Arial"/>
          <w:sz w:val="16"/>
          <w:szCs w:val="16"/>
        </w:rPr>
        <w:t>Los miembros del comité evaluador están sujetos al régimen de inhabilidades e incompatibilidades y conflicto de interés previstos en la Constitución y la ley.</w:t>
      </w:r>
    </w:p>
    <w:p w14:paraId="293DEAAE" w14:textId="77777777" w:rsidR="006F4DCF" w:rsidRPr="00666BAC" w:rsidRDefault="006F4DCF" w:rsidP="006F4DCF">
      <w:pPr>
        <w:pStyle w:val="Textonotapie"/>
        <w:ind w:firstLine="709"/>
        <w:jc w:val="both"/>
        <w:rPr>
          <w:rFonts w:ascii="Verdana" w:hAnsi="Verdana" w:cs="Arial"/>
          <w:sz w:val="16"/>
          <w:szCs w:val="16"/>
          <w:lang w:val="es-ES"/>
        </w:rPr>
      </w:pPr>
      <w:r w:rsidRPr="00666BAC">
        <w:rPr>
          <w:rFonts w:ascii="Verdana" w:hAnsi="Verdana" w:cs="Arial"/>
          <w:sz w:val="16"/>
          <w:szCs w:val="16"/>
        </w:rPr>
        <w:t>La verificación y la evaluación de las ofertas para la mínima cuantía será adelantada por quien sea designado por el ordenador del gasto sin que se requiera un comité plural”.</w:t>
      </w:r>
    </w:p>
  </w:footnote>
  <w:footnote w:id="4">
    <w:p w14:paraId="4760EB61" w14:textId="77777777" w:rsidR="006F4DCF" w:rsidRPr="00666BAC" w:rsidRDefault="006F4DCF" w:rsidP="006F4DCF">
      <w:pPr>
        <w:pStyle w:val="Textonotapie"/>
        <w:ind w:firstLine="708"/>
        <w:jc w:val="both"/>
        <w:rPr>
          <w:rFonts w:ascii="Verdana" w:hAnsi="Verdana"/>
          <w:sz w:val="16"/>
          <w:szCs w:val="16"/>
          <w:lang w:val="es-ES"/>
        </w:rPr>
      </w:pPr>
      <w:r w:rsidRPr="00666BAC">
        <w:rPr>
          <w:rStyle w:val="Refdenotaalpie"/>
          <w:rFonts w:ascii="Verdana" w:hAnsi="Verdana"/>
          <w:sz w:val="16"/>
          <w:szCs w:val="16"/>
        </w:rPr>
        <w:footnoteRef/>
      </w:r>
      <w:r w:rsidRPr="00666BAC">
        <w:rPr>
          <w:rFonts w:ascii="Verdana" w:hAnsi="Verdana"/>
          <w:sz w:val="16"/>
          <w:szCs w:val="16"/>
        </w:rPr>
        <w:t xml:space="preserve"> AGENCIA NACIONAL DE CONTRATACIÓN PÚBLICA –COLOMBIA COMPRA EFICIENTE. Guía para el manejo de ofertas artificialmente bajas en procesos de contratación. Disponible en línea: </w:t>
      </w:r>
      <w:hyperlink r:id="rId1" w:history="1">
        <w:r w:rsidRPr="00666BAC">
          <w:rPr>
            <w:rStyle w:val="Hipervnculo"/>
            <w:rFonts w:ascii="Verdana" w:hAnsi="Verdana"/>
            <w:sz w:val="16"/>
            <w:szCs w:val="16"/>
          </w:rPr>
          <w:t>https://www.colombiacompra.gov.co/archivos/manual/guia-para-el-manejo-de-ofertas-artificialmente-bajas-en-procesos-de-contratacion-2</w:t>
        </w:r>
      </w:hyperlink>
      <w:r w:rsidRPr="00666BAC">
        <w:rPr>
          <w:rFonts w:ascii="Verdana" w:hAnsi="Verdana"/>
          <w:sz w:val="16"/>
          <w:szCs w:val="16"/>
        </w:rPr>
        <w:t xml:space="preserve">. 2024. p.14. </w:t>
      </w:r>
    </w:p>
  </w:footnote>
  <w:footnote w:id="5">
    <w:p w14:paraId="6C32BDBB" w14:textId="77777777" w:rsidR="006F4DCF" w:rsidRPr="00666BAC" w:rsidRDefault="006F4DCF" w:rsidP="006F4DCF">
      <w:pPr>
        <w:pStyle w:val="Textonotapie"/>
        <w:ind w:firstLine="708"/>
        <w:rPr>
          <w:rFonts w:ascii="Verdana" w:hAnsi="Verdana"/>
          <w:sz w:val="16"/>
          <w:szCs w:val="16"/>
          <w:lang w:val="es-ES"/>
        </w:rPr>
      </w:pPr>
      <w:r w:rsidRPr="00666BAC">
        <w:rPr>
          <w:rStyle w:val="Refdenotaalpie"/>
          <w:rFonts w:ascii="Verdana" w:hAnsi="Verdana"/>
          <w:sz w:val="16"/>
          <w:szCs w:val="16"/>
        </w:rPr>
        <w:footnoteRef/>
      </w:r>
      <w:r w:rsidRPr="00666BAC">
        <w:rPr>
          <w:rFonts w:ascii="Verdana" w:hAnsi="Verdana"/>
          <w:sz w:val="16"/>
          <w:szCs w:val="16"/>
        </w:rPr>
        <w:t xml:space="preserve"> Ibídem., p. 14. </w:t>
      </w:r>
    </w:p>
  </w:footnote>
  <w:footnote w:id="6">
    <w:p w14:paraId="71A59270" w14:textId="77777777" w:rsidR="006F4DCF" w:rsidRPr="00666BAC" w:rsidRDefault="006F4DCF" w:rsidP="006F4DCF">
      <w:pPr>
        <w:pStyle w:val="Textonotapie"/>
        <w:ind w:firstLine="708"/>
        <w:rPr>
          <w:rFonts w:ascii="Verdana" w:hAnsi="Verdana"/>
          <w:sz w:val="16"/>
          <w:szCs w:val="16"/>
          <w:lang w:val="es-ES"/>
        </w:rPr>
      </w:pPr>
      <w:r w:rsidRPr="00666BAC">
        <w:rPr>
          <w:rStyle w:val="Refdenotaalpie"/>
          <w:rFonts w:ascii="Verdana" w:hAnsi="Verdana"/>
          <w:sz w:val="16"/>
          <w:szCs w:val="16"/>
        </w:rPr>
        <w:footnoteRef/>
      </w:r>
      <w:r w:rsidRPr="00666BAC">
        <w:rPr>
          <w:rFonts w:ascii="Verdana" w:hAnsi="Verdana"/>
          <w:sz w:val="16"/>
          <w:szCs w:val="16"/>
        </w:rPr>
        <w:t xml:space="preserve"> Ibídem., p. 15. </w:t>
      </w:r>
    </w:p>
  </w:footnote>
  <w:footnote w:id="7">
    <w:p w14:paraId="77EFB4EA" w14:textId="77777777" w:rsidR="006F4DCF" w:rsidRPr="00666BAC" w:rsidRDefault="006F4DCF" w:rsidP="006F4DCF">
      <w:pPr>
        <w:pStyle w:val="Textonotapie"/>
        <w:ind w:firstLine="708"/>
        <w:rPr>
          <w:rFonts w:ascii="Verdana" w:hAnsi="Verdana"/>
          <w:sz w:val="16"/>
          <w:szCs w:val="16"/>
          <w:lang w:val="es-ES"/>
        </w:rPr>
      </w:pPr>
      <w:r w:rsidRPr="00666BAC">
        <w:rPr>
          <w:rStyle w:val="Refdenotaalpie"/>
          <w:rFonts w:ascii="Verdana" w:hAnsi="Verdana"/>
          <w:sz w:val="16"/>
          <w:szCs w:val="16"/>
        </w:rPr>
        <w:footnoteRef/>
      </w:r>
      <w:r w:rsidRPr="00666BAC">
        <w:rPr>
          <w:rFonts w:ascii="Verdana" w:hAnsi="Verdana"/>
          <w:sz w:val="16"/>
          <w:szCs w:val="16"/>
        </w:rPr>
        <w:t xml:space="preserve"> Ibidem., p. 16.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1.1pt;height:11.1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 w15:restartNumberingAfterBreak="0">
    <w:nsid w:val="1AC70AA2"/>
    <w:multiLevelType w:val="hybridMultilevel"/>
    <w:tmpl w:val="23AE4D7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4DA50AD"/>
    <w:multiLevelType w:val="hybridMultilevel"/>
    <w:tmpl w:val="88361A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5C0276A9"/>
    <w:multiLevelType w:val="hybridMultilevel"/>
    <w:tmpl w:val="6484BC98"/>
    <w:lvl w:ilvl="0" w:tplc="04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2"/>
  </w:num>
  <w:num w:numId="3">
    <w:abstractNumId w:val="6"/>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7"/>
  </w:num>
  <w:num w:numId="7">
    <w:abstractNumId w:val="7"/>
  </w:num>
  <w:num w:numId="8">
    <w:abstractNumId w:val="16"/>
  </w:num>
  <w:num w:numId="9">
    <w:abstractNumId w:val="10"/>
  </w:num>
  <w:num w:numId="10">
    <w:abstractNumId w:val="15"/>
  </w:num>
  <w:num w:numId="11">
    <w:abstractNumId w:val="11"/>
  </w:num>
  <w:num w:numId="12">
    <w:abstractNumId w:val="1"/>
  </w:num>
  <w:num w:numId="13">
    <w:abstractNumId w:val="5"/>
  </w:num>
  <w:num w:numId="14">
    <w:abstractNumId w:val="18"/>
  </w:num>
  <w:num w:numId="15">
    <w:abstractNumId w:val="14"/>
  </w:num>
  <w:num w:numId="16">
    <w:abstractNumId w:val="0"/>
  </w:num>
  <w:num w:numId="17">
    <w:abstractNumId w:val="12"/>
  </w:num>
  <w:num w:numId="18">
    <w:abstractNumId w:val="3"/>
  </w:num>
  <w:num w:numId="19">
    <w:abstractNumId w:val="9"/>
  </w:num>
  <w:num w:numId="20">
    <w:abstractNumId w:val="4"/>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4715"/>
    <w:rsid w:val="00031E96"/>
    <w:rsid w:val="00046945"/>
    <w:rsid w:val="00046C11"/>
    <w:rsid w:val="00061B2A"/>
    <w:rsid w:val="000645D4"/>
    <w:rsid w:val="00082362"/>
    <w:rsid w:val="0008627A"/>
    <w:rsid w:val="00092F62"/>
    <w:rsid w:val="000A1E72"/>
    <w:rsid w:val="000A683E"/>
    <w:rsid w:val="000B19B9"/>
    <w:rsid w:val="000B4FA5"/>
    <w:rsid w:val="000B5583"/>
    <w:rsid w:val="000D0334"/>
    <w:rsid w:val="000E20A9"/>
    <w:rsid w:val="000F2222"/>
    <w:rsid w:val="000F6486"/>
    <w:rsid w:val="00103B90"/>
    <w:rsid w:val="00125105"/>
    <w:rsid w:val="00127233"/>
    <w:rsid w:val="0013630D"/>
    <w:rsid w:val="001511A0"/>
    <w:rsid w:val="00172258"/>
    <w:rsid w:val="00185F93"/>
    <w:rsid w:val="00194937"/>
    <w:rsid w:val="001D1756"/>
    <w:rsid w:val="001D7BC1"/>
    <w:rsid w:val="001E4177"/>
    <w:rsid w:val="001F663F"/>
    <w:rsid w:val="001F7DC6"/>
    <w:rsid w:val="00203E0B"/>
    <w:rsid w:val="00205479"/>
    <w:rsid w:val="00215206"/>
    <w:rsid w:val="002421BB"/>
    <w:rsid w:val="00242FED"/>
    <w:rsid w:val="0025796E"/>
    <w:rsid w:val="002707A2"/>
    <w:rsid w:val="002951A0"/>
    <w:rsid w:val="002962BC"/>
    <w:rsid w:val="002A093D"/>
    <w:rsid w:val="002A0DD0"/>
    <w:rsid w:val="002A22D8"/>
    <w:rsid w:val="002A49AC"/>
    <w:rsid w:val="002A64FD"/>
    <w:rsid w:val="002A7DD8"/>
    <w:rsid w:val="002C0393"/>
    <w:rsid w:val="002C7A84"/>
    <w:rsid w:val="002D2639"/>
    <w:rsid w:val="002D6833"/>
    <w:rsid w:val="002E4FD9"/>
    <w:rsid w:val="00302C65"/>
    <w:rsid w:val="00310DA4"/>
    <w:rsid w:val="00322A85"/>
    <w:rsid w:val="00323054"/>
    <w:rsid w:val="00324168"/>
    <w:rsid w:val="00324E0B"/>
    <w:rsid w:val="00331CD0"/>
    <w:rsid w:val="00332320"/>
    <w:rsid w:val="003448F4"/>
    <w:rsid w:val="00361698"/>
    <w:rsid w:val="003639A5"/>
    <w:rsid w:val="003736FD"/>
    <w:rsid w:val="00374F5E"/>
    <w:rsid w:val="00377E3E"/>
    <w:rsid w:val="00380918"/>
    <w:rsid w:val="003A2E2D"/>
    <w:rsid w:val="003A779E"/>
    <w:rsid w:val="003D0F4D"/>
    <w:rsid w:val="003D5B0D"/>
    <w:rsid w:val="003E0499"/>
    <w:rsid w:val="003E2F6B"/>
    <w:rsid w:val="003F3941"/>
    <w:rsid w:val="00406575"/>
    <w:rsid w:val="004138FA"/>
    <w:rsid w:val="00414C74"/>
    <w:rsid w:val="00423BFF"/>
    <w:rsid w:val="0042722E"/>
    <w:rsid w:val="0044528D"/>
    <w:rsid w:val="00453BFB"/>
    <w:rsid w:val="0046700D"/>
    <w:rsid w:val="00487F18"/>
    <w:rsid w:val="0049089A"/>
    <w:rsid w:val="004924DA"/>
    <w:rsid w:val="00493AF3"/>
    <w:rsid w:val="004A1847"/>
    <w:rsid w:val="004A305D"/>
    <w:rsid w:val="004B50C2"/>
    <w:rsid w:val="004C63BA"/>
    <w:rsid w:val="004D2AAA"/>
    <w:rsid w:val="004F21C4"/>
    <w:rsid w:val="004F685F"/>
    <w:rsid w:val="005566E8"/>
    <w:rsid w:val="00567040"/>
    <w:rsid w:val="0057166B"/>
    <w:rsid w:val="00574867"/>
    <w:rsid w:val="005806A6"/>
    <w:rsid w:val="00591460"/>
    <w:rsid w:val="005B3816"/>
    <w:rsid w:val="005B3FB2"/>
    <w:rsid w:val="005B65F1"/>
    <w:rsid w:val="005C3777"/>
    <w:rsid w:val="005C5CDC"/>
    <w:rsid w:val="005C7DAB"/>
    <w:rsid w:val="005D476C"/>
    <w:rsid w:val="0060690D"/>
    <w:rsid w:val="0061329B"/>
    <w:rsid w:val="006219F8"/>
    <w:rsid w:val="00631045"/>
    <w:rsid w:val="00631D4F"/>
    <w:rsid w:val="00637BBF"/>
    <w:rsid w:val="00637E77"/>
    <w:rsid w:val="0065262D"/>
    <w:rsid w:val="00665D70"/>
    <w:rsid w:val="00675FED"/>
    <w:rsid w:val="006900D9"/>
    <w:rsid w:val="006905C0"/>
    <w:rsid w:val="006B0C29"/>
    <w:rsid w:val="006B2C02"/>
    <w:rsid w:val="006D7121"/>
    <w:rsid w:val="006F4DCF"/>
    <w:rsid w:val="00706C16"/>
    <w:rsid w:val="00724EFA"/>
    <w:rsid w:val="0072552A"/>
    <w:rsid w:val="0073141C"/>
    <w:rsid w:val="00756841"/>
    <w:rsid w:val="00763E4A"/>
    <w:rsid w:val="007649AB"/>
    <w:rsid w:val="00771D0C"/>
    <w:rsid w:val="007733E9"/>
    <w:rsid w:val="007833AC"/>
    <w:rsid w:val="007B268C"/>
    <w:rsid w:val="007B285D"/>
    <w:rsid w:val="007B7171"/>
    <w:rsid w:val="007C0C0F"/>
    <w:rsid w:val="007C3DC2"/>
    <w:rsid w:val="007E11B6"/>
    <w:rsid w:val="007E5497"/>
    <w:rsid w:val="007F7470"/>
    <w:rsid w:val="00806F5F"/>
    <w:rsid w:val="00820278"/>
    <w:rsid w:val="00826A46"/>
    <w:rsid w:val="00836334"/>
    <w:rsid w:val="00853C28"/>
    <w:rsid w:val="00862660"/>
    <w:rsid w:val="00867F95"/>
    <w:rsid w:val="00874173"/>
    <w:rsid w:val="008843B6"/>
    <w:rsid w:val="00885D90"/>
    <w:rsid w:val="00891928"/>
    <w:rsid w:val="008A30DF"/>
    <w:rsid w:val="008A446D"/>
    <w:rsid w:val="008B22D4"/>
    <w:rsid w:val="008B5BD4"/>
    <w:rsid w:val="008D180B"/>
    <w:rsid w:val="008E2432"/>
    <w:rsid w:val="008F0EA7"/>
    <w:rsid w:val="00911185"/>
    <w:rsid w:val="00916515"/>
    <w:rsid w:val="00923EEF"/>
    <w:rsid w:val="009419F9"/>
    <w:rsid w:val="009552F8"/>
    <w:rsid w:val="0095685E"/>
    <w:rsid w:val="00961B09"/>
    <w:rsid w:val="00965334"/>
    <w:rsid w:val="0097093E"/>
    <w:rsid w:val="00986AC5"/>
    <w:rsid w:val="009A0DFA"/>
    <w:rsid w:val="009A2609"/>
    <w:rsid w:val="009B2D26"/>
    <w:rsid w:val="009C3869"/>
    <w:rsid w:val="009C71FA"/>
    <w:rsid w:val="009C72E7"/>
    <w:rsid w:val="009D0270"/>
    <w:rsid w:val="009D3058"/>
    <w:rsid w:val="009E7558"/>
    <w:rsid w:val="009F3A13"/>
    <w:rsid w:val="00A1157F"/>
    <w:rsid w:val="00A122D3"/>
    <w:rsid w:val="00A17F13"/>
    <w:rsid w:val="00A20739"/>
    <w:rsid w:val="00A24C35"/>
    <w:rsid w:val="00A33C78"/>
    <w:rsid w:val="00A41289"/>
    <w:rsid w:val="00A51CB5"/>
    <w:rsid w:val="00A52834"/>
    <w:rsid w:val="00A64017"/>
    <w:rsid w:val="00A800B4"/>
    <w:rsid w:val="00AA1AB8"/>
    <w:rsid w:val="00AB0ADB"/>
    <w:rsid w:val="00AB6E9A"/>
    <w:rsid w:val="00AC19F6"/>
    <w:rsid w:val="00AD1D1F"/>
    <w:rsid w:val="00B00F6D"/>
    <w:rsid w:val="00B01056"/>
    <w:rsid w:val="00B01B1A"/>
    <w:rsid w:val="00B023E1"/>
    <w:rsid w:val="00B0429C"/>
    <w:rsid w:val="00B06262"/>
    <w:rsid w:val="00B11FE1"/>
    <w:rsid w:val="00B23BA1"/>
    <w:rsid w:val="00B24230"/>
    <w:rsid w:val="00B2560E"/>
    <w:rsid w:val="00B350FE"/>
    <w:rsid w:val="00B403F3"/>
    <w:rsid w:val="00B41E30"/>
    <w:rsid w:val="00B45CE8"/>
    <w:rsid w:val="00B66319"/>
    <w:rsid w:val="00B72CD3"/>
    <w:rsid w:val="00B72FFF"/>
    <w:rsid w:val="00B74C13"/>
    <w:rsid w:val="00BA7AA4"/>
    <w:rsid w:val="00BB5A06"/>
    <w:rsid w:val="00BC23EF"/>
    <w:rsid w:val="00BC3D36"/>
    <w:rsid w:val="00BD7F72"/>
    <w:rsid w:val="00BE36F8"/>
    <w:rsid w:val="00C04FB3"/>
    <w:rsid w:val="00C203C3"/>
    <w:rsid w:val="00C330EB"/>
    <w:rsid w:val="00C41061"/>
    <w:rsid w:val="00C63058"/>
    <w:rsid w:val="00C653EC"/>
    <w:rsid w:val="00C754BE"/>
    <w:rsid w:val="00C76B1C"/>
    <w:rsid w:val="00C76C5B"/>
    <w:rsid w:val="00C84124"/>
    <w:rsid w:val="00C8467B"/>
    <w:rsid w:val="00C90C14"/>
    <w:rsid w:val="00C91AF4"/>
    <w:rsid w:val="00C9219A"/>
    <w:rsid w:val="00CA01D8"/>
    <w:rsid w:val="00CB6357"/>
    <w:rsid w:val="00CC1B26"/>
    <w:rsid w:val="00CE32D1"/>
    <w:rsid w:val="00CE429E"/>
    <w:rsid w:val="00CE58F3"/>
    <w:rsid w:val="00D3590B"/>
    <w:rsid w:val="00D423A2"/>
    <w:rsid w:val="00D520D8"/>
    <w:rsid w:val="00D56D80"/>
    <w:rsid w:val="00D63AC2"/>
    <w:rsid w:val="00D66FF5"/>
    <w:rsid w:val="00D7383B"/>
    <w:rsid w:val="00D73921"/>
    <w:rsid w:val="00D75DA2"/>
    <w:rsid w:val="00D80A51"/>
    <w:rsid w:val="00DA231B"/>
    <w:rsid w:val="00DC39FC"/>
    <w:rsid w:val="00DF5254"/>
    <w:rsid w:val="00E067CF"/>
    <w:rsid w:val="00E10F5E"/>
    <w:rsid w:val="00E16408"/>
    <w:rsid w:val="00E20894"/>
    <w:rsid w:val="00E245AB"/>
    <w:rsid w:val="00E25A6A"/>
    <w:rsid w:val="00E2764C"/>
    <w:rsid w:val="00E27F2E"/>
    <w:rsid w:val="00E35B59"/>
    <w:rsid w:val="00E50AFE"/>
    <w:rsid w:val="00E75C92"/>
    <w:rsid w:val="00E771DC"/>
    <w:rsid w:val="00E8182D"/>
    <w:rsid w:val="00E8772A"/>
    <w:rsid w:val="00E90F6B"/>
    <w:rsid w:val="00E92C27"/>
    <w:rsid w:val="00EA0E3D"/>
    <w:rsid w:val="00EA70F7"/>
    <w:rsid w:val="00EC197C"/>
    <w:rsid w:val="00EC38A7"/>
    <w:rsid w:val="00EC5C8D"/>
    <w:rsid w:val="00ED706A"/>
    <w:rsid w:val="00ED7384"/>
    <w:rsid w:val="00EE1AA8"/>
    <w:rsid w:val="00EF17C6"/>
    <w:rsid w:val="00EF736C"/>
    <w:rsid w:val="00F30C63"/>
    <w:rsid w:val="00F31EDC"/>
    <w:rsid w:val="00F462B3"/>
    <w:rsid w:val="00F5664F"/>
    <w:rsid w:val="00F666C4"/>
    <w:rsid w:val="00F76AFC"/>
    <w:rsid w:val="00FA3CFE"/>
    <w:rsid w:val="00FA47C0"/>
    <w:rsid w:val="00FB232E"/>
    <w:rsid w:val="00FB5DD1"/>
    <w:rsid w:val="00FC13EB"/>
    <w:rsid w:val="00FC2B5D"/>
    <w:rsid w:val="00FC6FA1"/>
    <w:rsid w:val="00FF1449"/>
    <w:rsid w:val="00FF5434"/>
    <w:rsid w:val="00FF5454"/>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E8182D"/>
    <w:rPr>
      <w:rFonts w:ascii="Geomanist Light" w:hAnsi="Geomanist Light"/>
      <w:lang w:val="es-ES"/>
    </w:rPr>
  </w:style>
  <w:style w:type="paragraph" w:customStyle="1" w:styleId="Appelnotedebasde">
    <w:name w:val="Appel note de bas de..."/>
    <w:basedOn w:val="Normal"/>
    <w:link w:val="Refdenotaalpie"/>
    <w:rsid w:val="00E8182D"/>
    <w:pPr>
      <w:spacing w:line="240" w:lineRule="exact"/>
    </w:pPr>
    <w:rPr>
      <w:vertAlign w:val="superscript"/>
    </w:rPr>
  </w:style>
  <w:style w:type="character" w:styleId="Refdecomentario">
    <w:name w:val="annotation reference"/>
    <w:basedOn w:val="Fuentedeprrafopredeter"/>
    <w:uiPriority w:val="99"/>
    <w:semiHidden/>
    <w:unhideWhenUsed/>
    <w:rsid w:val="00BA7AA4"/>
    <w:rPr>
      <w:sz w:val="16"/>
      <w:szCs w:val="16"/>
    </w:rPr>
  </w:style>
  <w:style w:type="paragraph" w:styleId="Textocomentario">
    <w:name w:val="annotation text"/>
    <w:basedOn w:val="Normal"/>
    <w:link w:val="TextocomentarioCar"/>
    <w:uiPriority w:val="99"/>
    <w:unhideWhenUsed/>
    <w:rsid w:val="00BA7AA4"/>
    <w:pPr>
      <w:spacing w:line="240" w:lineRule="auto"/>
    </w:pPr>
    <w:rPr>
      <w:sz w:val="20"/>
      <w:szCs w:val="20"/>
    </w:rPr>
  </w:style>
  <w:style w:type="character" w:customStyle="1" w:styleId="TextocomentarioCar">
    <w:name w:val="Texto comentario Car"/>
    <w:basedOn w:val="Fuentedeprrafopredeter"/>
    <w:link w:val="Textocomentario"/>
    <w:uiPriority w:val="99"/>
    <w:rsid w:val="00BA7AA4"/>
    <w:rPr>
      <w:sz w:val="20"/>
      <w:szCs w:val="20"/>
    </w:rPr>
  </w:style>
  <w:style w:type="paragraph" w:styleId="Asuntodelcomentario">
    <w:name w:val="annotation subject"/>
    <w:basedOn w:val="Textocomentario"/>
    <w:next w:val="Textocomentario"/>
    <w:link w:val="AsuntodelcomentarioCar"/>
    <w:uiPriority w:val="99"/>
    <w:semiHidden/>
    <w:unhideWhenUsed/>
    <w:rsid w:val="00BA7AA4"/>
    <w:rPr>
      <w:b/>
      <w:bCs/>
    </w:rPr>
  </w:style>
  <w:style w:type="character" w:customStyle="1" w:styleId="AsuntodelcomentarioCar">
    <w:name w:val="Asunto del comentario Car"/>
    <w:basedOn w:val="TextocomentarioCar"/>
    <w:link w:val="Asuntodelcomentario"/>
    <w:uiPriority w:val="99"/>
    <w:semiHidden/>
    <w:rsid w:val="00BA7AA4"/>
    <w:rPr>
      <w:b/>
      <w:bCs/>
      <w:sz w:val="20"/>
      <w:szCs w:val="20"/>
    </w:rPr>
  </w:style>
  <w:style w:type="paragraph" w:styleId="Textoindependiente">
    <w:name w:val="Body Text"/>
    <w:basedOn w:val="Normal"/>
    <w:link w:val="TextoindependienteCar"/>
    <w:uiPriority w:val="1"/>
    <w:qFormat/>
    <w:rsid w:val="00CE429E"/>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CE429E"/>
    <w:rPr>
      <w:rFonts w:ascii="Arial" w:eastAsia="Arial" w:hAnsi="Arial" w:cs="Arial"/>
      <w:lang w:val="es-ES"/>
    </w:rPr>
  </w:style>
  <w:style w:type="character" w:styleId="Textoennegrita">
    <w:name w:val="Strong"/>
    <w:basedOn w:val="Fuentedeprrafopredeter"/>
    <w:uiPriority w:val="22"/>
    <w:qFormat/>
    <w:rsid w:val="001D1756"/>
    <w:rPr>
      <w:b/>
      <w:bCs/>
    </w:rPr>
  </w:style>
  <w:style w:type="paragraph" w:styleId="Sinespaciado">
    <w:name w:val="No Spacing"/>
    <w:aliases w:val="No Indent"/>
    <w:uiPriority w:val="1"/>
    <w:qFormat/>
    <w:rsid w:val="00C653EC"/>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archivos/manual/guia-para-el-manejo-de-ofertas-artificialmente-bajas-en-procesos-de-contratacion-2"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vonne.rincon@fac.mil.c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archivos/manual/guia-para-el-manejo-de-ofertas-artificialmente-bajas-en-procesos-de-contratacion-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0BDF07-09C2-420D-A32A-B206C5121617}">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4DE20196-D765-4924-9E30-675B426AE4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842</TotalTime>
  <Pages>12</Pages>
  <Words>4182</Words>
  <Characters>23001</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Catalina del Pilar Lisa Cubides Estupinan</cp:lastModifiedBy>
  <cp:revision>46</cp:revision>
  <cp:lastPrinted>2023-01-10T21:18:00Z</cp:lastPrinted>
  <dcterms:created xsi:type="dcterms:W3CDTF">2025-08-19T14:54:00Z</dcterms:created>
  <dcterms:modified xsi:type="dcterms:W3CDTF">2025-11-21T14:42:00Z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