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71770" w14:textId="77777777" w:rsidR="000B2F93" w:rsidRPr="0008465D" w:rsidRDefault="000B2F93" w:rsidP="000B2F93">
      <w:pPr>
        <w:jc w:val="right"/>
        <w:rPr>
          <w:rFonts w:ascii="Arial" w:hAnsi="Arial" w:cs="Arial"/>
          <w:b/>
          <w:sz w:val="16"/>
          <w:szCs w:val="16"/>
          <w:lang w:val="es-ES" w:eastAsia="es-ES"/>
        </w:rPr>
      </w:pPr>
      <w:r w:rsidRPr="0008465D">
        <w:rPr>
          <w:rFonts w:ascii="Arial" w:hAnsi="Arial" w:cs="Arial"/>
          <w:b/>
          <w:sz w:val="16"/>
          <w:szCs w:val="16"/>
          <w:lang w:val="es-ES" w:eastAsia="es-ES"/>
        </w:rPr>
        <w:t>CCE-DES-FM-17</w:t>
      </w:r>
    </w:p>
    <w:p w14:paraId="1FE3ED05" w14:textId="77777777" w:rsidR="00953313" w:rsidRDefault="00953313" w:rsidP="00F11750">
      <w:pPr>
        <w:jc w:val="both"/>
        <w:rPr>
          <w:rFonts w:ascii="Arial" w:eastAsia="Calibri" w:hAnsi="Arial" w:cs="Arial"/>
          <w:b/>
          <w:sz w:val="20"/>
          <w:szCs w:val="20"/>
          <w:lang w:val="es-MX"/>
        </w:rPr>
      </w:pPr>
    </w:p>
    <w:p w14:paraId="4402B7B0" w14:textId="4666775E" w:rsidR="00417118" w:rsidRPr="00E87923" w:rsidRDefault="00953313" w:rsidP="00F11750">
      <w:pPr>
        <w:jc w:val="both"/>
        <w:rPr>
          <w:rFonts w:ascii="Arial" w:eastAsia="Calibri" w:hAnsi="Arial" w:cs="Arial"/>
          <w:b/>
          <w:sz w:val="22"/>
          <w:szCs w:val="22"/>
          <w:lang w:val="es-MX"/>
        </w:rPr>
      </w:pPr>
      <w:r w:rsidRPr="00E87923">
        <w:rPr>
          <w:rFonts w:ascii="Arial" w:eastAsia="Calibri" w:hAnsi="Arial" w:cs="Arial"/>
          <w:b/>
          <w:sz w:val="22"/>
          <w:szCs w:val="22"/>
          <w:lang w:val="es-MX"/>
        </w:rPr>
        <w:t xml:space="preserve">PRINCIPIO DE SELECCIÓN OBJETIVA – </w:t>
      </w:r>
      <w:r w:rsidR="00E668CC">
        <w:rPr>
          <w:rFonts w:ascii="Arial" w:eastAsia="Calibri" w:hAnsi="Arial" w:cs="Arial"/>
          <w:b/>
          <w:sz w:val="22"/>
          <w:szCs w:val="22"/>
          <w:lang w:val="es-MX"/>
        </w:rPr>
        <w:t xml:space="preserve">factores de desempate </w:t>
      </w:r>
    </w:p>
    <w:p w14:paraId="00A29B92" w14:textId="06089417" w:rsidR="000A12D9" w:rsidRPr="00E87923" w:rsidRDefault="000A12D9" w:rsidP="00E87923">
      <w:pPr>
        <w:jc w:val="both"/>
        <w:rPr>
          <w:rFonts w:ascii="Arial" w:eastAsia="Calibri" w:hAnsi="Arial" w:cs="Arial"/>
          <w:b/>
          <w:sz w:val="20"/>
          <w:szCs w:val="20"/>
          <w:lang w:val="es-MX"/>
        </w:rPr>
      </w:pPr>
    </w:p>
    <w:p w14:paraId="1D7B226D" w14:textId="30B69632" w:rsidR="00150841" w:rsidRPr="00150841" w:rsidRDefault="00150841" w:rsidP="00150841">
      <w:pPr>
        <w:jc w:val="both"/>
        <w:rPr>
          <w:rFonts w:ascii="Arial" w:eastAsia="Calibri" w:hAnsi="Arial" w:cs="Arial"/>
          <w:color w:val="000000" w:themeColor="text1"/>
          <w:sz w:val="20"/>
          <w:szCs w:val="20"/>
          <w:lang w:val="es-ES_tradnl"/>
        </w:rPr>
      </w:pPr>
      <w:r w:rsidRPr="00150841">
        <w:rPr>
          <w:rFonts w:ascii="Arial" w:eastAsia="Calibri" w:hAnsi="Arial" w:cs="Arial"/>
          <w:color w:val="000000" w:themeColor="text1"/>
          <w:sz w:val="20"/>
          <w:szCs w:val="20"/>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150841">
        <w:rPr>
          <w:rFonts w:ascii="Arial" w:eastAsia="Calibri" w:hAnsi="Arial" w:cs="Arial"/>
          <w:color w:val="000000" w:themeColor="text1"/>
          <w:sz w:val="20"/>
          <w:szCs w:val="20"/>
          <w:lang w:val="es-ES_tradnl"/>
        </w:rPr>
        <w:t>equivalentes,</w:t>
      </w:r>
      <w:proofErr w:type="gramEnd"/>
      <w:r w:rsidRPr="00150841">
        <w:rPr>
          <w:rFonts w:ascii="Arial" w:eastAsia="Calibri" w:hAnsi="Arial" w:cs="Arial"/>
          <w:color w:val="000000" w:themeColor="text1"/>
          <w:sz w:val="20"/>
          <w:szCs w:val="20"/>
          <w:lang w:val="es-ES_tradnl"/>
        </w:rPr>
        <w:t xml:space="preserve"> tendrán en cuenta criterios como la experiencia y la capacidad jurídica, financiera y de organización, entre otros elementos que garanticen la escogencia de la mejor opción de negocio para la entidad estatal.</w:t>
      </w:r>
    </w:p>
    <w:p w14:paraId="67ACC42B" w14:textId="77777777" w:rsidR="00150841" w:rsidRPr="00150841" w:rsidRDefault="00150841" w:rsidP="00150841">
      <w:pPr>
        <w:jc w:val="both"/>
        <w:rPr>
          <w:rFonts w:ascii="Arial" w:eastAsia="Calibri" w:hAnsi="Arial" w:cs="Arial"/>
          <w:color w:val="000000" w:themeColor="text1"/>
          <w:sz w:val="20"/>
          <w:szCs w:val="20"/>
          <w:lang w:val="es-ES_tradnl"/>
        </w:rPr>
      </w:pPr>
    </w:p>
    <w:p w14:paraId="00CFDEAF" w14:textId="77777777" w:rsidR="00150841" w:rsidRPr="00150841" w:rsidRDefault="00150841" w:rsidP="00150841">
      <w:pPr>
        <w:tabs>
          <w:tab w:val="left" w:pos="0"/>
        </w:tabs>
        <w:spacing w:after="120"/>
        <w:jc w:val="both"/>
        <w:rPr>
          <w:rFonts w:ascii="Arial" w:eastAsia="Calibri" w:hAnsi="Arial" w:cs="Arial"/>
          <w:color w:val="000000" w:themeColor="text1"/>
          <w:sz w:val="20"/>
          <w:szCs w:val="20"/>
          <w:lang w:val="es-ES_tradnl"/>
        </w:rPr>
      </w:pPr>
      <w:r w:rsidRPr="00150841">
        <w:rPr>
          <w:rFonts w:ascii="Arial" w:eastAsia="Calibri" w:hAnsi="Arial" w:cs="Arial"/>
          <w:color w:val="000000" w:themeColor="text1"/>
          <w:sz w:val="20"/>
          <w:szCs w:val="20"/>
          <w:lang w:val="es-ES_tradnl"/>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092E403C" w14:textId="602C9007" w:rsidR="00E87923" w:rsidRDefault="00150841" w:rsidP="00150841">
      <w:pPr>
        <w:tabs>
          <w:tab w:val="left" w:pos="0"/>
        </w:tabs>
        <w:spacing w:after="120"/>
        <w:jc w:val="both"/>
        <w:rPr>
          <w:rFonts w:ascii="Arial" w:eastAsia="Calibri" w:hAnsi="Arial" w:cs="Arial"/>
          <w:b/>
          <w:sz w:val="22"/>
          <w:szCs w:val="22"/>
        </w:rPr>
      </w:pPr>
      <w:r>
        <w:rPr>
          <w:rFonts w:ascii="Arial" w:eastAsia="Calibri" w:hAnsi="Arial" w:cs="Arial"/>
          <w:b/>
          <w:sz w:val="22"/>
          <w:szCs w:val="22"/>
        </w:rPr>
        <w:t xml:space="preserve">CRITERIOS DE SUBSANABILIDAD – LEY 2069 DE 2020 </w:t>
      </w:r>
    </w:p>
    <w:p w14:paraId="589649E8" w14:textId="77777777" w:rsidR="00150841" w:rsidRPr="00150841" w:rsidRDefault="00150841" w:rsidP="00150841">
      <w:pPr>
        <w:spacing w:after="120"/>
        <w:jc w:val="both"/>
        <w:rPr>
          <w:rFonts w:ascii="Arial" w:eastAsia="Calibri" w:hAnsi="Arial" w:cs="Arial"/>
          <w:color w:val="000000" w:themeColor="text1"/>
          <w:sz w:val="20"/>
          <w:szCs w:val="20"/>
          <w:lang w:val="es-ES_tradnl"/>
        </w:rPr>
      </w:pPr>
      <w:r w:rsidRPr="00150841">
        <w:rPr>
          <w:rFonts w:ascii="Arial" w:eastAsia="Calibri" w:hAnsi="Arial" w:cs="Arial"/>
          <w:color w:val="000000" w:themeColor="text1"/>
          <w:sz w:val="20"/>
          <w:szCs w:val="20"/>
          <w:lang w:val="es-ES_tradnl"/>
        </w:rPr>
        <w:t xml:space="preserve">Para establecer responder la consulta es necesario precisar los siguientes aspectos: i) el momento en el que el proponente debe aportar los documentos que acreditan las causales del artículo 35 de la Ley 2069 de 2020, ii) si la no entrega de estos documentos es subsanable y iii) si es posible solicitar los documentos que acreditan los factores de desempate en la audiencia de adjudicación. Para estos efectos, es necesario realizar algunas consideraciones sobre el alcance de la regla de </w:t>
      </w:r>
      <w:proofErr w:type="spellStart"/>
      <w:r w:rsidRPr="00150841">
        <w:rPr>
          <w:rFonts w:ascii="Arial" w:eastAsia="Calibri" w:hAnsi="Arial" w:cs="Arial"/>
          <w:color w:val="000000" w:themeColor="text1"/>
          <w:sz w:val="20"/>
          <w:szCs w:val="20"/>
          <w:lang w:val="es-ES_tradnl"/>
        </w:rPr>
        <w:t>subsanabilidad</w:t>
      </w:r>
      <w:proofErr w:type="spellEnd"/>
      <w:r w:rsidRPr="00150841">
        <w:rPr>
          <w:rFonts w:ascii="Arial" w:eastAsia="Calibri" w:hAnsi="Arial" w:cs="Arial"/>
          <w:color w:val="000000" w:themeColor="text1"/>
          <w:sz w:val="20"/>
          <w:szCs w:val="20"/>
          <w:lang w:val="es-ES_tradnl"/>
        </w:rPr>
        <w:t xml:space="preserve"> en los procesos de selección.</w:t>
      </w:r>
    </w:p>
    <w:p w14:paraId="189E2C7D" w14:textId="77777777" w:rsidR="00150841" w:rsidRPr="00150841" w:rsidRDefault="00150841" w:rsidP="00150841">
      <w:pPr>
        <w:jc w:val="both"/>
        <w:rPr>
          <w:rFonts w:ascii="Arial" w:eastAsia="Calibri" w:hAnsi="Arial" w:cs="Arial"/>
          <w:color w:val="000000" w:themeColor="text1"/>
          <w:sz w:val="20"/>
          <w:szCs w:val="20"/>
          <w:lang w:val="es-ES"/>
        </w:rPr>
      </w:pPr>
      <w:r w:rsidRPr="00150841">
        <w:rPr>
          <w:rFonts w:ascii="Arial" w:eastAsia="Calibri" w:hAnsi="Arial" w:cs="Arial"/>
          <w:color w:val="000000" w:themeColor="text1"/>
          <w:sz w:val="20"/>
          <w:szCs w:val="20"/>
          <w:lang w:val="es-ES"/>
        </w:rPr>
        <w:t xml:space="preserve">La </w:t>
      </w:r>
      <w:proofErr w:type="spellStart"/>
      <w:r w:rsidRPr="00150841">
        <w:rPr>
          <w:rFonts w:ascii="Arial" w:eastAsia="Calibri" w:hAnsi="Arial" w:cs="Arial"/>
          <w:color w:val="000000" w:themeColor="text1"/>
          <w:sz w:val="20"/>
          <w:szCs w:val="20"/>
          <w:lang w:val="es-ES"/>
        </w:rPr>
        <w:t>subsanabilidad</w:t>
      </w:r>
      <w:proofErr w:type="spellEnd"/>
      <w:r w:rsidRPr="00150841">
        <w:rPr>
          <w:rFonts w:ascii="Arial" w:eastAsia="Calibri" w:hAnsi="Arial" w:cs="Arial"/>
          <w:color w:val="000000" w:themeColor="text1"/>
          <w:sz w:val="20"/>
          <w:szCs w:val="20"/>
          <w:lang w:val="es-ES"/>
        </w:rPr>
        <w:t xml:space="preserve"> es un mecanismo previsto en los procedimientos regulados por el Estatuto de Contratación Estatal de Colombia. Esta regla, prevista en el artículo 5 de la Ley 1150 de 2007, permite que los proponentes puedan enmendar, corregir o modificar los errores en los documentos de la oferta respecto a los requisitos habilitantes. Además, la posibilidad de subsanar estos documentos tiene como propósito: </w:t>
      </w:r>
    </w:p>
    <w:p w14:paraId="071D7DC6" w14:textId="77777777" w:rsidR="00150841" w:rsidRPr="00150841" w:rsidRDefault="00150841" w:rsidP="00150841">
      <w:pPr>
        <w:jc w:val="both"/>
        <w:rPr>
          <w:rFonts w:ascii="Arial" w:eastAsia="Calibri" w:hAnsi="Arial" w:cs="Arial"/>
          <w:color w:val="000000" w:themeColor="text1"/>
          <w:sz w:val="20"/>
          <w:szCs w:val="20"/>
          <w:lang w:val="es-ES"/>
        </w:rPr>
      </w:pPr>
    </w:p>
    <w:p w14:paraId="71799D21" w14:textId="77777777" w:rsidR="00150841" w:rsidRPr="00150841" w:rsidRDefault="00150841" w:rsidP="00150841">
      <w:pPr>
        <w:tabs>
          <w:tab w:val="left" w:pos="0"/>
        </w:tabs>
        <w:spacing w:after="120"/>
        <w:jc w:val="both"/>
        <w:rPr>
          <w:rFonts w:ascii="Arial" w:eastAsia="Calibri" w:hAnsi="Arial" w:cs="Arial"/>
          <w:color w:val="000000" w:themeColor="text1"/>
          <w:sz w:val="20"/>
          <w:szCs w:val="20"/>
          <w:lang w:val="es-ES"/>
        </w:rPr>
      </w:pPr>
      <w:r w:rsidRPr="00150841">
        <w:rPr>
          <w:rFonts w:ascii="Arial" w:eastAsia="Calibri" w:hAnsi="Arial" w:cs="Arial"/>
          <w:color w:val="000000" w:themeColor="text1"/>
          <w:sz w:val="20"/>
          <w:szCs w:val="20"/>
          <w:lang w:val="es-ES"/>
        </w:rPr>
        <w:t xml:space="preserve">[…] materializar un principio general de primacía de lo sustancial sobre lo formal, adoptando medidas de saneamiento del proceso de selección tendientes a que los meros defectos formales, que no afecten sustancialmente la oferta, referidos a la documentación o instrumentalización de </w:t>
      </w:r>
      <w:proofErr w:type="gramStart"/>
      <w:r w:rsidRPr="00150841">
        <w:rPr>
          <w:rFonts w:ascii="Arial" w:eastAsia="Calibri" w:hAnsi="Arial" w:cs="Arial"/>
          <w:color w:val="000000" w:themeColor="text1"/>
          <w:sz w:val="20"/>
          <w:szCs w:val="20"/>
          <w:lang w:val="es-ES"/>
        </w:rPr>
        <w:t>la misma</w:t>
      </w:r>
      <w:proofErr w:type="gramEnd"/>
      <w:r w:rsidRPr="00150841">
        <w:rPr>
          <w:rFonts w:ascii="Arial" w:eastAsia="Calibri" w:hAnsi="Arial" w:cs="Arial"/>
          <w:color w:val="000000" w:themeColor="text1"/>
          <w:sz w:val="20"/>
          <w:szCs w:val="20"/>
          <w:lang w:val="es-ES"/>
        </w:rPr>
        <w:t>, priven a la administración de considerar una oferta por causa de tales falencias</w:t>
      </w:r>
    </w:p>
    <w:p w14:paraId="54D84046" w14:textId="3C77EE21" w:rsidR="00E87923" w:rsidRDefault="00E87923" w:rsidP="00150841">
      <w:pPr>
        <w:tabs>
          <w:tab w:val="left" w:pos="0"/>
        </w:tabs>
        <w:spacing w:after="120"/>
        <w:jc w:val="both"/>
        <w:rPr>
          <w:rFonts w:ascii="Arial" w:eastAsia="Calibri" w:hAnsi="Arial" w:cs="Arial"/>
          <w:b/>
          <w:sz w:val="22"/>
          <w:szCs w:val="22"/>
        </w:rPr>
      </w:pPr>
      <w:r>
        <w:rPr>
          <w:rFonts w:ascii="Arial" w:eastAsia="Calibri" w:hAnsi="Arial" w:cs="Arial"/>
          <w:b/>
          <w:sz w:val="22"/>
          <w:szCs w:val="22"/>
        </w:rPr>
        <w:t xml:space="preserve">DOCUMENTOS TIPO – </w:t>
      </w:r>
      <w:r w:rsidR="00CA0752" w:rsidRPr="00CA0752">
        <w:rPr>
          <w:rFonts w:ascii="Arial" w:eastAsia="Calibri" w:hAnsi="Arial" w:cs="Arial"/>
          <w:b/>
          <w:sz w:val="22"/>
          <w:szCs w:val="22"/>
        </w:rPr>
        <w:t>formatos 10 y 11</w:t>
      </w:r>
      <w:r>
        <w:rPr>
          <w:rFonts w:ascii="Arial" w:eastAsia="Calibri" w:hAnsi="Arial" w:cs="Arial"/>
          <w:b/>
          <w:sz w:val="22"/>
          <w:szCs w:val="22"/>
        </w:rPr>
        <w:t xml:space="preserve"> – LEY 2069 DE 2020 – </w:t>
      </w:r>
      <w:r w:rsidR="007D2816">
        <w:rPr>
          <w:rFonts w:ascii="Arial" w:eastAsia="Calibri" w:hAnsi="Arial" w:cs="Arial"/>
          <w:b/>
          <w:sz w:val="22"/>
          <w:szCs w:val="22"/>
        </w:rPr>
        <w:t>artículo 35</w:t>
      </w:r>
      <w:r>
        <w:rPr>
          <w:rFonts w:ascii="Arial" w:eastAsia="Calibri" w:hAnsi="Arial" w:cs="Arial"/>
          <w:b/>
          <w:sz w:val="22"/>
          <w:szCs w:val="22"/>
        </w:rPr>
        <w:t xml:space="preserve"> – FACTORES DE DESEMPATE </w:t>
      </w:r>
    </w:p>
    <w:p w14:paraId="650F53F1" w14:textId="77777777" w:rsidR="00150841" w:rsidRPr="00150841" w:rsidRDefault="00150841" w:rsidP="00150841">
      <w:pPr>
        <w:spacing w:before="120" w:after="120"/>
        <w:jc w:val="both"/>
        <w:rPr>
          <w:rFonts w:ascii="Arial" w:hAnsi="Arial" w:cs="Arial"/>
          <w:sz w:val="20"/>
          <w:szCs w:val="20"/>
          <w:lang w:val="es-ES"/>
        </w:rPr>
      </w:pPr>
      <w:r w:rsidRPr="00150841">
        <w:rPr>
          <w:rFonts w:ascii="Arial" w:hAnsi="Arial" w:cs="Arial"/>
          <w:sz w:val="20"/>
          <w:szCs w:val="20"/>
          <w:lang w:val="es-ES"/>
        </w:rPr>
        <w:t xml:space="preserve">Dado esto, esta Agencia expidió la Resolución 161 de 2021, en procura de acoger los factores establecidos en la mencionada ley y, al efecto, fue modificado el numeral 4.6 del documento base de los documentos tipo los documentos tipo de obra pública de infraestructura de transporte </w:t>
      </w:r>
      <w:r w:rsidRPr="00150841">
        <w:rPr>
          <w:rFonts w:ascii="Arial" w:hAnsi="Arial" w:cs="Arial"/>
          <w:sz w:val="20"/>
          <w:szCs w:val="20"/>
          <w:lang w:val="es-ES"/>
        </w:rPr>
        <w:lastRenderedPageBreak/>
        <w:t>adelantados bajo la modalidad de licitación pública -Versión 3-, adoptados mediante la Resolución 240 del 27 de noviembre de 2020 y de los documentos tipo de obra pública para proyectos de agua potable y saneamiento básico bajo la modalidad de licitación pública, expedidos a través de la Resolución 248 del 1 de diciembre de 2020 y los de la modalidad llave en mano, adoptados por la Resolución 249 del 1 de diciembre de 2020 con la finalidad de incluir los criterios establecidos por la Ley.</w:t>
      </w:r>
    </w:p>
    <w:p w14:paraId="18143612" w14:textId="77777777" w:rsidR="00150841" w:rsidRPr="00150841" w:rsidRDefault="00150841" w:rsidP="00150841">
      <w:pPr>
        <w:spacing w:before="120" w:after="120"/>
        <w:jc w:val="both"/>
        <w:rPr>
          <w:rFonts w:ascii="Arial" w:hAnsi="Arial" w:cs="Arial"/>
          <w:sz w:val="20"/>
          <w:szCs w:val="20"/>
        </w:rPr>
      </w:pPr>
      <w:r w:rsidRPr="00150841">
        <w:rPr>
          <w:rFonts w:ascii="Arial" w:hAnsi="Arial" w:cs="Arial"/>
          <w:sz w:val="20"/>
          <w:szCs w:val="20"/>
        </w:rPr>
        <w:t>En concordancia con este propósito, el artículo 2 de la Resolución 161 de 2021 incluyó el «Formato 10 -Criterios de desempate» a los documentos tipo</w:t>
      </w:r>
      <w:r w:rsidRPr="00150841">
        <w:rPr>
          <w:sz w:val="20"/>
          <w:szCs w:val="20"/>
        </w:rPr>
        <w:t xml:space="preserve"> </w:t>
      </w:r>
      <w:r w:rsidRPr="00150841">
        <w:rPr>
          <w:rFonts w:ascii="Arial" w:hAnsi="Arial" w:cs="Arial"/>
          <w:sz w:val="20"/>
          <w:szCs w:val="20"/>
        </w:rPr>
        <w:t>de obra pública de infraestructura de transporte adelantados bajo la modalidad de licitación pública -Versión3-, adoptados mediante la Resolución 240 del 27 de noviembre de 2020, a los documentos tipo de interventoría de obra pública infraestructura de transporte adelantados bajo la modalidad de concurso de méritos, incorporados por medio de la Resolución 256 del 11 de diciembre de 2020 y de los documentos tipo de obra pública para proyectos de agua potable y saneamiento básico adelantados bajo la modalidad de licitación pública, acogidos a través de la Resolución 248 del 1 de diciembre de 2020, y los de la modalidad llave en mano, adoptados por la Resolución 249 del 1 de diciembre de 2020.</w:t>
      </w:r>
    </w:p>
    <w:p w14:paraId="5A6B0B22" w14:textId="77777777" w:rsidR="00150841" w:rsidRPr="00150841" w:rsidRDefault="00150841" w:rsidP="00150841">
      <w:pPr>
        <w:spacing w:before="120" w:after="120"/>
        <w:jc w:val="both"/>
        <w:rPr>
          <w:rFonts w:ascii="Arial" w:hAnsi="Arial" w:cs="Arial"/>
          <w:sz w:val="20"/>
          <w:szCs w:val="20"/>
        </w:rPr>
      </w:pPr>
      <w:r w:rsidRPr="00150841">
        <w:rPr>
          <w:rFonts w:ascii="Arial" w:hAnsi="Arial" w:cs="Arial"/>
          <w:sz w:val="20"/>
          <w:szCs w:val="20"/>
        </w:rPr>
        <w:t>Conforme a lo anterior, la finalidad del Formato 10 es, precisamente, la acreditación de factores de desempate en el caso de personas jurídicas pues, en virtud de la Resolución 161 de 2021, se preferirá a aquellas en las que «…participen mayoritariamente mujeres cabeza de familia y/o mujeres víctimas de violencia intrafamiliar, para lo cual el representante legal o el revisor fiscal, según corresponda, diligenciará el «Formato 10A -Participación mayoritaria de mujeres cabeza de familia y/o mujeres víctimas de violencia intrafamiliar (persona jurídica)», mediante el cual certifica, bajo la gravedad de juramento, que más del cincuenta por ciento (50 %) de la composición accionaria o cuota parte de la persona jurídica está constituida por mujeres cabeza de familia y/o mujeres víctimas de violencia intrafamiliar. Además, deberá acreditar la condición indicada de cada una de las mujeres que participen en la sociedad, aportando los documentos de cada una de ellas, de acuerdo con los dos incisos anteriores».</w:t>
      </w:r>
    </w:p>
    <w:p w14:paraId="5681756F" w14:textId="3F82F525" w:rsidR="00E87923" w:rsidRPr="00E87923" w:rsidRDefault="00E87923" w:rsidP="00E87923">
      <w:pPr>
        <w:tabs>
          <w:tab w:val="left" w:pos="0"/>
        </w:tabs>
        <w:spacing w:after="120"/>
        <w:jc w:val="both"/>
        <w:rPr>
          <w:rFonts w:ascii="Arial" w:eastAsia="Calibri" w:hAnsi="Arial" w:cs="Arial"/>
          <w:b/>
          <w:sz w:val="20"/>
          <w:szCs w:val="20"/>
        </w:rPr>
      </w:pPr>
    </w:p>
    <w:p w14:paraId="1E0373C5" w14:textId="77777777" w:rsidR="00E87923" w:rsidRPr="00E87923" w:rsidRDefault="00E87923" w:rsidP="00E87923">
      <w:pPr>
        <w:tabs>
          <w:tab w:val="left" w:pos="0"/>
        </w:tabs>
        <w:spacing w:after="120"/>
        <w:jc w:val="both"/>
        <w:rPr>
          <w:rFonts w:ascii="Arial" w:eastAsia="Calibri" w:hAnsi="Arial" w:cs="Arial"/>
          <w:b/>
          <w:sz w:val="20"/>
          <w:szCs w:val="20"/>
        </w:rPr>
      </w:pPr>
    </w:p>
    <w:p w14:paraId="43EEA630" w14:textId="77777777" w:rsidR="00E87923" w:rsidRPr="00E87923" w:rsidRDefault="00E87923" w:rsidP="00E87923">
      <w:pPr>
        <w:tabs>
          <w:tab w:val="left" w:pos="0"/>
        </w:tabs>
        <w:spacing w:after="120"/>
        <w:jc w:val="both"/>
        <w:rPr>
          <w:rFonts w:ascii="Arial" w:eastAsia="Calibri" w:hAnsi="Arial" w:cs="Arial"/>
          <w:b/>
          <w:sz w:val="20"/>
          <w:szCs w:val="20"/>
        </w:rPr>
      </w:pPr>
    </w:p>
    <w:p w14:paraId="42F7811D" w14:textId="77777777" w:rsidR="00E87923" w:rsidRPr="00E87923" w:rsidRDefault="00E87923" w:rsidP="00E87923">
      <w:pPr>
        <w:tabs>
          <w:tab w:val="left" w:pos="0"/>
        </w:tabs>
        <w:spacing w:after="120"/>
        <w:jc w:val="both"/>
        <w:rPr>
          <w:rFonts w:ascii="Arial" w:eastAsia="Calibri" w:hAnsi="Arial" w:cs="Arial"/>
          <w:bCs/>
          <w:sz w:val="20"/>
          <w:szCs w:val="20"/>
        </w:rPr>
      </w:pPr>
    </w:p>
    <w:p w14:paraId="7D43E40E" w14:textId="77777777" w:rsidR="00E87923" w:rsidRPr="00E87923" w:rsidRDefault="00E87923" w:rsidP="00E87923">
      <w:pPr>
        <w:tabs>
          <w:tab w:val="left" w:pos="0"/>
        </w:tabs>
        <w:spacing w:after="120"/>
        <w:jc w:val="both"/>
        <w:rPr>
          <w:rFonts w:ascii="Arial" w:eastAsia="Calibri" w:hAnsi="Arial" w:cs="Arial"/>
          <w:bCs/>
          <w:sz w:val="20"/>
          <w:szCs w:val="20"/>
        </w:rPr>
      </w:pPr>
    </w:p>
    <w:p w14:paraId="57DA6AA8" w14:textId="713A98C1" w:rsidR="00F11750" w:rsidRPr="00E87923" w:rsidRDefault="00F11750" w:rsidP="008F1F27">
      <w:pPr>
        <w:rPr>
          <w:rFonts w:ascii="Arial" w:eastAsia="Calibri" w:hAnsi="Arial" w:cs="Arial"/>
          <w:sz w:val="20"/>
          <w:szCs w:val="20"/>
          <w:lang w:val="es-ES"/>
        </w:rPr>
      </w:pPr>
    </w:p>
    <w:p w14:paraId="70030944" w14:textId="3F8757EF" w:rsidR="00F11750" w:rsidRPr="00E87923" w:rsidRDefault="00F11750" w:rsidP="008F1F27">
      <w:pPr>
        <w:rPr>
          <w:rFonts w:ascii="Arial" w:eastAsia="Calibri" w:hAnsi="Arial" w:cs="Arial"/>
          <w:sz w:val="20"/>
          <w:szCs w:val="20"/>
          <w:lang w:val="es-ES"/>
        </w:rPr>
      </w:pPr>
    </w:p>
    <w:p w14:paraId="46454AC2" w14:textId="6B51D3A2" w:rsidR="00F11750" w:rsidRPr="00E87923" w:rsidRDefault="00F11750" w:rsidP="008F1F27">
      <w:pPr>
        <w:rPr>
          <w:rFonts w:ascii="Arial" w:eastAsia="Calibri" w:hAnsi="Arial" w:cs="Arial"/>
          <w:sz w:val="20"/>
          <w:szCs w:val="20"/>
          <w:lang w:val="es-ES"/>
        </w:rPr>
      </w:pPr>
    </w:p>
    <w:p w14:paraId="3D30E1EA" w14:textId="1757B5C9" w:rsidR="00F11750" w:rsidRDefault="00F11750" w:rsidP="008F1F27">
      <w:pPr>
        <w:rPr>
          <w:rFonts w:ascii="Arial" w:eastAsia="Calibri" w:hAnsi="Arial" w:cs="Arial"/>
          <w:sz w:val="22"/>
          <w:szCs w:val="22"/>
          <w:lang w:val="es-ES"/>
        </w:rPr>
      </w:pPr>
    </w:p>
    <w:p w14:paraId="1AE5A974" w14:textId="77A27AEA" w:rsidR="00F11750" w:rsidRDefault="00F11750" w:rsidP="008F1F27">
      <w:pPr>
        <w:rPr>
          <w:rFonts w:ascii="Arial" w:eastAsia="Calibri" w:hAnsi="Arial" w:cs="Arial"/>
          <w:sz w:val="22"/>
          <w:szCs w:val="22"/>
          <w:lang w:val="es-ES"/>
        </w:rPr>
      </w:pPr>
    </w:p>
    <w:p w14:paraId="2F52508E" w14:textId="03E920A5" w:rsidR="00F11750" w:rsidRDefault="00F11750" w:rsidP="008F1F27">
      <w:pPr>
        <w:rPr>
          <w:rFonts w:ascii="Arial" w:eastAsia="Calibri" w:hAnsi="Arial" w:cs="Arial"/>
          <w:sz w:val="22"/>
          <w:szCs w:val="22"/>
          <w:lang w:val="es-ES"/>
        </w:rPr>
      </w:pPr>
    </w:p>
    <w:p w14:paraId="2196113E" w14:textId="15202CF3" w:rsidR="00F11750" w:rsidRDefault="00F11750" w:rsidP="008F1F27">
      <w:pPr>
        <w:rPr>
          <w:rFonts w:ascii="Arial" w:eastAsia="Calibri" w:hAnsi="Arial" w:cs="Arial"/>
          <w:sz w:val="22"/>
          <w:szCs w:val="22"/>
          <w:lang w:val="es-ES"/>
        </w:rPr>
      </w:pPr>
    </w:p>
    <w:p w14:paraId="0E692D50" w14:textId="73FC1107" w:rsidR="00F11750" w:rsidRDefault="00F11750" w:rsidP="008F1F27">
      <w:pPr>
        <w:rPr>
          <w:rFonts w:ascii="Arial" w:eastAsia="Calibri" w:hAnsi="Arial" w:cs="Arial"/>
          <w:sz w:val="22"/>
          <w:szCs w:val="22"/>
          <w:lang w:val="es-ES"/>
        </w:rPr>
      </w:pPr>
    </w:p>
    <w:p w14:paraId="282637E0" w14:textId="5D3A4971" w:rsidR="00F11750" w:rsidRDefault="00F11750" w:rsidP="008F1F27">
      <w:pPr>
        <w:rPr>
          <w:rFonts w:ascii="Arial" w:eastAsia="Calibri" w:hAnsi="Arial" w:cs="Arial"/>
          <w:sz w:val="22"/>
          <w:szCs w:val="22"/>
          <w:lang w:val="es-ES"/>
        </w:rPr>
      </w:pPr>
    </w:p>
    <w:p w14:paraId="20204F51" w14:textId="128F930C" w:rsidR="00F11750" w:rsidRDefault="00F11750" w:rsidP="008F1F27">
      <w:pPr>
        <w:rPr>
          <w:rFonts w:ascii="Arial" w:eastAsia="Calibri" w:hAnsi="Arial" w:cs="Arial"/>
          <w:sz w:val="22"/>
          <w:szCs w:val="22"/>
          <w:lang w:val="es-ES"/>
        </w:rPr>
      </w:pPr>
    </w:p>
    <w:p w14:paraId="2908E4D0" w14:textId="553ED4E8" w:rsidR="00F11750" w:rsidRDefault="00F11750" w:rsidP="008F1F27">
      <w:pPr>
        <w:rPr>
          <w:rFonts w:ascii="Arial" w:eastAsia="Calibri" w:hAnsi="Arial" w:cs="Arial"/>
          <w:sz w:val="22"/>
          <w:szCs w:val="22"/>
          <w:lang w:val="es-ES"/>
        </w:rPr>
      </w:pPr>
    </w:p>
    <w:p w14:paraId="667A9DD9" w14:textId="0906784F" w:rsidR="00F11750" w:rsidRDefault="00F11750" w:rsidP="008F1F27">
      <w:pPr>
        <w:rPr>
          <w:rFonts w:ascii="Arial" w:eastAsia="Calibri" w:hAnsi="Arial" w:cs="Arial"/>
          <w:sz w:val="22"/>
          <w:szCs w:val="22"/>
          <w:lang w:val="es-ES"/>
        </w:rPr>
      </w:pPr>
    </w:p>
    <w:p w14:paraId="27B0BB9F" w14:textId="629249DF" w:rsidR="00CC410C" w:rsidRDefault="00CC410C" w:rsidP="008F1F27">
      <w:pPr>
        <w:rPr>
          <w:rFonts w:ascii="Arial" w:eastAsia="Calibri" w:hAnsi="Arial" w:cs="Arial"/>
          <w:sz w:val="22"/>
          <w:szCs w:val="22"/>
          <w:lang w:val="es-ES"/>
        </w:rPr>
      </w:pPr>
    </w:p>
    <w:p w14:paraId="2128E161" w14:textId="77777777" w:rsidR="00150841" w:rsidRDefault="00150841" w:rsidP="008F1F27">
      <w:pPr>
        <w:rPr>
          <w:rFonts w:ascii="Arial" w:eastAsia="Calibri" w:hAnsi="Arial" w:cs="Arial"/>
          <w:sz w:val="22"/>
          <w:szCs w:val="22"/>
          <w:lang w:val="es-ES"/>
        </w:rPr>
      </w:pPr>
    </w:p>
    <w:p w14:paraId="3F5AE4C8" w14:textId="6FCFC1C2" w:rsidR="00B65034" w:rsidRDefault="00B65034" w:rsidP="00B65034">
      <w:pPr>
        <w:jc w:val="right"/>
      </w:pPr>
      <w:r>
        <w:lastRenderedPageBreak/>
        <w:fldChar w:fldCharType="begin"/>
      </w:r>
      <w:r>
        <w:instrText xml:space="preserve"> INCLUDEPICTURE "/var/folders/tb/0fmk9b510f57pz5rwhv8lnpw0000gp/T/com.microsoft.Word/WebArchiveCopyPasteTempFiles/page1image1038500256" \* MERGEFORMATINET </w:instrText>
      </w:r>
      <w:r>
        <w:fldChar w:fldCharType="separate"/>
      </w:r>
      <w:r>
        <w:rPr>
          <w:noProof/>
        </w:rPr>
        <w:drawing>
          <wp:inline distT="0" distB="0" distL="0" distR="0" wp14:anchorId="49E3B31B" wp14:editId="000C3812">
            <wp:extent cx="2406015" cy="613410"/>
            <wp:effectExtent l="0" t="0" r="0" b="0"/>
            <wp:docPr id="4" name="Imagen 4" descr="page1image1038500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03850025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6015" cy="613410"/>
                    </a:xfrm>
                    <a:prstGeom prst="rect">
                      <a:avLst/>
                    </a:prstGeom>
                    <a:noFill/>
                    <a:ln>
                      <a:noFill/>
                    </a:ln>
                  </pic:spPr>
                </pic:pic>
              </a:graphicData>
            </a:graphic>
          </wp:inline>
        </w:drawing>
      </w:r>
      <w:r>
        <w:fldChar w:fldCharType="end"/>
      </w:r>
    </w:p>
    <w:p w14:paraId="06748ECA" w14:textId="77777777" w:rsidR="00B65034" w:rsidRDefault="00B65034" w:rsidP="008F1F27">
      <w:pPr>
        <w:rPr>
          <w:rFonts w:ascii="Arial" w:eastAsia="Calibri" w:hAnsi="Arial" w:cs="Arial"/>
          <w:sz w:val="22"/>
          <w:szCs w:val="22"/>
          <w:lang w:val="es-ES"/>
        </w:rPr>
      </w:pPr>
    </w:p>
    <w:p w14:paraId="082B6DB4" w14:textId="5DFB22D8" w:rsidR="008F1F27" w:rsidRPr="00924DEF" w:rsidRDefault="008F1F27" w:rsidP="008F1F27">
      <w:pPr>
        <w:rPr>
          <w:rFonts w:ascii="Arial" w:eastAsia="Calibri" w:hAnsi="Arial" w:cs="Arial"/>
          <w:sz w:val="22"/>
          <w:szCs w:val="22"/>
          <w:lang w:val="es-ES"/>
        </w:rPr>
      </w:pPr>
      <w:r w:rsidRPr="006244FD">
        <w:rPr>
          <w:rFonts w:ascii="Arial" w:eastAsia="Calibri" w:hAnsi="Arial" w:cs="Arial"/>
          <w:sz w:val="22"/>
          <w:szCs w:val="22"/>
          <w:lang w:val="es-ES"/>
        </w:rPr>
        <w:t>Señor</w:t>
      </w:r>
    </w:p>
    <w:p w14:paraId="20EB80AD" w14:textId="017DB0E0" w:rsidR="00D83877" w:rsidRDefault="00CA648B" w:rsidP="008F1F27">
      <w:pPr>
        <w:rPr>
          <w:rFonts w:ascii="Arial" w:eastAsia="Calibri" w:hAnsi="Arial" w:cs="Arial"/>
          <w:b/>
          <w:bCs/>
          <w:sz w:val="22"/>
          <w:szCs w:val="22"/>
          <w:lang w:val="es-ES"/>
        </w:rPr>
      </w:pPr>
      <w:r>
        <w:rPr>
          <w:rFonts w:ascii="Arial" w:eastAsia="Calibri" w:hAnsi="Arial" w:cs="Arial"/>
          <w:b/>
          <w:bCs/>
          <w:sz w:val="22"/>
          <w:szCs w:val="22"/>
          <w:lang w:val="es-ES"/>
        </w:rPr>
        <w:t>Pablo García</w:t>
      </w:r>
    </w:p>
    <w:p w14:paraId="2B910637" w14:textId="52A350CC" w:rsidR="008F1F27" w:rsidRPr="00924DEF" w:rsidRDefault="00E25DCE" w:rsidP="008F1F27">
      <w:pPr>
        <w:rPr>
          <w:rFonts w:ascii="Arial" w:eastAsia="Calibri" w:hAnsi="Arial" w:cs="Arial"/>
          <w:sz w:val="22"/>
          <w:szCs w:val="22"/>
          <w:lang w:val="es-ES"/>
        </w:rPr>
      </w:pPr>
      <w:r>
        <w:rPr>
          <w:rFonts w:ascii="Arial" w:eastAsia="Calibri" w:hAnsi="Arial" w:cs="Arial"/>
          <w:sz w:val="22"/>
          <w:szCs w:val="22"/>
          <w:lang w:val="es-ES"/>
        </w:rPr>
        <w:t>Medellín, Antioquia</w:t>
      </w:r>
    </w:p>
    <w:p w14:paraId="75A8322F" w14:textId="77777777" w:rsidR="008F1F27" w:rsidRPr="00924DEF" w:rsidRDefault="008F1F27" w:rsidP="008F1F27">
      <w:pPr>
        <w:rPr>
          <w:rFonts w:ascii="Arial" w:eastAsia="Calibri" w:hAnsi="Arial" w:cs="Arial"/>
          <w:sz w:val="22"/>
          <w:szCs w:val="22"/>
          <w:lang w:val="es-ES"/>
        </w:rPr>
      </w:pPr>
    </w:p>
    <w:p w14:paraId="509A3CD8" w14:textId="77777777" w:rsidR="008F1F27" w:rsidRPr="00924DEF" w:rsidRDefault="008F1F27" w:rsidP="008F1F27">
      <w:pPr>
        <w:rPr>
          <w:rFonts w:ascii="Arial" w:eastAsia="Calibri" w:hAnsi="Arial" w:cs="Arial"/>
          <w:b/>
          <w:sz w:val="22"/>
          <w:szCs w:val="22"/>
          <w:lang w:val="es-ES"/>
        </w:rPr>
      </w:pPr>
    </w:p>
    <w:p w14:paraId="481D0967" w14:textId="47CC1912" w:rsidR="008F1F27" w:rsidRPr="00924DEF" w:rsidRDefault="008F1F27" w:rsidP="008F1F27">
      <w:pPr>
        <w:rPr>
          <w:rFonts w:ascii="Arial" w:eastAsia="Calibri" w:hAnsi="Arial" w:cs="Arial"/>
          <w:b/>
          <w:sz w:val="22"/>
          <w:szCs w:val="22"/>
          <w:lang w:val="es-ES"/>
        </w:rPr>
      </w:pPr>
      <w:r w:rsidRPr="00924DEF">
        <w:rPr>
          <w:rFonts w:ascii="Arial" w:eastAsia="Calibri" w:hAnsi="Arial" w:cs="Arial"/>
          <w:b/>
          <w:sz w:val="22"/>
          <w:szCs w:val="22"/>
          <w:lang w:val="es-ES"/>
        </w:rPr>
        <w:t xml:space="preserve">                                            Concepto C – </w:t>
      </w:r>
      <w:r>
        <w:rPr>
          <w:rFonts w:ascii="Arial" w:eastAsia="Calibri" w:hAnsi="Arial" w:cs="Arial"/>
          <w:b/>
          <w:sz w:val="22"/>
          <w:szCs w:val="22"/>
          <w:lang w:val="es-ES"/>
        </w:rPr>
        <w:t>1</w:t>
      </w:r>
      <w:r w:rsidR="00CA648B">
        <w:rPr>
          <w:rFonts w:ascii="Arial" w:eastAsia="Calibri" w:hAnsi="Arial" w:cs="Arial"/>
          <w:b/>
          <w:sz w:val="22"/>
          <w:szCs w:val="22"/>
          <w:lang w:val="es-ES"/>
        </w:rPr>
        <w:t>40</w:t>
      </w:r>
      <w:r>
        <w:rPr>
          <w:rFonts w:ascii="Arial" w:eastAsia="Calibri" w:hAnsi="Arial" w:cs="Arial"/>
          <w:b/>
          <w:sz w:val="22"/>
          <w:szCs w:val="22"/>
          <w:lang w:val="es-ES"/>
        </w:rPr>
        <w:t xml:space="preserve"> de 2022</w:t>
      </w:r>
    </w:p>
    <w:p w14:paraId="1CFE9394" w14:textId="77777777" w:rsidR="008F1F27" w:rsidRPr="00924DEF" w:rsidRDefault="008F1F27" w:rsidP="008F1F27">
      <w:pPr>
        <w:rPr>
          <w:rFonts w:ascii="Arial" w:eastAsia="Calibri" w:hAnsi="Arial" w:cs="Arial"/>
          <w:b/>
          <w:sz w:val="22"/>
          <w:szCs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25"/>
        <w:gridCol w:w="6301"/>
      </w:tblGrid>
      <w:tr w:rsidR="000A12D9" w:rsidRPr="00924DEF" w14:paraId="273EBBC8" w14:textId="77777777" w:rsidTr="4C98CF6B">
        <w:trPr>
          <w:trHeight w:val="550"/>
        </w:trPr>
        <w:tc>
          <w:tcPr>
            <w:tcW w:w="2625" w:type="dxa"/>
          </w:tcPr>
          <w:p w14:paraId="6D706277" w14:textId="09319225" w:rsidR="000A12D9" w:rsidRPr="00924DEF" w:rsidRDefault="000A12D9" w:rsidP="000A12D9">
            <w:pPr>
              <w:rPr>
                <w:rFonts w:ascii="Arial" w:eastAsia="Calibri" w:hAnsi="Arial" w:cs="Arial"/>
                <w:lang w:val="es-ES"/>
              </w:rPr>
            </w:pPr>
            <w:r w:rsidRPr="00924DEF">
              <w:rPr>
                <w:rFonts w:ascii="Arial" w:eastAsia="Calibri" w:hAnsi="Arial" w:cs="Arial"/>
                <w:b/>
                <w:lang w:val="es-ES"/>
              </w:rPr>
              <w:t>T</w:t>
            </w:r>
            <w:r w:rsidR="00150841">
              <w:rPr>
                <w:rFonts w:ascii="Arial" w:eastAsia="Calibri" w:hAnsi="Arial" w:cs="Arial"/>
                <w:b/>
                <w:lang w:val="es-ES"/>
              </w:rPr>
              <w:t>e</w:t>
            </w:r>
            <w:r w:rsidRPr="00924DEF">
              <w:rPr>
                <w:rFonts w:ascii="Arial" w:eastAsia="Calibri" w:hAnsi="Arial" w:cs="Arial"/>
                <w:b/>
                <w:lang w:val="es-ES"/>
              </w:rPr>
              <w:t>mas:</w:t>
            </w:r>
            <w:r w:rsidRPr="00924DEF">
              <w:rPr>
                <w:rFonts w:ascii="Arial" w:eastAsia="Calibri" w:hAnsi="Arial" w:cs="Arial"/>
                <w:lang w:val="es-ES"/>
              </w:rPr>
              <w:t xml:space="preserve">                                    </w:t>
            </w:r>
          </w:p>
        </w:tc>
        <w:tc>
          <w:tcPr>
            <w:tcW w:w="6301" w:type="dxa"/>
          </w:tcPr>
          <w:p w14:paraId="66713F2E" w14:textId="788CAC5D" w:rsidR="00150841" w:rsidRPr="00150841" w:rsidRDefault="00150841" w:rsidP="00150841">
            <w:pPr>
              <w:tabs>
                <w:tab w:val="left" w:pos="0"/>
              </w:tabs>
              <w:spacing w:after="120"/>
              <w:jc w:val="both"/>
              <w:rPr>
                <w:rFonts w:ascii="Arial" w:eastAsia="Calibri" w:hAnsi="Arial" w:cs="Arial"/>
                <w:b/>
              </w:rPr>
            </w:pPr>
            <w:r w:rsidRPr="00150841">
              <w:rPr>
                <w:rFonts w:ascii="Arial" w:eastAsia="Calibri" w:hAnsi="Arial" w:cs="Arial"/>
                <w:bCs/>
                <w:lang w:val="es-MX"/>
              </w:rPr>
              <w:t xml:space="preserve">PRINCIPIO DE SELECCIÓN OBJETIVA – </w:t>
            </w:r>
            <w:r w:rsidR="00E668CC" w:rsidRPr="00150841">
              <w:rPr>
                <w:rFonts w:ascii="Arial" w:eastAsia="Calibri" w:hAnsi="Arial" w:cs="Arial"/>
                <w:bCs/>
                <w:lang w:val="es-MX"/>
              </w:rPr>
              <w:t xml:space="preserve">factores de desempate </w:t>
            </w:r>
            <w:r w:rsidRPr="00150841">
              <w:rPr>
                <w:rFonts w:ascii="Arial" w:eastAsia="Calibri" w:hAnsi="Arial" w:cs="Arial"/>
                <w:bCs/>
                <w:lang w:val="es-MX"/>
              </w:rPr>
              <w:t xml:space="preserve">/ </w:t>
            </w:r>
            <w:r w:rsidRPr="00150841">
              <w:rPr>
                <w:rFonts w:ascii="Arial" w:eastAsia="Calibri" w:hAnsi="Arial" w:cs="Arial"/>
                <w:bCs/>
              </w:rPr>
              <w:t xml:space="preserve">CRITERIOS DE SUBSANABILIDAD – LEY 2069 DE 2020 </w:t>
            </w:r>
            <w:r>
              <w:rPr>
                <w:rFonts w:ascii="Arial" w:eastAsia="Calibri" w:hAnsi="Arial" w:cs="Arial"/>
                <w:bCs/>
              </w:rPr>
              <w:t xml:space="preserve">/ </w:t>
            </w:r>
            <w:r w:rsidRPr="00150841">
              <w:rPr>
                <w:rFonts w:ascii="Arial" w:eastAsia="Calibri" w:hAnsi="Arial" w:cs="Arial"/>
                <w:bCs/>
              </w:rPr>
              <w:t xml:space="preserve">DOCUMENTOS TIPO – </w:t>
            </w:r>
            <w:r w:rsidR="00EB6025" w:rsidRPr="00150841">
              <w:rPr>
                <w:rFonts w:ascii="Arial" w:eastAsia="Calibri" w:hAnsi="Arial" w:cs="Arial"/>
                <w:bCs/>
              </w:rPr>
              <w:t xml:space="preserve">formatos 10 y 11 </w:t>
            </w:r>
            <w:r w:rsidRPr="00150841">
              <w:rPr>
                <w:rFonts w:ascii="Arial" w:eastAsia="Calibri" w:hAnsi="Arial" w:cs="Arial"/>
                <w:bCs/>
              </w:rPr>
              <w:t xml:space="preserve">– LEY 2069 DE 2020 – </w:t>
            </w:r>
            <w:r w:rsidR="00EB6025" w:rsidRPr="00150841">
              <w:rPr>
                <w:rFonts w:ascii="Arial" w:eastAsia="Calibri" w:hAnsi="Arial" w:cs="Arial"/>
                <w:bCs/>
              </w:rPr>
              <w:t xml:space="preserve">artículo 35 </w:t>
            </w:r>
            <w:r w:rsidRPr="00150841">
              <w:rPr>
                <w:rFonts w:ascii="Arial" w:eastAsia="Calibri" w:hAnsi="Arial" w:cs="Arial"/>
                <w:bCs/>
              </w:rPr>
              <w:t>– FACTORES DE DESEMPATE</w:t>
            </w:r>
            <w:r>
              <w:rPr>
                <w:rFonts w:ascii="Arial" w:eastAsia="Calibri" w:hAnsi="Arial" w:cs="Arial"/>
                <w:b/>
              </w:rPr>
              <w:t xml:space="preserve"> </w:t>
            </w:r>
          </w:p>
          <w:p w14:paraId="08D9D14A" w14:textId="3C2BE816" w:rsidR="000A12D9" w:rsidRPr="00E87923" w:rsidRDefault="000A12D9" w:rsidP="00284A4E">
            <w:pPr>
              <w:tabs>
                <w:tab w:val="left" w:pos="0"/>
              </w:tabs>
              <w:spacing w:after="120"/>
              <w:jc w:val="both"/>
              <w:rPr>
                <w:rFonts w:ascii="Arial" w:eastAsia="Calibri" w:hAnsi="Arial" w:cs="Arial"/>
                <w:bCs/>
              </w:rPr>
            </w:pPr>
          </w:p>
        </w:tc>
      </w:tr>
      <w:tr w:rsidR="008F1F27" w:rsidRPr="00924DEF" w14:paraId="4D112C5C" w14:textId="77777777" w:rsidTr="4C98CF6B">
        <w:tc>
          <w:tcPr>
            <w:tcW w:w="2625" w:type="dxa"/>
          </w:tcPr>
          <w:p w14:paraId="2CB6AE77" w14:textId="77777777" w:rsidR="008F1F27" w:rsidRPr="00924DEF" w:rsidRDefault="008F1F27" w:rsidP="00B10244">
            <w:pPr>
              <w:rPr>
                <w:rFonts w:ascii="Arial" w:eastAsia="Calibri" w:hAnsi="Arial" w:cs="Arial"/>
                <w:lang w:val="es-ES"/>
              </w:rPr>
            </w:pPr>
            <w:r w:rsidRPr="00924DEF">
              <w:rPr>
                <w:rFonts w:ascii="Arial" w:eastAsia="Calibri" w:hAnsi="Arial" w:cs="Arial"/>
                <w:b/>
                <w:lang w:val="es-ES"/>
              </w:rPr>
              <w:t>Radicación:</w:t>
            </w:r>
            <w:r w:rsidRPr="00924DEF">
              <w:rPr>
                <w:rFonts w:ascii="Arial" w:eastAsia="Calibri" w:hAnsi="Arial" w:cs="Arial"/>
                <w:lang w:val="es-ES"/>
              </w:rPr>
              <w:t xml:space="preserve">                              </w:t>
            </w:r>
          </w:p>
        </w:tc>
        <w:tc>
          <w:tcPr>
            <w:tcW w:w="6301" w:type="dxa"/>
          </w:tcPr>
          <w:p w14:paraId="774FD7A7" w14:textId="52E742A9" w:rsidR="008F1F27" w:rsidRPr="00924DEF" w:rsidRDefault="008F1F27" w:rsidP="00B10244">
            <w:pPr>
              <w:rPr>
                <w:rFonts w:ascii="Arial" w:eastAsia="Calibri" w:hAnsi="Arial" w:cs="Arial"/>
                <w:lang w:val="es-ES"/>
              </w:rPr>
            </w:pPr>
            <w:r w:rsidRPr="00924DEF">
              <w:rPr>
                <w:rFonts w:ascii="Arial" w:eastAsia="Calibri" w:hAnsi="Arial" w:cs="Arial"/>
                <w:lang w:val="es-ES"/>
              </w:rPr>
              <w:t xml:space="preserve">Respuesta a consulta </w:t>
            </w:r>
            <w:r w:rsidR="00293834" w:rsidRPr="00ED384F">
              <w:rPr>
                <w:rFonts w:ascii="Arial" w:hAnsi="Arial" w:cs="Arial"/>
                <w:lang w:val="es-ES"/>
              </w:rPr>
              <w:t>P20220</w:t>
            </w:r>
            <w:r w:rsidR="00E25DCE">
              <w:rPr>
                <w:rFonts w:ascii="Arial" w:hAnsi="Arial" w:cs="Arial"/>
                <w:lang w:val="es-ES"/>
              </w:rPr>
              <w:t>216001546</w:t>
            </w:r>
          </w:p>
        </w:tc>
      </w:tr>
    </w:tbl>
    <w:p w14:paraId="26DFA7A8" w14:textId="77777777" w:rsidR="008F1F27" w:rsidRPr="00924DEF" w:rsidRDefault="008F1F27" w:rsidP="008F1F27">
      <w:pPr>
        <w:spacing w:line="276" w:lineRule="auto"/>
        <w:rPr>
          <w:rFonts w:ascii="Arial" w:eastAsia="Calibri" w:hAnsi="Arial" w:cs="Arial"/>
          <w:sz w:val="22"/>
          <w:szCs w:val="22"/>
          <w:lang w:val="es-ES"/>
        </w:rPr>
      </w:pPr>
    </w:p>
    <w:p w14:paraId="6D2F9086" w14:textId="77777777" w:rsidR="008F1F27" w:rsidRPr="00924DEF" w:rsidRDefault="008F1F27" w:rsidP="008F1F27">
      <w:pPr>
        <w:spacing w:line="276" w:lineRule="auto"/>
        <w:rPr>
          <w:rFonts w:ascii="Arial" w:eastAsia="Calibri" w:hAnsi="Arial" w:cs="Arial"/>
          <w:sz w:val="22"/>
          <w:szCs w:val="22"/>
          <w:lang w:val="es-ES"/>
        </w:rPr>
      </w:pPr>
    </w:p>
    <w:p w14:paraId="54C8633C" w14:textId="71BCAB5E" w:rsidR="008F1F27" w:rsidRPr="00924DEF" w:rsidRDefault="008F1F27" w:rsidP="008F1F27">
      <w:pPr>
        <w:tabs>
          <w:tab w:val="left" w:pos="3736"/>
        </w:tabs>
        <w:spacing w:line="276" w:lineRule="auto"/>
        <w:rPr>
          <w:rFonts w:ascii="Arial" w:eastAsia="Calibri" w:hAnsi="Arial" w:cs="Arial"/>
          <w:sz w:val="22"/>
          <w:szCs w:val="22"/>
          <w:lang w:val="es-ES"/>
        </w:rPr>
      </w:pPr>
      <w:r w:rsidRPr="00924DEF">
        <w:rPr>
          <w:rFonts w:ascii="Arial" w:eastAsia="Calibri" w:hAnsi="Arial" w:cs="Arial"/>
          <w:sz w:val="22"/>
          <w:szCs w:val="22"/>
          <w:lang w:val="es-ES"/>
        </w:rPr>
        <w:t>Estimad</w:t>
      </w:r>
      <w:r w:rsidR="00CA648B">
        <w:rPr>
          <w:rFonts w:ascii="Arial" w:eastAsia="Calibri" w:hAnsi="Arial" w:cs="Arial"/>
          <w:sz w:val="22"/>
          <w:szCs w:val="22"/>
          <w:lang w:val="es-ES"/>
        </w:rPr>
        <w:t>o</w:t>
      </w:r>
      <w:r w:rsidRPr="00924DEF">
        <w:rPr>
          <w:rFonts w:ascii="Arial" w:eastAsia="Calibri" w:hAnsi="Arial" w:cs="Arial"/>
          <w:sz w:val="22"/>
          <w:szCs w:val="22"/>
          <w:lang w:val="es-ES"/>
        </w:rPr>
        <w:t xml:space="preserve"> señor</w:t>
      </w:r>
      <w:r w:rsidR="00CA648B">
        <w:rPr>
          <w:rFonts w:ascii="Arial" w:eastAsia="Calibri" w:hAnsi="Arial" w:cs="Arial"/>
          <w:sz w:val="22"/>
          <w:szCs w:val="22"/>
          <w:lang w:val="es-ES"/>
        </w:rPr>
        <w:t xml:space="preserve"> García</w:t>
      </w:r>
      <w:r w:rsidRPr="00924DEF">
        <w:rPr>
          <w:rFonts w:ascii="Arial" w:eastAsia="Calibri" w:hAnsi="Arial" w:cs="Arial"/>
          <w:sz w:val="22"/>
          <w:szCs w:val="22"/>
          <w:lang w:val="es-ES"/>
        </w:rPr>
        <w:t>:</w:t>
      </w:r>
      <w:r w:rsidRPr="00924DEF">
        <w:rPr>
          <w:rFonts w:ascii="Arial" w:eastAsia="Calibri" w:hAnsi="Arial" w:cs="Arial"/>
          <w:sz w:val="22"/>
          <w:szCs w:val="22"/>
          <w:lang w:val="es-ES"/>
        </w:rPr>
        <w:tab/>
      </w:r>
    </w:p>
    <w:p w14:paraId="2693C6B2" w14:textId="77777777" w:rsidR="008F1F27" w:rsidRPr="00924DEF" w:rsidRDefault="008F1F27" w:rsidP="008F1F27">
      <w:pPr>
        <w:spacing w:line="276" w:lineRule="auto"/>
        <w:rPr>
          <w:rFonts w:ascii="Arial" w:eastAsia="Calibri" w:hAnsi="Arial" w:cs="Arial"/>
          <w:sz w:val="22"/>
          <w:szCs w:val="22"/>
          <w:lang w:val="es-ES"/>
        </w:rPr>
      </w:pPr>
    </w:p>
    <w:p w14:paraId="0E3A6299" w14:textId="24829BDC" w:rsidR="008F1F27" w:rsidRPr="00924DEF" w:rsidRDefault="008F1F27" w:rsidP="008F1F27">
      <w:pPr>
        <w:spacing w:line="276" w:lineRule="auto"/>
        <w:jc w:val="both"/>
        <w:rPr>
          <w:rFonts w:ascii="Arial" w:eastAsia="Calibri" w:hAnsi="Arial" w:cs="Arial"/>
          <w:sz w:val="22"/>
          <w:szCs w:val="22"/>
          <w:lang w:val="es-ES"/>
        </w:rPr>
      </w:pPr>
      <w:r w:rsidRPr="00924DEF">
        <w:rPr>
          <w:rFonts w:ascii="Arial" w:eastAsia="Calibri" w:hAnsi="Arial" w:cs="Arial"/>
          <w:sz w:val="22"/>
          <w:szCs w:val="22"/>
          <w:lang w:val="es-ES"/>
        </w:rPr>
        <w:t>La Agencia Nacional de Contratación Pública – Colombia Compra Eficiente, en ejercicio de la competencia otorgada por el numeral 8 del artículo 11 y el numeral 5 del artículo 3 del Decreto Ley 4170 de 2011</w:t>
      </w:r>
      <w:r>
        <w:rPr>
          <w:rFonts w:ascii="Arial" w:eastAsia="Calibri" w:hAnsi="Arial" w:cs="Arial"/>
          <w:sz w:val="22"/>
          <w:szCs w:val="22"/>
          <w:lang w:val="es-ES"/>
        </w:rPr>
        <w:t xml:space="preserve">, </w:t>
      </w:r>
      <w:r w:rsidRPr="00924DEF">
        <w:rPr>
          <w:rFonts w:ascii="Arial" w:eastAsia="Calibri" w:hAnsi="Arial" w:cs="Arial"/>
          <w:sz w:val="22"/>
          <w:szCs w:val="22"/>
          <w:lang w:val="es-ES"/>
        </w:rPr>
        <w:t xml:space="preserve">responde a su consulta del </w:t>
      </w:r>
      <w:r>
        <w:rPr>
          <w:rFonts w:ascii="Arial" w:eastAsia="Calibri" w:hAnsi="Arial" w:cs="Arial"/>
          <w:sz w:val="22"/>
          <w:szCs w:val="22"/>
          <w:lang w:val="es-ES"/>
        </w:rPr>
        <w:t>de febrero de 2022.</w:t>
      </w:r>
    </w:p>
    <w:p w14:paraId="70E54971" w14:textId="77777777" w:rsidR="008F1F27" w:rsidRPr="00924DEF" w:rsidRDefault="008F1F27" w:rsidP="008F1F27">
      <w:pPr>
        <w:pStyle w:val="Prrafodelista"/>
        <w:spacing w:line="276" w:lineRule="auto"/>
        <w:ind w:left="0"/>
        <w:rPr>
          <w:rFonts w:ascii="Arial" w:eastAsia="Calibri" w:hAnsi="Arial" w:cs="Arial"/>
          <w:sz w:val="22"/>
          <w:lang w:val="es-ES"/>
        </w:rPr>
      </w:pPr>
    </w:p>
    <w:p w14:paraId="273F674B" w14:textId="77777777" w:rsidR="008F1F27" w:rsidRPr="00924DEF" w:rsidRDefault="008F1F27" w:rsidP="008F1F27">
      <w:pPr>
        <w:tabs>
          <w:tab w:val="left" w:pos="0"/>
        </w:tabs>
        <w:spacing w:line="276" w:lineRule="auto"/>
        <w:jc w:val="both"/>
        <w:rPr>
          <w:rFonts w:ascii="Arial" w:eastAsia="Calibri" w:hAnsi="Arial" w:cs="Arial"/>
          <w:b/>
          <w:sz w:val="22"/>
          <w:szCs w:val="22"/>
          <w:lang w:val="es-ES"/>
        </w:rPr>
      </w:pPr>
      <w:r w:rsidRPr="00924DEF">
        <w:rPr>
          <w:rFonts w:ascii="Arial" w:eastAsia="Calibri" w:hAnsi="Arial" w:cs="Arial"/>
          <w:b/>
          <w:sz w:val="22"/>
          <w:szCs w:val="22"/>
          <w:lang w:val="es-ES"/>
        </w:rPr>
        <w:t>1. Problema planteado</w:t>
      </w:r>
    </w:p>
    <w:p w14:paraId="466A69CF" w14:textId="77777777" w:rsidR="008F1F27" w:rsidRPr="00924DEF" w:rsidRDefault="008F1F27" w:rsidP="008F1F27">
      <w:pPr>
        <w:rPr>
          <w:rFonts w:ascii="Arial" w:eastAsia="Calibri" w:hAnsi="Arial" w:cs="Arial"/>
          <w:sz w:val="22"/>
          <w:szCs w:val="22"/>
          <w:lang w:val="es-ES"/>
        </w:rPr>
      </w:pPr>
    </w:p>
    <w:p w14:paraId="7B6A0190" w14:textId="0D4D18ED" w:rsidR="008F1F27" w:rsidRDefault="008F1F27" w:rsidP="008F1F27">
      <w:pPr>
        <w:spacing w:line="276" w:lineRule="auto"/>
        <w:jc w:val="both"/>
        <w:rPr>
          <w:rFonts w:ascii="Arial" w:eastAsia="Calibri" w:hAnsi="Arial" w:cs="Arial"/>
          <w:sz w:val="22"/>
          <w:szCs w:val="22"/>
          <w:lang w:val="es-ES"/>
        </w:rPr>
      </w:pPr>
      <w:r w:rsidRPr="00924DEF">
        <w:rPr>
          <w:rFonts w:ascii="Arial" w:eastAsia="Calibri" w:hAnsi="Arial" w:cs="Arial"/>
          <w:sz w:val="22"/>
          <w:szCs w:val="22"/>
          <w:lang w:val="es-ES"/>
        </w:rPr>
        <w:t xml:space="preserve">Usted </w:t>
      </w:r>
      <w:r>
        <w:rPr>
          <w:rFonts w:ascii="Arial" w:eastAsia="Calibri" w:hAnsi="Arial" w:cs="Arial"/>
          <w:sz w:val="22"/>
          <w:szCs w:val="22"/>
          <w:lang w:val="es-ES"/>
        </w:rPr>
        <w:t>realiza</w:t>
      </w:r>
      <w:r w:rsidRPr="00924DEF">
        <w:rPr>
          <w:rFonts w:ascii="Arial" w:eastAsia="Calibri" w:hAnsi="Arial" w:cs="Arial"/>
          <w:sz w:val="22"/>
          <w:szCs w:val="22"/>
          <w:lang w:val="es-ES"/>
        </w:rPr>
        <w:t xml:space="preserve"> la</w:t>
      </w:r>
      <w:r w:rsidR="00293834">
        <w:rPr>
          <w:rFonts w:ascii="Arial" w:eastAsia="Calibri" w:hAnsi="Arial" w:cs="Arial"/>
          <w:sz w:val="22"/>
          <w:szCs w:val="22"/>
          <w:lang w:val="es-ES"/>
        </w:rPr>
        <w:t>s</w:t>
      </w:r>
      <w:r w:rsidRPr="00924DEF">
        <w:rPr>
          <w:rFonts w:ascii="Arial" w:eastAsia="Calibri" w:hAnsi="Arial" w:cs="Arial"/>
          <w:sz w:val="22"/>
          <w:szCs w:val="22"/>
          <w:lang w:val="es-ES"/>
        </w:rPr>
        <w:t xml:space="preserve"> siguiente</w:t>
      </w:r>
      <w:r w:rsidR="00293834">
        <w:rPr>
          <w:rFonts w:ascii="Arial" w:eastAsia="Calibri" w:hAnsi="Arial" w:cs="Arial"/>
          <w:sz w:val="22"/>
          <w:szCs w:val="22"/>
          <w:lang w:val="es-ES"/>
        </w:rPr>
        <w:t>s</w:t>
      </w:r>
      <w:r w:rsidRPr="00924DEF">
        <w:rPr>
          <w:rFonts w:ascii="Arial" w:eastAsia="Calibri" w:hAnsi="Arial" w:cs="Arial"/>
          <w:sz w:val="22"/>
          <w:szCs w:val="22"/>
          <w:lang w:val="es-ES"/>
        </w:rPr>
        <w:t xml:space="preserve"> pregunta</w:t>
      </w:r>
      <w:r w:rsidR="00293834">
        <w:rPr>
          <w:rFonts w:ascii="Arial" w:eastAsia="Calibri" w:hAnsi="Arial" w:cs="Arial"/>
          <w:sz w:val="22"/>
          <w:szCs w:val="22"/>
          <w:lang w:val="es-ES"/>
        </w:rPr>
        <w:t>s</w:t>
      </w:r>
      <w:r w:rsidRPr="00924DEF">
        <w:rPr>
          <w:rFonts w:ascii="Arial" w:eastAsia="Calibri" w:hAnsi="Arial" w:cs="Arial"/>
          <w:sz w:val="22"/>
          <w:szCs w:val="22"/>
          <w:lang w:val="es-ES"/>
        </w:rPr>
        <w:t xml:space="preserve">: </w:t>
      </w:r>
    </w:p>
    <w:p w14:paraId="47040221" w14:textId="3E46219C" w:rsidR="00CA648B" w:rsidRPr="00CA648B" w:rsidRDefault="00CA648B" w:rsidP="00CA648B">
      <w:pPr>
        <w:pStyle w:val="NormalWeb"/>
        <w:ind w:left="709" w:right="709"/>
        <w:jc w:val="both"/>
        <w:rPr>
          <w:rFonts w:ascii="Arial" w:hAnsi="Arial" w:cs="Arial"/>
          <w:b/>
          <w:bCs/>
          <w:sz w:val="21"/>
          <w:szCs w:val="21"/>
        </w:rPr>
      </w:pPr>
      <w:r w:rsidRPr="00CA648B">
        <w:rPr>
          <w:rFonts w:ascii="Arial" w:hAnsi="Arial" w:cs="Arial"/>
          <w:sz w:val="21"/>
          <w:szCs w:val="21"/>
          <w:lang w:val="es-ES"/>
        </w:rPr>
        <w:t>«</w:t>
      </w:r>
      <w:r w:rsidRPr="00CA648B">
        <w:rPr>
          <w:rFonts w:ascii="Arial" w:hAnsi="Arial" w:cs="Arial"/>
          <w:sz w:val="21"/>
          <w:szCs w:val="21"/>
        </w:rPr>
        <w:t>1. ¿La presentación del Formato 10 puede ser considerado como un requisito habilitante?»</w:t>
      </w:r>
    </w:p>
    <w:p w14:paraId="4C8FAEBA" w14:textId="23843EB5" w:rsidR="00CA648B" w:rsidRDefault="00CA648B" w:rsidP="00CA648B">
      <w:pPr>
        <w:pStyle w:val="NormalWeb"/>
        <w:ind w:left="709" w:right="709"/>
        <w:jc w:val="both"/>
        <w:rPr>
          <w:rFonts w:ascii="Arial" w:hAnsi="Arial" w:cs="Arial"/>
          <w:sz w:val="21"/>
          <w:szCs w:val="21"/>
        </w:rPr>
      </w:pPr>
      <w:r w:rsidRPr="00CA648B">
        <w:rPr>
          <w:rFonts w:ascii="Arial" w:hAnsi="Arial" w:cs="Arial"/>
          <w:sz w:val="21"/>
          <w:szCs w:val="21"/>
        </w:rPr>
        <w:t>2. ¿El formato 10 puede ser considerado como un requisito NO (sic) subsanable?»</w:t>
      </w:r>
    </w:p>
    <w:p w14:paraId="71D1A8F9" w14:textId="2B4D1D78" w:rsidR="008F1F27" w:rsidRPr="00CA648B" w:rsidRDefault="00CA648B" w:rsidP="00CA648B">
      <w:pPr>
        <w:pStyle w:val="NormalWeb"/>
        <w:ind w:left="709" w:right="709"/>
        <w:jc w:val="both"/>
        <w:rPr>
          <w:rFonts w:ascii="Arial" w:hAnsi="Arial" w:cs="Arial"/>
          <w:sz w:val="21"/>
          <w:szCs w:val="21"/>
        </w:rPr>
      </w:pPr>
      <w:r w:rsidRPr="00CA648B">
        <w:rPr>
          <w:rFonts w:ascii="Arial" w:hAnsi="Arial" w:cs="Arial"/>
          <w:sz w:val="21"/>
          <w:szCs w:val="21"/>
        </w:rPr>
        <w:t>3. Si un proponente no presenta en su propuesta información sensible, ¿Tiene obligación de presentar el Formato 11</w:t>
      </w:r>
      <w:r w:rsidR="00293834" w:rsidRPr="00CA648B">
        <w:rPr>
          <w:rFonts w:ascii="Arial" w:hAnsi="Arial" w:cs="Arial"/>
          <w:sz w:val="21"/>
          <w:szCs w:val="21"/>
        </w:rPr>
        <w:t>?»</w:t>
      </w:r>
      <w:r w:rsidR="00254949">
        <w:rPr>
          <w:rFonts w:ascii="Arial" w:hAnsi="Arial" w:cs="Arial"/>
          <w:sz w:val="21"/>
          <w:szCs w:val="21"/>
        </w:rPr>
        <w:t>.</w:t>
      </w:r>
    </w:p>
    <w:p w14:paraId="7062BAA0" w14:textId="7A2E739E" w:rsidR="008F1F27" w:rsidRDefault="008F1F27" w:rsidP="008F1F27">
      <w:pPr>
        <w:spacing w:line="276" w:lineRule="auto"/>
        <w:jc w:val="both"/>
        <w:rPr>
          <w:rFonts w:ascii="Arial" w:eastAsia="Calibri" w:hAnsi="Arial" w:cs="Arial"/>
          <w:b/>
          <w:sz w:val="22"/>
          <w:szCs w:val="22"/>
          <w:lang w:val="es-ES"/>
        </w:rPr>
      </w:pPr>
      <w:r w:rsidRPr="00924DEF">
        <w:rPr>
          <w:rFonts w:ascii="Arial" w:eastAsia="Calibri" w:hAnsi="Arial" w:cs="Arial"/>
          <w:b/>
          <w:sz w:val="22"/>
          <w:szCs w:val="22"/>
          <w:lang w:val="es-ES"/>
        </w:rPr>
        <w:t>2. Consideraciones</w:t>
      </w:r>
    </w:p>
    <w:p w14:paraId="63167F17" w14:textId="77777777" w:rsidR="00417118" w:rsidRPr="00924DEF" w:rsidRDefault="00417118" w:rsidP="008F1F27">
      <w:pPr>
        <w:spacing w:line="276" w:lineRule="auto"/>
        <w:jc w:val="both"/>
        <w:rPr>
          <w:rFonts w:ascii="Arial" w:eastAsia="Calibri" w:hAnsi="Arial" w:cs="Arial"/>
          <w:b/>
          <w:sz w:val="22"/>
          <w:szCs w:val="22"/>
          <w:lang w:val="es-ES"/>
        </w:rPr>
      </w:pPr>
    </w:p>
    <w:p w14:paraId="6CC8DDAF" w14:textId="135BEB74" w:rsidR="00417118" w:rsidRDefault="00293834" w:rsidP="00D81D35">
      <w:pPr>
        <w:spacing w:after="120" w:line="276" w:lineRule="auto"/>
        <w:jc w:val="both"/>
        <w:rPr>
          <w:rFonts w:ascii="Arial" w:eastAsia="Calibri" w:hAnsi="Arial" w:cs="Arial"/>
          <w:b/>
          <w:bCs/>
          <w:color w:val="000000" w:themeColor="text1"/>
          <w:sz w:val="22"/>
          <w:szCs w:val="22"/>
          <w:lang w:val="es-ES_tradnl"/>
        </w:rPr>
      </w:pPr>
      <w:r w:rsidRPr="00DA403A">
        <w:rPr>
          <w:rFonts w:ascii="Arial" w:eastAsia="Calibri" w:hAnsi="Arial" w:cs="Arial"/>
          <w:sz w:val="22"/>
        </w:rPr>
        <w:t xml:space="preserve">Para absolver los interrogantes formulados, esta dependencia analizará los siguientes temas: i) </w:t>
      </w:r>
      <w:r w:rsidR="005E2DF7">
        <w:rPr>
          <w:rFonts w:ascii="Arial" w:eastAsia="Calibri" w:hAnsi="Arial" w:cs="Arial"/>
          <w:sz w:val="22"/>
        </w:rPr>
        <w:t>f</w:t>
      </w:r>
      <w:r w:rsidR="005E2DF7" w:rsidRPr="005E2DF7">
        <w:rPr>
          <w:rFonts w:ascii="Arial" w:eastAsia="Calibri" w:hAnsi="Arial" w:cs="Arial"/>
          <w:sz w:val="22"/>
        </w:rPr>
        <w:t>actores de desempate en la contratación estatal: concepto y características</w:t>
      </w:r>
      <w:r w:rsidR="005E2DF7" w:rsidRPr="005E2DF7" w:rsidDel="005E2DF7">
        <w:rPr>
          <w:rFonts w:ascii="Arial" w:eastAsia="Calibri" w:hAnsi="Arial" w:cs="Arial"/>
          <w:sz w:val="22"/>
        </w:rPr>
        <w:t xml:space="preserve"> </w:t>
      </w:r>
      <w:r w:rsidR="00CA648B">
        <w:rPr>
          <w:rFonts w:ascii="Arial" w:eastAsia="Calibri" w:hAnsi="Arial" w:cs="Arial"/>
          <w:sz w:val="22"/>
        </w:rPr>
        <w:t xml:space="preserve">, ii) </w:t>
      </w:r>
      <w:r w:rsidR="005E2DF7">
        <w:rPr>
          <w:rFonts w:ascii="Arial" w:eastAsia="Calibri" w:hAnsi="Arial" w:cs="Arial"/>
          <w:sz w:val="22"/>
        </w:rPr>
        <w:lastRenderedPageBreak/>
        <w:t>v</w:t>
      </w:r>
      <w:r w:rsidR="005E2DF7" w:rsidRPr="005E2DF7">
        <w:rPr>
          <w:rFonts w:ascii="Arial" w:eastAsia="Calibri" w:hAnsi="Arial" w:cs="Arial"/>
          <w:sz w:val="22"/>
        </w:rPr>
        <w:t>igencia y reglamentación de los criterios factores de desempate de la Ley 2069 de 2020</w:t>
      </w:r>
      <w:r w:rsidR="005E2DF7">
        <w:rPr>
          <w:rFonts w:ascii="Arial" w:eastAsia="Calibri" w:hAnsi="Arial" w:cs="Arial"/>
          <w:sz w:val="22"/>
        </w:rPr>
        <w:t>,</w:t>
      </w:r>
      <w:r w:rsidR="005E2DF7" w:rsidRPr="005E2DF7">
        <w:rPr>
          <w:rFonts w:ascii="Arial" w:eastAsia="Calibri" w:hAnsi="Arial" w:cs="Arial"/>
          <w:sz w:val="22"/>
        </w:rPr>
        <w:t xml:space="preserve"> </w:t>
      </w:r>
      <w:r w:rsidR="00E25DCE">
        <w:rPr>
          <w:rFonts w:ascii="Arial" w:eastAsia="Calibri" w:hAnsi="Arial" w:cs="Arial"/>
          <w:color w:val="000000" w:themeColor="text1"/>
          <w:sz w:val="22"/>
          <w:szCs w:val="22"/>
          <w:lang w:val="es-ES_tradnl"/>
        </w:rPr>
        <w:t xml:space="preserve"> iii) </w:t>
      </w:r>
      <w:r w:rsidR="005E2DF7">
        <w:rPr>
          <w:rFonts w:ascii="Arial" w:eastAsia="Calibri" w:hAnsi="Arial" w:cs="Arial"/>
          <w:color w:val="000000" w:themeColor="text1"/>
          <w:sz w:val="22"/>
          <w:szCs w:val="22"/>
          <w:lang w:val="es-ES_tradnl"/>
        </w:rPr>
        <w:t>f</w:t>
      </w:r>
      <w:r w:rsidR="005E2DF7" w:rsidRPr="005E2DF7">
        <w:rPr>
          <w:rFonts w:ascii="Arial" w:eastAsia="Calibri" w:hAnsi="Arial" w:cs="Arial"/>
          <w:color w:val="000000" w:themeColor="text1"/>
          <w:sz w:val="22"/>
          <w:szCs w:val="22"/>
          <w:lang w:val="es-ES_tradnl"/>
        </w:rPr>
        <w:t>orma de acreditación de los factores de desempate consagrados en el artículo 35 de la Ley 2069 de 2020</w:t>
      </w:r>
      <w:r w:rsidR="005E2DF7">
        <w:rPr>
          <w:rFonts w:ascii="Arial" w:eastAsia="Calibri" w:hAnsi="Arial" w:cs="Arial"/>
          <w:color w:val="000000" w:themeColor="text1"/>
          <w:sz w:val="22"/>
          <w:szCs w:val="22"/>
          <w:lang w:val="es-ES_tradnl"/>
        </w:rPr>
        <w:t>, iv) r</w:t>
      </w:r>
      <w:r w:rsidR="005E2DF7" w:rsidRPr="005E2DF7">
        <w:rPr>
          <w:rFonts w:ascii="Arial" w:eastAsia="Calibri" w:hAnsi="Arial" w:cs="Arial"/>
          <w:color w:val="000000" w:themeColor="text1"/>
          <w:sz w:val="22"/>
          <w:szCs w:val="22"/>
          <w:lang w:val="es-ES_tradnl"/>
        </w:rPr>
        <w:t>esolución 161 de 2021 de la Agencia Nacional de Contratación Pública – Colombia Compra Eficiente: Formatos 10 –factores de desempate- y 11 -tratamiento de datos sensibles-</w:t>
      </w:r>
      <w:r w:rsidR="005E2DF7">
        <w:rPr>
          <w:rFonts w:ascii="Arial" w:eastAsia="Calibri" w:hAnsi="Arial" w:cs="Arial"/>
          <w:color w:val="000000" w:themeColor="text1"/>
          <w:sz w:val="22"/>
          <w:szCs w:val="22"/>
          <w:lang w:val="es-ES_tradnl"/>
        </w:rPr>
        <w:t xml:space="preserve"> y v)</w:t>
      </w:r>
      <w:r w:rsidR="00D81D35">
        <w:rPr>
          <w:rFonts w:ascii="Arial" w:eastAsia="Calibri" w:hAnsi="Arial" w:cs="Arial"/>
          <w:color w:val="000000" w:themeColor="text1"/>
          <w:sz w:val="22"/>
          <w:szCs w:val="22"/>
          <w:lang w:val="es-ES_tradnl"/>
        </w:rPr>
        <w:t xml:space="preserve"> a</w:t>
      </w:r>
      <w:r w:rsidR="00D81D35" w:rsidRPr="00D81D35">
        <w:rPr>
          <w:rFonts w:ascii="Arial" w:eastAsia="Calibri" w:hAnsi="Arial" w:cs="Arial"/>
          <w:color w:val="000000" w:themeColor="text1"/>
          <w:sz w:val="22"/>
          <w:szCs w:val="22"/>
          <w:lang w:val="es-ES_tradnl"/>
        </w:rPr>
        <w:t xml:space="preserve">lcance de la regla de </w:t>
      </w:r>
      <w:proofErr w:type="spellStart"/>
      <w:r w:rsidR="00D81D35" w:rsidRPr="00D81D35">
        <w:rPr>
          <w:rFonts w:ascii="Arial" w:eastAsia="Calibri" w:hAnsi="Arial" w:cs="Arial"/>
          <w:color w:val="000000" w:themeColor="text1"/>
          <w:sz w:val="22"/>
          <w:szCs w:val="22"/>
          <w:lang w:val="es-ES_tradnl"/>
        </w:rPr>
        <w:t>subsanabilidad</w:t>
      </w:r>
      <w:proofErr w:type="spellEnd"/>
      <w:r w:rsidR="00D81D35" w:rsidRPr="00D81D35">
        <w:rPr>
          <w:rFonts w:ascii="Arial" w:eastAsia="Calibri" w:hAnsi="Arial" w:cs="Arial"/>
          <w:color w:val="000000" w:themeColor="text1"/>
          <w:sz w:val="22"/>
          <w:szCs w:val="22"/>
          <w:lang w:val="es-ES_tradnl"/>
        </w:rPr>
        <w:t xml:space="preserve"> para acreditar los factores de desempate previstos en la Ley 2069 de 2020</w:t>
      </w:r>
      <w:r w:rsidR="00D81D35">
        <w:rPr>
          <w:rFonts w:ascii="Arial" w:eastAsia="Calibri" w:hAnsi="Arial" w:cs="Arial"/>
          <w:color w:val="000000" w:themeColor="text1"/>
          <w:sz w:val="22"/>
          <w:szCs w:val="22"/>
          <w:lang w:val="es-ES_tradnl"/>
        </w:rPr>
        <w:t>.</w:t>
      </w:r>
      <w:r w:rsidR="00E25DCE">
        <w:rPr>
          <w:rFonts w:ascii="Arial" w:hAnsi="Arial" w:cs="Arial"/>
          <w:sz w:val="22"/>
          <w:szCs w:val="22"/>
          <w:lang w:val="es-ES"/>
        </w:rPr>
        <w:t xml:space="preserve"> </w:t>
      </w:r>
    </w:p>
    <w:p w14:paraId="611A0611" w14:textId="4BC57C81" w:rsidR="0003011E" w:rsidRDefault="0003011E" w:rsidP="0003011E">
      <w:pPr>
        <w:spacing w:line="276" w:lineRule="auto"/>
        <w:ind w:firstLine="708"/>
        <w:jc w:val="both"/>
        <w:rPr>
          <w:rFonts w:ascii="Arial" w:eastAsia="Calibri" w:hAnsi="Arial" w:cs="Arial"/>
          <w:sz w:val="22"/>
          <w:szCs w:val="22"/>
          <w:lang w:val="es-ES_tradnl"/>
        </w:rPr>
      </w:pPr>
      <w:r w:rsidRPr="00B73D58">
        <w:rPr>
          <w:rFonts w:ascii="Arial" w:eastAsia="Calibri" w:hAnsi="Arial" w:cs="Arial"/>
          <w:sz w:val="22"/>
          <w:szCs w:val="22"/>
          <w:lang w:val="es-ES_tradnl"/>
        </w:rPr>
        <w:t>Es importante destacar que la Agencia Nacional de Contratación Pública – Colombia Compra Eficiente se pronunció, en términos generales, sobre los factores de desempate en los procedimientos de contratación estatal, en los conceptos C-285 del 4 de mayo de 2020, C-481 del 27 de julio de 2020, C-514 y C-535 del 26 de agosto de 2020 y C-556 del 31 de agosto de 2020.</w:t>
      </w:r>
      <w:r>
        <w:rPr>
          <w:rFonts w:ascii="Arial" w:eastAsia="Calibri" w:hAnsi="Arial" w:cs="Arial"/>
          <w:sz w:val="22"/>
          <w:szCs w:val="22"/>
          <w:lang w:val="es-ES_tradnl"/>
        </w:rPr>
        <w:t xml:space="preserve"> De igual manera, Colombia Compra Eficiente estudió, en los conceptos C-006 del 5 de febrero de 2021, C-043 del 9 de febrero de 2021, C-044 del 2 de marzo de 2021, C-056 del 8 de marzo de 2021, C-069 del 12 de marzo de 2021, </w:t>
      </w:r>
      <w:r w:rsidRPr="00B31451">
        <w:rPr>
          <w:rFonts w:ascii="Arial" w:eastAsia="Calibri" w:hAnsi="Arial" w:cs="Arial"/>
          <w:sz w:val="22"/>
          <w:szCs w:val="22"/>
          <w:lang w:val="es-ES_tradnl"/>
        </w:rPr>
        <w:t>C-101 del 24 de marzo de 202, C-102 del 25 de marzo de 2021, C-136, C-138 y C-139 del 7 de abril de 2021, C-141 del 08 de abril de 2021, C-162 y C-165 de 13 de abril de 2021, C-164 del 19 de abril de 2021, C-166 del 23 de abril de 2021</w:t>
      </w:r>
      <w:r>
        <w:rPr>
          <w:rFonts w:ascii="Arial" w:eastAsia="Calibri" w:hAnsi="Arial" w:cs="Arial"/>
          <w:sz w:val="22"/>
          <w:szCs w:val="22"/>
          <w:lang w:val="es-ES_tradnl"/>
        </w:rPr>
        <w:t>,</w:t>
      </w:r>
      <w:r w:rsidRPr="00B31451">
        <w:rPr>
          <w:rFonts w:ascii="Arial" w:eastAsia="Calibri" w:hAnsi="Arial" w:cs="Arial"/>
          <w:sz w:val="22"/>
          <w:szCs w:val="22"/>
          <w:lang w:val="es-ES_tradnl"/>
        </w:rPr>
        <w:t xml:space="preserve"> C-191 del 26 de abril de 2021</w:t>
      </w:r>
      <w:r>
        <w:rPr>
          <w:rFonts w:ascii="Arial" w:eastAsia="Calibri" w:hAnsi="Arial" w:cs="Arial"/>
          <w:sz w:val="22"/>
          <w:szCs w:val="22"/>
          <w:lang w:val="es-ES_tradnl"/>
        </w:rPr>
        <w:t xml:space="preserve"> y C-209 del 10 de mayo de 2021, s</w:t>
      </w:r>
      <w:r w:rsidRPr="00B31451">
        <w:rPr>
          <w:rFonts w:ascii="Arial" w:eastAsia="Calibri" w:hAnsi="Arial" w:cs="Arial"/>
          <w:sz w:val="22"/>
          <w:szCs w:val="22"/>
          <w:lang w:val="es-ES_tradnl"/>
        </w:rPr>
        <w:t>e analizaron algunos aspectos sobre la aplicación de los factores de desempate introducidos por la Ley 2069 de 2020.</w:t>
      </w:r>
      <w:r>
        <w:rPr>
          <w:rFonts w:ascii="Arial" w:eastAsia="Calibri" w:hAnsi="Arial" w:cs="Arial"/>
          <w:sz w:val="22"/>
          <w:szCs w:val="22"/>
          <w:lang w:val="es-ES_tradnl"/>
        </w:rPr>
        <w:t xml:space="preserve"> Finalmente, </w:t>
      </w:r>
      <w:r w:rsidRPr="00DD054E">
        <w:rPr>
          <w:rFonts w:ascii="Arial" w:eastAsia="Calibri" w:hAnsi="Arial" w:cs="Arial"/>
          <w:sz w:val="22"/>
          <w:szCs w:val="22"/>
          <w:lang w:val="es-ES_tradnl"/>
        </w:rPr>
        <w:t>en los conceptos 4201912000005659 del 21 de agosto de 2019, CU–060 del 24 de febrero de 2020, C-218 del 02 de abril de 2020, C-675 del 25 de noviembre de 2020, C-730 del 14 de diciembre de 2020</w:t>
      </w:r>
      <w:r>
        <w:rPr>
          <w:rFonts w:ascii="Arial" w:eastAsia="Calibri" w:hAnsi="Arial" w:cs="Arial"/>
          <w:sz w:val="22"/>
          <w:szCs w:val="22"/>
          <w:lang w:val="es-ES_tradnl"/>
        </w:rPr>
        <w:t xml:space="preserve">, </w:t>
      </w:r>
      <w:r w:rsidRPr="00DD054E">
        <w:rPr>
          <w:rFonts w:ascii="Arial" w:eastAsia="Calibri" w:hAnsi="Arial" w:cs="Arial"/>
          <w:sz w:val="22"/>
          <w:szCs w:val="22"/>
          <w:lang w:val="es-ES_tradnl"/>
        </w:rPr>
        <w:t>C-779 del 18 de enero de 2021</w:t>
      </w:r>
      <w:r>
        <w:rPr>
          <w:rFonts w:ascii="Arial" w:eastAsia="Calibri" w:hAnsi="Arial" w:cs="Arial"/>
          <w:sz w:val="22"/>
          <w:szCs w:val="22"/>
          <w:lang w:val="es-ES_tradnl"/>
        </w:rPr>
        <w:t xml:space="preserve"> y C-010 del 16 de febrero de 2021 y C-207 de 10 de mayo de 2021, la Agencia se pronunció sobre </w:t>
      </w:r>
      <w:r w:rsidRPr="00DC2C79">
        <w:rPr>
          <w:rFonts w:ascii="Arial" w:eastAsia="Calibri" w:hAnsi="Arial" w:cs="Arial"/>
          <w:color w:val="000000" w:themeColor="text1"/>
          <w:sz w:val="22"/>
          <w:lang w:val="es-ES_tradnl"/>
        </w:rPr>
        <w:t xml:space="preserve">el alcance de la regla de la </w:t>
      </w:r>
      <w:proofErr w:type="spellStart"/>
      <w:r w:rsidRPr="00DC2C79">
        <w:rPr>
          <w:rFonts w:ascii="Arial" w:eastAsia="Calibri" w:hAnsi="Arial" w:cs="Arial"/>
          <w:color w:val="000000" w:themeColor="text1"/>
          <w:sz w:val="22"/>
          <w:lang w:val="es-ES_tradnl"/>
        </w:rPr>
        <w:t>subsanabilidad</w:t>
      </w:r>
      <w:proofErr w:type="spellEnd"/>
      <w:r w:rsidRPr="00DC2C79">
        <w:rPr>
          <w:rFonts w:ascii="Arial" w:eastAsia="Calibri" w:hAnsi="Arial" w:cs="Arial"/>
          <w:color w:val="000000" w:themeColor="text1"/>
          <w:sz w:val="22"/>
          <w:lang w:val="es-ES_tradnl"/>
        </w:rPr>
        <w:t xml:space="preserve"> de las ofertas en los procedimientos de selección</w:t>
      </w:r>
      <w:r>
        <w:rPr>
          <w:rFonts w:ascii="Arial" w:eastAsia="Calibri" w:hAnsi="Arial" w:cs="Arial"/>
          <w:color w:val="000000" w:themeColor="text1"/>
          <w:sz w:val="22"/>
          <w:lang w:val="es-ES_tradnl"/>
        </w:rPr>
        <w:t>. Algunas de las consideraciones de estos conceptos se reiteran a continuación.</w:t>
      </w:r>
    </w:p>
    <w:p w14:paraId="7706EF7B" w14:textId="77777777" w:rsidR="008F1F27" w:rsidRPr="00924DEF" w:rsidRDefault="008F1F27" w:rsidP="008F1F27">
      <w:pPr>
        <w:spacing w:line="276" w:lineRule="auto"/>
        <w:ind w:firstLine="708"/>
        <w:jc w:val="both"/>
        <w:rPr>
          <w:rFonts w:ascii="Arial" w:hAnsi="Arial" w:cs="Arial"/>
          <w:sz w:val="22"/>
          <w:szCs w:val="22"/>
          <w:lang w:val="es-MX"/>
        </w:rPr>
      </w:pPr>
    </w:p>
    <w:p w14:paraId="06690DE9" w14:textId="73F37BEF" w:rsidR="00435999" w:rsidRPr="00DD054E" w:rsidRDefault="00435999" w:rsidP="00435999">
      <w:pPr>
        <w:spacing w:line="276" w:lineRule="auto"/>
        <w:jc w:val="both"/>
        <w:rPr>
          <w:rFonts w:ascii="Arial" w:eastAsia="Calibri" w:hAnsi="Arial" w:cs="Arial"/>
          <w:sz w:val="22"/>
          <w:szCs w:val="22"/>
          <w:lang w:val="es-ES_tradnl"/>
        </w:rPr>
      </w:pPr>
      <w:bookmarkStart w:id="0" w:name="_Hlk66196033"/>
      <w:r w:rsidRPr="00DD054E">
        <w:rPr>
          <w:rFonts w:ascii="Arial" w:eastAsia="Calibri" w:hAnsi="Arial" w:cs="Arial"/>
          <w:b/>
          <w:bCs/>
          <w:sz w:val="22"/>
          <w:szCs w:val="22"/>
          <w:lang w:val="es-ES_tradnl"/>
        </w:rPr>
        <w:t>2.</w:t>
      </w:r>
      <w:r w:rsidR="000D6091">
        <w:rPr>
          <w:rFonts w:ascii="Arial" w:eastAsia="Calibri" w:hAnsi="Arial" w:cs="Arial"/>
          <w:b/>
          <w:bCs/>
          <w:sz w:val="22"/>
          <w:szCs w:val="22"/>
          <w:lang w:val="es-ES_tradnl"/>
        </w:rPr>
        <w:t>1</w:t>
      </w:r>
      <w:r w:rsidRPr="00DD054E">
        <w:rPr>
          <w:rFonts w:ascii="Arial" w:eastAsia="Calibri" w:hAnsi="Arial" w:cs="Arial"/>
          <w:b/>
          <w:bCs/>
          <w:sz w:val="22"/>
          <w:szCs w:val="22"/>
          <w:lang w:val="es-ES_tradnl"/>
        </w:rPr>
        <w:t>. Factores de desempate en la contratación estatal: concepto y características</w:t>
      </w:r>
    </w:p>
    <w:p w14:paraId="0747534D" w14:textId="77777777" w:rsidR="00435999" w:rsidRPr="00DD054E" w:rsidRDefault="00435999" w:rsidP="00435999">
      <w:pPr>
        <w:spacing w:line="276" w:lineRule="auto"/>
        <w:jc w:val="both"/>
        <w:rPr>
          <w:rFonts w:ascii="Arial" w:eastAsia="Calibri" w:hAnsi="Arial" w:cs="Arial"/>
          <w:sz w:val="22"/>
          <w:szCs w:val="22"/>
          <w:lang w:val="es-ES_tradnl"/>
        </w:rPr>
      </w:pPr>
    </w:p>
    <w:p w14:paraId="56537887" w14:textId="6F31FBD1" w:rsidR="00435999" w:rsidRPr="005419DA" w:rsidRDefault="00435999" w:rsidP="00435999">
      <w:pPr>
        <w:spacing w:line="276" w:lineRule="auto"/>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5419DA">
        <w:rPr>
          <w:rFonts w:ascii="Arial" w:eastAsia="Calibri" w:hAnsi="Arial" w:cs="Arial"/>
          <w:color w:val="000000" w:themeColor="text1"/>
          <w:sz w:val="22"/>
          <w:szCs w:val="22"/>
          <w:lang w:val="es-ES_tradnl"/>
        </w:rPr>
        <w:t>equivalentes,</w:t>
      </w:r>
      <w:proofErr w:type="gramEnd"/>
      <w:r w:rsidRPr="005419DA">
        <w:rPr>
          <w:rFonts w:ascii="Arial" w:eastAsia="Calibri" w:hAnsi="Arial" w:cs="Arial"/>
          <w:color w:val="000000" w:themeColor="text1"/>
          <w:sz w:val="22"/>
          <w:szCs w:val="22"/>
          <w:lang w:val="es-ES_tradnl"/>
        </w:rPr>
        <w:t xml:space="preserve"> tendrán en cuenta criterios como la experiencia y la capacidad jurídica, financiera y de organización, entre otros elementos que garanticen la escogencia de la mejor opción de negocio para la entidad estatal.</w:t>
      </w:r>
    </w:p>
    <w:p w14:paraId="5B43BECA" w14:textId="77777777" w:rsidR="00435999" w:rsidRPr="005419DA" w:rsidRDefault="00435999" w:rsidP="00435999">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lastRenderedPageBreak/>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50FB2CDD" w14:textId="77777777" w:rsidR="00435999" w:rsidRPr="005419DA" w:rsidRDefault="00435999" w:rsidP="00435999">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Sin embargo</w:t>
      </w:r>
      <w:r w:rsidRPr="005419DA">
        <w:rPr>
          <w:rFonts w:ascii="Arial" w:eastAsia="Calibri" w:hAnsi="Arial" w:cs="Arial"/>
          <w:color w:val="000000" w:themeColor="text1"/>
          <w:sz w:val="22"/>
          <w:szCs w:val="22"/>
          <w:lang w:val="es-ES_tradnl"/>
        </w:rPr>
        <w:t>,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w:t>
      </w:r>
      <w:r>
        <w:rPr>
          <w:rFonts w:ascii="Arial" w:eastAsia="Calibri" w:hAnsi="Arial" w:cs="Arial"/>
          <w:color w:val="000000" w:themeColor="text1"/>
          <w:sz w:val="22"/>
          <w:szCs w:val="22"/>
          <w:lang w:val="es-ES_tradnl"/>
        </w:rPr>
        <w:t>, entre las que se cuenta,</w:t>
      </w:r>
      <w:r w:rsidRPr="005419DA">
        <w:rPr>
          <w:rFonts w:ascii="Arial" w:eastAsia="Calibri" w:hAnsi="Arial" w:cs="Arial"/>
          <w:color w:val="000000" w:themeColor="text1"/>
          <w:sz w:val="22"/>
          <w:szCs w:val="22"/>
          <w:lang w:val="es-ES_tradnl"/>
        </w:rPr>
        <w:t xml:space="preserve"> el artículo 35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de 2020. La </w:t>
      </w:r>
      <w:r>
        <w:rPr>
          <w:rFonts w:ascii="Arial" w:eastAsia="Calibri" w:hAnsi="Arial" w:cs="Arial"/>
          <w:color w:val="000000" w:themeColor="text1"/>
          <w:sz w:val="22"/>
          <w:szCs w:val="22"/>
          <w:lang w:val="es-ES_tradnl"/>
        </w:rPr>
        <w:t>jurisprudencia</w:t>
      </w:r>
      <w:r w:rsidRPr="005419DA">
        <w:rPr>
          <w:rFonts w:ascii="Arial" w:eastAsia="Calibri" w:hAnsi="Arial" w:cs="Arial"/>
          <w:color w:val="000000" w:themeColor="text1"/>
          <w:sz w:val="22"/>
          <w:szCs w:val="22"/>
          <w:lang w:val="es-ES_tradnl"/>
        </w:rPr>
        <w:t xml:space="preserve"> comparte la idea de que los criterios de desempate deben estar establecidos de antemano y constituyen un límite a la discrecionalidad administrativa en los procedimientos de selección</w:t>
      </w:r>
      <w:r w:rsidRPr="005419DA">
        <w:rPr>
          <w:rStyle w:val="Refdenotaalpie"/>
          <w:rFonts w:ascii="Arial" w:hAnsi="Arial" w:cs="Arial"/>
          <w:sz w:val="21"/>
          <w:szCs w:val="21"/>
          <w:lang w:val="es-ES_tradnl"/>
        </w:rPr>
        <w:footnoteReference w:id="1"/>
      </w:r>
      <w:r w:rsidRPr="005419DA">
        <w:rPr>
          <w:rFonts w:ascii="Arial" w:eastAsia="Calibri" w:hAnsi="Arial" w:cs="Arial"/>
          <w:color w:val="000000" w:themeColor="text1"/>
          <w:sz w:val="22"/>
          <w:szCs w:val="22"/>
          <w:lang w:val="es-ES_tradnl"/>
        </w:rPr>
        <w:t xml:space="preserve">. </w:t>
      </w:r>
    </w:p>
    <w:p w14:paraId="4EF50030" w14:textId="77777777" w:rsidR="00435999" w:rsidRPr="005419DA" w:rsidRDefault="00435999" w:rsidP="00435999">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En tal sentido, la Corte Constitucional explica que cuando la ley establece factores de desempate obligatorios, las entidades estatales no pueden </w:t>
      </w:r>
      <w:proofErr w:type="spellStart"/>
      <w:r w:rsidRPr="005419DA">
        <w:rPr>
          <w:rFonts w:ascii="Arial" w:eastAsia="Calibri" w:hAnsi="Arial" w:cs="Arial"/>
          <w:color w:val="000000" w:themeColor="text1"/>
          <w:sz w:val="22"/>
          <w:szCs w:val="22"/>
          <w:lang w:val="es-ES_tradnl"/>
        </w:rPr>
        <w:t>inaplicarlos</w:t>
      </w:r>
      <w:proofErr w:type="spellEnd"/>
      <w:r w:rsidRPr="005419DA">
        <w:rPr>
          <w:rFonts w:ascii="Arial" w:eastAsia="Calibri" w:hAnsi="Arial" w:cs="Arial"/>
          <w:color w:val="000000" w:themeColor="text1"/>
          <w:sz w:val="22"/>
          <w:szCs w:val="22"/>
          <w:lang w:val="es-ES_tradnl"/>
        </w:rPr>
        <w:t>, porque ello podría vulnerar el principio de igualdad, especialmente, cuando algunos de estos criterios surgen como acciones afirmativas para ciertos sectores de la población</w:t>
      </w:r>
      <w:r w:rsidRPr="005419DA">
        <w:rPr>
          <w:rStyle w:val="Refdenotaalpie"/>
          <w:rFonts w:ascii="Arial" w:eastAsia="Calibri" w:hAnsi="Arial" w:cs="Arial"/>
          <w:color w:val="000000" w:themeColor="text1"/>
          <w:sz w:val="22"/>
          <w:szCs w:val="22"/>
          <w:lang w:val="es-ES_tradnl"/>
        </w:rPr>
        <w:footnoteReference w:id="2"/>
      </w:r>
      <w:r w:rsidRPr="005419DA">
        <w:rPr>
          <w:rFonts w:ascii="Arial" w:eastAsia="Calibri" w:hAnsi="Arial" w:cs="Arial"/>
          <w:color w:val="000000" w:themeColor="text1"/>
          <w:sz w:val="22"/>
          <w:szCs w:val="22"/>
          <w:lang w:val="es-ES_tradnl"/>
        </w:rPr>
        <w:t xml:space="preserve">. </w:t>
      </w:r>
      <w:r>
        <w:rPr>
          <w:rFonts w:ascii="Arial" w:eastAsia="Calibri" w:hAnsi="Arial" w:cs="Arial"/>
          <w:color w:val="000000" w:themeColor="text1"/>
          <w:sz w:val="22"/>
          <w:szCs w:val="22"/>
          <w:lang w:val="es-ES_tradnl"/>
        </w:rPr>
        <w:t>M</w:t>
      </w:r>
      <w:r w:rsidRPr="005419DA">
        <w:rPr>
          <w:rFonts w:ascii="Arial" w:eastAsia="Calibri" w:hAnsi="Arial" w:cs="Arial"/>
          <w:color w:val="000000" w:themeColor="text1"/>
          <w:sz w:val="22"/>
          <w:szCs w:val="22"/>
          <w:lang w:val="es-ES_tradnl"/>
        </w:rPr>
        <w:t>ás</w:t>
      </w:r>
      <w:r>
        <w:rPr>
          <w:rFonts w:ascii="Arial" w:eastAsia="Calibri" w:hAnsi="Arial" w:cs="Arial"/>
          <w:color w:val="000000" w:themeColor="text1"/>
          <w:sz w:val="22"/>
          <w:szCs w:val="22"/>
          <w:lang w:val="es-ES_tradnl"/>
        </w:rPr>
        <w:t xml:space="preserve"> aún</w:t>
      </w:r>
      <w:r w:rsidRPr="005419DA">
        <w:rPr>
          <w:rFonts w:ascii="Arial" w:eastAsia="Calibri" w:hAnsi="Arial" w:cs="Arial"/>
          <w:color w:val="000000" w:themeColor="text1"/>
          <w:sz w:val="22"/>
          <w:szCs w:val="22"/>
          <w:lang w:val="es-ES_tradnl"/>
        </w:rPr>
        <w:t>, el Consejo de Estado</w:t>
      </w:r>
      <w:r>
        <w:rPr>
          <w:rFonts w:ascii="Arial" w:eastAsia="Calibri" w:hAnsi="Arial" w:cs="Arial"/>
          <w:color w:val="000000" w:themeColor="text1"/>
          <w:sz w:val="22"/>
          <w:szCs w:val="22"/>
          <w:lang w:val="es-ES_tradnl"/>
        </w:rPr>
        <w:t xml:space="preserve"> ha señalado que contrariar</w:t>
      </w:r>
      <w:r w:rsidRPr="005419DA">
        <w:rPr>
          <w:rFonts w:ascii="Arial" w:eastAsia="Calibri" w:hAnsi="Arial" w:cs="Arial"/>
          <w:color w:val="000000" w:themeColor="text1"/>
          <w:sz w:val="22"/>
          <w:szCs w:val="22"/>
          <w:lang w:val="es-ES_tradnl"/>
        </w:rPr>
        <w:t xml:space="preserve"> los factores de desempate genera la nulidad del contrato, conforme al artículo 44, inciso 1º de la Ley 80 de 1993</w:t>
      </w:r>
      <w:r w:rsidRPr="005419DA">
        <w:rPr>
          <w:rStyle w:val="Refdenotaalpie"/>
          <w:rFonts w:ascii="Arial" w:eastAsia="Calibri" w:hAnsi="Arial" w:cs="Arial"/>
          <w:color w:val="000000" w:themeColor="text1"/>
          <w:sz w:val="22"/>
          <w:szCs w:val="22"/>
          <w:lang w:val="es-ES_tradnl"/>
        </w:rPr>
        <w:footnoteReference w:id="3"/>
      </w:r>
      <w:r w:rsidRPr="005419DA">
        <w:rPr>
          <w:rFonts w:ascii="Arial" w:eastAsia="Calibri" w:hAnsi="Arial" w:cs="Arial"/>
          <w:color w:val="000000" w:themeColor="text1"/>
          <w:sz w:val="22"/>
          <w:szCs w:val="22"/>
          <w:lang w:val="es-ES_tradnl"/>
        </w:rPr>
        <w:t>.</w:t>
      </w:r>
    </w:p>
    <w:p w14:paraId="28150C7A" w14:textId="080827E5" w:rsidR="00435999" w:rsidRDefault="00435999" w:rsidP="00435999">
      <w:pPr>
        <w:spacing w:before="120" w:line="276" w:lineRule="auto"/>
        <w:ind w:firstLine="709"/>
        <w:jc w:val="both"/>
        <w:rPr>
          <w:rFonts w:ascii="Arial" w:eastAsia="Calibri" w:hAnsi="Arial" w:cs="Arial"/>
          <w:sz w:val="22"/>
          <w:szCs w:val="22"/>
          <w:lang w:val="es-ES_tradnl"/>
        </w:rPr>
      </w:pPr>
      <w:r w:rsidRPr="005419DA">
        <w:rPr>
          <w:rFonts w:ascii="Arial" w:eastAsia="Calibri" w:hAnsi="Arial" w:cs="Arial"/>
          <w:color w:val="000000" w:themeColor="text1"/>
          <w:sz w:val="22"/>
          <w:szCs w:val="22"/>
          <w:lang w:val="es-ES_tradnl"/>
        </w:rPr>
        <w:lastRenderedPageBreak/>
        <w:t xml:space="preserve">Ahora bien, en cumplimiento de los principios de reciprocidad y de </w:t>
      </w:r>
      <w:r w:rsidRPr="005419DA">
        <w:rPr>
          <w:rFonts w:ascii="Arial" w:eastAsia="Calibri" w:hAnsi="Arial" w:cs="Arial"/>
          <w:i/>
          <w:iCs/>
          <w:color w:val="000000" w:themeColor="text1"/>
          <w:sz w:val="22"/>
          <w:szCs w:val="22"/>
          <w:lang w:val="es-ES_tradnl"/>
        </w:rPr>
        <w:t xml:space="preserve">pacta </w:t>
      </w:r>
      <w:proofErr w:type="spellStart"/>
      <w:r w:rsidRPr="005419DA">
        <w:rPr>
          <w:rFonts w:ascii="Arial" w:eastAsia="Calibri" w:hAnsi="Arial" w:cs="Arial"/>
          <w:i/>
          <w:iCs/>
          <w:color w:val="000000" w:themeColor="text1"/>
          <w:sz w:val="22"/>
          <w:szCs w:val="22"/>
          <w:lang w:val="es-ES_tradnl"/>
        </w:rPr>
        <w:t>sunt</w:t>
      </w:r>
      <w:proofErr w:type="spellEnd"/>
      <w:r w:rsidRPr="005419DA">
        <w:rPr>
          <w:rFonts w:ascii="Arial" w:eastAsia="Calibri" w:hAnsi="Arial" w:cs="Arial"/>
          <w:i/>
          <w:iCs/>
          <w:color w:val="000000" w:themeColor="text1"/>
          <w:sz w:val="22"/>
          <w:szCs w:val="22"/>
          <w:lang w:val="es-ES_tradnl"/>
        </w:rPr>
        <w:t xml:space="preserve"> </w:t>
      </w:r>
      <w:proofErr w:type="spellStart"/>
      <w:r w:rsidRPr="005419DA">
        <w:rPr>
          <w:rFonts w:ascii="Arial" w:eastAsia="Calibri" w:hAnsi="Arial" w:cs="Arial"/>
          <w:i/>
          <w:iCs/>
          <w:color w:val="000000" w:themeColor="text1"/>
          <w:sz w:val="22"/>
          <w:szCs w:val="22"/>
          <w:lang w:val="es-ES_tradnl"/>
        </w:rPr>
        <w:t>servanda</w:t>
      </w:r>
      <w:proofErr w:type="spellEnd"/>
      <w:r w:rsidRPr="005419DA">
        <w:rPr>
          <w:rFonts w:ascii="Arial" w:eastAsia="Calibri" w:hAnsi="Arial" w:cs="Arial"/>
          <w:color w:val="000000" w:themeColor="text1"/>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r w:rsidRPr="00DD054E">
        <w:rPr>
          <w:rFonts w:ascii="Arial" w:eastAsia="Calibri" w:hAnsi="Arial" w:cs="Arial"/>
          <w:sz w:val="22"/>
          <w:szCs w:val="22"/>
          <w:lang w:val="es-ES_tradnl"/>
        </w:rPr>
        <w:t xml:space="preserve"> </w:t>
      </w:r>
    </w:p>
    <w:p w14:paraId="3BEF4180" w14:textId="77777777" w:rsidR="000D6091" w:rsidRDefault="000D6091" w:rsidP="0003011E">
      <w:pPr>
        <w:spacing w:before="120"/>
        <w:ind w:firstLine="709"/>
        <w:jc w:val="both"/>
        <w:rPr>
          <w:rFonts w:ascii="Arial" w:eastAsia="Calibri" w:hAnsi="Arial" w:cs="Arial"/>
          <w:sz w:val="22"/>
          <w:szCs w:val="22"/>
          <w:lang w:val="es-ES_tradnl"/>
        </w:rPr>
      </w:pPr>
    </w:p>
    <w:p w14:paraId="174A4999" w14:textId="2AFE0BF9" w:rsidR="000D6091" w:rsidRPr="003362CD" w:rsidRDefault="000D6091" w:rsidP="000D6091">
      <w:pPr>
        <w:spacing w:line="276" w:lineRule="auto"/>
        <w:jc w:val="both"/>
        <w:rPr>
          <w:rFonts w:ascii="Arial" w:eastAsia="Calibri" w:hAnsi="Arial" w:cs="Arial"/>
          <w:b/>
          <w:bCs/>
          <w:sz w:val="22"/>
          <w:szCs w:val="22"/>
          <w:lang w:val="es-ES_tradnl"/>
        </w:rPr>
      </w:pPr>
      <w:r w:rsidRPr="003362CD">
        <w:rPr>
          <w:rFonts w:ascii="Arial" w:eastAsia="Calibri" w:hAnsi="Arial" w:cs="Arial"/>
          <w:b/>
          <w:bCs/>
          <w:sz w:val="22"/>
          <w:szCs w:val="22"/>
          <w:lang w:val="es-ES_tradnl"/>
        </w:rPr>
        <w:t>2.</w:t>
      </w:r>
      <w:r w:rsidR="0000748D">
        <w:rPr>
          <w:rFonts w:ascii="Arial" w:eastAsia="Calibri" w:hAnsi="Arial" w:cs="Arial"/>
          <w:b/>
          <w:bCs/>
          <w:sz w:val="22"/>
          <w:szCs w:val="22"/>
          <w:lang w:val="es-ES_tradnl"/>
        </w:rPr>
        <w:t>2</w:t>
      </w:r>
      <w:r w:rsidRPr="003362CD">
        <w:rPr>
          <w:rFonts w:ascii="Arial" w:eastAsia="Calibri" w:hAnsi="Arial" w:cs="Arial"/>
          <w:b/>
          <w:bCs/>
          <w:sz w:val="22"/>
          <w:szCs w:val="22"/>
          <w:lang w:val="es-ES_tradnl"/>
        </w:rPr>
        <w:t xml:space="preserve">. </w:t>
      </w:r>
      <w:bookmarkStart w:id="1" w:name="_Hlk94018153"/>
      <w:r w:rsidRPr="003362CD">
        <w:rPr>
          <w:rFonts w:ascii="Arial" w:eastAsia="Calibri" w:hAnsi="Arial" w:cs="Arial"/>
          <w:b/>
          <w:bCs/>
          <w:sz w:val="22"/>
          <w:szCs w:val="22"/>
          <w:lang w:val="es-ES_tradnl"/>
        </w:rPr>
        <w:t xml:space="preserve">Vigencia y reglamentación de los criterios </w:t>
      </w:r>
      <w:r>
        <w:rPr>
          <w:rFonts w:ascii="Arial" w:eastAsia="Calibri" w:hAnsi="Arial" w:cs="Arial"/>
          <w:b/>
          <w:bCs/>
          <w:sz w:val="22"/>
          <w:szCs w:val="22"/>
          <w:lang w:val="es-ES_tradnl"/>
        </w:rPr>
        <w:t>factores de desempate de</w:t>
      </w:r>
      <w:r w:rsidRPr="003362CD">
        <w:rPr>
          <w:rFonts w:ascii="Arial" w:eastAsia="Calibri" w:hAnsi="Arial" w:cs="Arial"/>
          <w:b/>
          <w:bCs/>
          <w:sz w:val="22"/>
          <w:szCs w:val="22"/>
          <w:lang w:val="es-ES_tradnl"/>
        </w:rPr>
        <w:t xml:space="preserve"> la Ley 2069 de 2020 </w:t>
      </w:r>
      <w:bookmarkEnd w:id="1"/>
    </w:p>
    <w:p w14:paraId="17F63712" w14:textId="77777777" w:rsidR="000D6091" w:rsidRPr="003362CD" w:rsidRDefault="000D6091" w:rsidP="000D6091">
      <w:pPr>
        <w:spacing w:line="276" w:lineRule="auto"/>
        <w:jc w:val="both"/>
        <w:rPr>
          <w:rFonts w:ascii="Arial" w:eastAsia="Calibri" w:hAnsi="Arial" w:cs="Arial"/>
          <w:sz w:val="22"/>
          <w:szCs w:val="22"/>
          <w:lang w:val="es-ES_tradnl"/>
        </w:rPr>
      </w:pPr>
    </w:p>
    <w:p w14:paraId="5BAB61C3" w14:textId="77777777" w:rsidR="000D6091" w:rsidRPr="003362CD" w:rsidRDefault="000D6091" w:rsidP="000D6091">
      <w:pPr>
        <w:spacing w:line="276" w:lineRule="auto"/>
        <w:jc w:val="both"/>
        <w:rPr>
          <w:rFonts w:ascii="Arial" w:eastAsia="Calibri" w:hAnsi="Arial" w:cs="Arial"/>
          <w:sz w:val="22"/>
          <w:szCs w:val="22"/>
          <w:lang w:val="es-ES_tradnl"/>
        </w:rPr>
      </w:pPr>
      <w:r w:rsidRPr="003362CD">
        <w:rPr>
          <w:rFonts w:ascii="Arial" w:eastAsia="Calibri" w:hAnsi="Arial" w:cs="Arial"/>
          <w:sz w:val="22"/>
          <w:szCs w:val="22"/>
          <w:lang w:val="es-ES_tradnl"/>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w:t>
      </w:r>
      <w:r>
        <w:rPr>
          <w:rFonts w:ascii="Arial" w:eastAsia="Calibri" w:hAnsi="Arial" w:cs="Arial"/>
          <w:sz w:val="22"/>
          <w:szCs w:val="22"/>
          <w:lang w:val="es-ES_tradnl"/>
        </w:rPr>
        <w:t>los</w:t>
      </w:r>
      <w:r w:rsidRPr="003362CD">
        <w:rPr>
          <w:rFonts w:ascii="Arial" w:eastAsia="Calibri" w:hAnsi="Arial" w:cs="Arial"/>
          <w:sz w:val="22"/>
          <w:szCs w:val="22"/>
          <w:lang w:val="es-ES_tradnl"/>
        </w:rPr>
        <w:t xml:space="preserve"> decreto</w:t>
      </w:r>
      <w:r>
        <w:rPr>
          <w:rFonts w:ascii="Arial" w:eastAsia="Calibri" w:hAnsi="Arial" w:cs="Arial"/>
          <w:sz w:val="22"/>
          <w:szCs w:val="22"/>
          <w:lang w:val="es-ES_tradnl"/>
        </w:rPr>
        <w:t>s</w:t>
      </w:r>
      <w:r w:rsidRPr="003362CD">
        <w:rPr>
          <w:rFonts w:ascii="Arial" w:eastAsia="Calibri" w:hAnsi="Arial" w:cs="Arial"/>
          <w:sz w:val="22"/>
          <w:szCs w:val="22"/>
          <w:lang w:val="es-ES_tradnl"/>
        </w:rPr>
        <w:t xml:space="preserve"> correspondiente</w:t>
      </w:r>
      <w:r>
        <w:rPr>
          <w:rFonts w:ascii="Arial" w:eastAsia="Calibri" w:hAnsi="Arial" w:cs="Arial"/>
          <w:sz w:val="22"/>
          <w:szCs w:val="22"/>
          <w:lang w:val="es-ES_tradnl"/>
        </w:rPr>
        <w:t>s</w:t>
      </w:r>
      <w:r w:rsidRPr="003362CD">
        <w:rPr>
          <w:rFonts w:ascii="Arial" w:eastAsia="Calibri" w:hAnsi="Arial" w:cs="Arial"/>
          <w:sz w:val="22"/>
          <w:szCs w:val="22"/>
          <w:lang w:val="es-ES_tradnl"/>
        </w:rPr>
        <w:t xml:space="preserve"> que permita</w:t>
      </w:r>
      <w:r>
        <w:rPr>
          <w:rFonts w:ascii="Arial" w:eastAsia="Calibri" w:hAnsi="Arial" w:cs="Arial"/>
          <w:sz w:val="22"/>
          <w:szCs w:val="22"/>
          <w:lang w:val="es-ES_tradnl"/>
        </w:rPr>
        <w:t>n</w:t>
      </w:r>
      <w:r w:rsidRPr="003362CD">
        <w:rPr>
          <w:rFonts w:ascii="Arial" w:eastAsia="Calibri" w:hAnsi="Arial" w:cs="Arial"/>
          <w:sz w:val="22"/>
          <w:szCs w:val="22"/>
          <w:lang w:val="es-ES_tradnl"/>
        </w:rPr>
        <w:t xml:space="preserve"> la cumplida ejecución de esta Ley.</w:t>
      </w:r>
    </w:p>
    <w:p w14:paraId="58D266D5" w14:textId="77777777" w:rsidR="000D6091" w:rsidRPr="003362CD" w:rsidRDefault="000D6091" w:rsidP="000D6091">
      <w:pPr>
        <w:spacing w:before="120" w:line="276" w:lineRule="auto"/>
        <w:ind w:firstLine="709"/>
        <w:jc w:val="both"/>
        <w:rPr>
          <w:rFonts w:ascii="Arial" w:eastAsia="Calibri" w:hAnsi="Arial" w:cs="Arial"/>
          <w:sz w:val="22"/>
          <w:szCs w:val="22"/>
          <w:lang w:val="es-ES_tradnl"/>
        </w:rPr>
      </w:pPr>
      <w:r w:rsidRPr="003362CD">
        <w:rPr>
          <w:rFonts w:ascii="Arial" w:eastAsia="Calibri" w:hAnsi="Arial" w:cs="Arial"/>
          <w:sz w:val="22"/>
          <w:szCs w:val="22"/>
          <w:lang w:val="es-ES_tradnl"/>
        </w:rPr>
        <w:t>En cuan</w:t>
      </w:r>
      <w:r>
        <w:rPr>
          <w:rFonts w:ascii="Arial" w:eastAsia="Calibri" w:hAnsi="Arial" w:cs="Arial"/>
          <w:sz w:val="22"/>
          <w:szCs w:val="22"/>
          <w:lang w:val="es-ES_tradnl"/>
        </w:rPr>
        <w:t>t</w:t>
      </w:r>
      <w:r w:rsidRPr="003362CD">
        <w:rPr>
          <w:rFonts w:ascii="Arial" w:eastAsia="Calibri" w:hAnsi="Arial" w:cs="Arial"/>
          <w:sz w:val="22"/>
          <w:szCs w:val="22"/>
          <w:lang w:val="es-ES_tradnl"/>
        </w:rPr>
        <w: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w:t>
      </w:r>
      <w:r w:rsidRPr="003362CD">
        <w:rPr>
          <w:rFonts w:ascii="Arial" w:eastAsia="Calibri" w:hAnsi="Arial" w:cs="Arial"/>
          <w:vertAlign w:val="superscript"/>
          <w:lang w:val="es-ES_tradnl"/>
        </w:rPr>
        <w:footnoteReference w:id="4"/>
      </w:r>
      <w:r w:rsidRPr="003362CD">
        <w:rPr>
          <w:rFonts w:ascii="Arial" w:eastAsia="Calibri" w:hAnsi="Arial" w:cs="Arial"/>
          <w:sz w:val="22"/>
          <w:szCs w:val="22"/>
          <w:lang w:val="es-ES_tradnl"/>
        </w:rPr>
        <w:t xml:space="preserve">. Esto, a partir de «[…] un enfoque regionalizado </w:t>
      </w:r>
      <w:proofErr w:type="gramStart"/>
      <w:r w:rsidRPr="003362CD">
        <w:rPr>
          <w:rFonts w:ascii="Arial" w:eastAsia="Calibri" w:hAnsi="Arial" w:cs="Arial"/>
          <w:sz w:val="22"/>
          <w:szCs w:val="22"/>
          <w:lang w:val="es-ES_tradnl"/>
        </w:rPr>
        <w:t>de acuerdo a</w:t>
      </w:r>
      <w:proofErr w:type="gramEnd"/>
      <w:r w:rsidRPr="003362CD">
        <w:rPr>
          <w:rFonts w:ascii="Arial" w:eastAsia="Calibri" w:hAnsi="Arial" w:cs="Arial"/>
          <w:sz w:val="22"/>
          <w:szCs w:val="22"/>
          <w:lang w:val="es-ES_tradnl"/>
        </w:rPr>
        <w:t xml:space="preserve"> las realidades socioeconómicas de cada región». En desarrollo de esta finalidad, se establecen medidas de apoyo para las micro, pequeñas y medianas empresas –</w:t>
      </w:r>
      <w:proofErr w:type="spellStart"/>
      <w:r w:rsidRPr="003362CD">
        <w:rPr>
          <w:rFonts w:ascii="Arial" w:eastAsia="Calibri" w:hAnsi="Arial" w:cs="Arial"/>
          <w:sz w:val="22"/>
          <w:szCs w:val="22"/>
          <w:lang w:val="es-ES_tradnl"/>
        </w:rPr>
        <w:t>mipymes</w:t>
      </w:r>
      <w:proofErr w:type="spellEnd"/>
      <w:r w:rsidRPr="003362CD">
        <w:rPr>
          <w:rFonts w:ascii="Arial" w:eastAsia="Calibri" w:hAnsi="Arial" w:cs="Arial"/>
          <w:sz w:val="22"/>
          <w:szCs w:val="22"/>
          <w:lang w:val="es-ES_tradnl"/>
        </w:rPr>
        <w:t>–, mediante la racionalización y simplificación de los trámites y tarifas</w:t>
      </w:r>
      <w:r w:rsidRPr="003362CD">
        <w:rPr>
          <w:rStyle w:val="Refdenotaalpie"/>
          <w:rFonts w:ascii="Arial" w:eastAsia="Calibri" w:hAnsi="Arial" w:cs="Arial"/>
          <w:sz w:val="22"/>
          <w:szCs w:val="22"/>
          <w:lang w:val="es-ES_tradnl"/>
        </w:rPr>
        <w:footnoteReference w:id="5"/>
      </w:r>
      <w:r w:rsidRPr="003362CD">
        <w:rPr>
          <w:rFonts w:ascii="Arial" w:eastAsia="Calibri" w:hAnsi="Arial" w:cs="Arial"/>
          <w:sz w:val="22"/>
          <w:szCs w:val="22"/>
          <w:lang w:val="es-ES_tradnl"/>
        </w:rPr>
        <w:t>, así como incentivos a favor de aquellas dentro del sistema de compras y contratación pública</w:t>
      </w:r>
      <w:r w:rsidRPr="003362CD">
        <w:rPr>
          <w:rStyle w:val="Refdenotaalpie"/>
          <w:rFonts w:ascii="Arial" w:eastAsia="Calibri" w:hAnsi="Arial" w:cs="Arial"/>
          <w:sz w:val="22"/>
          <w:szCs w:val="22"/>
          <w:lang w:val="es-ES_tradnl"/>
        </w:rPr>
        <w:footnoteReference w:id="6"/>
      </w:r>
      <w:r w:rsidRPr="003362CD">
        <w:rPr>
          <w:rFonts w:ascii="Arial" w:eastAsia="Calibri" w:hAnsi="Arial" w:cs="Arial"/>
          <w:sz w:val="22"/>
          <w:szCs w:val="22"/>
          <w:lang w:val="es-ES_tradnl"/>
        </w:rPr>
        <w:t>. También se consagran mecanismos de acceso al financiamiento</w:t>
      </w:r>
      <w:r w:rsidRPr="003362CD">
        <w:rPr>
          <w:rStyle w:val="Refdenotaalpie"/>
          <w:rFonts w:ascii="Arial" w:eastAsia="Calibri" w:hAnsi="Arial" w:cs="Arial"/>
          <w:sz w:val="22"/>
          <w:szCs w:val="22"/>
          <w:lang w:val="es-ES_tradnl"/>
        </w:rPr>
        <w:footnoteReference w:id="7"/>
      </w:r>
      <w:r w:rsidRPr="003362CD">
        <w:rPr>
          <w:rFonts w:ascii="Arial" w:eastAsia="Calibri" w:hAnsi="Arial" w:cs="Arial"/>
          <w:sz w:val="22"/>
          <w:szCs w:val="22"/>
          <w:lang w:val="es-ES_tradnl"/>
        </w:rPr>
        <w:t xml:space="preserve">, se unifican las fuentes de emprendimiento y de desarrollo empresarial, para fortalecer y promover los distintos </w:t>
      </w:r>
      <w:r w:rsidRPr="003362CD">
        <w:rPr>
          <w:rFonts w:ascii="Arial" w:eastAsia="Calibri" w:hAnsi="Arial" w:cs="Arial"/>
          <w:sz w:val="22"/>
          <w:szCs w:val="22"/>
          <w:lang w:val="es-ES_tradnl"/>
        </w:rPr>
        <w:lastRenderedPageBreak/>
        <w:t>sectores de la economía</w:t>
      </w:r>
      <w:r w:rsidRPr="003362CD">
        <w:rPr>
          <w:rStyle w:val="Refdenotaalpie"/>
          <w:rFonts w:ascii="Arial" w:eastAsia="Calibri" w:hAnsi="Arial" w:cs="Arial"/>
          <w:sz w:val="22"/>
          <w:szCs w:val="22"/>
          <w:lang w:val="es-ES_tradnl"/>
        </w:rPr>
        <w:footnoteReference w:id="8"/>
      </w:r>
      <w:r w:rsidRPr="003362CD">
        <w:rPr>
          <w:rFonts w:ascii="Arial" w:eastAsia="Calibri" w:hAnsi="Arial" w:cs="Arial"/>
          <w:sz w:val="22"/>
          <w:szCs w:val="22"/>
          <w:lang w:val="es-ES_tradnl"/>
        </w:rPr>
        <w:t xml:space="preserve"> y se prevén medidas de educación para el emprendimiento y la innovación</w:t>
      </w:r>
      <w:r w:rsidRPr="003362CD">
        <w:rPr>
          <w:rStyle w:val="Refdenotaalpie"/>
          <w:rFonts w:ascii="Arial" w:eastAsia="Calibri" w:hAnsi="Arial" w:cs="Arial"/>
          <w:sz w:val="22"/>
          <w:szCs w:val="22"/>
          <w:lang w:val="es-ES_tradnl"/>
        </w:rPr>
        <w:footnoteReference w:id="9"/>
      </w:r>
      <w:r w:rsidRPr="003362CD">
        <w:rPr>
          <w:rFonts w:ascii="Arial" w:eastAsia="Calibri" w:hAnsi="Arial" w:cs="Arial"/>
          <w:sz w:val="22"/>
          <w:szCs w:val="22"/>
          <w:lang w:val="es-ES_tradnl"/>
        </w:rPr>
        <w:t>.</w:t>
      </w:r>
    </w:p>
    <w:p w14:paraId="1ABFCFEC" w14:textId="77777777" w:rsidR="000D6091" w:rsidRPr="003362CD" w:rsidRDefault="000D6091" w:rsidP="000D6091">
      <w:pPr>
        <w:spacing w:before="120" w:after="120" w:line="276" w:lineRule="auto"/>
        <w:ind w:firstLine="709"/>
        <w:jc w:val="both"/>
        <w:rPr>
          <w:rFonts w:ascii="Arial" w:eastAsia="Calibri" w:hAnsi="Arial" w:cs="Arial"/>
          <w:sz w:val="22"/>
          <w:szCs w:val="22"/>
          <w:lang w:val="es-ES_tradnl"/>
        </w:rPr>
      </w:pPr>
      <w:r w:rsidRPr="003362CD">
        <w:rPr>
          <w:rFonts w:ascii="Arial" w:eastAsia="Calibri" w:hAnsi="Arial" w:cs="Arial"/>
          <w:sz w:val="22"/>
          <w:szCs w:val="22"/>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3362CD">
        <w:rPr>
          <w:rFonts w:ascii="Arial" w:eastAsia="Calibri" w:hAnsi="Arial" w:cs="Arial"/>
          <w:sz w:val="22"/>
          <w:szCs w:val="22"/>
          <w:lang w:val="es-ES_tradnl"/>
        </w:rPr>
        <w:t>mipymes</w:t>
      </w:r>
      <w:proofErr w:type="spellEnd"/>
      <w:r w:rsidRPr="003362CD">
        <w:rPr>
          <w:rFonts w:ascii="Arial" w:eastAsia="Calibri" w:hAnsi="Arial" w:cs="Arial"/>
          <w:sz w:val="22"/>
          <w:szCs w:val="22"/>
          <w:lang w:val="es-ES_tradnl"/>
        </w:rPr>
        <w:t xml:space="preserve"> en el procedimiento de mínima cuantía, ii) criterios diferenciales para </w:t>
      </w:r>
      <w:proofErr w:type="spellStart"/>
      <w:r w:rsidRPr="003362CD">
        <w:rPr>
          <w:rFonts w:ascii="Arial" w:eastAsia="Calibri" w:hAnsi="Arial" w:cs="Arial"/>
          <w:sz w:val="22"/>
          <w:szCs w:val="22"/>
          <w:lang w:val="es-ES_tradnl"/>
        </w:rPr>
        <w:t>mipymes</w:t>
      </w:r>
      <w:proofErr w:type="spellEnd"/>
      <w:r w:rsidRPr="003362CD">
        <w:rPr>
          <w:rFonts w:ascii="Arial" w:eastAsia="Calibri" w:hAnsi="Arial" w:cs="Arial"/>
          <w:sz w:val="22"/>
          <w:szCs w:val="22"/>
          <w:lang w:val="es-ES_tradnl"/>
        </w:rPr>
        <w:t xml:space="preserve"> en el sistema de compras públicas, iii) criterios diferenciales para emprendimientos y empresas de mujeres en el sistema de compras públicas, iv) promoción del acceso de las </w:t>
      </w:r>
      <w:proofErr w:type="spellStart"/>
      <w:r w:rsidRPr="003362CD">
        <w:rPr>
          <w:rFonts w:ascii="Arial" w:eastAsia="Calibri" w:hAnsi="Arial" w:cs="Arial"/>
          <w:sz w:val="22"/>
          <w:szCs w:val="22"/>
          <w:lang w:val="es-ES_tradnl"/>
        </w:rPr>
        <w:t>mipymes</w:t>
      </w:r>
      <w:proofErr w:type="spellEnd"/>
      <w:r w:rsidRPr="003362CD">
        <w:rPr>
          <w:rFonts w:ascii="Arial" w:eastAsia="Calibri" w:hAnsi="Arial" w:cs="Arial"/>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continuación, se estudiará el contenido y alcance de dicha norma</w:t>
      </w:r>
      <w:r w:rsidRPr="003362CD">
        <w:rPr>
          <w:rFonts w:ascii="Arial" w:eastAsia="Calibri" w:hAnsi="Arial" w:cs="Arial"/>
          <w:bCs/>
          <w:vertAlign w:val="superscript"/>
          <w:lang w:val="es-MX"/>
        </w:rPr>
        <w:footnoteReference w:id="10"/>
      </w:r>
      <w:r w:rsidRPr="003362CD">
        <w:rPr>
          <w:rFonts w:ascii="Arial" w:eastAsia="Calibri" w:hAnsi="Arial" w:cs="Arial"/>
          <w:sz w:val="22"/>
          <w:szCs w:val="22"/>
          <w:lang w:val="es-ES_tradnl"/>
        </w:rPr>
        <w:t xml:space="preserve">.  </w:t>
      </w:r>
    </w:p>
    <w:p w14:paraId="4B9862B5" w14:textId="77777777" w:rsidR="000D6091" w:rsidRPr="003362CD" w:rsidRDefault="000D6091" w:rsidP="000D6091">
      <w:pPr>
        <w:tabs>
          <w:tab w:val="left" w:pos="709"/>
        </w:tabs>
        <w:spacing w:after="120" w:line="276" w:lineRule="auto"/>
        <w:jc w:val="both"/>
        <w:rPr>
          <w:rFonts w:ascii="Arial" w:eastAsia="Calibri" w:hAnsi="Arial" w:cs="Arial"/>
          <w:sz w:val="22"/>
          <w:szCs w:val="22"/>
          <w:lang w:val="es-ES_tradnl"/>
        </w:rPr>
      </w:pPr>
      <w:r w:rsidRPr="003362CD">
        <w:rPr>
          <w:rFonts w:ascii="Arial" w:eastAsia="Calibri" w:hAnsi="Arial" w:cs="Arial"/>
          <w:bCs/>
          <w:sz w:val="22"/>
        </w:rPr>
        <w:tab/>
      </w:r>
      <w:r w:rsidRPr="003362CD">
        <w:rPr>
          <w:rFonts w:ascii="Arial" w:eastAsia="Calibri" w:hAnsi="Arial" w:cs="Arial"/>
          <w:sz w:val="22"/>
          <w:szCs w:val="22"/>
          <w:lang w:val="es-ES_tradnl"/>
        </w:rPr>
        <w:t>En este contexto, el pasado 24 de diciembre, el gobierno nacional expidió el Decreto 1860 de 2021</w:t>
      </w:r>
      <w:r w:rsidRPr="003362CD">
        <w:t xml:space="preserve"> </w:t>
      </w:r>
      <w:r w:rsidRPr="003362CD">
        <w:rPr>
          <w:rFonts w:ascii="Arial" w:eastAsia="Calibri" w:hAnsi="Arial" w:cs="Arial"/>
          <w:sz w:val="22"/>
          <w:szCs w:val="22"/>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r w:rsidRPr="003362CD">
        <w:rPr>
          <w:rStyle w:val="Refdenotaalpie"/>
          <w:rFonts w:ascii="Arial" w:eastAsia="Calibri" w:hAnsi="Arial" w:cs="Arial"/>
          <w:sz w:val="22"/>
          <w:szCs w:val="22"/>
          <w:lang w:val="es-ES_tradnl"/>
        </w:rPr>
        <w:footnoteReference w:id="11"/>
      </w:r>
      <w:r w:rsidRPr="003362CD">
        <w:rPr>
          <w:rFonts w:ascii="Arial" w:eastAsia="Calibri" w:hAnsi="Arial" w:cs="Arial"/>
          <w:sz w:val="22"/>
          <w:szCs w:val="22"/>
          <w:lang w:val="es-ES_tradnl"/>
        </w:rPr>
        <w:t xml:space="preserve">.  </w:t>
      </w:r>
    </w:p>
    <w:p w14:paraId="0E01932D" w14:textId="77777777" w:rsidR="00101939" w:rsidRDefault="000D6091" w:rsidP="0003011E">
      <w:pPr>
        <w:spacing w:after="120" w:line="276" w:lineRule="auto"/>
        <w:jc w:val="both"/>
        <w:rPr>
          <w:rFonts w:ascii="Arial" w:eastAsia="Calibri" w:hAnsi="Arial" w:cs="Arial"/>
          <w:sz w:val="22"/>
          <w:szCs w:val="22"/>
          <w:lang w:val="es-ES_tradnl"/>
        </w:rPr>
      </w:pPr>
      <w:r w:rsidRPr="003362CD">
        <w:rPr>
          <w:rFonts w:ascii="Arial" w:eastAsia="Calibri" w:hAnsi="Arial" w:cs="Arial"/>
          <w:sz w:val="22"/>
          <w:szCs w:val="22"/>
          <w:lang w:val="es-ES_tradnl"/>
        </w:rPr>
        <w:tab/>
        <w:t>En lo relativo al artículo 3</w:t>
      </w:r>
      <w:r>
        <w:rPr>
          <w:rFonts w:ascii="Arial" w:eastAsia="Calibri" w:hAnsi="Arial" w:cs="Arial"/>
          <w:sz w:val="22"/>
          <w:szCs w:val="22"/>
          <w:lang w:val="es-ES_tradnl"/>
        </w:rPr>
        <w:t>5</w:t>
      </w:r>
      <w:r w:rsidRPr="003362CD">
        <w:rPr>
          <w:rFonts w:ascii="Arial" w:eastAsia="Calibri" w:hAnsi="Arial" w:cs="Arial"/>
          <w:sz w:val="22"/>
          <w:szCs w:val="22"/>
          <w:lang w:val="es-ES_tradnl"/>
        </w:rPr>
        <w:t xml:space="preserve"> de la Ley 2069 de 2020, el artículo 3 del Decreto 1860 de 2021 adiciona</w:t>
      </w:r>
      <w:r>
        <w:rPr>
          <w:rFonts w:ascii="Arial" w:eastAsia="Calibri" w:hAnsi="Arial" w:cs="Arial"/>
          <w:sz w:val="22"/>
          <w:szCs w:val="22"/>
          <w:lang w:val="es-ES_tradnl"/>
        </w:rPr>
        <w:t xml:space="preserve"> el</w:t>
      </w:r>
      <w:r w:rsidRPr="003362CD">
        <w:rPr>
          <w:rFonts w:ascii="Arial" w:eastAsia="Calibri" w:hAnsi="Arial" w:cs="Arial"/>
          <w:sz w:val="22"/>
          <w:szCs w:val="22"/>
          <w:lang w:val="es-ES_tradnl"/>
        </w:rPr>
        <w:t xml:space="preserve"> artículo</w:t>
      </w:r>
      <w:r>
        <w:rPr>
          <w:rFonts w:ascii="Arial" w:eastAsia="Calibri" w:hAnsi="Arial" w:cs="Arial"/>
          <w:sz w:val="22"/>
          <w:szCs w:val="22"/>
          <w:lang w:val="es-ES_tradnl"/>
        </w:rPr>
        <w:t xml:space="preserve"> </w:t>
      </w:r>
      <w:r w:rsidRPr="003362CD">
        <w:rPr>
          <w:rFonts w:ascii="Arial" w:eastAsia="Calibri" w:hAnsi="Arial" w:cs="Arial"/>
          <w:sz w:val="22"/>
          <w:szCs w:val="22"/>
          <w:lang w:val="es-ES_tradnl"/>
        </w:rPr>
        <w:t>2.2.1.2.4.2.1</w:t>
      </w:r>
      <w:r>
        <w:rPr>
          <w:rFonts w:ascii="Arial" w:eastAsia="Calibri" w:hAnsi="Arial" w:cs="Arial"/>
          <w:sz w:val="22"/>
          <w:szCs w:val="22"/>
          <w:lang w:val="es-ES_tradnl"/>
        </w:rPr>
        <w:t>7</w:t>
      </w:r>
      <w:r w:rsidRPr="003362CD">
        <w:rPr>
          <w:rFonts w:ascii="Arial" w:eastAsia="Calibri" w:hAnsi="Arial" w:cs="Arial"/>
          <w:sz w:val="22"/>
          <w:szCs w:val="22"/>
          <w:lang w:val="es-ES_tradnl"/>
        </w:rPr>
        <w:t xml:space="preserve"> a la Subsección 2 de la Sección 4 del Capítulo 2 del Título 1 de la Parte 2 del Libro 2 del Decreto 1082 de 2015.</w:t>
      </w:r>
      <w:r>
        <w:rPr>
          <w:rFonts w:ascii="Arial" w:eastAsia="Calibri" w:hAnsi="Arial" w:cs="Arial"/>
          <w:sz w:val="22"/>
          <w:szCs w:val="22"/>
          <w:lang w:val="es-ES_tradnl"/>
        </w:rPr>
        <w:t xml:space="preserve"> Esta norma se encarga de regular los mecanismos de acreditación para los supuestos de hecho de cada de uno de </w:t>
      </w:r>
      <w:r>
        <w:rPr>
          <w:rFonts w:ascii="Arial" w:eastAsia="Calibri" w:hAnsi="Arial" w:cs="Arial"/>
          <w:sz w:val="22"/>
          <w:szCs w:val="22"/>
          <w:lang w:val="es-ES_tradnl"/>
        </w:rPr>
        <w:lastRenderedPageBreak/>
        <w:t xml:space="preserve">los factores de desempate introducidos por la Ley 2069 de 2020, de conformidad con el artículo 189.11 Superior.  </w:t>
      </w:r>
    </w:p>
    <w:p w14:paraId="300F88A8" w14:textId="22AE2657" w:rsidR="000D6091" w:rsidRPr="004770BD" w:rsidRDefault="000D6091" w:rsidP="0003011E">
      <w:pPr>
        <w:spacing w:line="276" w:lineRule="auto"/>
        <w:ind w:firstLine="708"/>
        <w:jc w:val="both"/>
        <w:rPr>
          <w:rFonts w:ascii="Arial" w:eastAsia="Calibri" w:hAnsi="Arial" w:cs="Arial"/>
          <w:sz w:val="22"/>
          <w:szCs w:val="22"/>
          <w:lang w:val="es-ES_tradnl"/>
        </w:rPr>
      </w:pPr>
      <w:r w:rsidRPr="003362CD">
        <w:rPr>
          <w:rFonts w:ascii="Arial" w:hAnsi="Arial" w:cs="Arial"/>
          <w:sz w:val="22"/>
          <w:szCs w:val="22"/>
          <w:lang w:eastAsia="es-CO"/>
        </w:rPr>
        <w:t xml:space="preserve">Debe precisarse que la vigencia del Decreto 1860 de 2021 está regida por lo </w:t>
      </w:r>
      <w:r>
        <w:rPr>
          <w:rFonts w:ascii="Arial" w:hAnsi="Arial" w:cs="Arial"/>
          <w:sz w:val="22"/>
          <w:szCs w:val="22"/>
          <w:lang w:eastAsia="es-CO"/>
        </w:rPr>
        <w:t>establecido</w:t>
      </w:r>
      <w:r w:rsidRPr="003362CD">
        <w:rPr>
          <w:rFonts w:ascii="Arial" w:hAnsi="Arial" w:cs="Arial"/>
          <w:sz w:val="22"/>
          <w:szCs w:val="22"/>
          <w:lang w:eastAsia="es-CO"/>
        </w:rPr>
        <w:t xml:space="preserve"> en su artículo 8, el cual señala que «Las disposiciones contenidas en el presente Decreto se aplicarán a los procedimientos de selección cuya invitación, aviso de convocatoria o documento equivalente se publique a los tres (3) meses contados a partir de su expedición». De acuerdo con esto, habiéndose expedido el referido decreto el 24 de diciembre de 2021, la aplicación de su contenido deberá comenzar una vez transcurridos tres meses contados a partir de entonces, en los procesos cuyos avisos de convocatorias, invitaciones o documentos equivalentes se publiquen con posterioridad a dicho </w:t>
      </w:r>
      <w:r>
        <w:rPr>
          <w:rFonts w:ascii="Arial" w:hAnsi="Arial" w:cs="Arial"/>
          <w:sz w:val="22"/>
          <w:szCs w:val="22"/>
          <w:lang w:eastAsia="es-CO"/>
        </w:rPr>
        <w:t>momento</w:t>
      </w:r>
      <w:r w:rsidRPr="003362CD">
        <w:rPr>
          <w:rStyle w:val="Refdenotaalpie"/>
          <w:rFonts w:ascii="Arial" w:hAnsi="Arial" w:cs="Arial"/>
          <w:sz w:val="22"/>
          <w:szCs w:val="22"/>
          <w:lang w:eastAsia="es-CO"/>
        </w:rPr>
        <w:footnoteReference w:id="12"/>
      </w:r>
      <w:r w:rsidRPr="003362CD">
        <w:rPr>
          <w:rFonts w:ascii="Arial" w:hAnsi="Arial" w:cs="Arial"/>
          <w:sz w:val="22"/>
          <w:szCs w:val="22"/>
          <w:lang w:eastAsia="es-CO"/>
        </w:rPr>
        <w:t xml:space="preserve">. </w:t>
      </w:r>
    </w:p>
    <w:p w14:paraId="4A8C7265" w14:textId="77777777" w:rsidR="00435999" w:rsidRPr="00DD054E" w:rsidRDefault="00435999" w:rsidP="00435999">
      <w:pPr>
        <w:spacing w:line="276" w:lineRule="auto"/>
        <w:jc w:val="both"/>
        <w:rPr>
          <w:rFonts w:ascii="Arial" w:eastAsia="Calibri" w:hAnsi="Arial" w:cs="Arial"/>
          <w:sz w:val="22"/>
          <w:szCs w:val="22"/>
          <w:lang w:val="es-ES_tradnl"/>
        </w:rPr>
      </w:pPr>
    </w:p>
    <w:p w14:paraId="090D70E0" w14:textId="71738088" w:rsidR="00435999" w:rsidRPr="00DD054E" w:rsidRDefault="00435999" w:rsidP="00435999">
      <w:pPr>
        <w:spacing w:line="276" w:lineRule="auto"/>
        <w:jc w:val="both"/>
        <w:rPr>
          <w:rFonts w:ascii="Arial" w:eastAsia="Calibri" w:hAnsi="Arial" w:cs="Arial"/>
          <w:b/>
          <w:bCs/>
          <w:sz w:val="22"/>
          <w:szCs w:val="22"/>
          <w:lang w:val="es-ES_tradnl"/>
        </w:rPr>
      </w:pPr>
      <w:r w:rsidRPr="00DD054E">
        <w:rPr>
          <w:rFonts w:ascii="Arial" w:eastAsia="Calibri" w:hAnsi="Arial" w:cs="Arial"/>
          <w:b/>
          <w:bCs/>
          <w:sz w:val="22"/>
          <w:szCs w:val="22"/>
          <w:lang w:val="es-ES_tradnl"/>
        </w:rPr>
        <w:t>2.3. Forma de acreditación de los factores de desempate consagrados en el artículo 35 de la Ley 2069 de 2020</w:t>
      </w:r>
    </w:p>
    <w:p w14:paraId="63AFEF3B" w14:textId="77777777" w:rsidR="00435999" w:rsidRDefault="00435999" w:rsidP="00435999">
      <w:pPr>
        <w:spacing w:line="276" w:lineRule="auto"/>
        <w:jc w:val="both"/>
        <w:rPr>
          <w:rFonts w:ascii="Arial" w:eastAsia="Calibri" w:hAnsi="Arial" w:cs="Arial"/>
          <w:color w:val="000000" w:themeColor="text1"/>
          <w:sz w:val="22"/>
          <w:szCs w:val="22"/>
          <w:lang w:val="es-ES_tradnl"/>
        </w:rPr>
      </w:pPr>
    </w:p>
    <w:p w14:paraId="6F798A90" w14:textId="77777777" w:rsidR="00435999" w:rsidRPr="00325B05" w:rsidRDefault="00435999" w:rsidP="00435999">
      <w:pPr>
        <w:spacing w:line="276" w:lineRule="auto"/>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 xml:space="preserve">El artículo 35 de la Ley 2069 de 2020 modifica la regulación de los factores de desempate en la contratación estatal. En consideración a que en la consulta se solicita que la Agencia Nacional de Contratación Pública – Colombia Compra Eficiente efectúe ciertas precisiones hermenéuticas sobre </w:t>
      </w:r>
      <w:r>
        <w:rPr>
          <w:rFonts w:ascii="Arial" w:eastAsia="Calibri" w:hAnsi="Arial" w:cs="Arial"/>
          <w:color w:val="000000" w:themeColor="text1"/>
          <w:sz w:val="22"/>
          <w:szCs w:val="22"/>
          <w:lang w:val="es-ES_tradnl"/>
        </w:rPr>
        <w:t>este</w:t>
      </w:r>
      <w:r w:rsidRPr="00325B05">
        <w:rPr>
          <w:rFonts w:ascii="Arial" w:eastAsia="Calibri" w:hAnsi="Arial" w:cs="Arial"/>
          <w:color w:val="000000" w:themeColor="text1"/>
          <w:sz w:val="22"/>
          <w:szCs w:val="22"/>
          <w:lang w:val="es-ES_tradnl"/>
        </w:rPr>
        <w:t xml:space="preserve"> artículo, la Agencia se pronunciará sobre el alcance que otorga a </w:t>
      </w:r>
      <w:r>
        <w:rPr>
          <w:rFonts w:ascii="Arial" w:eastAsia="Calibri" w:hAnsi="Arial" w:cs="Arial"/>
          <w:color w:val="000000" w:themeColor="text1"/>
          <w:sz w:val="22"/>
          <w:szCs w:val="22"/>
          <w:lang w:val="es-ES_tradnl"/>
        </w:rPr>
        <w:t>esta</w:t>
      </w:r>
      <w:r w:rsidRPr="00325B05">
        <w:rPr>
          <w:rFonts w:ascii="Arial" w:eastAsia="Calibri" w:hAnsi="Arial" w:cs="Arial"/>
          <w:color w:val="000000" w:themeColor="text1"/>
          <w:sz w:val="22"/>
          <w:szCs w:val="22"/>
          <w:lang w:val="es-ES_tradnl"/>
        </w:rPr>
        <w:t xml:space="preserve"> disposici</w:t>
      </w:r>
      <w:r>
        <w:rPr>
          <w:rFonts w:ascii="Arial" w:eastAsia="Calibri" w:hAnsi="Arial" w:cs="Arial"/>
          <w:color w:val="000000" w:themeColor="text1"/>
          <w:sz w:val="22"/>
          <w:szCs w:val="22"/>
          <w:lang w:val="es-ES_tradnl"/>
        </w:rPr>
        <w:t>ón. Esto</w:t>
      </w:r>
      <w:r w:rsidRPr="00325B05">
        <w:rPr>
          <w:rFonts w:ascii="Arial" w:eastAsia="Calibri" w:hAnsi="Arial" w:cs="Arial"/>
          <w:color w:val="000000" w:themeColor="text1"/>
          <w:sz w:val="22"/>
          <w:szCs w:val="22"/>
          <w:lang w:val="es-ES_tradnl"/>
        </w:rPr>
        <w:t xml:space="preserve"> sin pasar por alto la novedad de la Ley 2069 de 2020 –dada su reciente </w:t>
      </w:r>
      <w:proofErr w:type="gramStart"/>
      <w:r w:rsidRPr="00325B05">
        <w:rPr>
          <w:rFonts w:ascii="Arial" w:eastAsia="Calibri" w:hAnsi="Arial" w:cs="Arial"/>
          <w:color w:val="000000" w:themeColor="text1"/>
          <w:sz w:val="22"/>
          <w:szCs w:val="22"/>
          <w:lang w:val="es-ES_tradnl"/>
        </w:rPr>
        <w:t>entrada en vigencia</w:t>
      </w:r>
      <w:proofErr w:type="gramEnd"/>
      <w:r w:rsidRPr="00325B05">
        <w:rPr>
          <w:rFonts w:ascii="Arial" w:eastAsia="Calibri" w:hAnsi="Arial" w:cs="Arial"/>
          <w:color w:val="000000" w:themeColor="text1"/>
          <w:sz w:val="22"/>
          <w:szCs w:val="22"/>
          <w:lang w:val="es-ES_tradnl"/>
        </w:rPr>
        <w:t>– y la ausencia de pronunciamientos jurisprudenciales o estudios doctrinarios sobre el tema, que seguramente contribuirán a decantar la interpretación de las normas en comento.</w:t>
      </w:r>
    </w:p>
    <w:p w14:paraId="24C5B83D" w14:textId="77777777" w:rsidR="00435999" w:rsidRPr="00325B05" w:rsidRDefault="00435999" w:rsidP="00435999">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 xml:space="preserve">Al respecto, </w:t>
      </w:r>
      <w:r w:rsidRPr="00325B05">
        <w:rPr>
          <w:rFonts w:ascii="Arial" w:eastAsia="Calibri" w:hAnsi="Arial" w:cs="Arial"/>
          <w:sz w:val="22"/>
          <w:szCs w:val="22"/>
          <w:lang w:val="es-ES_tradnl"/>
        </w:rPr>
        <w:t>pese a que el parágrafo 3 dispone que el Gobierno Nacional podrá regular los supuestos en que concurran dos o más factores de desempate,</w:t>
      </w:r>
      <w:r w:rsidRPr="00325B05">
        <w:rPr>
          <w:rFonts w:ascii="Arial" w:eastAsia="Calibri" w:hAnsi="Arial" w:cs="Arial"/>
          <w:color w:val="000000" w:themeColor="text1"/>
          <w:sz w:val="22"/>
          <w:szCs w:val="22"/>
          <w:lang w:val="es-ES_tradnl"/>
        </w:rPr>
        <w:t xml:space="preserve"> se considera que el artículo 35 de la Ley 2069 de 2020 goza de aplicación directa desde la fecha de su </w:t>
      </w:r>
      <w:r w:rsidRPr="00325B05">
        <w:rPr>
          <w:rFonts w:ascii="Arial" w:eastAsia="Calibri" w:hAnsi="Arial" w:cs="Arial"/>
          <w:color w:val="000000" w:themeColor="text1"/>
          <w:sz w:val="22"/>
          <w:szCs w:val="22"/>
          <w:lang w:val="es-ES_tradnl"/>
        </w:rPr>
        <w:lastRenderedPageBreak/>
        <w:t xml:space="preserve">promulgación, es decir, no requiere de una 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 </w:t>
      </w:r>
    </w:p>
    <w:p w14:paraId="5039D4CD" w14:textId="77777777" w:rsidR="00435999" w:rsidRPr="00325B05" w:rsidRDefault="00435999" w:rsidP="00435999">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 xml:space="preserve">Por ejemplo, en lo que a las compras públicas se refiere, el parágrafo primero del artículo 30, que alude a la participación de </w:t>
      </w:r>
      <w:proofErr w:type="spellStart"/>
      <w:r w:rsidRPr="00325B05">
        <w:rPr>
          <w:rFonts w:ascii="Arial" w:eastAsia="Calibri" w:hAnsi="Arial" w:cs="Arial"/>
          <w:color w:val="000000" w:themeColor="text1"/>
          <w:sz w:val="22"/>
          <w:szCs w:val="22"/>
          <w:lang w:val="es-ES_tradnl"/>
        </w:rPr>
        <w:t>mipymes</w:t>
      </w:r>
      <w:proofErr w:type="spellEnd"/>
      <w:r w:rsidRPr="00325B05">
        <w:rPr>
          <w:rFonts w:ascii="Arial" w:eastAsia="Calibri" w:hAnsi="Arial" w:cs="Arial"/>
          <w:color w:val="000000" w:themeColor="text1"/>
          <w:sz w:val="22"/>
          <w:szCs w:val="22"/>
          <w:lang w:val="es-ES_tradnl"/>
        </w:rPr>
        <w:t xml:space="preserve"> en procedimientos de mínima cuantía, establece que «Las particularidades del procedimiento aquí previsto, así como la posibilidad que tengan las entidades de realizar estas adquisiciones a </w:t>
      </w:r>
      <w:proofErr w:type="spellStart"/>
      <w:r w:rsidRPr="00325B05">
        <w:rPr>
          <w:rFonts w:ascii="Arial" w:eastAsia="Calibri" w:hAnsi="Arial" w:cs="Arial"/>
          <w:color w:val="000000" w:themeColor="text1"/>
          <w:sz w:val="22"/>
          <w:szCs w:val="22"/>
          <w:lang w:val="es-ES_tradnl"/>
        </w:rPr>
        <w:t>Mipymes</w:t>
      </w:r>
      <w:proofErr w:type="spellEnd"/>
      <w:r w:rsidRPr="00325B05">
        <w:rPr>
          <w:rFonts w:ascii="Arial" w:eastAsia="Calibri" w:hAnsi="Arial" w:cs="Arial"/>
          <w:color w:val="000000" w:themeColor="text1"/>
          <w:sz w:val="22"/>
          <w:szCs w:val="22"/>
          <w:lang w:val="es-ES_tradnl"/>
        </w:rPr>
        <w:t xml:space="preserve">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55A591BD" w14:textId="77777777" w:rsidR="00435999" w:rsidRPr="00325B05" w:rsidRDefault="00435999" w:rsidP="00435999">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Así mismo, el artículo 31, en el segundo inciso, determina que «El Gobierno Nacional reglamentará la definición de los criterios diferenciales, sobre reglas objetivas que podrán implementar las Entidades Estatales». Del mismo modo, el parágrafo primero del artículo 32 establece que «La definición de emprendimientos y empresas de mujeres se reglamentará por el gobierno nacional», en tanto que el inciso cuarto del artículo 12 de la Ley 1150 de 2007, modificado por el artículo 34 de la Ley 2069 de 2020, indica que en los pliegos de condiciones las entidades estatales deben prever mecanismos que garanticen la provisión de bienes y servicios por parte de sujetos de especial protección constitucional «[…] en las condiciones que señale el reglamento».</w:t>
      </w:r>
    </w:p>
    <w:p w14:paraId="4BD4F49F" w14:textId="77777777" w:rsidR="00435999" w:rsidRPr="00325B05" w:rsidRDefault="00435999" w:rsidP="00435999">
      <w:pPr>
        <w:spacing w:before="120" w:line="276" w:lineRule="auto"/>
        <w:ind w:firstLine="709"/>
        <w:jc w:val="both"/>
        <w:rPr>
          <w:rFonts w:ascii="Arial" w:eastAsia="Calibri" w:hAnsi="Arial" w:cs="Arial"/>
          <w:color w:val="000000" w:themeColor="text1"/>
          <w:sz w:val="22"/>
          <w:szCs w:val="22"/>
          <w:lang w:val="es-ES_tradnl"/>
        </w:rPr>
      </w:pPr>
      <w:r w:rsidRPr="00325B05">
        <w:rPr>
          <w:rFonts w:ascii="Arial" w:eastAsia="Calibri" w:hAnsi="Arial" w:cs="Arial"/>
          <w:color w:val="000000" w:themeColor="text1"/>
          <w:sz w:val="22"/>
          <w:szCs w:val="22"/>
          <w:lang w:val="es-ES_tradnl"/>
        </w:rPr>
        <w:t>Lo mismo no sucede con el artículo 35</w:t>
      </w:r>
      <w:r w:rsidRPr="00325B05">
        <w:rPr>
          <w:rFonts w:ascii="Arial" w:eastAsia="Calibri" w:hAnsi="Arial" w:cs="Arial"/>
          <w:sz w:val="22"/>
          <w:szCs w:val="22"/>
          <w:lang w:val="es-ES_tradnl"/>
        </w:rPr>
        <w:t xml:space="preserve">. En efecto, </w:t>
      </w:r>
      <w:r w:rsidRPr="00325B05">
        <w:rPr>
          <w:rFonts w:ascii="Arial" w:hAnsi="Arial" w:cs="Arial"/>
          <w:color w:val="000000" w:themeColor="text1"/>
          <w:sz w:val="22"/>
          <w:szCs w:val="22"/>
          <w:lang w:val="es-ES_tradnl"/>
        </w:rPr>
        <w:t>si bien los factores de desempate regulados en el artículo 35 deben aplicarse «</w:t>
      </w:r>
      <w:r w:rsidRPr="00325B05">
        <w:rPr>
          <w:rFonts w:ascii="Arial" w:hAnsi="Arial" w:cs="Arial"/>
          <w:lang w:val="es-ES_tradnl"/>
        </w:rPr>
        <w:t xml:space="preserve">[…] </w:t>
      </w:r>
      <w:r w:rsidRPr="00325B05">
        <w:rPr>
          <w:rFonts w:ascii="Arial" w:hAnsi="Arial" w:cs="Arial"/>
          <w:color w:val="000000" w:themeColor="text1"/>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Pr="00325B05">
        <w:rPr>
          <w:rFonts w:ascii="Arial" w:eastAsia="Calibri" w:hAnsi="Arial" w:cs="Arial"/>
          <w:color w:val="000000" w:themeColor="text1"/>
          <w:sz w:val="22"/>
          <w:szCs w:val="22"/>
          <w:lang w:val="es-ES_tradnl"/>
        </w:rPr>
        <w:t xml:space="preserve">  </w:t>
      </w:r>
    </w:p>
    <w:p w14:paraId="67BFD491" w14:textId="77777777" w:rsidR="002D3A36" w:rsidRDefault="00435999" w:rsidP="00055E3F">
      <w:pPr>
        <w:spacing w:before="120" w:after="120" w:line="276" w:lineRule="auto"/>
        <w:ind w:firstLine="709"/>
        <w:jc w:val="both"/>
        <w:rPr>
          <w:rFonts w:ascii="Arial" w:eastAsia="Calibri" w:hAnsi="Arial" w:cs="Arial"/>
          <w:sz w:val="22"/>
          <w:szCs w:val="22"/>
          <w:lang w:val="es-ES_tradnl"/>
        </w:rPr>
      </w:pPr>
      <w:r w:rsidRPr="00325B05">
        <w:rPr>
          <w:rFonts w:ascii="Arial" w:eastAsia="Calibri" w:hAnsi="Arial" w:cs="Arial"/>
          <w:color w:val="000000" w:themeColor="text1"/>
          <w:sz w:val="22"/>
          <w:szCs w:val="22"/>
          <w:lang w:val="es-ES_tradnl"/>
        </w:rPr>
        <w:t xml:space="preserve">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325B05">
        <w:rPr>
          <w:rFonts w:ascii="Arial" w:eastAsia="Calibri" w:hAnsi="Arial" w:cs="Arial"/>
          <w:i/>
          <w:iCs/>
          <w:color w:val="000000" w:themeColor="text1"/>
          <w:sz w:val="22"/>
          <w:szCs w:val="22"/>
          <w:lang w:val="es-ES_tradnl"/>
        </w:rPr>
        <w:t>podrá reglamentar</w:t>
      </w:r>
      <w:r w:rsidRPr="00325B05">
        <w:rPr>
          <w:rFonts w:ascii="Arial" w:eastAsia="Calibri" w:hAnsi="Arial" w:cs="Arial"/>
          <w:color w:val="000000" w:themeColor="text1"/>
          <w:sz w:val="22"/>
          <w:szCs w:val="22"/>
          <w:lang w:val="es-ES_tradnl"/>
        </w:rPr>
        <w:t xml:space="preserve"> la aplicación de factores de desempate en casos en que concurran dos o más de los factores aquí previstos» (Énfasis fuera de texto).</w:t>
      </w:r>
      <w:r w:rsidR="00055E3F">
        <w:rPr>
          <w:rFonts w:ascii="Arial" w:eastAsia="Calibri" w:hAnsi="Arial" w:cs="Arial"/>
          <w:sz w:val="22"/>
          <w:szCs w:val="22"/>
          <w:lang w:val="es-ES_tradnl"/>
        </w:rPr>
        <w:t xml:space="preserve"> </w:t>
      </w:r>
    </w:p>
    <w:bookmarkEnd w:id="0"/>
    <w:p w14:paraId="4014EC44" w14:textId="5454E89E" w:rsidR="00E25DCE" w:rsidRPr="00B55C5C" w:rsidRDefault="00E25DCE" w:rsidP="00E25DCE">
      <w:pPr>
        <w:spacing w:before="120" w:after="120" w:line="276" w:lineRule="auto"/>
        <w:jc w:val="both"/>
        <w:rPr>
          <w:rFonts w:ascii="Arial" w:hAnsi="Arial" w:cs="Arial"/>
          <w:b/>
          <w:bCs/>
          <w:sz w:val="22"/>
          <w:szCs w:val="22"/>
          <w:lang w:val="es-ES"/>
        </w:rPr>
      </w:pPr>
      <w:r>
        <w:rPr>
          <w:rFonts w:ascii="Arial" w:hAnsi="Arial" w:cs="Arial"/>
          <w:b/>
          <w:bCs/>
          <w:sz w:val="22"/>
          <w:szCs w:val="22"/>
          <w:lang w:val="es-ES"/>
        </w:rPr>
        <w:lastRenderedPageBreak/>
        <w:t>2.</w:t>
      </w:r>
      <w:r w:rsidR="005E2DF7">
        <w:rPr>
          <w:rFonts w:ascii="Arial" w:hAnsi="Arial" w:cs="Arial"/>
          <w:b/>
          <w:bCs/>
          <w:sz w:val="22"/>
          <w:szCs w:val="22"/>
          <w:lang w:val="es-ES"/>
        </w:rPr>
        <w:t>4</w:t>
      </w:r>
      <w:r w:rsidRPr="00B55C5C">
        <w:rPr>
          <w:rFonts w:ascii="Arial" w:hAnsi="Arial" w:cs="Arial"/>
          <w:b/>
          <w:bCs/>
          <w:sz w:val="22"/>
          <w:szCs w:val="22"/>
          <w:lang w:val="es-ES"/>
        </w:rPr>
        <w:t xml:space="preserve">. </w:t>
      </w:r>
      <w:r>
        <w:rPr>
          <w:rFonts w:ascii="Arial" w:hAnsi="Arial" w:cs="Arial"/>
          <w:b/>
          <w:bCs/>
          <w:sz w:val="22"/>
          <w:szCs w:val="22"/>
          <w:lang w:val="es-ES"/>
        </w:rPr>
        <w:t xml:space="preserve">Resolución 161 de 2021 de la Agencia Nacional de Contratación Pública – Colombia Compra Eficiente: Formatos 10 </w:t>
      </w:r>
      <w:r w:rsidR="00AA2BDA">
        <w:rPr>
          <w:rFonts w:ascii="Arial" w:hAnsi="Arial" w:cs="Arial"/>
          <w:b/>
          <w:bCs/>
          <w:sz w:val="22"/>
          <w:szCs w:val="22"/>
          <w:lang w:val="es-ES"/>
        </w:rPr>
        <w:t>–</w:t>
      </w:r>
      <w:r>
        <w:rPr>
          <w:rFonts w:ascii="Arial" w:hAnsi="Arial" w:cs="Arial"/>
          <w:b/>
          <w:bCs/>
          <w:sz w:val="22"/>
          <w:szCs w:val="22"/>
          <w:lang w:val="es-ES"/>
        </w:rPr>
        <w:t>factores de desempate- y 11 -tratamiento de datos sensibles-</w:t>
      </w:r>
    </w:p>
    <w:p w14:paraId="135B5AB1" w14:textId="203F5CF1" w:rsidR="003C60BC" w:rsidRDefault="00791A94" w:rsidP="00791A94">
      <w:pPr>
        <w:spacing w:before="120" w:after="120" w:line="276" w:lineRule="auto"/>
        <w:jc w:val="both"/>
        <w:rPr>
          <w:rFonts w:ascii="Arial" w:hAnsi="Arial" w:cs="Arial"/>
          <w:sz w:val="22"/>
          <w:szCs w:val="22"/>
          <w:lang w:val="es-ES"/>
        </w:rPr>
      </w:pPr>
      <w:r>
        <w:rPr>
          <w:rFonts w:ascii="Arial" w:eastAsia="Calibri" w:hAnsi="Arial" w:cs="Arial"/>
          <w:sz w:val="22"/>
          <w:szCs w:val="22"/>
          <w:lang w:val="es-ES_tradnl"/>
        </w:rPr>
        <w:t>Conforme se explicó en el numeral anterior, el</w:t>
      </w:r>
      <w:r w:rsidR="00E25DCE" w:rsidRPr="00B55C5C">
        <w:rPr>
          <w:rFonts w:ascii="Arial" w:eastAsia="Calibri" w:hAnsi="Arial" w:cs="Arial"/>
          <w:sz w:val="22"/>
          <w:szCs w:val="22"/>
          <w:lang w:val="es-ES_tradnl"/>
        </w:rPr>
        <w:t xml:space="preserve"> artículo 35 de la Ley 2069 de 2020 modific</w:t>
      </w:r>
      <w:r>
        <w:rPr>
          <w:rFonts w:ascii="Arial" w:eastAsia="Calibri" w:hAnsi="Arial" w:cs="Arial"/>
          <w:sz w:val="22"/>
          <w:szCs w:val="22"/>
          <w:lang w:val="es-ES_tradnl"/>
        </w:rPr>
        <w:t>ó</w:t>
      </w:r>
      <w:r w:rsidR="00E25DCE" w:rsidRPr="00B55C5C">
        <w:rPr>
          <w:rFonts w:ascii="Arial" w:eastAsia="Calibri" w:hAnsi="Arial" w:cs="Arial"/>
          <w:sz w:val="22"/>
          <w:szCs w:val="22"/>
          <w:lang w:val="es-ES_tradnl"/>
        </w:rPr>
        <w:t xml:space="preserve"> la regulación de los factores de desempate en la contratación estatal</w:t>
      </w:r>
      <w:r w:rsidR="006172AF">
        <w:rPr>
          <w:rFonts w:ascii="Arial" w:hAnsi="Arial" w:cs="Arial"/>
          <w:sz w:val="22"/>
          <w:szCs w:val="22"/>
          <w:lang w:val="es-ES"/>
        </w:rPr>
        <w:t>.</w:t>
      </w:r>
      <w:r w:rsidR="003C60BC">
        <w:rPr>
          <w:rFonts w:ascii="Arial" w:hAnsi="Arial" w:cs="Arial"/>
          <w:sz w:val="22"/>
          <w:szCs w:val="22"/>
          <w:lang w:val="es-ES"/>
        </w:rPr>
        <w:t xml:space="preserve"> Dich</w:t>
      </w:r>
      <w:r w:rsidR="00D03416">
        <w:rPr>
          <w:rFonts w:ascii="Arial" w:hAnsi="Arial" w:cs="Arial"/>
          <w:sz w:val="22"/>
          <w:szCs w:val="22"/>
          <w:lang w:val="es-ES"/>
        </w:rPr>
        <w:t>a</w:t>
      </w:r>
      <w:r w:rsidR="003C60BC">
        <w:rPr>
          <w:rFonts w:ascii="Arial" w:hAnsi="Arial" w:cs="Arial"/>
          <w:sz w:val="22"/>
          <w:szCs w:val="22"/>
          <w:lang w:val="es-ES"/>
        </w:rPr>
        <w:t xml:space="preserve"> circunstancia generó la necesidad de adecuar </w:t>
      </w:r>
      <w:r w:rsidR="00D03416">
        <w:rPr>
          <w:rFonts w:ascii="Arial" w:hAnsi="Arial" w:cs="Arial"/>
          <w:sz w:val="22"/>
          <w:szCs w:val="22"/>
          <w:lang w:val="es-ES"/>
        </w:rPr>
        <w:t xml:space="preserve">el contenido de los documentos tipo </w:t>
      </w:r>
      <w:r w:rsidR="008D5075">
        <w:rPr>
          <w:rFonts w:ascii="Arial" w:hAnsi="Arial" w:cs="Arial"/>
          <w:sz w:val="22"/>
          <w:szCs w:val="22"/>
          <w:lang w:val="es-ES"/>
        </w:rPr>
        <w:t xml:space="preserve">entonces </w:t>
      </w:r>
      <w:r w:rsidR="00D03416">
        <w:rPr>
          <w:rFonts w:ascii="Arial" w:hAnsi="Arial" w:cs="Arial"/>
          <w:sz w:val="22"/>
          <w:szCs w:val="22"/>
          <w:lang w:val="es-ES"/>
        </w:rPr>
        <w:t>vigentes,</w:t>
      </w:r>
      <w:r w:rsidR="008D5075">
        <w:rPr>
          <w:rFonts w:ascii="Arial" w:hAnsi="Arial" w:cs="Arial"/>
          <w:sz w:val="22"/>
          <w:szCs w:val="22"/>
          <w:lang w:val="es-ES"/>
        </w:rPr>
        <w:t xml:space="preserve"> –que desarrollaban los factores de desempate conforme al artículo </w:t>
      </w:r>
      <w:r w:rsidR="008D5075" w:rsidRPr="008D5075">
        <w:rPr>
          <w:rFonts w:ascii="Arial" w:hAnsi="Arial" w:cs="Arial"/>
          <w:sz w:val="22"/>
          <w:szCs w:val="22"/>
          <w:lang w:val="es-ES"/>
        </w:rPr>
        <w:t>2.2.1.1.2.2.9</w:t>
      </w:r>
      <w:r w:rsidR="008D5075">
        <w:rPr>
          <w:rFonts w:ascii="Arial" w:hAnsi="Arial" w:cs="Arial"/>
          <w:sz w:val="22"/>
          <w:szCs w:val="22"/>
          <w:lang w:val="es-ES"/>
        </w:rPr>
        <w:t xml:space="preserve"> del Decreto 1082 de 2015–</w:t>
      </w:r>
      <w:r w:rsidR="00E142F6">
        <w:rPr>
          <w:rFonts w:ascii="Arial" w:hAnsi="Arial" w:cs="Arial"/>
          <w:sz w:val="22"/>
          <w:szCs w:val="22"/>
          <w:lang w:val="es-ES"/>
        </w:rPr>
        <w:t>,</w:t>
      </w:r>
      <w:r w:rsidR="00D03416">
        <w:rPr>
          <w:rFonts w:ascii="Arial" w:hAnsi="Arial" w:cs="Arial"/>
          <w:sz w:val="22"/>
          <w:szCs w:val="22"/>
          <w:lang w:val="es-ES"/>
        </w:rPr>
        <w:t xml:space="preserve"> con el fin de adecuar su contenido a los nuevos criterios de desempate</w:t>
      </w:r>
      <w:r w:rsidR="00E142F6">
        <w:rPr>
          <w:rFonts w:ascii="Arial" w:hAnsi="Arial" w:cs="Arial"/>
          <w:sz w:val="22"/>
          <w:szCs w:val="22"/>
          <w:lang w:val="es-ES"/>
        </w:rPr>
        <w:t xml:space="preserve">. </w:t>
      </w:r>
      <w:r w:rsidR="00390998">
        <w:rPr>
          <w:rFonts w:ascii="Arial" w:hAnsi="Arial" w:cs="Arial"/>
          <w:sz w:val="22"/>
          <w:szCs w:val="22"/>
          <w:lang w:val="es-ES"/>
        </w:rPr>
        <w:t xml:space="preserve"> </w:t>
      </w:r>
    </w:p>
    <w:p w14:paraId="46726B6E" w14:textId="2821B1D9" w:rsidR="00E25DCE" w:rsidRDefault="00E142F6" w:rsidP="0003011E">
      <w:pPr>
        <w:spacing w:before="120" w:after="120" w:line="276" w:lineRule="auto"/>
        <w:ind w:firstLine="708"/>
        <w:jc w:val="both"/>
        <w:rPr>
          <w:rFonts w:ascii="Arial" w:hAnsi="Arial" w:cs="Arial"/>
          <w:sz w:val="22"/>
          <w:szCs w:val="22"/>
          <w:lang w:val="es-ES"/>
        </w:rPr>
      </w:pPr>
      <w:r>
        <w:rPr>
          <w:rFonts w:ascii="Arial" w:hAnsi="Arial" w:cs="Arial"/>
          <w:sz w:val="22"/>
          <w:szCs w:val="22"/>
          <w:lang w:val="es-ES"/>
        </w:rPr>
        <w:t>Dado esto, esta</w:t>
      </w:r>
      <w:r w:rsidR="00E25DCE" w:rsidRPr="00B55C5C">
        <w:rPr>
          <w:rFonts w:ascii="Arial" w:hAnsi="Arial" w:cs="Arial"/>
          <w:sz w:val="22"/>
          <w:szCs w:val="22"/>
          <w:lang w:val="es-ES"/>
        </w:rPr>
        <w:t xml:space="preserve"> </w:t>
      </w:r>
      <w:r w:rsidR="00E25DCE">
        <w:rPr>
          <w:rFonts w:ascii="Arial" w:hAnsi="Arial" w:cs="Arial"/>
          <w:sz w:val="22"/>
          <w:szCs w:val="22"/>
          <w:lang w:val="es-ES"/>
        </w:rPr>
        <w:t xml:space="preserve">Agencia </w:t>
      </w:r>
      <w:r w:rsidR="00E25DCE" w:rsidRPr="00B55C5C">
        <w:rPr>
          <w:rFonts w:ascii="Arial" w:hAnsi="Arial" w:cs="Arial"/>
          <w:sz w:val="22"/>
          <w:szCs w:val="22"/>
          <w:lang w:val="es-ES"/>
        </w:rPr>
        <w:t>expid</w:t>
      </w:r>
      <w:r w:rsidR="00E25DCE">
        <w:rPr>
          <w:rFonts w:ascii="Arial" w:hAnsi="Arial" w:cs="Arial"/>
          <w:sz w:val="22"/>
          <w:szCs w:val="22"/>
          <w:lang w:val="es-ES"/>
        </w:rPr>
        <w:t xml:space="preserve">ió </w:t>
      </w:r>
      <w:r w:rsidR="00E25DCE" w:rsidRPr="00B55C5C">
        <w:rPr>
          <w:rFonts w:ascii="Arial" w:hAnsi="Arial" w:cs="Arial"/>
          <w:sz w:val="22"/>
          <w:szCs w:val="22"/>
          <w:lang w:val="es-ES"/>
        </w:rPr>
        <w:t xml:space="preserve">la </w:t>
      </w:r>
      <w:r w:rsidR="00E25DCE">
        <w:rPr>
          <w:rFonts w:ascii="Arial" w:hAnsi="Arial" w:cs="Arial"/>
          <w:sz w:val="22"/>
          <w:szCs w:val="22"/>
          <w:lang w:val="es-ES"/>
        </w:rPr>
        <w:t>R</w:t>
      </w:r>
      <w:r w:rsidR="00E25DCE" w:rsidRPr="00B55C5C">
        <w:rPr>
          <w:rFonts w:ascii="Arial" w:hAnsi="Arial" w:cs="Arial"/>
          <w:sz w:val="22"/>
          <w:szCs w:val="22"/>
          <w:lang w:val="es-ES"/>
        </w:rPr>
        <w:t xml:space="preserve">esolución 161 de 2021, </w:t>
      </w:r>
      <w:r w:rsidR="00E25DCE">
        <w:rPr>
          <w:rFonts w:ascii="Arial" w:hAnsi="Arial" w:cs="Arial"/>
          <w:sz w:val="22"/>
          <w:szCs w:val="22"/>
          <w:lang w:val="es-ES"/>
        </w:rPr>
        <w:t>en procura de</w:t>
      </w:r>
      <w:r w:rsidR="00E25DCE" w:rsidRPr="00B55C5C">
        <w:rPr>
          <w:rFonts w:ascii="Arial" w:hAnsi="Arial" w:cs="Arial"/>
          <w:sz w:val="22"/>
          <w:szCs w:val="22"/>
          <w:lang w:val="es-ES"/>
        </w:rPr>
        <w:t xml:space="preserve"> acoger los factores establecidos en la mencionada ley</w:t>
      </w:r>
      <w:r w:rsidR="00E25DCE">
        <w:rPr>
          <w:rFonts w:ascii="Arial" w:hAnsi="Arial" w:cs="Arial"/>
          <w:sz w:val="22"/>
          <w:szCs w:val="22"/>
          <w:lang w:val="es-ES"/>
        </w:rPr>
        <w:t xml:space="preserve"> y, al efecto, fue modificado el</w:t>
      </w:r>
      <w:r w:rsidR="00E25DCE" w:rsidRPr="00B55C5C">
        <w:rPr>
          <w:rFonts w:ascii="Arial" w:hAnsi="Arial" w:cs="Arial"/>
          <w:sz w:val="22"/>
          <w:szCs w:val="22"/>
          <w:lang w:val="es-ES"/>
        </w:rPr>
        <w:t xml:space="preserve"> numeral 4.6 del documento base </w:t>
      </w:r>
      <w:r w:rsidR="00E25DCE">
        <w:rPr>
          <w:rFonts w:ascii="Arial" w:hAnsi="Arial" w:cs="Arial"/>
          <w:sz w:val="22"/>
          <w:szCs w:val="22"/>
          <w:lang w:val="es-ES"/>
        </w:rPr>
        <w:t xml:space="preserve">de los documentos tipo </w:t>
      </w:r>
      <w:r w:rsidR="00E25DCE" w:rsidRPr="00426C4B">
        <w:rPr>
          <w:rFonts w:ascii="Arial" w:hAnsi="Arial" w:cs="Arial"/>
          <w:sz w:val="22"/>
          <w:szCs w:val="22"/>
          <w:lang w:val="es-ES"/>
        </w:rPr>
        <w:t>los documentos tipo</w:t>
      </w:r>
      <w:r w:rsidR="00E25DCE">
        <w:rPr>
          <w:rFonts w:ascii="Arial" w:hAnsi="Arial" w:cs="Arial"/>
          <w:sz w:val="22"/>
          <w:szCs w:val="22"/>
          <w:lang w:val="es-ES"/>
        </w:rPr>
        <w:t xml:space="preserve"> </w:t>
      </w:r>
      <w:r w:rsidR="00E25DCE" w:rsidRPr="00426C4B">
        <w:rPr>
          <w:rFonts w:ascii="Arial" w:hAnsi="Arial" w:cs="Arial"/>
          <w:sz w:val="22"/>
          <w:szCs w:val="22"/>
          <w:lang w:val="es-ES"/>
        </w:rPr>
        <w:t>de obra pública de infraestructura de transporte adelantados bajo la modalidad de licitación</w:t>
      </w:r>
      <w:r w:rsidR="00E25DCE">
        <w:rPr>
          <w:rFonts w:ascii="Arial" w:hAnsi="Arial" w:cs="Arial"/>
          <w:sz w:val="22"/>
          <w:szCs w:val="22"/>
          <w:lang w:val="es-ES"/>
        </w:rPr>
        <w:t xml:space="preserve"> </w:t>
      </w:r>
      <w:r w:rsidR="00E25DCE" w:rsidRPr="00426C4B">
        <w:rPr>
          <w:rFonts w:ascii="Arial" w:hAnsi="Arial" w:cs="Arial"/>
          <w:sz w:val="22"/>
          <w:szCs w:val="22"/>
          <w:lang w:val="es-ES"/>
        </w:rPr>
        <w:t>pública -Versión 3-, adoptados mediante la Resolución 240 del 27 de noviembre de 2020 y</w:t>
      </w:r>
      <w:r w:rsidR="00E25DCE">
        <w:rPr>
          <w:rFonts w:ascii="Arial" w:hAnsi="Arial" w:cs="Arial"/>
          <w:sz w:val="22"/>
          <w:szCs w:val="22"/>
          <w:lang w:val="es-ES"/>
        </w:rPr>
        <w:t xml:space="preserve"> </w:t>
      </w:r>
      <w:r w:rsidR="00E25DCE" w:rsidRPr="00426C4B">
        <w:rPr>
          <w:rFonts w:ascii="Arial" w:hAnsi="Arial" w:cs="Arial"/>
          <w:sz w:val="22"/>
          <w:szCs w:val="22"/>
          <w:lang w:val="es-ES"/>
        </w:rPr>
        <w:t>de los documentos tipo de obra pública para proyectos de agua potable y saneamiento</w:t>
      </w:r>
      <w:r w:rsidR="00E25DCE">
        <w:rPr>
          <w:rFonts w:ascii="Arial" w:hAnsi="Arial" w:cs="Arial"/>
          <w:sz w:val="22"/>
          <w:szCs w:val="22"/>
          <w:lang w:val="es-ES"/>
        </w:rPr>
        <w:t xml:space="preserve"> </w:t>
      </w:r>
      <w:r w:rsidR="00E25DCE" w:rsidRPr="00426C4B">
        <w:rPr>
          <w:rFonts w:ascii="Arial" w:hAnsi="Arial" w:cs="Arial"/>
          <w:sz w:val="22"/>
          <w:szCs w:val="22"/>
          <w:lang w:val="es-ES"/>
        </w:rPr>
        <w:t>básico bajo la modalidad de licitación pública, expedidos a través de la Resolución 248 del</w:t>
      </w:r>
      <w:r w:rsidR="00E25DCE">
        <w:rPr>
          <w:rFonts w:ascii="Arial" w:hAnsi="Arial" w:cs="Arial"/>
          <w:sz w:val="22"/>
          <w:szCs w:val="22"/>
          <w:lang w:val="es-ES"/>
        </w:rPr>
        <w:t xml:space="preserve"> </w:t>
      </w:r>
      <w:r w:rsidR="00E25DCE" w:rsidRPr="00426C4B">
        <w:rPr>
          <w:rFonts w:ascii="Arial" w:hAnsi="Arial" w:cs="Arial"/>
          <w:sz w:val="22"/>
          <w:szCs w:val="22"/>
          <w:lang w:val="es-ES"/>
        </w:rPr>
        <w:t>1 de diciembre de 2020 y los de la modalidad llave en mano, adoptados por la Resolución</w:t>
      </w:r>
      <w:r w:rsidR="00E25DCE">
        <w:rPr>
          <w:rFonts w:ascii="Arial" w:hAnsi="Arial" w:cs="Arial"/>
          <w:sz w:val="22"/>
          <w:szCs w:val="22"/>
          <w:lang w:val="es-ES"/>
        </w:rPr>
        <w:t xml:space="preserve"> </w:t>
      </w:r>
      <w:r w:rsidR="00E25DCE" w:rsidRPr="00426C4B">
        <w:rPr>
          <w:rFonts w:ascii="Arial" w:hAnsi="Arial" w:cs="Arial"/>
          <w:sz w:val="22"/>
          <w:szCs w:val="22"/>
          <w:lang w:val="es-ES"/>
        </w:rPr>
        <w:t>249 del 1 de diciembre de 2020</w:t>
      </w:r>
      <w:r w:rsidR="00E25DCE" w:rsidRPr="00B55C5C">
        <w:rPr>
          <w:rFonts w:ascii="Arial" w:hAnsi="Arial" w:cs="Arial"/>
          <w:sz w:val="22"/>
          <w:szCs w:val="22"/>
          <w:lang w:val="es-ES"/>
        </w:rPr>
        <w:t xml:space="preserve"> con la finalidad de incluir los criterios establecidos por la Ley.</w:t>
      </w:r>
    </w:p>
    <w:p w14:paraId="2E903B3F" w14:textId="2FB0A6E1" w:rsidR="00E25DCE" w:rsidRDefault="00211F5E" w:rsidP="00E25DCE">
      <w:pPr>
        <w:spacing w:before="120" w:after="120" w:line="276" w:lineRule="auto"/>
        <w:ind w:firstLine="709"/>
        <w:jc w:val="both"/>
        <w:rPr>
          <w:rFonts w:ascii="Arial" w:hAnsi="Arial" w:cs="Arial"/>
          <w:sz w:val="22"/>
          <w:szCs w:val="22"/>
        </w:rPr>
      </w:pPr>
      <w:r>
        <w:rPr>
          <w:rFonts w:ascii="Arial" w:hAnsi="Arial" w:cs="Arial"/>
          <w:sz w:val="22"/>
          <w:szCs w:val="22"/>
        </w:rPr>
        <w:t xml:space="preserve">En concordancia con este </w:t>
      </w:r>
      <w:r w:rsidR="0015294A">
        <w:rPr>
          <w:rFonts w:ascii="Arial" w:hAnsi="Arial" w:cs="Arial"/>
          <w:sz w:val="22"/>
          <w:szCs w:val="22"/>
        </w:rPr>
        <w:t>propósito</w:t>
      </w:r>
      <w:r w:rsidR="00E25DCE" w:rsidRPr="003111C8">
        <w:rPr>
          <w:rFonts w:ascii="Arial" w:hAnsi="Arial" w:cs="Arial"/>
          <w:sz w:val="22"/>
          <w:szCs w:val="22"/>
        </w:rPr>
        <w:t>, el artículo 2</w:t>
      </w:r>
      <w:r w:rsidR="00E25DCE" w:rsidRPr="00B55C5C">
        <w:rPr>
          <w:rFonts w:ascii="Arial" w:hAnsi="Arial" w:cs="Arial"/>
          <w:sz w:val="22"/>
          <w:szCs w:val="22"/>
        </w:rPr>
        <w:t xml:space="preserve"> de la </w:t>
      </w:r>
      <w:r w:rsidR="00E25DCE">
        <w:rPr>
          <w:rFonts w:ascii="Arial" w:hAnsi="Arial" w:cs="Arial"/>
          <w:sz w:val="22"/>
          <w:szCs w:val="22"/>
        </w:rPr>
        <w:t>R</w:t>
      </w:r>
      <w:r w:rsidR="00E25DCE" w:rsidRPr="00B55C5C">
        <w:rPr>
          <w:rFonts w:ascii="Arial" w:hAnsi="Arial" w:cs="Arial"/>
          <w:sz w:val="22"/>
          <w:szCs w:val="22"/>
        </w:rPr>
        <w:t>esolución 161 de 2021</w:t>
      </w:r>
      <w:r w:rsidR="00E25DCE" w:rsidRPr="003111C8">
        <w:rPr>
          <w:rFonts w:ascii="Arial" w:hAnsi="Arial" w:cs="Arial"/>
          <w:sz w:val="22"/>
          <w:szCs w:val="22"/>
        </w:rPr>
        <w:t xml:space="preserve"> incluy</w:t>
      </w:r>
      <w:r w:rsidR="00E25DCE">
        <w:rPr>
          <w:rFonts w:ascii="Arial" w:hAnsi="Arial" w:cs="Arial"/>
          <w:sz w:val="22"/>
          <w:szCs w:val="22"/>
        </w:rPr>
        <w:t>ó</w:t>
      </w:r>
      <w:r w:rsidR="00E25DCE" w:rsidRPr="003111C8">
        <w:rPr>
          <w:rFonts w:ascii="Arial" w:hAnsi="Arial" w:cs="Arial"/>
          <w:sz w:val="22"/>
          <w:szCs w:val="22"/>
        </w:rPr>
        <w:t xml:space="preserve"> el «Formato 10 -Criterios de desempate» </w:t>
      </w:r>
      <w:r w:rsidR="00E25DCE">
        <w:rPr>
          <w:rFonts w:ascii="Arial" w:hAnsi="Arial" w:cs="Arial"/>
          <w:sz w:val="22"/>
          <w:szCs w:val="22"/>
        </w:rPr>
        <w:t>a los documentos tipo</w:t>
      </w:r>
      <w:r w:rsidR="00E25DCE" w:rsidRPr="00FC1D25">
        <w:t xml:space="preserve"> </w:t>
      </w:r>
      <w:r w:rsidR="00E25DCE" w:rsidRPr="00FC1D25">
        <w:rPr>
          <w:rFonts w:ascii="Arial" w:hAnsi="Arial" w:cs="Arial"/>
          <w:sz w:val="22"/>
          <w:szCs w:val="22"/>
        </w:rPr>
        <w:t>de obra pública de</w:t>
      </w:r>
      <w:r w:rsidR="00E25DCE">
        <w:rPr>
          <w:rFonts w:ascii="Arial" w:hAnsi="Arial" w:cs="Arial"/>
          <w:sz w:val="22"/>
          <w:szCs w:val="22"/>
        </w:rPr>
        <w:t xml:space="preserve"> </w:t>
      </w:r>
      <w:r w:rsidR="00E25DCE" w:rsidRPr="00FC1D25">
        <w:rPr>
          <w:rFonts w:ascii="Arial" w:hAnsi="Arial" w:cs="Arial"/>
          <w:sz w:val="22"/>
          <w:szCs w:val="22"/>
        </w:rPr>
        <w:t>infraestructura de transporte adelantados b</w:t>
      </w:r>
      <w:r w:rsidR="00E25DCE">
        <w:rPr>
          <w:rFonts w:ascii="Arial" w:hAnsi="Arial" w:cs="Arial"/>
          <w:sz w:val="22"/>
          <w:szCs w:val="22"/>
        </w:rPr>
        <w:t xml:space="preserve">ajo </w:t>
      </w:r>
      <w:r w:rsidR="00E25DCE" w:rsidRPr="00FC1D25">
        <w:rPr>
          <w:rFonts w:ascii="Arial" w:hAnsi="Arial" w:cs="Arial"/>
          <w:sz w:val="22"/>
          <w:szCs w:val="22"/>
        </w:rPr>
        <w:t>la modalidad de licitación pública -Versión3-, adoptados mediante la Resolución 240 del 27 de noviembre de 2020, a los documentos</w:t>
      </w:r>
      <w:r w:rsidR="00E25DCE">
        <w:rPr>
          <w:rFonts w:ascii="Arial" w:hAnsi="Arial" w:cs="Arial"/>
          <w:sz w:val="22"/>
          <w:szCs w:val="22"/>
        </w:rPr>
        <w:t xml:space="preserve"> </w:t>
      </w:r>
      <w:r w:rsidR="00E25DCE" w:rsidRPr="00FC1D25">
        <w:rPr>
          <w:rFonts w:ascii="Arial" w:hAnsi="Arial" w:cs="Arial"/>
          <w:sz w:val="22"/>
          <w:szCs w:val="22"/>
        </w:rPr>
        <w:t>tipo de interventoría de obra pública infraestructura de transporte adelantados bajo la</w:t>
      </w:r>
      <w:r w:rsidR="00E25DCE">
        <w:rPr>
          <w:rFonts w:ascii="Arial" w:hAnsi="Arial" w:cs="Arial"/>
          <w:sz w:val="22"/>
          <w:szCs w:val="22"/>
        </w:rPr>
        <w:t xml:space="preserve"> </w:t>
      </w:r>
      <w:r w:rsidR="00E25DCE" w:rsidRPr="00FC1D25">
        <w:rPr>
          <w:rFonts w:ascii="Arial" w:hAnsi="Arial" w:cs="Arial"/>
          <w:sz w:val="22"/>
          <w:szCs w:val="22"/>
        </w:rPr>
        <w:t>modalidad de concurso de méritos, incorporados por medio de la Resolución 256 del 11 de</w:t>
      </w:r>
      <w:r w:rsidR="00E25DCE">
        <w:rPr>
          <w:rFonts w:ascii="Arial" w:hAnsi="Arial" w:cs="Arial"/>
          <w:sz w:val="22"/>
          <w:szCs w:val="22"/>
        </w:rPr>
        <w:t xml:space="preserve"> </w:t>
      </w:r>
      <w:r w:rsidR="00E25DCE" w:rsidRPr="00FC1D25">
        <w:rPr>
          <w:rFonts w:ascii="Arial" w:hAnsi="Arial" w:cs="Arial"/>
          <w:sz w:val="22"/>
          <w:szCs w:val="22"/>
        </w:rPr>
        <w:t xml:space="preserve">diciembre de 2020 y de los documentos </w:t>
      </w:r>
      <w:r w:rsidR="00E25DCE">
        <w:rPr>
          <w:rFonts w:ascii="Arial" w:hAnsi="Arial" w:cs="Arial"/>
          <w:sz w:val="22"/>
          <w:szCs w:val="22"/>
        </w:rPr>
        <w:t>t</w:t>
      </w:r>
      <w:r w:rsidR="00E25DCE" w:rsidRPr="00FC1D25">
        <w:rPr>
          <w:rFonts w:ascii="Arial" w:hAnsi="Arial" w:cs="Arial"/>
          <w:sz w:val="22"/>
          <w:szCs w:val="22"/>
        </w:rPr>
        <w:t>ipo de obra pública para proyectos de agua potable</w:t>
      </w:r>
      <w:r w:rsidR="00E25DCE">
        <w:rPr>
          <w:rFonts w:ascii="Arial" w:hAnsi="Arial" w:cs="Arial"/>
          <w:sz w:val="22"/>
          <w:szCs w:val="22"/>
        </w:rPr>
        <w:t xml:space="preserve"> </w:t>
      </w:r>
      <w:r w:rsidR="00E25DCE" w:rsidRPr="00FC1D25">
        <w:rPr>
          <w:rFonts w:ascii="Arial" w:hAnsi="Arial" w:cs="Arial"/>
          <w:sz w:val="22"/>
          <w:szCs w:val="22"/>
        </w:rPr>
        <w:t>y saneamiento básico adelantados bajo la modalidad de licitación pública, acogidos a través</w:t>
      </w:r>
      <w:r w:rsidR="00E25DCE">
        <w:rPr>
          <w:rFonts w:ascii="Arial" w:hAnsi="Arial" w:cs="Arial"/>
          <w:sz w:val="22"/>
          <w:szCs w:val="22"/>
        </w:rPr>
        <w:t xml:space="preserve"> </w:t>
      </w:r>
      <w:r w:rsidR="00E25DCE" w:rsidRPr="00FC1D25">
        <w:rPr>
          <w:rFonts w:ascii="Arial" w:hAnsi="Arial" w:cs="Arial"/>
          <w:sz w:val="22"/>
          <w:szCs w:val="22"/>
        </w:rPr>
        <w:t>de la Resolución 248 del 1 de diciembre de 2020, y los de la modalidad llave en mano,</w:t>
      </w:r>
      <w:r w:rsidR="00E25DCE">
        <w:rPr>
          <w:rFonts w:ascii="Arial" w:hAnsi="Arial" w:cs="Arial"/>
          <w:sz w:val="22"/>
          <w:szCs w:val="22"/>
        </w:rPr>
        <w:t xml:space="preserve"> </w:t>
      </w:r>
      <w:r w:rsidR="00E25DCE" w:rsidRPr="00FC1D25">
        <w:rPr>
          <w:rFonts w:ascii="Arial" w:hAnsi="Arial" w:cs="Arial"/>
          <w:sz w:val="22"/>
          <w:szCs w:val="22"/>
        </w:rPr>
        <w:t>adoptados por la Resolución 249 del 1 de diciembre de 2020.</w:t>
      </w:r>
    </w:p>
    <w:p w14:paraId="6E3DA305" w14:textId="26FEBF6F" w:rsidR="00E25DCE" w:rsidRDefault="00FC03E1" w:rsidP="00E25DCE">
      <w:pPr>
        <w:spacing w:before="120" w:after="120" w:line="276" w:lineRule="auto"/>
        <w:ind w:firstLine="709"/>
        <w:jc w:val="both"/>
        <w:rPr>
          <w:rFonts w:ascii="Arial" w:hAnsi="Arial" w:cs="Arial"/>
          <w:sz w:val="22"/>
          <w:szCs w:val="22"/>
        </w:rPr>
      </w:pPr>
      <w:r>
        <w:rPr>
          <w:rFonts w:ascii="Arial" w:hAnsi="Arial" w:cs="Arial"/>
          <w:sz w:val="22"/>
          <w:szCs w:val="22"/>
        </w:rPr>
        <w:t>Conforme a lo anterior,</w:t>
      </w:r>
      <w:r w:rsidR="00E25DCE">
        <w:rPr>
          <w:rFonts w:ascii="Arial" w:hAnsi="Arial" w:cs="Arial"/>
          <w:sz w:val="22"/>
          <w:szCs w:val="22"/>
        </w:rPr>
        <w:t xml:space="preserve"> la finalidad del Formato 10 es, precisamente, la acreditación de factores de desempate en el caso de personas jurídicas pues, en virtud de la Resolución 161 de 2021, </w:t>
      </w:r>
      <w:r w:rsidR="00E25DCE" w:rsidRPr="00410B71">
        <w:rPr>
          <w:rFonts w:ascii="Arial" w:hAnsi="Arial" w:cs="Arial"/>
          <w:sz w:val="22"/>
          <w:szCs w:val="22"/>
        </w:rPr>
        <w:t>se preferirá a aquellas en las que</w:t>
      </w:r>
      <w:r w:rsidR="00E25DCE">
        <w:rPr>
          <w:rFonts w:ascii="Arial" w:hAnsi="Arial" w:cs="Arial"/>
          <w:sz w:val="22"/>
          <w:szCs w:val="22"/>
        </w:rPr>
        <w:t xml:space="preserve"> </w:t>
      </w:r>
      <w:r w:rsidR="00E25DCE" w:rsidRPr="00F537EE">
        <w:rPr>
          <w:rFonts w:ascii="Arial" w:hAnsi="Arial" w:cs="Arial"/>
          <w:sz w:val="22"/>
          <w:szCs w:val="22"/>
        </w:rPr>
        <w:t>«</w:t>
      </w:r>
      <w:r w:rsidR="00E25DCE">
        <w:rPr>
          <w:rFonts w:ascii="Arial" w:hAnsi="Arial" w:cs="Arial"/>
          <w:sz w:val="22"/>
          <w:szCs w:val="22"/>
        </w:rPr>
        <w:t>…</w:t>
      </w:r>
      <w:r w:rsidR="00E25DCE" w:rsidRPr="00410B71">
        <w:rPr>
          <w:rFonts w:ascii="Arial" w:hAnsi="Arial" w:cs="Arial"/>
          <w:sz w:val="22"/>
          <w:szCs w:val="22"/>
        </w:rPr>
        <w:t>p</w:t>
      </w:r>
      <w:r w:rsidR="00E25DCE">
        <w:rPr>
          <w:rFonts w:ascii="Arial" w:hAnsi="Arial" w:cs="Arial"/>
          <w:sz w:val="22"/>
          <w:szCs w:val="22"/>
        </w:rPr>
        <w:t xml:space="preserve">articipen mayoritariamente </w:t>
      </w:r>
      <w:r w:rsidR="00E25DCE" w:rsidRPr="00410B71">
        <w:rPr>
          <w:rFonts w:ascii="Arial" w:hAnsi="Arial" w:cs="Arial"/>
          <w:sz w:val="22"/>
          <w:szCs w:val="22"/>
        </w:rPr>
        <w:t>mujeres</w:t>
      </w:r>
      <w:r w:rsidR="00E25DCE">
        <w:rPr>
          <w:rFonts w:ascii="Arial" w:hAnsi="Arial" w:cs="Arial"/>
          <w:sz w:val="22"/>
          <w:szCs w:val="22"/>
        </w:rPr>
        <w:t xml:space="preserve"> </w:t>
      </w:r>
      <w:r w:rsidR="00E25DCE" w:rsidRPr="00410B71">
        <w:rPr>
          <w:rFonts w:ascii="Arial" w:hAnsi="Arial" w:cs="Arial"/>
          <w:sz w:val="22"/>
          <w:szCs w:val="22"/>
        </w:rPr>
        <w:t>cabeza de familia y/o mujeres vícti</w:t>
      </w:r>
      <w:r w:rsidR="00E25DCE">
        <w:rPr>
          <w:rFonts w:ascii="Arial" w:hAnsi="Arial" w:cs="Arial"/>
          <w:sz w:val="22"/>
          <w:szCs w:val="22"/>
        </w:rPr>
        <w:t>m</w:t>
      </w:r>
      <w:r w:rsidR="00E25DCE" w:rsidRPr="00410B71">
        <w:rPr>
          <w:rFonts w:ascii="Arial" w:hAnsi="Arial" w:cs="Arial"/>
          <w:sz w:val="22"/>
          <w:szCs w:val="22"/>
        </w:rPr>
        <w:t>as</w:t>
      </w:r>
      <w:r w:rsidR="00E25DCE">
        <w:rPr>
          <w:rFonts w:ascii="Arial" w:hAnsi="Arial" w:cs="Arial"/>
          <w:sz w:val="22"/>
          <w:szCs w:val="22"/>
        </w:rPr>
        <w:t xml:space="preserve"> d</w:t>
      </w:r>
      <w:r w:rsidR="00E25DCE" w:rsidRPr="00410B71">
        <w:rPr>
          <w:rFonts w:ascii="Arial" w:hAnsi="Arial" w:cs="Arial"/>
          <w:sz w:val="22"/>
          <w:szCs w:val="22"/>
        </w:rPr>
        <w:t xml:space="preserve">e violencia intrafamiliar, para lo cual el representante legal o </w:t>
      </w:r>
      <w:r w:rsidR="00E25DCE">
        <w:rPr>
          <w:rFonts w:ascii="Arial" w:hAnsi="Arial" w:cs="Arial"/>
          <w:sz w:val="22"/>
          <w:szCs w:val="22"/>
        </w:rPr>
        <w:t>e</w:t>
      </w:r>
      <w:r w:rsidR="00E25DCE" w:rsidRPr="00410B71">
        <w:rPr>
          <w:rFonts w:ascii="Arial" w:hAnsi="Arial" w:cs="Arial"/>
          <w:sz w:val="22"/>
          <w:szCs w:val="22"/>
        </w:rPr>
        <w:t>l revisor fiscal,</w:t>
      </w:r>
      <w:r w:rsidR="00E25DCE">
        <w:rPr>
          <w:rFonts w:ascii="Arial" w:hAnsi="Arial" w:cs="Arial"/>
          <w:sz w:val="22"/>
          <w:szCs w:val="22"/>
        </w:rPr>
        <w:t xml:space="preserve"> </w:t>
      </w:r>
      <w:r w:rsidR="00E25DCE" w:rsidRPr="00410B71">
        <w:rPr>
          <w:rFonts w:ascii="Arial" w:hAnsi="Arial" w:cs="Arial"/>
          <w:sz w:val="22"/>
          <w:szCs w:val="22"/>
        </w:rPr>
        <w:t xml:space="preserve">según corresponda, </w:t>
      </w:r>
      <w:r w:rsidR="00E25DCE">
        <w:rPr>
          <w:rFonts w:ascii="Arial" w:hAnsi="Arial" w:cs="Arial"/>
          <w:sz w:val="22"/>
          <w:szCs w:val="22"/>
        </w:rPr>
        <w:t>diligenciará</w:t>
      </w:r>
      <w:r w:rsidR="00E25DCE" w:rsidRPr="00410B71">
        <w:rPr>
          <w:rFonts w:ascii="Arial" w:hAnsi="Arial" w:cs="Arial"/>
          <w:sz w:val="22"/>
          <w:szCs w:val="22"/>
        </w:rPr>
        <w:t xml:space="preserve"> el «Formato 1</w:t>
      </w:r>
      <w:r w:rsidR="00E25DCE">
        <w:rPr>
          <w:rFonts w:ascii="Arial" w:hAnsi="Arial" w:cs="Arial"/>
          <w:sz w:val="22"/>
          <w:szCs w:val="22"/>
        </w:rPr>
        <w:t>0</w:t>
      </w:r>
      <w:r w:rsidR="00E25DCE" w:rsidRPr="00410B71">
        <w:rPr>
          <w:rFonts w:ascii="Arial" w:hAnsi="Arial" w:cs="Arial"/>
          <w:sz w:val="22"/>
          <w:szCs w:val="22"/>
        </w:rPr>
        <w:t>A -Participación mayoritari</w:t>
      </w:r>
      <w:r w:rsidR="00E25DCE">
        <w:rPr>
          <w:rFonts w:ascii="Arial" w:hAnsi="Arial" w:cs="Arial"/>
          <w:sz w:val="22"/>
          <w:szCs w:val="22"/>
        </w:rPr>
        <w:t xml:space="preserve">a </w:t>
      </w:r>
      <w:r w:rsidR="00E25DCE" w:rsidRPr="00410B71">
        <w:rPr>
          <w:rFonts w:ascii="Arial" w:hAnsi="Arial" w:cs="Arial"/>
          <w:sz w:val="22"/>
          <w:szCs w:val="22"/>
        </w:rPr>
        <w:t>de mujeres cabeza de familia y/o mujeres víctimas de violencia intrafamiliar</w:t>
      </w:r>
      <w:r w:rsidR="00E25DCE">
        <w:rPr>
          <w:rFonts w:ascii="Arial" w:hAnsi="Arial" w:cs="Arial"/>
          <w:sz w:val="22"/>
          <w:szCs w:val="22"/>
        </w:rPr>
        <w:t xml:space="preserve"> </w:t>
      </w:r>
      <w:r w:rsidR="00E25DCE" w:rsidRPr="00410B71">
        <w:rPr>
          <w:rFonts w:ascii="Arial" w:hAnsi="Arial" w:cs="Arial"/>
          <w:sz w:val="22"/>
          <w:szCs w:val="22"/>
        </w:rPr>
        <w:t>(persona jurídica)», mediante el cual certifica, bajo la gravedad de juramento,</w:t>
      </w:r>
      <w:r w:rsidR="00E25DCE">
        <w:rPr>
          <w:rFonts w:ascii="Arial" w:hAnsi="Arial" w:cs="Arial"/>
          <w:sz w:val="22"/>
          <w:szCs w:val="22"/>
        </w:rPr>
        <w:t xml:space="preserve"> </w:t>
      </w:r>
      <w:r w:rsidR="00E25DCE" w:rsidRPr="00410B71">
        <w:rPr>
          <w:rFonts w:ascii="Arial" w:hAnsi="Arial" w:cs="Arial"/>
          <w:sz w:val="22"/>
          <w:szCs w:val="22"/>
        </w:rPr>
        <w:t>que más del cincuenta por ciento (50 %) de la composición accionaria o cuota</w:t>
      </w:r>
      <w:r w:rsidR="00E25DCE">
        <w:rPr>
          <w:rFonts w:ascii="Arial" w:hAnsi="Arial" w:cs="Arial"/>
          <w:sz w:val="22"/>
          <w:szCs w:val="22"/>
        </w:rPr>
        <w:t xml:space="preserve"> </w:t>
      </w:r>
      <w:r w:rsidR="00E25DCE" w:rsidRPr="00410B71">
        <w:rPr>
          <w:rFonts w:ascii="Arial" w:hAnsi="Arial" w:cs="Arial"/>
          <w:sz w:val="22"/>
          <w:szCs w:val="22"/>
        </w:rPr>
        <w:t>par</w:t>
      </w:r>
      <w:r w:rsidR="00E25DCE">
        <w:rPr>
          <w:rFonts w:ascii="Arial" w:hAnsi="Arial" w:cs="Arial"/>
          <w:sz w:val="22"/>
          <w:szCs w:val="22"/>
        </w:rPr>
        <w:t>t</w:t>
      </w:r>
      <w:r w:rsidR="00E25DCE" w:rsidRPr="00410B71">
        <w:rPr>
          <w:rFonts w:ascii="Arial" w:hAnsi="Arial" w:cs="Arial"/>
          <w:sz w:val="22"/>
          <w:szCs w:val="22"/>
        </w:rPr>
        <w:t>e de la</w:t>
      </w:r>
      <w:r w:rsidR="00E25DCE">
        <w:rPr>
          <w:rFonts w:ascii="Arial" w:hAnsi="Arial" w:cs="Arial"/>
          <w:sz w:val="22"/>
          <w:szCs w:val="22"/>
        </w:rPr>
        <w:t xml:space="preserve"> persona jurídica está </w:t>
      </w:r>
      <w:r w:rsidR="00E25DCE" w:rsidRPr="00410B71">
        <w:rPr>
          <w:rFonts w:ascii="Arial" w:hAnsi="Arial" w:cs="Arial"/>
          <w:sz w:val="22"/>
          <w:szCs w:val="22"/>
        </w:rPr>
        <w:t>constituida por mujeres cabeza de familia y/o</w:t>
      </w:r>
      <w:r w:rsidR="00E25DCE">
        <w:rPr>
          <w:rFonts w:ascii="Arial" w:hAnsi="Arial" w:cs="Arial"/>
          <w:sz w:val="22"/>
          <w:szCs w:val="22"/>
        </w:rPr>
        <w:t xml:space="preserve"> </w:t>
      </w:r>
      <w:r w:rsidR="00E25DCE" w:rsidRPr="00410B71">
        <w:rPr>
          <w:rFonts w:ascii="Arial" w:hAnsi="Arial" w:cs="Arial"/>
          <w:sz w:val="22"/>
          <w:szCs w:val="22"/>
        </w:rPr>
        <w:t>mujeres víctimas de violencia intrafamiliar. Además, deberá acreditar la</w:t>
      </w:r>
      <w:r w:rsidR="00E25DCE">
        <w:rPr>
          <w:rFonts w:ascii="Arial" w:hAnsi="Arial" w:cs="Arial"/>
          <w:sz w:val="22"/>
          <w:szCs w:val="22"/>
        </w:rPr>
        <w:t xml:space="preserve"> condición indicada</w:t>
      </w:r>
      <w:r w:rsidR="00E25DCE" w:rsidRPr="00410B71">
        <w:rPr>
          <w:rFonts w:ascii="Arial" w:hAnsi="Arial" w:cs="Arial"/>
          <w:sz w:val="22"/>
          <w:szCs w:val="22"/>
        </w:rPr>
        <w:t xml:space="preserve"> de cada una de las </w:t>
      </w:r>
      <w:r w:rsidR="00E25DCE" w:rsidRPr="00410B71">
        <w:rPr>
          <w:rFonts w:ascii="Arial" w:hAnsi="Arial" w:cs="Arial"/>
          <w:sz w:val="22"/>
          <w:szCs w:val="22"/>
        </w:rPr>
        <w:lastRenderedPageBreak/>
        <w:t>mujeres que participen en la sociedad,</w:t>
      </w:r>
      <w:r w:rsidR="00E25DCE">
        <w:rPr>
          <w:rFonts w:ascii="Arial" w:hAnsi="Arial" w:cs="Arial"/>
          <w:sz w:val="22"/>
          <w:szCs w:val="22"/>
        </w:rPr>
        <w:t xml:space="preserve"> </w:t>
      </w:r>
      <w:r w:rsidR="00E25DCE" w:rsidRPr="00410B71">
        <w:rPr>
          <w:rFonts w:ascii="Arial" w:hAnsi="Arial" w:cs="Arial"/>
          <w:sz w:val="22"/>
          <w:szCs w:val="22"/>
        </w:rPr>
        <w:t>aportando los documentos de cada una de ellas, de acuerdo con los dos</w:t>
      </w:r>
      <w:r w:rsidR="00E25DCE">
        <w:rPr>
          <w:rFonts w:ascii="Arial" w:hAnsi="Arial" w:cs="Arial"/>
          <w:sz w:val="22"/>
          <w:szCs w:val="22"/>
        </w:rPr>
        <w:t xml:space="preserve"> </w:t>
      </w:r>
      <w:r w:rsidR="00E25DCE" w:rsidRPr="00410B71">
        <w:rPr>
          <w:rFonts w:ascii="Arial" w:hAnsi="Arial" w:cs="Arial"/>
          <w:sz w:val="22"/>
          <w:szCs w:val="22"/>
        </w:rPr>
        <w:t>incisos anteriores</w:t>
      </w:r>
      <w:r w:rsidR="00E25DCE" w:rsidRPr="005B766F">
        <w:rPr>
          <w:rFonts w:ascii="Arial" w:hAnsi="Arial" w:cs="Arial"/>
          <w:sz w:val="22"/>
          <w:szCs w:val="22"/>
        </w:rPr>
        <w:t>»</w:t>
      </w:r>
      <w:r w:rsidR="00E018E5">
        <w:rPr>
          <w:rFonts w:ascii="Arial" w:hAnsi="Arial" w:cs="Arial"/>
          <w:sz w:val="22"/>
          <w:szCs w:val="22"/>
        </w:rPr>
        <w:t>.</w:t>
      </w:r>
    </w:p>
    <w:p w14:paraId="4DA3ED6D" w14:textId="0177536F" w:rsidR="00E25DCE" w:rsidRDefault="00E25DCE" w:rsidP="00E25DCE">
      <w:pPr>
        <w:spacing w:before="120" w:after="120" w:line="276" w:lineRule="auto"/>
        <w:ind w:firstLine="709"/>
        <w:jc w:val="both"/>
        <w:rPr>
          <w:rFonts w:ascii="Arial" w:hAnsi="Arial" w:cs="Arial"/>
          <w:sz w:val="22"/>
          <w:szCs w:val="22"/>
        </w:rPr>
      </w:pPr>
      <w:r>
        <w:rPr>
          <w:rFonts w:ascii="Arial" w:hAnsi="Arial" w:cs="Arial"/>
          <w:sz w:val="22"/>
          <w:szCs w:val="22"/>
        </w:rPr>
        <w:t xml:space="preserve">Por su parte, y como ilustración, el Formato 10 de los documentos tipo de infraestructura para licitación de obra pública de transporte indica que </w:t>
      </w:r>
      <w:r w:rsidRPr="005B766F">
        <w:rPr>
          <w:rFonts w:ascii="Arial" w:hAnsi="Arial" w:cs="Arial"/>
          <w:sz w:val="22"/>
          <w:szCs w:val="22"/>
        </w:rPr>
        <w:t>«Este formato se diligencia por el representante legal o el revisor fiscal, según corresponda, de la persona jurídica en el que mayoritariamente participen mujeres cabeza de familia y mujeres víctima de violencia intrafamiliar. En el evento que la oferta la presente una entidad privada sin ánimo de lucro, ya sea, fundación, corporación o asociación se ajustará el formato en lo pertinente. La información vertida en este formato contiene datos sensibles la cual está sujeta a reserva legal y, por tanto, no se podrá publicar en el SECOP I y II para su conocimiento»</w:t>
      </w:r>
      <w:r w:rsidR="00E018E5">
        <w:rPr>
          <w:rFonts w:ascii="Arial" w:hAnsi="Arial" w:cs="Arial"/>
          <w:sz w:val="22"/>
          <w:szCs w:val="22"/>
        </w:rPr>
        <w:t>.</w:t>
      </w:r>
    </w:p>
    <w:p w14:paraId="25A6B6CC" w14:textId="77777777" w:rsidR="00E146F0" w:rsidRDefault="00E25DCE" w:rsidP="00E146F0">
      <w:pPr>
        <w:spacing w:before="120" w:after="120" w:line="276" w:lineRule="auto"/>
        <w:ind w:firstLine="709"/>
        <w:jc w:val="both"/>
        <w:rPr>
          <w:rFonts w:ascii="Arial" w:hAnsi="Arial" w:cs="Arial"/>
          <w:sz w:val="22"/>
          <w:szCs w:val="22"/>
        </w:rPr>
      </w:pPr>
      <w:r>
        <w:rPr>
          <w:rFonts w:ascii="Arial" w:hAnsi="Arial" w:cs="Arial"/>
          <w:sz w:val="22"/>
          <w:szCs w:val="22"/>
        </w:rPr>
        <w:t xml:space="preserve">Por su parte, </w:t>
      </w:r>
      <w:r w:rsidRPr="003111C8">
        <w:rPr>
          <w:rFonts w:ascii="Arial" w:hAnsi="Arial" w:cs="Arial"/>
          <w:sz w:val="22"/>
          <w:szCs w:val="22"/>
        </w:rPr>
        <w:t>e</w:t>
      </w:r>
      <w:r w:rsidRPr="00B55C5C">
        <w:rPr>
          <w:rFonts w:ascii="Arial" w:hAnsi="Arial" w:cs="Arial"/>
          <w:sz w:val="22"/>
          <w:szCs w:val="22"/>
        </w:rPr>
        <w:t>l</w:t>
      </w:r>
      <w:r w:rsidRPr="003111C8">
        <w:rPr>
          <w:rFonts w:ascii="Arial" w:hAnsi="Arial" w:cs="Arial"/>
          <w:sz w:val="22"/>
          <w:szCs w:val="22"/>
        </w:rPr>
        <w:t xml:space="preserve"> artículo 3</w:t>
      </w:r>
      <w:r>
        <w:rPr>
          <w:rFonts w:ascii="Arial" w:hAnsi="Arial" w:cs="Arial"/>
          <w:sz w:val="22"/>
          <w:szCs w:val="22"/>
        </w:rPr>
        <w:t xml:space="preserve"> de la Resolución 161 de 2021</w:t>
      </w:r>
      <w:r w:rsidRPr="003111C8">
        <w:rPr>
          <w:rFonts w:ascii="Arial" w:hAnsi="Arial" w:cs="Arial"/>
          <w:sz w:val="22"/>
          <w:szCs w:val="22"/>
        </w:rPr>
        <w:t xml:space="preserve"> incluy</w:t>
      </w:r>
      <w:r>
        <w:rPr>
          <w:rFonts w:ascii="Arial" w:hAnsi="Arial" w:cs="Arial"/>
          <w:sz w:val="22"/>
          <w:szCs w:val="22"/>
        </w:rPr>
        <w:t>ó</w:t>
      </w:r>
      <w:r w:rsidRPr="003111C8">
        <w:rPr>
          <w:rFonts w:ascii="Arial" w:hAnsi="Arial" w:cs="Arial"/>
          <w:sz w:val="22"/>
          <w:szCs w:val="22"/>
        </w:rPr>
        <w:t xml:space="preserve"> el «Formato 11 -</w:t>
      </w:r>
      <w:r>
        <w:rPr>
          <w:rFonts w:ascii="Arial" w:hAnsi="Arial" w:cs="Arial"/>
          <w:sz w:val="22"/>
          <w:szCs w:val="22"/>
        </w:rPr>
        <w:t xml:space="preserve"> </w:t>
      </w:r>
      <w:r w:rsidRPr="003111C8">
        <w:rPr>
          <w:rFonts w:ascii="Arial" w:hAnsi="Arial" w:cs="Arial"/>
          <w:sz w:val="22"/>
          <w:szCs w:val="22"/>
        </w:rPr>
        <w:t>Autorización para el tratamiento de datos personales» para cumplir lo dispuesto en la Ley 1581 de 2012 y el Decreto 1377 de 2013</w:t>
      </w:r>
      <w:r>
        <w:rPr>
          <w:rFonts w:ascii="Arial" w:hAnsi="Arial" w:cs="Arial"/>
          <w:sz w:val="22"/>
          <w:szCs w:val="22"/>
        </w:rPr>
        <w:t xml:space="preserve">, con el fin de </w:t>
      </w:r>
      <w:r w:rsidRPr="003111C8">
        <w:rPr>
          <w:rFonts w:ascii="Arial" w:hAnsi="Arial" w:cs="Arial"/>
          <w:sz w:val="22"/>
          <w:szCs w:val="22"/>
        </w:rPr>
        <w:t>garantizar un adecuado manejo de los datos sensibles en los</w:t>
      </w:r>
      <w:r>
        <w:rPr>
          <w:rFonts w:ascii="Arial" w:hAnsi="Arial" w:cs="Arial"/>
          <w:sz w:val="22"/>
          <w:szCs w:val="22"/>
        </w:rPr>
        <w:t xml:space="preserve"> mismos</w:t>
      </w:r>
      <w:r w:rsidRPr="003111C8">
        <w:rPr>
          <w:rFonts w:ascii="Arial" w:hAnsi="Arial" w:cs="Arial"/>
          <w:sz w:val="22"/>
          <w:szCs w:val="22"/>
        </w:rPr>
        <w:t xml:space="preserve"> documentos tipo</w:t>
      </w:r>
      <w:r>
        <w:rPr>
          <w:rFonts w:ascii="Arial" w:hAnsi="Arial" w:cs="Arial"/>
          <w:sz w:val="22"/>
          <w:szCs w:val="22"/>
        </w:rPr>
        <w:t xml:space="preserve"> relacionados atrás.</w:t>
      </w:r>
      <w:r w:rsidR="00E146F0">
        <w:rPr>
          <w:rFonts w:ascii="Arial" w:hAnsi="Arial" w:cs="Arial"/>
          <w:sz w:val="22"/>
          <w:szCs w:val="22"/>
        </w:rPr>
        <w:t xml:space="preserve"> </w:t>
      </w:r>
      <w:r>
        <w:rPr>
          <w:rFonts w:ascii="Arial" w:hAnsi="Arial" w:cs="Arial"/>
          <w:sz w:val="22"/>
          <w:szCs w:val="22"/>
        </w:rPr>
        <w:t xml:space="preserve">En este caso, y como ilustración, el Formato 11 de los documentos tipo de infraestructura para licitación de obra pública de transporte indica que </w:t>
      </w:r>
      <w:r w:rsidRPr="003111C8">
        <w:rPr>
          <w:rFonts w:ascii="Arial" w:hAnsi="Arial" w:cs="Arial"/>
          <w:sz w:val="22"/>
          <w:szCs w:val="22"/>
        </w:rPr>
        <w:t>«</w:t>
      </w:r>
      <w:r w:rsidRPr="006E2449">
        <w:rPr>
          <w:rFonts w:ascii="Arial" w:hAnsi="Arial" w:cs="Arial"/>
          <w:sz w:val="22"/>
          <w:szCs w:val="22"/>
        </w:rPr>
        <w:t>El presente Formato lo diligenciará toda persona (proponente, socia o trabajador) que al momento de presentar su oferta contenga datos sensibles, para que la Entidad Estatal contratante garantice el tratamiento adecuado a estos datos</w:t>
      </w:r>
      <w:r w:rsidR="00E146F0">
        <w:rPr>
          <w:rFonts w:ascii="Arial" w:hAnsi="Arial" w:cs="Arial"/>
          <w:sz w:val="22"/>
          <w:szCs w:val="22"/>
        </w:rPr>
        <w:t>.</w:t>
      </w:r>
      <w:r w:rsidRPr="005B766F">
        <w:rPr>
          <w:rFonts w:ascii="Arial" w:hAnsi="Arial" w:cs="Arial"/>
          <w:sz w:val="22"/>
          <w:szCs w:val="22"/>
        </w:rPr>
        <w:t>»</w:t>
      </w:r>
      <w:bookmarkStart w:id="3" w:name="_Toc84411344"/>
      <w:r w:rsidR="00E146F0">
        <w:rPr>
          <w:rFonts w:ascii="Arial" w:hAnsi="Arial" w:cs="Arial"/>
          <w:sz w:val="22"/>
          <w:szCs w:val="22"/>
        </w:rPr>
        <w:t xml:space="preserve"> </w:t>
      </w:r>
    </w:p>
    <w:p w14:paraId="0CD3F58D" w14:textId="066EE8FC" w:rsidR="00322518" w:rsidRDefault="00E25DCE" w:rsidP="0003011E">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 xml:space="preserve">Así las cosas, se evidencia que se trata de dos formatos que contienen, por un lado, información relativa a los hechos que solucionan empates </w:t>
      </w:r>
      <w:r w:rsidR="00FC03E1">
        <w:rPr>
          <w:rFonts w:ascii="Arial" w:eastAsia="Calibri" w:hAnsi="Arial" w:cs="Arial"/>
          <w:color w:val="000000" w:themeColor="text1"/>
          <w:sz w:val="22"/>
          <w:szCs w:val="22"/>
          <w:lang w:val="es-ES_tradnl"/>
        </w:rPr>
        <w:t>–</w:t>
      </w:r>
      <w:r>
        <w:rPr>
          <w:rFonts w:ascii="Arial" w:eastAsia="Calibri" w:hAnsi="Arial" w:cs="Arial"/>
          <w:color w:val="000000" w:themeColor="text1"/>
          <w:sz w:val="22"/>
          <w:szCs w:val="22"/>
          <w:lang w:val="es-ES_tradnl"/>
        </w:rPr>
        <w:t>factores de desempate</w:t>
      </w:r>
      <w:r w:rsidR="00FC03E1">
        <w:rPr>
          <w:rFonts w:ascii="Arial" w:eastAsia="Calibri" w:hAnsi="Arial" w:cs="Arial"/>
          <w:color w:val="000000" w:themeColor="text1"/>
          <w:sz w:val="22"/>
          <w:szCs w:val="22"/>
          <w:lang w:val="es-ES_tradnl"/>
        </w:rPr>
        <w:t>–</w:t>
      </w:r>
      <w:r>
        <w:rPr>
          <w:rFonts w:ascii="Arial" w:eastAsia="Calibri" w:hAnsi="Arial" w:cs="Arial"/>
          <w:color w:val="000000" w:themeColor="text1"/>
          <w:sz w:val="22"/>
          <w:szCs w:val="22"/>
          <w:lang w:val="es-ES_tradnl"/>
        </w:rPr>
        <w:t xml:space="preserve"> y, por el otro, información relativa a la </w:t>
      </w:r>
      <w:r w:rsidRPr="003A6580">
        <w:rPr>
          <w:rFonts w:ascii="Arial" w:eastAsia="Calibri" w:hAnsi="Arial" w:cs="Arial"/>
          <w:color w:val="000000" w:themeColor="text1"/>
          <w:sz w:val="22"/>
          <w:szCs w:val="22"/>
          <w:lang w:val="es-ES_tradnl"/>
        </w:rPr>
        <w:t>protección de datos personales</w:t>
      </w:r>
      <w:r w:rsidR="00FC03E1">
        <w:rPr>
          <w:rFonts w:ascii="Arial" w:eastAsia="Calibri" w:hAnsi="Arial" w:cs="Arial"/>
          <w:color w:val="000000" w:themeColor="text1"/>
          <w:sz w:val="22"/>
          <w:szCs w:val="22"/>
          <w:lang w:val="es-ES_tradnl"/>
        </w:rPr>
        <w:t>, que es presupuesto para acreditar el criterio de desempate</w:t>
      </w:r>
      <w:r>
        <w:rPr>
          <w:rFonts w:ascii="Arial" w:eastAsia="Calibri" w:hAnsi="Arial" w:cs="Arial"/>
          <w:color w:val="000000" w:themeColor="text1"/>
          <w:sz w:val="22"/>
          <w:szCs w:val="22"/>
          <w:lang w:val="es-ES_tradnl"/>
        </w:rPr>
        <w:t>.</w:t>
      </w:r>
      <w:r w:rsidR="00E2049E">
        <w:rPr>
          <w:rFonts w:ascii="Arial" w:eastAsia="Calibri" w:hAnsi="Arial" w:cs="Arial"/>
          <w:color w:val="000000" w:themeColor="text1"/>
          <w:sz w:val="22"/>
          <w:szCs w:val="22"/>
          <w:lang w:val="es-ES_tradnl"/>
        </w:rPr>
        <w:t xml:space="preserve"> No obstante, para determinar si estos constituyen </w:t>
      </w:r>
      <w:r w:rsidR="007C25D3">
        <w:rPr>
          <w:rFonts w:ascii="Arial" w:eastAsia="Calibri" w:hAnsi="Arial" w:cs="Arial"/>
          <w:color w:val="000000" w:themeColor="text1"/>
          <w:sz w:val="22"/>
          <w:szCs w:val="22"/>
          <w:lang w:val="es-ES_tradnl"/>
        </w:rPr>
        <w:t xml:space="preserve">o no </w:t>
      </w:r>
      <w:r w:rsidR="00E2049E">
        <w:rPr>
          <w:rFonts w:ascii="Arial" w:eastAsia="Calibri" w:hAnsi="Arial" w:cs="Arial"/>
          <w:color w:val="000000" w:themeColor="text1"/>
          <w:sz w:val="22"/>
          <w:szCs w:val="22"/>
          <w:lang w:val="es-ES_tradnl"/>
        </w:rPr>
        <w:t>documentos subsanables</w:t>
      </w:r>
      <w:r w:rsidR="007C25D3">
        <w:rPr>
          <w:rFonts w:ascii="Arial" w:eastAsia="Calibri" w:hAnsi="Arial" w:cs="Arial"/>
          <w:color w:val="000000" w:themeColor="text1"/>
          <w:sz w:val="22"/>
          <w:szCs w:val="22"/>
          <w:lang w:val="es-ES_tradnl"/>
        </w:rPr>
        <w:t>, es necesario detenerse en l</w:t>
      </w:r>
      <w:r w:rsidR="00A47AA9">
        <w:rPr>
          <w:rFonts w:ascii="Arial" w:eastAsia="Calibri" w:hAnsi="Arial" w:cs="Arial"/>
          <w:color w:val="000000" w:themeColor="text1"/>
          <w:sz w:val="22"/>
          <w:szCs w:val="22"/>
          <w:lang w:val="es-ES_tradnl"/>
        </w:rPr>
        <w:t xml:space="preserve">os supuestos en atención a los cuales opera la regla de subsanabilidad de las ofertas, prevista en el parágrafo del artículo 5 de la Ley 1150 de 2007. </w:t>
      </w:r>
    </w:p>
    <w:p w14:paraId="50508B50" w14:textId="77777777" w:rsidR="0015294A" w:rsidRDefault="0015294A" w:rsidP="0003011E">
      <w:pPr>
        <w:spacing w:line="276" w:lineRule="auto"/>
        <w:ind w:firstLine="709"/>
        <w:jc w:val="both"/>
        <w:rPr>
          <w:rFonts w:ascii="Arial" w:eastAsia="Calibri" w:hAnsi="Arial" w:cs="Arial"/>
          <w:color w:val="000000" w:themeColor="text1"/>
          <w:sz w:val="22"/>
          <w:szCs w:val="22"/>
          <w:lang w:val="es-ES_tradnl"/>
        </w:rPr>
      </w:pPr>
    </w:p>
    <w:p w14:paraId="69C7ED52" w14:textId="71C8E80E" w:rsidR="00322518" w:rsidRDefault="00322518" w:rsidP="00322518">
      <w:pPr>
        <w:spacing w:line="276" w:lineRule="auto"/>
        <w:jc w:val="both"/>
        <w:rPr>
          <w:rFonts w:ascii="Arial" w:eastAsia="Calibri" w:hAnsi="Arial" w:cs="Arial"/>
          <w:b/>
          <w:bCs/>
          <w:color w:val="000000" w:themeColor="text1"/>
          <w:sz w:val="22"/>
          <w:szCs w:val="22"/>
          <w:lang w:val="es-ES_tradnl"/>
        </w:rPr>
      </w:pPr>
      <w:r>
        <w:rPr>
          <w:rFonts w:ascii="Arial" w:eastAsia="Calibri" w:hAnsi="Arial" w:cs="Arial"/>
          <w:b/>
          <w:bCs/>
          <w:color w:val="000000" w:themeColor="text1"/>
          <w:sz w:val="22"/>
          <w:szCs w:val="22"/>
          <w:lang w:val="es-ES_tradnl"/>
        </w:rPr>
        <w:t>2.</w:t>
      </w:r>
      <w:r w:rsidR="00D81D35">
        <w:rPr>
          <w:rFonts w:ascii="Arial" w:eastAsia="Calibri" w:hAnsi="Arial" w:cs="Arial"/>
          <w:b/>
          <w:bCs/>
          <w:color w:val="000000" w:themeColor="text1"/>
          <w:sz w:val="22"/>
          <w:szCs w:val="22"/>
          <w:lang w:val="es-ES_tradnl"/>
        </w:rPr>
        <w:t>5</w:t>
      </w:r>
      <w:r>
        <w:rPr>
          <w:rFonts w:ascii="Arial" w:eastAsia="Calibri" w:hAnsi="Arial" w:cs="Arial"/>
          <w:b/>
          <w:bCs/>
          <w:color w:val="000000" w:themeColor="text1"/>
          <w:sz w:val="22"/>
          <w:szCs w:val="22"/>
          <w:lang w:val="es-ES_tradnl"/>
        </w:rPr>
        <w:t xml:space="preserve"> </w:t>
      </w:r>
      <w:r w:rsidR="00D81D35">
        <w:rPr>
          <w:rFonts w:ascii="Arial" w:eastAsia="Calibri" w:hAnsi="Arial" w:cs="Arial"/>
          <w:b/>
          <w:bCs/>
          <w:color w:val="000000" w:themeColor="text1"/>
          <w:sz w:val="22"/>
          <w:szCs w:val="22"/>
          <w:lang w:val="es-ES_tradnl"/>
        </w:rPr>
        <w:t>A</w:t>
      </w:r>
      <w:r>
        <w:rPr>
          <w:rFonts w:ascii="Arial" w:eastAsia="Calibri" w:hAnsi="Arial" w:cs="Arial"/>
          <w:b/>
          <w:bCs/>
          <w:color w:val="000000" w:themeColor="text1"/>
          <w:sz w:val="22"/>
          <w:szCs w:val="22"/>
          <w:lang w:val="es-ES_tradnl"/>
        </w:rPr>
        <w:t>lcance de la regla de subsanabilidad para acreditar los factores de desempate previstos en la Ley 2069 de 2020</w:t>
      </w:r>
    </w:p>
    <w:p w14:paraId="35E84266" w14:textId="77777777" w:rsidR="00322518" w:rsidRDefault="00322518" w:rsidP="00322518">
      <w:pPr>
        <w:spacing w:line="276" w:lineRule="auto"/>
        <w:jc w:val="both"/>
        <w:rPr>
          <w:rFonts w:ascii="Arial" w:eastAsia="Calibri" w:hAnsi="Arial" w:cs="Arial"/>
          <w:b/>
          <w:bCs/>
          <w:color w:val="000000" w:themeColor="text1"/>
          <w:sz w:val="22"/>
          <w:szCs w:val="22"/>
          <w:lang w:val="es-ES_tradnl"/>
        </w:rPr>
      </w:pPr>
    </w:p>
    <w:p w14:paraId="2A481434" w14:textId="793A222A" w:rsidR="00322518" w:rsidRDefault="007D01F8" w:rsidP="00322518">
      <w:pPr>
        <w:spacing w:after="120" w:line="276" w:lineRule="auto"/>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 xml:space="preserve">Para establecer responder </w:t>
      </w:r>
      <w:r w:rsidR="00822ECB">
        <w:rPr>
          <w:rFonts w:ascii="Arial" w:eastAsia="Calibri" w:hAnsi="Arial" w:cs="Arial"/>
          <w:color w:val="000000" w:themeColor="text1"/>
          <w:sz w:val="22"/>
          <w:szCs w:val="22"/>
          <w:lang w:val="es-ES_tradnl"/>
        </w:rPr>
        <w:t xml:space="preserve">la consulta </w:t>
      </w:r>
      <w:r w:rsidR="00322518">
        <w:rPr>
          <w:rFonts w:ascii="Arial" w:eastAsia="Calibri" w:hAnsi="Arial" w:cs="Arial"/>
          <w:color w:val="000000" w:themeColor="text1"/>
          <w:sz w:val="22"/>
          <w:szCs w:val="22"/>
          <w:lang w:val="es-ES_tradnl"/>
        </w:rPr>
        <w:t>es necesario precisar los siguientes aspectos: i) el momento en el que el proponente debe aportar los documentos que acreditan las causales del artículo 35 de la Ley 2069 de 2020, ii) si la no entrega de estos documentos es subsanable y iii) si es posible solicitar los documentos que acreditan los factores de desempate en la audiencia de adjudicación. Para estos efectos, es necesario realizar algunas consideraciones sobre el alcance de la regla de subsanabilidad en los procesos de selección.</w:t>
      </w:r>
    </w:p>
    <w:p w14:paraId="2A3BDDDE" w14:textId="77777777" w:rsidR="00322518" w:rsidRDefault="00322518" w:rsidP="00322518">
      <w:pPr>
        <w:spacing w:line="276" w:lineRule="auto"/>
        <w:ind w:firstLine="708"/>
        <w:jc w:val="both"/>
        <w:rPr>
          <w:rFonts w:ascii="Arial" w:eastAsia="Calibri" w:hAnsi="Arial" w:cs="Arial"/>
          <w:color w:val="000000" w:themeColor="text1"/>
          <w:sz w:val="22"/>
          <w:lang w:val="es-ES"/>
        </w:rPr>
      </w:pPr>
      <w:r w:rsidRPr="000F6C89">
        <w:rPr>
          <w:rFonts w:ascii="Arial" w:eastAsia="Calibri" w:hAnsi="Arial" w:cs="Arial"/>
          <w:color w:val="000000" w:themeColor="text1"/>
          <w:sz w:val="22"/>
          <w:lang w:val="es-ES"/>
        </w:rPr>
        <w:lastRenderedPageBreak/>
        <w:t>La subsanabilidad es un mecanismo previsto en los proce</w:t>
      </w:r>
      <w:r>
        <w:rPr>
          <w:rFonts w:ascii="Arial" w:eastAsia="Calibri" w:hAnsi="Arial" w:cs="Arial"/>
          <w:color w:val="000000" w:themeColor="text1"/>
          <w:sz w:val="22"/>
          <w:lang w:val="es-ES"/>
        </w:rPr>
        <w:t>dimientos</w:t>
      </w:r>
      <w:r w:rsidRPr="000F6C89">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regulados</w:t>
      </w:r>
      <w:r w:rsidRPr="000F6C89">
        <w:rPr>
          <w:rFonts w:ascii="Arial" w:eastAsia="Calibri" w:hAnsi="Arial" w:cs="Arial"/>
          <w:color w:val="000000" w:themeColor="text1"/>
          <w:sz w:val="22"/>
          <w:lang w:val="es-ES"/>
        </w:rPr>
        <w:t xml:space="preserve"> por el Estatuto de Contratación Estatal de Colombia. Esta regla</w:t>
      </w:r>
      <w:r>
        <w:rPr>
          <w:rFonts w:ascii="Arial" w:eastAsia="Calibri" w:hAnsi="Arial" w:cs="Arial"/>
          <w:color w:val="000000" w:themeColor="text1"/>
          <w:sz w:val="22"/>
          <w:lang w:val="es-ES"/>
        </w:rPr>
        <w:t>,</w:t>
      </w:r>
      <w:r w:rsidRPr="000F6C89">
        <w:rPr>
          <w:rFonts w:ascii="Arial" w:eastAsia="Calibri" w:hAnsi="Arial" w:cs="Arial"/>
          <w:color w:val="000000" w:themeColor="text1"/>
          <w:sz w:val="22"/>
          <w:lang w:val="es-ES"/>
        </w:rPr>
        <w:t xml:space="preserve"> prevista en el artículo 5 de la Ley 1150 de 2007, permit</w:t>
      </w:r>
      <w:r>
        <w:rPr>
          <w:rFonts w:ascii="Arial" w:eastAsia="Calibri" w:hAnsi="Arial" w:cs="Arial"/>
          <w:color w:val="000000" w:themeColor="text1"/>
          <w:sz w:val="22"/>
          <w:lang w:val="es-ES"/>
        </w:rPr>
        <w:t>e</w:t>
      </w:r>
      <w:r w:rsidRPr="000F6C89">
        <w:rPr>
          <w:rFonts w:ascii="Arial" w:eastAsia="Calibri" w:hAnsi="Arial" w:cs="Arial"/>
          <w:color w:val="000000" w:themeColor="text1"/>
          <w:sz w:val="22"/>
          <w:lang w:val="es-ES"/>
        </w:rPr>
        <w:t xml:space="preserve"> que los proponentes puedan enmendar, corregir o modificar los errores en los documentos</w:t>
      </w:r>
      <w:r>
        <w:rPr>
          <w:rFonts w:ascii="Arial" w:eastAsia="Calibri" w:hAnsi="Arial" w:cs="Arial"/>
          <w:color w:val="000000" w:themeColor="text1"/>
          <w:sz w:val="22"/>
          <w:lang w:val="es-ES"/>
        </w:rPr>
        <w:t xml:space="preserve"> de la oferta respecto a los requisitos habilitantes. Además, la posibilidad de subsanar estos documentos tiene como propósito: </w:t>
      </w:r>
    </w:p>
    <w:p w14:paraId="55BB525B" w14:textId="77777777" w:rsidR="00322518" w:rsidRDefault="00322518" w:rsidP="00322518">
      <w:pPr>
        <w:spacing w:line="276" w:lineRule="auto"/>
        <w:jc w:val="both"/>
        <w:rPr>
          <w:rFonts w:ascii="Arial" w:eastAsia="Calibri" w:hAnsi="Arial" w:cs="Arial"/>
          <w:color w:val="000000" w:themeColor="text1"/>
          <w:sz w:val="22"/>
          <w:lang w:val="es-ES"/>
        </w:rPr>
      </w:pPr>
    </w:p>
    <w:p w14:paraId="0E535C8E" w14:textId="77777777" w:rsidR="00322518" w:rsidRPr="00724CB1" w:rsidRDefault="00322518" w:rsidP="00322518">
      <w:pPr>
        <w:ind w:left="709" w:right="709"/>
        <w:jc w:val="both"/>
        <w:rPr>
          <w:rFonts w:ascii="Arial" w:eastAsia="Calibri" w:hAnsi="Arial" w:cs="Arial"/>
          <w:color w:val="000000" w:themeColor="text1"/>
          <w:sz w:val="21"/>
          <w:szCs w:val="21"/>
          <w:lang w:val="es-ES"/>
        </w:rPr>
      </w:pPr>
      <w:r w:rsidRPr="00724CB1">
        <w:rPr>
          <w:rFonts w:ascii="Arial" w:eastAsia="Calibri" w:hAnsi="Arial" w:cs="Arial"/>
          <w:color w:val="000000" w:themeColor="text1"/>
          <w:sz w:val="21"/>
          <w:szCs w:val="21"/>
          <w:lang w:val="es-ES"/>
        </w:rPr>
        <w:t xml:space="preserve">[…] </w:t>
      </w:r>
      <w:r w:rsidRPr="00ED3142">
        <w:rPr>
          <w:rFonts w:ascii="Arial" w:eastAsia="Calibri" w:hAnsi="Arial" w:cs="Arial"/>
          <w:color w:val="000000" w:themeColor="text1"/>
          <w:sz w:val="21"/>
          <w:szCs w:val="21"/>
          <w:lang w:val="es-ES"/>
        </w:rPr>
        <w:t xml:space="preserve">materializar un principio general de primacía de lo sustancial sobre lo formal, adoptando medidas de saneamiento del proceso de selección tendientes a que los meros defectos formales, que no afecten sustancialmente la oferta, referidos a la documentación o instrumentalización de </w:t>
      </w:r>
      <w:proofErr w:type="gramStart"/>
      <w:r w:rsidRPr="00ED3142">
        <w:rPr>
          <w:rFonts w:ascii="Arial" w:eastAsia="Calibri" w:hAnsi="Arial" w:cs="Arial"/>
          <w:color w:val="000000" w:themeColor="text1"/>
          <w:sz w:val="21"/>
          <w:szCs w:val="21"/>
          <w:lang w:val="es-ES"/>
        </w:rPr>
        <w:t>la misma</w:t>
      </w:r>
      <w:proofErr w:type="gramEnd"/>
      <w:r w:rsidRPr="00ED3142">
        <w:rPr>
          <w:rFonts w:ascii="Arial" w:eastAsia="Calibri" w:hAnsi="Arial" w:cs="Arial"/>
          <w:color w:val="000000" w:themeColor="text1"/>
          <w:sz w:val="21"/>
          <w:szCs w:val="21"/>
          <w:lang w:val="es-ES"/>
        </w:rPr>
        <w:t>, priven a la administración de considerar una oferta por causa de tales falencias</w:t>
      </w:r>
      <w:r>
        <w:rPr>
          <w:rStyle w:val="Refdenotaalpie"/>
          <w:rFonts w:ascii="Arial" w:eastAsia="Calibri" w:hAnsi="Arial" w:cs="Arial"/>
          <w:color w:val="000000" w:themeColor="text1"/>
          <w:sz w:val="21"/>
          <w:szCs w:val="21"/>
          <w:lang w:val="es-ES"/>
        </w:rPr>
        <w:footnoteReference w:id="13"/>
      </w:r>
      <w:r>
        <w:rPr>
          <w:rFonts w:ascii="Arial" w:eastAsia="Calibri" w:hAnsi="Arial" w:cs="Arial"/>
          <w:color w:val="000000" w:themeColor="text1"/>
          <w:sz w:val="21"/>
          <w:szCs w:val="21"/>
          <w:lang w:val="es-ES"/>
        </w:rPr>
        <w:t>.</w:t>
      </w:r>
    </w:p>
    <w:p w14:paraId="2F1271DA" w14:textId="77777777" w:rsidR="00322518" w:rsidRDefault="00322518" w:rsidP="00322518">
      <w:pPr>
        <w:spacing w:line="276" w:lineRule="auto"/>
        <w:jc w:val="both"/>
        <w:rPr>
          <w:rFonts w:ascii="Arial" w:eastAsia="Calibri" w:hAnsi="Arial" w:cs="Arial"/>
          <w:color w:val="000000" w:themeColor="text1"/>
          <w:sz w:val="22"/>
          <w:lang w:val="es-ES"/>
        </w:rPr>
      </w:pPr>
    </w:p>
    <w:p w14:paraId="71A68FDC" w14:textId="77777777" w:rsidR="00322518" w:rsidRDefault="00322518" w:rsidP="00322518">
      <w:pPr>
        <w:spacing w:after="120" w:line="276" w:lineRule="auto"/>
        <w:ind w:firstLine="708"/>
        <w:jc w:val="both"/>
        <w:rPr>
          <w:rFonts w:ascii="Arial" w:hAnsi="Arial" w:cs="Arial"/>
          <w:color w:val="000000" w:themeColor="text1"/>
          <w:sz w:val="22"/>
          <w:lang w:val="es-ES_tradnl"/>
        </w:rPr>
      </w:pPr>
      <w:r>
        <w:rPr>
          <w:rFonts w:ascii="Arial" w:eastAsia="Calibri" w:hAnsi="Arial" w:cs="Arial"/>
          <w:color w:val="000000" w:themeColor="text1"/>
          <w:sz w:val="22"/>
          <w:lang w:val="es-ES"/>
        </w:rPr>
        <w:t xml:space="preserve">A raíz de lo anterior, no podrán rechazarse las propuestas por ausencia de requisitos o falta de documentos que verifiquen las condiciones habilitantes del proponente, y que, a su vez, estos no se constituyan como factores de comparación entre propuestas. </w:t>
      </w:r>
      <w:r>
        <w:rPr>
          <w:rFonts w:ascii="Arial" w:hAnsi="Arial" w:cs="Arial"/>
          <w:color w:val="000000" w:themeColor="text1"/>
          <w:sz w:val="22"/>
          <w:lang w:val="es-ES_tradnl"/>
        </w:rPr>
        <w:t xml:space="preserve">Ahora bien, la posibilidad de subsanar los documentos contentivos de la oferta es un tema que ha tenido diferentes momentos o etapas en el ordenamiento jurídico colombiano. </w:t>
      </w:r>
    </w:p>
    <w:p w14:paraId="1DE9D8B2" w14:textId="77777777" w:rsidR="00322518" w:rsidRPr="00801108" w:rsidRDefault="00322518" w:rsidP="00322518">
      <w:pPr>
        <w:spacing w:before="120" w:after="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 xml:space="preserve">En un </w:t>
      </w:r>
      <w:r w:rsidRPr="00801108">
        <w:rPr>
          <w:rFonts w:ascii="Arial" w:hAnsi="Arial" w:cs="Arial"/>
          <w:i/>
          <w:color w:val="000000" w:themeColor="text1"/>
          <w:sz w:val="22"/>
          <w:lang w:val="es-ES_tradnl"/>
        </w:rPr>
        <w:t>primer momento</w:t>
      </w:r>
      <w:r w:rsidRPr="00801108">
        <w:rPr>
          <w:rFonts w:ascii="Arial" w:hAnsi="Arial" w:cs="Arial"/>
          <w:color w:val="000000" w:themeColor="text1"/>
          <w:sz w:val="22"/>
          <w:lang w:val="es-ES_tradnl"/>
        </w:rPr>
        <w:t>, antes de la entrada en vigor de la Constitución Política de 1991, el régimen jurídico de la subsanabilidad de las ofertas estaba compuesto por el Decreto</w:t>
      </w:r>
      <w:r>
        <w:rPr>
          <w:rFonts w:ascii="Arial" w:hAnsi="Arial" w:cs="Arial"/>
          <w:color w:val="000000" w:themeColor="text1"/>
          <w:sz w:val="22"/>
          <w:lang w:val="es-ES_tradnl"/>
        </w:rPr>
        <w:t xml:space="preserve"> L</w:t>
      </w:r>
      <w:r w:rsidRPr="00801108">
        <w:rPr>
          <w:rFonts w:ascii="Arial" w:hAnsi="Arial" w:cs="Arial"/>
          <w:color w:val="000000" w:themeColor="text1"/>
          <w:sz w:val="22"/>
          <w:lang w:val="es-ES_tradnl"/>
        </w:rPr>
        <w:t>ey 150 de 1976 y el Decreto</w:t>
      </w:r>
      <w:r>
        <w:rPr>
          <w:rFonts w:ascii="Arial" w:hAnsi="Arial" w:cs="Arial"/>
          <w:color w:val="000000" w:themeColor="text1"/>
          <w:sz w:val="22"/>
          <w:lang w:val="es-ES_tradnl"/>
        </w:rPr>
        <w:t xml:space="preserve"> L</w:t>
      </w:r>
      <w:r w:rsidRPr="00801108">
        <w:rPr>
          <w:rFonts w:ascii="Arial" w:hAnsi="Arial" w:cs="Arial"/>
          <w:color w:val="000000" w:themeColor="text1"/>
          <w:sz w:val="22"/>
          <w:lang w:val="es-ES_tradnl"/>
        </w:rPr>
        <w:t xml:space="preserve">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2F2ADC30" w14:textId="77777777" w:rsidR="00322518" w:rsidRDefault="00322518" w:rsidP="00322518">
      <w:pPr>
        <w:spacing w:before="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 xml:space="preserve">En un </w:t>
      </w:r>
      <w:r w:rsidRPr="00801108">
        <w:rPr>
          <w:rFonts w:ascii="Arial" w:hAnsi="Arial" w:cs="Arial"/>
          <w:i/>
          <w:color w:val="000000" w:themeColor="text1"/>
          <w:sz w:val="22"/>
          <w:lang w:val="es-ES_tradnl"/>
        </w:rPr>
        <w:t>segundo momento</w:t>
      </w:r>
      <w:r w:rsidRPr="00801108">
        <w:rPr>
          <w:rFonts w:ascii="Arial" w:hAnsi="Arial" w:cs="Arial"/>
          <w:color w:val="000000" w:themeColor="text1"/>
          <w:sz w:val="22"/>
          <w:lang w:val="es-ES_tradnl"/>
        </w:rPr>
        <w:t xml:space="preserve"> se expidió la Ley 80 de 1993, bajo el nuevo paradigma que supuso la Constitución de 1991, particularmente en la forma como se relaciona lo formal y lo sustancial en las actuaciones judiciales y administrativas. Este cambio ideológico quedó consignado en el artículo 228, que introdujo un principio de supremacía o prevalencia del derecho sustancial sobre lo procedimental.</w:t>
      </w:r>
      <w:r>
        <w:rPr>
          <w:rFonts w:ascii="Arial" w:hAnsi="Arial" w:cs="Arial"/>
          <w:color w:val="000000" w:themeColor="text1"/>
          <w:sz w:val="22"/>
          <w:lang w:val="es-ES_tradnl"/>
        </w:rPr>
        <w:t xml:space="preserve"> </w:t>
      </w:r>
      <w:r w:rsidRPr="00801108">
        <w:rPr>
          <w:rFonts w:ascii="Arial" w:hAnsi="Arial" w:cs="Arial"/>
          <w:color w:val="000000" w:themeColor="text1"/>
          <w:sz w:val="22"/>
          <w:lang w:val="es-ES_tradnl"/>
        </w:rPr>
        <w:t>En este nuevo escenario constitucional, el artículo 25</w:t>
      </w:r>
      <w:r>
        <w:rPr>
          <w:rFonts w:ascii="Arial" w:hAnsi="Arial" w:cs="Arial"/>
          <w:color w:val="000000" w:themeColor="text1"/>
          <w:sz w:val="22"/>
          <w:lang w:val="es-ES_tradnl"/>
        </w:rPr>
        <w:t>.15</w:t>
      </w:r>
      <w:r w:rsidRPr="00801108">
        <w:rPr>
          <w:rFonts w:ascii="Arial" w:hAnsi="Arial" w:cs="Arial"/>
          <w:color w:val="000000" w:themeColor="text1"/>
          <w:sz w:val="22"/>
          <w:lang w:val="es-ES_tradnl"/>
        </w:rPr>
        <w:t xml:space="preserve"> de la Ley 80 de 1993 dispuso lo siguiente: </w:t>
      </w:r>
    </w:p>
    <w:p w14:paraId="1A4DE7C5" w14:textId="77777777" w:rsidR="00322518" w:rsidRPr="00801108" w:rsidRDefault="00322518" w:rsidP="00322518">
      <w:pPr>
        <w:spacing w:line="276" w:lineRule="auto"/>
        <w:ind w:firstLine="709"/>
        <w:jc w:val="both"/>
        <w:rPr>
          <w:rFonts w:ascii="Arial" w:hAnsi="Arial" w:cs="Arial"/>
          <w:color w:val="000000" w:themeColor="text1"/>
          <w:sz w:val="22"/>
          <w:lang w:val="es-ES_tradnl"/>
        </w:rPr>
      </w:pPr>
    </w:p>
    <w:p w14:paraId="39C12B3C" w14:textId="77777777" w:rsidR="00322518" w:rsidRPr="00801108" w:rsidRDefault="00322518" w:rsidP="00322518">
      <w:pPr>
        <w:spacing w:after="120"/>
        <w:ind w:left="709" w:right="709"/>
        <w:jc w:val="both"/>
        <w:rPr>
          <w:rFonts w:ascii="Arial" w:hAnsi="Arial" w:cs="Arial"/>
          <w:color w:val="000000" w:themeColor="text1"/>
          <w:sz w:val="21"/>
          <w:szCs w:val="21"/>
          <w:lang w:val="es-ES_tradnl"/>
        </w:rPr>
      </w:pPr>
      <w:r w:rsidRPr="00801108">
        <w:rPr>
          <w:rFonts w:ascii="Arial" w:hAnsi="Arial" w:cs="Arial"/>
          <w:color w:val="000000" w:themeColor="text1"/>
          <w:sz w:val="21"/>
          <w:szCs w:val="21"/>
          <w:lang w:val="es-ES_tradnl"/>
        </w:rPr>
        <w:t xml:space="preserve">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42A47F41" w14:textId="77777777" w:rsidR="00322518" w:rsidRPr="00801108" w:rsidRDefault="00322518" w:rsidP="00322518">
      <w:pPr>
        <w:spacing w:before="120"/>
        <w:ind w:left="709" w:right="709"/>
        <w:jc w:val="both"/>
        <w:rPr>
          <w:rFonts w:ascii="Arial" w:hAnsi="Arial" w:cs="Arial"/>
          <w:color w:val="000000" w:themeColor="text1"/>
          <w:sz w:val="21"/>
          <w:szCs w:val="21"/>
          <w:lang w:val="es-ES_tradnl"/>
        </w:rPr>
      </w:pPr>
      <w:r w:rsidRPr="00801108">
        <w:rPr>
          <w:rFonts w:ascii="Arial" w:hAnsi="Arial" w:cs="Arial"/>
          <w:color w:val="000000" w:themeColor="text1"/>
          <w:sz w:val="21"/>
          <w:szCs w:val="21"/>
          <w:lang w:val="es-ES_tradnl"/>
        </w:rPr>
        <w:t xml:space="preserve">La ausencia de requisitos o la falta de documentos referentes a la futura contratación o al proponente, no necesarios para la comparación de propuestas, no servirá de título suficiente para el rechazo de los ofrecimientos hechos. </w:t>
      </w:r>
    </w:p>
    <w:p w14:paraId="3BB2AE04" w14:textId="77777777" w:rsidR="00322518" w:rsidRPr="00801108" w:rsidRDefault="00322518" w:rsidP="00322518">
      <w:pPr>
        <w:spacing w:line="276" w:lineRule="auto"/>
        <w:ind w:firstLine="709"/>
        <w:jc w:val="both"/>
        <w:rPr>
          <w:rFonts w:ascii="Arial" w:hAnsi="Arial" w:cs="Arial"/>
          <w:color w:val="000000" w:themeColor="text1"/>
          <w:sz w:val="22"/>
          <w:lang w:val="es-ES_tradnl"/>
        </w:rPr>
      </w:pPr>
    </w:p>
    <w:p w14:paraId="50CA9B48" w14:textId="77777777" w:rsidR="00322518" w:rsidRPr="00801108" w:rsidRDefault="00322518" w:rsidP="00322518">
      <w:pPr>
        <w:spacing w:after="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 xml:space="preserve">Bajo el amparo de esta norma, el régimen jurídico de subsanabilidad de las ofertas sufre un cambio fundamental, pues ya no era posible rechazar las ofertas por falta de requisitos o documentos que no fueran «necesarios para la comparación de propuestas».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07B3EC1B" w14:textId="77777777" w:rsidR="00322518" w:rsidRPr="00801108" w:rsidRDefault="00322518" w:rsidP="00322518">
      <w:pPr>
        <w:spacing w:before="120" w:after="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Esta norma debía leerse en conjunto con otras de la Ley 80 de 1993, particularmente con el artículo 30.7, que ordena a la entidad señalar un plazo razonable para evaluar las propuestas y para pedir a los proponentes, de ser necesario, que aclaren o expliquen aspectos que ofrezcan dudas y resulten indispensables para llevar a cabo la evaluación</w:t>
      </w:r>
      <w:r w:rsidRPr="00801108">
        <w:rPr>
          <w:rStyle w:val="Refdenotaalpie"/>
          <w:rFonts w:ascii="Arial" w:hAnsi="Arial" w:cs="Arial"/>
          <w:color w:val="000000" w:themeColor="text1"/>
          <w:sz w:val="22"/>
          <w:lang w:val="es-ES_tradnl"/>
        </w:rPr>
        <w:footnoteReference w:id="14"/>
      </w:r>
      <w:r w:rsidRPr="00801108">
        <w:rPr>
          <w:rFonts w:ascii="Arial" w:hAnsi="Arial" w:cs="Arial"/>
          <w:color w:val="000000" w:themeColor="text1"/>
          <w:sz w:val="22"/>
          <w:lang w:val="es-ES_tradnl"/>
        </w:rPr>
        <w:t>; y con el artículo 30.8, que consagró el término de 5 días hábiles para que los oferentes presenten observaciones al informe de evaluación de las propuestas, sin que sea posible completar, adicionar, modificar o mejorar su oferta</w:t>
      </w:r>
      <w:r w:rsidRPr="00801108">
        <w:rPr>
          <w:rStyle w:val="Refdenotaalpie"/>
          <w:rFonts w:ascii="Arial" w:hAnsi="Arial" w:cs="Arial"/>
          <w:color w:val="000000" w:themeColor="text1"/>
          <w:sz w:val="22"/>
          <w:lang w:val="es-ES_tradnl"/>
        </w:rPr>
        <w:footnoteReference w:id="15"/>
      </w:r>
      <w:r w:rsidRPr="00801108">
        <w:rPr>
          <w:rFonts w:ascii="Arial" w:hAnsi="Arial" w:cs="Arial"/>
          <w:color w:val="000000" w:themeColor="text1"/>
          <w:sz w:val="22"/>
          <w:lang w:val="es-ES_tradnl"/>
        </w:rPr>
        <w:t xml:space="preserve">.  </w:t>
      </w:r>
    </w:p>
    <w:p w14:paraId="1C757E36" w14:textId="77777777" w:rsidR="00322518" w:rsidRPr="00801108" w:rsidRDefault="00322518" w:rsidP="00322518">
      <w:pPr>
        <w:spacing w:before="120" w:after="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 xml:space="preserve">A partir de la lectura integrada de estas tres normas debía concluirse que con la Ley 80 de 1993 era posible subsanar las propuestas, y la omisión o el error en algún aspecto de esta no podía llevar a su rechazo, sin antes verificar que lo omitido fuera un aspecto necesario para la comparación. </w:t>
      </w:r>
    </w:p>
    <w:p w14:paraId="62778C25" w14:textId="77777777" w:rsidR="00322518" w:rsidRPr="00801108" w:rsidRDefault="00322518" w:rsidP="00322518">
      <w:pPr>
        <w:spacing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 xml:space="preserve">En un </w:t>
      </w:r>
      <w:r w:rsidRPr="00801108">
        <w:rPr>
          <w:rFonts w:ascii="Arial" w:hAnsi="Arial" w:cs="Arial"/>
          <w:i/>
          <w:color w:val="000000" w:themeColor="text1"/>
          <w:sz w:val="22"/>
          <w:lang w:val="es-ES_tradnl"/>
        </w:rPr>
        <w:t>tercer momento</w:t>
      </w:r>
      <w:r w:rsidRPr="00801108">
        <w:rPr>
          <w:rFonts w:ascii="Arial" w:hAnsi="Arial" w:cs="Arial"/>
          <w:color w:val="000000" w:themeColor="text1"/>
          <w:sz w:val="22"/>
          <w:lang w:val="es-ES_tradnl"/>
        </w:rPr>
        <w:t xml:space="preserve">, siguiendo la línea trazada por la Ley 80 de 1993, el legislador expidió la Ley 1150 de 2007, que en el parágrafo 1º del artículo 5, determinó lo siguiente: </w:t>
      </w:r>
    </w:p>
    <w:p w14:paraId="1F485FEE" w14:textId="77777777" w:rsidR="00322518" w:rsidRPr="00801108" w:rsidRDefault="00322518" w:rsidP="00322518">
      <w:pPr>
        <w:spacing w:line="276" w:lineRule="auto"/>
        <w:jc w:val="both"/>
        <w:rPr>
          <w:rFonts w:ascii="Arial" w:hAnsi="Arial" w:cs="Arial"/>
          <w:color w:val="000000" w:themeColor="text1"/>
          <w:sz w:val="22"/>
          <w:lang w:val="es-ES_tradnl"/>
        </w:rPr>
      </w:pPr>
    </w:p>
    <w:p w14:paraId="3694E3EF" w14:textId="77777777" w:rsidR="00322518" w:rsidRPr="00801108" w:rsidRDefault="00322518" w:rsidP="00322518">
      <w:pPr>
        <w:ind w:left="709" w:right="709"/>
        <w:jc w:val="both"/>
        <w:rPr>
          <w:rFonts w:ascii="Arial" w:hAnsi="Arial" w:cs="Arial"/>
          <w:color w:val="000000" w:themeColor="text1"/>
          <w:sz w:val="21"/>
          <w:szCs w:val="21"/>
          <w:lang w:val="es-ES_tradnl"/>
        </w:rPr>
      </w:pPr>
      <w:r w:rsidRPr="00801108">
        <w:rPr>
          <w:rFonts w:ascii="Arial" w:hAnsi="Arial" w:cs="Arial"/>
          <w:color w:val="000000" w:themeColor="text1"/>
          <w:sz w:val="21"/>
          <w:szCs w:val="21"/>
          <w:lang w:val="es-ES_tradnl"/>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801108">
        <w:rPr>
          <w:rFonts w:ascii="Arial" w:hAnsi="Arial" w:cs="Arial"/>
          <w:b/>
          <w:color w:val="000000" w:themeColor="text1"/>
          <w:sz w:val="21"/>
          <w:szCs w:val="21"/>
          <w:lang w:val="es-ES_tradnl"/>
        </w:rPr>
        <w:t xml:space="preserve">, </w:t>
      </w:r>
      <w:r w:rsidRPr="00801108">
        <w:rPr>
          <w:rFonts w:ascii="Arial" w:hAnsi="Arial" w:cs="Arial"/>
          <w:color w:val="000000" w:themeColor="text1"/>
          <w:sz w:val="21"/>
          <w:szCs w:val="21"/>
          <w:lang w:val="es-ES_tradnl"/>
        </w:rPr>
        <w:t xml:space="preserve">todos aquellos requisitos de la propuesta que no afecten la asignación de </w:t>
      </w:r>
      <w:proofErr w:type="gramStart"/>
      <w:r w:rsidRPr="00801108">
        <w:rPr>
          <w:rFonts w:ascii="Arial" w:hAnsi="Arial" w:cs="Arial"/>
          <w:color w:val="000000" w:themeColor="text1"/>
          <w:sz w:val="21"/>
          <w:szCs w:val="21"/>
          <w:lang w:val="es-ES_tradnl"/>
        </w:rPr>
        <w:t>puntaje,</w:t>
      </w:r>
      <w:proofErr w:type="gramEnd"/>
      <w:r w:rsidRPr="00801108">
        <w:rPr>
          <w:rFonts w:ascii="Arial" w:hAnsi="Arial" w:cs="Arial"/>
          <w:color w:val="000000" w:themeColor="text1"/>
          <w:sz w:val="21"/>
          <w:szCs w:val="21"/>
          <w:lang w:val="es-ES_tradnl"/>
        </w:rPr>
        <w:t xml:space="preserve"> podrán ser solicitados por las entidades en cualquier momento, hasta la adjudicación. No </w:t>
      </w:r>
      <w:proofErr w:type="gramStart"/>
      <w:r w:rsidRPr="00801108">
        <w:rPr>
          <w:rFonts w:ascii="Arial" w:hAnsi="Arial" w:cs="Arial"/>
          <w:color w:val="000000" w:themeColor="text1"/>
          <w:sz w:val="21"/>
          <w:szCs w:val="21"/>
          <w:lang w:val="es-ES_tradnl"/>
        </w:rPr>
        <w:t>obstante</w:t>
      </w:r>
      <w:proofErr w:type="gramEnd"/>
      <w:r w:rsidRPr="00801108">
        <w:rPr>
          <w:rFonts w:ascii="Arial" w:hAnsi="Arial" w:cs="Arial"/>
          <w:color w:val="000000" w:themeColor="text1"/>
          <w:sz w:val="21"/>
          <w:szCs w:val="21"/>
          <w:lang w:val="es-ES_tradnl"/>
        </w:rPr>
        <w:t xml:space="preserve"> lo anterior, en aquellos procesos de selección en los que se utilice el mecanismo de subasta, deberán ser solicitados hasta el momento previo a su realización. </w:t>
      </w:r>
    </w:p>
    <w:p w14:paraId="08F923B1" w14:textId="77777777" w:rsidR="00322518" w:rsidRPr="00801108" w:rsidRDefault="00322518" w:rsidP="00322518">
      <w:pPr>
        <w:spacing w:line="276" w:lineRule="auto"/>
        <w:jc w:val="both"/>
        <w:rPr>
          <w:rFonts w:ascii="Arial" w:hAnsi="Arial" w:cs="Arial"/>
          <w:b/>
          <w:color w:val="000000" w:themeColor="text1"/>
          <w:sz w:val="22"/>
          <w:lang w:val="es-ES_tradnl"/>
        </w:rPr>
      </w:pPr>
    </w:p>
    <w:p w14:paraId="58DAE4F0" w14:textId="77777777" w:rsidR="00322518" w:rsidRPr="00801108" w:rsidRDefault="00322518" w:rsidP="00322518">
      <w:pPr>
        <w:spacing w:after="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lastRenderedPageBreak/>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608DA866" w14:textId="77777777" w:rsidR="00322518" w:rsidRPr="00801108" w:rsidRDefault="00322518" w:rsidP="00322518">
      <w:pPr>
        <w:spacing w:before="120" w:after="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A partir de la Ley 1150 de 2007</w:t>
      </w:r>
      <w:r>
        <w:rPr>
          <w:rFonts w:ascii="Arial" w:hAnsi="Arial" w:cs="Arial"/>
          <w:color w:val="000000" w:themeColor="text1"/>
          <w:sz w:val="22"/>
          <w:lang w:val="es-ES_tradnl"/>
        </w:rPr>
        <w:t>,</w:t>
      </w:r>
      <w:r w:rsidRPr="00801108">
        <w:rPr>
          <w:rFonts w:ascii="Arial" w:hAnsi="Arial" w:cs="Arial"/>
          <w:color w:val="000000" w:themeColor="text1"/>
          <w:sz w:val="22"/>
          <w:lang w:val="es-ES_tradnl"/>
        </w:rPr>
        <w:t xml:space="preserve">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la Administración, encuentra que lo omitido por el proponente es un aspecto que otorga puntaje, no es posible subsanarlo; pero, si lo omitido no otorga puntaje, la Administración debe requerir al proponente para que lo subsane.  </w:t>
      </w:r>
    </w:p>
    <w:p w14:paraId="35822965" w14:textId="77777777" w:rsidR="00322518" w:rsidRPr="00801108" w:rsidRDefault="00322518" w:rsidP="00322518">
      <w:pPr>
        <w:spacing w:before="120" w:line="276" w:lineRule="auto"/>
        <w:ind w:firstLine="709"/>
        <w:jc w:val="both"/>
        <w:rPr>
          <w:rFonts w:ascii="Arial" w:hAnsi="Arial" w:cs="Arial"/>
          <w:color w:val="000000" w:themeColor="text1"/>
          <w:sz w:val="22"/>
          <w:lang w:val="es-ES_tradnl"/>
        </w:rPr>
      </w:pPr>
      <w:r w:rsidRPr="00801108">
        <w:rPr>
          <w:rFonts w:ascii="Arial" w:hAnsi="Arial" w:cs="Arial"/>
          <w:color w:val="000000" w:themeColor="text1"/>
          <w:sz w:val="22"/>
          <w:lang w:val="es-ES_tradnl"/>
        </w:rPr>
        <w:t>El artículo 5 de la Ley 1150 de 2007, además de consagrar un criterio más claro, y, de paso, reducir la discrecionalidad de la Administración, fijó un ámbito temporal para la subsanación de las ofertas: «en cualquier momento, hasta la adjudicación». El Consejo de Estado</w:t>
      </w:r>
      <w:r>
        <w:rPr>
          <w:rFonts w:ascii="Arial" w:hAnsi="Arial" w:cs="Arial"/>
          <w:color w:val="000000" w:themeColor="text1"/>
          <w:sz w:val="22"/>
          <w:lang w:val="es-ES_tradnl"/>
        </w:rPr>
        <w:t xml:space="preserve"> </w:t>
      </w:r>
      <w:r w:rsidRPr="00801108">
        <w:rPr>
          <w:rFonts w:ascii="Arial" w:hAnsi="Arial" w:cs="Arial"/>
          <w:color w:val="000000" w:themeColor="text1"/>
          <w:sz w:val="22"/>
          <w:lang w:val="es-ES_tradnl"/>
        </w:rPr>
        <w:t xml:space="preserve">concluyó que a partir del parágrafo 1º del artículo 5 de la Ley 1150, la definición de lo que es subsanable y lo que no lo es surge a partir del planteamiento de la pregunta sobre si el defecto asigna puntaje o no, en estos términos: </w:t>
      </w:r>
    </w:p>
    <w:p w14:paraId="5D7AE773" w14:textId="77777777" w:rsidR="00322518" w:rsidRPr="00801108" w:rsidRDefault="00322518" w:rsidP="00322518">
      <w:pPr>
        <w:spacing w:line="276" w:lineRule="auto"/>
        <w:jc w:val="both"/>
        <w:rPr>
          <w:rFonts w:ascii="Arial" w:hAnsi="Arial" w:cs="Arial"/>
          <w:color w:val="000000" w:themeColor="text1"/>
          <w:sz w:val="22"/>
          <w:lang w:val="es-ES_tradnl"/>
        </w:rPr>
      </w:pPr>
    </w:p>
    <w:p w14:paraId="4F0E05DC" w14:textId="77777777" w:rsidR="00322518" w:rsidRDefault="00322518" w:rsidP="00322518">
      <w:pPr>
        <w:ind w:left="709" w:right="709"/>
        <w:jc w:val="both"/>
        <w:rPr>
          <w:rFonts w:ascii="Arial" w:hAnsi="Arial" w:cs="Arial"/>
          <w:color w:val="000000" w:themeColor="text1"/>
          <w:sz w:val="21"/>
          <w:szCs w:val="21"/>
          <w:lang w:val="es-ES_tradnl"/>
        </w:rPr>
      </w:pPr>
      <w:r w:rsidRPr="00801108">
        <w:rPr>
          <w:rFonts w:ascii="Arial" w:hAnsi="Arial" w:cs="Arial"/>
          <w:color w:val="000000" w:themeColor="text1"/>
          <w:sz w:val="21"/>
          <w:szCs w:val="21"/>
          <w:lang w:val="es-ES_tradnl"/>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801108">
        <w:rPr>
          <w:rStyle w:val="Refdenotaalpie"/>
          <w:rFonts w:ascii="Arial" w:hAnsi="Arial" w:cs="Arial"/>
          <w:color w:val="000000" w:themeColor="text1"/>
          <w:sz w:val="21"/>
          <w:szCs w:val="21"/>
          <w:lang w:val="es-ES_tradnl"/>
        </w:rPr>
        <w:footnoteReference w:id="16"/>
      </w:r>
      <w:r w:rsidRPr="00801108">
        <w:rPr>
          <w:rFonts w:ascii="Arial" w:hAnsi="Arial" w:cs="Arial"/>
          <w:color w:val="000000" w:themeColor="text1"/>
          <w:sz w:val="21"/>
          <w:szCs w:val="21"/>
          <w:lang w:val="es-ES_tradnl"/>
        </w:rPr>
        <w:t>.</w:t>
      </w:r>
    </w:p>
    <w:p w14:paraId="6803B604" w14:textId="77777777" w:rsidR="00322518" w:rsidRPr="000B22B3" w:rsidRDefault="00322518" w:rsidP="00322518">
      <w:pPr>
        <w:spacing w:line="276" w:lineRule="auto"/>
        <w:ind w:left="709" w:right="709"/>
        <w:jc w:val="both"/>
        <w:rPr>
          <w:rFonts w:ascii="Arial" w:hAnsi="Arial" w:cs="Arial"/>
          <w:color w:val="000000" w:themeColor="text1"/>
          <w:sz w:val="22"/>
          <w:szCs w:val="22"/>
          <w:lang w:val="es-ES_tradnl"/>
        </w:rPr>
      </w:pPr>
    </w:p>
    <w:p w14:paraId="716AA346" w14:textId="77777777" w:rsidR="00322518" w:rsidRPr="0003011E" w:rsidRDefault="00322518" w:rsidP="0003011E">
      <w:pPr>
        <w:pStyle w:val="Textoindependiente"/>
        <w:tabs>
          <w:tab w:val="left" w:pos="284"/>
        </w:tabs>
        <w:spacing w:line="276" w:lineRule="auto"/>
        <w:ind w:firstLine="709"/>
        <w:jc w:val="both"/>
        <w:rPr>
          <w:rFonts w:eastAsiaTheme="minorHAnsi"/>
          <w:color w:val="000000" w:themeColor="text1"/>
          <w:sz w:val="22"/>
          <w:szCs w:val="22"/>
          <w:lang w:val="es-ES_tradnl"/>
        </w:rPr>
      </w:pPr>
      <w:r w:rsidRPr="0003011E">
        <w:rPr>
          <w:rFonts w:eastAsiaTheme="minorHAnsi"/>
          <w:color w:val="000000" w:themeColor="text1"/>
          <w:sz w:val="22"/>
          <w:szCs w:val="22"/>
          <w:lang w:val="es-ES_tradnl"/>
        </w:rPr>
        <w:t xml:space="preserve">Esa interpretación fue compartida por la </w:t>
      </w:r>
      <w:r w:rsidRPr="0003011E">
        <w:rPr>
          <w:color w:val="000000" w:themeColor="text1"/>
          <w:sz w:val="22"/>
          <w:szCs w:val="22"/>
          <w:lang w:val="es-ES_tradnl"/>
        </w:rPr>
        <w:t>Agencia Nacional de Contratación Pública – Colombia Compra Eficiente</w:t>
      </w:r>
      <w:r w:rsidRPr="0003011E">
        <w:rPr>
          <w:rFonts w:eastAsiaTheme="minorHAnsi"/>
          <w:color w:val="000000" w:themeColor="text1"/>
          <w:sz w:val="22"/>
          <w:szCs w:val="22"/>
          <w:lang w:val="es-ES_tradnl"/>
        </w:rPr>
        <w:t xml:space="preserve">, pues en la Circular Externa Única se precisó </w:t>
      </w:r>
      <w:proofErr w:type="gramStart"/>
      <w:r w:rsidRPr="0003011E">
        <w:rPr>
          <w:rFonts w:eastAsiaTheme="minorHAnsi"/>
          <w:color w:val="000000" w:themeColor="text1"/>
          <w:sz w:val="22"/>
          <w:szCs w:val="22"/>
          <w:lang w:val="es-ES_tradnl"/>
        </w:rPr>
        <w:t>que</w:t>
      </w:r>
      <w:proofErr w:type="gramEnd"/>
      <w:r w:rsidRPr="0003011E">
        <w:rPr>
          <w:rFonts w:eastAsiaTheme="minorHAnsi"/>
          <w:color w:val="000000" w:themeColor="text1"/>
          <w:sz w:val="22"/>
          <w:szCs w:val="22"/>
          <w:lang w:val="es-ES_tradnl"/>
        </w:rPr>
        <w:t xml:space="preserv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14:paraId="23069CE2" w14:textId="77777777" w:rsidR="00322518" w:rsidRPr="0003011E" w:rsidRDefault="00322518" w:rsidP="00322518">
      <w:pPr>
        <w:pStyle w:val="Textoindependiente"/>
        <w:tabs>
          <w:tab w:val="left" w:pos="284"/>
        </w:tabs>
        <w:spacing w:before="120"/>
        <w:ind w:firstLine="709"/>
        <w:jc w:val="both"/>
        <w:rPr>
          <w:color w:val="000000" w:themeColor="text1"/>
          <w:sz w:val="22"/>
          <w:szCs w:val="22"/>
        </w:rPr>
      </w:pPr>
      <w:r w:rsidRPr="0003011E">
        <w:rPr>
          <w:color w:val="000000" w:themeColor="text1"/>
          <w:sz w:val="22"/>
          <w:szCs w:val="22"/>
        </w:rPr>
        <w:t xml:space="preserve">En un </w:t>
      </w:r>
      <w:r w:rsidRPr="0003011E">
        <w:rPr>
          <w:i/>
          <w:iCs/>
          <w:color w:val="000000" w:themeColor="text1"/>
          <w:sz w:val="22"/>
          <w:szCs w:val="22"/>
        </w:rPr>
        <w:t>cuarto momento</w:t>
      </w:r>
      <w:r w:rsidRPr="0003011E">
        <w:rPr>
          <w:color w:val="000000" w:themeColor="text1"/>
          <w:sz w:val="22"/>
          <w:szCs w:val="22"/>
        </w:rPr>
        <w:t xml:space="preserve">, el legislador expidió la Ley 1882 de 2018, con la finalidad de introducir cambios y ajustes para fortalecer la contratación pública. El artículo 5 modificó el parágrafo 1º y adicionó algunos otros, entre ellos el 4° del artículo 5 de la Ley 1150 de 2007: </w:t>
      </w:r>
    </w:p>
    <w:p w14:paraId="4FBD45AB" w14:textId="77777777" w:rsidR="00322518" w:rsidRDefault="00322518" w:rsidP="00322518">
      <w:pPr>
        <w:pStyle w:val="Textoindependiente"/>
        <w:tabs>
          <w:tab w:val="left" w:pos="284"/>
        </w:tabs>
        <w:ind w:firstLine="709"/>
        <w:jc w:val="both"/>
        <w:rPr>
          <w:color w:val="000000" w:themeColor="text1"/>
        </w:rPr>
      </w:pPr>
    </w:p>
    <w:p w14:paraId="2B269A79" w14:textId="77777777" w:rsidR="00322518" w:rsidRPr="00801108" w:rsidRDefault="00322518" w:rsidP="00322518">
      <w:pPr>
        <w:ind w:left="709" w:right="709"/>
        <w:jc w:val="both"/>
        <w:rPr>
          <w:rFonts w:ascii="Arial" w:hAnsi="Arial" w:cs="Arial"/>
          <w:color w:val="000000" w:themeColor="text1"/>
          <w:sz w:val="21"/>
          <w:szCs w:val="21"/>
          <w:lang w:val="es-ES_tradnl"/>
        </w:rPr>
      </w:pPr>
      <w:r w:rsidRPr="00801108">
        <w:rPr>
          <w:rFonts w:ascii="Arial" w:hAnsi="Arial" w:cs="Arial"/>
          <w:color w:val="000000" w:themeColor="text1"/>
          <w:sz w:val="21"/>
          <w:szCs w:val="21"/>
          <w:lang w:val="es-ES_tradnl"/>
        </w:rPr>
        <w:t xml:space="preserve">Artículo 5°. De la selección objetiva. </w:t>
      </w:r>
    </w:p>
    <w:p w14:paraId="0300D646" w14:textId="77777777" w:rsidR="00322518" w:rsidRPr="00801108" w:rsidRDefault="00322518" w:rsidP="00322518">
      <w:pPr>
        <w:spacing w:after="120"/>
        <w:ind w:left="709" w:right="709"/>
        <w:jc w:val="both"/>
        <w:rPr>
          <w:rFonts w:ascii="Arial" w:hAnsi="Arial" w:cs="Arial"/>
          <w:color w:val="000000" w:themeColor="text1"/>
          <w:sz w:val="21"/>
          <w:szCs w:val="21"/>
          <w:lang w:val="es-ES_tradnl"/>
        </w:rPr>
      </w:pPr>
      <w:r w:rsidRPr="00801108">
        <w:rPr>
          <w:rFonts w:ascii="Arial" w:hAnsi="Arial" w:cs="Arial"/>
          <w:color w:val="000000" w:themeColor="text1"/>
          <w:sz w:val="21"/>
          <w:szCs w:val="21"/>
          <w:lang w:val="es-ES_tradnl"/>
        </w:rPr>
        <w:t>[...]</w:t>
      </w:r>
    </w:p>
    <w:p w14:paraId="5228E564" w14:textId="77777777" w:rsidR="00322518" w:rsidRPr="00801108" w:rsidRDefault="00322518" w:rsidP="00322518">
      <w:pPr>
        <w:ind w:left="709" w:right="709"/>
        <w:jc w:val="both"/>
        <w:rPr>
          <w:rFonts w:ascii="Arial" w:hAnsi="Arial" w:cs="Arial"/>
          <w:color w:val="000000" w:themeColor="text1"/>
          <w:sz w:val="21"/>
          <w:szCs w:val="21"/>
          <w:lang w:val="es-ES_tradnl"/>
        </w:rPr>
      </w:pPr>
      <w:r w:rsidRPr="00801108">
        <w:rPr>
          <w:rFonts w:ascii="Arial" w:hAnsi="Arial" w:cs="Arial"/>
          <w:color w:val="000000" w:themeColor="text1"/>
          <w:sz w:val="21"/>
          <w:szCs w:val="21"/>
          <w:lang w:val="es-ES_tradnl"/>
        </w:rPr>
        <w:t xml:space="preserve">Parágrafo 1º. La ausencia de requisitos o la falta de documentos referentes a la futura contratación o al proponente, no necesarios para la </w:t>
      </w:r>
      <w:bookmarkStart w:id="4" w:name="_Hlk71479674"/>
      <w:r w:rsidRPr="00801108">
        <w:rPr>
          <w:rFonts w:ascii="Arial" w:hAnsi="Arial" w:cs="Arial"/>
          <w:color w:val="000000" w:themeColor="text1"/>
          <w:sz w:val="21"/>
          <w:szCs w:val="21"/>
          <w:lang w:val="es-ES_tradnl"/>
        </w:rPr>
        <w:t>comparación de las propuestas</w:t>
      </w:r>
      <w:bookmarkEnd w:id="4"/>
      <w:r w:rsidRPr="00801108">
        <w:rPr>
          <w:rFonts w:ascii="Arial" w:hAnsi="Arial" w:cs="Arial"/>
          <w:color w:val="000000" w:themeColor="text1"/>
          <w:sz w:val="21"/>
          <w:szCs w:val="21"/>
          <w:lang w:val="es-ES_tradnl"/>
        </w:rPr>
        <w:t xml:space="preserve"> no servirán de título suficiente para el rechazo de los ofrecimientos hechos. En consecuencia, todos aquellos requisitos de la propuesta que no afecten la asignación de </w:t>
      </w:r>
      <w:proofErr w:type="gramStart"/>
      <w:r w:rsidRPr="00801108">
        <w:rPr>
          <w:rFonts w:ascii="Arial" w:hAnsi="Arial" w:cs="Arial"/>
          <w:color w:val="000000" w:themeColor="text1"/>
          <w:sz w:val="21"/>
          <w:szCs w:val="21"/>
          <w:lang w:val="es-ES_tradnl"/>
        </w:rPr>
        <w:t>puntaje,</w:t>
      </w:r>
      <w:proofErr w:type="gramEnd"/>
      <w:r w:rsidRPr="00801108">
        <w:rPr>
          <w:rFonts w:ascii="Arial" w:hAnsi="Arial" w:cs="Arial"/>
          <w:color w:val="000000" w:themeColor="text1"/>
          <w:sz w:val="21"/>
          <w:szCs w:val="21"/>
          <w:lang w:val="es-ES_tradnl"/>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05F4FC62" w14:textId="77777777" w:rsidR="00322518" w:rsidRPr="00801108" w:rsidRDefault="00322518" w:rsidP="00322518">
      <w:pPr>
        <w:spacing w:line="276" w:lineRule="auto"/>
        <w:jc w:val="both"/>
        <w:rPr>
          <w:rFonts w:ascii="Arial" w:hAnsi="Arial" w:cs="Arial"/>
          <w:b/>
          <w:color w:val="000000" w:themeColor="text1"/>
          <w:sz w:val="22"/>
          <w:lang w:val="es-ES_tradnl"/>
        </w:rPr>
      </w:pPr>
    </w:p>
    <w:p w14:paraId="2282F7EC" w14:textId="77777777" w:rsidR="00322518" w:rsidRDefault="00322518" w:rsidP="00322518">
      <w:pPr>
        <w:spacing w:after="120" w:line="276" w:lineRule="auto"/>
        <w:ind w:firstLine="709"/>
        <w:jc w:val="both"/>
        <w:rPr>
          <w:rFonts w:ascii="Arial" w:hAnsi="Arial" w:cs="Arial"/>
          <w:color w:val="000000" w:themeColor="text1"/>
          <w:sz w:val="22"/>
          <w:lang w:val="es-ES"/>
        </w:rPr>
      </w:pPr>
      <w:r>
        <w:rPr>
          <w:rFonts w:ascii="Arial" w:hAnsi="Arial" w:cs="Arial"/>
          <w:color w:val="000000" w:themeColor="text1"/>
          <w:sz w:val="22"/>
          <w:lang w:val="es-ES"/>
        </w:rPr>
        <w:t>E</w:t>
      </w:r>
      <w:r w:rsidRPr="242905EC">
        <w:rPr>
          <w:rFonts w:ascii="Arial" w:hAnsi="Arial" w:cs="Arial"/>
          <w:color w:val="000000" w:themeColor="text1"/>
          <w:sz w:val="22"/>
          <w:lang w:val="es-ES"/>
        </w:rPr>
        <w:t>sta norma: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tres</w:t>
      </w:r>
      <w:r>
        <w:rPr>
          <w:rFonts w:ascii="Arial" w:hAnsi="Arial" w:cs="Arial"/>
          <w:color w:val="000000" w:themeColor="text1"/>
          <w:sz w:val="22"/>
          <w:lang w:val="es-ES"/>
        </w:rPr>
        <w:t xml:space="preserve"> (3)</w:t>
      </w:r>
      <w:r w:rsidRPr="242905EC">
        <w:rPr>
          <w:rFonts w:ascii="Arial" w:hAnsi="Arial" w:cs="Arial"/>
          <w:color w:val="000000" w:themeColor="text1"/>
          <w:sz w:val="22"/>
          <w:lang w:val="es-ES"/>
        </w:rPr>
        <w:t xml:space="preserve"> aspectos que se analizarán a continuación</w:t>
      </w:r>
      <w:r>
        <w:rPr>
          <w:rFonts w:ascii="Arial" w:hAnsi="Arial" w:cs="Arial"/>
          <w:color w:val="000000" w:themeColor="text1"/>
          <w:sz w:val="22"/>
        </w:rPr>
        <w:t>:</w:t>
      </w:r>
    </w:p>
    <w:p w14:paraId="156DD4AE" w14:textId="77777777" w:rsidR="00322518" w:rsidRDefault="00322518" w:rsidP="00322518">
      <w:pPr>
        <w:spacing w:after="120" w:line="276" w:lineRule="auto"/>
        <w:ind w:firstLine="709"/>
        <w:jc w:val="both"/>
        <w:rPr>
          <w:rFonts w:ascii="Arial" w:eastAsia="Arial" w:hAnsi="Arial" w:cs="Arial"/>
          <w:color w:val="000000" w:themeColor="text1"/>
          <w:sz w:val="22"/>
          <w:lang w:val="es-ES"/>
        </w:rPr>
      </w:pPr>
      <w:r w:rsidRPr="242905EC">
        <w:rPr>
          <w:rFonts w:ascii="Arial" w:eastAsia="Arial" w:hAnsi="Arial" w:cs="Arial"/>
          <w:color w:val="000000" w:themeColor="text1"/>
          <w:sz w:val="22"/>
          <w:lang w:val="es-ES"/>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w:t>
      </w:r>
      <w:r>
        <w:rPr>
          <w:rFonts w:ascii="Arial" w:eastAsia="Arial" w:hAnsi="Arial" w:cs="Arial"/>
          <w:color w:val="000000" w:themeColor="text1"/>
          <w:sz w:val="22"/>
          <w:lang w:val="es-ES"/>
        </w:rPr>
        <w:t>:</w:t>
      </w:r>
      <w:r w:rsidRPr="242905EC">
        <w:rPr>
          <w:rFonts w:ascii="Arial" w:eastAsia="Arial" w:hAnsi="Arial" w:cs="Arial"/>
          <w:color w:val="000000" w:themeColor="text1"/>
          <w:sz w:val="22"/>
          <w:lang w:val="es-ES"/>
        </w:rPr>
        <w:t xml:space="preserve"> en </w:t>
      </w:r>
      <w:r>
        <w:rPr>
          <w:rFonts w:ascii="Arial" w:eastAsia="Arial" w:hAnsi="Arial" w:cs="Arial"/>
          <w:color w:val="000000" w:themeColor="text1"/>
          <w:sz w:val="22"/>
          <w:lang w:val="es-ES"/>
        </w:rPr>
        <w:t>este</w:t>
      </w:r>
      <w:r w:rsidRPr="242905EC">
        <w:rPr>
          <w:rFonts w:ascii="Arial" w:eastAsia="Arial" w:hAnsi="Arial" w:cs="Arial"/>
          <w:color w:val="000000" w:themeColor="text1"/>
          <w:sz w:val="22"/>
          <w:lang w:val="es-ES"/>
        </w:rPr>
        <w:t xml:space="preserve"> último los documentos o requisitos subsanables deben solicitarse, como límite final, hasta el momento previo a su realización</w:t>
      </w:r>
      <w:r>
        <w:rPr>
          <w:rFonts w:ascii="Arial" w:eastAsia="Arial" w:hAnsi="Arial" w:cs="Arial"/>
          <w:color w:val="000000"/>
          <w:sz w:val="22"/>
          <w:szCs w:val="22"/>
          <w:vertAlign w:val="superscript"/>
        </w:rPr>
        <w:footnoteReference w:id="17"/>
      </w:r>
      <w:r w:rsidRPr="242905EC">
        <w:rPr>
          <w:rFonts w:ascii="Arial" w:eastAsia="Arial" w:hAnsi="Arial" w:cs="Arial"/>
          <w:color w:val="000000" w:themeColor="text1"/>
          <w:sz w:val="22"/>
          <w:lang w:val="es-ES"/>
        </w:rPr>
        <w:t>.</w:t>
      </w:r>
    </w:p>
    <w:p w14:paraId="3184D6AD" w14:textId="77777777" w:rsidR="00322518" w:rsidRPr="009417A8" w:rsidRDefault="00322518" w:rsidP="00322518">
      <w:pPr>
        <w:spacing w:after="120" w:line="276" w:lineRule="auto"/>
        <w:ind w:firstLine="709"/>
        <w:jc w:val="both"/>
        <w:rPr>
          <w:rFonts w:ascii="Arial" w:eastAsia="Arial" w:hAnsi="Arial" w:cs="Arial"/>
          <w:color w:val="000000" w:themeColor="text1"/>
          <w:sz w:val="22"/>
          <w:lang w:val="es-ES"/>
        </w:rPr>
      </w:pPr>
      <w:r>
        <w:rPr>
          <w:rStyle w:val="normaltextrun"/>
          <w:rFonts w:ascii="Arial" w:hAnsi="Arial" w:cs="Arial"/>
          <w:color w:val="000000"/>
          <w:sz w:val="22"/>
          <w:shd w:val="clear" w:color="auto" w:fill="FFFFFF"/>
        </w:rPr>
        <w:t>Frente a la regla general, como se explica en el Concepto CU-060 del 24 de febrero de 2020, la norma fijó un límite final para que la Administración y los oferentes subsanen los requisitos o documentos que puedan y deban ser subsanados; pero nada impide, y la norma no lo hace, que la Administración requiera al proponente antes de publicar el informe de evaluación. </w:t>
      </w:r>
      <w:r>
        <w:rPr>
          <w:rStyle w:val="eop"/>
          <w:rFonts w:ascii="Arial" w:hAnsi="Arial" w:cs="Arial"/>
          <w:color w:val="000000"/>
          <w:sz w:val="22"/>
          <w:shd w:val="clear" w:color="auto" w:fill="FFFFFF"/>
        </w:rPr>
        <w:t> </w:t>
      </w:r>
    </w:p>
    <w:p w14:paraId="502C7EEB" w14:textId="77777777" w:rsidR="00322518" w:rsidRPr="00AE6622" w:rsidRDefault="00322518" w:rsidP="00322518">
      <w:pPr>
        <w:spacing w:after="120" w:line="276" w:lineRule="auto"/>
        <w:ind w:firstLine="720"/>
        <w:jc w:val="both"/>
        <w:rPr>
          <w:rFonts w:ascii="Arial" w:eastAsia="Calibri" w:hAnsi="Arial" w:cs="Arial"/>
          <w:color w:val="000000" w:themeColor="text1"/>
          <w:sz w:val="21"/>
          <w:szCs w:val="21"/>
        </w:rPr>
      </w:pPr>
      <w:r w:rsidRPr="242905EC">
        <w:rPr>
          <w:rFonts w:ascii="Arial" w:eastAsia="Arial" w:hAnsi="Arial" w:cs="Arial"/>
          <w:color w:val="000000" w:themeColor="text1"/>
          <w:sz w:val="22"/>
          <w:lang w:val="es-ES"/>
        </w:rPr>
        <w:lastRenderedPageBreak/>
        <w:t>De otro lado, el segundo cambio importante de la Ley 1882 de 2018</w:t>
      </w:r>
      <w:r>
        <w:rPr>
          <w:rFonts w:ascii="Arial" w:eastAsia="Arial" w:hAnsi="Arial" w:cs="Arial"/>
          <w:color w:val="000000" w:themeColor="text1"/>
          <w:sz w:val="22"/>
        </w:rPr>
        <w:t xml:space="preserve"> </w:t>
      </w:r>
      <w:r w:rsidRPr="242905EC">
        <w:rPr>
          <w:rFonts w:ascii="Arial" w:eastAsia="Calibri" w:hAnsi="Arial" w:cs="Arial"/>
          <w:color w:val="000000" w:themeColor="text1"/>
          <w:sz w:val="22"/>
        </w:rPr>
        <w:t xml:space="preserve">es </w:t>
      </w:r>
      <w:r>
        <w:rPr>
          <w:rFonts w:ascii="Arial" w:eastAsia="Calibri" w:hAnsi="Arial" w:cs="Arial"/>
          <w:color w:val="000000" w:themeColor="text1"/>
          <w:sz w:val="22"/>
        </w:rPr>
        <w:t>e</w:t>
      </w:r>
      <w:r w:rsidRPr="242905EC">
        <w:rPr>
          <w:rFonts w:ascii="Arial" w:eastAsia="Calibri" w:hAnsi="Arial" w:cs="Arial"/>
          <w:color w:val="000000" w:themeColor="text1"/>
          <w:sz w:val="22"/>
        </w:rPr>
        <w:t xml:space="preserve">l correspondiente a la garantía de seriedad. El parágrafo 3 del artículo 5 de la Ley 1150 de 2007, adicionado por el artículo 5 de la Ley 1882 de 2018 </w:t>
      </w:r>
      <w:r>
        <w:rPr>
          <w:rFonts w:ascii="Arial" w:eastAsia="Calibri" w:hAnsi="Arial" w:cs="Arial"/>
          <w:color w:val="000000" w:themeColor="text1"/>
          <w:sz w:val="22"/>
        </w:rPr>
        <w:t>dispone que la falta de</w:t>
      </w:r>
      <w:r w:rsidRPr="242905EC">
        <w:rPr>
          <w:rFonts w:ascii="Arial" w:eastAsia="Calibri" w:hAnsi="Arial" w:cs="Arial"/>
          <w:color w:val="000000" w:themeColor="text1"/>
          <w:sz w:val="22"/>
        </w:rPr>
        <w:t xml:space="preserve"> entrega</w:t>
      </w:r>
      <w:r>
        <w:rPr>
          <w:rFonts w:ascii="Arial" w:eastAsia="Calibri" w:hAnsi="Arial" w:cs="Arial"/>
          <w:color w:val="000000" w:themeColor="text1"/>
          <w:sz w:val="22"/>
        </w:rPr>
        <w:t xml:space="preserve"> de la</w:t>
      </w:r>
      <w:r w:rsidRPr="242905EC">
        <w:rPr>
          <w:rFonts w:ascii="Arial" w:eastAsia="Calibri" w:hAnsi="Arial" w:cs="Arial"/>
          <w:color w:val="000000" w:themeColor="text1"/>
          <w:sz w:val="22"/>
        </w:rPr>
        <w:t xml:space="preserve"> garantía de seriedad </w:t>
      </w:r>
      <w:r>
        <w:rPr>
          <w:rFonts w:ascii="Arial" w:eastAsia="Calibri" w:hAnsi="Arial" w:cs="Arial"/>
          <w:color w:val="000000" w:themeColor="text1"/>
          <w:sz w:val="22"/>
        </w:rPr>
        <w:t>es insubsanable. Al respecto, la norma prescribe lo siguiente</w:t>
      </w:r>
      <w:r w:rsidRPr="242905EC">
        <w:rPr>
          <w:rFonts w:ascii="Arial" w:eastAsia="Calibri" w:hAnsi="Arial" w:cs="Arial"/>
          <w:color w:val="000000" w:themeColor="text1"/>
          <w:sz w:val="22"/>
        </w:rPr>
        <w:t xml:space="preserve">: </w:t>
      </w:r>
      <w:r w:rsidRPr="00802DBF">
        <w:rPr>
          <w:rFonts w:ascii="Arial" w:eastAsia="Calibri" w:hAnsi="Arial" w:cs="Arial"/>
          <w:color w:val="000000" w:themeColor="text1"/>
          <w:sz w:val="22"/>
        </w:rPr>
        <w:t>«PARÁGRAFO 3o. La no entrega de la garantía de seriedad junto con la propuesta no será subsanable y será causal de rechazo de la misma».</w:t>
      </w:r>
    </w:p>
    <w:p w14:paraId="560DCF91" w14:textId="77777777" w:rsidR="00322518" w:rsidRPr="00D13660" w:rsidRDefault="00322518" w:rsidP="00322518">
      <w:pPr>
        <w:spacing w:line="276" w:lineRule="auto"/>
        <w:ind w:firstLine="709"/>
        <w:jc w:val="both"/>
        <w:rPr>
          <w:rFonts w:ascii="Arial" w:hAnsi="Arial" w:cs="Arial"/>
          <w:sz w:val="22"/>
          <w:bdr w:val="none" w:sz="0" w:space="0" w:color="auto" w:frame="1"/>
          <w:lang w:val="es-ES_tradnl"/>
        </w:rPr>
      </w:pPr>
      <w:r>
        <w:rPr>
          <w:rFonts w:ascii="Arial" w:eastAsia="Arial" w:hAnsi="Arial" w:cs="Arial"/>
          <w:color w:val="000000" w:themeColor="text1"/>
          <w:sz w:val="22"/>
        </w:rPr>
        <w:t>Finalmente, el último cambio</w:t>
      </w:r>
      <w:r w:rsidRPr="242905EC">
        <w:rPr>
          <w:rFonts w:ascii="Arial" w:eastAsia="Arial" w:hAnsi="Arial" w:cs="Arial"/>
          <w:color w:val="000000" w:themeColor="text1"/>
          <w:sz w:val="22"/>
          <w:lang w:val="es-ES"/>
        </w:rPr>
        <w:t xml:space="preserve"> importante de la Ley 1882 de 2018 fue la introducción de un criterio material, directamente relacionado con los aspectos subsanables: </w:t>
      </w:r>
      <w:r w:rsidRPr="242905EC">
        <w:rPr>
          <w:rFonts w:ascii="Arial" w:eastAsia="Arial" w:hAnsi="Arial" w:cs="Arial"/>
          <w:i/>
          <w:iCs/>
          <w:color w:val="000000" w:themeColor="text1"/>
          <w:sz w:val="22"/>
          <w:lang w:val="es-ES"/>
        </w:rPr>
        <w:t>«</w:t>
      </w:r>
      <w:r w:rsidRPr="242905EC">
        <w:rPr>
          <w:rFonts w:ascii="Arial" w:eastAsia="Arial" w:hAnsi="Arial" w:cs="Arial"/>
          <w:color w:val="000000" w:themeColor="text1"/>
          <w:sz w:val="22"/>
          <w:lang w:val="es-ES"/>
        </w:rPr>
        <w:t>los proponentes no podrán acreditar circunstancias ocurridas con posterioridad al cierre del proceso»</w:t>
      </w:r>
      <w:r w:rsidRPr="242905EC">
        <w:rPr>
          <w:rFonts w:ascii="Arial" w:eastAsia="Arial" w:hAnsi="Arial" w:cs="Arial"/>
          <w:b/>
          <w:bCs/>
          <w:color w:val="000000" w:themeColor="text1"/>
          <w:sz w:val="22"/>
          <w:lang w:val="es-ES"/>
        </w:rPr>
        <w:t>.</w:t>
      </w:r>
      <w:r>
        <w:rPr>
          <w:rFonts w:ascii="Arial" w:hAnsi="Arial" w:cs="Arial"/>
          <w:sz w:val="22"/>
          <w:bdr w:val="none" w:sz="0" w:space="0" w:color="auto" w:frame="1"/>
          <w:lang w:val="es-ES_tradnl"/>
        </w:rPr>
        <w:t xml:space="preserve"> E</w:t>
      </w:r>
      <w:r w:rsidRPr="00D13660">
        <w:rPr>
          <w:rFonts w:ascii="Arial" w:hAnsi="Arial" w:cs="Arial"/>
          <w:sz w:val="22"/>
          <w:bdr w:val="none" w:sz="0" w:space="0" w:color="auto" w:frame="1"/>
          <w:lang w:val="es-ES_tradnl"/>
        </w:rPr>
        <w:t xml:space="preserve">sta regla tiene una finalidad particular, y es que, al momento de presentar la oferta, el proponente la deberá </w:t>
      </w:r>
      <w:r>
        <w:rPr>
          <w:rFonts w:ascii="Arial" w:hAnsi="Arial" w:cs="Arial"/>
          <w:sz w:val="22"/>
          <w:bdr w:val="none" w:sz="0" w:space="0" w:color="auto" w:frame="1"/>
          <w:lang w:val="es-ES_tradnl"/>
        </w:rPr>
        <w:t>hacerlo</w:t>
      </w:r>
      <w:r w:rsidRPr="00D13660">
        <w:rPr>
          <w:rFonts w:ascii="Arial" w:hAnsi="Arial" w:cs="Arial"/>
          <w:sz w:val="22"/>
          <w:bdr w:val="none" w:sz="0" w:space="0" w:color="auto" w:frame="1"/>
          <w:lang w:val="es-ES_tradnl"/>
        </w:rPr>
        <w:t xml:space="preserve"> de forma íntegra y así evitar que a lo largo del proce</w:t>
      </w:r>
      <w:r>
        <w:rPr>
          <w:rFonts w:ascii="Arial" w:hAnsi="Arial" w:cs="Arial"/>
          <w:sz w:val="22"/>
          <w:bdr w:val="none" w:sz="0" w:space="0" w:color="auto" w:frame="1"/>
          <w:lang w:val="es-ES_tradnl"/>
        </w:rPr>
        <w:t>dimiento</w:t>
      </w:r>
      <w:r w:rsidRPr="00D13660">
        <w:rPr>
          <w:rFonts w:ascii="Arial" w:hAnsi="Arial" w:cs="Arial"/>
          <w:sz w:val="22"/>
          <w:bdr w:val="none" w:sz="0" w:space="0" w:color="auto" w:frame="1"/>
          <w:lang w:val="es-ES_tradnl"/>
        </w:rPr>
        <w:t xml:space="preserve"> contractual complet</w:t>
      </w:r>
      <w:r>
        <w:rPr>
          <w:rFonts w:ascii="Arial" w:hAnsi="Arial" w:cs="Arial"/>
          <w:sz w:val="22"/>
          <w:bdr w:val="none" w:sz="0" w:space="0" w:color="auto" w:frame="1"/>
          <w:lang w:val="es-ES_tradnl"/>
        </w:rPr>
        <w:t>e</w:t>
      </w:r>
      <w:r w:rsidRPr="00D13660">
        <w:rPr>
          <w:rFonts w:ascii="Arial" w:hAnsi="Arial" w:cs="Arial"/>
          <w:sz w:val="22"/>
          <w:bdr w:val="none" w:sz="0" w:space="0" w:color="auto" w:frame="1"/>
          <w:lang w:val="es-ES_tradnl"/>
        </w:rPr>
        <w:t xml:space="preserve"> o adicion</w:t>
      </w:r>
      <w:r>
        <w:rPr>
          <w:rFonts w:ascii="Arial" w:hAnsi="Arial" w:cs="Arial"/>
          <w:sz w:val="22"/>
          <w:bdr w:val="none" w:sz="0" w:space="0" w:color="auto" w:frame="1"/>
          <w:lang w:val="es-ES_tradnl"/>
        </w:rPr>
        <w:t>e</w:t>
      </w:r>
      <w:r w:rsidRPr="00D13660">
        <w:rPr>
          <w:rFonts w:ascii="Arial" w:hAnsi="Arial" w:cs="Arial"/>
          <w:sz w:val="22"/>
          <w:bdr w:val="none" w:sz="0" w:space="0" w:color="auto" w:frame="1"/>
          <w:lang w:val="es-ES_tradnl"/>
        </w:rPr>
        <w:t xml:space="preserve"> su propuesta, conforme mejora su situación particular. En términos del Consejo de Estado:</w:t>
      </w:r>
    </w:p>
    <w:p w14:paraId="6AE0D17A" w14:textId="77777777" w:rsidR="00322518" w:rsidRDefault="00322518" w:rsidP="00322518">
      <w:pPr>
        <w:spacing w:line="276" w:lineRule="auto"/>
        <w:ind w:firstLine="709"/>
        <w:jc w:val="both"/>
        <w:rPr>
          <w:rFonts w:ascii="Arial" w:hAnsi="Arial" w:cs="Arial"/>
          <w:color w:val="201F1E"/>
          <w:sz w:val="22"/>
          <w:bdr w:val="none" w:sz="0" w:space="0" w:color="auto" w:frame="1"/>
          <w:lang w:val="es-ES_tradnl"/>
        </w:rPr>
      </w:pPr>
    </w:p>
    <w:p w14:paraId="4DD1336D" w14:textId="77777777" w:rsidR="00322518" w:rsidRDefault="00322518" w:rsidP="00322518">
      <w:pPr>
        <w:tabs>
          <w:tab w:val="left" w:pos="426"/>
        </w:tabs>
        <w:ind w:left="709" w:right="709"/>
        <w:jc w:val="both"/>
        <w:rPr>
          <w:rFonts w:ascii="Arial" w:eastAsia="Arial" w:hAnsi="Arial" w:cs="Arial"/>
          <w:color w:val="000000" w:themeColor="text1"/>
          <w:sz w:val="21"/>
          <w:szCs w:val="21"/>
        </w:rPr>
      </w:pPr>
      <w:r w:rsidRPr="63A9585E">
        <w:rPr>
          <w:rFonts w:ascii="Arial" w:eastAsia="Arial" w:hAnsi="Arial" w:cs="Arial"/>
          <w:color w:val="000000" w:themeColor="text1"/>
          <w:sz w:val="21"/>
          <w:szCs w:val="21"/>
        </w:rPr>
        <w:t>[…] no es posible que el oferente vaya mejorando, completando, adicionando, modificando o estructurando su propuesta a lo largo del proceso contractual según vaya evolucionando su situación particular en el mismo, pues como se establece en el numeral 6º del artículo 30 de la Ley 80 de 1993, “las propuestas deben referirse y sujetarse a todos y cada uno de los puntos contenidos en el pliego de condiciones”, es decir, todos los elementos del negocio jurídico exigidos en los pliegos de condiciones. Dicho de otra forma, el oferente tiene la carga de presentar su oferta en forma íntegra, esto es, respondiendo todos los puntos del pliego de condiciones y adjuntando todos los documentos de soporte o prueba de las condiciones habilitantes y de los elementos de su oferta, de manera que la entidad licitante pueda, con economía de medios, evaluarla lo más eficientemente posible, y sólo si hace falta algún requisito o un documento, la administración puede requerirlo del oferente.</w:t>
      </w:r>
      <w:r w:rsidRPr="63A9585E">
        <w:rPr>
          <w:rFonts w:ascii="Arial" w:eastAsia="Arial" w:hAnsi="Arial" w:cs="Arial"/>
          <w:color w:val="000000" w:themeColor="text1"/>
          <w:sz w:val="21"/>
          <w:szCs w:val="21"/>
          <w:vertAlign w:val="superscript"/>
        </w:rPr>
        <w:footnoteReference w:id="18"/>
      </w:r>
    </w:p>
    <w:p w14:paraId="6DAEAB0C" w14:textId="77777777" w:rsidR="00322518" w:rsidRPr="00E915C7" w:rsidRDefault="00322518" w:rsidP="00322518">
      <w:pPr>
        <w:tabs>
          <w:tab w:val="left" w:pos="426"/>
        </w:tabs>
        <w:spacing w:line="259" w:lineRule="auto"/>
        <w:ind w:left="709" w:right="709"/>
        <w:jc w:val="both"/>
        <w:rPr>
          <w:rFonts w:ascii="Arial" w:eastAsia="Arial" w:hAnsi="Arial" w:cs="Arial"/>
          <w:color w:val="000000" w:themeColor="text1"/>
          <w:sz w:val="21"/>
          <w:szCs w:val="21"/>
        </w:rPr>
      </w:pPr>
    </w:p>
    <w:p w14:paraId="60E4CC04" w14:textId="44E61CB1" w:rsidR="00322518" w:rsidRDefault="00322518" w:rsidP="00322518">
      <w:pPr>
        <w:spacing w:line="276" w:lineRule="auto"/>
        <w:ind w:firstLine="709"/>
        <w:jc w:val="both"/>
        <w:rPr>
          <w:rFonts w:ascii="Arial" w:eastAsia="Arial" w:hAnsi="Arial" w:cs="Arial"/>
          <w:color w:val="000000" w:themeColor="text1"/>
          <w:sz w:val="21"/>
          <w:szCs w:val="21"/>
        </w:rPr>
      </w:pPr>
      <w:r>
        <w:rPr>
          <w:rFonts w:ascii="Arial" w:eastAsia="Arial" w:hAnsi="Arial" w:cs="Arial"/>
          <w:color w:val="000000" w:themeColor="text1"/>
          <w:sz w:val="22"/>
        </w:rPr>
        <w:t xml:space="preserve">De igual manera, en los documentos tipo adoptados mediante las Resoluciones </w:t>
      </w:r>
      <w:r w:rsidRPr="0043040E">
        <w:rPr>
          <w:rFonts w:ascii="Arial" w:hAnsi="Arial" w:cs="Arial"/>
          <w:color w:val="0D0D0D"/>
          <w:sz w:val="22"/>
          <w:bdr w:val="none" w:sz="0" w:space="0" w:color="auto" w:frame="1"/>
          <w:lang w:eastAsia="es-CO"/>
        </w:rPr>
        <w:t>No. 240 y 241 del 27 de noviembre 2020</w:t>
      </w:r>
      <w:r>
        <w:rPr>
          <w:rFonts w:ascii="Arial" w:eastAsia="Arial" w:hAnsi="Arial" w:cs="Arial"/>
          <w:color w:val="000000" w:themeColor="text1"/>
          <w:sz w:val="22"/>
        </w:rPr>
        <w:t xml:space="preserve">, la obligación del proponente de presentar su oferta de manera íntegra es congruente con el numeral 1.6. del documento </w:t>
      </w:r>
      <w:r w:rsidRPr="00802DBF">
        <w:rPr>
          <w:rFonts w:ascii="Arial" w:eastAsia="Arial" w:hAnsi="Arial" w:cs="Arial"/>
          <w:color w:val="000000" w:themeColor="text1"/>
          <w:sz w:val="22"/>
        </w:rPr>
        <w:t>base</w:t>
      </w:r>
      <w:r>
        <w:rPr>
          <w:rFonts w:ascii="Arial" w:eastAsia="Arial" w:hAnsi="Arial" w:cs="Arial"/>
          <w:color w:val="000000" w:themeColor="text1"/>
          <w:sz w:val="22"/>
        </w:rPr>
        <w:t>. Al respecto, el pliego dispone que</w:t>
      </w:r>
      <w:r>
        <w:rPr>
          <w:rFonts w:ascii="Arial" w:eastAsia="Arial" w:hAnsi="Arial" w:cs="Arial"/>
          <w:color w:val="000000" w:themeColor="text1"/>
          <w:sz w:val="21"/>
          <w:szCs w:val="21"/>
        </w:rPr>
        <w:t>:</w:t>
      </w:r>
    </w:p>
    <w:p w14:paraId="44739B95" w14:textId="77777777" w:rsidR="00322518" w:rsidRDefault="00322518" w:rsidP="00322518">
      <w:pPr>
        <w:spacing w:line="276" w:lineRule="auto"/>
        <w:ind w:firstLine="360"/>
        <w:jc w:val="both"/>
        <w:rPr>
          <w:rFonts w:ascii="Arial" w:eastAsia="Arial" w:hAnsi="Arial" w:cs="Arial"/>
          <w:color w:val="000000" w:themeColor="text1"/>
          <w:sz w:val="21"/>
          <w:szCs w:val="21"/>
        </w:rPr>
      </w:pPr>
    </w:p>
    <w:p w14:paraId="22246CB6" w14:textId="77777777" w:rsidR="00322518" w:rsidRPr="00A015C2" w:rsidRDefault="00322518" w:rsidP="00322518">
      <w:pPr>
        <w:spacing w:after="120"/>
        <w:ind w:left="709" w:right="709"/>
        <w:jc w:val="both"/>
        <w:rPr>
          <w:rFonts w:ascii="Arial" w:eastAsia="Arial" w:hAnsi="Arial" w:cs="Arial"/>
          <w:color w:val="000000" w:themeColor="text1"/>
          <w:sz w:val="21"/>
          <w:szCs w:val="21"/>
        </w:rPr>
      </w:pPr>
      <w:r w:rsidRPr="00A015C2">
        <w:rPr>
          <w:rFonts w:ascii="Arial" w:eastAsia="Arial" w:hAnsi="Arial" w:cs="Arial"/>
          <w:color w:val="000000" w:themeColor="text1"/>
          <w:sz w:val="21"/>
          <w:szCs w:val="21"/>
        </w:rPr>
        <w:t>El Proponente tiene la responsabilidad y carga de presentar su oferta en forma completa e íntegra, esto es, respondiendo todos los puntos del Pliego de Condiciones y adjuntando todos los documentos de soporte o prueba de las condiciones que pretenda hacer valer en el Proceso.</w:t>
      </w:r>
    </w:p>
    <w:p w14:paraId="6A6B43D4" w14:textId="77777777" w:rsidR="00322518" w:rsidRPr="00A015C2" w:rsidRDefault="00322518" w:rsidP="00322518">
      <w:pPr>
        <w:ind w:left="709" w:right="709"/>
        <w:jc w:val="both"/>
        <w:rPr>
          <w:rFonts w:ascii="Arial" w:eastAsia="Arial" w:hAnsi="Arial" w:cs="Arial"/>
          <w:color w:val="000000" w:themeColor="text1"/>
          <w:sz w:val="21"/>
          <w:szCs w:val="21"/>
        </w:rPr>
      </w:pPr>
      <w:r w:rsidRPr="00A015C2">
        <w:rPr>
          <w:rFonts w:ascii="Arial" w:eastAsia="Arial" w:hAnsi="Arial" w:cs="Arial"/>
          <w:color w:val="000000" w:themeColor="text1"/>
          <w:sz w:val="21"/>
          <w:szCs w:val="21"/>
        </w:rPr>
        <w:t xml:space="preserve">En caso de ser necesario, la Entidad deberá solicitar a los Proponentes durante el proceso de evaluación, y a más tardar en el informe de evaluación, las </w:t>
      </w:r>
      <w:r w:rsidRPr="00A015C2">
        <w:rPr>
          <w:rFonts w:ascii="Arial" w:eastAsia="Arial" w:hAnsi="Arial" w:cs="Arial"/>
          <w:color w:val="000000" w:themeColor="text1"/>
          <w:sz w:val="21"/>
          <w:szCs w:val="21"/>
        </w:rPr>
        <w:lastRenderedPageBreak/>
        <w:t>aclaraciones, precisiones o solicitud de documentos que puedan ser subsanables.</w:t>
      </w:r>
    </w:p>
    <w:p w14:paraId="30160152" w14:textId="77777777" w:rsidR="00322518" w:rsidRDefault="00322518" w:rsidP="00322518">
      <w:pPr>
        <w:spacing w:line="276" w:lineRule="auto"/>
        <w:jc w:val="both"/>
        <w:rPr>
          <w:rFonts w:ascii="Arial" w:hAnsi="Arial" w:cs="Arial"/>
          <w:color w:val="201F1E"/>
          <w:sz w:val="22"/>
          <w:bdr w:val="none" w:sz="0" w:space="0" w:color="auto" w:frame="1"/>
        </w:rPr>
      </w:pPr>
    </w:p>
    <w:p w14:paraId="573D7071" w14:textId="77777777" w:rsidR="00322518" w:rsidRPr="00D13660" w:rsidRDefault="00322518" w:rsidP="00322518">
      <w:pPr>
        <w:spacing w:after="120" w:line="276" w:lineRule="auto"/>
        <w:ind w:firstLine="709"/>
        <w:jc w:val="both"/>
        <w:rPr>
          <w:rFonts w:ascii="Arial" w:hAnsi="Arial" w:cs="Arial"/>
          <w:sz w:val="22"/>
          <w:bdr w:val="none" w:sz="0" w:space="0" w:color="auto" w:frame="1"/>
          <w:lang w:val="es-ES_tradnl"/>
        </w:rPr>
      </w:pPr>
      <w:r w:rsidRPr="00D13660">
        <w:rPr>
          <w:rFonts w:ascii="Arial" w:hAnsi="Arial" w:cs="Arial"/>
          <w:sz w:val="22"/>
          <w:bdr w:val="none" w:sz="0" w:space="0" w:color="auto" w:frame="1"/>
        </w:rPr>
        <w:t xml:space="preserve">Bajo la premisa de que el proponente deberá presentar su oferta de manera completa, es que se debe interpretar la expresión </w:t>
      </w:r>
      <w:r w:rsidRPr="00D13660">
        <w:rPr>
          <w:rFonts w:ascii="Arial" w:hAnsi="Arial" w:cs="Arial"/>
          <w:sz w:val="22"/>
          <w:bdr w:val="none" w:sz="0" w:space="0" w:color="auto" w:frame="1"/>
          <w:lang w:val="es-ES_tradnl"/>
        </w:rPr>
        <w:t xml:space="preserve">«circunstancias ocurridas con posterioridad al cierre del proceso». </w:t>
      </w:r>
      <w:r>
        <w:rPr>
          <w:rFonts w:ascii="Arial" w:hAnsi="Arial" w:cs="Arial"/>
          <w:sz w:val="22"/>
          <w:bdr w:val="none" w:sz="0" w:space="0" w:color="auto" w:frame="1"/>
          <w:lang w:val="es-ES_tradnl"/>
        </w:rPr>
        <w:t xml:space="preserve">Como se explicó en el </w:t>
      </w:r>
      <w:r>
        <w:rPr>
          <w:rStyle w:val="normaltextrun"/>
          <w:rFonts w:ascii="Arial" w:hAnsi="Arial" w:cs="Arial"/>
          <w:color w:val="000000"/>
          <w:sz w:val="22"/>
          <w:shd w:val="clear" w:color="auto" w:fill="FFFFFF"/>
        </w:rPr>
        <w:t xml:space="preserve">Concepto CU-060 del 24 de febrero de 2020, </w:t>
      </w:r>
      <w:r>
        <w:rPr>
          <w:rFonts w:ascii="Arial" w:hAnsi="Arial" w:cs="Arial"/>
          <w:sz w:val="22"/>
          <w:bdr w:val="none" w:sz="0" w:space="0" w:color="auto" w:frame="1"/>
          <w:lang w:val="es-ES_tradnl"/>
        </w:rPr>
        <w:t>e</w:t>
      </w:r>
      <w:r w:rsidRPr="00D13660">
        <w:rPr>
          <w:rFonts w:ascii="Arial" w:hAnsi="Arial" w:cs="Arial"/>
          <w:sz w:val="22"/>
          <w:bdr w:val="none" w:sz="0" w:space="0" w:color="auto" w:frame="1"/>
          <w:lang w:val="es-ES_tradnl"/>
        </w:rPr>
        <w:t>sto lleva a la necesidad de distinguir entre la prueba de un hecho y el hecho mismo. En el caso de la subsanabilidad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en tanto esto implicaría que el proponente pueda hacer mejoras o adicione circunstancias que no corresponden a la oferta inicialmente presentada</w:t>
      </w:r>
      <w:r w:rsidRPr="00E22A17">
        <w:rPr>
          <w:rStyle w:val="Refdenotaalpie"/>
          <w:rFonts w:ascii="Arial" w:hAnsi="Arial" w:cs="Arial"/>
          <w:sz w:val="22"/>
          <w:bdr w:val="none" w:sz="0" w:space="0" w:color="auto" w:frame="1"/>
          <w:lang w:val="es-ES_tradnl"/>
        </w:rPr>
        <w:footnoteReference w:id="19"/>
      </w:r>
      <w:r w:rsidRPr="00D13660">
        <w:rPr>
          <w:rFonts w:ascii="Arial" w:hAnsi="Arial" w:cs="Arial"/>
          <w:sz w:val="22"/>
          <w:bdr w:val="none" w:sz="0" w:space="0" w:color="auto" w:frame="1"/>
          <w:lang w:val="es-ES_tradnl"/>
        </w:rPr>
        <w:t>.</w:t>
      </w:r>
    </w:p>
    <w:p w14:paraId="6B0F8E18" w14:textId="77777777" w:rsidR="00322518" w:rsidRPr="000B22B3" w:rsidRDefault="00322518" w:rsidP="00322518">
      <w:pPr>
        <w:spacing w:after="120" w:line="276" w:lineRule="auto"/>
        <w:ind w:firstLine="709"/>
        <w:jc w:val="both"/>
        <w:rPr>
          <w:rFonts w:ascii="Arial" w:hAnsi="Arial" w:cs="Arial"/>
          <w:color w:val="000000" w:themeColor="text1"/>
          <w:sz w:val="22"/>
          <w:lang w:val="es-ES_tradnl"/>
        </w:rPr>
      </w:pPr>
      <w:r w:rsidRPr="000B22B3">
        <w:rPr>
          <w:rFonts w:ascii="Arial" w:eastAsia="Calibri" w:hAnsi="Arial" w:cs="Arial"/>
          <w:color w:val="000000" w:themeColor="text1"/>
          <w:sz w:val="22"/>
          <w:szCs w:val="22"/>
          <w:lang w:val="es-ES_tradnl"/>
        </w:rPr>
        <w:t>Analizada la regla del parágrafo primero del artículo 5 de la Ley 1150 de 2007</w:t>
      </w:r>
      <w:r w:rsidRPr="000B22B3">
        <w:rPr>
          <w:rFonts w:ascii="Arial" w:hAnsi="Arial" w:cs="Arial"/>
          <w:color w:val="000000" w:themeColor="text1"/>
          <w:sz w:val="22"/>
          <w:lang w:val="es-ES_tradnl"/>
        </w:rPr>
        <w:t xml:space="preserve">, los criterios de desempate afectan la asignación de puntaje, por lo que los documentos que los acreditan son insubsanables. Estos factores definen la adjudicación del contrato cuando, después de aplicar los criterios de evaluación del pliego de condiciones, dos o más proponentes obtienen resultados similares. De hecho, el primer inciso del artículo 35 de la Ley 2069 de 2020 dispone que los factores de desempate aplican cuando el puntaje total de dos o más ofertas es el mismo. Por tanto, el oferente que resulta adjudicatario es aquel que acredita alguno de esos criterios de desempate, por lo que afectan la asignación de puntaje y deciden el resultado del proceso de selección.  </w:t>
      </w:r>
    </w:p>
    <w:p w14:paraId="4ECB0FE6" w14:textId="3B87F1CE" w:rsidR="00322518" w:rsidRPr="000B22B3" w:rsidRDefault="00322518" w:rsidP="00322518">
      <w:pPr>
        <w:spacing w:after="120" w:line="276" w:lineRule="auto"/>
        <w:ind w:firstLine="709"/>
        <w:jc w:val="both"/>
        <w:rPr>
          <w:rFonts w:ascii="Arial" w:hAnsi="Arial" w:cs="Arial"/>
          <w:color w:val="000000" w:themeColor="text1"/>
          <w:sz w:val="22"/>
          <w:lang w:val="es-ES_tradnl"/>
        </w:rPr>
      </w:pPr>
      <w:r w:rsidRPr="000B22B3">
        <w:rPr>
          <w:rFonts w:ascii="Arial" w:hAnsi="Arial" w:cs="Arial"/>
          <w:color w:val="000000" w:themeColor="text1"/>
          <w:sz w:val="22"/>
          <w:lang w:val="es-ES_tradnl"/>
        </w:rPr>
        <w:t xml:space="preserve">Para los documentos tipo de licitación –versión 3– y selección abreviada –versión 2– de obra pública de infraestructura de transporte, esta idea es congruente con el numeral 1.6 del pliego de condiciones. Al respecto, el </w:t>
      </w:r>
      <w:r w:rsidR="009165F4">
        <w:rPr>
          <w:rFonts w:ascii="Arial" w:hAnsi="Arial" w:cs="Arial"/>
          <w:color w:val="000000" w:themeColor="text1"/>
          <w:sz w:val="22"/>
          <w:lang w:val="es-ES_tradnl"/>
        </w:rPr>
        <w:t xml:space="preserve">numeral 1.6 del </w:t>
      </w:r>
      <w:r w:rsidRPr="000B22B3">
        <w:rPr>
          <w:rFonts w:ascii="Arial" w:hAnsi="Arial" w:cs="Arial"/>
          <w:color w:val="000000" w:themeColor="text1"/>
          <w:sz w:val="22"/>
          <w:lang w:val="es-ES_tradnl"/>
        </w:rPr>
        <w:t xml:space="preserve">documento base dispone que «Todos aquellos requisitos de la oferta que afecten la asignación de puntaje, </w:t>
      </w:r>
      <w:r w:rsidRPr="000B22B3">
        <w:rPr>
          <w:rFonts w:ascii="Arial" w:hAnsi="Arial" w:cs="Arial"/>
          <w:i/>
          <w:iCs/>
          <w:color w:val="000000" w:themeColor="text1"/>
          <w:sz w:val="22"/>
          <w:lang w:val="es-ES_tradnl"/>
        </w:rPr>
        <w:t>incluyendo los necesarios para acreditar requisitos de desempate</w:t>
      </w:r>
      <w:r w:rsidRPr="000B22B3">
        <w:rPr>
          <w:rFonts w:ascii="Arial" w:hAnsi="Arial" w:cs="Arial"/>
          <w:color w:val="000000" w:themeColor="text1"/>
          <w:sz w:val="22"/>
          <w:lang w:val="es-ES_tradnl"/>
        </w:rPr>
        <w:t>, no son subsanables, por lo que los mismos deben ser aportados por los proponentes desde la presentación de la oferta. No obstante, pueden ser aclarados o ser objeto de explicación» (Énfasis fuera de texto).</w:t>
      </w:r>
    </w:p>
    <w:p w14:paraId="5F2DDB05" w14:textId="77777777" w:rsidR="00322518" w:rsidRPr="000B22B3" w:rsidRDefault="00322518" w:rsidP="00322518">
      <w:pPr>
        <w:spacing w:after="120" w:line="276" w:lineRule="auto"/>
        <w:ind w:firstLine="709"/>
        <w:jc w:val="both"/>
        <w:rPr>
          <w:rFonts w:ascii="Arial" w:hAnsi="Arial" w:cs="Arial"/>
          <w:color w:val="000000" w:themeColor="text1"/>
          <w:sz w:val="22"/>
          <w:lang w:val="es-ES_tradnl"/>
        </w:rPr>
      </w:pPr>
      <w:r w:rsidRPr="000B22B3">
        <w:rPr>
          <w:rFonts w:ascii="Arial" w:hAnsi="Arial" w:cs="Arial"/>
          <w:color w:val="000000" w:themeColor="text1"/>
          <w:sz w:val="22"/>
          <w:lang w:val="es-ES_tradnl"/>
        </w:rPr>
        <w:t xml:space="preserve">Es necesario tener en cuenta que los factores desempate complementan los criterios de evaluación, es decir, si después de aplicar estos últimos, varias propuestas terminan empatadas, aplica el artículo 35 de la Ley de Emprendimiento. En esta medida, los documentos que acreditan cada causal no podrían definirse como «condiciones habilitantes», ya que –en los términos del artículo 5.1 de la Ley 1150 de 2007– ninguno de ellos está relacionado con la prueba de la capacidad jurídica o la certificación de las condiciones de experiencia, capacidad financiera y de organización de los proponentes. </w:t>
      </w:r>
    </w:p>
    <w:p w14:paraId="7D38414E" w14:textId="77777777" w:rsidR="00322518" w:rsidRPr="000B22B3" w:rsidRDefault="00322518" w:rsidP="00322518">
      <w:pPr>
        <w:spacing w:after="120" w:line="276" w:lineRule="auto"/>
        <w:ind w:firstLine="709"/>
        <w:jc w:val="both"/>
        <w:rPr>
          <w:rFonts w:ascii="Arial" w:hAnsi="Arial" w:cs="Arial"/>
          <w:color w:val="000000" w:themeColor="text1"/>
          <w:sz w:val="22"/>
          <w:lang w:val="es-ES_tradnl"/>
        </w:rPr>
      </w:pPr>
      <w:r w:rsidRPr="000B22B3">
        <w:rPr>
          <w:rFonts w:ascii="Arial" w:hAnsi="Arial" w:cs="Arial"/>
          <w:color w:val="000000" w:themeColor="text1"/>
          <w:sz w:val="22"/>
          <w:lang w:val="es-ES_tradnl"/>
        </w:rPr>
        <w:lastRenderedPageBreak/>
        <w:t xml:space="preserve">De considerase «condiciones habilitantes», se llegaría a la idea de que –so pena de rechazo– la participación en el procedimiento contractual está sujeta a la prueba de por lo menos una de las causales del artículo 35 de la Ley 2069 de 2020. Esta conclusión no tendría sentido, ya que es posible la acreditación de los requisitos previstos en el artículo 5.1 de la Ley 1150 de 2007, sin que la ausencia de prueba del criterio de desempate condicione la aplicación de los factores de evaluación previstos en el pliego de condiciones. Naturalmente, en caso de empate, la consecuencia es que la adjudicación se resuelve con los participantes que acreditaron alguno de los factores, excluyendo a quienes no lo hicieron. </w:t>
      </w:r>
    </w:p>
    <w:p w14:paraId="722E3C27" w14:textId="6A2ACB9C" w:rsidR="00322518" w:rsidRPr="000B22B3" w:rsidRDefault="00322518" w:rsidP="00322518">
      <w:pPr>
        <w:spacing w:after="120" w:line="276" w:lineRule="auto"/>
        <w:ind w:firstLine="709"/>
        <w:jc w:val="both"/>
        <w:rPr>
          <w:rFonts w:ascii="Arial" w:hAnsi="Arial" w:cs="Arial"/>
          <w:color w:val="000000" w:themeColor="text1"/>
          <w:sz w:val="22"/>
          <w:lang w:val="es-ES_tradnl"/>
        </w:rPr>
      </w:pPr>
      <w:r w:rsidRPr="000B22B3">
        <w:rPr>
          <w:rFonts w:ascii="Arial" w:hAnsi="Arial" w:cs="Arial"/>
          <w:color w:val="000000" w:themeColor="text1"/>
          <w:sz w:val="22"/>
          <w:lang w:val="es-ES_tradnl"/>
        </w:rPr>
        <w:t>De esta manera, los factores de desempate afectan la «asignación de puntaje» en los términos del</w:t>
      </w:r>
      <w:r w:rsidRPr="000B22B3">
        <w:rPr>
          <w:rFonts w:ascii="Arial" w:eastAsia="Calibri" w:hAnsi="Arial" w:cs="Arial"/>
          <w:color w:val="000000" w:themeColor="text1"/>
          <w:sz w:val="22"/>
          <w:szCs w:val="22"/>
          <w:lang w:val="es-ES_tradnl"/>
        </w:rPr>
        <w:t xml:space="preserve"> parágrafo primero del artículo 5 de la Ley 1150 de 2007, en la medida que </w:t>
      </w:r>
      <w:r w:rsidRPr="000B22B3">
        <w:rPr>
          <w:rFonts w:ascii="Arial" w:hAnsi="Arial" w:cs="Arial"/>
          <w:color w:val="000000" w:themeColor="text1"/>
          <w:sz w:val="22"/>
          <w:lang w:val="es-ES_tradnl"/>
        </w:rPr>
        <w:t xml:space="preserve">influyen en la «comparación de las propuestas». En efecto, algunos de los factores de evaluación también son criterios de desempate: este es el caso de los previstos en el artículo 2 de la Ley 816 de 2003 y en </w:t>
      </w:r>
      <w:bookmarkStart w:id="5" w:name="_Hlk71484452"/>
      <w:r w:rsidRPr="000B22B3">
        <w:rPr>
          <w:rFonts w:ascii="Arial" w:hAnsi="Arial" w:cs="Arial"/>
          <w:color w:val="000000" w:themeColor="text1"/>
          <w:sz w:val="22"/>
          <w:lang w:val="es-ES_tradnl"/>
        </w:rPr>
        <w:t xml:space="preserve">el artículo </w:t>
      </w:r>
      <w:r w:rsidRPr="000B22B3">
        <w:rPr>
          <w:rFonts w:ascii="Arial" w:eastAsia="Calibri" w:hAnsi="Arial" w:cs="Arial"/>
          <w:sz w:val="22"/>
          <w:lang w:val="es-ES"/>
        </w:rPr>
        <w:t>2.2.1.2.4.2.6 del Decreto 1082 de 2015</w:t>
      </w:r>
      <w:bookmarkEnd w:id="5"/>
      <w:r w:rsidRPr="000B22B3">
        <w:rPr>
          <w:rFonts w:ascii="Arial" w:eastAsia="Calibri" w:hAnsi="Arial" w:cs="Arial"/>
          <w:sz w:val="22"/>
          <w:lang w:val="es-ES"/>
        </w:rPr>
        <w:t xml:space="preserve"> para los proponentes que oferten bienes y servicios nacionales o vinculen personas en situación de discapacidad, respectivamente</w:t>
      </w:r>
      <w:r w:rsidRPr="000B22B3">
        <w:rPr>
          <w:rStyle w:val="Refdenotaalpie"/>
          <w:rFonts w:ascii="Arial" w:hAnsi="Arial" w:cs="Arial"/>
          <w:color w:val="000000" w:themeColor="text1"/>
          <w:sz w:val="22"/>
          <w:lang w:val="es-ES_tradnl"/>
        </w:rPr>
        <w:footnoteReference w:id="20"/>
      </w:r>
      <w:r w:rsidRPr="000B22B3">
        <w:rPr>
          <w:rFonts w:ascii="Arial" w:eastAsia="Calibri" w:hAnsi="Arial" w:cs="Arial"/>
          <w:sz w:val="22"/>
          <w:lang w:val="es-ES"/>
        </w:rPr>
        <w:t>.</w:t>
      </w:r>
      <w:r w:rsidRPr="000B22B3">
        <w:rPr>
          <w:rFonts w:ascii="Arial" w:hAnsi="Arial" w:cs="Arial"/>
          <w:color w:val="000000" w:themeColor="text1"/>
          <w:sz w:val="22"/>
          <w:lang w:val="es-ES_tradnl"/>
        </w:rPr>
        <w:t xml:space="preserve"> Por tanto, si no es posible subsanar los factores de evaluación previstos en las normas citadas, mucho menos es posible subsanarlos tratándose de los factores de desempate</w:t>
      </w:r>
      <w:r w:rsidR="00822ECB">
        <w:rPr>
          <w:rFonts w:ascii="Arial" w:hAnsi="Arial" w:cs="Arial"/>
          <w:color w:val="000000" w:themeColor="text1"/>
          <w:sz w:val="22"/>
          <w:lang w:val="es-ES_tradnl"/>
        </w:rPr>
        <w:t xml:space="preserve">. </w:t>
      </w:r>
      <w:r w:rsidRPr="000B22B3">
        <w:rPr>
          <w:rFonts w:ascii="Arial" w:hAnsi="Arial" w:cs="Arial"/>
          <w:color w:val="000000" w:themeColor="text1"/>
          <w:sz w:val="22"/>
          <w:lang w:val="es-ES_tradnl"/>
        </w:rPr>
        <w:t xml:space="preserve">Esta conclusión se extiende al resto de las causales de esta norma, ya que definen la adjudicación del contrato en caso de empate en el puntaje total de dos o más ofertas en los procesos de contratación. </w:t>
      </w:r>
    </w:p>
    <w:p w14:paraId="72C696E1" w14:textId="77777777" w:rsidR="00322518" w:rsidRPr="000B22B3" w:rsidRDefault="00322518" w:rsidP="0003011E">
      <w:pPr>
        <w:spacing w:after="120" w:line="276" w:lineRule="auto"/>
        <w:ind w:firstLine="709"/>
        <w:jc w:val="both"/>
        <w:rPr>
          <w:rFonts w:ascii="Arial" w:hAnsi="Arial" w:cs="Arial"/>
          <w:color w:val="000000" w:themeColor="text1"/>
          <w:sz w:val="22"/>
          <w:lang w:val="es-ES_tradnl"/>
        </w:rPr>
      </w:pPr>
      <w:r w:rsidRPr="000B22B3">
        <w:rPr>
          <w:rFonts w:ascii="Arial" w:hAnsi="Arial" w:cs="Arial"/>
          <w:color w:val="000000" w:themeColor="text1"/>
          <w:sz w:val="22"/>
          <w:lang w:val="es-ES_tradnl"/>
        </w:rPr>
        <w:t xml:space="preserve">Dado que los factores de desempate influyen en la ponderación de las ofertas presentadas, la acreditación de las causales previstas en el artículo 35 de la Ley 2069 de 2020 es insubsanable. Esto considerando que no son criterios puramente formales de las propuestas ni requisitos para la verificación de las condiciones habilitantes en el proceso de selección en los que aplique la regla del </w:t>
      </w:r>
      <w:r w:rsidRPr="000B22B3">
        <w:rPr>
          <w:rFonts w:ascii="Arial" w:eastAsia="Calibri" w:hAnsi="Arial" w:cs="Arial"/>
          <w:color w:val="000000" w:themeColor="text1"/>
          <w:sz w:val="22"/>
          <w:szCs w:val="22"/>
          <w:lang w:val="es-ES_tradnl"/>
        </w:rPr>
        <w:t>parágrafo primero del artículo 5 de la Ley 1150 de 2007</w:t>
      </w:r>
      <w:r w:rsidRPr="000B22B3">
        <w:rPr>
          <w:rFonts w:ascii="Arial" w:hAnsi="Arial" w:cs="Arial"/>
          <w:color w:val="000000" w:themeColor="text1"/>
          <w:sz w:val="22"/>
          <w:lang w:val="es-ES_tradnl"/>
        </w:rPr>
        <w:t>. Por tanto, dado que no existe oportunidad posterior, la documentación relacionada con los factores de desempate debe entregarse con la oferta de forma completa e integra, antes del cierre del proceso de selección.</w:t>
      </w:r>
    </w:p>
    <w:p w14:paraId="632C2BCE" w14:textId="2A4AD99F" w:rsidR="00822ECB" w:rsidRDefault="00822ECB" w:rsidP="00F57173">
      <w:pPr>
        <w:spacing w:after="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De conformidad con lo anterior</w:t>
      </w:r>
      <w:r w:rsidR="00E25DCE">
        <w:rPr>
          <w:rFonts w:ascii="Arial" w:eastAsia="Calibri" w:hAnsi="Arial" w:cs="Arial"/>
          <w:color w:val="000000" w:themeColor="text1"/>
          <w:sz w:val="22"/>
          <w:szCs w:val="22"/>
          <w:lang w:val="es-ES_tradnl"/>
        </w:rPr>
        <w:t>,</w:t>
      </w:r>
      <w:r w:rsidR="00625A84">
        <w:rPr>
          <w:rFonts w:ascii="Arial" w:eastAsia="Calibri" w:hAnsi="Arial" w:cs="Arial"/>
          <w:color w:val="000000" w:themeColor="text1"/>
          <w:sz w:val="22"/>
          <w:szCs w:val="22"/>
          <w:lang w:val="es-ES_tradnl"/>
        </w:rPr>
        <w:t xml:space="preserve"> si bien </w:t>
      </w:r>
      <w:r w:rsidR="00FB7620">
        <w:rPr>
          <w:rFonts w:ascii="Arial" w:eastAsia="Calibri" w:hAnsi="Arial" w:cs="Arial"/>
          <w:color w:val="000000" w:themeColor="text1"/>
          <w:sz w:val="22"/>
          <w:szCs w:val="22"/>
          <w:lang w:val="es-ES_tradnl"/>
        </w:rPr>
        <w:t>los formatos</w:t>
      </w:r>
      <w:r w:rsidR="00CD023B">
        <w:rPr>
          <w:rFonts w:ascii="Arial" w:eastAsia="Calibri" w:hAnsi="Arial" w:cs="Arial"/>
          <w:color w:val="000000" w:themeColor="text1"/>
          <w:sz w:val="22"/>
          <w:szCs w:val="22"/>
          <w:lang w:val="es-ES_tradnl"/>
        </w:rPr>
        <w:t xml:space="preserve"> 10 y 11 no son documentos destinados a de</w:t>
      </w:r>
      <w:r w:rsidR="00944899">
        <w:rPr>
          <w:rFonts w:ascii="Arial" w:eastAsia="Calibri" w:hAnsi="Arial" w:cs="Arial"/>
          <w:color w:val="000000" w:themeColor="text1"/>
          <w:sz w:val="22"/>
          <w:szCs w:val="22"/>
          <w:lang w:val="es-ES_tradnl"/>
        </w:rPr>
        <w:t xml:space="preserve">finir la evaluación en todos los casos, </w:t>
      </w:r>
      <w:r w:rsidR="002249BE">
        <w:rPr>
          <w:rFonts w:ascii="Arial" w:eastAsia="Calibri" w:hAnsi="Arial" w:cs="Arial"/>
          <w:color w:val="000000" w:themeColor="text1"/>
          <w:sz w:val="22"/>
          <w:szCs w:val="22"/>
          <w:lang w:val="es-ES_tradnl"/>
        </w:rPr>
        <w:t xml:space="preserve">eventualmente, pueden ser </w:t>
      </w:r>
      <w:r w:rsidR="002249BE">
        <w:rPr>
          <w:rFonts w:ascii="Arial" w:eastAsia="Calibri" w:hAnsi="Arial" w:cs="Arial"/>
          <w:color w:val="000000" w:themeColor="text1"/>
          <w:sz w:val="22"/>
          <w:szCs w:val="22"/>
          <w:lang w:val="es-ES_tradnl"/>
        </w:rPr>
        <w:lastRenderedPageBreak/>
        <w:t>determinantes para la evaluación</w:t>
      </w:r>
      <w:r w:rsidR="00DF178A">
        <w:rPr>
          <w:rFonts w:ascii="Arial" w:eastAsia="Calibri" w:hAnsi="Arial" w:cs="Arial"/>
          <w:color w:val="000000" w:themeColor="text1"/>
          <w:sz w:val="22"/>
          <w:szCs w:val="22"/>
          <w:lang w:val="es-ES_tradnl"/>
        </w:rPr>
        <w:t>, al ser requeridos para la comparación de ofertas en situaciones de empate</w:t>
      </w:r>
      <w:r w:rsidR="00F57173">
        <w:rPr>
          <w:rFonts w:ascii="Arial" w:eastAsia="Calibri" w:hAnsi="Arial" w:cs="Arial"/>
          <w:color w:val="000000" w:themeColor="text1"/>
          <w:sz w:val="22"/>
          <w:szCs w:val="22"/>
          <w:lang w:val="es-ES_tradnl"/>
        </w:rPr>
        <w:t xml:space="preserve">. En ese sentido, la posibilidad de subsanar </w:t>
      </w:r>
      <w:r w:rsidR="00A4661E">
        <w:rPr>
          <w:rFonts w:ascii="Arial" w:eastAsia="Calibri" w:hAnsi="Arial" w:cs="Arial"/>
          <w:color w:val="000000" w:themeColor="text1"/>
          <w:sz w:val="22"/>
          <w:szCs w:val="22"/>
          <w:lang w:val="es-ES_tradnl"/>
        </w:rPr>
        <w:t>tales documentos no se encuentra conforme a la regla de subsanabilidad prevista en el parágrafo del artículo 5 de la Ley 1150 de 2007,</w:t>
      </w:r>
      <w:r w:rsidR="00240B73">
        <w:rPr>
          <w:rFonts w:ascii="Arial" w:eastAsia="Calibri" w:hAnsi="Arial" w:cs="Arial"/>
          <w:color w:val="000000" w:themeColor="text1"/>
          <w:sz w:val="22"/>
          <w:szCs w:val="22"/>
          <w:lang w:val="es-ES_tradnl"/>
        </w:rPr>
        <w:t xml:space="preserve"> al referirse los mismos a requisitos determinantes para </w:t>
      </w:r>
      <w:r w:rsidR="00EE151D">
        <w:rPr>
          <w:rFonts w:ascii="Arial" w:eastAsia="Calibri" w:hAnsi="Arial" w:cs="Arial"/>
          <w:color w:val="000000" w:themeColor="text1"/>
          <w:sz w:val="22"/>
          <w:szCs w:val="22"/>
          <w:lang w:val="es-ES_tradnl"/>
        </w:rPr>
        <w:t xml:space="preserve">definir la oferta ganadora, </w:t>
      </w:r>
      <w:r w:rsidR="006374F7">
        <w:rPr>
          <w:rFonts w:ascii="Arial" w:eastAsia="Calibri" w:hAnsi="Arial" w:cs="Arial"/>
          <w:color w:val="000000" w:themeColor="text1"/>
          <w:sz w:val="22"/>
          <w:szCs w:val="22"/>
          <w:lang w:val="es-ES_tradnl"/>
        </w:rPr>
        <w:t>razón por la q</w:t>
      </w:r>
      <w:r w:rsidR="009165F4">
        <w:rPr>
          <w:rFonts w:ascii="Arial" w:eastAsia="Calibri" w:hAnsi="Arial" w:cs="Arial"/>
          <w:color w:val="000000" w:themeColor="text1"/>
          <w:sz w:val="22"/>
          <w:szCs w:val="22"/>
          <w:lang w:val="es-ES_tradnl"/>
        </w:rPr>
        <w:t>ue en el documento base</w:t>
      </w:r>
      <w:r w:rsidR="00EE151D">
        <w:rPr>
          <w:rFonts w:ascii="Arial" w:eastAsia="Calibri" w:hAnsi="Arial" w:cs="Arial"/>
          <w:color w:val="000000" w:themeColor="text1"/>
          <w:sz w:val="22"/>
          <w:szCs w:val="22"/>
          <w:lang w:val="es-ES_tradnl"/>
        </w:rPr>
        <w:t xml:space="preserve"> en su numeral 1,6, expresamente</w:t>
      </w:r>
      <w:r w:rsidR="00237A66">
        <w:rPr>
          <w:rFonts w:ascii="Arial" w:eastAsia="Calibri" w:hAnsi="Arial" w:cs="Arial"/>
          <w:color w:val="000000" w:themeColor="text1"/>
          <w:sz w:val="22"/>
          <w:szCs w:val="22"/>
          <w:lang w:val="es-ES_tradnl"/>
        </w:rPr>
        <w:t>,</w:t>
      </w:r>
      <w:r w:rsidR="00EE151D">
        <w:rPr>
          <w:rFonts w:ascii="Arial" w:eastAsia="Calibri" w:hAnsi="Arial" w:cs="Arial"/>
          <w:color w:val="000000" w:themeColor="text1"/>
          <w:sz w:val="22"/>
          <w:szCs w:val="22"/>
          <w:lang w:val="es-ES_tradnl"/>
        </w:rPr>
        <w:t xml:space="preserve"> </w:t>
      </w:r>
      <w:r w:rsidR="00237A66">
        <w:rPr>
          <w:rFonts w:ascii="Arial" w:eastAsia="Calibri" w:hAnsi="Arial" w:cs="Arial"/>
          <w:color w:val="000000" w:themeColor="text1"/>
          <w:sz w:val="22"/>
          <w:szCs w:val="22"/>
          <w:lang w:val="es-ES_tradnl"/>
        </w:rPr>
        <w:t xml:space="preserve">se </w:t>
      </w:r>
      <w:r w:rsidR="00EE151D">
        <w:rPr>
          <w:rFonts w:ascii="Arial" w:eastAsia="Calibri" w:hAnsi="Arial" w:cs="Arial"/>
          <w:color w:val="000000" w:themeColor="text1"/>
          <w:sz w:val="22"/>
          <w:szCs w:val="22"/>
          <w:lang w:val="es-ES_tradnl"/>
        </w:rPr>
        <w:t>excluyó la posibilidad de que se subsanaran los documentos referidos a l</w:t>
      </w:r>
      <w:r w:rsidR="00237A66">
        <w:rPr>
          <w:rFonts w:ascii="Arial" w:eastAsia="Calibri" w:hAnsi="Arial" w:cs="Arial"/>
          <w:color w:val="000000" w:themeColor="text1"/>
          <w:sz w:val="22"/>
          <w:szCs w:val="22"/>
          <w:lang w:val="es-ES_tradnl"/>
        </w:rPr>
        <w:t xml:space="preserve">os criterios de desempate. </w:t>
      </w:r>
      <w:r w:rsidR="00240B73">
        <w:rPr>
          <w:rFonts w:ascii="Arial" w:eastAsia="Calibri" w:hAnsi="Arial" w:cs="Arial"/>
          <w:color w:val="000000" w:themeColor="text1"/>
          <w:sz w:val="22"/>
          <w:szCs w:val="22"/>
          <w:lang w:val="es-ES_tradnl"/>
        </w:rPr>
        <w:t xml:space="preserve"> </w:t>
      </w:r>
      <w:r w:rsidR="006374F7">
        <w:rPr>
          <w:rFonts w:ascii="Arial" w:eastAsia="Calibri" w:hAnsi="Arial" w:cs="Arial"/>
          <w:color w:val="000000" w:themeColor="text1"/>
          <w:sz w:val="22"/>
          <w:szCs w:val="22"/>
          <w:lang w:val="es-ES_tradnl"/>
        </w:rPr>
        <w:t xml:space="preserve"> </w:t>
      </w:r>
      <w:r w:rsidR="00F57173">
        <w:rPr>
          <w:rFonts w:ascii="Arial" w:eastAsia="Calibri" w:hAnsi="Arial" w:cs="Arial"/>
          <w:color w:val="000000" w:themeColor="text1"/>
          <w:sz w:val="22"/>
          <w:szCs w:val="22"/>
          <w:lang w:val="es-ES_tradnl"/>
        </w:rPr>
        <w:t xml:space="preserve"> </w:t>
      </w:r>
    </w:p>
    <w:bookmarkEnd w:id="3"/>
    <w:p w14:paraId="2C0194A1" w14:textId="77777777" w:rsidR="00237A66" w:rsidRDefault="00237A66" w:rsidP="00417118">
      <w:pPr>
        <w:tabs>
          <w:tab w:val="left" w:pos="709"/>
        </w:tabs>
        <w:spacing w:line="276" w:lineRule="auto"/>
        <w:jc w:val="both"/>
        <w:rPr>
          <w:rFonts w:ascii="Arial" w:eastAsia="Calibri" w:hAnsi="Arial" w:cs="Arial"/>
          <w:b/>
          <w:sz w:val="22"/>
          <w:szCs w:val="22"/>
          <w:lang w:val="es-ES"/>
        </w:rPr>
      </w:pPr>
    </w:p>
    <w:p w14:paraId="104BD8E5" w14:textId="77777777" w:rsidR="00237A66" w:rsidRDefault="00237A66" w:rsidP="00417118">
      <w:pPr>
        <w:tabs>
          <w:tab w:val="left" w:pos="709"/>
        </w:tabs>
        <w:spacing w:line="276" w:lineRule="auto"/>
        <w:jc w:val="both"/>
        <w:rPr>
          <w:rFonts w:ascii="Arial" w:eastAsia="Calibri" w:hAnsi="Arial" w:cs="Arial"/>
          <w:b/>
          <w:sz w:val="22"/>
          <w:szCs w:val="22"/>
          <w:lang w:val="es-ES"/>
        </w:rPr>
      </w:pPr>
    </w:p>
    <w:p w14:paraId="0B37DE35" w14:textId="3262B879" w:rsidR="008F1F27" w:rsidRDefault="008F1F27" w:rsidP="00417118">
      <w:pPr>
        <w:tabs>
          <w:tab w:val="left" w:pos="709"/>
        </w:tabs>
        <w:spacing w:line="276" w:lineRule="auto"/>
        <w:jc w:val="both"/>
        <w:rPr>
          <w:rFonts w:ascii="Arial" w:eastAsia="Calibri" w:hAnsi="Arial" w:cs="Arial"/>
          <w:b/>
          <w:sz w:val="22"/>
          <w:szCs w:val="22"/>
          <w:lang w:val="es-ES"/>
        </w:rPr>
      </w:pPr>
      <w:r w:rsidRPr="00924DEF">
        <w:rPr>
          <w:rFonts w:ascii="Arial" w:eastAsia="Calibri" w:hAnsi="Arial" w:cs="Arial"/>
          <w:b/>
          <w:sz w:val="22"/>
          <w:szCs w:val="22"/>
          <w:lang w:val="es-ES"/>
        </w:rPr>
        <w:t>3. Respuesta</w:t>
      </w:r>
    </w:p>
    <w:p w14:paraId="54DC570D" w14:textId="77777777" w:rsidR="00995C47" w:rsidRDefault="00E25DCE" w:rsidP="00995C47">
      <w:pPr>
        <w:pStyle w:val="NormalWeb"/>
        <w:ind w:left="709" w:right="709"/>
        <w:jc w:val="both"/>
        <w:rPr>
          <w:rFonts w:ascii="Arial" w:hAnsi="Arial" w:cs="Arial"/>
          <w:sz w:val="21"/>
          <w:szCs w:val="21"/>
        </w:rPr>
      </w:pPr>
      <w:r w:rsidRPr="00CA648B">
        <w:rPr>
          <w:rFonts w:ascii="Arial" w:hAnsi="Arial" w:cs="Arial"/>
          <w:sz w:val="21"/>
          <w:szCs w:val="21"/>
          <w:lang w:val="es-ES"/>
        </w:rPr>
        <w:t>«</w:t>
      </w:r>
      <w:r w:rsidRPr="00CA648B">
        <w:rPr>
          <w:rFonts w:ascii="Arial" w:hAnsi="Arial" w:cs="Arial"/>
          <w:sz w:val="21"/>
          <w:szCs w:val="21"/>
        </w:rPr>
        <w:t>1. ¿La presentación del Formato 10 puede ser considerado como un requisito habilitante?</w:t>
      </w:r>
      <w:r w:rsidR="00995C47" w:rsidRPr="00995C47">
        <w:rPr>
          <w:rFonts w:ascii="Arial" w:hAnsi="Arial" w:cs="Arial"/>
          <w:sz w:val="21"/>
          <w:szCs w:val="21"/>
        </w:rPr>
        <w:t xml:space="preserve"> </w:t>
      </w:r>
    </w:p>
    <w:p w14:paraId="7E78E2E0" w14:textId="68571B5C" w:rsidR="00CD29A6" w:rsidRDefault="00995C47" w:rsidP="00E25DCE">
      <w:pPr>
        <w:pStyle w:val="NormalWeb"/>
        <w:ind w:left="709" w:right="709"/>
        <w:jc w:val="both"/>
        <w:rPr>
          <w:rFonts w:ascii="Arial" w:hAnsi="Arial" w:cs="Arial"/>
          <w:sz w:val="21"/>
          <w:szCs w:val="21"/>
        </w:rPr>
      </w:pPr>
      <w:r w:rsidRPr="00CA648B">
        <w:rPr>
          <w:rFonts w:ascii="Arial" w:hAnsi="Arial" w:cs="Arial"/>
          <w:sz w:val="21"/>
          <w:szCs w:val="21"/>
        </w:rPr>
        <w:t>2. ¿El formato 10 puede ser considerado como un requisito NO (sic) subsanable?</w:t>
      </w:r>
    </w:p>
    <w:p w14:paraId="46BB8CCC" w14:textId="70C17C60" w:rsidR="00E25DCE" w:rsidRDefault="00CD29A6" w:rsidP="0003011E">
      <w:pPr>
        <w:pStyle w:val="NormalWeb"/>
        <w:ind w:left="708" w:right="709"/>
        <w:jc w:val="both"/>
        <w:rPr>
          <w:rFonts w:ascii="Arial" w:hAnsi="Arial" w:cs="Arial"/>
          <w:sz w:val="21"/>
          <w:szCs w:val="21"/>
        </w:rPr>
      </w:pPr>
      <w:r w:rsidRPr="00CA648B">
        <w:rPr>
          <w:rFonts w:ascii="Arial" w:hAnsi="Arial" w:cs="Arial"/>
          <w:sz w:val="21"/>
          <w:szCs w:val="21"/>
        </w:rPr>
        <w:t>3. Si un proponente no presenta en su propuesta información sensible, ¿Tiene obligación de presentar el Formato 11?»</w:t>
      </w:r>
      <w:r>
        <w:rPr>
          <w:rFonts w:ascii="Arial" w:hAnsi="Arial" w:cs="Arial"/>
          <w:sz w:val="21"/>
          <w:szCs w:val="21"/>
        </w:rPr>
        <w:t>.</w:t>
      </w:r>
    </w:p>
    <w:p w14:paraId="40DA836A" w14:textId="0AEECD03" w:rsidR="00E25DCE" w:rsidRDefault="00995C47" w:rsidP="00E25DCE">
      <w:pPr>
        <w:spacing w:before="120" w:after="120" w:line="276" w:lineRule="auto"/>
        <w:jc w:val="both"/>
        <w:rPr>
          <w:rFonts w:ascii="Arial" w:eastAsia="Calibri" w:hAnsi="Arial" w:cs="Arial"/>
          <w:bCs/>
          <w:sz w:val="22"/>
          <w:szCs w:val="22"/>
        </w:rPr>
      </w:pPr>
      <w:r>
        <w:rPr>
          <w:rFonts w:ascii="Arial" w:hAnsi="Arial" w:cs="Arial"/>
          <w:sz w:val="21"/>
          <w:szCs w:val="21"/>
        </w:rPr>
        <w:t>Conforme a lo expuesto</w:t>
      </w:r>
      <w:r w:rsidR="00E25DCE">
        <w:rPr>
          <w:rFonts w:ascii="Arial" w:hAnsi="Arial" w:cs="Arial"/>
          <w:sz w:val="22"/>
          <w:szCs w:val="22"/>
          <w:lang w:val="es-ES"/>
        </w:rPr>
        <w:t xml:space="preserve">, es necesario resaltar que los </w:t>
      </w:r>
      <w:r w:rsidR="00E25DCE" w:rsidRPr="00B55C5C">
        <w:rPr>
          <w:rFonts w:ascii="Arial" w:hAnsi="Arial" w:cs="Arial"/>
          <w:sz w:val="22"/>
          <w:szCs w:val="22"/>
          <w:lang w:val="es-ES"/>
        </w:rPr>
        <w:t xml:space="preserve">requisitos habilitantes </w:t>
      </w:r>
      <w:r w:rsidR="00E25DCE">
        <w:rPr>
          <w:rFonts w:ascii="Arial" w:hAnsi="Arial" w:cs="Arial"/>
          <w:sz w:val="22"/>
          <w:szCs w:val="22"/>
          <w:lang w:val="es-ES"/>
        </w:rPr>
        <w:t>son</w:t>
      </w:r>
      <w:r w:rsidR="00E25DCE" w:rsidRPr="00B55C5C">
        <w:rPr>
          <w:rFonts w:ascii="Arial" w:hAnsi="Arial" w:cs="Arial"/>
          <w:sz w:val="22"/>
          <w:szCs w:val="22"/>
          <w:lang w:val="es-ES"/>
        </w:rPr>
        <w:t xml:space="preserve"> aquellos que</w:t>
      </w:r>
      <w:r w:rsidR="00E25DCE">
        <w:rPr>
          <w:rFonts w:ascii="Arial" w:hAnsi="Arial" w:cs="Arial"/>
          <w:sz w:val="22"/>
          <w:szCs w:val="22"/>
          <w:lang w:val="es-ES"/>
        </w:rPr>
        <w:t>,</w:t>
      </w:r>
      <w:r w:rsidR="00E25DCE" w:rsidRPr="00B55C5C">
        <w:rPr>
          <w:rFonts w:ascii="Arial" w:eastAsia="Calibri" w:hAnsi="Arial" w:cs="Arial"/>
          <w:bCs/>
          <w:sz w:val="22"/>
          <w:szCs w:val="22"/>
        </w:rPr>
        <w:t xml:space="preserve"> por expresa disposición legal</w:t>
      </w:r>
      <w:r w:rsidR="00E25DCE">
        <w:rPr>
          <w:rFonts w:ascii="Arial" w:eastAsia="Calibri" w:hAnsi="Arial" w:cs="Arial"/>
          <w:bCs/>
          <w:sz w:val="22"/>
          <w:szCs w:val="22"/>
        </w:rPr>
        <w:t>,</w:t>
      </w:r>
      <w:r w:rsidR="00E25DCE" w:rsidRPr="00B55C5C">
        <w:rPr>
          <w:rFonts w:ascii="Arial" w:eastAsia="Calibri" w:hAnsi="Arial" w:cs="Arial"/>
          <w:bCs/>
          <w:sz w:val="22"/>
          <w:szCs w:val="22"/>
        </w:rPr>
        <w:t xml:space="preserve"> no otorgan puntaje</w:t>
      </w:r>
      <w:r w:rsidR="00064409">
        <w:rPr>
          <w:rFonts w:ascii="Arial" w:eastAsia="Calibri" w:hAnsi="Arial" w:cs="Arial"/>
          <w:bCs/>
          <w:sz w:val="22"/>
          <w:szCs w:val="22"/>
        </w:rPr>
        <w:t xml:space="preserve"> y no están destinados a la comparación de las ofertas</w:t>
      </w:r>
      <w:r w:rsidR="00E25DCE" w:rsidRPr="00B55C5C">
        <w:rPr>
          <w:rFonts w:ascii="Arial" w:eastAsia="Calibri" w:hAnsi="Arial" w:cs="Arial"/>
          <w:bCs/>
          <w:sz w:val="22"/>
          <w:szCs w:val="22"/>
        </w:rPr>
        <w:t>, salvo que excepcionalmente se permita lo contrario. Esto comoquiera que estos no se refieren a la oferta misma</w:t>
      </w:r>
      <w:r w:rsidR="00E25DCE">
        <w:rPr>
          <w:rFonts w:ascii="Arial" w:eastAsia="Calibri" w:hAnsi="Arial" w:cs="Arial"/>
          <w:bCs/>
          <w:sz w:val="22"/>
          <w:szCs w:val="22"/>
        </w:rPr>
        <w:t>,</w:t>
      </w:r>
      <w:r w:rsidR="00E25DCE" w:rsidRPr="00B55C5C">
        <w:rPr>
          <w:rFonts w:ascii="Arial" w:eastAsia="Calibri" w:hAnsi="Arial" w:cs="Arial"/>
          <w:bCs/>
          <w:sz w:val="22"/>
          <w:szCs w:val="22"/>
        </w:rPr>
        <w:t xml:space="preserve"> sino a la idoneidad </w:t>
      </w:r>
      <w:r w:rsidR="00064409">
        <w:rPr>
          <w:rFonts w:ascii="Arial" w:eastAsia="Calibri" w:hAnsi="Arial" w:cs="Arial"/>
          <w:bCs/>
          <w:sz w:val="22"/>
          <w:szCs w:val="22"/>
        </w:rPr>
        <w:t xml:space="preserve">y aptitud </w:t>
      </w:r>
      <w:r w:rsidR="00E25DCE" w:rsidRPr="00B55C5C">
        <w:rPr>
          <w:rFonts w:ascii="Arial" w:eastAsia="Calibri" w:hAnsi="Arial" w:cs="Arial"/>
          <w:bCs/>
          <w:sz w:val="22"/>
          <w:szCs w:val="22"/>
        </w:rPr>
        <w:t>del oferente para asumir adecuadamente la ejecución del contrato.</w:t>
      </w:r>
      <w:r w:rsidR="00E25DCE">
        <w:rPr>
          <w:rFonts w:ascii="Arial" w:eastAsia="Calibri" w:hAnsi="Arial" w:cs="Arial"/>
          <w:bCs/>
          <w:sz w:val="22"/>
          <w:szCs w:val="22"/>
        </w:rPr>
        <w:t xml:space="preserve"> </w:t>
      </w:r>
      <w:r w:rsidR="00E25DCE" w:rsidRPr="00B55C5C">
        <w:rPr>
          <w:rFonts w:ascii="Arial" w:eastAsia="Calibri" w:hAnsi="Arial" w:cs="Arial"/>
          <w:bCs/>
          <w:sz w:val="22"/>
          <w:szCs w:val="22"/>
        </w:rPr>
        <w:t xml:space="preserve">En este sentido, los requisitos </w:t>
      </w:r>
      <w:r w:rsidR="00E25DCE" w:rsidRPr="00B55C5C">
        <w:rPr>
          <w:rFonts w:ascii="Arial" w:eastAsia="Calibri" w:hAnsi="Arial" w:cs="Arial"/>
          <w:bCs/>
          <w:i/>
          <w:iCs/>
          <w:sz w:val="22"/>
          <w:szCs w:val="22"/>
        </w:rPr>
        <w:t xml:space="preserve">habilitantes </w:t>
      </w:r>
      <w:r w:rsidR="00E25DCE" w:rsidRPr="00B55C5C">
        <w:rPr>
          <w:rFonts w:ascii="Arial" w:eastAsia="Calibri" w:hAnsi="Arial" w:cs="Arial"/>
          <w:bCs/>
          <w:sz w:val="22"/>
          <w:szCs w:val="22"/>
        </w:rPr>
        <w:t>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r w:rsidR="00685908">
        <w:rPr>
          <w:rFonts w:ascii="Arial" w:eastAsia="Calibri" w:hAnsi="Arial" w:cs="Arial"/>
          <w:bCs/>
          <w:sz w:val="22"/>
          <w:szCs w:val="22"/>
        </w:rPr>
        <w:t xml:space="preserve"> </w:t>
      </w:r>
    </w:p>
    <w:p w14:paraId="19F04843" w14:textId="3CA996F2" w:rsidR="00E25DCE" w:rsidRDefault="007001A5" w:rsidP="00E25DCE">
      <w:pPr>
        <w:spacing w:before="120" w:after="120" w:line="276" w:lineRule="auto"/>
        <w:ind w:firstLine="708"/>
        <w:jc w:val="both"/>
        <w:rPr>
          <w:rFonts w:ascii="Arial" w:hAnsi="Arial" w:cs="Arial"/>
          <w:sz w:val="22"/>
          <w:szCs w:val="22"/>
          <w:lang w:val="es-ES"/>
        </w:rPr>
      </w:pPr>
      <w:r>
        <w:rPr>
          <w:rFonts w:ascii="Arial" w:hAnsi="Arial" w:cs="Arial"/>
          <w:sz w:val="22"/>
          <w:szCs w:val="22"/>
          <w:lang w:val="es-ES"/>
        </w:rPr>
        <w:t>De acuerdo</w:t>
      </w:r>
      <w:r w:rsidR="00801942">
        <w:rPr>
          <w:rFonts w:ascii="Arial" w:hAnsi="Arial" w:cs="Arial"/>
          <w:sz w:val="22"/>
          <w:szCs w:val="22"/>
          <w:lang w:val="es-ES"/>
        </w:rPr>
        <w:t xml:space="preserve"> con el</w:t>
      </w:r>
      <w:r>
        <w:rPr>
          <w:rFonts w:ascii="Arial" w:hAnsi="Arial" w:cs="Arial"/>
          <w:sz w:val="22"/>
          <w:szCs w:val="22"/>
          <w:lang w:val="es-ES"/>
        </w:rPr>
        <w:t xml:space="preserve"> </w:t>
      </w:r>
      <w:r w:rsidR="00801942" w:rsidRPr="000B22B3">
        <w:rPr>
          <w:rFonts w:ascii="Arial" w:eastAsia="Calibri" w:hAnsi="Arial" w:cs="Arial"/>
          <w:color w:val="000000" w:themeColor="text1"/>
          <w:sz w:val="22"/>
          <w:szCs w:val="22"/>
          <w:lang w:val="es-ES_tradnl"/>
        </w:rPr>
        <w:t>parágrafo primero del artículo 5 de la Ley 1150 de 2007</w:t>
      </w:r>
      <w:r w:rsidR="00E25DCE">
        <w:rPr>
          <w:rFonts w:ascii="Arial" w:hAnsi="Arial" w:cs="Arial"/>
          <w:sz w:val="22"/>
          <w:szCs w:val="22"/>
          <w:lang w:val="es-ES"/>
        </w:rPr>
        <w:t xml:space="preserve">, es posible concluir que, en los casos concretos, </w:t>
      </w:r>
      <w:r w:rsidR="00E25DCE" w:rsidRPr="003F1D48">
        <w:rPr>
          <w:rFonts w:ascii="Arial" w:hAnsi="Arial" w:cs="Arial"/>
          <w:sz w:val="22"/>
          <w:szCs w:val="22"/>
          <w:lang w:val="es-ES"/>
        </w:rPr>
        <w:t>una vez verificada la ausencia de requisitos y/o documentos de la oferta, para saber si se puede subsanar, la entidad estatal se debe preguntar, en primer lugar, si lo que hace falta es un documento o información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w:t>
      </w:r>
      <w:r w:rsidR="00064409">
        <w:rPr>
          <w:rFonts w:ascii="Arial" w:hAnsi="Arial" w:cs="Arial"/>
          <w:sz w:val="22"/>
          <w:szCs w:val="22"/>
          <w:lang w:val="es-ES"/>
        </w:rPr>
        <w:t xml:space="preserve"> o que no se permita comparar las ofertas</w:t>
      </w:r>
      <w:r w:rsidR="00E25DCE" w:rsidRPr="003F1D48">
        <w:rPr>
          <w:rFonts w:ascii="Arial" w:hAnsi="Arial" w:cs="Arial"/>
          <w:sz w:val="22"/>
          <w:szCs w:val="22"/>
          <w:lang w:val="es-ES"/>
        </w:rPr>
        <w:t>, y la respuesta al segundo interrogante debe dar cuenta de que lo omitido sea la prueba de una circunstancia o hecho que ocurrió con anterioridad al cierre del proceso.</w:t>
      </w:r>
    </w:p>
    <w:p w14:paraId="4208F8CD" w14:textId="51108E57" w:rsidR="00296FD4" w:rsidRPr="000B22B3" w:rsidRDefault="004F4122" w:rsidP="0003011E">
      <w:pPr>
        <w:spacing w:after="120" w:line="276" w:lineRule="auto"/>
        <w:ind w:firstLine="708"/>
        <w:jc w:val="both"/>
        <w:rPr>
          <w:rFonts w:ascii="Arial" w:hAnsi="Arial" w:cs="Arial"/>
          <w:color w:val="000000" w:themeColor="text1"/>
          <w:sz w:val="22"/>
          <w:lang w:val="es-ES_tradnl"/>
        </w:rPr>
      </w:pPr>
      <w:r>
        <w:rPr>
          <w:rFonts w:ascii="Arial" w:hAnsi="Arial" w:cs="Arial"/>
          <w:sz w:val="22"/>
          <w:szCs w:val="22"/>
          <w:lang w:val="es-ES"/>
        </w:rPr>
        <w:lastRenderedPageBreak/>
        <w:t>El F</w:t>
      </w:r>
      <w:r w:rsidRPr="004F4122">
        <w:rPr>
          <w:rFonts w:ascii="Arial" w:hAnsi="Arial" w:cs="Arial"/>
          <w:sz w:val="22"/>
          <w:szCs w:val="22"/>
          <w:lang w:val="es-ES"/>
        </w:rPr>
        <w:t xml:space="preserve">ormato </w:t>
      </w:r>
      <w:r w:rsidR="00B50EF0" w:rsidRPr="004F4122">
        <w:rPr>
          <w:rFonts w:ascii="Arial" w:hAnsi="Arial" w:cs="Arial"/>
          <w:sz w:val="22"/>
          <w:szCs w:val="22"/>
          <w:lang w:val="es-ES"/>
        </w:rPr>
        <w:t xml:space="preserve">10 </w:t>
      </w:r>
      <w:r w:rsidR="00B50EF0">
        <w:rPr>
          <w:rFonts w:ascii="Arial" w:hAnsi="Arial" w:cs="Arial"/>
          <w:sz w:val="22"/>
          <w:szCs w:val="22"/>
          <w:lang w:val="es-ES"/>
        </w:rPr>
        <w:t>está</w:t>
      </w:r>
      <w:r>
        <w:rPr>
          <w:rFonts w:ascii="Arial" w:hAnsi="Arial" w:cs="Arial"/>
          <w:sz w:val="22"/>
          <w:szCs w:val="22"/>
          <w:lang w:val="es-ES"/>
        </w:rPr>
        <w:t xml:space="preserve"> dirigido a acreditar los supuestos de hecho </w:t>
      </w:r>
      <w:r w:rsidR="00E049E3">
        <w:rPr>
          <w:rFonts w:ascii="Arial" w:hAnsi="Arial" w:cs="Arial"/>
          <w:sz w:val="22"/>
          <w:szCs w:val="22"/>
          <w:lang w:val="es-ES"/>
        </w:rPr>
        <w:t xml:space="preserve">los factores de </w:t>
      </w:r>
      <w:r w:rsidRPr="004F4122">
        <w:rPr>
          <w:rFonts w:ascii="Arial" w:hAnsi="Arial" w:cs="Arial"/>
          <w:sz w:val="22"/>
          <w:szCs w:val="22"/>
          <w:lang w:val="es-ES"/>
        </w:rPr>
        <w:t>factores de desempate</w:t>
      </w:r>
      <w:r w:rsidR="00E049E3">
        <w:rPr>
          <w:rFonts w:ascii="Arial" w:hAnsi="Arial" w:cs="Arial"/>
          <w:sz w:val="22"/>
          <w:szCs w:val="22"/>
          <w:lang w:val="es-ES"/>
        </w:rPr>
        <w:t>, mientras que el</w:t>
      </w:r>
      <w:r w:rsidR="00B50EF0">
        <w:rPr>
          <w:rFonts w:ascii="Arial" w:hAnsi="Arial" w:cs="Arial"/>
          <w:sz w:val="22"/>
          <w:szCs w:val="22"/>
          <w:lang w:val="es-ES"/>
        </w:rPr>
        <w:t xml:space="preserve"> </w:t>
      </w:r>
      <w:r w:rsidR="00B15023">
        <w:rPr>
          <w:rFonts w:ascii="Arial" w:hAnsi="Arial" w:cs="Arial"/>
          <w:sz w:val="22"/>
          <w:szCs w:val="22"/>
          <w:lang w:val="es-ES"/>
        </w:rPr>
        <w:t xml:space="preserve">Formato </w:t>
      </w:r>
      <w:r w:rsidRPr="004F4122">
        <w:rPr>
          <w:rFonts w:ascii="Arial" w:hAnsi="Arial" w:cs="Arial"/>
          <w:sz w:val="22"/>
          <w:szCs w:val="22"/>
          <w:lang w:val="es-ES"/>
        </w:rPr>
        <w:t xml:space="preserve">11 </w:t>
      </w:r>
      <w:r w:rsidR="00E049E3">
        <w:rPr>
          <w:rFonts w:ascii="Arial" w:hAnsi="Arial" w:cs="Arial"/>
          <w:sz w:val="22"/>
          <w:szCs w:val="22"/>
          <w:lang w:val="es-ES"/>
        </w:rPr>
        <w:t>es el</w:t>
      </w:r>
      <w:r w:rsidR="00B50EF0">
        <w:rPr>
          <w:rFonts w:ascii="Arial" w:hAnsi="Arial" w:cs="Arial"/>
          <w:sz w:val="22"/>
          <w:szCs w:val="22"/>
          <w:lang w:val="es-ES"/>
        </w:rPr>
        <w:t xml:space="preserve"> documento</w:t>
      </w:r>
      <w:r w:rsidR="00E049E3">
        <w:rPr>
          <w:rFonts w:ascii="Arial" w:hAnsi="Arial" w:cs="Arial"/>
          <w:sz w:val="22"/>
          <w:szCs w:val="22"/>
          <w:lang w:val="es-ES"/>
        </w:rPr>
        <w:t xml:space="preserve"> </w:t>
      </w:r>
      <w:r w:rsidR="00B15023">
        <w:rPr>
          <w:rFonts w:ascii="Arial" w:hAnsi="Arial" w:cs="Arial"/>
          <w:sz w:val="22"/>
          <w:szCs w:val="22"/>
          <w:lang w:val="es-ES"/>
        </w:rPr>
        <w:t>donde se</w:t>
      </w:r>
      <w:r w:rsidR="00E049E3">
        <w:rPr>
          <w:rFonts w:ascii="Arial" w:hAnsi="Arial" w:cs="Arial"/>
          <w:sz w:val="22"/>
          <w:szCs w:val="22"/>
          <w:lang w:val="es-ES"/>
        </w:rPr>
        <w:t xml:space="preserve"> </w:t>
      </w:r>
      <w:r w:rsidR="00B15023">
        <w:rPr>
          <w:rFonts w:ascii="Arial" w:hAnsi="Arial" w:cs="Arial"/>
          <w:sz w:val="22"/>
          <w:szCs w:val="22"/>
          <w:lang w:val="es-ES"/>
        </w:rPr>
        <w:t>debe</w:t>
      </w:r>
      <w:r w:rsidR="00E049E3">
        <w:rPr>
          <w:rFonts w:ascii="Arial" w:hAnsi="Arial" w:cs="Arial"/>
          <w:sz w:val="22"/>
          <w:szCs w:val="22"/>
          <w:lang w:val="es-ES"/>
        </w:rPr>
        <w:t xml:space="preserve"> recoger el consentimiento de los proponentes para el </w:t>
      </w:r>
      <w:r w:rsidRPr="004F4122">
        <w:rPr>
          <w:rFonts w:ascii="Arial" w:hAnsi="Arial" w:cs="Arial"/>
          <w:sz w:val="22"/>
          <w:szCs w:val="22"/>
          <w:lang w:val="es-ES"/>
        </w:rPr>
        <w:t>tratamiento de</w:t>
      </w:r>
      <w:r w:rsidR="00B15023">
        <w:rPr>
          <w:rFonts w:ascii="Arial" w:hAnsi="Arial" w:cs="Arial"/>
          <w:sz w:val="22"/>
          <w:szCs w:val="22"/>
          <w:lang w:val="es-ES"/>
        </w:rPr>
        <w:t xml:space="preserve"> los</w:t>
      </w:r>
      <w:r w:rsidRPr="004F4122">
        <w:rPr>
          <w:rFonts w:ascii="Arial" w:hAnsi="Arial" w:cs="Arial"/>
          <w:sz w:val="22"/>
          <w:szCs w:val="22"/>
          <w:lang w:val="es-ES"/>
        </w:rPr>
        <w:t xml:space="preserve"> datos sensibles</w:t>
      </w:r>
      <w:r w:rsidR="00E049E3">
        <w:rPr>
          <w:rFonts w:ascii="Arial" w:hAnsi="Arial" w:cs="Arial"/>
          <w:sz w:val="22"/>
          <w:szCs w:val="22"/>
          <w:lang w:val="es-ES"/>
        </w:rPr>
        <w:t xml:space="preserve"> asociados a la acreditación de los factores de desempate. </w:t>
      </w:r>
      <w:r w:rsidR="00201B06" w:rsidRPr="000B22B3">
        <w:rPr>
          <w:rFonts w:ascii="Arial" w:eastAsia="Calibri" w:hAnsi="Arial" w:cs="Arial"/>
          <w:color w:val="000000" w:themeColor="text1"/>
          <w:sz w:val="22"/>
          <w:szCs w:val="22"/>
          <w:lang w:val="es-ES_tradnl"/>
        </w:rPr>
        <w:t>Analizad</w:t>
      </w:r>
      <w:r w:rsidR="00801942">
        <w:rPr>
          <w:rFonts w:ascii="Arial" w:eastAsia="Calibri" w:hAnsi="Arial" w:cs="Arial"/>
          <w:color w:val="000000" w:themeColor="text1"/>
          <w:sz w:val="22"/>
          <w:szCs w:val="22"/>
          <w:lang w:val="es-ES_tradnl"/>
        </w:rPr>
        <w:t xml:space="preserve">os </w:t>
      </w:r>
      <w:r w:rsidR="00B50EF0">
        <w:rPr>
          <w:rFonts w:ascii="Arial" w:eastAsia="Calibri" w:hAnsi="Arial" w:cs="Arial"/>
          <w:color w:val="000000" w:themeColor="text1"/>
          <w:sz w:val="22"/>
          <w:szCs w:val="22"/>
          <w:lang w:val="es-ES_tradnl"/>
        </w:rPr>
        <w:t>dichos</w:t>
      </w:r>
      <w:r w:rsidR="00C91611">
        <w:rPr>
          <w:rFonts w:ascii="Arial" w:eastAsia="Calibri" w:hAnsi="Arial" w:cs="Arial"/>
          <w:color w:val="000000" w:themeColor="text1"/>
          <w:sz w:val="22"/>
          <w:szCs w:val="22"/>
          <w:lang w:val="es-ES_tradnl"/>
        </w:rPr>
        <w:t xml:space="preserve"> </w:t>
      </w:r>
      <w:r w:rsidR="00B50EF0">
        <w:rPr>
          <w:rFonts w:ascii="Arial" w:eastAsia="Calibri" w:hAnsi="Arial" w:cs="Arial"/>
          <w:color w:val="000000" w:themeColor="text1"/>
          <w:sz w:val="22"/>
          <w:szCs w:val="22"/>
          <w:lang w:val="es-ES_tradnl"/>
        </w:rPr>
        <w:t>f</w:t>
      </w:r>
      <w:r w:rsidR="00C91611">
        <w:rPr>
          <w:rFonts w:ascii="Arial" w:eastAsia="Calibri" w:hAnsi="Arial" w:cs="Arial"/>
          <w:color w:val="000000" w:themeColor="text1"/>
          <w:sz w:val="22"/>
          <w:szCs w:val="22"/>
          <w:lang w:val="es-ES_tradnl"/>
        </w:rPr>
        <w:t>ormatos</w:t>
      </w:r>
      <w:r w:rsidR="00B50EF0">
        <w:rPr>
          <w:rFonts w:ascii="Arial" w:eastAsia="Calibri" w:hAnsi="Arial" w:cs="Arial"/>
          <w:color w:val="000000" w:themeColor="text1"/>
          <w:sz w:val="22"/>
          <w:szCs w:val="22"/>
          <w:lang w:val="es-ES_tradnl"/>
        </w:rPr>
        <w:t xml:space="preserve"> </w:t>
      </w:r>
      <w:r w:rsidR="00F734F2">
        <w:rPr>
          <w:rFonts w:ascii="Arial" w:eastAsia="Calibri" w:hAnsi="Arial" w:cs="Arial"/>
          <w:color w:val="000000" w:themeColor="text1"/>
          <w:sz w:val="22"/>
          <w:szCs w:val="22"/>
          <w:lang w:val="es-ES_tradnl"/>
        </w:rPr>
        <w:t xml:space="preserve">a </w:t>
      </w:r>
      <w:r w:rsidR="00201B06" w:rsidRPr="000B22B3">
        <w:rPr>
          <w:rFonts w:ascii="Arial" w:eastAsia="Calibri" w:hAnsi="Arial" w:cs="Arial"/>
          <w:color w:val="000000" w:themeColor="text1"/>
          <w:sz w:val="22"/>
          <w:szCs w:val="22"/>
          <w:lang w:val="es-ES_tradnl"/>
        </w:rPr>
        <w:t>la</w:t>
      </w:r>
      <w:r w:rsidR="00F734F2">
        <w:rPr>
          <w:rFonts w:ascii="Arial" w:eastAsia="Calibri" w:hAnsi="Arial" w:cs="Arial"/>
          <w:color w:val="000000" w:themeColor="text1"/>
          <w:sz w:val="22"/>
          <w:szCs w:val="22"/>
          <w:lang w:val="es-ES_tradnl"/>
        </w:rPr>
        <w:t xml:space="preserve"> luz de</w:t>
      </w:r>
      <w:r w:rsidR="00201B06" w:rsidRPr="000B22B3">
        <w:rPr>
          <w:rFonts w:ascii="Arial" w:eastAsia="Calibri" w:hAnsi="Arial" w:cs="Arial"/>
          <w:color w:val="000000" w:themeColor="text1"/>
          <w:sz w:val="22"/>
          <w:szCs w:val="22"/>
          <w:lang w:val="es-ES_tradnl"/>
        </w:rPr>
        <w:t xml:space="preserve"> regla </w:t>
      </w:r>
      <w:r w:rsidR="00F734F2">
        <w:rPr>
          <w:rFonts w:ascii="Arial" w:eastAsia="Calibri" w:hAnsi="Arial" w:cs="Arial"/>
          <w:color w:val="000000" w:themeColor="text1"/>
          <w:sz w:val="22"/>
          <w:szCs w:val="22"/>
          <w:lang w:val="es-ES_tradnl"/>
        </w:rPr>
        <w:t xml:space="preserve">general </w:t>
      </w:r>
      <w:r w:rsidR="00201B06" w:rsidRPr="000B22B3">
        <w:rPr>
          <w:rFonts w:ascii="Arial" w:eastAsia="Calibri" w:hAnsi="Arial" w:cs="Arial"/>
          <w:color w:val="000000" w:themeColor="text1"/>
          <w:sz w:val="22"/>
          <w:szCs w:val="22"/>
          <w:lang w:val="es-ES_tradnl"/>
        </w:rPr>
        <w:t>del parágrafo primero del artículo 5 de la Ley 1150 de 2007</w:t>
      </w:r>
      <w:r w:rsidR="00201B06" w:rsidRPr="000B22B3">
        <w:rPr>
          <w:rFonts w:ascii="Arial" w:hAnsi="Arial" w:cs="Arial"/>
          <w:color w:val="000000" w:themeColor="text1"/>
          <w:sz w:val="22"/>
          <w:lang w:val="es-ES_tradnl"/>
        </w:rPr>
        <w:t>,</w:t>
      </w:r>
      <w:r w:rsidR="00F734F2">
        <w:rPr>
          <w:rFonts w:ascii="Arial" w:hAnsi="Arial" w:cs="Arial"/>
          <w:color w:val="000000" w:themeColor="text1"/>
          <w:sz w:val="22"/>
          <w:lang w:val="es-ES_tradnl"/>
        </w:rPr>
        <w:t xml:space="preserve"> se advierte que los mismos son documentos relacionados</w:t>
      </w:r>
      <w:r w:rsidR="00F25B2A">
        <w:rPr>
          <w:rFonts w:ascii="Arial" w:hAnsi="Arial" w:cs="Arial"/>
          <w:color w:val="000000" w:themeColor="text1"/>
          <w:sz w:val="22"/>
          <w:lang w:val="es-ES_tradnl"/>
        </w:rPr>
        <w:t xml:space="preserve"> con la acreditación de los factores de desempate, </w:t>
      </w:r>
      <w:r w:rsidR="00296FD4">
        <w:rPr>
          <w:rFonts w:ascii="Arial" w:hAnsi="Arial" w:cs="Arial"/>
          <w:color w:val="000000" w:themeColor="text1"/>
          <w:sz w:val="22"/>
          <w:lang w:val="es-ES_tradnl"/>
        </w:rPr>
        <w:t>que,</w:t>
      </w:r>
      <w:r w:rsidR="00F25B2A">
        <w:rPr>
          <w:rFonts w:ascii="Arial" w:hAnsi="Arial" w:cs="Arial"/>
          <w:color w:val="000000" w:themeColor="text1"/>
          <w:sz w:val="22"/>
          <w:lang w:val="es-ES_tradnl"/>
        </w:rPr>
        <w:t xml:space="preserve"> si bien en principio no afectan </w:t>
      </w:r>
      <w:r w:rsidR="00201B06" w:rsidRPr="000B22B3">
        <w:rPr>
          <w:rFonts w:ascii="Arial" w:hAnsi="Arial" w:cs="Arial"/>
          <w:color w:val="000000" w:themeColor="text1"/>
          <w:sz w:val="22"/>
          <w:lang w:val="es-ES_tradnl"/>
        </w:rPr>
        <w:t>la asignación de puntaje</w:t>
      </w:r>
      <w:r w:rsidR="00F25B2A">
        <w:rPr>
          <w:rFonts w:ascii="Arial" w:hAnsi="Arial" w:cs="Arial"/>
          <w:color w:val="000000" w:themeColor="text1"/>
          <w:sz w:val="22"/>
          <w:lang w:val="es-ES_tradnl"/>
        </w:rPr>
        <w:t>, eventualmente, pueden ser determinantes para la comparación de ofertas en caso de presentarse un empate</w:t>
      </w:r>
      <w:r w:rsidR="00201B06" w:rsidRPr="000B22B3">
        <w:rPr>
          <w:rFonts w:ascii="Arial" w:hAnsi="Arial" w:cs="Arial"/>
          <w:color w:val="000000" w:themeColor="text1"/>
          <w:sz w:val="22"/>
          <w:lang w:val="es-ES_tradnl"/>
        </w:rPr>
        <w:t xml:space="preserve">. </w:t>
      </w:r>
      <w:r w:rsidR="00296FD4" w:rsidRPr="000B22B3">
        <w:rPr>
          <w:rFonts w:ascii="Arial" w:hAnsi="Arial" w:cs="Arial"/>
          <w:color w:val="000000" w:themeColor="text1"/>
          <w:sz w:val="22"/>
          <w:lang w:val="es-ES_tradnl"/>
        </w:rPr>
        <w:t xml:space="preserve">Por tanto, dado que los factores de desempate influyen en la ponderación de las ofertas presentadas, la acreditación de </w:t>
      </w:r>
      <w:proofErr w:type="gramStart"/>
      <w:r w:rsidR="00B50EF0">
        <w:rPr>
          <w:rFonts w:ascii="Arial" w:hAnsi="Arial" w:cs="Arial"/>
          <w:color w:val="000000" w:themeColor="text1"/>
          <w:sz w:val="22"/>
          <w:lang w:val="es-ES_tradnl"/>
        </w:rPr>
        <w:t>los mismos</w:t>
      </w:r>
      <w:proofErr w:type="gramEnd"/>
      <w:r w:rsidR="00B50EF0">
        <w:rPr>
          <w:rFonts w:ascii="Arial" w:hAnsi="Arial" w:cs="Arial"/>
          <w:color w:val="000000" w:themeColor="text1"/>
          <w:sz w:val="22"/>
          <w:lang w:val="es-ES_tradnl"/>
        </w:rPr>
        <w:t xml:space="preserve"> es </w:t>
      </w:r>
      <w:r w:rsidR="00296FD4" w:rsidRPr="000B22B3">
        <w:rPr>
          <w:rFonts w:ascii="Arial" w:hAnsi="Arial" w:cs="Arial"/>
          <w:color w:val="000000" w:themeColor="text1"/>
          <w:sz w:val="22"/>
          <w:lang w:val="es-ES_tradnl"/>
        </w:rPr>
        <w:t xml:space="preserve">insubsanable, pues no son criterios puramente formales de las propuestas ni requisitos para la verificación de las condiciones habilitantes. </w:t>
      </w:r>
    </w:p>
    <w:p w14:paraId="4CC07AEF" w14:textId="071AB8AB" w:rsidR="00E25DCE" w:rsidRDefault="004F4122" w:rsidP="0003011E">
      <w:pPr>
        <w:spacing w:before="120" w:line="276" w:lineRule="auto"/>
        <w:ind w:firstLine="708"/>
        <w:jc w:val="both"/>
        <w:rPr>
          <w:rFonts w:ascii="Arial" w:hAnsi="Arial" w:cs="Arial"/>
          <w:sz w:val="22"/>
          <w:szCs w:val="22"/>
        </w:rPr>
      </w:pPr>
      <w:r>
        <w:rPr>
          <w:rFonts w:ascii="Arial" w:hAnsi="Arial" w:cs="Arial"/>
          <w:sz w:val="22"/>
          <w:szCs w:val="22"/>
        </w:rPr>
        <w:t>Sin perjuicio de lo anterior</w:t>
      </w:r>
      <w:r w:rsidR="006372B8">
        <w:rPr>
          <w:rFonts w:ascii="Arial" w:hAnsi="Arial" w:cs="Arial"/>
          <w:sz w:val="22"/>
          <w:szCs w:val="22"/>
        </w:rPr>
        <w:t>,</w:t>
      </w:r>
      <w:r w:rsidR="00685908">
        <w:rPr>
          <w:rFonts w:ascii="Arial" w:hAnsi="Arial" w:cs="Arial"/>
          <w:sz w:val="22"/>
          <w:szCs w:val="22"/>
        </w:rPr>
        <w:t xml:space="preserve"> </w:t>
      </w:r>
      <w:r w:rsidR="00E25DCE" w:rsidRPr="00B55C5C">
        <w:rPr>
          <w:rFonts w:ascii="Arial" w:hAnsi="Arial" w:cs="Arial"/>
          <w:sz w:val="22"/>
          <w:szCs w:val="22"/>
        </w:rPr>
        <w:t xml:space="preserve">si el proponente no cumple con ninguno de los factores de desempate establecidos en el artículo 35 de la Ley 2069 de 2020 y recopilados en el </w:t>
      </w:r>
      <w:r w:rsidR="00E25DCE">
        <w:rPr>
          <w:rFonts w:ascii="Arial" w:hAnsi="Arial" w:cs="Arial"/>
          <w:sz w:val="22"/>
          <w:szCs w:val="22"/>
        </w:rPr>
        <w:t>F</w:t>
      </w:r>
      <w:r w:rsidR="00E25DCE" w:rsidRPr="00B55C5C">
        <w:rPr>
          <w:rFonts w:ascii="Arial" w:hAnsi="Arial" w:cs="Arial"/>
          <w:sz w:val="22"/>
          <w:szCs w:val="22"/>
        </w:rPr>
        <w:t>ormato 10 de los documentos tipo, no</w:t>
      </w:r>
      <w:r w:rsidR="00E25DCE">
        <w:rPr>
          <w:rFonts w:ascii="Arial" w:hAnsi="Arial" w:cs="Arial"/>
          <w:sz w:val="22"/>
          <w:szCs w:val="22"/>
        </w:rPr>
        <w:t xml:space="preserve"> estará obligado a </w:t>
      </w:r>
      <w:r w:rsidR="00E25DCE" w:rsidRPr="00B55C5C">
        <w:rPr>
          <w:rFonts w:ascii="Arial" w:hAnsi="Arial" w:cs="Arial"/>
          <w:sz w:val="22"/>
          <w:szCs w:val="22"/>
        </w:rPr>
        <w:t>presentar</w:t>
      </w:r>
      <w:r w:rsidR="00E25DCE">
        <w:rPr>
          <w:rFonts w:ascii="Arial" w:hAnsi="Arial" w:cs="Arial"/>
          <w:sz w:val="22"/>
          <w:szCs w:val="22"/>
        </w:rPr>
        <w:t xml:space="preserve"> </w:t>
      </w:r>
      <w:r w:rsidR="006372B8">
        <w:rPr>
          <w:rFonts w:ascii="Arial" w:hAnsi="Arial" w:cs="Arial"/>
          <w:sz w:val="22"/>
          <w:szCs w:val="22"/>
        </w:rPr>
        <w:t xml:space="preserve">dicho formato, </w:t>
      </w:r>
      <w:r w:rsidR="00E25DCE">
        <w:rPr>
          <w:rFonts w:ascii="Arial" w:hAnsi="Arial" w:cs="Arial"/>
          <w:sz w:val="22"/>
          <w:szCs w:val="22"/>
        </w:rPr>
        <w:t xml:space="preserve">ni </w:t>
      </w:r>
      <w:r w:rsidR="006372B8">
        <w:rPr>
          <w:rFonts w:ascii="Arial" w:hAnsi="Arial" w:cs="Arial"/>
          <w:sz w:val="22"/>
          <w:szCs w:val="22"/>
        </w:rPr>
        <w:t>tampoco el numerado con el</w:t>
      </w:r>
      <w:r w:rsidR="00E25DCE" w:rsidRPr="00B55C5C">
        <w:rPr>
          <w:rFonts w:ascii="Arial" w:hAnsi="Arial" w:cs="Arial"/>
          <w:sz w:val="22"/>
          <w:szCs w:val="22"/>
        </w:rPr>
        <w:t xml:space="preserve"> 11, </w:t>
      </w:r>
      <w:r w:rsidR="00CC410C">
        <w:rPr>
          <w:rFonts w:ascii="Arial" w:hAnsi="Arial" w:cs="Arial"/>
          <w:sz w:val="22"/>
          <w:szCs w:val="22"/>
        </w:rPr>
        <w:t xml:space="preserve">al no </w:t>
      </w:r>
      <w:r w:rsidR="00E25DCE">
        <w:rPr>
          <w:rFonts w:ascii="Arial" w:hAnsi="Arial" w:cs="Arial"/>
          <w:sz w:val="22"/>
          <w:szCs w:val="22"/>
        </w:rPr>
        <w:t>acreditar</w:t>
      </w:r>
      <w:r w:rsidR="00CC410C">
        <w:rPr>
          <w:rFonts w:ascii="Arial" w:hAnsi="Arial" w:cs="Arial"/>
          <w:sz w:val="22"/>
          <w:szCs w:val="22"/>
        </w:rPr>
        <w:t>se</w:t>
      </w:r>
      <w:r w:rsidR="00E25DCE">
        <w:rPr>
          <w:rFonts w:ascii="Arial" w:hAnsi="Arial" w:cs="Arial"/>
          <w:sz w:val="22"/>
          <w:szCs w:val="22"/>
        </w:rPr>
        <w:t xml:space="preserve"> factores de desempate y no</w:t>
      </w:r>
      <w:r w:rsidR="00E25DCE" w:rsidRPr="00B55C5C">
        <w:rPr>
          <w:rFonts w:ascii="Arial" w:hAnsi="Arial" w:cs="Arial"/>
          <w:sz w:val="22"/>
          <w:szCs w:val="22"/>
        </w:rPr>
        <w:t xml:space="preserve"> exist</w:t>
      </w:r>
      <w:r w:rsidR="00CC410C">
        <w:rPr>
          <w:rFonts w:ascii="Arial" w:hAnsi="Arial" w:cs="Arial"/>
          <w:sz w:val="22"/>
          <w:szCs w:val="22"/>
        </w:rPr>
        <w:t>ir</w:t>
      </w:r>
      <w:r w:rsidR="00E25DCE" w:rsidRPr="00B55C5C">
        <w:rPr>
          <w:rFonts w:ascii="Arial" w:hAnsi="Arial" w:cs="Arial"/>
          <w:sz w:val="22"/>
          <w:szCs w:val="22"/>
        </w:rPr>
        <w:t xml:space="preserve"> información sensible que</w:t>
      </w:r>
      <w:r w:rsidR="00E25DCE">
        <w:rPr>
          <w:rFonts w:ascii="Arial" w:hAnsi="Arial" w:cs="Arial"/>
          <w:sz w:val="22"/>
          <w:szCs w:val="22"/>
        </w:rPr>
        <w:t xml:space="preserve"> la entidad estatal deba</w:t>
      </w:r>
      <w:r w:rsidR="00E25DCE" w:rsidRPr="00B55C5C">
        <w:rPr>
          <w:rFonts w:ascii="Arial" w:hAnsi="Arial" w:cs="Arial"/>
          <w:sz w:val="22"/>
          <w:szCs w:val="22"/>
        </w:rPr>
        <w:t xml:space="preserve"> manejar</w:t>
      </w:r>
      <w:r w:rsidR="00CC410C">
        <w:rPr>
          <w:rFonts w:ascii="Arial" w:hAnsi="Arial" w:cs="Arial"/>
          <w:sz w:val="22"/>
          <w:szCs w:val="22"/>
        </w:rPr>
        <w:t xml:space="preserve"> con relación a los mismos. </w:t>
      </w:r>
    </w:p>
    <w:p w14:paraId="2E4D7572" w14:textId="77777777" w:rsidR="00CC410C" w:rsidRDefault="00CC410C" w:rsidP="0003011E">
      <w:pPr>
        <w:spacing w:after="120" w:line="276" w:lineRule="auto"/>
        <w:jc w:val="both"/>
        <w:rPr>
          <w:rFonts w:ascii="Arial" w:hAnsi="Arial" w:cs="Arial"/>
          <w:sz w:val="22"/>
          <w:szCs w:val="22"/>
        </w:rPr>
      </w:pPr>
    </w:p>
    <w:p w14:paraId="5F50678A" w14:textId="77777777" w:rsidR="008F1F27" w:rsidRPr="00924DEF" w:rsidRDefault="008F1F27" w:rsidP="008F1F27">
      <w:pPr>
        <w:spacing w:line="276" w:lineRule="auto"/>
        <w:jc w:val="both"/>
        <w:rPr>
          <w:rFonts w:ascii="Arial" w:eastAsia="Calibri" w:hAnsi="Arial" w:cs="Arial"/>
          <w:sz w:val="22"/>
          <w:szCs w:val="22"/>
          <w:lang w:val="es-ES"/>
        </w:rPr>
      </w:pPr>
      <w:r w:rsidRPr="00924DEF">
        <w:rPr>
          <w:rFonts w:ascii="Arial" w:eastAsia="Calibri" w:hAnsi="Arial" w:cs="Arial"/>
          <w:sz w:val="22"/>
          <w:szCs w:val="22"/>
          <w:lang w:val="es-ES"/>
        </w:rPr>
        <w:t>Este concepto tiene el alcance previsto en el artículo 28 del Código de Procedimiento Administrativo y de lo Contencioso Administrativo.</w:t>
      </w:r>
    </w:p>
    <w:p w14:paraId="2AA109C0" w14:textId="77777777" w:rsidR="008F1F27" w:rsidRPr="00924DEF" w:rsidRDefault="008F1F27" w:rsidP="008F1F27">
      <w:pPr>
        <w:jc w:val="both"/>
        <w:rPr>
          <w:rFonts w:ascii="Arial" w:eastAsia="Calibri" w:hAnsi="Arial" w:cs="Arial"/>
          <w:sz w:val="22"/>
          <w:szCs w:val="22"/>
          <w:lang w:val="es-ES"/>
        </w:rPr>
      </w:pPr>
    </w:p>
    <w:p w14:paraId="7EFFE4CF" w14:textId="77777777" w:rsidR="008F1F27" w:rsidRPr="00924DEF" w:rsidRDefault="008F1F27" w:rsidP="008F1F27">
      <w:pPr>
        <w:jc w:val="both"/>
        <w:rPr>
          <w:rFonts w:ascii="Arial" w:hAnsi="Arial" w:cs="Arial"/>
          <w:sz w:val="22"/>
          <w:szCs w:val="22"/>
          <w:lang w:val="es-ES" w:eastAsia="es-CO"/>
        </w:rPr>
      </w:pPr>
      <w:r w:rsidRPr="60CF8755">
        <w:rPr>
          <w:rFonts w:ascii="Arial" w:hAnsi="Arial" w:cs="Arial"/>
          <w:sz w:val="22"/>
          <w:szCs w:val="22"/>
          <w:lang w:val="es-ES" w:eastAsia="es-CO"/>
        </w:rPr>
        <w:t>Atentamente,</w:t>
      </w:r>
    </w:p>
    <w:p w14:paraId="39F9E624" w14:textId="5DDEA651" w:rsidR="008F1F27" w:rsidRPr="0008465D" w:rsidRDefault="60CF8755" w:rsidP="60CF8755">
      <w:pPr>
        <w:jc w:val="center"/>
        <w:rPr>
          <w:lang w:val="es-ES" w:eastAsia="es-CO"/>
        </w:rPr>
      </w:pPr>
      <w:r>
        <w:rPr>
          <w:noProof/>
        </w:rPr>
        <w:drawing>
          <wp:inline distT="0" distB="0" distL="0" distR="0" wp14:anchorId="4B1B5AF1" wp14:editId="60CF8755">
            <wp:extent cx="2514600" cy="1114425"/>
            <wp:effectExtent l="0" t="0" r="0" b="0"/>
            <wp:docPr id="832052313" name="Imagen 83205231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r w:rsidR="008F1F27">
        <w:br/>
      </w:r>
    </w:p>
    <w:p w14:paraId="42FEC02E" w14:textId="77777777" w:rsidR="008F1F27" w:rsidRPr="0008465D" w:rsidRDefault="008F1F27" w:rsidP="008F1F27">
      <w:pPr>
        <w:jc w:val="center"/>
        <w:rPr>
          <w:rFonts w:ascii="Arial" w:hAnsi="Arial" w:cs="Arial"/>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F1F27" w:rsidRPr="0008465D" w14:paraId="0ADD22D4" w14:textId="77777777" w:rsidTr="00B10244">
        <w:trPr>
          <w:trHeight w:val="315"/>
        </w:trPr>
        <w:tc>
          <w:tcPr>
            <w:tcW w:w="812" w:type="dxa"/>
            <w:vAlign w:val="center"/>
            <w:hideMark/>
          </w:tcPr>
          <w:p w14:paraId="421F7B07" w14:textId="77777777" w:rsidR="008F1F27" w:rsidRPr="0008465D" w:rsidRDefault="008F1F27" w:rsidP="00B10244">
            <w:pPr>
              <w:rPr>
                <w:rFonts w:ascii="Arial" w:hAnsi="Arial" w:cs="Arial"/>
                <w:sz w:val="16"/>
                <w:szCs w:val="16"/>
                <w:lang w:val="es-ES" w:eastAsia="es-ES"/>
              </w:rPr>
            </w:pPr>
            <w:r w:rsidRPr="0008465D">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4CBF9EF9" w14:textId="77777777" w:rsidR="008F1F27" w:rsidRPr="0008465D" w:rsidRDefault="008F1F27" w:rsidP="00B10244">
            <w:pPr>
              <w:rPr>
                <w:rFonts w:ascii="Arial" w:hAnsi="Arial" w:cs="Arial"/>
                <w:sz w:val="16"/>
                <w:szCs w:val="16"/>
                <w:lang w:val="es-ES" w:eastAsia="es-ES"/>
              </w:rPr>
            </w:pPr>
            <w:r w:rsidRPr="0008465D">
              <w:rPr>
                <w:rFonts w:ascii="Arial" w:hAnsi="Arial" w:cs="Arial"/>
                <w:sz w:val="16"/>
                <w:szCs w:val="16"/>
                <w:lang w:val="es-ES" w:eastAsia="es-ES"/>
              </w:rPr>
              <w:t>Camilo Perdomo Villamil</w:t>
            </w:r>
          </w:p>
          <w:p w14:paraId="6E4291B8" w14:textId="77777777" w:rsidR="008F1F27" w:rsidRPr="0008465D" w:rsidRDefault="008F1F27" w:rsidP="00B10244">
            <w:pPr>
              <w:rPr>
                <w:rFonts w:ascii="Arial" w:hAnsi="Arial" w:cs="Arial"/>
                <w:sz w:val="16"/>
                <w:szCs w:val="16"/>
                <w:lang w:val="es-ES" w:eastAsia="es-ES"/>
              </w:rPr>
            </w:pPr>
            <w:r w:rsidRPr="0008465D">
              <w:rPr>
                <w:rFonts w:ascii="Arial" w:hAnsi="Arial" w:cs="Arial"/>
                <w:sz w:val="16"/>
                <w:szCs w:val="16"/>
                <w:lang w:val="es-ES" w:eastAsia="es-ES"/>
              </w:rPr>
              <w:t>Contratista de la Subdirección de Gestión Contractual</w:t>
            </w:r>
          </w:p>
        </w:tc>
      </w:tr>
      <w:tr w:rsidR="008F1F27" w:rsidRPr="0008465D" w14:paraId="157EA2CB" w14:textId="77777777" w:rsidTr="00B10244">
        <w:trPr>
          <w:trHeight w:val="330"/>
        </w:trPr>
        <w:tc>
          <w:tcPr>
            <w:tcW w:w="812" w:type="dxa"/>
            <w:vAlign w:val="center"/>
            <w:hideMark/>
          </w:tcPr>
          <w:p w14:paraId="608DD08B" w14:textId="77777777" w:rsidR="008F1F27" w:rsidRPr="0008465D" w:rsidRDefault="008F1F27" w:rsidP="00B10244">
            <w:pPr>
              <w:rPr>
                <w:rFonts w:ascii="Arial" w:hAnsi="Arial" w:cs="Arial"/>
                <w:sz w:val="16"/>
                <w:szCs w:val="16"/>
                <w:lang w:val="es-ES" w:eastAsia="es-ES"/>
              </w:rPr>
            </w:pPr>
            <w:r w:rsidRPr="0008465D">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461CD16" w14:textId="77777777" w:rsidR="000A12D9" w:rsidRPr="009F5860" w:rsidRDefault="000A12D9" w:rsidP="000A12D9">
            <w:pPr>
              <w:rPr>
                <w:rFonts w:ascii="Arial" w:hAnsi="Arial" w:cs="Arial"/>
                <w:sz w:val="16"/>
                <w:szCs w:val="16"/>
                <w:lang w:val="es-ES" w:eastAsia="es-ES"/>
              </w:rPr>
            </w:pPr>
            <w:r w:rsidRPr="009F5860">
              <w:rPr>
                <w:rFonts w:ascii="Arial" w:hAnsi="Arial" w:cs="Arial"/>
                <w:sz w:val="16"/>
                <w:szCs w:val="16"/>
                <w:lang w:val="es-ES" w:eastAsia="es-ES"/>
              </w:rPr>
              <w:t>Alejandro Sarmiento Cantillo</w:t>
            </w:r>
          </w:p>
          <w:p w14:paraId="287116A6" w14:textId="0705837D" w:rsidR="008F1F27" w:rsidRPr="0008465D" w:rsidRDefault="000A12D9" w:rsidP="000A12D9">
            <w:pPr>
              <w:rPr>
                <w:rFonts w:ascii="Arial" w:hAnsi="Arial" w:cs="Arial"/>
                <w:sz w:val="16"/>
                <w:szCs w:val="16"/>
                <w:lang w:val="es-ES" w:eastAsia="es-ES"/>
              </w:rPr>
            </w:pPr>
            <w:r w:rsidRPr="009F5860">
              <w:rPr>
                <w:rFonts w:ascii="Arial" w:hAnsi="Arial" w:cs="Arial"/>
                <w:sz w:val="16"/>
                <w:szCs w:val="16"/>
                <w:lang w:val="es-ES" w:eastAsia="es-ES"/>
              </w:rPr>
              <w:t>Gestor T1-1</w:t>
            </w:r>
            <w:r>
              <w:rPr>
                <w:rFonts w:ascii="Arial" w:hAnsi="Arial" w:cs="Arial"/>
                <w:sz w:val="16"/>
                <w:szCs w:val="16"/>
                <w:lang w:val="es-ES" w:eastAsia="es-ES"/>
              </w:rPr>
              <w:t>5</w:t>
            </w:r>
            <w:r w:rsidRPr="009F5860">
              <w:rPr>
                <w:rFonts w:ascii="Arial" w:hAnsi="Arial" w:cs="Arial"/>
                <w:sz w:val="16"/>
                <w:szCs w:val="16"/>
                <w:lang w:val="es-ES" w:eastAsia="es-ES"/>
              </w:rPr>
              <w:t xml:space="preserve"> de la Subdirección de Gestión Contractual</w:t>
            </w:r>
          </w:p>
        </w:tc>
      </w:tr>
      <w:tr w:rsidR="008F1F27" w:rsidRPr="0008465D" w14:paraId="56EFC3BD" w14:textId="77777777" w:rsidTr="00B10244">
        <w:trPr>
          <w:trHeight w:val="300"/>
        </w:trPr>
        <w:tc>
          <w:tcPr>
            <w:tcW w:w="812" w:type="dxa"/>
            <w:vAlign w:val="center"/>
            <w:hideMark/>
          </w:tcPr>
          <w:p w14:paraId="3637F9F9" w14:textId="77777777" w:rsidR="008F1F27" w:rsidRPr="0008465D" w:rsidRDefault="008F1F27" w:rsidP="00B10244">
            <w:pPr>
              <w:rPr>
                <w:rFonts w:ascii="Arial" w:hAnsi="Arial" w:cs="Arial"/>
                <w:sz w:val="16"/>
                <w:szCs w:val="16"/>
                <w:lang w:val="es-ES" w:eastAsia="es-ES"/>
              </w:rPr>
            </w:pPr>
            <w:r w:rsidRPr="0008465D">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7D9017" w14:textId="77777777" w:rsidR="008F1F27" w:rsidRPr="0008465D" w:rsidRDefault="008F1F27" w:rsidP="00B10244">
            <w:pPr>
              <w:rPr>
                <w:rFonts w:ascii="Arial" w:hAnsi="Arial" w:cs="Arial"/>
                <w:sz w:val="16"/>
                <w:szCs w:val="16"/>
                <w:lang w:val="es-ES" w:eastAsia="es-ES"/>
              </w:rPr>
            </w:pPr>
            <w:r w:rsidRPr="0008465D">
              <w:rPr>
                <w:rFonts w:ascii="Arial" w:hAnsi="Arial" w:cs="Arial"/>
                <w:sz w:val="16"/>
                <w:szCs w:val="16"/>
                <w:lang w:val="es-ES" w:eastAsia="es-ES"/>
              </w:rPr>
              <w:t>Jorge Augusto Tirado Navarro</w:t>
            </w:r>
          </w:p>
          <w:p w14:paraId="180D728A" w14:textId="77777777" w:rsidR="008F1F27" w:rsidRPr="0008465D" w:rsidRDefault="008F1F27" w:rsidP="00B10244">
            <w:pPr>
              <w:rPr>
                <w:rFonts w:ascii="Arial" w:hAnsi="Arial" w:cs="Arial"/>
                <w:sz w:val="16"/>
                <w:szCs w:val="16"/>
                <w:lang w:val="es-ES" w:eastAsia="es-ES"/>
              </w:rPr>
            </w:pPr>
            <w:r w:rsidRPr="0008465D">
              <w:rPr>
                <w:rFonts w:ascii="Arial" w:hAnsi="Arial" w:cs="Arial"/>
                <w:sz w:val="16"/>
                <w:szCs w:val="16"/>
                <w:lang w:val="es-ES" w:eastAsia="es-ES"/>
              </w:rPr>
              <w:t>Subdirector de Gestión Contractual ANCP – CCE</w:t>
            </w:r>
          </w:p>
        </w:tc>
      </w:tr>
    </w:tbl>
    <w:p w14:paraId="50A69111" w14:textId="77777777" w:rsidR="000B2F93" w:rsidRDefault="000B2F93" w:rsidP="008F1F27">
      <w:pPr>
        <w:spacing w:line="276" w:lineRule="auto"/>
      </w:pPr>
    </w:p>
    <w:sectPr w:rsidR="000B2F93" w:rsidSect="007F1895">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1CB100" w14:textId="77777777" w:rsidR="00611918" w:rsidRDefault="00611918" w:rsidP="000B2F93">
      <w:r>
        <w:separator/>
      </w:r>
    </w:p>
  </w:endnote>
  <w:endnote w:type="continuationSeparator" w:id="0">
    <w:p w14:paraId="455C3925" w14:textId="77777777" w:rsidR="00611918" w:rsidRDefault="00611918" w:rsidP="000B2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17096" w14:textId="77777777" w:rsidR="00387886" w:rsidRDefault="00611918" w:rsidP="007F1895">
    <w:pPr>
      <w:pStyle w:val="Sinespaciado"/>
      <w:jc w:val="right"/>
      <w:rPr>
        <w:rFonts w:ascii="Arial" w:hAnsi="Arial" w:cs="Arial"/>
        <w:sz w:val="18"/>
        <w:szCs w:val="18"/>
      </w:rPr>
    </w:pPr>
  </w:p>
  <w:p w14:paraId="6B8912A4" w14:textId="77777777" w:rsidR="00387886" w:rsidRDefault="00611918" w:rsidP="007F1895">
    <w:pPr>
      <w:pStyle w:val="Sinespaciado"/>
      <w:jc w:val="right"/>
      <w:rPr>
        <w:rFonts w:ascii="Arial" w:hAnsi="Arial" w:cs="Arial"/>
        <w:sz w:val="18"/>
        <w:szCs w:val="18"/>
      </w:rPr>
    </w:pPr>
  </w:p>
  <w:p w14:paraId="049D09DA" w14:textId="77777777" w:rsidR="00387886" w:rsidRPr="008217B7" w:rsidRDefault="007C2EF0"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178FB5CE" w14:textId="77777777" w:rsidR="00387886" w:rsidRDefault="007C2EF0" w:rsidP="007F1895">
    <w:pPr>
      <w:pStyle w:val="Piedepgina"/>
      <w:jc w:val="center"/>
      <w:rPr>
        <w:lang w:val="es-ES"/>
      </w:rPr>
    </w:pPr>
    <w:r>
      <w:rPr>
        <w:noProof/>
      </w:rPr>
      <w:drawing>
        <wp:inline distT="0" distB="0" distL="0" distR="0" wp14:anchorId="231BB9A0" wp14:editId="79ACFD46">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7F3E6FDB" w14:textId="77777777" w:rsidR="00387886" w:rsidRPr="00E756AC" w:rsidRDefault="00611918" w:rsidP="007F1895">
    <w:pPr>
      <w:pStyle w:val="Piedepgina"/>
      <w:jc w:val="center"/>
      <w:rPr>
        <w:sz w:val="18"/>
        <w:szCs w:val="18"/>
        <w:lang w:val="es-ES"/>
      </w:rPr>
    </w:pPr>
  </w:p>
  <w:p w14:paraId="19562477" w14:textId="77777777" w:rsidR="00387886" w:rsidRPr="00E756AC" w:rsidRDefault="00611918"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B734A9" w14:textId="77777777" w:rsidR="00611918" w:rsidRDefault="00611918" w:rsidP="000B2F93">
      <w:r>
        <w:separator/>
      </w:r>
    </w:p>
  </w:footnote>
  <w:footnote w:type="continuationSeparator" w:id="0">
    <w:p w14:paraId="4598A88D" w14:textId="77777777" w:rsidR="00611918" w:rsidRDefault="00611918" w:rsidP="000B2F93">
      <w:r>
        <w:continuationSeparator/>
      </w:r>
    </w:p>
  </w:footnote>
  <w:footnote w:id="1">
    <w:p w14:paraId="48549514" w14:textId="77777777" w:rsidR="00435999" w:rsidRPr="00427BDA" w:rsidRDefault="00435999" w:rsidP="00435999">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Consejo de Estado. Sección Tercera. Sentencia del 29 de octubre de 2.015. Consejera Ponente: Stella Conto Díaz Del Castillo. Expediente: 31.918.</w:t>
      </w:r>
    </w:p>
    <w:p w14:paraId="6FE7F874" w14:textId="77777777" w:rsidR="00435999" w:rsidRPr="00427BDA" w:rsidRDefault="00435999" w:rsidP="00435999">
      <w:pPr>
        <w:pStyle w:val="Textonotapie"/>
        <w:ind w:firstLine="709"/>
        <w:jc w:val="both"/>
        <w:rPr>
          <w:rFonts w:ascii="Arial" w:hAnsi="Arial" w:cs="Arial"/>
          <w:sz w:val="19"/>
          <w:szCs w:val="19"/>
          <w:lang w:val="es-ES"/>
        </w:rPr>
      </w:pPr>
    </w:p>
  </w:footnote>
  <w:footnote w:id="2">
    <w:p w14:paraId="31337254" w14:textId="77777777" w:rsidR="00435999" w:rsidRPr="00427BDA" w:rsidRDefault="00435999" w:rsidP="00435999">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Corte Constitucional. Sentencia T-684A del 14 de septiembre de 2011. Magistrado Ponente: Mauricio González Cuervo.</w:t>
      </w:r>
    </w:p>
    <w:p w14:paraId="1DB5C17B" w14:textId="77777777" w:rsidR="00435999" w:rsidRPr="00427BDA" w:rsidRDefault="00435999" w:rsidP="00435999">
      <w:pPr>
        <w:pStyle w:val="Textonotapie"/>
        <w:ind w:firstLine="709"/>
        <w:jc w:val="both"/>
        <w:rPr>
          <w:rFonts w:ascii="Arial" w:hAnsi="Arial" w:cs="Arial"/>
          <w:sz w:val="19"/>
          <w:szCs w:val="19"/>
          <w:lang w:val="es-ES"/>
        </w:rPr>
      </w:pPr>
    </w:p>
  </w:footnote>
  <w:footnote w:id="3">
    <w:p w14:paraId="60CC51AA" w14:textId="77777777" w:rsidR="00435999" w:rsidRPr="00427BDA" w:rsidRDefault="00435999" w:rsidP="00435999">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 xml:space="preserve">Consejo de Estado. Sección Tercera. Sentencia del 6 de diciembre de 2.013. Consejera Ponente: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1965D9A0" w14:textId="77777777" w:rsidR="00435999" w:rsidRPr="00427BDA" w:rsidRDefault="00435999" w:rsidP="00435999">
      <w:pPr>
        <w:pStyle w:val="Textonotapie"/>
        <w:ind w:firstLine="709"/>
        <w:jc w:val="both"/>
        <w:rPr>
          <w:rFonts w:ascii="Arial" w:hAnsi="Arial" w:cs="Arial"/>
          <w:sz w:val="19"/>
          <w:szCs w:val="19"/>
          <w:lang w:val="es-CO"/>
        </w:rPr>
      </w:pPr>
    </w:p>
  </w:footnote>
  <w:footnote w:id="4">
    <w:p w14:paraId="5EFA52C5" w14:textId="77777777" w:rsidR="000D6091" w:rsidRPr="00364B91" w:rsidRDefault="000D6091" w:rsidP="000D6091">
      <w:pPr>
        <w:pStyle w:val="Textonotapie"/>
        <w:ind w:firstLine="708"/>
        <w:jc w:val="both"/>
        <w:rPr>
          <w:rStyle w:val="Hipervnculo1"/>
          <w:rFonts w:ascii="Arial" w:hAnsi="Arial" w:cs="Arial"/>
          <w:sz w:val="19"/>
          <w:szCs w:val="19"/>
        </w:rPr>
      </w:pPr>
      <w:r w:rsidRPr="00364B91">
        <w:rPr>
          <w:rStyle w:val="Refdenotaalpie"/>
          <w:rFonts w:ascii="Arial" w:hAnsi="Arial" w:cs="Arial"/>
          <w:sz w:val="19"/>
          <w:szCs w:val="19"/>
        </w:rPr>
        <w:footnoteRef/>
      </w:r>
      <w:r w:rsidRPr="00364B91">
        <w:rPr>
          <w:rFonts w:ascii="Arial" w:hAnsi="Arial" w:cs="Arial"/>
          <w:sz w:val="19"/>
          <w:szCs w:val="19"/>
        </w:rPr>
        <w:t xml:space="preserve"> Texto del Proyecto de Ley 122 de 2020 Cámara. Exposición de motivos. Consultado el 29 de diciembre de 2021 en la página web: </w:t>
      </w:r>
      <w:hyperlink r:id="rId1" w:history="1">
        <w:r w:rsidRPr="00364B91">
          <w:rPr>
            <w:rStyle w:val="Hipervnculo1"/>
            <w:rFonts w:ascii="Arial" w:hAnsi="Arial" w:cs="Arial"/>
            <w:sz w:val="19"/>
            <w:szCs w:val="19"/>
          </w:rPr>
          <w:t>http://leyes.senado.gov.co/proyectos/index.php/textos-radicados-senado/p-ley-2020-2021/1957-proyecto-de-ley-161-de-2020</w:t>
        </w:r>
      </w:hyperlink>
    </w:p>
    <w:p w14:paraId="4446432E" w14:textId="77777777" w:rsidR="000D6091" w:rsidRPr="00364B91" w:rsidRDefault="000D6091" w:rsidP="000D6091">
      <w:pPr>
        <w:pStyle w:val="Textonotapie"/>
        <w:ind w:firstLine="708"/>
        <w:jc w:val="both"/>
        <w:rPr>
          <w:rFonts w:ascii="Arial" w:hAnsi="Arial" w:cs="Arial"/>
          <w:sz w:val="19"/>
          <w:szCs w:val="19"/>
        </w:rPr>
      </w:pPr>
    </w:p>
  </w:footnote>
  <w:footnote w:id="5">
    <w:p w14:paraId="568C1FF7" w14:textId="77777777" w:rsidR="000D6091" w:rsidRPr="00364B91" w:rsidRDefault="000D6091" w:rsidP="000D6091">
      <w:pPr>
        <w:pStyle w:val="Textonotapie"/>
        <w:ind w:firstLine="709"/>
        <w:jc w:val="both"/>
        <w:rPr>
          <w:rFonts w:ascii="Arial" w:hAnsi="Arial" w:cs="Arial"/>
          <w:sz w:val="19"/>
          <w:szCs w:val="19"/>
          <w:lang w:val="es-ES"/>
        </w:rPr>
      </w:pPr>
      <w:r w:rsidRPr="00364B91">
        <w:rPr>
          <w:rStyle w:val="Refdenotaalpie"/>
          <w:rFonts w:ascii="Arial" w:hAnsi="Arial" w:cs="Arial"/>
          <w:sz w:val="19"/>
          <w:szCs w:val="19"/>
        </w:rPr>
        <w:footnoteRef/>
      </w:r>
      <w:r w:rsidRPr="00364B91">
        <w:rPr>
          <w:rFonts w:ascii="Arial" w:hAnsi="Arial" w:cs="Arial"/>
          <w:sz w:val="19"/>
          <w:szCs w:val="19"/>
        </w:rPr>
        <w:t xml:space="preserve"> </w:t>
      </w:r>
      <w:r w:rsidRPr="00364B91">
        <w:rPr>
          <w:rFonts w:ascii="Arial" w:hAnsi="Arial" w:cs="Arial"/>
          <w:sz w:val="19"/>
          <w:szCs w:val="19"/>
          <w:lang w:val="es-ES"/>
        </w:rPr>
        <w:t>Artículos 2 al 29.</w:t>
      </w:r>
    </w:p>
    <w:p w14:paraId="58B321EB" w14:textId="77777777" w:rsidR="000D6091" w:rsidRPr="00364B91" w:rsidRDefault="000D6091" w:rsidP="000D6091">
      <w:pPr>
        <w:pStyle w:val="Textonotapie"/>
        <w:ind w:firstLine="709"/>
        <w:jc w:val="both"/>
        <w:rPr>
          <w:rFonts w:ascii="Arial" w:hAnsi="Arial" w:cs="Arial"/>
          <w:sz w:val="19"/>
          <w:szCs w:val="19"/>
          <w:lang w:val="es-ES"/>
        </w:rPr>
      </w:pPr>
    </w:p>
  </w:footnote>
  <w:footnote w:id="6">
    <w:p w14:paraId="6B291061" w14:textId="77777777" w:rsidR="000D6091" w:rsidRPr="00364B91" w:rsidRDefault="000D6091" w:rsidP="000D6091">
      <w:pPr>
        <w:pStyle w:val="Textonotapie"/>
        <w:ind w:firstLine="709"/>
        <w:jc w:val="both"/>
        <w:rPr>
          <w:rFonts w:ascii="Arial" w:hAnsi="Arial" w:cs="Arial"/>
          <w:sz w:val="19"/>
          <w:szCs w:val="19"/>
          <w:lang w:val="es-ES"/>
        </w:rPr>
      </w:pPr>
      <w:r w:rsidRPr="00364B91">
        <w:rPr>
          <w:rStyle w:val="Refdenotaalpie"/>
          <w:rFonts w:ascii="Arial" w:hAnsi="Arial" w:cs="Arial"/>
          <w:sz w:val="19"/>
          <w:szCs w:val="19"/>
        </w:rPr>
        <w:footnoteRef/>
      </w:r>
      <w:r w:rsidRPr="00364B91">
        <w:rPr>
          <w:rFonts w:ascii="Arial" w:hAnsi="Arial" w:cs="Arial"/>
          <w:sz w:val="19"/>
          <w:szCs w:val="19"/>
        </w:rPr>
        <w:t xml:space="preserve"> </w:t>
      </w:r>
      <w:r w:rsidRPr="00364B91">
        <w:rPr>
          <w:rFonts w:ascii="Arial" w:hAnsi="Arial" w:cs="Arial"/>
          <w:sz w:val="19"/>
          <w:szCs w:val="19"/>
          <w:lang w:val="es-ES"/>
        </w:rPr>
        <w:t>Artículos 30 al 36.</w:t>
      </w:r>
    </w:p>
    <w:p w14:paraId="21665B8A" w14:textId="77777777" w:rsidR="000D6091" w:rsidRPr="00364B91" w:rsidRDefault="000D6091" w:rsidP="000D6091">
      <w:pPr>
        <w:pStyle w:val="Textonotapie"/>
        <w:ind w:firstLine="709"/>
        <w:jc w:val="both"/>
        <w:rPr>
          <w:rFonts w:ascii="Arial" w:hAnsi="Arial" w:cs="Arial"/>
          <w:sz w:val="19"/>
          <w:szCs w:val="19"/>
          <w:lang w:val="es-ES"/>
        </w:rPr>
      </w:pPr>
    </w:p>
  </w:footnote>
  <w:footnote w:id="7">
    <w:p w14:paraId="6ED2922D" w14:textId="77777777" w:rsidR="000D6091" w:rsidRPr="00364B91" w:rsidRDefault="000D6091" w:rsidP="000D6091">
      <w:pPr>
        <w:pStyle w:val="Textonotapie"/>
        <w:ind w:firstLine="709"/>
        <w:jc w:val="both"/>
        <w:rPr>
          <w:rFonts w:ascii="Arial" w:hAnsi="Arial" w:cs="Arial"/>
          <w:sz w:val="19"/>
          <w:szCs w:val="19"/>
          <w:lang w:val="es-ES"/>
        </w:rPr>
      </w:pPr>
      <w:r w:rsidRPr="00364B91">
        <w:rPr>
          <w:rStyle w:val="Refdenotaalpie"/>
          <w:rFonts w:ascii="Arial" w:hAnsi="Arial" w:cs="Arial"/>
          <w:sz w:val="19"/>
          <w:szCs w:val="19"/>
        </w:rPr>
        <w:footnoteRef/>
      </w:r>
      <w:r w:rsidRPr="00364B91">
        <w:rPr>
          <w:rFonts w:ascii="Arial" w:hAnsi="Arial" w:cs="Arial"/>
          <w:sz w:val="19"/>
          <w:szCs w:val="19"/>
        </w:rPr>
        <w:t xml:space="preserve"> </w:t>
      </w:r>
      <w:r w:rsidRPr="00364B91">
        <w:rPr>
          <w:rFonts w:ascii="Arial" w:hAnsi="Arial" w:cs="Arial"/>
          <w:sz w:val="19"/>
          <w:szCs w:val="19"/>
          <w:lang w:val="es-ES"/>
        </w:rPr>
        <w:t>Artículos 37 al 45.</w:t>
      </w:r>
    </w:p>
    <w:p w14:paraId="1F3EA868" w14:textId="77777777" w:rsidR="000D6091" w:rsidRPr="00364B91" w:rsidRDefault="000D6091" w:rsidP="000D6091">
      <w:pPr>
        <w:pStyle w:val="Textonotapie"/>
        <w:ind w:firstLine="709"/>
        <w:jc w:val="both"/>
        <w:rPr>
          <w:rFonts w:ascii="Arial" w:hAnsi="Arial" w:cs="Arial"/>
          <w:sz w:val="19"/>
          <w:szCs w:val="19"/>
          <w:lang w:val="es-ES"/>
        </w:rPr>
      </w:pPr>
    </w:p>
  </w:footnote>
  <w:footnote w:id="8">
    <w:p w14:paraId="41CF7286" w14:textId="77777777" w:rsidR="000D6091" w:rsidRPr="00364B91" w:rsidRDefault="000D6091" w:rsidP="000D6091">
      <w:pPr>
        <w:pStyle w:val="Textonotapie"/>
        <w:ind w:firstLine="709"/>
        <w:jc w:val="both"/>
        <w:rPr>
          <w:rFonts w:ascii="Arial" w:hAnsi="Arial" w:cs="Arial"/>
          <w:sz w:val="19"/>
          <w:szCs w:val="19"/>
          <w:lang w:val="es-ES"/>
        </w:rPr>
      </w:pPr>
      <w:r w:rsidRPr="00364B91">
        <w:rPr>
          <w:rStyle w:val="Refdenotaalpie"/>
          <w:rFonts w:ascii="Arial" w:hAnsi="Arial" w:cs="Arial"/>
          <w:sz w:val="19"/>
          <w:szCs w:val="19"/>
        </w:rPr>
        <w:footnoteRef/>
      </w:r>
      <w:r w:rsidRPr="00364B91">
        <w:rPr>
          <w:rFonts w:ascii="Arial" w:hAnsi="Arial" w:cs="Arial"/>
          <w:sz w:val="19"/>
          <w:szCs w:val="19"/>
        </w:rPr>
        <w:t xml:space="preserve"> </w:t>
      </w:r>
      <w:r w:rsidRPr="00364B91">
        <w:rPr>
          <w:rFonts w:ascii="Arial" w:hAnsi="Arial" w:cs="Arial"/>
          <w:sz w:val="19"/>
          <w:szCs w:val="19"/>
          <w:lang w:val="es-ES"/>
        </w:rPr>
        <w:t>Artículos 46 al 73.</w:t>
      </w:r>
    </w:p>
    <w:p w14:paraId="4E69693A" w14:textId="77777777" w:rsidR="000D6091" w:rsidRPr="00364B91" w:rsidRDefault="000D6091" w:rsidP="000D6091">
      <w:pPr>
        <w:pStyle w:val="Textonotapie"/>
        <w:ind w:firstLine="709"/>
        <w:jc w:val="both"/>
        <w:rPr>
          <w:rFonts w:ascii="Arial" w:hAnsi="Arial" w:cs="Arial"/>
          <w:sz w:val="19"/>
          <w:szCs w:val="19"/>
          <w:lang w:val="es-ES"/>
        </w:rPr>
      </w:pPr>
    </w:p>
  </w:footnote>
  <w:footnote w:id="9">
    <w:p w14:paraId="3CF6BB26" w14:textId="77777777" w:rsidR="000D6091" w:rsidRPr="00364B91" w:rsidRDefault="000D6091" w:rsidP="000D6091">
      <w:pPr>
        <w:pStyle w:val="Textonotapie"/>
        <w:ind w:firstLine="709"/>
        <w:jc w:val="both"/>
        <w:rPr>
          <w:rFonts w:ascii="Arial" w:hAnsi="Arial" w:cs="Arial"/>
          <w:sz w:val="19"/>
          <w:szCs w:val="19"/>
          <w:lang w:val="es-ES"/>
        </w:rPr>
      </w:pPr>
      <w:r w:rsidRPr="00364B91">
        <w:rPr>
          <w:rStyle w:val="Refdenotaalpie"/>
          <w:rFonts w:ascii="Arial" w:hAnsi="Arial" w:cs="Arial"/>
          <w:sz w:val="19"/>
          <w:szCs w:val="19"/>
        </w:rPr>
        <w:footnoteRef/>
      </w:r>
      <w:r w:rsidRPr="00364B91">
        <w:rPr>
          <w:rFonts w:ascii="Arial" w:hAnsi="Arial" w:cs="Arial"/>
          <w:sz w:val="19"/>
          <w:szCs w:val="19"/>
        </w:rPr>
        <w:t xml:space="preserve"> </w:t>
      </w:r>
      <w:r w:rsidRPr="00364B91">
        <w:rPr>
          <w:rFonts w:ascii="Arial" w:hAnsi="Arial" w:cs="Arial"/>
          <w:sz w:val="19"/>
          <w:szCs w:val="19"/>
          <w:lang w:val="es-ES"/>
        </w:rPr>
        <w:t>Artículos 74 al 83.</w:t>
      </w:r>
    </w:p>
    <w:p w14:paraId="60767BEA" w14:textId="77777777" w:rsidR="000D6091" w:rsidRPr="00364B91" w:rsidRDefault="000D6091" w:rsidP="000D6091">
      <w:pPr>
        <w:pStyle w:val="Textonotapie"/>
        <w:ind w:firstLine="709"/>
        <w:jc w:val="both"/>
        <w:rPr>
          <w:rFonts w:ascii="Arial" w:hAnsi="Arial" w:cs="Arial"/>
          <w:sz w:val="19"/>
          <w:szCs w:val="19"/>
          <w:lang w:val="es-ES"/>
        </w:rPr>
      </w:pPr>
    </w:p>
  </w:footnote>
  <w:footnote w:id="10">
    <w:p w14:paraId="3C7CBB6A" w14:textId="77777777" w:rsidR="000D6091" w:rsidRPr="00364B91" w:rsidRDefault="000D6091" w:rsidP="000D6091">
      <w:pPr>
        <w:pStyle w:val="Textonotapie"/>
        <w:ind w:firstLine="708"/>
        <w:jc w:val="both"/>
        <w:rPr>
          <w:rFonts w:ascii="Arial" w:hAnsi="Arial" w:cs="Arial"/>
          <w:sz w:val="19"/>
          <w:szCs w:val="19"/>
          <w:lang w:val="es-ES"/>
        </w:rPr>
      </w:pPr>
      <w:r w:rsidRPr="00364B91">
        <w:rPr>
          <w:rStyle w:val="Refdenotaalpie"/>
          <w:rFonts w:ascii="Arial" w:hAnsi="Arial" w:cs="Arial"/>
          <w:sz w:val="19"/>
          <w:szCs w:val="19"/>
        </w:rPr>
        <w:footnoteRef/>
      </w:r>
      <w:r w:rsidRPr="00364B91">
        <w:rPr>
          <w:rFonts w:ascii="Arial" w:hAnsi="Arial" w:cs="Arial"/>
          <w:sz w:val="19"/>
          <w:szCs w:val="19"/>
        </w:rPr>
        <w:t xml:space="preserve"> </w:t>
      </w:r>
      <w:bookmarkStart w:id="2" w:name="_Hlk63862868"/>
      <w:r w:rsidRPr="00364B91">
        <w:rPr>
          <w:rFonts w:ascii="Arial" w:hAnsi="Arial" w:cs="Arial"/>
          <w:sz w:val="19"/>
          <w:szCs w:val="19"/>
        </w:rPr>
        <w:t xml:space="preserve">CONGRESO DE LA REPÚBLICA. Gaceta No. 670 del 11 de agosto de 2020. Exposición de motivos del Proyecto de Ley No. 122 de 2020 Cámara. p. 13. </w:t>
      </w:r>
      <w:bookmarkEnd w:id="2"/>
    </w:p>
  </w:footnote>
  <w:footnote w:id="11">
    <w:p w14:paraId="182EB192" w14:textId="77777777" w:rsidR="000D6091" w:rsidRPr="00364B91" w:rsidRDefault="000D6091" w:rsidP="000D6091">
      <w:pPr>
        <w:pStyle w:val="Textonotapie"/>
        <w:ind w:firstLine="709"/>
        <w:jc w:val="both"/>
        <w:rPr>
          <w:rFonts w:ascii="Arial" w:hAnsi="Arial" w:cs="Arial"/>
          <w:sz w:val="19"/>
          <w:szCs w:val="19"/>
        </w:rPr>
      </w:pPr>
      <w:r w:rsidRPr="00364B91">
        <w:rPr>
          <w:rStyle w:val="Refdenotaalpie"/>
          <w:rFonts w:ascii="Arial" w:hAnsi="Arial" w:cs="Arial"/>
          <w:sz w:val="19"/>
          <w:szCs w:val="19"/>
        </w:rPr>
        <w:footnoteRef/>
      </w:r>
      <w:r w:rsidRPr="00364B91">
        <w:rPr>
          <w:rFonts w:ascii="Arial" w:hAnsi="Arial" w:cs="Arial"/>
          <w:sz w:val="19"/>
          <w:szCs w:val="19"/>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 w:id="12">
    <w:p w14:paraId="525EDC45" w14:textId="77777777" w:rsidR="000D6091" w:rsidRPr="00364B91" w:rsidRDefault="000D6091" w:rsidP="000D6091">
      <w:pPr>
        <w:pStyle w:val="NormalWeb"/>
        <w:shd w:val="clear" w:color="auto" w:fill="FFFFFF"/>
        <w:spacing w:before="0" w:beforeAutospacing="0" w:after="0" w:afterAutospacing="0"/>
        <w:ind w:firstLine="709"/>
        <w:jc w:val="both"/>
        <w:rPr>
          <w:rFonts w:ascii="Arial" w:hAnsi="Arial" w:cs="Arial"/>
          <w:sz w:val="19"/>
          <w:szCs w:val="19"/>
        </w:rPr>
      </w:pPr>
      <w:r w:rsidRPr="00364B91">
        <w:rPr>
          <w:rStyle w:val="Refdenotaalpie"/>
          <w:rFonts w:ascii="Arial" w:hAnsi="Arial" w:cs="Arial"/>
          <w:sz w:val="19"/>
          <w:szCs w:val="19"/>
        </w:rPr>
        <w:footnoteRef/>
      </w:r>
      <w:r w:rsidRPr="00364B91">
        <w:rPr>
          <w:rFonts w:ascii="Arial" w:hAnsi="Arial" w:cs="Arial"/>
          <w:sz w:val="19"/>
          <w:szCs w:val="19"/>
        </w:rPr>
        <w:t xml:space="preserve"> 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2" w:anchor="2.2.1.2.1.5.1" w:history="1">
        <w:r w:rsidRPr="00364B91">
          <w:rPr>
            <w:rStyle w:val="Hipervnculo"/>
            <w:rFonts w:ascii="Arial" w:hAnsi="Arial" w:cs="Arial"/>
            <w:sz w:val="19"/>
            <w:szCs w:val="19"/>
          </w:rPr>
          <w:t>5 </w:t>
        </w:r>
      </w:hyperlink>
      <w:r w:rsidRPr="00364B91">
        <w:rPr>
          <w:rFonts w:ascii="Arial" w:hAnsi="Arial" w:cs="Arial"/>
          <w:sz w:val="19"/>
          <w:szCs w:val="19"/>
        </w:rPr>
        <w:t>de la Sección 1 del Capítulo 2 del Título 1 de la Parte 2 del Libro 2, así como los artículos </w:t>
      </w:r>
      <w:hyperlink r:id="rId3" w:anchor="2.2.1.2.4.2.2" w:history="1">
        <w:r w:rsidRPr="00364B91">
          <w:rPr>
            <w:rStyle w:val="Hipervnculo"/>
            <w:rFonts w:ascii="Arial" w:hAnsi="Arial" w:cs="Arial"/>
            <w:sz w:val="19"/>
            <w:szCs w:val="19"/>
          </w:rPr>
          <w:t>2.2.1.2.4.2.2</w:t>
        </w:r>
      </w:hyperlink>
      <w:r w:rsidRPr="00364B91">
        <w:rPr>
          <w:rFonts w:ascii="Arial" w:hAnsi="Arial" w:cs="Arial"/>
          <w:sz w:val="19"/>
          <w:szCs w:val="19"/>
        </w:rPr>
        <w:t>., </w:t>
      </w:r>
      <w:hyperlink r:id="rId4" w:anchor="2.2.1.2.4.2.3" w:history="1">
        <w:r w:rsidRPr="00364B91">
          <w:rPr>
            <w:rStyle w:val="Hipervnculo"/>
            <w:rFonts w:ascii="Arial" w:hAnsi="Arial" w:cs="Arial"/>
            <w:sz w:val="19"/>
            <w:szCs w:val="19"/>
          </w:rPr>
          <w:t>2.2.1.2.4.2.3</w:t>
        </w:r>
      </w:hyperlink>
      <w:r w:rsidRPr="00364B91">
        <w:rPr>
          <w:rFonts w:ascii="Arial" w:hAnsi="Arial" w:cs="Arial"/>
          <w:sz w:val="19"/>
          <w:szCs w:val="19"/>
        </w:rPr>
        <w:t>., </w:t>
      </w:r>
      <w:hyperlink r:id="rId5" w:anchor="2.2.1.2.4.2.4" w:history="1">
        <w:r w:rsidRPr="00364B91">
          <w:rPr>
            <w:rStyle w:val="Hipervnculo"/>
            <w:rFonts w:ascii="Arial" w:hAnsi="Arial" w:cs="Arial"/>
            <w:sz w:val="19"/>
            <w:szCs w:val="19"/>
          </w:rPr>
          <w:t>2.2.1.2.4.2.4</w:t>
        </w:r>
      </w:hyperlink>
      <w:r w:rsidRPr="00364B91">
        <w:rPr>
          <w:rFonts w:ascii="Arial" w:hAnsi="Arial" w:cs="Arial"/>
          <w:sz w:val="19"/>
          <w:szCs w:val="19"/>
        </w:rPr>
        <w:t>., </w:t>
      </w:r>
      <w:hyperlink r:id="rId6" w:anchor="2.2.1.2.1.2.2" w:history="1">
        <w:r w:rsidRPr="00364B91">
          <w:rPr>
            <w:rStyle w:val="Hipervnculo"/>
            <w:rFonts w:ascii="Arial" w:hAnsi="Arial" w:cs="Arial"/>
            <w:sz w:val="19"/>
            <w:szCs w:val="19"/>
          </w:rPr>
          <w:t>2.2.1.2.1.2.2</w:t>
        </w:r>
      </w:hyperlink>
      <w:r w:rsidRPr="00364B91">
        <w:rPr>
          <w:rFonts w:ascii="Arial" w:hAnsi="Arial" w:cs="Arial"/>
          <w:sz w:val="19"/>
          <w:szCs w:val="19"/>
        </w:rPr>
        <w:t xml:space="preserve"> y </w:t>
      </w:r>
      <w:hyperlink r:id="rId7" w:anchor="2.2.1.2.4.2.8" w:history="1">
        <w:r w:rsidRPr="00364B91">
          <w:rPr>
            <w:rStyle w:val="Hipervnculo"/>
            <w:rFonts w:ascii="Arial" w:hAnsi="Arial" w:cs="Arial"/>
            <w:sz w:val="19"/>
            <w:szCs w:val="19"/>
          </w:rPr>
          <w:t>2.2.1.2.4.2.8</w:t>
        </w:r>
      </w:hyperlink>
      <w:r w:rsidRPr="00364B91">
        <w:rPr>
          <w:rFonts w:ascii="Arial" w:hAnsi="Arial" w:cs="Arial"/>
          <w:sz w:val="19"/>
          <w:szCs w:val="19"/>
        </w:rPr>
        <w:t>.; adiciona los artículos </w:t>
      </w:r>
      <w:hyperlink r:id="rId8" w:anchor="2.2.1.2.4.2.14" w:history="1">
        <w:r w:rsidRPr="00364B91">
          <w:rPr>
            <w:rStyle w:val="Hipervnculo"/>
            <w:rFonts w:ascii="Arial" w:hAnsi="Arial" w:cs="Arial"/>
            <w:sz w:val="19"/>
            <w:szCs w:val="19"/>
          </w:rPr>
          <w:t>2.2.1.2.4.2.14</w:t>
        </w:r>
      </w:hyperlink>
      <w:r w:rsidRPr="00364B91">
        <w:rPr>
          <w:rFonts w:ascii="Arial" w:hAnsi="Arial" w:cs="Arial"/>
          <w:sz w:val="19"/>
          <w:szCs w:val="19"/>
        </w:rPr>
        <w:t>., </w:t>
      </w:r>
      <w:hyperlink r:id="rId9" w:anchor="2.2.1.2.4.2.15" w:history="1">
        <w:r w:rsidRPr="00364B91">
          <w:rPr>
            <w:rStyle w:val="Hipervnculo"/>
            <w:rFonts w:ascii="Arial" w:hAnsi="Arial" w:cs="Arial"/>
            <w:sz w:val="19"/>
            <w:szCs w:val="19"/>
          </w:rPr>
          <w:t>2.2.1.2.4.2.15</w:t>
        </w:r>
      </w:hyperlink>
      <w:r w:rsidRPr="00364B91">
        <w:rPr>
          <w:rFonts w:ascii="Arial" w:hAnsi="Arial" w:cs="Arial"/>
          <w:sz w:val="19"/>
          <w:szCs w:val="19"/>
        </w:rPr>
        <w:t>., </w:t>
      </w:r>
      <w:hyperlink r:id="rId10" w:anchor="2.2.1.2.4.2.16" w:history="1">
        <w:r w:rsidRPr="00364B91">
          <w:rPr>
            <w:rStyle w:val="Hipervnculo"/>
            <w:rFonts w:ascii="Arial" w:hAnsi="Arial" w:cs="Arial"/>
            <w:sz w:val="19"/>
            <w:szCs w:val="19"/>
          </w:rPr>
          <w:t>2.2.1.2.4.2.16</w:t>
        </w:r>
      </w:hyperlink>
      <w:r w:rsidRPr="00364B91">
        <w:rPr>
          <w:rFonts w:ascii="Arial" w:hAnsi="Arial" w:cs="Arial"/>
          <w:sz w:val="19"/>
          <w:szCs w:val="19"/>
        </w:rPr>
        <w:t>., </w:t>
      </w:r>
      <w:hyperlink r:id="rId11" w:anchor="2.2.1.2.4.2.17" w:history="1">
        <w:r w:rsidRPr="00364B91">
          <w:rPr>
            <w:rStyle w:val="Hipervnculo"/>
            <w:rFonts w:ascii="Arial" w:hAnsi="Arial" w:cs="Arial"/>
            <w:sz w:val="19"/>
            <w:szCs w:val="19"/>
          </w:rPr>
          <w:t>2.2.1.2.4.2.17</w:t>
        </w:r>
      </w:hyperlink>
      <w:r w:rsidRPr="00364B91">
        <w:rPr>
          <w:rFonts w:ascii="Arial" w:hAnsi="Arial" w:cs="Arial"/>
          <w:sz w:val="19"/>
          <w:szCs w:val="19"/>
        </w:rPr>
        <w:t>. y </w:t>
      </w:r>
      <w:hyperlink r:id="rId12" w:anchor="2.2.1.2.4.2.18" w:history="1">
        <w:r w:rsidRPr="00364B91">
          <w:rPr>
            <w:rStyle w:val="Hipervnculo"/>
            <w:rFonts w:ascii="Arial" w:hAnsi="Arial" w:cs="Arial"/>
            <w:sz w:val="19"/>
            <w:szCs w:val="19"/>
          </w:rPr>
          <w:t>2.2.1.2.4.2.18</w:t>
        </w:r>
      </w:hyperlink>
      <w:r w:rsidRPr="00364B91">
        <w:rPr>
          <w:rFonts w:ascii="Arial" w:hAnsi="Arial" w:cs="Arial"/>
          <w:sz w:val="19"/>
          <w:szCs w:val="19"/>
        </w:rPr>
        <w:t>.; adiciona un </w:t>
      </w:r>
      <w:hyperlink r:id="rId13" w:anchor="2.2.1.2.3.1.9.p" w:history="1">
        <w:r w:rsidRPr="00364B91">
          <w:rPr>
            <w:rStyle w:val="Hipervnculo"/>
            <w:rFonts w:ascii="Arial" w:hAnsi="Arial" w:cs="Arial"/>
            <w:sz w:val="19"/>
            <w:szCs w:val="19"/>
          </w:rPr>
          <w:t>parágrafo </w:t>
        </w:r>
      </w:hyperlink>
      <w:r w:rsidRPr="00364B91">
        <w:rPr>
          <w:rFonts w:ascii="Arial" w:hAnsi="Arial" w:cs="Arial"/>
          <w:sz w:val="19"/>
          <w:szCs w:val="19"/>
        </w:rPr>
        <w:t>al artículo </w:t>
      </w:r>
      <w:hyperlink r:id="rId14" w:anchor="2.2.1.2.3.1.9" w:history="1">
        <w:r w:rsidRPr="00364B91">
          <w:rPr>
            <w:rStyle w:val="Hipervnculo"/>
            <w:rFonts w:ascii="Arial" w:hAnsi="Arial" w:cs="Arial"/>
            <w:sz w:val="19"/>
            <w:szCs w:val="19"/>
          </w:rPr>
          <w:t>2.2.1.2.3.1.9</w:t>
        </w:r>
      </w:hyperlink>
      <w:r w:rsidRPr="00364B91">
        <w:rPr>
          <w:rFonts w:ascii="Arial" w:hAnsi="Arial" w:cs="Arial"/>
          <w:sz w:val="19"/>
          <w:szCs w:val="19"/>
        </w:rPr>
        <w:t>; y deroga el artículo </w:t>
      </w:r>
      <w:hyperlink r:id="rId15" w:anchor="2.2.1.1.2.2.9" w:history="1">
        <w:r w:rsidRPr="00364B91">
          <w:rPr>
            <w:rStyle w:val="Hipervnculo"/>
            <w:rFonts w:ascii="Arial" w:hAnsi="Arial" w:cs="Arial"/>
            <w:sz w:val="19"/>
            <w:szCs w:val="19"/>
          </w:rPr>
          <w:t>2.2.1.1.2.2.9</w:t>
        </w:r>
      </w:hyperlink>
      <w:r w:rsidRPr="00364B91">
        <w:rPr>
          <w:rFonts w:ascii="Arial" w:hAnsi="Arial" w:cs="Arial"/>
          <w:sz w:val="19"/>
          <w:szCs w:val="19"/>
        </w:rPr>
        <w:t>. del Decreto 1082 de 2015, Único Reglamentario del Sector Administrativo de Planeación Nacional.</w:t>
      </w:r>
    </w:p>
    <w:p w14:paraId="1C351FAE" w14:textId="77777777" w:rsidR="000D6091" w:rsidRPr="00364B91" w:rsidRDefault="000D6091" w:rsidP="000D6091">
      <w:pPr>
        <w:pStyle w:val="NormalWeb"/>
        <w:shd w:val="clear" w:color="auto" w:fill="FFFFFF"/>
        <w:spacing w:before="0" w:beforeAutospacing="0" w:after="0" w:afterAutospacing="0"/>
        <w:jc w:val="both"/>
        <w:rPr>
          <w:rFonts w:ascii="Arial" w:hAnsi="Arial" w:cs="Arial"/>
          <w:sz w:val="19"/>
          <w:szCs w:val="19"/>
        </w:rPr>
      </w:pPr>
      <w:r w:rsidRPr="00364B91">
        <w:rPr>
          <w:rFonts w:ascii="Arial" w:hAnsi="Arial" w:cs="Arial"/>
          <w:b/>
          <w:bCs/>
          <w:sz w:val="19"/>
          <w:szCs w:val="19"/>
        </w:rPr>
        <w:t> </w:t>
      </w:r>
      <w:r w:rsidRPr="00364B91">
        <w:rPr>
          <w:rFonts w:ascii="Arial" w:hAnsi="Arial" w:cs="Arial"/>
          <w:b/>
          <w:bCs/>
          <w:sz w:val="19"/>
          <w:szCs w:val="19"/>
        </w:rPr>
        <w:tab/>
        <w:t>»</w:t>
      </w:r>
      <w:r w:rsidRPr="00364B91">
        <w:rPr>
          <w:rFonts w:ascii="Arial" w:hAnsi="Arial" w:cs="Arial"/>
          <w:sz w:val="19"/>
          <w:szCs w:val="19"/>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3D0D1D2B" w14:textId="77777777" w:rsidR="000D6091" w:rsidRPr="00364B91" w:rsidRDefault="000D6091" w:rsidP="000D6091">
      <w:pPr>
        <w:pStyle w:val="NormalWeb"/>
        <w:shd w:val="clear" w:color="auto" w:fill="FFFFFF"/>
        <w:spacing w:before="0" w:beforeAutospacing="0" w:after="0" w:afterAutospacing="0"/>
        <w:jc w:val="both"/>
        <w:rPr>
          <w:rFonts w:ascii="Arial" w:hAnsi="Arial" w:cs="Arial"/>
          <w:sz w:val="19"/>
          <w:szCs w:val="19"/>
        </w:rPr>
      </w:pPr>
      <w:r w:rsidRPr="00364B91">
        <w:rPr>
          <w:rFonts w:ascii="Arial" w:hAnsi="Arial" w:cs="Arial"/>
          <w:sz w:val="19"/>
          <w:szCs w:val="19"/>
        </w:rPr>
        <w:t> </w:t>
      </w:r>
      <w:r w:rsidRPr="00364B91">
        <w:rPr>
          <w:rFonts w:ascii="Arial" w:hAnsi="Arial" w:cs="Arial"/>
          <w:sz w:val="19"/>
          <w:szCs w:val="19"/>
        </w:rPr>
        <w:tab/>
        <w:t>»La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 w:id="13">
    <w:p w14:paraId="47973989" w14:textId="77777777" w:rsidR="00322518" w:rsidRPr="00ED3142" w:rsidRDefault="00322518" w:rsidP="00322518">
      <w:pPr>
        <w:pStyle w:val="Textonotapie"/>
        <w:ind w:firstLine="708"/>
        <w:rPr>
          <w:rFonts w:ascii="Arial" w:hAnsi="Arial" w:cs="Arial"/>
          <w:sz w:val="18"/>
          <w:szCs w:val="18"/>
          <w:lang w:val="es-ES"/>
        </w:rPr>
      </w:pPr>
      <w:r w:rsidRPr="00ED3142">
        <w:rPr>
          <w:rStyle w:val="Refdenotaalpie"/>
          <w:rFonts w:ascii="Arial" w:hAnsi="Arial" w:cs="Arial"/>
          <w:sz w:val="18"/>
          <w:szCs w:val="18"/>
        </w:rPr>
        <w:footnoteRef/>
      </w:r>
      <w:r w:rsidRPr="00ED3142">
        <w:rPr>
          <w:rFonts w:ascii="Arial" w:hAnsi="Arial" w:cs="Arial"/>
          <w:sz w:val="18"/>
          <w:szCs w:val="18"/>
        </w:rPr>
        <w:t xml:space="preserve"> </w:t>
      </w:r>
      <w:r w:rsidRPr="00ED3142">
        <w:rPr>
          <w:rFonts w:ascii="Arial" w:hAnsi="Arial" w:cs="Arial"/>
          <w:sz w:val="18"/>
          <w:szCs w:val="18"/>
          <w:lang w:val="es-ES"/>
        </w:rPr>
        <w:t>Consejo de Estado. Sala de Consulta y Servicio Civil. Concepto del 20 de mayo de 2010. No. de Radicado: 11001-03-06-000-2010-00034-00(1992). C.P. Enrique José Arboleda Perdomo</w:t>
      </w:r>
      <w:r>
        <w:rPr>
          <w:rFonts w:ascii="Arial" w:hAnsi="Arial" w:cs="Arial"/>
          <w:sz w:val="18"/>
          <w:szCs w:val="18"/>
          <w:lang w:val="es-ES"/>
        </w:rPr>
        <w:t>.</w:t>
      </w:r>
    </w:p>
  </w:footnote>
  <w:footnote w:id="14">
    <w:p w14:paraId="0F872A18" w14:textId="77777777" w:rsidR="00322518" w:rsidRPr="00801108" w:rsidRDefault="00322518" w:rsidP="00322518">
      <w:pPr>
        <w:pStyle w:val="Textonotapie"/>
        <w:ind w:firstLine="709"/>
        <w:jc w:val="both"/>
        <w:rPr>
          <w:rFonts w:ascii="Arial" w:hAnsi="Arial" w:cs="Arial"/>
          <w:color w:val="000000" w:themeColor="text1"/>
          <w:sz w:val="18"/>
          <w:szCs w:val="18"/>
        </w:rPr>
      </w:pPr>
      <w:r w:rsidRPr="00801108">
        <w:rPr>
          <w:rStyle w:val="Refdenotaalpie"/>
          <w:rFonts w:ascii="Arial" w:hAnsi="Arial" w:cs="Arial"/>
          <w:color w:val="000000" w:themeColor="text1"/>
          <w:sz w:val="18"/>
          <w:szCs w:val="18"/>
        </w:rPr>
        <w:footnoteRef/>
      </w:r>
      <w:r w:rsidRPr="00801108">
        <w:rPr>
          <w:rFonts w:ascii="Arial" w:hAnsi="Arial" w:cs="Arial"/>
          <w:color w:val="000000" w:themeColor="text1"/>
          <w:sz w:val="18"/>
          <w:szCs w:val="18"/>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4F668EB8" w14:textId="77777777" w:rsidR="00322518" w:rsidRPr="00801108" w:rsidRDefault="00322518" w:rsidP="00322518">
      <w:pPr>
        <w:pStyle w:val="Textonotapie"/>
        <w:ind w:firstLine="709"/>
        <w:jc w:val="both"/>
        <w:rPr>
          <w:rFonts w:ascii="Arial" w:hAnsi="Arial" w:cs="Arial"/>
          <w:color w:val="000000" w:themeColor="text1"/>
          <w:sz w:val="18"/>
          <w:szCs w:val="18"/>
        </w:rPr>
      </w:pPr>
    </w:p>
  </w:footnote>
  <w:footnote w:id="15">
    <w:p w14:paraId="2C7E04EF" w14:textId="77777777" w:rsidR="00322518" w:rsidRPr="00801108" w:rsidRDefault="00322518" w:rsidP="00322518">
      <w:pPr>
        <w:pStyle w:val="Textonotapie"/>
        <w:ind w:firstLine="709"/>
        <w:jc w:val="both"/>
        <w:rPr>
          <w:rFonts w:ascii="Arial" w:hAnsi="Arial" w:cs="Arial"/>
          <w:color w:val="000000" w:themeColor="text1"/>
          <w:sz w:val="18"/>
          <w:szCs w:val="18"/>
        </w:rPr>
      </w:pPr>
      <w:r w:rsidRPr="00801108">
        <w:rPr>
          <w:rStyle w:val="Refdenotaalpie"/>
          <w:rFonts w:ascii="Arial" w:hAnsi="Arial" w:cs="Arial"/>
          <w:color w:val="000000" w:themeColor="text1"/>
          <w:sz w:val="18"/>
          <w:szCs w:val="18"/>
        </w:rPr>
        <w:footnoteRef/>
      </w:r>
      <w:r w:rsidRPr="00801108">
        <w:rPr>
          <w:rFonts w:ascii="Arial" w:hAnsi="Arial" w:cs="Arial"/>
          <w:color w:val="000000" w:themeColor="text1"/>
          <w:sz w:val="18"/>
          <w:szCs w:val="18"/>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16">
    <w:p w14:paraId="7990015D" w14:textId="77777777" w:rsidR="00322518" w:rsidRPr="00801108" w:rsidRDefault="00322518" w:rsidP="00322518">
      <w:pPr>
        <w:pStyle w:val="Textonotapie"/>
        <w:ind w:firstLine="709"/>
        <w:jc w:val="both"/>
        <w:rPr>
          <w:rFonts w:ascii="Arial" w:hAnsi="Arial" w:cs="Arial"/>
          <w:color w:val="000000" w:themeColor="text1"/>
          <w:sz w:val="18"/>
          <w:szCs w:val="18"/>
        </w:rPr>
      </w:pPr>
      <w:r w:rsidRPr="00801108">
        <w:rPr>
          <w:rStyle w:val="Refdenotaalpie"/>
          <w:rFonts w:ascii="Arial" w:hAnsi="Arial" w:cs="Arial"/>
          <w:color w:val="000000" w:themeColor="text1"/>
          <w:sz w:val="18"/>
          <w:szCs w:val="18"/>
        </w:rPr>
        <w:footnoteRef/>
      </w:r>
      <w:r w:rsidRPr="00801108">
        <w:rPr>
          <w:rFonts w:ascii="Arial" w:hAnsi="Arial" w:cs="Arial"/>
          <w:color w:val="000000" w:themeColor="text1"/>
          <w:sz w:val="18"/>
          <w:szCs w:val="18"/>
        </w:rPr>
        <w:t xml:space="preserve"> Consejo de Estado. Sección Tercera. Subsección C. Sentencia del 26 de febrero de 2014. Expediente: 25.804. Consejero Ponente: Enrique Gil Botero.</w:t>
      </w:r>
    </w:p>
  </w:footnote>
  <w:footnote w:id="17">
    <w:p w14:paraId="24914400" w14:textId="77777777" w:rsidR="00322518" w:rsidRPr="00E86699" w:rsidRDefault="00322518" w:rsidP="00322518">
      <w:pPr>
        <w:pBdr>
          <w:top w:val="nil"/>
          <w:left w:val="nil"/>
          <w:bottom w:val="nil"/>
          <w:right w:val="nil"/>
          <w:between w:val="nil"/>
        </w:pBdr>
        <w:ind w:firstLine="709"/>
        <w:jc w:val="both"/>
        <w:rPr>
          <w:rFonts w:ascii="Arial" w:eastAsia="Arial" w:hAnsi="Arial" w:cs="Arial"/>
          <w:color w:val="000000"/>
          <w:sz w:val="19"/>
          <w:szCs w:val="19"/>
        </w:rPr>
      </w:pPr>
      <w:r w:rsidRPr="00E86699">
        <w:rPr>
          <w:rFonts w:ascii="Arial" w:hAnsi="Arial" w:cs="Arial"/>
          <w:sz w:val="19"/>
          <w:szCs w:val="19"/>
          <w:vertAlign w:val="superscript"/>
        </w:rPr>
        <w:footnoteRef/>
      </w:r>
      <w:r w:rsidRPr="00E86699">
        <w:rPr>
          <w:rFonts w:ascii="Arial" w:eastAsia="Arial" w:hAnsi="Arial" w:cs="Arial"/>
          <w:color w:val="000000"/>
          <w:sz w:val="19"/>
          <w:szCs w:val="19"/>
          <w:vertAlign w:val="superscript"/>
        </w:rPr>
        <w:t xml:space="preserve"> </w:t>
      </w:r>
      <w:r w:rsidRPr="00E86699">
        <w:rPr>
          <w:rFonts w:ascii="Arial" w:eastAsia="Arial" w:hAnsi="Arial" w:cs="Arial"/>
          <w:color w:val="000000"/>
          <w:sz w:val="19"/>
          <w:szCs w:val="19"/>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18">
    <w:p w14:paraId="73EA672C" w14:textId="77777777" w:rsidR="00322518" w:rsidRPr="00EA29A3" w:rsidRDefault="00322518" w:rsidP="00322518">
      <w:pPr>
        <w:pStyle w:val="Textonotapie"/>
        <w:ind w:firstLine="708"/>
        <w:rPr>
          <w:rFonts w:ascii="Arial" w:hAnsi="Arial" w:cs="Arial"/>
          <w:color w:val="000000" w:themeColor="text1"/>
          <w:sz w:val="18"/>
          <w:szCs w:val="18"/>
          <w:lang w:val="es-ES"/>
        </w:rPr>
      </w:pPr>
      <w:r w:rsidRPr="00EA29A3">
        <w:rPr>
          <w:rFonts w:ascii="Arial" w:eastAsia="Arial" w:hAnsi="Arial" w:cs="Arial"/>
          <w:color w:val="000000" w:themeColor="text1"/>
          <w:sz w:val="18"/>
          <w:szCs w:val="18"/>
          <w:vertAlign w:val="superscript"/>
        </w:rPr>
        <w:footnoteRef/>
      </w:r>
      <w:r w:rsidRPr="00EA29A3">
        <w:rPr>
          <w:rFonts w:ascii="Arial" w:eastAsia="Arial" w:hAnsi="Arial" w:cs="Arial"/>
          <w:color w:val="000000" w:themeColor="text1"/>
          <w:sz w:val="18"/>
          <w:szCs w:val="18"/>
          <w:vertAlign w:val="superscript"/>
          <w:lang w:val="es-ES"/>
        </w:rPr>
        <w:t xml:space="preserve"> </w:t>
      </w:r>
      <w:r w:rsidRPr="00EA29A3">
        <w:rPr>
          <w:rFonts w:ascii="Arial" w:eastAsia="Arial" w:hAnsi="Arial" w:cs="Arial"/>
          <w:color w:val="000000" w:themeColor="text1"/>
          <w:sz w:val="18"/>
          <w:szCs w:val="18"/>
          <w:lang w:val="es-ES"/>
        </w:rPr>
        <w:t>Consejo de Estado. Sala de Consulta y Servicio Civil. Concepto del 20 de mayo de 2010. No. de Radicado: 11001-03-06-000-2010-00034-00(1992). C.P. Enrique José Arboleda Perdomo.</w:t>
      </w:r>
    </w:p>
    <w:p w14:paraId="02850583" w14:textId="77777777" w:rsidR="00322518" w:rsidRPr="00B96C0F" w:rsidRDefault="00322518" w:rsidP="00322518">
      <w:pPr>
        <w:pStyle w:val="Textonotapie"/>
        <w:ind w:firstLine="708"/>
        <w:rPr>
          <w:rFonts w:ascii="Arial" w:hAnsi="Arial" w:cs="Arial"/>
          <w:color w:val="000000" w:themeColor="text1"/>
          <w:sz w:val="18"/>
          <w:szCs w:val="18"/>
        </w:rPr>
      </w:pPr>
    </w:p>
  </w:footnote>
  <w:footnote w:id="19">
    <w:p w14:paraId="44313640" w14:textId="77777777" w:rsidR="00322518" w:rsidRPr="00A015C2" w:rsidRDefault="00322518" w:rsidP="00322518">
      <w:pPr>
        <w:pStyle w:val="Textonotapie"/>
        <w:ind w:firstLine="708"/>
        <w:rPr>
          <w:rFonts w:ascii="Arial" w:hAnsi="Arial" w:cs="Arial"/>
          <w:color w:val="000000" w:themeColor="text1"/>
          <w:sz w:val="18"/>
          <w:szCs w:val="18"/>
        </w:rPr>
      </w:pPr>
      <w:r w:rsidRPr="00A015C2">
        <w:rPr>
          <w:rStyle w:val="Refdenotaalpie"/>
          <w:rFonts w:ascii="Arial" w:hAnsi="Arial" w:cs="Arial"/>
          <w:color w:val="000000" w:themeColor="text1"/>
          <w:sz w:val="18"/>
          <w:szCs w:val="18"/>
        </w:rPr>
        <w:footnoteRef/>
      </w:r>
      <w:r w:rsidRPr="00A015C2">
        <w:rPr>
          <w:rFonts w:ascii="Arial" w:hAnsi="Arial" w:cs="Arial"/>
          <w:color w:val="000000" w:themeColor="text1"/>
          <w:sz w:val="18"/>
          <w:szCs w:val="18"/>
        </w:rPr>
        <w:t xml:space="preserve"> </w:t>
      </w:r>
      <w:r w:rsidRPr="00EA29A3">
        <w:rPr>
          <w:rFonts w:ascii="Arial" w:eastAsia="Arial" w:hAnsi="Arial" w:cs="Arial"/>
          <w:color w:val="000000" w:themeColor="text1"/>
          <w:sz w:val="18"/>
          <w:szCs w:val="18"/>
          <w:lang w:val="es-ES"/>
        </w:rPr>
        <w:t>Consejo de Estado. Sala de Consulta y Servicio Civil. Concepto del 20 de mayo de 2010. No. de Radicado: 11001-03-06-000-2010-00034-00(1992). C.P. Enrique José Arboleda Perdomo.</w:t>
      </w:r>
    </w:p>
  </w:footnote>
  <w:footnote w:id="20">
    <w:p w14:paraId="2EFB0FEB" w14:textId="77777777" w:rsidR="00322518" w:rsidRPr="00D17351" w:rsidRDefault="00322518" w:rsidP="00322518">
      <w:pPr>
        <w:pStyle w:val="Textonotapie"/>
        <w:ind w:firstLine="708"/>
        <w:jc w:val="both"/>
        <w:rPr>
          <w:rFonts w:ascii="Arial" w:hAnsi="Arial" w:cs="Arial"/>
          <w:sz w:val="19"/>
          <w:szCs w:val="19"/>
          <w:lang w:val="es-ES"/>
        </w:rPr>
      </w:pPr>
      <w:r w:rsidRPr="00D17351">
        <w:rPr>
          <w:rStyle w:val="Refdenotaalpie"/>
          <w:rFonts w:ascii="Arial" w:hAnsi="Arial" w:cs="Arial"/>
          <w:sz w:val="19"/>
          <w:szCs w:val="19"/>
        </w:rPr>
        <w:footnoteRef/>
      </w:r>
      <w:r w:rsidRPr="00D17351">
        <w:rPr>
          <w:rFonts w:ascii="Arial" w:hAnsi="Arial" w:cs="Arial"/>
          <w:sz w:val="19"/>
          <w:szCs w:val="19"/>
        </w:rPr>
        <w:t xml:space="preserve"> </w:t>
      </w:r>
      <w:r>
        <w:rPr>
          <w:rFonts w:ascii="Arial" w:hAnsi="Arial" w:cs="Arial"/>
          <w:sz w:val="19"/>
          <w:szCs w:val="19"/>
          <w:lang w:val="es-ES"/>
        </w:rPr>
        <w:t>El primer inciso del</w:t>
      </w:r>
      <w:r w:rsidRPr="00D17351">
        <w:rPr>
          <w:rFonts w:ascii="Arial" w:hAnsi="Arial" w:cs="Arial"/>
          <w:sz w:val="19"/>
          <w:szCs w:val="19"/>
          <w:lang w:val="es-ES"/>
        </w:rPr>
        <w:t xml:space="preserve"> </w:t>
      </w:r>
      <w:r>
        <w:rPr>
          <w:rFonts w:ascii="Arial" w:hAnsi="Arial" w:cs="Arial"/>
          <w:sz w:val="19"/>
          <w:szCs w:val="19"/>
          <w:lang w:val="es-ES"/>
        </w:rPr>
        <w:t>a</w:t>
      </w:r>
      <w:r w:rsidRPr="00D17351">
        <w:rPr>
          <w:rFonts w:ascii="Arial" w:hAnsi="Arial" w:cs="Arial"/>
          <w:sz w:val="19"/>
          <w:szCs w:val="19"/>
          <w:lang w:val="es-ES"/>
        </w:rPr>
        <w:t>rtículo 2º</w:t>
      </w:r>
      <w:r>
        <w:rPr>
          <w:rFonts w:ascii="Arial" w:hAnsi="Arial" w:cs="Arial"/>
          <w:sz w:val="19"/>
          <w:szCs w:val="19"/>
          <w:lang w:val="es-ES"/>
        </w:rPr>
        <w:t xml:space="preserve"> de la Ley 816 de 2003 dispone lo siguiente</w:t>
      </w:r>
      <w:r w:rsidRPr="00D17351">
        <w:rPr>
          <w:rFonts w:ascii="Arial" w:hAnsi="Arial" w:cs="Arial"/>
          <w:sz w:val="19"/>
          <w:szCs w:val="19"/>
          <w:lang w:val="es-ES"/>
        </w:rPr>
        <w:t xml:space="preserve">: </w:t>
      </w:r>
      <w:r>
        <w:rPr>
          <w:rFonts w:ascii="Arial" w:hAnsi="Arial" w:cs="Arial"/>
          <w:sz w:val="19"/>
          <w:szCs w:val="19"/>
          <w:lang w:val="es-ES"/>
        </w:rPr>
        <w:t>«</w:t>
      </w:r>
      <w:r w:rsidRPr="00D17351">
        <w:rPr>
          <w:rFonts w:ascii="Arial" w:hAnsi="Arial" w:cs="Arial"/>
          <w:sz w:val="19"/>
          <w:szCs w:val="19"/>
          <w:lang w:val="es-ES"/>
        </w:rPr>
        <w:t>Las entidades de que trata el artículo 1° asignarán, dentro de los criterios de calificación de las propuestas, un puntaje comprendido entre el diez (10) y el veinte por ciento (20%), para estimular la industria colombiana cuando los proponentes oferten bienes o servicios nacionales</w:t>
      </w:r>
      <w:r>
        <w:rPr>
          <w:rFonts w:ascii="Arial" w:hAnsi="Arial" w:cs="Arial"/>
          <w:sz w:val="19"/>
          <w:szCs w:val="19"/>
          <w:lang w:val="es-ES"/>
        </w:rPr>
        <w:t xml:space="preserve">». Por su parte, </w:t>
      </w:r>
      <w:r w:rsidRPr="009139A6">
        <w:rPr>
          <w:rFonts w:ascii="Arial" w:hAnsi="Arial" w:cs="Arial"/>
          <w:sz w:val="19"/>
          <w:szCs w:val="19"/>
        </w:rPr>
        <w:t>el artículo 2.2.1.2.4.2.6 del Decreto 1082 de 2015</w:t>
      </w:r>
      <w:r>
        <w:rPr>
          <w:rFonts w:ascii="Arial" w:hAnsi="Arial" w:cs="Arial"/>
          <w:sz w:val="19"/>
          <w:szCs w:val="19"/>
        </w:rPr>
        <w:t xml:space="preserve"> prescribe que</w:t>
      </w:r>
      <w:r w:rsidRPr="00D17351">
        <w:rPr>
          <w:rFonts w:ascii="Arial" w:hAnsi="Arial" w:cs="Arial"/>
          <w:sz w:val="19"/>
          <w:szCs w:val="19"/>
        </w:rPr>
        <w:t xml:space="preserve"> </w:t>
      </w:r>
      <w:r>
        <w:rPr>
          <w:rFonts w:ascii="Arial" w:hAnsi="Arial" w:cs="Arial"/>
          <w:sz w:val="19"/>
          <w:szCs w:val="19"/>
        </w:rPr>
        <w:t>«</w:t>
      </w:r>
      <w:r w:rsidRPr="00D17351">
        <w:rPr>
          <w:rFonts w:ascii="Arial" w:hAnsi="Arial" w:cs="Arial"/>
          <w:sz w:val="19"/>
          <w:szCs w:val="19"/>
        </w:rPr>
        <w:t>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w:t>
      </w:r>
      <w:r>
        <w:rPr>
          <w:rFonts w:ascii="Arial" w:hAnsi="Arial" w:cs="Arial"/>
          <w:sz w:val="19"/>
          <w:szCs w:val="19"/>
        </w:rPr>
        <w:t xml:space="preserve"> […]».</w:t>
      </w:r>
    </w:p>
    <w:p w14:paraId="709E6C9B" w14:textId="77777777" w:rsidR="00322518" w:rsidRPr="00D17351" w:rsidRDefault="00322518" w:rsidP="00322518">
      <w:pPr>
        <w:pStyle w:val="Textonotapi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2A9E4" w14:textId="77777777" w:rsidR="00387886" w:rsidRDefault="007C2EF0">
    <w:pPr>
      <w:pStyle w:val="Encabezado"/>
    </w:pPr>
    <w:r>
      <w:rPr>
        <w:noProof/>
        <w:lang w:val="es-CO" w:eastAsia="es-CO"/>
      </w:rPr>
      <w:drawing>
        <wp:anchor distT="0" distB="0" distL="114300" distR="114300" simplePos="0" relativeHeight="251659264" behindDoc="1" locked="0" layoutInCell="1" allowOverlap="1" wp14:anchorId="57019949" wp14:editId="7362747C">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6136D2"/>
    <w:multiLevelType w:val="hybridMultilevel"/>
    <w:tmpl w:val="B6BA7184"/>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 w15:restartNumberingAfterBreak="0">
    <w:nsid w:val="377F3431"/>
    <w:multiLevelType w:val="hybridMultilevel"/>
    <w:tmpl w:val="346A0E58"/>
    <w:lvl w:ilvl="0" w:tplc="240A0001">
      <w:start w:val="1"/>
      <w:numFmt w:val="bullet"/>
      <w:lvlText w:val=""/>
      <w:lvlJc w:val="left"/>
      <w:pPr>
        <w:ind w:left="1490" w:hanging="360"/>
      </w:pPr>
      <w:rPr>
        <w:rFonts w:ascii="Symbol" w:hAnsi="Symbol" w:hint="default"/>
      </w:rPr>
    </w:lvl>
    <w:lvl w:ilvl="1" w:tplc="240A0003" w:tentative="1">
      <w:start w:val="1"/>
      <w:numFmt w:val="bullet"/>
      <w:lvlText w:val="o"/>
      <w:lvlJc w:val="left"/>
      <w:pPr>
        <w:ind w:left="2210" w:hanging="360"/>
      </w:pPr>
      <w:rPr>
        <w:rFonts w:ascii="Courier New" w:hAnsi="Courier New" w:cs="Courier New" w:hint="default"/>
      </w:rPr>
    </w:lvl>
    <w:lvl w:ilvl="2" w:tplc="240A0005" w:tentative="1">
      <w:start w:val="1"/>
      <w:numFmt w:val="bullet"/>
      <w:lvlText w:val=""/>
      <w:lvlJc w:val="left"/>
      <w:pPr>
        <w:ind w:left="2930" w:hanging="360"/>
      </w:pPr>
      <w:rPr>
        <w:rFonts w:ascii="Wingdings" w:hAnsi="Wingdings" w:hint="default"/>
      </w:rPr>
    </w:lvl>
    <w:lvl w:ilvl="3" w:tplc="240A0001" w:tentative="1">
      <w:start w:val="1"/>
      <w:numFmt w:val="bullet"/>
      <w:lvlText w:val=""/>
      <w:lvlJc w:val="left"/>
      <w:pPr>
        <w:ind w:left="3650" w:hanging="360"/>
      </w:pPr>
      <w:rPr>
        <w:rFonts w:ascii="Symbol" w:hAnsi="Symbol" w:hint="default"/>
      </w:rPr>
    </w:lvl>
    <w:lvl w:ilvl="4" w:tplc="240A0003" w:tentative="1">
      <w:start w:val="1"/>
      <w:numFmt w:val="bullet"/>
      <w:lvlText w:val="o"/>
      <w:lvlJc w:val="left"/>
      <w:pPr>
        <w:ind w:left="4370" w:hanging="360"/>
      </w:pPr>
      <w:rPr>
        <w:rFonts w:ascii="Courier New" w:hAnsi="Courier New" w:cs="Courier New" w:hint="default"/>
      </w:rPr>
    </w:lvl>
    <w:lvl w:ilvl="5" w:tplc="240A0005" w:tentative="1">
      <w:start w:val="1"/>
      <w:numFmt w:val="bullet"/>
      <w:lvlText w:val=""/>
      <w:lvlJc w:val="left"/>
      <w:pPr>
        <w:ind w:left="5090" w:hanging="360"/>
      </w:pPr>
      <w:rPr>
        <w:rFonts w:ascii="Wingdings" w:hAnsi="Wingdings" w:hint="default"/>
      </w:rPr>
    </w:lvl>
    <w:lvl w:ilvl="6" w:tplc="240A0001" w:tentative="1">
      <w:start w:val="1"/>
      <w:numFmt w:val="bullet"/>
      <w:lvlText w:val=""/>
      <w:lvlJc w:val="left"/>
      <w:pPr>
        <w:ind w:left="5810" w:hanging="360"/>
      </w:pPr>
      <w:rPr>
        <w:rFonts w:ascii="Symbol" w:hAnsi="Symbol" w:hint="default"/>
      </w:rPr>
    </w:lvl>
    <w:lvl w:ilvl="7" w:tplc="240A0003" w:tentative="1">
      <w:start w:val="1"/>
      <w:numFmt w:val="bullet"/>
      <w:lvlText w:val="o"/>
      <w:lvlJc w:val="left"/>
      <w:pPr>
        <w:ind w:left="6530" w:hanging="360"/>
      </w:pPr>
      <w:rPr>
        <w:rFonts w:ascii="Courier New" w:hAnsi="Courier New" w:cs="Courier New" w:hint="default"/>
      </w:rPr>
    </w:lvl>
    <w:lvl w:ilvl="8" w:tplc="240A0005" w:tentative="1">
      <w:start w:val="1"/>
      <w:numFmt w:val="bullet"/>
      <w:lvlText w:val=""/>
      <w:lvlJc w:val="left"/>
      <w:pPr>
        <w:ind w:left="7250" w:hanging="360"/>
      </w:pPr>
      <w:rPr>
        <w:rFonts w:ascii="Wingdings" w:hAnsi="Wingdings" w:hint="default"/>
      </w:rPr>
    </w:lvl>
  </w:abstractNum>
  <w:num w:numId="1" w16cid:durableId="1434856435">
    <w:abstractNumId w:val="1"/>
  </w:num>
  <w:num w:numId="2" w16cid:durableId="16171757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F93"/>
    <w:rsid w:val="0000748D"/>
    <w:rsid w:val="0003011E"/>
    <w:rsid w:val="00055E3F"/>
    <w:rsid w:val="00064409"/>
    <w:rsid w:val="000A12D9"/>
    <w:rsid w:val="000B011E"/>
    <w:rsid w:val="000B2F93"/>
    <w:rsid w:val="000D6091"/>
    <w:rsid w:val="00101939"/>
    <w:rsid w:val="0010780D"/>
    <w:rsid w:val="00150841"/>
    <w:rsid w:val="0015294A"/>
    <w:rsid w:val="001A1A0D"/>
    <w:rsid w:val="00201B06"/>
    <w:rsid w:val="00211F5E"/>
    <w:rsid w:val="002249BE"/>
    <w:rsid w:val="002275B6"/>
    <w:rsid w:val="00237A66"/>
    <w:rsid w:val="00240B73"/>
    <w:rsid w:val="00252BB8"/>
    <w:rsid w:val="00254949"/>
    <w:rsid w:val="00284A4E"/>
    <w:rsid w:val="00293834"/>
    <w:rsid w:val="00296FD4"/>
    <w:rsid w:val="002B3E9C"/>
    <w:rsid w:val="002B4CE5"/>
    <w:rsid w:val="002D3A36"/>
    <w:rsid w:val="002D5118"/>
    <w:rsid w:val="00322518"/>
    <w:rsid w:val="00364293"/>
    <w:rsid w:val="00390998"/>
    <w:rsid w:val="003C31E8"/>
    <w:rsid w:val="003C60BC"/>
    <w:rsid w:val="003C7DB7"/>
    <w:rsid w:val="003E35B1"/>
    <w:rsid w:val="00417118"/>
    <w:rsid w:val="00435999"/>
    <w:rsid w:val="00453A6E"/>
    <w:rsid w:val="004F4122"/>
    <w:rsid w:val="005072EF"/>
    <w:rsid w:val="005B37D5"/>
    <w:rsid w:val="005E2DF7"/>
    <w:rsid w:val="005F65BA"/>
    <w:rsid w:val="00611918"/>
    <w:rsid w:val="006172AF"/>
    <w:rsid w:val="00625A84"/>
    <w:rsid w:val="006372B8"/>
    <w:rsid w:val="006374F7"/>
    <w:rsid w:val="00685908"/>
    <w:rsid w:val="007001A5"/>
    <w:rsid w:val="00707F4C"/>
    <w:rsid w:val="00791A94"/>
    <w:rsid w:val="00794929"/>
    <w:rsid w:val="00794A8C"/>
    <w:rsid w:val="007C25D3"/>
    <w:rsid w:val="007C2EF0"/>
    <w:rsid w:val="007D01F8"/>
    <w:rsid w:val="007D2816"/>
    <w:rsid w:val="007F39CD"/>
    <w:rsid w:val="00801942"/>
    <w:rsid w:val="00822ECB"/>
    <w:rsid w:val="008563F2"/>
    <w:rsid w:val="008D5075"/>
    <w:rsid w:val="008F1F27"/>
    <w:rsid w:val="009165F4"/>
    <w:rsid w:val="009252DF"/>
    <w:rsid w:val="00944899"/>
    <w:rsid w:val="00953313"/>
    <w:rsid w:val="00990D67"/>
    <w:rsid w:val="00995C47"/>
    <w:rsid w:val="009C4252"/>
    <w:rsid w:val="009E688F"/>
    <w:rsid w:val="00A34FD7"/>
    <w:rsid w:val="00A4661E"/>
    <w:rsid w:val="00A47AA9"/>
    <w:rsid w:val="00A712A2"/>
    <w:rsid w:val="00AA2BDA"/>
    <w:rsid w:val="00AB6847"/>
    <w:rsid w:val="00B15023"/>
    <w:rsid w:val="00B50EF0"/>
    <w:rsid w:val="00B5202F"/>
    <w:rsid w:val="00B65034"/>
    <w:rsid w:val="00B76D93"/>
    <w:rsid w:val="00BF34F2"/>
    <w:rsid w:val="00C91611"/>
    <w:rsid w:val="00CA0752"/>
    <w:rsid w:val="00CA648B"/>
    <w:rsid w:val="00CC410C"/>
    <w:rsid w:val="00CC7CCF"/>
    <w:rsid w:val="00CD023B"/>
    <w:rsid w:val="00CD29A6"/>
    <w:rsid w:val="00CF0ADF"/>
    <w:rsid w:val="00CF318F"/>
    <w:rsid w:val="00D03416"/>
    <w:rsid w:val="00D724A9"/>
    <w:rsid w:val="00D81D35"/>
    <w:rsid w:val="00D83877"/>
    <w:rsid w:val="00D902B7"/>
    <w:rsid w:val="00DE3656"/>
    <w:rsid w:val="00DF178A"/>
    <w:rsid w:val="00E018E5"/>
    <w:rsid w:val="00E049E3"/>
    <w:rsid w:val="00E142F6"/>
    <w:rsid w:val="00E146F0"/>
    <w:rsid w:val="00E2049E"/>
    <w:rsid w:val="00E25DCE"/>
    <w:rsid w:val="00E668CC"/>
    <w:rsid w:val="00E87923"/>
    <w:rsid w:val="00EA2FEE"/>
    <w:rsid w:val="00EB6025"/>
    <w:rsid w:val="00EC1837"/>
    <w:rsid w:val="00EE151D"/>
    <w:rsid w:val="00F11750"/>
    <w:rsid w:val="00F25B2A"/>
    <w:rsid w:val="00F4421F"/>
    <w:rsid w:val="00F57173"/>
    <w:rsid w:val="00F734F2"/>
    <w:rsid w:val="00F92A79"/>
    <w:rsid w:val="00F93ACE"/>
    <w:rsid w:val="00FB7620"/>
    <w:rsid w:val="00FC03E1"/>
    <w:rsid w:val="00FD32BE"/>
    <w:rsid w:val="00FE487F"/>
    <w:rsid w:val="00FF392A"/>
    <w:rsid w:val="4C98CF6B"/>
    <w:rsid w:val="60CF875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6394C"/>
  <w15:chartTrackingRefBased/>
  <w15:docId w15:val="{847351DB-D241-9A45-8995-A577B5239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5034"/>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0B2F93"/>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0B2F93"/>
    <w:rPr>
      <w:szCs w:val="22"/>
      <w:lang w:val="es-MX"/>
    </w:rPr>
  </w:style>
  <w:style w:type="paragraph" w:styleId="Encabezado">
    <w:name w:val="header"/>
    <w:basedOn w:val="Normal"/>
    <w:link w:val="EncabezadoCar"/>
    <w:uiPriority w:val="99"/>
    <w:unhideWhenUsed/>
    <w:rsid w:val="000B2F93"/>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0B2F93"/>
    <w:rPr>
      <w:szCs w:val="22"/>
      <w:lang w:val="es-MX"/>
    </w:rPr>
  </w:style>
  <w:style w:type="table" w:styleId="Tablaconcuadrcula">
    <w:name w:val="Table Grid"/>
    <w:basedOn w:val="Tablanormal"/>
    <w:uiPriority w:val="39"/>
    <w:qFormat/>
    <w:rsid w:val="000B2F9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0B2F93"/>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1"/>
    <w:qFormat/>
    <w:rsid w:val="000B2F93"/>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B2F9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0B2F93"/>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0B2F93"/>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B2F93"/>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0B2F93"/>
    <w:rPr>
      <w:vertAlign w:val="superscript"/>
    </w:rPr>
  </w:style>
  <w:style w:type="paragraph" w:customStyle="1" w:styleId="Appelnotedebasde">
    <w:name w:val="Appel note de bas de..."/>
    <w:basedOn w:val="Normal"/>
    <w:link w:val="Refdenotaalpie"/>
    <w:uiPriority w:val="99"/>
    <w:rsid w:val="000B2F93"/>
    <w:pPr>
      <w:spacing w:after="160" w:line="240" w:lineRule="exact"/>
    </w:pPr>
    <w:rPr>
      <w:rFonts w:asciiTheme="minorHAnsi" w:eastAsiaTheme="minorHAnsi" w:hAnsiTheme="minorHAnsi" w:cstheme="minorBidi"/>
      <w:vertAlign w:val="superscript"/>
      <w:lang w:eastAsia="en-US"/>
    </w:rPr>
  </w:style>
  <w:style w:type="paragraph" w:styleId="NormalWeb">
    <w:name w:val="Normal (Web)"/>
    <w:basedOn w:val="Normal"/>
    <w:link w:val="NormalWebCar"/>
    <w:uiPriority w:val="99"/>
    <w:unhideWhenUsed/>
    <w:rsid w:val="000B2F93"/>
    <w:pPr>
      <w:spacing w:before="100" w:beforeAutospacing="1" w:after="100" w:afterAutospacing="1"/>
    </w:pPr>
  </w:style>
  <w:style w:type="character" w:customStyle="1" w:styleId="NormalWebCar">
    <w:name w:val="Normal (Web) Car"/>
    <w:link w:val="NormalWeb"/>
    <w:uiPriority w:val="99"/>
    <w:rsid w:val="000B2F93"/>
    <w:rPr>
      <w:rFonts w:ascii="Times New Roman" w:eastAsia="Times New Roman" w:hAnsi="Times New Roman" w:cs="Times New Roman"/>
      <w:lang w:eastAsia="es-MX"/>
    </w:rPr>
  </w:style>
  <w:style w:type="paragraph" w:styleId="Textoindependiente">
    <w:name w:val="Body Text"/>
    <w:basedOn w:val="Normal"/>
    <w:link w:val="TextoindependienteCar"/>
    <w:uiPriority w:val="1"/>
    <w:qFormat/>
    <w:rsid w:val="008F1F2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8F1F27"/>
    <w:rPr>
      <w:rFonts w:ascii="Arial" w:eastAsia="Arial" w:hAnsi="Arial" w:cs="Arial"/>
      <w:sz w:val="20"/>
      <w:szCs w:val="20"/>
      <w:lang w:val="es-ES"/>
    </w:rPr>
  </w:style>
  <w:style w:type="character" w:customStyle="1" w:styleId="baj">
    <w:name w:val="b_aj"/>
    <w:basedOn w:val="Fuentedeprrafopredeter"/>
    <w:rsid w:val="008F1F27"/>
  </w:style>
  <w:style w:type="character" w:styleId="Textoennegrita">
    <w:name w:val="Strong"/>
    <w:basedOn w:val="Fuentedeprrafopredeter"/>
    <w:uiPriority w:val="22"/>
    <w:qFormat/>
    <w:rsid w:val="00E25DCE"/>
    <w:rPr>
      <w:b/>
      <w:bCs/>
    </w:rPr>
  </w:style>
  <w:style w:type="paragraph" w:styleId="Revisin">
    <w:name w:val="Revision"/>
    <w:hidden/>
    <w:uiPriority w:val="99"/>
    <w:semiHidden/>
    <w:rsid w:val="00E146F0"/>
    <w:rPr>
      <w:rFonts w:ascii="Times New Roman" w:eastAsia="Times New Roman" w:hAnsi="Times New Roman" w:cs="Times New Roman"/>
      <w:lang w:eastAsia="es-MX"/>
    </w:rPr>
  </w:style>
  <w:style w:type="character" w:styleId="Refdecomentario">
    <w:name w:val="annotation reference"/>
    <w:basedOn w:val="Fuentedeprrafopredeter"/>
    <w:uiPriority w:val="99"/>
    <w:semiHidden/>
    <w:unhideWhenUsed/>
    <w:rsid w:val="00CC410C"/>
    <w:rPr>
      <w:sz w:val="16"/>
      <w:szCs w:val="16"/>
    </w:rPr>
  </w:style>
  <w:style w:type="paragraph" w:styleId="Textocomentario">
    <w:name w:val="annotation text"/>
    <w:basedOn w:val="Normal"/>
    <w:link w:val="TextocomentarioCar"/>
    <w:uiPriority w:val="99"/>
    <w:semiHidden/>
    <w:unhideWhenUsed/>
    <w:rsid w:val="00CC410C"/>
    <w:rPr>
      <w:sz w:val="20"/>
      <w:szCs w:val="20"/>
    </w:rPr>
  </w:style>
  <w:style w:type="character" w:customStyle="1" w:styleId="TextocomentarioCar">
    <w:name w:val="Texto comentario Car"/>
    <w:basedOn w:val="Fuentedeprrafopredeter"/>
    <w:link w:val="Textocomentario"/>
    <w:uiPriority w:val="99"/>
    <w:semiHidden/>
    <w:rsid w:val="00CC410C"/>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CC410C"/>
    <w:rPr>
      <w:b/>
      <w:bCs/>
    </w:rPr>
  </w:style>
  <w:style w:type="character" w:customStyle="1" w:styleId="AsuntodelcomentarioCar">
    <w:name w:val="Asunto del comentario Car"/>
    <w:basedOn w:val="TextocomentarioCar"/>
    <w:link w:val="Asuntodelcomentario"/>
    <w:uiPriority w:val="99"/>
    <w:semiHidden/>
    <w:rsid w:val="00CC410C"/>
    <w:rPr>
      <w:rFonts w:ascii="Times New Roman" w:eastAsia="Times New Roman" w:hAnsi="Times New Roman" w:cs="Times New Roman"/>
      <w:b/>
      <w:bCs/>
      <w:sz w:val="20"/>
      <w:szCs w:val="20"/>
      <w:lang w:eastAsia="es-MX"/>
    </w:rPr>
  </w:style>
  <w:style w:type="character" w:customStyle="1" w:styleId="normaltextrun">
    <w:name w:val="normaltextrun"/>
    <w:basedOn w:val="Fuentedeprrafopredeter"/>
    <w:rsid w:val="00435999"/>
  </w:style>
  <w:style w:type="character" w:customStyle="1" w:styleId="eop">
    <w:name w:val="eop"/>
    <w:basedOn w:val="Fuentedeprrafopredeter"/>
    <w:rsid w:val="00435999"/>
  </w:style>
  <w:style w:type="character" w:styleId="Hipervnculo">
    <w:name w:val="Hyperlink"/>
    <w:basedOn w:val="Fuentedeprrafopredeter"/>
    <w:uiPriority w:val="99"/>
    <w:unhideWhenUsed/>
    <w:rsid w:val="005F65BA"/>
    <w:rPr>
      <w:color w:val="0563C1" w:themeColor="hyperlink"/>
      <w:u w:val="single"/>
    </w:rPr>
  </w:style>
  <w:style w:type="character" w:customStyle="1" w:styleId="Hipervnculo1">
    <w:name w:val="Hipervínculo1"/>
    <w:basedOn w:val="Fuentedeprrafopredeter"/>
    <w:uiPriority w:val="99"/>
    <w:unhideWhenUsed/>
    <w:rsid w:val="005F65BA"/>
    <w:rPr>
      <w:color w:val="F2F2F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521641">
      <w:bodyDiv w:val="1"/>
      <w:marLeft w:val="0"/>
      <w:marRight w:val="0"/>
      <w:marTop w:val="0"/>
      <w:marBottom w:val="0"/>
      <w:divBdr>
        <w:top w:val="none" w:sz="0" w:space="0" w:color="auto"/>
        <w:left w:val="none" w:sz="0" w:space="0" w:color="auto"/>
        <w:bottom w:val="none" w:sz="0" w:space="0" w:color="auto"/>
        <w:right w:val="none" w:sz="0" w:space="0" w:color="auto"/>
      </w:divBdr>
      <w:divsChild>
        <w:div w:id="1752896554">
          <w:marLeft w:val="0"/>
          <w:marRight w:val="0"/>
          <w:marTop w:val="0"/>
          <w:marBottom w:val="0"/>
          <w:divBdr>
            <w:top w:val="none" w:sz="0" w:space="0" w:color="auto"/>
            <w:left w:val="none" w:sz="0" w:space="0" w:color="auto"/>
            <w:bottom w:val="none" w:sz="0" w:space="0" w:color="auto"/>
            <w:right w:val="none" w:sz="0" w:space="0" w:color="auto"/>
          </w:divBdr>
        </w:div>
      </w:divsChild>
    </w:div>
    <w:div w:id="682053784">
      <w:bodyDiv w:val="1"/>
      <w:marLeft w:val="0"/>
      <w:marRight w:val="0"/>
      <w:marTop w:val="0"/>
      <w:marBottom w:val="0"/>
      <w:divBdr>
        <w:top w:val="none" w:sz="0" w:space="0" w:color="auto"/>
        <w:left w:val="none" w:sz="0" w:space="0" w:color="auto"/>
        <w:bottom w:val="none" w:sz="0" w:space="0" w:color="auto"/>
        <w:right w:val="none" w:sz="0" w:space="0" w:color="auto"/>
      </w:divBdr>
      <w:divsChild>
        <w:div w:id="9539046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2" Type="http://schemas.openxmlformats.org/officeDocument/2006/relationships/hyperlink" Target="https://www.funcionpublica.gov.co/eva/gestornormativo/norma.php?i=77653" TargetMode="External"/><Relationship Id="rId1" Type="http://schemas.openxmlformats.org/officeDocument/2006/relationships/hyperlink" Target="http://leyes.senado.gov.co/proyectos/index.php/textos-radicados-senado/p-ley-2020-2021/1957-proyecto-de-ley-161-de-2020"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EE0E2F89-250A-4FB2-A96C-B022B93DE6D1}">
  <ds:schemaRefs>
    <ds:schemaRef ds:uri="http://schemas.openxmlformats.org/officeDocument/2006/bibliography"/>
  </ds:schemaRefs>
</ds:datastoreItem>
</file>

<file path=customXml/itemProps2.xml><?xml version="1.0" encoding="utf-8"?>
<ds:datastoreItem xmlns:ds="http://schemas.openxmlformats.org/officeDocument/2006/customXml" ds:itemID="{B568A56B-054D-42EF-B248-D32F64F3011F}">
  <ds:schemaRefs>
    <ds:schemaRef ds:uri="http://schemas.microsoft.com/sharepoint/v3/contenttype/forms"/>
  </ds:schemaRefs>
</ds:datastoreItem>
</file>

<file path=customXml/itemProps3.xml><?xml version="1.0" encoding="utf-8"?>
<ds:datastoreItem xmlns:ds="http://schemas.openxmlformats.org/officeDocument/2006/customXml" ds:itemID="{2F28D318-1281-4242-A245-EA2311C252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CE5291-3377-4389-B4F9-28302479F313}">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20</Pages>
  <Words>7865</Words>
  <Characters>43261</Characters>
  <Application>Microsoft Office Word</Application>
  <DocSecurity>0</DocSecurity>
  <Lines>360</Lines>
  <Paragraphs>102</Paragraphs>
  <ScaleCrop>false</ScaleCrop>
  <Company/>
  <LinksUpToDate>false</LinksUpToDate>
  <CharactersWithSpaces>51024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nicolle saenz camargo</cp:lastModifiedBy>
  <cp:revision>9</cp:revision>
  <dcterms:created xsi:type="dcterms:W3CDTF">2022-03-28T18:54:00Z</dcterms:created>
  <dcterms:modified xsi:type="dcterms:W3CDTF">2022-03-31T21:59:00Z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