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53BBA" w14:textId="77777777" w:rsidR="00DE379A" w:rsidRPr="00140062" w:rsidRDefault="00DE379A" w:rsidP="00DE379A">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FC03ED">
        <w:rPr>
          <w:rFonts w:ascii="Arial" w:hAnsi="Arial" w:cs="Arial"/>
          <w:b/>
          <w:color w:val="000000" w:themeColor="text1"/>
          <w:sz w:val="20"/>
          <w:szCs w:val="20"/>
          <w:lang w:val="es-ES_tradnl" w:eastAsia="es-ES"/>
        </w:rPr>
        <w:tab/>
      </w:r>
      <w:r w:rsidRPr="00140062">
        <w:rPr>
          <w:rFonts w:ascii="Arial" w:hAnsi="Arial" w:cs="Arial"/>
          <w:b/>
          <w:color w:val="000000" w:themeColor="text1"/>
          <w:sz w:val="16"/>
          <w:szCs w:val="16"/>
          <w:lang w:val="es-ES_tradnl" w:eastAsia="es-ES"/>
        </w:rPr>
        <w:t>CCE-DES-FM-17</w:t>
      </w:r>
    </w:p>
    <w:p w14:paraId="198121BE" w14:textId="77777777" w:rsidR="00DE379A" w:rsidRPr="00827C28" w:rsidRDefault="00DE379A" w:rsidP="00DE379A">
      <w:pPr>
        <w:jc w:val="both"/>
        <w:rPr>
          <w:rFonts w:ascii="Arial" w:eastAsia="Calibri" w:hAnsi="Arial" w:cs="Arial"/>
          <w:b/>
          <w:color w:val="000000" w:themeColor="text1"/>
          <w:sz w:val="16"/>
          <w:szCs w:val="16"/>
          <w:lang w:val="es-ES_tradnl"/>
        </w:rPr>
      </w:pPr>
    </w:p>
    <w:p w14:paraId="09F84154" w14:textId="6140F5BB" w:rsidR="00DE379A" w:rsidRPr="00FC03ED" w:rsidRDefault="00140062" w:rsidP="00DE379A">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DOCUMENTOS TIPO – Pliego de condiciones – Concepto –</w:t>
      </w:r>
      <w:r w:rsidR="00DE379A" w:rsidRPr="00FC03ED">
        <w:rPr>
          <w:rFonts w:ascii="Arial" w:eastAsia="Calibri" w:hAnsi="Arial" w:cs="Arial"/>
          <w:b/>
          <w:bCs/>
          <w:color w:val="000000" w:themeColor="text1"/>
          <w:sz w:val="22"/>
          <w:lang w:val="es-ES_tradnl"/>
        </w:rPr>
        <w:t xml:space="preserve"> Fundamento normativo</w:t>
      </w:r>
    </w:p>
    <w:p w14:paraId="13EEFC0D" w14:textId="77777777" w:rsidR="00DE379A" w:rsidRPr="00FC03ED" w:rsidRDefault="00DE379A" w:rsidP="00DE379A">
      <w:pPr>
        <w:jc w:val="both"/>
        <w:rPr>
          <w:rFonts w:ascii="Arial" w:eastAsia="Calibri" w:hAnsi="Arial" w:cs="Arial"/>
          <w:b/>
          <w:bCs/>
          <w:color w:val="000000" w:themeColor="text1"/>
          <w:sz w:val="20"/>
          <w:szCs w:val="20"/>
          <w:lang w:val="es-ES_tradnl"/>
        </w:rPr>
      </w:pPr>
    </w:p>
    <w:p w14:paraId="52482B9B" w14:textId="77777777" w:rsidR="00DE379A" w:rsidRPr="00FC03ED" w:rsidRDefault="00DE379A" w:rsidP="00DE379A">
      <w:pPr>
        <w:jc w:val="both"/>
        <w:rPr>
          <w:rFonts w:ascii="Arial" w:eastAsia="Calibri" w:hAnsi="Arial" w:cs="Arial"/>
          <w:color w:val="000000" w:themeColor="text1"/>
          <w:sz w:val="20"/>
          <w:szCs w:val="20"/>
          <w:lang w:val="es-ES_tradnl"/>
        </w:rPr>
      </w:pPr>
      <w:r w:rsidRPr="00FC03ED">
        <w:rPr>
          <w:rFonts w:ascii="Arial" w:eastAsia="Calibri" w:hAnsi="Arial" w:cs="Arial"/>
          <w:color w:val="000000" w:themeColor="text1"/>
          <w:sz w:val="20"/>
          <w:szCs w:val="20"/>
          <w:lang w:val="es-ES_tradnl"/>
        </w:rPr>
        <w:t>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 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Recientemente, la Agencia expidió la Resolución No. 0045 del 14 de febrero de 2020, mediante la cual adoptó la versión 2 de los documentos tipo en dichos procesos de selección.</w:t>
      </w:r>
    </w:p>
    <w:p w14:paraId="35BDAB95" w14:textId="77777777" w:rsidR="00DE379A" w:rsidRPr="00FC03ED" w:rsidRDefault="00DE379A" w:rsidP="00DE379A">
      <w:pPr>
        <w:jc w:val="both"/>
        <w:rPr>
          <w:rFonts w:ascii="Arial" w:eastAsia="Calibri" w:hAnsi="Arial" w:cs="Arial"/>
          <w:color w:val="000000" w:themeColor="text1"/>
          <w:sz w:val="20"/>
          <w:szCs w:val="20"/>
          <w:lang w:val="es-ES_tradnl"/>
        </w:rPr>
      </w:pPr>
    </w:p>
    <w:p w14:paraId="486C378A" w14:textId="52BEA3D9" w:rsidR="00DE379A" w:rsidRPr="00FC03ED" w:rsidRDefault="00DE379A" w:rsidP="00DE379A">
      <w:pPr>
        <w:jc w:val="both"/>
        <w:rPr>
          <w:rFonts w:ascii="Arial" w:eastAsia="Calibri" w:hAnsi="Arial" w:cs="Arial"/>
          <w:b/>
          <w:bCs/>
          <w:color w:val="000000" w:themeColor="text1"/>
          <w:sz w:val="22"/>
          <w:lang w:val="es-ES_tradnl"/>
        </w:rPr>
      </w:pPr>
      <w:r w:rsidRPr="00FC03ED">
        <w:rPr>
          <w:rFonts w:ascii="Arial" w:eastAsia="Calibri" w:hAnsi="Arial" w:cs="Arial"/>
          <w:b/>
          <w:bCs/>
          <w:color w:val="000000" w:themeColor="text1"/>
          <w:sz w:val="22"/>
          <w:lang w:val="es-ES_tradnl"/>
        </w:rPr>
        <w:t xml:space="preserve">DOCUMENTOS TIPO </w:t>
      </w:r>
      <w:r w:rsidR="00140062">
        <w:rPr>
          <w:rFonts w:ascii="Arial" w:eastAsia="Calibri" w:hAnsi="Arial" w:cs="Arial"/>
          <w:b/>
          <w:bCs/>
          <w:color w:val="000000" w:themeColor="text1"/>
          <w:sz w:val="22"/>
          <w:lang w:val="es-ES_tradnl"/>
        </w:rPr>
        <w:t>– Inalterabilidad –</w:t>
      </w:r>
      <w:r w:rsidRPr="00FC03ED">
        <w:rPr>
          <w:rFonts w:ascii="Arial" w:eastAsia="Calibri" w:hAnsi="Arial" w:cs="Arial"/>
          <w:b/>
          <w:bCs/>
          <w:color w:val="000000" w:themeColor="text1"/>
          <w:sz w:val="22"/>
          <w:lang w:val="es-ES_tradnl"/>
        </w:rPr>
        <w:t xml:space="preserve"> Configura</w:t>
      </w:r>
      <w:r w:rsidR="00140062">
        <w:rPr>
          <w:rFonts w:ascii="Arial" w:eastAsia="Calibri" w:hAnsi="Arial" w:cs="Arial"/>
          <w:b/>
          <w:bCs/>
          <w:color w:val="000000" w:themeColor="text1"/>
          <w:sz w:val="22"/>
          <w:lang w:val="es-ES_tradnl"/>
        </w:rPr>
        <w:t xml:space="preserve">ción </w:t>
      </w:r>
      <w:r w:rsidR="000C4E76">
        <w:rPr>
          <w:rFonts w:ascii="Arial" w:eastAsia="Calibri" w:hAnsi="Arial" w:cs="Arial"/>
          <w:b/>
          <w:color w:val="000000" w:themeColor="text1"/>
          <w:sz w:val="22"/>
        </w:rPr>
        <w:t>–</w:t>
      </w:r>
      <w:r w:rsidR="000C4E76">
        <w:rPr>
          <w:rFonts w:ascii="Arial" w:eastAsia="Calibri" w:hAnsi="Arial" w:cs="Arial"/>
          <w:b/>
          <w:bCs/>
          <w:color w:val="000000" w:themeColor="text1"/>
          <w:sz w:val="22"/>
        </w:rPr>
        <w:t xml:space="preserve"> P</w:t>
      </w:r>
      <w:bookmarkStart w:id="3" w:name="_GoBack"/>
      <w:bookmarkEnd w:id="3"/>
      <w:r w:rsidR="00140062">
        <w:rPr>
          <w:rFonts w:ascii="Arial" w:eastAsia="Calibri" w:hAnsi="Arial" w:cs="Arial"/>
          <w:b/>
          <w:bCs/>
          <w:color w:val="000000" w:themeColor="text1"/>
          <w:sz w:val="22"/>
          <w:lang w:val="es-ES_tradnl"/>
        </w:rPr>
        <w:t>liego de condiciones –</w:t>
      </w:r>
      <w:r w:rsidRPr="00FC03ED">
        <w:rPr>
          <w:rFonts w:ascii="Arial" w:eastAsia="Calibri" w:hAnsi="Arial" w:cs="Arial"/>
          <w:b/>
          <w:bCs/>
          <w:color w:val="000000" w:themeColor="text1"/>
          <w:sz w:val="22"/>
          <w:lang w:val="es-ES_tradnl"/>
        </w:rPr>
        <w:t xml:space="preserve"> Alcance</w:t>
      </w:r>
    </w:p>
    <w:p w14:paraId="7A9B7CC0" w14:textId="77777777" w:rsidR="00DE379A" w:rsidRPr="00FC03ED" w:rsidRDefault="00DE379A" w:rsidP="00DE379A">
      <w:pPr>
        <w:jc w:val="both"/>
        <w:rPr>
          <w:rFonts w:ascii="Arial" w:eastAsia="Calibri" w:hAnsi="Arial" w:cs="Arial"/>
          <w:b/>
          <w:bCs/>
          <w:color w:val="000000" w:themeColor="text1"/>
          <w:sz w:val="20"/>
          <w:szCs w:val="20"/>
          <w:lang w:val="es-ES_tradnl"/>
        </w:rPr>
      </w:pPr>
    </w:p>
    <w:p w14:paraId="3A0DC6DD" w14:textId="77777777" w:rsidR="00DE379A" w:rsidRPr="00FC03ED" w:rsidRDefault="00DE379A" w:rsidP="00DE379A">
      <w:pPr>
        <w:jc w:val="both"/>
        <w:rPr>
          <w:rFonts w:ascii="Arial" w:eastAsia="Calibri" w:hAnsi="Arial" w:cs="Arial"/>
          <w:color w:val="000000" w:themeColor="text1"/>
          <w:sz w:val="20"/>
          <w:szCs w:val="20"/>
          <w:lang w:val="es-ES"/>
        </w:rPr>
      </w:pPr>
      <w:r w:rsidRPr="00FC03ED">
        <w:rPr>
          <w:rFonts w:ascii="Arial" w:eastAsia="Calibri" w:hAnsi="Arial" w:cs="Arial"/>
          <w:color w:val="000000" w:themeColor="text1"/>
          <w:sz w:val="20"/>
          <w:szCs w:val="20"/>
          <w:lang w:val="es-ES_tradnl"/>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3D92E287" w14:textId="77777777" w:rsidR="00DE379A" w:rsidRPr="00FC03ED" w:rsidRDefault="00DE379A" w:rsidP="00DE379A">
      <w:pPr>
        <w:rPr>
          <w:rFonts w:ascii="Arial" w:eastAsia="Calibri" w:hAnsi="Arial" w:cs="Arial"/>
          <w:b/>
          <w:bCs/>
          <w:color w:val="000000" w:themeColor="text1"/>
          <w:sz w:val="20"/>
          <w:szCs w:val="20"/>
          <w:lang w:val="es-ES"/>
        </w:rPr>
      </w:pPr>
    </w:p>
    <w:p w14:paraId="47093181" w14:textId="2F7523D9" w:rsidR="00DE379A" w:rsidRPr="00FC03ED" w:rsidRDefault="00DE379A" w:rsidP="00DE379A">
      <w:pPr>
        <w:rPr>
          <w:rFonts w:ascii="Arial" w:eastAsia="Calibri" w:hAnsi="Arial" w:cs="Arial"/>
          <w:b/>
          <w:bCs/>
          <w:color w:val="000000" w:themeColor="text1"/>
          <w:sz w:val="22"/>
          <w:lang w:val="es-ES_tradnl"/>
        </w:rPr>
      </w:pPr>
      <w:r w:rsidRPr="00FC03ED">
        <w:rPr>
          <w:rFonts w:ascii="Arial" w:eastAsia="Calibri" w:hAnsi="Arial" w:cs="Arial"/>
          <w:b/>
          <w:bCs/>
          <w:color w:val="000000" w:themeColor="text1"/>
          <w:sz w:val="22"/>
          <w:lang w:val="es-ES_tradnl"/>
        </w:rPr>
        <w:t xml:space="preserve">SEGURIDAD SOCIAL </w:t>
      </w:r>
      <w:r w:rsidR="00140062">
        <w:rPr>
          <w:rFonts w:ascii="Arial" w:eastAsia="Calibri" w:hAnsi="Arial" w:cs="Arial"/>
          <w:b/>
          <w:bCs/>
          <w:color w:val="000000" w:themeColor="text1"/>
          <w:sz w:val="22"/>
          <w:lang w:val="es-ES_tradnl"/>
        </w:rPr>
        <w:t>–</w:t>
      </w:r>
      <w:r w:rsidRPr="00FC03ED">
        <w:rPr>
          <w:rFonts w:ascii="Arial" w:eastAsia="Calibri" w:hAnsi="Arial" w:cs="Arial"/>
          <w:b/>
          <w:bCs/>
          <w:color w:val="000000" w:themeColor="text1"/>
          <w:sz w:val="22"/>
          <w:lang w:val="es-ES_tradnl"/>
        </w:rPr>
        <w:t xml:space="preserve"> Verificación </w:t>
      </w:r>
      <w:r w:rsidR="00140062">
        <w:rPr>
          <w:rFonts w:ascii="Arial" w:eastAsia="Calibri" w:hAnsi="Arial" w:cs="Arial"/>
          <w:b/>
          <w:bCs/>
          <w:color w:val="000000" w:themeColor="text1"/>
          <w:sz w:val="22"/>
          <w:lang w:val="es-ES_tradnl"/>
        </w:rPr>
        <w:t>– Pago –</w:t>
      </w:r>
      <w:r w:rsidRPr="00FC03ED">
        <w:rPr>
          <w:rFonts w:ascii="Arial" w:eastAsia="Calibri" w:hAnsi="Arial" w:cs="Arial"/>
          <w:b/>
          <w:bCs/>
          <w:color w:val="000000" w:themeColor="text1"/>
          <w:sz w:val="22"/>
          <w:lang w:val="es-ES_tradnl"/>
        </w:rPr>
        <w:t xml:space="preserve"> Persona natural </w:t>
      </w:r>
      <w:r w:rsidR="00140062">
        <w:rPr>
          <w:rFonts w:ascii="Arial" w:eastAsia="Calibri" w:hAnsi="Arial" w:cs="Arial"/>
          <w:b/>
          <w:bCs/>
          <w:color w:val="000000" w:themeColor="text1"/>
          <w:sz w:val="22"/>
          <w:lang w:val="es-ES_tradnl"/>
        </w:rPr>
        <w:t>–</w:t>
      </w:r>
      <w:r w:rsidRPr="00FC03ED">
        <w:rPr>
          <w:rFonts w:ascii="Arial" w:eastAsia="Calibri" w:hAnsi="Arial" w:cs="Arial"/>
          <w:b/>
          <w:bCs/>
          <w:color w:val="000000" w:themeColor="text1"/>
          <w:sz w:val="22"/>
          <w:lang w:val="es-ES_tradnl"/>
        </w:rPr>
        <w:t xml:space="preserve"> Persona jurídica</w:t>
      </w:r>
    </w:p>
    <w:p w14:paraId="46BD013F" w14:textId="77777777" w:rsidR="00DE379A" w:rsidRPr="00FC03ED" w:rsidRDefault="00DE379A" w:rsidP="00DE379A">
      <w:pPr>
        <w:rPr>
          <w:rFonts w:ascii="Arial" w:eastAsia="Calibri" w:hAnsi="Arial" w:cs="Arial"/>
          <w:b/>
          <w:bCs/>
          <w:color w:val="000000" w:themeColor="text1"/>
          <w:sz w:val="20"/>
          <w:szCs w:val="20"/>
          <w:lang w:val="es-ES_tradnl"/>
        </w:rPr>
      </w:pPr>
    </w:p>
    <w:p w14:paraId="5BE5B07E" w14:textId="77777777" w:rsidR="00DE379A" w:rsidRPr="00FC03ED" w:rsidRDefault="00DE379A" w:rsidP="00DE379A">
      <w:pPr>
        <w:jc w:val="both"/>
        <w:rPr>
          <w:rFonts w:ascii="Arial" w:hAnsi="Arial" w:cs="Arial"/>
          <w:color w:val="000000" w:themeColor="text1"/>
          <w:sz w:val="20"/>
          <w:szCs w:val="20"/>
          <w:lang w:val="es-ES_tradnl"/>
        </w:rPr>
      </w:pPr>
      <w:r w:rsidRPr="00FC03ED">
        <w:rPr>
          <w:rFonts w:ascii="Arial" w:hAnsi="Arial" w:cs="Arial"/>
          <w:color w:val="000000" w:themeColor="text1"/>
          <w:sz w:val="20"/>
          <w:szCs w:val="20"/>
          <w:lang w:val="es-ES_tradnl"/>
        </w:rPr>
        <w:t>La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p>
    <w:p w14:paraId="15B0AD1D" w14:textId="77777777" w:rsidR="00DE379A" w:rsidRPr="00FC03ED" w:rsidRDefault="00DE379A" w:rsidP="00DE379A">
      <w:pPr>
        <w:jc w:val="both"/>
        <w:rPr>
          <w:rFonts w:ascii="Arial" w:hAnsi="Arial" w:cs="Arial"/>
          <w:color w:val="000000" w:themeColor="text1"/>
          <w:sz w:val="20"/>
          <w:szCs w:val="20"/>
          <w:lang w:val="es-ES_tradnl"/>
        </w:rPr>
      </w:pPr>
    </w:p>
    <w:p w14:paraId="35EDF51F" w14:textId="0C732F0B" w:rsidR="00DE379A" w:rsidRPr="00FC03ED" w:rsidRDefault="00140062" w:rsidP="00DE379A">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PRINCIPIO DE ECONOMÍA – Concepto – </w:t>
      </w:r>
      <w:r w:rsidR="00DE379A" w:rsidRPr="00FC03ED">
        <w:rPr>
          <w:rFonts w:ascii="Arial" w:eastAsia="Calibri" w:hAnsi="Arial" w:cs="Arial"/>
          <w:b/>
          <w:bCs/>
          <w:color w:val="000000" w:themeColor="text1"/>
          <w:sz w:val="22"/>
          <w:lang w:val="es-ES_tradnl"/>
        </w:rPr>
        <w:t xml:space="preserve">Manifestación </w:t>
      </w:r>
      <w:r>
        <w:rPr>
          <w:rFonts w:ascii="Arial" w:eastAsia="Calibri" w:hAnsi="Arial" w:cs="Arial"/>
          <w:b/>
          <w:bCs/>
          <w:color w:val="000000" w:themeColor="text1"/>
          <w:sz w:val="22"/>
          <w:lang w:val="es-ES_tradnl"/>
        </w:rPr>
        <w:t>–</w:t>
      </w:r>
      <w:r w:rsidR="00DE379A" w:rsidRPr="00FC03ED">
        <w:rPr>
          <w:rFonts w:ascii="Arial" w:eastAsia="Calibri" w:hAnsi="Arial" w:cs="Arial"/>
          <w:b/>
          <w:bCs/>
          <w:color w:val="000000" w:themeColor="text1"/>
          <w:sz w:val="22"/>
          <w:lang w:val="es-ES_tradnl"/>
        </w:rPr>
        <w:t xml:space="preserve"> Requisitos estrictamente necesarios </w:t>
      </w:r>
      <w:r>
        <w:rPr>
          <w:rFonts w:ascii="Arial" w:eastAsia="Calibri" w:hAnsi="Arial" w:cs="Arial"/>
          <w:b/>
          <w:bCs/>
          <w:color w:val="000000" w:themeColor="text1"/>
          <w:sz w:val="22"/>
          <w:lang w:val="es-ES_tradnl"/>
        </w:rPr>
        <w:t>–</w:t>
      </w:r>
      <w:r w:rsidR="00DE379A" w:rsidRPr="00FC03ED">
        <w:rPr>
          <w:rFonts w:ascii="Arial" w:eastAsia="Calibri" w:hAnsi="Arial" w:cs="Arial"/>
          <w:b/>
          <w:bCs/>
          <w:color w:val="000000" w:themeColor="text1"/>
          <w:sz w:val="22"/>
          <w:lang w:val="es-ES_tradnl"/>
        </w:rPr>
        <w:t xml:space="preserve"> Afectación</w:t>
      </w:r>
    </w:p>
    <w:p w14:paraId="04E179F6" w14:textId="77777777" w:rsidR="00DE379A" w:rsidRPr="00FC03ED" w:rsidRDefault="00DE379A" w:rsidP="00DE379A">
      <w:pPr>
        <w:rPr>
          <w:rFonts w:ascii="Arial" w:eastAsia="Calibri" w:hAnsi="Arial" w:cs="Arial"/>
          <w:b/>
          <w:bCs/>
          <w:color w:val="000000" w:themeColor="text1"/>
          <w:sz w:val="20"/>
          <w:szCs w:val="20"/>
          <w:lang w:val="es-ES_tradnl"/>
        </w:rPr>
      </w:pPr>
    </w:p>
    <w:p w14:paraId="591081B8" w14:textId="77777777" w:rsidR="00DE379A" w:rsidRPr="00FC03ED" w:rsidRDefault="00DE379A" w:rsidP="00DE379A">
      <w:pPr>
        <w:jc w:val="both"/>
        <w:rPr>
          <w:rFonts w:ascii="Arial" w:hAnsi="Arial" w:cs="Arial"/>
          <w:color w:val="000000" w:themeColor="text1"/>
          <w:sz w:val="20"/>
          <w:szCs w:val="20"/>
          <w:lang w:val="es-ES_tradnl"/>
        </w:rPr>
      </w:pPr>
      <w:r w:rsidRPr="00FC03ED">
        <w:rPr>
          <w:rFonts w:ascii="Arial" w:hAnsi="Arial" w:cs="Arial"/>
          <w:color w:val="000000" w:themeColor="text1"/>
          <w:sz w:val="20"/>
          <w:szCs w:val="20"/>
          <w:lang w:val="es-ES_tradnl"/>
        </w:rPr>
        <w:t>[…], las entidades estatales deben garantizar el principio de economía, del cual se desprende que no pueden exigir documentos o requisitos más allá de los que permitan la Constitución, la ley y los reglamentos. Este postulado ha encontrado eco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menoscaban el principio de economía.</w:t>
      </w:r>
    </w:p>
    <w:p w14:paraId="694D6840" w14:textId="77777777" w:rsidR="00DE379A" w:rsidRPr="00FC03ED" w:rsidRDefault="00DE379A" w:rsidP="00DE379A">
      <w:pPr>
        <w:rPr>
          <w:rFonts w:ascii="Arial" w:eastAsia="Calibri" w:hAnsi="Arial" w:cs="Arial"/>
          <w:b/>
          <w:bCs/>
          <w:color w:val="000000" w:themeColor="text1"/>
          <w:sz w:val="20"/>
          <w:szCs w:val="20"/>
          <w:lang w:val="es-ES_tradnl"/>
        </w:rPr>
      </w:pPr>
    </w:p>
    <w:p w14:paraId="59A55B7B" w14:textId="77777777" w:rsidR="00DE379A" w:rsidRPr="00FC03ED" w:rsidRDefault="00DE379A" w:rsidP="00DE379A">
      <w:pPr>
        <w:jc w:val="both"/>
        <w:rPr>
          <w:rFonts w:ascii="Arial" w:hAnsi="Arial" w:cs="Arial"/>
          <w:color w:val="000000" w:themeColor="text1"/>
          <w:sz w:val="20"/>
          <w:szCs w:val="20"/>
          <w:lang w:val="es-ES_tradnl"/>
        </w:rPr>
      </w:pPr>
    </w:p>
    <w:p w14:paraId="41EB7DBD" w14:textId="77777777" w:rsidR="00FC03ED" w:rsidRPr="00FC03ED" w:rsidRDefault="00FC03ED" w:rsidP="00FC03ED">
      <w:pPr>
        <w:pStyle w:val="Default"/>
        <w:rPr>
          <w:color w:val="000000" w:themeColor="text1"/>
          <w:sz w:val="22"/>
          <w:szCs w:val="22"/>
        </w:rPr>
      </w:pPr>
      <w:r w:rsidRPr="00FC03ED">
        <w:rPr>
          <w:color w:val="000000" w:themeColor="text1"/>
          <w:sz w:val="22"/>
          <w:szCs w:val="22"/>
        </w:rPr>
        <w:lastRenderedPageBreak/>
        <w:t xml:space="preserve">Bogotá D.C., </w:t>
      </w:r>
      <w:r w:rsidRPr="00FC03ED">
        <w:rPr>
          <w:b/>
          <w:bCs/>
          <w:color w:val="000000" w:themeColor="text1"/>
          <w:sz w:val="22"/>
          <w:szCs w:val="22"/>
        </w:rPr>
        <w:t xml:space="preserve">03/03/2020 Hora 11:7:34s </w:t>
      </w:r>
    </w:p>
    <w:p w14:paraId="4EE15514" w14:textId="77777777" w:rsidR="00FC03ED" w:rsidRPr="00FC03ED" w:rsidRDefault="00FC03ED" w:rsidP="00FC03ED">
      <w:pPr>
        <w:tabs>
          <w:tab w:val="left" w:pos="3374"/>
        </w:tabs>
        <w:spacing w:line="276" w:lineRule="auto"/>
        <w:jc w:val="right"/>
        <w:rPr>
          <w:rFonts w:ascii="Arial" w:hAnsi="Arial" w:cs="Arial"/>
          <w:b/>
          <w:bCs/>
          <w:color w:val="000000" w:themeColor="text1"/>
          <w:sz w:val="22"/>
        </w:rPr>
      </w:pPr>
      <w:r w:rsidRPr="00FC03ED">
        <w:rPr>
          <w:rFonts w:ascii="Arial" w:hAnsi="Arial" w:cs="Arial"/>
          <w:b/>
          <w:bCs/>
          <w:color w:val="000000" w:themeColor="text1"/>
          <w:sz w:val="22"/>
        </w:rPr>
        <w:t>N° Radicado: 2202013000001539</w:t>
      </w:r>
    </w:p>
    <w:p w14:paraId="02F251EC" w14:textId="77777777" w:rsidR="00DE379A" w:rsidRPr="00FC03ED" w:rsidRDefault="00DE379A" w:rsidP="00DE379A">
      <w:pPr>
        <w:spacing w:line="276" w:lineRule="auto"/>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Señora</w:t>
      </w:r>
    </w:p>
    <w:p w14:paraId="253D893A" w14:textId="77777777" w:rsidR="00DE379A" w:rsidRPr="00FC03ED" w:rsidRDefault="00DE379A" w:rsidP="00DE379A">
      <w:pPr>
        <w:spacing w:line="276" w:lineRule="auto"/>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Erika Dotor</w:t>
      </w:r>
    </w:p>
    <w:p w14:paraId="44C63C48" w14:textId="77777777" w:rsidR="00DE379A" w:rsidRPr="00FC03ED" w:rsidRDefault="00DE379A" w:rsidP="00DE379A">
      <w:pPr>
        <w:spacing w:line="276" w:lineRule="auto"/>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Ciudad</w:t>
      </w:r>
    </w:p>
    <w:p w14:paraId="04036835" w14:textId="77777777" w:rsidR="00DE379A" w:rsidRPr="00FC03ED" w:rsidRDefault="00DE379A" w:rsidP="00DE379A">
      <w:pPr>
        <w:spacing w:line="276" w:lineRule="auto"/>
        <w:jc w:val="center"/>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Concepto C ─ 141 de 2020</w:t>
      </w:r>
    </w:p>
    <w:p w14:paraId="11C168C3" w14:textId="77777777" w:rsidR="00DE379A" w:rsidRPr="00FC03ED" w:rsidRDefault="00DE379A" w:rsidP="00DE379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C03ED" w:rsidRPr="00FC03ED" w14:paraId="0F90B9D0" w14:textId="77777777" w:rsidTr="0068231F">
        <w:tc>
          <w:tcPr>
            <w:tcW w:w="2689" w:type="dxa"/>
            <w:hideMark/>
          </w:tcPr>
          <w:p w14:paraId="43DCBA76" w14:textId="77777777" w:rsidR="00DE379A" w:rsidRPr="00FC03ED" w:rsidRDefault="00DE379A" w:rsidP="0068231F">
            <w:pPr>
              <w:spacing w:line="276" w:lineRule="auto"/>
              <w:rPr>
                <w:rFonts w:ascii="Arial" w:eastAsia="Calibri" w:hAnsi="Arial" w:cs="Arial"/>
                <w:color w:val="000000" w:themeColor="text1"/>
                <w:sz w:val="22"/>
                <w:lang w:val="es-ES_tradnl"/>
              </w:rPr>
            </w:pPr>
            <w:r w:rsidRPr="00FC03ED">
              <w:rPr>
                <w:rFonts w:ascii="Arial" w:eastAsia="Calibri" w:hAnsi="Arial" w:cs="Arial"/>
                <w:b/>
                <w:color w:val="000000" w:themeColor="text1"/>
                <w:sz w:val="22"/>
                <w:lang w:val="es-ES_tradnl"/>
              </w:rPr>
              <w:t>Temas:</w:t>
            </w:r>
            <w:r w:rsidRPr="00FC03ED">
              <w:rPr>
                <w:rFonts w:ascii="Arial" w:eastAsia="Calibri" w:hAnsi="Arial" w:cs="Arial"/>
                <w:color w:val="000000" w:themeColor="text1"/>
                <w:sz w:val="22"/>
                <w:lang w:val="es-ES_tradnl"/>
              </w:rPr>
              <w:t xml:space="preserve">           </w:t>
            </w:r>
          </w:p>
          <w:p w14:paraId="05EA0E7F" w14:textId="77777777" w:rsidR="00DE379A" w:rsidRPr="00FC03ED" w:rsidRDefault="00DE379A" w:rsidP="0068231F">
            <w:pPr>
              <w:spacing w:line="276" w:lineRule="auto"/>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 xml:space="preserve">                           </w:t>
            </w:r>
          </w:p>
        </w:tc>
        <w:tc>
          <w:tcPr>
            <w:tcW w:w="6237" w:type="dxa"/>
            <w:hideMark/>
          </w:tcPr>
          <w:p w14:paraId="7F3AD881" w14:textId="77777777" w:rsidR="00DE379A" w:rsidRPr="00FC03ED" w:rsidRDefault="00DE379A" w:rsidP="0068231F">
            <w:pPr>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DOCUMENTOS TIPO ― Pliego de condiciones ― Concepto ― Fundamento normativo / SEGURIDAD SOCIAL ― Verificación ― Pago ― Persona natural ― Persona jurídica / PRINCIPIO DE ECONOMÍA ― Concepto ― Manifestación ― Requisitos estrictamente necesarios ― Afectación</w:t>
            </w:r>
          </w:p>
        </w:tc>
      </w:tr>
      <w:tr w:rsidR="00DE379A" w:rsidRPr="00FC03ED" w14:paraId="2229D49B" w14:textId="77777777" w:rsidTr="0068231F">
        <w:tc>
          <w:tcPr>
            <w:tcW w:w="2689" w:type="dxa"/>
          </w:tcPr>
          <w:p w14:paraId="3E35183C" w14:textId="77777777" w:rsidR="00DE379A" w:rsidRPr="00FC03ED" w:rsidRDefault="00DE379A" w:rsidP="0068231F">
            <w:pPr>
              <w:spacing w:line="276" w:lineRule="auto"/>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Radicación:</w:t>
            </w:r>
            <w:r w:rsidRPr="00FC03ED">
              <w:rPr>
                <w:rFonts w:ascii="Arial" w:eastAsia="Calibri" w:hAnsi="Arial" w:cs="Arial"/>
                <w:color w:val="000000" w:themeColor="text1"/>
                <w:sz w:val="22"/>
                <w:lang w:val="es-ES_tradnl"/>
              </w:rPr>
              <w:t xml:space="preserve">                              </w:t>
            </w:r>
          </w:p>
        </w:tc>
        <w:tc>
          <w:tcPr>
            <w:tcW w:w="6237" w:type="dxa"/>
          </w:tcPr>
          <w:p w14:paraId="15EF8E11" w14:textId="77777777" w:rsidR="00DE379A" w:rsidRPr="00FC03ED" w:rsidRDefault="00DE379A" w:rsidP="0068231F">
            <w:pPr>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 xml:space="preserve">Respuesta a consulta # </w:t>
            </w:r>
            <w:r w:rsidRPr="00FC03ED">
              <w:rPr>
                <w:rFonts w:ascii="Arial" w:hAnsi="Arial" w:cs="Arial"/>
                <w:color w:val="000000" w:themeColor="text1"/>
                <w:sz w:val="22"/>
                <w:lang w:val="es-ES_tradnl"/>
              </w:rPr>
              <w:t>4202012000001128</w:t>
            </w:r>
          </w:p>
        </w:tc>
      </w:tr>
    </w:tbl>
    <w:p w14:paraId="39CDFB27"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6E617D05" w14:textId="77777777" w:rsidR="00DE379A" w:rsidRPr="00FC03ED" w:rsidRDefault="00DE379A" w:rsidP="00DE379A">
      <w:pPr>
        <w:spacing w:line="276" w:lineRule="auto"/>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Estimada señora Dotor,</w:t>
      </w:r>
    </w:p>
    <w:p w14:paraId="2D0625E0" w14:textId="77777777" w:rsidR="00DE379A" w:rsidRPr="00FC03ED" w:rsidRDefault="00DE379A" w:rsidP="00DE379A">
      <w:pPr>
        <w:spacing w:line="276" w:lineRule="auto"/>
        <w:rPr>
          <w:rFonts w:ascii="Arial" w:eastAsia="Calibri" w:hAnsi="Arial" w:cs="Arial"/>
          <w:color w:val="000000" w:themeColor="text1"/>
          <w:sz w:val="22"/>
          <w:lang w:val="es-ES_tradnl"/>
        </w:rPr>
      </w:pPr>
    </w:p>
    <w:p w14:paraId="5FE7BBFE" w14:textId="77777777" w:rsidR="00DE379A" w:rsidRPr="00FC03ED" w:rsidRDefault="00DE379A" w:rsidP="00DE379A">
      <w:pPr>
        <w:tabs>
          <w:tab w:val="left" w:pos="426"/>
        </w:tabs>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La Agencia Nacional de Contratación Pública ― Colombia Compra Eficiente responde su consulta del 17 de febrero de 2020, en ejercicio de la competencia otorgada por el numeral 8 del artículo 11 y el numeral 5 del artículo 3 del Decreto Ley 4170 de 2011.</w:t>
      </w:r>
    </w:p>
    <w:p w14:paraId="5823F343" w14:textId="77777777" w:rsidR="00DE379A" w:rsidRPr="00FC03ED" w:rsidRDefault="00DE379A" w:rsidP="00DE379A">
      <w:pPr>
        <w:tabs>
          <w:tab w:val="left" w:pos="426"/>
        </w:tabs>
        <w:spacing w:line="276" w:lineRule="auto"/>
        <w:jc w:val="both"/>
        <w:rPr>
          <w:rFonts w:ascii="Arial" w:eastAsia="Calibri" w:hAnsi="Arial" w:cs="Arial"/>
          <w:color w:val="000000" w:themeColor="text1"/>
          <w:sz w:val="22"/>
          <w:lang w:val="es-ES_tradnl"/>
        </w:rPr>
      </w:pPr>
    </w:p>
    <w:p w14:paraId="76383212" w14:textId="77777777" w:rsidR="00DE379A" w:rsidRPr="00FC03ED" w:rsidRDefault="00DE379A" w:rsidP="00DE379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 xml:space="preserve">Problemas planteados </w:t>
      </w:r>
    </w:p>
    <w:p w14:paraId="64E5C97C" w14:textId="77777777" w:rsidR="00DE379A" w:rsidRPr="00FC03ED" w:rsidRDefault="00DE379A" w:rsidP="00DE379A">
      <w:pPr>
        <w:tabs>
          <w:tab w:val="left" w:pos="426"/>
        </w:tabs>
        <w:spacing w:line="276" w:lineRule="auto"/>
        <w:jc w:val="both"/>
        <w:rPr>
          <w:rFonts w:ascii="Arial" w:eastAsia="Calibri" w:hAnsi="Arial" w:cs="Arial"/>
          <w:b/>
          <w:color w:val="000000" w:themeColor="text1"/>
          <w:sz w:val="22"/>
          <w:lang w:val="es-ES_tradnl"/>
        </w:rPr>
      </w:pPr>
    </w:p>
    <w:p w14:paraId="5E6F7815" w14:textId="77777777" w:rsidR="00DE379A" w:rsidRPr="00FC03ED" w:rsidRDefault="00DE379A" w:rsidP="00DE379A">
      <w:pPr>
        <w:tabs>
          <w:tab w:val="left" w:pos="426"/>
        </w:tabs>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Usted realiza las siguientes preguntas, relacionadas con la exigencia de acreditación del cumplimiento de los aportes al Sistema de Seguridad Social Integral por parte de los proponentes en las licitaciones de obra pública de infraestructura de transporte, contenida en el numeral 3.4. de los pliegos de condiciones tipo: i) «¿Dentro de la norma si los accionistas no son empleados de la empresa, por qué se debe aportar planillas de seguridad social? ¿Este requisito tendría fundamento en alguna normatividad? ¿Se podría rechazar una oferta por esto? ¿El comité evaluador estaría trasgrediendo sus funciones al pedir estas planillas del pago de seguridad social de los accionistas si la norma dice es de los empleados de la empresa?», ii) «Si se tiene contratados externamente al contador y/o revisor fiscal mediante contratos de prestación de servicios, es decir contratista independiente; ¿es viable que la entidad exija las planillas de seguridad social de estos profesionales? ¿Estos profesionales se contarían como empleados? ¿Se podría rechazar una oferta por esto? ¿El comité evaluador estaría trasgrediendo sus funciones al pedir estas planillas del pago de seguridad social de los Contratistas independientes si la norma dice es de los empleados de la empresa?»</w:t>
      </w:r>
    </w:p>
    <w:p w14:paraId="755E95E4" w14:textId="77777777" w:rsidR="00DE379A" w:rsidRPr="00FC03ED" w:rsidRDefault="00DE379A" w:rsidP="00DE379A">
      <w:pPr>
        <w:tabs>
          <w:tab w:val="left" w:pos="426"/>
        </w:tabs>
        <w:spacing w:line="276" w:lineRule="auto"/>
        <w:jc w:val="both"/>
        <w:rPr>
          <w:rFonts w:ascii="Arial" w:eastAsia="Calibri" w:hAnsi="Arial" w:cs="Arial"/>
          <w:color w:val="000000" w:themeColor="text1"/>
          <w:sz w:val="22"/>
          <w:lang w:val="es-ES_tradnl"/>
        </w:rPr>
      </w:pPr>
    </w:p>
    <w:p w14:paraId="48A94AFB" w14:textId="77777777" w:rsidR="00DE379A" w:rsidRPr="00FC03ED" w:rsidRDefault="00DE379A" w:rsidP="00DE379A">
      <w:pPr>
        <w:tabs>
          <w:tab w:val="left" w:pos="426"/>
        </w:tabs>
        <w:spacing w:line="276" w:lineRule="auto"/>
        <w:jc w:val="both"/>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2. Consideraciones</w:t>
      </w:r>
    </w:p>
    <w:bookmarkEnd w:id="0"/>
    <w:bookmarkEnd w:id="1"/>
    <w:p w14:paraId="21AE6277" w14:textId="77777777" w:rsidR="00DE379A" w:rsidRPr="00FC03ED" w:rsidRDefault="00DE379A" w:rsidP="00DE379A">
      <w:pPr>
        <w:spacing w:line="276" w:lineRule="auto"/>
        <w:jc w:val="both"/>
        <w:rPr>
          <w:rFonts w:ascii="Arial" w:hAnsi="Arial" w:cs="Arial"/>
          <w:color w:val="000000" w:themeColor="text1"/>
          <w:sz w:val="22"/>
          <w:lang w:val="es-ES_tradnl"/>
        </w:rPr>
      </w:pPr>
    </w:p>
    <w:p w14:paraId="3A043C8F"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rFonts w:ascii="Arial" w:hAnsi="Arial" w:cs="Arial"/>
          <w:color w:val="000000" w:themeColor="text1"/>
          <w:sz w:val="22"/>
          <w:lang w:val="es-ES_tradnl"/>
        </w:rPr>
        <w:t xml:space="preserve">Para resolver esta consulta se hará un análisis de los siguientes temas: i) carácter inmodificable de los documentos tipo para la elaboración de los pliegos de condiciones en </w:t>
      </w:r>
      <w:r w:rsidRPr="00FC03ED">
        <w:rPr>
          <w:rFonts w:ascii="Arial" w:hAnsi="Arial" w:cs="Arial"/>
          <w:color w:val="000000" w:themeColor="text1"/>
          <w:sz w:val="22"/>
          <w:lang w:val="es-ES_tradnl"/>
        </w:rPr>
        <w:lastRenderedPageBreak/>
        <w:t xml:space="preserve">las licitaciones de obra pública de infraestructura de transporte, ii) </w:t>
      </w:r>
      <w:r w:rsidRPr="00FC03ED">
        <w:rPr>
          <w:rFonts w:ascii="Arial" w:eastAsia="Calibri" w:hAnsi="Arial" w:cs="Arial"/>
          <w:color w:val="000000" w:themeColor="text1"/>
          <w:sz w:val="22"/>
          <w:lang w:val="es-ES_tradnl"/>
        </w:rPr>
        <w:t>momento y forma en que las entidades deben exigir la acreditación del cumplimiento de las obligaciones frente al Sistema de Seguridad Social Integral por parte de los proponentes y contratistas.</w:t>
      </w:r>
    </w:p>
    <w:p w14:paraId="4F93FECF"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7BA32243" w14:textId="77777777" w:rsidR="00DE379A" w:rsidRPr="00FC03ED" w:rsidRDefault="00DE379A" w:rsidP="00DE379A">
      <w:pPr>
        <w:tabs>
          <w:tab w:val="left" w:pos="426"/>
        </w:tabs>
        <w:spacing w:line="276" w:lineRule="auto"/>
        <w:jc w:val="both"/>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2.1. Documentos tipo para licitación de obra pública de infraestructura de transporte: inalterabilidad por parte de las entidades estatales al configurar el pliego de condiciones</w:t>
      </w:r>
    </w:p>
    <w:p w14:paraId="3C666717"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3F8DB5D9" w14:textId="77777777" w:rsidR="00DE379A" w:rsidRPr="00FC03ED" w:rsidRDefault="00DE379A" w:rsidP="00DE379A">
      <w:pPr>
        <w:spacing w:line="276" w:lineRule="auto"/>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3A860D2A"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43B3DB1A"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14:paraId="65E93BED"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Con el fin de establecer cuáles son los Documentos Tipo que están sujetos a esta disposición, el artículo 2.2.1.2.6.1.2. establece un listado que determina el alcance de los documentos.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3FACD7E0"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64E291FA"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Recientemente, la Agencia expidió la Resolución No. 0045 del 14 de febrero de 2020, mediante la cual adoptó la versión 2 de los documentos tipo en dichos procesos de selección.</w:t>
      </w:r>
    </w:p>
    <w:p w14:paraId="63070959"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Ahora bien, el artículo 2.2.1.2.6.1.4. del Decreto 1082 de 2015 establece la inalterabilidad de los Documentos Tipo, que consiste en que las entidades estatales no </w:t>
      </w:r>
      <w:r w:rsidRPr="00FC03ED">
        <w:rPr>
          <w:rFonts w:ascii="Arial" w:eastAsia="Calibri" w:hAnsi="Arial" w:cs="Arial"/>
          <w:bCs/>
          <w:color w:val="000000" w:themeColor="text1"/>
          <w:sz w:val="22"/>
          <w:lang w:val="es-ES_tradnl"/>
        </w:rPr>
        <w:lastRenderedPageBreak/>
        <w:t xml:space="preserve">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1FFE79E5" w14:textId="77777777" w:rsidR="00DE379A" w:rsidRPr="00FC03ED" w:rsidRDefault="00DE379A" w:rsidP="00DE379A">
      <w:pPr>
        <w:spacing w:before="120" w:after="120" w:line="276" w:lineRule="auto"/>
        <w:ind w:firstLine="709"/>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Esta prohibición la ratifica actualmente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00970283" w14:textId="77777777" w:rsidR="00DE379A" w:rsidRPr="00FC03ED" w:rsidRDefault="00DE379A" w:rsidP="00DE379A">
      <w:pPr>
        <w:spacing w:line="276" w:lineRule="auto"/>
        <w:ind w:firstLine="708"/>
        <w:jc w:val="both"/>
        <w:rPr>
          <w:rFonts w:ascii="Arial" w:eastAsia="Calibri" w:hAnsi="Arial" w:cs="Arial"/>
          <w:bCs/>
          <w:color w:val="000000" w:themeColor="text1"/>
          <w:sz w:val="22"/>
          <w:lang w:val="es-ES_tradnl"/>
        </w:rPr>
      </w:pPr>
      <w:r w:rsidRPr="00FC03ED">
        <w:rPr>
          <w:rFonts w:ascii="Arial" w:eastAsia="Calibri" w:hAnsi="Arial" w:cs="Arial"/>
          <w:bCs/>
          <w:color w:val="000000" w:themeColor="text1"/>
          <w:sz w:val="22"/>
          <w:lang w:val="es-ES_tradnl"/>
        </w:rPr>
        <w:t xml:space="preserve">Además, las entidades estatales deben garantizar el </w:t>
      </w:r>
      <w:r w:rsidRPr="00FC03ED">
        <w:rPr>
          <w:rFonts w:ascii="Arial" w:eastAsia="Calibri" w:hAnsi="Arial" w:cs="Arial"/>
          <w:bCs/>
          <w:i/>
          <w:iCs/>
          <w:color w:val="000000" w:themeColor="text1"/>
          <w:sz w:val="22"/>
          <w:lang w:val="es-ES_tradnl"/>
        </w:rPr>
        <w:t>principio de economía</w:t>
      </w:r>
      <w:r w:rsidRPr="00FC03ED">
        <w:rPr>
          <w:rFonts w:ascii="Arial" w:eastAsia="Calibri" w:hAnsi="Arial" w:cs="Arial"/>
          <w:bCs/>
          <w:color w:val="000000" w:themeColor="text1"/>
          <w:sz w:val="22"/>
          <w:lang w:val="es-ES_tradnl"/>
        </w:rPr>
        <w:t>, del cual se desprende que no pueden exigir documentos o requisitos más allá de los que permitan la Constitución, la ley y los reglamentos. Este postulado ha encontrado eco no solo en la contratación estatal</w:t>
      </w:r>
      <w:r w:rsidRPr="00FC03ED">
        <w:rPr>
          <w:rStyle w:val="Refdenotaalpie"/>
          <w:rFonts w:ascii="Arial" w:eastAsia="Calibri" w:hAnsi="Arial" w:cs="Arial"/>
          <w:bCs/>
          <w:color w:val="000000" w:themeColor="text1"/>
          <w:sz w:val="22"/>
          <w:lang w:val="es-ES_tradnl"/>
        </w:rPr>
        <w:footnoteReference w:id="1"/>
      </w:r>
      <w:r w:rsidRPr="00FC03ED">
        <w:rPr>
          <w:rFonts w:ascii="Arial" w:eastAsia="Calibri" w:hAnsi="Arial" w:cs="Arial"/>
          <w:bCs/>
          <w:color w:val="000000" w:themeColor="text1"/>
          <w:sz w:val="22"/>
          <w:lang w:val="es-ES_tradnl"/>
        </w:rPr>
        <w:t>, sino además en la normativa antitrámites</w:t>
      </w:r>
      <w:r w:rsidRPr="00FC03ED">
        <w:rPr>
          <w:rStyle w:val="Refdenotaalpie"/>
          <w:rFonts w:ascii="Arial" w:eastAsia="Calibri" w:hAnsi="Arial" w:cs="Arial"/>
          <w:bCs/>
          <w:color w:val="000000" w:themeColor="text1"/>
          <w:sz w:val="22"/>
          <w:lang w:val="es-ES_tradnl"/>
        </w:rPr>
        <w:footnoteReference w:id="2"/>
      </w:r>
      <w:r w:rsidRPr="00FC03ED">
        <w:rPr>
          <w:rFonts w:ascii="Arial" w:eastAsia="Calibri" w:hAnsi="Arial" w:cs="Arial"/>
          <w:bCs/>
          <w:color w:val="000000" w:themeColor="text1"/>
          <w:sz w:val="22"/>
          <w:lang w:val="es-ES_tradnl"/>
        </w:rPr>
        <w:t>; pues se inscribe dentro de la tendencia de simplificación y racionalización de los procedimientos administrativos. De ahí que cuando las autoridades solicitan la entrega de documentación innecesaria, menoscaban el principio de economía.</w:t>
      </w:r>
    </w:p>
    <w:p w14:paraId="3C481788" w14:textId="77777777" w:rsidR="00DE379A" w:rsidRPr="00FC03ED" w:rsidRDefault="00DE379A" w:rsidP="00DE379A">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p>
    <w:p w14:paraId="34BBA23C" w14:textId="77777777" w:rsidR="00DE379A" w:rsidRPr="00FC03ED" w:rsidRDefault="00DE379A" w:rsidP="00DE379A">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p>
    <w:p w14:paraId="1D4BB755" w14:textId="77777777" w:rsidR="00DE379A" w:rsidRPr="00FC03ED" w:rsidRDefault="00DE379A" w:rsidP="00DE379A">
      <w:pPr>
        <w:pStyle w:val="Prrafodelista"/>
        <w:tabs>
          <w:tab w:val="left" w:pos="142"/>
          <w:tab w:val="left" w:pos="426"/>
        </w:tabs>
        <w:spacing w:line="276" w:lineRule="auto"/>
        <w:ind w:left="0"/>
        <w:jc w:val="both"/>
        <w:rPr>
          <w:rFonts w:ascii="Arial" w:eastAsia="Calibri" w:hAnsi="Arial" w:cs="Arial"/>
          <w:b/>
          <w:color w:val="000000" w:themeColor="text1"/>
          <w:sz w:val="22"/>
          <w:lang w:val="es-ES_tradnl"/>
        </w:rPr>
      </w:pPr>
      <w:r w:rsidRPr="00FC03ED">
        <w:rPr>
          <w:rFonts w:ascii="Arial" w:eastAsia="Calibri" w:hAnsi="Arial" w:cs="Arial"/>
          <w:b/>
          <w:color w:val="000000" w:themeColor="text1"/>
          <w:sz w:val="22"/>
          <w:lang w:val="es-ES_tradnl"/>
        </w:rPr>
        <w:t>2.2. Verificación por parte de las entidades estatales del pago al Sistema de Seguridad Social Integral. Prohibición de exigir documentos distintos a los señalados en el numeral 3.4. de los documentos tipo, para las licitaciones de obra pública de infraestructura de transporte</w:t>
      </w:r>
    </w:p>
    <w:p w14:paraId="7CC5020E" w14:textId="77777777" w:rsidR="00DE379A" w:rsidRPr="00FC03ED" w:rsidRDefault="00DE379A" w:rsidP="00DE379A">
      <w:pPr>
        <w:tabs>
          <w:tab w:val="left" w:pos="142"/>
          <w:tab w:val="left" w:pos="426"/>
        </w:tabs>
        <w:spacing w:line="276" w:lineRule="auto"/>
        <w:jc w:val="both"/>
        <w:rPr>
          <w:rFonts w:ascii="Arial" w:eastAsia="Calibri" w:hAnsi="Arial" w:cs="Arial"/>
          <w:b/>
          <w:color w:val="000000" w:themeColor="text1"/>
          <w:sz w:val="22"/>
          <w:lang w:val="es-ES_tradnl"/>
        </w:rPr>
      </w:pPr>
    </w:p>
    <w:p w14:paraId="2CECCC8C"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rFonts w:ascii="Arial" w:hAnsi="Arial" w:cs="Arial"/>
          <w:color w:val="000000" w:themeColor="text1"/>
          <w:sz w:val="22"/>
          <w:lang w:val="es-ES_tradnl"/>
        </w:rPr>
        <w:lastRenderedPageBreak/>
        <w:t xml:space="preserve">La Agencia Nacional de Contratación Pública – Colombia Compra Eficiente se ha pronunciado en diversas oportunidades acerca de la acreditación del cumplimiento de las obligaciones con el Sistema de Seguridad Social Integral en el marco de la contratación estatal. En tal sentido, algunas de las ideas planteadas en los conceptos emitidos en respuesta a las </w:t>
      </w:r>
      <w:r w:rsidRPr="00FC03ED">
        <w:rPr>
          <w:rFonts w:ascii="Arial" w:eastAsia="Calibri" w:hAnsi="Arial" w:cs="Arial"/>
          <w:color w:val="000000" w:themeColor="text1"/>
          <w:sz w:val="22"/>
          <w:lang w:val="es-ES_tradnl"/>
        </w:rPr>
        <w:t xml:space="preserve">consultas con radicado No. 4201912000008226 y 4202013000001017 se reiteran a continuación: </w:t>
      </w:r>
    </w:p>
    <w:p w14:paraId="136FDB46" w14:textId="77777777" w:rsidR="00DE379A" w:rsidRPr="00FC03ED" w:rsidRDefault="00DE379A" w:rsidP="00DE379A">
      <w:pPr>
        <w:spacing w:before="120" w:after="120" w:line="276" w:lineRule="auto"/>
        <w:ind w:firstLine="709"/>
        <w:jc w:val="both"/>
        <w:rPr>
          <w:rFonts w:ascii="Arial" w:eastAsia="Calibri" w:hAnsi="Arial" w:cs="Arial"/>
          <w:color w:val="000000" w:themeColor="text1"/>
          <w:sz w:val="22"/>
          <w:lang w:val="es-ES_tradnl"/>
        </w:rPr>
      </w:pPr>
      <w:r w:rsidRPr="00FC03ED">
        <w:rPr>
          <w:rFonts w:ascii="Arial" w:hAnsi="Arial" w:cs="Arial"/>
          <w:color w:val="000000" w:themeColor="text1"/>
          <w:sz w:val="22"/>
          <w:lang w:val="es-ES_tradnl"/>
        </w:rPr>
        <w:t>La Ley 80 de 1993, en el texto original del artículo 41,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453BB9B0" w14:textId="77777777" w:rsidR="00DE379A" w:rsidRPr="00FC03ED" w:rsidRDefault="00DE379A" w:rsidP="00DE379A">
      <w:pPr>
        <w:spacing w:before="120" w:after="120" w:line="276" w:lineRule="auto"/>
        <w:ind w:firstLine="708"/>
        <w:jc w:val="both"/>
        <w:rPr>
          <w:rFonts w:ascii="Arial" w:hAnsi="Arial" w:cs="Arial"/>
          <w:color w:val="000000" w:themeColor="text1"/>
          <w:sz w:val="22"/>
          <w:lang w:val="es-ES_tradnl"/>
        </w:rPr>
      </w:pPr>
      <w:r w:rsidRPr="00FC03ED">
        <w:rPr>
          <w:rFonts w:ascii="Arial" w:hAnsi="Arial" w:cs="Arial"/>
          <w:color w:val="000000" w:themeColor="text1"/>
          <w:sz w:val="22"/>
          <w:lang w:val="es-ES_tradnl"/>
        </w:rPr>
        <w:t>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FC03ED">
        <w:rPr>
          <w:rStyle w:val="Refdenotaalpie"/>
          <w:rFonts w:ascii="Arial" w:hAnsi="Arial" w:cs="Arial"/>
          <w:color w:val="000000" w:themeColor="text1"/>
          <w:sz w:val="22"/>
          <w:lang w:val="es-ES_tradnl"/>
        </w:rPr>
        <w:footnoteReference w:id="3"/>
      </w:r>
      <w:r w:rsidRPr="00FC03ED">
        <w:rPr>
          <w:rFonts w:ascii="Arial" w:hAnsi="Arial" w:cs="Arial"/>
          <w:color w:val="000000" w:themeColor="text1"/>
          <w:sz w:val="22"/>
          <w:lang w:val="es-ES_tradnl"/>
        </w:rPr>
        <w:t xml:space="preserve">. </w:t>
      </w:r>
    </w:p>
    <w:p w14:paraId="1F4F63B1" w14:textId="77777777" w:rsidR="00DE379A" w:rsidRPr="00FC03ED" w:rsidRDefault="00DE379A" w:rsidP="00DE379A">
      <w:pPr>
        <w:spacing w:before="120" w:after="120" w:line="276" w:lineRule="auto"/>
        <w:ind w:firstLine="708"/>
        <w:jc w:val="both"/>
        <w:rPr>
          <w:rFonts w:ascii="Arial" w:hAnsi="Arial" w:cs="Arial"/>
          <w:color w:val="000000" w:themeColor="text1"/>
          <w:sz w:val="22"/>
          <w:lang w:val="es-ES_tradnl"/>
        </w:rPr>
      </w:pPr>
      <w:r w:rsidRPr="00FC03ED">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w:t>
      </w:r>
      <w:r w:rsidRPr="00FC03ED">
        <w:rPr>
          <w:rFonts w:ascii="Arial" w:hAnsi="Arial" w:cs="Arial"/>
          <w:color w:val="000000" w:themeColor="text1"/>
          <w:sz w:val="22"/>
          <w:lang w:val="es-ES_tradnl"/>
        </w:rPr>
        <w:lastRenderedPageBreak/>
        <w:t>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43B02D1B" w14:textId="77777777" w:rsidR="00DE379A" w:rsidRPr="00FC03ED" w:rsidRDefault="00DE379A" w:rsidP="00DE379A">
      <w:pPr>
        <w:spacing w:before="120" w:after="120" w:line="276" w:lineRule="auto"/>
        <w:ind w:firstLine="708"/>
        <w:jc w:val="both"/>
        <w:rPr>
          <w:rFonts w:ascii="Arial" w:hAnsi="Arial" w:cs="Arial"/>
          <w:color w:val="000000" w:themeColor="text1"/>
          <w:sz w:val="22"/>
          <w:lang w:val="es-ES_tradnl"/>
        </w:rPr>
      </w:pPr>
      <w:r w:rsidRPr="00FC03ED">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FC03ED">
        <w:rPr>
          <w:rStyle w:val="Refdenotaalpie"/>
          <w:rFonts w:ascii="Arial" w:hAnsi="Arial" w:cs="Arial"/>
          <w:color w:val="000000" w:themeColor="text1"/>
          <w:sz w:val="22"/>
          <w:lang w:val="es-ES_tradnl"/>
        </w:rPr>
        <w:footnoteReference w:id="4"/>
      </w:r>
      <w:r w:rsidRPr="00FC03ED">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58BF3A4D" w14:textId="77777777" w:rsidR="00DE379A" w:rsidRPr="00FC03ED" w:rsidRDefault="00DE379A" w:rsidP="00DE379A">
      <w:pPr>
        <w:spacing w:line="276" w:lineRule="auto"/>
        <w:ind w:firstLine="708"/>
        <w:jc w:val="both"/>
        <w:rPr>
          <w:rFonts w:ascii="Arial" w:hAnsi="Arial" w:cs="Arial"/>
          <w:color w:val="000000" w:themeColor="text1"/>
          <w:sz w:val="22"/>
          <w:lang w:val="es-ES_tradnl"/>
        </w:rPr>
      </w:pPr>
      <w:r w:rsidRPr="00FC03ED">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3B2C7F7A" w14:textId="77777777" w:rsidR="00DE379A" w:rsidRPr="00FC03ED" w:rsidRDefault="00DE379A" w:rsidP="00DE379A">
      <w:pPr>
        <w:pStyle w:val="NormalWeb"/>
        <w:spacing w:before="0" w:beforeAutospacing="0" w:after="0" w:afterAutospacing="0"/>
        <w:ind w:right="709"/>
        <w:jc w:val="both"/>
        <w:rPr>
          <w:rFonts w:ascii="Arial" w:hAnsi="Arial" w:cs="Arial"/>
          <w:color w:val="000000" w:themeColor="text1"/>
          <w:sz w:val="21"/>
          <w:szCs w:val="21"/>
          <w:lang w:val="es-ES_tradnl"/>
        </w:rPr>
      </w:pPr>
    </w:p>
    <w:p w14:paraId="35234D8D" w14:textId="77777777" w:rsidR="00DE379A" w:rsidRPr="00FC03ED" w:rsidRDefault="00DE379A" w:rsidP="00DE379A">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FC03ED">
        <w:rPr>
          <w:rFonts w:ascii="Arial" w:hAnsi="Arial" w:cs="Arial"/>
          <w:color w:val="000000" w:themeColor="text1"/>
          <w:sz w:val="21"/>
          <w:szCs w:val="21"/>
          <w:lang w:val="es-ES_tradnl"/>
        </w:rPr>
        <w:t>[…]</w:t>
      </w:r>
    </w:p>
    <w:p w14:paraId="2662F915" w14:textId="77777777" w:rsidR="00DE379A" w:rsidRPr="00FC03ED" w:rsidRDefault="00DE379A" w:rsidP="00DE379A">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r w:rsidRPr="00FC03ED">
        <w:rPr>
          <w:rFonts w:ascii="Arial" w:hAnsi="Arial" w:cs="Arial"/>
          <w:color w:val="000000" w:themeColor="text1"/>
          <w:sz w:val="21"/>
          <w:szCs w:val="21"/>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DFA72D2" w14:textId="77777777" w:rsidR="00DE379A" w:rsidRPr="00FC03ED" w:rsidRDefault="00DE379A" w:rsidP="00DE379A">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lang w:val="es-ES_tradnl"/>
        </w:rPr>
      </w:pPr>
    </w:p>
    <w:p w14:paraId="4C13B41C" w14:textId="77777777" w:rsidR="00DE379A" w:rsidRPr="00FC03ED" w:rsidRDefault="00DE379A" w:rsidP="00DE379A">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FC03ED">
        <w:rPr>
          <w:rStyle w:val="baj"/>
          <w:rFonts w:ascii="Arial" w:hAnsi="Arial" w:cs="Arial"/>
          <w:bCs/>
          <w:color w:val="000000" w:themeColor="text1"/>
          <w:sz w:val="21"/>
          <w:szCs w:val="21"/>
          <w:lang w:val="es-ES_tradnl"/>
        </w:rPr>
        <w:t>Parágrafo 1.</w:t>
      </w:r>
      <w:r w:rsidRPr="00FC03ED">
        <w:rPr>
          <w:rFonts w:ascii="Arial" w:hAnsi="Arial" w:cs="Arial"/>
          <w:color w:val="000000" w:themeColor="text1"/>
          <w:sz w:val="21"/>
          <w:szCs w:val="21"/>
          <w:lang w:val="es-ES_tradnl"/>
        </w:rPr>
        <w:t> El requisito establecido en la parte final del inciso segundo de este artículo deberá acreditarse para la realización de cada pago derivado del contrato estatal.</w:t>
      </w:r>
    </w:p>
    <w:p w14:paraId="2AF17D80" w14:textId="77777777" w:rsidR="00DE379A" w:rsidRPr="00FC03ED" w:rsidRDefault="00DE379A" w:rsidP="00DE379A">
      <w:pPr>
        <w:pStyle w:val="NormalWeb"/>
        <w:spacing w:before="0" w:beforeAutospacing="0" w:after="0" w:afterAutospacing="0"/>
        <w:ind w:left="709" w:right="709"/>
        <w:jc w:val="both"/>
        <w:rPr>
          <w:rFonts w:ascii="Arial" w:hAnsi="Arial" w:cs="Arial"/>
          <w:color w:val="000000" w:themeColor="text1"/>
          <w:sz w:val="21"/>
          <w:szCs w:val="21"/>
          <w:lang w:val="es-ES_tradnl"/>
        </w:rPr>
      </w:pPr>
    </w:p>
    <w:p w14:paraId="0D685D7D" w14:textId="77777777" w:rsidR="00DE379A" w:rsidRPr="00FC03ED" w:rsidRDefault="00DE379A" w:rsidP="00DE379A">
      <w:pPr>
        <w:pStyle w:val="NormalWeb"/>
        <w:spacing w:before="0" w:beforeAutospacing="0" w:after="0" w:afterAutospacing="0"/>
        <w:ind w:left="709" w:right="709"/>
        <w:jc w:val="both"/>
        <w:rPr>
          <w:rFonts w:ascii="Arial" w:hAnsi="Arial" w:cs="Arial"/>
          <w:color w:val="000000" w:themeColor="text1"/>
          <w:sz w:val="21"/>
          <w:szCs w:val="21"/>
          <w:lang w:val="es-ES_tradnl"/>
        </w:rPr>
      </w:pPr>
      <w:r w:rsidRPr="00FC03ED">
        <w:rPr>
          <w:rFonts w:ascii="Arial" w:hAnsi="Arial" w:cs="Arial"/>
          <w:color w:val="000000" w:themeColor="text1"/>
          <w:sz w:val="21"/>
          <w:szCs w:val="21"/>
          <w:lang w:val="es-ES_tradnl"/>
        </w:rPr>
        <w:t>El servidor público que sin justa causa no verifique el pago de los aportes a que se refiere el presente artículo, incurrirá en causal de mala conducta, que será sancionada con arreglo al régimen disciplinario vigente.</w:t>
      </w:r>
    </w:p>
    <w:p w14:paraId="77D72A8C"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p>
    <w:p w14:paraId="14882829"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46796491" w14:textId="77777777" w:rsidR="00DE379A" w:rsidRPr="00FC03ED" w:rsidRDefault="00DE379A" w:rsidP="00DE379A">
      <w:pPr>
        <w:spacing w:before="120" w:after="120"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lastRenderedPageBreak/>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3A13E6F1" w14:textId="77777777" w:rsidR="00DE379A" w:rsidRPr="00FC03ED" w:rsidRDefault="00DE379A" w:rsidP="00DE379A">
      <w:pPr>
        <w:spacing w:before="120" w:after="120"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288F8458" w14:textId="77777777" w:rsidR="00DE379A" w:rsidRPr="00FC03ED" w:rsidRDefault="00DE379A" w:rsidP="00DE379A">
      <w:pPr>
        <w:spacing w:before="120" w:after="120"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4D4E0D0" w14:textId="77777777" w:rsidR="00DE379A" w:rsidRPr="00FC03ED" w:rsidRDefault="00DE379A" w:rsidP="00DE379A">
      <w:pPr>
        <w:spacing w:before="120" w:after="120"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15C151EC"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Como materialización del mandato contenido en el artículo 50 de la Ley 789 de 2002, el numeral 3.4. de los documentos tipo para licitación de obra pública de infraestructura de transporte, en su versión 1, establece:</w:t>
      </w:r>
    </w:p>
    <w:p w14:paraId="347093B7"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p>
    <w:p w14:paraId="5DDFAA2C" w14:textId="77777777" w:rsidR="00DE379A" w:rsidRPr="00FC03ED" w:rsidRDefault="00DE379A" w:rsidP="00DE379A">
      <w:pPr>
        <w:pStyle w:val="Capitulo3"/>
        <w:numPr>
          <w:ilvl w:val="0"/>
          <w:numId w:val="0"/>
        </w:numPr>
        <w:spacing w:before="0" w:after="0" w:line="240" w:lineRule="auto"/>
        <w:ind w:left="709" w:right="709"/>
        <w:rPr>
          <w:b w:val="0"/>
          <w:bCs/>
          <w:color w:val="000000" w:themeColor="text1"/>
          <w:sz w:val="21"/>
          <w:szCs w:val="21"/>
        </w:rPr>
      </w:pPr>
      <w:bookmarkStart w:id="4" w:name="_Toc508648270"/>
      <w:bookmarkStart w:id="5" w:name="_Toc508984054"/>
      <w:bookmarkStart w:id="6" w:name="_Toc509843885"/>
      <w:bookmarkStart w:id="7" w:name="_Toc511924792"/>
      <w:bookmarkStart w:id="8" w:name="_Toc520226881"/>
      <w:bookmarkStart w:id="9" w:name="_Toc520297851"/>
      <w:bookmarkStart w:id="10" w:name="_Toc520317116"/>
      <w:bookmarkStart w:id="11" w:name="_Toc533083719"/>
      <w:bookmarkStart w:id="12" w:name="_Toc5006150"/>
      <w:bookmarkStart w:id="13" w:name="_Hlk530414304"/>
      <w:bookmarkStart w:id="14" w:name="_Hlk511410135"/>
      <w:r w:rsidRPr="00FC03ED">
        <w:rPr>
          <w:b w:val="0"/>
          <w:bCs/>
          <w:color w:val="000000" w:themeColor="text1"/>
          <w:sz w:val="21"/>
          <w:szCs w:val="21"/>
        </w:rPr>
        <w:t>3.4. CERTIFICACIÓN DE PAGOS DE SEGURIDAD SOCIAL Y APORTES LEGALES</w:t>
      </w:r>
      <w:bookmarkEnd w:id="4"/>
      <w:bookmarkEnd w:id="5"/>
      <w:bookmarkEnd w:id="6"/>
      <w:bookmarkEnd w:id="7"/>
      <w:bookmarkEnd w:id="8"/>
      <w:bookmarkEnd w:id="9"/>
      <w:bookmarkEnd w:id="10"/>
      <w:bookmarkEnd w:id="11"/>
      <w:bookmarkEnd w:id="12"/>
    </w:p>
    <w:p w14:paraId="689039E4" w14:textId="77777777" w:rsidR="00DE379A" w:rsidRPr="00FC03ED" w:rsidRDefault="00DE379A" w:rsidP="00DE379A">
      <w:pPr>
        <w:pStyle w:val="InviasNormal"/>
        <w:spacing w:before="0" w:after="0"/>
        <w:ind w:left="709" w:right="709"/>
        <w:rPr>
          <w:rFonts w:ascii="Arial" w:eastAsia="Arial" w:hAnsi="Arial" w:cs="Arial"/>
          <w:bCs/>
          <w:color w:val="000000" w:themeColor="text1"/>
          <w:sz w:val="21"/>
          <w:szCs w:val="21"/>
          <w:lang w:val="es-CO"/>
        </w:rPr>
      </w:pPr>
      <w:bookmarkStart w:id="15" w:name="_Hlk530414327"/>
      <w:bookmarkEnd w:id="13"/>
    </w:p>
    <w:p w14:paraId="0009CCDA" w14:textId="77777777" w:rsidR="00DE379A" w:rsidRPr="00FC03ED" w:rsidRDefault="00DE379A" w:rsidP="00DE379A">
      <w:pPr>
        <w:pStyle w:val="InviasNormal"/>
        <w:spacing w:before="0" w:after="0"/>
        <w:ind w:left="709" w:right="709"/>
        <w:rPr>
          <w:rFonts w:ascii="Arial" w:eastAsia="Arial" w:hAnsi="Arial" w:cs="Arial"/>
          <w:bCs/>
          <w:color w:val="000000" w:themeColor="text1"/>
          <w:sz w:val="21"/>
          <w:szCs w:val="21"/>
          <w:lang w:val="es-CO"/>
        </w:rPr>
      </w:pPr>
      <w:r w:rsidRPr="00FC03ED">
        <w:rPr>
          <w:rFonts w:ascii="Arial" w:eastAsia="Arial" w:hAnsi="Arial" w:cs="Arial"/>
          <w:bCs/>
          <w:color w:val="000000" w:themeColor="text1"/>
          <w:sz w:val="21"/>
          <w:szCs w:val="21"/>
          <w:lang w:val="es-CO"/>
        </w:rPr>
        <w:t>3.4.1. PERSONAS JURÍDICAS</w:t>
      </w:r>
    </w:p>
    <w:p w14:paraId="130485B0"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bookmarkStart w:id="16" w:name="_Hlk516152939"/>
      <w:bookmarkEnd w:id="15"/>
    </w:p>
    <w:p w14:paraId="2F897726" w14:textId="346E306A"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Proponente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persona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jurídica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debe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presentar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 xml:space="preserve">el </w:t>
      </w:r>
      <w:r w:rsidRPr="00FC03ED">
        <w:rPr>
          <w:rFonts w:ascii="Arial" w:hAnsi="Arial" w:cs="Arial"/>
          <w:bCs/>
          <w:color w:val="000000" w:themeColor="text1"/>
          <w:sz w:val="21"/>
          <w:szCs w:val="21"/>
        </w:rPr>
        <w:fldChar w:fldCharType="begin"/>
      </w:r>
      <w:r w:rsidRPr="00FC03ED">
        <w:rPr>
          <w:rFonts w:ascii="Arial" w:hAnsi="Arial" w:cs="Arial"/>
          <w:bCs/>
          <w:color w:val="000000" w:themeColor="text1"/>
          <w:sz w:val="21"/>
          <w:szCs w:val="21"/>
          <w:lang w:val="es-ES" w:eastAsia="es-ES"/>
        </w:rPr>
        <w:instrText xml:space="preserve"> REF _Ref511657135 \h </w:instrText>
      </w:r>
      <w:r w:rsidRPr="00FC03ED">
        <w:rPr>
          <w:rFonts w:ascii="Arial" w:hAnsi="Arial" w:cs="Arial"/>
          <w:bCs/>
          <w:color w:val="000000" w:themeColor="text1"/>
          <w:sz w:val="21"/>
          <w:szCs w:val="21"/>
        </w:rPr>
        <w:instrText xml:space="preserve"> \* MERGEFORMAT </w:instrText>
      </w:r>
      <w:r w:rsidRPr="00FC03ED">
        <w:rPr>
          <w:rFonts w:ascii="Arial" w:hAnsi="Arial" w:cs="Arial"/>
          <w:bCs/>
          <w:color w:val="000000" w:themeColor="text1"/>
          <w:sz w:val="21"/>
          <w:szCs w:val="21"/>
        </w:rPr>
      </w:r>
      <w:r w:rsidRPr="00FC03ED">
        <w:rPr>
          <w:rFonts w:ascii="Arial" w:hAnsi="Arial" w:cs="Arial"/>
          <w:bCs/>
          <w:color w:val="000000" w:themeColor="text1"/>
          <w:sz w:val="21"/>
          <w:szCs w:val="21"/>
          <w:lang w:val="es-ES" w:eastAsia="es-ES"/>
        </w:rPr>
        <w:fldChar w:fldCharType="separate"/>
      </w:r>
      <w:r w:rsidR="00D21781" w:rsidRPr="00FC03ED">
        <w:rPr>
          <w:rFonts w:ascii="Arial" w:hAnsi="Arial" w:cs="Arial"/>
          <w:b/>
          <w:color w:val="000000" w:themeColor="text1"/>
          <w:sz w:val="21"/>
          <w:szCs w:val="21"/>
          <w:lang w:val="es-ES" w:eastAsia="es-ES"/>
        </w:rPr>
        <w:t>¡Error! No se encuentra el origen de la referencia.</w:t>
      </w:r>
      <w:r w:rsidRPr="00FC03ED">
        <w:rPr>
          <w:rFonts w:ascii="Arial" w:hAnsi="Arial" w:cs="Arial"/>
          <w:bCs/>
          <w:color w:val="000000" w:themeColor="text1"/>
          <w:sz w:val="21"/>
          <w:szCs w:val="21"/>
        </w:rPr>
        <w:fldChar w:fldCharType="end"/>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suscrito por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Revisor Fiscal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acuerdo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requerimientos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Ley,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por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Representante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Legal,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bajo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gravedad</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lastRenderedPageBreak/>
        <w:t>juramento,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cuando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no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requiera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Revisor Fiscal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que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conste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pago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aportes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sus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empleados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sistemas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salud,</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riesgos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profesionales,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pensiones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aportes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Cajas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Compensación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Familiar,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Instituto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Colombiano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Bienestar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Familiar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Servicio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Nacional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Aprendizaje,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cuando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ello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haya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lugar</w:t>
      </w:r>
      <w:r w:rsidRPr="00FC03ED">
        <w:rPr>
          <w:rFonts w:ascii="Arial" w:eastAsia="Arial,Times New Roman" w:hAnsi="Arial" w:cs="Arial"/>
          <w:bCs/>
          <w:color w:val="000000" w:themeColor="text1"/>
          <w:sz w:val="21"/>
          <w:szCs w:val="21"/>
          <w:lang w:val="es-ES" w:eastAsia="es-ES"/>
        </w:rPr>
        <w:t>.</w:t>
      </w:r>
    </w:p>
    <w:p w14:paraId="47ACB581" w14:textId="77777777"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p>
    <w:p w14:paraId="47BBEF2D" w14:textId="41DFC6E5"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 xml:space="preserve">Cuando la persona jurídica está exonerada en los términos previstos en el artículo 65 de la Ley 1819 de 2016 debe indicarlo en el </w:t>
      </w:r>
      <w:r w:rsidRPr="00FC03ED">
        <w:rPr>
          <w:rFonts w:ascii="Arial" w:hAnsi="Arial" w:cs="Arial"/>
          <w:bCs/>
          <w:color w:val="000000" w:themeColor="text1"/>
          <w:sz w:val="21"/>
          <w:szCs w:val="21"/>
        </w:rPr>
        <w:fldChar w:fldCharType="begin"/>
      </w:r>
      <w:r w:rsidRPr="00FC03ED">
        <w:rPr>
          <w:rFonts w:ascii="Arial" w:hAnsi="Arial" w:cs="Arial"/>
          <w:bCs/>
          <w:color w:val="000000" w:themeColor="text1"/>
          <w:sz w:val="21"/>
          <w:szCs w:val="21"/>
          <w:lang w:val="es-ES" w:eastAsia="es-ES"/>
        </w:rPr>
        <w:instrText xml:space="preserve"> REF _Ref511657135 \h </w:instrText>
      </w:r>
      <w:r w:rsidRPr="00FC03ED">
        <w:rPr>
          <w:rFonts w:ascii="Arial" w:hAnsi="Arial" w:cs="Arial"/>
          <w:bCs/>
          <w:color w:val="000000" w:themeColor="text1"/>
          <w:sz w:val="21"/>
          <w:szCs w:val="21"/>
        </w:rPr>
        <w:instrText xml:space="preserve"> \* MERGEFORMAT </w:instrText>
      </w:r>
      <w:r w:rsidRPr="00FC03ED">
        <w:rPr>
          <w:rFonts w:ascii="Arial" w:hAnsi="Arial" w:cs="Arial"/>
          <w:bCs/>
          <w:color w:val="000000" w:themeColor="text1"/>
          <w:sz w:val="21"/>
          <w:szCs w:val="21"/>
        </w:rPr>
      </w:r>
      <w:r w:rsidRPr="00FC03ED">
        <w:rPr>
          <w:rFonts w:ascii="Arial" w:hAnsi="Arial" w:cs="Arial"/>
          <w:bCs/>
          <w:color w:val="000000" w:themeColor="text1"/>
          <w:sz w:val="21"/>
          <w:szCs w:val="21"/>
          <w:lang w:val="es-ES" w:eastAsia="es-ES"/>
        </w:rPr>
        <w:fldChar w:fldCharType="separate"/>
      </w:r>
      <w:r w:rsidR="00D21781" w:rsidRPr="00FC03ED">
        <w:rPr>
          <w:rFonts w:ascii="Arial" w:hAnsi="Arial" w:cs="Arial"/>
          <w:b/>
          <w:color w:val="000000" w:themeColor="text1"/>
          <w:sz w:val="21"/>
          <w:szCs w:val="21"/>
          <w:lang w:val="es-ES" w:eastAsia="es-ES"/>
        </w:rPr>
        <w:t>¡Error! No se encuentra el origen de la referencia.</w:t>
      </w:r>
      <w:r w:rsidRPr="00FC03ED">
        <w:rPr>
          <w:rFonts w:ascii="Arial" w:hAnsi="Arial" w:cs="Arial"/>
          <w:bCs/>
          <w:color w:val="000000" w:themeColor="text1"/>
          <w:sz w:val="21"/>
          <w:szCs w:val="21"/>
        </w:rPr>
        <w:fldChar w:fldCharType="end"/>
      </w:r>
      <w:r w:rsidRPr="00FC03ED">
        <w:rPr>
          <w:rFonts w:ascii="Arial" w:eastAsia="Arial,Times New Roman" w:hAnsi="Arial" w:cs="Arial"/>
          <w:bCs/>
          <w:color w:val="000000" w:themeColor="text1"/>
          <w:sz w:val="21"/>
          <w:szCs w:val="21"/>
          <w:lang w:val="es-ES" w:eastAsia="es-ES"/>
        </w:rPr>
        <w:t xml:space="preserve">. </w:t>
      </w:r>
    </w:p>
    <w:p w14:paraId="0FD37EF9" w14:textId="77777777"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p>
    <w:p w14:paraId="3FBABFF8"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Esta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misma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previsión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aplica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para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personas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jurídicas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extranjeras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domicilio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sucursal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Colombia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cuales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deberán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acreditar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este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requisito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respecto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personal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vinculado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Colombia.</w:t>
      </w:r>
    </w:p>
    <w:p w14:paraId="7A6358B1" w14:textId="77777777"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p>
    <w:p w14:paraId="504E8911" w14:textId="77777777" w:rsidR="00DE379A" w:rsidRPr="00FC03ED" w:rsidRDefault="00DE379A" w:rsidP="00DE379A">
      <w:pPr>
        <w:pStyle w:val="InviasNormal"/>
        <w:spacing w:before="0" w:after="0"/>
        <w:ind w:left="709" w:right="709"/>
        <w:rPr>
          <w:rFonts w:ascii="Arial" w:eastAsia="Arial" w:hAnsi="Arial" w:cs="Arial"/>
          <w:bCs/>
          <w:color w:val="000000" w:themeColor="text1"/>
          <w:sz w:val="21"/>
          <w:szCs w:val="21"/>
          <w:lang w:val="es-CO"/>
        </w:rPr>
      </w:pPr>
      <w:r w:rsidRPr="00FC03ED">
        <w:rPr>
          <w:rFonts w:ascii="Arial" w:eastAsia="Arial" w:hAnsi="Arial" w:cs="Arial"/>
          <w:bCs/>
          <w:color w:val="000000" w:themeColor="text1"/>
          <w:sz w:val="21"/>
          <w:szCs w:val="21"/>
          <w:lang w:val="es-CO"/>
        </w:rPr>
        <w:t xml:space="preserve">3.4.2. PERSONAS NATURALES </w:t>
      </w:r>
    </w:p>
    <w:p w14:paraId="6FED3A4C" w14:textId="77777777" w:rsidR="00DE379A" w:rsidRPr="00FC03ED" w:rsidRDefault="00DE379A" w:rsidP="00DE379A">
      <w:pPr>
        <w:ind w:left="709" w:right="709"/>
        <w:jc w:val="both"/>
        <w:rPr>
          <w:rFonts w:ascii="Arial" w:hAnsi="Arial" w:cs="Arial"/>
          <w:bCs/>
          <w:color w:val="000000" w:themeColor="text1"/>
          <w:sz w:val="21"/>
          <w:szCs w:val="21"/>
          <w:lang w:val="es-ES"/>
        </w:rPr>
      </w:pPr>
    </w:p>
    <w:p w14:paraId="7AE26FBD" w14:textId="6A44BD9A" w:rsidR="00DE379A" w:rsidRPr="00FC03ED" w:rsidRDefault="00DE379A" w:rsidP="00DE379A">
      <w:pPr>
        <w:ind w:left="709" w:right="709"/>
        <w:jc w:val="both"/>
        <w:rPr>
          <w:rFonts w:ascii="Arial" w:eastAsia="Arial" w:hAnsi="Arial" w:cs="Arial"/>
          <w:bCs/>
          <w:color w:val="000000" w:themeColor="text1"/>
          <w:sz w:val="21"/>
          <w:szCs w:val="21"/>
          <w:lang w:val="es-ES"/>
        </w:rPr>
      </w:pPr>
      <w:r w:rsidRPr="00FC03ED">
        <w:rPr>
          <w:rFonts w:ascii="Arial" w:hAnsi="Arial" w:cs="Arial"/>
          <w:bCs/>
          <w:color w:val="000000" w:themeColor="text1"/>
          <w:sz w:val="21"/>
          <w:szCs w:val="21"/>
          <w:lang w:val="es-ES"/>
        </w:rPr>
        <w:t>El</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Proponente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persona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natural</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deberá</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presentar</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 xml:space="preserve">el </w:t>
      </w:r>
      <w:r w:rsidRPr="00FC03ED">
        <w:rPr>
          <w:rFonts w:ascii="Arial" w:hAnsi="Arial" w:cs="Arial"/>
          <w:bCs/>
          <w:color w:val="000000" w:themeColor="text1"/>
          <w:sz w:val="21"/>
          <w:szCs w:val="21"/>
        </w:rPr>
        <w:fldChar w:fldCharType="begin"/>
      </w:r>
      <w:r w:rsidRPr="00FC03ED">
        <w:rPr>
          <w:rFonts w:ascii="Arial" w:hAnsi="Arial" w:cs="Arial"/>
          <w:bCs/>
          <w:color w:val="000000" w:themeColor="text1"/>
          <w:sz w:val="21"/>
          <w:szCs w:val="21"/>
          <w:lang w:val="es-ES" w:eastAsia="es-ES"/>
        </w:rPr>
        <w:instrText xml:space="preserve"> REF _Ref511657135 \h </w:instrText>
      </w:r>
      <w:r w:rsidRPr="00FC03ED">
        <w:rPr>
          <w:rFonts w:ascii="Arial" w:hAnsi="Arial" w:cs="Arial"/>
          <w:bCs/>
          <w:color w:val="000000" w:themeColor="text1"/>
          <w:sz w:val="21"/>
          <w:szCs w:val="21"/>
        </w:rPr>
        <w:instrText xml:space="preserve"> \* MERGEFORMAT </w:instrText>
      </w:r>
      <w:r w:rsidRPr="00FC03ED">
        <w:rPr>
          <w:rFonts w:ascii="Arial" w:hAnsi="Arial" w:cs="Arial"/>
          <w:bCs/>
          <w:color w:val="000000" w:themeColor="text1"/>
          <w:sz w:val="21"/>
          <w:szCs w:val="21"/>
        </w:rPr>
      </w:r>
      <w:r w:rsidRPr="00FC03ED">
        <w:rPr>
          <w:rFonts w:ascii="Arial" w:hAnsi="Arial" w:cs="Arial"/>
          <w:bCs/>
          <w:color w:val="000000" w:themeColor="text1"/>
          <w:sz w:val="21"/>
          <w:szCs w:val="21"/>
          <w:lang w:val="es-ES" w:eastAsia="es-ES"/>
        </w:rPr>
        <w:fldChar w:fldCharType="separate"/>
      </w:r>
      <w:r w:rsidR="00D21781" w:rsidRPr="00FC03ED">
        <w:rPr>
          <w:rFonts w:ascii="Arial" w:hAnsi="Arial" w:cs="Arial"/>
          <w:b/>
          <w:color w:val="000000" w:themeColor="text1"/>
          <w:sz w:val="21"/>
          <w:szCs w:val="21"/>
          <w:lang w:val="es-ES" w:eastAsia="es-ES"/>
        </w:rPr>
        <w:t>¡Error! No se encuentra el origen de la referencia.</w:t>
      </w:r>
      <w:r w:rsidRPr="00FC03ED">
        <w:rPr>
          <w:rFonts w:ascii="Arial" w:hAnsi="Arial" w:cs="Arial"/>
          <w:bCs/>
          <w:color w:val="000000" w:themeColor="text1"/>
          <w:sz w:val="21"/>
          <w:szCs w:val="21"/>
        </w:rPr>
        <w:fldChar w:fldCharType="end"/>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en</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la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que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conste</w:t>
      </w:r>
      <w:r w:rsidRPr="00FC03ED">
        <w:rPr>
          <w:rFonts w:ascii="Arial" w:eastAsia="Arial" w:hAnsi="Arial" w:cs="Arial"/>
          <w:bCs/>
          <w:color w:val="000000" w:themeColor="text1"/>
          <w:sz w:val="21"/>
          <w:szCs w:val="21"/>
          <w:lang w:val="es-ES"/>
        </w:rPr>
        <w:t xml:space="preserve"> </w:t>
      </w:r>
      <w:bookmarkStart w:id="17" w:name="_Hlk511211004"/>
      <w:r w:rsidRPr="00FC03ED">
        <w:rPr>
          <w:rFonts w:ascii="Arial" w:hAnsi="Arial" w:cs="Arial"/>
          <w:bCs/>
          <w:color w:val="000000" w:themeColor="text1"/>
          <w:sz w:val="21"/>
          <w:szCs w:val="21"/>
          <w:lang w:val="es-ES"/>
        </w:rPr>
        <w:t>el</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pago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sus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aportes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y</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el</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sus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empleados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los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sistemas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salud,</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riesgos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profesionales,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pensiones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y</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aportes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las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Cajas</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Compensación</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Familiar,</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Instituto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Colombiano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Bienestar</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Familiar</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y</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Servicio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Nacional</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de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Aprendizaje,</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cuando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ello</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haya</w:t>
      </w:r>
      <w:r w:rsidRPr="00FC03ED">
        <w:rPr>
          <w:rFonts w:ascii="Arial" w:eastAsia="Arial" w:hAnsi="Arial" w:cs="Arial"/>
          <w:bCs/>
          <w:color w:val="000000" w:themeColor="text1"/>
          <w:sz w:val="21"/>
          <w:szCs w:val="21"/>
          <w:lang w:val="es-ES"/>
        </w:rPr>
        <w:t xml:space="preserve"> </w:t>
      </w:r>
      <w:r w:rsidRPr="00FC03ED">
        <w:rPr>
          <w:rFonts w:ascii="Arial" w:hAnsi="Arial" w:cs="Arial"/>
          <w:bCs/>
          <w:color w:val="000000" w:themeColor="text1"/>
          <w:sz w:val="21"/>
          <w:szCs w:val="21"/>
          <w:lang w:val="es-ES"/>
        </w:rPr>
        <w:t>lugar</w:t>
      </w:r>
      <w:bookmarkEnd w:id="17"/>
      <w:r w:rsidRPr="00FC03ED">
        <w:rPr>
          <w:rFonts w:ascii="Arial" w:hAnsi="Arial" w:cs="Arial"/>
          <w:bCs/>
          <w:color w:val="000000" w:themeColor="text1"/>
          <w:sz w:val="21"/>
          <w:szCs w:val="21"/>
          <w:lang w:val="es-ES"/>
        </w:rPr>
        <w:t>, junto con las planillas de pago respectivas.</w:t>
      </w:r>
      <w:r w:rsidRPr="00FC03ED">
        <w:rPr>
          <w:rFonts w:ascii="Arial" w:eastAsia="Arial" w:hAnsi="Arial" w:cs="Arial"/>
          <w:bCs/>
          <w:color w:val="000000" w:themeColor="text1"/>
          <w:sz w:val="21"/>
          <w:szCs w:val="21"/>
          <w:lang w:val="es-ES"/>
        </w:rPr>
        <w:t xml:space="preserve"> </w:t>
      </w:r>
    </w:p>
    <w:p w14:paraId="5BE5A8DC" w14:textId="77777777" w:rsidR="00DE379A" w:rsidRPr="00FC03ED" w:rsidRDefault="00DE379A" w:rsidP="00DE379A">
      <w:pPr>
        <w:ind w:left="709" w:right="709"/>
        <w:jc w:val="both"/>
        <w:rPr>
          <w:rFonts w:ascii="Arial" w:eastAsia="Arial" w:hAnsi="Arial" w:cs="Arial"/>
          <w:bCs/>
          <w:color w:val="000000" w:themeColor="text1"/>
          <w:sz w:val="21"/>
          <w:szCs w:val="21"/>
          <w:lang w:val="es-ES"/>
        </w:rPr>
      </w:pPr>
    </w:p>
    <w:p w14:paraId="148BDBDD" w14:textId="77777777" w:rsidR="00DE379A" w:rsidRPr="00FC03ED" w:rsidRDefault="00DE379A" w:rsidP="00DE379A">
      <w:pPr>
        <w:ind w:left="709" w:right="709"/>
        <w:jc w:val="both"/>
        <w:rPr>
          <w:rFonts w:ascii="Arial" w:eastAsia="Arial" w:hAnsi="Arial" w:cs="Arial"/>
          <w:bCs/>
          <w:color w:val="000000" w:themeColor="text1"/>
          <w:sz w:val="21"/>
          <w:szCs w:val="21"/>
          <w:lang w:val="es-ES"/>
        </w:rPr>
      </w:pPr>
      <w:r w:rsidRPr="00FC03ED">
        <w:rPr>
          <w:rFonts w:ascii="Arial" w:hAnsi="Arial" w:cs="Arial"/>
          <w:bCs/>
          <w:color w:val="000000" w:themeColor="text1"/>
          <w:sz w:val="21"/>
          <w:szCs w:val="21"/>
          <w:lang w:val="es-ES"/>
        </w:rPr>
        <w:t>Cuando el Proponente sea una persona natural sin personal, deberá acreditar el pago de sus aportes descritos cuando a ello haya lugar de acuerdo con la normativa aplicable</w:t>
      </w:r>
      <w:r w:rsidRPr="00FC03ED">
        <w:rPr>
          <w:rFonts w:ascii="Arial" w:eastAsia="Arial" w:hAnsi="Arial" w:cs="Arial"/>
          <w:bCs/>
          <w:color w:val="000000" w:themeColor="text1"/>
          <w:sz w:val="21"/>
          <w:szCs w:val="21"/>
          <w:lang w:val="es-ES"/>
        </w:rPr>
        <w:t>. </w:t>
      </w:r>
    </w:p>
    <w:p w14:paraId="547E5BE4" w14:textId="77777777" w:rsidR="00DE379A" w:rsidRPr="00FC03ED" w:rsidRDefault="00DE379A" w:rsidP="00DE379A">
      <w:pPr>
        <w:ind w:left="709" w:right="709"/>
        <w:jc w:val="both"/>
        <w:rPr>
          <w:rFonts w:ascii="Arial" w:eastAsia="Arial" w:hAnsi="Arial" w:cs="Arial"/>
          <w:bCs/>
          <w:color w:val="000000" w:themeColor="text1"/>
          <w:sz w:val="21"/>
          <w:szCs w:val="21"/>
          <w:lang w:val="es-ES"/>
        </w:rPr>
      </w:pPr>
    </w:p>
    <w:p w14:paraId="0E9812EC" w14:textId="77777777" w:rsidR="00DE379A" w:rsidRPr="00FC03ED" w:rsidRDefault="00DE379A" w:rsidP="00DE379A">
      <w:pPr>
        <w:ind w:left="709" w:right="709"/>
        <w:jc w:val="both"/>
        <w:rPr>
          <w:rFonts w:ascii="Arial" w:eastAsia="Arial" w:hAnsi="Arial" w:cs="Arial"/>
          <w:bCs/>
          <w:color w:val="000000" w:themeColor="text1"/>
          <w:sz w:val="21"/>
          <w:szCs w:val="21"/>
          <w:lang w:val="es-ES"/>
        </w:rPr>
      </w:pPr>
      <w:r w:rsidRPr="00FC03ED">
        <w:rPr>
          <w:rFonts w:ascii="Arial" w:hAnsi="Arial" w:cs="Arial"/>
          <w:bCs/>
          <w:color w:val="000000" w:themeColor="text1"/>
          <w:sz w:val="21"/>
          <w:szCs w:val="21"/>
          <w:lang w:val="es-ES"/>
        </w:rPr>
        <w:t>Esta misma previsión aplica para las personas naturales extranjeras con domicilio en Colombia las cuales deberán acreditar este requisito respecto del personal vinculado en Colombia</w:t>
      </w:r>
      <w:r w:rsidRPr="00FC03ED">
        <w:rPr>
          <w:rFonts w:ascii="Arial" w:eastAsia="Arial" w:hAnsi="Arial" w:cs="Arial"/>
          <w:bCs/>
          <w:color w:val="000000" w:themeColor="text1"/>
          <w:sz w:val="21"/>
          <w:szCs w:val="21"/>
          <w:lang w:val="es-ES"/>
        </w:rPr>
        <w:t xml:space="preserve">. </w:t>
      </w:r>
    </w:p>
    <w:p w14:paraId="7B1A9A15" w14:textId="77777777" w:rsidR="00DE379A" w:rsidRPr="00FC03ED" w:rsidRDefault="00DE379A" w:rsidP="00DE379A">
      <w:pPr>
        <w:ind w:left="709" w:right="709"/>
        <w:jc w:val="both"/>
        <w:rPr>
          <w:rFonts w:ascii="Arial" w:eastAsia="Arial" w:hAnsi="Arial" w:cs="Arial"/>
          <w:bCs/>
          <w:color w:val="000000" w:themeColor="text1"/>
          <w:sz w:val="21"/>
          <w:szCs w:val="21"/>
          <w:lang w:val="es-ES"/>
        </w:rPr>
      </w:pPr>
    </w:p>
    <w:p w14:paraId="46961A3B" w14:textId="77777777" w:rsidR="00DE379A" w:rsidRPr="00FC03ED" w:rsidRDefault="00DE379A" w:rsidP="00DE379A">
      <w:pPr>
        <w:pStyle w:val="InviasNormal"/>
        <w:spacing w:before="0" w:after="0"/>
        <w:ind w:left="709" w:right="709"/>
        <w:rPr>
          <w:rFonts w:ascii="Arial" w:eastAsia="Arial" w:hAnsi="Arial" w:cs="Arial"/>
          <w:bCs/>
          <w:color w:val="000000" w:themeColor="text1"/>
          <w:sz w:val="21"/>
          <w:szCs w:val="21"/>
          <w:lang w:val="es-CO"/>
        </w:rPr>
      </w:pPr>
      <w:r w:rsidRPr="00FC03ED">
        <w:rPr>
          <w:rFonts w:ascii="Arial" w:eastAsia="Arial" w:hAnsi="Arial" w:cs="Arial"/>
          <w:bCs/>
          <w:color w:val="000000" w:themeColor="text1"/>
          <w:sz w:val="21"/>
          <w:szCs w:val="21"/>
          <w:lang w:val="es-CO"/>
        </w:rPr>
        <w:t xml:space="preserve">3.4.3. PROPONENTES PLURALES </w:t>
      </w:r>
    </w:p>
    <w:p w14:paraId="077913FE" w14:textId="77777777" w:rsidR="00DE379A" w:rsidRPr="00FC03ED" w:rsidRDefault="00DE379A" w:rsidP="00DE379A">
      <w:pPr>
        <w:ind w:left="709" w:right="709"/>
        <w:jc w:val="both"/>
        <w:rPr>
          <w:rFonts w:ascii="Arial" w:hAnsi="Arial" w:cs="Arial"/>
          <w:bCs/>
          <w:color w:val="000000" w:themeColor="text1"/>
          <w:sz w:val="21"/>
          <w:szCs w:val="21"/>
        </w:rPr>
      </w:pPr>
    </w:p>
    <w:p w14:paraId="4B00A07C" w14:textId="77777777" w:rsidR="00DE379A" w:rsidRPr="00FC03ED" w:rsidRDefault="00DE379A" w:rsidP="00DE379A">
      <w:pPr>
        <w:ind w:left="709" w:right="709"/>
        <w:jc w:val="both"/>
        <w:rPr>
          <w:rFonts w:ascii="Arial" w:hAnsi="Arial" w:cs="Arial"/>
          <w:bCs/>
          <w:color w:val="000000" w:themeColor="text1"/>
          <w:sz w:val="21"/>
          <w:szCs w:val="21"/>
        </w:rPr>
      </w:pPr>
      <w:r w:rsidRPr="00FC03ED">
        <w:rPr>
          <w:rFonts w:ascii="Arial" w:hAnsi="Arial" w:cs="Arial"/>
          <w:bCs/>
          <w:color w:val="000000" w:themeColor="text1"/>
          <w:sz w:val="21"/>
          <w:szCs w:val="21"/>
        </w:rPr>
        <w:t>Cada</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uno</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de</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los</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integrantes</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del Proponente</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Plural</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debe suscribir</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por</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separado</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la</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declaración</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de</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la</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que</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tratan</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los</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anteriores</w:t>
      </w:r>
      <w:r w:rsidRPr="00FC03ED">
        <w:rPr>
          <w:rFonts w:ascii="Arial" w:eastAsia="Arial" w:hAnsi="Arial" w:cs="Arial"/>
          <w:bCs/>
          <w:color w:val="000000" w:themeColor="text1"/>
          <w:sz w:val="21"/>
          <w:szCs w:val="21"/>
        </w:rPr>
        <w:t xml:space="preserve"> </w:t>
      </w:r>
      <w:r w:rsidRPr="00FC03ED">
        <w:rPr>
          <w:rFonts w:ascii="Arial" w:hAnsi="Arial" w:cs="Arial"/>
          <w:bCs/>
          <w:color w:val="000000" w:themeColor="text1"/>
          <w:sz w:val="21"/>
          <w:szCs w:val="21"/>
        </w:rPr>
        <w:t>numerales.</w:t>
      </w:r>
    </w:p>
    <w:p w14:paraId="72198B23" w14:textId="77777777" w:rsidR="00DE379A" w:rsidRPr="00FC03ED" w:rsidRDefault="00DE379A" w:rsidP="00DE379A">
      <w:pPr>
        <w:ind w:left="709" w:right="709"/>
        <w:jc w:val="both"/>
        <w:rPr>
          <w:rFonts w:ascii="Arial" w:eastAsia="Arial" w:hAnsi="Arial" w:cs="Arial"/>
          <w:bCs/>
          <w:color w:val="000000" w:themeColor="text1"/>
          <w:sz w:val="21"/>
          <w:szCs w:val="21"/>
        </w:rPr>
      </w:pPr>
    </w:p>
    <w:p w14:paraId="58FBB29A" w14:textId="77777777" w:rsidR="00DE379A" w:rsidRPr="00FC03ED" w:rsidRDefault="00DE379A" w:rsidP="00DE379A">
      <w:pPr>
        <w:pStyle w:val="InviasNormal"/>
        <w:spacing w:before="0" w:after="0"/>
        <w:ind w:left="709" w:right="709"/>
        <w:rPr>
          <w:rFonts w:ascii="Arial" w:eastAsia="Arial" w:hAnsi="Arial" w:cs="Arial"/>
          <w:bCs/>
          <w:color w:val="000000" w:themeColor="text1"/>
          <w:sz w:val="21"/>
          <w:szCs w:val="21"/>
          <w:lang w:val="es-CO"/>
        </w:rPr>
      </w:pPr>
      <w:r w:rsidRPr="00FC03ED">
        <w:rPr>
          <w:rFonts w:ascii="Arial" w:eastAsia="Arial" w:hAnsi="Arial" w:cs="Arial"/>
          <w:bCs/>
          <w:color w:val="000000" w:themeColor="text1"/>
          <w:sz w:val="21"/>
          <w:szCs w:val="21"/>
          <w:lang w:val="es-CO"/>
        </w:rPr>
        <w:t xml:space="preserve">3.4.4. SEGURIDAD SOCIAL PARA LA SUSCRIPCIÓN DEL CONTRATO </w:t>
      </w:r>
    </w:p>
    <w:p w14:paraId="4AFFA592" w14:textId="77777777" w:rsidR="00DE379A" w:rsidRPr="00FC03ED" w:rsidRDefault="00DE379A" w:rsidP="00DE379A">
      <w:pPr>
        <w:ind w:left="709" w:right="709"/>
        <w:jc w:val="both"/>
        <w:rPr>
          <w:rFonts w:ascii="Arial" w:hAnsi="Arial" w:cs="Arial"/>
          <w:bCs/>
          <w:color w:val="000000" w:themeColor="text1"/>
          <w:sz w:val="21"/>
          <w:szCs w:val="21"/>
          <w:lang w:eastAsia="es-ES"/>
        </w:rPr>
      </w:pPr>
    </w:p>
    <w:p w14:paraId="4C7FB3E5" w14:textId="77777777"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adjudicatario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debe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presentar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para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suscripción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respectivo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Contrato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ante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dependencia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respectiva,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declaración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donde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acredite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pago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correspondiente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seguridad</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social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aportes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legales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cuando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ello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haya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lugar.</w:t>
      </w:r>
      <w:r w:rsidRPr="00FC03ED">
        <w:rPr>
          <w:rFonts w:ascii="Arial" w:eastAsia="Arial,Times New Roman" w:hAnsi="Arial" w:cs="Arial"/>
          <w:bCs/>
          <w:color w:val="000000" w:themeColor="text1"/>
          <w:sz w:val="21"/>
          <w:szCs w:val="21"/>
          <w:lang w:val="es-ES" w:eastAsia="es-ES"/>
        </w:rPr>
        <w:t xml:space="preserve"> </w:t>
      </w:r>
    </w:p>
    <w:p w14:paraId="5A253A92" w14:textId="77777777" w:rsidR="00DE379A" w:rsidRPr="00FC03ED" w:rsidRDefault="00DE379A" w:rsidP="00DE379A">
      <w:pPr>
        <w:ind w:left="709" w:right="709"/>
        <w:jc w:val="both"/>
        <w:rPr>
          <w:rFonts w:ascii="Arial" w:eastAsia="Arial,Times New Roman"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En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caso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que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adjudicatario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persona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natural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jurídica,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no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tenga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haya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tenido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dentro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los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seis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6</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meses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anteriores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fecha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firma del Contrato personal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cargo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por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ende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no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esté</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obligado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efectuar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pago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aportes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legales</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y</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seguridad</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social</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debe,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bajo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gravedad</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de</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juramento,</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indicar</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esta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circunstancia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en</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la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mencionada</w:t>
      </w:r>
      <w:r w:rsidRPr="00FC03ED">
        <w:rPr>
          <w:rFonts w:ascii="Arial" w:eastAsia="Arial,Times New Roman" w:hAnsi="Arial" w:cs="Arial"/>
          <w:bCs/>
          <w:color w:val="000000" w:themeColor="text1"/>
          <w:sz w:val="21"/>
          <w:szCs w:val="21"/>
          <w:lang w:val="es-ES" w:eastAsia="es-ES"/>
        </w:rPr>
        <w:t xml:space="preserve"> </w:t>
      </w:r>
      <w:r w:rsidRPr="00FC03ED">
        <w:rPr>
          <w:rFonts w:ascii="Arial" w:hAnsi="Arial" w:cs="Arial"/>
          <w:bCs/>
          <w:color w:val="000000" w:themeColor="text1"/>
          <w:sz w:val="21"/>
          <w:szCs w:val="21"/>
          <w:lang w:val="es-ES" w:eastAsia="es-ES"/>
        </w:rPr>
        <w:t>certificación.</w:t>
      </w:r>
    </w:p>
    <w:bookmarkEnd w:id="14"/>
    <w:bookmarkEnd w:id="16"/>
    <w:p w14:paraId="6144DFD5"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p>
    <w:p w14:paraId="2A4BE4B1"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 xml:space="preserve">La versión 2 de los documentos tipo mantiene, en lo sustancial, el contenido del numeral 3.4., pero agrega en el sub-numeral 3.4.1. la siguiente nota frente a la acreditación </w:t>
      </w:r>
      <w:r w:rsidRPr="00FC03ED">
        <w:rPr>
          <w:rFonts w:ascii="Arial" w:hAnsi="Arial" w:cs="Arial"/>
          <w:color w:val="000000" w:themeColor="text1"/>
          <w:sz w:val="22"/>
          <w:lang w:val="es-ES_tradnl"/>
        </w:rPr>
        <w:lastRenderedPageBreak/>
        <w:t>de este deber por parte de las personas jurídicas en los procedimientos de licitación pública: «Las Entidades no podrán exigir las planillas de pago. Bastará el certificado suscrito por el Revisor Fiscal, en los casos requeridos por la Ley, o por el Representante Legal que así lo acredite». A su vez, en relación con las personas naturales, el numeral 3.4.2. del nuevo pliego tipo incorpora una modificación importante, en el siguiente sentido:</w:t>
      </w:r>
    </w:p>
    <w:p w14:paraId="3C912CDF"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p>
    <w:p w14:paraId="2873474C"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 xml:space="preserve">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w:t>
      </w:r>
    </w:p>
    <w:p w14:paraId="6982F1BE"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p>
    <w:p w14:paraId="5F80FCA2"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14:paraId="7268C14B"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p>
    <w:p w14:paraId="37CC5069"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 xml:space="preserve">La persona natural que reúna los requisitos para acceder a la pensión de vejez, o se pensione por invalidez o anticipadamente, presentará el certificado que lo acredite y, además la afiliación al sistema de salud. </w:t>
      </w:r>
    </w:p>
    <w:p w14:paraId="343590DB"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p>
    <w:p w14:paraId="0602EAB1"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Esta misma previsión aplica para las personas naturales extranjeras con domicilio en Colombia las cuales deberán acreditar este requisito respecto del personal vinculado en Colombia.</w:t>
      </w:r>
    </w:p>
    <w:p w14:paraId="38F24691"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p>
    <w:p w14:paraId="418A0058" w14:textId="77777777" w:rsidR="00DE379A" w:rsidRPr="00FC03ED" w:rsidRDefault="00DE379A" w:rsidP="00DE379A">
      <w:pPr>
        <w:spacing w:line="276" w:lineRule="auto"/>
        <w:ind w:firstLine="709"/>
        <w:jc w:val="both"/>
        <w:rPr>
          <w:rFonts w:ascii="Arial" w:hAnsi="Arial" w:cs="Arial"/>
          <w:color w:val="000000" w:themeColor="text1"/>
          <w:sz w:val="22"/>
          <w:lang w:val="es-ES_tradnl"/>
        </w:rPr>
      </w:pPr>
      <w:r w:rsidRPr="00FC03ED">
        <w:rPr>
          <w:rFonts w:ascii="Arial" w:hAnsi="Arial" w:cs="Arial"/>
          <w:color w:val="000000" w:themeColor="text1"/>
          <w:sz w:val="22"/>
          <w:lang w:val="es-ES_tradnl"/>
        </w:rPr>
        <w:t>Además, la versión 2 de los documentos tipo agrega el sub-numeral 3.4.5., para regular el deber de verificación, por parte de las entidades estatales, de los aportes al Sistema de Seguridad Social Integral, durante la ejecución del contrato, así:</w:t>
      </w:r>
    </w:p>
    <w:p w14:paraId="663BF760" w14:textId="77777777" w:rsidR="00DE379A" w:rsidRPr="00FC03ED" w:rsidRDefault="00DE379A" w:rsidP="00DE379A">
      <w:pPr>
        <w:spacing w:line="276" w:lineRule="auto"/>
        <w:jc w:val="both"/>
        <w:rPr>
          <w:rFonts w:ascii="Arial" w:hAnsi="Arial" w:cs="Arial"/>
          <w:color w:val="000000" w:themeColor="text1"/>
          <w:sz w:val="22"/>
          <w:lang w:val="es-ES_tradnl"/>
        </w:rPr>
      </w:pPr>
    </w:p>
    <w:p w14:paraId="258DFBB0"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 xml:space="preserve">3.4.5. ACREDITACIÓN DEL PAGO AL SISTEMA DE SEGURIDAD SOCIAL DURANTE LA EJECUCIÓN DEL CONTRATO </w:t>
      </w:r>
    </w:p>
    <w:p w14:paraId="52FD524C"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p>
    <w:p w14:paraId="5B4B12C3" w14:textId="77777777" w:rsidR="00DE379A" w:rsidRPr="00FC03ED" w:rsidRDefault="00DE379A" w:rsidP="00DE379A">
      <w:pPr>
        <w:ind w:left="709" w:right="709"/>
        <w:jc w:val="both"/>
        <w:rPr>
          <w:rFonts w:ascii="Arial" w:hAnsi="Arial" w:cs="Arial"/>
          <w:bCs/>
          <w:color w:val="000000" w:themeColor="text1"/>
          <w:sz w:val="21"/>
          <w:szCs w:val="21"/>
          <w:lang w:val="es-ES" w:eastAsia="es-ES"/>
        </w:rPr>
      </w:pPr>
      <w:r w:rsidRPr="00FC03ED">
        <w:rPr>
          <w:rFonts w:ascii="Arial" w:hAnsi="Arial" w:cs="Arial"/>
          <w:bCs/>
          <w:color w:val="000000" w:themeColor="text1"/>
          <w:sz w:val="21"/>
          <w:szCs w:val="21"/>
          <w:lang w:val="es-ES" w:eastAsia="es-ES"/>
        </w:rPr>
        <w:t xml:space="preserve">El contratista debe acreditar, para realizar cada pago del contrato, que se encuentra al día en los aportes parafiscales relativos al Sistema de Seguridad Social Integral, así como los propios del Sena, ICBF y Cajas de Compensación Familiar, cuando corresponda.  </w:t>
      </w:r>
    </w:p>
    <w:p w14:paraId="6A1BA4EB" w14:textId="77777777" w:rsidR="00DE379A" w:rsidRPr="00FC03ED" w:rsidRDefault="00DE379A" w:rsidP="00DE379A">
      <w:pPr>
        <w:spacing w:line="276" w:lineRule="auto"/>
        <w:jc w:val="both"/>
        <w:rPr>
          <w:rFonts w:ascii="Arial" w:hAnsi="Arial" w:cs="Arial"/>
          <w:color w:val="000000" w:themeColor="text1"/>
          <w:sz w:val="22"/>
          <w:lang w:val="es-ES"/>
        </w:rPr>
      </w:pPr>
    </w:p>
    <w:p w14:paraId="4192C2A8" w14:textId="77777777" w:rsidR="00DE379A" w:rsidRPr="00FC03ED" w:rsidRDefault="00DE379A" w:rsidP="00DE379A">
      <w:pPr>
        <w:spacing w:line="276" w:lineRule="auto"/>
        <w:ind w:firstLine="709"/>
        <w:jc w:val="both"/>
        <w:rPr>
          <w:rFonts w:ascii="Arial" w:hAnsi="Arial" w:cs="Arial"/>
          <w:color w:val="000000" w:themeColor="text1"/>
          <w:sz w:val="22"/>
          <w:lang w:val="es-ES"/>
        </w:rPr>
      </w:pPr>
      <w:r w:rsidRPr="00FC03ED">
        <w:rPr>
          <w:rFonts w:ascii="Arial" w:hAnsi="Arial" w:cs="Arial"/>
          <w:color w:val="000000" w:themeColor="text1"/>
          <w:sz w:val="22"/>
          <w:lang w:val="es-ES"/>
        </w:rPr>
        <w:t xml:space="preserve">Se colige entonces que en ambas versiones de los documentos tipo que deben respetarse para la elaboración de los pliegos de condiciones en las licitaciones de obra pública de infraestructura de transporte, el numeral 3.4., y específicamente el sub-numeral 3.4.1., exigen que las personas jurídicas presenten con la oferta, como requisito habilitante, el Formato 6 suscrito por el revisor fiscal, cuando este se requiera según la ley, o por el representante legal; lo que guarda consonancia con lo dispuesto en el artículo 50 de la Ley 789 de 2002. Aparte de dicho formato, la persona jurídica no tiene que presentar otro documento. </w:t>
      </w:r>
    </w:p>
    <w:p w14:paraId="36428777" w14:textId="77777777" w:rsidR="00DE379A" w:rsidRPr="00FC03ED" w:rsidRDefault="00DE379A" w:rsidP="00DE379A">
      <w:pPr>
        <w:spacing w:before="120" w:line="276" w:lineRule="auto"/>
        <w:ind w:firstLine="709"/>
        <w:jc w:val="both"/>
        <w:rPr>
          <w:rFonts w:ascii="Arial" w:hAnsi="Arial" w:cs="Arial"/>
          <w:color w:val="000000" w:themeColor="text1"/>
          <w:sz w:val="22"/>
          <w:lang w:val="es-ES"/>
        </w:rPr>
      </w:pPr>
      <w:r w:rsidRPr="00FC03ED">
        <w:rPr>
          <w:rFonts w:ascii="Arial" w:hAnsi="Arial" w:cs="Arial"/>
          <w:color w:val="000000" w:themeColor="text1"/>
          <w:sz w:val="22"/>
          <w:lang w:val="es-ES"/>
        </w:rPr>
        <w:lastRenderedPageBreak/>
        <w:t>En consecuencia, se menoscaban los principios de legalidad, economía, selección objetiva y libre concurrencia, cuando las entidades estatales, yendo en contra de lo que establece el mencionado artículo de la Ley 789, más el numeral 3.4 del pliego tipo, que tiene un carácter inmodificable, exigen para la acreditación del requisito habilitante de «pagos de seguridad social y aportes legales» la presentación de planillas de los socios, del representante legal y del revisor fiscal o piden documentos adicionales al Formato 6, cuando este es el único que los documentos tipo solicitan presentar. Como se indicó, 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3153B14E" w14:textId="77777777" w:rsidR="00DE379A" w:rsidRPr="00FC03ED" w:rsidRDefault="00DE379A" w:rsidP="00DE379A">
      <w:pPr>
        <w:spacing w:line="276" w:lineRule="auto"/>
        <w:jc w:val="both"/>
        <w:rPr>
          <w:rFonts w:ascii="Arial" w:hAnsi="Arial" w:cs="Arial"/>
          <w:color w:val="000000" w:themeColor="text1"/>
          <w:sz w:val="22"/>
          <w:lang w:val="es-ES"/>
        </w:rPr>
      </w:pPr>
    </w:p>
    <w:p w14:paraId="72C5C557" w14:textId="77777777" w:rsidR="00DE379A" w:rsidRPr="00FC03ED" w:rsidRDefault="00DE379A" w:rsidP="00DE379A">
      <w:pPr>
        <w:pStyle w:val="Prrafodelista"/>
        <w:tabs>
          <w:tab w:val="left" w:pos="284"/>
        </w:tabs>
        <w:spacing w:line="276" w:lineRule="auto"/>
        <w:ind w:left="0"/>
        <w:jc w:val="both"/>
        <w:rPr>
          <w:rFonts w:ascii="Arial" w:eastAsia="Calibri" w:hAnsi="Arial" w:cs="Arial"/>
          <w:color w:val="000000" w:themeColor="text1"/>
          <w:sz w:val="22"/>
          <w:lang w:val="es-ES_tradnl"/>
        </w:rPr>
      </w:pPr>
      <w:r w:rsidRPr="00FC03ED">
        <w:rPr>
          <w:rFonts w:ascii="Arial" w:eastAsia="Calibri" w:hAnsi="Arial" w:cs="Arial"/>
          <w:b/>
          <w:color w:val="000000" w:themeColor="text1"/>
          <w:sz w:val="22"/>
          <w:lang w:val="es-ES_tradnl"/>
        </w:rPr>
        <w:t>3. Respuestas</w:t>
      </w:r>
    </w:p>
    <w:p w14:paraId="283089CD" w14:textId="77777777" w:rsidR="00DE379A" w:rsidRPr="00FC03ED" w:rsidRDefault="00DE379A" w:rsidP="00DE379A">
      <w:pPr>
        <w:spacing w:line="276" w:lineRule="auto"/>
        <w:ind w:left="709" w:right="709"/>
        <w:jc w:val="both"/>
        <w:rPr>
          <w:rFonts w:ascii="Arial" w:eastAsia="Calibri" w:hAnsi="Arial" w:cs="Arial"/>
          <w:i/>
          <w:color w:val="000000" w:themeColor="text1"/>
          <w:sz w:val="22"/>
          <w:lang w:val="es-ES_tradnl"/>
        </w:rPr>
      </w:pPr>
    </w:p>
    <w:p w14:paraId="6923463A" w14:textId="77777777" w:rsidR="00DE379A" w:rsidRPr="00FC03ED" w:rsidRDefault="00DE379A" w:rsidP="00DE379A">
      <w:pPr>
        <w:spacing w:line="276" w:lineRule="auto"/>
        <w:ind w:left="708" w:right="709"/>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i) «¿Dentro de la norma si los accionistas no son empleados de la empresa, por qué se debe aportar planillas de seguridad social? ¿Este requisito tendría fundamento en alguna normatividad? ¿Se podría rechazar una oferta por esto? ¿El comité evaluador estaría trasgrediendo sus funciones al pedir estas planillas del pago de seguridad social de los accionistas si la norma dice es de los empleados de la empresa?».</w:t>
      </w:r>
    </w:p>
    <w:p w14:paraId="094A0739"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7803DB9D"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 xml:space="preserve">Las entidades estatales no pueden exigir que las personas jurídicas presenten con la oferta las planillas de pago de los aportes al Sistema de Seguridad Social Integral de sus accionistas, pues tal solicitud no tiene fundamento normativo, ya que el artículo 50 de la Ley 789 de 2002 y el numeral 3.4.1. de los documentos tipo para licitación de obra pública de infraestructura de transporte no contemplan tal obligación. Lo que tales normas establecen es que se debe aportar la certificación del revisor fiscal o del representante legal, según el caso, en la que conste que la persona jurídica –no sus socios– se encuentran al día en el pago de los aportes al Sistema Integral de Seguridad Social y parafiscales respecto de sus </w:t>
      </w:r>
      <w:r w:rsidRPr="00FC03ED">
        <w:rPr>
          <w:rFonts w:ascii="Arial" w:eastAsia="Calibri" w:hAnsi="Arial" w:cs="Arial"/>
          <w:i/>
          <w:iCs/>
          <w:color w:val="000000" w:themeColor="text1"/>
          <w:sz w:val="22"/>
          <w:lang w:val="es-ES_tradnl"/>
        </w:rPr>
        <w:t>empleados</w:t>
      </w:r>
      <w:r w:rsidRPr="00FC03ED">
        <w:rPr>
          <w:rFonts w:ascii="Arial" w:eastAsia="Calibri" w:hAnsi="Arial" w:cs="Arial"/>
          <w:color w:val="000000" w:themeColor="text1"/>
          <w:sz w:val="22"/>
          <w:lang w:val="es-ES_tradnl"/>
        </w:rPr>
        <w:t xml:space="preserve">. Tal certificación es el Formato 6 de los pliegos de condiciones tipo, que no contiene la exigencia de entregar planillas de los accionistas. Es más, el numeral 3.4.1 de la versión 2 de los documentos tipo hoy lo prohíbe expresamente: </w:t>
      </w:r>
      <w:r w:rsidRPr="00FC03ED">
        <w:rPr>
          <w:rFonts w:ascii="Arial" w:hAnsi="Arial" w:cs="Arial"/>
          <w:color w:val="000000" w:themeColor="text1"/>
          <w:sz w:val="22"/>
          <w:lang w:val="es-ES_tradnl"/>
        </w:rPr>
        <w:t xml:space="preserve">«Las Entidades no podrán exigir las planillas de pago. Bastará el certificado suscrito por el Revisor Fiscal, en los casos requeridos por la Ley, o por el Representante Legal que así lo acredite». </w:t>
      </w:r>
      <w:r w:rsidRPr="00FC03ED">
        <w:rPr>
          <w:rFonts w:ascii="Arial" w:eastAsia="Calibri" w:hAnsi="Arial" w:cs="Arial"/>
          <w:color w:val="000000" w:themeColor="text1"/>
          <w:sz w:val="22"/>
          <w:lang w:val="es-ES_tradnl"/>
        </w:rPr>
        <w:t xml:space="preserve">En consecuencia, ni el comité evaluador está facultado para pedirlas, ni se puede rechazar la oferta por ello, ya que no se trata de un requisito habilitante incumplido. </w:t>
      </w:r>
    </w:p>
    <w:p w14:paraId="470D01EF" w14:textId="77777777" w:rsidR="00DE379A" w:rsidRPr="00FC03ED" w:rsidRDefault="00DE379A" w:rsidP="00DE379A">
      <w:pPr>
        <w:spacing w:line="276" w:lineRule="auto"/>
        <w:ind w:firstLine="709"/>
        <w:jc w:val="both"/>
        <w:rPr>
          <w:rFonts w:ascii="Arial" w:eastAsia="Calibri" w:hAnsi="Arial" w:cs="Arial"/>
          <w:color w:val="000000" w:themeColor="text1"/>
          <w:sz w:val="22"/>
          <w:lang w:val="es-ES_tradnl"/>
        </w:rPr>
      </w:pPr>
    </w:p>
    <w:p w14:paraId="590FF6E1" w14:textId="77777777" w:rsidR="00DE379A" w:rsidRPr="00FC03ED" w:rsidRDefault="00DE379A" w:rsidP="00DE379A">
      <w:pPr>
        <w:spacing w:line="276" w:lineRule="auto"/>
        <w:ind w:left="708" w:right="709"/>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 xml:space="preserve">ii) «Si se tiene contratados externamente al contador y/o revisor fiscal mediante contratos de prestación de servicios, es decir contratista independiente; ¿es viable que la entidad exija las planillas de seguridad social de estos profesionales? ¿Estos profesionales se contarían como empleados? ¿Se podría rechazar una oferta por esto? ¿El comité evaluador </w:t>
      </w:r>
      <w:r w:rsidRPr="00FC03ED">
        <w:rPr>
          <w:rFonts w:ascii="Arial" w:eastAsia="Calibri" w:hAnsi="Arial" w:cs="Arial"/>
          <w:color w:val="000000" w:themeColor="text1"/>
          <w:sz w:val="22"/>
          <w:lang w:val="es-ES_tradnl"/>
        </w:rPr>
        <w:lastRenderedPageBreak/>
        <w:t>estaría trasgrediendo sus funciones al pedir estas planillas del pago de seguridad social de los Contratistas independientes si la norma dice es de los empleados de la empresa?»</w:t>
      </w:r>
    </w:p>
    <w:p w14:paraId="547EF366" w14:textId="77777777" w:rsidR="00DE379A" w:rsidRPr="00FC03ED" w:rsidRDefault="00DE379A" w:rsidP="00DE379A">
      <w:pPr>
        <w:spacing w:line="276" w:lineRule="auto"/>
        <w:ind w:left="708" w:right="709"/>
        <w:jc w:val="both"/>
        <w:rPr>
          <w:rFonts w:ascii="Arial" w:eastAsia="Calibri" w:hAnsi="Arial" w:cs="Arial"/>
          <w:color w:val="000000" w:themeColor="text1"/>
          <w:sz w:val="22"/>
          <w:lang w:val="es-ES_tradnl"/>
        </w:rPr>
      </w:pPr>
    </w:p>
    <w:p w14:paraId="254C6BD8"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 xml:space="preserve">Ni el artículo 50 de la Ley 789 de 2002, ni el numeral 3.4.1. de los documentos tipo para los procesos de licitación de obra pública de infraestructura de transporte mandan que las personas jurídicas que concurran al trámite entreguen dentro de la oferta las planillas del pago de los aportes a la seguridad social de los contadores o revisores fiscales, pues, como se indicó al responder la pregunta anterior, lo único que debe aportarse diligenciado y suscrito es el Formato 6. En consecuencia, ni el comité evaluador está facultado para pedirlas, ni se puede rechazar la oferta por ello, ya que no se trata de un requisito habilitante incumplido. Según se indicó, el numeral 3.4.1 de la versión 2 de los documentos tipo hoy lo prohíbe expresamente: </w:t>
      </w:r>
      <w:r w:rsidRPr="00FC03ED">
        <w:rPr>
          <w:rFonts w:ascii="Arial" w:hAnsi="Arial" w:cs="Arial"/>
          <w:color w:val="000000" w:themeColor="text1"/>
          <w:sz w:val="22"/>
          <w:lang w:val="es-ES_tradnl"/>
        </w:rPr>
        <w:t>«Las Entidades no podrán exigir las planillas de pago. Bastará el certificado suscrito por el Revisor Fiscal, en los casos requeridos por la Ley, o por el Representante Legal que así lo acredite».</w:t>
      </w:r>
    </w:p>
    <w:p w14:paraId="7FD2047F" w14:textId="77777777" w:rsidR="00DE379A" w:rsidRPr="00FC03ED" w:rsidRDefault="00DE379A" w:rsidP="00DE379A">
      <w:pPr>
        <w:spacing w:before="120" w:line="276" w:lineRule="auto"/>
        <w:ind w:firstLine="709"/>
        <w:jc w:val="both"/>
        <w:rPr>
          <w:rFonts w:ascii="Arial" w:hAnsi="Arial" w:cs="Arial"/>
          <w:color w:val="000000" w:themeColor="text1"/>
          <w:sz w:val="22"/>
          <w:lang w:val="es-ES"/>
        </w:rPr>
      </w:pPr>
      <w:r w:rsidRPr="00FC03ED">
        <w:rPr>
          <w:rFonts w:ascii="Arial" w:eastAsia="Calibri" w:hAnsi="Arial" w:cs="Arial"/>
          <w:color w:val="000000" w:themeColor="text1"/>
          <w:sz w:val="22"/>
          <w:lang w:val="es-ES_tradnl"/>
        </w:rPr>
        <w:t xml:space="preserve">Finalmente, se recuerda que </w:t>
      </w:r>
      <w:r w:rsidRPr="00FC03ED">
        <w:rPr>
          <w:rFonts w:ascii="Arial" w:hAnsi="Arial" w:cs="Arial"/>
          <w:color w:val="000000" w:themeColor="text1"/>
          <w:sz w:val="22"/>
          <w:lang w:val="es-ES"/>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370383D5"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1CE55A6C"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25CAA51F"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p>
    <w:p w14:paraId="6A2D5F77" w14:textId="77777777" w:rsidR="00DE379A" w:rsidRPr="00FC03ED" w:rsidRDefault="00DE379A" w:rsidP="00DE379A">
      <w:pPr>
        <w:spacing w:line="276" w:lineRule="auto"/>
        <w:jc w:val="both"/>
        <w:rPr>
          <w:rFonts w:ascii="Arial" w:eastAsia="Calibri" w:hAnsi="Arial" w:cs="Arial"/>
          <w:color w:val="000000" w:themeColor="text1"/>
          <w:sz w:val="22"/>
          <w:lang w:val="es-ES_tradnl"/>
        </w:rPr>
      </w:pPr>
      <w:r w:rsidRPr="00FC03ED">
        <w:rPr>
          <w:noProof/>
          <w:color w:val="000000" w:themeColor="text1"/>
          <w:lang w:val="en-US"/>
        </w:rPr>
        <mc:AlternateContent>
          <mc:Choice Requires="wps">
            <w:drawing>
              <wp:anchor distT="0" distB="0" distL="114300" distR="114300" simplePos="0" relativeHeight="251658240" behindDoc="0" locked="0" layoutInCell="1" allowOverlap="1" wp14:anchorId="2CBA35EC" wp14:editId="7EB37C51">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48DD08"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9B443D3" w14:textId="77777777" w:rsidR="00DE379A" w:rsidRPr="00FC03ED" w:rsidRDefault="00DE379A" w:rsidP="00DE379A">
      <w:pPr>
        <w:spacing w:line="276" w:lineRule="auto"/>
        <w:rPr>
          <w:rFonts w:ascii="Arial" w:hAnsi="Arial" w:cs="Arial"/>
          <w:color w:val="000000" w:themeColor="text1"/>
          <w:sz w:val="22"/>
          <w:lang w:val="es-ES_tradnl" w:eastAsia="es-CO"/>
        </w:rPr>
      </w:pPr>
      <w:r w:rsidRPr="00FC03ED">
        <w:rPr>
          <w:rFonts w:ascii="Arial" w:hAnsi="Arial" w:cs="Arial"/>
          <w:color w:val="000000" w:themeColor="text1"/>
          <w:sz w:val="22"/>
          <w:lang w:val="es-ES_tradnl" w:eastAsia="es-CO"/>
        </w:rPr>
        <w:t>Atentamente,</w:t>
      </w:r>
    </w:p>
    <w:p w14:paraId="439AEF90" w14:textId="7B2ED0BA" w:rsidR="00DE379A" w:rsidRPr="00FC03ED" w:rsidRDefault="00140062" w:rsidP="00DE379A">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4E0A5CE4" wp14:editId="7E9A714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C03ED" w:rsidRPr="00FC03ED" w14:paraId="0ABDCFD9" w14:textId="77777777" w:rsidTr="0068231F">
        <w:trPr>
          <w:trHeight w:val="315"/>
        </w:trPr>
        <w:tc>
          <w:tcPr>
            <w:tcW w:w="812" w:type="dxa"/>
            <w:vAlign w:val="center"/>
            <w:hideMark/>
          </w:tcPr>
          <w:p w14:paraId="29E52F18"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84C8602"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Cristian Andrés Díaz Díez</w:t>
            </w:r>
          </w:p>
        </w:tc>
      </w:tr>
      <w:tr w:rsidR="00FC03ED" w:rsidRPr="00FC03ED" w14:paraId="16E02FD5" w14:textId="77777777" w:rsidTr="0068231F">
        <w:trPr>
          <w:trHeight w:val="330"/>
        </w:trPr>
        <w:tc>
          <w:tcPr>
            <w:tcW w:w="812" w:type="dxa"/>
            <w:vAlign w:val="center"/>
            <w:hideMark/>
          </w:tcPr>
          <w:p w14:paraId="2EDB787F"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AA709C"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Fabián Gonzalo Marín Cortés</w:t>
            </w:r>
          </w:p>
          <w:p w14:paraId="09AEEDA9"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Subdirector de Gestión Contractual</w:t>
            </w:r>
          </w:p>
        </w:tc>
      </w:tr>
      <w:tr w:rsidR="00DE379A" w:rsidRPr="00FC03ED" w14:paraId="51543E5A" w14:textId="77777777" w:rsidTr="0068231F">
        <w:trPr>
          <w:trHeight w:val="300"/>
        </w:trPr>
        <w:tc>
          <w:tcPr>
            <w:tcW w:w="812" w:type="dxa"/>
            <w:vAlign w:val="center"/>
            <w:hideMark/>
          </w:tcPr>
          <w:p w14:paraId="3197C423"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4C50AD"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Fabián Gonzalo Marín Cortés</w:t>
            </w:r>
          </w:p>
          <w:p w14:paraId="58BFCE25" w14:textId="77777777" w:rsidR="00DE379A" w:rsidRPr="00FC03ED" w:rsidRDefault="00DE379A" w:rsidP="0068231F">
            <w:pPr>
              <w:spacing w:line="276" w:lineRule="auto"/>
              <w:rPr>
                <w:rFonts w:ascii="Arial" w:hAnsi="Arial" w:cs="Arial"/>
                <w:color w:val="000000" w:themeColor="text1"/>
                <w:sz w:val="16"/>
                <w:szCs w:val="16"/>
                <w:lang w:val="es-ES_tradnl" w:eastAsia="es-ES"/>
              </w:rPr>
            </w:pPr>
            <w:r w:rsidRPr="00FC03ED">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FC03ED" w:rsidRDefault="007B0854" w:rsidP="00DE379A">
      <w:pPr>
        <w:rPr>
          <w:color w:val="000000" w:themeColor="text1"/>
          <w:lang w:val="es-ES_tradnl"/>
        </w:rPr>
      </w:pPr>
    </w:p>
    <w:sectPr w:rsidR="007B0854" w:rsidRPr="00FC03ED"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95038" w14:textId="77777777" w:rsidR="00B162E8" w:rsidRDefault="00B162E8">
      <w:r>
        <w:separator/>
      </w:r>
    </w:p>
  </w:endnote>
  <w:endnote w:type="continuationSeparator" w:id="0">
    <w:p w14:paraId="002E8075" w14:textId="77777777" w:rsidR="00B162E8" w:rsidRDefault="00B1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23A39A27"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0C4E76">
      <w:rPr>
        <w:rFonts w:ascii="Arial" w:hAnsi="Arial" w:cs="Arial"/>
        <w:noProof/>
        <w:sz w:val="18"/>
        <w:szCs w:val="18"/>
      </w:rPr>
      <w:t>1</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4E29D" w14:textId="77777777" w:rsidR="00B162E8" w:rsidRDefault="00B162E8">
      <w:r>
        <w:separator/>
      </w:r>
    </w:p>
  </w:footnote>
  <w:footnote w:type="continuationSeparator" w:id="0">
    <w:p w14:paraId="068D8653" w14:textId="77777777" w:rsidR="00B162E8" w:rsidRDefault="00B162E8">
      <w:r>
        <w:continuationSeparator/>
      </w:r>
    </w:p>
  </w:footnote>
  <w:footnote w:id="1">
    <w:p w14:paraId="6FF2189B" w14:textId="77777777" w:rsidR="00DE379A" w:rsidRPr="00FC03ED" w:rsidRDefault="00DE379A" w:rsidP="00DE379A">
      <w:pPr>
        <w:pStyle w:val="Textonotapie"/>
        <w:ind w:firstLine="709"/>
        <w:jc w:val="both"/>
        <w:rPr>
          <w:rFonts w:ascii="Arial" w:hAnsi="Arial" w:cs="Arial"/>
          <w:color w:val="000000" w:themeColor="text1"/>
          <w:sz w:val="19"/>
          <w:szCs w:val="19"/>
        </w:rPr>
      </w:pPr>
      <w:r w:rsidRPr="00FC03ED">
        <w:rPr>
          <w:rStyle w:val="Refdenotaalpie"/>
          <w:rFonts w:ascii="Arial" w:hAnsi="Arial" w:cs="Arial"/>
          <w:color w:val="000000" w:themeColor="text1"/>
          <w:sz w:val="19"/>
          <w:szCs w:val="19"/>
        </w:rPr>
        <w:footnoteRef/>
      </w:r>
      <w:r w:rsidRPr="00FC03ED">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5A6F429" w14:textId="77777777" w:rsidR="00DE379A" w:rsidRPr="00FC03ED" w:rsidRDefault="00DE379A" w:rsidP="00DE379A">
      <w:pPr>
        <w:pStyle w:val="Textonotapie"/>
        <w:ind w:firstLine="709"/>
        <w:jc w:val="both"/>
        <w:rPr>
          <w:rFonts w:ascii="Arial" w:hAnsi="Arial" w:cs="Arial"/>
          <w:color w:val="000000" w:themeColor="text1"/>
          <w:sz w:val="19"/>
          <w:szCs w:val="19"/>
        </w:rPr>
      </w:pPr>
    </w:p>
  </w:footnote>
  <w:footnote w:id="2">
    <w:p w14:paraId="60F19A7D" w14:textId="77777777" w:rsidR="00DE379A" w:rsidRPr="00FC03ED" w:rsidRDefault="00DE379A" w:rsidP="00DE379A">
      <w:pPr>
        <w:ind w:firstLine="709"/>
        <w:jc w:val="both"/>
        <w:rPr>
          <w:rFonts w:ascii="Arial" w:hAnsi="Arial" w:cs="Arial"/>
          <w:color w:val="000000" w:themeColor="text1"/>
          <w:sz w:val="19"/>
          <w:szCs w:val="19"/>
          <w:lang w:val="es-ES"/>
        </w:rPr>
      </w:pPr>
      <w:r w:rsidRPr="00FC03ED">
        <w:rPr>
          <w:rStyle w:val="Refdenotaalpie"/>
          <w:rFonts w:ascii="Arial" w:hAnsi="Arial" w:cs="Arial"/>
          <w:color w:val="000000" w:themeColor="text1"/>
          <w:sz w:val="19"/>
          <w:szCs w:val="19"/>
        </w:rPr>
        <w:footnoteRef/>
      </w:r>
      <w:r w:rsidRPr="00FC03ED">
        <w:rPr>
          <w:rFonts w:ascii="Arial" w:hAnsi="Arial" w:cs="Arial"/>
          <w:color w:val="000000" w:themeColor="text1"/>
          <w:sz w:val="19"/>
          <w:szCs w:val="19"/>
        </w:rPr>
        <w:t xml:space="preserve"> </w:t>
      </w:r>
      <w:r w:rsidRPr="00FC03ED">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3">
    <w:p w14:paraId="2FC0A632" w14:textId="77777777" w:rsidR="00DE379A" w:rsidRPr="00FC03ED" w:rsidRDefault="00DE379A" w:rsidP="00DE379A">
      <w:pPr>
        <w:pStyle w:val="NormalWeb"/>
        <w:spacing w:before="0" w:beforeAutospacing="0" w:after="0" w:afterAutospacing="0"/>
        <w:ind w:firstLine="709"/>
        <w:jc w:val="both"/>
        <w:rPr>
          <w:rFonts w:ascii="Arial" w:hAnsi="Arial" w:cs="Arial"/>
          <w:color w:val="000000" w:themeColor="text1"/>
          <w:sz w:val="19"/>
          <w:szCs w:val="19"/>
          <w:lang w:eastAsia="en-US"/>
        </w:rPr>
      </w:pPr>
      <w:r w:rsidRPr="00FC03ED">
        <w:rPr>
          <w:rStyle w:val="Refdenotaalpie"/>
          <w:rFonts w:ascii="Arial" w:hAnsi="Arial" w:cs="Arial"/>
          <w:color w:val="000000" w:themeColor="text1"/>
          <w:sz w:val="19"/>
          <w:szCs w:val="19"/>
        </w:rPr>
        <w:footnoteRef/>
      </w:r>
      <w:r w:rsidRPr="00FC03ED">
        <w:rPr>
          <w:rFonts w:ascii="Arial" w:hAnsi="Arial" w:cs="Arial"/>
          <w:color w:val="000000" w:themeColor="text1"/>
          <w:sz w:val="19"/>
          <w:szCs w:val="19"/>
        </w:rPr>
        <w:t xml:space="preserve"> Ley 789 de 2002: «Artículo 50. Control a la evasión de los recursos parafiscales </w:t>
      </w:r>
      <w:r w:rsidRPr="00FC03ED">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0CB49E84" w14:textId="77777777" w:rsidR="00DE379A" w:rsidRPr="00FC03ED" w:rsidRDefault="00DE379A" w:rsidP="00DE379A">
      <w:pPr>
        <w:ind w:firstLine="709"/>
        <w:jc w:val="both"/>
        <w:rPr>
          <w:rFonts w:ascii="Arial" w:hAnsi="Arial" w:cs="Arial"/>
          <w:color w:val="000000" w:themeColor="text1"/>
          <w:sz w:val="19"/>
          <w:szCs w:val="19"/>
        </w:rPr>
      </w:pPr>
      <w:r w:rsidRPr="00FC03ED">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831D2F9" w14:textId="77777777" w:rsidR="00DE379A" w:rsidRPr="00FC03ED" w:rsidRDefault="00DE379A" w:rsidP="00DE379A">
      <w:pPr>
        <w:ind w:firstLine="709"/>
        <w:jc w:val="both"/>
        <w:rPr>
          <w:rFonts w:ascii="Arial" w:hAnsi="Arial" w:cs="Arial"/>
          <w:color w:val="000000" w:themeColor="text1"/>
          <w:sz w:val="19"/>
          <w:szCs w:val="19"/>
        </w:rPr>
      </w:pPr>
      <w:r w:rsidRPr="00FC03ED">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7A774397" w14:textId="77777777" w:rsidR="00DE379A" w:rsidRPr="00FC03ED" w:rsidRDefault="00DE379A" w:rsidP="00DE379A">
      <w:pPr>
        <w:ind w:firstLine="709"/>
        <w:jc w:val="both"/>
        <w:rPr>
          <w:rFonts w:ascii="Arial" w:hAnsi="Arial" w:cs="Arial"/>
          <w:color w:val="000000" w:themeColor="text1"/>
          <w:sz w:val="19"/>
          <w:szCs w:val="19"/>
        </w:rPr>
      </w:pPr>
      <w:r w:rsidRPr="00FC03ED">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4">
    <w:p w14:paraId="4C68ED58" w14:textId="77777777" w:rsidR="00DE379A" w:rsidRPr="00FC03ED" w:rsidRDefault="00DE379A" w:rsidP="00DE379A">
      <w:pPr>
        <w:pStyle w:val="Textonotapie"/>
        <w:ind w:firstLine="709"/>
        <w:jc w:val="both"/>
        <w:rPr>
          <w:rFonts w:ascii="Arial" w:hAnsi="Arial" w:cs="Arial"/>
          <w:color w:val="000000" w:themeColor="text1"/>
          <w:sz w:val="19"/>
          <w:szCs w:val="19"/>
        </w:rPr>
      </w:pPr>
      <w:r w:rsidRPr="00FC03ED">
        <w:rPr>
          <w:rStyle w:val="Refdenotaalpie"/>
          <w:rFonts w:ascii="Arial" w:hAnsi="Arial" w:cs="Arial"/>
          <w:color w:val="000000" w:themeColor="text1"/>
          <w:sz w:val="19"/>
          <w:szCs w:val="19"/>
        </w:rPr>
        <w:footnoteRef/>
      </w:r>
      <w:r w:rsidRPr="00FC03ED">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0235447B">
          <wp:simplePos x="0" y="0"/>
          <wp:positionH relativeFrom="margin">
            <wp:align>right</wp:align>
          </wp:positionH>
          <wp:positionV relativeFrom="paragraph">
            <wp:posOffset>335777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B103F"/>
    <w:rsid w:val="000C4E76"/>
    <w:rsid w:val="000F14E8"/>
    <w:rsid w:val="00103915"/>
    <w:rsid w:val="00122B23"/>
    <w:rsid w:val="00137FFA"/>
    <w:rsid w:val="00140062"/>
    <w:rsid w:val="00234B84"/>
    <w:rsid w:val="00302B58"/>
    <w:rsid w:val="003033BA"/>
    <w:rsid w:val="00340358"/>
    <w:rsid w:val="0034680A"/>
    <w:rsid w:val="00386456"/>
    <w:rsid w:val="003A581E"/>
    <w:rsid w:val="004422D6"/>
    <w:rsid w:val="004A34D2"/>
    <w:rsid w:val="0051074C"/>
    <w:rsid w:val="00513AF2"/>
    <w:rsid w:val="005221AF"/>
    <w:rsid w:val="0054413A"/>
    <w:rsid w:val="005564CA"/>
    <w:rsid w:val="00655371"/>
    <w:rsid w:val="00697665"/>
    <w:rsid w:val="006A7FD0"/>
    <w:rsid w:val="006D7687"/>
    <w:rsid w:val="006E0572"/>
    <w:rsid w:val="00705631"/>
    <w:rsid w:val="00742DD2"/>
    <w:rsid w:val="0075647A"/>
    <w:rsid w:val="007634AD"/>
    <w:rsid w:val="0078122E"/>
    <w:rsid w:val="007B0854"/>
    <w:rsid w:val="007F72CB"/>
    <w:rsid w:val="00827C28"/>
    <w:rsid w:val="0083119B"/>
    <w:rsid w:val="00836EAB"/>
    <w:rsid w:val="0085092D"/>
    <w:rsid w:val="008E1C15"/>
    <w:rsid w:val="009047C5"/>
    <w:rsid w:val="0095385A"/>
    <w:rsid w:val="00A24560"/>
    <w:rsid w:val="00A34538"/>
    <w:rsid w:val="00AA442B"/>
    <w:rsid w:val="00B162E8"/>
    <w:rsid w:val="00B22E22"/>
    <w:rsid w:val="00B525CB"/>
    <w:rsid w:val="00B63CB2"/>
    <w:rsid w:val="00BD78FE"/>
    <w:rsid w:val="00CC00CD"/>
    <w:rsid w:val="00D000CE"/>
    <w:rsid w:val="00D16E39"/>
    <w:rsid w:val="00D21781"/>
    <w:rsid w:val="00D72E9D"/>
    <w:rsid w:val="00D82CE5"/>
    <w:rsid w:val="00DA467B"/>
    <w:rsid w:val="00DA5AB1"/>
    <w:rsid w:val="00DC62E5"/>
    <w:rsid w:val="00DD735D"/>
    <w:rsid w:val="00DE3119"/>
    <w:rsid w:val="00DE379A"/>
    <w:rsid w:val="00DF236B"/>
    <w:rsid w:val="00E13AB8"/>
    <w:rsid w:val="00E33B62"/>
    <w:rsid w:val="00F84899"/>
    <w:rsid w:val="00F859F0"/>
    <w:rsid w:val="00FC03ED"/>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baj">
    <w:name w:val="b_aj"/>
    <w:basedOn w:val="Fuentedeprrafopredeter"/>
    <w:rsid w:val="00DE379A"/>
  </w:style>
  <w:style w:type="paragraph" w:customStyle="1" w:styleId="InviasNormal">
    <w:name w:val="Invias Normal"/>
    <w:basedOn w:val="Normal"/>
    <w:link w:val="InviasNormalCar"/>
    <w:qFormat/>
    <w:rsid w:val="00DE379A"/>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E379A"/>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DE379A"/>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Default">
    <w:name w:val="Default"/>
    <w:rsid w:val="00FC03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B678F-DF07-48C2-9FA6-CFF04797443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5D4E852-FE0B-4225-A2ED-070A03DC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0FFB6FD-C557-4C97-894F-09E8A87B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4262</Words>
  <Characters>24297</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2020-03-03T16:10:00Z</cp:lastPrinted>
  <dcterms:created xsi:type="dcterms:W3CDTF">2020-08-10T16:59:00Z</dcterms:created>
  <dcterms:modified xsi:type="dcterms:W3CDTF">2020-08-10T16:59:00Z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