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C1B08" w14:textId="77777777" w:rsidR="00FF67F0" w:rsidRPr="00FF67F0" w:rsidRDefault="00FF67F0" w:rsidP="00FF67F0">
      <w:pPr>
        <w:spacing w:after="0" w:line="240" w:lineRule="auto"/>
        <w:jc w:val="both"/>
        <w:rPr>
          <w:rFonts w:ascii="Verdana" w:hAnsi="Verdana"/>
          <w:b/>
          <w:bCs/>
          <w:sz w:val="20"/>
          <w:szCs w:val="20"/>
          <w:lang w:val="es-ES"/>
        </w:rPr>
      </w:pPr>
    </w:p>
    <w:p w14:paraId="57B5FA2A" w14:textId="77777777" w:rsidR="00FF67F0" w:rsidRPr="00FF67F0" w:rsidRDefault="00FF67F0" w:rsidP="00FF67F0">
      <w:pPr>
        <w:spacing w:after="0" w:line="240" w:lineRule="auto"/>
        <w:jc w:val="both"/>
        <w:rPr>
          <w:rFonts w:ascii="Verdana" w:hAnsi="Verdana"/>
          <w:b/>
          <w:sz w:val="20"/>
          <w:szCs w:val="20"/>
        </w:rPr>
      </w:pPr>
      <w:r w:rsidRPr="00FF67F0">
        <w:rPr>
          <w:rFonts w:ascii="Verdana" w:hAnsi="Verdana"/>
          <w:b/>
          <w:sz w:val="20"/>
          <w:szCs w:val="20"/>
        </w:rPr>
        <w:t>EQUILIBRIO ECONÓMICO – Contrato estatal – Fundamento</w:t>
      </w:r>
    </w:p>
    <w:p w14:paraId="7B4B0B8D" w14:textId="77777777" w:rsidR="00FF67F0" w:rsidRPr="00FF67F0" w:rsidRDefault="00FF67F0" w:rsidP="00FF67F0">
      <w:pPr>
        <w:spacing w:after="0" w:line="240" w:lineRule="auto"/>
        <w:jc w:val="both"/>
        <w:rPr>
          <w:rFonts w:ascii="Verdana" w:hAnsi="Verdana"/>
          <w:bCs/>
          <w:sz w:val="20"/>
          <w:szCs w:val="20"/>
        </w:rPr>
      </w:pPr>
    </w:p>
    <w:p w14:paraId="09070874" w14:textId="77777777" w:rsidR="00FF67F0" w:rsidRPr="00FF67F0" w:rsidRDefault="00FF67F0" w:rsidP="00FF67F0">
      <w:pPr>
        <w:spacing w:after="0" w:line="240" w:lineRule="auto"/>
        <w:jc w:val="both"/>
        <w:rPr>
          <w:rFonts w:ascii="Verdana" w:eastAsia="Calibri" w:hAnsi="Verdana" w:cs="Arial"/>
          <w:sz w:val="20"/>
          <w:szCs w:val="20"/>
          <w:shd w:val="clear" w:color="auto" w:fill="FFFFFF"/>
          <w:lang w:val="es-ES"/>
        </w:rPr>
      </w:pPr>
      <w:r w:rsidRPr="00FF67F0">
        <w:rPr>
          <w:rFonts w:ascii="Verdana" w:eastAsia="Calibri" w:hAnsi="Verdana" w:cs="Arial"/>
          <w:sz w:val="20"/>
          <w:szCs w:val="20"/>
          <w:shd w:val="clear" w:color="auto" w:fill="FFFFFF"/>
          <w:lang w:val="es-ES"/>
        </w:rPr>
        <w:t xml:space="preserve">De conformidad con el artículo 3 de la Ley 80 de 1993 la celebración y ejecución de los contratos estatales tiene como fin el cumplimiento de los fines estatales, la continua y eficiente prestación de los servicios públicos y la efectividad de los derechos e intereses de los administrados que colaboran con ellas en la consecución de dichos fines. Por su parte, los particulares que celebran y ejecutan contratos con las entidades estatales tendrán en cuenta que colaboran con ellas en el logro de sus fines y cumplen una función social que, como tal, implica obligaciones. Así, con la celebración del contrato estatal surgen derechos y obligaciones para cada una de las partes que tienen como propósito, por un lado, la continua y eficiente prestación de los servicios públicos y la satisfacción del interés general y por otro lado, generar un beneficio económico para el particular que colabora en su ejecución. </w:t>
      </w:r>
    </w:p>
    <w:p w14:paraId="6DDBF0BA" w14:textId="77777777" w:rsidR="00FF67F0" w:rsidRPr="00FF67F0" w:rsidRDefault="00FF67F0" w:rsidP="00FF67F0">
      <w:pPr>
        <w:spacing w:after="0" w:line="240" w:lineRule="auto"/>
        <w:jc w:val="both"/>
        <w:rPr>
          <w:rFonts w:ascii="Verdana" w:eastAsia="Calibri" w:hAnsi="Verdana" w:cs="Arial"/>
          <w:sz w:val="20"/>
          <w:szCs w:val="20"/>
          <w:shd w:val="clear" w:color="auto" w:fill="FFFFFF"/>
          <w:lang w:val="es-ES"/>
        </w:rPr>
      </w:pPr>
    </w:p>
    <w:p w14:paraId="29AEFE51" w14:textId="77777777" w:rsidR="00FF67F0" w:rsidRPr="00FF67F0" w:rsidRDefault="00FF67F0" w:rsidP="00FF67F0">
      <w:pPr>
        <w:spacing w:after="0" w:line="240" w:lineRule="auto"/>
        <w:jc w:val="both"/>
        <w:rPr>
          <w:rFonts w:ascii="Verdana" w:eastAsia="Arial MT" w:hAnsi="Verdana" w:cs="Arial"/>
          <w:sz w:val="20"/>
          <w:szCs w:val="20"/>
          <w:lang w:eastAsia="es-ES" w:bidi="es-ES"/>
        </w:rPr>
      </w:pPr>
      <w:r w:rsidRPr="00FF67F0">
        <w:rPr>
          <w:rFonts w:ascii="Verdana" w:eastAsia="Calibri" w:hAnsi="Verdana" w:cs="Arial"/>
          <w:sz w:val="20"/>
          <w:szCs w:val="20"/>
          <w:shd w:val="clear" w:color="auto" w:fill="FFFFFF"/>
          <w:lang w:val="es-ES"/>
        </w:rPr>
        <w:t>De esta manera, los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w:t>
      </w:r>
    </w:p>
    <w:p w14:paraId="395F2EBC" w14:textId="77777777" w:rsidR="00FF67F0" w:rsidRPr="00FF67F0" w:rsidRDefault="00FF67F0" w:rsidP="00FF67F0">
      <w:pPr>
        <w:spacing w:after="0" w:line="240" w:lineRule="auto"/>
        <w:jc w:val="both"/>
        <w:rPr>
          <w:rFonts w:ascii="Verdana" w:hAnsi="Verdana"/>
          <w:bCs/>
          <w:sz w:val="20"/>
          <w:szCs w:val="20"/>
        </w:rPr>
      </w:pPr>
    </w:p>
    <w:p w14:paraId="1390BCD0" w14:textId="77777777" w:rsidR="00FF67F0" w:rsidRPr="00FF67F0" w:rsidRDefault="00FF67F0" w:rsidP="00FF67F0">
      <w:pPr>
        <w:spacing w:after="0" w:line="240" w:lineRule="auto"/>
        <w:jc w:val="both"/>
        <w:rPr>
          <w:rFonts w:ascii="Verdana" w:hAnsi="Verdana"/>
          <w:b/>
          <w:sz w:val="20"/>
          <w:szCs w:val="20"/>
        </w:rPr>
      </w:pPr>
      <w:r w:rsidRPr="00FF67F0">
        <w:rPr>
          <w:rFonts w:ascii="Verdana" w:hAnsi="Verdana"/>
          <w:b/>
          <w:sz w:val="20"/>
          <w:szCs w:val="20"/>
        </w:rPr>
        <w:t>EQUILIBRIO ECONÓMICO – Contrato estatal – Concepto</w:t>
      </w:r>
    </w:p>
    <w:p w14:paraId="32A83B39" w14:textId="77777777" w:rsidR="00FF67F0" w:rsidRPr="00FF67F0" w:rsidRDefault="00FF67F0" w:rsidP="00FF67F0">
      <w:pPr>
        <w:spacing w:after="0" w:line="240" w:lineRule="auto"/>
        <w:jc w:val="both"/>
        <w:rPr>
          <w:rFonts w:ascii="Verdana" w:hAnsi="Verdana"/>
          <w:bCs/>
          <w:sz w:val="20"/>
          <w:szCs w:val="20"/>
        </w:rPr>
      </w:pPr>
    </w:p>
    <w:p w14:paraId="7AF4D45E" w14:textId="77777777" w:rsidR="00FF67F0" w:rsidRPr="00FF67F0" w:rsidRDefault="00FF67F0" w:rsidP="00FF67F0">
      <w:pPr>
        <w:spacing w:after="0" w:line="240" w:lineRule="auto"/>
        <w:jc w:val="both"/>
        <w:rPr>
          <w:rFonts w:ascii="Verdana" w:hAnsi="Verdana"/>
          <w:b/>
          <w:bCs/>
          <w:sz w:val="20"/>
          <w:szCs w:val="20"/>
        </w:rPr>
      </w:pPr>
      <w:r w:rsidRPr="00FF67F0">
        <w:rPr>
          <w:rFonts w:ascii="Verdana" w:eastAsia="Arial MT" w:hAnsi="Verdana" w:cs="Arial"/>
          <w:sz w:val="20"/>
          <w:szCs w:val="20"/>
          <w:lang w:eastAsia="es-ES" w:bidi="es-ES"/>
        </w:rPr>
        <w:t>Sobre el principio del equilibrio financiero del contrato, el Consejo de Estado ha señalado que consiste «en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 En concordancia, la doctrina ha indicado que con este principio, también denominado «el de la honesta equivalencia de prestaciones», se privilegia el carácter conmutativo o sinalagmático que, por regla general, tiene el contrato estatal, «lo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p>
    <w:p w14:paraId="1D84121C" w14:textId="77777777" w:rsidR="00FF67F0" w:rsidRPr="00FF67F0" w:rsidRDefault="00FF67F0" w:rsidP="00FF67F0">
      <w:pPr>
        <w:spacing w:after="0" w:line="240" w:lineRule="auto"/>
        <w:jc w:val="both"/>
        <w:rPr>
          <w:rFonts w:ascii="Verdana" w:hAnsi="Verdana"/>
          <w:b/>
          <w:bCs/>
          <w:sz w:val="20"/>
          <w:szCs w:val="20"/>
        </w:rPr>
      </w:pPr>
    </w:p>
    <w:p w14:paraId="6EB78EAA" w14:textId="77777777" w:rsidR="00FF67F0" w:rsidRPr="00FF67F0" w:rsidRDefault="00FF67F0" w:rsidP="00FF67F0">
      <w:pPr>
        <w:spacing w:after="0" w:line="240" w:lineRule="auto"/>
        <w:jc w:val="both"/>
        <w:rPr>
          <w:rFonts w:ascii="Verdana" w:hAnsi="Verdana"/>
          <w:b/>
          <w:bCs/>
          <w:sz w:val="20"/>
          <w:szCs w:val="20"/>
        </w:rPr>
      </w:pPr>
      <w:r w:rsidRPr="00FF67F0">
        <w:rPr>
          <w:rFonts w:ascii="Verdana" w:hAnsi="Verdana"/>
          <w:b/>
          <w:bCs/>
          <w:sz w:val="20"/>
          <w:szCs w:val="20"/>
        </w:rPr>
        <w:t>EQUILIBRIO ECONÓMICO – Contrato estatal – Restablecimiento – Procedencia – Requisitos</w:t>
      </w:r>
    </w:p>
    <w:p w14:paraId="12E90F70" w14:textId="77777777" w:rsidR="00FF67F0" w:rsidRPr="00FF67F0" w:rsidRDefault="00FF67F0" w:rsidP="00FF67F0">
      <w:pPr>
        <w:spacing w:after="0" w:line="240" w:lineRule="auto"/>
        <w:jc w:val="both"/>
        <w:rPr>
          <w:rFonts w:ascii="Verdana" w:hAnsi="Verdana"/>
          <w:b/>
          <w:bCs/>
          <w:sz w:val="20"/>
          <w:szCs w:val="20"/>
        </w:rPr>
      </w:pPr>
    </w:p>
    <w:p w14:paraId="120202F3" w14:textId="77777777" w:rsidR="00FF67F0" w:rsidRPr="00FF67F0" w:rsidRDefault="00FF67F0" w:rsidP="00FF67F0">
      <w:pPr>
        <w:spacing w:after="0" w:line="240" w:lineRule="auto"/>
        <w:jc w:val="both"/>
        <w:rPr>
          <w:rFonts w:ascii="Verdana" w:hAnsi="Verdana"/>
          <w:sz w:val="20"/>
          <w:szCs w:val="20"/>
        </w:rPr>
      </w:pPr>
      <w:r w:rsidRPr="00FF67F0">
        <w:rPr>
          <w:rFonts w:ascii="Verdana" w:hAnsi="Verdana"/>
          <w:sz w:val="20"/>
          <w:szCs w:val="20"/>
          <w:lang w:bidi="es-ES"/>
        </w:rPr>
        <w:t xml:space="preserve">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w:t>
      </w:r>
      <w:r w:rsidRPr="00FF67F0">
        <w:rPr>
          <w:rFonts w:ascii="Verdana" w:hAnsi="Verdana"/>
          <w:sz w:val="20"/>
          <w:szCs w:val="20"/>
          <w:lang w:bidi="es-ES"/>
        </w:rPr>
        <w:lastRenderedPageBreak/>
        <w:t xml:space="preserve">partes contractuales. Además, es necesario que las reclamaciones para el restablecimiento se realicen en la oportunidad debida, de manera que </w:t>
      </w:r>
      <w:r w:rsidRPr="00FF67F0">
        <w:rPr>
          <w:rFonts w:ascii="Verdana" w:hAnsi="Verdana"/>
          <w:sz w:val="20"/>
          <w:szCs w:val="20"/>
        </w:rPr>
        <w:t xml:space="preserve">si las solicitudes, o salvedades </w:t>
      </w:r>
      <w:r w:rsidRPr="00FF67F0">
        <w:rPr>
          <w:rFonts w:ascii="Verdana" w:hAnsi="Verdana"/>
          <w:sz w:val="20"/>
          <w:szCs w:val="20"/>
          <w:lang w:val="es-MX"/>
        </w:rPr>
        <w:t>«</w:t>
      </w:r>
      <w:r w:rsidRPr="00FF67F0">
        <w:rPr>
          <w:rFonts w:ascii="Verdana" w:hAnsi="Verdana"/>
          <w:sz w:val="20"/>
          <w:szCs w:val="20"/>
        </w:rPr>
        <w:t>no se hacen al momento de suscribir las suspensiones, adiciones o prórrogas del plazo contractual, contratos adicionales, otrosíes, etc., que por tal motivo se convinieren, cualquier solicitud, reclamación o pretensión ulterior es extemporánea, improcedente e impróspera por vulnerar el principio de la buena fe contractual</w:t>
      </w:r>
      <w:r w:rsidRPr="00FF67F0">
        <w:rPr>
          <w:rFonts w:ascii="Verdana" w:hAnsi="Verdana"/>
          <w:sz w:val="20"/>
          <w:szCs w:val="20"/>
          <w:lang w:val="es-MX"/>
        </w:rPr>
        <w:t xml:space="preserve">». </w:t>
      </w:r>
    </w:p>
    <w:p w14:paraId="7237CDC9" w14:textId="77777777" w:rsidR="00FF67F0" w:rsidRPr="00FF67F0" w:rsidRDefault="00FF67F0" w:rsidP="00FF67F0">
      <w:pPr>
        <w:spacing w:after="0" w:line="240" w:lineRule="auto"/>
        <w:jc w:val="both"/>
        <w:rPr>
          <w:rFonts w:ascii="Verdana" w:hAnsi="Verdana"/>
          <w:sz w:val="20"/>
          <w:szCs w:val="20"/>
          <w:lang w:bidi="es-ES"/>
        </w:rPr>
      </w:pPr>
    </w:p>
    <w:p w14:paraId="61DE89FC" w14:textId="77777777" w:rsidR="00FF67F0" w:rsidRPr="00FF67F0" w:rsidRDefault="00FF67F0" w:rsidP="00FF67F0">
      <w:pPr>
        <w:spacing w:after="0" w:line="240" w:lineRule="auto"/>
        <w:jc w:val="both"/>
        <w:rPr>
          <w:rFonts w:ascii="Verdana" w:hAnsi="Verdana"/>
          <w:sz w:val="20"/>
          <w:szCs w:val="20"/>
          <w:lang w:bidi="es-ES"/>
        </w:rPr>
      </w:pPr>
      <w:r w:rsidRPr="00FF67F0">
        <w:rPr>
          <w:rFonts w:ascii="Verdana" w:hAnsi="Verdana"/>
          <w:sz w:val="20"/>
          <w:szCs w:val="20"/>
          <w:lang w:bidi="es-ES"/>
        </w:rPr>
        <w:t xml:space="preserve">De este modo, conforme a esta postura del Consejo de Estado no basta 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p>
    <w:p w14:paraId="31606D07" w14:textId="77777777" w:rsidR="00FF67F0" w:rsidRPr="00FF67F0" w:rsidRDefault="00FF67F0" w:rsidP="00FF67F0">
      <w:pPr>
        <w:spacing w:after="0" w:line="240" w:lineRule="auto"/>
        <w:jc w:val="both"/>
        <w:rPr>
          <w:rFonts w:ascii="Verdana" w:hAnsi="Verdana"/>
          <w:sz w:val="20"/>
          <w:szCs w:val="20"/>
        </w:rPr>
      </w:pPr>
    </w:p>
    <w:p w14:paraId="5B436F45" w14:textId="77777777" w:rsidR="00FF67F0" w:rsidRPr="00FF67F0" w:rsidRDefault="00FF67F0" w:rsidP="00FF67F0">
      <w:pPr>
        <w:spacing w:after="0" w:line="240" w:lineRule="auto"/>
        <w:jc w:val="both"/>
        <w:rPr>
          <w:rFonts w:ascii="Verdana" w:hAnsi="Verdana"/>
          <w:sz w:val="20"/>
          <w:szCs w:val="20"/>
        </w:rPr>
      </w:pPr>
      <w:r w:rsidRPr="00FF67F0">
        <w:rPr>
          <w:rFonts w:ascii="Verdana" w:hAnsi="Verdana"/>
          <w:sz w:val="20"/>
          <w:szCs w:val="20"/>
          <w:lang w:bidi="es-ES"/>
        </w:rPr>
        <w:t>En sentencias recientes el Consejo de Estado ha morigerado la postura anterior en relación con la oportunidad de la reclamación, en la medida en que, si bien es importante considerar el principio de buena fe al momento de suscribir los acuerdos entre las partes, se resalta la necesidad de analizar</w:t>
      </w:r>
      <w:r w:rsidRPr="00FF67F0">
        <w:rPr>
          <w:rFonts w:ascii="Verdana" w:hAnsi="Verdana"/>
          <w:sz w:val="20"/>
          <w:szCs w:val="20"/>
        </w:rPr>
        <w:t xml:space="preserve"> cada caso el contenido del respectivo acuerdo y de sus antecedentes, para determinar el alcance de los otrosíes o de las actas de suspensión correspondientes. En tal sentido, con base en esta posición se considera que la inexistencia de una salvedad en la prórroga o suspensión o cualquier acuerdo de voluntades que se efectúe por las partes no es suficiente para determinar la improcedencia de la reclamación, ya que es necesario revisar los antecedentes y los hechos que justificaron dicho acuerdo. Esto se fundamente en que </w:t>
      </w:r>
      <w:r w:rsidRPr="00FF67F0">
        <w:rPr>
          <w:rFonts w:ascii="Verdana" w:hAnsi="Verdana"/>
          <w:sz w:val="20"/>
          <w:szCs w:val="20"/>
          <w:lang w:val="es-MX"/>
        </w:rPr>
        <w:t>«</w:t>
      </w:r>
      <w:r w:rsidRPr="00FF67F0">
        <w:rPr>
          <w:rFonts w:ascii="Verdana" w:hAnsi="Verdana"/>
          <w:sz w:val="20"/>
          <w:szCs w:val="20"/>
        </w:rPr>
        <w:t>la denegatoria de tales pretensiones, es el hecho de que el acuerdo suscrito haya servido, precisamente, para solventar situaciones que se hayan presentado durante la ejecución del contrato, por lo que no se entendería que, de considerar que subsistía un perjuicio para el contratista derivado de tales situaciones, haya concurrido a suscribirlo, sin dejar alguna manifestación sobre la insuficiencia de ese acuerdo para satisfacer sus reclamaciones</w:t>
      </w:r>
      <w:r w:rsidRPr="00FF67F0">
        <w:rPr>
          <w:rFonts w:ascii="Verdana" w:hAnsi="Verdana"/>
          <w:sz w:val="20"/>
          <w:szCs w:val="20"/>
          <w:lang w:val="es-MX"/>
        </w:rPr>
        <w:t>»</w:t>
      </w:r>
      <w:r w:rsidRPr="00FF67F0">
        <w:rPr>
          <w:rFonts w:ascii="Verdana" w:hAnsi="Verdana"/>
          <w:sz w:val="20"/>
          <w:szCs w:val="20"/>
        </w:rPr>
        <w:t>.</w:t>
      </w:r>
    </w:p>
    <w:p w14:paraId="4510A014" w14:textId="77777777" w:rsidR="00FF67F0" w:rsidRPr="00FF67F0" w:rsidRDefault="00FF67F0" w:rsidP="00FF67F0">
      <w:pPr>
        <w:spacing w:after="0" w:line="240" w:lineRule="auto"/>
        <w:jc w:val="both"/>
        <w:rPr>
          <w:rFonts w:ascii="Verdana" w:hAnsi="Verdana"/>
          <w:sz w:val="20"/>
          <w:szCs w:val="20"/>
        </w:rPr>
      </w:pPr>
    </w:p>
    <w:p w14:paraId="29D9FC54" w14:textId="77777777" w:rsidR="00FF67F0" w:rsidRPr="00FF67F0" w:rsidRDefault="00FF67F0" w:rsidP="00FF67F0">
      <w:pPr>
        <w:tabs>
          <w:tab w:val="left" w:pos="426"/>
        </w:tabs>
        <w:spacing w:after="0" w:line="240" w:lineRule="auto"/>
        <w:jc w:val="both"/>
        <w:rPr>
          <w:rFonts w:ascii="Verdana" w:hAnsi="Verdana" w:cs="Arial"/>
          <w:b/>
          <w:sz w:val="20"/>
          <w:szCs w:val="20"/>
          <w:lang w:eastAsia="es-CO"/>
        </w:rPr>
      </w:pPr>
      <w:r w:rsidRPr="00FF67F0">
        <w:rPr>
          <w:rFonts w:ascii="Verdana" w:hAnsi="Verdana" w:cs="Arial"/>
          <w:b/>
          <w:sz w:val="20"/>
          <w:szCs w:val="20"/>
          <w:lang w:val="es-ES_tradnl" w:eastAsia="es-CO"/>
        </w:rPr>
        <w:t>RESTABLECIMIENTO DE LA ECUACIÓN ECONÓMICA</w:t>
      </w:r>
      <w:r w:rsidRPr="00FF67F0">
        <w:rPr>
          <w:rFonts w:ascii="Verdana" w:hAnsi="Verdana" w:cs="Arial"/>
          <w:b/>
          <w:sz w:val="20"/>
          <w:szCs w:val="20"/>
          <w:lang w:eastAsia="es-CO"/>
        </w:rPr>
        <w:t xml:space="preserve"> – Liquidación  </w:t>
      </w:r>
    </w:p>
    <w:p w14:paraId="2AB1ECEC" w14:textId="77777777" w:rsidR="00FF67F0" w:rsidRPr="00FF67F0" w:rsidRDefault="00FF67F0" w:rsidP="00FF67F0">
      <w:pPr>
        <w:tabs>
          <w:tab w:val="left" w:pos="426"/>
        </w:tabs>
        <w:spacing w:after="0" w:line="240" w:lineRule="auto"/>
        <w:jc w:val="both"/>
        <w:rPr>
          <w:rFonts w:ascii="Verdana" w:hAnsi="Verdana" w:cs="Arial"/>
          <w:b/>
          <w:sz w:val="20"/>
          <w:szCs w:val="20"/>
          <w:lang w:eastAsia="es-CO"/>
        </w:rPr>
      </w:pPr>
    </w:p>
    <w:p w14:paraId="06DADB60" w14:textId="77777777" w:rsidR="00FF67F0" w:rsidRPr="00FF67F0" w:rsidRDefault="00FF67F0" w:rsidP="00FF67F0">
      <w:pPr>
        <w:spacing w:after="0" w:line="240" w:lineRule="auto"/>
        <w:jc w:val="both"/>
        <w:rPr>
          <w:rFonts w:ascii="Verdana" w:hAnsi="Verdana" w:cs="Arial"/>
          <w:bCs/>
          <w:sz w:val="20"/>
          <w:szCs w:val="20"/>
          <w:lang w:eastAsia="es-CO"/>
        </w:rPr>
      </w:pPr>
      <w:r w:rsidRPr="00FF67F0">
        <w:rPr>
          <w:rFonts w:ascii="Verdana" w:hAnsi="Verdana" w:cs="Arial"/>
          <w:bCs/>
          <w:sz w:val="20"/>
          <w:szCs w:val="20"/>
          <w:lang w:eastAsia="es-CO"/>
        </w:rPr>
        <w:t>De los incisos segundo y tercero del artículo 60 del EGCAP se desprende que en la liquidación “[…] las partes acordarán los ajustes, revisiones y reconocimientos a que haya lugar” y en ella “[…] constarán los acuerdos, conciliaciones y transacciones a que llegaren las partes para poner fin a las divergencias presentadas y poder declararse a paz y salvo”. Esto hace que la liquidación no sólo sea un mecanismo alternativo de solución de conflictos, sino también un medio para resolver asuntos relacionados con el desequilibrio económico del contrato. Sobre esta última faceta, la doctrina explica que la norma en comento consagra una posibilidad para que las entidades públicas garanticen el equilibrio económico si éste resultó afectado en la ejecución del negocio jurídico, así que la liquidación es el momento oportuno para resolver las diferencias existentes.</w:t>
      </w:r>
    </w:p>
    <w:p w14:paraId="151EA9D9" w14:textId="77777777" w:rsidR="00FF67F0" w:rsidRPr="00FF67F0" w:rsidRDefault="00FF67F0" w:rsidP="00FF67F0">
      <w:pPr>
        <w:spacing w:after="0" w:line="240" w:lineRule="auto"/>
        <w:jc w:val="both"/>
        <w:rPr>
          <w:rFonts w:ascii="Verdana" w:hAnsi="Verdana" w:cs="Arial"/>
          <w:bCs/>
          <w:sz w:val="20"/>
          <w:szCs w:val="20"/>
          <w:lang w:eastAsia="es-CO"/>
        </w:rPr>
      </w:pPr>
    </w:p>
    <w:p w14:paraId="5466B79B" w14:textId="77777777" w:rsidR="00FF67F0" w:rsidRPr="00FF67F0" w:rsidRDefault="00FF67F0" w:rsidP="00FF67F0">
      <w:pPr>
        <w:spacing w:after="0" w:line="240" w:lineRule="auto"/>
        <w:jc w:val="both"/>
        <w:rPr>
          <w:rFonts w:ascii="Verdana" w:eastAsia="Geomanist Light" w:hAnsi="Verdana" w:cs="Arial"/>
          <w:color w:val="000000" w:themeColor="text1"/>
          <w:sz w:val="20"/>
          <w:szCs w:val="20"/>
        </w:rPr>
      </w:pPr>
      <w:r w:rsidRPr="00FF67F0">
        <w:rPr>
          <w:rFonts w:ascii="Verdana" w:hAnsi="Verdana" w:cs="Arial"/>
          <w:bCs/>
          <w:sz w:val="20"/>
          <w:szCs w:val="20"/>
          <w:lang w:eastAsia="es-CO"/>
        </w:rPr>
        <w:t xml:space="preserve">No obstante, de acuerdo con la Sentencia de Unificación del 19 de noviembre de 2012 de la Sala Plena del Consejo de Estado, por regla general, no es posible solicitar reconocimientos económicos por la ejecución de obras extras o adicionales, sin la previa </w:t>
      </w:r>
      <w:r w:rsidRPr="00FF67F0">
        <w:rPr>
          <w:rFonts w:ascii="Verdana" w:hAnsi="Verdana" w:cs="Arial"/>
          <w:bCs/>
          <w:sz w:val="20"/>
          <w:szCs w:val="20"/>
          <w:lang w:eastAsia="es-CO"/>
        </w:rPr>
        <w:lastRenderedPageBreak/>
        <w:t>suscripción de un contrato adicional que las justifique. Esto en la medida que los artículos 39 y 41 del EGCAP disponen que los contratos estatales son solemnes y, por tanto, requieren formalidad escrita, salvo que se presente una situación de urgencia manifiesta. De cara al artículo 10 del CPACA, considerando las tres (3) excepciones contempladas en dicha sentencia, en la actualidad está limitada la posibilidad de reconocer en la liquidación actividades no incluidas dentro del contrato. Así, su pago no sólo está sujeto al soporte probatorio, sino que la decisión también debe armonizarse con la doctrina fijada por el máximo órgano de la jurisdicción contenciosa administrativa</w:t>
      </w:r>
      <w:r w:rsidRPr="00FF67F0">
        <w:rPr>
          <w:rFonts w:ascii="Verdana" w:eastAsia="Geomanist Light" w:hAnsi="Verdana" w:cs="Arial"/>
          <w:color w:val="000000" w:themeColor="text1"/>
          <w:sz w:val="20"/>
          <w:szCs w:val="20"/>
        </w:rPr>
        <w:t>.</w:t>
      </w:r>
    </w:p>
    <w:p w14:paraId="039EA3FB" w14:textId="77777777" w:rsidR="00FF67F0" w:rsidRPr="00FF67F0" w:rsidRDefault="00FF67F0" w:rsidP="00FF67F0">
      <w:pPr>
        <w:spacing w:after="0" w:line="240" w:lineRule="auto"/>
        <w:jc w:val="both"/>
        <w:rPr>
          <w:rFonts w:ascii="Verdana" w:hAnsi="Verdana" w:cs="Arial"/>
          <w:sz w:val="20"/>
          <w:szCs w:val="20"/>
        </w:rPr>
      </w:pPr>
    </w:p>
    <w:p w14:paraId="78059285" w14:textId="77777777" w:rsidR="00FF67F0" w:rsidRPr="00FF67F0" w:rsidRDefault="00FF67F0" w:rsidP="00FF67F0">
      <w:pPr>
        <w:spacing w:after="0" w:line="240" w:lineRule="auto"/>
        <w:jc w:val="both"/>
        <w:rPr>
          <w:rFonts w:ascii="Verdana" w:hAnsi="Verdana"/>
          <w:b/>
          <w:sz w:val="20"/>
          <w:szCs w:val="20"/>
        </w:rPr>
      </w:pPr>
      <w:r w:rsidRPr="00FF67F0">
        <w:rPr>
          <w:rFonts w:ascii="Verdana" w:hAnsi="Verdana"/>
          <w:b/>
          <w:sz w:val="20"/>
          <w:szCs w:val="20"/>
        </w:rPr>
        <w:t xml:space="preserve">ENRIQUECIMIENTO SIN JUSTA CAUSA – Sentencia de Unificación del 19 de noviembre de 2012 – Alcance </w:t>
      </w:r>
    </w:p>
    <w:p w14:paraId="08D2FD51" w14:textId="77777777" w:rsidR="00FF67F0" w:rsidRPr="00FF67F0" w:rsidRDefault="00FF67F0" w:rsidP="00FF67F0">
      <w:pPr>
        <w:spacing w:after="0" w:line="240" w:lineRule="auto"/>
        <w:jc w:val="both"/>
        <w:rPr>
          <w:rFonts w:ascii="Verdana" w:hAnsi="Verdana"/>
          <w:b/>
          <w:sz w:val="20"/>
          <w:szCs w:val="20"/>
        </w:rPr>
      </w:pPr>
    </w:p>
    <w:p w14:paraId="214CCFCA" w14:textId="77777777" w:rsidR="00FF67F0" w:rsidRPr="00FF67F0" w:rsidRDefault="00FF67F0" w:rsidP="00FF67F0">
      <w:pPr>
        <w:spacing w:after="0" w:line="240" w:lineRule="auto"/>
        <w:jc w:val="both"/>
        <w:rPr>
          <w:rFonts w:ascii="Verdana" w:hAnsi="Verdana"/>
          <w:sz w:val="20"/>
          <w:szCs w:val="20"/>
        </w:rPr>
      </w:pPr>
      <w:r w:rsidRPr="00FF67F0">
        <w:rPr>
          <w:rFonts w:ascii="Verdana" w:hAnsi="Verdana"/>
          <w:sz w:val="20"/>
          <w:szCs w:val="20"/>
        </w:rPr>
        <w:t xml:space="preserve">[…] la Sala Plena del Consejo de Estado en la Sentencia de Unificación del 19 de noviembre de 2012, </w:t>
      </w:r>
      <w:r w:rsidRPr="00FF67F0">
        <w:rPr>
          <w:rFonts w:ascii="Verdana" w:hAnsi="Verdana"/>
          <w:i/>
          <w:iCs/>
          <w:sz w:val="20"/>
          <w:szCs w:val="20"/>
        </w:rPr>
        <w:t>por regla general,</w:t>
      </w:r>
      <w:r w:rsidRPr="00FF67F0">
        <w:rPr>
          <w:rFonts w:ascii="Verdana" w:hAnsi="Verdana"/>
          <w:sz w:val="20"/>
          <w:szCs w:val="20"/>
        </w:rPr>
        <w:t xml:space="preserve"> no es posible solicitar reconocimientos económicos por la ejecución de obras extras o adicionales, sin la previa suscripción de un contrato adicional que las justifique. Esto en la medida que los artículos 39 y 41 del EGCAP disponen que los contratos estatales son solemnes y, por tanto, requieren formalidad escrita, salvo que se presente una situación de urgencia manifiesta.</w:t>
      </w:r>
    </w:p>
    <w:p w14:paraId="1ACC372D" w14:textId="77777777" w:rsidR="00FF67F0" w:rsidRPr="00FF67F0" w:rsidRDefault="00FF67F0" w:rsidP="00FF67F0">
      <w:pPr>
        <w:spacing w:after="0" w:line="240" w:lineRule="auto"/>
        <w:jc w:val="both"/>
        <w:rPr>
          <w:rFonts w:ascii="Verdana" w:hAnsi="Verdana"/>
          <w:sz w:val="20"/>
          <w:szCs w:val="20"/>
        </w:rPr>
      </w:pPr>
    </w:p>
    <w:p w14:paraId="276D7511" w14:textId="77777777" w:rsidR="00FF67F0" w:rsidRPr="00FF67F0" w:rsidRDefault="00FF67F0" w:rsidP="00FF67F0">
      <w:pPr>
        <w:spacing w:after="0" w:line="240" w:lineRule="auto"/>
        <w:jc w:val="both"/>
        <w:rPr>
          <w:rFonts w:ascii="Verdana" w:hAnsi="Verdana"/>
          <w:sz w:val="20"/>
          <w:szCs w:val="20"/>
        </w:rPr>
      </w:pPr>
      <w:r w:rsidRPr="00FF67F0">
        <w:rPr>
          <w:rFonts w:ascii="Verdana" w:hAnsi="Verdana"/>
          <w:i/>
          <w:iCs/>
          <w:sz w:val="20"/>
          <w:szCs w:val="20"/>
        </w:rPr>
        <w:t>Excepcionalmente</w:t>
      </w:r>
      <w:r w:rsidRPr="00FF67F0">
        <w:rPr>
          <w:rFonts w:ascii="Verdana" w:hAnsi="Verdana"/>
          <w:sz w:val="20"/>
          <w:szCs w:val="20"/>
        </w:rPr>
        <w:t xml:space="preserve">, la jurisprudencia citada admitió la posibilidad de reconocer al contratista la ejecución de obras extras o adicionales en tres (3) eventos de interpretación restrictiva: i) cuando existe prueba fehaciente de que la ejecución de obras o servicios extras o adicionales o el suministro de bienes, por fuera del objeto contractual, se haya realizado por la imposición de la entidad, en ejercicio de su autoridad; </w:t>
      </w:r>
      <w:proofErr w:type="spellStart"/>
      <w:r w:rsidRPr="00FF67F0">
        <w:rPr>
          <w:rFonts w:ascii="Verdana" w:hAnsi="Verdana"/>
          <w:sz w:val="20"/>
          <w:szCs w:val="20"/>
        </w:rPr>
        <w:t>ii</w:t>
      </w:r>
      <w:proofErr w:type="spellEnd"/>
      <w:r w:rsidRPr="00FF67F0">
        <w:rPr>
          <w:rFonts w:ascii="Verdana" w:hAnsi="Verdana"/>
          <w:sz w:val="20"/>
          <w:szCs w:val="20"/>
        </w:rPr>
        <w:t xml:space="preserve">) que fueran urgentes para evitar una lesión inminente e irreversible al derecho a la salud; y </w:t>
      </w:r>
      <w:proofErr w:type="spellStart"/>
      <w:r w:rsidRPr="00FF67F0">
        <w:rPr>
          <w:rFonts w:ascii="Verdana" w:hAnsi="Verdana"/>
          <w:sz w:val="20"/>
          <w:szCs w:val="20"/>
        </w:rPr>
        <w:t>iii</w:t>
      </w:r>
      <w:proofErr w:type="spellEnd"/>
      <w:r w:rsidRPr="00FF67F0">
        <w:rPr>
          <w:rFonts w:ascii="Verdana" w:hAnsi="Verdana"/>
          <w:sz w:val="20"/>
          <w:szCs w:val="20"/>
        </w:rPr>
        <w:t xml:space="preserve">) cuando se omite el decreto de la urgencia manifiesta y concurren las circunstancias para que ésta hubiera sido declarada.  </w:t>
      </w:r>
    </w:p>
    <w:p w14:paraId="2D30DE1A" w14:textId="77777777" w:rsidR="00FF67F0" w:rsidRPr="00FF67F0" w:rsidRDefault="00FF67F0" w:rsidP="00FF67F0">
      <w:pPr>
        <w:spacing w:after="0" w:line="240" w:lineRule="auto"/>
        <w:jc w:val="both"/>
        <w:rPr>
          <w:rFonts w:ascii="Verdana" w:hAnsi="Verdana"/>
          <w:b/>
          <w:sz w:val="20"/>
          <w:szCs w:val="20"/>
        </w:rPr>
      </w:pPr>
      <w:r w:rsidRPr="00FF67F0">
        <w:rPr>
          <w:rFonts w:ascii="Verdana" w:hAnsi="Verdana"/>
          <w:b/>
          <w:sz w:val="20"/>
          <w:szCs w:val="20"/>
        </w:rPr>
        <w:t xml:space="preserve"> </w:t>
      </w:r>
    </w:p>
    <w:p w14:paraId="46C54584" w14:textId="77777777" w:rsidR="00FF67F0" w:rsidRPr="00FF67F0" w:rsidRDefault="00FF67F0" w:rsidP="00FF67F0">
      <w:pPr>
        <w:spacing w:after="0" w:line="240" w:lineRule="auto"/>
        <w:jc w:val="both"/>
        <w:rPr>
          <w:rFonts w:ascii="Verdana" w:hAnsi="Verdana"/>
          <w:b/>
          <w:sz w:val="20"/>
          <w:szCs w:val="20"/>
        </w:rPr>
      </w:pPr>
      <w:r w:rsidRPr="00FF67F0">
        <w:rPr>
          <w:rFonts w:ascii="Verdana" w:hAnsi="Verdana"/>
          <w:b/>
          <w:sz w:val="20"/>
          <w:szCs w:val="20"/>
        </w:rPr>
        <w:t xml:space="preserve">ENRIQUECIMIENTO SIN JUSTA CAUSA – Nueva Postura – Sentencia de Unificación Jurisprudencial – Elementos – Prueba de la Actividad - Circunstancia Excepcional - Procedencia  </w:t>
      </w:r>
    </w:p>
    <w:p w14:paraId="1908AA07" w14:textId="77777777" w:rsidR="00FF67F0" w:rsidRPr="00FF67F0" w:rsidRDefault="00FF67F0" w:rsidP="00FF67F0">
      <w:pPr>
        <w:spacing w:after="0" w:line="240" w:lineRule="auto"/>
        <w:jc w:val="both"/>
        <w:rPr>
          <w:rFonts w:ascii="Verdana" w:hAnsi="Verdana"/>
          <w:sz w:val="20"/>
          <w:szCs w:val="20"/>
        </w:rPr>
      </w:pPr>
    </w:p>
    <w:p w14:paraId="7C6F968C" w14:textId="77777777" w:rsidR="00FF67F0" w:rsidRPr="00FF67F0" w:rsidRDefault="00FF67F0" w:rsidP="00FF67F0">
      <w:pPr>
        <w:spacing w:after="0" w:line="240" w:lineRule="auto"/>
        <w:jc w:val="both"/>
        <w:rPr>
          <w:rFonts w:ascii="Verdana" w:hAnsi="Verdana"/>
          <w:sz w:val="20"/>
          <w:szCs w:val="20"/>
        </w:rPr>
      </w:pPr>
      <w:r w:rsidRPr="00FF67F0">
        <w:rPr>
          <w:rFonts w:ascii="Verdana" w:hAnsi="Verdana"/>
          <w:sz w:val="20"/>
          <w:szCs w:val="20"/>
        </w:rPr>
        <w:t xml:space="preserve">En todo caso, esta postura jurisprudencial consolidada cambió con la Sentencia de Unificación del 31 de julio de 2025, en la que se expresó la compensación del enriquecimiento sin justa causa no está condicionado a la subsunción de ciertos hechos que se concuerdan con una lista de hipótesis fácticas previa y taxativamente definidas, sino que corresponde al juez, en virtud de los elementos sustantivos y la revisión el comportamiento de las partes, establecer la viabilidad de ordenar que haya una corrección al traslado patrimonial injustificado por bienes y obras no previstos en el contrato. </w:t>
      </w:r>
    </w:p>
    <w:p w14:paraId="5FEF680D" w14:textId="77777777" w:rsidR="00FF67F0" w:rsidRPr="00FF67F0" w:rsidRDefault="00FF67F0" w:rsidP="00FF67F0">
      <w:pPr>
        <w:spacing w:after="0" w:line="240" w:lineRule="auto"/>
        <w:jc w:val="both"/>
        <w:rPr>
          <w:rFonts w:ascii="Verdana" w:hAnsi="Verdana"/>
          <w:sz w:val="20"/>
          <w:szCs w:val="20"/>
        </w:rPr>
      </w:pPr>
    </w:p>
    <w:p w14:paraId="7E77A9D6" w14:textId="77777777" w:rsidR="00FF67F0" w:rsidRPr="00FF67F0" w:rsidRDefault="00FF67F0" w:rsidP="00FF67F0">
      <w:pPr>
        <w:spacing w:after="0" w:line="240" w:lineRule="auto"/>
        <w:jc w:val="both"/>
        <w:rPr>
          <w:rFonts w:ascii="Verdana" w:hAnsi="Verdana"/>
          <w:sz w:val="20"/>
          <w:szCs w:val="20"/>
        </w:rPr>
      </w:pPr>
      <w:r w:rsidRPr="00FF67F0">
        <w:rPr>
          <w:rFonts w:ascii="Verdana" w:hAnsi="Verdana"/>
          <w:sz w:val="20"/>
          <w:szCs w:val="20"/>
        </w:rPr>
        <w:t>[…]</w:t>
      </w:r>
    </w:p>
    <w:p w14:paraId="4FBB8541" w14:textId="77777777" w:rsidR="00FF67F0" w:rsidRPr="00FF67F0" w:rsidRDefault="00FF67F0" w:rsidP="00FF67F0">
      <w:pPr>
        <w:spacing w:after="0" w:line="240" w:lineRule="auto"/>
        <w:jc w:val="both"/>
        <w:rPr>
          <w:rFonts w:ascii="Verdana" w:hAnsi="Verdana"/>
          <w:sz w:val="20"/>
          <w:szCs w:val="20"/>
        </w:rPr>
      </w:pPr>
    </w:p>
    <w:p w14:paraId="67F3FAE2" w14:textId="77777777" w:rsidR="00FF67F0" w:rsidRPr="00FF67F0" w:rsidRDefault="00FF67F0" w:rsidP="00FF67F0">
      <w:pPr>
        <w:spacing w:after="0" w:line="240" w:lineRule="auto"/>
        <w:jc w:val="both"/>
        <w:rPr>
          <w:rFonts w:ascii="Verdana" w:hAnsi="Verdana"/>
          <w:sz w:val="20"/>
          <w:szCs w:val="20"/>
          <w:lang w:val="es-ES"/>
        </w:rPr>
      </w:pPr>
      <w:r w:rsidRPr="00FF67F0">
        <w:rPr>
          <w:rFonts w:ascii="Verdana" w:hAnsi="Verdana"/>
          <w:sz w:val="20"/>
          <w:szCs w:val="20"/>
        </w:rPr>
        <w:t xml:space="preserve">Teniendo en cuenta los elementos, debe tenerse en cuenta la prueba de la actividad, sumado a la circunstancia excepcional que se invoca. El Consejo de Estado estableció que esta regla sobre el reconocimiento económico debe aplicarse a partir de la ejecutoria de la nueva sentencia de unificación, en aquellas pretensiones de compensación por </w:t>
      </w:r>
      <w:r w:rsidRPr="00FF67F0">
        <w:rPr>
          <w:rFonts w:ascii="Verdana" w:hAnsi="Verdana"/>
          <w:sz w:val="20"/>
          <w:szCs w:val="20"/>
        </w:rPr>
        <w:lastRenderedPageBreak/>
        <w:t>enriquecimiento sin causa, de forma que no podrá dejarse de conceder lo pedido por el solo hecho de que el caso no se enmarque en los eventos indicados en la Sentencia del 19 de noviembre de 2012.</w:t>
      </w:r>
    </w:p>
    <w:p w14:paraId="15EC9C00" w14:textId="77777777" w:rsidR="00FF67F0" w:rsidRDefault="00FF67F0" w:rsidP="00FF67F0">
      <w:pPr>
        <w:spacing w:after="0" w:line="240" w:lineRule="auto"/>
        <w:jc w:val="both"/>
        <w:rPr>
          <w:rFonts w:ascii="Verdana" w:eastAsia="Times New Roman" w:hAnsi="Verdana" w:cs="Arial"/>
          <w:color w:val="000000"/>
          <w:sz w:val="20"/>
          <w:szCs w:val="20"/>
          <w:lang w:eastAsia="es-MX"/>
        </w:rPr>
      </w:pPr>
      <w:r>
        <w:rPr>
          <w:rFonts w:ascii="Verdana" w:eastAsia="Times New Roman" w:hAnsi="Verdana" w:cs="Arial"/>
          <w:color w:val="000000"/>
          <w:sz w:val="20"/>
          <w:szCs w:val="20"/>
          <w:lang w:eastAsia="es-MX"/>
        </w:rPr>
        <w:t xml:space="preserve"> </w:t>
      </w:r>
    </w:p>
    <w:p w14:paraId="3129750E" w14:textId="77777777" w:rsidR="00FF67F0" w:rsidRPr="00705C5F" w:rsidRDefault="00FF67F0" w:rsidP="00FF67F0">
      <w:pPr>
        <w:spacing w:after="0" w:line="240" w:lineRule="auto"/>
        <w:jc w:val="both"/>
        <w:rPr>
          <w:rFonts w:ascii="Verdana" w:eastAsia="Times New Roman" w:hAnsi="Verdana" w:cs="Arial"/>
          <w:color w:val="000000"/>
          <w:sz w:val="20"/>
          <w:szCs w:val="20"/>
          <w:lang w:eastAsia="es-MX"/>
        </w:rPr>
      </w:pPr>
    </w:p>
    <w:p w14:paraId="1E7C77C0" w14:textId="77777777" w:rsidR="00FF67F0" w:rsidRPr="00DE2AC7" w:rsidRDefault="00FF67F0" w:rsidP="00FF67F0">
      <w:pPr>
        <w:spacing w:after="0" w:line="240" w:lineRule="auto"/>
        <w:jc w:val="both"/>
        <w:rPr>
          <w:rFonts w:ascii="Verdana" w:eastAsia="Geomanist Light" w:hAnsi="Verdana" w:cs="Arial"/>
          <w:color w:val="000000" w:themeColor="text1"/>
        </w:rPr>
      </w:pPr>
    </w:p>
    <w:p w14:paraId="280AB62D" w14:textId="77777777" w:rsidR="00FF67F0" w:rsidRDefault="00FF67F0" w:rsidP="00FF67F0">
      <w:pPr>
        <w:spacing w:after="0" w:line="240" w:lineRule="auto"/>
        <w:rPr>
          <w:rFonts w:ascii="Verdana" w:eastAsia="Geomanist Light" w:hAnsi="Verdana" w:cs="Arial"/>
          <w:color w:val="000000" w:themeColor="text1"/>
          <w:lang w:val="es-MX"/>
        </w:rPr>
      </w:pPr>
    </w:p>
    <w:p w14:paraId="3DFBA361" w14:textId="77777777" w:rsidR="00FF67F0" w:rsidRDefault="00FF67F0" w:rsidP="00FF67F0">
      <w:pPr>
        <w:spacing w:after="0" w:line="240" w:lineRule="auto"/>
        <w:rPr>
          <w:rFonts w:ascii="Verdana" w:eastAsia="Geomanist Light" w:hAnsi="Verdana" w:cs="Arial"/>
          <w:color w:val="000000" w:themeColor="text1"/>
          <w:lang w:val="es-MX"/>
        </w:rPr>
      </w:pPr>
    </w:p>
    <w:p w14:paraId="79B7A191" w14:textId="77777777" w:rsidR="00FF67F0" w:rsidRDefault="00FF67F0" w:rsidP="00FF67F0">
      <w:pPr>
        <w:spacing w:after="0" w:line="240" w:lineRule="auto"/>
        <w:rPr>
          <w:rFonts w:ascii="Verdana" w:eastAsia="Geomanist Light" w:hAnsi="Verdana" w:cs="Arial"/>
          <w:color w:val="000000" w:themeColor="text1"/>
          <w:lang w:val="es-MX"/>
        </w:rPr>
      </w:pPr>
    </w:p>
    <w:p w14:paraId="14BE3602" w14:textId="77777777" w:rsidR="00FF67F0" w:rsidRDefault="00FF67F0" w:rsidP="00FF67F0">
      <w:pPr>
        <w:spacing w:after="0" w:line="240" w:lineRule="auto"/>
        <w:rPr>
          <w:rFonts w:ascii="Verdana" w:eastAsia="Geomanist Light" w:hAnsi="Verdana" w:cs="Arial"/>
          <w:color w:val="000000" w:themeColor="text1"/>
          <w:lang w:val="es-MX"/>
        </w:rPr>
      </w:pPr>
    </w:p>
    <w:p w14:paraId="602AA7A4" w14:textId="77777777" w:rsidR="00FF67F0" w:rsidRDefault="00FF67F0" w:rsidP="00FF67F0">
      <w:pPr>
        <w:spacing w:after="0" w:line="240" w:lineRule="auto"/>
        <w:rPr>
          <w:rFonts w:ascii="Verdana" w:eastAsia="Geomanist Light" w:hAnsi="Verdana" w:cs="Arial"/>
          <w:color w:val="000000" w:themeColor="text1"/>
          <w:lang w:val="es-MX"/>
        </w:rPr>
      </w:pPr>
    </w:p>
    <w:p w14:paraId="5F6E3244" w14:textId="77777777" w:rsidR="00FF67F0" w:rsidRDefault="00FF67F0" w:rsidP="00FF67F0">
      <w:pPr>
        <w:spacing w:after="0" w:line="240" w:lineRule="auto"/>
        <w:rPr>
          <w:rFonts w:ascii="Verdana" w:eastAsia="Geomanist Light" w:hAnsi="Verdana" w:cs="Arial"/>
          <w:color w:val="000000" w:themeColor="text1"/>
          <w:lang w:val="es-MX"/>
        </w:rPr>
      </w:pPr>
    </w:p>
    <w:p w14:paraId="218B45ED" w14:textId="77777777" w:rsidR="00FF67F0" w:rsidRDefault="00FF67F0" w:rsidP="00FF67F0">
      <w:pPr>
        <w:spacing w:after="0" w:line="240" w:lineRule="auto"/>
        <w:rPr>
          <w:rFonts w:ascii="Verdana" w:eastAsia="Geomanist Light" w:hAnsi="Verdana" w:cs="Arial"/>
          <w:color w:val="000000" w:themeColor="text1"/>
          <w:lang w:val="es-MX"/>
        </w:rPr>
      </w:pPr>
    </w:p>
    <w:p w14:paraId="77066C29" w14:textId="77777777" w:rsidR="00FF67F0" w:rsidRDefault="00FF67F0" w:rsidP="00FF67F0">
      <w:pPr>
        <w:spacing w:after="0" w:line="240" w:lineRule="auto"/>
        <w:rPr>
          <w:rFonts w:ascii="Verdana" w:eastAsia="Geomanist Light" w:hAnsi="Verdana" w:cs="Arial"/>
          <w:color w:val="000000" w:themeColor="text1"/>
          <w:lang w:val="es-MX"/>
        </w:rPr>
      </w:pPr>
    </w:p>
    <w:p w14:paraId="4C7063A5" w14:textId="77777777" w:rsidR="00FF67F0" w:rsidRDefault="00FF67F0" w:rsidP="00FF67F0">
      <w:pPr>
        <w:spacing w:after="0" w:line="240" w:lineRule="auto"/>
        <w:rPr>
          <w:rFonts w:ascii="Verdana" w:eastAsia="Geomanist Light" w:hAnsi="Verdana" w:cs="Arial"/>
          <w:color w:val="000000" w:themeColor="text1"/>
          <w:lang w:val="es-MX"/>
        </w:rPr>
      </w:pPr>
    </w:p>
    <w:p w14:paraId="0EAB896F" w14:textId="77777777" w:rsidR="00FF67F0" w:rsidRDefault="00FF67F0" w:rsidP="00FF67F0">
      <w:pPr>
        <w:spacing w:after="0" w:line="240" w:lineRule="auto"/>
        <w:rPr>
          <w:rFonts w:ascii="Verdana" w:eastAsia="Geomanist Light" w:hAnsi="Verdana" w:cs="Arial"/>
          <w:color w:val="000000" w:themeColor="text1"/>
          <w:lang w:val="es-MX"/>
        </w:rPr>
      </w:pPr>
    </w:p>
    <w:p w14:paraId="65C42EA7" w14:textId="77777777" w:rsidR="00FF67F0" w:rsidRDefault="00FF67F0" w:rsidP="00FF67F0">
      <w:pPr>
        <w:spacing w:after="0" w:line="240" w:lineRule="auto"/>
        <w:rPr>
          <w:rFonts w:ascii="Verdana" w:eastAsia="Geomanist Light" w:hAnsi="Verdana" w:cs="Arial"/>
          <w:color w:val="000000" w:themeColor="text1"/>
          <w:lang w:val="es-MX"/>
        </w:rPr>
      </w:pPr>
    </w:p>
    <w:p w14:paraId="323EB9E0" w14:textId="77777777" w:rsidR="00FF67F0" w:rsidRDefault="00FF67F0" w:rsidP="00FF67F0">
      <w:pPr>
        <w:spacing w:after="0" w:line="240" w:lineRule="auto"/>
        <w:rPr>
          <w:rFonts w:ascii="Verdana" w:eastAsia="Geomanist Light" w:hAnsi="Verdana" w:cs="Arial"/>
          <w:color w:val="000000" w:themeColor="text1"/>
          <w:lang w:val="es-MX"/>
        </w:rPr>
      </w:pPr>
    </w:p>
    <w:p w14:paraId="2B6D8DDC" w14:textId="77777777" w:rsidR="00FF67F0" w:rsidRDefault="00FF67F0" w:rsidP="00FF67F0">
      <w:pPr>
        <w:spacing w:after="0" w:line="240" w:lineRule="auto"/>
        <w:rPr>
          <w:rFonts w:ascii="Verdana" w:eastAsia="Geomanist Light" w:hAnsi="Verdana" w:cs="Arial"/>
          <w:color w:val="000000" w:themeColor="text1"/>
          <w:lang w:val="es-MX"/>
        </w:rPr>
      </w:pPr>
    </w:p>
    <w:p w14:paraId="24E7EF57" w14:textId="77777777" w:rsidR="00FF67F0" w:rsidRDefault="00FF67F0" w:rsidP="00FF67F0">
      <w:pPr>
        <w:spacing w:after="0" w:line="240" w:lineRule="auto"/>
        <w:rPr>
          <w:rFonts w:ascii="Verdana" w:eastAsia="Geomanist Light" w:hAnsi="Verdana" w:cs="Arial"/>
          <w:color w:val="000000" w:themeColor="text1"/>
          <w:lang w:val="es-MX"/>
        </w:rPr>
      </w:pPr>
    </w:p>
    <w:p w14:paraId="70D59BD8" w14:textId="77777777" w:rsidR="00FF67F0" w:rsidRDefault="00FF67F0" w:rsidP="00FF67F0">
      <w:pPr>
        <w:spacing w:after="0" w:line="240" w:lineRule="auto"/>
        <w:rPr>
          <w:rFonts w:ascii="Verdana" w:eastAsia="Geomanist Light" w:hAnsi="Verdana" w:cs="Arial"/>
          <w:color w:val="000000" w:themeColor="text1"/>
          <w:lang w:val="es-MX"/>
        </w:rPr>
      </w:pPr>
    </w:p>
    <w:p w14:paraId="4DC892FF" w14:textId="77777777" w:rsidR="00FF67F0" w:rsidRDefault="00FF67F0" w:rsidP="00FF67F0">
      <w:pPr>
        <w:spacing w:after="0" w:line="240" w:lineRule="auto"/>
        <w:rPr>
          <w:rFonts w:ascii="Verdana" w:eastAsia="Geomanist Light" w:hAnsi="Verdana" w:cs="Arial"/>
          <w:color w:val="000000" w:themeColor="text1"/>
          <w:lang w:val="es-MX"/>
        </w:rPr>
      </w:pPr>
    </w:p>
    <w:p w14:paraId="22BC1F46" w14:textId="77777777" w:rsidR="00FF67F0" w:rsidRDefault="00FF67F0" w:rsidP="00FF67F0">
      <w:pPr>
        <w:spacing w:after="0" w:line="240" w:lineRule="auto"/>
        <w:rPr>
          <w:rFonts w:ascii="Verdana" w:eastAsia="Geomanist Light" w:hAnsi="Verdana" w:cs="Arial"/>
          <w:color w:val="000000" w:themeColor="text1"/>
          <w:lang w:val="es-MX"/>
        </w:rPr>
      </w:pPr>
    </w:p>
    <w:p w14:paraId="260883B8" w14:textId="77777777" w:rsidR="00FF67F0" w:rsidRDefault="00FF67F0" w:rsidP="00FF67F0">
      <w:pPr>
        <w:spacing w:after="0" w:line="240" w:lineRule="auto"/>
        <w:rPr>
          <w:rFonts w:ascii="Verdana" w:eastAsia="Geomanist Light" w:hAnsi="Verdana" w:cs="Arial"/>
          <w:color w:val="000000" w:themeColor="text1"/>
          <w:lang w:val="es-MX"/>
        </w:rPr>
      </w:pPr>
    </w:p>
    <w:p w14:paraId="2FB1E1AB" w14:textId="77777777" w:rsidR="00FF67F0" w:rsidRDefault="00FF67F0" w:rsidP="00FF67F0">
      <w:pPr>
        <w:spacing w:after="0" w:line="240" w:lineRule="auto"/>
        <w:rPr>
          <w:rFonts w:ascii="Verdana" w:eastAsia="Geomanist Light" w:hAnsi="Verdana" w:cs="Arial"/>
          <w:color w:val="000000" w:themeColor="text1"/>
          <w:lang w:val="es-MX"/>
        </w:rPr>
      </w:pPr>
    </w:p>
    <w:p w14:paraId="562B1CF5" w14:textId="77777777" w:rsidR="00FF67F0" w:rsidRDefault="00FF67F0" w:rsidP="00FF67F0">
      <w:pPr>
        <w:spacing w:after="0" w:line="240" w:lineRule="auto"/>
        <w:rPr>
          <w:rFonts w:ascii="Verdana" w:eastAsia="Geomanist Light" w:hAnsi="Verdana" w:cs="Arial"/>
          <w:color w:val="000000" w:themeColor="text1"/>
          <w:lang w:val="es-MX"/>
        </w:rPr>
      </w:pPr>
    </w:p>
    <w:p w14:paraId="4F02D9EA" w14:textId="77777777" w:rsidR="00FF67F0" w:rsidRDefault="00FF67F0" w:rsidP="00FF67F0">
      <w:pPr>
        <w:spacing w:after="0" w:line="240" w:lineRule="auto"/>
        <w:rPr>
          <w:rFonts w:ascii="Verdana" w:eastAsia="Geomanist Light" w:hAnsi="Verdana" w:cs="Arial"/>
          <w:color w:val="000000" w:themeColor="text1"/>
          <w:lang w:val="es-MX"/>
        </w:rPr>
      </w:pPr>
    </w:p>
    <w:p w14:paraId="3B6EC9F6" w14:textId="77777777" w:rsidR="00FF67F0" w:rsidRDefault="00FF67F0" w:rsidP="00FF67F0">
      <w:pPr>
        <w:spacing w:after="0" w:line="240" w:lineRule="auto"/>
        <w:rPr>
          <w:rFonts w:ascii="Verdana" w:eastAsia="Geomanist Light" w:hAnsi="Verdana" w:cs="Arial"/>
          <w:color w:val="000000" w:themeColor="text1"/>
          <w:lang w:val="es-MX"/>
        </w:rPr>
      </w:pPr>
    </w:p>
    <w:p w14:paraId="2446C80C" w14:textId="77777777" w:rsidR="00FF67F0" w:rsidRDefault="00FF67F0" w:rsidP="00FF67F0">
      <w:pPr>
        <w:spacing w:after="0" w:line="240" w:lineRule="auto"/>
        <w:rPr>
          <w:rFonts w:ascii="Verdana" w:eastAsia="Geomanist Light" w:hAnsi="Verdana" w:cs="Arial"/>
          <w:color w:val="000000" w:themeColor="text1"/>
          <w:lang w:val="es-MX"/>
        </w:rPr>
      </w:pPr>
    </w:p>
    <w:p w14:paraId="4A753A7E" w14:textId="77777777" w:rsidR="00FF67F0" w:rsidRDefault="00FF67F0" w:rsidP="00FF67F0">
      <w:pPr>
        <w:spacing w:after="0" w:line="240" w:lineRule="auto"/>
        <w:rPr>
          <w:rFonts w:ascii="Verdana" w:eastAsia="Geomanist Light" w:hAnsi="Verdana" w:cs="Arial"/>
          <w:color w:val="000000" w:themeColor="text1"/>
          <w:lang w:val="es-MX"/>
        </w:rPr>
      </w:pPr>
    </w:p>
    <w:p w14:paraId="0E51CE37" w14:textId="77777777" w:rsidR="00FF67F0" w:rsidRDefault="00FF67F0" w:rsidP="00FF67F0">
      <w:pPr>
        <w:spacing w:after="0" w:line="240" w:lineRule="auto"/>
        <w:rPr>
          <w:rFonts w:ascii="Verdana" w:eastAsia="Geomanist Light" w:hAnsi="Verdana" w:cs="Arial"/>
          <w:color w:val="000000" w:themeColor="text1"/>
          <w:lang w:val="es-MX"/>
        </w:rPr>
      </w:pPr>
    </w:p>
    <w:p w14:paraId="7360D0AB" w14:textId="77777777" w:rsidR="00FF67F0" w:rsidRDefault="00FF67F0" w:rsidP="00FF67F0">
      <w:pPr>
        <w:spacing w:after="0" w:line="240" w:lineRule="auto"/>
        <w:rPr>
          <w:rFonts w:ascii="Verdana" w:eastAsia="Geomanist Light" w:hAnsi="Verdana" w:cs="Arial"/>
          <w:color w:val="000000" w:themeColor="text1"/>
          <w:lang w:val="es-MX"/>
        </w:rPr>
      </w:pPr>
    </w:p>
    <w:p w14:paraId="64323544" w14:textId="77777777" w:rsidR="00FF67F0" w:rsidRDefault="00FF67F0" w:rsidP="00FF67F0">
      <w:pPr>
        <w:spacing w:after="0" w:line="240" w:lineRule="auto"/>
        <w:rPr>
          <w:rFonts w:ascii="Verdana" w:eastAsia="Geomanist Light" w:hAnsi="Verdana" w:cs="Arial"/>
          <w:color w:val="000000" w:themeColor="text1"/>
          <w:lang w:val="es-MX"/>
        </w:rPr>
      </w:pPr>
    </w:p>
    <w:p w14:paraId="7532695C" w14:textId="77777777" w:rsidR="00FF67F0" w:rsidRDefault="00FF67F0" w:rsidP="00FF67F0">
      <w:pPr>
        <w:spacing w:after="0" w:line="240" w:lineRule="auto"/>
        <w:rPr>
          <w:rFonts w:ascii="Verdana" w:eastAsia="Geomanist Light" w:hAnsi="Verdana" w:cs="Arial"/>
          <w:color w:val="000000" w:themeColor="text1"/>
          <w:lang w:val="es-MX"/>
        </w:rPr>
      </w:pPr>
    </w:p>
    <w:p w14:paraId="2A00F1B3" w14:textId="77777777" w:rsidR="00FF67F0" w:rsidRDefault="00FF67F0" w:rsidP="00FF67F0">
      <w:pPr>
        <w:spacing w:after="0" w:line="240" w:lineRule="auto"/>
        <w:rPr>
          <w:rFonts w:ascii="Verdana" w:eastAsia="Geomanist Light" w:hAnsi="Verdana" w:cs="Arial"/>
          <w:color w:val="000000" w:themeColor="text1"/>
          <w:lang w:val="es-MX"/>
        </w:rPr>
      </w:pPr>
    </w:p>
    <w:p w14:paraId="01451C80" w14:textId="77777777" w:rsidR="00FF67F0" w:rsidRDefault="00FF67F0" w:rsidP="00FF67F0">
      <w:pPr>
        <w:spacing w:after="0" w:line="240" w:lineRule="auto"/>
        <w:rPr>
          <w:rFonts w:ascii="Verdana" w:eastAsia="Geomanist Light" w:hAnsi="Verdana" w:cs="Arial"/>
          <w:color w:val="000000" w:themeColor="text1"/>
          <w:lang w:val="es-MX"/>
        </w:rPr>
      </w:pPr>
    </w:p>
    <w:p w14:paraId="5362FE04" w14:textId="77777777" w:rsidR="00FF67F0" w:rsidRDefault="00FF67F0" w:rsidP="00FF67F0">
      <w:pPr>
        <w:spacing w:after="0" w:line="240" w:lineRule="auto"/>
        <w:rPr>
          <w:rFonts w:ascii="Verdana" w:eastAsia="Geomanist Light" w:hAnsi="Verdana" w:cs="Arial"/>
          <w:color w:val="000000" w:themeColor="text1"/>
          <w:lang w:val="es-MX"/>
        </w:rPr>
      </w:pPr>
    </w:p>
    <w:p w14:paraId="17B7BD0B" w14:textId="77777777" w:rsidR="00FF67F0" w:rsidRDefault="00FF67F0" w:rsidP="00FF67F0">
      <w:pPr>
        <w:spacing w:after="0" w:line="240" w:lineRule="auto"/>
        <w:rPr>
          <w:rFonts w:ascii="Verdana" w:eastAsia="Geomanist Light" w:hAnsi="Verdana" w:cs="Arial"/>
          <w:color w:val="000000" w:themeColor="text1"/>
          <w:lang w:val="es-MX"/>
        </w:rPr>
      </w:pPr>
    </w:p>
    <w:p w14:paraId="7EDC08EA" w14:textId="77777777" w:rsidR="00FF67F0" w:rsidRDefault="00FF67F0" w:rsidP="00FF67F0">
      <w:pPr>
        <w:spacing w:after="0" w:line="240" w:lineRule="auto"/>
        <w:rPr>
          <w:rFonts w:ascii="Verdana" w:eastAsia="Geomanist Light" w:hAnsi="Verdana" w:cs="Arial"/>
          <w:color w:val="000000" w:themeColor="text1"/>
          <w:lang w:val="es-MX"/>
        </w:rPr>
      </w:pPr>
    </w:p>
    <w:p w14:paraId="5A4EE281" w14:textId="77777777" w:rsidR="00FF67F0" w:rsidRDefault="00FF67F0" w:rsidP="00FF67F0">
      <w:pPr>
        <w:spacing w:after="0" w:line="240" w:lineRule="auto"/>
        <w:rPr>
          <w:rFonts w:ascii="Verdana" w:eastAsia="Geomanist Light" w:hAnsi="Verdana" w:cs="Arial"/>
          <w:color w:val="000000" w:themeColor="text1"/>
          <w:lang w:val="es-MX"/>
        </w:rPr>
      </w:pPr>
    </w:p>
    <w:p w14:paraId="43D88D68" w14:textId="77777777" w:rsidR="00FF67F0" w:rsidRDefault="00FF67F0" w:rsidP="007F707F">
      <w:pPr>
        <w:spacing w:after="0" w:line="240" w:lineRule="auto"/>
        <w:rPr>
          <w:rFonts w:ascii="Verdana" w:eastAsia="Geomanist Light" w:hAnsi="Verdana" w:cs="Arial"/>
          <w:color w:val="000000" w:themeColor="text1"/>
          <w:lang w:val="es-MX"/>
        </w:rPr>
      </w:pPr>
    </w:p>
    <w:p w14:paraId="1902851F" w14:textId="77777777" w:rsidR="00FF67F0" w:rsidRDefault="00FF67F0" w:rsidP="007F707F">
      <w:pPr>
        <w:spacing w:after="0" w:line="240" w:lineRule="auto"/>
        <w:rPr>
          <w:rFonts w:ascii="Verdana" w:eastAsia="Geomanist Light" w:hAnsi="Verdana" w:cs="Arial"/>
          <w:color w:val="000000" w:themeColor="text1"/>
          <w:lang w:val="es-MX"/>
        </w:rPr>
      </w:pPr>
    </w:p>
    <w:p w14:paraId="4A0DBF6F" w14:textId="77777777" w:rsidR="00FF67F0" w:rsidRDefault="00FF67F0" w:rsidP="007F707F">
      <w:pPr>
        <w:spacing w:after="0" w:line="240" w:lineRule="auto"/>
        <w:rPr>
          <w:rFonts w:ascii="Verdana" w:eastAsia="Geomanist Light" w:hAnsi="Verdana" w:cs="Arial"/>
          <w:color w:val="000000" w:themeColor="text1"/>
          <w:lang w:val="es-MX"/>
        </w:rPr>
      </w:pPr>
    </w:p>
    <w:p w14:paraId="0E649EDF" w14:textId="7FF3E10D" w:rsidR="007F707F" w:rsidRPr="00593A5F" w:rsidRDefault="007F707F" w:rsidP="007F707F">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843AEC">
        <w:rPr>
          <w:rFonts w:ascii="Verdana" w:eastAsia="Geomanist Light" w:hAnsi="Verdana" w:cs="Arial"/>
          <w:color w:val="000000" w:themeColor="text1"/>
          <w:lang w:val="es-MX"/>
        </w:rPr>
        <w:t>21</w:t>
      </w:r>
      <w:r w:rsidR="00843AEC" w:rsidRPr="00843AEC">
        <w:rPr>
          <w:rFonts w:ascii="Verdana" w:eastAsia="Geomanist Light" w:hAnsi="Verdana" w:cs="Arial"/>
          <w:color w:val="000000" w:themeColor="text1"/>
          <w:lang w:val="es-MX"/>
        </w:rPr>
        <w:t xml:space="preserve"> de Octubre de 2025</w:t>
      </w:r>
    </w:p>
    <w:p w14:paraId="452F8B02" w14:textId="77777777" w:rsidR="007F707F" w:rsidRDefault="007F707F" w:rsidP="007F707F">
      <w:pPr>
        <w:spacing w:after="0" w:line="240" w:lineRule="auto"/>
        <w:jc w:val="both"/>
        <w:rPr>
          <w:rFonts w:ascii="Verdana" w:eastAsia="Calibri" w:hAnsi="Verdana" w:cs="Arial"/>
          <w:color w:val="000000"/>
          <w:lang w:val="es-ES"/>
        </w:rPr>
      </w:pPr>
    </w:p>
    <w:p w14:paraId="507DD788" w14:textId="56866FAC" w:rsidR="00B96236" w:rsidRDefault="00B96236" w:rsidP="00B96236">
      <w:pPr>
        <w:spacing w:after="0" w:line="240" w:lineRule="auto"/>
        <w:jc w:val="right"/>
        <w:rPr>
          <w:rFonts w:ascii="Verdana" w:eastAsia="Calibri" w:hAnsi="Verdana" w:cs="Arial"/>
          <w:color w:val="000000"/>
          <w:lang w:val="es-ES"/>
        </w:rPr>
      </w:pPr>
      <w:r w:rsidRPr="00B96236">
        <w:rPr>
          <w:rFonts w:ascii="Verdana" w:eastAsia="Calibri" w:hAnsi="Verdana" w:cs="Arial"/>
          <w:noProof/>
          <w:color w:val="000000"/>
          <w:lang w:val="es-ES"/>
        </w:rPr>
        <w:drawing>
          <wp:inline distT="0" distB="0" distL="0" distR="0" wp14:anchorId="7E7700F5" wp14:editId="366CB14A">
            <wp:extent cx="2400300" cy="622300"/>
            <wp:effectExtent l="0" t="0" r="0" b="0"/>
            <wp:docPr id="20423204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320453" name=""/>
                    <pic:cNvPicPr/>
                  </pic:nvPicPr>
                  <pic:blipFill>
                    <a:blip r:embed="rId10"/>
                    <a:stretch>
                      <a:fillRect/>
                    </a:stretch>
                  </pic:blipFill>
                  <pic:spPr>
                    <a:xfrm>
                      <a:off x="0" y="0"/>
                      <a:ext cx="2400300" cy="622300"/>
                    </a:xfrm>
                    <a:prstGeom prst="rect">
                      <a:avLst/>
                    </a:prstGeom>
                  </pic:spPr>
                </pic:pic>
              </a:graphicData>
            </a:graphic>
          </wp:inline>
        </w:drawing>
      </w:r>
    </w:p>
    <w:p w14:paraId="14D391B9" w14:textId="77777777" w:rsidR="007F707F" w:rsidRDefault="007F707F" w:rsidP="007F707F">
      <w:pPr>
        <w:spacing w:after="0" w:line="240" w:lineRule="auto"/>
        <w:jc w:val="both"/>
        <w:rPr>
          <w:rFonts w:ascii="Verdana" w:eastAsia="Calibri" w:hAnsi="Verdana" w:cs="Arial"/>
          <w:lang w:val="es-ES" w:eastAsia="es-ES"/>
        </w:rPr>
      </w:pPr>
    </w:p>
    <w:p w14:paraId="0124D883" w14:textId="60E38E36" w:rsidR="007F707F" w:rsidRPr="00B96799" w:rsidRDefault="007F707F" w:rsidP="007F707F">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7D92BBAE" w14:textId="77777777" w:rsidR="007F707F" w:rsidRPr="0085423D" w:rsidRDefault="007F707F" w:rsidP="007F707F">
      <w:pPr>
        <w:spacing w:after="0" w:line="240" w:lineRule="auto"/>
        <w:rPr>
          <w:rFonts w:ascii="Verdana" w:eastAsia="Calibri" w:hAnsi="Verdana" w:cs="Arial"/>
          <w:b/>
          <w:lang w:val="es-ES_tradnl" w:eastAsia="es-ES_tradnl"/>
        </w:rPr>
      </w:pPr>
      <w:bookmarkStart w:id="0" w:name="OLE_LINK1"/>
      <w:r w:rsidRPr="006A0322">
        <w:rPr>
          <w:rFonts w:ascii="Verdana" w:eastAsia="Calibri" w:hAnsi="Verdana" w:cs="Arial"/>
          <w:b/>
          <w:lang w:val="es-ES_tradnl" w:eastAsia="es-ES_tradnl"/>
        </w:rPr>
        <w:t>Juan Mauricio Manosalva Amaya</w:t>
      </w:r>
      <w:r w:rsidRPr="00A804BA">
        <w:rPr>
          <w:rFonts w:ascii="Verdana" w:eastAsia="Calibri" w:hAnsi="Verdana" w:cs="Arial"/>
          <w:b/>
          <w:lang w:val="es-ES_tradnl" w:eastAsia="es-ES_tradnl"/>
        </w:rPr>
        <w:t xml:space="preserve"> </w:t>
      </w:r>
      <w:r>
        <w:rPr>
          <w:rFonts w:ascii="Verdana" w:eastAsia="Calibri" w:hAnsi="Verdana" w:cs="Arial"/>
          <w:b/>
          <w:lang w:val="es-ES_tradnl" w:eastAsia="es-ES_tradnl"/>
        </w:rPr>
        <w:t xml:space="preserve"> </w:t>
      </w:r>
    </w:p>
    <w:bookmarkEnd w:id="0"/>
    <w:p w14:paraId="0136F4DB" w14:textId="77777777" w:rsidR="007F707F" w:rsidRPr="00A04039" w:rsidRDefault="007F707F" w:rsidP="007F707F">
      <w:pPr>
        <w:spacing w:after="0" w:line="240" w:lineRule="auto"/>
        <w:rPr>
          <w:rFonts w:ascii="Verdana" w:eastAsia="Calibri" w:hAnsi="Verdana" w:cs="Arial"/>
          <w:lang w:val="pt-BR" w:eastAsia="es-ES"/>
        </w:rPr>
      </w:pPr>
      <w:r>
        <w:rPr>
          <w:rFonts w:ascii="Verdana" w:hAnsi="Verdana"/>
        </w:rPr>
        <w:fldChar w:fldCharType="begin"/>
      </w:r>
      <w:r w:rsidRPr="00A04039">
        <w:rPr>
          <w:rFonts w:ascii="Verdana" w:hAnsi="Verdana"/>
          <w:lang w:val="pt-BR"/>
        </w:rPr>
        <w:instrText>HYPERLINK "mailto:ingtec96.sas@gmail.com"</w:instrText>
      </w:r>
      <w:r>
        <w:rPr>
          <w:rFonts w:ascii="Verdana" w:hAnsi="Verdana"/>
        </w:rPr>
      </w:r>
      <w:r>
        <w:rPr>
          <w:rFonts w:ascii="Verdana" w:hAnsi="Verdana"/>
        </w:rPr>
        <w:fldChar w:fldCharType="separate"/>
      </w:r>
      <w:r w:rsidRPr="00A04039">
        <w:rPr>
          <w:rStyle w:val="Hipervnculo"/>
          <w:rFonts w:ascii="Verdana" w:hAnsi="Verdana"/>
          <w:lang w:val="pt-BR"/>
        </w:rPr>
        <w:t>ingtec96.sas@gmail.com</w:t>
      </w:r>
      <w:r>
        <w:rPr>
          <w:rFonts w:ascii="Verdana" w:hAnsi="Verdana"/>
        </w:rPr>
        <w:fldChar w:fldCharType="end"/>
      </w:r>
      <w:r w:rsidRPr="00A04039">
        <w:rPr>
          <w:rFonts w:ascii="Verdana" w:hAnsi="Verdana"/>
          <w:lang w:val="pt-BR"/>
        </w:rPr>
        <w:t xml:space="preserve">                 </w:t>
      </w:r>
      <w:r w:rsidRPr="00A04039">
        <w:rPr>
          <w:rFonts w:ascii="Verdana" w:eastAsia="Calibri" w:hAnsi="Verdana" w:cs="Arial"/>
          <w:lang w:val="pt-BR" w:eastAsia="es-ES"/>
        </w:rPr>
        <w:t xml:space="preserve">    </w:t>
      </w:r>
    </w:p>
    <w:p w14:paraId="345C3121" w14:textId="77777777" w:rsidR="007F707F" w:rsidRPr="00A04039" w:rsidRDefault="007F707F" w:rsidP="007F707F">
      <w:pPr>
        <w:spacing w:after="0" w:line="240" w:lineRule="auto"/>
        <w:rPr>
          <w:rFonts w:ascii="Verdana" w:eastAsia="Calibri" w:hAnsi="Verdana" w:cs="Arial"/>
          <w:lang w:val="pt-BR" w:eastAsia="es-ES"/>
        </w:rPr>
      </w:pPr>
      <w:r w:rsidRPr="00A04039">
        <w:rPr>
          <w:rFonts w:ascii="Verdana" w:eastAsia="Calibri" w:hAnsi="Verdana" w:cs="Arial"/>
          <w:lang w:val="pt-BR" w:eastAsia="es-ES"/>
        </w:rPr>
        <w:t xml:space="preserve">Duitama, Boyacá </w:t>
      </w:r>
    </w:p>
    <w:p w14:paraId="4FD581FA" w14:textId="77777777" w:rsidR="007F707F" w:rsidRPr="00A04039" w:rsidRDefault="007F707F" w:rsidP="007F707F">
      <w:pPr>
        <w:spacing w:after="0" w:line="240" w:lineRule="auto"/>
        <w:rPr>
          <w:rFonts w:ascii="Verdana" w:eastAsia="Calibri" w:hAnsi="Verdana" w:cs="Arial"/>
          <w:b/>
          <w:color w:val="000000"/>
          <w:lang w:val="pt-BR" w:eastAsia="es-ES_tradnl"/>
        </w:rPr>
      </w:pPr>
    </w:p>
    <w:p w14:paraId="4CE821A2" w14:textId="77777777" w:rsidR="007F707F" w:rsidRPr="00A04039" w:rsidRDefault="007F707F" w:rsidP="007F707F">
      <w:pPr>
        <w:spacing w:after="0" w:line="240" w:lineRule="auto"/>
        <w:rPr>
          <w:rFonts w:ascii="Verdana" w:eastAsia="Calibri" w:hAnsi="Verdana" w:cs="Arial"/>
          <w:b/>
          <w:color w:val="000000"/>
          <w:lang w:val="pt-BR"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F707F" w:rsidRPr="00593A5F" w14:paraId="2E78144E" w14:textId="77777777" w:rsidTr="00F90ECF">
        <w:trPr>
          <w:trHeight w:val="884"/>
        </w:trPr>
        <w:tc>
          <w:tcPr>
            <w:tcW w:w="2689" w:type="dxa"/>
          </w:tcPr>
          <w:p w14:paraId="005F22DD" w14:textId="77777777" w:rsidR="007F707F" w:rsidRPr="00A04039" w:rsidRDefault="007F707F" w:rsidP="00F90ECF">
            <w:pPr>
              <w:jc w:val="both"/>
              <w:rPr>
                <w:rFonts w:ascii="Verdana" w:eastAsia="Calibri" w:hAnsi="Verdana" w:cs="Arial"/>
                <w:b/>
                <w:color w:val="7030A0"/>
                <w:lang w:val="pt-BR" w:eastAsia="es-ES_tradnl"/>
              </w:rPr>
            </w:pPr>
          </w:p>
        </w:tc>
        <w:tc>
          <w:tcPr>
            <w:tcW w:w="6100" w:type="dxa"/>
          </w:tcPr>
          <w:p w14:paraId="5CC9380C" w14:textId="77777777" w:rsidR="007F707F" w:rsidRPr="00C00976" w:rsidRDefault="007F707F" w:rsidP="00F90ECF">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1429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7F707F" w:rsidRPr="00593A5F" w14:paraId="1C05B01F" w14:textId="77777777" w:rsidTr="00F90ECF">
        <w:trPr>
          <w:trHeight w:val="884"/>
        </w:trPr>
        <w:tc>
          <w:tcPr>
            <w:tcW w:w="2689" w:type="dxa"/>
          </w:tcPr>
          <w:p w14:paraId="4FAFC46F" w14:textId="77777777" w:rsidR="007F707F" w:rsidRPr="00593A5F" w:rsidRDefault="007F707F" w:rsidP="00F90EC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250FB6D5" w14:textId="77777777" w:rsidR="007F707F" w:rsidRDefault="007F707F" w:rsidP="00F90ECF">
            <w:pPr>
              <w:spacing w:line="276" w:lineRule="auto"/>
              <w:jc w:val="both"/>
              <w:rPr>
                <w:rFonts w:ascii="Verdana" w:eastAsia="Calibri" w:hAnsi="Verdana" w:cs="Arial"/>
                <w:lang w:val="es-ES" w:eastAsia="es-ES"/>
              </w:rPr>
            </w:pPr>
            <w:r w:rsidRPr="00660AA2">
              <w:rPr>
                <w:rFonts w:ascii="Verdana" w:eastAsia="Calibri" w:hAnsi="Verdana" w:cs="Arial"/>
                <w:lang w:val="es-ES" w:eastAsia="es-ES"/>
              </w:rPr>
              <w:t>EQUILIBRIO ECONÓMICO – Contrato estatal – Fundamento / EQUILIBRIO ECONÓMICO – Contrato estatal – Concepto / EQUILIBRIO ECONÓMICO – Contrato estatal – Restablecimiento – Procedencia – Requisitos</w:t>
            </w:r>
            <w:r>
              <w:rPr>
                <w:rFonts w:ascii="Verdana" w:eastAsia="Calibri" w:hAnsi="Verdana" w:cs="Arial"/>
                <w:lang w:val="es-ES" w:eastAsia="es-ES"/>
              </w:rPr>
              <w:t xml:space="preserve"> / </w:t>
            </w:r>
            <w:r w:rsidRPr="00660AA2">
              <w:rPr>
                <w:rFonts w:ascii="Verdana" w:eastAsia="Calibri" w:hAnsi="Verdana" w:cs="Arial"/>
                <w:lang w:val="es-ES" w:eastAsia="es-ES"/>
              </w:rPr>
              <w:t xml:space="preserve">RESTABLECIMIENTO DE LA ECUACIÓN ECONÓMICA – Liquidación </w:t>
            </w:r>
            <w:r>
              <w:rPr>
                <w:rFonts w:ascii="Verdana" w:eastAsia="Calibri" w:hAnsi="Verdana" w:cs="Arial"/>
                <w:lang w:val="es-ES" w:eastAsia="es-ES"/>
              </w:rPr>
              <w:t xml:space="preserve">/ </w:t>
            </w:r>
            <w:r w:rsidRPr="00A04C35">
              <w:rPr>
                <w:rFonts w:ascii="Verdana" w:hAnsi="Verdana" w:cs="Arial"/>
                <w:lang w:val="es-ES" w:eastAsia="es-ES"/>
              </w:rPr>
              <w:t>ENRIQUECIMIENTO SIN JUSTA CAUSA – Sentencia de Unificación del 19 de noviembre de 2012 – Alcance / ENRIQUECIMIENTO SIN JUSTA CAUSA – Nueva Postura – Sentencia de Unificación Jurisprudencial – Elementos – Prueba de la Actividad - Circunstancia Excepcional - Procedencia</w:t>
            </w:r>
          </w:p>
          <w:p w14:paraId="66E5E16B" w14:textId="77777777" w:rsidR="007F707F" w:rsidRPr="00593A5F" w:rsidRDefault="007F707F" w:rsidP="00F90ECF">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7F707F" w:rsidRPr="008E6AD9" w14:paraId="445A2690" w14:textId="77777777" w:rsidTr="00F90ECF">
        <w:tc>
          <w:tcPr>
            <w:tcW w:w="2689" w:type="dxa"/>
          </w:tcPr>
          <w:p w14:paraId="21425E78" w14:textId="77777777" w:rsidR="007F707F" w:rsidRPr="008E6AD9" w:rsidRDefault="007F707F" w:rsidP="00F90ECF">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A2EE6D5" w14:textId="77777777" w:rsidR="007F707F" w:rsidRPr="00B92340" w:rsidRDefault="007F707F" w:rsidP="00F90ECF">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3130C1">
              <w:rPr>
                <w:rFonts w:ascii="Verdana" w:eastAsia="Calibri" w:hAnsi="Verdana" w:cs="Arial"/>
                <w:lang w:val="es-ES_tradnl" w:eastAsia="es-ES_tradnl"/>
              </w:rPr>
              <w:t>1_2025_10_02_011011</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51862A18" w14:textId="77777777" w:rsidR="007F707F" w:rsidRPr="00593A5F" w:rsidRDefault="007F707F" w:rsidP="007F707F">
      <w:pPr>
        <w:spacing w:after="0" w:line="240" w:lineRule="auto"/>
        <w:jc w:val="both"/>
        <w:rPr>
          <w:rFonts w:ascii="Verdana" w:eastAsia="Calibri" w:hAnsi="Verdana" w:cs="Arial"/>
          <w:color w:val="000000"/>
          <w:lang w:val="es-ES_tradnl" w:eastAsia="es-ES_tradnl"/>
        </w:rPr>
      </w:pPr>
    </w:p>
    <w:p w14:paraId="2309B502" w14:textId="77777777" w:rsidR="007F707F" w:rsidRPr="00593A5F" w:rsidRDefault="007F707F" w:rsidP="007F707F">
      <w:pPr>
        <w:spacing w:after="0" w:line="240" w:lineRule="auto"/>
        <w:jc w:val="both"/>
        <w:rPr>
          <w:rFonts w:ascii="Verdana" w:eastAsia="Calibri" w:hAnsi="Verdana" w:cs="Arial"/>
          <w:color w:val="000000"/>
          <w:lang w:val="es-ES_tradnl" w:eastAsia="es-ES_tradnl"/>
        </w:rPr>
      </w:pPr>
    </w:p>
    <w:p w14:paraId="4671E2D8" w14:textId="77777777" w:rsidR="007F707F" w:rsidRPr="008E6AD9" w:rsidRDefault="007F707F" w:rsidP="007F707F">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0F4870">
        <w:rPr>
          <w:rFonts w:ascii="Verdana" w:eastAsia="Calibri" w:hAnsi="Verdana" w:cs="Arial"/>
          <w:lang w:val="es-ES" w:eastAsia="es-ES"/>
        </w:rPr>
        <w:t>Manosalva Amaya</w:t>
      </w:r>
      <w:r w:rsidRPr="008E6AD9">
        <w:rPr>
          <w:rFonts w:ascii="Verdana" w:eastAsia="Calibri" w:hAnsi="Verdana" w:cs="Arial"/>
          <w:lang w:val="es-ES" w:eastAsia="es-ES"/>
        </w:rPr>
        <w:t xml:space="preserve">: </w:t>
      </w:r>
    </w:p>
    <w:p w14:paraId="1A185F7F" w14:textId="77777777" w:rsidR="007F707F" w:rsidRDefault="007F707F" w:rsidP="007F707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4145B9C" w14:textId="77777777" w:rsidR="007F707F" w:rsidRPr="00593A5F" w:rsidRDefault="007F707F" w:rsidP="007F707F">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 de octubre de 2025, en la cual pregunta lo siguiente</w:t>
      </w:r>
      <w:r w:rsidRPr="008E6AD9">
        <w:rPr>
          <w:rFonts w:ascii="Verdana" w:eastAsia="Calibri" w:hAnsi="Verdana" w:cs="Arial"/>
          <w:lang w:val="es-ES" w:eastAsia="es-ES"/>
        </w:rPr>
        <w:t xml:space="preserve">: </w:t>
      </w:r>
    </w:p>
    <w:p w14:paraId="0C0B4CA9" w14:textId="77777777" w:rsidR="007F707F" w:rsidRPr="00272A7B" w:rsidRDefault="007F707F" w:rsidP="007F707F">
      <w:pPr>
        <w:pStyle w:val="Prrafodelista"/>
        <w:tabs>
          <w:tab w:val="left" w:pos="142"/>
          <w:tab w:val="left" w:pos="284"/>
        </w:tabs>
        <w:spacing w:after="0" w:line="276" w:lineRule="auto"/>
        <w:ind w:left="0"/>
        <w:jc w:val="both"/>
        <w:rPr>
          <w:rFonts w:ascii="Verdana" w:eastAsia="Century Gothic" w:hAnsi="Verdana" w:cs="Century Gothic"/>
          <w:b/>
          <w:bCs/>
        </w:rPr>
      </w:pPr>
    </w:p>
    <w:p w14:paraId="2888B2D5" w14:textId="77777777" w:rsidR="007F707F" w:rsidRPr="00AA6517" w:rsidRDefault="007F707F" w:rsidP="007F707F">
      <w:pPr>
        <w:spacing w:after="0" w:line="240" w:lineRule="auto"/>
        <w:ind w:left="709" w:right="709"/>
        <w:jc w:val="both"/>
        <w:rPr>
          <w:rFonts w:ascii="Verdana" w:eastAsia="Century Gothic" w:hAnsi="Verdana" w:cs="Century Gothic"/>
          <w:sz w:val="20"/>
          <w:szCs w:val="20"/>
          <w:lang w:val="es-ES"/>
        </w:rPr>
      </w:pPr>
      <w:bookmarkStart w:id="1" w:name="_Hlk95313578"/>
      <w:r w:rsidRPr="00AA6517">
        <w:rPr>
          <w:rFonts w:ascii="Verdana" w:eastAsia="Century Gothic" w:hAnsi="Verdana" w:cs="Century Gothic"/>
          <w:sz w:val="20"/>
          <w:szCs w:val="20"/>
          <w:lang w:val="es-ES"/>
        </w:rPr>
        <w:lastRenderedPageBreak/>
        <w:t>“</w:t>
      </w:r>
      <w:bookmarkEnd w:id="1"/>
      <w:r w:rsidRPr="00AA6517">
        <w:rPr>
          <w:rFonts w:ascii="Verdana" w:eastAsia="Century Gothic" w:hAnsi="Verdana" w:cs="Century Gothic"/>
          <w:sz w:val="20"/>
          <w:szCs w:val="20"/>
          <w:lang w:val="es-ES"/>
        </w:rPr>
        <w:t>¿En el evento en que, por circunstancias de la obra, se requiera la ejecución de meses adicionales a los inicialmente previstos, derivados de la inclusión de ítems no previstos y del ajuste de mayores y menores cantidades que generaron un incremento en el valor contractual y una adición en tiempo, el Plan de Manejo de Tránsito (PMT) y el Plan de Adaptación de la Guía Ambiental (PAGA) deben ser objeto de adición presupuestal o se deben ejecutar con el valor inicialmente definido en el contrato?</w:t>
      </w:r>
      <w:r w:rsidRPr="00AA6517">
        <w:rPr>
          <w:rFonts w:ascii="Verdana" w:eastAsia="Century Gothic" w:hAnsi="Verdana" w:cs="Century Gothic"/>
          <w:sz w:val="20"/>
          <w:szCs w:val="20"/>
        </w:rPr>
        <w:t>”.</w:t>
      </w:r>
      <w:r>
        <w:rPr>
          <w:rFonts w:ascii="Verdana" w:eastAsia="Century Gothic" w:hAnsi="Verdana" w:cs="Century Gothic"/>
          <w:sz w:val="21"/>
          <w:szCs w:val="21"/>
        </w:rPr>
        <w:t xml:space="preserve"> </w:t>
      </w:r>
    </w:p>
    <w:p w14:paraId="1F415B24" w14:textId="77777777" w:rsidR="007F707F" w:rsidRPr="008E6AD9" w:rsidRDefault="007F707F" w:rsidP="007F707F">
      <w:pPr>
        <w:pStyle w:val="Prrafodelista"/>
        <w:tabs>
          <w:tab w:val="left" w:pos="142"/>
          <w:tab w:val="left" w:pos="284"/>
        </w:tabs>
        <w:spacing w:after="0" w:line="276" w:lineRule="auto"/>
        <w:ind w:left="0"/>
        <w:jc w:val="both"/>
        <w:rPr>
          <w:rFonts w:ascii="Verdana" w:eastAsia="Century Gothic" w:hAnsi="Verdana" w:cs="Century Gothic"/>
          <w:b/>
          <w:bCs/>
        </w:rPr>
      </w:pPr>
    </w:p>
    <w:p w14:paraId="29522BAD" w14:textId="77777777" w:rsidR="007F707F" w:rsidRPr="00A652FF" w:rsidRDefault="007F707F" w:rsidP="007F707F">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0625D25" w14:textId="77777777" w:rsidR="007F707F" w:rsidRDefault="007F707F" w:rsidP="007F707F">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689C315A" w14:textId="77777777" w:rsidR="007F707F" w:rsidRPr="00593A5F" w:rsidRDefault="007F707F" w:rsidP="007F707F">
      <w:pPr>
        <w:spacing w:after="0" w:line="276" w:lineRule="auto"/>
        <w:ind w:firstLine="709"/>
        <w:jc w:val="both"/>
        <w:rPr>
          <w:rFonts w:ascii="Verdana" w:eastAsia="Calibri" w:hAnsi="Verdana" w:cs="Arial"/>
          <w:color w:val="000000"/>
          <w:lang w:val="es-ES" w:eastAsia="es-ES"/>
        </w:rPr>
      </w:pPr>
    </w:p>
    <w:p w14:paraId="4B1E2C86" w14:textId="77777777" w:rsidR="007F707F" w:rsidRPr="00593A5F" w:rsidRDefault="007F707F" w:rsidP="007F707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F9F00EC" w14:textId="77777777" w:rsidR="007F707F" w:rsidRPr="00593A5F" w:rsidRDefault="007F707F" w:rsidP="007F707F">
      <w:pPr>
        <w:tabs>
          <w:tab w:val="left" w:pos="426"/>
        </w:tabs>
        <w:spacing w:after="0" w:line="276" w:lineRule="auto"/>
        <w:jc w:val="both"/>
        <w:rPr>
          <w:rFonts w:ascii="Verdana" w:eastAsia="Century Gothic" w:hAnsi="Verdana" w:cs="Century Gothic"/>
          <w:lang w:val="es-ES"/>
        </w:rPr>
      </w:pPr>
    </w:p>
    <w:p w14:paraId="71F33B51" w14:textId="39A756C8" w:rsidR="007F707F" w:rsidRPr="00593A5F" w:rsidRDefault="007F707F" w:rsidP="007F707F">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sidR="00A04039">
        <w:rPr>
          <w:rFonts w:ascii="Verdana" w:eastAsia="Century Gothic" w:hAnsi="Verdana" w:cs="Century Gothic"/>
        </w:rPr>
        <w:t>R</w:t>
      </w:r>
      <w:r>
        <w:rPr>
          <w:rFonts w:ascii="Verdana" w:eastAsia="Century Gothic" w:hAnsi="Verdana" w:cs="Century Gothic"/>
        </w:rPr>
        <w:t xml:space="preserve">especto a la variación del precio de los valores unitarios en el tiempo, </w:t>
      </w:r>
      <w:r w:rsidR="00A04039">
        <w:rPr>
          <w:rFonts w:ascii="Verdana" w:eastAsia="Century Gothic" w:hAnsi="Verdana" w:cs="Century Gothic"/>
        </w:rPr>
        <w:t>¿</w:t>
      </w:r>
      <w:r>
        <w:rPr>
          <w:rFonts w:ascii="Verdana" w:eastAsia="Century Gothic" w:hAnsi="Verdana" w:cs="Century Gothic"/>
        </w:rPr>
        <w:t xml:space="preserve">cuáles son los mecanismos para el restablecimiento de la ecuación financiera del contrato? </w:t>
      </w:r>
    </w:p>
    <w:p w14:paraId="1B378D9C" w14:textId="77777777" w:rsidR="007F707F" w:rsidRPr="004B140F" w:rsidRDefault="007F707F" w:rsidP="007F707F">
      <w:pPr>
        <w:spacing w:after="0" w:line="276" w:lineRule="auto"/>
        <w:jc w:val="both"/>
        <w:rPr>
          <w:rFonts w:ascii="Verdana" w:eastAsia="Calibri" w:hAnsi="Verdana" w:cs="Arial"/>
          <w:color w:val="7030A0"/>
        </w:rPr>
      </w:pPr>
    </w:p>
    <w:p w14:paraId="3D4064D3" w14:textId="77777777" w:rsidR="007F707F" w:rsidRPr="00593A5F" w:rsidRDefault="007F707F" w:rsidP="007F707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A68D39B" w14:textId="77777777" w:rsidR="007F707F" w:rsidRPr="00593A5F" w:rsidRDefault="007F707F" w:rsidP="007F707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F707F" w:rsidRPr="00593A5F" w14:paraId="085EAF3A" w14:textId="77777777" w:rsidTr="00F90ECF">
        <w:trPr>
          <w:jc w:val="center"/>
        </w:trPr>
        <w:tc>
          <w:tcPr>
            <w:tcW w:w="8828" w:type="dxa"/>
          </w:tcPr>
          <w:p w14:paraId="528AE329" w14:textId="77777777" w:rsidR="007F707F" w:rsidRDefault="007F707F" w:rsidP="00F90ECF">
            <w:pPr>
              <w:spacing w:after="120" w:line="276" w:lineRule="auto"/>
              <w:ind w:right="51"/>
              <w:jc w:val="both"/>
              <w:rPr>
                <w:rFonts w:ascii="Verdana" w:eastAsia="Arial" w:hAnsi="Verdana" w:cs="Arial"/>
                <w:color w:val="000000" w:themeColor="text1"/>
                <w:lang w:eastAsia="es-ES" w:bidi="es-ES"/>
              </w:rPr>
            </w:pPr>
            <w:bookmarkStart w:id="2" w:name="_Hlk171694685"/>
            <w:r>
              <w:rPr>
                <w:rFonts w:ascii="Verdana" w:eastAsia="Calibri" w:hAnsi="Verdana" w:cs="Arial"/>
                <w:bCs/>
                <w:color w:val="000000" w:themeColor="text1"/>
              </w:rPr>
              <w:t>Conforme a la interpretación general de las normas del sistema de compras públicas, p</w:t>
            </w:r>
            <w:r>
              <w:rPr>
                <w:rFonts w:ascii="Verdana" w:eastAsia="Arial" w:hAnsi="Verdana" w:cs="Arial"/>
                <w:color w:val="000000" w:themeColor="text1"/>
                <w:lang w:eastAsia="es-ES" w:bidi="es-ES"/>
              </w:rPr>
              <w:t xml:space="preserve">or remisión de los artículos 13, 32 y 40 del EGCAP al derecho </w:t>
            </w:r>
            <w:r>
              <w:rPr>
                <w:rFonts w:ascii="Verdana" w:eastAsia="Arial" w:hAnsi="Verdana" w:cs="Arial"/>
                <w:color w:val="000000" w:themeColor="text1"/>
                <w:lang w:eastAsia="es-ES" w:bidi="es-ES"/>
              </w:rPr>
              <w:lastRenderedPageBreak/>
              <w:t xml:space="preserve">privado, el contrato es ley para las partes conforme al artículo 1602 del Código Civil. Aunque la </w:t>
            </w:r>
            <w:r w:rsidRPr="00752476">
              <w:rPr>
                <w:rFonts w:ascii="Verdana" w:eastAsia="Arial" w:hAnsi="Verdana" w:cs="Arial"/>
                <w:i/>
                <w:iCs/>
                <w:color w:val="000000" w:themeColor="text1"/>
                <w:lang w:eastAsia="es-ES" w:bidi="es-ES"/>
              </w:rPr>
              <w:t>regla general</w:t>
            </w:r>
            <w:r>
              <w:rPr>
                <w:rFonts w:ascii="Verdana" w:eastAsia="Arial" w:hAnsi="Verdana" w:cs="Arial"/>
                <w:color w:val="000000" w:themeColor="text1"/>
                <w:lang w:eastAsia="es-ES" w:bidi="es-ES"/>
              </w:rPr>
              <w:t xml:space="preserve"> es el cumplimiento de los precios pactados, </w:t>
            </w:r>
            <w:r>
              <w:rPr>
                <w:rFonts w:ascii="Verdana" w:eastAsia="Arial" w:hAnsi="Verdana" w:cs="Arial"/>
                <w:i/>
                <w:iCs/>
                <w:color w:val="000000" w:themeColor="text1"/>
                <w:lang w:eastAsia="es-ES" w:bidi="es-ES"/>
              </w:rPr>
              <w:t>de forma excepcional</w:t>
            </w:r>
            <w:r>
              <w:rPr>
                <w:rFonts w:ascii="Verdana" w:eastAsia="Arial" w:hAnsi="Verdana" w:cs="Arial"/>
                <w:color w:val="000000" w:themeColor="text1"/>
                <w:lang w:eastAsia="es-ES" w:bidi="es-ES"/>
              </w:rPr>
              <w:t xml:space="preserve"> </w:t>
            </w:r>
            <w:r w:rsidRPr="00752476">
              <w:rPr>
                <w:rFonts w:ascii="Verdana" w:eastAsia="Arial" w:hAnsi="Verdana" w:cs="Arial"/>
                <w:color w:val="000000" w:themeColor="text1"/>
                <w:lang w:eastAsia="es-ES" w:bidi="es-ES"/>
              </w:rPr>
              <w:t>pueden surgir circunstancias imprevistas que</w:t>
            </w:r>
            <w:r>
              <w:rPr>
                <w:rFonts w:ascii="Verdana" w:eastAsia="Arial" w:hAnsi="Verdana" w:cs="Arial"/>
                <w:color w:val="000000" w:themeColor="text1"/>
                <w:lang w:eastAsia="es-ES" w:bidi="es-ES"/>
              </w:rPr>
              <w:t xml:space="preserve"> </w:t>
            </w:r>
            <w:r w:rsidRPr="00752476">
              <w:rPr>
                <w:rFonts w:ascii="Verdana" w:eastAsia="Arial" w:hAnsi="Verdana" w:cs="Arial"/>
                <w:color w:val="000000" w:themeColor="text1"/>
                <w:lang w:eastAsia="es-ES" w:bidi="es-ES"/>
              </w:rPr>
              <w:t>hagan</w:t>
            </w:r>
            <w:r>
              <w:rPr>
                <w:rFonts w:ascii="Verdana" w:eastAsia="Arial" w:hAnsi="Verdana" w:cs="Arial"/>
                <w:color w:val="000000" w:themeColor="text1"/>
                <w:lang w:eastAsia="es-ES" w:bidi="es-ES"/>
              </w:rPr>
              <w:t xml:space="preserve"> la ejecución</w:t>
            </w:r>
            <w:r w:rsidRPr="00752476">
              <w:rPr>
                <w:rFonts w:ascii="Verdana" w:eastAsia="Arial" w:hAnsi="Verdana" w:cs="Arial"/>
                <w:color w:val="000000" w:themeColor="text1"/>
                <w:lang w:eastAsia="es-ES" w:bidi="es-ES"/>
              </w:rPr>
              <w:t xml:space="preserve"> excesivamente gravos</w:t>
            </w:r>
            <w:r>
              <w:rPr>
                <w:rFonts w:ascii="Verdana" w:eastAsia="Arial" w:hAnsi="Verdana" w:cs="Arial"/>
                <w:color w:val="000000" w:themeColor="text1"/>
                <w:lang w:eastAsia="es-ES" w:bidi="es-ES"/>
              </w:rPr>
              <w:t>a</w:t>
            </w:r>
            <w:r w:rsidRPr="00752476">
              <w:rPr>
                <w:rFonts w:ascii="Verdana" w:eastAsia="Arial" w:hAnsi="Verdana" w:cs="Arial"/>
                <w:color w:val="000000" w:themeColor="text1"/>
                <w:lang w:eastAsia="es-ES" w:bidi="es-ES"/>
              </w:rPr>
              <w:t xml:space="preserve">, por lo que se han creado mecanismos para mantener la equidad y el equilibrio entre las </w:t>
            </w:r>
            <w:r>
              <w:rPr>
                <w:rFonts w:ascii="Verdana" w:eastAsia="Arial" w:hAnsi="Verdana" w:cs="Arial"/>
                <w:color w:val="000000" w:themeColor="text1"/>
                <w:lang w:eastAsia="es-ES" w:bidi="es-ES"/>
              </w:rPr>
              <w:t xml:space="preserve">obligaciones. </w:t>
            </w:r>
          </w:p>
          <w:p w14:paraId="35396D6B" w14:textId="77777777" w:rsidR="007F707F" w:rsidRDefault="007F707F" w:rsidP="00F90ECF">
            <w:pPr>
              <w:spacing w:after="120" w:line="276" w:lineRule="auto"/>
              <w:ind w:right="51" w:firstLine="737"/>
              <w:jc w:val="both"/>
              <w:rPr>
                <w:rFonts w:ascii="Verdana" w:eastAsia="Arial" w:hAnsi="Verdana" w:cs="Arial"/>
                <w:color w:val="000000" w:themeColor="text1"/>
                <w:lang w:eastAsia="es-ES" w:bidi="es-ES"/>
              </w:rPr>
            </w:pPr>
            <w:r>
              <w:rPr>
                <w:rFonts w:ascii="Verdana" w:eastAsia="Arial" w:hAnsi="Verdana" w:cs="Arial"/>
                <w:color w:val="000000" w:themeColor="text1"/>
                <w:lang w:val="es-ES" w:eastAsia="es-ES" w:bidi="es-ES"/>
              </w:rPr>
              <w:t xml:space="preserve">Para estos efectos, </w:t>
            </w:r>
            <w:r w:rsidRPr="00E97A27">
              <w:rPr>
                <w:rFonts w:ascii="Verdana" w:eastAsia="Arial" w:hAnsi="Verdana" w:cs="Arial"/>
                <w:color w:val="000000" w:themeColor="text1"/>
                <w:lang w:val="es-ES" w:eastAsia="es-ES" w:bidi="es-ES"/>
              </w:rPr>
              <w:t xml:space="preserve">el numeral 3 del artículo 4 </w:t>
            </w:r>
            <w:r>
              <w:rPr>
                <w:rFonts w:ascii="Verdana" w:eastAsia="Arial" w:hAnsi="Verdana" w:cs="Arial"/>
                <w:color w:val="000000" w:themeColor="text1"/>
                <w:lang w:val="es-ES" w:eastAsia="es-ES" w:bidi="es-ES"/>
              </w:rPr>
              <w:t>del EGCAP</w:t>
            </w:r>
            <w:r w:rsidRPr="00E97A27">
              <w:rPr>
                <w:rFonts w:ascii="Verdana" w:eastAsia="Arial" w:hAnsi="Verdana" w:cs="Arial"/>
                <w:color w:val="000000" w:themeColor="text1"/>
                <w:lang w:val="es-ES" w:eastAsia="es-ES" w:bidi="es-ES"/>
              </w:rPr>
              <w:t xml:space="preserve"> señala que las entidades estatales solicitarán la actualización o la revisión de los precios cuando se produzcan fenómenos que alteren en su contra </w:t>
            </w:r>
            <w:r w:rsidRPr="00E97A27">
              <w:rPr>
                <w:rFonts w:ascii="Verdana" w:eastAsia="Arial" w:hAnsi="Verdana" w:cs="Arial"/>
                <w:i/>
                <w:iCs/>
                <w:color w:val="000000" w:themeColor="text1"/>
                <w:lang w:val="es-ES" w:eastAsia="es-ES" w:bidi="es-ES"/>
              </w:rPr>
              <w:t>el equilibrio económico o financiero</w:t>
            </w:r>
            <w:r w:rsidRPr="00E97A27">
              <w:rPr>
                <w:rFonts w:ascii="Verdana" w:eastAsia="Arial" w:hAnsi="Verdana" w:cs="Arial"/>
                <w:color w:val="000000" w:themeColor="text1"/>
                <w:lang w:val="es-ES" w:eastAsia="es-ES" w:bidi="es-ES"/>
              </w:rPr>
              <w:t xml:space="preserve"> del contrato. Asimismo, el numeral 8 del artículo en comento señala que las entidades deberán adoptar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lo cual se emplearán los mecanismos de revisión y reajuste de precios</w:t>
            </w:r>
            <w:r>
              <w:rPr>
                <w:rFonts w:ascii="Verdana" w:eastAsia="Arial" w:hAnsi="Verdana" w:cs="Arial"/>
                <w:color w:val="000000" w:themeColor="text1"/>
                <w:lang w:val="es-ES" w:eastAsia="es-ES" w:bidi="es-ES"/>
              </w:rPr>
              <w:t>.</w:t>
            </w:r>
          </w:p>
          <w:p w14:paraId="77276D52" w14:textId="77777777" w:rsidR="007F707F" w:rsidRPr="00324083" w:rsidRDefault="007F707F" w:rsidP="00F90ECF">
            <w:pPr>
              <w:spacing w:after="120" w:line="276" w:lineRule="auto"/>
              <w:ind w:right="51" w:firstLine="737"/>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 xml:space="preserve">Asimismo, </w:t>
            </w:r>
            <w:r w:rsidRPr="00E97A27">
              <w:rPr>
                <w:rFonts w:ascii="Verdana" w:eastAsia="Arial" w:hAnsi="Verdana" w:cs="Arial"/>
                <w:color w:val="000000" w:themeColor="text1"/>
                <w:lang w:val="es-ES" w:eastAsia="es-ES" w:bidi="es-ES"/>
              </w:rPr>
              <w:t>cuando se presenten situaciones que generen el desequilibrio económico del contrato, previa revisión de su procedencia, conforme el análisis del caso concreto, la entidad deberá adoptar las medidas correspondientes para su restablecimiento, si a ello hay lugar, para lo cual tiene la potestad de suscribir los acuerdos necesarios sobre cuantía, condiciones, forma de pago, etc.</w:t>
            </w:r>
            <w:r>
              <w:rPr>
                <w:rFonts w:ascii="Verdana" w:eastAsia="Arial" w:hAnsi="Verdana" w:cs="Arial"/>
                <w:color w:val="000000" w:themeColor="text1"/>
                <w:lang w:val="es-ES" w:eastAsia="es-ES" w:bidi="es-ES"/>
              </w:rPr>
              <w:t xml:space="preserve"> </w:t>
            </w:r>
            <w:r w:rsidRPr="00E97A27">
              <w:rPr>
                <w:rFonts w:ascii="Verdana" w:eastAsia="Arial" w:hAnsi="Verdana" w:cs="Arial"/>
                <w:color w:val="000000" w:themeColor="text1"/>
                <w:lang w:val="es-ES" w:eastAsia="es-ES" w:bidi="es-ES"/>
              </w:rPr>
              <w:t>Estas medidas podrán materializarse a través de los distintos acuerdos que suscriban las partes como prórrogas, adiciones, otrosíes o cualquier acuerdo modificatorio que se considere necesarios para solventar el desequilibrio del contrato de acuerdo con las particularidades de cada caso. Igualmente, podrá efectuarse dicho reconocimiento por parte del juez mediante el ejercicio de la acción judicial correspondiente.</w:t>
            </w:r>
          </w:p>
          <w:p w14:paraId="3E99DF9F" w14:textId="77777777" w:rsidR="007F707F" w:rsidRPr="00324083" w:rsidRDefault="007F707F" w:rsidP="00F90ECF">
            <w:pPr>
              <w:spacing w:after="120" w:line="276" w:lineRule="auto"/>
              <w:ind w:firstLine="737"/>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 xml:space="preserve">Finalmente, conforme a los incisos segundo y tercero del artículo 60 del EGCAP, en la liquidación “[…] </w:t>
            </w:r>
            <w:r w:rsidRPr="00D118AB">
              <w:rPr>
                <w:rFonts w:ascii="Verdana" w:eastAsia="Times New Roman" w:hAnsi="Verdana" w:cs="Arial"/>
                <w:color w:val="000000"/>
                <w:bdr w:val="none" w:sz="0" w:space="0" w:color="auto" w:frame="1"/>
                <w:shd w:val="clear" w:color="auto" w:fill="FFFFFF"/>
                <w:lang w:eastAsia="es-ES_tradnl"/>
              </w:rPr>
              <w:t>las partes acordarán los ajustes, revisiones y reconocimientos a que haya lugar</w:t>
            </w:r>
            <w:r>
              <w:rPr>
                <w:rFonts w:ascii="Verdana" w:eastAsia="Times New Roman" w:hAnsi="Verdana" w:cs="Arial"/>
                <w:color w:val="000000"/>
                <w:bdr w:val="none" w:sz="0" w:space="0" w:color="auto" w:frame="1"/>
                <w:shd w:val="clear" w:color="auto" w:fill="FFFFFF"/>
                <w:lang w:eastAsia="es-ES_tradnl"/>
              </w:rPr>
              <w:t xml:space="preserve">” y en ella “[…] </w:t>
            </w:r>
            <w:r w:rsidRPr="00D118AB">
              <w:rPr>
                <w:rFonts w:ascii="Verdana" w:eastAsia="Times New Roman" w:hAnsi="Verdana" w:cs="Arial"/>
                <w:color w:val="000000"/>
                <w:bdr w:val="none" w:sz="0" w:space="0" w:color="auto" w:frame="1"/>
                <w:shd w:val="clear" w:color="auto" w:fill="FFFFFF"/>
                <w:lang w:eastAsia="es-ES_tradnl"/>
              </w:rPr>
              <w:t>constarán los acuerdos, conciliaciones y transacciones a que llegaren las partes para poner fin a las divergencias presentadas y poder declararse a paz y salvo</w:t>
            </w:r>
            <w:r>
              <w:rPr>
                <w:rFonts w:ascii="Verdana" w:eastAsia="Times New Roman" w:hAnsi="Verdana" w:cs="Arial"/>
                <w:color w:val="000000"/>
                <w:bdr w:val="none" w:sz="0" w:space="0" w:color="auto" w:frame="1"/>
                <w:shd w:val="clear" w:color="auto" w:fill="FFFFFF"/>
                <w:lang w:eastAsia="es-ES_tradnl"/>
              </w:rPr>
              <w:t>”</w:t>
            </w:r>
            <w:r w:rsidRPr="00D118AB">
              <w:rPr>
                <w:rFonts w:ascii="Verdana" w:eastAsia="Times New Roman" w:hAnsi="Verdana" w:cs="Arial"/>
                <w:color w:val="000000"/>
                <w:bdr w:val="none" w:sz="0" w:space="0" w:color="auto" w:frame="1"/>
                <w:shd w:val="clear" w:color="auto" w:fill="FFFFFF"/>
                <w:lang w:eastAsia="es-ES_tradnl"/>
              </w:rPr>
              <w:t>.</w:t>
            </w:r>
            <w:r>
              <w:rPr>
                <w:rFonts w:ascii="Verdana" w:eastAsia="Times New Roman" w:hAnsi="Verdana" w:cs="Arial"/>
                <w:color w:val="000000"/>
                <w:bdr w:val="none" w:sz="0" w:space="0" w:color="auto" w:frame="1"/>
                <w:shd w:val="clear" w:color="auto" w:fill="FFFFFF"/>
                <w:lang w:eastAsia="es-ES_tradnl"/>
              </w:rPr>
              <w:t xml:space="preserve"> Esto hace que la liquidación no sólo sea un mecanismo alternativo de solución de conflictos, sino también un medio para resolver asuntos relacionados con el desequilibrio económico del contrato. En el marco </w:t>
            </w:r>
            <w:r w:rsidRPr="00A04C35">
              <w:rPr>
                <w:rFonts w:ascii="Verdana" w:eastAsia="Times New Roman" w:hAnsi="Verdana" w:cs="Arial"/>
                <w:color w:val="000000"/>
                <w:bdr w:val="none" w:sz="0" w:space="0" w:color="auto" w:frame="1"/>
                <w:shd w:val="clear" w:color="auto" w:fill="FFFFFF"/>
                <w:lang w:eastAsia="es-ES_tradnl"/>
              </w:rPr>
              <w:t>la Sentencia de Unificación del 31 de julio de 2025</w:t>
            </w:r>
            <w:r>
              <w:rPr>
                <w:rFonts w:ascii="Verdana" w:eastAsia="Times New Roman" w:hAnsi="Verdana" w:cs="Arial"/>
                <w:color w:val="000000"/>
                <w:bdr w:val="none" w:sz="0" w:space="0" w:color="auto" w:frame="1"/>
                <w:shd w:val="clear" w:color="auto" w:fill="FFFFFF"/>
                <w:lang w:eastAsia="es-ES_tradnl"/>
              </w:rPr>
              <w:t xml:space="preserve">, </w:t>
            </w:r>
            <w:r w:rsidRPr="00A04C35">
              <w:rPr>
                <w:rFonts w:ascii="Verdana" w:eastAsia="Times New Roman" w:hAnsi="Verdana" w:cs="Arial"/>
                <w:color w:val="000000"/>
                <w:bdr w:val="none" w:sz="0" w:space="0" w:color="auto" w:frame="1"/>
                <w:shd w:val="clear" w:color="auto" w:fill="FFFFFF"/>
                <w:lang w:eastAsia="es-ES_tradnl"/>
              </w:rPr>
              <w:t xml:space="preserve">existe la posibilidad de reconocer en la liquidación actividades no incluidas o </w:t>
            </w:r>
            <w:r w:rsidRPr="0044442B">
              <w:rPr>
                <w:rFonts w:ascii="Verdana" w:eastAsia="Times New Roman" w:hAnsi="Verdana" w:cs="Arial"/>
                <w:color w:val="000000"/>
                <w:bdr w:val="none" w:sz="0" w:space="0" w:color="auto" w:frame="1"/>
                <w:shd w:val="clear" w:color="auto" w:fill="FFFFFF"/>
                <w:lang w:eastAsia="es-ES_tradnl"/>
              </w:rPr>
              <w:t>ítems</w:t>
            </w:r>
            <w:r w:rsidRPr="00A04C35">
              <w:rPr>
                <w:rFonts w:ascii="Verdana" w:eastAsia="Times New Roman" w:hAnsi="Verdana" w:cs="Arial"/>
                <w:color w:val="000000"/>
                <w:bdr w:val="none" w:sz="0" w:space="0" w:color="auto" w:frame="1"/>
                <w:shd w:val="clear" w:color="auto" w:fill="FFFFFF"/>
                <w:lang w:eastAsia="es-ES_tradnl"/>
              </w:rPr>
              <w:t xml:space="preserve"> no previstos dentro del contrato, pues no se limita a los </w:t>
            </w:r>
            <w:r w:rsidRPr="00A04C35">
              <w:rPr>
                <w:rFonts w:ascii="Verdana" w:eastAsia="Times New Roman" w:hAnsi="Verdana" w:cs="Arial"/>
                <w:color w:val="000000"/>
                <w:bdr w:val="none" w:sz="0" w:space="0" w:color="auto" w:frame="1"/>
                <w:shd w:val="clear" w:color="auto" w:fill="FFFFFF"/>
                <w:lang w:eastAsia="es-ES_tradnl"/>
              </w:rPr>
              <w:lastRenderedPageBreak/>
              <w:t>supuestos planteados de la Sentencia de Unificación del 19 de noviembre de 2012, sino que se configuren los elementos del enriquecimiento sin justa causa, la prueba de la actividad, sumado a la circunstancia excepcional que se invoca.</w:t>
            </w:r>
          </w:p>
          <w:p w14:paraId="3024A1C4" w14:textId="77777777" w:rsidR="007F707F" w:rsidRPr="001941FD" w:rsidRDefault="007F707F" w:rsidP="00F90ECF">
            <w:pPr>
              <w:spacing w:line="276" w:lineRule="auto"/>
              <w:ind w:firstLine="709"/>
              <w:jc w:val="both"/>
              <w:rPr>
                <w:rFonts w:ascii="Verdana" w:eastAsia="Calibri" w:hAnsi="Verdana" w:cs="Arial"/>
                <w:bCs/>
                <w:color w:val="000000" w:themeColor="text1"/>
              </w:rPr>
            </w:pPr>
            <w:r w:rsidRPr="005A13AE">
              <w:rPr>
                <w:rStyle w:val="s15"/>
                <w:rFonts w:ascii="Verdana" w:hAnsi="Verdana"/>
                <w:color w:val="000000"/>
              </w:rPr>
              <w:t>Al margen de la explicación precedente debe advertirse que el análisis requerido para resolver problemas específicos en torno a los reconocimientos económicos derivados del desequilibrio en el contrato debe ser realizado por quienes tengan interés en ello, de acuerdo con lo explicado la aclaración preliminar del presente oficio</w:t>
            </w:r>
            <w:r w:rsidRPr="001941FD">
              <w:rPr>
                <w:rStyle w:val="s15"/>
                <w:rFonts w:ascii="Verdana" w:hAnsi="Verdana"/>
                <w:color w:val="000000"/>
              </w:rPr>
              <w:t>.</w:t>
            </w:r>
            <w:r w:rsidRPr="001941FD">
              <w:rPr>
                <w:rStyle w:val="apple-converted-space"/>
                <w:rFonts w:ascii="Verdana" w:hAnsi="Verdana"/>
                <w:color w:val="000000"/>
              </w:rPr>
              <w:t> </w:t>
            </w:r>
            <w:r w:rsidRPr="001941FD">
              <w:rPr>
                <w:rStyle w:val="s15"/>
                <w:rFonts w:ascii="Verdana" w:hAnsi="Verdana"/>
                <w:color w:val="000000"/>
              </w:rPr>
              <w:t>Por lo anterior,</w:t>
            </w:r>
            <w:r>
              <w:rPr>
                <w:rStyle w:val="s15"/>
                <w:rFonts w:ascii="Verdana" w:hAnsi="Verdana"/>
                <w:color w:val="000000"/>
              </w:rPr>
              <w:t xml:space="preserve"> </w:t>
            </w:r>
            <w:r>
              <w:rPr>
                <w:rFonts w:ascii="Verdana" w:hAnsi="Verdana" w:cs="Arial"/>
                <w:lang w:eastAsia="es-ES"/>
              </w:rPr>
              <w:t>de acuerdo con la distribución de los riesgos</w:t>
            </w:r>
            <w:r w:rsidRPr="001941FD">
              <w:rPr>
                <w:rStyle w:val="s15"/>
                <w:rFonts w:ascii="Verdana" w:hAnsi="Verdana"/>
                <w:color w:val="000000"/>
              </w:rPr>
              <w:t xml:space="preserve">, corresponde </w:t>
            </w:r>
            <w:r>
              <w:rPr>
                <w:rStyle w:val="s15"/>
                <w:rFonts w:ascii="Verdana" w:hAnsi="Verdana"/>
                <w:color w:val="000000"/>
              </w:rPr>
              <w:t>a las partes del contrato</w:t>
            </w:r>
            <w:r w:rsidRPr="001941FD">
              <w:rPr>
                <w:rStyle w:val="s15"/>
                <w:rFonts w:ascii="Verdana" w:hAnsi="Verdana"/>
                <w:color w:val="000000"/>
              </w:rPr>
              <w:t xml:space="preserve"> </w:t>
            </w:r>
            <w:r>
              <w:rPr>
                <w:rStyle w:val="s15"/>
                <w:rFonts w:ascii="Verdana" w:hAnsi="Verdana"/>
                <w:color w:val="000000"/>
              </w:rPr>
              <w:t xml:space="preserve">definir si determinados </w:t>
            </w:r>
            <w:r w:rsidRPr="0013555B">
              <w:rPr>
                <w:rStyle w:val="s15"/>
                <w:rFonts w:ascii="Verdana" w:hAnsi="Verdana"/>
                <w:i/>
                <w:iCs/>
                <w:color w:val="000000"/>
              </w:rPr>
              <w:t>ítems</w:t>
            </w:r>
            <w:r w:rsidRPr="0013555B">
              <w:rPr>
                <w:rStyle w:val="s15"/>
                <w:rFonts w:ascii="Verdana" w:hAnsi="Verdana"/>
                <w:color w:val="000000"/>
              </w:rPr>
              <w:t xml:space="preserve"> </w:t>
            </w:r>
            <w:r>
              <w:rPr>
                <w:rStyle w:val="s15"/>
                <w:rFonts w:ascii="Verdana" w:hAnsi="Verdana"/>
                <w:color w:val="000000"/>
              </w:rPr>
              <w:t xml:space="preserve">serán objeto de </w:t>
            </w:r>
            <w:r w:rsidRPr="0013555B">
              <w:rPr>
                <w:rStyle w:val="s15"/>
                <w:rFonts w:ascii="Verdana" w:hAnsi="Verdana"/>
                <w:color w:val="000000"/>
              </w:rPr>
              <w:t>adición presupuestal o deben ejecutar</w:t>
            </w:r>
            <w:r>
              <w:rPr>
                <w:rStyle w:val="s15"/>
                <w:rFonts w:ascii="Verdana" w:hAnsi="Verdana"/>
                <w:color w:val="000000"/>
              </w:rPr>
              <w:t>se</w:t>
            </w:r>
            <w:r w:rsidRPr="0013555B">
              <w:rPr>
                <w:rStyle w:val="s15"/>
                <w:rFonts w:ascii="Verdana" w:hAnsi="Verdana"/>
                <w:color w:val="000000"/>
              </w:rPr>
              <w:t xml:space="preserve"> con el valor inicialmente definido </w:t>
            </w:r>
            <w:r>
              <w:rPr>
                <w:rStyle w:val="s15"/>
                <w:rFonts w:ascii="Verdana" w:hAnsi="Verdana"/>
                <w:color w:val="000000"/>
              </w:rPr>
              <w:t>en los documentos del proceso; motivo por el cual,</w:t>
            </w:r>
            <w:r w:rsidRPr="001941FD">
              <w:rPr>
                <w:rStyle w:val="s15"/>
                <w:rFonts w:ascii="Verdana" w:hAnsi="Verdana"/>
                <w:color w:val="000000"/>
              </w:rPr>
              <w:t xml:space="preserve"> en caso de conflicto, </w:t>
            </w:r>
            <w:r>
              <w:rPr>
                <w:rStyle w:val="s15"/>
                <w:rFonts w:ascii="Verdana" w:hAnsi="Verdana"/>
                <w:color w:val="000000"/>
              </w:rPr>
              <w:t xml:space="preserve">intervendrán </w:t>
            </w:r>
            <w:r w:rsidRPr="001941FD">
              <w:rPr>
                <w:rStyle w:val="s15"/>
                <w:rFonts w:ascii="Verdana" w:hAnsi="Verdana"/>
                <w:color w:val="000000"/>
              </w:rPr>
              <w:t>las autoridades judiciales, fiscales y disciplinarias. Así, cada entidad definirá la forma de adelantar su gestión contractual, sin que sea atribución de Colombia Compra Eficiente validar sus actuaciones.</w:t>
            </w:r>
          </w:p>
        </w:tc>
      </w:tr>
    </w:tbl>
    <w:p w14:paraId="33750170" w14:textId="77777777" w:rsidR="007F707F" w:rsidRPr="00593A5F" w:rsidRDefault="007F707F" w:rsidP="007F707F">
      <w:pPr>
        <w:tabs>
          <w:tab w:val="left" w:pos="142"/>
          <w:tab w:val="left" w:pos="284"/>
        </w:tabs>
        <w:spacing w:after="0" w:line="276" w:lineRule="auto"/>
        <w:jc w:val="both"/>
        <w:rPr>
          <w:rFonts w:ascii="Verdana" w:eastAsia="Century Gothic" w:hAnsi="Verdana" w:cs="Century Gothic"/>
          <w:b/>
          <w:bCs/>
          <w:lang w:val="es-ES"/>
        </w:rPr>
      </w:pPr>
    </w:p>
    <w:bookmarkEnd w:id="2"/>
    <w:p w14:paraId="2AC4F676" w14:textId="77777777" w:rsidR="007F707F" w:rsidRPr="00593A5F" w:rsidRDefault="007F707F" w:rsidP="007F707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12FDF5D" w14:textId="77777777" w:rsidR="007F707F" w:rsidRPr="00593A5F" w:rsidRDefault="007F707F" w:rsidP="007F707F">
      <w:pPr>
        <w:spacing w:after="0" w:line="276" w:lineRule="auto"/>
        <w:jc w:val="both"/>
        <w:rPr>
          <w:rFonts w:ascii="Verdana" w:eastAsia="Calibri" w:hAnsi="Verdana" w:cs="Arial"/>
          <w:color w:val="7030A0"/>
          <w:lang w:val="es-ES"/>
        </w:rPr>
      </w:pPr>
    </w:p>
    <w:p w14:paraId="0498CC1B" w14:textId="77777777" w:rsidR="007F707F" w:rsidRDefault="007F707F" w:rsidP="007F707F">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4DAC8B3" w14:textId="77777777" w:rsidR="007F707F" w:rsidRPr="00415608" w:rsidRDefault="007F707F" w:rsidP="007F707F">
      <w:pPr>
        <w:spacing w:after="0" w:line="276" w:lineRule="auto"/>
        <w:jc w:val="both"/>
        <w:rPr>
          <w:rFonts w:ascii="Verdana" w:eastAsia="Calibri" w:hAnsi="Verdana" w:cs="Arial"/>
          <w:lang w:val="es-ES"/>
        </w:rPr>
      </w:pPr>
    </w:p>
    <w:p w14:paraId="08527145" w14:textId="77777777" w:rsidR="007F707F" w:rsidRPr="00E97A27" w:rsidRDefault="007F707F" w:rsidP="007F707F">
      <w:pPr>
        <w:widowControl w:val="0"/>
        <w:autoSpaceDE w:val="0"/>
        <w:autoSpaceDN w:val="0"/>
        <w:spacing w:after="0" w:line="276" w:lineRule="auto"/>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De conformidad con el artículo 3 de la Ley 80 de 1993 la celebración y ejecución de los contratos estatales </w:t>
      </w:r>
      <w:r w:rsidRPr="00E97A27">
        <w:rPr>
          <w:rFonts w:ascii="Verdana" w:eastAsia="Arial" w:hAnsi="Verdana" w:cs="Arial"/>
          <w:color w:val="000000" w:themeColor="text1"/>
          <w:lang w:eastAsia="es-ES" w:bidi="es-ES"/>
        </w:rPr>
        <w:t>tiene como fin el cumplimiento de los fines estatales, la continua y eficiente prestación de los servicios públicos y la efectividad de los derechos e intereses de los administrados que colaboran con ellas en la consecución de dichos fines. Por su parte, los particulares que celebran y ejecutan contratos con las entidades estatales tendrán en cuenta que</w:t>
      </w:r>
      <w:r w:rsidRPr="00E97A27">
        <w:rPr>
          <w:rFonts w:ascii="Verdana" w:hAnsi="Verdana" w:cs="Arial"/>
          <w:color w:val="4B4949"/>
          <w:sz w:val="18"/>
          <w:szCs w:val="18"/>
        </w:rPr>
        <w:t xml:space="preserve"> </w:t>
      </w:r>
      <w:r w:rsidRPr="00E97A27">
        <w:rPr>
          <w:rFonts w:ascii="Verdana" w:eastAsia="Arial" w:hAnsi="Verdana" w:cs="Arial"/>
          <w:color w:val="000000" w:themeColor="text1"/>
          <w:lang w:eastAsia="es-ES" w:bidi="es-ES"/>
        </w:rPr>
        <w:t xml:space="preserve">colaboran con ellas en el logro de sus fines y cumplen una función social que, como tal, implica obligaciones. Así, con la celebración del contrato estatal surgen derechos y obligaciones para cada una de las partes que tienen como propósito, por un lado, la continua y eficiente prestación de los servicios públicos y la satisfacción del interés general y por otro lado, generar un beneficio económico para el particular que colabora en su ejecución. </w:t>
      </w:r>
    </w:p>
    <w:p w14:paraId="5DD0094E" w14:textId="77777777" w:rsidR="007F707F" w:rsidRPr="00E97A27" w:rsidRDefault="007F707F" w:rsidP="007F707F">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Pr>
          <w:rFonts w:ascii="Verdana" w:eastAsia="Arial" w:hAnsi="Verdana" w:cs="Arial"/>
          <w:color w:val="000000" w:themeColor="text1"/>
          <w:lang w:eastAsia="es-ES" w:bidi="es-ES"/>
        </w:rPr>
        <w:t xml:space="preserve">Por remisión de los artículos 13, 32 y 40 del EGCAP al derecho privado, el contrato es ley para las partes conforme al artículo 1602 del Código Civil. Sin embargo, aunque la </w:t>
      </w:r>
      <w:r w:rsidRPr="00752476">
        <w:rPr>
          <w:rFonts w:ascii="Verdana" w:eastAsia="Arial" w:hAnsi="Verdana" w:cs="Arial"/>
          <w:i/>
          <w:iCs/>
          <w:color w:val="000000" w:themeColor="text1"/>
          <w:lang w:eastAsia="es-ES" w:bidi="es-ES"/>
        </w:rPr>
        <w:t>regla general</w:t>
      </w:r>
      <w:r>
        <w:rPr>
          <w:rFonts w:ascii="Verdana" w:eastAsia="Arial" w:hAnsi="Verdana" w:cs="Arial"/>
          <w:color w:val="000000" w:themeColor="text1"/>
          <w:lang w:eastAsia="es-ES" w:bidi="es-ES"/>
        </w:rPr>
        <w:t xml:space="preserve"> es el cumplimiento de los precios pactados, </w:t>
      </w:r>
      <w:r>
        <w:rPr>
          <w:rFonts w:ascii="Verdana" w:eastAsia="Arial" w:hAnsi="Verdana" w:cs="Arial"/>
          <w:i/>
          <w:iCs/>
          <w:color w:val="000000" w:themeColor="text1"/>
          <w:lang w:eastAsia="es-ES" w:bidi="es-ES"/>
        </w:rPr>
        <w:lastRenderedPageBreak/>
        <w:t>de forma excepcional</w:t>
      </w:r>
      <w:r>
        <w:rPr>
          <w:rFonts w:ascii="Verdana" w:eastAsia="Arial" w:hAnsi="Verdana" w:cs="Arial"/>
          <w:color w:val="000000" w:themeColor="text1"/>
          <w:lang w:eastAsia="es-ES" w:bidi="es-ES"/>
        </w:rPr>
        <w:t xml:space="preserve"> </w:t>
      </w:r>
      <w:r w:rsidRPr="00752476">
        <w:rPr>
          <w:rFonts w:ascii="Verdana" w:eastAsia="Arial" w:hAnsi="Verdana" w:cs="Arial"/>
          <w:color w:val="000000" w:themeColor="text1"/>
          <w:lang w:eastAsia="es-ES" w:bidi="es-ES"/>
        </w:rPr>
        <w:t>pueden surgir circunstancias imprevistas que</w:t>
      </w:r>
      <w:r>
        <w:rPr>
          <w:rFonts w:ascii="Verdana" w:eastAsia="Arial" w:hAnsi="Verdana" w:cs="Arial"/>
          <w:color w:val="000000" w:themeColor="text1"/>
          <w:lang w:eastAsia="es-ES" w:bidi="es-ES"/>
        </w:rPr>
        <w:t xml:space="preserve"> </w:t>
      </w:r>
      <w:r w:rsidRPr="00752476">
        <w:rPr>
          <w:rFonts w:ascii="Verdana" w:eastAsia="Arial" w:hAnsi="Verdana" w:cs="Arial"/>
          <w:color w:val="000000" w:themeColor="text1"/>
          <w:lang w:eastAsia="es-ES" w:bidi="es-ES"/>
        </w:rPr>
        <w:t>hagan</w:t>
      </w:r>
      <w:r>
        <w:rPr>
          <w:rFonts w:ascii="Verdana" w:eastAsia="Arial" w:hAnsi="Verdana" w:cs="Arial"/>
          <w:color w:val="000000" w:themeColor="text1"/>
          <w:lang w:eastAsia="es-ES" w:bidi="es-ES"/>
        </w:rPr>
        <w:t xml:space="preserve"> la ejecución</w:t>
      </w:r>
      <w:r w:rsidRPr="00752476">
        <w:rPr>
          <w:rFonts w:ascii="Verdana" w:eastAsia="Arial" w:hAnsi="Verdana" w:cs="Arial"/>
          <w:color w:val="000000" w:themeColor="text1"/>
          <w:lang w:eastAsia="es-ES" w:bidi="es-ES"/>
        </w:rPr>
        <w:t xml:space="preserve"> excesivamente gravos</w:t>
      </w:r>
      <w:r>
        <w:rPr>
          <w:rFonts w:ascii="Verdana" w:eastAsia="Arial" w:hAnsi="Verdana" w:cs="Arial"/>
          <w:color w:val="000000" w:themeColor="text1"/>
          <w:lang w:eastAsia="es-ES" w:bidi="es-ES"/>
        </w:rPr>
        <w:t>a</w:t>
      </w:r>
      <w:r w:rsidRPr="00752476">
        <w:rPr>
          <w:rFonts w:ascii="Verdana" w:eastAsia="Arial" w:hAnsi="Verdana" w:cs="Arial"/>
          <w:color w:val="000000" w:themeColor="text1"/>
          <w:lang w:eastAsia="es-ES" w:bidi="es-ES"/>
        </w:rPr>
        <w:t xml:space="preserve">, por lo que se han creado mecanismos para mantener la equidad y el equilibrio entre las </w:t>
      </w:r>
      <w:r>
        <w:rPr>
          <w:rFonts w:ascii="Verdana" w:eastAsia="Arial" w:hAnsi="Verdana" w:cs="Arial"/>
          <w:color w:val="000000" w:themeColor="text1"/>
          <w:lang w:eastAsia="es-ES" w:bidi="es-ES"/>
        </w:rPr>
        <w:t>obligaciones</w:t>
      </w:r>
      <w:r w:rsidRPr="00752476">
        <w:rPr>
          <w:rFonts w:ascii="Verdana" w:eastAsia="Arial" w:hAnsi="Verdana" w:cs="Arial"/>
          <w:color w:val="000000" w:themeColor="text1"/>
          <w:lang w:eastAsia="es-ES" w:bidi="es-ES"/>
        </w:rPr>
        <w:t>.</w:t>
      </w:r>
      <w:r>
        <w:rPr>
          <w:rFonts w:ascii="Verdana" w:eastAsia="Arial" w:hAnsi="Verdana" w:cs="Arial"/>
          <w:color w:val="000000" w:themeColor="text1"/>
          <w:lang w:eastAsia="es-ES" w:bidi="es-ES"/>
        </w:rPr>
        <w:t xml:space="preserve"> </w:t>
      </w:r>
      <w:r w:rsidRPr="00E97A27">
        <w:rPr>
          <w:rFonts w:ascii="Verdana" w:eastAsia="Arial" w:hAnsi="Verdana" w:cs="Arial"/>
          <w:color w:val="000000" w:themeColor="text1"/>
          <w:lang w:eastAsia="es-ES" w:bidi="es-ES"/>
        </w:rPr>
        <w:t>De esta manera, los contratos estatales deben pactar</w:t>
      </w:r>
      <w:r>
        <w:rPr>
          <w:rFonts w:ascii="Verdana" w:eastAsia="Arial" w:hAnsi="Verdana" w:cs="Arial"/>
          <w:color w:val="000000" w:themeColor="text1"/>
          <w:lang w:eastAsia="es-ES" w:bidi="es-ES"/>
        </w:rPr>
        <w:t>se</w:t>
      </w:r>
      <w:r w:rsidRPr="00E97A27">
        <w:rPr>
          <w:rFonts w:ascii="Verdana" w:eastAsia="Arial" w:hAnsi="Verdana" w:cs="Arial"/>
          <w:color w:val="000000" w:themeColor="text1"/>
          <w:lang w:eastAsia="es-ES" w:bidi="es-ES"/>
        </w:rPr>
        <w:t xml:space="preserve">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que prescribe lo siguiente: </w:t>
      </w:r>
    </w:p>
    <w:p w14:paraId="1101D9BE" w14:textId="77777777" w:rsidR="007F707F" w:rsidRPr="00E97A27" w:rsidRDefault="007F707F" w:rsidP="007F707F">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0F0B10CA" w14:textId="77777777" w:rsidR="007F707F" w:rsidRPr="00AA6517" w:rsidRDefault="007F707F" w:rsidP="007F707F">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AA6517">
        <w:rPr>
          <w:rFonts w:ascii="Verdana" w:eastAsia="Arial" w:hAnsi="Verdana" w:cs="Arial"/>
          <w:color w:val="000000" w:themeColor="text1"/>
          <w:sz w:val="20"/>
          <w:szCs w:val="20"/>
          <w:lang w:val="es-ES" w:eastAsia="es-ES" w:bidi="es-ES"/>
        </w:rPr>
        <w:t>“En los contratos estatales se mantendrá la igualdad o equivalencia entre derechos y obligaciones surgidos al momento de proponer o de contratar, según el caso. Si dicha igualdad o equivalencia se rompe por causas no imputables a quien resulte afectado, las partes adoptarán en el menor tiempo posible las medidas necesarias para su restablecimiento. Para tales efectos, las partes suscribirán los acuerdos y pactos necesarios sobre cuantía, condiciones y forma de pago de gastos adicionales, reconocimiento de costos financieros e intereses, si a ello hubiere lugar, ajustando la cancelación a las disponibilidades de la apropiación de que trata el numeral 14 del artículo </w:t>
      </w:r>
      <w:hyperlink r:id="rId11" w:anchor="25" w:history="1">
        <w:r w:rsidRPr="00AA6517">
          <w:rPr>
            <w:rFonts w:ascii="Verdana" w:hAnsi="Verdana" w:cs="Arial"/>
            <w:sz w:val="20"/>
            <w:szCs w:val="20"/>
            <w:lang w:val="es-ES" w:eastAsia="es-ES" w:bidi="es-ES"/>
          </w:rPr>
          <w:t>25</w:t>
        </w:r>
      </w:hyperlink>
      <w:r w:rsidRPr="00AA6517">
        <w:rPr>
          <w:rFonts w:ascii="Verdana" w:eastAsia="Arial" w:hAnsi="Verdana" w:cs="Arial"/>
          <w:color w:val="000000" w:themeColor="text1"/>
          <w:sz w:val="20"/>
          <w:szCs w:val="20"/>
          <w:lang w:val="es-ES" w:eastAsia="es-ES" w:bidi="es-ES"/>
        </w:rPr>
        <w:t>. En todo caso, las entidades deberán adoptar las medidas necesarias que aseguren la efectividad de estos pagos y reconocimientos al contratista en la misma o en la siguiente vigencia de que se trate”.</w:t>
      </w:r>
    </w:p>
    <w:p w14:paraId="368FC2CA" w14:textId="77777777" w:rsidR="007F707F" w:rsidRPr="00E97A27" w:rsidRDefault="007F707F" w:rsidP="007F707F">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44309C12" w14:textId="77777777" w:rsidR="007F707F" w:rsidRPr="00E97A27" w:rsidRDefault="007F707F" w:rsidP="007F707F">
      <w:pPr>
        <w:autoSpaceDE w:val="0"/>
        <w:autoSpaceDN w:val="0"/>
        <w:adjustRightInd w:val="0"/>
        <w:spacing w:after="0" w:line="276" w:lineRule="auto"/>
        <w:ind w:firstLine="709"/>
        <w:jc w:val="both"/>
        <w:rPr>
          <w:rFonts w:ascii="Verdana" w:hAnsi="Verdana" w:cs="Arial"/>
        </w:rPr>
      </w:pPr>
      <w:r w:rsidRPr="00E97A27">
        <w:rPr>
          <w:rFonts w:ascii="Verdana" w:eastAsia="Arial" w:hAnsi="Verdana" w:cs="Arial"/>
          <w:color w:val="000000" w:themeColor="text1"/>
          <w:lang w:val="es-ES" w:eastAsia="es-ES" w:bidi="es-ES"/>
        </w:rPr>
        <w:t xml:space="preserve">Sobre el principio del equilibrio financiero del contrato, el Consejo de Estado ha señalado que </w:t>
      </w:r>
      <w:r w:rsidRPr="00E97A27">
        <w:rPr>
          <w:rFonts w:ascii="Verdana" w:eastAsia="Arial" w:hAnsi="Verdana" w:cs="Arial"/>
          <w:color w:val="000000" w:themeColor="text1"/>
          <w:lang w:eastAsia="es-ES" w:bidi="es-ES"/>
        </w:rPr>
        <w:t xml:space="preserve">consiste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2"/>
      </w:r>
      <w:r w:rsidRPr="00E97A27">
        <w:rPr>
          <w:rFonts w:ascii="Verdana" w:eastAsia="Arial" w:hAnsi="Verdana" w:cs="Arial"/>
          <w:color w:val="000000" w:themeColor="text1"/>
          <w:lang w:val="es-MX" w:eastAsia="es-ES" w:bidi="es-ES"/>
        </w:rPr>
        <w:t>. En concordancia, la doctrina ha indicado que con este</w:t>
      </w:r>
      <w:r w:rsidRPr="00E97A27">
        <w:rPr>
          <w:rFonts w:ascii="Verdana" w:hAnsi="Verdana" w:cs="Arial"/>
        </w:rPr>
        <w:t xml:space="preserve"> principio, también denominado </w:t>
      </w:r>
      <w:r>
        <w:rPr>
          <w:rFonts w:ascii="Verdana" w:eastAsia="Arial" w:hAnsi="Verdana" w:cs="Arial"/>
          <w:color w:val="000000" w:themeColor="text1"/>
          <w:lang w:val="es-MX" w:eastAsia="es-ES" w:bidi="es-ES"/>
        </w:rPr>
        <w:t>“</w:t>
      </w:r>
      <w:r w:rsidRPr="00E97A27">
        <w:rPr>
          <w:rFonts w:ascii="Verdana" w:hAnsi="Verdana" w:cs="Arial"/>
        </w:rPr>
        <w:t>el de la honesta equivalencia de prestaciones</w:t>
      </w:r>
      <w:r>
        <w:rPr>
          <w:rFonts w:ascii="Verdana" w:eastAsia="Arial" w:hAnsi="Verdana" w:cs="Arial"/>
          <w:color w:val="000000" w:themeColor="text1"/>
          <w:lang w:val="es-MX" w:eastAsia="es-ES" w:bidi="es-ES"/>
        </w:rPr>
        <w:t>”</w:t>
      </w:r>
      <w:r w:rsidRPr="00E97A27">
        <w:rPr>
          <w:rFonts w:ascii="Verdana" w:hAnsi="Verdana" w:cs="Arial"/>
        </w:rPr>
        <w:t xml:space="preserve">, se privilegia el carácter conmutativo o sinalagmático que, por regla general, tiene el contrato estatal, </w:t>
      </w:r>
      <w:r>
        <w:rPr>
          <w:rFonts w:ascii="Verdana" w:eastAsia="Arial" w:hAnsi="Verdana" w:cs="Arial"/>
          <w:color w:val="000000" w:themeColor="text1"/>
          <w:lang w:val="es-MX" w:eastAsia="es-ES" w:bidi="es-ES"/>
        </w:rPr>
        <w:t>“</w:t>
      </w:r>
      <w:r w:rsidRPr="00E97A27">
        <w:rPr>
          <w:rFonts w:ascii="Verdana" w:hAnsi="Verdana" w:cs="Arial"/>
        </w:rPr>
        <w:t xml:space="preserve">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w:t>
      </w:r>
      <w:r w:rsidRPr="00E97A27">
        <w:rPr>
          <w:rFonts w:ascii="Verdana" w:hAnsi="Verdana" w:cs="Arial"/>
        </w:rPr>
        <w:lastRenderedPageBreak/>
        <w:t>permanezca intacta durante su ejecución, y a que se restablezca esa equivalencia en caso de su ruptura por circunstancias o causas sobrevinientes, imprevisibles e imputables o no a ellas</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3"/>
      </w:r>
      <w:r w:rsidRPr="00E97A27">
        <w:rPr>
          <w:rFonts w:ascii="Verdana" w:hAnsi="Verdana" w:cs="Arial"/>
        </w:rPr>
        <w:t xml:space="preserve">.  </w:t>
      </w:r>
    </w:p>
    <w:p w14:paraId="17E02C78" w14:textId="77777777" w:rsidR="007F707F" w:rsidRPr="00E97A27" w:rsidRDefault="007F707F" w:rsidP="007F707F">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MX" w:eastAsia="es-ES" w:bidi="es-ES"/>
        </w:rPr>
        <w:t xml:space="preserve">Conforme a lo anterior el equilibrio financiero del contrato se constituye en un principio medular de la contratación estatal que </w:t>
      </w:r>
      <w:r w:rsidRPr="00E97A27">
        <w:rPr>
          <w:rFonts w:ascii="Verdana" w:eastAsia="Arial" w:hAnsi="Verdana" w:cs="Arial"/>
          <w:color w:val="000000" w:themeColor="text1"/>
          <w:lang w:eastAsia="es-ES" w:bidi="es-ES"/>
        </w:rPr>
        <w:t xml:space="preserve">busca, precisamente, mantener las mismas condiciones </w:t>
      </w:r>
      <w:r w:rsidRPr="00E97A27">
        <w:rPr>
          <w:rFonts w:ascii="Verdana" w:eastAsia="Arial" w:hAnsi="Verdana" w:cs="Arial"/>
          <w:color w:val="000000" w:themeColor="text1"/>
          <w:lang w:val="es-ES" w:eastAsia="es-ES" w:bidi="es-ES"/>
        </w:rPr>
        <w:t>existente al tiempo de su celebración, de tal suerte que las prestaciones de las partes permanezcan hasta su terminación. De este modo, si la equivalencia entre las prestaciones se quebranta por causas no imputables a quien resulte afectado es necesario adoptar las medidas correspondientes para restablecer la ecuación contractual.</w:t>
      </w:r>
    </w:p>
    <w:p w14:paraId="0E16A77A" w14:textId="77777777" w:rsidR="007F707F" w:rsidRDefault="007F707F" w:rsidP="007F707F">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Además de lo previsto en el artículo 27 de la Ley 80 de 1993, la obligación de mantener el equilibrio económico del contrato se encuentra establecida en diferentes disposiciones de dicha Ley. En efecto, el numeral 3 del artículo 4 </w:t>
      </w:r>
      <w:r w:rsidRPr="00E97A27">
        <w:rPr>
          <w:rFonts w:ascii="Verdana" w:eastAsia="Arial" w:hAnsi="Verdana" w:cs="Arial"/>
          <w:i/>
          <w:iCs/>
          <w:color w:val="000000" w:themeColor="text1"/>
          <w:lang w:val="es-ES" w:eastAsia="es-ES" w:bidi="es-ES"/>
        </w:rPr>
        <w:t>ibidem</w:t>
      </w:r>
      <w:r w:rsidRPr="00E97A27">
        <w:rPr>
          <w:rFonts w:ascii="Verdana" w:eastAsia="Arial" w:hAnsi="Verdana" w:cs="Arial"/>
          <w:color w:val="000000" w:themeColor="text1"/>
          <w:lang w:val="es-ES" w:eastAsia="es-ES" w:bidi="es-ES"/>
        </w:rPr>
        <w:t xml:space="preserve"> señala que las entidades estatales solicitarán la actualización o la revisión de los precios cuando se produzcan fenómenos que alteren en su contra </w:t>
      </w:r>
      <w:r w:rsidRPr="00E97A27">
        <w:rPr>
          <w:rFonts w:ascii="Verdana" w:eastAsia="Arial" w:hAnsi="Verdana" w:cs="Arial"/>
          <w:i/>
          <w:iCs/>
          <w:color w:val="000000" w:themeColor="text1"/>
          <w:lang w:val="es-ES" w:eastAsia="es-ES" w:bidi="es-ES"/>
        </w:rPr>
        <w:t>el equilibrio económico o financiero</w:t>
      </w:r>
      <w:r w:rsidRPr="00E97A27">
        <w:rPr>
          <w:rFonts w:ascii="Verdana" w:eastAsia="Arial" w:hAnsi="Verdana" w:cs="Arial"/>
          <w:color w:val="000000" w:themeColor="text1"/>
          <w:lang w:val="es-ES" w:eastAsia="es-ES" w:bidi="es-ES"/>
        </w:rPr>
        <w:t xml:space="preserve"> del contrato. Asimismo, el numeral 8 del artículo en comento señala que las entidades deberán adoptar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lo cual se emplearán los mecanismos de revisión y reajuste de precios. </w:t>
      </w:r>
      <w:r>
        <w:rPr>
          <w:rFonts w:ascii="Verdana" w:eastAsia="Arial" w:hAnsi="Verdana" w:cs="Arial"/>
          <w:color w:val="000000" w:themeColor="text1"/>
          <w:lang w:val="es-ES" w:eastAsia="es-ES" w:bidi="es-ES"/>
        </w:rPr>
        <w:t>De acuerdo con la jurisprudencia:</w:t>
      </w:r>
    </w:p>
    <w:p w14:paraId="1623A96C" w14:textId="77777777" w:rsidR="007F707F" w:rsidRDefault="007F707F" w:rsidP="007F707F">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p>
    <w:p w14:paraId="71274D41" w14:textId="77777777" w:rsidR="007F707F" w:rsidRPr="000E4887" w:rsidRDefault="007F707F" w:rsidP="007F707F">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0E4887">
        <w:rPr>
          <w:rFonts w:ascii="Verdana" w:eastAsia="Arial" w:hAnsi="Verdana" w:cs="Arial"/>
          <w:color w:val="000000" w:themeColor="text1"/>
          <w:sz w:val="20"/>
          <w:szCs w:val="20"/>
          <w:lang w:val="es-ES" w:eastAsia="es-ES" w:bidi="es-ES"/>
        </w:rPr>
        <w:t>“[…] la cláusula de estabilización o ajuste de precios resulta ser una medida preventiva frente a una situación previsible que puede afectar el resultado económico final del contrato en contra de cualquiera de las partes, y que se resuelve mediante la inclusión de la respectiva estipulación, normalmente expresada en una fórmula matemática concebida en función de los factores que inciden en los costos de ejecución del contrato. Por tanto, es un mecanismo que tiende a preservar la naturaleza conmutativa de los contratos y a garantizar que la equivalencia inicialmente acordada entre las prestaciones recíprocas se mantenga a lo largo de la ejecución del negocio jurídico, en tal forma que la remuneración recibida finalmente por el contratista corresponda a la que contempló al momento de presentar su propuesta y celebrar el contrato.</w:t>
      </w:r>
    </w:p>
    <w:p w14:paraId="0BCB9939" w14:textId="77777777" w:rsidR="007F707F" w:rsidRDefault="007F707F" w:rsidP="007F707F">
      <w:pPr>
        <w:widowControl w:val="0"/>
        <w:autoSpaceDE w:val="0"/>
        <w:autoSpaceDN w:val="0"/>
        <w:spacing w:before="120" w:after="0" w:line="240" w:lineRule="auto"/>
        <w:ind w:left="709" w:right="709"/>
        <w:jc w:val="both"/>
        <w:rPr>
          <w:rFonts w:ascii="Verdana" w:eastAsia="Arial" w:hAnsi="Verdana" w:cs="Arial"/>
          <w:color w:val="000000" w:themeColor="text1"/>
          <w:lang w:val="es-ES" w:eastAsia="es-ES" w:bidi="es-ES"/>
        </w:rPr>
      </w:pPr>
      <w:r w:rsidRPr="000E4887">
        <w:rPr>
          <w:rFonts w:ascii="Verdana" w:eastAsia="Arial" w:hAnsi="Verdana" w:cs="Arial"/>
          <w:color w:val="000000" w:themeColor="text1"/>
          <w:sz w:val="20"/>
          <w:szCs w:val="20"/>
          <w:lang w:val="es-ES" w:eastAsia="es-ES" w:bidi="es-ES"/>
        </w:rPr>
        <w:lastRenderedPageBreak/>
        <w:t>De igual modo, paralelamente con la actualización de precios la Ley 80 de 1993 también contempla la figura de la revisión de precios, la cual opera cuando sobrevengan hechos económicos que hagan ineficaz o insuficiente la fórmula de reajuste o cuando las partes no han pactado un sistema de ajuste o actualización de los precios y estos sufren alteración como resultado de los fenómenos económicos mencionados, como la inflación o el alza de precios, eventos estos en los cuales puede solicitarse al juez la corrección de la cláusula de ajuste pactada y la revisión de los precios”</w:t>
      </w:r>
      <w:r>
        <w:rPr>
          <w:rStyle w:val="Refdenotaalpie"/>
          <w:rFonts w:ascii="Verdana" w:eastAsia="Arial" w:hAnsi="Verdana" w:cs="Arial"/>
          <w:color w:val="000000" w:themeColor="text1"/>
          <w:sz w:val="20"/>
          <w:szCs w:val="20"/>
          <w:lang w:val="es-ES" w:eastAsia="es-ES" w:bidi="es-ES"/>
        </w:rPr>
        <w:footnoteReference w:id="4"/>
      </w:r>
      <w:r w:rsidRPr="000E4887">
        <w:rPr>
          <w:rFonts w:ascii="Verdana" w:eastAsia="Arial" w:hAnsi="Verdana" w:cs="Arial"/>
          <w:color w:val="000000" w:themeColor="text1"/>
          <w:sz w:val="20"/>
          <w:szCs w:val="20"/>
          <w:lang w:val="es-ES" w:eastAsia="es-ES" w:bidi="es-ES"/>
        </w:rPr>
        <w:t>.</w:t>
      </w:r>
    </w:p>
    <w:p w14:paraId="1CC1D4AF" w14:textId="77777777" w:rsidR="007F707F" w:rsidRPr="000E4887" w:rsidRDefault="007F707F" w:rsidP="007F707F">
      <w:pPr>
        <w:widowControl w:val="0"/>
        <w:autoSpaceDE w:val="0"/>
        <w:autoSpaceDN w:val="0"/>
        <w:spacing w:after="0" w:line="276" w:lineRule="auto"/>
        <w:jc w:val="both"/>
        <w:rPr>
          <w:rFonts w:ascii="Verdana" w:eastAsia="Arial" w:hAnsi="Verdana" w:cs="Arial"/>
          <w:color w:val="000000" w:themeColor="text1"/>
          <w:lang w:val="es-ES" w:eastAsia="es-ES" w:bidi="es-ES"/>
        </w:rPr>
      </w:pPr>
    </w:p>
    <w:p w14:paraId="53090129" w14:textId="77777777" w:rsidR="007F707F" w:rsidRPr="00E97A27" w:rsidRDefault="007F707F" w:rsidP="007F707F">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Por su parte, el numeral 1 del artículo 5 de la Ley 80 de 1993 indica que el contratista tiene derecho a recibir oportunamente la remuneración pactada y a que el valor intrínseco de la misma no se altere o modifique durante la vigencia del contrato. En consecuencia, tendrán derecho, previa solicitud, a que la administración les restablezca </w:t>
      </w:r>
      <w:r w:rsidRPr="00E97A27">
        <w:rPr>
          <w:rFonts w:ascii="Verdana" w:eastAsia="Arial" w:hAnsi="Verdana" w:cs="Arial"/>
          <w:i/>
          <w:iCs/>
          <w:color w:val="000000" w:themeColor="text1"/>
          <w:lang w:val="es-ES" w:eastAsia="es-ES" w:bidi="es-ES"/>
        </w:rPr>
        <w:t>el equilibrio de la ecuación económica</w:t>
      </w:r>
      <w:r w:rsidRPr="00E97A27">
        <w:rPr>
          <w:rFonts w:ascii="Verdana" w:eastAsia="Arial" w:hAnsi="Verdana" w:cs="Arial"/>
          <w:color w:val="000000" w:themeColor="text1"/>
          <w:lang w:val="es-ES" w:eastAsia="es-ES" w:bidi="es-ES"/>
        </w:rPr>
        <w:t xml:space="preserve"> del contrato por la ocurrencia de situaciones imprevistas que no sean imputables a los contratistas. Si dicho equilibrio se rompe por incumplimiento de la entidad estatal contratante, tendrá que restablecerse la ecuación surgida al momento del nacimiento del contrato.</w:t>
      </w:r>
    </w:p>
    <w:p w14:paraId="1B7E5598" w14:textId="77777777" w:rsidR="007F707F" w:rsidRPr="00E97A27" w:rsidRDefault="007F707F" w:rsidP="007F707F">
      <w:pPr>
        <w:widowControl w:val="0"/>
        <w:autoSpaceDE w:val="0"/>
        <w:autoSpaceDN w:val="0"/>
        <w:spacing w:before="120" w:after="12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Adicionalmente, el numeral 1 del artículo 14 establece que 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w:t>
      </w:r>
      <w:r w:rsidRPr="00E97A27">
        <w:rPr>
          <w:rFonts w:ascii="Verdana" w:eastAsia="Arial" w:hAnsi="Verdana" w:cs="Arial"/>
          <w:i/>
          <w:iCs/>
          <w:color w:val="000000" w:themeColor="text1"/>
          <w:lang w:val="es-ES" w:eastAsia="es-ES" w:bidi="es-ES"/>
        </w:rPr>
        <w:t>la ecuación o equilibrio inicial.</w:t>
      </w:r>
    </w:p>
    <w:p w14:paraId="58A65792" w14:textId="77777777" w:rsidR="007F707F" w:rsidRDefault="007F707F" w:rsidP="007F707F">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Según se advierte, el Estatuto General de Contratación de la Administración Pública establece la necesidad de mantener durante la ejecución del contrato el equilibrio o equivalencia de las prestaciones de las partes surgidas al momento de contratar, para lo cual determina deberes y derechos para las entidades estatales y los contratistas en pro de su conservación. Dentro de estas obligaciones se prevé el deber de la entidad de adoptar las medidas correspondientes de manera que se pueda precaver las diferencias que se lleguen a presentar como consecuencia de la vulneración del principio del equilibrio económico del contrato y evitar una mayor onerosidad.</w:t>
      </w:r>
    </w:p>
    <w:p w14:paraId="007A7474" w14:textId="77777777" w:rsidR="007F707F" w:rsidRPr="00E97A27" w:rsidRDefault="007F707F" w:rsidP="007F707F">
      <w:pPr>
        <w:widowControl w:val="0"/>
        <w:autoSpaceDE w:val="0"/>
        <w:autoSpaceDN w:val="0"/>
        <w:spacing w:after="0" w:line="276" w:lineRule="auto"/>
        <w:ind w:firstLine="708"/>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 xml:space="preserve">En relación con las causas por las cuales puede verse afectado el equilibrio económico del contrato y su procedencia el Consejo de Estado ha desarrollado </w:t>
      </w:r>
      <w:r w:rsidRPr="00E97A27">
        <w:rPr>
          <w:rFonts w:ascii="Verdana" w:eastAsia="Arial" w:hAnsi="Verdana" w:cs="Arial"/>
          <w:color w:val="000000" w:themeColor="text1"/>
          <w:lang w:val="es-ES" w:eastAsia="es-ES" w:bidi="es-ES"/>
        </w:rPr>
        <w:lastRenderedPageBreak/>
        <w:t xml:space="preserve">ampliamente la materia. En tal sentido, ha manifestado reiteradamente que el desequilibrio económico del contrato se puede presentar por diferentes situaciones: </w:t>
      </w:r>
    </w:p>
    <w:p w14:paraId="74D235A4" w14:textId="77777777" w:rsidR="007F707F" w:rsidRPr="00E97A27" w:rsidRDefault="007F707F" w:rsidP="007F707F">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3F60DAED" w14:textId="77777777" w:rsidR="007F707F" w:rsidRPr="00AA6517" w:rsidRDefault="007F707F" w:rsidP="007F707F">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AA6517">
        <w:rPr>
          <w:rFonts w:ascii="Verdana" w:eastAsia="Arial" w:hAnsi="Verdana" w:cs="Arial"/>
          <w:color w:val="000000" w:themeColor="text1"/>
          <w:sz w:val="20"/>
          <w:szCs w:val="20"/>
          <w:lang w:val="es-ES" w:eastAsia="es-ES" w:bidi="es-ES"/>
        </w:rPr>
        <w:t xml:space="preserve">“a) Actos o hechos de la entidad administrativa contratante, como cuando no cumple con las obligaciones derivadas del contrato o introduce modificaciones al mismo -ius variandi-, sean éstas abusivas o no. </w:t>
      </w:r>
    </w:p>
    <w:p w14:paraId="01BB8F31" w14:textId="77777777" w:rsidR="007F707F" w:rsidRPr="00AA6517" w:rsidRDefault="007F707F" w:rsidP="007F707F">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AA6517">
        <w:rPr>
          <w:rFonts w:ascii="Verdana" w:eastAsia="Arial" w:hAnsi="Verdana" w:cs="Arial"/>
          <w:color w:val="000000" w:themeColor="text1"/>
          <w:sz w:val="20"/>
          <w:szCs w:val="20"/>
          <w:lang w:val="es-ES" w:eastAsia="es-ES" w:bidi="es-ES"/>
        </w:rPr>
        <w:t xml:space="preserve">b) Actos generales de la administración como Estado, o ‘teoría del hecho del príncipe’, como cuando en ejercicio de sus potestades constitucionales y legales, cuya voluntad se manifiesta mediante leyes o actos administrativos de carácter general, afecta negativamente el contrato. </w:t>
      </w:r>
    </w:p>
    <w:p w14:paraId="1370FD28" w14:textId="77777777" w:rsidR="007F707F" w:rsidRPr="00AA6517" w:rsidRDefault="007F707F" w:rsidP="007F707F">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AA6517">
        <w:rPr>
          <w:rFonts w:ascii="Verdana" w:eastAsia="Arial" w:hAnsi="Verdana" w:cs="Arial"/>
          <w:color w:val="000000" w:themeColor="text1"/>
          <w:sz w:val="20"/>
          <w:szCs w:val="20"/>
          <w:lang w:val="es-ES" w:eastAsia="es-ES" w:bidi="es-ES"/>
        </w:rPr>
        <w:t>c) Factores exógenos a las partes del negocio, o ‘teoría de la imprevisión’, o ‘sujeciones materiales imprevistas’, que involucran circunstancias no imputables al Estado y externas al contrato pero con incidencia en él.</w:t>
      </w:r>
    </w:p>
    <w:p w14:paraId="70AC9D68" w14:textId="77777777" w:rsidR="007F707F" w:rsidRPr="00E97A27" w:rsidRDefault="007F707F" w:rsidP="007F707F">
      <w:pPr>
        <w:widowControl w:val="0"/>
        <w:autoSpaceDE w:val="0"/>
        <w:autoSpaceDN w:val="0"/>
        <w:spacing w:after="0" w:line="240" w:lineRule="auto"/>
        <w:ind w:left="709" w:right="709"/>
        <w:jc w:val="both"/>
        <w:rPr>
          <w:rFonts w:ascii="Verdana" w:eastAsia="Arial" w:hAnsi="Verdana" w:cs="Arial"/>
          <w:color w:val="000000" w:themeColor="text1"/>
          <w:sz w:val="21"/>
          <w:szCs w:val="21"/>
          <w:lang w:val="es-ES" w:eastAsia="es-ES" w:bidi="es-ES"/>
        </w:rPr>
      </w:pPr>
      <w:r w:rsidRPr="00AA6517">
        <w:rPr>
          <w:rFonts w:ascii="Verdana" w:eastAsia="Arial" w:hAnsi="Verdana" w:cs="Arial"/>
          <w:color w:val="000000" w:themeColor="text1"/>
          <w:sz w:val="20"/>
          <w:szCs w:val="20"/>
          <w:lang w:val="es-ES" w:eastAsia="es-ES" w:bidi="es-ES"/>
        </w:rPr>
        <w:t>En todos estos eventos surge la obligación de la administración contratante de auxiliar al contratista colaborador asumiendo mediante una compensación -llevarlo hasta el punto de no pérdida- o nace el deber de indemnizarlo integralmente, según el caso y si se cumplen los requisitos señalados para cada figura”</w:t>
      </w:r>
      <w:r w:rsidRPr="00AA6517">
        <w:rPr>
          <w:rStyle w:val="Refdenotaalpie"/>
          <w:rFonts w:ascii="Verdana" w:eastAsia="Arial" w:hAnsi="Verdana" w:cs="Arial"/>
          <w:color w:val="000000" w:themeColor="text1"/>
          <w:sz w:val="20"/>
          <w:szCs w:val="20"/>
          <w:lang w:val="es-ES" w:eastAsia="es-ES" w:bidi="es-ES"/>
        </w:rPr>
        <w:footnoteReference w:id="5"/>
      </w:r>
      <w:r w:rsidRPr="00AA6517">
        <w:rPr>
          <w:rFonts w:ascii="Verdana" w:eastAsia="Arial" w:hAnsi="Verdana" w:cs="Arial"/>
          <w:color w:val="000000" w:themeColor="text1"/>
          <w:sz w:val="20"/>
          <w:szCs w:val="20"/>
          <w:lang w:val="es-ES" w:eastAsia="es-ES" w:bidi="es-ES"/>
        </w:rPr>
        <w:t>.</w:t>
      </w:r>
    </w:p>
    <w:p w14:paraId="291F8044" w14:textId="77777777" w:rsidR="007F707F" w:rsidRPr="00E97A27" w:rsidRDefault="007F707F" w:rsidP="007F707F">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38887051" w14:textId="77777777" w:rsidR="007F707F" w:rsidRPr="00E97A27" w:rsidRDefault="007F707F" w:rsidP="007F707F">
      <w:pPr>
        <w:widowControl w:val="0"/>
        <w:autoSpaceDE w:val="0"/>
        <w:autoSpaceDN w:val="0"/>
        <w:spacing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w:t>
      </w:r>
      <w:r w:rsidRPr="00E97A27">
        <w:rPr>
          <w:rStyle w:val="Refdenotaalpie"/>
          <w:rFonts w:ascii="Verdana" w:eastAsia="Arial" w:hAnsi="Verdana" w:cs="Arial"/>
          <w:color w:val="000000" w:themeColor="text1"/>
          <w:lang w:val="es-ES" w:eastAsia="es-ES" w:bidi="es-ES"/>
        </w:rPr>
        <w:footnoteReference w:id="6"/>
      </w:r>
      <w:r w:rsidRPr="00E97A27">
        <w:rPr>
          <w:rFonts w:ascii="Verdana" w:eastAsia="Arial" w:hAnsi="Verdana" w:cs="Arial"/>
          <w:color w:val="000000" w:themeColor="text1"/>
          <w:lang w:val="es-ES" w:eastAsia="es-ES" w:bidi="es-ES"/>
        </w:rPr>
        <w:t xml:space="preserve">. Además, es necesario que las reclamaciones para el restablecimiento se realicen en la oportunidad debida, de manera que </w:t>
      </w:r>
      <w:r w:rsidRPr="00E97A27">
        <w:rPr>
          <w:rFonts w:ascii="Verdana" w:eastAsia="Arial" w:hAnsi="Verdana" w:cs="Arial"/>
          <w:color w:val="000000" w:themeColor="text1"/>
          <w:lang w:eastAsia="es-ES" w:bidi="es-ES"/>
        </w:rPr>
        <w:t xml:space="preserve">si las solicitudes, o salvedades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no se hacen al momento de suscribir las suspensiones, adiciones o prórrogas del plazo contractual, contratos adicionales, otrosíes, etc., que por tal motivo se convinieren, cualquier solicitud, reclamación o pretensión ulterior es extemporánea, improcedente e impróspera por vulnerar el principio de la buena fe contractual</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7"/>
      </w:r>
      <w:r w:rsidRPr="00E97A27">
        <w:rPr>
          <w:rFonts w:ascii="Verdana" w:eastAsia="Arial" w:hAnsi="Verdana" w:cs="Arial"/>
          <w:color w:val="000000" w:themeColor="text1"/>
          <w:lang w:val="es-MX" w:eastAsia="es-ES" w:bidi="es-ES"/>
        </w:rPr>
        <w:t xml:space="preserve">. </w:t>
      </w:r>
    </w:p>
    <w:p w14:paraId="6549B56E" w14:textId="77777777" w:rsidR="007F707F" w:rsidRPr="00E97A27" w:rsidRDefault="007F707F" w:rsidP="007F707F">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De este modo, conforme a esta postura del Consejo de Estado no basta </w:t>
      </w:r>
      <w:r w:rsidRPr="00E97A27">
        <w:rPr>
          <w:rFonts w:ascii="Verdana" w:eastAsia="Arial" w:hAnsi="Verdana" w:cs="Arial"/>
          <w:color w:val="000000" w:themeColor="text1"/>
          <w:lang w:val="es-ES" w:eastAsia="es-ES" w:bidi="es-ES"/>
        </w:rPr>
        <w:lastRenderedPageBreak/>
        <w:t xml:space="preserve">con la alegación del rompimiento del equilibrio del contrato puesto que resulta indispensable demostrar la afectación grave de las condiciones del contrato y, además, que la reclamación o solicitud en que se fundamenta el desequilibrio económico del contrato se realice en el momento oportuno, esto es, cuando se celebren las modificaciones, prórrogas, suspensiones, entre otros y no con posterioridad a ella. </w:t>
      </w:r>
    </w:p>
    <w:p w14:paraId="57C22D47" w14:textId="77777777" w:rsidR="007F707F" w:rsidRPr="00E97A27" w:rsidRDefault="007F707F" w:rsidP="007F707F">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En sentencias recientes el Consejo de Estado ha morigerado la postura anterior en relación con la oportunidad de la reclamación, en la medida en que, si bien es importante considerar el principio de buena fe al momento de suscribir los acuerdos entre las partes, se resalta la necesidad de analizar</w:t>
      </w:r>
      <w:r w:rsidRPr="00E97A27">
        <w:rPr>
          <w:rFonts w:ascii="Verdana" w:eastAsia="Arial" w:hAnsi="Verdana" w:cs="Arial"/>
          <w:color w:val="000000" w:themeColor="text1"/>
          <w:lang w:eastAsia="es-ES" w:bidi="es-ES"/>
        </w:rPr>
        <w:t xml:space="preserve"> cada caso el contenido del respectivo acuerdo y de sus antecedentes, para determinar el alcance de los otrosíes o de las actas de suspensión correspondientes</w:t>
      </w:r>
      <w:r w:rsidRPr="00E97A27">
        <w:rPr>
          <w:rStyle w:val="Refdenotaalpie"/>
          <w:rFonts w:ascii="Verdana" w:eastAsia="Arial" w:hAnsi="Verdana" w:cs="Arial"/>
          <w:color w:val="000000" w:themeColor="text1"/>
          <w:lang w:eastAsia="es-ES" w:bidi="es-ES"/>
        </w:rPr>
        <w:footnoteReference w:id="8"/>
      </w:r>
      <w:r w:rsidRPr="00E97A27">
        <w:rPr>
          <w:rFonts w:ascii="Verdana" w:eastAsia="Arial" w:hAnsi="Verdana" w:cs="Arial"/>
          <w:color w:val="000000" w:themeColor="text1"/>
          <w:lang w:eastAsia="es-ES" w:bidi="es-ES"/>
        </w:rPr>
        <w:t xml:space="preserve">. En tal sentido, con base en esta posición se considera que la inexistencia de una salvedad en la prórroga o suspensión o cualquier acuerdo de voluntades que se efectúe por las partes no es suficiente para determinar la improcedencia de la reclamación, ya que es necesario revisar los antecedentes y los hechos que justificaron dicho acuerdo. Esto se fundamente en que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la denegatoria de tales pretensiones, es el hecho de que el acuerdo suscrito haya servido, precisamente, para solventar situaciones que se hayan presentado durante la ejecución del contrato, por lo que no se entendería que, de considerar que subsistía un perjuicio para el contratista derivado</w:t>
      </w:r>
      <w:r w:rsidRPr="00E97A27">
        <w:rPr>
          <w:rFonts w:ascii="Verdana" w:hAnsi="Verdana" w:cs="Arial"/>
        </w:rPr>
        <w:t xml:space="preserve"> </w:t>
      </w:r>
      <w:r w:rsidRPr="00E97A27">
        <w:rPr>
          <w:rFonts w:ascii="Verdana" w:eastAsia="Arial" w:hAnsi="Verdana" w:cs="Arial"/>
          <w:color w:val="000000" w:themeColor="text1"/>
          <w:lang w:eastAsia="es-ES" w:bidi="es-ES"/>
        </w:rPr>
        <w:t>de tales situaciones, haya concurrido a suscribirlo, sin dejar alguna manifestación sobre la insuficiencia de ese acuerdo para satisfacer sus reclamaciones</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eastAsia="es-ES" w:bidi="es-ES"/>
        </w:rPr>
        <w:t>.</w:t>
      </w:r>
    </w:p>
    <w:p w14:paraId="4F4FE159" w14:textId="77777777" w:rsidR="007F707F" w:rsidRPr="00E97A27" w:rsidRDefault="007F707F" w:rsidP="007F707F">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Bajo estas consideraciones y más allá de las distintas posturas que se han generado al interior del Consejo de Estado en torno a la oportunidad de la reclamación del restablecimiento del equilibrio económico del contrato, lo relevante de lo expuesto, para efectos de la consulta, es que este restablecimiento podrá realizarlo directamente la Administración durante la ejecución del contrato adoptando las medidas necesarias que aseguren la efectividad de los pagos y reconocimientos al contratista que haya lugar. Estas medidas podrán materializarse a través de los distintos acuerdos que suscriban las partes como prórrogas, adiciones, otrosíes o cualquier acuerdo modificatorio que se considere necesarios para solventar el desequilibrio del contrato de </w:t>
      </w:r>
      <w:r w:rsidRPr="00E97A27">
        <w:rPr>
          <w:rFonts w:ascii="Verdana" w:eastAsia="Arial" w:hAnsi="Verdana" w:cs="Arial"/>
          <w:color w:val="000000" w:themeColor="text1"/>
          <w:lang w:val="es-ES" w:eastAsia="es-ES" w:bidi="es-ES"/>
        </w:rPr>
        <w:lastRenderedPageBreak/>
        <w:t xml:space="preserve">acuerdo con las particularidades de cada caso. Igualmente, podrá efectuarse dicho reconocimiento por parte del juez mediante el ejercicio de la acción judicial correspondiente. </w:t>
      </w:r>
    </w:p>
    <w:p w14:paraId="4684E408" w14:textId="77777777" w:rsidR="007F707F" w:rsidRPr="00E97A27" w:rsidRDefault="007F707F" w:rsidP="007F707F">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Ello encuentra sustento legal en los artículos 4.8, 5.1 y 27 de la Ley 80 de 1993, que, como se explicó, imponen el deber a la entidad de adoptar las medidas necesarias para mantener durante el desarrollo y ejecución del contrato las condiciones técnicas, económicas y financieras existentes al momento de su celebración y restablecer la ecuación financiera del contrato cuando a ello haya lugar. Para estos efectos, le corresponde a la entidad realizar un análisis detallado del asunto, revisar su procedencia, verificar las circunstancias fácticas y jurídicas que fundamente dicho restablecimiento y las limitaciones legales sobre el particular, de manera que mediante los acuerdos que se celebren se autorregulen los intereses de las partes.</w:t>
      </w:r>
    </w:p>
    <w:p w14:paraId="732CD26E" w14:textId="77777777" w:rsidR="007F707F" w:rsidRPr="00E97A27" w:rsidRDefault="007F707F" w:rsidP="007F707F">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Aunado a lo expuesto, la jurisprudencia resalta que la posibilidad de modificar los contratos estatales es una especial forma de hacer prevalecer la finalidad de este, en particular en aquellos contratos de largo plazo, como el de obra, en los que es difícil prever todas las contingencias que puedan afectar su ejecución. De esta manera, la Administración podrá variar, dadas ciertas condiciones, algunos aspectos del contrato cuando sea necesario para el cumplimiento del objeto y de los fines generales del Estado, por lo que</w:t>
      </w:r>
      <w:r w:rsidRPr="00E97A27">
        <w:rPr>
          <w:rFonts w:ascii="Verdana" w:eastAsia="Arial" w:hAnsi="Verdana" w:cs="Arial"/>
          <w:lang w:val="es-ES" w:eastAsia="es-ES" w:bidi="es-ES"/>
        </w:rPr>
        <w:t xml:space="preserve"> es </w:t>
      </w:r>
      <w:r>
        <w:rPr>
          <w:rFonts w:ascii="Verdana" w:eastAsia="Arial" w:hAnsi="Verdana" w:cs="Arial"/>
          <w:color w:val="000000" w:themeColor="text1"/>
          <w:lang w:val="es-MX" w:eastAsia="es-ES" w:bidi="es-ES"/>
        </w:rPr>
        <w:t>“</w:t>
      </w:r>
      <w:r w:rsidRPr="00E97A27">
        <w:rPr>
          <w:rFonts w:ascii="Verdana" w:eastAsia="Arial" w:hAnsi="Verdana" w:cs="Arial"/>
          <w:lang w:val="es-ES" w:eastAsia="es-ES" w:bidi="es-ES"/>
        </w:rPr>
        <w:t>preciso entonces el diseño de reglas que permitan la adaptación y la resolución pacífica de las controversias para evitar el fracaso</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MX" w:eastAsia="es-ES" w:bidi="es-ES"/>
        </w:rPr>
        <w:footnoteReference w:id="9"/>
      </w:r>
      <w:r w:rsidRPr="00E97A27">
        <w:rPr>
          <w:rFonts w:ascii="Verdana" w:eastAsia="Arial" w:hAnsi="Verdana" w:cs="Arial"/>
          <w:lang w:val="es-ES" w:eastAsia="es-ES" w:bidi="es-ES"/>
        </w:rPr>
        <w:t>.</w:t>
      </w:r>
      <w:r w:rsidRPr="00E97A27">
        <w:rPr>
          <w:rFonts w:ascii="Verdana" w:eastAsia="Arial" w:hAnsi="Verdana" w:cs="Arial"/>
          <w:sz w:val="21"/>
          <w:szCs w:val="21"/>
          <w:lang w:val="es-ES" w:eastAsia="es-ES" w:bidi="es-ES"/>
        </w:rPr>
        <w:t xml:space="preserve"> </w:t>
      </w:r>
    </w:p>
    <w:p w14:paraId="1991C9C3" w14:textId="77777777" w:rsidR="007F707F" w:rsidRPr="00E97A27" w:rsidRDefault="007F707F" w:rsidP="007F707F">
      <w:pPr>
        <w:widowControl w:val="0"/>
        <w:autoSpaceDE w:val="0"/>
        <w:autoSpaceDN w:val="0"/>
        <w:spacing w:before="120" w:after="0" w:line="276" w:lineRule="auto"/>
        <w:ind w:firstLine="709"/>
        <w:jc w:val="both"/>
        <w:rPr>
          <w:rFonts w:ascii="Verdana" w:eastAsia="Arial" w:hAnsi="Verdana" w:cs="Arial"/>
          <w:color w:val="000000" w:themeColor="text1"/>
          <w:lang w:eastAsia="es-ES" w:bidi="es-ES"/>
        </w:rPr>
      </w:pPr>
      <w:r w:rsidRPr="00E97A27">
        <w:rPr>
          <w:rFonts w:ascii="Verdana" w:eastAsia="Arial" w:hAnsi="Verdana" w:cs="Arial"/>
          <w:color w:val="000000" w:themeColor="text1"/>
          <w:lang w:val="es-ES" w:eastAsia="es-ES" w:bidi="es-ES"/>
        </w:rPr>
        <w:t xml:space="preserve">En armonía con lo anterior, la doctrina ha señalado que </w:t>
      </w:r>
      <w:r>
        <w:rPr>
          <w:rFonts w:ascii="Verdana" w:eastAsia="Arial" w:hAnsi="Verdana" w:cs="Arial"/>
          <w:color w:val="000000" w:themeColor="text1"/>
          <w:lang w:val="es-MX" w:eastAsia="es-ES" w:bidi="es-ES"/>
        </w:rPr>
        <w:t>“</w:t>
      </w:r>
      <w:r w:rsidRPr="00E97A27">
        <w:rPr>
          <w:rFonts w:ascii="Verdana" w:eastAsia="Arial" w:hAnsi="Verdana" w:cs="Arial"/>
          <w:color w:val="000000" w:themeColor="text1"/>
          <w:lang w:val="es-ES" w:eastAsia="es-ES" w:bidi="es-ES"/>
        </w:rPr>
        <w:t xml:space="preserve">durante la vigencia del contrato, esto es, el periodo que comprende el interregno que va desde el perfeccionamiento del contrato (acuerdo sobre el objeto y la contraprestación elevado a escrito al tenor del art. 41 </w:t>
      </w:r>
      <w:proofErr w:type="spellStart"/>
      <w:r w:rsidRPr="00E97A27">
        <w:rPr>
          <w:rFonts w:ascii="Verdana" w:eastAsia="Arial" w:hAnsi="Verdana" w:cs="Arial"/>
          <w:color w:val="000000" w:themeColor="text1"/>
          <w:lang w:val="es-ES" w:eastAsia="es-ES" w:bidi="es-ES"/>
        </w:rPr>
        <w:t>inc</w:t>
      </w:r>
      <w:proofErr w:type="spellEnd"/>
      <w:r w:rsidRPr="00E97A27">
        <w:rPr>
          <w:rFonts w:ascii="Verdana" w:eastAsia="Arial" w:hAnsi="Verdana" w:cs="Arial"/>
          <w:color w:val="000000" w:themeColor="text1"/>
          <w:lang w:val="es-ES" w:eastAsia="es-ES" w:bidi="es-ES"/>
        </w:rPr>
        <w:t xml:space="preserve"> 1° de la Ley 80 de 1993) hasta su liquidación, los contratantes tienen la potestad de pactar lo que consideren necesario a efectos de reequilibrar la ecuación contractual, por ejemplo, pueden ajustar la cuantía, las condiciones de ejecución, las formas de pago, los costos financieros y los interés, en el evento en que los haya</w:t>
      </w:r>
      <w:r>
        <w:rPr>
          <w:rFonts w:ascii="Verdana" w:eastAsia="Arial" w:hAnsi="Verdana" w:cs="Arial"/>
          <w:color w:val="000000" w:themeColor="text1"/>
          <w:lang w:val="es-MX" w:eastAsia="es-ES" w:bidi="es-ES"/>
        </w:rPr>
        <w:t>”</w:t>
      </w:r>
      <w:r w:rsidRPr="00E97A27">
        <w:rPr>
          <w:rStyle w:val="Refdenotaalpie"/>
          <w:rFonts w:ascii="Verdana" w:eastAsia="Arial" w:hAnsi="Verdana" w:cs="Arial"/>
          <w:color w:val="000000" w:themeColor="text1"/>
          <w:lang w:val="es-ES" w:eastAsia="es-ES" w:bidi="es-ES"/>
        </w:rPr>
        <w:footnoteReference w:id="10"/>
      </w:r>
      <w:r w:rsidRPr="00E97A27">
        <w:rPr>
          <w:rFonts w:ascii="Verdana" w:eastAsia="Arial" w:hAnsi="Verdana" w:cs="Arial"/>
          <w:color w:val="000000" w:themeColor="text1"/>
          <w:lang w:val="es-ES" w:eastAsia="es-ES" w:bidi="es-ES"/>
        </w:rPr>
        <w:t xml:space="preserve">. </w:t>
      </w:r>
    </w:p>
    <w:p w14:paraId="08F604CD" w14:textId="77777777" w:rsidR="007F707F" w:rsidRDefault="007F707F" w:rsidP="007F707F">
      <w:pPr>
        <w:widowControl w:val="0"/>
        <w:autoSpaceDE w:val="0"/>
        <w:autoSpaceDN w:val="0"/>
        <w:spacing w:before="120" w:after="120" w:line="276" w:lineRule="auto"/>
        <w:ind w:firstLine="709"/>
        <w:jc w:val="both"/>
        <w:rPr>
          <w:rFonts w:ascii="Verdana" w:eastAsia="Arial" w:hAnsi="Verdana" w:cs="Arial"/>
          <w:color w:val="000000" w:themeColor="text1"/>
          <w:lang w:val="es-ES" w:eastAsia="es-ES" w:bidi="es-ES"/>
        </w:rPr>
      </w:pPr>
      <w:r w:rsidRPr="00E97A27">
        <w:rPr>
          <w:rFonts w:ascii="Verdana" w:eastAsia="Arial" w:hAnsi="Verdana" w:cs="Arial"/>
          <w:color w:val="000000" w:themeColor="text1"/>
          <w:lang w:val="es-ES" w:eastAsia="es-ES" w:bidi="es-ES"/>
        </w:rPr>
        <w:t>Así la cosas, con fundamento en el EGCAP, en la jurisprudencia y en la doctrina puede concluir</w:t>
      </w:r>
      <w:r>
        <w:rPr>
          <w:rFonts w:ascii="Verdana" w:eastAsia="Arial" w:hAnsi="Verdana" w:cs="Arial"/>
          <w:color w:val="000000" w:themeColor="text1"/>
          <w:lang w:val="es-ES" w:eastAsia="es-ES" w:bidi="es-ES"/>
        </w:rPr>
        <w:t>se</w:t>
      </w:r>
      <w:r w:rsidRPr="00E97A27">
        <w:rPr>
          <w:rFonts w:ascii="Verdana" w:eastAsia="Arial" w:hAnsi="Verdana" w:cs="Arial"/>
          <w:color w:val="000000" w:themeColor="text1"/>
          <w:lang w:val="es-ES" w:eastAsia="es-ES" w:bidi="es-ES"/>
        </w:rPr>
        <w:t xml:space="preserve"> que cuando se presenten situaciones que generen el desequilibrio económico del contrato, previa revisión de su procedencia, </w:t>
      </w:r>
      <w:r w:rsidRPr="00E97A27">
        <w:rPr>
          <w:rFonts w:ascii="Verdana" w:eastAsia="Arial" w:hAnsi="Verdana" w:cs="Arial"/>
          <w:color w:val="000000" w:themeColor="text1"/>
          <w:lang w:val="es-ES" w:eastAsia="es-ES" w:bidi="es-ES"/>
        </w:rPr>
        <w:lastRenderedPageBreak/>
        <w:t xml:space="preserve">conforme el análisis del caso concreto, la entidad deberá adoptar las medidas correspondientes para su restablecimiento, si a ello hay lugar, para lo cual tiene la potestad de suscribir los acuerdos necesarios sobre cuantía, condiciones, forma de pago, etc. </w:t>
      </w:r>
    </w:p>
    <w:p w14:paraId="6122E079" w14:textId="77777777" w:rsidR="007F707F" w:rsidRDefault="007F707F" w:rsidP="007F707F">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ab/>
        <w:t>R</w:t>
      </w:r>
      <w:r w:rsidRPr="004474BA">
        <w:rPr>
          <w:rFonts w:ascii="Verdana" w:eastAsia="Times New Roman" w:hAnsi="Verdana" w:cs="Arial"/>
          <w:color w:val="000000"/>
          <w:bdr w:val="none" w:sz="0" w:space="0" w:color="auto" w:frame="1"/>
          <w:shd w:val="clear" w:color="auto" w:fill="FFFFFF"/>
          <w:lang w:eastAsia="es-ES_tradnl"/>
        </w:rPr>
        <w:t>especto al contenido de la liquidación</w:t>
      </w:r>
      <w:r>
        <w:rPr>
          <w:rFonts w:ascii="Verdana" w:eastAsia="Times New Roman" w:hAnsi="Verdana" w:cs="Arial"/>
          <w:color w:val="000000"/>
          <w:bdr w:val="none" w:sz="0" w:space="0" w:color="auto" w:frame="1"/>
          <w:shd w:val="clear" w:color="auto" w:fill="FFFFFF"/>
          <w:lang w:eastAsia="es-ES_tradnl"/>
        </w:rPr>
        <w:t xml:space="preserve">, conforme a los incisos segundo y tercero del artículo 60 del EGCAP, “[…] </w:t>
      </w:r>
      <w:r w:rsidRPr="00D118AB">
        <w:rPr>
          <w:rFonts w:ascii="Verdana" w:eastAsia="Times New Roman" w:hAnsi="Verdana" w:cs="Arial"/>
          <w:color w:val="000000"/>
          <w:bdr w:val="none" w:sz="0" w:space="0" w:color="auto" w:frame="1"/>
          <w:shd w:val="clear" w:color="auto" w:fill="FFFFFF"/>
          <w:lang w:eastAsia="es-ES_tradnl"/>
        </w:rPr>
        <w:t>las partes acordarán los ajustes, revisiones y reconocimientos a que haya lugar</w:t>
      </w:r>
      <w:r>
        <w:rPr>
          <w:rFonts w:ascii="Verdana" w:eastAsia="Times New Roman" w:hAnsi="Verdana" w:cs="Arial"/>
          <w:color w:val="000000"/>
          <w:bdr w:val="none" w:sz="0" w:space="0" w:color="auto" w:frame="1"/>
          <w:shd w:val="clear" w:color="auto" w:fill="FFFFFF"/>
          <w:lang w:eastAsia="es-ES_tradnl"/>
        </w:rPr>
        <w:t xml:space="preserve">” y en ella “[…] </w:t>
      </w:r>
      <w:r w:rsidRPr="00D118AB">
        <w:rPr>
          <w:rFonts w:ascii="Verdana" w:eastAsia="Times New Roman" w:hAnsi="Verdana" w:cs="Arial"/>
          <w:color w:val="000000"/>
          <w:bdr w:val="none" w:sz="0" w:space="0" w:color="auto" w:frame="1"/>
          <w:shd w:val="clear" w:color="auto" w:fill="FFFFFF"/>
          <w:lang w:eastAsia="es-ES_tradnl"/>
        </w:rPr>
        <w:t>constarán los acuerdos, conciliaciones y transacciones a que llegaren las partes para poner fin a las divergencias presentadas y poder declararse a paz y salvo</w:t>
      </w:r>
      <w:r>
        <w:rPr>
          <w:rFonts w:ascii="Verdana" w:eastAsia="Times New Roman" w:hAnsi="Verdana" w:cs="Arial"/>
          <w:color w:val="000000"/>
          <w:bdr w:val="none" w:sz="0" w:space="0" w:color="auto" w:frame="1"/>
          <w:shd w:val="clear" w:color="auto" w:fill="FFFFFF"/>
          <w:lang w:eastAsia="es-ES_tradnl"/>
        </w:rPr>
        <w:t>”</w:t>
      </w:r>
      <w:r w:rsidRPr="00D118AB">
        <w:rPr>
          <w:rFonts w:ascii="Verdana" w:eastAsia="Times New Roman" w:hAnsi="Verdana" w:cs="Arial"/>
          <w:color w:val="000000"/>
          <w:bdr w:val="none" w:sz="0" w:space="0" w:color="auto" w:frame="1"/>
          <w:shd w:val="clear" w:color="auto" w:fill="FFFFFF"/>
          <w:lang w:eastAsia="es-ES_tradnl"/>
        </w:rPr>
        <w:t>.</w:t>
      </w:r>
      <w:r>
        <w:rPr>
          <w:rFonts w:ascii="Verdana" w:eastAsia="Times New Roman" w:hAnsi="Verdana" w:cs="Arial"/>
          <w:color w:val="000000"/>
          <w:bdr w:val="none" w:sz="0" w:space="0" w:color="auto" w:frame="1"/>
          <w:shd w:val="clear" w:color="auto" w:fill="FFFFFF"/>
          <w:lang w:eastAsia="es-ES_tradnl"/>
        </w:rPr>
        <w:t xml:space="preserve"> Esto hace que la liquidación no sólo sea un mecanismo alternativo de solución de conflictos, sino también un medio para resolver asuntos relacionados con el desequilibrio económico del contrato. Sobre esta última faceta, la doctrina explica que la norma en comento consagra una posibilidad para que las entidades públicas garanticen el equilibrio económico si éste resultó afectado en la ejecución del negocio jurídico, así que la liquidación es el momento oportuno para resolver las diferencias existentes. De esta manera: </w:t>
      </w:r>
    </w:p>
    <w:p w14:paraId="120A5E0C" w14:textId="77777777" w:rsidR="007F707F" w:rsidRDefault="007F707F" w:rsidP="007F707F">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32C6AEE7" w14:textId="77777777" w:rsidR="007F707F" w:rsidRPr="00AA6517" w:rsidRDefault="007F707F" w:rsidP="007F707F">
      <w:pPr>
        <w:tabs>
          <w:tab w:val="left" w:pos="709"/>
        </w:tabs>
        <w:spacing w:after="0" w:line="240" w:lineRule="auto"/>
        <w:ind w:left="709" w:right="709"/>
        <w:jc w:val="both"/>
        <w:rPr>
          <w:rFonts w:ascii="Verdana" w:eastAsia="Times New Roman" w:hAnsi="Verdana" w:cs="Arial"/>
          <w:color w:val="000000"/>
          <w:sz w:val="20"/>
          <w:szCs w:val="20"/>
          <w:bdr w:val="none" w:sz="0" w:space="0" w:color="auto" w:frame="1"/>
          <w:shd w:val="clear" w:color="auto" w:fill="FFFFFF"/>
          <w:lang w:eastAsia="es-ES_tradnl"/>
        </w:rPr>
      </w:pPr>
      <w:r w:rsidRPr="00AA6517">
        <w:rPr>
          <w:rFonts w:ascii="Verdana" w:eastAsia="Times New Roman" w:hAnsi="Verdana" w:cs="Arial"/>
          <w:color w:val="000000"/>
          <w:sz w:val="20"/>
          <w:szCs w:val="20"/>
          <w:bdr w:val="none" w:sz="0" w:space="0" w:color="auto" w:frame="1"/>
          <w:shd w:val="clear" w:color="auto" w:fill="FFFFFF"/>
          <w:lang w:eastAsia="es-ES_tradnl"/>
        </w:rPr>
        <w:t>“A través de la liquidación de los contratos se busca en especial establecer el equilibrio final en las relaciones suscitadas entre la entidad estatal y el contratista, con el objeto de dejar niveladas las prestaciones y derechos surgidos del negocio jurídico. En este sentido, el principio de la conmutatividad, entendido como la equivalencia obvia que debe existir entre lo que se da o hace por una parte y lo que se recibe por la otra, se torna en regla vinculante e imperativa, que debe ser restablecida al final de la relación jurídica, con el propósito de que el negocio finalmente sea equivalente entre las partes”</w:t>
      </w:r>
      <w:r w:rsidRPr="00AA6517">
        <w:rPr>
          <w:rStyle w:val="Refdenotaalpie"/>
          <w:rFonts w:ascii="Verdana" w:eastAsia="Times New Roman" w:hAnsi="Verdana" w:cs="Arial"/>
          <w:color w:val="000000"/>
          <w:sz w:val="20"/>
          <w:szCs w:val="20"/>
          <w:bdr w:val="none" w:sz="0" w:space="0" w:color="auto" w:frame="1"/>
          <w:shd w:val="clear" w:color="auto" w:fill="FFFFFF"/>
          <w:lang w:eastAsia="es-ES_tradnl"/>
        </w:rPr>
        <w:footnoteReference w:id="11"/>
      </w:r>
      <w:r w:rsidRPr="00AA6517">
        <w:rPr>
          <w:rFonts w:ascii="Verdana" w:eastAsia="Times New Roman" w:hAnsi="Verdana" w:cs="Arial"/>
          <w:color w:val="000000"/>
          <w:sz w:val="20"/>
          <w:szCs w:val="20"/>
          <w:bdr w:val="none" w:sz="0" w:space="0" w:color="auto" w:frame="1"/>
          <w:shd w:val="clear" w:color="auto" w:fill="FFFFFF"/>
          <w:lang w:eastAsia="es-ES_tradnl"/>
        </w:rPr>
        <w:t xml:space="preserve">. </w:t>
      </w:r>
    </w:p>
    <w:p w14:paraId="0B30A4C5" w14:textId="77777777" w:rsidR="007F707F" w:rsidRDefault="007F707F" w:rsidP="007F707F">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642DCCAA" w14:textId="77777777" w:rsidR="007F707F" w:rsidRDefault="007F707F" w:rsidP="007F707F">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ab/>
        <w:t xml:space="preserve">De acuerdo con la Sentencia de Unificación del 19 de noviembre de 2012 de la Sala Plena del Consejo de Estado, </w:t>
      </w:r>
      <w:r>
        <w:rPr>
          <w:rFonts w:ascii="Verdana" w:eastAsia="Times New Roman" w:hAnsi="Verdana" w:cs="Arial"/>
          <w:i/>
          <w:iCs/>
          <w:color w:val="000000"/>
          <w:bdr w:val="none" w:sz="0" w:space="0" w:color="auto" w:frame="1"/>
          <w:shd w:val="clear" w:color="auto" w:fill="FFFFFF"/>
          <w:lang w:eastAsia="es-ES_tradnl"/>
        </w:rPr>
        <w:t>por regla general,</w:t>
      </w:r>
      <w:r>
        <w:rPr>
          <w:rFonts w:ascii="Verdana" w:eastAsia="Times New Roman" w:hAnsi="Verdana" w:cs="Arial"/>
          <w:color w:val="000000"/>
          <w:bdr w:val="none" w:sz="0" w:space="0" w:color="auto" w:frame="1"/>
          <w:shd w:val="clear" w:color="auto" w:fill="FFFFFF"/>
          <w:lang w:eastAsia="es-ES_tradnl"/>
        </w:rPr>
        <w:t xml:space="preserve"> no es posible solicitar reconocimientos económicos por la ejecución de obras extras o adicionales, sin la previa suscripción de un contrato adicional que las justifique. Esto en la medida que los artículos 39 y 41 del EGCAP disponen que los contratos estatales son solemnes y, por tanto, requieren formalidad escrita, salvo que se presente una situación de urgencia manifiesta. Dentro de esta línea:</w:t>
      </w:r>
    </w:p>
    <w:p w14:paraId="4C119150" w14:textId="77777777" w:rsidR="007F707F" w:rsidRDefault="007F707F" w:rsidP="007F707F">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5900980E" w14:textId="77777777" w:rsidR="007F707F" w:rsidRPr="00AA6517" w:rsidRDefault="007F707F" w:rsidP="007F707F">
      <w:pPr>
        <w:tabs>
          <w:tab w:val="left" w:pos="709"/>
        </w:tabs>
        <w:spacing w:after="0" w:line="240" w:lineRule="auto"/>
        <w:ind w:left="709" w:right="709"/>
        <w:jc w:val="both"/>
        <w:rPr>
          <w:rFonts w:ascii="Verdana" w:eastAsia="Times New Roman" w:hAnsi="Verdana" w:cs="Arial"/>
          <w:color w:val="000000"/>
          <w:sz w:val="20"/>
          <w:szCs w:val="20"/>
          <w:bdr w:val="none" w:sz="0" w:space="0" w:color="auto" w:frame="1"/>
          <w:shd w:val="clear" w:color="auto" w:fill="FFFFFF"/>
          <w:lang w:eastAsia="es-ES_tradnl"/>
        </w:rPr>
      </w:pPr>
      <w:r w:rsidRPr="00AA6517">
        <w:rPr>
          <w:rFonts w:ascii="Verdana" w:eastAsia="Times New Roman" w:hAnsi="Verdana" w:cs="Arial"/>
          <w:color w:val="000000"/>
          <w:sz w:val="20"/>
          <w:szCs w:val="20"/>
          <w:bdr w:val="none" w:sz="0" w:space="0" w:color="auto" w:frame="1"/>
          <w:shd w:val="clear" w:color="auto" w:fill="FFFFFF"/>
          <w:lang w:eastAsia="es-ES_tradnl"/>
        </w:rPr>
        <w:t xml:space="preserve">“EL E.C. establece que en el acta de liquidación del contrato podrán efectuarse las transacciones a las que hubiere lugar. Se trata de un </w:t>
      </w:r>
      <w:r w:rsidRPr="00AA6517">
        <w:rPr>
          <w:rFonts w:ascii="Verdana" w:eastAsia="Times New Roman" w:hAnsi="Verdana" w:cs="Arial"/>
          <w:color w:val="000000"/>
          <w:sz w:val="20"/>
          <w:szCs w:val="20"/>
          <w:bdr w:val="none" w:sz="0" w:space="0" w:color="auto" w:frame="1"/>
          <w:shd w:val="clear" w:color="auto" w:fill="FFFFFF"/>
          <w:lang w:eastAsia="es-ES_tradnl"/>
        </w:rPr>
        <w:lastRenderedPageBreak/>
        <w:t>mecanismo de solucionar eventuales conflictos de orden contractual, por esto, no se podrán incorporar reconocimientos que se han causado y que resulten ajenos a las obligaciones contractuales y legales. Aquellas actividades ejecutadas por el contratista que no se desprendan o se encuentren incorporadas en el contrato, no podrán ser reconocidas en el acta de liquidación. Esto no significa que a la entidad se le cierre la posibilidad de solucionar directamente el conflicto, pero, podrá precaverlo, suscribiendo un contrato de transacción con las formalidades establecidas en nuestro ordenamiento”</w:t>
      </w:r>
      <w:r w:rsidRPr="00AA6517">
        <w:rPr>
          <w:rStyle w:val="Refdenotaalpie"/>
          <w:rFonts w:ascii="Verdana" w:eastAsia="Times New Roman" w:hAnsi="Verdana" w:cs="Arial"/>
          <w:color w:val="000000"/>
          <w:sz w:val="20"/>
          <w:szCs w:val="20"/>
          <w:bdr w:val="none" w:sz="0" w:space="0" w:color="auto" w:frame="1"/>
          <w:shd w:val="clear" w:color="auto" w:fill="FFFFFF"/>
          <w:lang w:eastAsia="es-ES_tradnl"/>
        </w:rPr>
        <w:footnoteReference w:id="12"/>
      </w:r>
      <w:r w:rsidRPr="00AA6517">
        <w:rPr>
          <w:rFonts w:ascii="Verdana" w:eastAsia="Times New Roman" w:hAnsi="Verdana" w:cs="Arial"/>
          <w:color w:val="000000"/>
          <w:sz w:val="20"/>
          <w:szCs w:val="20"/>
          <w:bdr w:val="none" w:sz="0" w:space="0" w:color="auto" w:frame="1"/>
          <w:shd w:val="clear" w:color="auto" w:fill="FFFFFF"/>
          <w:lang w:eastAsia="es-ES_tradnl"/>
        </w:rPr>
        <w:t xml:space="preserve">.  </w:t>
      </w:r>
    </w:p>
    <w:p w14:paraId="06D643CE" w14:textId="77777777" w:rsidR="007F707F" w:rsidRDefault="007F707F" w:rsidP="007F707F">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64F3ECD5" w14:textId="77777777" w:rsidR="007F707F" w:rsidRDefault="007F707F" w:rsidP="007F707F">
      <w:pPr>
        <w:tabs>
          <w:tab w:val="left" w:pos="709"/>
        </w:tabs>
        <w:spacing w:after="120" w:line="276" w:lineRule="auto"/>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ab/>
      </w:r>
      <w:r w:rsidRPr="001C48E6">
        <w:rPr>
          <w:rFonts w:ascii="Verdana" w:eastAsia="Times New Roman" w:hAnsi="Verdana" w:cs="Arial"/>
          <w:i/>
          <w:iCs/>
          <w:color w:val="000000"/>
          <w:bdr w:val="none" w:sz="0" w:space="0" w:color="auto" w:frame="1"/>
          <w:shd w:val="clear" w:color="auto" w:fill="FFFFFF"/>
          <w:lang w:eastAsia="es-ES_tradnl"/>
        </w:rPr>
        <w:t>Excepcionalmente</w:t>
      </w:r>
      <w:r>
        <w:rPr>
          <w:rFonts w:ascii="Verdana" w:eastAsia="Times New Roman" w:hAnsi="Verdana" w:cs="Arial"/>
          <w:color w:val="000000"/>
          <w:bdr w:val="none" w:sz="0" w:space="0" w:color="auto" w:frame="1"/>
          <w:shd w:val="clear" w:color="auto" w:fill="FFFFFF"/>
          <w:lang w:eastAsia="es-ES_tradnl"/>
        </w:rPr>
        <w:t xml:space="preserve">, la jurisprudencia citada admitió la posibilidad de reconocer al contratista la ejecución de obras extras o adicionales en tres (3) eventos de interpretación restrictiva: i) cuando existe prueba fehaciente de que la ejecución de obras o servicios extras o adicionales o el suministro de bienes, por fuera del objeto contractual, se haya realizado por la imposición de la entidad, en ejercicio de su autoridad; </w:t>
      </w:r>
      <w:proofErr w:type="spellStart"/>
      <w:r>
        <w:rPr>
          <w:rFonts w:ascii="Verdana" w:eastAsia="Times New Roman" w:hAnsi="Verdana" w:cs="Arial"/>
          <w:color w:val="000000"/>
          <w:bdr w:val="none" w:sz="0" w:space="0" w:color="auto" w:frame="1"/>
          <w:shd w:val="clear" w:color="auto" w:fill="FFFFFF"/>
          <w:lang w:eastAsia="es-ES_tradnl"/>
        </w:rPr>
        <w:t>ii</w:t>
      </w:r>
      <w:proofErr w:type="spellEnd"/>
      <w:r>
        <w:rPr>
          <w:rFonts w:ascii="Verdana" w:eastAsia="Times New Roman" w:hAnsi="Verdana" w:cs="Arial"/>
          <w:color w:val="000000"/>
          <w:bdr w:val="none" w:sz="0" w:space="0" w:color="auto" w:frame="1"/>
          <w:shd w:val="clear" w:color="auto" w:fill="FFFFFF"/>
          <w:lang w:eastAsia="es-ES_tradnl"/>
        </w:rPr>
        <w:t xml:space="preserve">) que fueran urgentes para evitar una lesión inminente e irreversible al derecho a la salud; y </w:t>
      </w:r>
      <w:proofErr w:type="spellStart"/>
      <w:r>
        <w:rPr>
          <w:rFonts w:ascii="Verdana" w:eastAsia="Times New Roman" w:hAnsi="Verdana" w:cs="Arial"/>
          <w:color w:val="000000"/>
          <w:bdr w:val="none" w:sz="0" w:space="0" w:color="auto" w:frame="1"/>
          <w:shd w:val="clear" w:color="auto" w:fill="FFFFFF"/>
          <w:lang w:eastAsia="es-ES_tradnl"/>
        </w:rPr>
        <w:t>iii</w:t>
      </w:r>
      <w:proofErr w:type="spellEnd"/>
      <w:r>
        <w:rPr>
          <w:rFonts w:ascii="Verdana" w:eastAsia="Times New Roman" w:hAnsi="Verdana" w:cs="Arial"/>
          <w:color w:val="000000"/>
          <w:bdr w:val="none" w:sz="0" w:space="0" w:color="auto" w:frame="1"/>
          <w:shd w:val="clear" w:color="auto" w:fill="FFFFFF"/>
          <w:lang w:eastAsia="es-ES_tradnl"/>
        </w:rPr>
        <w:t xml:space="preserve">) cuando se omite el decreto de la urgencia manifiesta y concurren las circunstancias para que ésta hubiera sido declarada.  </w:t>
      </w:r>
    </w:p>
    <w:p w14:paraId="7CD18DA7" w14:textId="77777777" w:rsidR="007F707F" w:rsidRPr="00A04C35" w:rsidRDefault="007F707F" w:rsidP="007F707F">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ab/>
      </w:r>
      <w:r w:rsidRPr="00A04C35">
        <w:rPr>
          <w:rFonts w:ascii="Verdana" w:eastAsia="Times New Roman" w:hAnsi="Verdana" w:cs="Arial"/>
          <w:color w:val="000000"/>
          <w:bdr w:val="none" w:sz="0" w:space="0" w:color="auto" w:frame="1"/>
          <w:shd w:val="clear" w:color="auto" w:fill="FFFFFF"/>
          <w:lang w:eastAsia="es-ES_tradnl"/>
        </w:rPr>
        <w:t xml:space="preserve">No obstante, la Sala Plena del Consejo de Estado expidió la Sentencia de Unificación del 19 de noviembre de 2012, </w:t>
      </w:r>
      <w:r w:rsidRPr="00A04C35">
        <w:rPr>
          <w:rFonts w:ascii="Verdana" w:eastAsia="Times New Roman" w:hAnsi="Verdana" w:cs="Arial"/>
          <w:i/>
          <w:iCs/>
          <w:color w:val="000000"/>
          <w:bdr w:val="none" w:sz="0" w:space="0" w:color="auto" w:frame="1"/>
          <w:shd w:val="clear" w:color="auto" w:fill="FFFFFF"/>
          <w:lang w:eastAsia="es-ES_tradnl"/>
        </w:rPr>
        <w:t>por regla general,</w:t>
      </w:r>
      <w:r w:rsidRPr="00A04C35">
        <w:rPr>
          <w:rFonts w:ascii="Verdana" w:eastAsia="Times New Roman" w:hAnsi="Verdana" w:cs="Arial"/>
          <w:color w:val="000000"/>
          <w:bdr w:val="none" w:sz="0" w:space="0" w:color="auto" w:frame="1"/>
          <w:shd w:val="clear" w:color="auto" w:fill="FFFFFF"/>
          <w:lang w:eastAsia="es-ES_tradnl"/>
        </w:rPr>
        <w:t xml:space="preserve"> no es posible solicitar reconocimientos económicos por la ejecución de obras extras o adicionales, sin la previa suscripción de un contrato adicional que las justifique. Esto en la medida que los artículos 39 y 41 del EGCAP disponen que los contratos estatales son solemnes y, por tanto, requieren formalidad escrita, salvo que se presente una situación de urgencia manifiesta.</w:t>
      </w:r>
      <w:r w:rsidRPr="00A04C35">
        <w:rPr>
          <w:rFonts w:ascii="Verdana" w:eastAsia="Times New Roman" w:hAnsi="Verdana" w:cs="Arial"/>
          <w:color w:val="000000"/>
          <w:bdr w:val="none" w:sz="0" w:space="0" w:color="auto" w:frame="1"/>
          <w:shd w:val="clear" w:color="auto" w:fill="FFFFFF"/>
          <w:vertAlign w:val="superscript"/>
          <w:lang w:eastAsia="es-ES_tradnl"/>
        </w:rPr>
        <w:footnoteReference w:id="13"/>
      </w:r>
      <w:r w:rsidRPr="00A04C35">
        <w:rPr>
          <w:rFonts w:ascii="Verdana" w:eastAsia="Times New Roman" w:hAnsi="Verdana" w:cs="Arial"/>
          <w:color w:val="000000"/>
          <w:bdr w:val="none" w:sz="0" w:space="0" w:color="auto" w:frame="1"/>
          <w:shd w:val="clear" w:color="auto" w:fill="FFFFFF"/>
          <w:lang w:eastAsia="es-ES_tradnl"/>
        </w:rPr>
        <w:t xml:space="preserve"> Dentro de esta línea:</w:t>
      </w:r>
    </w:p>
    <w:p w14:paraId="0E343D8D" w14:textId="77777777" w:rsidR="007F707F" w:rsidRPr="00A04C35" w:rsidRDefault="007F707F" w:rsidP="007F707F">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052A03B2" w14:textId="77777777" w:rsidR="007F707F" w:rsidRPr="00A04C35" w:rsidRDefault="007F707F" w:rsidP="007F707F">
      <w:pPr>
        <w:tabs>
          <w:tab w:val="left" w:pos="709"/>
        </w:tabs>
        <w:spacing w:after="0" w:line="240" w:lineRule="auto"/>
        <w:ind w:left="709" w:right="709"/>
        <w:jc w:val="both"/>
        <w:rPr>
          <w:rFonts w:ascii="Verdana" w:eastAsia="Times New Roman" w:hAnsi="Verdana" w:cs="Arial"/>
          <w:color w:val="000000"/>
          <w:sz w:val="20"/>
          <w:szCs w:val="20"/>
          <w:bdr w:val="none" w:sz="0" w:space="0" w:color="auto" w:frame="1"/>
          <w:shd w:val="clear" w:color="auto" w:fill="FFFFFF"/>
          <w:lang w:eastAsia="es-ES_tradnl"/>
        </w:rPr>
      </w:pPr>
      <w:r w:rsidRPr="00A04C35">
        <w:rPr>
          <w:rFonts w:ascii="Verdana" w:eastAsia="Times New Roman" w:hAnsi="Verdana" w:cs="Arial"/>
          <w:color w:val="000000"/>
          <w:sz w:val="20"/>
          <w:szCs w:val="20"/>
          <w:bdr w:val="none" w:sz="0" w:space="0" w:color="auto" w:frame="1"/>
          <w:shd w:val="clear" w:color="auto" w:fill="FFFFFF"/>
          <w:lang w:eastAsia="es-ES_tradnl"/>
        </w:rPr>
        <w:t xml:space="preserve">“EL E.C. establece que en el acta de liquidación del contrato podrán efectuarse las transacciones a las que hubiere lugar. Se trata de un mecanismo de solucionar eventuales conflictos de orden contractual, por esto, no se podrán incorporar reconocimientos que se han causado y que resulten ajenos a las obligaciones contractuales y legales. Aquellas actividades ejecutadas por el contratista que no se desprendan o se encuentren incorporadas en el contrato, no podrán ser reconocidas en el acta de liquidación. Esto no significa que a la entidad se le cierre la posibilidad de solucionar directamente el conflicto, pero, podrá precaverlo, </w:t>
      </w:r>
      <w:r w:rsidRPr="00A04C35">
        <w:rPr>
          <w:rFonts w:ascii="Verdana" w:eastAsia="Times New Roman" w:hAnsi="Verdana" w:cs="Arial"/>
          <w:color w:val="000000"/>
          <w:sz w:val="20"/>
          <w:szCs w:val="20"/>
          <w:bdr w:val="none" w:sz="0" w:space="0" w:color="auto" w:frame="1"/>
          <w:shd w:val="clear" w:color="auto" w:fill="FFFFFF"/>
          <w:lang w:eastAsia="es-ES_tradnl"/>
        </w:rPr>
        <w:lastRenderedPageBreak/>
        <w:t>suscribiendo un contrato de transacción con las formalidades establecidas en nuestro ordenamiento”</w:t>
      </w:r>
      <w:r w:rsidRPr="00A04C35">
        <w:rPr>
          <w:rFonts w:ascii="Verdana" w:eastAsia="Times New Roman" w:hAnsi="Verdana" w:cs="Arial"/>
          <w:color w:val="000000"/>
          <w:sz w:val="20"/>
          <w:szCs w:val="20"/>
          <w:bdr w:val="none" w:sz="0" w:space="0" w:color="auto" w:frame="1"/>
          <w:shd w:val="clear" w:color="auto" w:fill="FFFFFF"/>
          <w:vertAlign w:val="superscript"/>
          <w:lang w:eastAsia="es-ES_tradnl"/>
        </w:rPr>
        <w:footnoteReference w:id="14"/>
      </w:r>
      <w:r w:rsidRPr="00A04C35">
        <w:rPr>
          <w:rFonts w:ascii="Verdana" w:eastAsia="Times New Roman" w:hAnsi="Verdana" w:cs="Arial"/>
          <w:color w:val="000000"/>
          <w:sz w:val="20"/>
          <w:szCs w:val="20"/>
          <w:bdr w:val="none" w:sz="0" w:space="0" w:color="auto" w:frame="1"/>
          <w:shd w:val="clear" w:color="auto" w:fill="FFFFFF"/>
          <w:lang w:eastAsia="es-ES_tradnl"/>
        </w:rPr>
        <w:t xml:space="preserve">.  </w:t>
      </w:r>
    </w:p>
    <w:p w14:paraId="37DC835B" w14:textId="77777777" w:rsidR="007F707F" w:rsidRPr="00A04C35" w:rsidRDefault="007F707F" w:rsidP="007F707F">
      <w:pPr>
        <w:tabs>
          <w:tab w:val="left" w:pos="709"/>
        </w:tabs>
        <w:spacing w:after="0" w:line="240" w:lineRule="auto"/>
        <w:jc w:val="both"/>
        <w:rPr>
          <w:rFonts w:ascii="Verdana" w:eastAsia="Times New Roman" w:hAnsi="Verdana" w:cs="Arial"/>
          <w:color w:val="000000"/>
          <w:bdr w:val="none" w:sz="0" w:space="0" w:color="auto" w:frame="1"/>
          <w:shd w:val="clear" w:color="auto" w:fill="FFFFFF"/>
          <w:lang w:eastAsia="es-ES_tradnl"/>
        </w:rPr>
      </w:pPr>
    </w:p>
    <w:p w14:paraId="21A7FCAC" w14:textId="77777777" w:rsidR="007F707F" w:rsidRPr="00A04C35" w:rsidRDefault="007F707F" w:rsidP="007F707F">
      <w:pPr>
        <w:tabs>
          <w:tab w:val="left" w:pos="709"/>
        </w:tabs>
        <w:spacing w:after="120" w:line="276" w:lineRule="auto"/>
        <w:jc w:val="both"/>
        <w:rPr>
          <w:rFonts w:ascii="Verdana" w:eastAsia="Times New Roman" w:hAnsi="Verdana" w:cs="Arial"/>
          <w:color w:val="000000"/>
          <w:bdr w:val="none" w:sz="0" w:space="0" w:color="auto" w:frame="1"/>
          <w:shd w:val="clear" w:color="auto" w:fill="FFFFFF"/>
          <w:lang w:eastAsia="es-ES_tradnl"/>
        </w:rPr>
      </w:pPr>
      <w:r w:rsidRPr="00A04C35">
        <w:rPr>
          <w:rFonts w:ascii="Verdana" w:eastAsia="Times New Roman" w:hAnsi="Verdana" w:cs="Arial"/>
          <w:color w:val="000000"/>
          <w:bdr w:val="none" w:sz="0" w:space="0" w:color="auto" w:frame="1"/>
          <w:shd w:val="clear" w:color="auto" w:fill="FFFFFF"/>
          <w:lang w:eastAsia="es-ES_tradnl"/>
        </w:rPr>
        <w:tab/>
      </w:r>
      <w:r w:rsidRPr="00A04C35">
        <w:rPr>
          <w:rFonts w:ascii="Verdana" w:eastAsia="Times New Roman" w:hAnsi="Verdana" w:cs="Arial"/>
          <w:i/>
          <w:iCs/>
          <w:color w:val="000000"/>
          <w:bdr w:val="none" w:sz="0" w:space="0" w:color="auto" w:frame="1"/>
          <w:shd w:val="clear" w:color="auto" w:fill="FFFFFF"/>
          <w:lang w:eastAsia="es-ES_tradnl"/>
        </w:rPr>
        <w:t>Excepcionalmente</w:t>
      </w:r>
      <w:r w:rsidRPr="00A04C35">
        <w:rPr>
          <w:rFonts w:ascii="Verdana" w:eastAsia="Times New Roman" w:hAnsi="Verdana" w:cs="Arial"/>
          <w:color w:val="000000"/>
          <w:bdr w:val="none" w:sz="0" w:space="0" w:color="auto" w:frame="1"/>
          <w:shd w:val="clear" w:color="auto" w:fill="FFFFFF"/>
          <w:lang w:eastAsia="es-ES_tradnl"/>
        </w:rPr>
        <w:t xml:space="preserve">, la jurisprudencia citada admitió la posibilidad de reconocer al contratista la ejecución de obras extras o adicionales en tres (3) eventos de interpretación restrictiva: i) cuando existe prueba fehaciente de que la ejecución de obras o servicios extras o adicionales o el suministro de bienes, por fuera del objeto contractual, se haya realizado por la imposición de la entidad, en ejercicio de su autoridad; </w:t>
      </w:r>
      <w:proofErr w:type="spellStart"/>
      <w:r w:rsidRPr="00A04C35">
        <w:rPr>
          <w:rFonts w:ascii="Verdana" w:eastAsia="Times New Roman" w:hAnsi="Verdana" w:cs="Arial"/>
          <w:color w:val="000000"/>
          <w:bdr w:val="none" w:sz="0" w:space="0" w:color="auto" w:frame="1"/>
          <w:shd w:val="clear" w:color="auto" w:fill="FFFFFF"/>
          <w:lang w:eastAsia="es-ES_tradnl"/>
        </w:rPr>
        <w:t>ii</w:t>
      </w:r>
      <w:proofErr w:type="spellEnd"/>
      <w:r w:rsidRPr="00A04C35">
        <w:rPr>
          <w:rFonts w:ascii="Verdana" w:eastAsia="Times New Roman" w:hAnsi="Verdana" w:cs="Arial"/>
          <w:color w:val="000000"/>
          <w:bdr w:val="none" w:sz="0" w:space="0" w:color="auto" w:frame="1"/>
          <w:shd w:val="clear" w:color="auto" w:fill="FFFFFF"/>
          <w:lang w:eastAsia="es-ES_tradnl"/>
        </w:rPr>
        <w:t xml:space="preserve">) que fueran urgentes para evitar una lesión inminente e irreversible al derecho a la salud; y </w:t>
      </w:r>
      <w:proofErr w:type="spellStart"/>
      <w:r w:rsidRPr="00A04C35">
        <w:rPr>
          <w:rFonts w:ascii="Verdana" w:eastAsia="Times New Roman" w:hAnsi="Verdana" w:cs="Arial"/>
          <w:color w:val="000000"/>
          <w:bdr w:val="none" w:sz="0" w:space="0" w:color="auto" w:frame="1"/>
          <w:shd w:val="clear" w:color="auto" w:fill="FFFFFF"/>
          <w:lang w:eastAsia="es-ES_tradnl"/>
        </w:rPr>
        <w:t>iii</w:t>
      </w:r>
      <w:proofErr w:type="spellEnd"/>
      <w:r w:rsidRPr="00A04C35">
        <w:rPr>
          <w:rFonts w:ascii="Verdana" w:eastAsia="Times New Roman" w:hAnsi="Verdana" w:cs="Arial"/>
          <w:color w:val="000000"/>
          <w:bdr w:val="none" w:sz="0" w:space="0" w:color="auto" w:frame="1"/>
          <w:shd w:val="clear" w:color="auto" w:fill="FFFFFF"/>
          <w:lang w:eastAsia="es-ES_tradnl"/>
        </w:rPr>
        <w:t>) cuando se omite el decreto de la urgencia manifiesta y concurren las circunstancias para que ésta hubiera sido declarada</w:t>
      </w:r>
      <w:r w:rsidRPr="00A04C35">
        <w:rPr>
          <w:rFonts w:ascii="Verdana" w:eastAsia="Times New Roman" w:hAnsi="Verdana" w:cs="Arial"/>
          <w:color w:val="000000"/>
          <w:bdr w:val="none" w:sz="0" w:space="0" w:color="auto" w:frame="1"/>
          <w:shd w:val="clear" w:color="auto" w:fill="FFFFFF"/>
          <w:vertAlign w:val="superscript"/>
          <w:lang w:eastAsia="es-ES_tradnl"/>
        </w:rPr>
        <w:footnoteReference w:id="15"/>
      </w:r>
      <w:r w:rsidRPr="00A04C35">
        <w:rPr>
          <w:rFonts w:ascii="Verdana" w:eastAsia="Times New Roman" w:hAnsi="Verdana" w:cs="Arial"/>
          <w:color w:val="000000"/>
          <w:bdr w:val="none" w:sz="0" w:space="0" w:color="auto" w:frame="1"/>
          <w:shd w:val="clear" w:color="auto" w:fill="FFFFFF"/>
          <w:lang w:eastAsia="es-ES_tradnl"/>
        </w:rPr>
        <w:t xml:space="preserve">.  </w:t>
      </w:r>
    </w:p>
    <w:p w14:paraId="44951851" w14:textId="77777777" w:rsidR="007F707F" w:rsidRPr="00A04C35" w:rsidRDefault="007F707F" w:rsidP="007F707F">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r w:rsidRPr="00A04C35">
        <w:rPr>
          <w:rFonts w:ascii="Verdana" w:eastAsia="Times New Roman" w:hAnsi="Verdana" w:cs="Arial"/>
          <w:color w:val="000000"/>
          <w:bdr w:val="none" w:sz="0" w:space="0" w:color="auto" w:frame="1"/>
          <w:shd w:val="clear" w:color="auto" w:fill="FFFFFF"/>
          <w:lang w:eastAsia="es-ES_tradnl"/>
        </w:rPr>
        <w:tab/>
        <w:t>En todo caso, esta postura jurisprudencial consolidada cambió con la Sentencia de Unificación del 31 de julio de 2025, en la que se expresó la compensación del enriquecimiento sin justa causa no está condicionado a la subsunción de ciertos hechos que se concuerdan con una lista de hipótesis fácticas previa y taxativamente definidas, sino que corresponde al juez, en virtud de los elementos sustantivos y la revisión el comportamiento de las partes, establecer la viabilidad de ordenar que haya una corrección al traslado patrimonial injustificado por bienes y obras no previstos en el contrato</w:t>
      </w:r>
      <w:r w:rsidRPr="00A04C35">
        <w:rPr>
          <w:rFonts w:ascii="Verdana" w:eastAsia="Times New Roman" w:hAnsi="Verdana" w:cs="Arial"/>
          <w:color w:val="000000"/>
          <w:bdr w:val="none" w:sz="0" w:space="0" w:color="auto" w:frame="1"/>
          <w:shd w:val="clear" w:color="auto" w:fill="FFFFFF"/>
          <w:vertAlign w:val="superscript"/>
          <w:lang w:eastAsia="es-ES_tradnl"/>
        </w:rPr>
        <w:footnoteReference w:id="16"/>
      </w:r>
      <w:r w:rsidRPr="00A04C35">
        <w:rPr>
          <w:rFonts w:ascii="Verdana" w:eastAsia="Times New Roman" w:hAnsi="Verdana" w:cs="Arial"/>
          <w:color w:val="000000"/>
          <w:bdr w:val="none" w:sz="0" w:space="0" w:color="auto" w:frame="1"/>
          <w:shd w:val="clear" w:color="auto" w:fill="FFFFFF"/>
          <w:lang w:eastAsia="es-ES_tradnl"/>
        </w:rPr>
        <w:t xml:space="preserve">. Dicho reconocimiento está supeditado a que la parte interesada demuestre la concurrencia de los siguientes elementos: </w:t>
      </w:r>
    </w:p>
    <w:p w14:paraId="26D2C05B" w14:textId="77777777" w:rsidR="007F707F" w:rsidRPr="00A04C35" w:rsidRDefault="007F707F" w:rsidP="007F707F">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7E2A303B" w14:textId="77777777" w:rsidR="007F707F" w:rsidRPr="00A04C35" w:rsidRDefault="007F707F" w:rsidP="007F707F">
      <w:pPr>
        <w:tabs>
          <w:tab w:val="left" w:pos="709"/>
        </w:tabs>
        <w:spacing w:after="0" w:line="240" w:lineRule="auto"/>
        <w:ind w:left="709" w:right="709"/>
        <w:jc w:val="both"/>
        <w:rPr>
          <w:rFonts w:ascii="Verdana" w:eastAsia="Times New Roman" w:hAnsi="Verdana" w:cs="Arial"/>
          <w:color w:val="000000"/>
          <w:bdr w:val="none" w:sz="0" w:space="0" w:color="auto" w:frame="1"/>
          <w:shd w:val="clear" w:color="auto" w:fill="FFFFFF"/>
          <w:lang w:eastAsia="es-ES_tradnl"/>
        </w:rPr>
      </w:pPr>
      <w:r w:rsidRPr="00A04C35">
        <w:rPr>
          <w:rFonts w:ascii="Verdana" w:eastAsia="Times New Roman" w:hAnsi="Verdana" w:cs="Arial"/>
          <w:color w:val="000000"/>
          <w:sz w:val="20"/>
          <w:szCs w:val="20"/>
          <w:bdr w:val="none" w:sz="0" w:space="0" w:color="auto" w:frame="1"/>
          <w:shd w:val="clear" w:color="auto" w:fill="FFFFFF"/>
          <w:lang w:eastAsia="es-ES_tradnl"/>
        </w:rPr>
        <w:t>“Ese reconocimiento, además, está supeditado a que se reúnan los siguientes elementos: (i) la existencia de una ventaja patrimonial en beneficio de la entidad; (</w:t>
      </w:r>
      <w:proofErr w:type="spellStart"/>
      <w:r w:rsidRPr="00A04C35">
        <w:rPr>
          <w:rFonts w:ascii="Verdana" w:eastAsia="Times New Roman" w:hAnsi="Verdana" w:cs="Arial"/>
          <w:color w:val="000000"/>
          <w:sz w:val="20"/>
          <w:szCs w:val="20"/>
          <w:bdr w:val="none" w:sz="0" w:space="0" w:color="auto" w:frame="1"/>
          <w:shd w:val="clear" w:color="auto" w:fill="FFFFFF"/>
          <w:lang w:eastAsia="es-ES_tradnl"/>
        </w:rPr>
        <w:t>ii</w:t>
      </w:r>
      <w:proofErr w:type="spellEnd"/>
      <w:r w:rsidRPr="00A04C35">
        <w:rPr>
          <w:rFonts w:ascii="Verdana" w:eastAsia="Times New Roman" w:hAnsi="Verdana" w:cs="Arial"/>
          <w:color w:val="000000"/>
          <w:sz w:val="20"/>
          <w:szCs w:val="20"/>
          <w:bdr w:val="none" w:sz="0" w:space="0" w:color="auto" w:frame="1"/>
          <w:shd w:val="clear" w:color="auto" w:fill="FFFFFF"/>
          <w:lang w:eastAsia="es-ES_tradnl"/>
        </w:rPr>
        <w:t>) un empobrecimiento correlativo sufrido por el demandante, el cual pueda atribuirse al acrecimiento mencionado; (</w:t>
      </w:r>
      <w:proofErr w:type="spellStart"/>
      <w:r w:rsidRPr="00A04C35">
        <w:rPr>
          <w:rFonts w:ascii="Verdana" w:eastAsia="Times New Roman" w:hAnsi="Verdana" w:cs="Arial"/>
          <w:color w:val="000000"/>
          <w:sz w:val="20"/>
          <w:szCs w:val="20"/>
          <w:bdr w:val="none" w:sz="0" w:space="0" w:color="auto" w:frame="1"/>
          <w:shd w:val="clear" w:color="auto" w:fill="FFFFFF"/>
          <w:lang w:eastAsia="es-ES_tradnl"/>
        </w:rPr>
        <w:t>iii</w:t>
      </w:r>
      <w:proofErr w:type="spellEnd"/>
      <w:r w:rsidRPr="00A04C35">
        <w:rPr>
          <w:rFonts w:ascii="Verdana" w:eastAsia="Times New Roman" w:hAnsi="Verdana" w:cs="Arial"/>
          <w:color w:val="000000"/>
          <w:sz w:val="20"/>
          <w:szCs w:val="20"/>
          <w:bdr w:val="none" w:sz="0" w:space="0" w:color="auto" w:frame="1"/>
          <w:shd w:val="clear" w:color="auto" w:fill="FFFFFF"/>
          <w:lang w:eastAsia="es-ES_tradnl"/>
        </w:rPr>
        <w:t>) la ausencia de causa jurídica en el desequilibrio producido, en cuanto a que no haya sido generada por un hecho o un acto jurídico, como tampoco por una disposición expresa de la ley; (</w:t>
      </w:r>
      <w:proofErr w:type="spellStart"/>
      <w:r w:rsidRPr="00A04C35">
        <w:rPr>
          <w:rFonts w:ascii="Verdana" w:eastAsia="Times New Roman" w:hAnsi="Verdana" w:cs="Arial"/>
          <w:color w:val="000000"/>
          <w:sz w:val="20"/>
          <w:szCs w:val="20"/>
          <w:bdr w:val="none" w:sz="0" w:space="0" w:color="auto" w:frame="1"/>
          <w:shd w:val="clear" w:color="auto" w:fill="FFFFFF"/>
          <w:lang w:eastAsia="es-ES_tradnl"/>
        </w:rPr>
        <w:t>iv</w:t>
      </w:r>
      <w:proofErr w:type="spellEnd"/>
      <w:r w:rsidRPr="00A04C35">
        <w:rPr>
          <w:rFonts w:ascii="Verdana" w:eastAsia="Times New Roman" w:hAnsi="Verdana" w:cs="Arial"/>
          <w:color w:val="000000"/>
          <w:sz w:val="20"/>
          <w:szCs w:val="20"/>
          <w:bdr w:val="none" w:sz="0" w:space="0" w:color="auto" w:frame="1"/>
          <w:shd w:val="clear" w:color="auto" w:fill="FFFFFF"/>
          <w:lang w:eastAsia="es-ES_tradnl"/>
        </w:rPr>
        <w:t>) que el demandante carezca de cualquier otro mecanismo para reclamar la compensación, lo que pone en evidencia su subsidiariedad; y (v) la compensación no procede cuando con ella se pretende soslayar una disposición imperativa de la ley”</w:t>
      </w:r>
      <w:r w:rsidRPr="00A04C35">
        <w:rPr>
          <w:rFonts w:ascii="Verdana" w:eastAsia="Times New Roman" w:hAnsi="Verdana" w:cs="Arial"/>
          <w:color w:val="000000"/>
          <w:sz w:val="20"/>
          <w:szCs w:val="20"/>
          <w:bdr w:val="none" w:sz="0" w:space="0" w:color="auto" w:frame="1"/>
          <w:shd w:val="clear" w:color="auto" w:fill="FFFFFF"/>
          <w:vertAlign w:val="superscript"/>
          <w:lang w:eastAsia="es-ES_tradnl"/>
        </w:rPr>
        <w:footnoteReference w:id="17"/>
      </w:r>
      <w:r w:rsidRPr="00A04C35">
        <w:rPr>
          <w:rFonts w:ascii="Verdana" w:eastAsia="Times New Roman" w:hAnsi="Verdana" w:cs="Arial"/>
          <w:color w:val="000000"/>
          <w:sz w:val="20"/>
          <w:szCs w:val="20"/>
          <w:bdr w:val="none" w:sz="0" w:space="0" w:color="auto" w:frame="1"/>
          <w:shd w:val="clear" w:color="auto" w:fill="FFFFFF"/>
          <w:lang w:eastAsia="es-ES_tradnl"/>
        </w:rPr>
        <w:t>.</w:t>
      </w:r>
    </w:p>
    <w:p w14:paraId="33894B15" w14:textId="77777777" w:rsidR="007F707F" w:rsidRPr="00A04C35" w:rsidRDefault="007F707F" w:rsidP="007F707F">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35124403" w14:textId="77777777" w:rsidR="007F707F" w:rsidRPr="00A04C35" w:rsidRDefault="007F707F" w:rsidP="007F707F">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r w:rsidRPr="00A04C35">
        <w:rPr>
          <w:rFonts w:ascii="Verdana" w:eastAsia="Times New Roman" w:hAnsi="Verdana" w:cs="Arial"/>
          <w:color w:val="000000"/>
          <w:bdr w:val="none" w:sz="0" w:space="0" w:color="auto" w:frame="1"/>
          <w:shd w:val="clear" w:color="auto" w:fill="FFFFFF"/>
          <w:lang w:eastAsia="es-ES_tradnl"/>
        </w:rPr>
        <w:lastRenderedPageBreak/>
        <w:tab/>
        <w:t>Teniendo en cuenta los elementos, debe tenerse en cuenta la prueba de la actividad, sumado a la circunstancia excepcional que se invoca. El Consejo de Estado estableció que esta regla sobre el reconocimiento económico debe aplicarse a partir de la ejecutoria de la nueva sentencia de unificación, en aquellas pretensiones de compensación por enriquecimiento sin causa, de forma que no podrá dejarse de conceder lo pedido por el solo hecho de que el caso no se enmarque en los eventos indicados en la Sentencia del 19 de noviembre de 2012</w:t>
      </w:r>
      <w:r w:rsidRPr="00A04C35">
        <w:rPr>
          <w:rFonts w:ascii="Verdana" w:eastAsia="Times New Roman" w:hAnsi="Verdana" w:cs="Arial"/>
          <w:color w:val="000000"/>
          <w:bdr w:val="none" w:sz="0" w:space="0" w:color="auto" w:frame="1"/>
          <w:shd w:val="clear" w:color="auto" w:fill="FFFFFF"/>
          <w:vertAlign w:val="superscript"/>
          <w:lang w:eastAsia="es-ES_tradnl"/>
        </w:rPr>
        <w:footnoteReference w:id="18"/>
      </w:r>
      <w:r w:rsidRPr="00A04C35">
        <w:rPr>
          <w:rFonts w:ascii="Verdana" w:eastAsia="Times New Roman" w:hAnsi="Verdana" w:cs="Arial"/>
          <w:color w:val="000000"/>
          <w:bdr w:val="none" w:sz="0" w:space="0" w:color="auto" w:frame="1"/>
          <w:shd w:val="clear" w:color="auto" w:fill="FFFFFF"/>
          <w:lang w:eastAsia="es-ES_tradnl"/>
        </w:rPr>
        <w:t xml:space="preserve">. De este modo, dicha Sentencia de Unificación expresa: </w:t>
      </w:r>
    </w:p>
    <w:p w14:paraId="18C809B3" w14:textId="77777777" w:rsidR="007F707F" w:rsidRPr="00A04C35" w:rsidRDefault="007F707F" w:rsidP="007F707F">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4D28CD00" w14:textId="77777777" w:rsidR="007F707F" w:rsidRPr="00A04C35" w:rsidRDefault="007F707F" w:rsidP="007F707F">
      <w:pPr>
        <w:tabs>
          <w:tab w:val="left" w:pos="709"/>
        </w:tabs>
        <w:spacing w:after="0" w:line="240" w:lineRule="auto"/>
        <w:ind w:left="709" w:right="709"/>
        <w:jc w:val="both"/>
        <w:rPr>
          <w:rFonts w:ascii="Verdana" w:eastAsia="Times New Roman" w:hAnsi="Verdana" w:cs="Arial"/>
          <w:color w:val="000000"/>
          <w:sz w:val="20"/>
          <w:szCs w:val="20"/>
          <w:bdr w:val="none" w:sz="0" w:space="0" w:color="auto" w:frame="1"/>
          <w:shd w:val="clear" w:color="auto" w:fill="FFFFFF"/>
          <w:lang w:eastAsia="es-ES_tradnl"/>
        </w:rPr>
      </w:pPr>
      <w:r w:rsidRPr="00A04C35">
        <w:rPr>
          <w:rFonts w:ascii="Verdana" w:eastAsia="Times New Roman" w:hAnsi="Verdana" w:cs="Arial"/>
          <w:color w:val="000000"/>
          <w:sz w:val="20"/>
          <w:szCs w:val="20"/>
          <w:bdr w:val="none" w:sz="0" w:space="0" w:color="auto" w:frame="1"/>
          <w:shd w:val="clear" w:color="auto" w:fill="FFFFFF"/>
          <w:lang w:eastAsia="es-ES_tradnl"/>
        </w:rPr>
        <w:t>“Sobre lo primero, en torno a la configuración y procedencia del enriquecimiento sin justa causa cuando se han ejecutado actividades sin el respaldo de un contrato, en favor de entidades que -en su gestión- deben aplicar el Estatuto General de Contratación Pública, se decantó que la respectiva pretensión de compensación, cuando se carezca de otro mecanismo para reclamar, debe cumplir los presupuestos procesales de la reparación directa (incluso cuando se ha celebrado un contrato cuyo objeto se haya agotado para el momento de la extinción del plazo previsto y ante el desarrollo de actividades con posterioridad a la finalización), sin que sea exigible haber provocado una decisión por parte de la administración y, al satisfacerse, debe ser tramitada, pese a que el demandante mencione otro medio o guarde silencio sobre su denominación. Su prosperidad es absolutamente excepcional, depende de la plena prueba de la actividad desarrollada, sustentada en la demostración de una circunstancia extraordinaria y en razones de interés general, sin que, al respecto, se preestablezcan hipótesis fácticas taxativas; pero, sí se debe supeditar a la existencia de una ventaja patrimonial en beneficio de la demandada, un empobrecimiento correlativo sufrido por el demandante, la ausencia de causa jurídica en el desequilibrio producido y que no se haya soslayado la ley. Cumplido lo anterior, procede corregir el traslado patrimonial injustificado, mas no indemnizar un daño, salvo que el menoscabo emane de una conducta constitutiva de responsabilidad extracontractual del Estado, como una coacción o constreñimiento, que realmente constituyen eventos de falla del servicio”</w:t>
      </w:r>
      <w:r w:rsidRPr="00A04C35">
        <w:rPr>
          <w:rFonts w:ascii="Verdana" w:eastAsia="Times New Roman" w:hAnsi="Verdana" w:cs="Arial"/>
          <w:color w:val="000000"/>
          <w:sz w:val="20"/>
          <w:szCs w:val="20"/>
          <w:bdr w:val="none" w:sz="0" w:space="0" w:color="auto" w:frame="1"/>
          <w:shd w:val="clear" w:color="auto" w:fill="FFFFFF"/>
          <w:vertAlign w:val="superscript"/>
          <w:lang w:eastAsia="es-ES_tradnl"/>
        </w:rPr>
        <w:footnoteReference w:id="19"/>
      </w:r>
      <w:r w:rsidRPr="00A04C35">
        <w:rPr>
          <w:rFonts w:ascii="Verdana" w:eastAsia="Times New Roman" w:hAnsi="Verdana" w:cs="Arial"/>
          <w:color w:val="000000"/>
          <w:sz w:val="20"/>
          <w:szCs w:val="20"/>
          <w:bdr w:val="none" w:sz="0" w:space="0" w:color="auto" w:frame="1"/>
          <w:shd w:val="clear" w:color="auto" w:fill="FFFFFF"/>
          <w:lang w:eastAsia="es-ES_tradnl"/>
        </w:rPr>
        <w:t>.</w:t>
      </w:r>
    </w:p>
    <w:p w14:paraId="314D62F3" w14:textId="77777777" w:rsidR="007F707F" w:rsidRPr="00A04C35" w:rsidRDefault="007F707F" w:rsidP="007F707F">
      <w:pPr>
        <w:tabs>
          <w:tab w:val="left" w:pos="709"/>
        </w:tabs>
        <w:spacing w:after="0" w:line="240" w:lineRule="auto"/>
        <w:jc w:val="both"/>
        <w:rPr>
          <w:rFonts w:ascii="Verdana" w:eastAsia="Times New Roman" w:hAnsi="Verdana" w:cs="Arial"/>
          <w:color w:val="000000"/>
          <w:bdr w:val="none" w:sz="0" w:space="0" w:color="auto" w:frame="1"/>
          <w:shd w:val="clear" w:color="auto" w:fill="FFFFFF"/>
          <w:lang w:eastAsia="es-ES_tradnl"/>
        </w:rPr>
      </w:pPr>
    </w:p>
    <w:p w14:paraId="00D9D7FA" w14:textId="77777777" w:rsidR="007F707F" w:rsidRDefault="007F707F" w:rsidP="007F707F">
      <w:pPr>
        <w:tabs>
          <w:tab w:val="left" w:pos="709"/>
        </w:tabs>
        <w:spacing w:after="120" w:line="276" w:lineRule="auto"/>
        <w:jc w:val="both"/>
        <w:rPr>
          <w:rFonts w:ascii="Verdana" w:eastAsia="Times New Roman" w:hAnsi="Verdana" w:cs="Arial"/>
          <w:color w:val="000000"/>
          <w:bdr w:val="none" w:sz="0" w:space="0" w:color="auto" w:frame="1"/>
          <w:shd w:val="clear" w:color="auto" w:fill="FFFFFF"/>
          <w:lang w:eastAsia="es-ES_tradnl"/>
        </w:rPr>
      </w:pPr>
      <w:r w:rsidRPr="00A04C35">
        <w:rPr>
          <w:rFonts w:ascii="Verdana" w:eastAsia="Times New Roman" w:hAnsi="Verdana" w:cs="Arial"/>
          <w:color w:val="000000"/>
          <w:bdr w:val="none" w:sz="0" w:space="0" w:color="auto" w:frame="1"/>
          <w:shd w:val="clear" w:color="auto" w:fill="FFFFFF"/>
          <w:lang w:eastAsia="es-ES_tradnl"/>
        </w:rPr>
        <w:tab/>
        <w:t xml:space="preserve">Conforme al artículo 10 de la Ley 1437 de 2011, “Al resolver los asuntos de su competencia, las autoridades aplicarán las disposiciones constitucionales, legales y reglamentarias de manera uniforme a situaciones que tengan los mismos supuestos fácticos y jurídicos. </w:t>
      </w:r>
      <w:r w:rsidRPr="00A04C35">
        <w:rPr>
          <w:rFonts w:ascii="Verdana" w:eastAsia="Times New Roman" w:hAnsi="Verdana" w:cs="Arial"/>
          <w:i/>
          <w:iCs/>
          <w:color w:val="000000"/>
          <w:bdr w:val="none" w:sz="0" w:space="0" w:color="auto" w:frame="1"/>
          <w:shd w:val="clear" w:color="auto" w:fill="FFFFFF"/>
          <w:lang w:eastAsia="es-ES_tradnl"/>
        </w:rPr>
        <w:t xml:space="preserve">Con este propósito, al adoptar las decisiones de su competencia, deberán tener en cuenta las sentencias de </w:t>
      </w:r>
      <w:r w:rsidRPr="00A04C35">
        <w:rPr>
          <w:rFonts w:ascii="Verdana" w:eastAsia="Times New Roman" w:hAnsi="Verdana" w:cs="Arial"/>
          <w:i/>
          <w:iCs/>
          <w:color w:val="000000"/>
          <w:bdr w:val="none" w:sz="0" w:space="0" w:color="auto" w:frame="1"/>
          <w:shd w:val="clear" w:color="auto" w:fill="FFFFFF"/>
          <w:lang w:eastAsia="es-ES_tradnl"/>
        </w:rPr>
        <w:lastRenderedPageBreak/>
        <w:t>unificación jurisprudencial del Consejo de Estado en las que se interpreten y apliquen dichas normas</w:t>
      </w:r>
      <w:r w:rsidRPr="00A04C35">
        <w:rPr>
          <w:rFonts w:ascii="Verdana" w:eastAsia="Times New Roman" w:hAnsi="Verdana" w:cs="Arial"/>
          <w:color w:val="000000"/>
          <w:bdr w:val="none" w:sz="0" w:space="0" w:color="auto" w:frame="1"/>
          <w:shd w:val="clear" w:color="auto" w:fill="FFFFFF"/>
          <w:lang w:eastAsia="es-ES_tradnl"/>
        </w:rPr>
        <w:t>” (Énfasis fuera de texto). Por tanto, en la actualidad existe la posibilidad de reconocer en la liquidación actividades no incluidas o ítems no previstos dentro del contrato, pues no se limita a los supuestos planteados de la Sentencia de Unificación del 19 de noviembre de 2012, sino que se configuren los elementos del enriquecimiento sin justa causa, la prueba de la actividad, sumado a la circunstancia excepcional que se invoca.</w:t>
      </w:r>
      <w:r>
        <w:rPr>
          <w:rFonts w:ascii="Verdana" w:eastAsia="Times New Roman" w:hAnsi="Verdana" w:cs="Arial"/>
          <w:color w:val="000000"/>
          <w:bdr w:val="none" w:sz="0" w:space="0" w:color="auto" w:frame="1"/>
          <w:shd w:val="clear" w:color="auto" w:fill="FFFFFF"/>
          <w:lang w:eastAsia="es-ES_tradnl"/>
        </w:rPr>
        <w:t xml:space="preserve">  </w:t>
      </w:r>
    </w:p>
    <w:p w14:paraId="403F412D" w14:textId="77777777" w:rsidR="007F707F" w:rsidRPr="006162A9" w:rsidRDefault="007F707F" w:rsidP="007F707F">
      <w:pPr>
        <w:widowControl w:val="0"/>
        <w:autoSpaceDE w:val="0"/>
        <w:autoSpaceDN w:val="0"/>
        <w:spacing w:after="0" w:line="276" w:lineRule="auto"/>
        <w:ind w:firstLine="708"/>
        <w:jc w:val="both"/>
        <w:rPr>
          <w:rFonts w:ascii="Verdana" w:hAnsi="Verdana"/>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los reconocimientos económicos derivados del desequilibrio en el contrato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1941FD">
        <w:rPr>
          <w:rStyle w:val="s15"/>
          <w:rFonts w:ascii="Verdana" w:hAnsi="Verdana"/>
          <w:color w:val="000000"/>
        </w:rPr>
        <w:t>Por lo anterior,</w:t>
      </w:r>
      <w:r>
        <w:rPr>
          <w:rStyle w:val="s15"/>
          <w:rFonts w:ascii="Verdana" w:hAnsi="Verdana"/>
          <w:color w:val="000000"/>
        </w:rPr>
        <w:t xml:space="preserve"> </w:t>
      </w:r>
      <w:r w:rsidRPr="001941FD">
        <w:rPr>
          <w:rStyle w:val="s15"/>
          <w:rFonts w:ascii="Verdana" w:hAnsi="Verdana"/>
          <w:color w:val="000000"/>
        </w:rPr>
        <w:t>previo</w:t>
      </w:r>
      <w:r w:rsidRPr="001941FD">
        <w:rPr>
          <w:rStyle w:val="apple-converted-space"/>
          <w:rFonts w:ascii="Verdana" w:hAnsi="Verdana"/>
          <w:color w:val="000000"/>
        </w:rPr>
        <w:t> </w:t>
      </w:r>
      <w:r w:rsidRPr="001941FD">
        <w:rPr>
          <w:rStyle w:val="s15"/>
          <w:rFonts w:ascii="Verdana" w:hAnsi="Verdana"/>
          <w:color w:val="000000"/>
        </w:rPr>
        <w:t xml:space="preserve">concepto de sus asesores, corresponde </w:t>
      </w:r>
      <w:r>
        <w:rPr>
          <w:rStyle w:val="s15"/>
          <w:rFonts w:ascii="Verdana" w:hAnsi="Verdana"/>
          <w:color w:val="000000"/>
        </w:rPr>
        <w:t>a las partes del contrato</w:t>
      </w:r>
      <w:r w:rsidRPr="001941FD">
        <w:rPr>
          <w:rStyle w:val="s15"/>
          <w:rFonts w:ascii="Verdana" w:hAnsi="Verdana"/>
          <w:color w:val="000000"/>
        </w:rPr>
        <w:t xml:space="preserve"> </w:t>
      </w:r>
      <w:r>
        <w:rPr>
          <w:rStyle w:val="s15"/>
          <w:rFonts w:ascii="Verdana" w:hAnsi="Verdana"/>
          <w:color w:val="000000"/>
        </w:rPr>
        <w:t xml:space="preserve">definir si determinados </w:t>
      </w:r>
      <w:r w:rsidRPr="0013555B">
        <w:rPr>
          <w:rStyle w:val="s15"/>
          <w:rFonts w:ascii="Verdana" w:hAnsi="Verdana"/>
          <w:i/>
          <w:iCs/>
          <w:color w:val="000000"/>
        </w:rPr>
        <w:t>ítems</w:t>
      </w:r>
      <w:r w:rsidRPr="0013555B">
        <w:rPr>
          <w:rStyle w:val="s15"/>
          <w:rFonts w:ascii="Verdana" w:hAnsi="Verdana"/>
          <w:color w:val="000000"/>
        </w:rPr>
        <w:t xml:space="preserve"> </w:t>
      </w:r>
      <w:r>
        <w:rPr>
          <w:rStyle w:val="s15"/>
          <w:rFonts w:ascii="Verdana" w:hAnsi="Verdana"/>
          <w:color w:val="000000"/>
        </w:rPr>
        <w:t xml:space="preserve">serán objeto de </w:t>
      </w:r>
      <w:r w:rsidRPr="0013555B">
        <w:rPr>
          <w:rStyle w:val="s15"/>
          <w:rFonts w:ascii="Verdana" w:hAnsi="Verdana"/>
          <w:color w:val="000000"/>
        </w:rPr>
        <w:t>adición presupuestal o deben ejecutar</w:t>
      </w:r>
      <w:r>
        <w:rPr>
          <w:rStyle w:val="s15"/>
          <w:rFonts w:ascii="Verdana" w:hAnsi="Verdana"/>
          <w:color w:val="000000"/>
        </w:rPr>
        <w:t>se</w:t>
      </w:r>
      <w:r w:rsidRPr="0013555B">
        <w:rPr>
          <w:rStyle w:val="s15"/>
          <w:rFonts w:ascii="Verdana" w:hAnsi="Verdana"/>
          <w:color w:val="000000"/>
        </w:rPr>
        <w:t xml:space="preserve"> con el valor inicialmente definido </w:t>
      </w:r>
      <w:r>
        <w:rPr>
          <w:rStyle w:val="s15"/>
          <w:rFonts w:ascii="Verdana" w:hAnsi="Verdana"/>
          <w:color w:val="000000"/>
        </w:rPr>
        <w:t>en los documentos del proceso; motivo por el cual,</w:t>
      </w:r>
      <w:r w:rsidRPr="001941FD">
        <w:rPr>
          <w:rStyle w:val="s15"/>
          <w:rFonts w:ascii="Verdana" w:hAnsi="Verdana"/>
          <w:color w:val="000000"/>
        </w:rPr>
        <w:t xml:space="preserve"> en caso de conflicto, </w:t>
      </w:r>
      <w:r>
        <w:rPr>
          <w:rStyle w:val="s15"/>
          <w:rFonts w:ascii="Verdana" w:hAnsi="Verdana"/>
          <w:color w:val="000000"/>
        </w:rPr>
        <w:t xml:space="preserve">intervendrán </w:t>
      </w:r>
      <w:r w:rsidRPr="001941FD">
        <w:rPr>
          <w:rStyle w:val="s15"/>
          <w:rFonts w:ascii="Verdana" w:hAnsi="Verdana"/>
          <w:color w:val="000000"/>
        </w:rPr>
        <w:t>las autoridades judiciales, fiscales y disciplinarias</w:t>
      </w:r>
      <w:r>
        <w:rPr>
          <w:rStyle w:val="s15"/>
          <w:rFonts w:ascii="Verdana" w:hAnsi="Verdana"/>
          <w:color w:val="000000"/>
        </w:rPr>
        <w:t>.</w:t>
      </w:r>
    </w:p>
    <w:p w14:paraId="55B42D65" w14:textId="77777777" w:rsidR="007F707F" w:rsidRPr="00301910" w:rsidRDefault="007F707F" w:rsidP="007F707F">
      <w:pPr>
        <w:spacing w:before="120" w:after="0" w:line="276" w:lineRule="auto"/>
        <w:ind w:firstLine="709"/>
        <w:jc w:val="both"/>
        <w:rPr>
          <w:rFonts w:ascii="Verdana" w:hAnsi="Verdana" w:cs="Arial"/>
          <w:lang w:eastAsia="es-ES"/>
        </w:rPr>
      </w:pPr>
      <w:r w:rsidRPr="00301910">
        <w:rPr>
          <w:rFonts w:ascii="Verdana" w:hAnsi="Verdana" w:cs="Arial"/>
          <w:lang w:eastAsia="es-ES"/>
        </w:rPr>
        <w:t xml:space="preserve">Dentro de este marco, </w:t>
      </w:r>
      <w:r>
        <w:rPr>
          <w:rFonts w:ascii="Verdana" w:hAnsi="Verdana" w:cs="Arial"/>
          <w:lang w:eastAsia="es-ES"/>
        </w:rPr>
        <w:t xml:space="preserve">de acuerdo con la distribución de los riesgos, </w:t>
      </w:r>
      <w:r w:rsidRPr="00301910">
        <w:rPr>
          <w:rFonts w:ascii="Verdana" w:hAnsi="Verdana" w:cs="Arial"/>
          <w:lang w:eastAsia="es-ES"/>
        </w:rPr>
        <w:t>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7C3E5D05" w14:textId="77777777" w:rsidR="007F707F" w:rsidRPr="00182C89" w:rsidRDefault="007F707F" w:rsidP="007F707F">
      <w:pPr>
        <w:tabs>
          <w:tab w:val="left" w:pos="709"/>
        </w:tabs>
        <w:spacing w:after="0" w:line="276" w:lineRule="auto"/>
        <w:jc w:val="both"/>
        <w:rPr>
          <w:rFonts w:ascii="Verdana" w:eastAsia="Calibri" w:hAnsi="Verdana" w:cs="Arial"/>
          <w:color w:val="000000" w:themeColor="text1"/>
        </w:rPr>
      </w:pPr>
    </w:p>
    <w:p w14:paraId="7F838724" w14:textId="77777777" w:rsidR="007F707F" w:rsidRPr="00AE65D5" w:rsidRDefault="007F707F" w:rsidP="007F707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73E479B8" w14:textId="77777777" w:rsidR="007F707F" w:rsidRPr="00593A5F" w:rsidRDefault="007F707F" w:rsidP="007F707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F707F" w:rsidRPr="002407CE" w14:paraId="48BDAC11" w14:textId="77777777" w:rsidTr="00F90ECF">
        <w:trPr>
          <w:trHeight w:val="870"/>
          <w:jc w:val="center"/>
        </w:trPr>
        <w:tc>
          <w:tcPr>
            <w:tcW w:w="8647" w:type="dxa"/>
          </w:tcPr>
          <w:p w14:paraId="1F1E7B9C" w14:textId="77777777" w:rsidR="007F707F" w:rsidRDefault="007F707F" w:rsidP="00F90E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3, 4, 5, 13, 14, 27, 32, 39, 40, 41 y 60.</w:t>
            </w:r>
          </w:p>
          <w:p w14:paraId="6F78DB92" w14:textId="77777777" w:rsidR="007F707F" w:rsidRDefault="007F707F" w:rsidP="00F90EC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 10.</w:t>
            </w:r>
          </w:p>
          <w:p w14:paraId="0A8C7052" w14:textId="77777777" w:rsidR="007F707F" w:rsidRPr="00AE65D5" w:rsidRDefault="007F707F" w:rsidP="00F90ECF">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Civil, artículo 1602.</w:t>
            </w:r>
          </w:p>
        </w:tc>
      </w:tr>
    </w:tbl>
    <w:p w14:paraId="2F7EDD72" w14:textId="77777777" w:rsidR="007F707F" w:rsidRPr="002407CE" w:rsidRDefault="007F707F" w:rsidP="007F707F">
      <w:pPr>
        <w:widowControl w:val="0"/>
        <w:autoSpaceDE w:val="0"/>
        <w:autoSpaceDN w:val="0"/>
        <w:spacing w:after="0" w:line="276" w:lineRule="auto"/>
        <w:jc w:val="both"/>
        <w:rPr>
          <w:rFonts w:ascii="Verdana" w:hAnsi="Verdana" w:cs="Arial"/>
        </w:rPr>
      </w:pPr>
    </w:p>
    <w:p w14:paraId="31022D04" w14:textId="77777777" w:rsidR="007F707F" w:rsidRPr="00593A5F" w:rsidRDefault="007F707F" w:rsidP="007F707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lastRenderedPageBreak/>
        <w:t>Doctrina de la Agencia Nacional de Contratación Pública</w:t>
      </w:r>
      <w:r w:rsidRPr="00593A5F">
        <w:rPr>
          <w:rFonts w:ascii="Verdana" w:eastAsia="Century Gothic" w:hAnsi="Verdana" w:cs="Century Gothic"/>
          <w:b/>
          <w:bCs/>
        </w:rPr>
        <w:t>:</w:t>
      </w:r>
    </w:p>
    <w:p w14:paraId="3B85BAAF" w14:textId="77777777" w:rsidR="007F707F" w:rsidRPr="00593A5F" w:rsidRDefault="007F707F" w:rsidP="007F707F">
      <w:pPr>
        <w:widowControl w:val="0"/>
        <w:autoSpaceDE w:val="0"/>
        <w:autoSpaceDN w:val="0"/>
        <w:spacing w:after="0" w:line="276" w:lineRule="auto"/>
        <w:jc w:val="both"/>
        <w:rPr>
          <w:rFonts w:ascii="Verdana" w:hAnsi="Verdana" w:cs="Arial"/>
        </w:rPr>
      </w:pPr>
    </w:p>
    <w:p w14:paraId="1457A950" w14:textId="77777777" w:rsidR="007F707F" w:rsidRPr="007E4299" w:rsidRDefault="007F707F" w:rsidP="007F707F">
      <w:pPr>
        <w:widowControl w:val="0"/>
        <w:autoSpaceDE w:val="0"/>
        <w:autoSpaceDN w:val="0"/>
        <w:spacing w:after="0" w:line="276" w:lineRule="auto"/>
        <w:jc w:val="both"/>
        <w:rPr>
          <w:rStyle w:val="normaltextrun"/>
          <w:rFonts w:ascii="Verdana" w:hAnsi="Verdana"/>
        </w:rPr>
      </w:pPr>
      <w:r w:rsidRPr="00DA1FE4">
        <w:rPr>
          <w:rFonts w:ascii="Verdana" w:eastAsia="Calibri" w:hAnsi="Verdana" w:cs="Arial"/>
          <w:shd w:val="clear" w:color="auto" w:fill="FFFFFF"/>
        </w:rPr>
        <w:t xml:space="preserve">La Agencia Nacional de Contratación Pública – Colombia Compra Eficiente se pronunció sobre </w:t>
      </w:r>
      <w:r>
        <w:rPr>
          <w:rFonts w:ascii="Verdana" w:eastAsia="Calibri" w:hAnsi="Verdana" w:cs="Arial"/>
          <w:shd w:val="clear" w:color="auto" w:fill="FFFFFF"/>
        </w:rPr>
        <w:t xml:space="preserve">el equilibrio económico del contrato estatal en los Conceptos C-938 del 27 de diciembre de 2022, C-774 del 20 de noviembre de 2024, C-565 del 10 de junio de 2025, C-1029 del 31 de julio de 2025 y C-1035 del 8 de septiembre de 2025.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02071E75" w14:textId="77777777" w:rsidR="007F707F" w:rsidRPr="00096788" w:rsidRDefault="007F707F" w:rsidP="007F707F">
      <w:pPr>
        <w:widowControl w:val="0"/>
        <w:autoSpaceDE w:val="0"/>
        <w:autoSpaceDN w:val="0"/>
        <w:spacing w:after="0" w:line="276" w:lineRule="auto"/>
        <w:jc w:val="both"/>
        <w:rPr>
          <w:rFonts w:ascii="Verdana" w:hAnsi="Verdana" w:cs="Arial"/>
          <w:color w:val="000000" w:themeColor="text1"/>
          <w:shd w:val="clear" w:color="auto" w:fill="FFFFFF"/>
        </w:rPr>
      </w:pPr>
    </w:p>
    <w:p w14:paraId="6628316A" w14:textId="77777777" w:rsidR="007F707F" w:rsidRPr="001205D1" w:rsidRDefault="007F707F" w:rsidP="007F707F">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2EFC9138" w14:textId="77777777" w:rsidR="007F707F" w:rsidRPr="009C4035" w:rsidRDefault="007F707F" w:rsidP="007F707F">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2A5BD66E" w14:textId="77777777" w:rsidR="007F707F" w:rsidRPr="00593A5F" w:rsidRDefault="007F707F" w:rsidP="007F707F">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03DFF92" w14:textId="77777777" w:rsidR="007F707F" w:rsidRPr="00593A5F" w:rsidRDefault="007F707F" w:rsidP="007F707F">
      <w:pPr>
        <w:widowControl w:val="0"/>
        <w:autoSpaceDE w:val="0"/>
        <w:autoSpaceDN w:val="0"/>
        <w:spacing w:after="0" w:line="276" w:lineRule="auto"/>
        <w:jc w:val="both"/>
        <w:rPr>
          <w:rFonts w:ascii="Verdana" w:hAnsi="Verdana" w:cs="Arial"/>
        </w:rPr>
      </w:pPr>
    </w:p>
    <w:p w14:paraId="05825411" w14:textId="77777777" w:rsidR="007F707F" w:rsidRPr="00593A5F" w:rsidRDefault="007F707F" w:rsidP="007F707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3DFC359" w14:textId="6EE38996" w:rsidR="007F707F" w:rsidRPr="00593A5F" w:rsidRDefault="00975830" w:rsidP="007F707F">
      <w:pPr>
        <w:spacing w:line="276" w:lineRule="auto"/>
        <w:jc w:val="center"/>
        <w:rPr>
          <w:rFonts w:ascii="Verdana" w:hAnsi="Verdana" w:cs="Arial"/>
          <w:color w:val="000000"/>
          <w:lang w:val="es-ES_tradnl" w:eastAsia="es-CO"/>
        </w:rPr>
      </w:pPr>
      <w:r>
        <w:rPr>
          <w:noProof/>
        </w:rPr>
        <w:drawing>
          <wp:inline distT="0" distB="0" distL="0" distR="0" wp14:anchorId="2A222BD7" wp14:editId="7BF8A39B">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F707F" w:rsidRPr="00593A5F" w14:paraId="1797DD91" w14:textId="77777777" w:rsidTr="00F90ECF">
        <w:trPr>
          <w:trHeight w:val="315"/>
        </w:trPr>
        <w:tc>
          <w:tcPr>
            <w:tcW w:w="893" w:type="dxa"/>
            <w:vAlign w:val="center"/>
            <w:hideMark/>
          </w:tcPr>
          <w:p w14:paraId="6A562FDB" w14:textId="77777777" w:rsidR="007F707F" w:rsidRPr="003751C7" w:rsidRDefault="007F707F" w:rsidP="00F90ECF">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0776CE70" w14:textId="77777777" w:rsidR="007F707F" w:rsidRPr="00254A7A" w:rsidRDefault="007F707F" w:rsidP="00F90ECF">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73DA450C" w14:textId="77777777" w:rsidR="007F707F" w:rsidRPr="00254A7A" w:rsidRDefault="007F707F" w:rsidP="00F90ECF">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7F707F" w:rsidRPr="00593A5F" w14:paraId="7AC17176" w14:textId="77777777" w:rsidTr="00F90ECF">
        <w:trPr>
          <w:trHeight w:val="330"/>
        </w:trPr>
        <w:tc>
          <w:tcPr>
            <w:tcW w:w="893" w:type="dxa"/>
            <w:vAlign w:val="center"/>
            <w:hideMark/>
          </w:tcPr>
          <w:p w14:paraId="381BAF0F" w14:textId="77777777" w:rsidR="007F707F" w:rsidRPr="003751C7" w:rsidRDefault="007F707F" w:rsidP="00F90EC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917B2CF" w14:textId="77777777" w:rsidR="007F707F" w:rsidRPr="001B6B73" w:rsidRDefault="007F707F" w:rsidP="00F90ECF">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3D33794E" w14:textId="77777777" w:rsidR="007F707F" w:rsidRPr="00254A7A" w:rsidRDefault="007F707F" w:rsidP="00F90ECF">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7F707F" w:rsidRPr="00593A5F" w14:paraId="17E4B2CE" w14:textId="77777777" w:rsidTr="00F90ECF">
        <w:trPr>
          <w:trHeight w:val="300"/>
        </w:trPr>
        <w:tc>
          <w:tcPr>
            <w:tcW w:w="893" w:type="dxa"/>
            <w:vAlign w:val="center"/>
          </w:tcPr>
          <w:p w14:paraId="6A2AAAAF" w14:textId="77777777" w:rsidR="007F707F" w:rsidRPr="003751C7" w:rsidRDefault="007F707F" w:rsidP="00F90EC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1E2EE4B" w14:textId="77777777" w:rsidR="007F707F" w:rsidRPr="001133D2" w:rsidRDefault="007F707F" w:rsidP="00F90ECF">
            <w:pPr>
              <w:contextualSpacing/>
              <w:rPr>
                <w:rFonts w:ascii="Verdana" w:eastAsia="Calibri" w:hAnsi="Verdana" w:cs="Arial"/>
                <w:sz w:val="16"/>
                <w:szCs w:val="16"/>
                <w:lang w:val="es-ES" w:eastAsia="es-ES"/>
              </w:rPr>
            </w:pPr>
            <w:r w:rsidRPr="7170F9CA">
              <w:rPr>
                <w:rFonts w:ascii="Verdana" w:eastAsia="Calibri" w:hAnsi="Verdana" w:cs="Arial"/>
                <w:sz w:val="16"/>
                <w:szCs w:val="16"/>
                <w:lang w:val="es-ES" w:eastAsia="es-ES"/>
              </w:rPr>
              <w:t xml:space="preserve">Carolina Quintero </w:t>
            </w:r>
            <w:proofErr w:type="spellStart"/>
            <w:r w:rsidRPr="7170F9CA">
              <w:rPr>
                <w:rFonts w:ascii="Verdana" w:eastAsia="Calibri" w:hAnsi="Verdana" w:cs="Arial"/>
                <w:sz w:val="16"/>
                <w:szCs w:val="16"/>
                <w:lang w:val="es-ES" w:eastAsia="es-ES"/>
              </w:rPr>
              <w:t>Gacharná</w:t>
            </w:r>
            <w:proofErr w:type="spellEnd"/>
          </w:p>
          <w:p w14:paraId="79DC6A3E" w14:textId="77777777" w:rsidR="007F707F" w:rsidRPr="003751C7" w:rsidRDefault="007F707F" w:rsidP="00F90ECF">
            <w:pPr>
              <w:contextualSpacing/>
              <w:rPr>
                <w:rFonts w:ascii="Verdana" w:eastAsia="Calibri" w:hAnsi="Verdana" w:cs="Arial"/>
                <w:sz w:val="16"/>
                <w:szCs w:val="16"/>
                <w:lang w:val="pt-BR" w:eastAsia="es-ES"/>
              </w:rPr>
            </w:pPr>
            <w:r w:rsidRPr="001133D2">
              <w:rPr>
                <w:rFonts w:ascii="Verdana" w:eastAsia="Calibri" w:hAnsi="Verdana" w:cs="Arial"/>
                <w:sz w:val="16"/>
                <w:szCs w:val="16"/>
                <w:lang w:val="es-ES_tradnl" w:eastAsia="es-ES"/>
              </w:rPr>
              <w:t>Subdirectora de Gestión Contractual ANCP – CCE</w:t>
            </w:r>
          </w:p>
        </w:tc>
      </w:tr>
    </w:tbl>
    <w:p w14:paraId="3BAC50FE" w14:textId="77777777" w:rsidR="007F707F" w:rsidRPr="00543BFE" w:rsidRDefault="007F707F" w:rsidP="007F707F"/>
    <w:p w14:paraId="5CABF70A" w14:textId="77777777" w:rsidR="007F707F" w:rsidRPr="00543BFE" w:rsidRDefault="007F707F" w:rsidP="007F707F"/>
    <w:p w14:paraId="0F293BF4" w14:textId="6EF32093" w:rsidR="00127233" w:rsidRPr="000F39A6" w:rsidRDefault="00127233" w:rsidP="000F39A6"/>
    <w:sectPr w:rsidR="00127233" w:rsidRPr="000F39A6"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C827B" w14:textId="77777777" w:rsidR="00B832F7" w:rsidRDefault="00B832F7" w:rsidP="004A1847">
      <w:pPr>
        <w:spacing w:after="0" w:line="240" w:lineRule="auto"/>
      </w:pPr>
      <w:r>
        <w:separator/>
      </w:r>
    </w:p>
  </w:endnote>
  <w:endnote w:type="continuationSeparator" w:id="0">
    <w:p w14:paraId="522E2EE4" w14:textId="77777777" w:rsidR="00B832F7" w:rsidRDefault="00B832F7" w:rsidP="004A1847">
      <w:pPr>
        <w:spacing w:after="0" w:line="240" w:lineRule="auto"/>
      </w:pPr>
      <w:r>
        <w:continuationSeparator/>
      </w:r>
    </w:p>
  </w:endnote>
  <w:endnote w:type="continuationNotice" w:id="1">
    <w:p w14:paraId="68D6C397" w14:textId="77777777" w:rsidR="00B832F7" w:rsidRDefault="00B832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ED800" w14:textId="77777777" w:rsidR="00B832F7" w:rsidRDefault="00B832F7" w:rsidP="004A1847">
      <w:pPr>
        <w:spacing w:after="0" w:line="240" w:lineRule="auto"/>
      </w:pPr>
      <w:r>
        <w:separator/>
      </w:r>
    </w:p>
  </w:footnote>
  <w:footnote w:type="continuationSeparator" w:id="0">
    <w:p w14:paraId="3CCE4407" w14:textId="77777777" w:rsidR="00B832F7" w:rsidRDefault="00B832F7" w:rsidP="004A1847">
      <w:pPr>
        <w:spacing w:after="0" w:line="240" w:lineRule="auto"/>
      </w:pPr>
      <w:r>
        <w:continuationSeparator/>
      </w:r>
    </w:p>
  </w:footnote>
  <w:footnote w:type="continuationNotice" w:id="1">
    <w:p w14:paraId="3E123A33" w14:textId="77777777" w:rsidR="00B832F7" w:rsidRDefault="00B832F7">
      <w:pPr>
        <w:spacing w:after="0" w:line="240" w:lineRule="auto"/>
      </w:pPr>
    </w:p>
  </w:footnote>
  <w:footnote w:id="2">
    <w:p w14:paraId="7B9DEDDA" w14:textId="77777777" w:rsidR="007F707F" w:rsidRPr="00210C7D" w:rsidRDefault="007F707F" w:rsidP="007F707F">
      <w:pPr>
        <w:pStyle w:val="Textonotapie"/>
        <w:ind w:firstLine="709"/>
        <w:jc w:val="both"/>
        <w:rPr>
          <w:rFonts w:ascii="Verdana" w:hAnsi="Verdana" w:cs="Arial"/>
          <w:color w:val="000000" w:themeColor="text1"/>
          <w:sz w:val="16"/>
          <w:szCs w:val="16"/>
        </w:rPr>
      </w:pPr>
      <w:r w:rsidRPr="00210C7D">
        <w:rPr>
          <w:rStyle w:val="Refdenotaalpie"/>
          <w:rFonts w:ascii="Verdana" w:hAnsi="Verdana" w:cs="Arial"/>
          <w:sz w:val="16"/>
          <w:szCs w:val="16"/>
        </w:rPr>
        <w:footnoteRef/>
      </w:r>
      <w:r w:rsidRPr="00210C7D">
        <w:rPr>
          <w:rFonts w:ascii="Verdana" w:hAnsi="Verdana" w:cs="Arial"/>
          <w:sz w:val="16"/>
          <w:szCs w:val="16"/>
        </w:rPr>
        <w:t xml:space="preserve"> </w:t>
      </w:r>
      <w:r w:rsidRPr="00210C7D">
        <w:rPr>
          <w:rFonts w:ascii="Verdana" w:hAnsi="Verdana" w:cs="Arial"/>
          <w:color w:val="000000" w:themeColor="text1"/>
          <w:sz w:val="16"/>
          <w:szCs w:val="16"/>
        </w:rPr>
        <w:t xml:space="preserve">Consejo de Estado. Sentencia del 28 de junio de 2012. Rad. Nro. 21990. C.P: Ruth Stella Correa Palacio. </w:t>
      </w:r>
    </w:p>
  </w:footnote>
  <w:footnote w:id="3">
    <w:p w14:paraId="74BAAD3E" w14:textId="77777777" w:rsidR="007F707F" w:rsidRPr="00210C7D" w:rsidRDefault="007F707F" w:rsidP="007F707F">
      <w:pPr>
        <w:pStyle w:val="Textonotapie"/>
        <w:ind w:firstLine="709"/>
        <w:jc w:val="both"/>
        <w:rPr>
          <w:rFonts w:ascii="Verdana" w:hAnsi="Verdana" w:cs="Arial"/>
          <w:iCs/>
          <w:sz w:val="16"/>
          <w:szCs w:val="16"/>
        </w:rPr>
      </w:pPr>
      <w:r w:rsidRPr="00210C7D">
        <w:rPr>
          <w:rStyle w:val="Refdenotaalpie"/>
          <w:rFonts w:ascii="Verdana" w:hAnsi="Verdana" w:cs="Arial"/>
          <w:sz w:val="16"/>
          <w:szCs w:val="16"/>
        </w:rPr>
        <w:footnoteRef/>
      </w:r>
      <w:r w:rsidRPr="00210C7D">
        <w:rPr>
          <w:rFonts w:ascii="Verdana" w:hAnsi="Verdana" w:cs="Arial"/>
          <w:sz w:val="16"/>
          <w:szCs w:val="16"/>
        </w:rPr>
        <w:t xml:space="preserve"> </w:t>
      </w:r>
      <w:r w:rsidRPr="00210C7D">
        <w:rPr>
          <w:rFonts w:ascii="Verdana" w:hAnsi="Verdana" w:cs="Arial"/>
          <w:iCs/>
          <w:sz w:val="16"/>
          <w:szCs w:val="16"/>
          <w:lang w:val="es-CO"/>
        </w:rPr>
        <w:t xml:space="preserve">IBAÑEZ NAJAR, Jorge Enrique. </w:t>
      </w:r>
      <w:r w:rsidRPr="00210C7D">
        <w:rPr>
          <w:rFonts w:ascii="Verdana" w:hAnsi="Verdana" w:cs="Arial"/>
          <w:iCs/>
          <w:sz w:val="16"/>
          <w:szCs w:val="16"/>
        </w:rPr>
        <w:t xml:space="preserve">La conmutatividad del contrato estatal y su equilibrio económico y financiero. La obligación de conservarlo, su ruptura y la obligación de restablecerlo según la ley </w:t>
      </w:r>
      <w:r w:rsidRPr="00210C7D">
        <w:rPr>
          <w:rFonts w:ascii="Verdana" w:hAnsi="Verdana" w:cs="Arial"/>
          <w:iCs/>
          <w:sz w:val="16"/>
          <w:szCs w:val="16"/>
          <w:lang w:val="es-CO"/>
        </w:rPr>
        <w:t>y la jurisprudencia. En: PALACIO JARAMILLO, María Teresa (editora académica). Contratos Estatales. Tomo II. 2022. Bogotá: Universidad del Rosario. P. 630</w:t>
      </w:r>
    </w:p>
  </w:footnote>
  <w:footnote w:id="4">
    <w:p w14:paraId="389516B0" w14:textId="77777777" w:rsidR="007F707F" w:rsidRPr="000E4887" w:rsidRDefault="007F707F" w:rsidP="007F707F">
      <w:pPr>
        <w:pStyle w:val="Textonotapie"/>
        <w:ind w:firstLine="708"/>
        <w:jc w:val="both"/>
        <w:rPr>
          <w:rFonts w:ascii="Verdana" w:hAnsi="Verdana"/>
          <w:sz w:val="16"/>
          <w:szCs w:val="16"/>
          <w:lang w:val="es-CO"/>
        </w:rPr>
      </w:pPr>
      <w:r w:rsidRPr="000E4887">
        <w:rPr>
          <w:rStyle w:val="Refdenotaalpie"/>
          <w:rFonts w:ascii="Verdana" w:hAnsi="Verdana"/>
          <w:sz w:val="16"/>
          <w:szCs w:val="16"/>
        </w:rPr>
        <w:footnoteRef/>
      </w:r>
      <w:r w:rsidRPr="000E4887">
        <w:rPr>
          <w:rFonts w:ascii="Verdana" w:hAnsi="Verdana"/>
          <w:sz w:val="16"/>
          <w:szCs w:val="16"/>
        </w:rPr>
        <w:t xml:space="preserve"> </w:t>
      </w:r>
      <w:r>
        <w:rPr>
          <w:rFonts w:ascii="Verdana" w:hAnsi="Verdana"/>
          <w:sz w:val="16"/>
          <w:szCs w:val="16"/>
        </w:rPr>
        <w:t xml:space="preserve">CONSEJO DE ESTADO. Sección Tercera. Subsección C. Sentencia del 20 de abril de 2022. Exp. </w:t>
      </w:r>
      <w:r w:rsidRPr="000E4887">
        <w:rPr>
          <w:rFonts w:ascii="Verdana" w:hAnsi="Verdana"/>
          <w:sz w:val="16"/>
          <w:szCs w:val="16"/>
        </w:rPr>
        <w:t>56508</w:t>
      </w:r>
      <w:r>
        <w:rPr>
          <w:rFonts w:ascii="Verdana" w:hAnsi="Verdana"/>
          <w:sz w:val="16"/>
          <w:szCs w:val="16"/>
        </w:rPr>
        <w:t xml:space="preserve">. C.P. </w:t>
      </w:r>
      <w:r w:rsidRPr="000E4887">
        <w:rPr>
          <w:rFonts w:ascii="Verdana" w:hAnsi="Verdana"/>
          <w:sz w:val="16"/>
          <w:szCs w:val="16"/>
        </w:rPr>
        <w:t>Nicolás Yepes Corrales</w:t>
      </w:r>
      <w:r>
        <w:rPr>
          <w:rFonts w:ascii="Verdana" w:hAnsi="Verdana"/>
          <w:sz w:val="16"/>
          <w:szCs w:val="16"/>
        </w:rPr>
        <w:t>.</w:t>
      </w:r>
    </w:p>
  </w:footnote>
  <w:footnote w:id="5">
    <w:p w14:paraId="4A943ED2" w14:textId="77777777" w:rsidR="007F707F" w:rsidRPr="00210C7D" w:rsidRDefault="007F707F" w:rsidP="007F707F">
      <w:pPr>
        <w:pStyle w:val="Textonotapie"/>
        <w:ind w:firstLine="709"/>
        <w:jc w:val="both"/>
        <w:rPr>
          <w:rFonts w:ascii="Verdana" w:hAnsi="Verdana" w:cs="Arial"/>
          <w:sz w:val="16"/>
          <w:szCs w:val="16"/>
          <w:lang w:val="es-CO"/>
        </w:rPr>
      </w:pPr>
      <w:r w:rsidRPr="00210C7D">
        <w:rPr>
          <w:rStyle w:val="Refdenotaalpie"/>
          <w:rFonts w:ascii="Verdana" w:hAnsi="Verdana" w:cs="Arial"/>
          <w:sz w:val="16"/>
          <w:szCs w:val="16"/>
        </w:rPr>
        <w:footnoteRef/>
      </w:r>
      <w:r w:rsidRPr="00210C7D">
        <w:rPr>
          <w:rFonts w:ascii="Verdana" w:hAnsi="Verdana" w:cs="Arial"/>
          <w:sz w:val="16"/>
          <w:szCs w:val="16"/>
        </w:rPr>
        <w:t xml:space="preserve">  Consejo de Estado. Sección Tercera. Sentencia del 31 de agosto de 2011. Exp. 18.080. CP.: Ruth Stella Correa Palacio. Reiterada en </w:t>
      </w:r>
      <w:r w:rsidRPr="00210C7D">
        <w:rPr>
          <w:rFonts w:ascii="Verdana" w:hAnsi="Verdana" w:cs="Arial"/>
          <w:sz w:val="16"/>
          <w:szCs w:val="16"/>
          <w:lang w:val="es-CO"/>
        </w:rPr>
        <w:t xml:space="preserve">Sentencia del 8 de febrero de 2012. Exp. 20344. </w:t>
      </w:r>
      <w:r w:rsidRPr="00210C7D">
        <w:rPr>
          <w:rFonts w:ascii="Verdana" w:hAnsi="Verdana" w:cs="Arial"/>
          <w:sz w:val="16"/>
          <w:szCs w:val="16"/>
        </w:rPr>
        <w:t>También ver: Consejo de Estado, Sección Tercera, sentencia de 9 de mayo de 1996, exp. 10.151, reiterada en sentencias de 29 de abril y 21 de julio de 1999, exp. 14.885 y exp. 14.943, C.P. Daniel Suárez Hernández.</w:t>
      </w:r>
    </w:p>
  </w:footnote>
  <w:footnote w:id="6">
    <w:p w14:paraId="343AD2CF" w14:textId="77777777" w:rsidR="007F707F" w:rsidRPr="00A04039" w:rsidRDefault="007F707F" w:rsidP="007F707F">
      <w:pPr>
        <w:pStyle w:val="Textonotapie"/>
        <w:ind w:firstLine="708"/>
        <w:jc w:val="both"/>
        <w:rPr>
          <w:rFonts w:ascii="Verdana" w:hAnsi="Verdana" w:cs="Arial"/>
          <w:sz w:val="16"/>
          <w:szCs w:val="16"/>
          <w:lang w:val="pt-BR"/>
        </w:rPr>
      </w:pPr>
      <w:r w:rsidRPr="00210C7D">
        <w:rPr>
          <w:rStyle w:val="Refdenotaalpie"/>
          <w:rFonts w:ascii="Verdana" w:hAnsi="Verdana" w:cs="Arial"/>
          <w:sz w:val="16"/>
          <w:szCs w:val="16"/>
        </w:rPr>
        <w:footnoteRef/>
      </w:r>
      <w:r w:rsidRPr="00210C7D">
        <w:rPr>
          <w:rFonts w:ascii="Verdana" w:hAnsi="Verdana" w:cs="Arial"/>
          <w:sz w:val="16"/>
          <w:szCs w:val="16"/>
        </w:rPr>
        <w:t xml:space="preserve"> Consejo de Estado. Sección Tercera. Sentencia del 29 de enero de 2018. </w:t>
      </w:r>
      <w:r w:rsidRPr="00A04039">
        <w:rPr>
          <w:rFonts w:ascii="Verdana" w:hAnsi="Verdana" w:cs="Arial"/>
          <w:sz w:val="16"/>
          <w:szCs w:val="16"/>
          <w:lang w:val="pt-BR"/>
        </w:rPr>
        <w:t>Exp. 52.666 CP.: Jaime Orlando Santofimio Gamboa.</w:t>
      </w:r>
    </w:p>
  </w:footnote>
  <w:footnote w:id="7">
    <w:p w14:paraId="4FB624D7" w14:textId="77777777" w:rsidR="007F707F" w:rsidRPr="00A04039" w:rsidRDefault="007F707F" w:rsidP="007F707F">
      <w:pPr>
        <w:pStyle w:val="Textonotapie"/>
        <w:ind w:firstLine="708"/>
        <w:jc w:val="both"/>
        <w:rPr>
          <w:rFonts w:ascii="Verdana" w:hAnsi="Verdana" w:cs="Arial"/>
          <w:sz w:val="16"/>
          <w:szCs w:val="16"/>
          <w:lang w:val="pt-BR"/>
        </w:rPr>
      </w:pPr>
      <w:r w:rsidRPr="00210C7D">
        <w:rPr>
          <w:rStyle w:val="Refdenotaalpie"/>
          <w:rFonts w:ascii="Verdana" w:hAnsi="Verdana" w:cs="Arial"/>
          <w:sz w:val="16"/>
          <w:szCs w:val="16"/>
        </w:rPr>
        <w:footnoteRef/>
      </w:r>
      <w:r w:rsidRPr="00A04039">
        <w:rPr>
          <w:rFonts w:ascii="Verdana" w:hAnsi="Verdana" w:cs="Arial"/>
          <w:sz w:val="16"/>
          <w:szCs w:val="16"/>
          <w:lang w:val="pt-BR"/>
        </w:rPr>
        <w:t xml:space="preserve"> Ibidem </w:t>
      </w:r>
    </w:p>
  </w:footnote>
  <w:footnote w:id="8">
    <w:p w14:paraId="19B03D8D" w14:textId="77777777" w:rsidR="007F707F" w:rsidRPr="00A04039" w:rsidRDefault="007F707F" w:rsidP="007F707F">
      <w:pPr>
        <w:pStyle w:val="Textonotapie"/>
        <w:ind w:firstLine="708"/>
        <w:jc w:val="both"/>
        <w:rPr>
          <w:rFonts w:ascii="Verdana" w:hAnsi="Verdana" w:cs="Arial"/>
          <w:sz w:val="16"/>
          <w:szCs w:val="16"/>
          <w:lang w:val="pt-BR"/>
        </w:rPr>
      </w:pPr>
      <w:r w:rsidRPr="00210C7D">
        <w:rPr>
          <w:rStyle w:val="Refdenotaalpie"/>
          <w:rFonts w:ascii="Verdana" w:hAnsi="Verdana" w:cs="Arial"/>
          <w:sz w:val="16"/>
          <w:szCs w:val="16"/>
        </w:rPr>
        <w:footnoteRef/>
      </w:r>
      <w:r w:rsidRPr="00A04039">
        <w:rPr>
          <w:rFonts w:ascii="Verdana" w:hAnsi="Verdana" w:cs="Arial"/>
          <w:sz w:val="16"/>
          <w:szCs w:val="16"/>
          <w:lang w:val="pt-BR"/>
        </w:rPr>
        <w:t xml:space="preserve"> Consejo de Estado. </w:t>
      </w:r>
      <w:r w:rsidRPr="00210C7D">
        <w:rPr>
          <w:rFonts w:ascii="Verdana" w:hAnsi="Verdana" w:cs="Arial"/>
          <w:sz w:val="16"/>
          <w:szCs w:val="16"/>
        </w:rPr>
        <w:t>Sección Tercera.</w:t>
      </w:r>
      <w:r w:rsidRPr="00210C7D">
        <w:rPr>
          <w:rFonts w:ascii="Verdana" w:hAnsi="Verdana" w:cs="Arial"/>
          <w:sz w:val="16"/>
          <w:szCs w:val="16"/>
          <w:lang w:val="es-CO"/>
        </w:rPr>
        <w:t xml:space="preserve"> Subsección A.</w:t>
      </w:r>
      <w:r w:rsidRPr="00210C7D">
        <w:rPr>
          <w:rFonts w:ascii="Verdana" w:hAnsi="Verdana" w:cs="Arial"/>
          <w:sz w:val="16"/>
          <w:szCs w:val="16"/>
        </w:rPr>
        <w:t xml:space="preserve"> Sentencia del 6 de julio de 2022. Exp. 54.319 CP.: María Adriana Marín. Ver también: </w:t>
      </w:r>
      <w:r w:rsidRPr="00210C7D">
        <w:rPr>
          <w:rFonts w:ascii="Verdana" w:hAnsi="Verdana" w:cs="Arial"/>
          <w:sz w:val="16"/>
          <w:szCs w:val="16"/>
          <w:lang w:val="es-CO"/>
        </w:rPr>
        <w:t xml:space="preserve">Consejo de Estado. Sección Tercera. Subsección A. Sentencia del 3 de junio de 2022. Exp. 53299. </w:t>
      </w:r>
      <w:r w:rsidRPr="00A04039">
        <w:rPr>
          <w:rFonts w:ascii="Verdana" w:hAnsi="Verdana" w:cs="Arial"/>
          <w:sz w:val="16"/>
          <w:szCs w:val="16"/>
          <w:lang w:val="pt-BR"/>
        </w:rPr>
        <w:t>C.P.: José Roberto Sáchica Méndez</w:t>
      </w:r>
    </w:p>
  </w:footnote>
  <w:footnote w:id="9">
    <w:p w14:paraId="1935FDDA" w14:textId="77777777" w:rsidR="007F707F" w:rsidRPr="00A04039" w:rsidRDefault="007F707F" w:rsidP="007F707F">
      <w:pPr>
        <w:pStyle w:val="Textonotapie"/>
        <w:ind w:firstLine="709"/>
        <w:jc w:val="both"/>
        <w:rPr>
          <w:rFonts w:ascii="Verdana" w:hAnsi="Verdana" w:cs="Arial"/>
          <w:sz w:val="16"/>
          <w:szCs w:val="16"/>
          <w:lang w:val="pt-BR" w:bidi="es-ES"/>
        </w:rPr>
      </w:pPr>
      <w:r w:rsidRPr="00210C7D">
        <w:rPr>
          <w:rStyle w:val="Refdenotaalpie"/>
          <w:rFonts w:ascii="Verdana" w:hAnsi="Verdana" w:cs="Arial"/>
          <w:sz w:val="16"/>
          <w:szCs w:val="16"/>
        </w:rPr>
        <w:footnoteRef/>
      </w:r>
      <w:r w:rsidRPr="00A04039">
        <w:rPr>
          <w:rFonts w:ascii="Verdana" w:hAnsi="Verdana" w:cs="Arial"/>
          <w:sz w:val="16"/>
          <w:szCs w:val="16"/>
          <w:lang w:val="pt-BR"/>
        </w:rPr>
        <w:t xml:space="preserve"> </w:t>
      </w:r>
      <w:r w:rsidRPr="00A04039">
        <w:rPr>
          <w:rFonts w:ascii="Verdana" w:hAnsi="Verdana" w:cs="Arial"/>
          <w:sz w:val="16"/>
          <w:szCs w:val="16"/>
          <w:lang w:val="pt-BR" w:bidi="es-ES"/>
        </w:rPr>
        <w:t xml:space="preserve">Corte Constitucional. Sentencia C-416 de 2012. </w:t>
      </w:r>
    </w:p>
  </w:footnote>
  <w:footnote w:id="10">
    <w:p w14:paraId="47584D71" w14:textId="77777777" w:rsidR="007F707F" w:rsidRPr="00210C7D" w:rsidRDefault="007F707F" w:rsidP="007F707F">
      <w:pPr>
        <w:pStyle w:val="Textonotapie"/>
        <w:ind w:firstLine="709"/>
        <w:jc w:val="both"/>
        <w:rPr>
          <w:rFonts w:ascii="Verdana" w:hAnsi="Verdana" w:cs="Arial"/>
          <w:sz w:val="16"/>
          <w:szCs w:val="16"/>
          <w:lang w:val="es-CO"/>
        </w:rPr>
      </w:pPr>
      <w:r w:rsidRPr="00210C7D">
        <w:rPr>
          <w:rStyle w:val="Refdenotaalpie"/>
          <w:rFonts w:ascii="Verdana" w:hAnsi="Verdana" w:cs="Arial"/>
          <w:sz w:val="16"/>
          <w:szCs w:val="16"/>
        </w:rPr>
        <w:footnoteRef/>
      </w:r>
      <w:r w:rsidRPr="00210C7D">
        <w:rPr>
          <w:rFonts w:ascii="Verdana" w:hAnsi="Verdana" w:cs="Arial"/>
          <w:sz w:val="16"/>
          <w:szCs w:val="16"/>
        </w:rPr>
        <w:t xml:space="preserve"> EXPÓSITO VÉLEZ, Juan Carlos. </w:t>
      </w:r>
      <w:r w:rsidRPr="00210C7D">
        <w:rPr>
          <w:rFonts w:ascii="Verdana" w:hAnsi="Verdana" w:cs="Arial"/>
          <w:sz w:val="16"/>
          <w:szCs w:val="16"/>
          <w:lang w:val="es-CO"/>
        </w:rPr>
        <w:t xml:space="preserve">Formas, formalidades y contenido del contrato estatal. Serie de derecho administrativo Nro. 34. Universidad Externado de Colombia. 2020. </w:t>
      </w:r>
    </w:p>
  </w:footnote>
  <w:footnote w:id="11">
    <w:p w14:paraId="219FB933" w14:textId="77777777" w:rsidR="007F707F" w:rsidRPr="00210C7D" w:rsidRDefault="007F707F" w:rsidP="007F707F">
      <w:pPr>
        <w:pStyle w:val="Textonotapie"/>
        <w:ind w:firstLine="708"/>
        <w:jc w:val="both"/>
        <w:rPr>
          <w:rFonts w:ascii="Verdana" w:hAnsi="Verdana"/>
          <w:sz w:val="16"/>
          <w:szCs w:val="16"/>
          <w:lang w:val="es-CO"/>
        </w:rPr>
      </w:pPr>
      <w:r w:rsidRPr="00210C7D">
        <w:rPr>
          <w:rStyle w:val="Refdenotaalpie"/>
          <w:rFonts w:ascii="Verdana" w:hAnsi="Verdana"/>
          <w:sz w:val="16"/>
          <w:szCs w:val="16"/>
        </w:rPr>
        <w:footnoteRef/>
      </w:r>
      <w:r w:rsidRPr="00210C7D">
        <w:rPr>
          <w:rFonts w:ascii="Verdana" w:hAnsi="Verdana"/>
          <w:sz w:val="16"/>
          <w:szCs w:val="16"/>
        </w:rPr>
        <w:t xml:space="preserve"> SANTOFIMIO GAMBOA, Jaime Orlando. Tratado de derecho administrativo: contratación indebida. Tomo IV. Bogotá: Universidad Externado de Colombia, 2004. pp. 388-389.</w:t>
      </w:r>
    </w:p>
  </w:footnote>
  <w:footnote w:id="12">
    <w:p w14:paraId="0790A881" w14:textId="77777777" w:rsidR="007F707F" w:rsidRPr="00210C7D" w:rsidRDefault="007F707F" w:rsidP="007F707F">
      <w:pPr>
        <w:pStyle w:val="Textonotapie"/>
        <w:ind w:firstLine="708"/>
        <w:jc w:val="both"/>
        <w:rPr>
          <w:rFonts w:ascii="Verdana" w:hAnsi="Verdana"/>
          <w:sz w:val="16"/>
          <w:szCs w:val="16"/>
          <w:lang w:val="es-CO"/>
        </w:rPr>
      </w:pPr>
      <w:r w:rsidRPr="00210C7D">
        <w:rPr>
          <w:rStyle w:val="Refdenotaalpie"/>
          <w:rFonts w:ascii="Verdana" w:hAnsi="Verdana"/>
          <w:sz w:val="16"/>
          <w:szCs w:val="16"/>
        </w:rPr>
        <w:footnoteRef/>
      </w:r>
      <w:r w:rsidRPr="00210C7D">
        <w:rPr>
          <w:rFonts w:ascii="Verdana" w:hAnsi="Verdana"/>
          <w:sz w:val="16"/>
          <w:szCs w:val="16"/>
        </w:rPr>
        <w:t xml:space="preserve"> PINO RICCI, Jorge. El régimen jurídico de los contratos estatales. Bogotá: Universidad Externado de Colombia, 2005. pp. 376-377.</w:t>
      </w:r>
    </w:p>
  </w:footnote>
  <w:footnote w:id="13">
    <w:p w14:paraId="539D2192" w14:textId="77777777" w:rsidR="007F707F" w:rsidRPr="00210C7D" w:rsidRDefault="007F707F" w:rsidP="007F707F">
      <w:pPr>
        <w:pStyle w:val="Textonotapie"/>
        <w:ind w:firstLine="708"/>
        <w:rPr>
          <w:rFonts w:ascii="Verdana" w:hAnsi="Verdana"/>
          <w:sz w:val="16"/>
          <w:szCs w:val="16"/>
          <w:lang w:val="pt-BR"/>
        </w:rPr>
      </w:pPr>
      <w:r w:rsidRPr="00210C7D">
        <w:rPr>
          <w:rStyle w:val="Refdenotaalpie"/>
          <w:rFonts w:ascii="Verdana" w:hAnsi="Verdana"/>
          <w:sz w:val="16"/>
          <w:szCs w:val="16"/>
        </w:rPr>
        <w:footnoteRef/>
      </w:r>
      <w:r w:rsidRPr="00210C7D">
        <w:rPr>
          <w:rFonts w:ascii="Verdana" w:hAnsi="Verdana"/>
          <w:sz w:val="16"/>
          <w:szCs w:val="16"/>
        </w:rPr>
        <w:t xml:space="preserve"> CONSEJO DE ESTADO. Sala Plena. Sección Tercera. Sentencia de Unificación del 19 de noviembre de 2012. </w:t>
      </w:r>
      <w:r w:rsidRPr="00210C7D">
        <w:rPr>
          <w:rFonts w:ascii="Verdana" w:hAnsi="Verdana"/>
          <w:sz w:val="16"/>
          <w:szCs w:val="16"/>
          <w:lang w:val="pt-BR"/>
        </w:rPr>
        <w:t>C.P. Jaime Orlando Santofimio Gamboa. Exp. 24987.</w:t>
      </w:r>
    </w:p>
  </w:footnote>
  <w:footnote w:id="14">
    <w:p w14:paraId="4E1DCD88" w14:textId="77777777" w:rsidR="007F707F" w:rsidRPr="00210C7D" w:rsidRDefault="007F707F" w:rsidP="007F707F">
      <w:pPr>
        <w:pStyle w:val="Textonotapie"/>
        <w:ind w:firstLine="708"/>
        <w:jc w:val="both"/>
        <w:rPr>
          <w:rFonts w:ascii="Verdana" w:hAnsi="Verdana"/>
          <w:sz w:val="16"/>
          <w:szCs w:val="16"/>
          <w:lang w:val="es-CO"/>
        </w:rPr>
      </w:pPr>
      <w:r w:rsidRPr="00210C7D">
        <w:rPr>
          <w:rStyle w:val="Refdenotaalpie"/>
          <w:rFonts w:ascii="Verdana" w:hAnsi="Verdana"/>
          <w:sz w:val="16"/>
          <w:szCs w:val="16"/>
        </w:rPr>
        <w:footnoteRef/>
      </w:r>
      <w:r w:rsidRPr="00210C7D">
        <w:rPr>
          <w:rFonts w:ascii="Verdana" w:hAnsi="Verdana"/>
          <w:sz w:val="16"/>
          <w:szCs w:val="16"/>
          <w:lang w:val="pt-BR"/>
        </w:rPr>
        <w:t xml:space="preserve"> PINO RICCI, Jorge. </w:t>
      </w:r>
      <w:r w:rsidRPr="00210C7D">
        <w:rPr>
          <w:rFonts w:ascii="Verdana" w:hAnsi="Verdana"/>
          <w:sz w:val="16"/>
          <w:szCs w:val="16"/>
        </w:rPr>
        <w:t>El régimen jurídico de los contratos estatales. Bogotá: Universidad Externado de Colombia, 2005. pp. 376-377.</w:t>
      </w:r>
    </w:p>
  </w:footnote>
  <w:footnote w:id="15">
    <w:p w14:paraId="6862BF08" w14:textId="77777777" w:rsidR="007F707F" w:rsidRPr="00210C7D" w:rsidRDefault="007F707F" w:rsidP="007F707F">
      <w:pPr>
        <w:pStyle w:val="Textonotapie"/>
        <w:ind w:firstLine="708"/>
        <w:jc w:val="both"/>
        <w:rPr>
          <w:rFonts w:ascii="Verdana" w:hAnsi="Verdana"/>
          <w:sz w:val="16"/>
          <w:szCs w:val="16"/>
          <w:lang w:val="pt-BR"/>
        </w:rPr>
      </w:pPr>
      <w:r w:rsidRPr="00210C7D">
        <w:rPr>
          <w:rStyle w:val="Refdenotaalpie"/>
          <w:rFonts w:ascii="Verdana" w:hAnsi="Verdana"/>
          <w:sz w:val="16"/>
          <w:szCs w:val="16"/>
        </w:rPr>
        <w:footnoteRef/>
      </w:r>
      <w:r w:rsidRPr="00210C7D">
        <w:rPr>
          <w:rFonts w:ascii="Verdana" w:hAnsi="Verdana"/>
          <w:sz w:val="16"/>
          <w:szCs w:val="16"/>
        </w:rPr>
        <w:t xml:space="preserve"> </w:t>
      </w:r>
      <w:r w:rsidRPr="00210C7D">
        <w:rPr>
          <w:rFonts w:ascii="Verdana" w:hAnsi="Verdana"/>
          <w:sz w:val="16"/>
          <w:szCs w:val="16"/>
          <w:lang w:val="es-CO"/>
        </w:rPr>
        <w:t xml:space="preserve">CONSEJO DE ESTADO. Sala Plena. Sección Tercera. Sentencia de Unificación del 19 de noviembre de 2012. </w:t>
      </w:r>
      <w:r w:rsidRPr="00210C7D">
        <w:rPr>
          <w:rFonts w:ascii="Verdana" w:hAnsi="Verdana"/>
          <w:sz w:val="16"/>
          <w:szCs w:val="16"/>
          <w:lang w:val="pt-BR"/>
        </w:rPr>
        <w:t>C.P. Jaime Orlando Santofimio Gamboa. Exp. 24987.</w:t>
      </w:r>
    </w:p>
  </w:footnote>
  <w:footnote w:id="16">
    <w:p w14:paraId="2F4793F0" w14:textId="77777777" w:rsidR="007F707F" w:rsidRPr="00210C7D" w:rsidRDefault="007F707F" w:rsidP="007F707F">
      <w:pPr>
        <w:pStyle w:val="Textonotapie"/>
        <w:ind w:firstLine="708"/>
        <w:jc w:val="both"/>
        <w:rPr>
          <w:rFonts w:ascii="Verdana" w:hAnsi="Verdana"/>
          <w:sz w:val="16"/>
          <w:szCs w:val="16"/>
          <w:lang w:val="pt-BR"/>
        </w:rPr>
      </w:pPr>
      <w:r w:rsidRPr="00210C7D">
        <w:rPr>
          <w:rStyle w:val="Refdenotaalpie"/>
          <w:rFonts w:ascii="Verdana" w:hAnsi="Verdana"/>
          <w:sz w:val="16"/>
          <w:szCs w:val="16"/>
        </w:rPr>
        <w:footnoteRef/>
      </w:r>
      <w:r w:rsidRPr="00210C7D">
        <w:rPr>
          <w:rFonts w:ascii="Verdana" w:hAnsi="Verdana"/>
          <w:sz w:val="16"/>
          <w:szCs w:val="16"/>
          <w:lang w:val="pt-BR"/>
        </w:rPr>
        <w:t xml:space="preserve"> CONSEJO DE ESTADO. </w:t>
      </w:r>
      <w:r w:rsidRPr="00210C7D">
        <w:rPr>
          <w:rFonts w:ascii="Verdana" w:hAnsi="Verdana"/>
          <w:sz w:val="16"/>
          <w:szCs w:val="16"/>
        </w:rPr>
        <w:t xml:space="preserve">Sala Plena. Sección Tercera. Sentencia de Unificación del 31 de julio de 2025. </w:t>
      </w:r>
      <w:r w:rsidRPr="00210C7D">
        <w:rPr>
          <w:rFonts w:ascii="Verdana" w:hAnsi="Verdana"/>
          <w:sz w:val="16"/>
          <w:szCs w:val="16"/>
          <w:lang w:val="pt-BR"/>
        </w:rPr>
        <w:t xml:space="preserve">C.P. Fernando Alexei Pardo Flórez. Exp. 57464. </w:t>
      </w:r>
    </w:p>
  </w:footnote>
  <w:footnote w:id="17">
    <w:p w14:paraId="68032598" w14:textId="77777777" w:rsidR="007F707F" w:rsidRPr="00210C7D" w:rsidRDefault="007F707F" w:rsidP="007F707F">
      <w:pPr>
        <w:pStyle w:val="Textonotapie"/>
        <w:ind w:firstLine="708"/>
        <w:rPr>
          <w:rFonts w:ascii="Verdana" w:hAnsi="Verdana"/>
          <w:sz w:val="16"/>
          <w:szCs w:val="16"/>
          <w:lang w:val="pt-BR"/>
        </w:rPr>
      </w:pPr>
      <w:r w:rsidRPr="00210C7D">
        <w:rPr>
          <w:rStyle w:val="Refdenotaalpie"/>
          <w:rFonts w:ascii="Verdana" w:hAnsi="Verdana"/>
          <w:sz w:val="16"/>
          <w:szCs w:val="16"/>
        </w:rPr>
        <w:footnoteRef/>
      </w:r>
      <w:r w:rsidRPr="00210C7D">
        <w:rPr>
          <w:rFonts w:ascii="Verdana" w:hAnsi="Verdana"/>
          <w:sz w:val="16"/>
          <w:szCs w:val="16"/>
          <w:lang w:val="pt-BR"/>
        </w:rPr>
        <w:t xml:space="preserve"> </w:t>
      </w:r>
      <w:r w:rsidRPr="00210C7D">
        <w:rPr>
          <w:rFonts w:ascii="Verdana" w:hAnsi="Verdana"/>
          <w:i/>
          <w:iCs/>
          <w:sz w:val="16"/>
          <w:szCs w:val="16"/>
          <w:lang w:val="pt-BR"/>
        </w:rPr>
        <w:t>Ibidem</w:t>
      </w:r>
      <w:r w:rsidRPr="00210C7D">
        <w:rPr>
          <w:rFonts w:ascii="Verdana" w:hAnsi="Verdana"/>
          <w:sz w:val="16"/>
          <w:szCs w:val="16"/>
          <w:lang w:val="pt-BR"/>
        </w:rPr>
        <w:t xml:space="preserve">. </w:t>
      </w:r>
    </w:p>
  </w:footnote>
  <w:footnote w:id="18">
    <w:p w14:paraId="5BC61607" w14:textId="77777777" w:rsidR="007F707F" w:rsidRPr="00210C7D" w:rsidRDefault="007F707F" w:rsidP="007F707F">
      <w:pPr>
        <w:pStyle w:val="Textonotapie"/>
        <w:ind w:firstLine="708"/>
        <w:rPr>
          <w:rFonts w:ascii="Verdana" w:hAnsi="Verdana"/>
          <w:sz w:val="16"/>
          <w:szCs w:val="16"/>
          <w:lang w:val="pt-BR"/>
        </w:rPr>
      </w:pPr>
      <w:r w:rsidRPr="00210C7D">
        <w:rPr>
          <w:rStyle w:val="Refdenotaalpie"/>
          <w:rFonts w:ascii="Verdana" w:hAnsi="Verdana"/>
          <w:sz w:val="16"/>
          <w:szCs w:val="16"/>
        </w:rPr>
        <w:footnoteRef/>
      </w:r>
      <w:r w:rsidRPr="00210C7D">
        <w:rPr>
          <w:rFonts w:ascii="Verdana" w:hAnsi="Verdana"/>
          <w:sz w:val="16"/>
          <w:szCs w:val="16"/>
          <w:lang w:val="pt-BR"/>
        </w:rPr>
        <w:t xml:space="preserve"> </w:t>
      </w:r>
      <w:r w:rsidRPr="00210C7D">
        <w:rPr>
          <w:rFonts w:ascii="Verdana" w:hAnsi="Verdana"/>
          <w:i/>
          <w:iCs/>
          <w:sz w:val="16"/>
          <w:szCs w:val="16"/>
          <w:lang w:val="pt-BR"/>
        </w:rPr>
        <w:t>Ibidem</w:t>
      </w:r>
      <w:r w:rsidRPr="00210C7D">
        <w:rPr>
          <w:rFonts w:ascii="Verdana" w:hAnsi="Verdana"/>
          <w:sz w:val="16"/>
          <w:szCs w:val="16"/>
          <w:lang w:val="pt-BR"/>
        </w:rPr>
        <w:t xml:space="preserve">.  </w:t>
      </w:r>
    </w:p>
  </w:footnote>
  <w:footnote w:id="19">
    <w:p w14:paraId="5947F444" w14:textId="77777777" w:rsidR="007F707F" w:rsidRPr="00210C7D" w:rsidRDefault="007F707F" w:rsidP="007F707F">
      <w:pPr>
        <w:pStyle w:val="Textonotapie"/>
        <w:ind w:firstLine="708"/>
        <w:rPr>
          <w:sz w:val="16"/>
          <w:szCs w:val="16"/>
          <w:lang w:val="pt-BR"/>
        </w:rPr>
      </w:pPr>
      <w:r w:rsidRPr="00210C7D">
        <w:rPr>
          <w:rStyle w:val="Refdenotaalpie"/>
          <w:rFonts w:ascii="Verdana" w:hAnsi="Verdana"/>
          <w:sz w:val="16"/>
          <w:szCs w:val="16"/>
        </w:rPr>
        <w:footnoteRef/>
      </w:r>
      <w:r w:rsidRPr="00210C7D">
        <w:rPr>
          <w:rFonts w:ascii="Verdana" w:hAnsi="Verdana"/>
          <w:sz w:val="16"/>
          <w:szCs w:val="16"/>
          <w:lang w:val="pt-BR"/>
        </w:rPr>
        <w:t xml:space="preserve"> Ibídem.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23C4"/>
    <w:rsid w:val="00046945"/>
    <w:rsid w:val="00061B2A"/>
    <w:rsid w:val="00082362"/>
    <w:rsid w:val="000A683E"/>
    <w:rsid w:val="000B19B9"/>
    <w:rsid w:val="000D0334"/>
    <w:rsid w:val="000E2E0C"/>
    <w:rsid w:val="000F39A6"/>
    <w:rsid w:val="000F6486"/>
    <w:rsid w:val="00125105"/>
    <w:rsid w:val="00127233"/>
    <w:rsid w:val="001E4177"/>
    <w:rsid w:val="001F7DC6"/>
    <w:rsid w:val="002421BB"/>
    <w:rsid w:val="0025796E"/>
    <w:rsid w:val="00261C80"/>
    <w:rsid w:val="002707A2"/>
    <w:rsid w:val="002951A0"/>
    <w:rsid w:val="002962BC"/>
    <w:rsid w:val="002A093D"/>
    <w:rsid w:val="002A0DD0"/>
    <w:rsid w:val="002A49AC"/>
    <w:rsid w:val="002A4B67"/>
    <w:rsid w:val="002A64FD"/>
    <w:rsid w:val="002C7A84"/>
    <w:rsid w:val="002E4FD9"/>
    <w:rsid w:val="00322A85"/>
    <w:rsid w:val="00324168"/>
    <w:rsid w:val="003448F4"/>
    <w:rsid w:val="00374F5E"/>
    <w:rsid w:val="00377E3E"/>
    <w:rsid w:val="003A779E"/>
    <w:rsid w:val="003C5458"/>
    <w:rsid w:val="003D0F4D"/>
    <w:rsid w:val="003D5B0D"/>
    <w:rsid w:val="003E0499"/>
    <w:rsid w:val="003F3941"/>
    <w:rsid w:val="00406575"/>
    <w:rsid w:val="00414C74"/>
    <w:rsid w:val="0042722E"/>
    <w:rsid w:val="0044528D"/>
    <w:rsid w:val="0048696C"/>
    <w:rsid w:val="004A1847"/>
    <w:rsid w:val="004A305D"/>
    <w:rsid w:val="004F21C4"/>
    <w:rsid w:val="004F685F"/>
    <w:rsid w:val="005460A8"/>
    <w:rsid w:val="005566E8"/>
    <w:rsid w:val="00574867"/>
    <w:rsid w:val="00591460"/>
    <w:rsid w:val="005C3777"/>
    <w:rsid w:val="005C5CDC"/>
    <w:rsid w:val="005D476C"/>
    <w:rsid w:val="006219F8"/>
    <w:rsid w:val="00624CB5"/>
    <w:rsid w:val="006302F7"/>
    <w:rsid w:val="00665D70"/>
    <w:rsid w:val="006860C1"/>
    <w:rsid w:val="006900D9"/>
    <w:rsid w:val="006A760C"/>
    <w:rsid w:val="00706C16"/>
    <w:rsid w:val="00756841"/>
    <w:rsid w:val="007649AB"/>
    <w:rsid w:val="00771D0C"/>
    <w:rsid w:val="007833AC"/>
    <w:rsid w:val="007B268C"/>
    <w:rsid w:val="007B7171"/>
    <w:rsid w:val="007B71D8"/>
    <w:rsid w:val="007C0C0F"/>
    <w:rsid w:val="007C3DC2"/>
    <w:rsid w:val="007E5497"/>
    <w:rsid w:val="007F707F"/>
    <w:rsid w:val="008031E4"/>
    <w:rsid w:val="00806F5F"/>
    <w:rsid w:val="00820278"/>
    <w:rsid w:val="00843AEC"/>
    <w:rsid w:val="00867F95"/>
    <w:rsid w:val="008843B6"/>
    <w:rsid w:val="00891928"/>
    <w:rsid w:val="00897A3A"/>
    <w:rsid w:val="008A446D"/>
    <w:rsid w:val="008D180B"/>
    <w:rsid w:val="008F0EA7"/>
    <w:rsid w:val="00923EEF"/>
    <w:rsid w:val="00926D5C"/>
    <w:rsid w:val="009419F9"/>
    <w:rsid w:val="0095685E"/>
    <w:rsid w:val="00961B09"/>
    <w:rsid w:val="00965334"/>
    <w:rsid w:val="0097093E"/>
    <w:rsid w:val="00975830"/>
    <w:rsid w:val="009A0DFA"/>
    <w:rsid w:val="009B25A8"/>
    <w:rsid w:val="009B2D26"/>
    <w:rsid w:val="009C71FA"/>
    <w:rsid w:val="009C72E7"/>
    <w:rsid w:val="009D3058"/>
    <w:rsid w:val="009F3A13"/>
    <w:rsid w:val="00A04039"/>
    <w:rsid w:val="00A122D3"/>
    <w:rsid w:val="00A17F13"/>
    <w:rsid w:val="00A20739"/>
    <w:rsid w:val="00A33C78"/>
    <w:rsid w:val="00A53E91"/>
    <w:rsid w:val="00AB0ADB"/>
    <w:rsid w:val="00AE333B"/>
    <w:rsid w:val="00B00C0E"/>
    <w:rsid w:val="00B01B1A"/>
    <w:rsid w:val="00B44A47"/>
    <w:rsid w:val="00B72CD3"/>
    <w:rsid w:val="00B72FFF"/>
    <w:rsid w:val="00B832F7"/>
    <w:rsid w:val="00B96236"/>
    <w:rsid w:val="00BC3D36"/>
    <w:rsid w:val="00BD7F72"/>
    <w:rsid w:val="00BF6AB9"/>
    <w:rsid w:val="00C04FB3"/>
    <w:rsid w:val="00C330EB"/>
    <w:rsid w:val="00C750BA"/>
    <w:rsid w:val="00C754BE"/>
    <w:rsid w:val="00C76B1C"/>
    <w:rsid w:val="00C86F91"/>
    <w:rsid w:val="00CB6357"/>
    <w:rsid w:val="00CC1B26"/>
    <w:rsid w:val="00D37DA4"/>
    <w:rsid w:val="00D423A2"/>
    <w:rsid w:val="00D520D8"/>
    <w:rsid w:val="00D63AC2"/>
    <w:rsid w:val="00D7383B"/>
    <w:rsid w:val="00DA231B"/>
    <w:rsid w:val="00DC39FC"/>
    <w:rsid w:val="00DD2DC3"/>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1092C"/>
    <w:rsid w:val="00F31EDC"/>
    <w:rsid w:val="00F462B3"/>
    <w:rsid w:val="00F5664F"/>
    <w:rsid w:val="00F666C4"/>
    <w:rsid w:val="00F76AFC"/>
    <w:rsid w:val="00F96BF8"/>
    <w:rsid w:val="00FA47C0"/>
    <w:rsid w:val="00FB5DD1"/>
    <w:rsid w:val="00FC2B5D"/>
    <w:rsid w:val="00FF1449"/>
    <w:rsid w:val="00FF332A"/>
    <w:rsid w:val="00FF67F0"/>
    <w:rsid w:val="7170F9C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F707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F707F"/>
    <w:rPr>
      <w:rFonts w:ascii="Geomanist Light" w:hAnsi="Geomanist Light"/>
      <w:lang w:val="es-ES"/>
    </w:rPr>
  </w:style>
  <w:style w:type="character" w:customStyle="1" w:styleId="s15">
    <w:name w:val="s15"/>
    <w:basedOn w:val="Fuentedeprrafopredeter"/>
    <w:rsid w:val="007F707F"/>
  </w:style>
  <w:style w:type="character" w:customStyle="1" w:styleId="apple-converted-space">
    <w:name w:val="apple-converted-space"/>
    <w:basedOn w:val="Fuentedeprrafopredeter"/>
    <w:rsid w:val="007F7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080_1993.htm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47B4E8-E8D5-44E0-86E9-0422E94B4010}"/>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75ae58e5-9098-4e3e-9e26-9969ad851c13"/>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21</Pages>
  <Words>7368</Words>
  <Characters>40526</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2025-10-21T14:35:00Z</dcterms:created>
  <dcterms:modified xsi:type="dcterms:W3CDTF">2025-10-21T15:22:00Z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