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BF2F862" w14:textId="77777777" w:rsidR="001B532B" w:rsidRPr="00EA2CFE" w:rsidRDefault="001B532B" w:rsidP="001B532B">
      <w:pPr>
        <w:contextualSpacing/>
        <w:jc w:val="both"/>
        <w:rPr>
          <w:rFonts w:ascii="Verdana" w:eastAsia="Yu Gothic UI Semibold" w:hAnsi="Verdana" w:cs="Arial"/>
          <w:b/>
          <w:bCs/>
          <w:color w:val="000000" w:themeColor="text1"/>
          <w:lang w:val="es-MX"/>
        </w:rPr>
      </w:pPr>
      <w:bookmarkStart w:id="0" w:name="_Hlk143780582"/>
      <w:r w:rsidRPr="00EA2CFE">
        <w:rPr>
          <w:rFonts w:ascii="Verdana" w:eastAsia="Yu Gothic UI Semibold" w:hAnsi="Verdana" w:cs="Arial"/>
          <w:b/>
          <w:bCs/>
          <w:color w:val="000000" w:themeColor="text1"/>
          <w:lang w:val="es-MX"/>
        </w:rPr>
        <w:t>ESTABILIDAD LABORAL REFORZADA DE MUJER EMBARAZADA – Concepto</w:t>
      </w:r>
    </w:p>
    <w:p w14:paraId="032F78AF" w14:textId="77777777" w:rsidR="001B532B" w:rsidRPr="00EA2CFE" w:rsidRDefault="001B532B" w:rsidP="001B532B">
      <w:pPr>
        <w:contextualSpacing/>
        <w:jc w:val="both"/>
        <w:rPr>
          <w:rFonts w:ascii="Verdana" w:eastAsia="Yu Gothic UI Semibold" w:hAnsi="Verdana" w:cs="Arial"/>
          <w:b/>
          <w:bCs/>
          <w:color w:val="000000" w:themeColor="text1"/>
          <w:lang w:val="es-MX"/>
        </w:rPr>
      </w:pPr>
    </w:p>
    <w:p w14:paraId="4F358413" w14:textId="77777777" w:rsidR="001B532B" w:rsidRPr="00EA2CFE" w:rsidRDefault="001B532B" w:rsidP="001B532B">
      <w:pPr>
        <w:contextualSpacing/>
        <w:jc w:val="both"/>
        <w:rPr>
          <w:rFonts w:ascii="Verdana" w:eastAsia="Yu Gothic UI Semibold" w:hAnsi="Verdana" w:cs="Arial"/>
          <w:b/>
          <w:bCs/>
          <w:color w:val="000000" w:themeColor="text1"/>
          <w:sz w:val="20"/>
          <w:szCs w:val="20"/>
          <w:lang w:val="es-MX"/>
        </w:rPr>
      </w:pPr>
      <w:r w:rsidRPr="00EA2CFE">
        <w:rPr>
          <w:rFonts w:ascii="Verdana" w:eastAsia="Calibri" w:hAnsi="Verdana" w:cs="Arial"/>
          <w:bCs/>
          <w:sz w:val="20"/>
          <w:szCs w:val="20"/>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w:t>
      </w:r>
      <w:r>
        <w:rPr>
          <w:rFonts w:ascii="Verdana" w:eastAsia="Calibri" w:hAnsi="Verdana" w:cs="Arial"/>
          <w:bCs/>
          <w:sz w:val="20"/>
          <w:szCs w:val="20"/>
          <w:lang w:val="es-MX"/>
        </w:rPr>
        <w:t>“</w:t>
      </w:r>
      <w:r w:rsidRPr="00EA2CFE">
        <w:rPr>
          <w:rFonts w:ascii="Verdana" w:eastAsia="Calibri" w:hAnsi="Verdana" w:cs="Arial"/>
          <w:bCs/>
          <w:sz w:val="20"/>
          <w:szCs w:val="20"/>
          <w:lang w:val="es-MX"/>
        </w:rPr>
        <w:t>impedir la discriminación constituida por el despido, la terminación o la no renovación del contrato por causa o con ocasión del embarazo o la lactancia</w:t>
      </w:r>
      <w:r>
        <w:rPr>
          <w:rFonts w:ascii="Verdana" w:eastAsia="Calibri" w:hAnsi="Verdana" w:cs="Arial"/>
          <w:bCs/>
          <w:sz w:val="20"/>
          <w:szCs w:val="20"/>
          <w:lang w:val="es-MX"/>
        </w:rPr>
        <w:t>”</w:t>
      </w:r>
      <w:r w:rsidRPr="00EA2CFE">
        <w:rPr>
          <w:rFonts w:ascii="Verdana" w:eastAsia="Calibri" w:hAnsi="Verdana" w:cs="Arial"/>
          <w:bCs/>
          <w:sz w:val="20"/>
          <w:szCs w:val="20"/>
          <w:lang w:val="es-MX"/>
        </w:rPr>
        <w:t>.</w:t>
      </w:r>
    </w:p>
    <w:p w14:paraId="5318B714" w14:textId="77777777" w:rsidR="001B532B" w:rsidRPr="00EA2CFE" w:rsidRDefault="001B532B" w:rsidP="001B532B">
      <w:pPr>
        <w:contextualSpacing/>
        <w:jc w:val="both"/>
        <w:rPr>
          <w:rFonts w:ascii="Verdana" w:eastAsia="Yu Gothic UI Semibold" w:hAnsi="Verdana" w:cs="Arial"/>
          <w:b/>
          <w:bCs/>
          <w:color w:val="000000" w:themeColor="text1"/>
          <w:sz w:val="20"/>
          <w:szCs w:val="20"/>
          <w:lang w:val="es-MX"/>
        </w:rPr>
      </w:pPr>
    </w:p>
    <w:p w14:paraId="76345381" w14:textId="77777777" w:rsidR="001B532B" w:rsidRPr="00EA2CFE" w:rsidRDefault="001B532B" w:rsidP="001B532B">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ESTABILIDAD LABORAL REFORZADA DE MUJER EMBARAZADA – Unificación jurisprudencial </w:t>
      </w:r>
    </w:p>
    <w:p w14:paraId="50746284" w14:textId="77777777" w:rsidR="001B532B" w:rsidRPr="00EA2CFE" w:rsidRDefault="001B532B" w:rsidP="001B532B">
      <w:pPr>
        <w:contextualSpacing/>
        <w:jc w:val="both"/>
        <w:rPr>
          <w:rFonts w:ascii="Verdana" w:eastAsia="Yu Gothic UI Semibold" w:hAnsi="Verdana" w:cs="Arial"/>
          <w:b/>
          <w:bCs/>
          <w:color w:val="000000" w:themeColor="text1"/>
          <w:sz w:val="20"/>
          <w:szCs w:val="20"/>
          <w:lang w:val="es-MX"/>
        </w:rPr>
      </w:pPr>
    </w:p>
    <w:p w14:paraId="1BF4361A" w14:textId="77777777" w:rsidR="001B532B" w:rsidRPr="00EA2CFE" w:rsidRDefault="001B532B" w:rsidP="001B532B">
      <w:pPr>
        <w:contextualSpacing/>
        <w:jc w:val="both"/>
        <w:rPr>
          <w:rFonts w:ascii="Verdana" w:eastAsia="Yu Gothic UI Semibold" w:hAnsi="Verdana" w:cs="Arial"/>
          <w:sz w:val="20"/>
          <w:szCs w:val="20"/>
          <w:shd w:val="clear" w:color="auto" w:fill="FFFFFF"/>
          <w:lang w:val="es-ES_tradnl"/>
        </w:rPr>
      </w:pPr>
      <w:r w:rsidRPr="00EA2CFE">
        <w:rPr>
          <w:rFonts w:ascii="Verdana" w:eastAsia="Yu Gothic UI Semibold" w:hAnsi="Verdana" w:cs="Arial"/>
          <w:sz w:val="20"/>
          <w:szCs w:val="20"/>
          <w:shd w:val="clear" w:color="auto" w:fill="FFFFFF"/>
          <w:lang w:val="es-ES_tradnl"/>
        </w:rPr>
        <w:t xml:space="preserve">[…] </w:t>
      </w:r>
      <w:r w:rsidRPr="00EA2CFE">
        <w:rPr>
          <w:rFonts w:ascii="Verdana" w:eastAsia="Yu Gothic UI Semibold" w:hAnsi="Verdana" w:cs="Arial"/>
          <w:sz w:val="20"/>
          <w:szCs w:val="20"/>
        </w:rPr>
        <w:t>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EA2CFE">
        <w:rPr>
          <w:rFonts w:ascii="Verdana" w:eastAsia="Yu Gothic UI Semibold" w:hAnsi="Verdana" w:cs="Arial"/>
          <w:i/>
          <w:sz w:val="20"/>
          <w:szCs w:val="20"/>
        </w:rPr>
        <w:t xml:space="preserve">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fuero de maternidad</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w:t>
      </w:r>
      <w:r w:rsidRPr="00EA2CFE">
        <w:rPr>
          <w:rFonts w:ascii="Verdana" w:eastAsia="Yu Gothic UI Semibold" w:hAnsi="Verdana" w:cs="Arial"/>
          <w:sz w:val="20"/>
          <w:szCs w:val="20"/>
        </w:rPr>
        <w:t xml:space="preserve"> encuentra también su sustento en la cláusula general de igualdad de la Constitución </w:t>
      </w:r>
      <w:r>
        <w:rPr>
          <w:rFonts w:ascii="Verdana" w:eastAsia="Yu Gothic UI Semibold" w:hAnsi="Verdana" w:cs="Arial"/>
          <w:i/>
          <w:sz w:val="20"/>
          <w:szCs w:val="20"/>
          <w:lang w:eastAsia="es-MX"/>
        </w:rPr>
        <w:t>“</w:t>
      </w:r>
      <w:r w:rsidRPr="00EA2CFE">
        <w:rPr>
          <w:rFonts w:ascii="Verdana" w:eastAsia="Yu Gothic UI Semibold" w:hAnsi="Verdana" w:cs="Arial"/>
          <w:i/>
          <w:sz w:val="20"/>
          <w:szCs w:val="20"/>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sz w:val="20"/>
          <w:szCs w:val="20"/>
          <w:lang w:eastAsia="es-MX"/>
        </w:rPr>
        <w:t>”</w:t>
      </w:r>
    </w:p>
    <w:p w14:paraId="02CC3640" w14:textId="77777777" w:rsidR="001B532B" w:rsidRPr="00EA2CFE" w:rsidRDefault="001B532B" w:rsidP="001B532B">
      <w:pPr>
        <w:contextualSpacing/>
        <w:rPr>
          <w:rFonts w:ascii="Verdana" w:hAnsi="Verdana" w:cs="Arial"/>
          <w:sz w:val="20"/>
          <w:szCs w:val="20"/>
        </w:rPr>
      </w:pPr>
    </w:p>
    <w:p w14:paraId="6F49EE91" w14:textId="77777777" w:rsidR="001B532B" w:rsidRPr="00EA2CFE" w:rsidRDefault="001B532B" w:rsidP="001B532B">
      <w:pPr>
        <w:contextualSpacing/>
        <w:jc w:val="both"/>
        <w:rPr>
          <w:rFonts w:ascii="Verdana" w:eastAsia="Yu Gothic UI Semibold" w:hAnsi="Verdana" w:cs="Arial"/>
          <w:b/>
          <w:bCs/>
          <w:color w:val="000000" w:themeColor="text1"/>
          <w:sz w:val="20"/>
          <w:szCs w:val="20"/>
          <w:lang w:val="es-MX"/>
        </w:rPr>
      </w:pPr>
      <w:r w:rsidRPr="00EA2CFE">
        <w:rPr>
          <w:rFonts w:ascii="Verdana" w:eastAsia="Yu Gothic UI Semibold" w:hAnsi="Verdana" w:cs="Arial"/>
          <w:b/>
          <w:bCs/>
          <w:color w:val="000000" w:themeColor="text1"/>
          <w:lang w:val="es-MX"/>
        </w:rPr>
        <w:t>ESTABILIDAD LABORAL REFORZADA DE MUJER EMBARAZADA – Procedencia</w:t>
      </w:r>
    </w:p>
    <w:p w14:paraId="02522F29" w14:textId="77777777" w:rsidR="001B532B" w:rsidRPr="00EA2CFE" w:rsidRDefault="001B532B" w:rsidP="001B532B">
      <w:pPr>
        <w:contextualSpacing/>
        <w:jc w:val="both"/>
        <w:rPr>
          <w:rFonts w:ascii="Verdana" w:hAnsi="Verdana" w:cs="Arial"/>
          <w:sz w:val="20"/>
          <w:szCs w:val="20"/>
        </w:rPr>
      </w:pPr>
    </w:p>
    <w:p w14:paraId="25E7F377" w14:textId="77777777" w:rsidR="001B532B" w:rsidRPr="00EA2CFE" w:rsidRDefault="001B532B" w:rsidP="001B532B">
      <w:pPr>
        <w:widowControl w:val="0"/>
        <w:autoSpaceDE w:val="0"/>
        <w:autoSpaceDN w:val="0"/>
        <w:contextualSpacing/>
        <w:jc w:val="both"/>
        <w:rPr>
          <w:rFonts w:ascii="Verdana" w:eastAsia="Arial" w:hAnsi="Verdana" w:cs="Arial"/>
          <w:sz w:val="20"/>
          <w:szCs w:val="20"/>
          <w:lang w:val="es-ES"/>
        </w:rPr>
      </w:pPr>
      <w:r w:rsidRPr="00EA2CFE">
        <w:rPr>
          <w:rFonts w:ascii="Verdana" w:eastAsia="Arial" w:hAnsi="Verdana" w:cs="Arial"/>
          <w:sz w:val="20"/>
          <w:szCs w:val="20"/>
          <w:lang w:val="es-ES"/>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EA2CFE">
        <w:rPr>
          <w:rFonts w:ascii="Verdana" w:eastAsia="Arial" w:hAnsi="Verdana" w:cs="Arial"/>
          <w:sz w:val="20"/>
          <w:szCs w:val="20"/>
          <w:lang w:val="es-ES"/>
        </w:rPr>
        <w:t>ii</w:t>
      </w:r>
      <w:proofErr w:type="spellEnd"/>
      <w:r w:rsidRPr="00EA2CFE">
        <w:rPr>
          <w:rFonts w:ascii="Verdana" w:eastAsia="Arial" w:hAnsi="Verdana" w:cs="Arial"/>
          <w:sz w:val="20"/>
          <w:szCs w:val="20"/>
          <w:lang w:val="es-ES"/>
        </w:rPr>
        <w:t>) cuando a pesar de no probarse la configuración de un contrato realidad la terminación del contrato de prestación de servicios se fundamenta en criterios discriminatorios, y no en motivos objetivos.</w:t>
      </w:r>
    </w:p>
    <w:p w14:paraId="4E73DF38" w14:textId="77777777" w:rsidR="001B532B" w:rsidRPr="00EA2CFE" w:rsidRDefault="001B532B" w:rsidP="001B532B">
      <w:pPr>
        <w:widowControl w:val="0"/>
        <w:autoSpaceDE w:val="0"/>
        <w:autoSpaceDN w:val="0"/>
        <w:contextualSpacing/>
        <w:jc w:val="both"/>
        <w:rPr>
          <w:rFonts w:ascii="Verdana" w:eastAsia="Arial" w:hAnsi="Verdana" w:cs="Arial"/>
          <w:sz w:val="20"/>
          <w:szCs w:val="20"/>
          <w:lang w:val="es-ES"/>
        </w:rPr>
      </w:pPr>
    </w:p>
    <w:p w14:paraId="4E4740A8" w14:textId="77777777" w:rsidR="001B532B" w:rsidRPr="00EA2CFE" w:rsidRDefault="001B532B" w:rsidP="001B532B">
      <w:pPr>
        <w:contextualSpacing/>
        <w:jc w:val="both"/>
        <w:rPr>
          <w:rFonts w:ascii="Verdana" w:eastAsia="Yu Gothic UI Semibold" w:hAnsi="Verdana" w:cs="Arial"/>
          <w:b/>
          <w:bCs/>
          <w:color w:val="000000" w:themeColor="text1"/>
          <w:lang w:val="es-MX"/>
        </w:rPr>
      </w:pPr>
      <w:r w:rsidRPr="00EA2CFE">
        <w:rPr>
          <w:rFonts w:ascii="Verdana" w:eastAsia="Yu Gothic UI Semibold" w:hAnsi="Verdana" w:cs="Arial"/>
          <w:b/>
          <w:bCs/>
          <w:color w:val="000000" w:themeColor="text1"/>
          <w:lang w:val="es-MX"/>
        </w:rPr>
        <w:t xml:space="preserve">SUSPENSIÓN DEL CONTRATO – Estado de embarazo y licencia de maternidad </w:t>
      </w:r>
    </w:p>
    <w:p w14:paraId="1E885AA7" w14:textId="77777777" w:rsidR="001B532B" w:rsidRPr="00EA2CFE" w:rsidRDefault="001B532B" w:rsidP="001B532B">
      <w:pPr>
        <w:contextualSpacing/>
        <w:jc w:val="both"/>
        <w:rPr>
          <w:rFonts w:ascii="Verdana" w:hAnsi="Verdana" w:cs="Arial"/>
          <w:sz w:val="20"/>
          <w:szCs w:val="20"/>
        </w:rPr>
      </w:pPr>
    </w:p>
    <w:p w14:paraId="700A888A" w14:textId="77777777" w:rsidR="001B532B" w:rsidRPr="00A107C9" w:rsidRDefault="001B532B" w:rsidP="001B532B">
      <w:pPr>
        <w:contextualSpacing/>
        <w:jc w:val="both"/>
        <w:rPr>
          <w:rFonts w:ascii="Verdana" w:hAnsi="Verdana" w:cs="Arial"/>
          <w:sz w:val="20"/>
          <w:szCs w:val="20"/>
          <w:shd w:val="clear" w:color="auto" w:fill="FFFFFF"/>
        </w:rPr>
      </w:pPr>
      <w:r w:rsidRPr="00A107C9">
        <w:rPr>
          <w:rFonts w:ascii="Verdana" w:hAnsi="Verdana" w:cs="Arial"/>
          <w:sz w:val="20"/>
          <w:szCs w:val="20"/>
        </w:rPr>
        <w:lastRenderedPageBreak/>
        <w:t>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w:t>
      </w:r>
      <w:r w:rsidRPr="00A107C9">
        <w:rPr>
          <w:rFonts w:ascii="Verdana" w:hAnsi="Verdana" w:cs="Arial"/>
          <w:sz w:val="20"/>
          <w:szCs w:val="20"/>
          <w:shd w:val="clear" w:color="auto" w:fill="FFFFFF"/>
        </w:rPr>
        <w:t xml:space="preserve"> En ese sentido, si a pesar de la licencia, las partes acuerdan no suspender el contrato y la contratista acredita el cumplimiento de las actividades contratadas, habría lugar al pago de honorarios, pues el objeto contractual estaría siendo ejecutado. Por el contrario, </w:t>
      </w:r>
      <w:r w:rsidRPr="00720017">
        <w:rPr>
          <w:rStyle w:val="Textoennegrita"/>
          <w:rFonts w:ascii="Verdana" w:hAnsi="Verdana" w:cs="Arial"/>
          <w:sz w:val="20"/>
          <w:szCs w:val="20"/>
          <w:shd w:val="clear" w:color="auto" w:fill="FFFFFF"/>
        </w:rPr>
        <w:t>si deciden suspenderlo, teniendo en cuenta que no se estarían cumpliendo las obligaciones contractuales no habría lugar al pago de honorarios y la prestación económica sería asumida por el Sistema General de Seguridad Social en salud, es decir, estaría a cargo de las EPS.</w:t>
      </w:r>
      <w:r w:rsidRPr="00A107C9">
        <w:rPr>
          <w:rStyle w:val="Textoennegrita"/>
          <w:rFonts w:ascii="Verdana" w:hAnsi="Verdana" w:cs="Arial"/>
          <w:sz w:val="20"/>
          <w:szCs w:val="20"/>
          <w:shd w:val="clear" w:color="auto" w:fill="FFFFFF"/>
        </w:rPr>
        <w:t xml:space="preserve"> </w:t>
      </w:r>
    </w:p>
    <w:p w14:paraId="3802723A" w14:textId="77777777" w:rsidR="001B532B" w:rsidRDefault="001B532B" w:rsidP="00E245AB">
      <w:pPr>
        <w:spacing w:after="0"/>
        <w:rPr>
          <w:rFonts w:ascii="Verdana" w:hAnsi="Verdana"/>
        </w:rPr>
      </w:pPr>
    </w:p>
    <w:p w14:paraId="7B9FCB4A" w14:textId="77777777" w:rsidR="001B532B" w:rsidRDefault="001B532B" w:rsidP="00E245AB">
      <w:pPr>
        <w:spacing w:after="0"/>
        <w:rPr>
          <w:rFonts w:ascii="Verdana" w:hAnsi="Verdana"/>
        </w:rPr>
      </w:pPr>
    </w:p>
    <w:p w14:paraId="03312B85" w14:textId="77777777" w:rsidR="001B532B" w:rsidRDefault="001B532B" w:rsidP="00E245AB">
      <w:pPr>
        <w:spacing w:after="0"/>
        <w:rPr>
          <w:rFonts w:ascii="Verdana" w:hAnsi="Verdana"/>
        </w:rPr>
      </w:pPr>
    </w:p>
    <w:p w14:paraId="32DACB30" w14:textId="77777777" w:rsidR="001B532B" w:rsidRDefault="001B532B" w:rsidP="00E245AB">
      <w:pPr>
        <w:spacing w:after="0"/>
        <w:rPr>
          <w:rFonts w:ascii="Verdana" w:hAnsi="Verdana"/>
        </w:rPr>
      </w:pPr>
    </w:p>
    <w:p w14:paraId="5273BC74" w14:textId="77777777" w:rsidR="001B532B" w:rsidRDefault="001B532B" w:rsidP="00E245AB">
      <w:pPr>
        <w:spacing w:after="0"/>
        <w:rPr>
          <w:rFonts w:ascii="Verdana" w:hAnsi="Verdana"/>
        </w:rPr>
      </w:pPr>
    </w:p>
    <w:p w14:paraId="62F10CFE" w14:textId="77777777" w:rsidR="001B532B" w:rsidRDefault="001B532B" w:rsidP="00E245AB">
      <w:pPr>
        <w:spacing w:after="0"/>
        <w:rPr>
          <w:rFonts w:ascii="Verdana" w:hAnsi="Verdana"/>
        </w:rPr>
      </w:pPr>
    </w:p>
    <w:p w14:paraId="29839D7F" w14:textId="77777777" w:rsidR="001B532B" w:rsidRDefault="001B532B" w:rsidP="00E245AB">
      <w:pPr>
        <w:spacing w:after="0"/>
        <w:rPr>
          <w:rFonts w:ascii="Verdana" w:hAnsi="Verdana"/>
        </w:rPr>
      </w:pPr>
    </w:p>
    <w:p w14:paraId="12EE7E3A" w14:textId="77777777" w:rsidR="001B532B" w:rsidRDefault="001B532B" w:rsidP="00E245AB">
      <w:pPr>
        <w:spacing w:after="0"/>
        <w:rPr>
          <w:rFonts w:ascii="Verdana" w:hAnsi="Verdana"/>
        </w:rPr>
      </w:pPr>
    </w:p>
    <w:p w14:paraId="10C6D161" w14:textId="77777777" w:rsidR="001B532B" w:rsidRDefault="001B532B" w:rsidP="00E245AB">
      <w:pPr>
        <w:spacing w:after="0"/>
        <w:rPr>
          <w:rFonts w:ascii="Verdana" w:hAnsi="Verdana"/>
        </w:rPr>
      </w:pPr>
    </w:p>
    <w:p w14:paraId="64618BDF" w14:textId="77777777" w:rsidR="001B532B" w:rsidRDefault="001B532B" w:rsidP="00E245AB">
      <w:pPr>
        <w:spacing w:after="0"/>
        <w:rPr>
          <w:rFonts w:ascii="Verdana" w:hAnsi="Verdana"/>
        </w:rPr>
      </w:pPr>
    </w:p>
    <w:p w14:paraId="660968AC" w14:textId="77777777" w:rsidR="001B532B" w:rsidRDefault="001B532B" w:rsidP="00E245AB">
      <w:pPr>
        <w:spacing w:after="0"/>
        <w:rPr>
          <w:rFonts w:ascii="Verdana" w:hAnsi="Verdana"/>
        </w:rPr>
      </w:pPr>
    </w:p>
    <w:p w14:paraId="5BAD0295" w14:textId="77777777" w:rsidR="001B532B" w:rsidRDefault="001B532B" w:rsidP="00E245AB">
      <w:pPr>
        <w:spacing w:after="0"/>
        <w:rPr>
          <w:rFonts w:ascii="Verdana" w:hAnsi="Verdana"/>
        </w:rPr>
      </w:pPr>
    </w:p>
    <w:p w14:paraId="62CFA893" w14:textId="77777777" w:rsidR="001B532B" w:rsidRDefault="001B532B" w:rsidP="00E245AB">
      <w:pPr>
        <w:spacing w:after="0"/>
        <w:rPr>
          <w:rFonts w:ascii="Verdana" w:hAnsi="Verdana"/>
        </w:rPr>
      </w:pPr>
    </w:p>
    <w:p w14:paraId="630F209A" w14:textId="77777777" w:rsidR="001B532B" w:rsidRDefault="001B532B" w:rsidP="00E245AB">
      <w:pPr>
        <w:spacing w:after="0"/>
        <w:rPr>
          <w:rFonts w:ascii="Verdana" w:hAnsi="Verdana"/>
        </w:rPr>
      </w:pPr>
    </w:p>
    <w:p w14:paraId="232D2CE9" w14:textId="77777777" w:rsidR="001B532B" w:rsidRDefault="001B532B" w:rsidP="00E245AB">
      <w:pPr>
        <w:spacing w:after="0"/>
        <w:rPr>
          <w:rFonts w:ascii="Verdana" w:hAnsi="Verdana"/>
        </w:rPr>
      </w:pPr>
    </w:p>
    <w:p w14:paraId="5BA547D3" w14:textId="77777777" w:rsidR="001B532B" w:rsidRDefault="001B532B" w:rsidP="00E245AB">
      <w:pPr>
        <w:spacing w:after="0"/>
        <w:rPr>
          <w:rFonts w:ascii="Verdana" w:hAnsi="Verdana"/>
        </w:rPr>
      </w:pPr>
    </w:p>
    <w:p w14:paraId="0A15AA1E" w14:textId="77777777" w:rsidR="001B532B" w:rsidRDefault="001B532B" w:rsidP="00E245AB">
      <w:pPr>
        <w:spacing w:after="0"/>
        <w:rPr>
          <w:rFonts w:ascii="Verdana" w:hAnsi="Verdana"/>
        </w:rPr>
      </w:pPr>
    </w:p>
    <w:p w14:paraId="3E0E4FC1" w14:textId="77777777" w:rsidR="001B532B" w:rsidRDefault="001B532B" w:rsidP="00E245AB">
      <w:pPr>
        <w:spacing w:after="0"/>
        <w:rPr>
          <w:rFonts w:ascii="Verdana" w:hAnsi="Verdana"/>
        </w:rPr>
      </w:pPr>
    </w:p>
    <w:p w14:paraId="655F0F01" w14:textId="77777777" w:rsidR="001B532B" w:rsidRDefault="001B532B" w:rsidP="00E245AB">
      <w:pPr>
        <w:spacing w:after="0"/>
        <w:rPr>
          <w:rFonts w:ascii="Verdana" w:hAnsi="Verdana"/>
        </w:rPr>
      </w:pPr>
    </w:p>
    <w:p w14:paraId="548617EC" w14:textId="77777777" w:rsidR="001B532B" w:rsidRDefault="001B532B" w:rsidP="00E245AB">
      <w:pPr>
        <w:spacing w:after="0"/>
        <w:rPr>
          <w:rFonts w:ascii="Verdana" w:hAnsi="Verdana"/>
        </w:rPr>
      </w:pPr>
    </w:p>
    <w:p w14:paraId="2AEB4DDE" w14:textId="77777777" w:rsidR="001B532B" w:rsidRDefault="001B532B" w:rsidP="00E245AB">
      <w:pPr>
        <w:spacing w:after="0"/>
        <w:rPr>
          <w:rFonts w:ascii="Verdana" w:hAnsi="Verdana"/>
        </w:rPr>
      </w:pPr>
    </w:p>
    <w:p w14:paraId="2D4F51BA" w14:textId="77777777" w:rsidR="001B532B" w:rsidRDefault="001B532B" w:rsidP="00E245AB">
      <w:pPr>
        <w:spacing w:after="0"/>
        <w:rPr>
          <w:rFonts w:ascii="Verdana" w:hAnsi="Verdana"/>
        </w:rPr>
      </w:pPr>
    </w:p>
    <w:p w14:paraId="130477C1" w14:textId="77777777" w:rsidR="001B532B" w:rsidRDefault="001B532B" w:rsidP="00E245AB">
      <w:pPr>
        <w:spacing w:after="0"/>
        <w:rPr>
          <w:rFonts w:ascii="Verdana" w:hAnsi="Verdana"/>
        </w:rPr>
      </w:pPr>
    </w:p>
    <w:p w14:paraId="2B5257DB" w14:textId="77777777" w:rsidR="001B532B" w:rsidRDefault="001B532B" w:rsidP="00E245AB">
      <w:pPr>
        <w:spacing w:after="0"/>
        <w:rPr>
          <w:rFonts w:ascii="Verdana" w:hAnsi="Verdana"/>
        </w:rPr>
      </w:pPr>
    </w:p>
    <w:p w14:paraId="75DD2C6B" w14:textId="77777777" w:rsidR="001B532B" w:rsidRDefault="001B532B" w:rsidP="00E245AB">
      <w:pPr>
        <w:spacing w:after="0"/>
        <w:rPr>
          <w:rFonts w:ascii="Verdana" w:hAnsi="Verdana"/>
        </w:rPr>
      </w:pPr>
    </w:p>
    <w:p w14:paraId="69FED3B4" w14:textId="77777777" w:rsidR="001B532B" w:rsidRDefault="001B532B" w:rsidP="00E245AB">
      <w:pPr>
        <w:spacing w:after="0"/>
        <w:rPr>
          <w:rFonts w:ascii="Verdana" w:hAnsi="Verdana"/>
        </w:rPr>
      </w:pPr>
    </w:p>
    <w:p w14:paraId="2A975126" w14:textId="77777777" w:rsidR="001B532B" w:rsidRDefault="001B532B" w:rsidP="00E245AB">
      <w:pPr>
        <w:spacing w:after="0"/>
        <w:rPr>
          <w:rFonts w:ascii="Verdana" w:hAnsi="Verdana"/>
        </w:rPr>
      </w:pPr>
    </w:p>
    <w:p w14:paraId="4681B63C" w14:textId="77777777" w:rsidR="001B532B" w:rsidRDefault="001B532B" w:rsidP="00E245AB">
      <w:pPr>
        <w:spacing w:after="0"/>
        <w:rPr>
          <w:rFonts w:ascii="Verdana" w:hAnsi="Verdana"/>
        </w:rPr>
      </w:pPr>
    </w:p>
    <w:p w14:paraId="1BD4E1A1" w14:textId="77777777" w:rsidR="001B532B" w:rsidRDefault="001B532B" w:rsidP="00E245AB">
      <w:pPr>
        <w:spacing w:after="0"/>
        <w:rPr>
          <w:rFonts w:ascii="Verdana" w:hAnsi="Verdana"/>
        </w:rPr>
      </w:pPr>
    </w:p>
    <w:p w14:paraId="514BAF3B" w14:textId="77777777" w:rsidR="001B532B" w:rsidRDefault="001B532B" w:rsidP="00E245AB">
      <w:pPr>
        <w:spacing w:after="0"/>
        <w:rPr>
          <w:rFonts w:ascii="Verdana" w:hAnsi="Verdana"/>
        </w:rPr>
      </w:pPr>
    </w:p>
    <w:p w14:paraId="3FE2184B" w14:textId="5F8E4A1E" w:rsidR="00E245AB" w:rsidRPr="0044528D" w:rsidRDefault="00897A3A" w:rsidP="00E245AB">
      <w:pPr>
        <w:spacing w:after="0"/>
        <w:rPr>
          <w:rFonts w:ascii="Verdana" w:hAnsi="Verdana"/>
        </w:rPr>
      </w:pPr>
      <w:r w:rsidRPr="0044528D">
        <w:rPr>
          <w:rFonts w:ascii="Verdana" w:hAnsi="Verdana"/>
        </w:rPr>
        <w:lastRenderedPageBreak/>
        <w:t xml:space="preserve">Bogotá D.C., </w:t>
      </w:r>
      <w:r w:rsidR="00C732F8">
        <w:rPr>
          <w:rFonts w:ascii="Verdana" w:hAnsi="Verdana"/>
        </w:rPr>
        <w:t>28 de octubre de 2025</w:t>
      </w:r>
      <w:r w:rsidR="00891928" w:rsidRPr="0044528D">
        <w:rPr>
          <w:rFonts w:ascii="Verdana" w:hAnsi="Verdana"/>
        </w:rPr>
        <w:tab/>
      </w:r>
    </w:p>
    <w:p w14:paraId="5FCADBF9" w14:textId="77777777" w:rsidR="00E245AB" w:rsidRDefault="00E245AB" w:rsidP="00E245AB">
      <w:pPr>
        <w:spacing w:after="0"/>
        <w:rPr>
          <w:rFonts w:ascii="Verdana" w:hAnsi="Verdana"/>
        </w:rPr>
      </w:pPr>
    </w:p>
    <w:p w14:paraId="290A466A" w14:textId="6519A0EC" w:rsidR="00201600" w:rsidRDefault="00C732F8" w:rsidP="00334ED8">
      <w:pPr>
        <w:spacing w:after="0" w:line="240" w:lineRule="auto"/>
        <w:jc w:val="both"/>
        <w:rPr>
          <w:rFonts w:ascii="Verdana" w:eastAsia="Calibri" w:hAnsi="Verdana" w:cs="Arial"/>
          <w:lang w:eastAsia="es-ES"/>
        </w:rPr>
      </w:pPr>
      <w:r w:rsidRPr="00C732F8">
        <w:rPr>
          <w:rFonts w:ascii="Verdana" w:eastAsia="Calibri" w:hAnsi="Verdana" w:cs="Arial"/>
          <w:noProof/>
          <w:lang w:eastAsia="es-ES"/>
        </w:rPr>
        <w:drawing>
          <wp:anchor distT="0" distB="0" distL="114300" distR="114300" simplePos="0" relativeHeight="251659264" behindDoc="1" locked="0" layoutInCell="1" allowOverlap="1" wp14:anchorId="4BD303E5" wp14:editId="4BF74800">
            <wp:simplePos x="0" y="0"/>
            <wp:positionH relativeFrom="column">
              <wp:posOffset>3034399</wp:posOffset>
            </wp:positionH>
            <wp:positionV relativeFrom="paragraph">
              <wp:posOffset>47351</wp:posOffset>
            </wp:positionV>
            <wp:extent cx="3133725" cy="904875"/>
            <wp:effectExtent l="0" t="0" r="9525" b="9525"/>
            <wp:wrapNone/>
            <wp:docPr id="1433929257" name="Imagen 1" descr="Texto&#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3929257" name="Imagen 1" descr="Texto&#10;&#10;El contenido generado por IA puede ser incorrecto."/>
                    <pic:cNvPicPr/>
                  </pic:nvPicPr>
                  <pic:blipFill>
                    <a:blip r:embed="rId10">
                      <a:extLst>
                        <a:ext uri="{28A0092B-C50C-407E-A947-70E740481C1C}">
                          <a14:useLocalDpi xmlns:a14="http://schemas.microsoft.com/office/drawing/2010/main" val="0"/>
                        </a:ext>
                      </a:extLst>
                    </a:blip>
                    <a:stretch>
                      <a:fillRect/>
                    </a:stretch>
                  </pic:blipFill>
                  <pic:spPr>
                    <a:xfrm>
                      <a:off x="0" y="0"/>
                      <a:ext cx="3133725" cy="904875"/>
                    </a:xfrm>
                    <a:prstGeom prst="rect">
                      <a:avLst/>
                    </a:prstGeom>
                  </pic:spPr>
                </pic:pic>
              </a:graphicData>
            </a:graphic>
          </wp:anchor>
        </w:drawing>
      </w:r>
    </w:p>
    <w:p w14:paraId="1F5AC7D3" w14:textId="512A76BA" w:rsidR="00334ED8" w:rsidRPr="00600C93" w:rsidRDefault="00334ED8" w:rsidP="00334ED8">
      <w:pPr>
        <w:spacing w:after="0" w:line="240" w:lineRule="auto"/>
        <w:jc w:val="both"/>
        <w:rPr>
          <w:rFonts w:ascii="Verdana" w:eastAsia="Calibri" w:hAnsi="Verdana" w:cs="Arial"/>
          <w:lang w:eastAsia="es-ES"/>
        </w:rPr>
      </w:pPr>
      <w:r w:rsidRPr="00600C93">
        <w:rPr>
          <w:rFonts w:ascii="Verdana" w:eastAsia="Calibri" w:hAnsi="Verdana" w:cs="Arial"/>
          <w:lang w:eastAsia="es-ES"/>
        </w:rPr>
        <w:t>Señora</w:t>
      </w:r>
      <w:r w:rsidRPr="00600C93">
        <w:rPr>
          <w:rFonts w:ascii="Verdana" w:eastAsia="Calibri" w:hAnsi="Verdana" w:cs="Arial"/>
          <w:lang w:eastAsia="es-ES"/>
        </w:rPr>
        <w:tab/>
      </w:r>
    </w:p>
    <w:p w14:paraId="78B0A0A6" w14:textId="77777777" w:rsidR="00334ED8" w:rsidRPr="00600C93" w:rsidRDefault="00334ED8" w:rsidP="00334ED8">
      <w:pPr>
        <w:spacing w:after="0" w:line="240" w:lineRule="auto"/>
        <w:jc w:val="both"/>
        <w:rPr>
          <w:rFonts w:ascii="Verdana" w:eastAsia="Calibri" w:hAnsi="Verdana" w:cs="Arial"/>
          <w:lang w:eastAsia="es-ES"/>
        </w:rPr>
      </w:pPr>
      <w:r w:rsidRPr="00600C93">
        <w:rPr>
          <w:rFonts w:ascii="Verdana" w:eastAsia="Calibri" w:hAnsi="Verdana" w:cs="Arial"/>
          <w:b/>
          <w:bCs/>
          <w:lang w:eastAsia="es-ES"/>
        </w:rPr>
        <w:t>Lina Paola Cárdenas Coronado</w:t>
      </w:r>
    </w:p>
    <w:p w14:paraId="2B0FE695" w14:textId="77777777" w:rsidR="00334ED8" w:rsidRPr="00600C93" w:rsidRDefault="00334ED8" w:rsidP="00334ED8">
      <w:pPr>
        <w:spacing w:after="0" w:line="240" w:lineRule="auto"/>
        <w:rPr>
          <w:rFonts w:ascii="Verdana" w:hAnsi="Verdana"/>
        </w:rPr>
      </w:pPr>
      <w:r w:rsidRPr="00107AC4">
        <w:rPr>
          <w:rFonts w:ascii="Verdana" w:hAnsi="Verdana"/>
        </w:rPr>
        <w:t>linapaola.cardenascoronado@gmail.com</w:t>
      </w:r>
    </w:p>
    <w:p w14:paraId="1C0DB9B9" w14:textId="77777777" w:rsidR="00334ED8" w:rsidRPr="00600C93" w:rsidRDefault="00334ED8" w:rsidP="00334ED8">
      <w:pPr>
        <w:spacing w:after="0" w:line="240" w:lineRule="auto"/>
        <w:rPr>
          <w:rFonts w:ascii="Verdana" w:eastAsia="Calibri" w:hAnsi="Verdana" w:cs="Arial"/>
          <w:color w:val="000000"/>
          <w:lang w:val="es-ES_tradnl" w:eastAsia="es-ES_tradnl"/>
        </w:rPr>
      </w:pPr>
      <w:r w:rsidRPr="00600C93">
        <w:rPr>
          <w:rFonts w:ascii="Verdana" w:eastAsia="Calibri" w:hAnsi="Verdana" w:cs="Arial"/>
          <w:color w:val="000000"/>
          <w:lang w:val="es-ES_tradnl" w:eastAsia="es-ES_tradnl"/>
        </w:rPr>
        <w:t>Bogotá D.C.</w:t>
      </w:r>
    </w:p>
    <w:p w14:paraId="559AAEA5" w14:textId="77777777" w:rsidR="00334ED8" w:rsidRPr="00FE3DEC" w:rsidRDefault="00334ED8" w:rsidP="00334ED8">
      <w:pPr>
        <w:spacing w:after="0" w:line="240" w:lineRule="auto"/>
        <w:rPr>
          <w:rFonts w:ascii="Verdana" w:eastAsia="Calibri" w:hAnsi="Verdana" w:cs="Arial"/>
          <w:color w:val="000000"/>
          <w:lang w:val="es-ES_tradnl" w:eastAsia="es-ES_tradnl"/>
        </w:rPr>
      </w:pPr>
    </w:p>
    <w:p w14:paraId="2A2AD1E0" w14:textId="77777777" w:rsidR="00334ED8" w:rsidRPr="00CC5C68" w:rsidRDefault="00334ED8" w:rsidP="00334ED8">
      <w:pPr>
        <w:spacing w:after="0" w:line="240" w:lineRule="auto"/>
        <w:rPr>
          <w:rFonts w:ascii="Verdana" w:eastAsia="Calibri" w:hAnsi="Verdana" w:cs="Arial"/>
          <w:lang w:val="es-ES_tradnl" w:eastAsia="es-ES_tradnl"/>
        </w:rPr>
      </w:pPr>
    </w:p>
    <w:p w14:paraId="47C2415C" w14:textId="77777777" w:rsidR="00334ED8" w:rsidRPr="00CC5C68" w:rsidRDefault="00334ED8" w:rsidP="00334ED8">
      <w:pPr>
        <w:spacing w:after="0" w:line="240" w:lineRule="auto"/>
        <w:rPr>
          <w:rFonts w:ascii="Verdana" w:eastAsia="Calibri" w:hAnsi="Verdana" w:cs="Arial"/>
          <w:lang w:val="es-ES_tradnl" w:eastAsia="es-ES_tradnl"/>
        </w:rPr>
      </w:pPr>
    </w:p>
    <w:p w14:paraId="02524F1A" w14:textId="77777777" w:rsidR="00334ED8" w:rsidRPr="00CC5C68" w:rsidRDefault="00334ED8" w:rsidP="00334ED8">
      <w:pPr>
        <w:spacing w:after="0" w:line="240" w:lineRule="auto"/>
        <w:ind w:left="2694"/>
        <w:rPr>
          <w:rFonts w:ascii="Verdana" w:eastAsia="Calibri" w:hAnsi="Verdana" w:cs="Arial"/>
          <w:b/>
          <w:bCs/>
          <w:lang w:val="es-ES" w:eastAsia="es-ES_tradnl"/>
        </w:rPr>
      </w:pPr>
      <w:r w:rsidRPr="00CC5C68">
        <w:rPr>
          <w:rFonts w:ascii="Verdana" w:eastAsia="Calibri" w:hAnsi="Verdana" w:cs="Arial"/>
          <w:b/>
          <w:bCs/>
          <w:lang w:val="es-ES" w:eastAsia="es-ES_tradnl"/>
        </w:rPr>
        <w:t>Concepto C-</w:t>
      </w:r>
      <w:r>
        <w:rPr>
          <w:rFonts w:ascii="Verdana" w:eastAsia="Calibri" w:hAnsi="Verdana" w:cs="Arial"/>
          <w:b/>
          <w:bCs/>
          <w:lang w:val="es-ES" w:eastAsia="es-ES_tradnl"/>
        </w:rPr>
        <w:t>1471</w:t>
      </w:r>
      <w:r w:rsidRPr="00CC5C68">
        <w:rPr>
          <w:rFonts w:ascii="Verdana" w:eastAsia="Calibri" w:hAnsi="Verdana" w:cs="Arial"/>
          <w:b/>
          <w:bCs/>
          <w:lang w:val="es-ES" w:eastAsia="es-ES_tradnl"/>
        </w:rPr>
        <w:t xml:space="preserve"> de 202</w:t>
      </w:r>
      <w:r>
        <w:rPr>
          <w:rFonts w:ascii="Verdana" w:eastAsia="Calibri" w:hAnsi="Verdana" w:cs="Arial"/>
          <w:b/>
          <w:bCs/>
          <w:lang w:val="es-ES" w:eastAsia="es-ES_tradnl"/>
        </w:rPr>
        <w:t>5</w:t>
      </w:r>
    </w:p>
    <w:p w14:paraId="2AB14268" w14:textId="77777777" w:rsidR="00334ED8" w:rsidRPr="00CC5C68" w:rsidRDefault="00334ED8" w:rsidP="00334ED8">
      <w:pPr>
        <w:spacing w:after="0" w:line="240" w:lineRule="auto"/>
        <w:jc w:val="both"/>
        <w:rPr>
          <w:rFonts w:ascii="Verdana" w:eastAsia="Calibri" w:hAnsi="Verdana" w:cs="Arial"/>
          <w:lang w:val="es-ES_tradnl" w:eastAsia="es-ES_tradnl"/>
        </w:rPr>
      </w:pPr>
    </w:p>
    <w:tbl>
      <w:tblPr>
        <w:tblStyle w:val="Tablaconcuadrcula"/>
        <w:tblW w:w="8776" w:type="dxa"/>
        <w:jc w:val="right"/>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838"/>
        <w:gridCol w:w="457"/>
        <w:gridCol w:w="5780"/>
        <w:gridCol w:w="382"/>
        <w:gridCol w:w="319"/>
      </w:tblGrid>
      <w:tr w:rsidR="00334ED8" w:rsidRPr="00CC5C68" w14:paraId="58C842CF" w14:textId="77777777" w:rsidTr="00107AC4">
        <w:trPr>
          <w:gridAfter w:val="2"/>
          <w:wAfter w:w="701" w:type="dxa"/>
          <w:jc w:val="right"/>
        </w:trPr>
        <w:tc>
          <w:tcPr>
            <w:tcW w:w="1838" w:type="dxa"/>
          </w:tcPr>
          <w:p w14:paraId="6D4D5ED5" w14:textId="77777777" w:rsidR="00334ED8" w:rsidRPr="00CC5C68" w:rsidRDefault="00334ED8" w:rsidP="00107AC4">
            <w:pPr>
              <w:jc w:val="center"/>
              <w:rPr>
                <w:rFonts w:ascii="Verdana" w:eastAsia="Calibri" w:hAnsi="Verdana" w:cs="Arial"/>
                <w:lang w:val="es-ES_tradnl" w:eastAsia="es-ES_tradnl"/>
              </w:rPr>
            </w:pPr>
            <w:r w:rsidRPr="00CC5C68">
              <w:rPr>
                <w:rFonts w:ascii="Verdana" w:eastAsia="Calibri" w:hAnsi="Verdana" w:cs="Arial"/>
                <w:b/>
                <w:lang w:val="es-ES_tradnl" w:eastAsia="es-ES_tradnl"/>
              </w:rPr>
              <w:t>Temas:</w:t>
            </w:r>
          </w:p>
        </w:tc>
        <w:tc>
          <w:tcPr>
            <w:tcW w:w="6237" w:type="dxa"/>
            <w:gridSpan w:val="2"/>
          </w:tcPr>
          <w:p w14:paraId="4C3BF40F" w14:textId="77777777" w:rsidR="00334ED8" w:rsidRDefault="00334ED8" w:rsidP="00107AC4">
            <w:pPr>
              <w:jc w:val="both"/>
              <w:textAlignment w:val="baseline"/>
              <w:rPr>
                <w:rFonts w:ascii="Verdana" w:eastAsia="Times New Roman" w:hAnsi="Verdana" w:cs="Arial"/>
                <w:lang w:eastAsia="es-ES_tradnl"/>
              </w:rPr>
            </w:pPr>
            <w:r w:rsidRPr="00EA2CFE">
              <w:rPr>
                <w:rFonts w:ascii="Verdana" w:eastAsia="Times New Roman" w:hAnsi="Verdana" w:cs="Arial"/>
                <w:lang w:eastAsia="es-ES_tradnl"/>
              </w:rPr>
              <w:t>ESTABILIDAD LABORAL REFORZADA DE MUJER EMBARAZADA – Concepto / ESTABILIDAD LABORAL REFORZADA DE MUJER EMBARAZADA – Unificación jurisprudencial / ESTABILIDAD LABORAL REFORZADA DE MUJER EMBARAZADA – Procedencia / SUSPENSIÓN DEL CONTRATO – Estado de embarazo y licencia de maternidad</w:t>
            </w:r>
            <w:r>
              <w:rPr>
                <w:rFonts w:ascii="Verdana" w:eastAsia="Times New Roman" w:hAnsi="Verdana" w:cs="Arial"/>
                <w:lang w:eastAsia="es-ES_tradnl"/>
              </w:rPr>
              <w:t>.</w:t>
            </w:r>
          </w:p>
          <w:p w14:paraId="330EC5D5" w14:textId="77777777" w:rsidR="00334ED8" w:rsidRPr="00CC5C68" w:rsidRDefault="00334ED8" w:rsidP="00107AC4">
            <w:pPr>
              <w:jc w:val="both"/>
              <w:textAlignment w:val="baseline"/>
              <w:rPr>
                <w:rFonts w:ascii="Verdana" w:eastAsia="Times New Roman" w:hAnsi="Verdana" w:cs="Arial"/>
                <w:lang w:val="es-ES_tradnl" w:eastAsia="es-ES_tradnl"/>
              </w:rPr>
            </w:pPr>
          </w:p>
        </w:tc>
      </w:tr>
      <w:tr w:rsidR="00334ED8" w:rsidRPr="00593A5F" w14:paraId="6F65862D" w14:textId="77777777" w:rsidTr="00107AC4">
        <w:tblPrEx>
          <w:jc w:val="left"/>
        </w:tblPrEx>
        <w:trPr>
          <w:trHeight w:val="545"/>
        </w:trPr>
        <w:tc>
          <w:tcPr>
            <w:tcW w:w="2295" w:type="dxa"/>
            <w:gridSpan w:val="2"/>
          </w:tcPr>
          <w:p w14:paraId="15B7F584" w14:textId="77777777" w:rsidR="00334ED8" w:rsidRPr="006730E9" w:rsidRDefault="00334ED8" w:rsidP="00107AC4">
            <w:pPr>
              <w:jc w:val="both"/>
              <w:rPr>
                <w:rFonts w:ascii="Verdana" w:eastAsia="Calibri" w:hAnsi="Verdana" w:cs="Arial"/>
                <w:b/>
                <w:lang w:val="es-ES_tradnl" w:eastAsia="es-ES_tradnl"/>
              </w:rPr>
            </w:pPr>
            <w:r w:rsidRPr="006730E9">
              <w:rPr>
                <w:rFonts w:ascii="Verdana" w:eastAsia="Calibri" w:hAnsi="Verdana" w:cs="Arial"/>
                <w:b/>
                <w:lang w:val="es-ES_tradnl" w:eastAsia="es-ES_tradnl"/>
              </w:rPr>
              <w:t>Radicación:</w:t>
            </w:r>
            <w:r w:rsidRPr="006730E9">
              <w:rPr>
                <w:rFonts w:ascii="Verdana" w:eastAsia="Calibri" w:hAnsi="Verdana" w:cs="Arial"/>
                <w:lang w:val="es-ES_tradnl" w:eastAsia="es-ES_tradnl"/>
              </w:rPr>
              <w:t xml:space="preserve">               </w:t>
            </w:r>
          </w:p>
        </w:tc>
        <w:tc>
          <w:tcPr>
            <w:tcW w:w="6481" w:type="dxa"/>
            <w:gridSpan w:val="3"/>
          </w:tcPr>
          <w:p w14:paraId="4D527529" w14:textId="2611F768" w:rsidR="00334ED8" w:rsidRPr="006730E9" w:rsidRDefault="00334ED8" w:rsidP="00107AC4">
            <w:pPr>
              <w:jc w:val="both"/>
              <w:rPr>
                <w:rFonts w:ascii="Verdana" w:eastAsia="Calibri" w:hAnsi="Verdana" w:cs="Arial"/>
                <w:lang w:val="es-ES_tradnl" w:eastAsia="es-ES_tradnl"/>
              </w:rPr>
            </w:pPr>
            <w:r w:rsidRPr="007121A5">
              <w:rPr>
                <w:rFonts w:ascii="Verdana" w:eastAsia="Calibri" w:hAnsi="Verdana" w:cs="Arial"/>
                <w:lang w:val="es-ES_tradnl" w:eastAsia="es-ES_tradnl"/>
              </w:rPr>
              <w:t xml:space="preserve">Respuesta a consulta con radicado No. </w:t>
            </w:r>
            <w:r w:rsidRPr="00BA6C20">
              <w:rPr>
                <w:rFonts w:ascii="Verdana" w:eastAsia="Calibri" w:hAnsi="Verdana" w:cs="Arial"/>
                <w:lang w:val="es-ES_tradnl" w:eastAsia="es-ES_tradnl"/>
              </w:rPr>
              <w:t>1_2025_10_08_011261</w:t>
            </w:r>
          </w:p>
        </w:tc>
      </w:tr>
      <w:tr w:rsidR="00334ED8" w:rsidRPr="00DB23D2" w14:paraId="40BF3615" w14:textId="77777777" w:rsidTr="00107AC4">
        <w:tblPrEx>
          <w:jc w:val="left"/>
        </w:tblPrEx>
        <w:trPr>
          <w:gridAfter w:val="1"/>
          <w:wAfter w:w="319" w:type="dxa"/>
          <w:trHeight w:val="242"/>
        </w:trPr>
        <w:tc>
          <w:tcPr>
            <w:tcW w:w="8457" w:type="dxa"/>
            <w:gridSpan w:val="4"/>
          </w:tcPr>
          <w:p w14:paraId="24D955D9" w14:textId="77777777" w:rsidR="00334ED8" w:rsidRPr="00DB23D2" w:rsidRDefault="00334ED8" w:rsidP="00107AC4">
            <w:pPr>
              <w:spacing w:after="120" w:line="276" w:lineRule="auto"/>
              <w:jc w:val="both"/>
              <w:rPr>
                <w:rFonts w:ascii="Verdana" w:eastAsia="Calibri" w:hAnsi="Verdana" w:cs="Arial"/>
                <w:lang w:val="es-ES_tradnl" w:eastAsia="es-ES"/>
              </w:rPr>
            </w:pPr>
          </w:p>
        </w:tc>
      </w:tr>
    </w:tbl>
    <w:p w14:paraId="028A8BB7" w14:textId="77777777" w:rsidR="00334ED8" w:rsidRPr="006730E9" w:rsidRDefault="00334ED8" w:rsidP="00334ED8">
      <w:pPr>
        <w:spacing w:after="0" w:line="276" w:lineRule="auto"/>
        <w:jc w:val="both"/>
        <w:rPr>
          <w:rFonts w:ascii="Verdana" w:eastAsia="Calibri" w:hAnsi="Verdana" w:cs="Arial"/>
          <w:lang w:val="es-ES" w:eastAsia="es-ES"/>
        </w:rPr>
      </w:pPr>
      <w:r w:rsidRPr="006730E9">
        <w:rPr>
          <w:rFonts w:ascii="Verdana" w:eastAsia="Calibri" w:hAnsi="Verdana" w:cs="Arial"/>
          <w:lang w:val="es-ES" w:eastAsia="es-ES"/>
        </w:rPr>
        <w:t>Estimad</w:t>
      </w:r>
      <w:r>
        <w:rPr>
          <w:rFonts w:ascii="Verdana" w:eastAsia="Calibri" w:hAnsi="Verdana" w:cs="Arial"/>
          <w:lang w:val="es-ES" w:eastAsia="es-ES"/>
        </w:rPr>
        <w:t xml:space="preserve">a </w:t>
      </w:r>
      <w:r w:rsidRPr="006730E9">
        <w:rPr>
          <w:rFonts w:ascii="Verdana" w:eastAsia="Calibri" w:hAnsi="Verdana" w:cs="Arial"/>
          <w:lang w:val="es-ES" w:eastAsia="es-ES"/>
        </w:rPr>
        <w:t>señor</w:t>
      </w:r>
      <w:r>
        <w:rPr>
          <w:rFonts w:ascii="Verdana" w:eastAsia="Calibri" w:hAnsi="Verdana" w:cs="Arial"/>
          <w:lang w:val="es-ES" w:eastAsia="es-ES"/>
        </w:rPr>
        <w:t>a Cárdenas;</w:t>
      </w:r>
    </w:p>
    <w:p w14:paraId="181E94EB" w14:textId="77777777" w:rsidR="00334ED8" w:rsidRDefault="00334ED8" w:rsidP="00334ED8">
      <w:pPr>
        <w:tabs>
          <w:tab w:val="left" w:pos="3768"/>
        </w:tabs>
        <w:spacing w:after="0" w:line="276" w:lineRule="auto"/>
        <w:jc w:val="both"/>
        <w:rPr>
          <w:rFonts w:ascii="Verdana" w:eastAsia="Calibri" w:hAnsi="Verdana" w:cs="Arial"/>
          <w:color w:val="000000" w:themeColor="text1"/>
          <w:lang w:val="es-ES" w:eastAsia="es-ES"/>
        </w:rPr>
      </w:pPr>
      <w:r>
        <w:rPr>
          <w:rFonts w:ascii="Verdana" w:eastAsia="Calibri" w:hAnsi="Verdana" w:cs="Arial"/>
          <w:color w:val="000000" w:themeColor="text1"/>
          <w:lang w:val="es-ES" w:eastAsia="es-ES"/>
        </w:rPr>
        <w:tab/>
      </w:r>
    </w:p>
    <w:p w14:paraId="6843C001" w14:textId="01D24B66" w:rsidR="00334ED8" w:rsidRPr="006730E9" w:rsidRDefault="00ED62B8" w:rsidP="00334ED8">
      <w:pPr>
        <w:spacing w:after="0" w:line="276" w:lineRule="auto"/>
        <w:jc w:val="both"/>
        <w:rPr>
          <w:rFonts w:ascii="Verdana" w:eastAsia="Calibri" w:hAnsi="Verdana" w:cs="Arial"/>
          <w:lang w:val="es-ES" w:eastAsia="es-ES"/>
        </w:rPr>
      </w:pPr>
      <w:r w:rsidRPr="00593A5F">
        <w:rPr>
          <w:rFonts w:ascii="Verdana" w:eastAsia="Calibri" w:hAnsi="Verdana" w:cs="Arial"/>
          <w:color w:val="000000" w:themeColor="text1"/>
          <w:lang w:val="es-ES" w:eastAsia="es-ES"/>
        </w:rPr>
        <w:t>En ejercicio de la competencia otorgada por los artículos 3, numeral 5º, y 11, numeral 8º, del Decreto Ley 4170 de 2011,</w:t>
      </w:r>
      <w:r w:rsidRPr="00593A5F">
        <w:rPr>
          <w:rFonts w:ascii="Verdana" w:eastAsia="Arial MT" w:hAnsi="Verdana" w:cs="Arial MT"/>
          <w:lang w:val="es-ES" w:eastAsia="es-ES"/>
        </w:rPr>
        <w:t xml:space="preserve"> </w:t>
      </w:r>
      <w:r w:rsidRPr="00593A5F">
        <w:rPr>
          <w:rFonts w:ascii="Verdana" w:hAnsi="Verdana" w:cs="Arial"/>
        </w:rPr>
        <w:t xml:space="preserve">así como lo establecido en </w:t>
      </w:r>
      <w:r>
        <w:rPr>
          <w:rFonts w:ascii="Verdana" w:hAnsi="Verdana" w:cs="Arial"/>
        </w:rPr>
        <w:t xml:space="preserve">el artículo 4 de </w:t>
      </w:r>
      <w:r w:rsidRPr="00593A5F">
        <w:rPr>
          <w:rFonts w:ascii="Verdana" w:hAnsi="Verdana" w:cs="Arial"/>
        </w:rPr>
        <w:t xml:space="preserve">la Resolución 1707 de 2018 expedida por esta Entidad, </w:t>
      </w:r>
      <w:r w:rsidRPr="00593A5F">
        <w:rPr>
          <w:rFonts w:ascii="Verdana" w:eastAsia="Calibri" w:hAnsi="Verdana" w:cs="Arial"/>
          <w:color w:val="000000" w:themeColor="text1"/>
          <w:lang w:val="es-ES" w:eastAsia="es-ES"/>
        </w:rPr>
        <w:t>la Agencia Nacional de Contratación Pública – Colombia Compra Eficiente– responde su solicitud de</w:t>
      </w:r>
      <w:r w:rsidR="00334ED8">
        <w:rPr>
          <w:rFonts w:ascii="Verdana" w:eastAsia="Calibri" w:hAnsi="Verdana" w:cs="Arial"/>
          <w:lang w:val="es-ES" w:eastAsia="es-ES"/>
        </w:rPr>
        <w:t xml:space="preserve"> </w:t>
      </w:r>
      <w:r w:rsidR="00F2539C" w:rsidRPr="00F2539C">
        <w:rPr>
          <w:rFonts w:ascii="Verdana" w:eastAsia="Calibri" w:hAnsi="Verdana" w:cs="Arial"/>
          <w:lang w:val="es-ES" w:eastAsia="es-ES"/>
        </w:rPr>
        <w:t xml:space="preserve">consulta de fecha </w:t>
      </w:r>
      <w:r w:rsidR="00F2539C">
        <w:rPr>
          <w:rFonts w:ascii="Verdana" w:eastAsia="Calibri" w:hAnsi="Verdana" w:cs="Arial"/>
          <w:lang w:val="es-ES" w:eastAsia="es-ES"/>
        </w:rPr>
        <w:t>8 de octubre de 2025</w:t>
      </w:r>
      <w:r w:rsidR="00F2539C" w:rsidRPr="00F2539C">
        <w:rPr>
          <w:rFonts w:ascii="Verdana" w:eastAsia="Calibri" w:hAnsi="Verdana" w:cs="Arial"/>
          <w:lang w:val="es-ES" w:eastAsia="es-ES"/>
        </w:rPr>
        <w:t>, en la cual manifiesta lo siguiente:</w:t>
      </w:r>
      <w:r w:rsidR="00334ED8" w:rsidRPr="006730E9">
        <w:rPr>
          <w:rFonts w:ascii="Verdana" w:eastAsia="Calibri" w:hAnsi="Verdana" w:cs="Arial"/>
          <w:lang w:val="es-ES" w:eastAsia="es-ES"/>
        </w:rPr>
        <w:t xml:space="preserve"> </w:t>
      </w:r>
    </w:p>
    <w:p w14:paraId="0A29E5E5" w14:textId="77777777" w:rsidR="00334ED8" w:rsidRPr="00326382" w:rsidRDefault="00334ED8" w:rsidP="00334ED8">
      <w:pPr>
        <w:spacing w:after="0" w:line="240" w:lineRule="auto"/>
        <w:ind w:left="709" w:right="474"/>
        <w:jc w:val="both"/>
        <w:rPr>
          <w:rFonts w:ascii="Verdana" w:hAnsi="Verdana" w:cs="Arial"/>
          <w:sz w:val="20"/>
          <w:szCs w:val="20"/>
          <w:shd w:val="clear" w:color="auto" w:fill="FFFFFF"/>
        </w:rPr>
      </w:pPr>
      <w:bookmarkStart w:id="1" w:name="_Hlk95313578"/>
    </w:p>
    <w:bookmarkEnd w:id="1"/>
    <w:p w14:paraId="04653B84" w14:textId="77777777" w:rsidR="00334ED8" w:rsidRDefault="00334ED8" w:rsidP="00334ED8">
      <w:pPr>
        <w:tabs>
          <w:tab w:val="left" w:pos="142"/>
          <w:tab w:val="left" w:pos="567"/>
        </w:tabs>
        <w:ind w:left="426" w:right="709"/>
        <w:jc w:val="both"/>
        <w:rPr>
          <w:rFonts w:ascii="Verdana" w:eastAsia="Century Gothic" w:hAnsi="Verdana" w:cs="Century Gothic"/>
          <w:i/>
          <w:iCs/>
          <w:sz w:val="20"/>
          <w:szCs w:val="20"/>
        </w:rPr>
      </w:pPr>
      <w:r>
        <w:rPr>
          <w:rFonts w:ascii="Verdana" w:eastAsia="Century Gothic" w:hAnsi="Verdana" w:cs="Century Gothic"/>
          <w:i/>
          <w:iCs/>
        </w:rPr>
        <w:t xml:space="preserve">  “</w:t>
      </w:r>
      <w:r w:rsidRPr="00CD7324">
        <w:rPr>
          <w:rFonts w:ascii="Verdana" w:eastAsia="Century Gothic" w:hAnsi="Verdana" w:cs="Century Gothic"/>
          <w:i/>
          <w:iCs/>
          <w:sz w:val="20"/>
          <w:szCs w:val="20"/>
        </w:rPr>
        <w:t xml:space="preserve">(…) </w:t>
      </w:r>
    </w:p>
    <w:p w14:paraId="3AA8E8B5" w14:textId="77777777" w:rsidR="00334ED8" w:rsidRDefault="00334ED8" w:rsidP="00334ED8">
      <w:pPr>
        <w:pStyle w:val="Prrafodelista"/>
        <w:tabs>
          <w:tab w:val="left" w:pos="142"/>
          <w:tab w:val="left" w:pos="284"/>
        </w:tabs>
        <w:spacing w:after="0" w:line="240" w:lineRule="auto"/>
        <w:ind w:left="567" w:right="616"/>
        <w:jc w:val="both"/>
        <w:rPr>
          <w:rFonts w:ascii="Verdana" w:hAnsi="Verdana"/>
          <w:sz w:val="20"/>
          <w:szCs w:val="20"/>
          <w:lang w:val="es-CO"/>
        </w:rPr>
      </w:pPr>
      <w:r w:rsidRPr="004F1457">
        <w:rPr>
          <w:rFonts w:ascii="Verdana" w:hAnsi="Verdana"/>
          <w:sz w:val="20"/>
          <w:szCs w:val="20"/>
          <w:lang w:val="es-CO"/>
        </w:rPr>
        <w:t>“</w:t>
      </w:r>
      <w:r w:rsidRPr="00E830A1">
        <w:rPr>
          <w:rFonts w:ascii="Verdana" w:hAnsi="Verdana"/>
          <w:sz w:val="20"/>
          <w:szCs w:val="20"/>
          <w:lang w:val="es-CO"/>
        </w:rPr>
        <w:t xml:space="preserve">Buen día. Soy contratista y actualmente me encuentro en estado de embarazo con aproximadamente 27 semanas de embarazo; el nacimiento de mi hijo está programado para el 9 o 11 de enero 2026. Teniendo en cuenta la Ley de Garantías, agradezco por favor se me informe lo siguiente: 1. ¿cómo es el proceso de contratación? </w:t>
      </w:r>
    </w:p>
    <w:p w14:paraId="7CF4329B" w14:textId="77777777" w:rsidR="00334ED8" w:rsidRDefault="00334ED8" w:rsidP="00334ED8">
      <w:pPr>
        <w:pStyle w:val="Prrafodelista"/>
        <w:tabs>
          <w:tab w:val="left" w:pos="142"/>
          <w:tab w:val="left" w:pos="284"/>
        </w:tabs>
        <w:spacing w:after="0" w:line="240" w:lineRule="auto"/>
        <w:ind w:left="567" w:right="616"/>
        <w:jc w:val="both"/>
        <w:rPr>
          <w:rFonts w:ascii="Verdana" w:hAnsi="Verdana"/>
          <w:sz w:val="20"/>
          <w:szCs w:val="20"/>
          <w:lang w:val="es-CO"/>
        </w:rPr>
      </w:pPr>
      <w:r w:rsidRPr="00E830A1">
        <w:rPr>
          <w:rFonts w:ascii="Verdana" w:hAnsi="Verdana"/>
          <w:sz w:val="20"/>
          <w:szCs w:val="20"/>
          <w:lang w:val="es-CO"/>
        </w:rPr>
        <w:t xml:space="preserve">2. ¿qué protección tengo por encontrarme en estado de embarazo? </w:t>
      </w:r>
    </w:p>
    <w:p w14:paraId="3F464FC2" w14:textId="77777777" w:rsidR="00334ED8" w:rsidRDefault="00334ED8" w:rsidP="00334ED8">
      <w:pPr>
        <w:pStyle w:val="Prrafodelista"/>
        <w:tabs>
          <w:tab w:val="left" w:pos="142"/>
          <w:tab w:val="left" w:pos="284"/>
        </w:tabs>
        <w:spacing w:after="0" w:line="240" w:lineRule="auto"/>
        <w:ind w:left="567" w:right="616"/>
        <w:jc w:val="both"/>
        <w:rPr>
          <w:rFonts w:ascii="Verdana" w:hAnsi="Verdana"/>
          <w:sz w:val="20"/>
          <w:szCs w:val="20"/>
          <w:lang w:val="es-CO"/>
        </w:rPr>
      </w:pPr>
      <w:r w:rsidRPr="00E830A1">
        <w:rPr>
          <w:rFonts w:ascii="Verdana" w:hAnsi="Verdana"/>
          <w:sz w:val="20"/>
          <w:szCs w:val="20"/>
          <w:lang w:val="es-CO"/>
        </w:rPr>
        <w:t xml:space="preserve">3. ¿cómo es el proceso del pago de la licencia de maternidad, es decir, entiendo que me la paga la EPS, pero si hay un contrato de por medio, ¿cómo funciona el pago? debo firmar el contrato y este entra en suspensión? </w:t>
      </w:r>
    </w:p>
    <w:p w14:paraId="076E8B3D" w14:textId="77777777" w:rsidR="00334ED8" w:rsidRDefault="00334ED8" w:rsidP="00334ED8">
      <w:pPr>
        <w:pStyle w:val="Prrafodelista"/>
        <w:tabs>
          <w:tab w:val="left" w:pos="142"/>
          <w:tab w:val="left" w:pos="284"/>
        </w:tabs>
        <w:spacing w:after="0" w:line="240" w:lineRule="auto"/>
        <w:ind w:left="567" w:right="616"/>
        <w:jc w:val="both"/>
        <w:rPr>
          <w:rFonts w:ascii="Verdana" w:eastAsia="Century Gothic" w:hAnsi="Verdana" w:cs="Century Gothic"/>
          <w:i/>
          <w:iCs/>
          <w:sz w:val="20"/>
          <w:szCs w:val="20"/>
        </w:rPr>
      </w:pPr>
      <w:r w:rsidRPr="00E830A1">
        <w:rPr>
          <w:rFonts w:ascii="Verdana" w:hAnsi="Verdana"/>
          <w:sz w:val="20"/>
          <w:szCs w:val="20"/>
          <w:lang w:val="es-CO"/>
        </w:rPr>
        <w:t>4. ¿Por cuánto tiempo mínimo se debe generar el contrato?</w:t>
      </w:r>
      <w:r>
        <w:rPr>
          <w:rFonts w:ascii="Verdana" w:hAnsi="Verdana"/>
          <w:sz w:val="20"/>
          <w:szCs w:val="20"/>
          <w:lang w:val="es-CO"/>
        </w:rPr>
        <w:t xml:space="preserve"> [sic]</w:t>
      </w:r>
      <w:r w:rsidRPr="00CD7324">
        <w:rPr>
          <w:rFonts w:ascii="Verdana" w:eastAsia="Century Gothic" w:hAnsi="Verdana" w:cs="Century Gothic"/>
          <w:i/>
          <w:iCs/>
          <w:sz w:val="20"/>
          <w:szCs w:val="20"/>
        </w:rPr>
        <w:t>”</w:t>
      </w:r>
      <w:r>
        <w:rPr>
          <w:rFonts w:ascii="Verdana" w:eastAsia="Century Gothic" w:hAnsi="Verdana" w:cs="Century Gothic"/>
          <w:i/>
          <w:iCs/>
          <w:sz w:val="20"/>
          <w:szCs w:val="20"/>
        </w:rPr>
        <w:t>.</w:t>
      </w:r>
    </w:p>
    <w:p w14:paraId="36E05AC2" w14:textId="77777777" w:rsidR="00334ED8" w:rsidRPr="00E830A1" w:rsidRDefault="00334ED8" w:rsidP="00334ED8">
      <w:pPr>
        <w:pStyle w:val="Prrafodelista"/>
        <w:tabs>
          <w:tab w:val="left" w:pos="142"/>
          <w:tab w:val="left" w:pos="284"/>
        </w:tabs>
        <w:spacing w:after="0" w:line="276" w:lineRule="auto"/>
        <w:ind w:left="567" w:right="616"/>
        <w:jc w:val="both"/>
        <w:rPr>
          <w:rFonts w:ascii="Verdana" w:hAnsi="Verdana"/>
          <w:sz w:val="20"/>
          <w:szCs w:val="20"/>
          <w:lang w:val="es-CO"/>
        </w:rPr>
      </w:pPr>
      <w:r w:rsidRPr="00CD7324">
        <w:rPr>
          <w:rFonts w:ascii="Verdana" w:eastAsia="Century Gothic" w:hAnsi="Verdana" w:cs="Century Gothic"/>
          <w:i/>
          <w:iCs/>
          <w:sz w:val="20"/>
          <w:szCs w:val="20"/>
        </w:rPr>
        <w:lastRenderedPageBreak/>
        <w:t xml:space="preserve"> </w:t>
      </w:r>
    </w:p>
    <w:p w14:paraId="580695C6" w14:textId="77777777" w:rsidR="00334ED8" w:rsidRPr="00CC5C68" w:rsidRDefault="00334ED8" w:rsidP="00334ED8">
      <w:pPr>
        <w:spacing w:after="120" w:line="276" w:lineRule="auto"/>
        <w:ind w:firstLine="709"/>
        <w:jc w:val="both"/>
        <w:rPr>
          <w:rFonts w:ascii="Verdana" w:eastAsia="Calibri" w:hAnsi="Verdana" w:cs="Arial"/>
          <w:color w:val="000000"/>
          <w:szCs w:val="24"/>
          <w:lang w:val="es-ES_tradnl" w:eastAsia="es-ES_tradnl"/>
        </w:rPr>
      </w:pPr>
      <w:r w:rsidRPr="00CC5C68">
        <w:rPr>
          <w:rFonts w:ascii="Verdana" w:eastAsia="Calibri" w:hAnsi="Verdana" w:cs="Arial"/>
          <w:color w:val="000000"/>
          <w:lang w:val="es-ES" w:eastAsia="es-ES"/>
        </w:rPr>
        <w:t xml:space="preserve">De manera preliminar, resulta necesario acotar que esta entidad solo tiene competencia para responder consultas sobre la aplicación de normas de carácter general en materia de compras y contratación pública. En ese sentido, resolver casos particulares desborda las atribuciones asignadas por el legislador extraordinario, que no concibió a Colombia Compra Eficiente como una autoridad para solucionar problemas jurídicos particulares de todos los partícipes del sistema de compra pública. La competencia de esta entidad se fija con límites claros, con el objeto de evitar que la Agencia actúe como una instancia de validación de las actuaciones de las entidades sujetas a la Ley 80 de 1993 o de los demás participantes de la contratación pública. Esta competencia de interpretación de normas generales, por definición, no puede extenderse a la resolución de controversias, ni a brindar asesorías sobre casos puntuales. </w:t>
      </w:r>
      <w:r w:rsidRPr="00CC5C68">
        <w:rPr>
          <w:rFonts w:ascii="Verdana" w:eastAsia="Calibri" w:hAnsi="Verdana" w:cs="Arial"/>
          <w:color w:val="000000"/>
          <w:szCs w:val="24"/>
          <w:lang w:val="es-ES_tradnl" w:eastAsia="es-ES_tradnl"/>
        </w:rPr>
        <w:tab/>
      </w:r>
    </w:p>
    <w:p w14:paraId="0FACA9D8" w14:textId="77777777" w:rsidR="00334ED8" w:rsidRPr="00CC5C68" w:rsidRDefault="00334ED8" w:rsidP="00334ED8">
      <w:pPr>
        <w:spacing w:after="0" w:line="276" w:lineRule="auto"/>
        <w:ind w:firstLine="709"/>
        <w:jc w:val="both"/>
        <w:rPr>
          <w:rFonts w:ascii="Verdana" w:eastAsia="Calibri" w:hAnsi="Verdana" w:cs="Arial"/>
          <w:lang w:val="es-ES" w:eastAsia="es-ES"/>
        </w:rPr>
      </w:pPr>
      <w:r w:rsidRPr="00CC5C68">
        <w:rPr>
          <w:rFonts w:ascii="Verdana" w:eastAsia="Calibri" w:hAnsi="Verdana" w:cs="Arial"/>
          <w:lang w:val="es-ES" w:eastAsia="es-ES"/>
        </w:rPr>
        <w:t xml:space="preserve">Conforme lo expuesto, en aras de satisfacer el derecho fundamental de petición se resolverá su consulta dentro de los límites de la referida competencia consultiva, esto es, haciendo abstracción de las circunstancias particulares y concretas mencionadas en su petición, pero haciendo unas consideraciones sobre las normas generales relacionadas con los problemas jurídicos de su consulta. </w:t>
      </w:r>
    </w:p>
    <w:p w14:paraId="6DFC7FEF" w14:textId="77777777" w:rsidR="00334ED8" w:rsidRPr="00CC5C68" w:rsidRDefault="00334ED8" w:rsidP="00334ED8">
      <w:pPr>
        <w:spacing w:after="0" w:line="276" w:lineRule="auto"/>
        <w:contextualSpacing/>
        <w:jc w:val="both"/>
        <w:rPr>
          <w:rFonts w:ascii="Verdana" w:eastAsia="Times New Roman" w:hAnsi="Verdana" w:cs="Arial"/>
          <w:szCs w:val="24"/>
          <w:lang w:val="es-ES_tradnl" w:eastAsia="es-ES_tradnl"/>
        </w:rPr>
      </w:pPr>
    </w:p>
    <w:p w14:paraId="0AC4E412" w14:textId="77777777" w:rsidR="00334ED8" w:rsidRPr="00CC5C68" w:rsidRDefault="00334ED8" w:rsidP="00334ED8">
      <w:pPr>
        <w:tabs>
          <w:tab w:val="left" w:pos="0"/>
          <w:tab w:val="left" w:pos="284"/>
        </w:tabs>
        <w:spacing w:after="0" w:line="276" w:lineRule="auto"/>
        <w:contextualSpacing/>
        <w:jc w:val="both"/>
        <w:rPr>
          <w:rFonts w:ascii="Verdana" w:eastAsia="Calibri" w:hAnsi="Verdana" w:cs="Arial"/>
          <w:b/>
          <w:lang w:val="es-ES_tradnl"/>
        </w:rPr>
      </w:pPr>
      <w:r w:rsidRPr="00CC5C68">
        <w:rPr>
          <w:rFonts w:ascii="Verdana" w:eastAsia="Calibri" w:hAnsi="Verdana" w:cs="Arial"/>
          <w:b/>
          <w:lang w:val="es-ES_tradnl"/>
        </w:rPr>
        <w:t>1. Problema planteado:</w:t>
      </w:r>
    </w:p>
    <w:p w14:paraId="3E6E3DE9" w14:textId="77777777" w:rsidR="00334ED8" w:rsidRPr="00CC5C68" w:rsidRDefault="00334ED8" w:rsidP="00334ED8">
      <w:pPr>
        <w:tabs>
          <w:tab w:val="left" w:pos="0"/>
          <w:tab w:val="left" w:pos="284"/>
        </w:tabs>
        <w:spacing w:after="0" w:line="276" w:lineRule="auto"/>
        <w:contextualSpacing/>
        <w:jc w:val="both"/>
        <w:rPr>
          <w:rFonts w:ascii="Verdana" w:eastAsia="Calibri" w:hAnsi="Verdana" w:cs="Arial"/>
          <w:b/>
          <w:lang w:val="es-ES_tradnl"/>
        </w:rPr>
      </w:pPr>
    </w:p>
    <w:p w14:paraId="2649F667" w14:textId="77777777" w:rsidR="00334ED8" w:rsidRPr="00CC5C68" w:rsidRDefault="00334ED8" w:rsidP="00334ED8">
      <w:pPr>
        <w:spacing w:after="0" w:line="276" w:lineRule="auto"/>
        <w:jc w:val="both"/>
        <w:rPr>
          <w:rFonts w:ascii="Verdana" w:eastAsia="Century Gothic" w:hAnsi="Verdana" w:cs="Century Gothic"/>
        </w:rPr>
      </w:pPr>
      <w:r w:rsidRPr="00CC5C68">
        <w:rPr>
          <w:rFonts w:ascii="Verdana" w:eastAsia="Century Gothic" w:hAnsi="Verdana" w:cs="Century Gothic"/>
        </w:rPr>
        <w:t xml:space="preserve">De acuerdo con el contenido de su solicitud, esta Agencia resolverá el siguiente problema jurídico: </w:t>
      </w:r>
      <w:r>
        <w:rPr>
          <w:rFonts w:ascii="Verdana" w:eastAsia="Century Gothic" w:hAnsi="Verdana" w:cs="Century Gothic"/>
        </w:rPr>
        <w:t xml:space="preserve">i. </w:t>
      </w:r>
      <w:r w:rsidRPr="00D67C17">
        <w:rPr>
          <w:rFonts w:ascii="Verdana" w:eastAsia="Century Gothic" w:hAnsi="Verdana" w:cs="Century Gothic"/>
        </w:rPr>
        <w:t xml:space="preserve">¿Cuál es el alcance de </w:t>
      </w:r>
      <w:r>
        <w:rPr>
          <w:rFonts w:ascii="Verdana" w:eastAsia="Century Gothic" w:hAnsi="Verdana" w:cs="Century Gothic"/>
        </w:rPr>
        <w:t xml:space="preserve">la </w:t>
      </w:r>
      <w:r w:rsidRPr="00DC1771">
        <w:rPr>
          <w:rFonts w:ascii="Verdana" w:hAnsi="Verdana" w:cs="Arial"/>
        </w:rPr>
        <w:t xml:space="preserve">protección de estabilidad ocupacional </w:t>
      </w:r>
      <w:r>
        <w:rPr>
          <w:rFonts w:ascii="Verdana" w:hAnsi="Verdana" w:cs="Arial"/>
        </w:rPr>
        <w:t xml:space="preserve">reforzada </w:t>
      </w:r>
      <w:r w:rsidRPr="00D67C17">
        <w:rPr>
          <w:rFonts w:ascii="Verdana" w:eastAsia="Century Gothic" w:hAnsi="Verdana" w:cs="Century Gothic"/>
        </w:rPr>
        <w:t>en un contrato de prestación de servicios</w:t>
      </w:r>
      <w:r>
        <w:rPr>
          <w:rFonts w:ascii="Verdana" w:eastAsia="Century Gothic" w:hAnsi="Verdana" w:cs="Century Gothic"/>
        </w:rPr>
        <w:t xml:space="preserve"> por condición de embarazo</w:t>
      </w:r>
      <w:r w:rsidRPr="00D67C17">
        <w:rPr>
          <w:rFonts w:ascii="Verdana" w:eastAsia="Century Gothic" w:hAnsi="Verdana" w:cs="Century Gothic"/>
        </w:rPr>
        <w:t>?</w:t>
      </w:r>
      <w:r>
        <w:rPr>
          <w:rFonts w:ascii="Verdana" w:eastAsia="Century Gothic" w:hAnsi="Verdana" w:cs="Century Gothic"/>
        </w:rPr>
        <w:t xml:space="preserve"> </w:t>
      </w:r>
      <w:proofErr w:type="spellStart"/>
      <w:r>
        <w:rPr>
          <w:rFonts w:ascii="Verdana" w:eastAsia="Century Gothic" w:hAnsi="Verdana" w:cs="Century Gothic"/>
        </w:rPr>
        <w:t>ii</w:t>
      </w:r>
      <w:proofErr w:type="spellEnd"/>
      <w:r>
        <w:rPr>
          <w:rFonts w:ascii="Verdana" w:eastAsia="Century Gothic" w:hAnsi="Verdana" w:cs="Century Gothic"/>
        </w:rPr>
        <w:t xml:space="preserve">.  </w:t>
      </w:r>
      <w:r w:rsidRPr="00CC5C68">
        <w:rPr>
          <w:rFonts w:ascii="Verdana" w:eastAsia="Century Gothic" w:hAnsi="Verdana" w:cs="Century Gothic"/>
        </w:rPr>
        <w:t xml:space="preserve">¿Es </w:t>
      </w:r>
      <w:r>
        <w:rPr>
          <w:rFonts w:ascii="Verdana" w:eastAsia="Century Gothic" w:hAnsi="Verdana" w:cs="Century Gothic"/>
        </w:rPr>
        <w:t>posible suspender o continuar un contrato de prestación de servicios por licencia de maternidad</w:t>
      </w:r>
      <w:r w:rsidRPr="00CC5C68">
        <w:rPr>
          <w:rFonts w:ascii="Verdana" w:eastAsia="Century Gothic" w:hAnsi="Verdana" w:cs="Century Gothic"/>
        </w:rPr>
        <w:t xml:space="preserve">? </w:t>
      </w:r>
    </w:p>
    <w:p w14:paraId="7E7E9053" w14:textId="77777777" w:rsidR="00334ED8" w:rsidRPr="00CC5C68" w:rsidRDefault="00334ED8" w:rsidP="00334ED8">
      <w:pPr>
        <w:spacing w:after="0" w:line="276" w:lineRule="auto"/>
        <w:ind w:firstLine="709"/>
        <w:jc w:val="both"/>
        <w:rPr>
          <w:rFonts w:ascii="Verdana" w:eastAsia="Calibri" w:hAnsi="Verdana" w:cs="Arial"/>
          <w:lang w:val="es-ES" w:eastAsia="es-ES_tradnl"/>
        </w:rPr>
      </w:pPr>
    </w:p>
    <w:p w14:paraId="5873C839" w14:textId="77777777" w:rsidR="00334ED8" w:rsidRPr="00CC5C68" w:rsidRDefault="00334ED8" w:rsidP="00334ED8">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2. Respuesta:</w:t>
      </w:r>
    </w:p>
    <w:p w14:paraId="6CD50726" w14:textId="77777777" w:rsidR="00334ED8" w:rsidRPr="00CC5C68" w:rsidRDefault="00334ED8" w:rsidP="00334ED8">
      <w:pPr>
        <w:tabs>
          <w:tab w:val="left" w:pos="142"/>
          <w:tab w:val="left" w:pos="284"/>
        </w:tabs>
        <w:spacing w:after="0" w:line="276" w:lineRule="auto"/>
        <w:jc w:val="both"/>
        <w:rPr>
          <w:rFonts w:ascii="Verdana" w:eastAsia="Century Gothic" w:hAnsi="Verdana" w:cs="Century Gothic"/>
          <w:b/>
          <w:bCs/>
          <w:lang w:val="es-ES"/>
        </w:rPr>
      </w:pPr>
    </w:p>
    <w:tbl>
      <w:tblPr>
        <w:tblStyle w:val="Tablaconcuadrcula"/>
        <w:tblW w:w="0" w:type="auto"/>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ook w:val="04A0" w:firstRow="1" w:lastRow="0" w:firstColumn="1" w:lastColumn="0" w:noHBand="0" w:noVBand="1"/>
      </w:tblPr>
      <w:tblGrid>
        <w:gridCol w:w="8828"/>
      </w:tblGrid>
      <w:tr w:rsidR="00334ED8" w:rsidRPr="00CC5C68" w14:paraId="0F52A77D" w14:textId="77777777" w:rsidTr="00107AC4">
        <w:tc>
          <w:tcPr>
            <w:tcW w:w="8828" w:type="dxa"/>
          </w:tcPr>
          <w:p w14:paraId="438031D8" w14:textId="77777777" w:rsidR="00334ED8" w:rsidRPr="009E57A7" w:rsidRDefault="00334ED8" w:rsidP="00107AC4">
            <w:pPr>
              <w:spacing w:after="120" w:line="276" w:lineRule="auto"/>
              <w:jc w:val="both"/>
              <w:rPr>
                <w:rFonts w:ascii="Verdana" w:eastAsia="Times New Roman" w:hAnsi="Verdana" w:cs="Arial"/>
                <w:lang w:eastAsia="es-ES_tradnl"/>
              </w:rPr>
            </w:pPr>
            <w:r>
              <w:rPr>
                <w:rFonts w:ascii="Verdana" w:eastAsia="Times New Roman" w:hAnsi="Verdana" w:cs="Arial"/>
                <w:lang w:eastAsia="es-ES_tradnl"/>
              </w:rPr>
              <w:t xml:space="preserve">i. </w:t>
            </w:r>
            <w:r w:rsidRPr="009E57A7">
              <w:rPr>
                <w:rFonts w:ascii="Verdana" w:eastAsia="Times New Roman" w:hAnsi="Verdana" w:cs="Arial"/>
                <w:lang w:eastAsia="es-ES_tradnl"/>
              </w:rPr>
              <w:t xml:space="preserve">Conforme </w:t>
            </w:r>
            <w:r>
              <w:rPr>
                <w:rFonts w:ascii="Verdana" w:eastAsia="Times New Roman" w:hAnsi="Verdana" w:cs="Arial"/>
                <w:lang w:eastAsia="es-ES_tradnl"/>
              </w:rPr>
              <w:t>l</w:t>
            </w:r>
            <w:r w:rsidRPr="009E57A7">
              <w:rPr>
                <w:rFonts w:ascii="Verdana" w:eastAsia="Times New Roman" w:hAnsi="Verdana" w:cs="Arial"/>
                <w:lang w:eastAsia="es-ES_tradnl"/>
              </w:rPr>
              <w:t>o expuesto a lo largo del presente concepto,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9E57A7">
              <w:rPr>
                <w:rFonts w:ascii="Verdana" w:eastAsia="Times New Roman" w:hAnsi="Verdana" w:cs="Arial"/>
                <w:lang w:eastAsia="es-ES_tradnl"/>
              </w:rPr>
              <w:t>ii</w:t>
            </w:r>
            <w:proofErr w:type="spellEnd"/>
            <w:r w:rsidRPr="009E57A7">
              <w:rPr>
                <w:rFonts w:ascii="Verdana" w:eastAsia="Times New Roman" w:hAnsi="Verdana" w:cs="Arial"/>
                <w:lang w:eastAsia="es-ES_tradnl"/>
              </w:rPr>
              <w:t xml:space="preserve">) cuando a pesar de no probarse la configuración de </w:t>
            </w:r>
            <w:r w:rsidRPr="009E57A7">
              <w:rPr>
                <w:rFonts w:ascii="Verdana" w:eastAsia="Times New Roman" w:hAnsi="Verdana" w:cs="Arial"/>
                <w:lang w:eastAsia="es-ES_tradnl"/>
              </w:rPr>
              <w:lastRenderedPageBreak/>
              <w:t>un contrato realidad la terminación del contrato de prestación de servicios se fundamenta en criterios discriminatorios, y no en motivos objetivos.</w:t>
            </w:r>
          </w:p>
          <w:p w14:paraId="2804FAD2" w14:textId="77777777" w:rsidR="00334ED8" w:rsidRPr="009E57A7" w:rsidRDefault="00334ED8" w:rsidP="00107A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Asimismo se resalta, que el Alto Tribunal Constitucional en la sentencia T-743 de 2017, reiteró que la protección a la mujer en estado de embarazo y en periodo de lactancia, está sustentada en cuatro presupuestos de origen constitucional: (i) el deber de protección especial a la mujer gestante; (</w:t>
            </w:r>
            <w:proofErr w:type="spellStart"/>
            <w:r w:rsidRPr="009E57A7">
              <w:rPr>
                <w:rFonts w:ascii="Verdana" w:eastAsia="Times New Roman" w:hAnsi="Verdana" w:cs="Arial"/>
                <w:lang w:eastAsia="es-ES_tradnl"/>
              </w:rPr>
              <w:t>ii</w:t>
            </w:r>
            <w:proofErr w:type="spellEnd"/>
            <w:r w:rsidRPr="009E57A7">
              <w:rPr>
                <w:rFonts w:ascii="Verdana" w:eastAsia="Times New Roman" w:hAnsi="Verdana" w:cs="Arial"/>
                <w:lang w:eastAsia="es-ES_tradnl"/>
              </w:rPr>
              <w:t>) la contención de prácticas discriminatorias en el escenario laboral contra la mujer, con ocasión del estado de embarazo; (</w:t>
            </w:r>
            <w:proofErr w:type="spellStart"/>
            <w:r w:rsidRPr="009E57A7">
              <w:rPr>
                <w:rFonts w:ascii="Verdana" w:eastAsia="Times New Roman" w:hAnsi="Verdana" w:cs="Arial"/>
                <w:lang w:eastAsia="es-ES_tradnl"/>
              </w:rPr>
              <w:t>iii</w:t>
            </w:r>
            <w:proofErr w:type="spellEnd"/>
            <w:r w:rsidRPr="009E57A7">
              <w:rPr>
                <w:rFonts w:ascii="Verdana" w:eastAsia="Times New Roman" w:hAnsi="Verdana" w:cs="Arial"/>
                <w:lang w:eastAsia="es-ES_tradnl"/>
              </w:rPr>
              <w:t>) la protección a la vida y a la mujer como su gestora; y (</w:t>
            </w:r>
            <w:proofErr w:type="spellStart"/>
            <w:r w:rsidRPr="009E57A7">
              <w:rPr>
                <w:rFonts w:ascii="Verdana" w:eastAsia="Times New Roman" w:hAnsi="Verdana" w:cs="Arial"/>
                <w:lang w:eastAsia="es-ES_tradnl"/>
              </w:rPr>
              <w:t>iv</w:t>
            </w:r>
            <w:proofErr w:type="spellEnd"/>
            <w:r w:rsidRPr="009E57A7">
              <w:rPr>
                <w:rFonts w:ascii="Verdana" w:eastAsia="Times New Roman" w:hAnsi="Verdana" w:cs="Arial"/>
                <w:lang w:eastAsia="es-ES_tradnl"/>
              </w:rPr>
              <w:t>) la relevancia de la familia en el ordenamiento social colombiano.</w:t>
            </w:r>
          </w:p>
          <w:p w14:paraId="62170B7A" w14:textId="77777777" w:rsidR="00334ED8" w:rsidRPr="009E57A7" w:rsidRDefault="00334ED8" w:rsidP="00107A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29202236" w14:textId="77777777" w:rsidR="00334ED8" w:rsidRPr="009E57A7" w:rsidRDefault="00334ED8" w:rsidP="00107AC4">
            <w:pPr>
              <w:spacing w:after="120" w:line="276" w:lineRule="auto"/>
              <w:ind w:firstLine="709"/>
              <w:jc w:val="both"/>
              <w:rPr>
                <w:rFonts w:ascii="Verdana" w:eastAsia="Times New Roman" w:hAnsi="Verdana" w:cs="Arial"/>
                <w:lang w:eastAsia="es-ES_tradnl"/>
              </w:rPr>
            </w:pPr>
            <w:proofErr w:type="spellStart"/>
            <w:r>
              <w:rPr>
                <w:rFonts w:ascii="Verdana" w:eastAsia="Times New Roman" w:hAnsi="Verdana" w:cs="Arial"/>
                <w:lang w:eastAsia="es-ES_tradnl"/>
              </w:rPr>
              <w:t>ii</w:t>
            </w:r>
            <w:proofErr w:type="spellEnd"/>
            <w:r>
              <w:rPr>
                <w:rFonts w:ascii="Verdana" w:eastAsia="Times New Roman" w:hAnsi="Verdana" w:cs="Arial"/>
                <w:lang w:eastAsia="es-ES_tradnl"/>
              </w:rPr>
              <w:t xml:space="preserve">. </w:t>
            </w:r>
            <w:r w:rsidRPr="009E57A7">
              <w:rPr>
                <w:rFonts w:ascii="Verdana" w:eastAsia="Times New Roman" w:hAnsi="Verdana" w:cs="Arial"/>
                <w:lang w:eastAsia="es-ES_tradnl"/>
              </w:rPr>
              <w:t xml:space="preserve">Ahora bien, frente a la consulta planteada acerca de si es </w:t>
            </w:r>
            <w:proofErr w:type="gramStart"/>
            <w:r>
              <w:rPr>
                <w:rFonts w:ascii="Verdana" w:eastAsia="Times New Roman" w:hAnsi="Verdana" w:cs="Arial"/>
                <w:lang w:eastAsia="es-ES_tradnl"/>
              </w:rPr>
              <w:t>p</w:t>
            </w:r>
            <w:r w:rsidRPr="00B46A14">
              <w:rPr>
                <w:rFonts w:ascii="Verdana" w:eastAsia="Times New Roman" w:hAnsi="Verdana" w:cs="Arial"/>
                <w:lang w:eastAsia="es-ES_tradnl"/>
              </w:rPr>
              <w:t xml:space="preserve">osible </w:t>
            </w:r>
            <w:r w:rsidRPr="009E57A7">
              <w:rPr>
                <w:rFonts w:ascii="Verdana" w:eastAsia="Times New Roman" w:hAnsi="Verdana" w:cs="Arial"/>
                <w:lang w:eastAsia="es-ES_tradnl"/>
              </w:rPr>
              <w:t xml:space="preserve"> suspender</w:t>
            </w:r>
            <w:proofErr w:type="gramEnd"/>
            <w:r>
              <w:rPr>
                <w:rFonts w:ascii="Verdana" w:eastAsia="Times New Roman" w:hAnsi="Verdana" w:cs="Arial"/>
                <w:lang w:eastAsia="es-ES_tradnl"/>
              </w:rPr>
              <w:t xml:space="preserve"> </w:t>
            </w:r>
            <w:r w:rsidRPr="00B46A14">
              <w:rPr>
                <w:rFonts w:ascii="Verdana" w:eastAsia="Times New Roman" w:hAnsi="Verdana" w:cs="Arial"/>
                <w:lang w:eastAsia="es-ES_tradnl"/>
              </w:rPr>
              <w:t>o continuar el</w:t>
            </w:r>
            <w:r w:rsidRPr="009E57A7">
              <w:rPr>
                <w:rFonts w:ascii="Verdana" w:eastAsia="Times New Roman" w:hAnsi="Verdana" w:cs="Arial"/>
                <w:lang w:eastAsia="es-ES_tradnl"/>
              </w:rPr>
              <w:t xml:space="preserve"> contrato de prestación de servicios cuando la contratista está en estado de embarazo o durante la licencia de </w:t>
            </w:r>
            <w:proofErr w:type="gramStart"/>
            <w:r w:rsidRPr="009E57A7">
              <w:rPr>
                <w:rFonts w:ascii="Verdana" w:eastAsia="Times New Roman" w:hAnsi="Verdana" w:cs="Arial"/>
                <w:lang w:eastAsia="es-ES_tradnl"/>
              </w:rPr>
              <w:t>maternidad</w:t>
            </w:r>
            <w:r>
              <w:rPr>
                <w:rFonts w:ascii="Verdana" w:eastAsia="Times New Roman" w:hAnsi="Verdana" w:cs="Arial"/>
                <w:lang w:eastAsia="es-ES_tradnl"/>
              </w:rPr>
              <w:t>,</w:t>
            </w:r>
            <w:r>
              <w:rPr>
                <w:rFonts w:eastAsia="Times New Roman"/>
                <w:lang w:eastAsia="es-ES_tradnl"/>
              </w:rPr>
              <w:t xml:space="preserve"> </w:t>
            </w:r>
            <w:r w:rsidRPr="009E57A7">
              <w:rPr>
                <w:rFonts w:ascii="Verdana" w:eastAsia="Times New Roman" w:hAnsi="Verdana" w:cs="Arial"/>
                <w:lang w:eastAsia="es-ES_tradnl"/>
              </w:rPr>
              <w:t xml:space="preserve"> debe</w:t>
            </w:r>
            <w:proofErr w:type="gramEnd"/>
            <w:r w:rsidRPr="009E57A7">
              <w:rPr>
                <w:rFonts w:ascii="Verdana" w:eastAsia="Times New Roman" w:hAnsi="Verdana" w:cs="Arial"/>
                <w:lang w:eastAsia="es-ES_tradnl"/>
              </w:rPr>
              <w:t xml:space="preserve"> señalarse que no existe disposición normativa que consagre de forma expresa las causales de suspensión del contrato, mucho menos en virtud del estado de embarazo o de la licencia de maternidad. </w:t>
            </w:r>
            <w:r>
              <w:rPr>
                <w:rFonts w:ascii="Verdana" w:eastAsia="Times New Roman" w:hAnsi="Verdana" w:cs="Arial"/>
                <w:lang w:eastAsia="es-ES_tradnl"/>
              </w:rPr>
              <w:t>Por lo tanto, e</w:t>
            </w:r>
            <w:r w:rsidRPr="009E57A7">
              <w:rPr>
                <w:rFonts w:ascii="Verdana" w:eastAsia="Times New Roman" w:hAnsi="Verdana" w:cs="Arial"/>
                <w:lang w:eastAsia="es-ES_tradnl"/>
              </w:rPr>
              <w:t xml:space="preserve">n ejercicio de la autonomía de las partes contratantes, las mismas podrán convenir </w:t>
            </w:r>
            <w:r w:rsidRPr="0042316E">
              <w:rPr>
                <w:rFonts w:ascii="Verdana" w:hAnsi="Verdana" w:cs="Arial"/>
              </w:rPr>
              <w:t xml:space="preserve">la </w:t>
            </w:r>
            <w:r>
              <w:rPr>
                <w:rFonts w:ascii="Verdana" w:hAnsi="Verdana" w:cs="Arial"/>
              </w:rPr>
              <w:t xml:space="preserve">cláusula de </w:t>
            </w:r>
            <w:r w:rsidRPr="0042316E">
              <w:rPr>
                <w:rFonts w:ascii="Verdana" w:hAnsi="Verdana" w:cs="Arial"/>
              </w:rPr>
              <w:t>suspensión</w:t>
            </w:r>
            <w:r w:rsidRPr="009E57A7">
              <w:rPr>
                <w:rFonts w:ascii="Verdana" w:eastAsia="Times New Roman" w:hAnsi="Verdana" w:cs="Arial"/>
                <w:lang w:eastAsia="es-ES_tradnl"/>
              </w:rPr>
              <w:t xml:space="preserve"> </w:t>
            </w:r>
            <w:proofErr w:type="spellStart"/>
            <w:r w:rsidRPr="009E57A7">
              <w:rPr>
                <w:rFonts w:ascii="Verdana" w:eastAsia="Times New Roman" w:hAnsi="Verdana" w:cs="Arial"/>
                <w:lang w:eastAsia="es-ES_tradnl"/>
              </w:rPr>
              <w:t>suspensión</w:t>
            </w:r>
            <w:proofErr w:type="spellEnd"/>
            <w:r w:rsidRPr="009E57A7">
              <w:rPr>
                <w:rFonts w:ascii="Verdana" w:eastAsia="Times New Roman" w:hAnsi="Verdana" w:cs="Arial"/>
                <w:lang w:eastAsia="es-ES_tradnl"/>
              </w:rPr>
              <w:t xml:space="preserve"> del contrato de prestación de servicios, fijando las reglas por las cuales procederán las mismas teniendo en cuenta las disposiciones referidas en la Ley 80 de 1993 y Ley 1150 de 2007. Así las cosas, las partes son quienes determinan las condiciones y términos según los cuales deben llevarse a cabo la suspensión del contrato, por lo que ninguna de las partes de manera unilateral puede declararla por fuera de lo convenido.</w:t>
            </w:r>
          </w:p>
          <w:p w14:paraId="50CD31C1" w14:textId="77777777" w:rsidR="00334ED8" w:rsidRDefault="00334ED8" w:rsidP="00107A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las actividades contratadas, habría lugar al pago de honorarios, pues el objeto </w:t>
            </w:r>
            <w:r w:rsidRPr="009E57A7">
              <w:rPr>
                <w:rFonts w:ascii="Verdana" w:eastAsia="Times New Roman" w:hAnsi="Verdana" w:cs="Arial"/>
                <w:lang w:eastAsia="es-ES_tradnl"/>
              </w:rPr>
              <w:lastRenderedPageBreak/>
              <w:t>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w:t>
            </w:r>
            <w:r>
              <w:rPr>
                <w:rFonts w:ascii="Verdana" w:eastAsia="Times New Roman" w:hAnsi="Verdana" w:cs="Arial"/>
                <w:lang w:eastAsia="es-ES_tradnl"/>
              </w:rPr>
              <w:t>PS</w:t>
            </w:r>
            <w:r w:rsidRPr="009E57A7">
              <w:rPr>
                <w:rFonts w:ascii="Verdana" w:eastAsia="Times New Roman" w:hAnsi="Verdana" w:cs="Arial"/>
                <w:lang w:eastAsia="es-ES_tradnl"/>
              </w:rPr>
              <w:t>.</w:t>
            </w:r>
          </w:p>
          <w:p w14:paraId="6AFAA588" w14:textId="77777777" w:rsidR="00334ED8" w:rsidRDefault="00334ED8" w:rsidP="00107AC4">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Finalmente, se debe tener en cuenta que la suspensión del contrato no implica la ampliación de su plazo de ejecución, sino solamente la determinación de un periodo en el cual cesará el cumplimiento de las actividades pactadas, por tanto, no habrá lugar al pago de honorarios correspondientes a este tiempo y el plazo de ejecución continuará siendo el mismo inicialmente pactado.</w:t>
            </w:r>
          </w:p>
          <w:p w14:paraId="2CAD4C3E" w14:textId="77777777" w:rsidR="00334ED8" w:rsidRPr="00CC5C68" w:rsidRDefault="00334ED8" w:rsidP="00107AC4">
            <w:pPr>
              <w:spacing w:after="120" w:line="276" w:lineRule="auto"/>
              <w:ind w:firstLine="709"/>
              <w:jc w:val="both"/>
              <w:rPr>
                <w:rFonts w:ascii="Verdana" w:eastAsia="Calibri" w:hAnsi="Verdana" w:cs="Arial"/>
                <w:color w:val="7030A0"/>
              </w:rPr>
            </w:pPr>
            <w:r w:rsidRPr="00CC5C68">
              <w:rPr>
                <w:rFonts w:ascii="Verdana" w:eastAsia="Times New Roman" w:hAnsi="Verdana" w:cs="Arial"/>
                <w:lang w:eastAsia="es-ES_tradnl"/>
              </w:rPr>
              <w:t>Sin perjuicio de las aclaraciones anteriores, debe advertirse que</w:t>
            </w:r>
            <w:r>
              <w:rPr>
                <w:rFonts w:ascii="Verdana" w:eastAsia="Times New Roman" w:hAnsi="Verdana" w:cs="Arial"/>
                <w:lang w:eastAsia="es-ES_tradnl"/>
              </w:rPr>
              <w:t xml:space="preserve"> </w:t>
            </w:r>
            <w:proofErr w:type="gramStart"/>
            <w:r>
              <w:rPr>
                <w:rFonts w:ascii="Verdana" w:eastAsia="Times New Roman" w:hAnsi="Verdana" w:cs="Arial"/>
                <w:lang w:eastAsia="es-ES_tradnl"/>
              </w:rPr>
              <w:t xml:space="preserve">es </w:t>
            </w:r>
            <w:r w:rsidRPr="00CC5C68">
              <w:rPr>
                <w:rFonts w:ascii="Verdana" w:eastAsia="Times New Roman" w:hAnsi="Verdana" w:cs="Arial"/>
                <w:lang w:eastAsia="es-ES_tradnl"/>
              </w:rPr>
              <w:t xml:space="preserve"> </w:t>
            </w:r>
            <w:r w:rsidRPr="008F7EF5">
              <w:rPr>
                <w:rFonts w:ascii="Verdana" w:eastAsia="Times New Roman" w:hAnsi="Verdana" w:cs="Arial"/>
                <w:lang w:eastAsia="es-ES_tradnl"/>
              </w:rPr>
              <w:t>competencia</w:t>
            </w:r>
            <w:proofErr w:type="gramEnd"/>
            <w:r w:rsidRPr="008F7EF5">
              <w:rPr>
                <w:rFonts w:ascii="Verdana" w:eastAsia="Times New Roman" w:hAnsi="Verdana" w:cs="Arial"/>
                <w:lang w:eastAsia="es-ES_tradnl"/>
              </w:rPr>
              <w:t xml:space="preserve"> de la entidad contratante, en el marco de su gestión contractual, determinar el tratamiento aplicable a la licencia de maternidad de la contratista, conforme a las particularidades del caso concreto y a las reglas contractuales previamente pactadas. En todo caso, lo aquí expuesto se formula en el marco de la función consultiva de esta Agencia y no comporta pronunciamiento sobre una situación contractual específica.</w:t>
            </w:r>
          </w:p>
        </w:tc>
      </w:tr>
    </w:tbl>
    <w:p w14:paraId="70F02C64" w14:textId="77777777" w:rsidR="00334ED8" w:rsidRPr="00CC5C68" w:rsidRDefault="00334ED8" w:rsidP="00334ED8">
      <w:pPr>
        <w:spacing w:after="0" w:line="276" w:lineRule="auto"/>
        <w:contextualSpacing/>
        <w:jc w:val="both"/>
        <w:rPr>
          <w:rFonts w:ascii="Verdana" w:eastAsia="Times New Roman" w:hAnsi="Verdana" w:cs="Arial"/>
          <w:lang w:eastAsia="es-ES_tradnl"/>
        </w:rPr>
      </w:pPr>
    </w:p>
    <w:p w14:paraId="48E3EB31" w14:textId="77777777" w:rsidR="00334ED8" w:rsidRPr="00CC5C68" w:rsidRDefault="00334ED8" w:rsidP="00334ED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rPr>
        <w:t>3. Razones de la respuesta:</w:t>
      </w:r>
    </w:p>
    <w:p w14:paraId="6AC2A22C" w14:textId="77777777" w:rsidR="00334ED8" w:rsidRPr="00CC5C68" w:rsidRDefault="00334ED8" w:rsidP="00334ED8">
      <w:pPr>
        <w:spacing w:after="0" w:line="276" w:lineRule="auto"/>
        <w:jc w:val="both"/>
        <w:rPr>
          <w:rFonts w:ascii="Verdana" w:eastAsia="Calibri" w:hAnsi="Verdana" w:cs="Arial"/>
          <w:color w:val="7030A0"/>
          <w:lang w:val="es-ES"/>
        </w:rPr>
      </w:pPr>
    </w:p>
    <w:p w14:paraId="47D456FD" w14:textId="77777777" w:rsidR="00334ED8" w:rsidRPr="00CC5C68" w:rsidRDefault="00334ED8" w:rsidP="00334ED8">
      <w:pPr>
        <w:spacing w:after="0" w:line="276" w:lineRule="auto"/>
        <w:jc w:val="both"/>
        <w:rPr>
          <w:rFonts w:ascii="Verdana" w:eastAsia="Calibri" w:hAnsi="Verdana" w:cs="Arial"/>
          <w:lang w:val="es-ES"/>
        </w:rPr>
      </w:pPr>
      <w:r w:rsidRPr="00CC5C68">
        <w:rPr>
          <w:rFonts w:ascii="Verdana" w:eastAsia="Calibri" w:hAnsi="Verdana" w:cs="Arial"/>
          <w:lang w:val="es-ES"/>
        </w:rPr>
        <w:t xml:space="preserve">Lo anterior se sustenta en las siguientes consideraciones: </w:t>
      </w:r>
    </w:p>
    <w:p w14:paraId="3819FC0E" w14:textId="77777777" w:rsidR="00334ED8" w:rsidRPr="00CC5C68" w:rsidRDefault="00334ED8" w:rsidP="00334ED8">
      <w:pPr>
        <w:spacing w:after="0" w:line="276" w:lineRule="auto"/>
        <w:jc w:val="both"/>
        <w:rPr>
          <w:rFonts w:ascii="Verdana" w:eastAsia="Calibri" w:hAnsi="Verdana" w:cs="Arial"/>
          <w:lang w:val="es-ES"/>
        </w:rPr>
      </w:pPr>
    </w:p>
    <w:p w14:paraId="57E77E40" w14:textId="7331CF67" w:rsidR="00334ED8" w:rsidRPr="009A6F9B" w:rsidRDefault="00271F06" w:rsidP="00334ED8">
      <w:pPr>
        <w:pStyle w:val="Textoindependiente"/>
        <w:spacing w:line="276" w:lineRule="auto"/>
        <w:ind w:firstLine="709"/>
        <w:jc w:val="both"/>
        <w:rPr>
          <w:rFonts w:ascii="Verdana" w:hAnsi="Verdana"/>
        </w:rPr>
      </w:pPr>
      <w:r>
        <w:rPr>
          <w:rFonts w:ascii="Verdana" w:hAnsi="Verdana"/>
        </w:rPr>
        <w:t xml:space="preserve">i. </w:t>
      </w:r>
      <w:r w:rsidR="00334ED8" w:rsidRPr="009A6F9B">
        <w:rPr>
          <w:rFonts w:ascii="Verdana" w:hAnsi="Verdana"/>
        </w:rPr>
        <w:t>El contrato de prestación de servicios es un contrato estatal típico, regulado en el numeral 3 del artículo 32 de la Ley 80 de 1993. Este se define como aquel que “celebren</w:t>
      </w:r>
      <w:r w:rsidR="00334ED8" w:rsidRPr="009A6F9B">
        <w:rPr>
          <w:rFonts w:ascii="Verdana" w:hAnsi="Verdana"/>
          <w:spacing w:val="-20"/>
        </w:rPr>
        <w:t xml:space="preserve"> </w:t>
      </w:r>
      <w:r w:rsidR="00334ED8" w:rsidRPr="009A6F9B">
        <w:rPr>
          <w:rFonts w:ascii="Verdana" w:hAnsi="Verdana"/>
        </w:rPr>
        <w:t>las</w:t>
      </w:r>
      <w:r w:rsidR="00334ED8" w:rsidRPr="009A6F9B">
        <w:rPr>
          <w:rFonts w:ascii="Verdana" w:hAnsi="Verdana"/>
          <w:spacing w:val="-19"/>
        </w:rPr>
        <w:t xml:space="preserve"> </w:t>
      </w:r>
      <w:r w:rsidR="00334ED8" w:rsidRPr="009A6F9B">
        <w:rPr>
          <w:rFonts w:ascii="Verdana" w:hAnsi="Verdana"/>
        </w:rPr>
        <w:t>entidades</w:t>
      </w:r>
      <w:r w:rsidR="00334ED8" w:rsidRPr="009A6F9B">
        <w:rPr>
          <w:rFonts w:ascii="Verdana" w:hAnsi="Verdana"/>
          <w:spacing w:val="-19"/>
        </w:rPr>
        <w:t xml:space="preserve"> </w:t>
      </w:r>
      <w:r w:rsidR="00334ED8" w:rsidRPr="009A6F9B">
        <w:rPr>
          <w:rFonts w:ascii="Verdana" w:hAnsi="Verdana"/>
        </w:rPr>
        <w:t>estatales</w:t>
      </w:r>
      <w:r w:rsidR="00334ED8" w:rsidRPr="009A6F9B">
        <w:rPr>
          <w:rFonts w:ascii="Verdana" w:hAnsi="Verdana"/>
          <w:spacing w:val="-20"/>
        </w:rPr>
        <w:t xml:space="preserve"> </w:t>
      </w:r>
      <w:r w:rsidR="00334ED8" w:rsidRPr="009A6F9B">
        <w:rPr>
          <w:rFonts w:ascii="Verdana" w:hAnsi="Verdana"/>
        </w:rPr>
        <w:t>para</w:t>
      </w:r>
      <w:r w:rsidR="00334ED8" w:rsidRPr="009A6F9B">
        <w:rPr>
          <w:rFonts w:ascii="Verdana" w:hAnsi="Verdana"/>
          <w:spacing w:val="-19"/>
        </w:rPr>
        <w:t xml:space="preserve"> </w:t>
      </w:r>
      <w:r w:rsidR="00334ED8" w:rsidRPr="009A6F9B">
        <w:rPr>
          <w:rFonts w:ascii="Verdana" w:hAnsi="Verdana"/>
        </w:rPr>
        <w:t>desarrollar</w:t>
      </w:r>
      <w:r w:rsidR="00334ED8" w:rsidRPr="009A6F9B">
        <w:rPr>
          <w:rFonts w:ascii="Verdana" w:hAnsi="Verdana"/>
          <w:spacing w:val="-20"/>
        </w:rPr>
        <w:t xml:space="preserve"> </w:t>
      </w:r>
      <w:r w:rsidR="00334ED8" w:rsidRPr="009A6F9B">
        <w:rPr>
          <w:rFonts w:ascii="Verdana" w:hAnsi="Verdana"/>
        </w:rPr>
        <w:t>actividades</w:t>
      </w:r>
      <w:r w:rsidR="00334ED8" w:rsidRPr="009A6F9B">
        <w:rPr>
          <w:rFonts w:ascii="Verdana" w:hAnsi="Verdana"/>
          <w:spacing w:val="-19"/>
        </w:rPr>
        <w:t xml:space="preserve"> </w:t>
      </w:r>
      <w:r w:rsidR="00334ED8" w:rsidRPr="009A6F9B">
        <w:rPr>
          <w:rFonts w:ascii="Verdana" w:hAnsi="Verdana"/>
        </w:rPr>
        <w:t>relacionadas</w:t>
      </w:r>
      <w:r w:rsidR="00334ED8" w:rsidRPr="009A6F9B">
        <w:rPr>
          <w:rFonts w:ascii="Verdana" w:hAnsi="Verdana"/>
          <w:spacing w:val="-19"/>
        </w:rPr>
        <w:t xml:space="preserve"> </w:t>
      </w:r>
      <w:r w:rsidR="00334ED8" w:rsidRPr="009A6F9B">
        <w:rPr>
          <w:rFonts w:ascii="Verdana" w:hAnsi="Verdana"/>
        </w:rPr>
        <w:t>con</w:t>
      </w:r>
      <w:r w:rsidR="00334ED8" w:rsidRPr="009A6F9B">
        <w:rPr>
          <w:rFonts w:ascii="Verdana" w:hAnsi="Verdana"/>
          <w:spacing w:val="-20"/>
        </w:rPr>
        <w:t xml:space="preserve"> </w:t>
      </w:r>
      <w:r w:rsidR="00334ED8" w:rsidRPr="009A6F9B">
        <w:rPr>
          <w:rFonts w:ascii="Verdana" w:hAnsi="Verdana"/>
        </w:rPr>
        <w:t>la administración o funcionamiento de la entidad. Estos contratos sólo se podrán celebrar</w:t>
      </w:r>
      <w:r w:rsidR="00334ED8" w:rsidRPr="009A6F9B">
        <w:rPr>
          <w:rFonts w:ascii="Verdana" w:hAnsi="Verdana"/>
          <w:spacing w:val="-9"/>
        </w:rPr>
        <w:t xml:space="preserve"> </w:t>
      </w:r>
      <w:r w:rsidR="00334ED8" w:rsidRPr="009A6F9B">
        <w:rPr>
          <w:rFonts w:ascii="Verdana" w:hAnsi="Verdana"/>
        </w:rPr>
        <w:t>con</w:t>
      </w:r>
      <w:r w:rsidR="00334ED8" w:rsidRPr="009A6F9B">
        <w:rPr>
          <w:rFonts w:ascii="Verdana" w:hAnsi="Verdana"/>
          <w:spacing w:val="-11"/>
        </w:rPr>
        <w:t xml:space="preserve"> </w:t>
      </w:r>
      <w:r w:rsidR="00334ED8" w:rsidRPr="009A6F9B">
        <w:rPr>
          <w:rFonts w:ascii="Verdana" w:hAnsi="Verdana"/>
        </w:rPr>
        <w:t>personas</w:t>
      </w:r>
      <w:r w:rsidR="00334ED8" w:rsidRPr="009A6F9B">
        <w:rPr>
          <w:rFonts w:ascii="Verdana" w:hAnsi="Verdana"/>
          <w:spacing w:val="-9"/>
        </w:rPr>
        <w:t xml:space="preserve"> </w:t>
      </w:r>
      <w:r w:rsidR="00334ED8" w:rsidRPr="009A6F9B">
        <w:rPr>
          <w:rFonts w:ascii="Verdana" w:hAnsi="Verdana"/>
        </w:rPr>
        <w:t>naturales</w:t>
      </w:r>
      <w:r w:rsidR="00334ED8" w:rsidRPr="009A6F9B">
        <w:rPr>
          <w:rFonts w:ascii="Verdana" w:hAnsi="Verdana"/>
          <w:spacing w:val="-9"/>
        </w:rPr>
        <w:t xml:space="preserve"> </w:t>
      </w:r>
      <w:r w:rsidR="00334ED8" w:rsidRPr="009A6F9B">
        <w:rPr>
          <w:rFonts w:ascii="Verdana" w:hAnsi="Verdana"/>
        </w:rPr>
        <w:t>cuando</w:t>
      </w:r>
      <w:r w:rsidR="00334ED8" w:rsidRPr="009A6F9B">
        <w:rPr>
          <w:rFonts w:ascii="Verdana" w:hAnsi="Verdana"/>
          <w:spacing w:val="-10"/>
        </w:rPr>
        <w:t xml:space="preserve"> </w:t>
      </w:r>
      <w:r w:rsidR="00334ED8" w:rsidRPr="009A6F9B">
        <w:rPr>
          <w:rFonts w:ascii="Verdana" w:hAnsi="Verdana"/>
        </w:rPr>
        <w:t>dichas</w:t>
      </w:r>
      <w:r w:rsidR="00334ED8" w:rsidRPr="009A6F9B">
        <w:rPr>
          <w:rFonts w:ascii="Verdana" w:hAnsi="Verdana"/>
          <w:spacing w:val="-10"/>
        </w:rPr>
        <w:t xml:space="preserve"> </w:t>
      </w:r>
      <w:r w:rsidR="00334ED8" w:rsidRPr="009A6F9B">
        <w:rPr>
          <w:rFonts w:ascii="Verdana" w:hAnsi="Verdana"/>
        </w:rPr>
        <w:t>actividades</w:t>
      </w:r>
      <w:r w:rsidR="00334ED8" w:rsidRPr="009A6F9B">
        <w:rPr>
          <w:rFonts w:ascii="Verdana" w:hAnsi="Verdana"/>
          <w:spacing w:val="-9"/>
        </w:rPr>
        <w:t xml:space="preserve"> </w:t>
      </w:r>
      <w:r w:rsidR="00334ED8" w:rsidRPr="009A6F9B">
        <w:rPr>
          <w:rFonts w:ascii="Verdana" w:hAnsi="Verdana"/>
        </w:rPr>
        <w:t>no</w:t>
      </w:r>
      <w:r w:rsidR="00334ED8" w:rsidRPr="009A6F9B">
        <w:rPr>
          <w:rFonts w:ascii="Verdana" w:hAnsi="Verdana"/>
          <w:spacing w:val="-11"/>
        </w:rPr>
        <w:t xml:space="preserve"> </w:t>
      </w:r>
      <w:r w:rsidR="00334ED8" w:rsidRPr="009A6F9B">
        <w:rPr>
          <w:rFonts w:ascii="Verdana" w:hAnsi="Verdana"/>
        </w:rPr>
        <w:t>puedan</w:t>
      </w:r>
      <w:r w:rsidR="00334ED8" w:rsidRPr="009A6F9B">
        <w:rPr>
          <w:rFonts w:ascii="Verdana" w:hAnsi="Verdana"/>
          <w:spacing w:val="-10"/>
        </w:rPr>
        <w:t xml:space="preserve"> </w:t>
      </w:r>
      <w:r w:rsidR="00334ED8" w:rsidRPr="009A6F9B">
        <w:rPr>
          <w:rFonts w:ascii="Verdana" w:hAnsi="Verdana"/>
        </w:rPr>
        <w:t>realizarse con</w:t>
      </w:r>
      <w:r w:rsidR="00334ED8" w:rsidRPr="009A6F9B">
        <w:rPr>
          <w:rFonts w:ascii="Verdana" w:hAnsi="Verdana"/>
          <w:spacing w:val="-20"/>
        </w:rPr>
        <w:t xml:space="preserve"> </w:t>
      </w:r>
      <w:r w:rsidR="00334ED8" w:rsidRPr="009A6F9B">
        <w:rPr>
          <w:rFonts w:ascii="Verdana" w:hAnsi="Verdana"/>
        </w:rPr>
        <w:t>personal</w:t>
      </w:r>
      <w:r w:rsidR="00334ED8" w:rsidRPr="009A6F9B">
        <w:rPr>
          <w:rFonts w:ascii="Verdana" w:hAnsi="Verdana"/>
          <w:spacing w:val="-19"/>
        </w:rPr>
        <w:t xml:space="preserve"> </w:t>
      </w:r>
      <w:r w:rsidR="00334ED8" w:rsidRPr="009A6F9B">
        <w:rPr>
          <w:rFonts w:ascii="Verdana" w:hAnsi="Verdana"/>
        </w:rPr>
        <w:t>de</w:t>
      </w:r>
      <w:r w:rsidR="00334ED8" w:rsidRPr="009A6F9B">
        <w:rPr>
          <w:rFonts w:ascii="Verdana" w:hAnsi="Verdana"/>
          <w:spacing w:val="-19"/>
        </w:rPr>
        <w:t xml:space="preserve"> </w:t>
      </w:r>
      <w:r w:rsidR="00334ED8" w:rsidRPr="009A6F9B">
        <w:rPr>
          <w:rFonts w:ascii="Verdana" w:hAnsi="Verdana"/>
        </w:rPr>
        <w:t>planta</w:t>
      </w:r>
      <w:r w:rsidR="00334ED8" w:rsidRPr="009A6F9B">
        <w:rPr>
          <w:rFonts w:ascii="Verdana" w:hAnsi="Verdana"/>
          <w:spacing w:val="-20"/>
        </w:rPr>
        <w:t xml:space="preserve"> </w:t>
      </w:r>
      <w:r w:rsidR="00334ED8" w:rsidRPr="009A6F9B">
        <w:rPr>
          <w:rFonts w:ascii="Verdana" w:hAnsi="Verdana"/>
        </w:rPr>
        <w:t>o</w:t>
      </w:r>
      <w:r w:rsidR="00334ED8" w:rsidRPr="009A6F9B">
        <w:rPr>
          <w:rFonts w:ascii="Verdana" w:hAnsi="Verdana"/>
          <w:spacing w:val="-19"/>
        </w:rPr>
        <w:t xml:space="preserve"> </w:t>
      </w:r>
      <w:r w:rsidR="00334ED8" w:rsidRPr="009A6F9B">
        <w:rPr>
          <w:rFonts w:ascii="Verdana" w:hAnsi="Verdana"/>
        </w:rPr>
        <w:t>requieran</w:t>
      </w:r>
      <w:r w:rsidR="00334ED8" w:rsidRPr="009A6F9B">
        <w:rPr>
          <w:rFonts w:ascii="Verdana" w:hAnsi="Verdana"/>
          <w:spacing w:val="-20"/>
        </w:rPr>
        <w:t xml:space="preserve"> </w:t>
      </w:r>
      <w:r w:rsidR="00334ED8" w:rsidRPr="009A6F9B">
        <w:rPr>
          <w:rFonts w:ascii="Verdana" w:hAnsi="Verdana"/>
        </w:rPr>
        <w:t>conocimientos</w:t>
      </w:r>
      <w:r w:rsidR="00334ED8" w:rsidRPr="009A6F9B">
        <w:rPr>
          <w:rFonts w:ascii="Verdana" w:hAnsi="Verdana"/>
          <w:spacing w:val="-19"/>
        </w:rPr>
        <w:t xml:space="preserve"> </w:t>
      </w:r>
      <w:r w:rsidR="00334ED8" w:rsidRPr="009A6F9B">
        <w:rPr>
          <w:rFonts w:ascii="Verdana" w:hAnsi="Verdana"/>
        </w:rPr>
        <w:t>especializados.</w:t>
      </w:r>
      <w:r w:rsidR="00334ED8" w:rsidRPr="009A6F9B">
        <w:rPr>
          <w:rFonts w:ascii="Verdana" w:hAnsi="Verdana"/>
          <w:spacing w:val="-19"/>
        </w:rPr>
        <w:t xml:space="preserve"> </w:t>
      </w:r>
      <w:r w:rsidR="00334ED8" w:rsidRPr="009A6F9B">
        <w:rPr>
          <w:rFonts w:ascii="Verdana" w:hAnsi="Verdana"/>
        </w:rPr>
        <w:t>En</w:t>
      </w:r>
      <w:r w:rsidR="00334ED8" w:rsidRPr="009A6F9B">
        <w:rPr>
          <w:rFonts w:ascii="Verdana" w:hAnsi="Verdana"/>
          <w:spacing w:val="-20"/>
        </w:rPr>
        <w:t xml:space="preserve"> </w:t>
      </w:r>
      <w:r w:rsidR="00334ED8" w:rsidRPr="009A6F9B">
        <w:rPr>
          <w:rFonts w:ascii="Verdana" w:hAnsi="Verdana"/>
        </w:rPr>
        <w:t>ningún</w:t>
      </w:r>
      <w:r w:rsidR="00334ED8" w:rsidRPr="009A6F9B">
        <w:rPr>
          <w:rFonts w:ascii="Verdana" w:hAnsi="Verdana"/>
          <w:spacing w:val="-19"/>
        </w:rPr>
        <w:t xml:space="preserve"> </w:t>
      </w:r>
      <w:r w:rsidR="00334ED8" w:rsidRPr="009A6F9B">
        <w:rPr>
          <w:rFonts w:ascii="Verdana" w:hAnsi="Verdana"/>
        </w:rPr>
        <w:t>caso estos</w:t>
      </w:r>
      <w:r w:rsidR="00334ED8" w:rsidRPr="009A6F9B">
        <w:rPr>
          <w:rFonts w:ascii="Verdana" w:hAnsi="Verdana"/>
          <w:spacing w:val="-11"/>
        </w:rPr>
        <w:t xml:space="preserve"> </w:t>
      </w:r>
      <w:r w:rsidR="00334ED8" w:rsidRPr="009A6F9B">
        <w:rPr>
          <w:rFonts w:ascii="Verdana" w:hAnsi="Verdana"/>
        </w:rPr>
        <w:t>contratos</w:t>
      </w:r>
      <w:r w:rsidR="00334ED8" w:rsidRPr="009A6F9B">
        <w:rPr>
          <w:rFonts w:ascii="Verdana" w:hAnsi="Verdana"/>
          <w:spacing w:val="-10"/>
        </w:rPr>
        <w:t xml:space="preserve"> </w:t>
      </w:r>
      <w:r w:rsidR="00334ED8" w:rsidRPr="009A6F9B">
        <w:rPr>
          <w:rFonts w:ascii="Verdana" w:hAnsi="Verdana"/>
        </w:rPr>
        <w:t>generan</w:t>
      </w:r>
      <w:r w:rsidR="00334ED8" w:rsidRPr="009A6F9B">
        <w:rPr>
          <w:rFonts w:ascii="Verdana" w:hAnsi="Verdana"/>
          <w:spacing w:val="-10"/>
        </w:rPr>
        <w:t xml:space="preserve"> </w:t>
      </w:r>
      <w:r w:rsidR="00334ED8" w:rsidRPr="009A6F9B">
        <w:rPr>
          <w:rFonts w:ascii="Verdana" w:hAnsi="Verdana"/>
        </w:rPr>
        <w:t>relación</w:t>
      </w:r>
      <w:r w:rsidR="00334ED8" w:rsidRPr="009A6F9B">
        <w:rPr>
          <w:rFonts w:ascii="Verdana" w:hAnsi="Verdana"/>
          <w:spacing w:val="-10"/>
        </w:rPr>
        <w:t xml:space="preserve"> </w:t>
      </w:r>
      <w:r w:rsidR="00334ED8" w:rsidRPr="009A6F9B">
        <w:rPr>
          <w:rFonts w:ascii="Verdana" w:hAnsi="Verdana"/>
        </w:rPr>
        <w:t>laboral</w:t>
      </w:r>
      <w:r w:rsidR="00334ED8" w:rsidRPr="009A6F9B">
        <w:rPr>
          <w:rFonts w:ascii="Verdana" w:hAnsi="Verdana"/>
          <w:spacing w:val="-10"/>
        </w:rPr>
        <w:t xml:space="preserve"> </w:t>
      </w:r>
      <w:r w:rsidR="00334ED8" w:rsidRPr="009A6F9B">
        <w:rPr>
          <w:rFonts w:ascii="Verdana" w:hAnsi="Verdana"/>
        </w:rPr>
        <w:t>ni</w:t>
      </w:r>
      <w:r w:rsidR="00334ED8" w:rsidRPr="009A6F9B">
        <w:rPr>
          <w:rFonts w:ascii="Verdana" w:hAnsi="Verdana"/>
          <w:spacing w:val="-12"/>
        </w:rPr>
        <w:t xml:space="preserve"> </w:t>
      </w:r>
      <w:r w:rsidR="00334ED8" w:rsidRPr="009A6F9B">
        <w:rPr>
          <w:rFonts w:ascii="Verdana" w:hAnsi="Verdana"/>
        </w:rPr>
        <w:t>prestaciones</w:t>
      </w:r>
      <w:r w:rsidR="00334ED8" w:rsidRPr="009A6F9B">
        <w:rPr>
          <w:rFonts w:ascii="Verdana" w:hAnsi="Verdana"/>
          <w:spacing w:val="-9"/>
        </w:rPr>
        <w:t xml:space="preserve"> </w:t>
      </w:r>
      <w:r w:rsidR="00334ED8" w:rsidRPr="009A6F9B">
        <w:rPr>
          <w:rFonts w:ascii="Verdana" w:hAnsi="Verdana"/>
        </w:rPr>
        <w:t>sociales</w:t>
      </w:r>
      <w:r w:rsidR="00334ED8" w:rsidRPr="009A6F9B">
        <w:rPr>
          <w:rFonts w:ascii="Verdana" w:hAnsi="Verdana"/>
          <w:spacing w:val="-10"/>
        </w:rPr>
        <w:t xml:space="preserve"> </w:t>
      </w:r>
      <w:r w:rsidR="00334ED8" w:rsidRPr="009A6F9B">
        <w:rPr>
          <w:rFonts w:ascii="Verdana" w:hAnsi="Verdana"/>
        </w:rPr>
        <w:t>y</w:t>
      </w:r>
      <w:r w:rsidR="00334ED8" w:rsidRPr="009A6F9B">
        <w:rPr>
          <w:rFonts w:ascii="Verdana" w:hAnsi="Verdana"/>
          <w:spacing w:val="-12"/>
        </w:rPr>
        <w:t xml:space="preserve"> </w:t>
      </w:r>
      <w:r w:rsidR="00334ED8" w:rsidRPr="009A6F9B">
        <w:rPr>
          <w:rFonts w:ascii="Verdana" w:hAnsi="Verdana"/>
        </w:rPr>
        <w:t>se</w:t>
      </w:r>
      <w:r w:rsidR="00334ED8" w:rsidRPr="009A6F9B">
        <w:rPr>
          <w:rFonts w:ascii="Verdana" w:hAnsi="Verdana"/>
          <w:spacing w:val="-12"/>
        </w:rPr>
        <w:t xml:space="preserve"> </w:t>
      </w:r>
      <w:r w:rsidR="00334ED8" w:rsidRPr="009A6F9B">
        <w:rPr>
          <w:rFonts w:ascii="Verdana" w:hAnsi="Verdana"/>
        </w:rPr>
        <w:t>celebrarán por el término estrictamente indispensable”.</w:t>
      </w:r>
    </w:p>
    <w:p w14:paraId="66E33CEE" w14:textId="77777777" w:rsidR="00334ED8" w:rsidRPr="009A6F9B" w:rsidRDefault="00334ED8" w:rsidP="00334ED8">
      <w:pPr>
        <w:pStyle w:val="Textoindependiente"/>
        <w:spacing w:line="276" w:lineRule="auto"/>
        <w:ind w:firstLine="709"/>
        <w:jc w:val="both"/>
        <w:rPr>
          <w:rFonts w:ascii="Verdana" w:hAnsi="Verdana"/>
        </w:rPr>
      </w:pPr>
      <w:r w:rsidRPr="009A6F9B">
        <w:rPr>
          <w:rFonts w:ascii="Verdana" w:hAnsi="Verdana"/>
        </w:rPr>
        <w:t>La</w:t>
      </w:r>
      <w:r w:rsidRPr="009A6F9B">
        <w:rPr>
          <w:rFonts w:ascii="Verdana" w:hAnsi="Verdana"/>
          <w:spacing w:val="-15"/>
        </w:rPr>
        <w:t xml:space="preserve"> </w:t>
      </w:r>
      <w:r w:rsidRPr="009A6F9B">
        <w:rPr>
          <w:rFonts w:ascii="Verdana" w:hAnsi="Verdana"/>
        </w:rPr>
        <w:t>celebración</w:t>
      </w:r>
      <w:r w:rsidRPr="009A6F9B">
        <w:rPr>
          <w:rFonts w:ascii="Verdana" w:hAnsi="Verdana"/>
          <w:spacing w:val="-11"/>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dicho</w:t>
      </w:r>
      <w:r w:rsidRPr="009A6F9B">
        <w:rPr>
          <w:rFonts w:ascii="Verdana" w:hAnsi="Verdana"/>
          <w:spacing w:val="-14"/>
        </w:rPr>
        <w:t xml:space="preserve"> </w:t>
      </w:r>
      <w:r w:rsidRPr="009A6F9B">
        <w:rPr>
          <w:rFonts w:ascii="Verdana" w:hAnsi="Verdana"/>
        </w:rPr>
        <w:t>contrato</w:t>
      </w:r>
      <w:r w:rsidRPr="009A6F9B">
        <w:rPr>
          <w:rFonts w:ascii="Verdana" w:hAnsi="Verdana"/>
          <w:spacing w:val="-13"/>
        </w:rPr>
        <w:t xml:space="preserve"> </w:t>
      </w:r>
      <w:r w:rsidRPr="009A6F9B">
        <w:rPr>
          <w:rFonts w:ascii="Verdana" w:hAnsi="Verdana"/>
        </w:rPr>
        <w:t>debe</w:t>
      </w:r>
      <w:r w:rsidRPr="009A6F9B">
        <w:rPr>
          <w:rFonts w:ascii="Verdana" w:hAnsi="Verdana"/>
          <w:spacing w:val="-14"/>
        </w:rPr>
        <w:t xml:space="preserve"> </w:t>
      </w:r>
      <w:r w:rsidRPr="009A6F9B">
        <w:rPr>
          <w:rFonts w:ascii="Verdana" w:hAnsi="Verdana"/>
        </w:rPr>
        <w:t>efectuarse</w:t>
      </w:r>
      <w:r w:rsidRPr="009A6F9B">
        <w:rPr>
          <w:rFonts w:ascii="Verdana" w:hAnsi="Verdana"/>
          <w:spacing w:val="-12"/>
        </w:rPr>
        <w:t xml:space="preserve"> </w:t>
      </w:r>
      <w:r w:rsidRPr="009A6F9B">
        <w:rPr>
          <w:rFonts w:ascii="Verdana" w:hAnsi="Verdana"/>
        </w:rPr>
        <w:t>a</w:t>
      </w:r>
      <w:r w:rsidRPr="009A6F9B">
        <w:rPr>
          <w:rFonts w:ascii="Verdana" w:hAnsi="Verdana"/>
          <w:spacing w:val="-15"/>
        </w:rPr>
        <w:t xml:space="preserve"> </w:t>
      </w:r>
      <w:r w:rsidRPr="009A6F9B">
        <w:rPr>
          <w:rFonts w:ascii="Verdana" w:hAnsi="Verdana"/>
        </w:rPr>
        <w:t>través</w:t>
      </w:r>
      <w:r w:rsidRPr="009A6F9B">
        <w:rPr>
          <w:rFonts w:ascii="Verdana" w:hAnsi="Verdana"/>
          <w:spacing w:val="-14"/>
        </w:rPr>
        <w:t xml:space="preserve"> </w:t>
      </w:r>
      <w:r w:rsidRPr="009A6F9B">
        <w:rPr>
          <w:rFonts w:ascii="Verdana" w:hAnsi="Verdana"/>
        </w:rPr>
        <w:t>de</w:t>
      </w:r>
      <w:r w:rsidRPr="009A6F9B">
        <w:rPr>
          <w:rFonts w:ascii="Verdana" w:hAnsi="Verdana"/>
          <w:spacing w:val="-15"/>
        </w:rPr>
        <w:t xml:space="preserve"> </w:t>
      </w:r>
      <w:r w:rsidRPr="009A6F9B">
        <w:rPr>
          <w:rFonts w:ascii="Verdana" w:hAnsi="Verdana"/>
        </w:rPr>
        <w:t>la</w:t>
      </w:r>
      <w:r w:rsidRPr="009A6F9B">
        <w:rPr>
          <w:rFonts w:ascii="Verdana" w:hAnsi="Verdana"/>
          <w:spacing w:val="-15"/>
        </w:rPr>
        <w:t xml:space="preserve"> </w:t>
      </w:r>
      <w:r w:rsidRPr="009A6F9B">
        <w:rPr>
          <w:rFonts w:ascii="Verdana" w:hAnsi="Verdana"/>
        </w:rPr>
        <w:t>modalidad de contratación directa. Así lo dispone el artículo 2, numeral 4°, literal h) de la Ley</w:t>
      </w:r>
      <w:r w:rsidRPr="009A6F9B">
        <w:rPr>
          <w:rFonts w:ascii="Verdana" w:hAnsi="Verdana"/>
          <w:spacing w:val="-7"/>
        </w:rPr>
        <w:t xml:space="preserve"> </w:t>
      </w:r>
      <w:r w:rsidRPr="009A6F9B">
        <w:rPr>
          <w:rFonts w:ascii="Verdana" w:hAnsi="Verdana"/>
        </w:rPr>
        <w:t>1150</w:t>
      </w:r>
      <w:r w:rsidRPr="009A6F9B">
        <w:rPr>
          <w:rFonts w:ascii="Verdana" w:hAnsi="Verdana"/>
          <w:spacing w:val="-6"/>
        </w:rPr>
        <w:t xml:space="preserve"> </w:t>
      </w:r>
      <w:r w:rsidRPr="009A6F9B">
        <w:rPr>
          <w:rFonts w:ascii="Verdana" w:hAnsi="Verdana"/>
        </w:rPr>
        <w:t>de</w:t>
      </w:r>
      <w:r w:rsidRPr="009A6F9B">
        <w:rPr>
          <w:rFonts w:ascii="Verdana" w:hAnsi="Verdana"/>
          <w:spacing w:val="-7"/>
        </w:rPr>
        <w:t xml:space="preserve"> </w:t>
      </w:r>
      <w:r w:rsidRPr="009A6F9B">
        <w:rPr>
          <w:rFonts w:ascii="Verdana" w:hAnsi="Verdana"/>
        </w:rPr>
        <w:t xml:space="preserve">2007, el cual señala: </w:t>
      </w:r>
    </w:p>
    <w:p w14:paraId="36A574F1" w14:textId="77777777" w:rsidR="00334ED8" w:rsidRDefault="00334ED8" w:rsidP="00334ED8">
      <w:pPr>
        <w:spacing w:after="0" w:line="240" w:lineRule="auto"/>
        <w:ind w:left="709" w:right="709"/>
        <w:jc w:val="both"/>
        <w:rPr>
          <w:rFonts w:ascii="Verdana" w:hAnsi="Verdana"/>
          <w:sz w:val="20"/>
          <w:szCs w:val="20"/>
        </w:rPr>
      </w:pPr>
    </w:p>
    <w:p w14:paraId="04840C68" w14:textId="77777777" w:rsidR="00334ED8" w:rsidRDefault="00334ED8" w:rsidP="00334ED8">
      <w:pPr>
        <w:spacing w:after="0" w:line="240" w:lineRule="auto"/>
        <w:ind w:left="709" w:right="709"/>
        <w:jc w:val="both"/>
        <w:rPr>
          <w:rFonts w:ascii="Verdana" w:hAnsi="Verdana"/>
          <w:sz w:val="20"/>
          <w:szCs w:val="20"/>
        </w:rPr>
      </w:pPr>
      <w:r w:rsidRPr="00EF7E33">
        <w:rPr>
          <w:rFonts w:ascii="Verdana" w:hAnsi="Verdana"/>
          <w:sz w:val="20"/>
          <w:szCs w:val="20"/>
        </w:rPr>
        <w:lastRenderedPageBreak/>
        <w:t>“La</w:t>
      </w:r>
      <w:r w:rsidRPr="00EF7E33">
        <w:rPr>
          <w:rFonts w:ascii="Verdana" w:hAnsi="Verdana"/>
          <w:spacing w:val="-4"/>
          <w:sz w:val="20"/>
          <w:szCs w:val="20"/>
        </w:rPr>
        <w:t xml:space="preserve"> </w:t>
      </w:r>
      <w:r w:rsidRPr="00EF7E33">
        <w:rPr>
          <w:rFonts w:ascii="Verdana" w:hAnsi="Verdana"/>
          <w:sz w:val="20"/>
          <w:szCs w:val="20"/>
        </w:rPr>
        <w:t>escogencia</w:t>
      </w:r>
      <w:r w:rsidRPr="00EF7E33">
        <w:rPr>
          <w:rFonts w:ascii="Verdana" w:hAnsi="Verdana"/>
          <w:spacing w:val="-4"/>
          <w:sz w:val="20"/>
          <w:szCs w:val="20"/>
        </w:rPr>
        <w:t xml:space="preserve"> </w:t>
      </w:r>
      <w:r w:rsidRPr="00EF7E33">
        <w:rPr>
          <w:rFonts w:ascii="Verdana" w:hAnsi="Verdana"/>
          <w:sz w:val="20"/>
          <w:szCs w:val="20"/>
        </w:rPr>
        <w:t>del</w:t>
      </w:r>
      <w:r w:rsidRPr="00EF7E33">
        <w:rPr>
          <w:rFonts w:ascii="Verdana" w:hAnsi="Verdana"/>
          <w:spacing w:val="-4"/>
          <w:sz w:val="20"/>
          <w:szCs w:val="20"/>
        </w:rPr>
        <w:t xml:space="preserve"> </w:t>
      </w:r>
      <w:r w:rsidRPr="00EF7E33">
        <w:rPr>
          <w:rFonts w:ascii="Verdana" w:hAnsi="Verdana"/>
          <w:sz w:val="20"/>
          <w:szCs w:val="20"/>
        </w:rPr>
        <w:t>contratista</w:t>
      </w:r>
      <w:r w:rsidRPr="00EF7E33">
        <w:rPr>
          <w:rFonts w:ascii="Verdana" w:hAnsi="Verdana"/>
          <w:spacing w:val="-4"/>
          <w:sz w:val="20"/>
          <w:szCs w:val="20"/>
        </w:rPr>
        <w:t xml:space="preserve"> </w:t>
      </w:r>
      <w:r w:rsidRPr="00EF7E33">
        <w:rPr>
          <w:rFonts w:ascii="Verdana" w:hAnsi="Verdana"/>
          <w:sz w:val="20"/>
          <w:szCs w:val="20"/>
        </w:rPr>
        <w:t>se</w:t>
      </w:r>
      <w:r w:rsidRPr="00EF7E33">
        <w:rPr>
          <w:rFonts w:ascii="Verdana" w:hAnsi="Verdana"/>
          <w:spacing w:val="-4"/>
          <w:sz w:val="20"/>
          <w:szCs w:val="20"/>
        </w:rPr>
        <w:t xml:space="preserve"> </w:t>
      </w:r>
      <w:r w:rsidRPr="00EF7E33">
        <w:rPr>
          <w:rFonts w:ascii="Verdana" w:hAnsi="Verdana"/>
          <w:sz w:val="20"/>
          <w:szCs w:val="20"/>
        </w:rPr>
        <w:t>efectuará</w:t>
      </w:r>
      <w:r w:rsidRPr="00EF7E33">
        <w:rPr>
          <w:rFonts w:ascii="Verdana" w:hAnsi="Verdana"/>
          <w:spacing w:val="-4"/>
          <w:sz w:val="20"/>
          <w:szCs w:val="20"/>
        </w:rPr>
        <w:t xml:space="preserve"> </w:t>
      </w:r>
      <w:r w:rsidRPr="00EF7E33">
        <w:rPr>
          <w:rFonts w:ascii="Verdana" w:hAnsi="Verdana"/>
          <w:sz w:val="20"/>
          <w:szCs w:val="20"/>
        </w:rPr>
        <w:t>con</w:t>
      </w:r>
      <w:r w:rsidRPr="00EF7E33">
        <w:rPr>
          <w:rFonts w:ascii="Verdana" w:hAnsi="Verdana"/>
          <w:spacing w:val="-4"/>
          <w:sz w:val="20"/>
          <w:szCs w:val="20"/>
        </w:rPr>
        <w:t xml:space="preserve"> </w:t>
      </w:r>
      <w:r w:rsidRPr="00EF7E33">
        <w:rPr>
          <w:rFonts w:ascii="Verdana" w:hAnsi="Verdana"/>
          <w:sz w:val="20"/>
          <w:szCs w:val="20"/>
        </w:rPr>
        <w:t>arreglo</w:t>
      </w:r>
      <w:r w:rsidRPr="00EF7E33">
        <w:rPr>
          <w:rFonts w:ascii="Verdana" w:hAnsi="Verdana"/>
          <w:spacing w:val="-4"/>
          <w:sz w:val="20"/>
          <w:szCs w:val="20"/>
        </w:rPr>
        <w:t xml:space="preserve"> </w:t>
      </w:r>
      <w:r w:rsidRPr="00EF7E33">
        <w:rPr>
          <w:rFonts w:ascii="Verdana" w:hAnsi="Verdana"/>
          <w:sz w:val="20"/>
          <w:szCs w:val="20"/>
        </w:rPr>
        <w:t>a</w:t>
      </w:r>
      <w:r w:rsidRPr="00EF7E33">
        <w:rPr>
          <w:rFonts w:ascii="Verdana" w:hAnsi="Verdana"/>
          <w:spacing w:val="-4"/>
          <w:sz w:val="20"/>
          <w:szCs w:val="20"/>
        </w:rPr>
        <w:t xml:space="preserve"> </w:t>
      </w:r>
      <w:r w:rsidRPr="00EF7E33">
        <w:rPr>
          <w:rFonts w:ascii="Verdana" w:hAnsi="Verdana"/>
          <w:sz w:val="20"/>
          <w:szCs w:val="20"/>
        </w:rPr>
        <w:t>las</w:t>
      </w:r>
      <w:r w:rsidRPr="00EF7E33">
        <w:rPr>
          <w:rFonts w:ascii="Verdana" w:hAnsi="Verdana"/>
          <w:spacing w:val="-4"/>
          <w:sz w:val="20"/>
          <w:szCs w:val="20"/>
        </w:rPr>
        <w:t xml:space="preserve"> </w:t>
      </w:r>
      <w:r w:rsidRPr="00EF7E33">
        <w:rPr>
          <w:rFonts w:ascii="Verdana" w:hAnsi="Verdana"/>
          <w:sz w:val="20"/>
          <w:szCs w:val="20"/>
        </w:rPr>
        <w:t>modalidades</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licitación</w:t>
      </w:r>
      <w:r w:rsidRPr="00EF7E33">
        <w:rPr>
          <w:rFonts w:ascii="Verdana" w:hAnsi="Verdana"/>
          <w:spacing w:val="-4"/>
          <w:sz w:val="20"/>
          <w:szCs w:val="20"/>
        </w:rPr>
        <w:t xml:space="preserve"> </w:t>
      </w:r>
      <w:r w:rsidRPr="00EF7E33">
        <w:rPr>
          <w:rFonts w:ascii="Verdana" w:hAnsi="Verdana"/>
          <w:sz w:val="20"/>
          <w:szCs w:val="20"/>
        </w:rPr>
        <w:t>pública,</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abreviada,</w:t>
      </w:r>
      <w:r w:rsidRPr="00EF7E33">
        <w:rPr>
          <w:rFonts w:ascii="Verdana" w:hAnsi="Verdana"/>
          <w:spacing w:val="-4"/>
          <w:sz w:val="20"/>
          <w:szCs w:val="20"/>
        </w:rPr>
        <w:t xml:space="preserve"> </w:t>
      </w:r>
      <w:r w:rsidRPr="00EF7E33">
        <w:rPr>
          <w:rFonts w:ascii="Verdana" w:hAnsi="Verdana"/>
          <w:sz w:val="20"/>
          <w:szCs w:val="20"/>
        </w:rPr>
        <w:t>concurso</w:t>
      </w:r>
      <w:r w:rsidRPr="00EF7E33">
        <w:rPr>
          <w:rFonts w:ascii="Verdana" w:hAnsi="Verdana"/>
          <w:spacing w:val="-4"/>
          <w:sz w:val="20"/>
          <w:szCs w:val="20"/>
        </w:rPr>
        <w:t xml:space="preserve"> </w:t>
      </w:r>
      <w:r w:rsidRPr="00EF7E33">
        <w:rPr>
          <w:rFonts w:ascii="Verdana" w:hAnsi="Verdana"/>
          <w:sz w:val="20"/>
          <w:szCs w:val="20"/>
        </w:rPr>
        <w:t>de méritos y contratación directa, con base en las siguientes reglas:</w:t>
      </w:r>
    </w:p>
    <w:p w14:paraId="58DCB6DD" w14:textId="77777777" w:rsidR="00334ED8" w:rsidRPr="00B47DEA" w:rsidRDefault="00334ED8" w:rsidP="00334ED8">
      <w:pPr>
        <w:spacing w:after="0" w:line="240" w:lineRule="auto"/>
        <w:ind w:right="709"/>
        <w:jc w:val="both"/>
        <w:rPr>
          <w:rFonts w:ascii="Verdana" w:hAnsi="Verdana"/>
          <w:sz w:val="20"/>
          <w:szCs w:val="20"/>
        </w:rPr>
      </w:pPr>
      <w:r>
        <w:rPr>
          <w:rFonts w:ascii="Verdana" w:hAnsi="Verdana"/>
          <w:sz w:val="20"/>
          <w:szCs w:val="20"/>
        </w:rPr>
        <w:t xml:space="preserve">          </w:t>
      </w:r>
      <w:r w:rsidRPr="00EF7E33">
        <w:rPr>
          <w:rFonts w:ascii="Verdana" w:hAnsi="Verdana"/>
          <w:spacing w:val="-5"/>
          <w:sz w:val="20"/>
          <w:szCs w:val="20"/>
        </w:rPr>
        <w:t>[…]</w:t>
      </w:r>
    </w:p>
    <w:p w14:paraId="26602842" w14:textId="77777777" w:rsidR="00334ED8" w:rsidRPr="00B47DEA" w:rsidRDefault="00334ED8" w:rsidP="00334ED8">
      <w:pPr>
        <w:spacing w:after="0" w:line="240" w:lineRule="auto"/>
        <w:ind w:left="709" w:right="709"/>
        <w:jc w:val="both"/>
        <w:rPr>
          <w:rFonts w:ascii="Verdana" w:hAnsi="Verdana"/>
          <w:sz w:val="20"/>
          <w:szCs w:val="20"/>
        </w:rPr>
      </w:pPr>
      <w:r>
        <w:rPr>
          <w:rFonts w:ascii="Verdana" w:hAnsi="Verdana"/>
          <w:sz w:val="20"/>
          <w:szCs w:val="20"/>
        </w:rPr>
        <w:t>“4</w:t>
      </w:r>
      <w:r w:rsidRPr="00EF7E33">
        <w:rPr>
          <w:rFonts w:ascii="Verdana" w:hAnsi="Verdana"/>
          <w:sz w:val="20"/>
          <w:szCs w:val="20"/>
        </w:rPr>
        <w:t>. Contratación</w:t>
      </w:r>
      <w:r w:rsidRPr="00EF7E33">
        <w:rPr>
          <w:rFonts w:ascii="Verdana" w:hAnsi="Verdana"/>
          <w:spacing w:val="-4"/>
          <w:sz w:val="20"/>
          <w:szCs w:val="20"/>
        </w:rPr>
        <w:t xml:space="preserve"> </w:t>
      </w:r>
      <w:r w:rsidRPr="00EF7E33">
        <w:rPr>
          <w:rFonts w:ascii="Verdana" w:hAnsi="Verdana"/>
          <w:sz w:val="20"/>
          <w:szCs w:val="20"/>
        </w:rPr>
        <w:t>directa.</w:t>
      </w:r>
      <w:r w:rsidRPr="00EF7E33">
        <w:rPr>
          <w:rFonts w:ascii="Verdana" w:hAnsi="Verdana"/>
          <w:spacing w:val="-4"/>
          <w:sz w:val="20"/>
          <w:szCs w:val="20"/>
        </w:rPr>
        <w:t xml:space="preserve"> </w:t>
      </w:r>
      <w:r w:rsidRPr="00EF7E33">
        <w:rPr>
          <w:rFonts w:ascii="Verdana" w:hAnsi="Verdana"/>
          <w:sz w:val="20"/>
          <w:szCs w:val="20"/>
        </w:rPr>
        <w:t>La</w:t>
      </w:r>
      <w:r w:rsidRPr="00EF7E33">
        <w:rPr>
          <w:rFonts w:ascii="Verdana" w:hAnsi="Verdana"/>
          <w:spacing w:val="-4"/>
          <w:sz w:val="20"/>
          <w:szCs w:val="20"/>
        </w:rPr>
        <w:t xml:space="preserve"> </w:t>
      </w:r>
      <w:r w:rsidRPr="00EF7E33">
        <w:rPr>
          <w:rFonts w:ascii="Verdana" w:hAnsi="Verdana"/>
          <w:sz w:val="20"/>
          <w:szCs w:val="20"/>
        </w:rPr>
        <w:t>modalidad</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00EF7E33">
        <w:rPr>
          <w:rFonts w:ascii="Verdana" w:hAnsi="Verdana"/>
          <w:sz w:val="20"/>
          <w:szCs w:val="20"/>
        </w:rPr>
        <w:t>selección</w:t>
      </w:r>
      <w:r w:rsidRPr="00EF7E33">
        <w:rPr>
          <w:rFonts w:ascii="Verdana" w:hAnsi="Verdana"/>
          <w:spacing w:val="-4"/>
          <w:sz w:val="20"/>
          <w:szCs w:val="20"/>
        </w:rPr>
        <w:t xml:space="preserve"> </w:t>
      </w:r>
      <w:r w:rsidRPr="00EF7E33">
        <w:rPr>
          <w:rFonts w:ascii="Verdana" w:hAnsi="Verdana"/>
          <w:sz w:val="20"/>
          <w:szCs w:val="20"/>
        </w:rPr>
        <w:t>de</w:t>
      </w:r>
      <w:r w:rsidRPr="00EF7E33">
        <w:rPr>
          <w:rFonts w:ascii="Verdana" w:hAnsi="Verdana"/>
          <w:spacing w:val="-4"/>
          <w:sz w:val="20"/>
          <w:szCs w:val="20"/>
        </w:rPr>
        <w:t xml:space="preserve"> </w:t>
      </w:r>
      <w:r w:rsidRPr="76FD4F24">
        <w:rPr>
          <w:rFonts w:ascii="Verdana" w:hAnsi="Verdana"/>
          <w:sz w:val="20"/>
          <w:szCs w:val="20"/>
        </w:rPr>
        <w:t xml:space="preserve">contratación </w:t>
      </w:r>
      <w:proofErr w:type="gramStart"/>
      <w:r w:rsidRPr="00EF7E33">
        <w:rPr>
          <w:rFonts w:ascii="Verdana" w:hAnsi="Verdana"/>
          <w:sz w:val="20"/>
          <w:szCs w:val="20"/>
        </w:rPr>
        <w:t>directa,</w:t>
      </w:r>
      <w:proofErr w:type="gramEnd"/>
      <w:r w:rsidRPr="00EF7E33">
        <w:rPr>
          <w:rFonts w:ascii="Verdana" w:hAnsi="Verdana"/>
          <w:spacing w:val="-3"/>
          <w:sz w:val="20"/>
          <w:szCs w:val="20"/>
        </w:rPr>
        <w:t xml:space="preserve"> </w:t>
      </w:r>
      <w:r w:rsidRPr="00EF7E33">
        <w:rPr>
          <w:rFonts w:ascii="Verdana" w:hAnsi="Verdana"/>
          <w:sz w:val="20"/>
          <w:szCs w:val="20"/>
        </w:rPr>
        <w:t>solamente</w:t>
      </w:r>
      <w:r w:rsidRPr="00EF7E33">
        <w:rPr>
          <w:rFonts w:ascii="Verdana" w:hAnsi="Verdana"/>
          <w:spacing w:val="-4"/>
          <w:sz w:val="20"/>
          <w:szCs w:val="20"/>
        </w:rPr>
        <w:t xml:space="preserve"> </w:t>
      </w:r>
      <w:r w:rsidRPr="00EF7E33">
        <w:rPr>
          <w:rFonts w:ascii="Verdana" w:hAnsi="Verdana"/>
          <w:sz w:val="20"/>
          <w:szCs w:val="20"/>
        </w:rPr>
        <w:t>procederá</w:t>
      </w:r>
      <w:r w:rsidRPr="00EF7E33">
        <w:rPr>
          <w:rFonts w:ascii="Verdana" w:hAnsi="Verdana"/>
          <w:spacing w:val="-4"/>
          <w:sz w:val="20"/>
          <w:szCs w:val="20"/>
        </w:rPr>
        <w:t xml:space="preserve"> </w:t>
      </w:r>
      <w:r w:rsidRPr="00EF7E33">
        <w:rPr>
          <w:rFonts w:ascii="Verdana" w:hAnsi="Verdana"/>
          <w:sz w:val="20"/>
          <w:szCs w:val="20"/>
        </w:rPr>
        <w:t>en</w:t>
      </w:r>
      <w:r w:rsidRPr="00EF7E33">
        <w:rPr>
          <w:rFonts w:ascii="Verdana" w:hAnsi="Verdana"/>
          <w:spacing w:val="-4"/>
          <w:sz w:val="20"/>
          <w:szCs w:val="20"/>
        </w:rPr>
        <w:t xml:space="preserve"> </w:t>
      </w:r>
      <w:r w:rsidRPr="00EF7E33">
        <w:rPr>
          <w:rFonts w:ascii="Verdana" w:hAnsi="Verdana"/>
          <w:sz w:val="20"/>
          <w:szCs w:val="20"/>
        </w:rPr>
        <w:t>los</w:t>
      </w:r>
      <w:r w:rsidRPr="00EF7E33">
        <w:rPr>
          <w:rFonts w:ascii="Verdana" w:hAnsi="Verdana"/>
          <w:spacing w:val="-4"/>
          <w:sz w:val="20"/>
          <w:szCs w:val="20"/>
        </w:rPr>
        <w:t xml:space="preserve"> </w:t>
      </w:r>
      <w:r w:rsidRPr="00EF7E33">
        <w:rPr>
          <w:rFonts w:ascii="Verdana" w:hAnsi="Verdana"/>
          <w:sz w:val="20"/>
          <w:szCs w:val="20"/>
        </w:rPr>
        <w:t>siguientes</w:t>
      </w:r>
      <w:r w:rsidRPr="00EF7E33">
        <w:rPr>
          <w:rFonts w:ascii="Verdana" w:hAnsi="Verdana"/>
          <w:spacing w:val="-4"/>
          <w:sz w:val="20"/>
          <w:szCs w:val="20"/>
        </w:rPr>
        <w:t xml:space="preserve"> </w:t>
      </w:r>
      <w:r w:rsidRPr="00EF7E33">
        <w:rPr>
          <w:rFonts w:ascii="Verdana" w:hAnsi="Verdana"/>
          <w:sz w:val="20"/>
          <w:szCs w:val="20"/>
        </w:rPr>
        <w:t xml:space="preserve">casos: </w:t>
      </w:r>
      <w:r w:rsidRPr="00EF7E33">
        <w:rPr>
          <w:rFonts w:ascii="Verdana" w:hAnsi="Verdana"/>
          <w:spacing w:val="-4"/>
          <w:sz w:val="20"/>
          <w:szCs w:val="20"/>
        </w:rPr>
        <w:t>[…]</w:t>
      </w:r>
    </w:p>
    <w:p w14:paraId="51F53C00" w14:textId="77777777" w:rsidR="00334ED8" w:rsidRDefault="00334ED8" w:rsidP="00334ED8">
      <w:pPr>
        <w:spacing w:after="0" w:line="240" w:lineRule="auto"/>
        <w:ind w:left="709" w:right="709"/>
        <w:jc w:val="both"/>
        <w:rPr>
          <w:rFonts w:ascii="Verdana" w:hAnsi="Verdana"/>
          <w:sz w:val="20"/>
          <w:szCs w:val="20"/>
        </w:rPr>
      </w:pPr>
    </w:p>
    <w:p w14:paraId="480BA58A" w14:textId="77777777" w:rsidR="00334ED8" w:rsidRPr="00B47DEA" w:rsidRDefault="00334ED8" w:rsidP="00334ED8">
      <w:pPr>
        <w:spacing w:after="0" w:line="240" w:lineRule="auto"/>
        <w:ind w:left="709" w:right="709"/>
        <w:jc w:val="both"/>
        <w:rPr>
          <w:rFonts w:ascii="Verdana" w:hAnsi="Verdana"/>
          <w:sz w:val="20"/>
          <w:szCs w:val="20"/>
        </w:rPr>
      </w:pPr>
      <w:r w:rsidRPr="00EF7E33">
        <w:rPr>
          <w:rFonts w:ascii="Verdana" w:hAnsi="Verdana"/>
          <w:sz w:val="20"/>
          <w:szCs w:val="20"/>
        </w:rPr>
        <w:t>h) 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prestación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servicios</w:t>
      </w:r>
      <w:r w:rsidRPr="00EF7E33">
        <w:rPr>
          <w:rFonts w:ascii="Verdana" w:hAnsi="Verdana"/>
          <w:spacing w:val="-3"/>
          <w:sz w:val="20"/>
          <w:szCs w:val="20"/>
        </w:rPr>
        <w:t xml:space="preserve"> </w:t>
      </w:r>
      <w:r w:rsidRPr="00EF7E33">
        <w:rPr>
          <w:rFonts w:ascii="Verdana" w:hAnsi="Verdana"/>
          <w:sz w:val="20"/>
          <w:szCs w:val="20"/>
        </w:rPr>
        <w:t>profesionales</w:t>
      </w:r>
      <w:r w:rsidRPr="00EF7E33">
        <w:rPr>
          <w:rFonts w:ascii="Verdana" w:hAnsi="Verdana"/>
          <w:spacing w:val="-3"/>
          <w:sz w:val="20"/>
          <w:szCs w:val="20"/>
        </w:rPr>
        <w:t xml:space="preserve"> </w:t>
      </w:r>
      <w:r w:rsidRPr="00EF7E33">
        <w:rPr>
          <w:rFonts w:ascii="Verdana" w:hAnsi="Verdana"/>
          <w:sz w:val="20"/>
          <w:szCs w:val="20"/>
        </w:rPr>
        <w:t>y</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apoyo</w:t>
      </w:r>
      <w:r w:rsidRPr="00EF7E33">
        <w:rPr>
          <w:rFonts w:ascii="Verdana" w:hAnsi="Verdana"/>
          <w:spacing w:val="-3"/>
          <w:sz w:val="20"/>
          <w:szCs w:val="20"/>
        </w:rPr>
        <w:t xml:space="preserve"> </w:t>
      </w:r>
      <w:r w:rsidRPr="00EF7E33">
        <w:rPr>
          <w:rFonts w:ascii="Verdana" w:hAnsi="Verdana"/>
          <w:sz w:val="20"/>
          <w:szCs w:val="20"/>
        </w:rPr>
        <w:t>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gestión,</w:t>
      </w:r>
      <w:r w:rsidRPr="00EF7E33">
        <w:rPr>
          <w:rFonts w:ascii="Verdana" w:hAnsi="Verdana"/>
          <w:spacing w:val="-3"/>
          <w:sz w:val="20"/>
          <w:szCs w:val="20"/>
        </w:rPr>
        <w:t xml:space="preserve"> </w:t>
      </w:r>
      <w:r w:rsidRPr="00EF7E33">
        <w:rPr>
          <w:rFonts w:ascii="Verdana" w:hAnsi="Verdana"/>
          <w:sz w:val="20"/>
          <w:szCs w:val="20"/>
        </w:rPr>
        <w:t>o</w:t>
      </w:r>
      <w:r w:rsidRPr="00EF7E33">
        <w:rPr>
          <w:rFonts w:ascii="Verdana" w:hAnsi="Verdana"/>
          <w:spacing w:val="-3"/>
          <w:sz w:val="20"/>
          <w:szCs w:val="20"/>
        </w:rPr>
        <w:t xml:space="preserve"> </w:t>
      </w:r>
      <w:r w:rsidRPr="00EF7E33">
        <w:rPr>
          <w:rFonts w:ascii="Verdana" w:hAnsi="Verdana"/>
          <w:sz w:val="20"/>
          <w:szCs w:val="20"/>
        </w:rPr>
        <w:t>para</w:t>
      </w:r>
      <w:r w:rsidRPr="00EF7E33">
        <w:rPr>
          <w:rFonts w:ascii="Verdana" w:hAnsi="Verdana"/>
          <w:spacing w:val="-3"/>
          <w:sz w:val="20"/>
          <w:szCs w:val="20"/>
        </w:rPr>
        <w:t xml:space="preserve"> </w:t>
      </w:r>
      <w:r w:rsidRPr="00EF7E33">
        <w:rPr>
          <w:rFonts w:ascii="Verdana" w:hAnsi="Verdana"/>
          <w:sz w:val="20"/>
          <w:szCs w:val="20"/>
        </w:rPr>
        <w:t>la</w:t>
      </w:r>
      <w:r w:rsidRPr="00EF7E33">
        <w:rPr>
          <w:rFonts w:ascii="Verdana" w:hAnsi="Verdana"/>
          <w:spacing w:val="-3"/>
          <w:sz w:val="20"/>
          <w:szCs w:val="20"/>
        </w:rPr>
        <w:t xml:space="preserve"> </w:t>
      </w:r>
      <w:r w:rsidRPr="00EF7E33">
        <w:rPr>
          <w:rFonts w:ascii="Verdana" w:hAnsi="Verdana"/>
          <w:sz w:val="20"/>
          <w:szCs w:val="20"/>
        </w:rPr>
        <w:t>ejecución</w:t>
      </w:r>
      <w:r w:rsidRPr="00EF7E33">
        <w:rPr>
          <w:rFonts w:ascii="Verdana" w:hAnsi="Verdana"/>
          <w:spacing w:val="-3"/>
          <w:sz w:val="20"/>
          <w:szCs w:val="20"/>
        </w:rPr>
        <w:t xml:space="preserve"> </w:t>
      </w:r>
      <w:r w:rsidRPr="00EF7E33">
        <w:rPr>
          <w:rFonts w:ascii="Verdana" w:hAnsi="Verdana"/>
          <w:sz w:val="20"/>
          <w:szCs w:val="20"/>
        </w:rPr>
        <w:t>de</w:t>
      </w:r>
      <w:r w:rsidRPr="00EF7E33">
        <w:rPr>
          <w:rFonts w:ascii="Verdana" w:hAnsi="Verdana"/>
          <w:spacing w:val="-3"/>
          <w:sz w:val="20"/>
          <w:szCs w:val="20"/>
        </w:rPr>
        <w:t xml:space="preserve"> </w:t>
      </w:r>
      <w:r w:rsidRPr="00EF7E33">
        <w:rPr>
          <w:rFonts w:ascii="Verdana" w:hAnsi="Verdana"/>
          <w:sz w:val="20"/>
          <w:szCs w:val="20"/>
        </w:rPr>
        <w:t>trabajos</w:t>
      </w:r>
      <w:r w:rsidRPr="00EF7E33">
        <w:rPr>
          <w:rFonts w:ascii="Verdana" w:hAnsi="Verdana"/>
          <w:spacing w:val="-3"/>
          <w:sz w:val="20"/>
          <w:szCs w:val="20"/>
        </w:rPr>
        <w:t xml:space="preserve"> </w:t>
      </w:r>
      <w:r w:rsidRPr="00EF7E33">
        <w:rPr>
          <w:rFonts w:ascii="Verdana" w:hAnsi="Verdana"/>
          <w:sz w:val="20"/>
          <w:szCs w:val="20"/>
        </w:rPr>
        <w:t>artísticos</w:t>
      </w:r>
      <w:r w:rsidRPr="00EF7E33">
        <w:rPr>
          <w:rFonts w:ascii="Verdana" w:hAnsi="Verdana"/>
          <w:spacing w:val="-3"/>
          <w:sz w:val="20"/>
          <w:szCs w:val="20"/>
        </w:rPr>
        <w:t xml:space="preserve"> </w:t>
      </w:r>
      <w:r w:rsidRPr="00EF7E33">
        <w:rPr>
          <w:rFonts w:ascii="Verdana" w:hAnsi="Verdana"/>
          <w:sz w:val="20"/>
          <w:szCs w:val="20"/>
        </w:rPr>
        <w:t>que</w:t>
      </w:r>
      <w:r w:rsidRPr="00EF7E33">
        <w:rPr>
          <w:rFonts w:ascii="Verdana" w:hAnsi="Verdana"/>
          <w:spacing w:val="-3"/>
          <w:sz w:val="20"/>
          <w:szCs w:val="20"/>
        </w:rPr>
        <w:t xml:space="preserve"> </w:t>
      </w:r>
      <w:r w:rsidRPr="00EF7E33">
        <w:rPr>
          <w:rFonts w:ascii="Verdana" w:hAnsi="Verdana"/>
          <w:sz w:val="20"/>
          <w:szCs w:val="20"/>
        </w:rPr>
        <w:t>sólo</w:t>
      </w:r>
      <w:r w:rsidRPr="00EF7E33">
        <w:rPr>
          <w:rFonts w:ascii="Verdana" w:hAnsi="Verdana"/>
          <w:spacing w:val="-3"/>
          <w:sz w:val="20"/>
          <w:szCs w:val="20"/>
        </w:rPr>
        <w:t xml:space="preserve"> </w:t>
      </w:r>
      <w:r w:rsidRPr="00EF7E33">
        <w:rPr>
          <w:rFonts w:ascii="Verdana" w:hAnsi="Verdana"/>
          <w:sz w:val="20"/>
          <w:szCs w:val="20"/>
        </w:rPr>
        <w:t>puedan</w:t>
      </w:r>
      <w:r w:rsidRPr="00EF7E33">
        <w:rPr>
          <w:rFonts w:ascii="Verdana" w:hAnsi="Verdana"/>
          <w:spacing w:val="-3"/>
          <w:sz w:val="20"/>
          <w:szCs w:val="20"/>
        </w:rPr>
        <w:t xml:space="preserve"> </w:t>
      </w:r>
      <w:r w:rsidRPr="00EF7E33">
        <w:rPr>
          <w:rFonts w:ascii="Verdana" w:hAnsi="Verdana"/>
          <w:sz w:val="20"/>
          <w:szCs w:val="20"/>
        </w:rPr>
        <w:t>encomendarse a determinadas personas naturales”.</w:t>
      </w:r>
    </w:p>
    <w:p w14:paraId="01DA7B4C" w14:textId="77777777" w:rsidR="00334ED8" w:rsidRDefault="00334ED8" w:rsidP="00334ED8">
      <w:pPr>
        <w:pStyle w:val="Textoindependiente"/>
        <w:spacing w:line="276" w:lineRule="auto"/>
        <w:ind w:firstLine="709"/>
        <w:jc w:val="both"/>
      </w:pPr>
    </w:p>
    <w:p w14:paraId="35B8D61F" w14:textId="77777777" w:rsidR="00334ED8" w:rsidRPr="009A6F9B" w:rsidRDefault="00334ED8" w:rsidP="00334ED8">
      <w:pPr>
        <w:pStyle w:val="Textoindependiente"/>
        <w:spacing w:line="276" w:lineRule="auto"/>
        <w:ind w:firstLine="709"/>
        <w:jc w:val="both"/>
        <w:rPr>
          <w:rFonts w:ascii="Verdana" w:hAnsi="Verdana"/>
        </w:rPr>
      </w:pPr>
      <w:r w:rsidRPr="009A6F9B">
        <w:rPr>
          <w:rFonts w:ascii="Verdana" w:hAnsi="Verdana"/>
        </w:rPr>
        <w:t>En</w:t>
      </w:r>
      <w:r w:rsidRPr="009A6F9B">
        <w:rPr>
          <w:rFonts w:ascii="Verdana" w:hAnsi="Verdana"/>
          <w:spacing w:val="-7"/>
        </w:rPr>
        <w:t xml:space="preserve"> </w:t>
      </w:r>
      <w:r w:rsidRPr="009A6F9B">
        <w:rPr>
          <w:rFonts w:ascii="Verdana" w:hAnsi="Verdana"/>
        </w:rPr>
        <w:t>tal</w:t>
      </w:r>
      <w:r w:rsidRPr="009A6F9B">
        <w:rPr>
          <w:rFonts w:ascii="Verdana" w:hAnsi="Verdana"/>
          <w:spacing w:val="-7"/>
        </w:rPr>
        <w:t xml:space="preserve"> </w:t>
      </w:r>
      <w:r w:rsidRPr="009A6F9B">
        <w:rPr>
          <w:rFonts w:ascii="Verdana" w:hAnsi="Verdana"/>
        </w:rPr>
        <w:t>sentido,</w:t>
      </w:r>
      <w:r w:rsidRPr="009A6F9B">
        <w:rPr>
          <w:rFonts w:ascii="Verdana" w:hAnsi="Verdana"/>
          <w:spacing w:val="-5"/>
        </w:rPr>
        <w:t xml:space="preserve"> </w:t>
      </w:r>
      <w:r w:rsidRPr="009A6F9B">
        <w:rPr>
          <w:rFonts w:ascii="Verdana" w:hAnsi="Verdana"/>
        </w:rPr>
        <w:t>el</w:t>
      </w:r>
      <w:r w:rsidRPr="009A6F9B">
        <w:rPr>
          <w:rFonts w:ascii="Verdana" w:hAnsi="Verdana"/>
          <w:spacing w:val="-7"/>
        </w:rPr>
        <w:t xml:space="preserve"> </w:t>
      </w:r>
      <w:r w:rsidRPr="009A6F9B">
        <w:rPr>
          <w:rFonts w:ascii="Verdana" w:hAnsi="Verdana"/>
        </w:rPr>
        <w:t>artículo</w:t>
      </w:r>
      <w:r w:rsidRPr="009A6F9B">
        <w:rPr>
          <w:rFonts w:ascii="Verdana" w:hAnsi="Verdana"/>
          <w:spacing w:val="-5"/>
        </w:rPr>
        <w:t xml:space="preserve"> </w:t>
      </w:r>
      <w:r w:rsidRPr="009A6F9B">
        <w:rPr>
          <w:rFonts w:ascii="Verdana" w:hAnsi="Verdana"/>
        </w:rPr>
        <w:t>2.2.1.2.1.4.9</w:t>
      </w:r>
      <w:r w:rsidRPr="009A6F9B">
        <w:rPr>
          <w:rFonts w:ascii="Verdana" w:hAnsi="Verdana"/>
          <w:spacing w:val="-3"/>
        </w:rPr>
        <w:t xml:space="preserve"> </w:t>
      </w:r>
      <w:r w:rsidRPr="009A6F9B">
        <w:rPr>
          <w:rFonts w:ascii="Verdana" w:hAnsi="Verdana"/>
        </w:rPr>
        <w:t>del</w:t>
      </w:r>
      <w:r w:rsidRPr="009A6F9B">
        <w:rPr>
          <w:rFonts w:ascii="Verdana" w:hAnsi="Verdana"/>
          <w:spacing w:val="-7"/>
        </w:rPr>
        <w:t xml:space="preserve"> </w:t>
      </w:r>
      <w:r w:rsidRPr="009A6F9B">
        <w:rPr>
          <w:rFonts w:ascii="Verdana" w:hAnsi="Verdana"/>
        </w:rPr>
        <w:t>Decreto</w:t>
      </w:r>
      <w:r w:rsidRPr="009A6F9B">
        <w:rPr>
          <w:rFonts w:ascii="Verdana" w:hAnsi="Verdana"/>
          <w:spacing w:val="-5"/>
        </w:rPr>
        <w:t xml:space="preserve"> </w:t>
      </w:r>
      <w:r w:rsidRPr="009A6F9B">
        <w:rPr>
          <w:rFonts w:ascii="Verdana" w:hAnsi="Verdana"/>
        </w:rPr>
        <w:t>1082</w:t>
      </w:r>
      <w:r w:rsidRPr="009A6F9B">
        <w:rPr>
          <w:rFonts w:ascii="Verdana" w:hAnsi="Verdana"/>
          <w:spacing w:val="-6"/>
        </w:rPr>
        <w:t xml:space="preserve"> </w:t>
      </w:r>
      <w:r w:rsidRPr="009A6F9B">
        <w:rPr>
          <w:rFonts w:ascii="Verdana" w:hAnsi="Verdana"/>
        </w:rPr>
        <w:t>de 2015 reglamentó la contratación directa para los contratos de servicios profesionales y de apoyo a la gestión, o para la ejecución de trabajos artísticos que sólo pueden encomendarse a determinadas personas naturales, en los siguientes términos:</w:t>
      </w:r>
    </w:p>
    <w:p w14:paraId="0EFB2FFE" w14:textId="77777777" w:rsidR="00334ED8" w:rsidRPr="004F63B2" w:rsidRDefault="00334ED8" w:rsidP="00334ED8">
      <w:pPr>
        <w:spacing w:after="0" w:line="240" w:lineRule="auto"/>
        <w:ind w:left="709" w:right="709"/>
        <w:jc w:val="both"/>
        <w:rPr>
          <w:rFonts w:ascii="Verdana" w:hAnsi="Verdana"/>
          <w:sz w:val="20"/>
          <w:szCs w:val="20"/>
        </w:rPr>
      </w:pPr>
      <w:r w:rsidRPr="004F63B2">
        <w:rPr>
          <w:rFonts w:ascii="Verdana" w:hAnsi="Verdana"/>
          <w:sz w:val="20"/>
          <w:szCs w:val="20"/>
        </w:rPr>
        <w:t>“Las Entidades Estatales pueden contratar bajo la modalidad de contratación directa la</w:t>
      </w:r>
      <w:r w:rsidRPr="004F63B2">
        <w:rPr>
          <w:rFonts w:ascii="Verdana" w:hAnsi="Verdana"/>
          <w:spacing w:val="-1"/>
          <w:sz w:val="20"/>
          <w:szCs w:val="20"/>
        </w:rPr>
        <w:t xml:space="preserve"> </w:t>
      </w:r>
      <w:r w:rsidRPr="004F63B2">
        <w:rPr>
          <w:rFonts w:ascii="Verdana" w:hAnsi="Verdana"/>
          <w:sz w:val="20"/>
          <w:szCs w:val="20"/>
        </w:rPr>
        <w:t>prestación de</w:t>
      </w:r>
      <w:r w:rsidRPr="004F63B2">
        <w:rPr>
          <w:rFonts w:ascii="Verdana" w:hAnsi="Verdana"/>
          <w:spacing w:val="-1"/>
          <w:sz w:val="20"/>
          <w:szCs w:val="20"/>
        </w:rPr>
        <w:t xml:space="preserve"> </w:t>
      </w:r>
      <w:r w:rsidRPr="004F63B2">
        <w:rPr>
          <w:rFonts w:ascii="Verdana" w:hAnsi="Verdana"/>
          <w:sz w:val="20"/>
          <w:szCs w:val="20"/>
        </w:rPr>
        <w:t>servicios profesionales y</w:t>
      </w:r>
      <w:r w:rsidRPr="004F63B2">
        <w:rPr>
          <w:rFonts w:ascii="Verdana" w:hAnsi="Verdana"/>
          <w:spacing w:val="-1"/>
          <w:sz w:val="20"/>
          <w:szCs w:val="20"/>
        </w:rPr>
        <w:t xml:space="preserve"> </w:t>
      </w:r>
      <w:r w:rsidRPr="004F63B2">
        <w:rPr>
          <w:rFonts w:ascii="Verdana" w:hAnsi="Verdana"/>
          <w:sz w:val="20"/>
          <w:szCs w:val="20"/>
        </w:rPr>
        <w:t>de</w:t>
      </w:r>
      <w:r w:rsidRPr="004F63B2">
        <w:rPr>
          <w:rFonts w:ascii="Verdana" w:hAnsi="Verdana"/>
          <w:spacing w:val="-1"/>
          <w:sz w:val="20"/>
          <w:szCs w:val="20"/>
        </w:rPr>
        <w:t xml:space="preserve"> </w:t>
      </w:r>
      <w:r w:rsidRPr="004F63B2">
        <w:rPr>
          <w:rFonts w:ascii="Verdana" w:hAnsi="Verdana"/>
          <w:sz w:val="20"/>
          <w:szCs w:val="20"/>
        </w:rPr>
        <w:t>apoyo a la gestión con la persona natural o jurídica que esté en capacidad de ejecutar el objeto del contrato, siempre y cuando la Entidad Estatal verifique</w:t>
      </w:r>
      <w:r w:rsidRPr="004F63B2">
        <w:rPr>
          <w:rFonts w:ascii="Verdana" w:hAnsi="Verdana"/>
          <w:spacing w:val="-11"/>
          <w:sz w:val="20"/>
          <w:szCs w:val="20"/>
        </w:rPr>
        <w:t xml:space="preserve"> </w:t>
      </w:r>
      <w:r w:rsidRPr="004F63B2">
        <w:rPr>
          <w:rFonts w:ascii="Verdana" w:hAnsi="Verdana"/>
          <w:sz w:val="20"/>
          <w:szCs w:val="20"/>
        </w:rPr>
        <w:t>la</w:t>
      </w:r>
      <w:r w:rsidRPr="004F63B2">
        <w:rPr>
          <w:rFonts w:ascii="Verdana" w:hAnsi="Verdana"/>
          <w:spacing w:val="-13"/>
          <w:sz w:val="20"/>
          <w:szCs w:val="20"/>
        </w:rPr>
        <w:t xml:space="preserve"> </w:t>
      </w:r>
      <w:r w:rsidRPr="004F63B2">
        <w:rPr>
          <w:rFonts w:ascii="Verdana" w:hAnsi="Verdana"/>
          <w:sz w:val="20"/>
          <w:szCs w:val="20"/>
        </w:rPr>
        <w:t>idoneidad</w:t>
      </w:r>
      <w:r w:rsidRPr="004F63B2">
        <w:rPr>
          <w:rFonts w:ascii="Verdana" w:hAnsi="Verdana"/>
          <w:spacing w:val="-11"/>
          <w:sz w:val="20"/>
          <w:szCs w:val="20"/>
        </w:rPr>
        <w:t xml:space="preserve"> </w:t>
      </w:r>
      <w:r w:rsidRPr="004F63B2">
        <w:rPr>
          <w:rFonts w:ascii="Verdana" w:hAnsi="Verdana"/>
          <w:sz w:val="20"/>
          <w:szCs w:val="20"/>
        </w:rPr>
        <w:t>o</w:t>
      </w:r>
      <w:r w:rsidRPr="004F63B2">
        <w:rPr>
          <w:rFonts w:ascii="Verdana" w:hAnsi="Verdana"/>
          <w:spacing w:val="-13"/>
          <w:sz w:val="20"/>
          <w:szCs w:val="20"/>
        </w:rPr>
        <w:t xml:space="preserve"> </w:t>
      </w:r>
      <w:r w:rsidRPr="004F63B2">
        <w:rPr>
          <w:rFonts w:ascii="Verdana" w:hAnsi="Verdana"/>
          <w:sz w:val="20"/>
          <w:szCs w:val="20"/>
        </w:rPr>
        <w:t>experiencia</w:t>
      </w:r>
      <w:r w:rsidRPr="004F63B2">
        <w:rPr>
          <w:rFonts w:ascii="Verdana" w:hAnsi="Verdana"/>
          <w:spacing w:val="-10"/>
          <w:sz w:val="20"/>
          <w:szCs w:val="20"/>
        </w:rPr>
        <w:t xml:space="preserve"> </w:t>
      </w:r>
      <w:r w:rsidRPr="004F63B2">
        <w:rPr>
          <w:rFonts w:ascii="Verdana" w:hAnsi="Verdana"/>
          <w:sz w:val="20"/>
          <w:szCs w:val="20"/>
        </w:rPr>
        <w:t>requerida</w:t>
      </w:r>
      <w:r w:rsidRPr="004F63B2">
        <w:rPr>
          <w:rFonts w:ascii="Verdana" w:hAnsi="Verdana"/>
          <w:spacing w:val="-11"/>
          <w:sz w:val="20"/>
          <w:szCs w:val="20"/>
        </w:rPr>
        <w:t xml:space="preserve"> </w:t>
      </w:r>
      <w:r w:rsidRPr="004F63B2">
        <w:rPr>
          <w:rFonts w:ascii="Verdana" w:hAnsi="Verdana"/>
          <w:sz w:val="20"/>
          <w:szCs w:val="20"/>
        </w:rPr>
        <w:t>y</w:t>
      </w:r>
      <w:r w:rsidRPr="004F63B2">
        <w:rPr>
          <w:rFonts w:ascii="Verdana" w:hAnsi="Verdana"/>
          <w:spacing w:val="-13"/>
          <w:sz w:val="20"/>
          <w:szCs w:val="20"/>
        </w:rPr>
        <w:t xml:space="preserve"> </w:t>
      </w:r>
      <w:r w:rsidRPr="004F63B2">
        <w:rPr>
          <w:rFonts w:ascii="Verdana" w:hAnsi="Verdana"/>
          <w:sz w:val="20"/>
          <w:szCs w:val="20"/>
        </w:rPr>
        <w:t>relacionada</w:t>
      </w:r>
      <w:r w:rsidRPr="004F63B2">
        <w:rPr>
          <w:rFonts w:ascii="Verdana" w:hAnsi="Verdana"/>
          <w:spacing w:val="-10"/>
          <w:sz w:val="20"/>
          <w:szCs w:val="20"/>
        </w:rPr>
        <w:t xml:space="preserve"> </w:t>
      </w:r>
      <w:r w:rsidRPr="004F63B2">
        <w:rPr>
          <w:rFonts w:ascii="Verdana" w:hAnsi="Verdana"/>
          <w:sz w:val="20"/>
          <w:szCs w:val="20"/>
        </w:rPr>
        <w:t>con</w:t>
      </w:r>
      <w:r w:rsidRPr="004F63B2">
        <w:rPr>
          <w:rFonts w:ascii="Verdana" w:hAnsi="Verdana"/>
          <w:spacing w:val="-12"/>
          <w:sz w:val="20"/>
          <w:szCs w:val="20"/>
        </w:rPr>
        <w:t xml:space="preserve"> </w:t>
      </w:r>
      <w:r w:rsidRPr="004F63B2">
        <w:rPr>
          <w:rFonts w:ascii="Verdana" w:hAnsi="Verdana"/>
          <w:sz w:val="20"/>
          <w:szCs w:val="20"/>
        </w:rPr>
        <w:t>el</w:t>
      </w:r>
      <w:r w:rsidRPr="004F63B2">
        <w:rPr>
          <w:rFonts w:ascii="Verdana" w:hAnsi="Verdana"/>
          <w:spacing w:val="-13"/>
          <w:sz w:val="20"/>
          <w:szCs w:val="20"/>
        </w:rPr>
        <w:t xml:space="preserve"> </w:t>
      </w:r>
      <w:r w:rsidRPr="004F63B2">
        <w:rPr>
          <w:rFonts w:ascii="Verdana" w:hAnsi="Verdana"/>
          <w:sz w:val="20"/>
          <w:szCs w:val="20"/>
        </w:rPr>
        <w:t>área</w:t>
      </w:r>
      <w:r w:rsidRPr="004F63B2">
        <w:rPr>
          <w:rFonts w:ascii="Verdana" w:hAnsi="Verdana"/>
          <w:spacing w:val="-12"/>
          <w:sz w:val="20"/>
          <w:szCs w:val="20"/>
        </w:rPr>
        <w:t xml:space="preserve"> </w:t>
      </w:r>
      <w:r w:rsidRPr="004F63B2">
        <w:rPr>
          <w:rFonts w:ascii="Verdana" w:hAnsi="Verdana"/>
          <w:sz w:val="20"/>
          <w:szCs w:val="20"/>
        </w:rPr>
        <w:t>de que se trate. En este caso, no es necesario que la Entidad Estatal haya obtenido previamente varias ofertas, de lo cual el ordenador del gasto debe dejar constancia escrita.</w:t>
      </w:r>
    </w:p>
    <w:p w14:paraId="556CEDC0" w14:textId="77777777" w:rsidR="00334ED8" w:rsidRPr="004F63B2" w:rsidRDefault="00334ED8" w:rsidP="00334ED8">
      <w:pPr>
        <w:spacing w:after="0" w:line="240" w:lineRule="auto"/>
        <w:ind w:left="709" w:right="709"/>
        <w:jc w:val="both"/>
        <w:rPr>
          <w:rFonts w:ascii="Verdana" w:hAnsi="Verdana"/>
          <w:sz w:val="20"/>
          <w:szCs w:val="20"/>
        </w:rPr>
      </w:pPr>
    </w:p>
    <w:p w14:paraId="4EE9CDB8" w14:textId="77777777" w:rsidR="00334ED8" w:rsidRPr="004F63B2" w:rsidRDefault="00334ED8" w:rsidP="00334ED8">
      <w:pPr>
        <w:spacing w:after="0" w:line="240" w:lineRule="auto"/>
        <w:ind w:left="709" w:right="709"/>
        <w:jc w:val="both"/>
        <w:rPr>
          <w:rFonts w:ascii="Verdana" w:hAnsi="Verdana"/>
          <w:sz w:val="20"/>
          <w:szCs w:val="20"/>
        </w:rPr>
      </w:pPr>
      <w:r w:rsidRPr="004F63B2">
        <w:rPr>
          <w:rFonts w:ascii="Verdana" w:hAnsi="Verdana"/>
          <w:sz w:val="20"/>
          <w:szCs w:val="20"/>
        </w:rPr>
        <w:t>Los</w:t>
      </w:r>
      <w:r w:rsidRPr="004F63B2">
        <w:rPr>
          <w:rFonts w:ascii="Verdana" w:hAnsi="Verdana"/>
          <w:spacing w:val="-18"/>
          <w:sz w:val="20"/>
          <w:szCs w:val="20"/>
        </w:rPr>
        <w:t xml:space="preserve"> </w:t>
      </w:r>
      <w:r w:rsidRPr="004F63B2">
        <w:rPr>
          <w:rFonts w:ascii="Verdana" w:hAnsi="Verdana"/>
          <w:sz w:val="20"/>
          <w:szCs w:val="20"/>
        </w:rPr>
        <w:t>servicios</w:t>
      </w:r>
      <w:r w:rsidRPr="004F63B2">
        <w:rPr>
          <w:rFonts w:ascii="Verdana" w:hAnsi="Verdana"/>
          <w:spacing w:val="-18"/>
          <w:sz w:val="20"/>
          <w:szCs w:val="20"/>
        </w:rPr>
        <w:t xml:space="preserve"> </w:t>
      </w:r>
      <w:r w:rsidRPr="004F63B2">
        <w:rPr>
          <w:rFonts w:ascii="Verdana" w:hAnsi="Verdana"/>
          <w:sz w:val="20"/>
          <w:szCs w:val="20"/>
        </w:rPr>
        <w:t>profesionales</w:t>
      </w:r>
      <w:r w:rsidRPr="004F63B2">
        <w:rPr>
          <w:rFonts w:ascii="Verdana" w:hAnsi="Verdana"/>
          <w:spacing w:val="-17"/>
          <w:sz w:val="20"/>
          <w:szCs w:val="20"/>
        </w:rPr>
        <w:t xml:space="preserve"> </w:t>
      </w:r>
      <w:r w:rsidRPr="004F63B2">
        <w:rPr>
          <w:rFonts w:ascii="Verdana" w:hAnsi="Verdana"/>
          <w:sz w:val="20"/>
          <w:szCs w:val="20"/>
        </w:rPr>
        <w:t>y</w:t>
      </w:r>
      <w:r w:rsidRPr="004F63B2">
        <w:rPr>
          <w:rFonts w:ascii="Verdana" w:hAnsi="Verdana"/>
          <w:spacing w:val="-18"/>
          <w:sz w:val="20"/>
          <w:szCs w:val="20"/>
        </w:rPr>
        <w:t xml:space="preserve"> </w:t>
      </w:r>
      <w:r w:rsidRPr="004F63B2">
        <w:rPr>
          <w:rFonts w:ascii="Verdana" w:hAnsi="Verdana"/>
          <w:sz w:val="20"/>
          <w:szCs w:val="20"/>
        </w:rPr>
        <w:t>de</w:t>
      </w:r>
      <w:r w:rsidRPr="004F63B2">
        <w:rPr>
          <w:rFonts w:ascii="Verdana" w:hAnsi="Verdana"/>
          <w:spacing w:val="-17"/>
          <w:sz w:val="20"/>
          <w:szCs w:val="20"/>
        </w:rPr>
        <w:t xml:space="preserve"> </w:t>
      </w:r>
      <w:r w:rsidRPr="004F63B2">
        <w:rPr>
          <w:rFonts w:ascii="Verdana" w:hAnsi="Verdana"/>
          <w:sz w:val="20"/>
          <w:szCs w:val="20"/>
        </w:rPr>
        <w:t>apoyo</w:t>
      </w:r>
      <w:r w:rsidRPr="004F63B2">
        <w:rPr>
          <w:rFonts w:ascii="Verdana" w:hAnsi="Verdana"/>
          <w:spacing w:val="-18"/>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la</w:t>
      </w:r>
      <w:r w:rsidRPr="004F63B2">
        <w:rPr>
          <w:rFonts w:ascii="Verdana" w:hAnsi="Verdana"/>
          <w:spacing w:val="-17"/>
          <w:sz w:val="20"/>
          <w:szCs w:val="20"/>
        </w:rPr>
        <w:t xml:space="preserve"> </w:t>
      </w:r>
      <w:r w:rsidRPr="004F63B2">
        <w:rPr>
          <w:rFonts w:ascii="Verdana" w:hAnsi="Verdana"/>
          <w:sz w:val="20"/>
          <w:szCs w:val="20"/>
        </w:rPr>
        <w:t>gestión</w:t>
      </w:r>
      <w:r w:rsidRPr="004F63B2">
        <w:rPr>
          <w:rFonts w:ascii="Verdana" w:hAnsi="Verdana"/>
          <w:spacing w:val="-18"/>
          <w:sz w:val="20"/>
          <w:szCs w:val="20"/>
        </w:rPr>
        <w:t xml:space="preserve"> </w:t>
      </w:r>
      <w:r w:rsidRPr="004F63B2">
        <w:rPr>
          <w:rFonts w:ascii="Verdana" w:hAnsi="Verdana"/>
          <w:sz w:val="20"/>
          <w:szCs w:val="20"/>
        </w:rPr>
        <w:t>corresponden</w:t>
      </w:r>
      <w:r w:rsidRPr="004F63B2">
        <w:rPr>
          <w:rFonts w:ascii="Verdana" w:hAnsi="Verdana"/>
          <w:spacing w:val="-17"/>
          <w:sz w:val="20"/>
          <w:szCs w:val="20"/>
        </w:rPr>
        <w:t xml:space="preserve"> </w:t>
      </w:r>
      <w:r w:rsidRPr="004F63B2">
        <w:rPr>
          <w:rFonts w:ascii="Verdana" w:hAnsi="Verdana"/>
          <w:sz w:val="20"/>
          <w:szCs w:val="20"/>
        </w:rPr>
        <w:t>a</w:t>
      </w:r>
      <w:r w:rsidRPr="004F63B2">
        <w:rPr>
          <w:rFonts w:ascii="Verdana" w:hAnsi="Verdana"/>
          <w:spacing w:val="-18"/>
          <w:sz w:val="20"/>
          <w:szCs w:val="20"/>
        </w:rPr>
        <w:t xml:space="preserve"> </w:t>
      </w:r>
      <w:r w:rsidRPr="004F63B2">
        <w:rPr>
          <w:rFonts w:ascii="Verdana" w:hAnsi="Verdana"/>
          <w:sz w:val="20"/>
          <w:szCs w:val="20"/>
        </w:rPr>
        <w:t>aquellos de naturaleza intelectual diferentes a los de consultoría que se derivan del cumplimiento de las funciones de la Entidad Estatal, así como los relacionados con actividades operativas, logísticas, o asistenciales.</w:t>
      </w:r>
    </w:p>
    <w:p w14:paraId="7A85E60E" w14:textId="77777777" w:rsidR="00334ED8" w:rsidRPr="004F63B2" w:rsidRDefault="00334ED8" w:rsidP="00334ED8">
      <w:pPr>
        <w:spacing w:after="0" w:line="240" w:lineRule="auto"/>
        <w:ind w:left="709" w:right="709"/>
        <w:jc w:val="both"/>
        <w:rPr>
          <w:rFonts w:ascii="Verdana" w:hAnsi="Verdana"/>
          <w:sz w:val="20"/>
          <w:szCs w:val="20"/>
        </w:rPr>
      </w:pPr>
    </w:p>
    <w:p w14:paraId="7DD79B99" w14:textId="77777777" w:rsidR="00334ED8" w:rsidRPr="004F63B2" w:rsidRDefault="00334ED8" w:rsidP="00334ED8">
      <w:pPr>
        <w:spacing w:after="0" w:line="240" w:lineRule="auto"/>
        <w:ind w:left="709" w:right="709"/>
        <w:jc w:val="both"/>
        <w:rPr>
          <w:rFonts w:ascii="Verdana" w:hAnsi="Verdana"/>
          <w:sz w:val="20"/>
          <w:szCs w:val="20"/>
        </w:rPr>
      </w:pPr>
      <w:r w:rsidRPr="004F63B2">
        <w:rPr>
          <w:rFonts w:ascii="Verdana" w:hAnsi="Verdana"/>
          <w:sz w:val="20"/>
          <w:szCs w:val="20"/>
        </w:rPr>
        <w:t>La Entidad Estatal, para la contratación de trabajos artísticos que solamente puedan encomendarse a determinadas personas naturales, debe justificar esta situación en los estudios y documentos previos”.</w:t>
      </w:r>
    </w:p>
    <w:p w14:paraId="537927CE" w14:textId="77777777" w:rsidR="00334ED8" w:rsidRPr="009A6F9B" w:rsidRDefault="00334ED8" w:rsidP="00334ED8">
      <w:pPr>
        <w:spacing w:after="120"/>
        <w:jc w:val="both"/>
        <w:rPr>
          <w:rFonts w:ascii="Verdana" w:hAnsi="Verdana"/>
        </w:rPr>
      </w:pPr>
    </w:p>
    <w:p w14:paraId="69F8E0FA" w14:textId="77777777" w:rsidR="00334ED8" w:rsidRPr="00827711" w:rsidRDefault="00334ED8" w:rsidP="00334ED8">
      <w:pPr>
        <w:spacing w:after="120" w:line="276" w:lineRule="auto"/>
        <w:ind w:firstLine="709"/>
        <w:jc w:val="both"/>
        <w:rPr>
          <w:rFonts w:ascii="Verdana" w:eastAsia="Calibri" w:hAnsi="Verdana" w:cs="Arial"/>
          <w:bCs/>
          <w:lang w:val="es-MX"/>
        </w:rPr>
      </w:pPr>
      <w:r w:rsidRPr="00827711">
        <w:rPr>
          <w:rFonts w:ascii="Verdana" w:eastAsia="Calibri" w:hAnsi="Verdana" w:cs="Arial"/>
          <w:bCs/>
          <w:lang w:val="es-MX"/>
        </w:rPr>
        <w:t xml:space="preserve">El fuero de maternidad es una figura que otorga una protección reforzada a la futura madre y a la que acaba de serlo, es decir, a la mujer que se encuentra en estado de embarazo y en periodo de lactancia, con el fin de que el proceso de gestación no interfiera en la estabilidad laboral que, como trabajadora, le asiste. El propósito es que la aspiraciones familiares y profesionales de la mujer no se excluyan y puedan armonizarse, al punto de desarrollar su proyecto de vida y su personalidad en condiciones de dignidad y libertad, pues históricamente el estado de gravidez (embarazo) ha constituido un motivo de exclusión de la mujer en el trabajo, en el que es preciso “impedir la </w:t>
      </w:r>
      <w:r w:rsidRPr="00827711">
        <w:rPr>
          <w:rFonts w:ascii="Verdana" w:eastAsia="Calibri" w:hAnsi="Verdana" w:cs="Arial"/>
          <w:bCs/>
          <w:lang w:val="es-MX"/>
        </w:rPr>
        <w:lastRenderedPageBreak/>
        <w:t>discriminación constituida por el despido, la terminación o la no renovación del contrato por causa o con ocasión del embarazo o la lactancia”</w:t>
      </w:r>
      <w:r w:rsidRPr="009954A8">
        <w:rPr>
          <w:rStyle w:val="Refdenotaalpie"/>
          <w:rFonts w:ascii="Verdana" w:eastAsia="Calibri" w:hAnsi="Verdana" w:cs="Arial"/>
          <w:bCs/>
        </w:rPr>
        <w:footnoteReference w:id="1"/>
      </w:r>
      <w:r w:rsidRPr="00827711">
        <w:rPr>
          <w:rFonts w:ascii="Verdana" w:eastAsia="Calibri" w:hAnsi="Verdana" w:cs="Arial"/>
          <w:bCs/>
          <w:lang w:val="es-MX"/>
        </w:rPr>
        <w:t>.</w:t>
      </w:r>
    </w:p>
    <w:p w14:paraId="0BDBBA2E" w14:textId="77777777" w:rsidR="00334ED8" w:rsidRDefault="00334ED8" w:rsidP="00334ED8">
      <w:pPr>
        <w:pStyle w:val="Textoindependiente"/>
        <w:spacing w:line="276" w:lineRule="auto"/>
        <w:ind w:firstLine="709"/>
        <w:jc w:val="both"/>
        <w:rPr>
          <w:rFonts w:ascii="Verdana" w:hAnsi="Verdana" w:cs="Arial"/>
        </w:rPr>
      </w:pPr>
      <w:r w:rsidRPr="009954A8">
        <w:rPr>
          <w:rFonts w:ascii="Verdana" w:hAnsi="Verdana" w:cs="Arial"/>
        </w:rPr>
        <w:t xml:space="preserve">Para desarrollar </w:t>
      </w:r>
      <w:r>
        <w:rPr>
          <w:rFonts w:ascii="Verdana" w:hAnsi="Verdana" w:cs="Arial"/>
        </w:rPr>
        <w:t>el problema planteado</w:t>
      </w:r>
      <w:r w:rsidRPr="009954A8">
        <w:rPr>
          <w:rFonts w:ascii="Verdana" w:hAnsi="Verdana" w:cs="Arial"/>
        </w:rPr>
        <w:t>, se explicarán las dos posiciones que ha definido la Corte Constitucional para proteger el fuero de maternidad a una mujer que está vinculada</w:t>
      </w:r>
      <w:r w:rsidRPr="009954A8">
        <w:rPr>
          <w:rFonts w:ascii="Verdana" w:hAnsi="Verdana" w:cs="Arial"/>
          <w:spacing w:val="19"/>
        </w:rPr>
        <w:t xml:space="preserve"> </w:t>
      </w:r>
      <w:r w:rsidRPr="009954A8">
        <w:rPr>
          <w:rFonts w:ascii="Verdana" w:hAnsi="Verdana" w:cs="Arial"/>
        </w:rPr>
        <w:t>a</w:t>
      </w:r>
      <w:r w:rsidRPr="009954A8">
        <w:rPr>
          <w:rFonts w:ascii="Verdana" w:hAnsi="Verdana" w:cs="Arial"/>
          <w:spacing w:val="19"/>
        </w:rPr>
        <w:t xml:space="preserve"> </w:t>
      </w:r>
      <w:r w:rsidRPr="009954A8">
        <w:rPr>
          <w:rFonts w:ascii="Verdana" w:hAnsi="Verdana" w:cs="Arial"/>
        </w:rPr>
        <w:t>través</w:t>
      </w:r>
      <w:r w:rsidRPr="009954A8">
        <w:rPr>
          <w:rFonts w:ascii="Verdana" w:hAnsi="Verdana" w:cs="Arial"/>
          <w:spacing w:val="19"/>
        </w:rPr>
        <w:t xml:space="preserve"> </w:t>
      </w:r>
      <w:r w:rsidRPr="009954A8">
        <w:rPr>
          <w:rFonts w:ascii="Verdana" w:hAnsi="Verdana" w:cs="Arial"/>
        </w:rPr>
        <w:t>de</w:t>
      </w:r>
      <w:r w:rsidRPr="009954A8">
        <w:rPr>
          <w:rFonts w:ascii="Verdana" w:hAnsi="Verdana" w:cs="Arial"/>
          <w:spacing w:val="18"/>
        </w:rPr>
        <w:t xml:space="preserve"> </w:t>
      </w:r>
      <w:r w:rsidRPr="009954A8">
        <w:rPr>
          <w:rFonts w:ascii="Verdana" w:hAnsi="Verdana" w:cs="Arial"/>
        </w:rPr>
        <w:t>un</w:t>
      </w:r>
      <w:r w:rsidRPr="009954A8">
        <w:rPr>
          <w:rFonts w:ascii="Verdana" w:hAnsi="Verdana" w:cs="Arial"/>
          <w:spacing w:val="19"/>
        </w:rPr>
        <w:t xml:space="preserve"> </w:t>
      </w:r>
      <w:r w:rsidRPr="009954A8">
        <w:rPr>
          <w:rFonts w:ascii="Verdana" w:hAnsi="Verdana" w:cs="Arial"/>
        </w:rPr>
        <w:t>contrato</w:t>
      </w:r>
      <w:r w:rsidRPr="009954A8">
        <w:rPr>
          <w:rFonts w:ascii="Verdana" w:hAnsi="Verdana" w:cs="Arial"/>
          <w:spacing w:val="19"/>
        </w:rPr>
        <w:t xml:space="preserve"> </w:t>
      </w:r>
      <w:r w:rsidRPr="009954A8">
        <w:rPr>
          <w:rFonts w:ascii="Verdana" w:hAnsi="Verdana" w:cs="Arial"/>
        </w:rPr>
        <w:t>de</w:t>
      </w:r>
      <w:r w:rsidRPr="009954A8">
        <w:rPr>
          <w:rFonts w:ascii="Verdana" w:hAnsi="Verdana" w:cs="Arial"/>
          <w:spacing w:val="18"/>
        </w:rPr>
        <w:t xml:space="preserve"> </w:t>
      </w:r>
      <w:r w:rsidRPr="009954A8">
        <w:rPr>
          <w:rFonts w:ascii="Verdana" w:hAnsi="Verdana" w:cs="Arial"/>
        </w:rPr>
        <w:t>prestación</w:t>
      </w:r>
      <w:r w:rsidRPr="009954A8">
        <w:rPr>
          <w:rFonts w:ascii="Verdana" w:hAnsi="Verdana" w:cs="Arial"/>
          <w:spacing w:val="19"/>
        </w:rPr>
        <w:t xml:space="preserve"> </w:t>
      </w:r>
      <w:r w:rsidRPr="009954A8">
        <w:rPr>
          <w:rFonts w:ascii="Verdana" w:hAnsi="Verdana" w:cs="Arial"/>
        </w:rPr>
        <w:t>de</w:t>
      </w:r>
      <w:r w:rsidRPr="009954A8">
        <w:rPr>
          <w:rFonts w:ascii="Verdana" w:hAnsi="Verdana" w:cs="Arial"/>
          <w:spacing w:val="19"/>
        </w:rPr>
        <w:t xml:space="preserve"> </w:t>
      </w:r>
      <w:r w:rsidRPr="009954A8">
        <w:rPr>
          <w:rFonts w:ascii="Verdana" w:hAnsi="Verdana" w:cs="Arial"/>
        </w:rPr>
        <w:t>servicios.</w:t>
      </w:r>
      <w:r w:rsidRPr="009954A8">
        <w:rPr>
          <w:rFonts w:ascii="Verdana" w:hAnsi="Verdana" w:cs="Arial"/>
          <w:spacing w:val="18"/>
        </w:rPr>
        <w:t xml:space="preserve"> </w:t>
      </w:r>
      <w:r w:rsidRPr="009954A8">
        <w:rPr>
          <w:rFonts w:ascii="Verdana" w:hAnsi="Verdana" w:cs="Arial"/>
        </w:rPr>
        <w:t>Lo</w:t>
      </w:r>
      <w:r w:rsidRPr="009954A8">
        <w:rPr>
          <w:rFonts w:ascii="Verdana" w:hAnsi="Verdana" w:cs="Arial"/>
          <w:spacing w:val="24"/>
        </w:rPr>
        <w:t xml:space="preserve"> </w:t>
      </w:r>
      <w:r w:rsidRPr="009954A8">
        <w:rPr>
          <w:rFonts w:ascii="Verdana" w:hAnsi="Verdana" w:cs="Arial"/>
        </w:rPr>
        <w:t>anterior</w:t>
      </w:r>
      <w:r w:rsidRPr="009954A8">
        <w:rPr>
          <w:rFonts w:ascii="Verdana" w:hAnsi="Verdana" w:cs="Arial"/>
          <w:spacing w:val="18"/>
        </w:rPr>
        <w:t xml:space="preserve"> </w:t>
      </w:r>
      <w:r w:rsidRPr="009954A8">
        <w:rPr>
          <w:rFonts w:ascii="Verdana" w:hAnsi="Verdana" w:cs="Arial"/>
        </w:rPr>
        <w:t>para</w:t>
      </w:r>
      <w:r w:rsidRPr="009954A8">
        <w:rPr>
          <w:rFonts w:ascii="Verdana" w:hAnsi="Verdana" w:cs="Arial"/>
          <w:spacing w:val="18"/>
        </w:rPr>
        <w:t xml:space="preserve"> </w:t>
      </w:r>
      <w:r w:rsidRPr="009954A8">
        <w:rPr>
          <w:rFonts w:ascii="Verdana" w:hAnsi="Verdana" w:cs="Arial"/>
        </w:rPr>
        <w:t>determinar cuál es la posición actual del Alto Tribunal Constitucional en la defensa el derecho a la estabilidad laboral reforzada.</w:t>
      </w:r>
    </w:p>
    <w:p w14:paraId="078224A5" w14:textId="77777777" w:rsidR="00334ED8" w:rsidRDefault="00334ED8" w:rsidP="00334ED8">
      <w:pPr>
        <w:pStyle w:val="Textoindependiente"/>
        <w:spacing w:line="276" w:lineRule="auto"/>
        <w:ind w:firstLine="709"/>
        <w:jc w:val="both"/>
        <w:rPr>
          <w:rFonts w:ascii="Verdana" w:hAnsi="Verdana" w:cs="Arial"/>
          <w:lang w:eastAsia="es-CO"/>
        </w:rPr>
      </w:pPr>
      <w:r w:rsidRPr="00805B32">
        <w:rPr>
          <w:rFonts w:ascii="Verdana" w:hAnsi="Verdana" w:cs="Arial"/>
        </w:rPr>
        <w:t xml:space="preserve">La Corte Constitucional, en la Sentencia de Unificación 070 de 2013, con ponencia </w:t>
      </w:r>
      <w:r w:rsidRPr="00107AC4">
        <w:rPr>
          <w:rFonts w:ascii="Verdana" w:eastAsia="Arial" w:hAnsi="Verdana" w:cs="Arial"/>
          <w:color w:val="000000"/>
        </w:rPr>
        <w:t>de</w:t>
      </w:r>
      <w:r>
        <w:rPr>
          <w:rFonts w:ascii="Verdana" w:eastAsia="Arial" w:hAnsi="Verdana" w:cs="Arial"/>
          <w:color w:val="000000"/>
        </w:rPr>
        <w:t>l</w:t>
      </w:r>
      <w:r w:rsidRPr="00107AC4">
        <w:rPr>
          <w:rFonts w:ascii="Verdana" w:eastAsia="Arial" w:hAnsi="Verdana" w:cs="Arial"/>
          <w:color w:val="000000"/>
        </w:rPr>
        <w:t xml:space="preserve"> Magistrad</w:t>
      </w:r>
      <w:r>
        <w:rPr>
          <w:rFonts w:ascii="Verdana" w:eastAsia="Arial" w:hAnsi="Verdana" w:cs="Arial"/>
          <w:color w:val="000000"/>
        </w:rPr>
        <w:t>o</w:t>
      </w:r>
      <w:r w:rsidRPr="00107AC4">
        <w:rPr>
          <w:rFonts w:ascii="Verdana" w:eastAsia="Arial" w:hAnsi="Verdana" w:cs="Arial"/>
          <w:color w:val="000000"/>
        </w:rPr>
        <w:t xml:space="preserve"> </w:t>
      </w:r>
      <w:proofErr w:type="spellStart"/>
      <w:r w:rsidRPr="001D1044">
        <w:rPr>
          <w:rFonts w:ascii="Verdana" w:eastAsia="Arial" w:hAnsi="Verdana" w:cs="Arial"/>
          <w:color w:val="000000"/>
        </w:rPr>
        <w:t>Alexei</w:t>
      </w:r>
      <w:proofErr w:type="spellEnd"/>
      <w:r w:rsidRPr="001D1044">
        <w:rPr>
          <w:rFonts w:ascii="Verdana" w:eastAsia="Arial" w:hAnsi="Verdana" w:cs="Arial"/>
          <w:color w:val="000000"/>
        </w:rPr>
        <w:t xml:space="preserve"> Julio Estrada</w:t>
      </w:r>
      <w:r w:rsidRPr="00805B32">
        <w:rPr>
          <w:rFonts w:ascii="Verdana" w:hAnsi="Verdana" w:cs="Arial"/>
        </w:rPr>
        <w:t>, fijó la primera posición frente el tema, indicando que la protección al fuero de maternidad excluye a las trabajadoras que laboran de manera independiente, y sólo procede su protección si el juez de tutela, al analizar las condiciones propias del contrato de prestación de servicios, comprueba que las partes están vinculadas a través de un contrato de trabajo</w:t>
      </w:r>
      <w:r w:rsidRPr="009954A8">
        <w:rPr>
          <w:rStyle w:val="Refdenotaalpie"/>
          <w:rFonts w:ascii="Verdana" w:hAnsi="Verdana" w:cs="Arial"/>
        </w:rPr>
        <w:footnoteReference w:id="2"/>
      </w:r>
      <w:r w:rsidRPr="00805B32">
        <w:rPr>
          <w:rFonts w:ascii="Verdana" w:hAnsi="Verdana" w:cs="Arial"/>
        </w:rPr>
        <w:t>. De esta forma, la protección a la estabilidad laboral reforzada de mujeres vinculadas a través de un contrato de prestación de servicios sólo procede frente aquellos casos donde se verifique la concurrencia de los tres (3) elementos del contrato de trabajo.</w:t>
      </w:r>
    </w:p>
    <w:p w14:paraId="26C48EAE" w14:textId="77777777" w:rsidR="00334ED8" w:rsidRPr="00827711" w:rsidRDefault="00334ED8" w:rsidP="00334ED8">
      <w:pPr>
        <w:spacing w:after="120" w:line="276" w:lineRule="auto"/>
        <w:ind w:firstLine="709"/>
        <w:jc w:val="both"/>
        <w:rPr>
          <w:rFonts w:ascii="Verdana" w:hAnsi="Verdana" w:cs="Arial"/>
          <w:lang w:eastAsia="es-CO"/>
        </w:rPr>
      </w:pPr>
      <w:r w:rsidRPr="00827711">
        <w:rPr>
          <w:rFonts w:ascii="Verdana" w:hAnsi="Verdana" w:cs="Arial"/>
        </w:rPr>
        <w:t>Ahora bien, el Alto Tribunal Constitucional, en las sentencias T-102 de 2016</w:t>
      </w:r>
      <w:r w:rsidRPr="009954A8">
        <w:rPr>
          <w:rStyle w:val="Refdenotaalpie"/>
          <w:rFonts w:ascii="Verdana" w:hAnsi="Verdana" w:cs="Arial"/>
        </w:rPr>
        <w:footnoteReference w:id="3"/>
      </w:r>
      <w:r w:rsidRPr="00827711">
        <w:rPr>
          <w:rFonts w:ascii="Verdana" w:hAnsi="Verdana" w:cs="Arial"/>
        </w:rPr>
        <w:t xml:space="preserve"> y T-564 de 2017</w:t>
      </w:r>
      <w:r w:rsidRPr="009954A8">
        <w:rPr>
          <w:rStyle w:val="Refdenotaalpie"/>
          <w:rFonts w:ascii="Verdana" w:hAnsi="Verdana" w:cs="Arial"/>
        </w:rPr>
        <w:footnoteReference w:id="4"/>
      </w:r>
      <w:r w:rsidRPr="00827711">
        <w:rPr>
          <w:rFonts w:ascii="Verdana" w:hAnsi="Verdana" w:cs="Arial"/>
        </w:rPr>
        <w:t xml:space="preserve"> estableció otra posición, en los eventos donde no se </w:t>
      </w:r>
      <w:r w:rsidRPr="00827711">
        <w:rPr>
          <w:rFonts w:ascii="Verdana" w:hAnsi="Verdana" w:cs="Arial"/>
        </w:rPr>
        <w:lastRenderedPageBreak/>
        <w:t>prueba la configuración del contrato realidad en el contrato de prestación de servicios, señalando que este no es un motivo suficiente para desproteger los derechos de la estabilidad laboral reforzada de la mujer embarazada, si se comprueba que la terminación del contrato es discriminatoria y no atiende a un motivo objetivo.</w:t>
      </w:r>
    </w:p>
    <w:p w14:paraId="5DA280A7" w14:textId="77777777" w:rsidR="00334ED8" w:rsidRPr="009954A8" w:rsidRDefault="00334ED8" w:rsidP="00334ED8">
      <w:pPr>
        <w:pStyle w:val="Textoindependiente"/>
        <w:spacing w:line="276" w:lineRule="auto"/>
        <w:ind w:firstLine="709"/>
        <w:jc w:val="both"/>
        <w:rPr>
          <w:rFonts w:ascii="Verdana" w:hAnsi="Verdana" w:cs="Arial"/>
        </w:rPr>
      </w:pPr>
      <w:r w:rsidRPr="009954A8">
        <w:rPr>
          <w:rFonts w:ascii="Verdana" w:hAnsi="Verdana" w:cs="Arial"/>
        </w:rPr>
        <w:t xml:space="preserve">De acuerdo con la sentencia T-564 de 2017, a pesar de no probarse la configuración del contrato realidad se debe proteger a la mujer en estado de embarazo, vinculada a través de un contrato de prestación de servicios, porque a pesar de que la trabajadora informó al empleador su estado de gestación, éste terminó anticipadamente su contrato, configurándose una terminación por motivos discriminatorios. Por su parte, la sentencia </w:t>
      </w:r>
      <w:r w:rsidRPr="009954A8">
        <w:rPr>
          <w:rFonts w:ascii="Verdana" w:hAnsi="Verdana" w:cs="Arial"/>
          <w:spacing w:val="3"/>
        </w:rPr>
        <w:t xml:space="preserve">T- </w:t>
      </w:r>
      <w:r w:rsidRPr="009954A8">
        <w:rPr>
          <w:rFonts w:ascii="Verdana" w:hAnsi="Verdana" w:cs="Arial"/>
        </w:rPr>
        <w:t>102 de 2016, si bien reconoce la existencia del contrato realidad, reitera que el empleador no demostró ningún motivo objetivo que justificará la terminación del contrato, ya sea porque la actividad que venía realizando ya no era necesaria, o porque no probó que las causas que originaron la contratación desaparecieron, entre</w:t>
      </w:r>
      <w:r w:rsidRPr="009954A8">
        <w:rPr>
          <w:rFonts w:ascii="Verdana" w:hAnsi="Verdana" w:cs="Arial"/>
          <w:spacing w:val="-12"/>
        </w:rPr>
        <w:t xml:space="preserve"> </w:t>
      </w:r>
      <w:r w:rsidRPr="009954A8">
        <w:rPr>
          <w:rFonts w:ascii="Verdana" w:hAnsi="Verdana" w:cs="Arial"/>
        </w:rPr>
        <w:t>otros.</w:t>
      </w:r>
    </w:p>
    <w:p w14:paraId="3E2E5F89" w14:textId="77777777" w:rsidR="00334ED8" w:rsidRPr="009954A8" w:rsidRDefault="00334ED8" w:rsidP="00334ED8">
      <w:pPr>
        <w:pStyle w:val="Textoindependiente"/>
        <w:spacing w:line="276" w:lineRule="auto"/>
        <w:ind w:firstLine="709"/>
        <w:jc w:val="both"/>
        <w:rPr>
          <w:rFonts w:ascii="Verdana" w:hAnsi="Verdana" w:cs="Arial"/>
        </w:rPr>
      </w:pPr>
      <w:r w:rsidRPr="009954A8">
        <w:rPr>
          <w:rFonts w:ascii="Verdana" w:hAnsi="Verdana" w:cs="Arial"/>
        </w:rPr>
        <w:t>En el mismo sentido, en el salvamento de voto a la sentencia T-743 de 2017, se reiteró que la protección a la mujer en estado de embarazo, vinculada por un contrato de prestación de servicios, no sólo se realiza cuando se prueba la configuración de contrato realidad, sino, además, cuando se demuestre que la decisión de la terminación es discriminatoria y no atiende a un motivo objetivo:</w:t>
      </w:r>
    </w:p>
    <w:p w14:paraId="1413CE95" w14:textId="77777777" w:rsidR="00334ED8" w:rsidRPr="009954A8" w:rsidRDefault="00334ED8" w:rsidP="00334ED8">
      <w:pPr>
        <w:spacing w:line="276" w:lineRule="auto"/>
        <w:ind w:left="709" w:right="709"/>
        <w:jc w:val="both"/>
        <w:rPr>
          <w:rFonts w:ascii="Verdana" w:hAnsi="Verdana" w:cs="Arial"/>
        </w:rPr>
      </w:pPr>
    </w:p>
    <w:p w14:paraId="56E8EC5D" w14:textId="77777777" w:rsidR="00334ED8" w:rsidRDefault="00334ED8" w:rsidP="00334ED8">
      <w:pPr>
        <w:ind w:left="709" w:right="709"/>
        <w:contextualSpacing/>
        <w:jc w:val="both"/>
        <w:rPr>
          <w:rFonts w:ascii="Verdana" w:hAnsi="Verdana" w:cs="Arial"/>
          <w:i/>
          <w:sz w:val="21"/>
        </w:rPr>
      </w:pPr>
      <w:r>
        <w:rPr>
          <w:rFonts w:ascii="Verdana" w:eastAsia="Yu Gothic UI Semibold" w:hAnsi="Verdana" w:cs="Arial"/>
          <w:iCs/>
          <w:sz w:val="21"/>
          <w:szCs w:val="21"/>
          <w:lang w:eastAsia="es-MX"/>
        </w:rPr>
        <w:t>“</w:t>
      </w:r>
      <w:r w:rsidRPr="009954A8">
        <w:rPr>
          <w:rFonts w:ascii="Verdana" w:hAnsi="Verdana" w:cs="Arial"/>
          <w:sz w:val="21"/>
        </w:rPr>
        <w:t xml:space="preserve">Pues bien, el objeto de la aclaración que presento es la necesidad de subrayar la línea jurisprudencial vigente en materia estabilidad laboral reforzada de mujer embarazada en el marco de un contrato de prestación de servicios. A diferencia de las consideraciones de la sentencia, en las cuales se concluye que si no se comprueban los elementos del contrato laboral en la relación contractual no es posible alegar la violación del derecho a la estabilidad laboral reforzada, </w:t>
      </w:r>
      <w:r w:rsidRPr="009954A8">
        <w:rPr>
          <w:rFonts w:ascii="Verdana" w:hAnsi="Verdana" w:cs="Arial"/>
          <w:sz w:val="21"/>
        </w:rPr>
        <w:lastRenderedPageBreak/>
        <w:t xml:space="preserve">considero que existen sentencias recientes de las diferentes Salas de Revisión que han establecido que en el marco de relaciones de prestación de servicios, el juez de tutela, </w:t>
      </w:r>
      <w:r w:rsidRPr="009954A8">
        <w:rPr>
          <w:rFonts w:ascii="Verdana" w:hAnsi="Verdana" w:cs="Arial"/>
          <w:i/>
          <w:sz w:val="21"/>
        </w:rPr>
        <w:t>a pesar de no encontrar probados los elementos del contrato realidad, sí puede garantizar la estabilidad laboral reforzada de la mujer embarazada, siempre y cuando se demuestre que la decisión de la desvinculación es discriminatoria y no atiende a un motivo</w:t>
      </w:r>
      <w:r w:rsidRPr="009954A8">
        <w:rPr>
          <w:rFonts w:ascii="Verdana" w:hAnsi="Verdana" w:cs="Arial"/>
          <w:i/>
          <w:spacing w:val="-5"/>
          <w:sz w:val="21"/>
        </w:rPr>
        <w:t xml:space="preserve"> </w:t>
      </w:r>
      <w:r w:rsidRPr="009954A8">
        <w:rPr>
          <w:rFonts w:ascii="Verdana" w:hAnsi="Verdana" w:cs="Arial"/>
          <w:i/>
          <w:sz w:val="21"/>
        </w:rPr>
        <w:t>objetivo.</w:t>
      </w:r>
    </w:p>
    <w:p w14:paraId="40C09B81" w14:textId="77777777" w:rsidR="00334ED8" w:rsidRDefault="00334ED8" w:rsidP="00334ED8">
      <w:pPr>
        <w:ind w:left="709" w:right="709"/>
        <w:contextualSpacing/>
        <w:jc w:val="both"/>
        <w:rPr>
          <w:rFonts w:ascii="Verdana" w:hAnsi="Verdana" w:cs="Arial"/>
          <w:i/>
          <w:sz w:val="21"/>
        </w:rPr>
      </w:pPr>
    </w:p>
    <w:p w14:paraId="381A7709" w14:textId="77777777" w:rsidR="00334ED8" w:rsidRPr="00B57B81" w:rsidRDefault="00334ED8" w:rsidP="00334ED8">
      <w:pPr>
        <w:ind w:left="709" w:right="709"/>
        <w:contextualSpacing/>
        <w:jc w:val="both"/>
        <w:rPr>
          <w:rFonts w:ascii="Verdana" w:hAnsi="Verdana" w:cs="Arial"/>
          <w:i/>
          <w:sz w:val="21"/>
        </w:rPr>
      </w:pPr>
      <w:r w:rsidRPr="009954A8">
        <w:rPr>
          <w:rFonts w:ascii="Verdana" w:hAnsi="Verdana" w:cs="Arial"/>
          <w:sz w:val="21"/>
        </w:rPr>
        <w:t>Son un ejemplo de esta tesis jurisprudencial las sentencias T-102 de 2016, T-350 de 2016 y T-564 de 2017, que sostienen que en el marco de relaciones de contratos de prestación de servicios independientemente de la prueba sobre los elementos del contrato realidad, si se demuestra la necesidad de la función o continuidad del objeto del contrato, se presume que la desvinculación fue en razón del estado de embarazo, y en consecuencia, procede con todos sus efectos el numeral 2º del artículo 239 del Código Sustantivo de Trabajo</w:t>
      </w:r>
      <w:r>
        <w:rPr>
          <w:rFonts w:ascii="Verdana" w:hAnsi="Verdana" w:cs="Arial"/>
          <w:noProof/>
          <w:sz w:val="21"/>
          <w:szCs w:val="21"/>
          <w:lang w:val="es-ES_tradnl"/>
        </w:rPr>
        <w:t>”</w:t>
      </w:r>
      <w:r w:rsidRPr="009954A8">
        <w:rPr>
          <w:rFonts w:ascii="Verdana" w:hAnsi="Verdana" w:cs="Arial"/>
          <w:sz w:val="21"/>
        </w:rPr>
        <w:t>. [Cursiva por fuera del</w:t>
      </w:r>
      <w:r w:rsidRPr="009954A8">
        <w:rPr>
          <w:rFonts w:ascii="Verdana" w:hAnsi="Verdana" w:cs="Arial"/>
          <w:spacing w:val="-16"/>
          <w:sz w:val="21"/>
        </w:rPr>
        <w:t xml:space="preserve"> </w:t>
      </w:r>
      <w:r w:rsidRPr="009954A8">
        <w:rPr>
          <w:rFonts w:ascii="Verdana" w:hAnsi="Verdana" w:cs="Arial"/>
          <w:sz w:val="21"/>
        </w:rPr>
        <w:t>texto].</w:t>
      </w:r>
    </w:p>
    <w:p w14:paraId="6A555F92" w14:textId="77777777" w:rsidR="00334ED8" w:rsidRPr="009954A8" w:rsidRDefault="00334ED8" w:rsidP="00334ED8">
      <w:pPr>
        <w:pStyle w:val="Textoindependiente"/>
        <w:spacing w:line="276" w:lineRule="auto"/>
        <w:ind w:right="108" w:firstLine="709"/>
        <w:jc w:val="both"/>
        <w:rPr>
          <w:rFonts w:ascii="Verdana" w:eastAsia="Yu Gothic UI Semibold" w:hAnsi="Verdana" w:cs="Arial"/>
        </w:rPr>
      </w:pPr>
      <w:r w:rsidRPr="009954A8">
        <w:rPr>
          <w:rFonts w:ascii="Verdana" w:eastAsia="Yu Gothic UI Semibold" w:hAnsi="Verdana" w:cs="Arial"/>
        </w:rPr>
        <w:t>Finalmente, en el año 2018 la Corte Constitucional profirió la sentencia de unificación SU-075 de 2018, en la cual recoge, entre otras, las sentencias T-030 de 2018 y T-350 del 2016. En esta providencia, el Alto Tribunal establece unos criterios con el fin de impedir la discriminación que se puede presentar a una mujer en estado de embarazo o lactancia, específicamente, respecto a la terminación o la no renovación del contrato. Dando paso a establecer que el denominado</w:t>
      </w:r>
      <w:r w:rsidRPr="009954A8">
        <w:rPr>
          <w:rFonts w:ascii="Verdana" w:eastAsia="Yu Gothic UI Semibold" w:hAnsi="Verdana" w:cs="Arial"/>
          <w:i/>
        </w:rPr>
        <w:t xml:space="preserve"> </w:t>
      </w:r>
      <w:r>
        <w:rPr>
          <w:rFonts w:ascii="Verdana" w:eastAsia="Yu Gothic UI Semibold" w:hAnsi="Verdana" w:cs="Arial"/>
          <w:i/>
          <w:lang w:eastAsia="es-MX"/>
        </w:rPr>
        <w:t>“</w:t>
      </w:r>
      <w:r w:rsidRPr="009954A8">
        <w:rPr>
          <w:rFonts w:ascii="Verdana" w:eastAsia="Yu Gothic UI Semibold" w:hAnsi="Verdana" w:cs="Arial"/>
          <w:i/>
        </w:rPr>
        <w:t>fuero de maternidad</w:t>
      </w:r>
      <w:r>
        <w:rPr>
          <w:rFonts w:ascii="Verdana" w:eastAsia="Yu Gothic UI Semibold" w:hAnsi="Verdana" w:cs="Arial"/>
          <w:i/>
          <w:lang w:eastAsia="es-MX"/>
        </w:rPr>
        <w:t>”</w:t>
      </w:r>
      <w:r w:rsidRPr="009954A8">
        <w:rPr>
          <w:rFonts w:ascii="Verdana" w:eastAsia="Yu Gothic UI Semibold" w:hAnsi="Verdana" w:cs="Arial"/>
          <w:i/>
        </w:rPr>
        <w:t>,</w:t>
      </w:r>
      <w:r w:rsidRPr="009954A8">
        <w:rPr>
          <w:rFonts w:ascii="Verdana" w:eastAsia="Yu Gothic UI Semibold" w:hAnsi="Verdana" w:cs="Arial"/>
        </w:rPr>
        <w:t xml:space="preserve"> encuentra también su sustento en la cláusula general de igualdad de la Constitución </w:t>
      </w:r>
      <w:r>
        <w:rPr>
          <w:rFonts w:ascii="Verdana" w:eastAsia="Yu Gothic UI Semibold" w:hAnsi="Verdana" w:cs="Arial"/>
          <w:i/>
          <w:lang w:eastAsia="es-MX"/>
        </w:rPr>
        <w:t>“</w:t>
      </w:r>
      <w:r w:rsidRPr="009954A8">
        <w:rPr>
          <w:rFonts w:ascii="Verdana" w:eastAsia="Yu Gothic UI Semibold" w:hAnsi="Verdana" w:cs="Arial"/>
          <w:i/>
        </w:rPr>
        <w:t>que proscribe la discriminación por razones de sexo, así como en el ya mencionado artículo 43 Superior, que dispone la igualdad de derechos y oportunidades entre hombres y mujeres</w:t>
      </w:r>
      <w:r>
        <w:rPr>
          <w:rFonts w:ascii="Verdana" w:eastAsia="Yu Gothic UI Semibold" w:hAnsi="Verdana" w:cs="Arial"/>
          <w:i/>
          <w:lang w:eastAsia="es-MX"/>
        </w:rPr>
        <w:t>”</w:t>
      </w:r>
      <w:r w:rsidRPr="009954A8">
        <w:rPr>
          <w:rStyle w:val="Refdenotaalpie"/>
          <w:rFonts w:ascii="Verdana" w:eastAsia="Yu Gothic UI Semibold" w:hAnsi="Verdana" w:cs="Arial"/>
          <w:i/>
          <w:lang w:eastAsia="es-MX"/>
        </w:rPr>
        <w:footnoteReference w:id="5"/>
      </w:r>
      <w:r w:rsidRPr="009954A8">
        <w:rPr>
          <w:rFonts w:ascii="Verdana" w:eastAsia="Yu Gothic UI Semibold" w:hAnsi="Verdana" w:cs="Arial"/>
          <w:i/>
          <w:lang w:eastAsia="es-MX"/>
        </w:rPr>
        <w:t>.</w:t>
      </w:r>
    </w:p>
    <w:p w14:paraId="684052EE" w14:textId="77777777" w:rsidR="00334ED8" w:rsidRPr="00827711" w:rsidRDefault="00334ED8" w:rsidP="00334ED8">
      <w:pPr>
        <w:shd w:val="clear" w:color="auto" w:fill="FFFFFF"/>
        <w:spacing w:after="120" w:line="276" w:lineRule="auto"/>
        <w:ind w:firstLine="709"/>
        <w:jc w:val="both"/>
        <w:rPr>
          <w:rFonts w:ascii="Verdana" w:eastAsia="Yu Gothic UI Semibold" w:hAnsi="Verdana" w:cs="Arial"/>
          <w:lang w:eastAsia="es-CO"/>
        </w:rPr>
      </w:pPr>
      <w:r w:rsidRPr="00827711">
        <w:rPr>
          <w:rFonts w:ascii="Verdana" w:eastAsia="Yu Gothic UI Semibold" w:hAnsi="Verdana" w:cs="Arial"/>
          <w:lang w:eastAsia="es-CO"/>
        </w:rPr>
        <w:t xml:space="preserve">La sentencia citada determina el tratamiento que deberían darles las entidades a sus trabajadoras o contratistas cuando se encuentren en estado de embarazo o lactancia, estableciendo su procedencia en los siguientes términos: </w:t>
      </w:r>
    </w:p>
    <w:p w14:paraId="06BA6E13"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La protección reforzada a la maternidad y la lactancia en el ámbito del trabajo procede cuando se demuestre, sin ninguna otra exigencia adicional, lo siguiente: </w:t>
      </w:r>
    </w:p>
    <w:p w14:paraId="391D7AD0"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3AFD41F9"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(a) La existencia de una relación laboral o de prestación de servicios y; </w:t>
      </w:r>
    </w:p>
    <w:p w14:paraId="20D8C114"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3673EB04"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lastRenderedPageBreak/>
        <w:t>(b) Que la mujer se encuentra en estado de embarazo o dentro de los tres meses siguientes al parto, en vigencia de dicha relación laboral o de prestación.</w:t>
      </w:r>
    </w:p>
    <w:p w14:paraId="180BCEA0"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18027F42"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No obstante, el alcance de la protección se debe determinar a partir de dos factores:</w:t>
      </w:r>
    </w:p>
    <w:p w14:paraId="32D8C41F"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40E89521"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(a) El conocimiento del embarazo por parte del empleador; y</w:t>
      </w:r>
    </w:p>
    <w:p w14:paraId="35ADF1D9"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 </w:t>
      </w:r>
    </w:p>
    <w:p w14:paraId="6D23EA05"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sidRPr="009954A8">
        <w:rPr>
          <w:rFonts w:ascii="Verdana" w:eastAsia="Yu Gothic UI Semibold" w:hAnsi="Verdana" w:cs="Arial"/>
          <w:sz w:val="21"/>
          <w:szCs w:val="21"/>
          <w:lang w:eastAsia="es-CO"/>
        </w:rPr>
        <w:t>(b) La alternativa laboral mediante la cual se encontraba vinculada la mujer embarazada</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15D5BA01" w14:textId="77777777" w:rsidR="00334ED8" w:rsidRDefault="00334ED8" w:rsidP="00334ED8">
      <w:pPr>
        <w:shd w:val="clear" w:color="auto" w:fill="FFFFFF"/>
        <w:spacing w:after="120" w:line="276" w:lineRule="auto"/>
        <w:ind w:right="49"/>
        <w:jc w:val="both"/>
        <w:rPr>
          <w:rFonts w:ascii="Verdana" w:eastAsia="Yu Gothic UI Semibold" w:hAnsi="Verdana" w:cs="Arial"/>
          <w:lang w:eastAsia="es-CO"/>
        </w:rPr>
      </w:pPr>
    </w:p>
    <w:p w14:paraId="434D7954" w14:textId="77777777" w:rsidR="00334ED8" w:rsidRPr="00827711" w:rsidRDefault="00334ED8" w:rsidP="00334ED8">
      <w:pPr>
        <w:shd w:val="clear" w:color="auto" w:fill="FFFFFF"/>
        <w:spacing w:after="120" w:line="276" w:lineRule="auto"/>
        <w:ind w:right="51" w:firstLine="709"/>
        <w:jc w:val="both"/>
        <w:rPr>
          <w:rFonts w:ascii="Verdana" w:eastAsia="Yu Gothic UI Semibold" w:hAnsi="Verdana" w:cs="Arial"/>
          <w:lang w:eastAsia="es-CO"/>
        </w:rPr>
      </w:pPr>
      <w:r w:rsidRPr="00827711">
        <w:rPr>
          <w:rFonts w:ascii="Verdana" w:eastAsia="Yu Gothic UI Semibold" w:hAnsi="Verdana" w:cs="Arial"/>
          <w:lang w:eastAsia="es-CO"/>
        </w:rPr>
        <w:t xml:space="preserve">Como se evidencia en el texto referido, el criterio de la Corte establece que solo se requiere acreditar la relación laboral o la existencia de un contrato de prestación de servicios y el estado de embarazo o lactancia para acceder a la protección denominada estabilidad laboral reforzada de mujer embarazada y en periodo de lactancia. Para el caso concreto de los contratos de prestación de servicios, la sentencia en mención determina:   </w:t>
      </w:r>
    </w:p>
    <w:p w14:paraId="0E345181" w14:textId="77777777" w:rsidR="00334ED8" w:rsidRPr="009954A8" w:rsidRDefault="00334ED8" w:rsidP="00334ED8">
      <w:pPr>
        <w:shd w:val="clear" w:color="auto" w:fill="FFFFFF"/>
        <w:ind w:left="709" w:right="709"/>
        <w:contextualSpacing/>
        <w:jc w:val="both"/>
        <w:rPr>
          <w:rFonts w:ascii="Verdana" w:eastAsia="Yu Gothic UI Semibold" w:hAnsi="Verdana" w:cs="Arial"/>
          <w:sz w:val="21"/>
          <w:szCs w:val="21"/>
          <w:lang w:eastAsia="es-CO"/>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 xml:space="preserve">[…]  en el supuesto en que la trabajadora gestante o lactante haya estado vinculada mediante un contrato de prestación de servicios </w:t>
      </w:r>
      <w:r w:rsidRPr="009954A8">
        <w:rPr>
          <w:rFonts w:ascii="Verdana" w:eastAsia="Yu Gothic UI Semibold" w:hAnsi="Verdana" w:cs="Arial"/>
          <w:sz w:val="21"/>
          <w:szCs w:val="21"/>
          <w:u w:val="single"/>
          <w:lang w:eastAsia="es-CO"/>
        </w:rPr>
        <w:t>y logre demostrar la existencia de un contrato realidad, se deberán aplicar las reglas propuestas para los contratos a término fijo</w:t>
      </w:r>
      <w:r w:rsidRPr="009954A8">
        <w:rPr>
          <w:rFonts w:ascii="Verdana" w:eastAsia="Yu Gothic UI Semibold" w:hAnsi="Verdana" w:cs="Arial"/>
          <w:sz w:val="21"/>
          <w:szCs w:val="21"/>
          <w:lang w:eastAsia="es-CO"/>
        </w:rPr>
        <w:t>, toda vez que, “dentro las características del contrato de prestación de servicios, según lo ha entendido esta Corporación, se encuentran que se trata de un contrato temporal, cuya duración es por un tiempo limitado, que es además el indispensable para ejecutar el objeto contractual convenido […]</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08276801" w14:textId="77777777" w:rsidR="00334ED8" w:rsidRPr="009954A8" w:rsidRDefault="00334ED8" w:rsidP="00334ED8">
      <w:pPr>
        <w:shd w:val="clear" w:color="auto" w:fill="FFFFFF"/>
        <w:spacing w:line="276" w:lineRule="auto"/>
        <w:ind w:right="51"/>
        <w:contextualSpacing/>
        <w:jc w:val="both"/>
        <w:rPr>
          <w:rFonts w:ascii="Verdana" w:eastAsia="Yu Gothic UI Semibold" w:hAnsi="Verdana" w:cs="Arial"/>
          <w:lang w:eastAsia="es-CO"/>
        </w:rPr>
      </w:pPr>
    </w:p>
    <w:p w14:paraId="6ACDB34C" w14:textId="77777777" w:rsidR="00334ED8" w:rsidRPr="00827711" w:rsidRDefault="00334ED8" w:rsidP="00334ED8">
      <w:pPr>
        <w:widowControl w:val="0"/>
        <w:autoSpaceDE w:val="0"/>
        <w:autoSpaceDN w:val="0"/>
        <w:spacing w:after="120" w:line="276" w:lineRule="auto"/>
        <w:ind w:firstLine="709"/>
        <w:jc w:val="both"/>
        <w:rPr>
          <w:rFonts w:ascii="Verdana" w:eastAsia="Arial" w:hAnsi="Verdana" w:cs="Arial"/>
        </w:rPr>
      </w:pPr>
      <w:r w:rsidRPr="00827711">
        <w:rPr>
          <w:rFonts w:ascii="Verdana" w:eastAsia="Arial" w:hAnsi="Verdana" w:cs="Arial"/>
        </w:rPr>
        <w:t>Conforme a lo anterior, la Corte Constitucional ha expuesto dos (2) posiciones frente a los cuales opera la protección proveniente del denominado fuero de maternidad de mujeres vinculadas por medio de un contrato de prestación de servicios: (i) cuando el juez prueba la configuración de un contrato realidad en el contrato de prestación de servicios, porque concurren los siguientes elementos: a) el salario, b) la continua subordinación o dependencia y c) la prestación personal del servicio; y además, (</w:t>
      </w:r>
      <w:proofErr w:type="spellStart"/>
      <w:r w:rsidRPr="00827711">
        <w:rPr>
          <w:rFonts w:ascii="Verdana" w:eastAsia="Arial" w:hAnsi="Verdana" w:cs="Arial"/>
        </w:rPr>
        <w:t>ii</w:t>
      </w:r>
      <w:proofErr w:type="spellEnd"/>
      <w:r w:rsidRPr="00827711">
        <w:rPr>
          <w:rFonts w:ascii="Verdana" w:eastAsia="Arial" w:hAnsi="Verdana" w:cs="Arial"/>
        </w:rPr>
        <w:t>) cuando a pesar de no probarse la configuración de un contrato realidad la terminación del contrato de prestación de servicios se fundamenta en criterios discriminatorios, y no en motivos objetivos.</w:t>
      </w:r>
    </w:p>
    <w:p w14:paraId="706448A4" w14:textId="77777777" w:rsidR="00334ED8" w:rsidRPr="00827711" w:rsidRDefault="00334ED8" w:rsidP="00334ED8">
      <w:pPr>
        <w:widowControl w:val="0"/>
        <w:autoSpaceDE w:val="0"/>
        <w:autoSpaceDN w:val="0"/>
        <w:spacing w:after="120" w:line="276" w:lineRule="auto"/>
        <w:ind w:firstLine="709"/>
        <w:jc w:val="both"/>
        <w:rPr>
          <w:rFonts w:ascii="Verdana" w:eastAsia="Arial" w:hAnsi="Verdana" w:cs="Arial"/>
        </w:rPr>
      </w:pPr>
      <w:r w:rsidRPr="00827711">
        <w:rPr>
          <w:rFonts w:ascii="Verdana" w:eastAsia="Arial" w:hAnsi="Verdana" w:cs="Arial"/>
        </w:rPr>
        <w:t>Asimismo se resalta, que el Alto Tribunal Constitucional en la sentencia T-</w:t>
      </w:r>
      <w:r w:rsidRPr="00827711">
        <w:rPr>
          <w:rFonts w:ascii="Verdana" w:eastAsia="Arial" w:hAnsi="Verdana" w:cs="Arial"/>
        </w:rPr>
        <w:lastRenderedPageBreak/>
        <w:t>743 de 2017, reiteró que la protección a la mujer en estado de embarazo y en periodo de lactancia, está sustentada en cuatro presupuestos de origen constitucional: (i) el deber de protección especial a la mujer gestante; (</w:t>
      </w:r>
      <w:proofErr w:type="spellStart"/>
      <w:r w:rsidRPr="00827711">
        <w:rPr>
          <w:rFonts w:ascii="Verdana" w:eastAsia="Arial" w:hAnsi="Verdana" w:cs="Arial"/>
        </w:rPr>
        <w:t>ii</w:t>
      </w:r>
      <w:proofErr w:type="spellEnd"/>
      <w:r w:rsidRPr="00827711">
        <w:rPr>
          <w:rFonts w:ascii="Verdana" w:eastAsia="Arial" w:hAnsi="Verdana" w:cs="Arial"/>
        </w:rPr>
        <w:t>) la contención de prácticas discriminatorias en el escenario laboral contra la mujer, con ocasión del estado de embarazo; (</w:t>
      </w:r>
      <w:proofErr w:type="spellStart"/>
      <w:r w:rsidRPr="00827711">
        <w:rPr>
          <w:rFonts w:ascii="Verdana" w:eastAsia="Arial" w:hAnsi="Verdana" w:cs="Arial"/>
        </w:rPr>
        <w:t>iii</w:t>
      </w:r>
      <w:proofErr w:type="spellEnd"/>
      <w:r w:rsidRPr="00827711">
        <w:rPr>
          <w:rFonts w:ascii="Verdana" w:eastAsia="Arial" w:hAnsi="Verdana" w:cs="Arial"/>
        </w:rPr>
        <w:t>) la protección a la vida y a la mujer como su gestora; y (</w:t>
      </w:r>
      <w:proofErr w:type="spellStart"/>
      <w:r w:rsidRPr="00827711">
        <w:rPr>
          <w:rFonts w:ascii="Verdana" w:eastAsia="Arial" w:hAnsi="Verdana" w:cs="Arial"/>
        </w:rPr>
        <w:t>iv</w:t>
      </w:r>
      <w:proofErr w:type="spellEnd"/>
      <w:r w:rsidRPr="00827711">
        <w:rPr>
          <w:rFonts w:ascii="Verdana" w:eastAsia="Arial" w:hAnsi="Verdana" w:cs="Arial"/>
        </w:rPr>
        <w:t>) la relevancia de la familia en el ordenamiento social colombiano.</w:t>
      </w:r>
    </w:p>
    <w:p w14:paraId="5243BA48" w14:textId="77777777" w:rsidR="00334ED8" w:rsidRPr="00827711" w:rsidRDefault="00334ED8" w:rsidP="00334ED8">
      <w:pPr>
        <w:widowControl w:val="0"/>
        <w:autoSpaceDE w:val="0"/>
        <w:autoSpaceDN w:val="0"/>
        <w:spacing w:after="120" w:line="276" w:lineRule="auto"/>
        <w:ind w:firstLine="709"/>
        <w:jc w:val="both"/>
        <w:rPr>
          <w:rFonts w:ascii="Verdana" w:eastAsia="Arial" w:hAnsi="Verdana" w:cs="Arial"/>
        </w:rPr>
      </w:pPr>
      <w:r w:rsidRPr="00827711">
        <w:rPr>
          <w:rFonts w:ascii="Verdana" w:eastAsia="Arial" w:hAnsi="Verdana" w:cs="Arial"/>
        </w:rPr>
        <w:t xml:space="preserve">Recientemente, la Corte Constitucional profirió la sentencia T-329 de 2022, con ponencia de la magistrada </w:t>
      </w:r>
      <w:r w:rsidRPr="00827711">
        <w:rPr>
          <w:rFonts w:ascii="Verdana" w:hAnsi="Verdana" w:cs="Arial"/>
        </w:rPr>
        <w:t>Natalia Ángel Cabo</w:t>
      </w:r>
      <w:r w:rsidRPr="00827711">
        <w:rPr>
          <w:rFonts w:ascii="Verdana" w:eastAsia="Arial" w:hAnsi="Verdana" w:cs="Arial"/>
        </w:rPr>
        <w:t xml:space="preserve">, en la cual reiteró el precedente sobre </w:t>
      </w:r>
      <w:bookmarkStart w:id="2" w:name="_Hlk108422441"/>
      <w:r w:rsidRPr="00827711">
        <w:rPr>
          <w:rFonts w:ascii="Verdana" w:eastAsia="Arial" w:hAnsi="Verdana" w:cs="Arial"/>
        </w:rPr>
        <w:t>la protección de la mujer embarazada y en período de lactancia en contratos de prestación de servicios</w:t>
      </w:r>
      <w:bookmarkEnd w:id="2"/>
      <w:r w:rsidRPr="00827711">
        <w:rPr>
          <w:rFonts w:ascii="Verdana" w:eastAsia="Arial" w:hAnsi="Verdana" w:cs="Arial"/>
        </w:rPr>
        <w:t xml:space="preserve"> establecido en la Sentencia S-070 de 2013, al indicar lo siguiente: </w:t>
      </w:r>
    </w:p>
    <w:p w14:paraId="0B4E3BFE" w14:textId="77777777" w:rsidR="00334ED8" w:rsidRPr="009954A8" w:rsidRDefault="00334ED8" w:rsidP="00334ED8">
      <w:pPr>
        <w:widowControl w:val="0"/>
        <w:autoSpaceDE w:val="0"/>
        <w:autoSpaceDN w:val="0"/>
        <w:spacing w:line="276" w:lineRule="auto"/>
        <w:ind w:firstLine="709"/>
        <w:contextualSpacing/>
        <w:jc w:val="both"/>
        <w:rPr>
          <w:rFonts w:ascii="Verdana" w:eastAsia="Arial" w:hAnsi="Verdana" w:cs="Arial"/>
          <w:lang w:val="es-ES"/>
        </w:rPr>
      </w:pPr>
    </w:p>
    <w:p w14:paraId="53603EF6" w14:textId="77777777" w:rsidR="00334ED8" w:rsidRPr="009954A8" w:rsidRDefault="00334ED8" w:rsidP="00334ED8">
      <w:pPr>
        <w:pStyle w:val="Sinespaciado"/>
        <w:ind w:left="709" w:right="709"/>
        <w:contextualSpacing/>
        <w:rPr>
          <w:rFonts w:ascii="Verdana" w:hAnsi="Verdana" w:cs="Arial"/>
          <w:sz w:val="21"/>
          <w:szCs w:val="21"/>
        </w:rPr>
      </w:pPr>
      <w:r>
        <w:rPr>
          <w:rFonts w:ascii="Verdana" w:eastAsia="Yu Gothic UI Semibold" w:hAnsi="Verdana" w:cs="Arial"/>
          <w:iCs/>
          <w:sz w:val="21"/>
          <w:szCs w:val="21"/>
          <w:lang w:eastAsia="es-MX"/>
        </w:rPr>
        <w:t>“</w:t>
      </w:r>
      <w:r w:rsidRPr="009954A8">
        <w:rPr>
          <w:rFonts w:ascii="Verdana" w:eastAsia="Yu Gothic UI Semibold" w:hAnsi="Verdana" w:cs="Arial"/>
          <w:sz w:val="21"/>
          <w:szCs w:val="21"/>
          <w:lang w:eastAsia="es-CO"/>
        </w:rPr>
        <w:t>[…]</w:t>
      </w:r>
      <w:r w:rsidRPr="009954A8">
        <w:rPr>
          <w:rFonts w:ascii="Verdana" w:hAnsi="Verdana" w:cs="Arial"/>
          <w:sz w:val="21"/>
          <w:szCs w:val="21"/>
        </w:rPr>
        <w:t>En la Sentencia SU-070 de 2013, la Corte reconoció la protección de la mujer embarazada en otras alternativas laborales. En relación con el contrato de prestación de servicios indicó que el juez de tutela debe evaluar si existe un inminente riesgo de afectación al mínimo vital o a otros derechos fundamentales de la accionante. En caso afirmativo, el juez de tutela está obligado a evaluar las circunstancias fácticas particulares para determinar si tras esa figura contractual está oculta una relación laboral o si efectivamente se trata de un contrato de prestación de servicios. En los casos en los que se encuentre que el contrato de prestación de servicios oculta una relación laboral, se deben aplicar las reglas establecidas para el contrato laboral a término fijo</w:t>
      </w:r>
      <w:r>
        <w:rPr>
          <w:rFonts w:ascii="Verdana" w:hAnsi="Verdana" w:cs="Arial"/>
          <w:noProof/>
          <w:sz w:val="21"/>
          <w:szCs w:val="21"/>
          <w:lang w:val="es-ES_tradnl"/>
        </w:rPr>
        <w:t>”</w:t>
      </w:r>
      <w:r w:rsidRPr="009954A8">
        <w:rPr>
          <w:rFonts w:ascii="Verdana" w:hAnsi="Verdana" w:cs="Arial"/>
          <w:noProof/>
          <w:sz w:val="21"/>
          <w:szCs w:val="21"/>
          <w:lang w:val="es-ES_tradnl"/>
        </w:rPr>
        <w:t>.</w:t>
      </w:r>
    </w:p>
    <w:p w14:paraId="2E5C4C58" w14:textId="77777777" w:rsidR="00334ED8" w:rsidRPr="009954A8" w:rsidRDefault="00334ED8" w:rsidP="00334ED8">
      <w:pPr>
        <w:widowControl w:val="0"/>
        <w:autoSpaceDE w:val="0"/>
        <w:autoSpaceDN w:val="0"/>
        <w:spacing w:line="276" w:lineRule="auto"/>
        <w:ind w:firstLine="709"/>
        <w:jc w:val="both"/>
        <w:rPr>
          <w:rFonts w:ascii="Verdana" w:eastAsia="Arial" w:hAnsi="Verdana" w:cs="Arial"/>
          <w:lang w:val="es-ES"/>
        </w:rPr>
      </w:pPr>
    </w:p>
    <w:p w14:paraId="25E991CE" w14:textId="77777777" w:rsidR="00334ED8" w:rsidRPr="00827711" w:rsidRDefault="00334ED8" w:rsidP="00334ED8">
      <w:pPr>
        <w:widowControl w:val="0"/>
        <w:autoSpaceDE w:val="0"/>
        <w:autoSpaceDN w:val="0"/>
        <w:spacing w:after="120" w:line="276" w:lineRule="auto"/>
        <w:ind w:firstLine="709"/>
        <w:jc w:val="both"/>
        <w:rPr>
          <w:rFonts w:ascii="Verdana" w:hAnsi="Verdana" w:cs="Arial"/>
          <w:shd w:val="clear" w:color="auto" w:fill="FFFFFF"/>
        </w:rPr>
      </w:pPr>
      <w:r w:rsidRPr="00827711">
        <w:rPr>
          <w:rFonts w:ascii="Verdana" w:eastAsia="Arial" w:hAnsi="Verdana" w:cs="Arial"/>
        </w:rPr>
        <w:t xml:space="preserve">En dicha providencia la Corte consideró que, en los casos de </w:t>
      </w:r>
      <w:r w:rsidRPr="00827711">
        <w:rPr>
          <w:rFonts w:ascii="Verdana" w:hAnsi="Verdana" w:cs="Arial"/>
        </w:rPr>
        <w:t xml:space="preserve">en los casos de vinculación mediante contrato de prestación de servicios, aun cuando en el trámite de tutela no se logren acreditar los elementos del contrato realidad, hay lugar a la protección derivada de del fuero de maternidad. Lo anterior, en palabras de la Corte encuentra sustento en las siguientes razones: </w:t>
      </w:r>
      <w:r w:rsidRPr="00827711">
        <w:rPr>
          <w:rFonts w:ascii="Verdana" w:eastAsia="Yu Gothic UI Semibold" w:hAnsi="Verdana" w:cs="Arial"/>
          <w:iCs/>
          <w:lang w:eastAsia="es-MX"/>
        </w:rPr>
        <w:t>“</w:t>
      </w:r>
      <w:r w:rsidRPr="00827711">
        <w:rPr>
          <w:rFonts w:ascii="Verdana" w:hAnsi="Verdana" w:cs="Arial"/>
        </w:rPr>
        <w:t>(i) la protección de la mujer gestante o en periodo de lactancia se deriva de, entre otros, los artículos 43, 53 y 13 de la Constitución Nacional; (</w:t>
      </w:r>
      <w:proofErr w:type="spellStart"/>
      <w:r w:rsidRPr="00827711">
        <w:rPr>
          <w:rFonts w:ascii="Verdana" w:hAnsi="Verdana" w:cs="Arial"/>
        </w:rPr>
        <w:t>ii</w:t>
      </w:r>
      <w:proofErr w:type="spellEnd"/>
      <w:r w:rsidRPr="00827711">
        <w:rPr>
          <w:rFonts w:ascii="Verdana" w:hAnsi="Verdana" w:cs="Arial"/>
        </w:rPr>
        <w:t>) la Sentencia SU-070 de 2013 reiteró la protección a la mujer embarazada en todas las alternativas laborales o de trabajo en las que se incluye el contrato de prestación de servicios; (</w:t>
      </w:r>
      <w:proofErr w:type="spellStart"/>
      <w:r w:rsidRPr="00827711">
        <w:rPr>
          <w:rFonts w:ascii="Verdana" w:hAnsi="Verdana" w:cs="Arial"/>
        </w:rPr>
        <w:t>iii</w:t>
      </w:r>
      <w:proofErr w:type="spellEnd"/>
      <w:r w:rsidRPr="00827711">
        <w:rPr>
          <w:rFonts w:ascii="Verdana" w:hAnsi="Verdana" w:cs="Arial"/>
        </w:rPr>
        <w:t xml:space="preserve">) la Sentencia SU-075 de 2018 reiteró que las condiciones para la protección de la mujer embarazada son la existencia de una relación laboral o de prestación de servicios y que </w:t>
      </w:r>
      <w:r w:rsidRPr="00827711">
        <w:rPr>
          <w:rFonts w:ascii="Verdana" w:hAnsi="Verdana" w:cs="Arial"/>
          <w:shd w:val="clear" w:color="auto" w:fill="FFFFFF"/>
        </w:rPr>
        <w:t xml:space="preserve">la mujer se encuentre en estado de embarazo </w:t>
      </w:r>
      <w:r w:rsidRPr="00827711">
        <w:rPr>
          <w:rFonts w:ascii="Verdana" w:hAnsi="Verdana" w:cs="Arial"/>
          <w:shd w:val="clear" w:color="auto" w:fill="FFFFFF"/>
        </w:rPr>
        <w:lastRenderedPageBreak/>
        <w:t>o dentro de los tres meses siguientes al parto, en vigencia de dicha relación laboral o de prestación de servicios</w:t>
      </w:r>
      <w:r w:rsidRPr="00827711">
        <w:rPr>
          <w:rFonts w:ascii="Verdana" w:hAnsi="Verdana" w:cs="Arial"/>
        </w:rPr>
        <w:t>; y (</w:t>
      </w:r>
      <w:proofErr w:type="spellStart"/>
      <w:r w:rsidRPr="00827711">
        <w:rPr>
          <w:rFonts w:ascii="Verdana" w:hAnsi="Verdana" w:cs="Arial"/>
        </w:rPr>
        <w:t>iv</w:t>
      </w:r>
      <w:proofErr w:type="spellEnd"/>
      <w:r w:rsidRPr="00827711">
        <w:rPr>
          <w:rFonts w:ascii="Verdana" w:hAnsi="Verdana" w:cs="Arial"/>
        </w:rPr>
        <w:t xml:space="preserve">) las salas de revisión de la Corte Constitucional </w:t>
      </w:r>
      <w:r w:rsidRPr="00827711">
        <w:rPr>
          <w:rFonts w:ascii="Verdana" w:hAnsi="Verdana" w:cs="Arial"/>
          <w:shd w:val="clear" w:color="auto" w:fill="FFFFFF"/>
        </w:rPr>
        <w:t>reconocen la protección derivada del fuero de maternidad en los contratos de prestación de servicios</w:t>
      </w:r>
      <w:r w:rsidRPr="00827711">
        <w:rPr>
          <w:rFonts w:ascii="Verdana" w:hAnsi="Verdana" w:cs="Arial"/>
          <w:noProof/>
          <w:lang w:val="es-ES_tradnl"/>
        </w:rPr>
        <w:t>”</w:t>
      </w:r>
      <w:r w:rsidRPr="009954A8">
        <w:rPr>
          <w:rStyle w:val="Refdenotaalpie"/>
          <w:rFonts w:ascii="Verdana" w:hAnsi="Verdana" w:cs="Arial"/>
          <w:noProof/>
          <w:lang w:val="es-ES_tradnl"/>
        </w:rPr>
        <w:footnoteReference w:id="6"/>
      </w:r>
      <w:r w:rsidRPr="00827711">
        <w:rPr>
          <w:rFonts w:ascii="Verdana" w:hAnsi="Verdana" w:cs="Arial"/>
          <w:shd w:val="clear" w:color="auto" w:fill="FFFFFF"/>
        </w:rPr>
        <w:t xml:space="preserve">. </w:t>
      </w:r>
    </w:p>
    <w:p w14:paraId="0C8B4A68" w14:textId="77777777" w:rsidR="00334ED8" w:rsidRPr="00827711" w:rsidRDefault="00334ED8" w:rsidP="00334ED8">
      <w:pPr>
        <w:widowControl w:val="0"/>
        <w:autoSpaceDE w:val="0"/>
        <w:autoSpaceDN w:val="0"/>
        <w:spacing w:after="120" w:line="276" w:lineRule="auto"/>
        <w:ind w:firstLine="709"/>
        <w:jc w:val="both"/>
        <w:rPr>
          <w:rFonts w:ascii="Verdana" w:eastAsia="Arial" w:hAnsi="Verdana" w:cs="Arial"/>
        </w:rPr>
      </w:pPr>
      <w:r w:rsidRPr="00827711">
        <w:rPr>
          <w:rFonts w:ascii="Verdana" w:eastAsia="Arial" w:hAnsi="Verdana" w:cs="Arial"/>
        </w:rPr>
        <w:t xml:space="preserve">En atención a dicho pronunciamiento, resulta relevante relacionar </w:t>
      </w:r>
      <w:r w:rsidRPr="00827711">
        <w:rPr>
          <w:rFonts w:ascii="Verdana" w:hAnsi="Verdana" w:cs="Arial"/>
        </w:rPr>
        <w:t>las reglas establecidas en la jurisprudencia constitucional para la protección de las mujeres contratadas mediante contrato de prestación de servicios a quienes no se les renueva dicho contrato mientras se encuentran en estado de embarazo o lactancia:</w:t>
      </w:r>
    </w:p>
    <w:p w14:paraId="56B21E98" w14:textId="77777777" w:rsidR="00334ED8" w:rsidRPr="009954A8" w:rsidRDefault="00334ED8" w:rsidP="00334ED8">
      <w:pPr>
        <w:widowControl w:val="0"/>
        <w:autoSpaceDE w:val="0"/>
        <w:autoSpaceDN w:val="0"/>
        <w:spacing w:line="276" w:lineRule="auto"/>
        <w:ind w:firstLine="709"/>
        <w:jc w:val="both"/>
        <w:rPr>
          <w:rFonts w:ascii="Verdana" w:eastAsia="Arial" w:hAnsi="Verdana" w:cs="Arial"/>
          <w:lang w:val="es-ES"/>
        </w:rPr>
      </w:pPr>
    </w:p>
    <w:tbl>
      <w:tblPr>
        <w:tblStyle w:val="Tablaconcuadrcula"/>
        <w:tblW w:w="5000" w:type="pct"/>
        <w:tblLook w:val="04A0" w:firstRow="1" w:lastRow="0" w:firstColumn="1" w:lastColumn="0" w:noHBand="0" w:noVBand="1"/>
      </w:tblPr>
      <w:tblGrid>
        <w:gridCol w:w="1813"/>
        <w:gridCol w:w="7015"/>
      </w:tblGrid>
      <w:tr w:rsidR="00334ED8" w:rsidRPr="009954A8" w14:paraId="4B78B19F" w14:textId="77777777" w:rsidTr="00107AC4">
        <w:tc>
          <w:tcPr>
            <w:tcW w:w="1027" w:type="pct"/>
            <w:shd w:val="clear" w:color="auto" w:fill="D9E2F3" w:themeFill="accent1" w:themeFillTint="33"/>
            <w:vAlign w:val="center"/>
          </w:tcPr>
          <w:p w14:paraId="0A4C8A82" w14:textId="77777777" w:rsidR="00334ED8" w:rsidRPr="009954A8" w:rsidRDefault="00334ED8" w:rsidP="00107AC4">
            <w:pPr>
              <w:pStyle w:val="Sinespaciado"/>
              <w:ind w:right="0"/>
              <w:jc w:val="center"/>
              <w:rPr>
                <w:rFonts w:ascii="Verdana" w:hAnsi="Verdana" w:cs="Arial"/>
                <w:b/>
                <w:bCs/>
                <w:sz w:val="21"/>
                <w:szCs w:val="21"/>
              </w:rPr>
            </w:pPr>
            <w:r w:rsidRPr="009954A8">
              <w:rPr>
                <w:rFonts w:ascii="Verdana" w:hAnsi="Verdana" w:cs="Arial"/>
                <w:b/>
                <w:bCs/>
                <w:sz w:val="21"/>
                <w:szCs w:val="21"/>
              </w:rPr>
              <w:t>Tipo de relación material</w:t>
            </w:r>
          </w:p>
        </w:tc>
        <w:tc>
          <w:tcPr>
            <w:tcW w:w="3973" w:type="pct"/>
            <w:shd w:val="clear" w:color="auto" w:fill="D9E2F3" w:themeFill="accent1" w:themeFillTint="33"/>
            <w:vAlign w:val="center"/>
          </w:tcPr>
          <w:p w14:paraId="356A562C" w14:textId="77777777" w:rsidR="00334ED8" w:rsidRPr="009954A8" w:rsidRDefault="00334ED8" w:rsidP="00107AC4">
            <w:pPr>
              <w:pStyle w:val="Sinespaciado"/>
              <w:ind w:right="0"/>
              <w:jc w:val="center"/>
              <w:rPr>
                <w:rFonts w:ascii="Verdana" w:hAnsi="Verdana" w:cs="Arial"/>
                <w:b/>
                <w:bCs/>
                <w:sz w:val="21"/>
                <w:szCs w:val="21"/>
              </w:rPr>
            </w:pPr>
            <w:r w:rsidRPr="009954A8">
              <w:rPr>
                <w:rFonts w:ascii="Verdana" w:hAnsi="Verdana" w:cs="Arial"/>
                <w:b/>
                <w:bCs/>
                <w:sz w:val="21"/>
                <w:szCs w:val="21"/>
              </w:rPr>
              <w:t>Alcance de la protección</w:t>
            </w:r>
          </w:p>
        </w:tc>
      </w:tr>
      <w:tr w:rsidR="00334ED8" w:rsidRPr="009954A8" w14:paraId="36F607AA" w14:textId="77777777" w:rsidTr="00107AC4">
        <w:tc>
          <w:tcPr>
            <w:tcW w:w="1027" w:type="pct"/>
            <w:tcBorders>
              <w:bottom w:val="single" w:sz="4" w:space="0" w:color="auto"/>
            </w:tcBorders>
            <w:vAlign w:val="center"/>
          </w:tcPr>
          <w:p w14:paraId="70430038" w14:textId="77777777" w:rsidR="00334ED8" w:rsidRPr="009954A8" w:rsidRDefault="00334ED8" w:rsidP="00107AC4">
            <w:pPr>
              <w:pStyle w:val="Sinespaciado"/>
              <w:ind w:right="0"/>
              <w:jc w:val="center"/>
              <w:rPr>
                <w:rFonts w:ascii="Verdana" w:hAnsi="Verdana" w:cs="Arial"/>
                <w:b/>
                <w:bCs/>
                <w:sz w:val="21"/>
                <w:szCs w:val="21"/>
              </w:rPr>
            </w:pPr>
            <w:r w:rsidRPr="009954A8">
              <w:rPr>
                <w:rFonts w:ascii="Verdana" w:hAnsi="Verdana" w:cs="Arial"/>
                <w:b/>
                <w:bCs/>
                <w:sz w:val="21"/>
                <w:szCs w:val="21"/>
              </w:rPr>
              <w:t>Se configura un contrato realidad</w:t>
            </w:r>
          </w:p>
        </w:tc>
        <w:tc>
          <w:tcPr>
            <w:tcW w:w="3973" w:type="pct"/>
          </w:tcPr>
          <w:p w14:paraId="556C4DEB" w14:textId="77777777" w:rsidR="00334ED8" w:rsidRPr="009954A8" w:rsidRDefault="00334ED8" w:rsidP="00107AC4">
            <w:pPr>
              <w:pStyle w:val="Sinespaciado"/>
              <w:ind w:right="0"/>
              <w:rPr>
                <w:rFonts w:ascii="Verdana" w:hAnsi="Verdana" w:cs="Arial"/>
                <w:sz w:val="21"/>
                <w:szCs w:val="21"/>
              </w:rPr>
            </w:pPr>
            <w:r w:rsidRPr="009954A8">
              <w:rPr>
                <w:rFonts w:ascii="Verdana" w:hAnsi="Verdana" w:cs="Arial"/>
                <w:sz w:val="21"/>
                <w:szCs w:val="21"/>
              </w:rPr>
              <w:t>El juez de tutela deberá aplicar las reglas establecidas para el contrato laboral a término fijo, debido a que este contrato, por sus características de temporalidad, es el que mejor se asemeja al contrato de prestación de servicios</w:t>
            </w:r>
            <w:r w:rsidRPr="009954A8">
              <w:rPr>
                <w:rStyle w:val="Refdenotaalpie"/>
                <w:rFonts w:ascii="Verdana" w:hAnsi="Verdana" w:cs="Arial"/>
                <w:sz w:val="21"/>
                <w:szCs w:val="21"/>
              </w:rPr>
              <w:t xml:space="preserve"> </w:t>
            </w:r>
            <w:r w:rsidRPr="009954A8">
              <w:rPr>
                <w:rStyle w:val="Refdenotaalpie"/>
                <w:rFonts w:ascii="Verdana" w:hAnsi="Verdana" w:cs="Arial"/>
                <w:sz w:val="21"/>
                <w:szCs w:val="21"/>
              </w:rPr>
              <w:footnoteReference w:id="7"/>
            </w:r>
            <w:r w:rsidRPr="009954A8">
              <w:rPr>
                <w:rFonts w:ascii="Verdana" w:hAnsi="Verdana" w:cs="Arial"/>
                <w:sz w:val="21"/>
                <w:szCs w:val="21"/>
              </w:rPr>
              <w:t>.</w:t>
            </w:r>
          </w:p>
        </w:tc>
      </w:tr>
      <w:tr w:rsidR="00334ED8" w:rsidRPr="009954A8" w14:paraId="253A89AF" w14:textId="77777777" w:rsidTr="00107AC4">
        <w:trPr>
          <w:trHeight w:val="269"/>
        </w:trPr>
        <w:tc>
          <w:tcPr>
            <w:tcW w:w="1027" w:type="pct"/>
            <w:tcBorders>
              <w:top w:val="single" w:sz="4" w:space="0" w:color="auto"/>
              <w:left w:val="single" w:sz="4" w:space="0" w:color="auto"/>
              <w:bottom w:val="single" w:sz="4" w:space="0" w:color="auto"/>
              <w:right w:val="single" w:sz="4" w:space="0" w:color="auto"/>
            </w:tcBorders>
            <w:vAlign w:val="center"/>
          </w:tcPr>
          <w:p w14:paraId="1790CFB0" w14:textId="77777777" w:rsidR="00334ED8" w:rsidRPr="009954A8" w:rsidRDefault="00334ED8" w:rsidP="00107AC4">
            <w:pPr>
              <w:pStyle w:val="Sinespaciado"/>
              <w:ind w:right="0"/>
              <w:jc w:val="center"/>
              <w:rPr>
                <w:rFonts w:ascii="Verdana" w:hAnsi="Verdana" w:cs="Arial"/>
                <w:b/>
                <w:bCs/>
                <w:sz w:val="21"/>
                <w:szCs w:val="21"/>
              </w:rPr>
            </w:pPr>
            <w:r w:rsidRPr="009954A8">
              <w:rPr>
                <w:rFonts w:ascii="Verdana" w:hAnsi="Verdana" w:cs="Arial"/>
                <w:b/>
                <w:bCs/>
                <w:sz w:val="21"/>
                <w:szCs w:val="21"/>
              </w:rPr>
              <w:t>No se configura un contrato realidad</w:t>
            </w:r>
          </w:p>
        </w:tc>
        <w:tc>
          <w:tcPr>
            <w:tcW w:w="3973" w:type="pct"/>
            <w:tcBorders>
              <w:left w:val="single" w:sz="4" w:space="0" w:color="auto"/>
            </w:tcBorders>
            <w:vAlign w:val="center"/>
          </w:tcPr>
          <w:p w14:paraId="297C5EFE" w14:textId="77777777" w:rsidR="00334ED8" w:rsidRPr="009954A8" w:rsidRDefault="00334ED8" w:rsidP="00107AC4">
            <w:pPr>
              <w:pStyle w:val="Sinespaciado"/>
              <w:ind w:right="0"/>
              <w:rPr>
                <w:rFonts w:ascii="Verdana" w:hAnsi="Verdana" w:cs="Arial"/>
                <w:sz w:val="21"/>
                <w:szCs w:val="21"/>
              </w:rPr>
            </w:pPr>
            <w:r w:rsidRPr="009954A8">
              <w:rPr>
                <w:rFonts w:ascii="Verdana" w:hAnsi="Verdana" w:cs="Arial"/>
                <w:sz w:val="21"/>
                <w:szCs w:val="21"/>
              </w:rPr>
              <w:t>Si (i) el contratante conoce el estado de embarazo de la contratista, (</w:t>
            </w:r>
            <w:proofErr w:type="spellStart"/>
            <w:r w:rsidRPr="009954A8">
              <w:rPr>
                <w:rFonts w:ascii="Verdana" w:hAnsi="Verdana" w:cs="Arial"/>
                <w:sz w:val="21"/>
                <w:szCs w:val="21"/>
              </w:rPr>
              <w:t>ii</w:t>
            </w:r>
            <w:proofErr w:type="spellEnd"/>
            <w:r w:rsidRPr="009954A8">
              <w:rPr>
                <w:rFonts w:ascii="Verdana" w:hAnsi="Verdana" w:cs="Arial"/>
                <w:sz w:val="21"/>
                <w:szCs w:val="21"/>
              </w:rPr>
              <w:t>) subsiste la causa del contrato y (</w:t>
            </w:r>
            <w:proofErr w:type="spellStart"/>
            <w:r w:rsidRPr="009954A8">
              <w:rPr>
                <w:rFonts w:ascii="Verdana" w:hAnsi="Verdana" w:cs="Arial"/>
                <w:sz w:val="21"/>
                <w:szCs w:val="21"/>
              </w:rPr>
              <w:t>iii</w:t>
            </w:r>
            <w:proofErr w:type="spellEnd"/>
            <w:r w:rsidRPr="009954A8">
              <w:rPr>
                <w:rFonts w:ascii="Verdana" w:hAnsi="Verdana" w:cs="Arial"/>
                <w:sz w:val="21"/>
                <w:szCs w:val="21"/>
              </w:rPr>
              <w:t>) no cuenta con permiso del inspector del trabajo para terminar el contrato, el juez deberá ordenar:</w:t>
            </w:r>
          </w:p>
          <w:p w14:paraId="2354F7C3" w14:textId="77777777" w:rsidR="00334ED8" w:rsidRPr="009954A8" w:rsidRDefault="00334ED8" w:rsidP="00107AC4">
            <w:pPr>
              <w:pStyle w:val="Sinespaciado"/>
              <w:ind w:right="0"/>
              <w:rPr>
                <w:rFonts w:ascii="Verdana" w:hAnsi="Verdana" w:cs="Arial"/>
                <w:sz w:val="21"/>
                <w:szCs w:val="21"/>
              </w:rPr>
            </w:pPr>
          </w:p>
          <w:p w14:paraId="0DB1C43E" w14:textId="77777777" w:rsidR="00334ED8" w:rsidRPr="009954A8" w:rsidRDefault="00334ED8" w:rsidP="00107AC4">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La renovación de la relación contractual, la </w:t>
            </w:r>
            <w:proofErr w:type="spellStart"/>
            <w:r w:rsidRPr="009954A8">
              <w:rPr>
                <w:rFonts w:ascii="Verdana" w:hAnsi="Verdana" w:cs="Arial"/>
                <w:sz w:val="21"/>
                <w:szCs w:val="21"/>
              </w:rPr>
              <w:t>cuál</w:t>
            </w:r>
            <w:proofErr w:type="spellEnd"/>
            <w:r w:rsidRPr="009954A8">
              <w:rPr>
                <w:rFonts w:ascii="Verdana" w:hAnsi="Verdana" w:cs="Arial"/>
                <w:sz w:val="21"/>
                <w:szCs w:val="21"/>
              </w:rPr>
              <w:t xml:space="preserve"> se dará hasta por el término del periodo de lactancia. </w:t>
            </w:r>
          </w:p>
          <w:p w14:paraId="77C22E2D" w14:textId="77777777" w:rsidR="00334ED8" w:rsidRPr="009954A8" w:rsidRDefault="00334ED8" w:rsidP="00107AC4">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El pago de los honorarios dejados de percibir desde la fecha de no renovación del contrato, hasta la renovación </w:t>
            </w:r>
            <w:proofErr w:type="gramStart"/>
            <w:r w:rsidRPr="009954A8">
              <w:rPr>
                <w:rFonts w:ascii="Verdana" w:hAnsi="Verdana" w:cs="Arial"/>
                <w:sz w:val="21"/>
                <w:szCs w:val="21"/>
              </w:rPr>
              <w:t>del mismo</w:t>
            </w:r>
            <w:proofErr w:type="gramEnd"/>
            <w:r w:rsidRPr="009954A8">
              <w:rPr>
                <w:rFonts w:ascii="Verdana" w:hAnsi="Verdana" w:cs="Arial"/>
                <w:sz w:val="21"/>
                <w:szCs w:val="21"/>
              </w:rPr>
              <w:t>;</w:t>
            </w:r>
          </w:p>
          <w:p w14:paraId="6F726244" w14:textId="77777777" w:rsidR="00334ED8" w:rsidRPr="009954A8" w:rsidRDefault="00334ED8" w:rsidP="00107AC4">
            <w:pPr>
              <w:pStyle w:val="Sinespaciado"/>
              <w:numPr>
                <w:ilvl w:val="0"/>
                <w:numId w:val="17"/>
              </w:numPr>
              <w:ind w:right="0"/>
              <w:rPr>
                <w:rFonts w:ascii="Verdana" w:hAnsi="Verdana" w:cs="Arial"/>
                <w:sz w:val="21"/>
                <w:szCs w:val="21"/>
              </w:rPr>
            </w:pPr>
            <w:r w:rsidRPr="009954A8">
              <w:rPr>
                <w:rFonts w:ascii="Verdana" w:hAnsi="Verdana" w:cs="Arial"/>
                <w:sz w:val="21"/>
                <w:szCs w:val="21"/>
              </w:rPr>
              <w:t>El pago por concepto de la indemnización por despido discriminatorio</w:t>
            </w:r>
            <w:r w:rsidRPr="009954A8">
              <w:rPr>
                <w:rStyle w:val="Refdenotaalpie"/>
                <w:rFonts w:ascii="Verdana" w:hAnsi="Verdana" w:cs="Arial"/>
                <w:sz w:val="21"/>
                <w:szCs w:val="21"/>
              </w:rPr>
              <w:footnoteReference w:id="8"/>
            </w:r>
            <w:r w:rsidRPr="009954A8">
              <w:rPr>
                <w:rFonts w:ascii="Verdana" w:hAnsi="Verdana" w:cs="Arial"/>
                <w:sz w:val="21"/>
                <w:szCs w:val="21"/>
              </w:rPr>
              <w:t>; y</w:t>
            </w:r>
          </w:p>
          <w:p w14:paraId="1230B687" w14:textId="77777777" w:rsidR="00334ED8" w:rsidRPr="009954A8" w:rsidRDefault="00334ED8" w:rsidP="00107AC4">
            <w:pPr>
              <w:pStyle w:val="Sinespaciado"/>
              <w:numPr>
                <w:ilvl w:val="0"/>
                <w:numId w:val="17"/>
              </w:numPr>
              <w:ind w:right="0"/>
              <w:rPr>
                <w:rFonts w:ascii="Verdana" w:hAnsi="Verdana" w:cs="Arial"/>
                <w:sz w:val="21"/>
                <w:szCs w:val="21"/>
              </w:rPr>
            </w:pPr>
            <w:r w:rsidRPr="009954A8">
              <w:rPr>
                <w:rFonts w:ascii="Verdana" w:hAnsi="Verdana" w:cs="Arial"/>
                <w:sz w:val="21"/>
                <w:szCs w:val="21"/>
              </w:rPr>
              <w:t>El pago de la licencia de maternidad. Este pago no se realizará si en el caso se acredita que la madre disfrutó de la licencia de maternidad</w:t>
            </w:r>
            <w:r w:rsidRPr="009954A8">
              <w:rPr>
                <w:rStyle w:val="Refdenotaalpie"/>
                <w:rFonts w:ascii="Verdana" w:hAnsi="Verdana" w:cs="Arial"/>
                <w:sz w:val="21"/>
                <w:szCs w:val="21"/>
              </w:rPr>
              <w:footnoteReference w:id="9"/>
            </w:r>
            <w:r w:rsidRPr="009954A8">
              <w:rPr>
                <w:rFonts w:ascii="Verdana" w:hAnsi="Verdana" w:cs="Arial"/>
                <w:sz w:val="21"/>
                <w:szCs w:val="21"/>
              </w:rPr>
              <w:t>.</w:t>
            </w:r>
          </w:p>
          <w:p w14:paraId="71D71B34" w14:textId="77777777" w:rsidR="00334ED8" w:rsidRPr="009954A8" w:rsidRDefault="00334ED8" w:rsidP="00107AC4">
            <w:pPr>
              <w:pStyle w:val="Sinespaciado"/>
              <w:numPr>
                <w:ilvl w:val="0"/>
                <w:numId w:val="17"/>
              </w:numPr>
              <w:ind w:right="0"/>
              <w:rPr>
                <w:rFonts w:ascii="Verdana" w:hAnsi="Verdana" w:cs="Arial"/>
                <w:sz w:val="21"/>
                <w:szCs w:val="21"/>
              </w:rPr>
            </w:pPr>
            <w:r w:rsidRPr="009954A8">
              <w:rPr>
                <w:rFonts w:ascii="Verdana" w:hAnsi="Verdana" w:cs="Arial"/>
                <w:sz w:val="21"/>
                <w:szCs w:val="21"/>
              </w:rPr>
              <w:t xml:space="preserve">En el evento en el que el término del periodo de lactancia ya haya terminado, procederá el reconocimiento de los </w:t>
            </w:r>
            <w:r w:rsidRPr="009954A8">
              <w:rPr>
                <w:rFonts w:ascii="Verdana" w:hAnsi="Verdana" w:cs="Arial"/>
                <w:sz w:val="21"/>
                <w:szCs w:val="21"/>
              </w:rPr>
              <w:lastRenderedPageBreak/>
              <w:t>honorarios dejados de percibir hasta la terminación de periodo de lactancia</w:t>
            </w:r>
            <w:r w:rsidRPr="009954A8">
              <w:rPr>
                <w:rStyle w:val="Refdenotaalpie"/>
                <w:rFonts w:ascii="Verdana" w:hAnsi="Verdana" w:cs="Arial"/>
                <w:sz w:val="21"/>
                <w:szCs w:val="21"/>
              </w:rPr>
              <w:footnoteReference w:id="10"/>
            </w:r>
            <w:r w:rsidRPr="009954A8">
              <w:rPr>
                <w:rFonts w:ascii="Verdana" w:hAnsi="Verdana" w:cs="Arial"/>
                <w:sz w:val="21"/>
                <w:szCs w:val="21"/>
              </w:rPr>
              <w:t>.</w:t>
            </w:r>
          </w:p>
          <w:p w14:paraId="643B82A3" w14:textId="77777777" w:rsidR="00334ED8" w:rsidRPr="009954A8" w:rsidRDefault="00334ED8" w:rsidP="00107AC4">
            <w:pPr>
              <w:pStyle w:val="Sinespaciado"/>
              <w:ind w:right="0"/>
              <w:rPr>
                <w:rFonts w:ascii="Verdana" w:hAnsi="Verdana" w:cs="Arial"/>
                <w:sz w:val="21"/>
                <w:szCs w:val="21"/>
              </w:rPr>
            </w:pPr>
          </w:p>
          <w:p w14:paraId="5A0FA505" w14:textId="77777777" w:rsidR="00334ED8" w:rsidRPr="009954A8" w:rsidRDefault="00334ED8" w:rsidP="00107AC4">
            <w:pPr>
              <w:pStyle w:val="Sinespaciado"/>
              <w:keepNext/>
              <w:ind w:right="0"/>
              <w:rPr>
                <w:rFonts w:ascii="Verdana" w:hAnsi="Verdana" w:cs="Arial"/>
                <w:sz w:val="21"/>
                <w:szCs w:val="21"/>
              </w:rPr>
            </w:pPr>
            <w:r w:rsidRPr="009954A8">
              <w:rPr>
                <w:rFonts w:ascii="Verdana" w:hAnsi="Verdana" w:cs="Arial"/>
                <w:sz w:val="21"/>
                <w:szCs w:val="21"/>
              </w:rPr>
              <w:t>En todo caso, el juez deberá estudiar la procedencia de cada una de estas medidas de protección para lo cual tendrá en cuenta las particularidades del caso</w:t>
            </w:r>
            <w:r w:rsidRPr="009954A8">
              <w:rPr>
                <w:rStyle w:val="Refdenotaalpie"/>
                <w:rFonts w:ascii="Verdana" w:hAnsi="Verdana" w:cs="Arial"/>
                <w:sz w:val="21"/>
                <w:szCs w:val="21"/>
              </w:rPr>
              <w:footnoteReference w:id="11"/>
            </w:r>
            <w:r w:rsidRPr="009954A8">
              <w:rPr>
                <w:rFonts w:ascii="Verdana" w:hAnsi="Verdana" w:cs="Arial"/>
                <w:sz w:val="21"/>
                <w:szCs w:val="21"/>
              </w:rPr>
              <w:t>.</w:t>
            </w:r>
          </w:p>
        </w:tc>
      </w:tr>
    </w:tbl>
    <w:p w14:paraId="51C0C262" w14:textId="77777777" w:rsidR="00334ED8" w:rsidRPr="005945E1" w:rsidRDefault="00334ED8" w:rsidP="00334ED8">
      <w:pPr>
        <w:pStyle w:val="Descripcin"/>
        <w:spacing w:after="0"/>
        <w:jc w:val="center"/>
        <w:rPr>
          <w:rFonts w:ascii="Verdana" w:hAnsi="Verdana" w:cs="Arial"/>
          <w:i w:val="0"/>
          <w:color w:val="auto"/>
          <w:sz w:val="16"/>
          <w:szCs w:val="16"/>
        </w:rPr>
      </w:pPr>
      <w:r w:rsidRPr="005945E1">
        <w:rPr>
          <w:rFonts w:ascii="Verdana" w:hAnsi="Verdana" w:cs="Arial"/>
          <w:i w:val="0"/>
          <w:color w:val="auto"/>
          <w:sz w:val="16"/>
          <w:szCs w:val="16"/>
        </w:rPr>
        <w:lastRenderedPageBreak/>
        <w:t xml:space="preserve">Tabla: Reglas para la protección de la mujer embarazada en contratos de prestación de servicios. – Tomada de la Sentencia T-329 de 2022. </w:t>
      </w:r>
    </w:p>
    <w:p w14:paraId="6AEE1233" w14:textId="77777777" w:rsidR="00334ED8" w:rsidRPr="009954A8" w:rsidRDefault="00334ED8" w:rsidP="00334ED8">
      <w:pPr>
        <w:pStyle w:val="NormalWeb"/>
        <w:shd w:val="clear" w:color="auto" w:fill="FFFFFF"/>
        <w:spacing w:before="0" w:beforeAutospacing="0" w:after="0" w:afterAutospacing="0" w:line="276" w:lineRule="auto"/>
        <w:ind w:firstLine="709"/>
        <w:jc w:val="both"/>
        <w:rPr>
          <w:rFonts w:ascii="Verdana" w:eastAsia="Arial" w:hAnsi="Verdana" w:cs="Arial"/>
          <w:sz w:val="22"/>
          <w:szCs w:val="22"/>
          <w:lang w:val="es-ES"/>
        </w:rPr>
      </w:pPr>
    </w:p>
    <w:p w14:paraId="4A3D1E3F" w14:textId="77777777" w:rsidR="00334ED8" w:rsidRPr="00827711" w:rsidRDefault="00334ED8" w:rsidP="00334ED8">
      <w:pPr>
        <w:widowControl w:val="0"/>
        <w:autoSpaceDE w:val="0"/>
        <w:autoSpaceDN w:val="0"/>
        <w:spacing w:after="120" w:line="276" w:lineRule="auto"/>
        <w:ind w:firstLine="709"/>
        <w:jc w:val="both"/>
        <w:rPr>
          <w:rFonts w:ascii="Verdana" w:eastAsia="Arial" w:hAnsi="Verdana" w:cs="Arial"/>
        </w:rPr>
      </w:pPr>
      <w:r w:rsidRPr="00827711">
        <w:rPr>
          <w:rFonts w:ascii="Verdana" w:eastAsia="Arial" w:hAnsi="Verdana" w:cs="Arial"/>
        </w:rPr>
        <w:t>En este sentido, les corresponde a las entidades estatales, en virtud de su autonomía, y de acuerdo con los lineamientos de la Corte Constitucional, determinar la mejor forma para garantizar la estabilidad laboral reforzada de las mujeres embarazadas y en periodo de lactancia vinculadas mediante contratos de prestación de servicios.</w:t>
      </w:r>
    </w:p>
    <w:p w14:paraId="0B632CA0" w14:textId="77777777" w:rsidR="00334ED8" w:rsidRPr="009954A8" w:rsidRDefault="00334ED8" w:rsidP="00334ED8">
      <w:pPr>
        <w:pStyle w:val="NormalWeb"/>
        <w:shd w:val="clear" w:color="auto" w:fill="FFFFFF"/>
        <w:spacing w:before="0" w:beforeAutospacing="0" w:after="120" w:afterAutospacing="0" w:line="276" w:lineRule="auto"/>
        <w:ind w:firstLine="709"/>
        <w:jc w:val="both"/>
        <w:rPr>
          <w:rFonts w:ascii="Verdana" w:hAnsi="Verdana" w:cs="Arial"/>
          <w:sz w:val="22"/>
          <w:szCs w:val="22"/>
        </w:rPr>
      </w:pPr>
      <w:proofErr w:type="spellStart"/>
      <w:r>
        <w:rPr>
          <w:rFonts w:ascii="Verdana" w:eastAsia="Arial" w:hAnsi="Verdana" w:cs="Arial"/>
          <w:sz w:val="22"/>
          <w:szCs w:val="22"/>
          <w:lang w:val="es-ES"/>
        </w:rPr>
        <w:t>ii</w:t>
      </w:r>
      <w:proofErr w:type="spellEnd"/>
      <w:r>
        <w:rPr>
          <w:rFonts w:ascii="Verdana" w:eastAsia="Arial" w:hAnsi="Verdana" w:cs="Arial"/>
          <w:sz w:val="22"/>
          <w:szCs w:val="22"/>
          <w:lang w:val="es-ES"/>
        </w:rPr>
        <w:t xml:space="preserve">. </w:t>
      </w:r>
      <w:r w:rsidRPr="009954A8">
        <w:rPr>
          <w:rFonts w:ascii="Verdana" w:eastAsia="Arial" w:hAnsi="Verdana" w:cs="Arial"/>
          <w:sz w:val="22"/>
          <w:szCs w:val="22"/>
          <w:lang w:val="es-ES"/>
        </w:rPr>
        <w:t xml:space="preserve">Ahora bien, </w:t>
      </w:r>
      <w:r w:rsidRPr="009954A8">
        <w:rPr>
          <w:rFonts w:ascii="Verdana" w:eastAsia="Calibri" w:hAnsi="Verdana" w:cs="Arial"/>
          <w:bCs/>
          <w:sz w:val="22"/>
          <w:szCs w:val="22"/>
          <w:lang w:val="es-MX"/>
        </w:rPr>
        <w:t xml:space="preserve">frente </w:t>
      </w:r>
      <w:r w:rsidRPr="0042316E">
        <w:rPr>
          <w:rFonts w:ascii="Verdana" w:hAnsi="Verdana"/>
          <w:sz w:val="22"/>
          <w:szCs w:val="22"/>
        </w:rPr>
        <w:t>al segundo problema jurídico</w:t>
      </w:r>
      <w:r>
        <w:rPr>
          <w:rFonts w:ascii="Verdana" w:hAnsi="Verdana"/>
        </w:rPr>
        <w:t xml:space="preserve"> sobre</w:t>
      </w:r>
      <w:r w:rsidRPr="009954A8">
        <w:rPr>
          <w:rFonts w:ascii="Verdana" w:eastAsia="Calibri" w:hAnsi="Verdana" w:cs="Arial"/>
          <w:bCs/>
          <w:sz w:val="22"/>
          <w:szCs w:val="22"/>
          <w:lang w:val="es-MX"/>
        </w:rPr>
        <w:t xml:space="preserve"> </w:t>
      </w:r>
      <w:proofErr w:type="spellStart"/>
      <w:r w:rsidRPr="009954A8">
        <w:rPr>
          <w:rFonts w:ascii="Verdana" w:eastAsia="Calibri" w:hAnsi="Verdana" w:cs="Arial"/>
          <w:bCs/>
          <w:sz w:val="22"/>
          <w:szCs w:val="22"/>
          <w:lang w:val="es-MX"/>
        </w:rPr>
        <w:t>si</w:t>
      </w:r>
      <w:proofErr w:type="spellEnd"/>
      <w:r w:rsidRPr="009954A8">
        <w:rPr>
          <w:rFonts w:ascii="Verdana" w:eastAsia="Calibri" w:hAnsi="Verdana" w:cs="Arial"/>
          <w:bCs/>
          <w:sz w:val="22"/>
          <w:szCs w:val="22"/>
          <w:lang w:val="es-MX"/>
        </w:rPr>
        <w:t xml:space="preserve"> es </w:t>
      </w:r>
      <w:r>
        <w:rPr>
          <w:rFonts w:ascii="Verdana" w:eastAsia="Calibri" w:hAnsi="Verdana" w:cs="Arial"/>
          <w:bCs/>
          <w:sz w:val="22"/>
          <w:szCs w:val="22"/>
          <w:lang w:val="es-MX"/>
        </w:rPr>
        <w:t>posible</w:t>
      </w:r>
      <w:r w:rsidRPr="009954A8">
        <w:rPr>
          <w:rFonts w:ascii="Verdana" w:eastAsia="Calibri" w:hAnsi="Verdana" w:cs="Arial"/>
          <w:bCs/>
          <w:sz w:val="22"/>
          <w:szCs w:val="22"/>
          <w:lang w:val="es-MX"/>
        </w:rPr>
        <w:t xml:space="preserve"> suspender </w:t>
      </w:r>
      <w:r>
        <w:rPr>
          <w:rFonts w:ascii="Verdana" w:eastAsia="Calibri" w:hAnsi="Verdana" w:cs="Arial"/>
          <w:bCs/>
          <w:sz w:val="22"/>
          <w:szCs w:val="22"/>
          <w:lang w:val="es-MX"/>
        </w:rPr>
        <w:t xml:space="preserve">o continuar </w:t>
      </w:r>
      <w:r w:rsidRPr="009954A8">
        <w:rPr>
          <w:rFonts w:ascii="Verdana" w:eastAsia="Calibri" w:hAnsi="Verdana" w:cs="Arial"/>
          <w:bCs/>
          <w:sz w:val="22"/>
          <w:szCs w:val="22"/>
          <w:lang w:val="es-MX"/>
        </w:rPr>
        <w:t>un contrato de prestación de servicios cuando la contratista está en estado de embarazo o durante la licencia de maternidad</w:t>
      </w:r>
      <w:r w:rsidRPr="009954A8">
        <w:rPr>
          <w:rStyle w:val="Refdenotaalpie"/>
          <w:rFonts w:ascii="Verdana" w:eastAsia="Calibri" w:hAnsi="Verdana" w:cs="Arial"/>
          <w:bCs/>
          <w:sz w:val="22"/>
          <w:szCs w:val="22"/>
          <w:lang w:val="es-MX"/>
        </w:rPr>
        <w:footnoteReference w:id="12"/>
      </w:r>
      <w:r w:rsidRPr="009954A8">
        <w:rPr>
          <w:rFonts w:ascii="Verdana" w:eastAsia="Calibri" w:hAnsi="Verdana" w:cs="Arial"/>
          <w:bCs/>
          <w:sz w:val="22"/>
          <w:szCs w:val="22"/>
          <w:lang w:val="es-MX"/>
        </w:rPr>
        <w:t xml:space="preserve"> debe señalarse que, </w:t>
      </w:r>
      <w:r w:rsidRPr="009954A8">
        <w:rPr>
          <w:rFonts w:ascii="Verdana" w:hAnsi="Verdana" w:cs="Arial"/>
          <w:sz w:val="22"/>
          <w:szCs w:val="22"/>
        </w:rPr>
        <w:t>no existe disposición normativa que consagre de forma expresa las causales de suspensión del contrato, mucho menos en virtud del estado de embarazo o de la licencia de maternidad. El Consejo de Estado, en sentencia del 28 de abril de 2010, se refirió a las causales que suspenden el contrato, en los siguientes términos:</w:t>
      </w:r>
    </w:p>
    <w:p w14:paraId="76B3BA88" w14:textId="77777777" w:rsidR="00334ED8" w:rsidRPr="009954A8" w:rsidRDefault="00334ED8" w:rsidP="00334ED8">
      <w:pPr>
        <w:pStyle w:val="NormalWeb"/>
        <w:shd w:val="clear" w:color="auto" w:fill="FFFFFF"/>
        <w:spacing w:before="0" w:beforeAutospacing="0" w:after="0" w:afterAutospacing="0" w:line="276" w:lineRule="auto"/>
        <w:ind w:firstLine="709"/>
        <w:jc w:val="both"/>
        <w:rPr>
          <w:rFonts w:ascii="Verdana" w:hAnsi="Verdana" w:cs="Arial"/>
          <w:sz w:val="22"/>
          <w:szCs w:val="22"/>
        </w:rPr>
      </w:pPr>
    </w:p>
    <w:p w14:paraId="6807ED63" w14:textId="77777777" w:rsidR="00334ED8" w:rsidRDefault="00334ED8" w:rsidP="00334ED8">
      <w:pPr>
        <w:pStyle w:val="NormalWeb"/>
        <w:shd w:val="clear" w:color="auto" w:fill="FFFFFF"/>
        <w:spacing w:before="0" w:beforeAutospacing="0" w:after="120" w:afterAutospacing="0"/>
        <w:ind w:left="709" w:right="709"/>
        <w:contextualSpacing/>
        <w:jc w:val="both"/>
        <w:rPr>
          <w:rFonts w:ascii="Verdana" w:hAnsi="Verdana" w:cs="Arial"/>
          <w:sz w:val="21"/>
          <w:szCs w:val="21"/>
        </w:rPr>
      </w:pPr>
      <w:r>
        <w:rPr>
          <w:rFonts w:ascii="Verdana" w:hAnsi="Verdana" w:cs="Arial"/>
          <w:sz w:val="21"/>
          <w:szCs w:val="21"/>
        </w:rPr>
        <w:t>“</w:t>
      </w:r>
      <w:r w:rsidRPr="009954A8">
        <w:rPr>
          <w:rFonts w:ascii="Verdana" w:hAnsi="Verdana" w:cs="Arial"/>
          <w:sz w:val="21"/>
          <w:szCs w:val="21"/>
        </w:rPr>
        <w:t xml:space="preserve">En efecto, la finalidad de la suspensión del contrato estatal, como medida excepcional, está encaminada a reconocer la ocurrencia de situaciones de fuerza mayor, caso fortuito o de interés público que impiden la ejecución temporal del negocio jurídico, y es precisamente por ese motivo que la misma no puede ser indefinida, sino que debe estar sujeta al vencimiento de un plazo o al cumplimiento de una condición. Por lo tanto, la suspensión no adiciona el contrato en su vigencia o plazo, sino que se delimita como una medida de tipo provisional y excepcional que debe ajustarse a los criterios de necesidad y </w:t>
      </w:r>
      <w:proofErr w:type="gramStart"/>
      <w:r w:rsidRPr="009954A8">
        <w:rPr>
          <w:rFonts w:ascii="Verdana" w:hAnsi="Verdana" w:cs="Arial"/>
          <w:sz w:val="21"/>
          <w:szCs w:val="21"/>
        </w:rPr>
        <w:t>proporcionalidad,</w:t>
      </w:r>
      <w:proofErr w:type="gramEnd"/>
      <w:r w:rsidRPr="009954A8">
        <w:rPr>
          <w:rFonts w:ascii="Verdana" w:hAnsi="Verdana" w:cs="Arial"/>
          <w:sz w:val="21"/>
          <w:szCs w:val="21"/>
        </w:rPr>
        <w:t xml:space="preserve"> sujeta a un término o condición, período este durante el que las obligaciones contenidas en el contrato no se </w:t>
      </w:r>
      <w:r w:rsidRPr="009954A8">
        <w:rPr>
          <w:rFonts w:ascii="Verdana" w:hAnsi="Verdana" w:cs="Arial"/>
          <w:sz w:val="21"/>
          <w:szCs w:val="21"/>
        </w:rPr>
        <w:lastRenderedPageBreak/>
        <w:t>ejecutan, pero sin que se impute ese tiempo al plazo pactado inicialmente por las partes. […]</w:t>
      </w:r>
      <w:r>
        <w:rPr>
          <w:rFonts w:ascii="Verdana" w:hAnsi="Verdana" w:cs="Arial"/>
          <w:sz w:val="21"/>
          <w:szCs w:val="21"/>
        </w:rPr>
        <w:t>”</w:t>
      </w:r>
    </w:p>
    <w:p w14:paraId="132AE415" w14:textId="77777777" w:rsidR="00334ED8" w:rsidRPr="009954A8" w:rsidRDefault="00334ED8" w:rsidP="00334ED8">
      <w:pPr>
        <w:pStyle w:val="NormalWeb"/>
        <w:shd w:val="clear" w:color="auto" w:fill="FFFFFF"/>
        <w:spacing w:before="0" w:beforeAutospacing="0" w:after="120" w:afterAutospacing="0"/>
        <w:ind w:left="709" w:right="709"/>
        <w:contextualSpacing/>
        <w:jc w:val="both"/>
        <w:rPr>
          <w:rFonts w:ascii="Verdana" w:hAnsi="Verdana" w:cs="Arial"/>
          <w:sz w:val="21"/>
          <w:szCs w:val="21"/>
        </w:rPr>
      </w:pPr>
    </w:p>
    <w:p w14:paraId="6F7CA96E" w14:textId="77777777" w:rsidR="00334ED8" w:rsidRPr="0042316E" w:rsidRDefault="00334ED8" w:rsidP="00334ED8">
      <w:pPr>
        <w:spacing w:after="120" w:line="276" w:lineRule="auto"/>
        <w:jc w:val="both"/>
        <w:rPr>
          <w:rFonts w:ascii="Verdana" w:hAnsi="Verdana" w:cs="Arial"/>
        </w:rPr>
      </w:pPr>
      <w:r w:rsidRPr="0042316E">
        <w:rPr>
          <w:rFonts w:ascii="Verdana" w:hAnsi="Verdana" w:cs="Arial"/>
        </w:rPr>
        <w:t xml:space="preserve">Por otro lado, el Ministerio de Trabajo al absolver una consulta </w:t>
      </w:r>
      <w:proofErr w:type="gramStart"/>
      <w:r w:rsidRPr="0042316E">
        <w:rPr>
          <w:rFonts w:ascii="Verdana" w:hAnsi="Verdana" w:cs="Arial"/>
        </w:rPr>
        <w:t>en relación a</w:t>
      </w:r>
      <w:proofErr w:type="gramEnd"/>
      <w:r w:rsidRPr="0042316E">
        <w:rPr>
          <w:rFonts w:ascii="Verdana" w:hAnsi="Verdana" w:cs="Arial"/>
        </w:rPr>
        <w:t xml:space="preserve"> la suspensión del contrato de prestación de servicios, por licencia de maternidad, conceptuó:</w:t>
      </w:r>
    </w:p>
    <w:p w14:paraId="1C7CDCD2" w14:textId="77777777" w:rsidR="00334ED8" w:rsidRPr="009954A8" w:rsidRDefault="00334ED8" w:rsidP="00334ED8">
      <w:pPr>
        <w:spacing w:after="120"/>
        <w:ind w:left="709" w:right="709"/>
        <w:contextualSpacing/>
        <w:jc w:val="both"/>
        <w:rPr>
          <w:rFonts w:ascii="Verdana" w:hAnsi="Verdana" w:cs="Arial"/>
          <w:sz w:val="21"/>
          <w:szCs w:val="21"/>
        </w:rPr>
      </w:pPr>
      <w:r>
        <w:rPr>
          <w:rFonts w:ascii="Verdana" w:hAnsi="Verdana" w:cs="Arial"/>
          <w:color w:val="333333"/>
          <w:sz w:val="21"/>
          <w:szCs w:val="21"/>
        </w:rPr>
        <w:t>“</w:t>
      </w:r>
      <w:r w:rsidRPr="009954A8">
        <w:rPr>
          <w:rFonts w:ascii="Verdana" w:hAnsi="Verdana" w:cs="Arial"/>
          <w:sz w:val="21"/>
          <w:szCs w:val="21"/>
        </w:rPr>
        <w:t>La legislación que regula la contratación estatal, concretamente la Ley 80 de 1993, modificada por la Ley 1150 de 2007 y sus Decretos Reglamentarios, no contempló las causales de suspensión del contrato de prestación de servicios celebrado con entidad pública, motivo por el cual debe señalarse que no existe ninguna disposición normativa que consagre de forma expresa, la suspensión del contrato en virtud de la licencia de maternidad de la contratista […]</w:t>
      </w:r>
    </w:p>
    <w:p w14:paraId="7D302181" w14:textId="77777777" w:rsidR="00334ED8" w:rsidRPr="009954A8" w:rsidRDefault="00334ED8" w:rsidP="00334ED8">
      <w:pPr>
        <w:ind w:left="709" w:right="709"/>
        <w:contextualSpacing/>
        <w:jc w:val="both"/>
        <w:rPr>
          <w:rFonts w:ascii="Verdana" w:hAnsi="Verdana" w:cs="Arial"/>
          <w:sz w:val="21"/>
          <w:szCs w:val="21"/>
        </w:rPr>
      </w:pPr>
    </w:p>
    <w:p w14:paraId="3A823B10" w14:textId="77777777" w:rsidR="00334ED8" w:rsidRPr="009954A8" w:rsidRDefault="00334ED8" w:rsidP="00334ED8">
      <w:pPr>
        <w:shd w:val="clear" w:color="auto" w:fill="FFFFFF"/>
        <w:ind w:left="709" w:right="709"/>
        <w:contextualSpacing/>
        <w:jc w:val="both"/>
        <w:rPr>
          <w:rFonts w:ascii="Verdana" w:hAnsi="Verdana" w:cs="Arial"/>
          <w:sz w:val="21"/>
          <w:szCs w:val="21"/>
        </w:rPr>
      </w:pPr>
      <w:r w:rsidRPr="009954A8">
        <w:rPr>
          <w:rFonts w:ascii="Verdana" w:hAnsi="Verdana" w:cs="Arial"/>
          <w:sz w:val="21"/>
          <w:szCs w:val="21"/>
        </w:rPr>
        <w:t>De conformidad con lo anterior, las partes podrán suspender el contrato de prestación de servicios cuando se determinen eventos que constituyen fuerza mayor o caso fortuito o de interés público que impida, temporalmente cumplir con el objeto de las obligaciones a cargo de las partes contratantes, como es el caso de la contratista que se encuentra en estado de embarazo y se encuentra incapacitada</w:t>
      </w:r>
      <w:r>
        <w:rPr>
          <w:rFonts w:ascii="Verdana" w:hAnsi="Verdana" w:cs="Arial"/>
          <w:color w:val="333333"/>
          <w:sz w:val="21"/>
          <w:szCs w:val="21"/>
        </w:rPr>
        <w:t>”</w:t>
      </w:r>
      <w:r w:rsidRPr="009954A8">
        <w:rPr>
          <w:rFonts w:ascii="Verdana" w:hAnsi="Verdana" w:cs="Arial"/>
          <w:color w:val="333333"/>
          <w:sz w:val="21"/>
          <w:szCs w:val="21"/>
        </w:rPr>
        <w:t>.</w:t>
      </w:r>
      <w:r w:rsidRPr="009954A8">
        <w:rPr>
          <w:rStyle w:val="Refdenotaalpie"/>
          <w:rFonts w:ascii="Verdana" w:hAnsi="Verdana" w:cs="Arial"/>
          <w:sz w:val="21"/>
          <w:szCs w:val="21"/>
        </w:rPr>
        <w:footnoteReference w:id="13"/>
      </w:r>
    </w:p>
    <w:p w14:paraId="3120AF8D" w14:textId="77777777" w:rsidR="00334ED8" w:rsidRDefault="00334ED8" w:rsidP="00334ED8">
      <w:pPr>
        <w:spacing w:after="120" w:line="276" w:lineRule="auto"/>
        <w:jc w:val="both"/>
        <w:rPr>
          <w:rFonts w:ascii="Verdana" w:hAnsi="Verdana" w:cs="Arial"/>
        </w:rPr>
      </w:pPr>
    </w:p>
    <w:p w14:paraId="4DFB8CCA" w14:textId="77777777" w:rsidR="00334ED8" w:rsidRDefault="00334ED8" w:rsidP="00334ED8">
      <w:pPr>
        <w:spacing w:after="120" w:line="276" w:lineRule="auto"/>
        <w:ind w:firstLine="709"/>
        <w:jc w:val="both"/>
        <w:rPr>
          <w:rFonts w:ascii="Verdana" w:hAnsi="Verdana" w:cs="Arial"/>
        </w:rPr>
      </w:pPr>
      <w:r>
        <w:rPr>
          <w:rFonts w:ascii="Verdana" w:hAnsi="Verdana" w:cs="Arial"/>
        </w:rPr>
        <w:t>Por lo tanto, e</w:t>
      </w:r>
      <w:r w:rsidRPr="0042316E">
        <w:rPr>
          <w:rFonts w:ascii="Verdana" w:hAnsi="Verdana" w:cs="Arial"/>
        </w:rPr>
        <w:t xml:space="preserve">n ejercicio de la autonomía de las partes contratantes, las mismas podrán convenir la </w:t>
      </w:r>
      <w:r>
        <w:rPr>
          <w:rFonts w:ascii="Verdana" w:hAnsi="Verdana" w:cs="Arial"/>
        </w:rPr>
        <w:t xml:space="preserve">cláusula de </w:t>
      </w:r>
      <w:r w:rsidRPr="0042316E">
        <w:rPr>
          <w:rFonts w:ascii="Verdana" w:hAnsi="Verdana" w:cs="Arial"/>
        </w:rPr>
        <w:t>suspensión del contrato de prestación de servicios, fijando las reglas por las cuales procederán las mismas teniendo en cuenta las disposiciones referidas en la Ley </w:t>
      </w:r>
      <w:hyperlink r:id="rId11" w:anchor="80" w:history="1">
        <w:r w:rsidRPr="0042316E">
          <w:rPr>
            <w:rFonts w:ascii="Verdana" w:hAnsi="Verdana" w:cs="Arial"/>
          </w:rPr>
          <w:t>80</w:t>
        </w:r>
      </w:hyperlink>
      <w:r w:rsidRPr="0042316E">
        <w:rPr>
          <w:rFonts w:ascii="Verdana" w:hAnsi="Verdana" w:cs="Arial"/>
        </w:rPr>
        <w:t> de 1993 y Ley </w:t>
      </w:r>
      <w:hyperlink r:id="rId12" w:anchor="1150" w:history="1">
        <w:r w:rsidRPr="0042316E">
          <w:rPr>
            <w:rFonts w:ascii="Verdana" w:hAnsi="Verdana" w:cs="Arial"/>
          </w:rPr>
          <w:t>1150</w:t>
        </w:r>
      </w:hyperlink>
      <w:r w:rsidRPr="0042316E">
        <w:rPr>
          <w:rFonts w:ascii="Verdana" w:hAnsi="Verdana" w:cs="Arial"/>
        </w:rPr>
        <w:t> de 2007. Así las cosas, las partes son quienes determinan las condiciones y términos según los cuales deben llevarse a cabo la suspensión del contrato, por lo que ninguna de las partes de manera unilateral puede declararla por fuera de lo convenido.</w:t>
      </w:r>
    </w:p>
    <w:p w14:paraId="4654EFAF" w14:textId="77777777" w:rsidR="00334ED8" w:rsidRDefault="00334ED8" w:rsidP="00334ED8">
      <w:pPr>
        <w:spacing w:after="120" w:line="276" w:lineRule="auto"/>
        <w:ind w:firstLine="709"/>
        <w:jc w:val="both"/>
        <w:rPr>
          <w:rFonts w:ascii="Verdana" w:eastAsia="Times New Roman" w:hAnsi="Verdana" w:cs="Arial"/>
          <w:lang w:eastAsia="es-ES_tradnl"/>
        </w:rPr>
      </w:pPr>
      <w:r w:rsidRPr="009E57A7">
        <w:rPr>
          <w:rFonts w:ascii="Verdana" w:eastAsia="Times New Roman" w:hAnsi="Verdana" w:cs="Arial"/>
          <w:lang w:eastAsia="es-ES_tradnl"/>
        </w:rPr>
        <w:t xml:space="preserve">Conforme lo anterior, cuando se presenten el tipo de situaciones descritas en la consulta, la entidad estatal, a través del supervisor del contrato, determinará si las obligaciones contractuales no pueden desarrollarse temporalmente por parte de la contratista y, en consecuencia, debe proceder a la suspensión del contrato durante su estado de embarazo o en el periodo de la licencia de maternidad. En ese sentido, si a pesar de la licencia, las partes acuerdan no suspender el contrato y la contratista acredita el cumplimiento de las actividades contratadas, habría lugar al pago de honorarios, pues el objeto </w:t>
      </w:r>
      <w:r w:rsidRPr="009E57A7">
        <w:rPr>
          <w:rFonts w:ascii="Verdana" w:eastAsia="Times New Roman" w:hAnsi="Verdana" w:cs="Arial"/>
          <w:lang w:eastAsia="es-ES_tradnl"/>
        </w:rPr>
        <w:lastRenderedPageBreak/>
        <w:t>contractual estaría siendo ejecutado. Por el contrario, si deciden suspenderlo, teniendo en cuenta que no se estarían cumpliendo las obligaciones contractuales no habría lugar al pago de honorarios y la prestación económica sería asumida por el Sistema General de Seguridad Social en salud, es decir, estaría a cargo de las E</w:t>
      </w:r>
      <w:r>
        <w:rPr>
          <w:rFonts w:ascii="Verdana" w:eastAsia="Times New Roman" w:hAnsi="Verdana" w:cs="Arial"/>
          <w:lang w:eastAsia="es-ES_tradnl"/>
        </w:rPr>
        <w:t>PS</w:t>
      </w:r>
      <w:r w:rsidRPr="009E57A7">
        <w:rPr>
          <w:rFonts w:ascii="Verdana" w:eastAsia="Times New Roman" w:hAnsi="Verdana" w:cs="Arial"/>
          <w:lang w:eastAsia="es-ES_tradnl"/>
        </w:rPr>
        <w:t>.</w:t>
      </w:r>
    </w:p>
    <w:p w14:paraId="437BDF4C" w14:textId="77777777" w:rsidR="00334ED8" w:rsidRDefault="00334ED8" w:rsidP="00334ED8">
      <w:pPr>
        <w:spacing w:after="120" w:line="276" w:lineRule="auto"/>
        <w:ind w:firstLine="709"/>
        <w:jc w:val="both"/>
        <w:rPr>
          <w:rFonts w:ascii="Verdana" w:hAnsi="Verdana"/>
          <w:shd w:val="clear" w:color="auto" w:fill="FFFFFF"/>
        </w:rPr>
      </w:pPr>
      <w:r w:rsidRPr="00CC5C68">
        <w:rPr>
          <w:rFonts w:ascii="Verdana" w:eastAsia="Times New Roman" w:hAnsi="Verdana" w:cs="Arial"/>
          <w:lang w:eastAsia="es-ES_tradnl"/>
        </w:rPr>
        <w:t xml:space="preserve">Sin perjuicio de las aclaraciones anteriores, debe advertirse que es </w:t>
      </w:r>
      <w:r>
        <w:rPr>
          <w:rFonts w:ascii="Verdana" w:eastAsia="Times New Roman" w:hAnsi="Verdana" w:cs="Arial"/>
          <w:lang w:eastAsia="es-ES_tradnl"/>
        </w:rPr>
        <w:t>c</w:t>
      </w:r>
      <w:r w:rsidRPr="0008338A">
        <w:rPr>
          <w:rFonts w:ascii="Verdana" w:hAnsi="Verdana"/>
          <w:shd w:val="clear" w:color="auto" w:fill="FFFFFF"/>
        </w:rPr>
        <w:t>ompetencia de la entidad contratante, en el marco de su gestión contractual, determinar el tratamiento aplicable a la licencia de maternidad de la contratista, conforme a las particularidades del caso concreto y a las reglas contractuales previamente pactadas. En todo caso, lo aquí expuesto se formula en el marco de la función consultiva de esta Agencia y no comporta pronunciamiento sobre una situación contractual específica</w:t>
      </w:r>
      <w:r>
        <w:rPr>
          <w:rFonts w:ascii="Verdana" w:hAnsi="Verdana"/>
          <w:shd w:val="clear" w:color="auto" w:fill="FFFFFF"/>
        </w:rPr>
        <w:t>.</w:t>
      </w:r>
    </w:p>
    <w:p w14:paraId="02322E78" w14:textId="77777777" w:rsidR="00334ED8" w:rsidRPr="00CC5C68" w:rsidRDefault="00334ED8" w:rsidP="00334ED8">
      <w:pPr>
        <w:spacing w:after="120" w:line="276" w:lineRule="auto"/>
        <w:ind w:firstLine="709"/>
        <w:jc w:val="both"/>
        <w:rPr>
          <w:rFonts w:ascii="Verdana" w:eastAsia="Calibri" w:hAnsi="Verdana" w:cs="Arial"/>
          <w:szCs w:val="24"/>
          <w:lang w:eastAsia="es-ES_tradnl"/>
        </w:rPr>
      </w:pPr>
    </w:p>
    <w:p w14:paraId="5A2D6C7C" w14:textId="77777777" w:rsidR="00334ED8" w:rsidRPr="00CC5C68" w:rsidRDefault="00334ED8" w:rsidP="00334ED8">
      <w:pPr>
        <w:tabs>
          <w:tab w:val="left" w:pos="142"/>
          <w:tab w:val="left" w:pos="284"/>
        </w:tabs>
        <w:spacing w:after="0" w:line="276" w:lineRule="auto"/>
        <w:jc w:val="both"/>
        <w:rPr>
          <w:rFonts w:ascii="Verdana" w:eastAsia="Century Gothic" w:hAnsi="Verdana" w:cs="Century Gothic"/>
          <w:b/>
          <w:bCs/>
        </w:rPr>
      </w:pPr>
      <w:r w:rsidRPr="00CC5C68">
        <w:rPr>
          <w:rFonts w:ascii="Verdana" w:eastAsia="Century Gothic" w:hAnsi="Verdana" w:cs="Century Gothic"/>
          <w:b/>
          <w:bCs/>
        </w:rPr>
        <w:t>4. Referencias normativas, jurisprudenciales y otras fuentes:</w:t>
      </w:r>
    </w:p>
    <w:p w14:paraId="1BA7C86A" w14:textId="77777777" w:rsidR="00334ED8" w:rsidRPr="00CC5C68" w:rsidRDefault="00334ED8" w:rsidP="00334ED8">
      <w:pPr>
        <w:widowControl w:val="0"/>
        <w:autoSpaceDE w:val="0"/>
        <w:autoSpaceDN w:val="0"/>
        <w:spacing w:after="0" w:line="276" w:lineRule="auto"/>
        <w:jc w:val="both"/>
        <w:rPr>
          <w:rFonts w:ascii="Verdana" w:hAnsi="Verdana" w:cs="Arial"/>
        </w:rPr>
      </w:pPr>
    </w:p>
    <w:tbl>
      <w:tblPr>
        <w:tblStyle w:val="Tablaconcuadrcula"/>
        <w:tblW w:w="8647" w:type="dxa"/>
        <w:tblInd w:w="137" w:type="dxa"/>
        <w:tblBorders>
          <w:top w:val="dotted" w:sz="4" w:space="0" w:color="auto"/>
          <w:left w:val="dotted" w:sz="4" w:space="0" w:color="auto"/>
          <w:bottom w:val="dotted" w:sz="4" w:space="0" w:color="auto"/>
          <w:right w:val="dotted" w:sz="4" w:space="0" w:color="auto"/>
          <w:insideH w:val="dotted" w:sz="4" w:space="0" w:color="auto"/>
          <w:insideV w:val="dotted" w:sz="4" w:space="0" w:color="auto"/>
        </w:tblBorders>
        <w:tblLayout w:type="fixed"/>
        <w:tblLook w:val="04A0" w:firstRow="1" w:lastRow="0" w:firstColumn="1" w:lastColumn="0" w:noHBand="0" w:noVBand="1"/>
      </w:tblPr>
      <w:tblGrid>
        <w:gridCol w:w="8647"/>
      </w:tblGrid>
      <w:tr w:rsidR="00334ED8" w:rsidRPr="00CC5C68" w14:paraId="4401B353" w14:textId="77777777" w:rsidTr="00107AC4">
        <w:trPr>
          <w:trHeight w:val="870"/>
        </w:trPr>
        <w:tc>
          <w:tcPr>
            <w:tcW w:w="8647" w:type="dxa"/>
          </w:tcPr>
          <w:p w14:paraId="0EC03C30" w14:textId="77777777" w:rsidR="00334ED8" w:rsidRPr="000952AC" w:rsidRDefault="00334ED8" w:rsidP="00107AC4">
            <w:pPr>
              <w:pStyle w:val="Prrafodelista"/>
              <w:widowControl w:val="0"/>
              <w:numPr>
                <w:ilvl w:val="0"/>
                <w:numId w:val="16"/>
              </w:numPr>
              <w:autoSpaceDE w:val="0"/>
              <w:autoSpaceDN w:val="0"/>
              <w:spacing w:after="160" w:line="360" w:lineRule="auto"/>
              <w:rPr>
                <w:rFonts w:ascii="Verdana" w:hAnsi="Verdana" w:cs="Arial"/>
                <w:lang w:val="es-CO"/>
              </w:rPr>
            </w:pPr>
            <w:r w:rsidRPr="000952AC">
              <w:rPr>
                <w:rFonts w:ascii="Verdana" w:eastAsia="Calibri" w:hAnsi="Verdana" w:cs="Arial"/>
                <w:bCs/>
                <w:iCs/>
                <w:lang w:val="es-CO" w:eastAsia="es-ES_tradnl"/>
              </w:rPr>
              <w:t xml:space="preserve">Ley 80 de 1993. Artículo 32. </w:t>
            </w:r>
          </w:p>
          <w:p w14:paraId="7FD1C152" w14:textId="77777777" w:rsidR="00334ED8" w:rsidRPr="000952AC" w:rsidRDefault="00334ED8" w:rsidP="00107AC4">
            <w:pPr>
              <w:pStyle w:val="Prrafodelista"/>
              <w:widowControl w:val="0"/>
              <w:numPr>
                <w:ilvl w:val="0"/>
                <w:numId w:val="16"/>
              </w:numPr>
              <w:autoSpaceDE w:val="0"/>
              <w:autoSpaceDN w:val="0"/>
              <w:spacing w:after="160" w:line="360" w:lineRule="auto"/>
              <w:rPr>
                <w:rFonts w:ascii="Verdana" w:hAnsi="Verdana" w:cs="Arial"/>
                <w:lang w:val="es-CO"/>
              </w:rPr>
            </w:pPr>
            <w:r w:rsidRPr="000952AC">
              <w:rPr>
                <w:rFonts w:ascii="Verdana" w:hAnsi="Verdana" w:cs="Arial"/>
                <w:lang w:val="es-CO"/>
              </w:rPr>
              <w:t xml:space="preserve">Decreto 1082 de 2015. Artículo </w:t>
            </w:r>
            <w:r w:rsidRPr="000952AC">
              <w:rPr>
                <w:rFonts w:ascii="Verdana" w:hAnsi="Verdana"/>
                <w:lang w:val="es-CO"/>
              </w:rPr>
              <w:t>2.2.1.2.1.4.9.</w:t>
            </w:r>
          </w:p>
          <w:p w14:paraId="2CF2565C" w14:textId="77777777" w:rsidR="00334ED8" w:rsidRPr="00202974" w:rsidRDefault="00334ED8" w:rsidP="00107AC4">
            <w:pPr>
              <w:pStyle w:val="Prrafodelista"/>
              <w:widowControl w:val="0"/>
              <w:numPr>
                <w:ilvl w:val="0"/>
                <w:numId w:val="16"/>
              </w:numPr>
              <w:autoSpaceDE w:val="0"/>
              <w:autoSpaceDN w:val="0"/>
              <w:spacing w:after="160" w:line="360" w:lineRule="auto"/>
              <w:rPr>
                <w:rFonts w:ascii="Verdana" w:hAnsi="Verdana" w:cs="Arial"/>
              </w:rPr>
            </w:pPr>
            <w:r w:rsidRPr="000952AC">
              <w:rPr>
                <w:rFonts w:ascii="Verdana" w:hAnsi="Verdana"/>
                <w:lang w:val="es-CO"/>
              </w:rPr>
              <w:t>Ley 1150 de 2007.Artículo 2, numeral 4°, literal h).</w:t>
            </w:r>
          </w:p>
          <w:p w14:paraId="67E7CCBA" w14:textId="77777777" w:rsidR="00334ED8" w:rsidRPr="000952AC" w:rsidRDefault="00334ED8" w:rsidP="00107AC4">
            <w:pPr>
              <w:pStyle w:val="Prrafodelista"/>
              <w:widowControl w:val="0"/>
              <w:numPr>
                <w:ilvl w:val="0"/>
                <w:numId w:val="16"/>
              </w:numPr>
              <w:autoSpaceDE w:val="0"/>
              <w:autoSpaceDN w:val="0"/>
              <w:spacing w:after="160" w:line="360" w:lineRule="auto"/>
              <w:rPr>
                <w:rFonts w:ascii="Verdana" w:hAnsi="Verdana" w:cs="Arial"/>
                <w:lang w:val="es-CO"/>
              </w:rPr>
            </w:pPr>
            <w:r w:rsidRPr="009A6F9B">
              <w:rPr>
                <w:rFonts w:ascii="Verdana" w:hAnsi="Verdana"/>
              </w:rPr>
              <w:t>Decreto</w:t>
            </w:r>
            <w:r w:rsidRPr="009A6F9B">
              <w:rPr>
                <w:rFonts w:ascii="Verdana" w:hAnsi="Verdana"/>
                <w:spacing w:val="-5"/>
              </w:rPr>
              <w:t xml:space="preserve"> </w:t>
            </w:r>
            <w:r w:rsidRPr="009A6F9B">
              <w:rPr>
                <w:rFonts w:ascii="Verdana" w:hAnsi="Verdana"/>
              </w:rPr>
              <w:t>1082</w:t>
            </w:r>
            <w:r w:rsidRPr="009A6F9B">
              <w:rPr>
                <w:rFonts w:ascii="Verdana" w:hAnsi="Verdana"/>
                <w:spacing w:val="-6"/>
              </w:rPr>
              <w:t xml:space="preserve"> </w:t>
            </w:r>
            <w:r w:rsidRPr="009A6F9B">
              <w:rPr>
                <w:rFonts w:ascii="Verdana" w:hAnsi="Verdana"/>
              </w:rPr>
              <w:t>de 2015</w:t>
            </w:r>
            <w:r>
              <w:rPr>
                <w:rFonts w:ascii="Verdana" w:hAnsi="Verdana"/>
              </w:rPr>
              <w:t>. A</w:t>
            </w:r>
            <w:r w:rsidRPr="009A6F9B">
              <w:rPr>
                <w:rFonts w:ascii="Verdana" w:hAnsi="Verdana"/>
              </w:rPr>
              <w:t>rtículo</w:t>
            </w:r>
            <w:r w:rsidRPr="009A6F9B">
              <w:rPr>
                <w:rFonts w:ascii="Verdana" w:hAnsi="Verdana"/>
                <w:spacing w:val="-5"/>
              </w:rPr>
              <w:t xml:space="preserve"> </w:t>
            </w:r>
            <w:r w:rsidRPr="009A6F9B">
              <w:rPr>
                <w:rFonts w:ascii="Verdana" w:hAnsi="Verdana"/>
              </w:rPr>
              <w:t>2.2.1.2.1.4.9</w:t>
            </w:r>
          </w:p>
          <w:p w14:paraId="42A5FC72" w14:textId="77777777" w:rsidR="00334ED8" w:rsidRPr="000952AC" w:rsidRDefault="00334ED8" w:rsidP="00107AC4">
            <w:pPr>
              <w:pStyle w:val="Prrafodelista"/>
              <w:widowControl w:val="0"/>
              <w:numPr>
                <w:ilvl w:val="0"/>
                <w:numId w:val="16"/>
              </w:numPr>
              <w:autoSpaceDE w:val="0"/>
              <w:autoSpaceDN w:val="0"/>
              <w:spacing w:after="160" w:line="360" w:lineRule="auto"/>
              <w:rPr>
                <w:rFonts w:ascii="Verdana" w:hAnsi="Verdana" w:cs="Arial"/>
                <w:lang w:val="es-CO"/>
              </w:rPr>
            </w:pPr>
            <w:r w:rsidRPr="000952AC">
              <w:rPr>
                <w:rFonts w:ascii="Verdana" w:hAnsi="Verdana" w:cs="Arial"/>
                <w:lang w:val="es-CO"/>
              </w:rPr>
              <w:t>Ley 2306 de 2023. Artículo 6.</w:t>
            </w:r>
          </w:p>
          <w:p w14:paraId="74D28B6F" w14:textId="77777777" w:rsidR="00334ED8" w:rsidRPr="000952AC" w:rsidRDefault="00334ED8" w:rsidP="00107AC4">
            <w:pPr>
              <w:pStyle w:val="Prrafodelista"/>
              <w:widowControl w:val="0"/>
              <w:numPr>
                <w:ilvl w:val="0"/>
                <w:numId w:val="16"/>
              </w:numPr>
              <w:autoSpaceDE w:val="0"/>
              <w:autoSpaceDN w:val="0"/>
              <w:spacing w:after="160" w:line="360" w:lineRule="auto"/>
              <w:rPr>
                <w:rFonts w:ascii="Verdana" w:hAnsi="Verdana" w:cs="Arial"/>
                <w:lang w:val="es-CO"/>
              </w:rPr>
            </w:pPr>
            <w:r w:rsidRPr="000952AC">
              <w:rPr>
                <w:rFonts w:ascii="Verdana" w:hAnsi="Verdana" w:cs="Arial"/>
                <w:lang w:val="es-CO"/>
              </w:rPr>
              <w:t>Código Sustantivo del Trabajo. Artículo</w:t>
            </w:r>
            <w:r>
              <w:rPr>
                <w:rFonts w:ascii="Verdana" w:hAnsi="Verdana" w:cs="Arial"/>
              </w:rPr>
              <w:t>s 236 y</w:t>
            </w:r>
            <w:r w:rsidRPr="000952AC">
              <w:rPr>
                <w:rFonts w:ascii="Verdana" w:hAnsi="Verdana" w:cs="Arial"/>
                <w:lang w:val="es-CO"/>
              </w:rPr>
              <w:t xml:space="preserve"> 238. </w:t>
            </w:r>
          </w:p>
          <w:p w14:paraId="4C3C225A" w14:textId="77777777" w:rsidR="00334ED8" w:rsidRPr="00202974" w:rsidRDefault="00334ED8" w:rsidP="00107AC4">
            <w:pPr>
              <w:pStyle w:val="Prrafodelista"/>
              <w:numPr>
                <w:ilvl w:val="0"/>
                <w:numId w:val="16"/>
              </w:numPr>
              <w:spacing w:after="160" w:line="259" w:lineRule="auto"/>
              <w:rPr>
                <w:rFonts w:ascii="Verdana" w:hAnsi="Verdana" w:cs="Arial"/>
                <w:lang w:val="es-CO"/>
              </w:rPr>
            </w:pPr>
            <w:r w:rsidRPr="00714EC2">
              <w:rPr>
                <w:rFonts w:ascii="Verdana" w:hAnsi="Verdana" w:cs="Arial"/>
                <w:lang w:val="es-CO"/>
              </w:rPr>
              <w:t xml:space="preserve">Corte Constitucional. Sentencia </w:t>
            </w:r>
            <w:r w:rsidRPr="00714EC2">
              <w:rPr>
                <w:rFonts w:ascii="Verdana" w:hAnsi="Verdana"/>
                <w:lang w:val="es-CO"/>
              </w:rPr>
              <w:t>SU-07</w:t>
            </w:r>
            <w:r w:rsidRPr="00714EC2">
              <w:rPr>
                <w:rFonts w:ascii="Verdana" w:hAnsi="Verdana"/>
              </w:rPr>
              <w:t>0</w:t>
            </w:r>
            <w:r w:rsidRPr="00714EC2">
              <w:rPr>
                <w:rFonts w:ascii="Verdana" w:hAnsi="Verdana"/>
                <w:lang w:val="es-CO"/>
              </w:rPr>
              <w:t xml:space="preserve"> de 201</w:t>
            </w:r>
            <w:r>
              <w:rPr>
                <w:rFonts w:ascii="Verdana" w:hAnsi="Verdana"/>
              </w:rPr>
              <w:t>3</w:t>
            </w:r>
            <w:r w:rsidRPr="00714EC2">
              <w:rPr>
                <w:rFonts w:ascii="Verdana" w:hAnsi="Verdana"/>
                <w:lang w:val="es-CO"/>
              </w:rPr>
              <w:t xml:space="preserve">. M.P: </w:t>
            </w:r>
            <w:proofErr w:type="spellStart"/>
            <w:r w:rsidRPr="00202974">
              <w:rPr>
                <w:rFonts w:ascii="Verdana" w:hAnsi="Verdana" w:cs="Arial"/>
                <w:lang w:val="es-CO"/>
              </w:rPr>
              <w:t>Alexey</w:t>
            </w:r>
            <w:proofErr w:type="spellEnd"/>
            <w:r w:rsidRPr="00202974">
              <w:rPr>
                <w:rFonts w:ascii="Verdana" w:hAnsi="Verdana" w:cs="Arial"/>
                <w:lang w:val="es-CO"/>
              </w:rPr>
              <w:t xml:space="preserve"> Julio Estrada.  </w:t>
            </w:r>
          </w:p>
          <w:p w14:paraId="39FEA871" w14:textId="77777777" w:rsidR="00334ED8" w:rsidRPr="00714EC2" w:rsidRDefault="00334ED8" w:rsidP="00107AC4">
            <w:pPr>
              <w:pStyle w:val="Prrafodelista"/>
              <w:numPr>
                <w:ilvl w:val="0"/>
                <w:numId w:val="16"/>
              </w:numPr>
              <w:spacing w:after="160" w:line="259" w:lineRule="auto"/>
              <w:rPr>
                <w:rFonts w:ascii="Verdana" w:hAnsi="Verdana" w:cs="Arial"/>
                <w:lang w:val="es-CO"/>
              </w:rPr>
            </w:pPr>
            <w:r w:rsidRPr="00714EC2">
              <w:rPr>
                <w:rFonts w:ascii="Verdana" w:hAnsi="Verdana" w:cs="Arial"/>
                <w:lang w:val="es-CO"/>
              </w:rPr>
              <w:t xml:space="preserve">Corte Constitucional. Sentencia </w:t>
            </w:r>
            <w:r w:rsidRPr="00714EC2">
              <w:rPr>
                <w:rFonts w:ascii="Verdana" w:hAnsi="Verdana"/>
                <w:lang w:val="es-CO"/>
              </w:rPr>
              <w:t>SU-07</w:t>
            </w:r>
            <w:r>
              <w:rPr>
                <w:rFonts w:ascii="Verdana" w:hAnsi="Verdana"/>
              </w:rPr>
              <w:t>5</w:t>
            </w:r>
            <w:r w:rsidRPr="00714EC2">
              <w:rPr>
                <w:rFonts w:ascii="Verdana" w:hAnsi="Verdana"/>
                <w:lang w:val="es-CO"/>
              </w:rPr>
              <w:t xml:space="preserve"> de 2018. M.P: </w:t>
            </w:r>
            <w:r w:rsidRPr="00714EC2">
              <w:rPr>
                <w:rFonts w:ascii="Verdana" w:hAnsi="Verdana"/>
              </w:rPr>
              <w:t>Gloria Stella Ortiz Delgado</w:t>
            </w:r>
          </w:p>
          <w:p w14:paraId="7990D768" w14:textId="77777777" w:rsidR="00334ED8" w:rsidRPr="00F118AE" w:rsidRDefault="00334ED8" w:rsidP="00107A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T-102 del 1 de marzo de 2016, M.P: María Victoria Calle Correa</w:t>
            </w:r>
          </w:p>
          <w:p w14:paraId="44A4A140" w14:textId="77777777" w:rsidR="00334ED8" w:rsidRPr="00827711" w:rsidRDefault="00334ED8" w:rsidP="00107AC4">
            <w:pPr>
              <w:pStyle w:val="Prrafodelista"/>
              <w:widowControl w:val="0"/>
              <w:numPr>
                <w:ilvl w:val="0"/>
                <w:numId w:val="16"/>
              </w:numPr>
              <w:autoSpaceDE w:val="0"/>
              <w:autoSpaceDN w:val="0"/>
              <w:spacing w:after="120" w:line="276" w:lineRule="auto"/>
              <w:jc w:val="both"/>
              <w:rPr>
                <w:rFonts w:ascii="Verdana" w:hAnsi="Verdana" w:cs="Arial"/>
                <w:lang w:val="it-IT"/>
              </w:rPr>
            </w:pPr>
            <w:r w:rsidRPr="00F118AE">
              <w:rPr>
                <w:rFonts w:ascii="Verdana" w:hAnsi="Verdana" w:cs="Arial"/>
                <w:lang w:val="es-CO"/>
              </w:rPr>
              <w:t xml:space="preserve">Corte Constitucional, Sentencia T-743 de 2017, </w:t>
            </w:r>
            <w:proofErr w:type="spellStart"/>
            <w:r w:rsidRPr="00F118AE">
              <w:rPr>
                <w:rFonts w:ascii="Verdana" w:hAnsi="Verdana" w:cs="Arial"/>
                <w:lang w:val="es-CO"/>
              </w:rPr>
              <w:t>Exp</w:t>
            </w:r>
            <w:proofErr w:type="spellEnd"/>
            <w:r w:rsidRPr="00F118AE">
              <w:rPr>
                <w:rFonts w:ascii="Verdana" w:hAnsi="Verdana" w:cs="Arial"/>
                <w:lang w:val="es-CO"/>
              </w:rPr>
              <w:t xml:space="preserve">. </w:t>
            </w:r>
            <w:r w:rsidRPr="00827711">
              <w:rPr>
                <w:rFonts w:ascii="Verdana" w:hAnsi="Verdana" w:cs="Arial"/>
                <w:lang w:val="it-IT"/>
              </w:rPr>
              <w:t>T-6.366.648 Magistrada Ponente Cristina Pardo Schlesinger.</w:t>
            </w:r>
          </w:p>
          <w:p w14:paraId="7ACAE073" w14:textId="77777777" w:rsidR="00334ED8" w:rsidRPr="00F118AE" w:rsidRDefault="00334ED8" w:rsidP="00107A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T-564 del 6 de septiembre de 2017, M.P: Cristina Pardo Schlesinger</w:t>
            </w:r>
          </w:p>
          <w:p w14:paraId="54119190" w14:textId="77777777" w:rsidR="00334ED8" w:rsidRPr="00F118AE" w:rsidRDefault="00334ED8" w:rsidP="00107A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Corte Constitucional, sentencia T-329 de 2022, Magistrada Ponente: Natalia Ángel Cabo</w:t>
            </w:r>
          </w:p>
          <w:p w14:paraId="410A2FD5" w14:textId="77777777" w:rsidR="00334ED8" w:rsidRPr="00B05C3F" w:rsidRDefault="00334ED8" w:rsidP="00107AC4">
            <w:pPr>
              <w:pStyle w:val="Prrafodelista"/>
              <w:widowControl w:val="0"/>
              <w:numPr>
                <w:ilvl w:val="0"/>
                <w:numId w:val="16"/>
              </w:numPr>
              <w:autoSpaceDE w:val="0"/>
              <w:autoSpaceDN w:val="0"/>
              <w:spacing w:after="120" w:line="276" w:lineRule="auto"/>
              <w:jc w:val="both"/>
              <w:rPr>
                <w:rFonts w:ascii="Verdana" w:hAnsi="Verdana" w:cs="Arial"/>
              </w:rPr>
            </w:pPr>
            <w:r w:rsidRPr="00B05C3F">
              <w:rPr>
                <w:rFonts w:ascii="Verdana" w:hAnsi="Verdana" w:cs="Arial"/>
              </w:rPr>
              <w:t xml:space="preserve">Consejo de Estado. Sala de lo Contencioso Administrativo. Sección Segunda, Subsección A. Sentencia del 26 de enero de 2023. </w:t>
            </w:r>
            <w:proofErr w:type="spellStart"/>
            <w:r w:rsidRPr="00B05C3F">
              <w:rPr>
                <w:rFonts w:ascii="Verdana" w:hAnsi="Verdana" w:cs="Arial"/>
              </w:rPr>
              <w:t>Exp</w:t>
            </w:r>
            <w:proofErr w:type="spellEnd"/>
            <w:r w:rsidRPr="00B05C3F">
              <w:rPr>
                <w:rFonts w:ascii="Verdana" w:hAnsi="Verdana" w:cs="Arial"/>
              </w:rPr>
              <w:t xml:space="preserve"> </w:t>
            </w:r>
            <w:r w:rsidRPr="00B05C3F">
              <w:rPr>
                <w:rFonts w:ascii="Verdana" w:hAnsi="Verdana" w:cs="Arial"/>
              </w:rPr>
              <w:lastRenderedPageBreak/>
              <w:t>(4620-2017), C.P Gabriel Valbuena Hernández.</w:t>
            </w:r>
          </w:p>
          <w:p w14:paraId="3ED9D525" w14:textId="77777777" w:rsidR="00334ED8" w:rsidRDefault="00334ED8" w:rsidP="00107AC4">
            <w:pPr>
              <w:pStyle w:val="Prrafodelista"/>
              <w:widowControl w:val="0"/>
              <w:numPr>
                <w:ilvl w:val="0"/>
                <w:numId w:val="16"/>
              </w:numPr>
              <w:autoSpaceDE w:val="0"/>
              <w:autoSpaceDN w:val="0"/>
              <w:spacing w:after="120" w:line="276" w:lineRule="auto"/>
              <w:jc w:val="both"/>
              <w:rPr>
                <w:rFonts w:ascii="Verdana" w:hAnsi="Verdana" w:cs="Arial"/>
              </w:rPr>
            </w:pPr>
            <w:r w:rsidRPr="00B05C3F">
              <w:rPr>
                <w:rFonts w:ascii="Verdana" w:hAnsi="Verdana" w:cs="Arial"/>
              </w:rPr>
              <w:t xml:space="preserve">  Consejo de Estado. Sección Tercera. Sentencia del 1 de octubre de 2018. Consejera Ponente: Marta Nubia Velásquez Rico. Expediente: 57.897</w:t>
            </w:r>
          </w:p>
          <w:p w14:paraId="45D2D351" w14:textId="77777777" w:rsidR="00334ED8" w:rsidRPr="00F118AE" w:rsidRDefault="00334ED8" w:rsidP="00107AC4">
            <w:pPr>
              <w:pStyle w:val="Prrafodelista"/>
              <w:widowControl w:val="0"/>
              <w:numPr>
                <w:ilvl w:val="0"/>
                <w:numId w:val="16"/>
              </w:numPr>
              <w:autoSpaceDE w:val="0"/>
              <w:autoSpaceDN w:val="0"/>
              <w:spacing w:after="120" w:line="276" w:lineRule="auto"/>
              <w:jc w:val="both"/>
              <w:rPr>
                <w:rFonts w:ascii="Verdana" w:hAnsi="Verdana" w:cs="Arial"/>
              </w:rPr>
            </w:pPr>
            <w:r w:rsidRPr="00F118AE">
              <w:rPr>
                <w:rFonts w:ascii="Verdana" w:hAnsi="Verdana" w:cs="Arial"/>
              </w:rPr>
              <w:t>Ministerio del Trabajo. Concepto 9972 de 5 de marzo de 2014.</w:t>
            </w:r>
          </w:p>
        </w:tc>
      </w:tr>
    </w:tbl>
    <w:p w14:paraId="10495C62" w14:textId="77777777" w:rsidR="00334ED8" w:rsidRPr="00CC5C68" w:rsidRDefault="00334ED8" w:rsidP="00334ED8">
      <w:pPr>
        <w:pStyle w:val="Prrafodelista"/>
        <w:tabs>
          <w:tab w:val="left" w:pos="142"/>
          <w:tab w:val="left" w:pos="284"/>
        </w:tabs>
        <w:spacing w:after="0" w:line="276" w:lineRule="auto"/>
        <w:ind w:left="0"/>
        <w:contextualSpacing w:val="0"/>
        <w:jc w:val="both"/>
        <w:rPr>
          <w:rFonts w:ascii="Verdana" w:eastAsia="Century Gothic" w:hAnsi="Verdana" w:cs="Century Gothic"/>
          <w:b/>
          <w:bCs/>
          <w:lang w:val="es-CO"/>
        </w:rPr>
      </w:pPr>
    </w:p>
    <w:p w14:paraId="6969DE49" w14:textId="77777777" w:rsidR="00334ED8" w:rsidRPr="00CC5C68" w:rsidRDefault="00334ED8" w:rsidP="00334ED8">
      <w:pPr>
        <w:pStyle w:val="Prrafodelista"/>
        <w:tabs>
          <w:tab w:val="left" w:pos="142"/>
          <w:tab w:val="left" w:pos="284"/>
        </w:tabs>
        <w:spacing w:after="0" w:line="276" w:lineRule="auto"/>
        <w:ind w:left="0"/>
        <w:contextualSpacing w:val="0"/>
        <w:jc w:val="both"/>
        <w:rPr>
          <w:rFonts w:ascii="Verdana" w:eastAsia="Century Gothic" w:hAnsi="Verdana" w:cs="Century Gothic"/>
          <w:b/>
          <w:bCs/>
        </w:rPr>
      </w:pPr>
      <w:r w:rsidRPr="00CC5C68">
        <w:rPr>
          <w:rFonts w:ascii="Verdana" w:eastAsia="Century Gothic" w:hAnsi="Verdana" w:cs="Century Gothic"/>
          <w:b/>
          <w:bCs/>
          <w:lang w:val="es-CO"/>
        </w:rPr>
        <w:t xml:space="preserve">5. </w:t>
      </w:r>
      <w:r w:rsidRPr="00CC5C68">
        <w:rPr>
          <w:rFonts w:ascii="Verdana" w:eastAsia="Century Gothic" w:hAnsi="Verdana" w:cs="Century Gothic"/>
          <w:b/>
          <w:bCs/>
        </w:rPr>
        <w:t>Doctrina de la Agencia Nacional de Contratación Pública:</w:t>
      </w:r>
    </w:p>
    <w:p w14:paraId="1D8189B0" w14:textId="77777777" w:rsidR="00334ED8" w:rsidRPr="00CC5C68" w:rsidRDefault="00334ED8" w:rsidP="00334ED8">
      <w:pPr>
        <w:spacing w:after="0" w:line="276" w:lineRule="auto"/>
        <w:ind w:firstLine="709"/>
        <w:jc w:val="both"/>
        <w:rPr>
          <w:rFonts w:ascii="Verdana" w:eastAsia="Times New Roman" w:hAnsi="Verdana" w:cs="Arial"/>
          <w:szCs w:val="24"/>
          <w:lang w:val="es-ES" w:eastAsia="es-ES_tradnl"/>
        </w:rPr>
      </w:pPr>
    </w:p>
    <w:p w14:paraId="0D8BDF63" w14:textId="692317C9" w:rsidR="00334ED8" w:rsidRPr="00CC5C68" w:rsidRDefault="00334ED8" w:rsidP="00334ED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r w:rsidRPr="00CC5C68">
        <w:rPr>
          <w:rFonts w:ascii="Verdana" w:eastAsia="Calibri" w:hAnsi="Verdana" w:cs="Arial"/>
          <w:lang w:val="es-ES_tradnl" w:eastAsia="es-ES_tradnl"/>
        </w:rPr>
        <w:t xml:space="preserve">Sobre </w:t>
      </w:r>
      <w:r>
        <w:rPr>
          <w:rFonts w:ascii="Verdana" w:eastAsia="Calibri" w:hAnsi="Verdana" w:cs="Arial"/>
          <w:lang w:val="es-ES_tradnl" w:eastAsia="es-ES_tradnl"/>
        </w:rPr>
        <w:t>la licencia de maternidad</w:t>
      </w:r>
      <w:r w:rsidRPr="00CC5C68">
        <w:rPr>
          <w:rFonts w:ascii="Verdana" w:eastAsia="Calibri" w:hAnsi="Verdana" w:cs="Arial"/>
          <w:lang w:val="es-ES_tradnl" w:eastAsia="es-ES_tradnl"/>
        </w:rPr>
        <w:t>, se pronunció esta Subdirección en los conceptos</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C-770 del del 7 de diciembre de 2022, C-789 del 22 de noviembre de 2022, C-031 del 17 de marzo de 2023, C-213 de 26 de junio de 2023, C-439 del 20 de octubre de 2023</w:t>
      </w:r>
      <w:r>
        <w:rPr>
          <w:rFonts w:ascii="Verdana" w:eastAsia="Calibri" w:hAnsi="Verdana" w:cs="Arial"/>
          <w:lang w:val="es-ES_tradnl" w:eastAsia="es-ES_tradnl"/>
        </w:rPr>
        <w:t>,</w:t>
      </w:r>
      <w:r w:rsidRPr="00CC1341">
        <w:rPr>
          <w:rFonts w:ascii="Verdana" w:eastAsia="Calibri" w:hAnsi="Verdana" w:cs="Arial"/>
          <w:lang w:val="es-ES_tradnl" w:eastAsia="es-ES_tradnl"/>
        </w:rPr>
        <w:t xml:space="preserve"> C-463 del 22 de noviembre de 2023</w:t>
      </w:r>
      <w:r>
        <w:rPr>
          <w:rFonts w:ascii="Verdana" w:eastAsia="Calibri" w:hAnsi="Verdana" w:cs="Arial"/>
          <w:lang w:val="es-ES_tradnl" w:eastAsia="es-ES_tradnl"/>
        </w:rPr>
        <w:t xml:space="preserve">, </w:t>
      </w:r>
      <w:r>
        <w:rPr>
          <w:rFonts w:ascii="Verdana" w:hAnsi="Verdana"/>
        </w:rPr>
        <w:t>y C-786 del 30 de julio de 2025</w:t>
      </w:r>
      <w:r>
        <w:rPr>
          <w:rFonts w:ascii="Verdana" w:eastAsia="Calibri" w:hAnsi="Verdana" w:cs="Arial"/>
          <w:lang w:val="es-ES_tradnl" w:eastAsia="es-ES_tradnl"/>
        </w:rPr>
        <w:t xml:space="preserve"> y C-1272 del 14 de octubre de 2025</w:t>
      </w:r>
      <w:r w:rsidRPr="00CC5C68">
        <w:rPr>
          <w:rFonts w:ascii="Verdana" w:eastAsia="Calibri" w:hAnsi="Verdana" w:cs="Arial"/>
          <w:lang w:val="es-ES_tradnl" w:eastAsia="es-ES_tradnl"/>
        </w:rPr>
        <w:t xml:space="preserve">. </w:t>
      </w:r>
      <w:r w:rsidRPr="00CC1341">
        <w:rPr>
          <w:rFonts w:ascii="Verdana" w:eastAsia="Calibri" w:hAnsi="Verdana" w:cs="Arial"/>
          <w:lang w:val="es-ES_tradnl" w:eastAsia="es-ES_tradnl"/>
        </w:rPr>
        <w:t>Así mismo, se pronunció respecto de la suspensión del contrato de prestación de servicios por licencia de maternidad en el concepto con radicado 2201913000002416 del 10 de abril de 2019</w:t>
      </w:r>
      <w:r>
        <w:rPr>
          <w:rFonts w:ascii="Verdana" w:eastAsia="Calibri" w:hAnsi="Verdana" w:cs="Arial"/>
          <w:lang w:val="es-ES_tradnl" w:eastAsia="es-ES_tradnl"/>
        </w:rPr>
        <w:t xml:space="preserve">, </w:t>
      </w:r>
      <w:r w:rsidRPr="00CC1341">
        <w:rPr>
          <w:rFonts w:ascii="Verdana" w:eastAsia="Calibri" w:hAnsi="Verdana" w:cs="Arial"/>
          <w:lang w:val="es-ES_tradnl" w:eastAsia="es-ES_tradnl"/>
        </w:rPr>
        <w:t>C-920 del 14 de febrero de 2023</w:t>
      </w:r>
      <w:r>
        <w:rPr>
          <w:rFonts w:ascii="Verdana" w:eastAsia="Calibri" w:hAnsi="Verdana" w:cs="Arial"/>
          <w:lang w:val="es-ES_tradnl" w:eastAsia="es-ES_tradnl"/>
        </w:rPr>
        <w:t>, C-231 del 27 de junio de 2024</w:t>
      </w:r>
      <w:r w:rsidR="00B753E6">
        <w:rPr>
          <w:rFonts w:ascii="Verdana" w:eastAsia="Calibri" w:hAnsi="Verdana" w:cs="Arial"/>
          <w:lang w:val="es-ES_tradnl" w:eastAsia="es-ES_tradnl"/>
        </w:rPr>
        <w:t>,</w:t>
      </w:r>
      <w:r>
        <w:rPr>
          <w:rFonts w:ascii="Verdana" w:eastAsia="Calibri" w:hAnsi="Verdana" w:cs="Arial"/>
          <w:lang w:val="es-ES_tradnl" w:eastAsia="es-ES_tradnl"/>
        </w:rPr>
        <w:t xml:space="preserve"> </w:t>
      </w:r>
      <w:r>
        <w:rPr>
          <w:rFonts w:ascii="Verdana" w:hAnsi="Verdana"/>
        </w:rPr>
        <w:t>C-545 del 12 de junio de 2025</w:t>
      </w:r>
      <w:r w:rsidR="00B753E6">
        <w:rPr>
          <w:rFonts w:ascii="Verdana" w:hAnsi="Verdana"/>
        </w:rPr>
        <w:t xml:space="preserve"> y </w:t>
      </w:r>
      <w:r w:rsidR="00B753E6">
        <w:rPr>
          <w:rFonts w:ascii="Verdana" w:eastAsia="Calibri" w:hAnsi="Verdana" w:cs="Arial"/>
          <w:lang w:val="es-ES_tradnl" w:eastAsia="es-ES_tradnl"/>
        </w:rPr>
        <w:t>C-1272 del 14 de octubre de 2025</w:t>
      </w:r>
      <w:r w:rsidRPr="00CC5C68">
        <w:rPr>
          <w:rFonts w:ascii="Verdana" w:eastAsia="Calibri" w:hAnsi="Verdana" w:cs="Arial"/>
          <w:lang w:val="es-ES" w:eastAsia="es-ES_tradnl"/>
        </w:rPr>
        <w:t>. Estos</w:t>
      </w:r>
      <w:r w:rsidRPr="00CC5C68">
        <w:rPr>
          <w:rFonts w:ascii="Verdana" w:hAnsi="Verdana"/>
        </w:rPr>
        <w:t xml:space="preserve"> y otros conceptos se encuentran disponibles para consulta en el Sistema de relatoría de la Agencia, al cual se puede acceder a través del siguiente enlace:</w:t>
      </w:r>
      <w:r w:rsidRPr="00CC5C68">
        <w:rPr>
          <w:rStyle w:val="normaltextrun"/>
          <w:rFonts w:ascii="Verdana" w:hAnsi="Verdana" w:cs="Arial"/>
          <w:shd w:val="clear" w:color="auto" w:fill="FFFFFF"/>
          <w:lang w:val="es-ES"/>
        </w:rPr>
        <w:t xml:space="preserve"> </w:t>
      </w:r>
      <w:hyperlink r:id="rId13" w:history="1">
        <w:r w:rsidRPr="00CC5C68">
          <w:rPr>
            <w:rStyle w:val="Hipervnculo"/>
            <w:rFonts w:ascii="Verdana" w:hAnsi="Verdana" w:cs="Arial"/>
            <w:shd w:val="clear" w:color="auto" w:fill="FFFFFF"/>
            <w:lang w:val="es-ES"/>
          </w:rPr>
          <w:t>https://relatoria.colombiacompra.gov.co/busqueda/conceptos</w:t>
        </w:r>
      </w:hyperlink>
    </w:p>
    <w:p w14:paraId="4A058027" w14:textId="77777777" w:rsidR="00334ED8" w:rsidRPr="00CC5C68" w:rsidRDefault="00334ED8" w:rsidP="00334ED8">
      <w:pPr>
        <w:widowControl w:val="0"/>
        <w:autoSpaceDE w:val="0"/>
        <w:autoSpaceDN w:val="0"/>
        <w:spacing w:after="0" w:line="276" w:lineRule="auto"/>
        <w:jc w:val="both"/>
        <w:rPr>
          <w:rStyle w:val="normaltextrun"/>
          <w:rFonts w:ascii="Verdana" w:hAnsi="Verdana" w:cs="Arial"/>
          <w:color w:val="000000" w:themeColor="text1"/>
          <w:shd w:val="clear" w:color="auto" w:fill="FFFFFF"/>
          <w:lang w:val="es-ES"/>
        </w:rPr>
      </w:pPr>
    </w:p>
    <w:p w14:paraId="501231EE" w14:textId="77777777" w:rsidR="00334ED8" w:rsidRPr="00DE5CCE" w:rsidRDefault="00334ED8" w:rsidP="00334ED8">
      <w:pPr>
        <w:spacing w:after="0" w:line="240" w:lineRule="auto"/>
        <w:jc w:val="both"/>
        <w:rPr>
          <w:rFonts w:ascii="Verdana" w:hAnsi="Verdana"/>
        </w:rPr>
      </w:pPr>
      <w:r>
        <w:rPr>
          <w:rFonts w:ascii="Verdana" w:hAnsi="Verdana"/>
        </w:rPr>
        <w:t>L</w:t>
      </w:r>
      <w:r w:rsidRPr="00DE5CCE">
        <w:rPr>
          <w:rFonts w:ascii="Verdana" w:hAnsi="Verdana"/>
        </w:rPr>
        <w:t>e contamos que ya se encuentra disponible la </w:t>
      </w:r>
      <w:r w:rsidRPr="00DE5CCE">
        <w:rPr>
          <w:rFonts w:ascii="Verdana" w:hAnsi="Verdana"/>
          <w:b/>
          <w:bCs/>
        </w:rPr>
        <w:t>Guía de lineamientos de transparencia y selección objetiva para el departamento de La Guajira – Objetivo sexto constitucional de la Sentencia T-302 del 2017. </w:t>
      </w:r>
      <w:r w:rsidRPr="00DE5CCE">
        <w:rPr>
          <w:rFonts w:ascii="Verdana" w:hAnsi="Verdana"/>
        </w:rPr>
        <w:t xml:space="preserve">Esta Guía se expedide en el marco del cumplimiento de la orden proferida por la Honorable Corte Constitucional en la Sentencia T-302 del 2017. Con su implementación se busca contribuir a la superación del Estado de Cosas Inconstitucional declarado por la situación de vulneración masiva y recurrente de los derechos fundamentales de los niños y de las niñas del Pueblo </w:t>
      </w:r>
      <w:proofErr w:type="spellStart"/>
      <w:r w:rsidRPr="00DE5CCE">
        <w:rPr>
          <w:rFonts w:ascii="Verdana" w:hAnsi="Verdana"/>
        </w:rPr>
        <w:t>Wayúu</w:t>
      </w:r>
      <w:proofErr w:type="spellEnd"/>
      <w:r w:rsidRPr="00DE5CCE">
        <w:rPr>
          <w:rFonts w:ascii="Verdana" w:hAnsi="Verdana"/>
        </w:rPr>
        <w:t>. Puede consultar la guía en el siguiente enlace: </w:t>
      </w:r>
      <w:hyperlink r:id="rId14" w:tgtFrame="_blank" w:tooltip="Dirección URL original: https://www.colombiacompra.gov.co/wp-content/uploads/2025/05/GUIA-DE-LINEAMIENTOS-DE-TRANSPARENCIA-Y-SELECCION-OBJETIVA-1.0.pdf. Haga clic o pulse si confía en este vínculo." w:history="1">
        <w:r w:rsidRPr="00DE5CCE">
          <w:rPr>
            <w:rStyle w:val="Hipervnculo"/>
            <w:rFonts w:ascii="Verdana" w:hAnsi="Verdana"/>
          </w:rPr>
          <w:t>Guía de lineamientos de transparencia y selección objetiva para el departamento de La Guajira – Objetivo sexto constitucional de la Sentencia T-302 del 2017</w:t>
        </w:r>
      </w:hyperlink>
      <w:r w:rsidRPr="00DE5CCE">
        <w:rPr>
          <w:rFonts w:ascii="Verdana" w:hAnsi="Verdana"/>
          <w:u w:val="single"/>
        </w:rPr>
        <w:t>"</w:t>
      </w:r>
    </w:p>
    <w:p w14:paraId="65126887" w14:textId="77777777" w:rsidR="00334ED8" w:rsidRPr="00CC5C68" w:rsidRDefault="00334ED8" w:rsidP="00334ED8">
      <w:pPr>
        <w:spacing w:after="0" w:line="240" w:lineRule="auto"/>
        <w:jc w:val="both"/>
        <w:rPr>
          <w:rFonts w:ascii="Verdana" w:hAnsi="Verdana"/>
        </w:rPr>
      </w:pPr>
    </w:p>
    <w:p w14:paraId="0E40E08F" w14:textId="77777777" w:rsidR="00334ED8" w:rsidRPr="00CC5C68" w:rsidRDefault="00334ED8" w:rsidP="00334ED8">
      <w:pPr>
        <w:spacing w:after="0" w:line="240" w:lineRule="auto"/>
        <w:jc w:val="both"/>
        <w:rPr>
          <w:rFonts w:ascii="Verdana" w:hAnsi="Verdana"/>
        </w:rPr>
      </w:pPr>
      <w:r w:rsidRPr="00CC5C68">
        <w:rPr>
          <w:rFonts w:ascii="Verdana" w:hAnsi="Verdana"/>
        </w:rPr>
        <w:t xml:space="preserve">Por último, lo invitamos a seguirnos en las redes sociales en las cuales se difunde información institucional: </w:t>
      </w:r>
    </w:p>
    <w:p w14:paraId="69F3756F" w14:textId="77777777" w:rsidR="00334ED8" w:rsidRPr="00CC5C68" w:rsidRDefault="00334ED8" w:rsidP="00334ED8">
      <w:pPr>
        <w:spacing w:after="0" w:line="240" w:lineRule="auto"/>
        <w:jc w:val="both"/>
        <w:rPr>
          <w:rFonts w:ascii="Verdana" w:hAnsi="Verdana"/>
        </w:rPr>
      </w:pPr>
    </w:p>
    <w:p w14:paraId="3BED18F6" w14:textId="77777777" w:rsidR="00334ED8" w:rsidRPr="00CC5C68" w:rsidRDefault="00334ED8" w:rsidP="00334ED8">
      <w:pPr>
        <w:spacing w:after="0" w:line="240" w:lineRule="auto"/>
        <w:jc w:val="both"/>
        <w:rPr>
          <w:rFonts w:ascii="Verdana" w:hAnsi="Verdana"/>
        </w:rPr>
      </w:pPr>
      <w:r w:rsidRPr="00CC5C68">
        <w:rPr>
          <w:rFonts w:ascii="Verdana" w:hAnsi="Verdana"/>
        </w:rPr>
        <w:t xml:space="preserve">Twitter: </w:t>
      </w:r>
      <w:r w:rsidRPr="00CC5C68">
        <w:rPr>
          <w:rStyle w:val="Hipervnculo"/>
          <w:rFonts w:ascii="Verdana" w:hAnsi="Verdana"/>
          <w:color w:val="4472C4" w:themeColor="accent1"/>
        </w:rPr>
        <w:t>@colombiacompra</w:t>
      </w:r>
      <w:r w:rsidRPr="00CC5C68">
        <w:rPr>
          <w:rFonts w:ascii="Verdana" w:hAnsi="Verdana"/>
          <w:color w:val="4472C4" w:themeColor="accent1"/>
        </w:rPr>
        <w:t xml:space="preserve"> </w:t>
      </w:r>
    </w:p>
    <w:p w14:paraId="11E375F4" w14:textId="77777777" w:rsidR="00334ED8" w:rsidRPr="00CC5C68" w:rsidRDefault="00334ED8" w:rsidP="00334ED8">
      <w:pPr>
        <w:spacing w:after="0" w:line="240" w:lineRule="auto"/>
        <w:jc w:val="both"/>
        <w:rPr>
          <w:rFonts w:ascii="Verdana" w:hAnsi="Verdana"/>
        </w:rPr>
      </w:pPr>
      <w:r w:rsidRPr="00CC5C68">
        <w:rPr>
          <w:rFonts w:ascii="Verdana" w:hAnsi="Verdana"/>
        </w:rPr>
        <w:t xml:space="preserve">Facebook: </w:t>
      </w:r>
      <w:proofErr w:type="spellStart"/>
      <w:r w:rsidRPr="00CC5C68">
        <w:rPr>
          <w:rStyle w:val="Hipervnculo"/>
          <w:rFonts w:ascii="Verdana" w:hAnsi="Verdana"/>
          <w:color w:val="4472C4" w:themeColor="accent1"/>
        </w:rPr>
        <w:t>ColombiaCompraEficiente</w:t>
      </w:r>
      <w:proofErr w:type="spellEnd"/>
    </w:p>
    <w:p w14:paraId="5E30CA49" w14:textId="77777777" w:rsidR="00334ED8" w:rsidRPr="00CC5C68" w:rsidRDefault="00334ED8" w:rsidP="00334ED8">
      <w:pPr>
        <w:spacing w:after="0" w:line="240" w:lineRule="auto"/>
        <w:jc w:val="both"/>
        <w:rPr>
          <w:rFonts w:ascii="Verdana" w:hAnsi="Verdana"/>
        </w:rPr>
      </w:pPr>
      <w:r w:rsidRPr="00CC5C68">
        <w:rPr>
          <w:rFonts w:ascii="Verdana" w:hAnsi="Verdana"/>
        </w:rPr>
        <w:t xml:space="preserve">LinkedIn: </w:t>
      </w:r>
      <w:r w:rsidRPr="00CC5C68">
        <w:rPr>
          <w:rStyle w:val="Hipervnculo"/>
          <w:rFonts w:ascii="Verdana" w:hAnsi="Verdana"/>
          <w:color w:val="4472C4" w:themeColor="accent1"/>
        </w:rPr>
        <w:t>Agencia Nacional de Contratación Pública - Colombia Compra Eficiente</w:t>
      </w:r>
      <w:r w:rsidRPr="00CC5C68">
        <w:rPr>
          <w:rFonts w:ascii="Verdana" w:hAnsi="Verdana"/>
          <w:color w:val="4472C4" w:themeColor="accent1"/>
        </w:rPr>
        <w:t xml:space="preserve"> </w:t>
      </w:r>
      <w:r w:rsidRPr="00CC5C68">
        <w:rPr>
          <w:rFonts w:ascii="Verdana" w:hAnsi="Verdana"/>
        </w:rPr>
        <w:t xml:space="preserve">Instagram: </w:t>
      </w:r>
      <w:r w:rsidRPr="00CC5C68">
        <w:rPr>
          <w:rStyle w:val="Hipervnculo"/>
          <w:rFonts w:ascii="Verdana" w:hAnsi="Verdana"/>
          <w:color w:val="4472C4" w:themeColor="accent1"/>
        </w:rPr>
        <w:t>@colombiacompraeficiente_cce</w:t>
      </w:r>
    </w:p>
    <w:p w14:paraId="10CD38A6" w14:textId="77777777" w:rsidR="00334ED8" w:rsidRPr="00CC5C68" w:rsidRDefault="00334ED8" w:rsidP="00334ED8">
      <w:pPr>
        <w:widowControl w:val="0"/>
        <w:autoSpaceDE w:val="0"/>
        <w:autoSpaceDN w:val="0"/>
        <w:spacing w:after="0" w:line="276" w:lineRule="auto"/>
        <w:jc w:val="both"/>
        <w:rPr>
          <w:rFonts w:ascii="Verdana" w:hAnsi="Verdana" w:cs="Arial"/>
        </w:rPr>
      </w:pPr>
    </w:p>
    <w:p w14:paraId="2C0301E3" w14:textId="77777777" w:rsidR="00334ED8" w:rsidRPr="00CC5C68" w:rsidRDefault="00334ED8" w:rsidP="00334ED8">
      <w:pPr>
        <w:widowControl w:val="0"/>
        <w:autoSpaceDE w:val="0"/>
        <w:autoSpaceDN w:val="0"/>
        <w:spacing w:after="0" w:line="276" w:lineRule="auto"/>
        <w:jc w:val="both"/>
        <w:rPr>
          <w:rFonts w:ascii="Verdana" w:hAnsi="Verdana" w:cs="Arial"/>
          <w:lang w:val="es-ES_tradnl"/>
        </w:rPr>
      </w:pPr>
      <w:r w:rsidRPr="00CC5C68">
        <w:rPr>
          <w:rFonts w:ascii="Verdana" w:hAnsi="Verdana" w:cs="Arial"/>
        </w:rPr>
        <w:t xml:space="preserve">Este concepto tiene el alcance previsto en el artículo 28 del Código de Procedimiento Administrativo y de lo Contencioso Administrativo </w:t>
      </w:r>
      <w:r w:rsidRPr="00CC5C68">
        <w:rPr>
          <w:rFonts w:ascii="Verdana" w:hAnsi="Verdana" w:cs="Arial"/>
          <w:lang w:val="es-ES_tradnl"/>
        </w:rPr>
        <w:t>y las expresiones aquí utilizadas con mayúscula inicial deben ser entendidas con el significado que les otorga el artículo 2.2.1.1.1.3.1. del Decreto 1082 de 2015.</w:t>
      </w:r>
    </w:p>
    <w:p w14:paraId="0A6C232E" w14:textId="77777777" w:rsidR="00334ED8" w:rsidRDefault="00334ED8" w:rsidP="00334ED8">
      <w:pPr>
        <w:spacing w:after="0" w:line="276" w:lineRule="auto"/>
        <w:jc w:val="both"/>
        <w:rPr>
          <w:rFonts w:ascii="Verdana" w:eastAsia="Times New Roman" w:hAnsi="Verdana" w:cs="Arial"/>
          <w:lang w:eastAsia="es-CO"/>
        </w:rPr>
      </w:pPr>
    </w:p>
    <w:p w14:paraId="718E5AA6" w14:textId="77777777" w:rsidR="00334ED8" w:rsidRPr="00505CD6" w:rsidRDefault="00334ED8" w:rsidP="00334ED8">
      <w:pPr>
        <w:spacing w:after="0" w:line="276" w:lineRule="auto"/>
        <w:jc w:val="both"/>
        <w:rPr>
          <w:rFonts w:ascii="Verdana" w:hAnsi="Verdana" w:cs="Arial"/>
          <w:lang w:eastAsia="es-CO"/>
        </w:rPr>
      </w:pPr>
      <w:r w:rsidRPr="00505CD6">
        <w:rPr>
          <w:rFonts w:ascii="Verdana" w:eastAsia="Times New Roman" w:hAnsi="Verdana" w:cs="Arial"/>
          <w:lang w:eastAsia="es-CO"/>
        </w:rPr>
        <w:t>Atentamente,</w:t>
      </w:r>
      <w:r w:rsidRPr="00505CD6">
        <w:rPr>
          <w:rFonts w:ascii="Verdana" w:hAnsi="Verdana" w:cs="Arial"/>
          <w:lang w:eastAsia="es-CO"/>
        </w:rPr>
        <w:t xml:space="preserve"> </w:t>
      </w:r>
    </w:p>
    <w:p w14:paraId="14A35811" w14:textId="2692D41D" w:rsidR="00334ED8" w:rsidRDefault="00334ED8" w:rsidP="00334ED8">
      <w:pPr>
        <w:spacing w:line="276" w:lineRule="auto"/>
        <w:jc w:val="center"/>
        <w:rPr>
          <w:noProof/>
          <w:color w:val="000000"/>
        </w:rPr>
      </w:pPr>
    </w:p>
    <w:p w14:paraId="7D388252" w14:textId="63CA9E1D" w:rsidR="00334ED8" w:rsidRDefault="00D7113F" w:rsidP="00334ED8">
      <w:pPr>
        <w:spacing w:line="276" w:lineRule="auto"/>
        <w:jc w:val="center"/>
        <w:rPr>
          <w:noProof/>
          <w:color w:val="000000"/>
        </w:rPr>
      </w:pPr>
      <w:r w:rsidRPr="002C3AD6">
        <w:rPr>
          <w:rFonts w:ascii="Century Gothic" w:hAnsi="Century Gothic"/>
          <w:noProof/>
        </w:rPr>
        <w:drawing>
          <wp:inline distT="0" distB="0" distL="0" distR="0" wp14:anchorId="6F20A09D" wp14:editId="51BE9E52">
            <wp:extent cx="3772426" cy="1400370"/>
            <wp:effectExtent l="0" t="0" r="0" b="9525"/>
            <wp:docPr id="1780277293"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80277293" name="Imagen 1" descr="Texto&#10;&#10;Descripción generada automáticamente"/>
                    <pic:cNvPicPr/>
                  </pic:nvPicPr>
                  <pic:blipFill>
                    <a:blip r:embed="rId15"/>
                    <a:stretch>
                      <a:fillRect/>
                    </a:stretch>
                  </pic:blipFill>
                  <pic:spPr>
                    <a:xfrm>
                      <a:off x="0" y="0"/>
                      <a:ext cx="3772426" cy="1400370"/>
                    </a:xfrm>
                    <a:prstGeom prst="rect">
                      <a:avLst/>
                    </a:prstGeom>
                  </pic:spPr>
                </pic:pic>
              </a:graphicData>
            </a:graphic>
          </wp:inline>
        </w:drawing>
      </w:r>
    </w:p>
    <w:p w14:paraId="0D174BC0" w14:textId="31ECF116" w:rsidR="00EC3A77" w:rsidRDefault="00EC3A77" w:rsidP="00334ED8">
      <w:pPr>
        <w:spacing w:line="276" w:lineRule="auto"/>
        <w:jc w:val="center"/>
        <w:rPr>
          <w:noProof/>
          <w:color w:val="000000"/>
        </w:rPr>
      </w:pPr>
    </w:p>
    <w:p w14:paraId="66632C18" w14:textId="77777777" w:rsidR="00EC3A77" w:rsidRDefault="00EC3A77" w:rsidP="00334ED8">
      <w:pPr>
        <w:spacing w:line="276" w:lineRule="auto"/>
        <w:jc w:val="center"/>
        <w:rPr>
          <w:noProof/>
          <w:color w:val="000000"/>
        </w:rPr>
      </w:pPr>
    </w:p>
    <w:tbl>
      <w:tblPr>
        <w:tblStyle w:val="Tablaconcuadrcula"/>
        <w:tblW w:w="652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93"/>
        <w:gridCol w:w="5628"/>
      </w:tblGrid>
      <w:tr w:rsidR="00334ED8" w:rsidRPr="00593A5F" w14:paraId="39961B18" w14:textId="77777777" w:rsidTr="00107AC4">
        <w:trPr>
          <w:trHeight w:val="315"/>
        </w:trPr>
        <w:tc>
          <w:tcPr>
            <w:tcW w:w="893" w:type="dxa"/>
            <w:vAlign w:val="center"/>
            <w:hideMark/>
          </w:tcPr>
          <w:p w14:paraId="7BEC72E8" w14:textId="77777777" w:rsidR="00334ED8" w:rsidRPr="003751C7" w:rsidRDefault="00334ED8" w:rsidP="00107AC4">
            <w:pPr>
              <w:contextualSpacing/>
              <w:rPr>
                <w:rFonts w:ascii="Verdana" w:hAnsi="Verdana" w:cs="Arial"/>
                <w:sz w:val="16"/>
                <w:szCs w:val="16"/>
                <w:lang w:val="es-ES" w:eastAsia="es-ES"/>
              </w:rPr>
            </w:pPr>
            <w:r w:rsidRPr="003751C7">
              <w:rPr>
                <w:rFonts w:ascii="Verdana" w:hAnsi="Verdana" w:cs="Arial"/>
                <w:sz w:val="16"/>
                <w:szCs w:val="16"/>
                <w:lang w:val="es-ES" w:eastAsia="es-ES"/>
              </w:rPr>
              <w:t>Elaboró:</w:t>
            </w:r>
          </w:p>
        </w:tc>
        <w:tc>
          <w:tcPr>
            <w:tcW w:w="5628" w:type="dxa"/>
            <w:tcBorders>
              <w:top w:val="nil"/>
              <w:left w:val="nil"/>
              <w:bottom w:val="dotted" w:sz="4" w:space="0" w:color="7F7F7F" w:themeColor="text1" w:themeTint="80"/>
              <w:right w:val="nil"/>
            </w:tcBorders>
            <w:vAlign w:val="center"/>
            <w:hideMark/>
          </w:tcPr>
          <w:p w14:paraId="39011682" w14:textId="3484BDD5" w:rsidR="00334ED8" w:rsidRPr="00C42FC5" w:rsidRDefault="00334ED8" w:rsidP="00107AC4">
            <w:pPr>
              <w:pStyle w:val="paragraph"/>
              <w:spacing w:before="0" w:beforeAutospacing="0" w:after="0" w:afterAutospacing="0"/>
              <w:contextualSpacing/>
              <w:textAlignment w:val="baseline"/>
              <w:rPr>
                <w:rStyle w:val="normaltextrun"/>
                <w:rFonts w:ascii="Verdana" w:hAnsi="Verdana" w:cstheme="minorHAnsi"/>
                <w:sz w:val="16"/>
                <w:szCs w:val="16"/>
              </w:rPr>
            </w:pPr>
            <w:r w:rsidRPr="00C42FC5">
              <w:rPr>
                <w:rStyle w:val="normaltextrun"/>
                <w:rFonts w:ascii="Verdana" w:hAnsi="Verdana" w:cstheme="minorHAnsi"/>
                <w:sz w:val="16"/>
                <w:szCs w:val="16"/>
              </w:rPr>
              <w:t xml:space="preserve">María </w:t>
            </w:r>
            <w:proofErr w:type="spellStart"/>
            <w:r w:rsidRPr="00C42FC5">
              <w:rPr>
                <w:rStyle w:val="normaltextrun"/>
                <w:rFonts w:ascii="Verdana" w:hAnsi="Verdana" w:cstheme="minorHAnsi"/>
                <w:sz w:val="16"/>
                <w:szCs w:val="16"/>
              </w:rPr>
              <w:t>Joshira</w:t>
            </w:r>
            <w:proofErr w:type="spellEnd"/>
            <w:r w:rsidRPr="00C42FC5">
              <w:rPr>
                <w:rStyle w:val="normaltextrun"/>
                <w:rFonts w:ascii="Verdana" w:hAnsi="Verdana" w:cstheme="minorHAnsi"/>
                <w:sz w:val="16"/>
                <w:szCs w:val="16"/>
              </w:rPr>
              <w:t xml:space="preserve"> Nieto Manzano.</w:t>
            </w:r>
          </w:p>
          <w:p w14:paraId="79C9462D" w14:textId="77777777" w:rsidR="00334ED8" w:rsidRPr="00C42FC5" w:rsidRDefault="00334ED8" w:rsidP="00107AC4">
            <w:pPr>
              <w:contextualSpacing/>
              <w:rPr>
                <w:rStyle w:val="normaltextrun"/>
                <w:rFonts w:eastAsia="Times New Roman" w:cstheme="minorHAnsi"/>
                <w:lang w:eastAsia="es-CO"/>
              </w:rPr>
            </w:pPr>
            <w:r w:rsidRPr="00C42FC5">
              <w:rPr>
                <w:rStyle w:val="normaltextrun"/>
                <w:rFonts w:ascii="Verdana" w:eastAsia="Times New Roman" w:hAnsi="Verdana" w:cstheme="minorHAnsi"/>
                <w:sz w:val="16"/>
                <w:szCs w:val="16"/>
                <w:lang w:eastAsia="es-CO"/>
              </w:rPr>
              <w:t>Contratista</w:t>
            </w:r>
            <w:r w:rsidRPr="00C42FC5">
              <w:rPr>
                <w:rStyle w:val="normaltextrun"/>
                <w:rFonts w:eastAsia="Times New Roman" w:cstheme="minorHAnsi"/>
                <w:lang w:eastAsia="es-CO"/>
              </w:rPr>
              <w:t xml:space="preserve"> de la Subdirección de Gestión Contractual</w:t>
            </w:r>
          </w:p>
        </w:tc>
      </w:tr>
      <w:tr w:rsidR="00334ED8" w:rsidRPr="00593A5F" w14:paraId="1E30043E" w14:textId="77777777" w:rsidTr="00107AC4">
        <w:trPr>
          <w:trHeight w:val="330"/>
        </w:trPr>
        <w:tc>
          <w:tcPr>
            <w:tcW w:w="893" w:type="dxa"/>
            <w:vAlign w:val="center"/>
            <w:hideMark/>
          </w:tcPr>
          <w:p w14:paraId="4E9A2D2D" w14:textId="77777777" w:rsidR="00334ED8" w:rsidRPr="003751C7" w:rsidRDefault="00334ED8" w:rsidP="00107AC4">
            <w:pPr>
              <w:contextualSpacing/>
              <w:rPr>
                <w:rFonts w:ascii="Verdana" w:hAnsi="Verdana" w:cs="Arial"/>
                <w:sz w:val="16"/>
                <w:szCs w:val="16"/>
                <w:lang w:val="es-ES" w:eastAsia="es-ES"/>
              </w:rPr>
            </w:pPr>
            <w:r w:rsidRPr="003751C7">
              <w:rPr>
                <w:rFonts w:ascii="Verdana" w:hAnsi="Verdana" w:cs="Arial"/>
                <w:sz w:val="16"/>
                <w:szCs w:val="16"/>
                <w:lang w:val="es-ES" w:eastAsia="es-ES"/>
              </w:rPr>
              <w:t>Revisó:</w:t>
            </w:r>
          </w:p>
        </w:tc>
        <w:tc>
          <w:tcPr>
            <w:tcW w:w="5628" w:type="dxa"/>
            <w:tcBorders>
              <w:top w:val="dotted" w:sz="4" w:space="0" w:color="7F7F7F" w:themeColor="text1" w:themeTint="80"/>
              <w:left w:val="nil"/>
              <w:bottom w:val="dotted" w:sz="4" w:space="0" w:color="7F7F7F" w:themeColor="text1" w:themeTint="80"/>
              <w:right w:val="nil"/>
            </w:tcBorders>
            <w:vAlign w:val="center"/>
            <w:hideMark/>
          </w:tcPr>
          <w:p w14:paraId="0BC3FFCD" w14:textId="07B4E92B" w:rsidR="00334ED8" w:rsidRDefault="00334ED8" w:rsidP="00107AC4">
            <w:pPr>
              <w:pStyle w:val="paragraph"/>
              <w:spacing w:before="0" w:beforeAutospacing="0" w:after="0" w:afterAutospacing="0"/>
              <w:contextualSpacing/>
              <w:textAlignment w:val="baseline"/>
              <w:rPr>
                <w:rStyle w:val="normaltextrun"/>
                <w:rFonts w:ascii="Verdana" w:hAnsi="Verdana" w:cstheme="minorHAnsi"/>
                <w:sz w:val="16"/>
                <w:szCs w:val="16"/>
              </w:rPr>
            </w:pPr>
            <w:r>
              <w:rPr>
                <w:rStyle w:val="normaltextrun"/>
                <w:rFonts w:ascii="Verdana" w:hAnsi="Verdana" w:cstheme="minorHAnsi"/>
                <w:sz w:val="16"/>
                <w:szCs w:val="16"/>
              </w:rPr>
              <w:t>Juan Carlos González.</w:t>
            </w:r>
          </w:p>
          <w:p w14:paraId="793916E3" w14:textId="77777777" w:rsidR="00334ED8" w:rsidRPr="00C42FC5" w:rsidRDefault="00334ED8" w:rsidP="00107AC4">
            <w:pPr>
              <w:pStyle w:val="paragraph"/>
              <w:spacing w:before="0" w:beforeAutospacing="0" w:after="0" w:afterAutospacing="0"/>
              <w:contextualSpacing/>
              <w:textAlignment w:val="baseline"/>
              <w:rPr>
                <w:rStyle w:val="normaltextrun"/>
              </w:rPr>
            </w:pPr>
            <w:r w:rsidRPr="00C42FC5">
              <w:rPr>
                <w:rStyle w:val="normaltextrun"/>
                <w:rFonts w:ascii="Verdana" w:hAnsi="Verdana" w:cstheme="minorHAnsi"/>
                <w:sz w:val="16"/>
                <w:szCs w:val="16"/>
              </w:rPr>
              <w:t>Contratista Subdirección de Gestión Contractual</w:t>
            </w:r>
          </w:p>
        </w:tc>
      </w:tr>
      <w:tr w:rsidR="00334ED8" w:rsidRPr="00593A5F" w14:paraId="54AAF40D" w14:textId="77777777" w:rsidTr="00107AC4">
        <w:trPr>
          <w:trHeight w:val="300"/>
        </w:trPr>
        <w:tc>
          <w:tcPr>
            <w:tcW w:w="893" w:type="dxa"/>
            <w:vAlign w:val="center"/>
          </w:tcPr>
          <w:p w14:paraId="331F8914" w14:textId="77777777" w:rsidR="00334ED8" w:rsidRPr="003751C7" w:rsidRDefault="00334ED8" w:rsidP="00107AC4">
            <w:pPr>
              <w:contextualSpacing/>
              <w:rPr>
                <w:rFonts w:ascii="Verdana" w:hAnsi="Verdana" w:cs="Arial"/>
                <w:sz w:val="16"/>
                <w:szCs w:val="16"/>
                <w:lang w:val="es-ES" w:eastAsia="es-ES"/>
              </w:rPr>
            </w:pPr>
            <w:r w:rsidRPr="003751C7">
              <w:rPr>
                <w:rFonts w:ascii="Verdana" w:hAnsi="Verdana" w:cs="Arial"/>
                <w:sz w:val="16"/>
                <w:szCs w:val="16"/>
                <w:lang w:val="es-ES" w:eastAsia="es-ES"/>
              </w:rPr>
              <w:t>Aprobó:</w:t>
            </w:r>
          </w:p>
        </w:tc>
        <w:tc>
          <w:tcPr>
            <w:tcW w:w="5628" w:type="dxa"/>
            <w:tcBorders>
              <w:top w:val="dotted" w:sz="4" w:space="0" w:color="7F7F7F" w:themeColor="text1" w:themeTint="80"/>
              <w:left w:val="nil"/>
              <w:bottom w:val="dotted" w:sz="4" w:space="0" w:color="7F7F7F" w:themeColor="text1" w:themeTint="80"/>
              <w:right w:val="nil"/>
            </w:tcBorders>
            <w:vAlign w:val="center"/>
          </w:tcPr>
          <w:p w14:paraId="5BDA93D7" w14:textId="5A15C7F1" w:rsidR="00334ED8" w:rsidRPr="000015E6" w:rsidRDefault="00334ED8" w:rsidP="00107AC4">
            <w:pPr>
              <w:contextualSpacing/>
              <w:rPr>
                <w:rFonts w:ascii="Verdana" w:eastAsia="Calibri" w:hAnsi="Verdana" w:cs="Arial"/>
                <w:sz w:val="16"/>
                <w:szCs w:val="16"/>
                <w:lang w:val="pt-BR" w:eastAsia="es-ES"/>
              </w:rPr>
            </w:pPr>
            <w:r w:rsidRPr="000015E6">
              <w:rPr>
                <w:rFonts w:ascii="Verdana" w:eastAsia="Calibri" w:hAnsi="Verdana" w:cs="Arial"/>
                <w:sz w:val="16"/>
                <w:szCs w:val="16"/>
                <w:lang w:val="pt-BR" w:eastAsia="es-ES"/>
              </w:rPr>
              <w:t>Carolina Quintero Ganchará</w:t>
            </w:r>
            <w:r>
              <w:rPr>
                <w:rFonts w:ascii="Verdana" w:eastAsia="Calibri" w:hAnsi="Verdana" w:cs="Arial"/>
                <w:sz w:val="16"/>
                <w:szCs w:val="16"/>
                <w:lang w:val="pt-BR" w:eastAsia="es-ES"/>
              </w:rPr>
              <w:t>.</w:t>
            </w:r>
          </w:p>
          <w:p w14:paraId="6B667532" w14:textId="77777777" w:rsidR="00334ED8" w:rsidRPr="000015E6" w:rsidRDefault="00334ED8" w:rsidP="00107AC4">
            <w:pPr>
              <w:contextualSpacing/>
              <w:rPr>
                <w:rFonts w:ascii="Verdana" w:eastAsia="Calibri" w:hAnsi="Verdana" w:cs="Arial"/>
                <w:sz w:val="16"/>
                <w:szCs w:val="16"/>
                <w:lang w:val="pt-BR" w:eastAsia="es-ES"/>
              </w:rPr>
            </w:pPr>
            <w:r w:rsidRPr="000015E6">
              <w:rPr>
                <w:rFonts w:ascii="Verdana" w:eastAsia="Calibri" w:hAnsi="Verdana" w:cs="Arial"/>
                <w:sz w:val="16"/>
                <w:szCs w:val="16"/>
                <w:lang w:eastAsia="es-ES"/>
              </w:rPr>
              <w:t>Subdirectora</w:t>
            </w:r>
            <w:r w:rsidRPr="000015E6">
              <w:rPr>
                <w:rFonts w:ascii="Verdana" w:eastAsia="Calibri" w:hAnsi="Verdana" w:cs="Arial"/>
                <w:sz w:val="16"/>
                <w:szCs w:val="16"/>
                <w:lang w:val="pt-BR" w:eastAsia="es-ES"/>
              </w:rPr>
              <w:t xml:space="preserve"> de Gestión Contratual ANCP – CCE</w:t>
            </w:r>
          </w:p>
        </w:tc>
      </w:tr>
    </w:tbl>
    <w:p w14:paraId="3D617E59" w14:textId="77777777" w:rsidR="00334ED8" w:rsidRPr="0044528D" w:rsidRDefault="00334ED8" w:rsidP="00334ED8">
      <w:pPr>
        <w:spacing w:after="0"/>
        <w:rPr>
          <w:rFonts w:ascii="Verdana" w:hAnsi="Verdana"/>
        </w:rPr>
      </w:pPr>
    </w:p>
    <w:p w14:paraId="6038FE30" w14:textId="78E76C5E" w:rsidR="00334ED8" w:rsidRPr="006A04CB" w:rsidRDefault="00334ED8" w:rsidP="00334ED8">
      <w:pPr>
        <w:widowControl w:val="0"/>
        <w:autoSpaceDE w:val="0"/>
        <w:autoSpaceDN w:val="0"/>
        <w:spacing w:after="0" w:line="276" w:lineRule="auto"/>
        <w:jc w:val="both"/>
      </w:pPr>
    </w:p>
    <w:p w14:paraId="057C59D2" w14:textId="77777777" w:rsidR="00334ED8" w:rsidRPr="00557077" w:rsidRDefault="00334ED8" w:rsidP="00334ED8"/>
    <w:p w14:paraId="78C6B667" w14:textId="09EF0C8E" w:rsidR="00334ED8" w:rsidRPr="0044528D" w:rsidRDefault="00334ED8" w:rsidP="00E245AB">
      <w:pPr>
        <w:spacing w:after="0"/>
        <w:rPr>
          <w:rFonts w:ascii="Verdana" w:hAnsi="Verdana"/>
        </w:rPr>
      </w:pPr>
    </w:p>
    <w:bookmarkEnd w:id="0"/>
    <w:sectPr w:rsidR="00334ED8" w:rsidRPr="0044528D" w:rsidSect="00334ED8">
      <w:headerReference w:type="default" r:id="rId16"/>
      <w:footerReference w:type="default" r:id="rId17"/>
      <w:pgSz w:w="12240" w:h="15840" w:code="1"/>
      <w:pgMar w:top="1417" w:right="1701" w:bottom="1417" w:left="1701" w:header="709" w:footer="42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1A0F233" w14:textId="77777777" w:rsidR="009B25A8" w:rsidRDefault="009B25A8" w:rsidP="004A1847">
      <w:pPr>
        <w:spacing w:after="0" w:line="240" w:lineRule="auto"/>
      </w:pPr>
      <w:r>
        <w:separator/>
      </w:r>
    </w:p>
  </w:endnote>
  <w:endnote w:type="continuationSeparator" w:id="0">
    <w:p w14:paraId="42E43FDB" w14:textId="77777777" w:rsidR="009B25A8" w:rsidRDefault="009B25A8" w:rsidP="004A18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Geomanist Light">
    <w:altName w:val="Calibri"/>
    <w:panose1 w:val="00000000000000000000"/>
    <w:charset w:val="00"/>
    <w:family w:val="modern"/>
    <w:notTrueType/>
    <w:pitch w:val="variable"/>
    <w:sig w:usb0="A000002F" w:usb1="1000004A" w:usb2="00000000" w:usb3="00000000" w:csb0="00000193" w:csb1="00000000"/>
  </w:font>
  <w:font w:name="Geomanist">
    <w:altName w:val="Calibri"/>
    <w:panose1 w:val="00000000000000000000"/>
    <w:charset w:val="00"/>
    <w:family w:val="modern"/>
    <w:notTrueType/>
    <w:pitch w:val="variable"/>
    <w:sig w:usb0="A000002F" w:usb1="1000004A" w:usb2="00000000" w:usb3="00000000" w:csb0="00000193" w:csb1="00000000"/>
  </w:font>
  <w:font w:name="Verdana">
    <w:panose1 w:val="020B0604030504040204"/>
    <w:charset w:val="00"/>
    <w:family w:val="swiss"/>
    <w:pitch w:val="variable"/>
    <w:sig w:usb0="A00006FF" w:usb1="4000205B" w:usb2="00000010" w:usb3="00000000" w:csb0="0000019F" w:csb1="00000000"/>
  </w:font>
  <w:font w:name="Yu Gothic UI Semibold">
    <w:panose1 w:val="020B0700000000000000"/>
    <w:charset w:val="80"/>
    <w:family w:val="swiss"/>
    <w:pitch w:val="variable"/>
    <w:sig w:usb0="E00002FF" w:usb1="2AC7FDFF" w:usb2="00000016" w:usb3="00000000" w:csb0="0002009F" w:csb1="00000000"/>
  </w:font>
  <w:font w:name="Arial MT">
    <w:altName w:val="Arial"/>
    <w:charset w:val="01"/>
    <w:family w:val="swiss"/>
    <w:pitch w:val="variable"/>
  </w:font>
  <w:font w:name="Century Gothic">
    <w:panose1 w:val="020B0502020202020204"/>
    <w:charset w:val="00"/>
    <w:family w:val="swiss"/>
    <w:pitch w:val="variable"/>
    <w:sig w:usb0="00000287" w:usb1="00000000" w:usb2="00000000" w:usb3="00000000" w:csb0="0000009F" w:csb1="00000000"/>
  </w:font>
  <w:font w:name="Geomanist Bold">
    <w:altName w:val="Calibri"/>
    <w:panose1 w:val="00000000000000000000"/>
    <w:charset w:val="00"/>
    <w:family w:val="modern"/>
    <w:notTrueType/>
    <w:pitch w:val="variable"/>
    <w:sig w:usb0="A000002F" w:usb1="1000004A" w:usb2="00000000" w:usb3="00000000" w:csb0="00000193" w:csb1="00000000"/>
  </w:font>
  <w:font w:name="Geo">
    <w:altName w:val="Calibri"/>
    <w:charset w:val="00"/>
    <w:family w:val="auto"/>
    <w:pitch w:val="variable"/>
    <w:sig w:usb0="8000002F" w:usb1="40000048" w:usb2="00000000" w:usb3="00000000" w:csb0="00000001" w:csb1="00000000"/>
  </w:font>
  <w:font w:name="Arial Nova">
    <w:charset w:val="00"/>
    <w:family w:val="swiss"/>
    <w:pitch w:val="variable"/>
    <w:sig w:usb0="0000028F" w:usb1="00000002" w:usb2="00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911A32" w14:textId="6CE791A4" w:rsidR="004A1847" w:rsidRDefault="004A1847">
    <w:pPr>
      <w:pStyle w:val="Piedepgina"/>
    </w:pPr>
  </w:p>
  <w:p w14:paraId="594D6D9F" w14:textId="77777777" w:rsidR="00D520D8" w:rsidRPr="00174B77" w:rsidRDefault="00D520D8" w:rsidP="00D520D8">
    <w:pPr>
      <w:pBdr>
        <w:top w:val="single" w:sz="4" w:space="1" w:color="auto"/>
      </w:pBdr>
      <w:spacing w:after="0"/>
      <w:rPr>
        <w:rFonts w:ascii="Verdana" w:hAnsi="Verdana"/>
        <w:b/>
        <w:bCs/>
        <w:sz w:val="20"/>
        <w:szCs w:val="20"/>
      </w:rPr>
    </w:pPr>
    <w:r>
      <w:rPr>
        <w:rFonts w:ascii="Verdana" w:hAnsi="Verdana"/>
        <w:b/>
        <w:bCs/>
        <w:sz w:val="20"/>
        <w:szCs w:val="20"/>
      </w:rPr>
      <w:t>A</w:t>
    </w:r>
    <w:r w:rsidRPr="008E4D59">
      <w:rPr>
        <w:rFonts w:ascii="Verdana" w:hAnsi="Verdana"/>
        <w:b/>
        <w:bCs/>
        <w:sz w:val="20"/>
        <w:szCs w:val="20"/>
      </w:rPr>
      <w:t>gencia Nacional de Contratación</w:t>
    </w:r>
    <w:r>
      <w:rPr>
        <w:rFonts w:ascii="Verdana" w:hAnsi="Verdana"/>
        <w:b/>
        <w:bCs/>
        <w:sz w:val="20"/>
        <w:szCs w:val="20"/>
      </w:rPr>
      <w:t xml:space="preserve"> </w:t>
    </w:r>
    <w:r w:rsidRPr="008E4D59">
      <w:rPr>
        <w:rFonts w:ascii="Verdana" w:hAnsi="Verdana"/>
        <w:b/>
        <w:bCs/>
        <w:sz w:val="20"/>
        <w:szCs w:val="20"/>
      </w:rPr>
      <w:t>Pública</w:t>
    </w:r>
    <w:r>
      <w:rPr>
        <w:rFonts w:ascii="Verdana" w:hAnsi="Verdana"/>
        <w:b/>
        <w:bCs/>
        <w:sz w:val="20"/>
        <w:szCs w:val="20"/>
      </w:rPr>
      <w:t xml:space="preserve">                                              </w:t>
    </w:r>
    <w:r w:rsidRPr="002E1330">
      <w:rPr>
        <w:rFonts w:ascii="Verdana" w:eastAsiaTheme="majorEastAsia" w:hAnsi="Verdana" w:cstheme="majorBidi"/>
        <w:b/>
        <w:bCs/>
        <w:sz w:val="16"/>
        <w:szCs w:val="16"/>
        <w:lang w:val="es-ES"/>
      </w:rPr>
      <w:t xml:space="preserve">pág. </w:t>
    </w:r>
    <w:r w:rsidRPr="002E1330">
      <w:rPr>
        <w:rFonts w:ascii="Verdana" w:eastAsiaTheme="minorEastAsia" w:hAnsi="Verdana"/>
        <w:b/>
        <w:bCs/>
        <w:sz w:val="16"/>
        <w:szCs w:val="16"/>
      </w:rPr>
      <w:fldChar w:fldCharType="begin"/>
    </w:r>
    <w:r w:rsidRPr="002E1330">
      <w:rPr>
        <w:rFonts w:ascii="Verdana" w:hAnsi="Verdana"/>
        <w:b/>
        <w:bCs/>
        <w:sz w:val="16"/>
        <w:szCs w:val="16"/>
      </w:rPr>
      <w:instrText>PAGE    \* MERGEFORMAT</w:instrText>
    </w:r>
    <w:r w:rsidRPr="002E1330">
      <w:rPr>
        <w:rFonts w:ascii="Verdana" w:eastAsiaTheme="minorEastAsia" w:hAnsi="Verdana"/>
        <w:b/>
        <w:bCs/>
        <w:sz w:val="16"/>
        <w:szCs w:val="16"/>
      </w:rPr>
      <w:fldChar w:fldCharType="separate"/>
    </w:r>
    <w:r>
      <w:rPr>
        <w:rFonts w:ascii="Verdana" w:eastAsiaTheme="minorEastAsia" w:hAnsi="Verdana"/>
        <w:b/>
        <w:bCs/>
        <w:sz w:val="16"/>
        <w:szCs w:val="16"/>
      </w:rPr>
      <w:t>1</w:t>
    </w:r>
    <w:r w:rsidRPr="002E1330">
      <w:rPr>
        <w:rFonts w:ascii="Verdana" w:eastAsiaTheme="majorEastAsia" w:hAnsi="Verdana" w:cstheme="majorBidi"/>
        <w:b/>
        <w:bCs/>
        <w:sz w:val="16"/>
        <w:szCs w:val="16"/>
      </w:rPr>
      <w:fldChar w:fldCharType="end"/>
    </w:r>
    <w:r>
      <w:rPr>
        <w:rFonts w:ascii="Verdana" w:hAnsi="Verdana"/>
        <w:b/>
        <w:bCs/>
        <w:sz w:val="20"/>
        <w:szCs w:val="20"/>
      </w:rPr>
      <w:t xml:space="preserve">              </w:t>
    </w:r>
    <w:r w:rsidRPr="008E4D59">
      <w:rPr>
        <w:rFonts w:ascii="Verdana" w:hAnsi="Verdana"/>
        <w:b/>
        <w:bCs/>
        <w:sz w:val="20"/>
        <w:szCs w:val="20"/>
      </w:rPr>
      <w:t xml:space="preserve">Colombia Compra Eficiente         </w:t>
    </w:r>
    <w:r w:rsidRPr="008E4D59">
      <w:rPr>
        <w:rFonts w:ascii="Verdana" w:hAnsi="Verdana"/>
        <w:b/>
        <w:bCs/>
        <w:sz w:val="20"/>
        <w:szCs w:val="20"/>
        <w:lang w:val="es-ES"/>
      </w:rPr>
      <w:t xml:space="preserve"> </w:t>
    </w:r>
    <w:r>
      <w:rPr>
        <w:rFonts w:ascii="Verdana" w:hAnsi="Verdana"/>
        <w:b/>
        <w:bCs/>
        <w:sz w:val="20"/>
        <w:szCs w:val="20"/>
      </w:rPr>
      <w:t xml:space="preserve">                                                  </w:t>
    </w:r>
  </w:p>
  <w:p w14:paraId="0A735DD5" w14:textId="77777777" w:rsidR="00D520D8" w:rsidRDefault="00D520D8" w:rsidP="00D520D8">
    <w:pPr>
      <w:spacing w:after="0"/>
      <w:jc w:val="both"/>
      <w:rPr>
        <w:rFonts w:ascii="Verdana" w:hAnsi="Verdana"/>
        <w:sz w:val="18"/>
        <w:szCs w:val="18"/>
      </w:rPr>
    </w:pPr>
    <w:r w:rsidRPr="00E41027">
      <w:rPr>
        <w:rFonts w:ascii="Verdana" w:hAnsi="Verdana"/>
        <w:sz w:val="18"/>
        <w:szCs w:val="18"/>
      </w:rPr>
      <w:t>Dirección: Carrera 7 # 26 – 20 - Bogotá, Colombia</w:t>
    </w:r>
  </w:p>
  <w:p w14:paraId="06E36B88" w14:textId="77777777" w:rsidR="00D520D8" w:rsidRPr="00E41027" w:rsidRDefault="00D520D8" w:rsidP="00D520D8">
    <w:pPr>
      <w:spacing w:after="0"/>
      <w:jc w:val="both"/>
      <w:rPr>
        <w:rFonts w:ascii="Verdana" w:hAnsi="Verdana"/>
        <w:sz w:val="18"/>
        <w:szCs w:val="18"/>
      </w:rPr>
    </w:pPr>
    <w:r w:rsidRPr="00E41027">
      <w:rPr>
        <w:rFonts w:ascii="Verdana" w:hAnsi="Verdana"/>
        <w:sz w:val="18"/>
        <w:szCs w:val="18"/>
      </w:rPr>
      <w:t>Mesa de servicio: (+57) 601 7456788</w:t>
    </w:r>
  </w:p>
  <w:p w14:paraId="744661F5" w14:textId="593AA28F" w:rsidR="006219F8" w:rsidRDefault="00D520D8" w:rsidP="0025796E">
    <w:pPr>
      <w:pBdr>
        <w:top w:val="nil"/>
        <w:left w:val="nil"/>
        <w:bottom w:val="nil"/>
        <w:right w:val="nil"/>
        <w:between w:val="nil"/>
      </w:pBdr>
      <w:tabs>
        <w:tab w:val="center" w:pos="4419"/>
        <w:tab w:val="right" w:pos="8838"/>
        <w:tab w:val="center" w:pos="5400"/>
      </w:tabs>
      <w:spacing w:after="0"/>
    </w:pPr>
    <w:r w:rsidRPr="00E41027">
      <w:rPr>
        <w:rFonts w:ascii="Verdana" w:hAnsi="Verdana"/>
        <w:sz w:val="18"/>
        <w:szCs w:val="18"/>
      </w:rPr>
      <w:t>Atención al ciudadano:</w:t>
    </w:r>
    <w:r>
      <w:rPr>
        <w:rFonts w:ascii="Verdana" w:hAnsi="Verdana"/>
        <w:sz w:val="18"/>
        <w:szCs w:val="18"/>
      </w:rPr>
      <w:t xml:space="preserve"> </w:t>
    </w:r>
    <w:r w:rsidRPr="00E41027">
      <w:rPr>
        <w:rFonts w:ascii="Verdana" w:hAnsi="Verdana"/>
        <w:sz w:val="18"/>
        <w:szCs w:val="18"/>
      </w:rPr>
      <w:t>(+57) 601 7956600</w:t>
    </w:r>
    <w:r>
      <w:rPr>
        <w:rFonts w:ascii="Verdana" w:hAnsi="Verdana"/>
        <w:sz w:val="18"/>
        <w:szCs w:val="18"/>
      </w:rPr>
      <w:t xml:space="preserve">          </w:t>
    </w:r>
    <w:r w:rsidR="00FA47C0" w:rsidRPr="004A305D">
      <w:rPr>
        <w:rFonts w:ascii="Century Gothic" w:eastAsia="Geo" w:hAnsi="Century Gothic" w:cs="Geo"/>
        <w:b/>
        <w:color w:val="000000"/>
        <w:sz w:val="16"/>
        <w:szCs w:val="16"/>
        <w:lang w:eastAsia="es-CO"/>
      </w:rPr>
      <w:t xml:space="preserve">Código: </w:t>
    </w:r>
    <w:r w:rsidR="00FA47C0" w:rsidRPr="004A305D">
      <w:rPr>
        <w:rFonts w:ascii="Century Gothic" w:eastAsia="Geo" w:hAnsi="Century Gothic" w:cs="Geo"/>
        <w:bCs/>
        <w:color w:val="000000"/>
        <w:sz w:val="16"/>
        <w:szCs w:val="16"/>
        <w:lang w:eastAsia="es-CO"/>
      </w:rPr>
      <w:t>CCE-</w:t>
    </w:r>
    <w:r w:rsidR="00FA47C0">
      <w:rPr>
        <w:rFonts w:ascii="Century Gothic" w:eastAsia="Geo" w:hAnsi="Century Gothic" w:cs="Geo"/>
        <w:bCs/>
        <w:color w:val="000000"/>
        <w:sz w:val="16"/>
        <w:szCs w:val="16"/>
        <w:lang w:eastAsia="es-CO"/>
      </w:rPr>
      <w:t>REC</w:t>
    </w:r>
    <w:r w:rsidR="00FA47C0" w:rsidRPr="004A305D">
      <w:rPr>
        <w:rFonts w:ascii="Century Gothic" w:eastAsia="Geo" w:hAnsi="Century Gothic" w:cs="Geo"/>
        <w:bCs/>
        <w:color w:val="000000"/>
        <w:sz w:val="16"/>
        <w:szCs w:val="16"/>
        <w:lang w:eastAsia="es-CO"/>
      </w:rPr>
      <w:t>-FM-</w:t>
    </w:r>
    <w:r w:rsidR="00FA47C0">
      <w:rPr>
        <w:rFonts w:ascii="Century Gothic" w:eastAsia="Geo" w:hAnsi="Century Gothic" w:cs="Geo"/>
        <w:bCs/>
        <w:color w:val="000000"/>
        <w:sz w:val="16"/>
        <w:szCs w:val="16"/>
        <w:lang w:eastAsia="es-CO"/>
      </w:rPr>
      <w:t>17</w:t>
    </w:r>
    <w:r w:rsidR="0025796E">
      <w:rPr>
        <w:rFonts w:ascii="Century Gothic" w:eastAsia="Geo" w:hAnsi="Century Gothic" w:cs="Geo"/>
        <w:bCs/>
        <w:color w:val="000000"/>
        <w:sz w:val="16"/>
        <w:szCs w:val="16"/>
        <w:lang w:eastAsia="es-CO"/>
      </w:rPr>
      <w:t xml:space="preserve"> </w:t>
    </w:r>
    <w:r w:rsidR="00FA47C0" w:rsidRPr="004A305D">
      <w:rPr>
        <w:rFonts w:ascii="Century Gothic" w:eastAsia="Geo" w:hAnsi="Century Gothic" w:cs="Geo"/>
        <w:b/>
        <w:color w:val="000000"/>
        <w:sz w:val="16"/>
        <w:szCs w:val="16"/>
        <w:lang w:eastAsia="es-CO"/>
      </w:rPr>
      <w:t>Versión</w:t>
    </w:r>
    <w:r w:rsidR="00FA47C0" w:rsidRPr="004A305D">
      <w:rPr>
        <w:rFonts w:ascii="Century Gothic" w:eastAsia="Arial Nova" w:hAnsi="Century Gothic" w:cs="Arial Nova"/>
        <w:b/>
        <w:color w:val="000000"/>
        <w:sz w:val="16"/>
        <w:szCs w:val="16"/>
        <w:lang w:eastAsia="es-CO"/>
      </w:rPr>
      <w:t xml:space="preserve">: </w:t>
    </w:r>
    <w:r w:rsidR="00FA47C0" w:rsidRPr="004A305D">
      <w:rPr>
        <w:rFonts w:ascii="Century Gothic" w:eastAsia="Geo" w:hAnsi="Century Gothic" w:cs="Geo"/>
        <w:sz w:val="16"/>
        <w:szCs w:val="16"/>
        <w:lang w:eastAsia="es-CO"/>
      </w:rPr>
      <w:t>0</w:t>
    </w:r>
    <w:r w:rsidR="00FA47C0">
      <w:rPr>
        <w:rFonts w:ascii="Century Gothic" w:eastAsia="Geo" w:hAnsi="Century Gothic" w:cs="Geo"/>
        <w:sz w:val="16"/>
        <w:szCs w:val="16"/>
        <w:lang w:eastAsia="es-CO"/>
      </w:rPr>
      <w:t>2</w:t>
    </w:r>
    <w:r w:rsidR="00FA47C0" w:rsidRPr="004A305D">
      <w:rPr>
        <w:rFonts w:ascii="Century Gothic" w:eastAsia="Geo" w:hAnsi="Century Gothic" w:cs="Geo"/>
        <w:sz w:val="16"/>
        <w:szCs w:val="16"/>
        <w:lang w:eastAsia="es-CO"/>
      </w:rPr>
      <w:t xml:space="preserve"> </w:t>
    </w:r>
    <w:r w:rsidR="0025796E">
      <w:rPr>
        <w:rFonts w:ascii="Century Gothic" w:eastAsia="Geo" w:hAnsi="Century Gothic" w:cs="Geo"/>
        <w:sz w:val="16"/>
        <w:szCs w:val="16"/>
        <w:lang w:eastAsia="es-CO"/>
      </w:rPr>
      <w:t>Fecha: 31-08-2023</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485B0AC" w14:textId="77777777" w:rsidR="009B25A8" w:rsidRDefault="009B25A8" w:rsidP="004A1847">
      <w:pPr>
        <w:spacing w:after="0" w:line="240" w:lineRule="auto"/>
      </w:pPr>
      <w:r>
        <w:separator/>
      </w:r>
    </w:p>
  </w:footnote>
  <w:footnote w:type="continuationSeparator" w:id="0">
    <w:p w14:paraId="0480898D" w14:textId="77777777" w:rsidR="009B25A8" w:rsidRDefault="009B25A8" w:rsidP="004A1847">
      <w:pPr>
        <w:spacing w:after="0" w:line="240" w:lineRule="auto"/>
      </w:pPr>
      <w:r>
        <w:continuationSeparator/>
      </w:r>
    </w:p>
  </w:footnote>
  <w:footnote w:id="1">
    <w:p w14:paraId="5A9B011A"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Corte Constitucional, sentencia T-743 de 2017, Exp. T-6.366.648 Magistrada Ponente Cristina Pardo Schlesinger.</w:t>
      </w:r>
    </w:p>
    <w:p w14:paraId="078622BB"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footnote>
  <w:footnote w:id="2">
    <w:p w14:paraId="3FEF2312"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“En el supuesto de vinculación de la mujer gestante o lactante mediante contrato de prestación de servicios, el juez de tutela deberá analizar las circunstancias fácticas que rodean cada caso, para determinar si bajo dicha figura contractual no se está ocultando la existencia de una auténtica relación laboral.</w:t>
      </w:r>
    </w:p>
    <w:p w14:paraId="542139C9"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19B2C277"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t>[…]</w:t>
      </w:r>
    </w:p>
    <w:p w14:paraId="79DB1F07"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66423A8A"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t>“Bajo esta lógica, deberá verificarse la estructuración material de los elementos fundamentales de un contrato de trabajo, ‘independientemente de la vinculación o denominación que el empleador adopte para el tipo de contrato que suscriba con el trabajador´. Así, la jurisprudencia de la Corte ha reconocido que los elementos que configuran la existencia de un contrato de trabajo son (i) el salario, (ii) la continua subordinación o dependencia y (iii) la prestación personal del servicio. Por lo tanto, si el juez de tutela concluye la concurrencia de estos tres elementos en una vinculación mediante contrato de prestación de servicios de una trabajadora gestante o lactante, podrá concluirse que se está en presencia de un verdadero contrato de trabajo”.</w:t>
      </w:r>
    </w:p>
    <w:p w14:paraId="15CCA8A9" w14:textId="77777777" w:rsidR="00334ED8" w:rsidRPr="00805B32" w:rsidRDefault="00334ED8" w:rsidP="00334ED8">
      <w:pPr>
        <w:pStyle w:val="Textonotapie"/>
        <w:ind w:left="300" w:right="306"/>
        <w:contextualSpacing/>
        <w:jc w:val="both"/>
        <w:rPr>
          <w:rFonts w:ascii="Verdana" w:hAnsi="Verdana" w:cs="Arial"/>
          <w:sz w:val="10"/>
          <w:szCs w:val="10"/>
        </w:rPr>
      </w:pPr>
    </w:p>
  </w:footnote>
  <w:footnote w:id="3">
    <w:p w14:paraId="676F1DC7"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La Corte Constitucional en la sentencia T-102 del 1 de marzo de 2016 (M.P: María Victoria Calle Correa) protegió el derecho a la estabilidad laboral reforzada a dos mujeres que se encontraban en fuero de maternidad por demostrarse la existencia de un contrato realidad. En el expediente T-5.208.798 la Sala asumió la existencia de un contrato laboral de cara a la subordinación, pues estaba demostrado que la accionante, entre otras, cumplía un horario establecido por el contratante: ´Obsérvese que el empleador no demostró, por ningún medio, la existencia de una causal objetiva relevante que justificara la terminación del contrato, por ejemplo, que la actividad que venía realizando la trabajadora ya no fuera necesaria para la asociación sindical, o de una justa causa de terminación de la relación laboral. Por el contrario, la labor asignada como asistente administrativa hace parte de las tareas cotidianas del sindicato’”.</w:t>
      </w:r>
    </w:p>
    <w:p w14:paraId="2CD658F3"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footnote>
  <w:footnote w:id="4">
    <w:p w14:paraId="361F2D35"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t xml:space="preserve">  </w:t>
      </w:r>
      <w:r w:rsidRPr="001220DE">
        <w:rPr>
          <w:rStyle w:val="Refdenotaalpie"/>
          <w:rFonts w:ascii="Verdana" w:hAnsi="Verdana"/>
          <w:sz w:val="16"/>
          <w:szCs w:val="16"/>
        </w:rPr>
        <w:footnoteRef/>
      </w:r>
      <w:r w:rsidRPr="001220DE">
        <w:rPr>
          <w:rStyle w:val="Refdenotaalpie"/>
          <w:rFonts w:ascii="Verdana" w:hAnsi="Verdana"/>
          <w:sz w:val="16"/>
          <w:szCs w:val="16"/>
        </w:rPr>
        <w:t xml:space="preserve"> Corte Constitucional, sentencia T-564 del 6 de septiembre de 2017, M.P: Cristina Pardo Schlesinger: “La Sala advierte, que ante las contradicciones respecto a los hechos en las cuales incurren las partes involucradas en el asunto de la referencia, en el presente caso no existen suficientes elementos de juicio para la demostración de la relación de trabajo afirmada por la accionante en el escrito de impugnación. La precariedad de las pruebas, los indicios sobre un contrato realidad encubierto y la validez de los documentos aportados al proceso, son asuntos que necesariamente deben ser estudiados por el juez ordinario laboral”.</w:t>
      </w:r>
    </w:p>
    <w:p w14:paraId="6516164E"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1B629630"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t>]…]</w:t>
      </w:r>
    </w:p>
    <w:p w14:paraId="30287FD6"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1CBD0AC3"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t>“Así las cosas, encuentra la Sala que se cumplen los criterios determinados por la Corporación para proceder al amparo de los derechos fundamentales de la contratista: (i) existió una relación de prestación de servicios entre las partes; (ii) la accionante se encontraba en estado de embarazo y dicha situación fue informada a la accionada en el mes de noviembre de 2016, y (iii) a pocos días de conocerse el estado de gestación de la peticionaria, la relación contractual que había sido continua durante ocho (8) meses aproximadamente, se terminó por decisión de la parte contratante y sin que mediara autorización del inspector del trabajo, requisito necesario  en el  presente  caso concreto,  aun cuando se trate de un contrato de prestación de servicios, pues el amparo constitucional de la estabilidad laboral reforzada de las mujeres embarazadas también es aplicable a este tipo de vinculación contractual, acudiendo a la asimilación de estas alternativas a una relación laboral sin condiciones específicas de terminación”.</w:t>
      </w:r>
    </w:p>
    <w:p w14:paraId="1B52A266" w14:textId="77777777" w:rsidR="00334ED8" w:rsidRPr="001220DE" w:rsidRDefault="00334ED8" w:rsidP="00334ED8">
      <w:pPr>
        <w:shd w:val="clear" w:color="auto" w:fill="FFFFFF"/>
        <w:ind w:right="49" w:firstLine="708"/>
        <w:contextualSpacing/>
        <w:jc w:val="both"/>
        <w:rPr>
          <w:rStyle w:val="Refdenotaalpie"/>
          <w:sz w:val="16"/>
          <w:szCs w:val="16"/>
        </w:rPr>
      </w:pPr>
    </w:p>
    <w:p w14:paraId="4C2CE870" w14:textId="77777777" w:rsidR="00334ED8" w:rsidRPr="001220DE" w:rsidRDefault="00334ED8" w:rsidP="00334ED8">
      <w:pPr>
        <w:shd w:val="clear" w:color="auto" w:fill="FFFFFF"/>
        <w:ind w:right="49" w:firstLine="708"/>
        <w:contextualSpacing/>
        <w:jc w:val="both"/>
        <w:rPr>
          <w:rStyle w:val="Refdenotaalpie"/>
          <w:sz w:val="16"/>
          <w:szCs w:val="16"/>
        </w:rPr>
      </w:pPr>
    </w:p>
  </w:footnote>
  <w:footnote w:id="5">
    <w:p w14:paraId="71DDF22B" w14:textId="77777777" w:rsidR="00334ED8" w:rsidRPr="001220DE" w:rsidRDefault="00334ED8" w:rsidP="00334ED8">
      <w:pPr>
        <w:shd w:val="clear" w:color="auto" w:fill="FFFFFF"/>
        <w:ind w:right="49" w:firstLine="708"/>
        <w:contextualSpacing/>
        <w:jc w:val="both"/>
        <w:rPr>
          <w:rStyle w:val="Refdenotaalpie"/>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Corte Constitucional. Sentencia SU 075- de 2018. Magistrado Ponente: Gloria Stella Ortiz Delgado</w:t>
      </w:r>
    </w:p>
  </w:footnote>
  <w:footnote w:id="6">
    <w:p w14:paraId="6AA04185"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Corte Constitucional. Sentencia T-329 del 19 de septiembre de 2022. Expediente </w:t>
      </w:r>
      <w:bookmarkStart w:id="3" w:name="_Hlk113364075"/>
      <w:r w:rsidRPr="001220DE">
        <w:rPr>
          <w:rStyle w:val="Refdenotaalpie"/>
          <w:rFonts w:ascii="Verdana" w:hAnsi="Verdana"/>
          <w:sz w:val="16"/>
          <w:szCs w:val="16"/>
        </w:rPr>
        <w:t>T-8.517.984</w:t>
      </w:r>
      <w:bookmarkEnd w:id="3"/>
      <w:r w:rsidRPr="001220DE">
        <w:rPr>
          <w:rStyle w:val="Refdenotaalpie"/>
          <w:rFonts w:ascii="Verdana" w:hAnsi="Verdana"/>
          <w:sz w:val="16"/>
          <w:szCs w:val="16"/>
        </w:rPr>
        <w:t>. Magistrada Ponente: Natalia Ángel Cabo</w:t>
      </w:r>
    </w:p>
    <w:p w14:paraId="20FE8CB8"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footnote>
  <w:footnote w:id="7">
    <w:p w14:paraId="60693CEB" w14:textId="77777777" w:rsidR="00334ED8" w:rsidRPr="001220DE" w:rsidRDefault="00334ED8" w:rsidP="00334ED8">
      <w:pPr>
        <w:shd w:val="clear" w:color="auto" w:fill="FFFFFF"/>
        <w:ind w:right="49" w:firstLine="708"/>
        <w:contextualSpacing/>
        <w:jc w:val="both"/>
        <w:rPr>
          <w:rStyle w:val="Refdenotaalpie"/>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Sentencia SU-070 de 2013. Fund. 6. Reiterado en las sentencias SU-040 de 2018 y SU-075 de 2018.</w:t>
      </w:r>
    </w:p>
  </w:footnote>
  <w:footnote w:id="8">
    <w:p w14:paraId="4052E78D"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4789E071"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Esta indemnización se ha reconocido en contratos de prestación de servicios, entre otras, en las sentencias T-564 de 2017, T-350 de 2016, 316 de 2016, T-102 de 2016 y T-346 de 2013.</w:t>
      </w:r>
    </w:p>
  </w:footnote>
  <w:footnote w:id="9">
    <w:p w14:paraId="0F742F30"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7742F9A2"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En las sentencias T-238 de 2015 y T-350 de 2016 la Corte determinó que no procede el pago de la licencia de maternidad cuando en el caso se observe que la licencia de maternidad ya fue disfrutada. </w:t>
      </w:r>
    </w:p>
  </w:footnote>
  <w:footnote w:id="10">
    <w:p w14:paraId="5F6FBAB4"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5C5A7929"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Esta media fue aplicada en la Sentencia T-030 de 2018 respecto del caso estudiado bajo el expediente T-6.425.691.</w:t>
      </w:r>
    </w:p>
  </w:footnote>
  <w:footnote w:id="11">
    <w:p w14:paraId="15E6F7B5"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58B99E1D"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En algunas oportunidades las salas de revisión han reconocido el pago de las prestaciones en materia de seguridad social en salud. Sentencia T-102 de 2016.</w:t>
      </w:r>
    </w:p>
  </w:footnote>
  <w:footnote w:id="12">
    <w:p w14:paraId="63F3A3B0"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p w14:paraId="14DB7906"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La licencia de maternidad es un descanso remunerado que la ley confiere a la mujer que tiene un hijo, el cual aplica tanto para mujeres vinculadas por contrato de trabajo, como a las que están vinculadas por un contrato de prestación de servicios.</w:t>
      </w:r>
    </w:p>
    <w:p w14:paraId="42BE85BD" w14:textId="77777777" w:rsidR="00334ED8" w:rsidRPr="001220DE" w:rsidRDefault="00334ED8" w:rsidP="00334ED8">
      <w:pPr>
        <w:shd w:val="clear" w:color="auto" w:fill="FFFFFF"/>
        <w:ind w:right="49" w:firstLine="708"/>
        <w:contextualSpacing/>
        <w:jc w:val="both"/>
        <w:rPr>
          <w:rStyle w:val="Refdenotaalpie"/>
          <w:sz w:val="16"/>
          <w:szCs w:val="16"/>
        </w:rPr>
      </w:pPr>
    </w:p>
  </w:footnote>
  <w:footnote w:id="13">
    <w:p w14:paraId="221D8418"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r w:rsidRPr="001220DE">
        <w:rPr>
          <w:rStyle w:val="Refdenotaalpie"/>
          <w:rFonts w:ascii="Verdana" w:hAnsi="Verdana"/>
          <w:sz w:val="16"/>
          <w:szCs w:val="16"/>
        </w:rPr>
        <w:footnoteRef/>
      </w:r>
      <w:r w:rsidRPr="001220DE">
        <w:rPr>
          <w:rStyle w:val="Refdenotaalpie"/>
          <w:rFonts w:ascii="Verdana" w:hAnsi="Verdana"/>
          <w:sz w:val="16"/>
          <w:szCs w:val="16"/>
        </w:rPr>
        <w:t xml:space="preserve"> Ministerio del Trabajo. Concepto 9972 de 5 de marzo de 2014. </w:t>
      </w:r>
    </w:p>
    <w:p w14:paraId="61615DCA" w14:textId="77777777" w:rsidR="00334ED8" w:rsidRPr="001220DE" w:rsidRDefault="00334ED8" w:rsidP="00334ED8">
      <w:pPr>
        <w:shd w:val="clear" w:color="auto" w:fill="FFFFFF"/>
        <w:ind w:right="49" w:firstLine="708"/>
        <w:contextualSpacing/>
        <w:jc w:val="both"/>
        <w:rPr>
          <w:rStyle w:val="Refdenotaalpie"/>
          <w:rFonts w:ascii="Verdana" w:hAnsi="Verdana"/>
          <w:sz w:val="16"/>
          <w:szCs w:val="16"/>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5F4D03" w14:textId="0903BF04" w:rsidR="00756841" w:rsidRDefault="009D3058">
    <w:pPr>
      <w:pStyle w:val="Encabezado"/>
    </w:pPr>
    <w:r>
      <w:rPr>
        <w:rFonts w:ascii="Geomanist Bold" w:hAnsi="Geomanist Bold"/>
        <w:b/>
        <w:bCs/>
        <w:noProof/>
        <w:color w:val="002060"/>
        <w:sz w:val="24"/>
        <w:szCs w:val="24"/>
      </w:rPr>
      <w:drawing>
        <wp:anchor distT="0" distB="0" distL="114300" distR="114300" simplePos="0" relativeHeight="251665408" behindDoc="1" locked="0" layoutInCell="1" allowOverlap="1" wp14:anchorId="6FC3B35F" wp14:editId="12DD542F">
          <wp:simplePos x="0" y="0"/>
          <wp:positionH relativeFrom="margin">
            <wp:align>center</wp:align>
          </wp:positionH>
          <wp:positionV relativeFrom="paragraph">
            <wp:posOffset>-345440</wp:posOffset>
          </wp:positionV>
          <wp:extent cx="1924050" cy="856004"/>
          <wp:effectExtent l="0" t="0" r="0" b="1270"/>
          <wp:wrapNone/>
          <wp:docPr id="606215744" name="Imagen 1" descr="Imagen que contiene Interfaz de usuario gráfic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9089902" name="Imagen 1" descr="Imagen que contiene Interfaz de usuario gráfica&#10;&#10;Descripción generada automáticamente"/>
                  <pic:cNvPicPr/>
                </pic:nvPicPr>
                <pic:blipFill>
                  <a:blip r:embed="rId1">
                    <a:extLst>
                      <a:ext uri="{28A0092B-C50C-407E-A947-70E740481C1C}">
                        <a14:useLocalDpi xmlns:a14="http://schemas.microsoft.com/office/drawing/2010/main" val="0"/>
                      </a:ext>
                    </a:extLst>
                  </a:blip>
                  <a:stretch>
                    <a:fillRect/>
                  </a:stretch>
                </pic:blipFill>
                <pic:spPr>
                  <a:xfrm>
                    <a:off x="0" y="0"/>
                    <a:ext cx="1924050" cy="856004"/>
                  </a:xfrm>
                  <a:prstGeom prst="rect">
                    <a:avLst/>
                  </a:prstGeom>
                </pic:spPr>
              </pic:pic>
            </a:graphicData>
          </a:graphic>
          <wp14:sizeRelH relativeFrom="margin">
            <wp14:pctWidth>0</wp14:pctWidth>
          </wp14:sizeRelH>
          <wp14:sizeRelV relativeFrom="margin">
            <wp14:pctHeight>0</wp14:pctHeight>
          </wp14:sizeRelV>
        </wp:anchor>
      </w:drawing>
    </w:r>
    <w:r w:rsidR="00E90F6B">
      <w:rPr>
        <w:rFonts w:ascii="Geomanist Bold" w:hAnsi="Geomanist Bold"/>
        <w:b/>
        <w:bCs/>
        <w:noProof/>
        <w:color w:val="002060"/>
        <w:sz w:val="24"/>
        <w:szCs w:val="24"/>
      </w:rPr>
      <w:drawing>
        <wp:anchor distT="0" distB="0" distL="114300" distR="114300" simplePos="0" relativeHeight="251663360" behindDoc="0" locked="0" layoutInCell="1" allowOverlap="1" wp14:anchorId="4F745D08" wp14:editId="02405FCC">
          <wp:simplePos x="0" y="0"/>
          <wp:positionH relativeFrom="margin">
            <wp:posOffset>8420100</wp:posOffset>
          </wp:positionH>
          <wp:positionV relativeFrom="margin">
            <wp:posOffset>-1377950</wp:posOffset>
          </wp:positionV>
          <wp:extent cx="665480" cy="3098800"/>
          <wp:effectExtent l="0" t="0" r="0" b="0"/>
          <wp:wrapThrough wrapText="bothSides">
            <wp:wrapPolygon edited="0">
              <wp:start x="6183" y="0"/>
              <wp:lineTo x="0" y="1416"/>
              <wp:lineTo x="5359" y="2833"/>
              <wp:lineTo x="2061" y="4249"/>
              <wp:lineTo x="412" y="4780"/>
              <wp:lineTo x="824" y="5134"/>
              <wp:lineTo x="3298" y="5666"/>
              <wp:lineTo x="4534" y="7082"/>
              <wp:lineTo x="412" y="7967"/>
              <wp:lineTo x="0" y="8233"/>
              <wp:lineTo x="5771" y="9915"/>
              <wp:lineTo x="0" y="11508"/>
              <wp:lineTo x="0" y="11685"/>
              <wp:lineTo x="4122" y="12748"/>
              <wp:lineTo x="2061" y="14164"/>
              <wp:lineTo x="0" y="14872"/>
              <wp:lineTo x="0" y="15049"/>
              <wp:lineTo x="2061" y="15580"/>
              <wp:lineTo x="4534" y="16997"/>
              <wp:lineTo x="0" y="18059"/>
              <wp:lineTo x="0" y="18413"/>
              <wp:lineTo x="10718" y="21246"/>
              <wp:lineTo x="12366" y="21511"/>
              <wp:lineTo x="14427" y="21511"/>
              <wp:lineTo x="14840" y="21511"/>
              <wp:lineTo x="17313" y="20980"/>
              <wp:lineTo x="20611" y="20007"/>
              <wp:lineTo x="20198" y="19830"/>
              <wp:lineTo x="13603" y="18413"/>
              <wp:lineTo x="21023" y="16643"/>
              <wp:lineTo x="16489" y="15580"/>
              <wp:lineTo x="17313" y="14164"/>
              <wp:lineTo x="21023" y="13279"/>
              <wp:lineTo x="18962" y="12748"/>
              <wp:lineTo x="15664" y="11331"/>
              <wp:lineTo x="21023" y="10003"/>
              <wp:lineTo x="21023" y="9826"/>
              <wp:lineTo x="18137" y="9207"/>
              <wp:lineTo x="15664" y="8498"/>
              <wp:lineTo x="19374" y="7082"/>
              <wp:lineTo x="21023" y="6639"/>
              <wp:lineTo x="21023" y="6374"/>
              <wp:lineTo x="18137" y="5666"/>
              <wp:lineTo x="16901" y="4249"/>
              <wp:lineTo x="21023" y="3275"/>
              <wp:lineTo x="21023" y="3098"/>
              <wp:lineTo x="20611" y="2833"/>
              <wp:lineTo x="8244" y="0"/>
              <wp:lineTo x="6183" y="0"/>
            </wp:wrapPolygon>
          </wp:wrapThrough>
          <wp:docPr id="1273009581" name="Imagen 12730095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974706" name="Imagen 1987974706"/>
                  <pic:cNvPicPr/>
                </pic:nvPicPr>
                <pic:blipFill>
                  <a:blip r:embed="rId2" cstate="print">
                    <a:extLst>
                      <a:ext uri="{28A0092B-C50C-407E-A947-70E740481C1C}">
                        <a14:useLocalDpi xmlns:a14="http://schemas.microsoft.com/office/drawing/2010/main" val="0"/>
                      </a:ext>
                    </a:extLst>
                  </a:blip>
                  <a:stretch>
                    <a:fillRect/>
                  </a:stretch>
                </pic:blipFill>
                <pic:spPr>
                  <a:xfrm>
                    <a:off x="0" y="0"/>
                    <a:ext cx="665480" cy="3098800"/>
                  </a:xfrm>
                  <a:prstGeom prst="rect">
                    <a:avLst/>
                  </a:prstGeom>
                </pic:spPr>
              </pic:pic>
            </a:graphicData>
          </a:graphic>
          <wp14:sizeRelH relativeFrom="margin">
            <wp14:pctWidth>0</wp14:pctWidth>
          </wp14:sizeRelH>
          <wp14:sizeRelV relativeFrom="margin">
            <wp14:pctHeight>0</wp14:pctHeight>
          </wp14:sizeRelV>
        </wp:anchor>
      </w:drawing>
    </w:r>
  </w:p>
  <w:p w14:paraId="1BE2B9AE" w14:textId="4B94DB3B" w:rsidR="00756841" w:rsidRDefault="00756841">
    <w:pPr>
      <w:pStyle w:val="Encabezado"/>
    </w:pPr>
  </w:p>
  <w:p w14:paraId="3079FC11" w14:textId="77777777" w:rsidR="00DC39FC" w:rsidRDefault="00DC39FC" w:rsidP="004A305D">
    <w:pPr>
      <w:spacing w:after="0"/>
      <w:rPr>
        <w:rFonts w:ascii="Verdana" w:hAnsi="Verdana"/>
        <w:b/>
        <w:bCs/>
      </w:rPr>
    </w:pPr>
  </w:p>
  <w:p w14:paraId="7FE1230C" w14:textId="77E53D9F" w:rsidR="004A305D" w:rsidRPr="00DC39FC" w:rsidRDefault="004A305D" w:rsidP="004A305D">
    <w:pPr>
      <w:spacing w:after="0"/>
      <w:rPr>
        <w:rFonts w:ascii="Verdana" w:hAnsi="Verdana"/>
        <w:b/>
        <w:bCs/>
      </w:rPr>
    </w:pPr>
    <w:r w:rsidRPr="00DC39FC">
      <w:rPr>
        <w:rFonts w:ascii="Verdana" w:hAnsi="Verdana"/>
        <w:b/>
        <w:bCs/>
      </w:rPr>
      <w:t>FORMATO PQRSD</w:t>
    </w:r>
  </w:p>
  <w:p w14:paraId="5E18350A" w14:textId="705F7B76" w:rsidR="004A305D" w:rsidRPr="004A305D" w:rsidRDefault="004A305D" w:rsidP="00B01B1A">
    <w:pPr>
      <w:spacing w:after="0" w:line="120" w:lineRule="auto"/>
      <w:rPr>
        <w:rFonts w:ascii="Century Gothic" w:eastAsia="Geo" w:hAnsi="Century Gothic" w:cs="Geo"/>
        <w:sz w:val="16"/>
        <w:szCs w:val="16"/>
        <w:lang w:eastAsia="es-CO"/>
      </w:rPr>
    </w:pPr>
  </w:p>
  <w:p w14:paraId="1FD1C243" w14:textId="6D74A3CF" w:rsidR="008A446D" w:rsidRDefault="008A446D" w:rsidP="00061B2A">
    <w:pPr>
      <w:pStyle w:val="Encabezado"/>
      <w:spacing w:line="120" w:lineRule="aut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11.4pt;height:11.4pt" o:bullet="t">
        <v:imagedata r:id="rId1" o:title="mso1B13"/>
      </v:shape>
    </w:pict>
  </w:numPicBullet>
  <w:abstractNum w:abstractNumId="0" w15:restartNumberingAfterBreak="0">
    <w:nsid w:val="0337782A"/>
    <w:multiLevelType w:val="multilevel"/>
    <w:tmpl w:val="90D242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6D30BDC"/>
    <w:multiLevelType w:val="hybridMultilevel"/>
    <w:tmpl w:val="734ED3EC"/>
    <w:lvl w:ilvl="0" w:tplc="834431CA">
      <w:numFmt w:val="bullet"/>
      <w:lvlText w:val="-"/>
      <w:lvlJc w:val="left"/>
      <w:pPr>
        <w:ind w:left="1080" w:hanging="360"/>
      </w:pPr>
      <w:rPr>
        <w:rFonts w:ascii="Arial" w:eastAsia="Times New Roman" w:hAnsi="Arial" w:cs="Arial" w:hint="default"/>
        <w:b/>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hint="default"/>
      </w:rPr>
    </w:lvl>
    <w:lvl w:ilvl="3" w:tplc="0C0A0001" w:tentative="1">
      <w:start w:val="1"/>
      <w:numFmt w:val="bullet"/>
      <w:lvlText w:val=""/>
      <w:lvlJc w:val="left"/>
      <w:pPr>
        <w:ind w:left="3240" w:hanging="360"/>
      </w:pPr>
      <w:rPr>
        <w:rFonts w:ascii="Symbol" w:hAnsi="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hint="default"/>
      </w:rPr>
    </w:lvl>
    <w:lvl w:ilvl="6" w:tplc="0C0A0001" w:tentative="1">
      <w:start w:val="1"/>
      <w:numFmt w:val="bullet"/>
      <w:lvlText w:val=""/>
      <w:lvlJc w:val="left"/>
      <w:pPr>
        <w:ind w:left="5400" w:hanging="360"/>
      </w:pPr>
      <w:rPr>
        <w:rFonts w:ascii="Symbol" w:hAnsi="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hint="default"/>
      </w:rPr>
    </w:lvl>
  </w:abstractNum>
  <w:abstractNum w:abstractNumId="2" w15:restartNumberingAfterBreak="0">
    <w:nsid w:val="08B9449D"/>
    <w:multiLevelType w:val="hybridMultilevel"/>
    <w:tmpl w:val="F5EE4BD2"/>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25352E86"/>
    <w:multiLevelType w:val="multilevel"/>
    <w:tmpl w:val="E81277D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1280020"/>
    <w:multiLevelType w:val="hybridMultilevel"/>
    <w:tmpl w:val="DA8CAD24"/>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320B0C74"/>
    <w:multiLevelType w:val="multilevel"/>
    <w:tmpl w:val="FCE0A7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3614460"/>
    <w:multiLevelType w:val="hybridMultilevel"/>
    <w:tmpl w:val="7FC88522"/>
    <w:lvl w:ilvl="0" w:tplc="A22AAB2E">
      <w:start w:val="1"/>
      <w:numFmt w:val="decimal"/>
      <w:lvlText w:val="%1)"/>
      <w:lvlJc w:val="left"/>
      <w:pPr>
        <w:ind w:left="720" w:hanging="360"/>
      </w:pPr>
      <w:rPr>
        <w:rFonts w:hint="default"/>
        <w:b/>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70F0516"/>
    <w:multiLevelType w:val="multilevel"/>
    <w:tmpl w:val="BAD28BB2"/>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37D933EA"/>
    <w:multiLevelType w:val="multilevel"/>
    <w:tmpl w:val="8BFCD550"/>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39D726F5"/>
    <w:multiLevelType w:val="hybridMultilevel"/>
    <w:tmpl w:val="7BDC1A10"/>
    <w:lvl w:ilvl="0" w:tplc="040A0001">
      <w:start w:val="1"/>
      <w:numFmt w:val="bullet"/>
      <w:lvlText w:val=""/>
      <w:lvlJc w:val="left"/>
      <w:pPr>
        <w:ind w:left="720" w:hanging="360"/>
      </w:pPr>
      <w:rPr>
        <w:rFonts w:ascii="Symbol" w:hAnsi="Symbol" w:hint="default"/>
      </w:rPr>
    </w:lvl>
    <w:lvl w:ilvl="1" w:tplc="040A0003" w:tentative="1">
      <w:start w:val="1"/>
      <w:numFmt w:val="bullet"/>
      <w:lvlText w:val="o"/>
      <w:lvlJc w:val="left"/>
      <w:pPr>
        <w:ind w:left="1440" w:hanging="360"/>
      </w:pPr>
      <w:rPr>
        <w:rFonts w:ascii="Courier New" w:hAnsi="Courier New" w:cs="Courier New" w:hint="default"/>
      </w:rPr>
    </w:lvl>
    <w:lvl w:ilvl="2" w:tplc="040A0005" w:tentative="1">
      <w:start w:val="1"/>
      <w:numFmt w:val="bullet"/>
      <w:lvlText w:val=""/>
      <w:lvlJc w:val="left"/>
      <w:pPr>
        <w:ind w:left="2160" w:hanging="360"/>
      </w:pPr>
      <w:rPr>
        <w:rFonts w:ascii="Wingdings" w:hAnsi="Wingdings" w:hint="default"/>
      </w:rPr>
    </w:lvl>
    <w:lvl w:ilvl="3" w:tplc="040A0001" w:tentative="1">
      <w:start w:val="1"/>
      <w:numFmt w:val="bullet"/>
      <w:lvlText w:val=""/>
      <w:lvlJc w:val="left"/>
      <w:pPr>
        <w:ind w:left="2880" w:hanging="360"/>
      </w:pPr>
      <w:rPr>
        <w:rFonts w:ascii="Symbol" w:hAnsi="Symbol" w:hint="default"/>
      </w:rPr>
    </w:lvl>
    <w:lvl w:ilvl="4" w:tplc="040A0003" w:tentative="1">
      <w:start w:val="1"/>
      <w:numFmt w:val="bullet"/>
      <w:lvlText w:val="o"/>
      <w:lvlJc w:val="left"/>
      <w:pPr>
        <w:ind w:left="3600" w:hanging="360"/>
      </w:pPr>
      <w:rPr>
        <w:rFonts w:ascii="Courier New" w:hAnsi="Courier New" w:cs="Courier New" w:hint="default"/>
      </w:rPr>
    </w:lvl>
    <w:lvl w:ilvl="5" w:tplc="040A0005" w:tentative="1">
      <w:start w:val="1"/>
      <w:numFmt w:val="bullet"/>
      <w:lvlText w:val=""/>
      <w:lvlJc w:val="left"/>
      <w:pPr>
        <w:ind w:left="4320" w:hanging="360"/>
      </w:pPr>
      <w:rPr>
        <w:rFonts w:ascii="Wingdings" w:hAnsi="Wingdings" w:hint="default"/>
      </w:rPr>
    </w:lvl>
    <w:lvl w:ilvl="6" w:tplc="040A0001" w:tentative="1">
      <w:start w:val="1"/>
      <w:numFmt w:val="bullet"/>
      <w:lvlText w:val=""/>
      <w:lvlJc w:val="left"/>
      <w:pPr>
        <w:ind w:left="5040" w:hanging="360"/>
      </w:pPr>
      <w:rPr>
        <w:rFonts w:ascii="Symbol" w:hAnsi="Symbol" w:hint="default"/>
      </w:rPr>
    </w:lvl>
    <w:lvl w:ilvl="7" w:tplc="040A0003" w:tentative="1">
      <w:start w:val="1"/>
      <w:numFmt w:val="bullet"/>
      <w:lvlText w:val="o"/>
      <w:lvlJc w:val="left"/>
      <w:pPr>
        <w:ind w:left="5760" w:hanging="360"/>
      </w:pPr>
      <w:rPr>
        <w:rFonts w:ascii="Courier New" w:hAnsi="Courier New" w:cs="Courier New" w:hint="default"/>
      </w:rPr>
    </w:lvl>
    <w:lvl w:ilvl="8" w:tplc="040A0005" w:tentative="1">
      <w:start w:val="1"/>
      <w:numFmt w:val="bullet"/>
      <w:lvlText w:val=""/>
      <w:lvlJc w:val="left"/>
      <w:pPr>
        <w:ind w:left="6480" w:hanging="360"/>
      </w:pPr>
      <w:rPr>
        <w:rFonts w:ascii="Wingdings" w:hAnsi="Wingdings" w:hint="default"/>
      </w:rPr>
    </w:lvl>
  </w:abstractNum>
  <w:abstractNum w:abstractNumId="10" w15:restartNumberingAfterBreak="0">
    <w:nsid w:val="636C03B0"/>
    <w:multiLevelType w:val="hybridMultilevel"/>
    <w:tmpl w:val="87183FAA"/>
    <w:lvl w:ilvl="0" w:tplc="240A0007">
      <w:start w:val="1"/>
      <w:numFmt w:val="bullet"/>
      <w:lvlText w:val=""/>
      <w:lvlPicBulletId w:val="0"/>
      <w:lvlJc w:val="left"/>
      <w:pPr>
        <w:ind w:left="785" w:hanging="360"/>
      </w:pPr>
      <w:rPr>
        <w:rFonts w:ascii="Symbol" w:hAnsi="Symbol" w:hint="default"/>
      </w:rPr>
    </w:lvl>
    <w:lvl w:ilvl="1" w:tplc="240A0003" w:tentative="1">
      <w:start w:val="1"/>
      <w:numFmt w:val="bullet"/>
      <w:lvlText w:val="o"/>
      <w:lvlJc w:val="left"/>
      <w:pPr>
        <w:ind w:left="1505" w:hanging="360"/>
      </w:pPr>
      <w:rPr>
        <w:rFonts w:ascii="Courier New" w:hAnsi="Courier New" w:cs="Courier New" w:hint="default"/>
      </w:rPr>
    </w:lvl>
    <w:lvl w:ilvl="2" w:tplc="240A0005" w:tentative="1">
      <w:start w:val="1"/>
      <w:numFmt w:val="bullet"/>
      <w:lvlText w:val=""/>
      <w:lvlJc w:val="left"/>
      <w:pPr>
        <w:ind w:left="2225" w:hanging="360"/>
      </w:pPr>
      <w:rPr>
        <w:rFonts w:ascii="Wingdings" w:hAnsi="Wingdings" w:hint="default"/>
      </w:rPr>
    </w:lvl>
    <w:lvl w:ilvl="3" w:tplc="240A0001" w:tentative="1">
      <w:start w:val="1"/>
      <w:numFmt w:val="bullet"/>
      <w:lvlText w:val=""/>
      <w:lvlJc w:val="left"/>
      <w:pPr>
        <w:ind w:left="2945" w:hanging="360"/>
      </w:pPr>
      <w:rPr>
        <w:rFonts w:ascii="Symbol" w:hAnsi="Symbol" w:hint="default"/>
      </w:rPr>
    </w:lvl>
    <w:lvl w:ilvl="4" w:tplc="240A0003" w:tentative="1">
      <w:start w:val="1"/>
      <w:numFmt w:val="bullet"/>
      <w:lvlText w:val="o"/>
      <w:lvlJc w:val="left"/>
      <w:pPr>
        <w:ind w:left="3665" w:hanging="360"/>
      </w:pPr>
      <w:rPr>
        <w:rFonts w:ascii="Courier New" w:hAnsi="Courier New" w:cs="Courier New" w:hint="default"/>
      </w:rPr>
    </w:lvl>
    <w:lvl w:ilvl="5" w:tplc="240A0005" w:tentative="1">
      <w:start w:val="1"/>
      <w:numFmt w:val="bullet"/>
      <w:lvlText w:val=""/>
      <w:lvlJc w:val="left"/>
      <w:pPr>
        <w:ind w:left="4385" w:hanging="360"/>
      </w:pPr>
      <w:rPr>
        <w:rFonts w:ascii="Wingdings" w:hAnsi="Wingdings" w:hint="default"/>
      </w:rPr>
    </w:lvl>
    <w:lvl w:ilvl="6" w:tplc="240A0001" w:tentative="1">
      <w:start w:val="1"/>
      <w:numFmt w:val="bullet"/>
      <w:lvlText w:val=""/>
      <w:lvlJc w:val="left"/>
      <w:pPr>
        <w:ind w:left="5105" w:hanging="360"/>
      </w:pPr>
      <w:rPr>
        <w:rFonts w:ascii="Symbol" w:hAnsi="Symbol" w:hint="default"/>
      </w:rPr>
    </w:lvl>
    <w:lvl w:ilvl="7" w:tplc="240A0003" w:tentative="1">
      <w:start w:val="1"/>
      <w:numFmt w:val="bullet"/>
      <w:lvlText w:val="o"/>
      <w:lvlJc w:val="left"/>
      <w:pPr>
        <w:ind w:left="5825" w:hanging="360"/>
      </w:pPr>
      <w:rPr>
        <w:rFonts w:ascii="Courier New" w:hAnsi="Courier New" w:cs="Courier New" w:hint="default"/>
      </w:rPr>
    </w:lvl>
    <w:lvl w:ilvl="8" w:tplc="240A0005" w:tentative="1">
      <w:start w:val="1"/>
      <w:numFmt w:val="bullet"/>
      <w:lvlText w:val=""/>
      <w:lvlJc w:val="left"/>
      <w:pPr>
        <w:ind w:left="6545" w:hanging="360"/>
      </w:pPr>
      <w:rPr>
        <w:rFonts w:ascii="Wingdings" w:hAnsi="Wingdings" w:hint="default"/>
      </w:rPr>
    </w:lvl>
  </w:abstractNum>
  <w:abstractNum w:abstractNumId="11" w15:restartNumberingAfterBreak="0">
    <w:nsid w:val="6BF97060"/>
    <w:multiLevelType w:val="multilevel"/>
    <w:tmpl w:val="B3E004E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3C082A"/>
    <w:multiLevelType w:val="multilevel"/>
    <w:tmpl w:val="A80420EA"/>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F4922CE"/>
    <w:multiLevelType w:val="multilevel"/>
    <w:tmpl w:val="E5E6373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FB367B7"/>
    <w:multiLevelType w:val="multilevel"/>
    <w:tmpl w:val="4E0EF642"/>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948779781">
    <w:abstractNumId w:val="6"/>
  </w:num>
  <w:num w:numId="2" w16cid:durableId="19822139">
    <w:abstractNumId w:val="1"/>
  </w:num>
  <w:num w:numId="3" w16cid:durableId="876742304">
    <w:abstractNumId w:val="4"/>
  </w:num>
  <w:num w:numId="4" w16cid:durableId="245186406">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2049721115">
    <w:abstractNumId w:val="1"/>
  </w:num>
  <w:num w:numId="6" w16cid:durableId="316692925">
    <w:abstractNumId w:val="13"/>
  </w:num>
  <w:num w:numId="7" w16cid:durableId="1946422806">
    <w:abstractNumId w:val="5"/>
  </w:num>
  <w:num w:numId="8" w16cid:durableId="152644682">
    <w:abstractNumId w:val="12"/>
  </w:num>
  <w:num w:numId="9" w16cid:durableId="1317221377">
    <w:abstractNumId w:val="7"/>
  </w:num>
  <w:num w:numId="10" w16cid:durableId="1471245386">
    <w:abstractNumId w:val="11"/>
  </w:num>
  <w:num w:numId="11" w16cid:durableId="289172385">
    <w:abstractNumId w:val="8"/>
  </w:num>
  <w:num w:numId="12" w16cid:durableId="1470781324">
    <w:abstractNumId w:val="0"/>
  </w:num>
  <w:num w:numId="13" w16cid:durableId="1512908409">
    <w:abstractNumId w:val="3"/>
  </w:num>
  <w:num w:numId="14" w16cid:durableId="895897244">
    <w:abstractNumId w:val="14"/>
  </w:num>
  <w:num w:numId="15" w16cid:durableId="390349800">
    <w:abstractNumId w:val="10"/>
  </w:num>
  <w:num w:numId="16" w16cid:durableId="679089576">
    <w:abstractNumId w:val="9"/>
  </w:num>
  <w:num w:numId="17" w16cid:durableId="1954170709">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A1847"/>
    <w:rsid w:val="00016F78"/>
    <w:rsid w:val="00046945"/>
    <w:rsid w:val="00061B2A"/>
    <w:rsid w:val="00082362"/>
    <w:rsid w:val="000A683E"/>
    <w:rsid w:val="000B19B9"/>
    <w:rsid w:val="000D0334"/>
    <w:rsid w:val="000F6486"/>
    <w:rsid w:val="00125105"/>
    <w:rsid w:val="00127233"/>
    <w:rsid w:val="001B532B"/>
    <w:rsid w:val="001E4177"/>
    <w:rsid w:val="001F7DC6"/>
    <w:rsid w:val="00201600"/>
    <w:rsid w:val="00220665"/>
    <w:rsid w:val="002421BB"/>
    <w:rsid w:val="0025796E"/>
    <w:rsid w:val="002707A2"/>
    <w:rsid w:val="00271F06"/>
    <w:rsid w:val="002951A0"/>
    <w:rsid w:val="002962BC"/>
    <w:rsid w:val="002A093D"/>
    <w:rsid w:val="002A0DD0"/>
    <w:rsid w:val="002A49AC"/>
    <w:rsid w:val="002A64FD"/>
    <w:rsid w:val="002B5247"/>
    <w:rsid w:val="002C7A84"/>
    <w:rsid w:val="002E4FD9"/>
    <w:rsid w:val="00322A85"/>
    <w:rsid w:val="00324168"/>
    <w:rsid w:val="00334ED8"/>
    <w:rsid w:val="003448F4"/>
    <w:rsid w:val="00374F5E"/>
    <w:rsid w:val="00377E3E"/>
    <w:rsid w:val="003A779E"/>
    <w:rsid w:val="003D0F4D"/>
    <w:rsid w:val="003D5B0D"/>
    <w:rsid w:val="003E0499"/>
    <w:rsid w:val="003F3941"/>
    <w:rsid w:val="00406575"/>
    <w:rsid w:val="00414C74"/>
    <w:rsid w:val="0042722E"/>
    <w:rsid w:val="0044528D"/>
    <w:rsid w:val="004A1847"/>
    <w:rsid w:val="004A305D"/>
    <w:rsid w:val="004F21C4"/>
    <w:rsid w:val="004F685F"/>
    <w:rsid w:val="00553AD4"/>
    <w:rsid w:val="005566E8"/>
    <w:rsid w:val="00574867"/>
    <w:rsid w:val="00591460"/>
    <w:rsid w:val="005C3777"/>
    <w:rsid w:val="005C5CDC"/>
    <w:rsid w:val="005D476C"/>
    <w:rsid w:val="00613CAE"/>
    <w:rsid w:val="006219F8"/>
    <w:rsid w:val="006302F7"/>
    <w:rsid w:val="00665D70"/>
    <w:rsid w:val="006900D9"/>
    <w:rsid w:val="006A760C"/>
    <w:rsid w:val="00706C16"/>
    <w:rsid w:val="00756841"/>
    <w:rsid w:val="007649AB"/>
    <w:rsid w:val="00771D0C"/>
    <w:rsid w:val="007833AC"/>
    <w:rsid w:val="007B268C"/>
    <w:rsid w:val="007B7171"/>
    <w:rsid w:val="007C0C0F"/>
    <w:rsid w:val="007C3DC2"/>
    <w:rsid w:val="007E5497"/>
    <w:rsid w:val="00806F5F"/>
    <w:rsid w:val="00820278"/>
    <w:rsid w:val="00847280"/>
    <w:rsid w:val="00867F95"/>
    <w:rsid w:val="008843B6"/>
    <w:rsid w:val="00891928"/>
    <w:rsid w:val="00897A3A"/>
    <w:rsid w:val="008A446D"/>
    <w:rsid w:val="008D180B"/>
    <w:rsid w:val="008F0EA7"/>
    <w:rsid w:val="00923EEF"/>
    <w:rsid w:val="00931498"/>
    <w:rsid w:val="009419F9"/>
    <w:rsid w:val="0095685E"/>
    <w:rsid w:val="00961B09"/>
    <w:rsid w:val="00965334"/>
    <w:rsid w:val="0097093E"/>
    <w:rsid w:val="009A0DFA"/>
    <w:rsid w:val="009B25A8"/>
    <w:rsid w:val="009B2D26"/>
    <w:rsid w:val="009C71FA"/>
    <w:rsid w:val="009C72E7"/>
    <w:rsid w:val="009D3058"/>
    <w:rsid w:val="009F3A13"/>
    <w:rsid w:val="00A122D3"/>
    <w:rsid w:val="00A17F13"/>
    <w:rsid w:val="00A20739"/>
    <w:rsid w:val="00A33C78"/>
    <w:rsid w:val="00AB0ADB"/>
    <w:rsid w:val="00B00C0E"/>
    <w:rsid w:val="00B01B1A"/>
    <w:rsid w:val="00B44A47"/>
    <w:rsid w:val="00B72CD3"/>
    <w:rsid w:val="00B72FFF"/>
    <w:rsid w:val="00B753E6"/>
    <w:rsid w:val="00BC3D36"/>
    <w:rsid w:val="00BD7F72"/>
    <w:rsid w:val="00C04FB3"/>
    <w:rsid w:val="00C330EB"/>
    <w:rsid w:val="00C732F8"/>
    <w:rsid w:val="00C754BE"/>
    <w:rsid w:val="00C76B1C"/>
    <w:rsid w:val="00CB6357"/>
    <w:rsid w:val="00CC1B26"/>
    <w:rsid w:val="00CC6DA7"/>
    <w:rsid w:val="00D423A2"/>
    <w:rsid w:val="00D520D8"/>
    <w:rsid w:val="00D63AC2"/>
    <w:rsid w:val="00D7113F"/>
    <w:rsid w:val="00D7383B"/>
    <w:rsid w:val="00DA231B"/>
    <w:rsid w:val="00DC39FC"/>
    <w:rsid w:val="00DF5254"/>
    <w:rsid w:val="00E16408"/>
    <w:rsid w:val="00E20894"/>
    <w:rsid w:val="00E245AB"/>
    <w:rsid w:val="00E2764C"/>
    <w:rsid w:val="00E27F2E"/>
    <w:rsid w:val="00E50AFE"/>
    <w:rsid w:val="00E75C92"/>
    <w:rsid w:val="00E771DC"/>
    <w:rsid w:val="00E8772A"/>
    <w:rsid w:val="00E90F6B"/>
    <w:rsid w:val="00E92C27"/>
    <w:rsid w:val="00EA0E3D"/>
    <w:rsid w:val="00EA5E88"/>
    <w:rsid w:val="00EC38A7"/>
    <w:rsid w:val="00EC3A77"/>
    <w:rsid w:val="00ED62B8"/>
    <w:rsid w:val="00EE1AA8"/>
    <w:rsid w:val="00EE2907"/>
    <w:rsid w:val="00F2539C"/>
    <w:rsid w:val="00F31EDC"/>
    <w:rsid w:val="00F462B3"/>
    <w:rsid w:val="00F5664F"/>
    <w:rsid w:val="00F666C4"/>
    <w:rsid w:val="00F76AFC"/>
    <w:rsid w:val="00FA47C0"/>
    <w:rsid w:val="00FB5DD1"/>
    <w:rsid w:val="00FC2B5D"/>
    <w:rsid w:val="00FF1449"/>
  </w:rsids>
  <m:mathPr>
    <m:mathFont m:val="Cambria Math"/>
    <m:brkBin m:val="before"/>
    <m:brkBinSub m:val="--"/>
    <m:smallFrac m:val="0"/>
    <m:dispDef/>
    <m:lMargin m:val="0"/>
    <m:rMargin m:val="0"/>
    <m:defJc m:val="centerGroup"/>
    <m:wrapIndent m:val="1440"/>
    <m:intLim m:val="subSup"/>
    <m:naryLim m:val="undOvr"/>
  </m:mathPr>
  <w:themeFontLang w:val="es-CO"/>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2"/>
    </o:shapelayout>
  </w:shapeDefaults>
  <w:decimalSymbol w:val=","/>
  <w:listSeparator w:val=";"/>
  <w14:docId w14:val="279607BD"/>
  <w15:chartTrackingRefBased/>
  <w15:docId w15:val="{AA18BD11-F4B5-4A67-BA3F-63EFCCB41AF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CO"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245A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4A184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4A1847"/>
  </w:style>
  <w:style w:type="paragraph" w:styleId="Piedepgina">
    <w:name w:val="footer"/>
    <w:basedOn w:val="Normal"/>
    <w:link w:val="PiedepginaCar"/>
    <w:uiPriority w:val="99"/>
    <w:unhideWhenUsed/>
    <w:rsid w:val="004A184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4A1847"/>
  </w:style>
  <w:style w:type="paragraph" w:customStyle="1" w:styleId="Default">
    <w:name w:val="Default"/>
    <w:rsid w:val="006219F8"/>
    <w:pPr>
      <w:autoSpaceDE w:val="0"/>
      <w:autoSpaceDN w:val="0"/>
      <w:adjustRightInd w:val="0"/>
      <w:spacing w:after="0" w:line="240" w:lineRule="auto"/>
    </w:pPr>
    <w:rPr>
      <w:rFonts w:ascii="Arial" w:hAnsi="Arial" w:cs="Arial"/>
      <w:color w:val="000000"/>
      <w:sz w:val="24"/>
      <w:szCs w:val="24"/>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6219F8"/>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fn,Car"/>
    <w:basedOn w:val="Normal"/>
    <w:link w:val="TextonotapieCar"/>
    <w:uiPriority w:val="99"/>
    <w:unhideWhenUsed/>
    <w:qFormat/>
    <w:rsid w:val="006219F8"/>
    <w:pPr>
      <w:spacing w:after="0" w:line="240" w:lineRule="auto"/>
    </w:pPr>
    <w:rPr>
      <w:sz w:val="20"/>
      <w:szCs w:val="20"/>
      <w:lang w:val="es-MX"/>
    </w:rPr>
  </w:style>
  <w:style w:type="character" w:customStyle="1" w:styleId="TextonotapieCar1">
    <w:name w:val="Texto nota pie Car1"/>
    <w:basedOn w:val="Fuentedeprrafopredeter"/>
    <w:uiPriority w:val="99"/>
    <w:semiHidden/>
    <w:rsid w:val="006219F8"/>
    <w:rPr>
      <w:sz w:val="20"/>
      <w:szCs w:val="20"/>
    </w:rPr>
  </w:style>
  <w:style w:type="character" w:styleId="Refdenotaalpie">
    <w:name w:val="footnote reference"/>
    <w:aliases w:val="Ref. de nota al pie 2,Ref,de nota al pie,FC,Appel note de bas de p,f,4_G,16 Point,Superscript 6 Point,Texto nota al pie,Pie de Página,Texto de nota al pi,Nota de pie,Texto de nota al p,Footnote Reference Char3,Texto nota pie Car2,F,R"/>
    <w:basedOn w:val="Fuentedeprrafopredeter"/>
    <w:link w:val="Appelnotedebasde"/>
    <w:uiPriority w:val="99"/>
    <w:unhideWhenUsed/>
    <w:qFormat/>
    <w:rsid w:val="006219F8"/>
    <w:rPr>
      <w:vertAlign w:val="superscript"/>
    </w:rPr>
  </w:style>
  <w:style w:type="character" w:customStyle="1" w:styleId="normaltextrun">
    <w:name w:val="normaltextrun"/>
    <w:basedOn w:val="Fuentedeprrafopredeter"/>
    <w:rsid w:val="006219F8"/>
  </w:style>
  <w:style w:type="table" w:styleId="Tablaconcuadrcula">
    <w:name w:val="Table Grid"/>
    <w:basedOn w:val="Tablanormal"/>
    <w:uiPriority w:val="39"/>
    <w:qFormat/>
    <w:rsid w:val="006219F8"/>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Foot"/>
    <w:basedOn w:val="Normal"/>
    <w:link w:val="PrrafodelistaCar"/>
    <w:uiPriority w:val="34"/>
    <w:qFormat/>
    <w:rsid w:val="005566E8"/>
    <w:pPr>
      <w:ind w:left="720"/>
      <w:contextualSpacing/>
    </w:pPr>
    <w:rPr>
      <w:rFonts w:ascii="Geomanist Light" w:hAnsi="Geomanist Light"/>
      <w:lang w:val="es-ES"/>
    </w:rPr>
  </w:style>
  <w:style w:type="paragraph" w:styleId="Ttulo">
    <w:name w:val="Title"/>
    <w:basedOn w:val="Normal"/>
    <w:next w:val="Normal"/>
    <w:link w:val="TtuloCar"/>
    <w:uiPriority w:val="10"/>
    <w:qFormat/>
    <w:rsid w:val="005566E8"/>
    <w:pPr>
      <w:spacing w:after="0" w:line="240" w:lineRule="auto"/>
      <w:contextualSpacing/>
    </w:pPr>
    <w:rPr>
      <w:rFonts w:ascii="Geomanist" w:eastAsiaTheme="majorEastAsia" w:hAnsi="Geomanist" w:cstheme="majorBidi"/>
      <w:spacing w:val="-10"/>
      <w:kern w:val="28"/>
      <w:szCs w:val="56"/>
      <w:lang w:val="es-ES"/>
    </w:rPr>
  </w:style>
  <w:style w:type="character" w:customStyle="1" w:styleId="TtuloCar">
    <w:name w:val="Título Car"/>
    <w:basedOn w:val="Fuentedeprrafopredeter"/>
    <w:link w:val="Ttulo"/>
    <w:uiPriority w:val="10"/>
    <w:rsid w:val="005566E8"/>
    <w:rPr>
      <w:rFonts w:ascii="Geomanist" w:eastAsiaTheme="majorEastAsia" w:hAnsi="Geomanist" w:cstheme="majorBidi"/>
      <w:spacing w:val="-10"/>
      <w:kern w:val="28"/>
      <w:szCs w:val="56"/>
      <w:lang w:val="es-ES"/>
    </w:rPr>
  </w:style>
  <w:style w:type="character" w:customStyle="1" w:styleId="ui-provider">
    <w:name w:val="ui-provider"/>
    <w:basedOn w:val="Fuentedeprrafopredeter"/>
    <w:rsid w:val="00DA231B"/>
  </w:style>
  <w:style w:type="character" w:styleId="Hipervnculo">
    <w:name w:val="Hyperlink"/>
    <w:basedOn w:val="Fuentedeprrafopredeter"/>
    <w:uiPriority w:val="99"/>
    <w:unhideWhenUsed/>
    <w:rsid w:val="00125105"/>
    <w:rPr>
      <w:color w:val="0000FF"/>
      <w:u w:val="single"/>
    </w:rPr>
  </w:style>
  <w:style w:type="character" w:styleId="Hipervnculovisitado">
    <w:name w:val="FollowedHyperlink"/>
    <w:basedOn w:val="Fuentedeprrafopredeter"/>
    <w:uiPriority w:val="99"/>
    <w:semiHidden/>
    <w:unhideWhenUsed/>
    <w:rsid w:val="00125105"/>
    <w:rPr>
      <w:color w:val="954F72" w:themeColor="followedHyperlink"/>
      <w:u w:val="single"/>
    </w:rPr>
  </w:style>
  <w:style w:type="paragraph" w:customStyle="1" w:styleId="paragraph">
    <w:name w:val="paragraph"/>
    <w:basedOn w:val="Normal"/>
    <w:rsid w:val="00322A85"/>
    <w:pPr>
      <w:spacing w:before="100" w:beforeAutospacing="1" w:after="100" w:afterAutospacing="1" w:line="240" w:lineRule="auto"/>
    </w:pPr>
    <w:rPr>
      <w:rFonts w:ascii="Times New Roman" w:eastAsia="Times New Roman" w:hAnsi="Times New Roman" w:cs="Times New Roman"/>
      <w:sz w:val="24"/>
      <w:szCs w:val="24"/>
      <w:lang w:eastAsia="es-CO"/>
    </w:rPr>
  </w:style>
  <w:style w:type="character" w:customStyle="1" w:styleId="tabchar">
    <w:name w:val="tabchar"/>
    <w:basedOn w:val="Fuentedeprrafopredeter"/>
    <w:rsid w:val="00322A85"/>
  </w:style>
  <w:style w:type="character" w:customStyle="1" w:styleId="eop">
    <w:name w:val="eop"/>
    <w:basedOn w:val="Fuentedeprrafopredeter"/>
    <w:rsid w:val="00322A85"/>
  </w:style>
  <w:style w:type="character" w:styleId="Mencinsinresolver">
    <w:name w:val="Unresolved Mention"/>
    <w:basedOn w:val="Fuentedeprrafopredeter"/>
    <w:uiPriority w:val="99"/>
    <w:semiHidden/>
    <w:unhideWhenUsed/>
    <w:rsid w:val="001F7DC6"/>
    <w:rPr>
      <w:color w:val="605E5C"/>
      <w:shd w:val="clear" w:color="auto" w:fill="E1DFDD"/>
    </w:rPr>
  </w:style>
  <w:style w:type="paragraph" w:styleId="NormalWeb">
    <w:name w:val="Normal (Web)"/>
    <w:basedOn w:val="Normal"/>
    <w:link w:val="NormalWebCar"/>
    <w:uiPriority w:val="99"/>
    <w:unhideWhenUsed/>
    <w:rsid w:val="00DF5254"/>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customStyle="1" w:styleId="blanco">
    <w:name w:val="blanco"/>
    <w:basedOn w:val="Normal"/>
    <w:rsid w:val="00C76B1C"/>
    <w:pPr>
      <w:spacing w:before="100" w:beforeAutospacing="1" w:after="100" w:afterAutospacing="1" w:line="240" w:lineRule="auto"/>
    </w:pPr>
    <w:rPr>
      <w:rFonts w:ascii="Times New Roman" w:eastAsia="Times New Roman" w:hAnsi="Times New Roman" w:cs="Times New Roman"/>
      <w:sz w:val="24"/>
      <w:szCs w:val="24"/>
      <w:lang w:eastAsia="es-CO"/>
    </w:rPr>
  </w:style>
  <w:style w:type="paragraph" w:styleId="Revisin">
    <w:name w:val="Revision"/>
    <w:hidden/>
    <w:uiPriority w:val="99"/>
    <w:semiHidden/>
    <w:rsid w:val="009F3A13"/>
    <w:pPr>
      <w:spacing w:after="0" w:line="240" w:lineRule="auto"/>
    </w:pPr>
  </w:style>
  <w:style w:type="paragraph" w:styleId="Textoindependiente">
    <w:name w:val="Body Text"/>
    <w:basedOn w:val="Normal"/>
    <w:link w:val="TextoindependienteCar"/>
    <w:uiPriority w:val="1"/>
    <w:unhideWhenUsed/>
    <w:qFormat/>
    <w:rsid w:val="00334ED8"/>
    <w:pPr>
      <w:spacing w:after="120"/>
    </w:pPr>
  </w:style>
  <w:style w:type="character" w:customStyle="1" w:styleId="TextoindependienteCar">
    <w:name w:val="Texto independiente Car"/>
    <w:basedOn w:val="Fuentedeprrafopredeter"/>
    <w:link w:val="Textoindependiente"/>
    <w:uiPriority w:val="1"/>
    <w:rsid w:val="00334ED8"/>
  </w:style>
  <w:style w:type="paragraph" w:customStyle="1" w:styleId="Appelnotedebasde">
    <w:name w:val="Appel note de bas de..."/>
    <w:basedOn w:val="Normal"/>
    <w:link w:val="Refdenotaalpie"/>
    <w:uiPriority w:val="99"/>
    <w:rsid w:val="00334ED8"/>
    <w:pPr>
      <w:spacing w:line="240" w:lineRule="exact"/>
    </w:pPr>
    <w:rPr>
      <w:vertAlign w:val="superscript"/>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334ED8"/>
    <w:rPr>
      <w:rFonts w:ascii="Geomanist Light" w:hAnsi="Geomanist Light"/>
      <w:lang w:val="es-ES"/>
    </w:rPr>
  </w:style>
  <w:style w:type="character" w:styleId="Textoennegrita">
    <w:name w:val="Strong"/>
    <w:basedOn w:val="Fuentedeprrafopredeter"/>
    <w:uiPriority w:val="22"/>
    <w:qFormat/>
    <w:rsid w:val="00334ED8"/>
    <w:rPr>
      <w:b/>
      <w:bCs/>
    </w:rPr>
  </w:style>
  <w:style w:type="character" w:customStyle="1" w:styleId="NormalWebCar">
    <w:name w:val="Normal (Web) Car"/>
    <w:link w:val="NormalWeb"/>
    <w:uiPriority w:val="99"/>
    <w:rsid w:val="00334ED8"/>
    <w:rPr>
      <w:rFonts w:ascii="Times New Roman" w:eastAsia="Times New Roman" w:hAnsi="Times New Roman" w:cs="Times New Roman"/>
      <w:sz w:val="24"/>
      <w:szCs w:val="24"/>
      <w:lang w:eastAsia="es-CO"/>
    </w:rPr>
  </w:style>
  <w:style w:type="paragraph" w:styleId="Sinespaciado">
    <w:name w:val="No Spacing"/>
    <w:uiPriority w:val="1"/>
    <w:qFormat/>
    <w:rsid w:val="00334ED8"/>
    <w:pPr>
      <w:spacing w:after="0" w:line="240" w:lineRule="auto"/>
      <w:ind w:right="-68"/>
      <w:jc w:val="both"/>
    </w:pPr>
    <w:rPr>
      <w:rFonts w:ascii="Times New Roman" w:eastAsia="Times New Roman" w:hAnsi="Times New Roman" w:cs="Times New Roman"/>
      <w:sz w:val="28"/>
      <w:szCs w:val="28"/>
      <w:lang w:eastAsia="es-ES"/>
    </w:rPr>
  </w:style>
  <w:style w:type="paragraph" w:styleId="Descripcin">
    <w:name w:val="caption"/>
    <w:basedOn w:val="Normal"/>
    <w:next w:val="Normal"/>
    <w:uiPriority w:val="35"/>
    <w:unhideWhenUsed/>
    <w:qFormat/>
    <w:rsid w:val="00334ED8"/>
    <w:pPr>
      <w:spacing w:after="200" w:line="240" w:lineRule="auto"/>
    </w:pPr>
    <w:rPr>
      <w:rFonts w:ascii="Times New Roman" w:eastAsia="Times New Roman" w:hAnsi="Times New Roman" w:cs="Times New Roman"/>
      <w:i/>
      <w:iCs/>
      <w:color w:val="44546A" w:themeColor="text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21767828">
      <w:bodyDiv w:val="1"/>
      <w:marLeft w:val="0"/>
      <w:marRight w:val="0"/>
      <w:marTop w:val="0"/>
      <w:marBottom w:val="0"/>
      <w:divBdr>
        <w:top w:val="none" w:sz="0" w:space="0" w:color="auto"/>
        <w:left w:val="none" w:sz="0" w:space="0" w:color="auto"/>
        <w:bottom w:val="none" w:sz="0" w:space="0" w:color="auto"/>
        <w:right w:val="none" w:sz="0" w:space="0" w:color="auto"/>
      </w:divBdr>
    </w:div>
    <w:div w:id="755788902">
      <w:bodyDiv w:val="1"/>
      <w:marLeft w:val="0"/>
      <w:marRight w:val="0"/>
      <w:marTop w:val="0"/>
      <w:marBottom w:val="0"/>
      <w:divBdr>
        <w:top w:val="none" w:sz="0" w:space="0" w:color="auto"/>
        <w:left w:val="none" w:sz="0" w:space="0" w:color="auto"/>
        <w:bottom w:val="none" w:sz="0" w:space="0" w:color="auto"/>
        <w:right w:val="none" w:sz="0" w:space="0" w:color="auto"/>
      </w:divBdr>
    </w:div>
    <w:div w:id="1132796275">
      <w:bodyDiv w:val="1"/>
      <w:marLeft w:val="0"/>
      <w:marRight w:val="0"/>
      <w:marTop w:val="0"/>
      <w:marBottom w:val="0"/>
      <w:divBdr>
        <w:top w:val="none" w:sz="0" w:space="0" w:color="auto"/>
        <w:left w:val="none" w:sz="0" w:space="0" w:color="auto"/>
        <w:bottom w:val="none" w:sz="0" w:space="0" w:color="auto"/>
        <w:right w:val="none" w:sz="0" w:space="0" w:color="auto"/>
      </w:divBdr>
    </w:div>
    <w:div w:id="1270429918">
      <w:bodyDiv w:val="1"/>
      <w:marLeft w:val="0"/>
      <w:marRight w:val="0"/>
      <w:marTop w:val="0"/>
      <w:marBottom w:val="0"/>
      <w:divBdr>
        <w:top w:val="none" w:sz="0" w:space="0" w:color="auto"/>
        <w:left w:val="none" w:sz="0" w:space="0" w:color="auto"/>
        <w:bottom w:val="none" w:sz="0" w:space="0" w:color="auto"/>
        <w:right w:val="none" w:sz="0" w:space="0" w:color="auto"/>
      </w:divBdr>
    </w:div>
    <w:div w:id="1291863859">
      <w:bodyDiv w:val="1"/>
      <w:marLeft w:val="0"/>
      <w:marRight w:val="0"/>
      <w:marTop w:val="0"/>
      <w:marBottom w:val="0"/>
      <w:divBdr>
        <w:top w:val="none" w:sz="0" w:space="0" w:color="auto"/>
        <w:left w:val="none" w:sz="0" w:space="0" w:color="auto"/>
        <w:bottom w:val="none" w:sz="0" w:space="0" w:color="auto"/>
        <w:right w:val="none" w:sz="0" w:space="0" w:color="auto"/>
      </w:divBdr>
      <w:divsChild>
        <w:div w:id="1814251553">
          <w:marLeft w:val="0"/>
          <w:marRight w:val="0"/>
          <w:marTop w:val="0"/>
          <w:marBottom w:val="0"/>
          <w:divBdr>
            <w:top w:val="none" w:sz="0" w:space="0" w:color="auto"/>
            <w:left w:val="none" w:sz="0" w:space="0" w:color="auto"/>
            <w:bottom w:val="none" w:sz="0" w:space="0" w:color="auto"/>
            <w:right w:val="none" w:sz="0" w:space="0" w:color="auto"/>
          </w:divBdr>
        </w:div>
        <w:div w:id="1098216012">
          <w:marLeft w:val="0"/>
          <w:marRight w:val="0"/>
          <w:marTop w:val="0"/>
          <w:marBottom w:val="0"/>
          <w:divBdr>
            <w:top w:val="none" w:sz="0" w:space="0" w:color="auto"/>
            <w:left w:val="none" w:sz="0" w:space="0" w:color="auto"/>
            <w:bottom w:val="none" w:sz="0" w:space="0" w:color="auto"/>
            <w:right w:val="none" w:sz="0" w:space="0" w:color="auto"/>
          </w:divBdr>
        </w:div>
        <w:div w:id="2036272205">
          <w:marLeft w:val="0"/>
          <w:marRight w:val="0"/>
          <w:marTop w:val="0"/>
          <w:marBottom w:val="0"/>
          <w:divBdr>
            <w:top w:val="none" w:sz="0" w:space="0" w:color="auto"/>
            <w:left w:val="none" w:sz="0" w:space="0" w:color="auto"/>
            <w:bottom w:val="none" w:sz="0" w:space="0" w:color="auto"/>
            <w:right w:val="none" w:sz="0" w:space="0" w:color="auto"/>
          </w:divBdr>
        </w:div>
        <w:div w:id="1963534490">
          <w:marLeft w:val="0"/>
          <w:marRight w:val="0"/>
          <w:marTop w:val="0"/>
          <w:marBottom w:val="0"/>
          <w:divBdr>
            <w:top w:val="none" w:sz="0" w:space="0" w:color="auto"/>
            <w:left w:val="none" w:sz="0" w:space="0" w:color="auto"/>
            <w:bottom w:val="none" w:sz="0" w:space="0" w:color="auto"/>
            <w:right w:val="none" w:sz="0" w:space="0" w:color="auto"/>
          </w:divBdr>
        </w:div>
        <w:div w:id="1009718320">
          <w:marLeft w:val="0"/>
          <w:marRight w:val="0"/>
          <w:marTop w:val="0"/>
          <w:marBottom w:val="0"/>
          <w:divBdr>
            <w:top w:val="none" w:sz="0" w:space="0" w:color="auto"/>
            <w:left w:val="none" w:sz="0" w:space="0" w:color="auto"/>
            <w:bottom w:val="none" w:sz="0" w:space="0" w:color="auto"/>
            <w:right w:val="none" w:sz="0" w:space="0" w:color="auto"/>
          </w:divBdr>
        </w:div>
        <w:div w:id="2075656958">
          <w:marLeft w:val="0"/>
          <w:marRight w:val="0"/>
          <w:marTop w:val="0"/>
          <w:marBottom w:val="0"/>
          <w:divBdr>
            <w:top w:val="none" w:sz="0" w:space="0" w:color="auto"/>
            <w:left w:val="none" w:sz="0" w:space="0" w:color="auto"/>
            <w:bottom w:val="none" w:sz="0" w:space="0" w:color="auto"/>
            <w:right w:val="none" w:sz="0" w:space="0" w:color="auto"/>
          </w:divBdr>
        </w:div>
        <w:div w:id="1227495006">
          <w:marLeft w:val="0"/>
          <w:marRight w:val="0"/>
          <w:marTop w:val="0"/>
          <w:marBottom w:val="0"/>
          <w:divBdr>
            <w:top w:val="none" w:sz="0" w:space="0" w:color="auto"/>
            <w:left w:val="none" w:sz="0" w:space="0" w:color="auto"/>
            <w:bottom w:val="none" w:sz="0" w:space="0" w:color="auto"/>
            <w:right w:val="none" w:sz="0" w:space="0" w:color="auto"/>
          </w:divBdr>
        </w:div>
        <w:div w:id="390231839">
          <w:marLeft w:val="0"/>
          <w:marRight w:val="0"/>
          <w:marTop w:val="0"/>
          <w:marBottom w:val="0"/>
          <w:divBdr>
            <w:top w:val="none" w:sz="0" w:space="0" w:color="auto"/>
            <w:left w:val="none" w:sz="0" w:space="0" w:color="auto"/>
            <w:bottom w:val="none" w:sz="0" w:space="0" w:color="auto"/>
            <w:right w:val="none" w:sz="0" w:space="0" w:color="auto"/>
          </w:divBdr>
        </w:div>
        <w:div w:id="117142684">
          <w:marLeft w:val="0"/>
          <w:marRight w:val="0"/>
          <w:marTop w:val="0"/>
          <w:marBottom w:val="0"/>
          <w:divBdr>
            <w:top w:val="none" w:sz="0" w:space="0" w:color="auto"/>
            <w:left w:val="none" w:sz="0" w:space="0" w:color="auto"/>
            <w:bottom w:val="none" w:sz="0" w:space="0" w:color="auto"/>
            <w:right w:val="none" w:sz="0" w:space="0" w:color="auto"/>
          </w:divBdr>
        </w:div>
        <w:div w:id="882060613">
          <w:marLeft w:val="0"/>
          <w:marRight w:val="0"/>
          <w:marTop w:val="0"/>
          <w:marBottom w:val="0"/>
          <w:divBdr>
            <w:top w:val="none" w:sz="0" w:space="0" w:color="auto"/>
            <w:left w:val="none" w:sz="0" w:space="0" w:color="auto"/>
            <w:bottom w:val="none" w:sz="0" w:space="0" w:color="auto"/>
            <w:right w:val="none" w:sz="0" w:space="0" w:color="auto"/>
          </w:divBdr>
        </w:div>
        <w:div w:id="1343312156">
          <w:marLeft w:val="0"/>
          <w:marRight w:val="0"/>
          <w:marTop w:val="0"/>
          <w:marBottom w:val="0"/>
          <w:divBdr>
            <w:top w:val="none" w:sz="0" w:space="0" w:color="auto"/>
            <w:left w:val="none" w:sz="0" w:space="0" w:color="auto"/>
            <w:bottom w:val="none" w:sz="0" w:space="0" w:color="auto"/>
            <w:right w:val="none" w:sz="0" w:space="0" w:color="auto"/>
          </w:divBdr>
        </w:div>
        <w:div w:id="807745514">
          <w:marLeft w:val="0"/>
          <w:marRight w:val="0"/>
          <w:marTop w:val="0"/>
          <w:marBottom w:val="0"/>
          <w:divBdr>
            <w:top w:val="none" w:sz="0" w:space="0" w:color="auto"/>
            <w:left w:val="none" w:sz="0" w:space="0" w:color="auto"/>
            <w:bottom w:val="none" w:sz="0" w:space="0" w:color="auto"/>
            <w:right w:val="none" w:sz="0" w:space="0" w:color="auto"/>
          </w:divBdr>
        </w:div>
        <w:div w:id="688798703">
          <w:marLeft w:val="0"/>
          <w:marRight w:val="0"/>
          <w:marTop w:val="0"/>
          <w:marBottom w:val="0"/>
          <w:divBdr>
            <w:top w:val="none" w:sz="0" w:space="0" w:color="auto"/>
            <w:left w:val="none" w:sz="0" w:space="0" w:color="auto"/>
            <w:bottom w:val="none" w:sz="0" w:space="0" w:color="auto"/>
            <w:right w:val="none" w:sz="0" w:space="0" w:color="auto"/>
          </w:divBdr>
        </w:div>
        <w:div w:id="1324310022">
          <w:marLeft w:val="0"/>
          <w:marRight w:val="0"/>
          <w:marTop w:val="0"/>
          <w:marBottom w:val="0"/>
          <w:divBdr>
            <w:top w:val="none" w:sz="0" w:space="0" w:color="auto"/>
            <w:left w:val="none" w:sz="0" w:space="0" w:color="auto"/>
            <w:bottom w:val="none" w:sz="0" w:space="0" w:color="auto"/>
            <w:right w:val="none" w:sz="0" w:space="0" w:color="auto"/>
          </w:divBdr>
        </w:div>
        <w:div w:id="715542045">
          <w:marLeft w:val="0"/>
          <w:marRight w:val="0"/>
          <w:marTop w:val="0"/>
          <w:marBottom w:val="0"/>
          <w:divBdr>
            <w:top w:val="none" w:sz="0" w:space="0" w:color="auto"/>
            <w:left w:val="none" w:sz="0" w:space="0" w:color="auto"/>
            <w:bottom w:val="none" w:sz="0" w:space="0" w:color="auto"/>
            <w:right w:val="none" w:sz="0" w:space="0" w:color="auto"/>
          </w:divBdr>
        </w:div>
        <w:div w:id="1065952338">
          <w:marLeft w:val="0"/>
          <w:marRight w:val="0"/>
          <w:marTop w:val="0"/>
          <w:marBottom w:val="0"/>
          <w:divBdr>
            <w:top w:val="none" w:sz="0" w:space="0" w:color="auto"/>
            <w:left w:val="none" w:sz="0" w:space="0" w:color="auto"/>
            <w:bottom w:val="none" w:sz="0" w:space="0" w:color="auto"/>
            <w:right w:val="none" w:sz="0" w:space="0" w:color="auto"/>
          </w:divBdr>
        </w:div>
        <w:div w:id="2092659859">
          <w:marLeft w:val="0"/>
          <w:marRight w:val="0"/>
          <w:marTop w:val="0"/>
          <w:marBottom w:val="0"/>
          <w:divBdr>
            <w:top w:val="none" w:sz="0" w:space="0" w:color="auto"/>
            <w:left w:val="none" w:sz="0" w:space="0" w:color="auto"/>
            <w:bottom w:val="none" w:sz="0" w:space="0" w:color="auto"/>
            <w:right w:val="none" w:sz="0" w:space="0" w:color="auto"/>
          </w:divBdr>
        </w:div>
        <w:div w:id="1134103737">
          <w:marLeft w:val="0"/>
          <w:marRight w:val="0"/>
          <w:marTop w:val="0"/>
          <w:marBottom w:val="0"/>
          <w:divBdr>
            <w:top w:val="none" w:sz="0" w:space="0" w:color="auto"/>
            <w:left w:val="none" w:sz="0" w:space="0" w:color="auto"/>
            <w:bottom w:val="none" w:sz="0" w:space="0" w:color="auto"/>
            <w:right w:val="none" w:sz="0" w:space="0" w:color="auto"/>
          </w:divBdr>
        </w:div>
        <w:div w:id="511727059">
          <w:marLeft w:val="0"/>
          <w:marRight w:val="0"/>
          <w:marTop w:val="0"/>
          <w:marBottom w:val="0"/>
          <w:divBdr>
            <w:top w:val="none" w:sz="0" w:space="0" w:color="auto"/>
            <w:left w:val="none" w:sz="0" w:space="0" w:color="auto"/>
            <w:bottom w:val="none" w:sz="0" w:space="0" w:color="auto"/>
            <w:right w:val="none" w:sz="0" w:space="0" w:color="auto"/>
          </w:divBdr>
        </w:div>
        <w:div w:id="860240521">
          <w:marLeft w:val="0"/>
          <w:marRight w:val="0"/>
          <w:marTop w:val="0"/>
          <w:marBottom w:val="0"/>
          <w:divBdr>
            <w:top w:val="none" w:sz="0" w:space="0" w:color="auto"/>
            <w:left w:val="none" w:sz="0" w:space="0" w:color="auto"/>
            <w:bottom w:val="none" w:sz="0" w:space="0" w:color="auto"/>
            <w:right w:val="none" w:sz="0" w:space="0" w:color="auto"/>
          </w:divBdr>
        </w:div>
        <w:div w:id="892691556">
          <w:marLeft w:val="0"/>
          <w:marRight w:val="0"/>
          <w:marTop w:val="0"/>
          <w:marBottom w:val="0"/>
          <w:divBdr>
            <w:top w:val="none" w:sz="0" w:space="0" w:color="auto"/>
            <w:left w:val="none" w:sz="0" w:space="0" w:color="auto"/>
            <w:bottom w:val="none" w:sz="0" w:space="0" w:color="auto"/>
            <w:right w:val="none" w:sz="0" w:space="0" w:color="auto"/>
          </w:divBdr>
        </w:div>
        <w:div w:id="24454764">
          <w:marLeft w:val="0"/>
          <w:marRight w:val="0"/>
          <w:marTop w:val="0"/>
          <w:marBottom w:val="0"/>
          <w:divBdr>
            <w:top w:val="none" w:sz="0" w:space="0" w:color="auto"/>
            <w:left w:val="none" w:sz="0" w:space="0" w:color="auto"/>
            <w:bottom w:val="none" w:sz="0" w:space="0" w:color="auto"/>
            <w:right w:val="none" w:sz="0" w:space="0" w:color="auto"/>
          </w:divBdr>
        </w:div>
        <w:div w:id="541678020">
          <w:marLeft w:val="0"/>
          <w:marRight w:val="0"/>
          <w:marTop w:val="0"/>
          <w:marBottom w:val="0"/>
          <w:divBdr>
            <w:top w:val="none" w:sz="0" w:space="0" w:color="auto"/>
            <w:left w:val="none" w:sz="0" w:space="0" w:color="auto"/>
            <w:bottom w:val="none" w:sz="0" w:space="0" w:color="auto"/>
            <w:right w:val="none" w:sz="0" w:space="0" w:color="auto"/>
          </w:divBdr>
        </w:div>
        <w:div w:id="1404261026">
          <w:marLeft w:val="0"/>
          <w:marRight w:val="0"/>
          <w:marTop w:val="0"/>
          <w:marBottom w:val="0"/>
          <w:divBdr>
            <w:top w:val="none" w:sz="0" w:space="0" w:color="auto"/>
            <w:left w:val="none" w:sz="0" w:space="0" w:color="auto"/>
            <w:bottom w:val="none" w:sz="0" w:space="0" w:color="auto"/>
            <w:right w:val="none" w:sz="0" w:space="0" w:color="auto"/>
          </w:divBdr>
        </w:div>
        <w:div w:id="638808706">
          <w:marLeft w:val="0"/>
          <w:marRight w:val="0"/>
          <w:marTop w:val="0"/>
          <w:marBottom w:val="0"/>
          <w:divBdr>
            <w:top w:val="none" w:sz="0" w:space="0" w:color="auto"/>
            <w:left w:val="none" w:sz="0" w:space="0" w:color="auto"/>
            <w:bottom w:val="none" w:sz="0" w:space="0" w:color="auto"/>
            <w:right w:val="none" w:sz="0" w:space="0" w:color="auto"/>
          </w:divBdr>
        </w:div>
        <w:div w:id="238516275">
          <w:marLeft w:val="0"/>
          <w:marRight w:val="0"/>
          <w:marTop w:val="0"/>
          <w:marBottom w:val="0"/>
          <w:divBdr>
            <w:top w:val="none" w:sz="0" w:space="0" w:color="auto"/>
            <w:left w:val="none" w:sz="0" w:space="0" w:color="auto"/>
            <w:bottom w:val="none" w:sz="0" w:space="0" w:color="auto"/>
            <w:right w:val="none" w:sz="0" w:space="0" w:color="auto"/>
          </w:divBdr>
        </w:div>
        <w:div w:id="1694109704">
          <w:marLeft w:val="0"/>
          <w:marRight w:val="0"/>
          <w:marTop w:val="0"/>
          <w:marBottom w:val="0"/>
          <w:divBdr>
            <w:top w:val="none" w:sz="0" w:space="0" w:color="auto"/>
            <w:left w:val="none" w:sz="0" w:space="0" w:color="auto"/>
            <w:bottom w:val="none" w:sz="0" w:space="0" w:color="auto"/>
            <w:right w:val="none" w:sz="0" w:space="0" w:color="auto"/>
          </w:divBdr>
        </w:div>
        <w:div w:id="2120836280">
          <w:marLeft w:val="0"/>
          <w:marRight w:val="0"/>
          <w:marTop w:val="0"/>
          <w:marBottom w:val="0"/>
          <w:divBdr>
            <w:top w:val="none" w:sz="0" w:space="0" w:color="auto"/>
            <w:left w:val="none" w:sz="0" w:space="0" w:color="auto"/>
            <w:bottom w:val="none" w:sz="0" w:space="0" w:color="auto"/>
            <w:right w:val="none" w:sz="0" w:space="0" w:color="auto"/>
          </w:divBdr>
        </w:div>
        <w:div w:id="455296425">
          <w:marLeft w:val="0"/>
          <w:marRight w:val="0"/>
          <w:marTop w:val="0"/>
          <w:marBottom w:val="0"/>
          <w:divBdr>
            <w:top w:val="none" w:sz="0" w:space="0" w:color="auto"/>
            <w:left w:val="none" w:sz="0" w:space="0" w:color="auto"/>
            <w:bottom w:val="none" w:sz="0" w:space="0" w:color="auto"/>
            <w:right w:val="none" w:sz="0" w:space="0" w:color="auto"/>
          </w:divBdr>
        </w:div>
        <w:div w:id="1932930429">
          <w:marLeft w:val="0"/>
          <w:marRight w:val="0"/>
          <w:marTop w:val="0"/>
          <w:marBottom w:val="0"/>
          <w:divBdr>
            <w:top w:val="none" w:sz="0" w:space="0" w:color="auto"/>
            <w:left w:val="none" w:sz="0" w:space="0" w:color="auto"/>
            <w:bottom w:val="none" w:sz="0" w:space="0" w:color="auto"/>
            <w:right w:val="none" w:sz="0" w:space="0" w:color="auto"/>
          </w:divBdr>
        </w:div>
        <w:div w:id="538082317">
          <w:marLeft w:val="0"/>
          <w:marRight w:val="0"/>
          <w:marTop w:val="0"/>
          <w:marBottom w:val="0"/>
          <w:divBdr>
            <w:top w:val="none" w:sz="0" w:space="0" w:color="auto"/>
            <w:left w:val="none" w:sz="0" w:space="0" w:color="auto"/>
            <w:bottom w:val="none" w:sz="0" w:space="0" w:color="auto"/>
            <w:right w:val="none" w:sz="0" w:space="0" w:color="auto"/>
          </w:divBdr>
        </w:div>
        <w:div w:id="679356651">
          <w:marLeft w:val="0"/>
          <w:marRight w:val="0"/>
          <w:marTop w:val="0"/>
          <w:marBottom w:val="0"/>
          <w:divBdr>
            <w:top w:val="none" w:sz="0" w:space="0" w:color="auto"/>
            <w:left w:val="none" w:sz="0" w:space="0" w:color="auto"/>
            <w:bottom w:val="none" w:sz="0" w:space="0" w:color="auto"/>
            <w:right w:val="none" w:sz="0" w:space="0" w:color="auto"/>
          </w:divBdr>
        </w:div>
        <w:div w:id="1638532409">
          <w:marLeft w:val="0"/>
          <w:marRight w:val="0"/>
          <w:marTop w:val="0"/>
          <w:marBottom w:val="0"/>
          <w:divBdr>
            <w:top w:val="none" w:sz="0" w:space="0" w:color="auto"/>
            <w:left w:val="none" w:sz="0" w:space="0" w:color="auto"/>
            <w:bottom w:val="none" w:sz="0" w:space="0" w:color="auto"/>
            <w:right w:val="none" w:sz="0" w:space="0" w:color="auto"/>
          </w:divBdr>
        </w:div>
        <w:div w:id="1464275602">
          <w:marLeft w:val="0"/>
          <w:marRight w:val="0"/>
          <w:marTop w:val="0"/>
          <w:marBottom w:val="0"/>
          <w:divBdr>
            <w:top w:val="none" w:sz="0" w:space="0" w:color="auto"/>
            <w:left w:val="none" w:sz="0" w:space="0" w:color="auto"/>
            <w:bottom w:val="none" w:sz="0" w:space="0" w:color="auto"/>
            <w:right w:val="none" w:sz="0" w:space="0" w:color="auto"/>
          </w:divBdr>
        </w:div>
        <w:div w:id="1916237550">
          <w:marLeft w:val="0"/>
          <w:marRight w:val="0"/>
          <w:marTop w:val="0"/>
          <w:marBottom w:val="0"/>
          <w:divBdr>
            <w:top w:val="none" w:sz="0" w:space="0" w:color="auto"/>
            <w:left w:val="none" w:sz="0" w:space="0" w:color="auto"/>
            <w:bottom w:val="none" w:sz="0" w:space="0" w:color="auto"/>
            <w:right w:val="none" w:sz="0" w:space="0" w:color="auto"/>
          </w:divBdr>
        </w:div>
        <w:div w:id="2095541977">
          <w:marLeft w:val="0"/>
          <w:marRight w:val="0"/>
          <w:marTop w:val="0"/>
          <w:marBottom w:val="0"/>
          <w:divBdr>
            <w:top w:val="none" w:sz="0" w:space="0" w:color="auto"/>
            <w:left w:val="none" w:sz="0" w:space="0" w:color="auto"/>
            <w:bottom w:val="none" w:sz="0" w:space="0" w:color="auto"/>
            <w:right w:val="none" w:sz="0" w:space="0" w:color="auto"/>
          </w:divBdr>
          <w:divsChild>
            <w:div w:id="1488938398">
              <w:marLeft w:val="-75"/>
              <w:marRight w:val="0"/>
              <w:marTop w:val="30"/>
              <w:marBottom w:val="30"/>
              <w:divBdr>
                <w:top w:val="none" w:sz="0" w:space="0" w:color="auto"/>
                <w:left w:val="none" w:sz="0" w:space="0" w:color="auto"/>
                <w:bottom w:val="none" w:sz="0" w:space="0" w:color="auto"/>
                <w:right w:val="none" w:sz="0" w:space="0" w:color="auto"/>
              </w:divBdr>
              <w:divsChild>
                <w:div w:id="283007184">
                  <w:marLeft w:val="0"/>
                  <w:marRight w:val="0"/>
                  <w:marTop w:val="0"/>
                  <w:marBottom w:val="0"/>
                  <w:divBdr>
                    <w:top w:val="none" w:sz="0" w:space="0" w:color="auto"/>
                    <w:left w:val="none" w:sz="0" w:space="0" w:color="auto"/>
                    <w:bottom w:val="none" w:sz="0" w:space="0" w:color="auto"/>
                    <w:right w:val="none" w:sz="0" w:space="0" w:color="auto"/>
                  </w:divBdr>
                  <w:divsChild>
                    <w:div w:id="928538327">
                      <w:marLeft w:val="0"/>
                      <w:marRight w:val="0"/>
                      <w:marTop w:val="0"/>
                      <w:marBottom w:val="0"/>
                      <w:divBdr>
                        <w:top w:val="none" w:sz="0" w:space="0" w:color="auto"/>
                        <w:left w:val="none" w:sz="0" w:space="0" w:color="auto"/>
                        <w:bottom w:val="none" w:sz="0" w:space="0" w:color="auto"/>
                        <w:right w:val="none" w:sz="0" w:space="0" w:color="auto"/>
                      </w:divBdr>
                    </w:div>
                  </w:divsChild>
                </w:div>
                <w:div w:id="1080567943">
                  <w:marLeft w:val="0"/>
                  <w:marRight w:val="0"/>
                  <w:marTop w:val="0"/>
                  <w:marBottom w:val="0"/>
                  <w:divBdr>
                    <w:top w:val="none" w:sz="0" w:space="0" w:color="auto"/>
                    <w:left w:val="none" w:sz="0" w:space="0" w:color="auto"/>
                    <w:bottom w:val="none" w:sz="0" w:space="0" w:color="auto"/>
                    <w:right w:val="none" w:sz="0" w:space="0" w:color="auto"/>
                  </w:divBdr>
                  <w:divsChild>
                    <w:div w:id="1112624978">
                      <w:marLeft w:val="0"/>
                      <w:marRight w:val="0"/>
                      <w:marTop w:val="0"/>
                      <w:marBottom w:val="0"/>
                      <w:divBdr>
                        <w:top w:val="none" w:sz="0" w:space="0" w:color="auto"/>
                        <w:left w:val="none" w:sz="0" w:space="0" w:color="auto"/>
                        <w:bottom w:val="none" w:sz="0" w:space="0" w:color="auto"/>
                        <w:right w:val="none" w:sz="0" w:space="0" w:color="auto"/>
                      </w:divBdr>
                    </w:div>
                    <w:div w:id="539319864">
                      <w:marLeft w:val="0"/>
                      <w:marRight w:val="0"/>
                      <w:marTop w:val="0"/>
                      <w:marBottom w:val="0"/>
                      <w:divBdr>
                        <w:top w:val="none" w:sz="0" w:space="0" w:color="auto"/>
                        <w:left w:val="none" w:sz="0" w:space="0" w:color="auto"/>
                        <w:bottom w:val="none" w:sz="0" w:space="0" w:color="auto"/>
                        <w:right w:val="none" w:sz="0" w:space="0" w:color="auto"/>
                      </w:divBdr>
                    </w:div>
                  </w:divsChild>
                </w:div>
                <w:div w:id="344208591">
                  <w:marLeft w:val="0"/>
                  <w:marRight w:val="0"/>
                  <w:marTop w:val="0"/>
                  <w:marBottom w:val="0"/>
                  <w:divBdr>
                    <w:top w:val="none" w:sz="0" w:space="0" w:color="auto"/>
                    <w:left w:val="none" w:sz="0" w:space="0" w:color="auto"/>
                    <w:bottom w:val="none" w:sz="0" w:space="0" w:color="auto"/>
                    <w:right w:val="none" w:sz="0" w:space="0" w:color="auto"/>
                  </w:divBdr>
                  <w:divsChild>
                    <w:div w:id="1723020549">
                      <w:marLeft w:val="0"/>
                      <w:marRight w:val="0"/>
                      <w:marTop w:val="0"/>
                      <w:marBottom w:val="0"/>
                      <w:divBdr>
                        <w:top w:val="none" w:sz="0" w:space="0" w:color="auto"/>
                        <w:left w:val="none" w:sz="0" w:space="0" w:color="auto"/>
                        <w:bottom w:val="none" w:sz="0" w:space="0" w:color="auto"/>
                        <w:right w:val="none" w:sz="0" w:space="0" w:color="auto"/>
                      </w:divBdr>
                    </w:div>
                  </w:divsChild>
                </w:div>
                <w:div w:id="233929418">
                  <w:marLeft w:val="0"/>
                  <w:marRight w:val="0"/>
                  <w:marTop w:val="0"/>
                  <w:marBottom w:val="0"/>
                  <w:divBdr>
                    <w:top w:val="none" w:sz="0" w:space="0" w:color="auto"/>
                    <w:left w:val="none" w:sz="0" w:space="0" w:color="auto"/>
                    <w:bottom w:val="none" w:sz="0" w:space="0" w:color="auto"/>
                    <w:right w:val="none" w:sz="0" w:space="0" w:color="auto"/>
                  </w:divBdr>
                  <w:divsChild>
                    <w:div w:id="193542531">
                      <w:marLeft w:val="0"/>
                      <w:marRight w:val="0"/>
                      <w:marTop w:val="0"/>
                      <w:marBottom w:val="0"/>
                      <w:divBdr>
                        <w:top w:val="none" w:sz="0" w:space="0" w:color="auto"/>
                        <w:left w:val="none" w:sz="0" w:space="0" w:color="auto"/>
                        <w:bottom w:val="none" w:sz="0" w:space="0" w:color="auto"/>
                        <w:right w:val="none" w:sz="0" w:space="0" w:color="auto"/>
                      </w:divBdr>
                    </w:div>
                    <w:div w:id="2029217062">
                      <w:marLeft w:val="0"/>
                      <w:marRight w:val="0"/>
                      <w:marTop w:val="0"/>
                      <w:marBottom w:val="0"/>
                      <w:divBdr>
                        <w:top w:val="none" w:sz="0" w:space="0" w:color="auto"/>
                        <w:left w:val="none" w:sz="0" w:space="0" w:color="auto"/>
                        <w:bottom w:val="none" w:sz="0" w:space="0" w:color="auto"/>
                        <w:right w:val="none" w:sz="0" w:space="0" w:color="auto"/>
                      </w:divBdr>
                    </w:div>
                  </w:divsChild>
                </w:div>
                <w:div w:id="231042282">
                  <w:marLeft w:val="0"/>
                  <w:marRight w:val="0"/>
                  <w:marTop w:val="0"/>
                  <w:marBottom w:val="0"/>
                  <w:divBdr>
                    <w:top w:val="none" w:sz="0" w:space="0" w:color="auto"/>
                    <w:left w:val="none" w:sz="0" w:space="0" w:color="auto"/>
                    <w:bottom w:val="none" w:sz="0" w:space="0" w:color="auto"/>
                    <w:right w:val="none" w:sz="0" w:space="0" w:color="auto"/>
                  </w:divBdr>
                  <w:divsChild>
                    <w:div w:id="1200582818">
                      <w:marLeft w:val="0"/>
                      <w:marRight w:val="0"/>
                      <w:marTop w:val="0"/>
                      <w:marBottom w:val="0"/>
                      <w:divBdr>
                        <w:top w:val="none" w:sz="0" w:space="0" w:color="auto"/>
                        <w:left w:val="none" w:sz="0" w:space="0" w:color="auto"/>
                        <w:bottom w:val="none" w:sz="0" w:space="0" w:color="auto"/>
                        <w:right w:val="none" w:sz="0" w:space="0" w:color="auto"/>
                      </w:divBdr>
                    </w:div>
                  </w:divsChild>
                </w:div>
                <w:div w:id="431166015">
                  <w:marLeft w:val="0"/>
                  <w:marRight w:val="0"/>
                  <w:marTop w:val="0"/>
                  <w:marBottom w:val="0"/>
                  <w:divBdr>
                    <w:top w:val="none" w:sz="0" w:space="0" w:color="auto"/>
                    <w:left w:val="none" w:sz="0" w:space="0" w:color="auto"/>
                    <w:bottom w:val="none" w:sz="0" w:space="0" w:color="auto"/>
                    <w:right w:val="none" w:sz="0" w:space="0" w:color="auto"/>
                  </w:divBdr>
                  <w:divsChild>
                    <w:div w:id="63383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6871884">
          <w:marLeft w:val="0"/>
          <w:marRight w:val="0"/>
          <w:marTop w:val="0"/>
          <w:marBottom w:val="0"/>
          <w:divBdr>
            <w:top w:val="none" w:sz="0" w:space="0" w:color="auto"/>
            <w:left w:val="none" w:sz="0" w:space="0" w:color="auto"/>
            <w:bottom w:val="none" w:sz="0" w:space="0" w:color="auto"/>
            <w:right w:val="none" w:sz="0" w:space="0" w:color="auto"/>
          </w:divBdr>
        </w:div>
        <w:div w:id="1002320289">
          <w:marLeft w:val="0"/>
          <w:marRight w:val="0"/>
          <w:marTop w:val="0"/>
          <w:marBottom w:val="0"/>
          <w:divBdr>
            <w:top w:val="none" w:sz="0" w:space="0" w:color="auto"/>
            <w:left w:val="none" w:sz="0" w:space="0" w:color="auto"/>
            <w:bottom w:val="none" w:sz="0" w:space="0" w:color="auto"/>
            <w:right w:val="none" w:sz="0" w:space="0" w:color="auto"/>
          </w:divBdr>
        </w:div>
        <w:div w:id="2033648475">
          <w:marLeft w:val="0"/>
          <w:marRight w:val="0"/>
          <w:marTop w:val="0"/>
          <w:marBottom w:val="0"/>
          <w:divBdr>
            <w:top w:val="none" w:sz="0" w:space="0" w:color="auto"/>
            <w:left w:val="none" w:sz="0" w:space="0" w:color="auto"/>
            <w:bottom w:val="none" w:sz="0" w:space="0" w:color="auto"/>
            <w:right w:val="none" w:sz="0" w:space="0" w:color="auto"/>
          </w:divBdr>
        </w:div>
        <w:div w:id="1053582647">
          <w:marLeft w:val="0"/>
          <w:marRight w:val="0"/>
          <w:marTop w:val="0"/>
          <w:marBottom w:val="0"/>
          <w:divBdr>
            <w:top w:val="none" w:sz="0" w:space="0" w:color="auto"/>
            <w:left w:val="none" w:sz="0" w:space="0" w:color="auto"/>
            <w:bottom w:val="none" w:sz="0" w:space="0" w:color="auto"/>
            <w:right w:val="none" w:sz="0" w:space="0" w:color="auto"/>
          </w:divBdr>
        </w:div>
        <w:div w:id="165822881">
          <w:marLeft w:val="0"/>
          <w:marRight w:val="0"/>
          <w:marTop w:val="0"/>
          <w:marBottom w:val="0"/>
          <w:divBdr>
            <w:top w:val="none" w:sz="0" w:space="0" w:color="auto"/>
            <w:left w:val="none" w:sz="0" w:space="0" w:color="auto"/>
            <w:bottom w:val="none" w:sz="0" w:space="0" w:color="auto"/>
            <w:right w:val="none" w:sz="0" w:space="0" w:color="auto"/>
          </w:divBdr>
        </w:div>
        <w:div w:id="1919947877">
          <w:marLeft w:val="0"/>
          <w:marRight w:val="0"/>
          <w:marTop w:val="0"/>
          <w:marBottom w:val="0"/>
          <w:divBdr>
            <w:top w:val="none" w:sz="0" w:space="0" w:color="auto"/>
            <w:left w:val="none" w:sz="0" w:space="0" w:color="auto"/>
            <w:bottom w:val="none" w:sz="0" w:space="0" w:color="auto"/>
            <w:right w:val="none" w:sz="0" w:space="0" w:color="auto"/>
          </w:divBdr>
          <w:divsChild>
            <w:div w:id="1192113255">
              <w:marLeft w:val="0"/>
              <w:marRight w:val="0"/>
              <w:marTop w:val="0"/>
              <w:marBottom w:val="0"/>
              <w:divBdr>
                <w:top w:val="none" w:sz="0" w:space="0" w:color="auto"/>
                <w:left w:val="none" w:sz="0" w:space="0" w:color="auto"/>
                <w:bottom w:val="none" w:sz="0" w:space="0" w:color="auto"/>
                <w:right w:val="none" w:sz="0" w:space="0" w:color="auto"/>
              </w:divBdr>
            </w:div>
            <w:div w:id="524707673">
              <w:marLeft w:val="0"/>
              <w:marRight w:val="0"/>
              <w:marTop w:val="0"/>
              <w:marBottom w:val="0"/>
              <w:divBdr>
                <w:top w:val="none" w:sz="0" w:space="0" w:color="auto"/>
                <w:left w:val="none" w:sz="0" w:space="0" w:color="auto"/>
                <w:bottom w:val="none" w:sz="0" w:space="0" w:color="auto"/>
                <w:right w:val="none" w:sz="0" w:space="0" w:color="auto"/>
              </w:divBdr>
            </w:div>
            <w:div w:id="1477457551">
              <w:marLeft w:val="0"/>
              <w:marRight w:val="0"/>
              <w:marTop w:val="0"/>
              <w:marBottom w:val="0"/>
              <w:divBdr>
                <w:top w:val="none" w:sz="0" w:space="0" w:color="auto"/>
                <w:left w:val="none" w:sz="0" w:space="0" w:color="auto"/>
                <w:bottom w:val="none" w:sz="0" w:space="0" w:color="auto"/>
                <w:right w:val="none" w:sz="0" w:space="0" w:color="auto"/>
              </w:divBdr>
            </w:div>
            <w:div w:id="1905212490">
              <w:marLeft w:val="0"/>
              <w:marRight w:val="0"/>
              <w:marTop w:val="0"/>
              <w:marBottom w:val="0"/>
              <w:divBdr>
                <w:top w:val="none" w:sz="0" w:space="0" w:color="auto"/>
                <w:left w:val="none" w:sz="0" w:space="0" w:color="auto"/>
                <w:bottom w:val="none" w:sz="0" w:space="0" w:color="auto"/>
                <w:right w:val="none" w:sz="0" w:space="0" w:color="auto"/>
              </w:divBdr>
            </w:div>
            <w:div w:id="1960529064">
              <w:marLeft w:val="0"/>
              <w:marRight w:val="0"/>
              <w:marTop w:val="0"/>
              <w:marBottom w:val="0"/>
              <w:divBdr>
                <w:top w:val="none" w:sz="0" w:space="0" w:color="auto"/>
                <w:left w:val="none" w:sz="0" w:space="0" w:color="auto"/>
                <w:bottom w:val="none" w:sz="0" w:space="0" w:color="auto"/>
                <w:right w:val="none" w:sz="0" w:space="0" w:color="auto"/>
              </w:divBdr>
            </w:div>
          </w:divsChild>
        </w:div>
        <w:div w:id="1791318772">
          <w:marLeft w:val="0"/>
          <w:marRight w:val="0"/>
          <w:marTop w:val="0"/>
          <w:marBottom w:val="0"/>
          <w:divBdr>
            <w:top w:val="none" w:sz="0" w:space="0" w:color="auto"/>
            <w:left w:val="none" w:sz="0" w:space="0" w:color="auto"/>
            <w:bottom w:val="none" w:sz="0" w:space="0" w:color="auto"/>
            <w:right w:val="none" w:sz="0" w:space="0" w:color="auto"/>
          </w:divBdr>
        </w:div>
        <w:div w:id="1672679863">
          <w:marLeft w:val="0"/>
          <w:marRight w:val="0"/>
          <w:marTop w:val="0"/>
          <w:marBottom w:val="0"/>
          <w:divBdr>
            <w:top w:val="none" w:sz="0" w:space="0" w:color="auto"/>
            <w:left w:val="none" w:sz="0" w:space="0" w:color="auto"/>
            <w:bottom w:val="none" w:sz="0" w:space="0" w:color="auto"/>
            <w:right w:val="none" w:sz="0" w:space="0" w:color="auto"/>
          </w:divBdr>
        </w:div>
        <w:div w:id="896629501">
          <w:marLeft w:val="0"/>
          <w:marRight w:val="0"/>
          <w:marTop w:val="0"/>
          <w:marBottom w:val="0"/>
          <w:divBdr>
            <w:top w:val="none" w:sz="0" w:space="0" w:color="auto"/>
            <w:left w:val="none" w:sz="0" w:space="0" w:color="auto"/>
            <w:bottom w:val="none" w:sz="0" w:space="0" w:color="auto"/>
            <w:right w:val="none" w:sz="0" w:space="0" w:color="auto"/>
          </w:divBdr>
        </w:div>
        <w:div w:id="1492059971">
          <w:marLeft w:val="0"/>
          <w:marRight w:val="0"/>
          <w:marTop w:val="0"/>
          <w:marBottom w:val="0"/>
          <w:divBdr>
            <w:top w:val="none" w:sz="0" w:space="0" w:color="auto"/>
            <w:left w:val="none" w:sz="0" w:space="0" w:color="auto"/>
            <w:bottom w:val="none" w:sz="0" w:space="0" w:color="auto"/>
            <w:right w:val="none" w:sz="0" w:space="0" w:color="auto"/>
          </w:divBdr>
        </w:div>
        <w:div w:id="743262102">
          <w:marLeft w:val="0"/>
          <w:marRight w:val="0"/>
          <w:marTop w:val="0"/>
          <w:marBottom w:val="0"/>
          <w:divBdr>
            <w:top w:val="none" w:sz="0" w:space="0" w:color="auto"/>
            <w:left w:val="none" w:sz="0" w:space="0" w:color="auto"/>
            <w:bottom w:val="none" w:sz="0" w:space="0" w:color="auto"/>
            <w:right w:val="none" w:sz="0" w:space="0" w:color="auto"/>
          </w:divBdr>
        </w:div>
        <w:div w:id="1966614619">
          <w:marLeft w:val="0"/>
          <w:marRight w:val="0"/>
          <w:marTop w:val="0"/>
          <w:marBottom w:val="0"/>
          <w:divBdr>
            <w:top w:val="none" w:sz="0" w:space="0" w:color="auto"/>
            <w:left w:val="none" w:sz="0" w:space="0" w:color="auto"/>
            <w:bottom w:val="none" w:sz="0" w:space="0" w:color="auto"/>
            <w:right w:val="none" w:sz="0" w:space="0" w:color="auto"/>
          </w:divBdr>
          <w:divsChild>
            <w:div w:id="1375154655">
              <w:marLeft w:val="0"/>
              <w:marRight w:val="0"/>
              <w:marTop w:val="0"/>
              <w:marBottom w:val="0"/>
              <w:divBdr>
                <w:top w:val="none" w:sz="0" w:space="0" w:color="auto"/>
                <w:left w:val="none" w:sz="0" w:space="0" w:color="auto"/>
                <w:bottom w:val="none" w:sz="0" w:space="0" w:color="auto"/>
                <w:right w:val="none" w:sz="0" w:space="0" w:color="auto"/>
              </w:divBdr>
            </w:div>
            <w:div w:id="1193155926">
              <w:marLeft w:val="0"/>
              <w:marRight w:val="0"/>
              <w:marTop w:val="0"/>
              <w:marBottom w:val="0"/>
              <w:divBdr>
                <w:top w:val="none" w:sz="0" w:space="0" w:color="auto"/>
                <w:left w:val="none" w:sz="0" w:space="0" w:color="auto"/>
                <w:bottom w:val="none" w:sz="0" w:space="0" w:color="auto"/>
                <w:right w:val="none" w:sz="0" w:space="0" w:color="auto"/>
              </w:divBdr>
            </w:div>
            <w:div w:id="152644634">
              <w:marLeft w:val="0"/>
              <w:marRight w:val="0"/>
              <w:marTop w:val="0"/>
              <w:marBottom w:val="0"/>
              <w:divBdr>
                <w:top w:val="none" w:sz="0" w:space="0" w:color="auto"/>
                <w:left w:val="none" w:sz="0" w:space="0" w:color="auto"/>
                <w:bottom w:val="none" w:sz="0" w:space="0" w:color="auto"/>
                <w:right w:val="none" w:sz="0" w:space="0" w:color="auto"/>
              </w:divBdr>
            </w:div>
            <w:div w:id="1745906066">
              <w:marLeft w:val="0"/>
              <w:marRight w:val="0"/>
              <w:marTop w:val="0"/>
              <w:marBottom w:val="0"/>
              <w:divBdr>
                <w:top w:val="none" w:sz="0" w:space="0" w:color="auto"/>
                <w:left w:val="none" w:sz="0" w:space="0" w:color="auto"/>
                <w:bottom w:val="none" w:sz="0" w:space="0" w:color="auto"/>
                <w:right w:val="none" w:sz="0" w:space="0" w:color="auto"/>
              </w:divBdr>
            </w:div>
            <w:div w:id="293171294">
              <w:marLeft w:val="0"/>
              <w:marRight w:val="0"/>
              <w:marTop w:val="0"/>
              <w:marBottom w:val="0"/>
              <w:divBdr>
                <w:top w:val="none" w:sz="0" w:space="0" w:color="auto"/>
                <w:left w:val="none" w:sz="0" w:space="0" w:color="auto"/>
                <w:bottom w:val="none" w:sz="0" w:space="0" w:color="auto"/>
                <w:right w:val="none" w:sz="0" w:space="0" w:color="auto"/>
              </w:divBdr>
            </w:div>
          </w:divsChild>
        </w:div>
        <w:div w:id="1836526458">
          <w:marLeft w:val="0"/>
          <w:marRight w:val="0"/>
          <w:marTop w:val="0"/>
          <w:marBottom w:val="0"/>
          <w:divBdr>
            <w:top w:val="none" w:sz="0" w:space="0" w:color="auto"/>
            <w:left w:val="none" w:sz="0" w:space="0" w:color="auto"/>
            <w:bottom w:val="none" w:sz="0" w:space="0" w:color="auto"/>
            <w:right w:val="none" w:sz="0" w:space="0" w:color="auto"/>
          </w:divBdr>
          <w:divsChild>
            <w:div w:id="1153059618">
              <w:marLeft w:val="0"/>
              <w:marRight w:val="0"/>
              <w:marTop w:val="0"/>
              <w:marBottom w:val="0"/>
              <w:divBdr>
                <w:top w:val="none" w:sz="0" w:space="0" w:color="auto"/>
                <w:left w:val="none" w:sz="0" w:space="0" w:color="auto"/>
                <w:bottom w:val="none" w:sz="0" w:space="0" w:color="auto"/>
                <w:right w:val="none" w:sz="0" w:space="0" w:color="auto"/>
              </w:divBdr>
            </w:div>
            <w:div w:id="252974095">
              <w:marLeft w:val="0"/>
              <w:marRight w:val="0"/>
              <w:marTop w:val="0"/>
              <w:marBottom w:val="0"/>
              <w:divBdr>
                <w:top w:val="none" w:sz="0" w:space="0" w:color="auto"/>
                <w:left w:val="none" w:sz="0" w:space="0" w:color="auto"/>
                <w:bottom w:val="none" w:sz="0" w:space="0" w:color="auto"/>
                <w:right w:val="none" w:sz="0" w:space="0" w:color="auto"/>
              </w:divBdr>
            </w:div>
            <w:div w:id="465974370">
              <w:marLeft w:val="0"/>
              <w:marRight w:val="0"/>
              <w:marTop w:val="0"/>
              <w:marBottom w:val="0"/>
              <w:divBdr>
                <w:top w:val="none" w:sz="0" w:space="0" w:color="auto"/>
                <w:left w:val="none" w:sz="0" w:space="0" w:color="auto"/>
                <w:bottom w:val="none" w:sz="0" w:space="0" w:color="auto"/>
                <w:right w:val="none" w:sz="0" w:space="0" w:color="auto"/>
              </w:divBdr>
            </w:div>
            <w:div w:id="762535188">
              <w:marLeft w:val="0"/>
              <w:marRight w:val="0"/>
              <w:marTop w:val="0"/>
              <w:marBottom w:val="0"/>
              <w:divBdr>
                <w:top w:val="none" w:sz="0" w:space="0" w:color="auto"/>
                <w:left w:val="none" w:sz="0" w:space="0" w:color="auto"/>
                <w:bottom w:val="none" w:sz="0" w:space="0" w:color="auto"/>
                <w:right w:val="none" w:sz="0" w:space="0" w:color="auto"/>
              </w:divBdr>
            </w:div>
            <w:div w:id="1513228375">
              <w:marLeft w:val="0"/>
              <w:marRight w:val="0"/>
              <w:marTop w:val="0"/>
              <w:marBottom w:val="0"/>
              <w:divBdr>
                <w:top w:val="none" w:sz="0" w:space="0" w:color="auto"/>
                <w:left w:val="none" w:sz="0" w:space="0" w:color="auto"/>
                <w:bottom w:val="none" w:sz="0" w:space="0" w:color="auto"/>
                <w:right w:val="none" w:sz="0" w:space="0" w:color="auto"/>
              </w:divBdr>
            </w:div>
          </w:divsChild>
        </w:div>
        <w:div w:id="1128550095">
          <w:marLeft w:val="0"/>
          <w:marRight w:val="0"/>
          <w:marTop w:val="0"/>
          <w:marBottom w:val="0"/>
          <w:divBdr>
            <w:top w:val="none" w:sz="0" w:space="0" w:color="auto"/>
            <w:left w:val="none" w:sz="0" w:space="0" w:color="auto"/>
            <w:bottom w:val="none" w:sz="0" w:space="0" w:color="auto"/>
            <w:right w:val="none" w:sz="0" w:space="0" w:color="auto"/>
          </w:divBdr>
          <w:divsChild>
            <w:div w:id="407390849">
              <w:marLeft w:val="0"/>
              <w:marRight w:val="0"/>
              <w:marTop w:val="0"/>
              <w:marBottom w:val="0"/>
              <w:divBdr>
                <w:top w:val="none" w:sz="0" w:space="0" w:color="auto"/>
                <w:left w:val="none" w:sz="0" w:space="0" w:color="auto"/>
                <w:bottom w:val="none" w:sz="0" w:space="0" w:color="auto"/>
                <w:right w:val="none" w:sz="0" w:space="0" w:color="auto"/>
              </w:divBdr>
            </w:div>
            <w:div w:id="1142380584">
              <w:marLeft w:val="0"/>
              <w:marRight w:val="0"/>
              <w:marTop w:val="0"/>
              <w:marBottom w:val="0"/>
              <w:divBdr>
                <w:top w:val="none" w:sz="0" w:space="0" w:color="auto"/>
                <w:left w:val="none" w:sz="0" w:space="0" w:color="auto"/>
                <w:bottom w:val="none" w:sz="0" w:space="0" w:color="auto"/>
                <w:right w:val="none" w:sz="0" w:space="0" w:color="auto"/>
              </w:divBdr>
            </w:div>
            <w:div w:id="1192953861">
              <w:marLeft w:val="0"/>
              <w:marRight w:val="0"/>
              <w:marTop w:val="0"/>
              <w:marBottom w:val="0"/>
              <w:divBdr>
                <w:top w:val="none" w:sz="0" w:space="0" w:color="auto"/>
                <w:left w:val="none" w:sz="0" w:space="0" w:color="auto"/>
                <w:bottom w:val="none" w:sz="0" w:space="0" w:color="auto"/>
                <w:right w:val="none" w:sz="0" w:space="0" w:color="auto"/>
              </w:divBdr>
            </w:div>
          </w:divsChild>
        </w:div>
        <w:div w:id="953637238">
          <w:marLeft w:val="0"/>
          <w:marRight w:val="0"/>
          <w:marTop w:val="0"/>
          <w:marBottom w:val="0"/>
          <w:divBdr>
            <w:top w:val="none" w:sz="0" w:space="0" w:color="auto"/>
            <w:left w:val="none" w:sz="0" w:space="0" w:color="auto"/>
            <w:bottom w:val="none" w:sz="0" w:space="0" w:color="auto"/>
            <w:right w:val="none" w:sz="0" w:space="0" w:color="auto"/>
          </w:divBdr>
          <w:divsChild>
            <w:div w:id="330067371">
              <w:marLeft w:val="0"/>
              <w:marRight w:val="0"/>
              <w:marTop w:val="0"/>
              <w:marBottom w:val="0"/>
              <w:divBdr>
                <w:top w:val="none" w:sz="0" w:space="0" w:color="auto"/>
                <w:left w:val="none" w:sz="0" w:space="0" w:color="auto"/>
                <w:bottom w:val="none" w:sz="0" w:space="0" w:color="auto"/>
                <w:right w:val="none" w:sz="0" w:space="0" w:color="auto"/>
              </w:divBdr>
            </w:div>
            <w:div w:id="1721204122">
              <w:marLeft w:val="0"/>
              <w:marRight w:val="0"/>
              <w:marTop w:val="0"/>
              <w:marBottom w:val="0"/>
              <w:divBdr>
                <w:top w:val="none" w:sz="0" w:space="0" w:color="auto"/>
                <w:left w:val="none" w:sz="0" w:space="0" w:color="auto"/>
                <w:bottom w:val="none" w:sz="0" w:space="0" w:color="auto"/>
                <w:right w:val="none" w:sz="0" w:space="0" w:color="auto"/>
              </w:divBdr>
            </w:div>
            <w:div w:id="543758897">
              <w:marLeft w:val="0"/>
              <w:marRight w:val="0"/>
              <w:marTop w:val="0"/>
              <w:marBottom w:val="0"/>
              <w:divBdr>
                <w:top w:val="none" w:sz="0" w:space="0" w:color="auto"/>
                <w:left w:val="none" w:sz="0" w:space="0" w:color="auto"/>
                <w:bottom w:val="none" w:sz="0" w:space="0" w:color="auto"/>
                <w:right w:val="none" w:sz="0" w:space="0" w:color="auto"/>
              </w:divBdr>
            </w:div>
            <w:div w:id="1286548090">
              <w:marLeft w:val="0"/>
              <w:marRight w:val="0"/>
              <w:marTop w:val="0"/>
              <w:marBottom w:val="0"/>
              <w:divBdr>
                <w:top w:val="none" w:sz="0" w:space="0" w:color="auto"/>
                <w:left w:val="none" w:sz="0" w:space="0" w:color="auto"/>
                <w:bottom w:val="none" w:sz="0" w:space="0" w:color="auto"/>
                <w:right w:val="none" w:sz="0" w:space="0" w:color="auto"/>
              </w:divBdr>
            </w:div>
            <w:div w:id="220364327">
              <w:marLeft w:val="0"/>
              <w:marRight w:val="0"/>
              <w:marTop w:val="0"/>
              <w:marBottom w:val="0"/>
              <w:divBdr>
                <w:top w:val="none" w:sz="0" w:space="0" w:color="auto"/>
                <w:left w:val="none" w:sz="0" w:space="0" w:color="auto"/>
                <w:bottom w:val="none" w:sz="0" w:space="0" w:color="auto"/>
                <w:right w:val="none" w:sz="0" w:space="0" w:color="auto"/>
              </w:divBdr>
            </w:div>
          </w:divsChild>
        </w:div>
        <w:div w:id="568075362">
          <w:marLeft w:val="0"/>
          <w:marRight w:val="0"/>
          <w:marTop w:val="0"/>
          <w:marBottom w:val="0"/>
          <w:divBdr>
            <w:top w:val="none" w:sz="0" w:space="0" w:color="auto"/>
            <w:left w:val="none" w:sz="0" w:space="0" w:color="auto"/>
            <w:bottom w:val="none" w:sz="0" w:space="0" w:color="auto"/>
            <w:right w:val="none" w:sz="0" w:space="0" w:color="auto"/>
          </w:divBdr>
        </w:div>
        <w:div w:id="1538200560">
          <w:marLeft w:val="0"/>
          <w:marRight w:val="0"/>
          <w:marTop w:val="0"/>
          <w:marBottom w:val="0"/>
          <w:divBdr>
            <w:top w:val="none" w:sz="0" w:space="0" w:color="auto"/>
            <w:left w:val="none" w:sz="0" w:space="0" w:color="auto"/>
            <w:bottom w:val="none" w:sz="0" w:space="0" w:color="auto"/>
            <w:right w:val="none" w:sz="0" w:space="0" w:color="auto"/>
          </w:divBdr>
          <w:divsChild>
            <w:div w:id="1030690503">
              <w:marLeft w:val="-75"/>
              <w:marRight w:val="0"/>
              <w:marTop w:val="30"/>
              <w:marBottom w:val="30"/>
              <w:divBdr>
                <w:top w:val="none" w:sz="0" w:space="0" w:color="auto"/>
                <w:left w:val="none" w:sz="0" w:space="0" w:color="auto"/>
                <w:bottom w:val="none" w:sz="0" w:space="0" w:color="auto"/>
                <w:right w:val="none" w:sz="0" w:space="0" w:color="auto"/>
              </w:divBdr>
              <w:divsChild>
                <w:div w:id="439450645">
                  <w:marLeft w:val="0"/>
                  <w:marRight w:val="0"/>
                  <w:marTop w:val="0"/>
                  <w:marBottom w:val="0"/>
                  <w:divBdr>
                    <w:top w:val="none" w:sz="0" w:space="0" w:color="auto"/>
                    <w:left w:val="none" w:sz="0" w:space="0" w:color="auto"/>
                    <w:bottom w:val="none" w:sz="0" w:space="0" w:color="auto"/>
                    <w:right w:val="none" w:sz="0" w:space="0" w:color="auto"/>
                  </w:divBdr>
                  <w:divsChild>
                    <w:div w:id="1359618204">
                      <w:marLeft w:val="0"/>
                      <w:marRight w:val="0"/>
                      <w:marTop w:val="0"/>
                      <w:marBottom w:val="0"/>
                      <w:divBdr>
                        <w:top w:val="none" w:sz="0" w:space="0" w:color="auto"/>
                        <w:left w:val="none" w:sz="0" w:space="0" w:color="auto"/>
                        <w:bottom w:val="none" w:sz="0" w:space="0" w:color="auto"/>
                        <w:right w:val="none" w:sz="0" w:space="0" w:color="auto"/>
                      </w:divBdr>
                    </w:div>
                  </w:divsChild>
                </w:div>
                <w:div w:id="835262197">
                  <w:marLeft w:val="0"/>
                  <w:marRight w:val="0"/>
                  <w:marTop w:val="0"/>
                  <w:marBottom w:val="0"/>
                  <w:divBdr>
                    <w:top w:val="none" w:sz="0" w:space="0" w:color="auto"/>
                    <w:left w:val="none" w:sz="0" w:space="0" w:color="auto"/>
                    <w:bottom w:val="none" w:sz="0" w:space="0" w:color="auto"/>
                    <w:right w:val="none" w:sz="0" w:space="0" w:color="auto"/>
                  </w:divBdr>
                  <w:divsChild>
                    <w:div w:id="1468469984">
                      <w:marLeft w:val="0"/>
                      <w:marRight w:val="0"/>
                      <w:marTop w:val="0"/>
                      <w:marBottom w:val="0"/>
                      <w:divBdr>
                        <w:top w:val="none" w:sz="0" w:space="0" w:color="auto"/>
                        <w:left w:val="none" w:sz="0" w:space="0" w:color="auto"/>
                        <w:bottom w:val="none" w:sz="0" w:space="0" w:color="auto"/>
                        <w:right w:val="none" w:sz="0" w:space="0" w:color="auto"/>
                      </w:divBdr>
                    </w:div>
                  </w:divsChild>
                </w:div>
                <w:div w:id="1874032042">
                  <w:marLeft w:val="0"/>
                  <w:marRight w:val="0"/>
                  <w:marTop w:val="0"/>
                  <w:marBottom w:val="0"/>
                  <w:divBdr>
                    <w:top w:val="none" w:sz="0" w:space="0" w:color="auto"/>
                    <w:left w:val="none" w:sz="0" w:space="0" w:color="auto"/>
                    <w:bottom w:val="none" w:sz="0" w:space="0" w:color="auto"/>
                    <w:right w:val="none" w:sz="0" w:space="0" w:color="auto"/>
                  </w:divBdr>
                  <w:divsChild>
                    <w:div w:id="1346664389">
                      <w:marLeft w:val="0"/>
                      <w:marRight w:val="0"/>
                      <w:marTop w:val="0"/>
                      <w:marBottom w:val="0"/>
                      <w:divBdr>
                        <w:top w:val="none" w:sz="0" w:space="0" w:color="auto"/>
                        <w:left w:val="none" w:sz="0" w:space="0" w:color="auto"/>
                        <w:bottom w:val="none" w:sz="0" w:space="0" w:color="auto"/>
                        <w:right w:val="none" w:sz="0" w:space="0" w:color="auto"/>
                      </w:divBdr>
                    </w:div>
                  </w:divsChild>
                </w:div>
                <w:div w:id="1896239809">
                  <w:marLeft w:val="0"/>
                  <w:marRight w:val="0"/>
                  <w:marTop w:val="0"/>
                  <w:marBottom w:val="0"/>
                  <w:divBdr>
                    <w:top w:val="none" w:sz="0" w:space="0" w:color="auto"/>
                    <w:left w:val="none" w:sz="0" w:space="0" w:color="auto"/>
                    <w:bottom w:val="none" w:sz="0" w:space="0" w:color="auto"/>
                    <w:right w:val="none" w:sz="0" w:space="0" w:color="auto"/>
                  </w:divBdr>
                  <w:divsChild>
                    <w:div w:id="385639604">
                      <w:marLeft w:val="0"/>
                      <w:marRight w:val="0"/>
                      <w:marTop w:val="0"/>
                      <w:marBottom w:val="0"/>
                      <w:divBdr>
                        <w:top w:val="none" w:sz="0" w:space="0" w:color="auto"/>
                        <w:left w:val="none" w:sz="0" w:space="0" w:color="auto"/>
                        <w:bottom w:val="none" w:sz="0" w:space="0" w:color="auto"/>
                        <w:right w:val="none" w:sz="0" w:space="0" w:color="auto"/>
                      </w:divBdr>
                    </w:div>
                  </w:divsChild>
                </w:div>
                <w:div w:id="738094220">
                  <w:marLeft w:val="0"/>
                  <w:marRight w:val="0"/>
                  <w:marTop w:val="0"/>
                  <w:marBottom w:val="0"/>
                  <w:divBdr>
                    <w:top w:val="none" w:sz="0" w:space="0" w:color="auto"/>
                    <w:left w:val="none" w:sz="0" w:space="0" w:color="auto"/>
                    <w:bottom w:val="none" w:sz="0" w:space="0" w:color="auto"/>
                    <w:right w:val="none" w:sz="0" w:space="0" w:color="auto"/>
                  </w:divBdr>
                  <w:divsChild>
                    <w:div w:id="1453859116">
                      <w:marLeft w:val="0"/>
                      <w:marRight w:val="0"/>
                      <w:marTop w:val="0"/>
                      <w:marBottom w:val="0"/>
                      <w:divBdr>
                        <w:top w:val="none" w:sz="0" w:space="0" w:color="auto"/>
                        <w:left w:val="none" w:sz="0" w:space="0" w:color="auto"/>
                        <w:bottom w:val="none" w:sz="0" w:space="0" w:color="auto"/>
                        <w:right w:val="none" w:sz="0" w:space="0" w:color="auto"/>
                      </w:divBdr>
                    </w:div>
                  </w:divsChild>
                </w:div>
                <w:div w:id="1785539217">
                  <w:marLeft w:val="0"/>
                  <w:marRight w:val="0"/>
                  <w:marTop w:val="0"/>
                  <w:marBottom w:val="0"/>
                  <w:divBdr>
                    <w:top w:val="none" w:sz="0" w:space="0" w:color="auto"/>
                    <w:left w:val="none" w:sz="0" w:space="0" w:color="auto"/>
                    <w:bottom w:val="none" w:sz="0" w:space="0" w:color="auto"/>
                    <w:right w:val="none" w:sz="0" w:space="0" w:color="auto"/>
                  </w:divBdr>
                  <w:divsChild>
                    <w:div w:id="1682002375">
                      <w:marLeft w:val="0"/>
                      <w:marRight w:val="0"/>
                      <w:marTop w:val="0"/>
                      <w:marBottom w:val="0"/>
                      <w:divBdr>
                        <w:top w:val="none" w:sz="0" w:space="0" w:color="auto"/>
                        <w:left w:val="none" w:sz="0" w:space="0" w:color="auto"/>
                        <w:bottom w:val="none" w:sz="0" w:space="0" w:color="auto"/>
                        <w:right w:val="none" w:sz="0" w:space="0" w:color="auto"/>
                      </w:divBdr>
                    </w:div>
                  </w:divsChild>
                </w:div>
                <w:div w:id="618798070">
                  <w:marLeft w:val="0"/>
                  <w:marRight w:val="0"/>
                  <w:marTop w:val="0"/>
                  <w:marBottom w:val="0"/>
                  <w:divBdr>
                    <w:top w:val="none" w:sz="0" w:space="0" w:color="auto"/>
                    <w:left w:val="none" w:sz="0" w:space="0" w:color="auto"/>
                    <w:bottom w:val="none" w:sz="0" w:space="0" w:color="auto"/>
                    <w:right w:val="none" w:sz="0" w:space="0" w:color="auto"/>
                  </w:divBdr>
                  <w:divsChild>
                    <w:div w:id="429785129">
                      <w:marLeft w:val="0"/>
                      <w:marRight w:val="0"/>
                      <w:marTop w:val="0"/>
                      <w:marBottom w:val="0"/>
                      <w:divBdr>
                        <w:top w:val="none" w:sz="0" w:space="0" w:color="auto"/>
                        <w:left w:val="none" w:sz="0" w:space="0" w:color="auto"/>
                        <w:bottom w:val="none" w:sz="0" w:space="0" w:color="auto"/>
                        <w:right w:val="none" w:sz="0" w:space="0" w:color="auto"/>
                      </w:divBdr>
                    </w:div>
                  </w:divsChild>
                </w:div>
                <w:div w:id="252473224">
                  <w:marLeft w:val="0"/>
                  <w:marRight w:val="0"/>
                  <w:marTop w:val="0"/>
                  <w:marBottom w:val="0"/>
                  <w:divBdr>
                    <w:top w:val="none" w:sz="0" w:space="0" w:color="auto"/>
                    <w:left w:val="none" w:sz="0" w:space="0" w:color="auto"/>
                    <w:bottom w:val="none" w:sz="0" w:space="0" w:color="auto"/>
                    <w:right w:val="none" w:sz="0" w:space="0" w:color="auto"/>
                  </w:divBdr>
                  <w:divsChild>
                    <w:div w:id="1209220644">
                      <w:marLeft w:val="0"/>
                      <w:marRight w:val="0"/>
                      <w:marTop w:val="0"/>
                      <w:marBottom w:val="0"/>
                      <w:divBdr>
                        <w:top w:val="none" w:sz="0" w:space="0" w:color="auto"/>
                        <w:left w:val="none" w:sz="0" w:space="0" w:color="auto"/>
                        <w:bottom w:val="none" w:sz="0" w:space="0" w:color="auto"/>
                        <w:right w:val="none" w:sz="0" w:space="0" w:color="auto"/>
                      </w:divBdr>
                    </w:div>
                  </w:divsChild>
                </w:div>
                <w:div w:id="837228363">
                  <w:marLeft w:val="0"/>
                  <w:marRight w:val="0"/>
                  <w:marTop w:val="0"/>
                  <w:marBottom w:val="0"/>
                  <w:divBdr>
                    <w:top w:val="none" w:sz="0" w:space="0" w:color="auto"/>
                    <w:left w:val="none" w:sz="0" w:space="0" w:color="auto"/>
                    <w:bottom w:val="none" w:sz="0" w:space="0" w:color="auto"/>
                    <w:right w:val="none" w:sz="0" w:space="0" w:color="auto"/>
                  </w:divBdr>
                  <w:divsChild>
                    <w:div w:id="1391149772">
                      <w:marLeft w:val="0"/>
                      <w:marRight w:val="0"/>
                      <w:marTop w:val="0"/>
                      <w:marBottom w:val="0"/>
                      <w:divBdr>
                        <w:top w:val="none" w:sz="0" w:space="0" w:color="auto"/>
                        <w:left w:val="none" w:sz="0" w:space="0" w:color="auto"/>
                        <w:bottom w:val="none" w:sz="0" w:space="0" w:color="auto"/>
                        <w:right w:val="none" w:sz="0" w:space="0" w:color="auto"/>
                      </w:divBdr>
                    </w:div>
                  </w:divsChild>
                </w:div>
                <w:div w:id="1081558220">
                  <w:marLeft w:val="0"/>
                  <w:marRight w:val="0"/>
                  <w:marTop w:val="0"/>
                  <w:marBottom w:val="0"/>
                  <w:divBdr>
                    <w:top w:val="none" w:sz="0" w:space="0" w:color="auto"/>
                    <w:left w:val="none" w:sz="0" w:space="0" w:color="auto"/>
                    <w:bottom w:val="none" w:sz="0" w:space="0" w:color="auto"/>
                    <w:right w:val="none" w:sz="0" w:space="0" w:color="auto"/>
                  </w:divBdr>
                  <w:divsChild>
                    <w:div w:id="520363348">
                      <w:marLeft w:val="0"/>
                      <w:marRight w:val="0"/>
                      <w:marTop w:val="0"/>
                      <w:marBottom w:val="0"/>
                      <w:divBdr>
                        <w:top w:val="none" w:sz="0" w:space="0" w:color="auto"/>
                        <w:left w:val="none" w:sz="0" w:space="0" w:color="auto"/>
                        <w:bottom w:val="none" w:sz="0" w:space="0" w:color="auto"/>
                        <w:right w:val="none" w:sz="0" w:space="0" w:color="auto"/>
                      </w:divBdr>
                    </w:div>
                  </w:divsChild>
                </w:div>
                <w:div w:id="784075614">
                  <w:marLeft w:val="0"/>
                  <w:marRight w:val="0"/>
                  <w:marTop w:val="0"/>
                  <w:marBottom w:val="0"/>
                  <w:divBdr>
                    <w:top w:val="none" w:sz="0" w:space="0" w:color="auto"/>
                    <w:left w:val="none" w:sz="0" w:space="0" w:color="auto"/>
                    <w:bottom w:val="none" w:sz="0" w:space="0" w:color="auto"/>
                    <w:right w:val="none" w:sz="0" w:space="0" w:color="auto"/>
                  </w:divBdr>
                  <w:divsChild>
                    <w:div w:id="1669867117">
                      <w:marLeft w:val="0"/>
                      <w:marRight w:val="0"/>
                      <w:marTop w:val="0"/>
                      <w:marBottom w:val="0"/>
                      <w:divBdr>
                        <w:top w:val="none" w:sz="0" w:space="0" w:color="auto"/>
                        <w:left w:val="none" w:sz="0" w:space="0" w:color="auto"/>
                        <w:bottom w:val="none" w:sz="0" w:space="0" w:color="auto"/>
                        <w:right w:val="none" w:sz="0" w:space="0" w:color="auto"/>
                      </w:divBdr>
                    </w:div>
                    <w:div w:id="1061059177">
                      <w:marLeft w:val="0"/>
                      <w:marRight w:val="0"/>
                      <w:marTop w:val="0"/>
                      <w:marBottom w:val="0"/>
                      <w:divBdr>
                        <w:top w:val="none" w:sz="0" w:space="0" w:color="auto"/>
                        <w:left w:val="none" w:sz="0" w:space="0" w:color="auto"/>
                        <w:bottom w:val="none" w:sz="0" w:space="0" w:color="auto"/>
                        <w:right w:val="none" w:sz="0" w:space="0" w:color="auto"/>
                      </w:divBdr>
                    </w:div>
                  </w:divsChild>
                </w:div>
                <w:div w:id="1620144540">
                  <w:marLeft w:val="0"/>
                  <w:marRight w:val="0"/>
                  <w:marTop w:val="0"/>
                  <w:marBottom w:val="0"/>
                  <w:divBdr>
                    <w:top w:val="none" w:sz="0" w:space="0" w:color="auto"/>
                    <w:left w:val="none" w:sz="0" w:space="0" w:color="auto"/>
                    <w:bottom w:val="none" w:sz="0" w:space="0" w:color="auto"/>
                    <w:right w:val="none" w:sz="0" w:space="0" w:color="auto"/>
                  </w:divBdr>
                  <w:divsChild>
                    <w:div w:id="419764345">
                      <w:marLeft w:val="0"/>
                      <w:marRight w:val="0"/>
                      <w:marTop w:val="0"/>
                      <w:marBottom w:val="0"/>
                      <w:divBdr>
                        <w:top w:val="none" w:sz="0" w:space="0" w:color="auto"/>
                        <w:left w:val="none" w:sz="0" w:space="0" w:color="auto"/>
                        <w:bottom w:val="none" w:sz="0" w:space="0" w:color="auto"/>
                        <w:right w:val="none" w:sz="0" w:space="0" w:color="auto"/>
                      </w:divBdr>
                    </w:div>
                  </w:divsChild>
                </w:div>
                <w:div w:id="851533023">
                  <w:marLeft w:val="0"/>
                  <w:marRight w:val="0"/>
                  <w:marTop w:val="0"/>
                  <w:marBottom w:val="0"/>
                  <w:divBdr>
                    <w:top w:val="none" w:sz="0" w:space="0" w:color="auto"/>
                    <w:left w:val="none" w:sz="0" w:space="0" w:color="auto"/>
                    <w:bottom w:val="none" w:sz="0" w:space="0" w:color="auto"/>
                    <w:right w:val="none" w:sz="0" w:space="0" w:color="auto"/>
                  </w:divBdr>
                  <w:divsChild>
                    <w:div w:id="421223715">
                      <w:marLeft w:val="0"/>
                      <w:marRight w:val="0"/>
                      <w:marTop w:val="0"/>
                      <w:marBottom w:val="0"/>
                      <w:divBdr>
                        <w:top w:val="none" w:sz="0" w:space="0" w:color="auto"/>
                        <w:left w:val="none" w:sz="0" w:space="0" w:color="auto"/>
                        <w:bottom w:val="none" w:sz="0" w:space="0" w:color="auto"/>
                        <w:right w:val="none" w:sz="0" w:space="0" w:color="auto"/>
                      </w:divBdr>
                    </w:div>
                  </w:divsChild>
                </w:div>
                <w:div w:id="300615503">
                  <w:marLeft w:val="0"/>
                  <w:marRight w:val="0"/>
                  <w:marTop w:val="0"/>
                  <w:marBottom w:val="0"/>
                  <w:divBdr>
                    <w:top w:val="none" w:sz="0" w:space="0" w:color="auto"/>
                    <w:left w:val="none" w:sz="0" w:space="0" w:color="auto"/>
                    <w:bottom w:val="none" w:sz="0" w:space="0" w:color="auto"/>
                    <w:right w:val="none" w:sz="0" w:space="0" w:color="auto"/>
                  </w:divBdr>
                  <w:divsChild>
                    <w:div w:id="1767268462">
                      <w:marLeft w:val="0"/>
                      <w:marRight w:val="0"/>
                      <w:marTop w:val="0"/>
                      <w:marBottom w:val="0"/>
                      <w:divBdr>
                        <w:top w:val="none" w:sz="0" w:space="0" w:color="auto"/>
                        <w:left w:val="none" w:sz="0" w:space="0" w:color="auto"/>
                        <w:bottom w:val="none" w:sz="0" w:space="0" w:color="auto"/>
                        <w:right w:val="none" w:sz="0" w:space="0" w:color="auto"/>
                      </w:divBdr>
                    </w:div>
                    <w:div w:id="2067948171">
                      <w:marLeft w:val="0"/>
                      <w:marRight w:val="0"/>
                      <w:marTop w:val="0"/>
                      <w:marBottom w:val="0"/>
                      <w:divBdr>
                        <w:top w:val="none" w:sz="0" w:space="0" w:color="auto"/>
                        <w:left w:val="none" w:sz="0" w:space="0" w:color="auto"/>
                        <w:bottom w:val="none" w:sz="0" w:space="0" w:color="auto"/>
                        <w:right w:val="none" w:sz="0" w:space="0" w:color="auto"/>
                      </w:divBdr>
                    </w:div>
                  </w:divsChild>
                </w:div>
                <w:div w:id="1439057601">
                  <w:marLeft w:val="0"/>
                  <w:marRight w:val="0"/>
                  <w:marTop w:val="0"/>
                  <w:marBottom w:val="0"/>
                  <w:divBdr>
                    <w:top w:val="none" w:sz="0" w:space="0" w:color="auto"/>
                    <w:left w:val="none" w:sz="0" w:space="0" w:color="auto"/>
                    <w:bottom w:val="none" w:sz="0" w:space="0" w:color="auto"/>
                    <w:right w:val="none" w:sz="0" w:space="0" w:color="auto"/>
                  </w:divBdr>
                  <w:divsChild>
                    <w:div w:id="1578132383">
                      <w:marLeft w:val="0"/>
                      <w:marRight w:val="0"/>
                      <w:marTop w:val="0"/>
                      <w:marBottom w:val="0"/>
                      <w:divBdr>
                        <w:top w:val="none" w:sz="0" w:space="0" w:color="auto"/>
                        <w:left w:val="none" w:sz="0" w:space="0" w:color="auto"/>
                        <w:bottom w:val="none" w:sz="0" w:space="0" w:color="auto"/>
                        <w:right w:val="none" w:sz="0" w:space="0" w:color="auto"/>
                      </w:divBdr>
                    </w:div>
                    <w:div w:id="1578437451">
                      <w:marLeft w:val="0"/>
                      <w:marRight w:val="0"/>
                      <w:marTop w:val="0"/>
                      <w:marBottom w:val="0"/>
                      <w:divBdr>
                        <w:top w:val="none" w:sz="0" w:space="0" w:color="auto"/>
                        <w:left w:val="none" w:sz="0" w:space="0" w:color="auto"/>
                        <w:bottom w:val="none" w:sz="0" w:space="0" w:color="auto"/>
                        <w:right w:val="none" w:sz="0" w:space="0" w:color="auto"/>
                      </w:divBdr>
                    </w:div>
                  </w:divsChild>
                </w:div>
                <w:div w:id="1259679740">
                  <w:marLeft w:val="0"/>
                  <w:marRight w:val="0"/>
                  <w:marTop w:val="0"/>
                  <w:marBottom w:val="0"/>
                  <w:divBdr>
                    <w:top w:val="none" w:sz="0" w:space="0" w:color="auto"/>
                    <w:left w:val="none" w:sz="0" w:space="0" w:color="auto"/>
                    <w:bottom w:val="none" w:sz="0" w:space="0" w:color="auto"/>
                    <w:right w:val="none" w:sz="0" w:space="0" w:color="auto"/>
                  </w:divBdr>
                  <w:divsChild>
                    <w:div w:id="54084858">
                      <w:marLeft w:val="0"/>
                      <w:marRight w:val="0"/>
                      <w:marTop w:val="0"/>
                      <w:marBottom w:val="0"/>
                      <w:divBdr>
                        <w:top w:val="none" w:sz="0" w:space="0" w:color="auto"/>
                        <w:left w:val="none" w:sz="0" w:space="0" w:color="auto"/>
                        <w:bottom w:val="none" w:sz="0" w:space="0" w:color="auto"/>
                        <w:right w:val="none" w:sz="0" w:space="0" w:color="auto"/>
                      </w:divBdr>
                    </w:div>
                  </w:divsChild>
                </w:div>
                <w:div w:id="440225636">
                  <w:marLeft w:val="0"/>
                  <w:marRight w:val="0"/>
                  <w:marTop w:val="0"/>
                  <w:marBottom w:val="0"/>
                  <w:divBdr>
                    <w:top w:val="none" w:sz="0" w:space="0" w:color="auto"/>
                    <w:left w:val="none" w:sz="0" w:space="0" w:color="auto"/>
                    <w:bottom w:val="none" w:sz="0" w:space="0" w:color="auto"/>
                    <w:right w:val="none" w:sz="0" w:space="0" w:color="auto"/>
                  </w:divBdr>
                  <w:divsChild>
                    <w:div w:id="1617329362">
                      <w:marLeft w:val="0"/>
                      <w:marRight w:val="0"/>
                      <w:marTop w:val="0"/>
                      <w:marBottom w:val="0"/>
                      <w:divBdr>
                        <w:top w:val="none" w:sz="0" w:space="0" w:color="auto"/>
                        <w:left w:val="none" w:sz="0" w:space="0" w:color="auto"/>
                        <w:bottom w:val="none" w:sz="0" w:space="0" w:color="auto"/>
                        <w:right w:val="none" w:sz="0" w:space="0" w:color="auto"/>
                      </w:divBdr>
                    </w:div>
                    <w:div w:id="521668105">
                      <w:marLeft w:val="0"/>
                      <w:marRight w:val="0"/>
                      <w:marTop w:val="0"/>
                      <w:marBottom w:val="0"/>
                      <w:divBdr>
                        <w:top w:val="none" w:sz="0" w:space="0" w:color="auto"/>
                        <w:left w:val="none" w:sz="0" w:space="0" w:color="auto"/>
                        <w:bottom w:val="none" w:sz="0" w:space="0" w:color="auto"/>
                        <w:right w:val="none" w:sz="0" w:space="0" w:color="auto"/>
                      </w:divBdr>
                    </w:div>
                  </w:divsChild>
                </w:div>
                <w:div w:id="1393964384">
                  <w:marLeft w:val="0"/>
                  <w:marRight w:val="0"/>
                  <w:marTop w:val="0"/>
                  <w:marBottom w:val="0"/>
                  <w:divBdr>
                    <w:top w:val="none" w:sz="0" w:space="0" w:color="auto"/>
                    <w:left w:val="none" w:sz="0" w:space="0" w:color="auto"/>
                    <w:bottom w:val="none" w:sz="0" w:space="0" w:color="auto"/>
                    <w:right w:val="none" w:sz="0" w:space="0" w:color="auto"/>
                  </w:divBdr>
                  <w:divsChild>
                    <w:div w:id="1224876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02491009">
          <w:marLeft w:val="0"/>
          <w:marRight w:val="0"/>
          <w:marTop w:val="0"/>
          <w:marBottom w:val="0"/>
          <w:divBdr>
            <w:top w:val="none" w:sz="0" w:space="0" w:color="auto"/>
            <w:left w:val="none" w:sz="0" w:space="0" w:color="auto"/>
            <w:bottom w:val="none" w:sz="0" w:space="0" w:color="auto"/>
            <w:right w:val="none" w:sz="0" w:space="0" w:color="auto"/>
          </w:divBdr>
        </w:div>
        <w:div w:id="1668825297">
          <w:marLeft w:val="0"/>
          <w:marRight w:val="0"/>
          <w:marTop w:val="0"/>
          <w:marBottom w:val="0"/>
          <w:divBdr>
            <w:top w:val="none" w:sz="0" w:space="0" w:color="auto"/>
            <w:left w:val="none" w:sz="0" w:space="0" w:color="auto"/>
            <w:bottom w:val="none" w:sz="0" w:space="0" w:color="auto"/>
            <w:right w:val="none" w:sz="0" w:space="0" w:color="auto"/>
          </w:divBdr>
        </w:div>
        <w:div w:id="596713425">
          <w:marLeft w:val="0"/>
          <w:marRight w:val="0"/>
          <w:marTop w:val="0"/>
          <w:marBottom w:val="0"/>
          <w:divBdr>
            <w:top w:val="none" w:sz="0" w:space="0" w:color="auto"/>
            <w:left w:val="none" w:sz="0" w:space="0" w:color="auto"/>
            <w:bottom w:val="none" w:sz="0" w:space="0" w:color="auto"/>
            <w:right w:val="none" w:sz="0" w:space="0" w:color="auto"/>
          </w:divBdr>
        </w:div>
        <w:div w:id="355544057">
          <w:marLeft w:val="0"/>
          <w:marRight w:val="0"/>
          <w:marTop w:val="0"/>
          <w:marBottom w:val="0"/>
          <w:divBdr>
            <w:top w:val="none" w:sz="0" w:space="0" w:color="auto"/>
            <w:left w:val="none" w:sz="0" w:space="0" w:color="auto"/>
            <w:bottom w:val="none" w:sz="0" w:space="0" w:color="auto"/>
            <w:right w:val="none" w:sz="0" w:space="0" w:color="auto"/>
          </w:divBdr>
        </w:div>
        <w:div w:id="210045895">
          <w:marLeft w:val="0"/>
          <w:marRight w:val="0"/>
          <w:marTop w:val="0"/>
          <w:marBottom w:val="0"/>
          <w:divBdr>
            <w:top w:val="none" w:sz="0" w:space="0" w:color="auto"/>
            <w:left w:val="none" w:sz="0" w:space="0" w:color="auto"/>
            <w:bottom w:val="none" w:sz="0" w:space="0" w:color="auto"/>
            <w:right w:val="none" w:sz="0" w:space="0" w:color="auto"/>
          </w:divBdr>
        </w:div>
        <w:div w:id="1252810003">
          <w:marLeft w:val="0"/>
          <w:marRight w:val="0"/>
          <w:marTop w:val="0"/>
          <w:marBottom w:val="0"/>
          <w:divBdr>
            <w:top w:val="none" w:sz="0" w:space="0" w:color="auto"/>
            <w:left w:val="none" w:sz="0" w:space="0" w:color="auto"/>
            <w:bottom w:val="none" w:sz="0" w:space="0" w:color="auto"/>
            <w:right w:val="none" w:sz="0" w:space="0" w:color="auto"/>
          </w:divBdr>
        </w:div>
      </w:divsChild>
    </w:div>
    <w:div w:id="21342538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hyperlink" Target="https://relatoria.colombiacompra.gov.co/busqueda/conceptos"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yperlink" Target="https://www.funcionpublica.gov.co/eva/gestornormativo/norma.php?i=25678"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funcionpublica.gov.co/eva/gestornormativo/norma.php?i=304" TargetMode="External"/><Relationship Id="rId5" Type="http://schemas.openxmlformats.org/officeDocument/2006/relationships/styles" Target="styles.xml"/><Relationship Id="rId15" Type="http://schemas.openxmlformats.org/officeDocument/2006/relationships/image" Target="media/image3.png"/><Relationship Id="rId10" Type="http://schemas.openxmlformats.org/officeDocument/2006/relationships/image" Target="media/image2.png"/><Relationship Id="rId19"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nam02.safelinks.protection.outlook.com/?url=https%3A%2F%2Fwww.colombiacompra.gov.co%2Fwp-content%2Fuploads%2F2025%2F05%2FGUIA-DE-LINEAMIENTOS-DE-TRANSPARENCIA-Y-SELECCION-OBJETIVA-1.0.pdf&amp;data=05%7C02%7Cximena.rios%40colombiacompra.gov.co%7C7cfff6dece924643582c08dd97bfed90%7C7b09041e245149d08cb179d5e3d8c1be%7C0%7C0%7C638833572792160509%7CUnknown%7CTWFpbGZsb3d8eyJFbXB0eU1hcGkiOnRydWUsIlYiOiIwLjAuMDAwMCIsIlAiOiJXaW4zMiIsIkFOIjoiTWFpbCIsIldUIjoyfQ%3D%3D%7C0%7C%7C%7C&amp;sdata=c9fXX0l2fbd%2FlYjjmEFFr2nh5svDqag5kY1fYvsSiKY%3D&amp;reserved=0" TargetMode="External"/></Relationships>
</file>

<file path=word/_rels/header1.xml.rels><?xml version="1.0" encoding="UTF-8" standalone="yes"?>
<Relationships xmlns="http://schemas.openxmlformats.org/package/2006/relationships"><Relationship Id="rId2" Type="http://schemas.openxmlformats.org/officeDocument/2006/relationships/image" Target="media/image5.png"/><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No xmlns="9d85dbaf-23eb-4e57-a637-93dcacc8b1a1" xsi:nil="true"/>
    <TaxCatchAll xmlns="a6cb9e4b-f1d1-4245-83ec-6cad768d538a" xsi:nil="true"/>
    <_Flow_SignoffStatus xmlns="9d85dbaf-23eb-4e57-a637-93dcacc8b1a1" xsi:nil="true"/>
    <lcf76f155ced4ddcb4097134ff3c332f xmlns="9d85dbaf-23eb-4e57-a637-93dcacc8b1a1">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20" ma:contentTypeDescription="Crear nuevo documento." ma:contentTypeScope="" ma:versionID="e12b00258f526aca9cff1c58808bc7a0">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b730abbc8c4891a3f3c16b4680e17684"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element ref="ns2:lcf76f155ced4ddcb4097134ff3c332f" minOccurs="0"/>
                <xsd:element ref="ns3:TaxCatchAll" minOccurs="0"/>
                <xsd:element ref="ns2:MediaServiceObjectDetectorVersions" minOccurs="0"/>
                <xsd:element ref="ns2:_Flow_SignoffStatus" minOccurs="0"/>
                <xsd:element ref="ns2:MediaServiceLocation"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Etiquetas de imagen" ma:readOnly="false" ma:fieldId="{5cf76f15-5ced-4ddc-b409-7134ff3c332f}" ma:taxonomyMulti="true" ma:sspId="d11a0eb6-ad86-4071-a759-4f0356bdcc6a"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_Flow_SignoffStatus" ma:index="25" nillable="true" ma:displayName="Estado de aprobación" ma:internalName="Estado_x0020_de_x0020_aprobaci_x00f3_n">
      <xsd:simpleType>
        <xsd:restriction base="dms:Text"/>
      </xsd:simpleType>
    </xsd:element>
    <xsd:element name="MediaServiceLocation" ma:index="26" nillable="true" ma:displayName="Location" ma:description="" ma:indexed="true" ma:internalName="MediaServiceLocation" ma:readOnly="true">
      <xsd:simpleType>
        <xsd:restriction base="dms:Text"/>
      </xsd:simpleType>
    </xsd:element>
    <xsd:element name="MediaServiceSearchProperties" ma:index="27"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element name="TaxCatchAll" ma:index="23" nillable="true" ma:displayName="Taxonomy Catch All Column" ma:hidden="true" ma:list="{1105a6f2-09f1-4f7d-bab9-e03f1dc4ac6e}" ma:internalName="TaxCatchAll" ma:showField="CatchAllData" ma:web="a6cb9e4b-f1d1-4245-83ec-6cad768d538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3618BE-28CB-4D69-955E-CDA788483BED}">
  <ds:schemaRefs>
    <ds:schemaRef ds:uri="http://purl.org/dc/elements/1.1/"/>
    <ds:schemaRef ds:uri="http://schemas.microsoft.com/office/2006/metadata/properties"/>
    <ds:schemaRef ds:uri="9d85dbaf-23eb-4e57-a637-93dcacc8b1a1"/>
    <ds:schemaRef ds:uri="http://purl.org/dc/terms/"/>
    <ds:schemaRef ds:uri="http://purl.org/dc/dcmitype/"/>
    <ds:schemaRef ds:uri="http://schemas.microsoft.com/office/infopath/2007/PartnerControls"/>
    <ds:schemaRef ds:uri="http://schemas.microsoft.com/office/2006/documentManagement/types"/>
    <ds:schemaRef ds:uri="http://schemas.openxmlformats.org/package/2006/metadata/core-properties"/>
    <ds:schemaRef ds:uri="a6cb9e4b-f1d1-4245-83ec-6cad768d538a"/>
    <ds:schemaRef ds:uri="http://www.w3.org/XML/1998/namespace"/>
  </ds:schemaRefs>
</ds:datastoreItem>
</file>

<file path=customXml/itemProps2.xml><?xml version="1.0" encoding="utf-8"?>
<ds:datastoreItem xmlns:ds="http://schemas.openxmlformats.org/officeDocument/2006/customXml" ds:itemID="{19B0637E-D058-473B-8FE7-AA861F69C797}">
  <ds:schemaRefs>
    <ds:schemaRef ds:uri="http://schemas.microsoft.com/sharepoint/v3/contenttype/forms"/>
  </ds:schemaRefs>
</ds:datastoreItem>
</file>

<file path=customXml/itemProps3.xml><?xml version="1.0" encoding="utf-8"?>
<ds:datastoreItem xmlns:ds="http://schemas.openxmlformats.org/officeDocument/2006/customXml" ds:itemID="{EF285108-664E-45A8-9A81-10FB2415352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7b09041e-2451-49d0-8cb1-79d5e3d8c1be}" enabled="0" method="" siteId="{7b09041e-2451-49d0-8cb1-79d5e3d8c1be}" removed="1"/>
</clbl:labelList>
</file>

<file path=docProps/app.xml><?xml version="1.0" encoding="utf-8"?>
<Properties xmlns="http://schemas.openxmlformats.org/officeDocument/2006/extended-properties" xmlns:vt="http://schemas.openxmlformats.org/officeDocument/2006/docPropsVTypes">
  <Template>Normal</Template>
  <TotalTime>11</TotalTime>
  <Pages>18</Pages>
  <Words>5671</Words>
  <Characters>31195</Characters>
  <Application>Microsoft Office Word</Application>
  <DocSecurity>0</DocSecurity>
  <Lines>259</Lines>
  <Paragraphs>73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36793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Andrés Felipe Ospina Acosta</dc:creator>
  <cp:keywords/>
  <dc:description/>
  <cp:lastModifiedBy>Sergio Andrés Rivera Cano</cp:lastModifiedBy>
  <cp:revision>2</cp:revision>
  <cp:lastPrinted>2023-01-10T21:18:00Z</cp:lastPrinted>
  <dcterms:created xsi:type="dcterms:W3CDTF">2025-10-29T16:09:00Z</dcterms:created>
  <dcterms:modified xsi:type="dcterms:W3CDTF">2025-10-29T16:09:00Z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y fmtid="{D5CDD505-2E9C-101B-9397-08002B2CF9AE}" pid="3" name="MediaServiceImageTags">
    <vt:lpwstr/>
  </property>
</Properties>
</file>