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4A45C" w14:textId="77777777" w:rsidR="00A00A85" w:rsidRDefault="00A00A85">
      <w:pPr>
        <w:pStyle w:val="Textoindependiente"/>
        <w:ind w:left="4825"/>
        <w:rPr>
          <w:rFonts w:ascii="Times New Roman"/>
          <w:sz w:val="20"/>
        </w:rPr>
      </w:pPr>
    </w:p>
    <w:p w14:paraId="1D283212" w14:textId="77777777" w:rsidR="00A00A85" w:rsidRPr="00A00A85" w:rsidRDefault="00A00A85" w:rsidP="00A00A85">
      <w:pPr>
        <w:widowControl/>
        <w:autoSpaceDE/>
        <w:autoSpaceDN/>
        <w:jc w:val="both"/>
        <w:rPr>
          <w:rFonts w:eastAsia="Calibri"/>
          <w:b/>
          <w:color w:val="000000"/>
          <w:lang w:eastAsia="es-MX"/>
        </w:rPr>
      </w:pPr>
      <w:bookmarkStart w:id="0" w:name="_Hlk43658371"/>
      <w:r w:rsidRPr="00A00A85">
        <w:rPr>
          <w:rFonts w:eastAsia="Calibri"/>
          <w:b/>
          <w:color w:val="000000"/>
          <w:lang w:eastAsia="es-MX"/>
        </w:rPr>
        <w:t xml:space="preserve">DOCUMENTOS TIPO – Normatividad </w:t>
      </w:r>
    </w:p>
    <w:p w14:paraId="2A158C6B" w14:textId="77777777" w:rsidR="00A00A85" w:rsidRPr="00A00A85" w:rsidRDefault="00A00A85" w:rsidP="00A00A85">
      <w:pPr>
        <w:widowControl/>
        <w:autoSpaceDE/>
        <w:autoSpaceDN/>
        <w:jc w:val="both"/>
        <w:rPr>
          <w:rFonts w:eastAsia="Calibri"/>
          <w:b/>
          <w:color w:val="000000"/>
          <w:sz w:val="20"/>
          <w:szCs w:val="20"/>
          <w:lang w:eastAsia="es-MX"/>
        </w:rPr>
      </w:pPr>
    </w:p>
    <w:p w14:paraId="17B8C156" w14:textId="77777777" w:rsidR="00A00A85" w:rsidRPr="00A00A85" w:rsidRDefault="00A00A85" w:rsidP="00A00A85">
      <w:pPr>
        <w:widowControl/>
        <w:autoSpaceDE/>
        <w:autoSpaceDN/>
        <w:spacing w:before="120" w:after="120"/>
        <w:jc w:val="both"/>
        <w:rPr>
          <w:rFonts w:eastAsia="Times New Roman"/>
          <w:color w:val="000000"/>
          <w:sz w:val="20"/>
          <w:szCs w:val="20"/>
          <w:lang w:eastAsia="es-MX"/>
        </w:rPr>
      </w:pPr>
      <w:r w:rsidRPr="00A00A85">
        <w:rPr>
          <w:rFonts w:eastAsia="Times New Roman"/>
          <w:color w:val="0D0D0D"/>
          <w:sz w:val="20"/>
          <w:szCs w:val="20"/>
          <w:lang w:eastAsia="es-MX"/>
        </w:rPr>
        <w:t>El Gobierno Nacional mediante el artículo 2.2.1.2.6.1.3 del Decreto 1082 de 2015, adicionado por el Decreto 342 de 2019, facultó a la Agencia Nacional de Contratación Pública – Colombia Compra Eficiente, para que en coordinación con el Departamento Nacional de Planeación –DNP– y el Ministerio de Transporte, desarrollara e implementara los Documentos Tipo. Esto tuvo lugar con la expedición de la Resolución No. 1798 del 1º de abril de 2019 que implementó la Versión 1 de los documentos tipo para procesos de licitación de obra pública de infraestructura de transporte. </w:t>
      </w:r>
    </w:p>
    <w:p w14:paraId="25DDB944" w14:textId="77777777" w:rsidR="00A00A85" w:rsidRPr="00A00A85" w:rsidRDefault="00A00A85" w:rsidP="00A00A85">
      <w:pPr>
        <w:widowControl/>
        <w:autoSpaceDE/>
        <w:autoSpaceDN/>
        <w:jc w:val="both"/>
        <w:rPr>
          <w:rFonts w:eastAsia="Calibri"/>
          <w:b/>
          <w:color w:val="000000"/>
          <w:sz w:val="20"/>
          <w:szCs w:val="20"/>
          <w:lang w:eastAsia="es-MX"/>
        </w:rPr>
      </w:pPr>
      <w:r w:rsidRPr="00A00A85">
        <w:rPr>
          <w:color w:val="000000"/>
          <w:sz w:val="20"/>
          <w:szCs w:val="20"/>
          <w:lang w:eastAsia="es-MX"/>
        </w:rPr>
        <w:t xml:space="preserve">[…] </w:t>
      </w:r>
      <w:r w:rsidRPr="00A00A85">
        <w:rPr>
          <w:rFonts w:eastAsia="Times New Roman"/>
          <w:color w:val="0D0D0D"/>
          <w:sz w:val="20"/>
          <w:szCs w:val="20"/>
          <w:lang w:eastAsia="es-MX"/>
        </w:rPr>
        <w:t>Ahora bien, esta Agencia consciente de la afectación económica que causaron las medidas adoptadas para contener la pandemia COVID – 19 en el país, decide actualizar los documentos tipo para los procesos de licitación de obra pública y selección abreviada de menor cuantía de infraestructura de transporte y, en consecuencia, adopta medidas en apoyo a la industria nacional. Por tanto, Colombia Compra Eficiente expide las Resoluciones No. 240 y 241 del 27 de noviembre 2020 a través de las cuales se adoptan los documentos tipo de licitación de obra pública – versión 3 y de selección abreviada de menor cuantía – versión 2 de infraestructura de transporte, lo cuales son obligatorios a partir del 1º de enero de 2021</w:t>
      </w:r>
      <w:r w:rsidRPr="00A00A85">
        <w:rPr>
          <w:rFonts w:eastAsia="Calibri"/>
          <w:b/>
          <w:color w:val="000000"/>
          <w:sz w:val="20"/>
          <w:szCs w:val="20"/>
          <w:lang w:eastAsia="es-MX"/>
        </w:rPr>
        <w:t>.</w:t>
      </w:r>
    </w:p>
    <w:bookmarkEnd w:id="0"/>
    <w:p w14:paraId="461921F2" w14:textId="77777777" w:rsidR="00A00A85" w:rsidRPr="00A00A85" w:rsidRDefault="00A00A85" w:rsidP="00A00A85">
      <w:pPr>
        <w:widowControl/>
        <w:autoSpaceDE/>
        <w:autoSpaceDN/>
        <w:spacing w:before="215"/>
        <w:jc w:val="both"/>
        <w:rPr>
          <w:rFonts w:eastAsia="Times New Roman"/>
          <w:b/>
          <w:lang w:eastAsia="es-MX"/>
        </w:rPr>
      </w:pPr>
      <w:r w:rsidRPr="00A00A85">
        <w:rPr>
          <w:rFonts w:eastAsia="Times New Roman"/>
          <w:b/>
          <w:lang w:eastAsia="es-MX"/>
        </w:rPr>
        <w:t xml:space="preserve">ESTUDIOS PREVIOS – Deber de estructuración – Entidades estatales </w:t>
      </w:r>
    </w:p>
    <w:p w14:paraId="4D381C40" w14:textId="77777777" w:rsidR="00A00A85" w:rsidRPr="00A00A85" w:rsidRDefault="00A00A85" w:rsidP="00A00A85">
      <w:pPr>
        <w:widowControl/>
        <w:autoSpaceDE/>
        <w:autoSpaceDN/>
        <w:spacing w:before="215"/>
        <w:jc w:val="both"/>
        <w:rPr>
          <w:rFonts w:eastAsia="Times New Roman"/>
          <w:sz w:val="20"/>
          <w:szCs w:val="20"/>
          <w:lang w:eastAsia="es-MX"/>
        </w:rPr>
      </w:pPr>
      <w:r w:rsidRPr="00A00A85">
        <w:rPr>
          <w:rFonts w:eastAsia="Times New Roman"/>
          <w:sz w:val="20"/>
          <w:szCs w:val="20"/>
          <w:lang w:eastAsia="es-MX"/>
        </w:rPr>
        <w:t xml:space="preserve">El artículo 2.2.1.1.1.6.1 del Decreto 1082 de 2015 establece la obligación de las entidades estatales de hacer los análisis pertinentes para conocer el sector del objeto del proceso de contratación desde la perspectiva legal, comercial, financiera, organizacional, técnica, y de análisis de riesgo, la obligación según esta norma debe cumplirse durante la etapa de planeación del contrato. […] Más allá del cumplimiento de la normativa, “los estudios y documentos previos son el soporte para elaborar el proyecto de pliegos, los pliegos de condiciones, y el contrato”, por ello deben ser publicados en la etapa </w:t>
      </w:r>
      <w:proofErr w:type="spellStart"/>
      <w:r w:rsidRPr="00A00A85">
        <w:rPr>
          <w:rFonts w:eastAsia="Times New Roman"/>
          <w:sz w:val="20"/>
          <w:szCs w:val="20"/>
          <w:lang w:eastAsia="es-MX"/>
        </w:rPr>
        <w:t>precontractal</w:t>
      </w:r>
      <w:proofErr w:type="spellEnd"/>
      <w:r w:rsidRPr="00A00A85">
        <w:rPr>
          <w:rFonts w:eastAsia="Times New Roman"/>
          <w:sz w:val="20"/>
          <w:szCs w:val="20"/>
          <w:lang w:eastAsia="es-MX"/>
        </w:rPr>
        <w:t xml:space="preserve"> y tienen la finalidad de servir de motivación para los documentos expedidos unilateralmente por la entidad estatal tales como el acto administrativo de apertura, los pliegos de condiciones y el acto de adjudicación, entre otros.</w:t>
      </w:r>
    </w:p>
    <w:p w14:paraId="7CA0AD32" w14:textId="77777777" w:rsidR="00A00A85" w:rsidRPr="00A00A85" w:rsidRDefault="00A00A85" w:rsidP="00A00A85">
      <w:pPr>
        <w:widowControl/>
        <w:autoSpaceDE/>
        <w:autoSpaceDN/>
        <w:jc w:val="both"/>
        <w:rPr>
          <w:rFonts w:eastAsia="Times New Roman"/>
          <w:b/>
          <w:lang w:eastAsia="es-MX"/>
        </w:rPr>
      </w:pPr>
    </w:p>
    <w:p w14:paraId="3B215139" w14:textId="77777777" w:rsidR="00A00A85" w:rsidRPr="00A00A85" w:rsidRDefault="00A00A85" w:rsidP="00A00A85">
      <w:pPr>
        <w:widowControl/>
        <w:autoSpaceDE/>
        <w:autoSpaceDN/>
        <w:spacing w:before="215"/>
        <w:jc w:val="both"/>
        <w:rPr>
          <w:rFonts w:eastAsia="Times New Roman"/>
          <w:b/>
          <w:bCs/>
          <w:color w:val="000000"/>
          <w:shd w:val="clear" w:color="auto" w:fill="FFFFFF"/>
          <w:lang w:eastAsia="es-MX"/>
        </w:rPr>
      </w:pPr>
    </w:p>
    <w:p w14:paraId="0835CD81" w14:textId="77777777" w:rsidR="00A00A85" w:rsidRPr="00A00A85" w:rsidRDefault="00A00A85" w:rsidP="00A00A85">
      <w:pPr>
        <w:widowControl/>
        <w:autoSpaceDE/>
        <w:autoSpaceDN/>
        <w:spacing w:before="215"/>
        <w:jc w:val="both"/>
        <w:rPr>
          <w:rFonts w:eastAsia="Times New Roman"/>
          <w:b/>
          <w:bCs/>
          <w:color w:val="000000"/>
          <w:shd w:val="clear" w:color="auto" w:fill="FFFFFF"/>
          <w:lang w:eastAsia="es-MX"/>
        </w:rPr>
      </w:pPr>
    </w:p>
    <w:p w14:paraId="13198085" w14:textId="77777777" w:rsidR="00A00A85" w:rsidRPr="00A00A85" w:rsidRDefault="00A00A85" w:rsidP="00A00A85">
      <w:pPr>
        <w:widowControl/>
        <w:autoSpaceDE/>
        <w:autoSpaceDN/>
        <w:spacing w:before="215"/>
        <w:jc w:val="both"/>
        <w:rPr>
          <w:rFonts w:eastAsia="Times New Roman"/>
          <w:b/>
          <w:bCs/>
          <w:color w:val="000000"/>
          <w:shd w:val="clear" w:color="auto" w:fill="FFFFFF"/>
          <w:lang w:eastAsia="es-MX"/>
        </w:rPr>
      </w:pPr>
    </w:p>
    <w:p w14:paraId="546419B3" w14:textId="77777777" w:rsidR="00A00A85" w:rsidRPr="00A00A85" w:rsidRDefault="00A00A85" w:rsidP="00A00A85">
      <w:pPr>
        <w:widowControl/>
        <w:autoSpaceDE/>
        <w:autoSpaceDN/>
        <w:spacing w:before="215"/>
        <w:jc w:val="both"/>
        <w:rPr>
          <w:rFonts w:eastAsia="Times New Roman"/>
          <w:b/>
          <w:bCs/>
          <w:color w:val="000000"/>
          <w:shd w:val="clear" w:color="auto" w:fill="FFFFFF"/>
          <w:lang w:eastAsia="es-MX"/>
        </w:rPr>
      </w:pPr>
    </w:p>
    <w:p w14:paraId="1F3AC863" w14:textId="77777777" w:rsidR="00A00A85" w:rsidRPr="00A00A85" w:rsidRDefault="00A00A85" w:rsidP="00A00A85">
      <w:pPr>
        <w:widowControl/>
        <w:autoSpaceDE/>
        <w:autoSpaceDN/>
        <w:spacing w:before="215"/>
        <w:jc w:val="both"/>
        <w:rPr>
          <w:rFonts w:eastAsia="Times New Roman"/>
          <w:b/>
          <w:bCs/>
          <w:color w:val="000000"/>
          <w:shd w:val="clear" w:color="auto" w:fill="FFFFFF"/>
          <w:lang w:eastAsia="es-MX"/>
        </w:rPr>
      </w:pPr>
    </w:p>
    <w:p w14:paraId="2D264812" w14:textId="77777777" w:rsidR="00A00A85" w:rsidRPr="00A00A85" w:rsidRDefault="00A00A85" w:rsidP="00A00A85">
      <w:pPr>
        <w:widowControl/>
        <w:autoSpaceDE/>
        <w:autoSpaceDN/>
        <w:spacing w:before="215"/>
        <w:jc w:val="both"/>
        <w:rPr>
          <w:rFonts w:eastAsia="Times New Roman"/>
          <w:b/>
          <w:bCs/>
          <w:color w:val="000000"/>
          <w:shd w:val="clear" w:color="auto" w:fill="FFFFFF"/>
          <w:lang w:eastAsia="es-MX"/>
        </w:rPr>
      </w:pPr>
    </w:p>
    <w:p w14:paraId="6B226D6C" w14:textId="77777777" w:rsidR="00A00A85" w:rsidRDefault="00A00A85">
      <w:pPr>
        <w:pStyle w:val="Textoindependiente"/>
        <w:ind w:left="4825"/>
        <w:rPr>
          <w:rFonts w:ascii="Times New Roman"/>
          <w:sz w:val="20"/>
        </w:rPr>
      </w:pPr>
    </w:p>
    <w:p w14:paraId="246BEB6F" w14:textId="77777777" w:rsidR="00A00A85" w:rsidRDefault="00A00A85">
      <w:pPr>
        <w:pStyle w:val="Textoindependiente"/>
        <w:ind w:left="4825"/>
        <w:rPr>
          <w:rFonts w:ascii="Times New Roman"/>
          <w:sz w:val="20"/>
        </w:rPr>
      </w:pPr>
    </w:p>
    <w:p w14:paraId="6E0FDB93" w14:textId="77777777" w:rsidR="00A00A85" w:rsidRDefault="00A00A85">
      <w:pPr>
        <w:pStyle w:val="Textoindependiente"/>
        <w:ind w:left="4825"/>
        <w:rPr>
          <w:rFonts w:ascii="Times New Roman"/>
          <w:sz w:val="20"/>
        </w:rPr>
      </w:pPr>
    </w:p>
    <w:p w14:paraId="2DF56AE3" w14:textId="77777777" w:rsidR="00A00A85" w:rsidRDefault="00A00A85">
      <w:pPr>
        <w:pStyle w:val="Textoindependiente"/>
        <w:ind w:left="4825"/>
        <w:rPr>
          <w:rFonts w:ascii="Times New Roman"/>
          <w:sz w:val="20"/>
        </w:rPr>
      </w:pPr>
    </w:p>
    <w:p w14:paraId="4989F314" w14:textId="77777777" w:rsidR="00A00A85" w:rsidRDefault="00A00A85">
      <w:pPr>
        <w:pStyle w:val="Textoindependiente"/>
        <w:ind w:left="4825"/>
        <w:rPr>
          <w:rFonts w:ascii="Times New Roman"/>
          <w:sz w:val="20"/>
        </w:rPr>
      </w:pPr>
    </w:p>
    <w:p w14:paraId="2DB6B25C" w14:textId="77777777" w:rsidR="00A00A85" w:rsidRDefault="00A00A85">
      <w:pPr>
        <w:pStyle w:val="Textoindependiente"/>
        <w:ind w:left="4825"/>
        <w:rPr>
          <w:rFonts w:ascii="Times New Roman"/>
          <w:sz w:val="20"/>
        </w:rPr>
      </w:pPr>
    </w:p>
    <w:p w14:paraId="7A61E590" w14:textId="77777777" w:rsidR="00A00A85" w:rsidRDefault="00A00A85">
      <w:pPr>
        <w:pStyle w:val="Textoindependiente"/>
        <w:ind w:left="4825"/>
        <w:rPr>
          <w:rFonts w:ascii="Times New Roman"/>
          <w:sz w:val="20"/>
        </w:rPr>
      </w:pPr>
    </w:p>
    <w:p w14:paraId="4F14FC07" w14:textId="77777777" w:rsidR="00A00A85" w:rsidRDefault="00A00A85">
      <w:pPr>
        <w:pStyle w:val="Textoindependiente"/>
        <w:ind w:left="4825"/>
        <w:rPr>
          <w:rFonts w:ascii="Times New Roman"/>
          <w:sz w:val="20"/>
        </w:rPr>
      </w:pPr>
    </w:p>
    <w:p w14:paraId="1C10A5E7" w14:textId="77777777" w:rsidR="00A00A85" w:rsidRDefault="00A00A85">
      <w:pPr>
        <w:pStyle w:val="Textoindependiente"/>
        <w:ind w:left="4825"/>
        <w:rPr>
          <w:rFonts w:ascii="Times New Roman"/>
          <w:sz w:val="20"/>
        </w:rPr>
      </w:pPr>
    </w:p>
    <w:p w14:paraId="6EE471FB" w14:textId="77777777" w:rsidR="00A00A85" w:rsidRDefault="00A00A85">
      <w:pPr>
        <w:pStyle w:val="Textoindependiente"/>
        <w:ind w:left="4825"/>
        <w:rPr>
          <w:rFonts w:ascii="Times New Roman"/>
          <w:sz w:val="20"/>
        </w:rPr>
      </w:pPr>
    </w:p>
    <w:p w14:paraId="0790A9F9" w14:textId="77777777" w:rsidR="00A00A85" w:rsidRDefault="00A00A85">
      <w:pPr>
        <w:pStyle w:val="Textoindependiente"/>
        <w:ind w:left="4825"/>
        <w:rPr>
          <w:rFonts w:ascii="Times New Roman"/>
          <w:sz w:val="20"/>
        </w:rPr>
      </w:pPr>
    </w:p>
    <w:p w14:paraId="3F5DB105" w14:textId="77777777" w:rsidR="00A00A85" w:rsidRDefault="00A00A85">
      <w:pPr>
        <w:pStyle w:val="Textoindependiente"/>
        <w:ind w:left="4825"/>
        <w:rPr>
          <w:rFonts w:ascii="Times New Roman"/>
          <w:sz w:val="20"/>
        </w:rPr>
      </w:pPr>
    </w:p>
    <w:p w14:paraId="42750E08" w14:textId="77777777" w:rsidR="00A00A85" w:rsidRDefault="00A00A85">
      <w:pPr>
        <w:pStyle w:val="Textoindependiente"/>
        <w:ind w:left="4825"/>
        <w:rPr>
          <w:rFonts w:ascii="Times New Roman"/>
          <w:sz w:val="20"/>
        </w:rPr>
      </w:pPr>
    </w:p>
    <w:p w14:paraId="6389A580" w14:textId="77777777" w:rsidR="00A00A85" w:rsidRDefault="00A00A85">
      <w:pPr>
        <w:pStyle w:val="Textoindependiente"/>
        <w:ind w:left="4825"/>
        <w:rPr>
          <w:rFonts w:ascii="Times New Roman"/>
          <w:sz w:val="20"/>
        </w:rPr>
      </w:pPr>
    </w:p>
    <w:p w14:paraId="1B6DE6A3" w14:textId="77777777" w:rsidR="00A00A85" w:rsidRDefault="00A00A85">
      <w:pPr>
        <w:pStyle w:val="Textoindependiente"/>
        <w:ind w:left="4825"/>
        <w:rPr>
          <w:rFonts w:ascii="Times New Roman"/>
          <w:sz w:val="20"/>
        </w:rPr>
      </w:pPr>
    </w:p>
    <w:p w14:paraId="42C5F397" w14:textId="77777777" w:rsidR="00A00A85" w:rsidRDefault="00A00A85">
      <w:pPr>
        <w:pStyle w:val="Textoindependiente"/>
        <w:ind w:left="4825"/>
        <w:rPr>
          <w:rFonts w:ascii="Times New Roman"/>
          <w:sz w:val="20"/>
        </w:rPr>
      </w:pPr>
    </w:p>
    <w:p w14:paraId="1C4DDA49" w14:textId="6235BDF9" w:rsidR="00653510" w:rsidRDefault="00390730">
      <w:pPr>
        <w:pStyle w:val="Textoindependiente"/>
        <w:ind w:left="4825"/>
        <w:rPr>
          <w:rFonts w:ascii="Times New Roman"/>
          <w:sz w:val="20"/>
        </w:rPr>
      </w:pPr>
      <w:r>
        <w:rPr>
          <w:rFonts w:ascii="Times New Roman"/>
          <w:noProof/>
          <w:sz w:val="20"/>
        </w:rPr>
        <w:drawing>
          <wp:inline distT="0" distB="0" distL="0" distR="0" wp14:anchorId="6C511D48" wp14:editId="6003AC92">
            <wp:extent cx="2950943" cy="754911"/>
            <wp:effectExtent l="0" t="0" r="1905" b="762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2964388" cy="758350"/>
                    </a:xfrm>
                    <a:prstGeom prst="rect">
                      <a:avLst/>
                    </a:prstGeom>
                  </pic:spPr>
                </pic:pic>
              </a:graphicData>
            </a:graphic>
          </wp:inline>
        </w:drawing>
      </w:r>
    </w:p>
    <w:p w14:paraId="53CB0256" w14:textId="18ACCF1D" w:rsidR="00653510" w:rsidRDefault="00653510">
      <w:pPr>
        <w:pStyle w:val="Textoindependiente"/>
        <w:rPr>
          <w:rFonts w:ascii="Times New Roman"/>
          <w:sz w:val="20"/>
        </w:rPr>
      </w:pPr>
    </w:p>
    <w:p w14:paraId="38924D66" w14:textId="77777777" w:rsidR="00A00A85" w:rsidRDefault="00A00A85">
      <w:pPr>
        <w:pStyle w:val="Textoindependiente"/>
        <w:rPr>
          <w:rFonts w:ascii="Times New Roman"/>
          <w:sz w:val="20"/>
        </w:rPr>
      </w:pPr>
    </w:p>
    <w:p w14:paraId="2E257343" w14:textId="77777777" w:rsidR="00653510" w:rsidRDefault="00653510">
      <w:pPr>
        <w:pStyle w:val="Textoindependiente"/>
        <w:rPr>
          <w:rFonts w:ascii="Times New Roman"/>
          <w:sz w:val="20"/>
        </w:rPr>
      </w:pPr>
    </w:p>
    <w:p w14:paraId="6DC398E5" w14:textId="77777777" w:rsidR="00653510" w:rsidRDefault="00653510">
      <w:pPr>
        <w:pStyle w:val="Textoindependiente"/>
        <w:spacing w:before="2"/>
        <w:rPr>
          <w:rFonts w:ascii="Times New Roman"/>
          <w:sz w:val="16"/>
        </w:rPr>
      </w:pPr>
    </w:p>
    <w:p w14:paraId="03CD74F1" w14:textId="77777777" w:rsidR="00653510" w:rsidRDefault="00390730">
      <w:pPr>
        <w:spacing w:before="94"/>
        <w:ind w:right="533"/>
        <w:jc w:val="right"/>
        <w:rPr>
          <w:b/>
          <w:sz w:val="18"/>
        </w:rPr>
      </w:pPr>
      <w:r>
        <w:rPr>
          <w:b/>
          <w:color w:val="585858"/>
          <w:sz w:val="18"/>
        </w:rPr>
        <w:t>CCE-DES-FM-17</w:t>
      </w:r>
    </w:p>
    <w:p w14:paraId="7C0BFCD1" w14:textId="77777777" w:rsidR="00653510" w:rsidRDefault="00653510">
      <w:pPr>
        <w:pStyle w:val="Textoindependiente"/>
        <w:rPr>
          <w:b/>
          <w:sz w:val="20"/>
        </w:rPr>
      </w:pPr>
    </w:p>
    <w:p w14:paraId="72EED1C3" w14:textId="77777777" w:rsidR="00653510" w:rsidRDefault="00390730">
      <w:pPr>
        <w:pStyle w:val="Textoindependiente"/>
        <w:ind w:left="100"/>
      </w:pPr>
      <w:r>
        <w:rPr>
          <w:color w:val="4E4D4D"/>
        </w:rPr>
        <w:t xml:space="preserve">Bogotá, 09 </w:t>
      </w:r>
      <w:proofErr w:type="gramStart"/>
      <w:r>
        <w:rPr>
          <w:color w:val="4E4D4D"/>
        </w:rPr>
        <w:t>Abril</w:t>
      </w:r>
      <w:proofErr w:type="gramEnd"/>
      <w:r>
        <w:rPr>
          <w:color w:val="4E4D4D"/>
        </w:rPr>
        <w:t xml:space="preserve"> 2021</w:t>
      </w:r>
    </w:p>
    <w:p w14:paraId="4EF21F26" w14:textId="77777777" w:rsidR="00653510" w:rsidRDefault="00653510">
      <w:pPr>
        <w:pStyle w:val="Textoindependiente"/>
        <w:rPr>
          <w:sz w:val="24"/>
        </w:rPr>
      </w:pPr>
    </w:p>
    <w:p w14:paraId="39A1D1A4" w14:textId="77777777" w:rsidR="00653510" w:rsidRDefault="00653510">
      <w:pPr>
        <w:pStyle w:val="Textoindependiente"/>
        <w:rPr>
          <w:sz w:val="24"/>
        </w:rPr>
      </w:pPr>
    </w:p>
    <w:p w14:paraId="0FF45C72" w14:textId="77777777" w:rsidR="00653510" w:rsidRDefault="00653510">
      <w:pPr>
        <w:pStyle w:val="Textoindependiente"/>
        <w:rPr>
          <w:sz w:val="24"/>
        </w:rPr>
      </w:pPr>
    </w:p>
    <w:p w14:paraId="2C8B290D" w14:textId="77777777" w:rsidR="00653510" w:rsidRDefault="00653510">
      <w:pPr>
        <w:pStyle w:val="Textoindependiente"/>
        <w:spacing w:before="3"/>
        <w:rPr>
          <w:sz w:val="32"/>
        </w:rPr>
      </w:pPr>
    </w:p>
    <w:p w14:paraId="71B2B4EE" w14:textId="77777777" w:rsidR="00653510" w:rsidRDefault="00390730">
      <w:pPr>
        <w:ind w:left="100" w:right="7668"/>
      </w:pPr>
      <w:r>
        <w:t xml:space="preserve">Señor </w:t>
      </w:r>
      <w:r>
        <w:rPr>
          <w:b/>
        </w:rPr>
        <w:t xml:space="preserve">Daniela Ávila </w:t>
      </w:r>
      <w:r>
        <w:t>Bogotá</w:t>
      </w:r>
      <w:r>
        <w:rPr>
          <w:spacing w:val="-4"/>
        </w:rPr>
        <w:t xml:space="preserve"> </w:t>
      </w:r>
      <w:r>
        <w:t>D.C.</w:t>
      </w:r>
    </w:p>
    <w:p w14:paraId="6FD40D29" w14:textId="77777777" w:rsidR="00653510" w:rsidRDefault="00653510">
      <w:pPr>
        <w:pStyle w:val="Textoindependiente"/>
        <w:rPr>
          <w:sz w:val="20"/>
        </w:rPr>
      </w:pPr>
    </w:p>
    <w:p w14:paraId="3509E418" w14:textId="77777777" w:rsidR="00653510" w:rsidRDefault="00653510">
      <w:pPr>
        <w:pStyle w:val="Textoindependiente"/>
        <w:spacing w:before="11"/>
        <w:rPr>
          <w:sz w:val="15"/>
        </w:rPr>
      </w:pPr>
    </w:p>
    <w:p w14:paraId="57802C7B" w14:textId="77777777" w:rsidR="00653510" w:rsidRDefault="00390730">
      <w:pPr>
        <w:pStyle w:val="Ttulo1"/>
        <w:spacing w:before="93"/>
        <w:ind w:left="2795"/>
      </w:pPr>
      <w:r>
        <w:t>Concepto C – 148 de 2021</w:t>
      </w:r>
    </w:p>
    <w:p w14:paraId="6B375AA0" w14:textId="77777777" w:rsidR="00653510" w:rsidRDefault="00653510">
      <w:pPr>
        <w:pStyle w:val="Textoindependiente"/>
        <w:rPr>
          <w:b/>
        </w:rPr>
      </w:pPr>
    </w:p>
    <w:p w14:paraId="459C9433" w14:textId="77777777" w:rsidR="00653510" w:rsidRDefault="00390730">
      <w:pPr>
        <w:pStyle w:val="Textoindependiente"/>
        <w:tabs>
          <w:tab w:val="left" w:pos="2789"/>
        </w:tabs>
        <w:ind w:left="2790" w:right="112" w:hanging="2689"/>
        <w:jc w:val="both"/>
      </w:pPr>
      <w:r>
        <w:rPr>
          <w:b/>
        </w:rPr>
        <w:t>Temas:</w:t>
      </w:r>
      <w:r>
        <w:rPr>
          <w:b/>
        </w:rPr>
        <w:tab/>
      </w:r>
      <w:r>
        <w:t>DOCUMENTOS TIPO – Normatividad / ESTUDIOS PREVIOS – Deber de estructuración – deber de publicar cálculo de precios unitarios / ESTUDIOS PREVIOS – Procesos de selección regidos por los documentos</w:t>
      </w:r>
      <w:r>
        <w:rPr>
          <w:spacing w:val="-6"/>
        </w:rPr>
        <w:t xml:space="preserve"> </w:t>
      </w:r>
      <w:r>
        <w:t>tipo</w:t>
      </w:r>
    </w:p>
    <w:p w14:paraId="22EE4DE8" w14:textId="77777777" w:rsidR="00653510" w:rsidRDefault="00390730">
      <w:pPr>
        <w:tabs>
          <w:tab w:val="left" w:pos="2789"/>
        </w:tabs>
        <w:spacing w:before="130"/>
        <w:ind w:left="100"/>
      </w:pPr>
      <w:r>
        <w:rPr>
          <w:b/>
        </w:rPr>
        <w:t>Radicación:</w:t>
      </w:r>
      <w:r>
        <w:rPr>
          <w:b/>
        </w:rPr>
        <w:tab/>
      </w:r>
      <w:r>
        <w:t>Respuesta a consulta</w:t>
      </w:r>
      <w:r>
        <w:rPr>
          <w:spacing w:val="-3"/>
        </w:rPr>
        <w:t xml:space="preserve"> </w:t>
      </w:r>
      <w:r>
        <w:t>P20210224001523</w:t>
      </w:r>
    </w:p>
    <w:p w14:paraId="2B2F8DE8" w14:textId="77777777" w:rsidR="00653510" w:rsidRDefault="00653510">
      <w:pPr>
        <w:pStyle w:val="Textoindependiente"/>
        <w:rPr>
          <w:sz w:val="24"/>
        </w:rPr>
      </w:pPr>
    </w:p>
    <w:p w14:paraId="5A63C1D7" w14:textId="77777777" w:rsidR="00653510" w:rsidRDefault="00653510">
      <w:pPr>
        <w:pStyle w:val="Textoindependiente"/>
        <w:spacing w:before="10"/>
        <w:rPr>
          <w:sz w:val="20"/>
        </w:rPr>
      </w:pPr>
    </w:p>
    <w:p w14:paraId="401036AA" w14:textId="77777777" w:rsidR="00653510" w:rsidRDefault="00390730">
      <w:pPr>
        <w:pStyle w:val="Textoindependiente"/>
        <w:ind w:left="100"/>
      </w:pPr>
      <w:r>
        <w:t>Estimada señora Ávila:</w:t>
      </w:r>
    </w:p>
    <w:p w14:paraId="490DDE44" w14:textId="77777777" w:rsidR="00653510" w:rsidRDefault="00653510">
      <w:pPr>
        <w:pStyle w:val="Textoindependiente"/>
        <w:spacing w:before="3"/>
        <w:rPr>
          <w:sz w:val="25"/>
        </w:rPr>
      </w:pPr>
    </w:p>
    <w:p w14:paraId="3414AD9F" w14:textId="77777777" w:rsidR="00653510" w:rsidRDefault="00390730">
      <w:pPr>
        <w:pStyle w:val="Textoindependiente"/>
        <w:spacing w:line="276" w:lineRule="auto"/>
        <w:ind w:left="100" w:right="534"/>
        <w:jc w:val="both"/>
      </w:pPr>
      <w:r>
        <w:t>En ejercicio de la competencia otorgada por los artículos 11, numeral 8º, y 3º, numeral 5º, del Decreto Ley 4170 de 2011, la Agencia Nacional de Contratación Pública − Colombia Compra Eficiente responde su consulta del 23 de febrero 2021.</w:t>
      </w:r>
    </w:p>
    <w:p w14:paraId="18557B37" w14:textId="77777777" w:rsidR="00653510" w:rsidRDefault="00653510">
      <w:pPr>
        <w:pStyle w:val="Textoindependiente"/>
        <w:spacing w:before="4"/>
        <w:rPr>
          <w:sz w:val="25"/>
        </w:rPr>
      </w:pPr>
    </w:p>
    <w:p w14:paraId="2264A747" w14:textId="77777777" w:rsidR="00653510" w:rsidRDefault="00390730">
      <w:pPr>
        <w:pStyle w:val="Ttulo1"/>
        <w:numPr>
          <w:ilvl w:val="0"/>
          <w:numId w:val="3"/>
        </w:numPr>
        <w:tabs>
          <w:tab w:val="left" w:pos="346"/>
        </w:tabs>
        <w:ind w:hanging="246"/>
      </w:pPr>
      <w:r>
        <w:t>Problemas</w:t>
      </w:r>
      <w:r>
        <w:rPr>
          <w:spacing w:val="-2"/>
        </w:rPr>
        <w:t xml:space="preserve"> </w:t>
      </w:r>
      <w:r>
        <w:t>planteados</w:t>
      </w:r>
    </w:p>
    <w:p w14:paraId="0A720E69" w14:textId="77777777" w:rsidR="00653510" w:rsidRDefault="00653510">
      <w:pPr>
        <w:pStyle w:val="Textoindependiente"/>
        <w:spacing w:before="7"/>
        <w:rPr>
          <w:b/>
          <w:sz w:val="28"/>
        </w:rPr>
      </w:pPr>
    </w:p>
    <w:p w14:paraId="549F8DC9" w14:textId="77777777" w:rsidR="00653510" w:rsidRDefault="00390730">
      <w:pPr>
        <w:pStyle w:val="Textoindependiente"/>
        <w:spacing w:line="276" w:lineRule="auto"/>
        <w:ind w:left="100" w:right="533"/>
        <w:jc w:val="both"/>
      </w:pPr>
      <w:r>
        <w:t>Respecto a los «Documentos Tipo – Versión 3» de licitación de obra pública de infraestructura de transporte, usted realiza la siguiente pregunta: «¿En la fase de Borrador de un proceso licitatorio público de proyectos de infraestructura vial y de transporte, la entidad está obligada a publicar la oferta económica y los análisis de precios unitarios?, En tal caso, ¿Dónde está contemplada esta obligación?».</w:t>
      </w:r>
    </w:p>
    <w:p w14:paraId="080F4857" w14:textId="77777777" w:rsidR="00653510" w:rsidRDefault="00653510">
      <w:pPr>
        <w:pStyle w:val="Textoindependiente"/>
        <w:spacing w:before="3"/>
        <w:rPr>
          <w:sz w:val="25"/>
        </w:rPr>
      </w:pPr>
    </w:p>
    <w:p w14:paraId="4D56EFCC" w14:textId="77777777" w:rsidR="00653510" w:rsidRDefault="00390730">
      <w:pPr>
        <w:pStyle w:val="Ttulo1"/>
        <w:numPr>
          <w:ilvl w:val="0"/>
          <w:numId w:val="3"/>
        </w:numPr>
        <w:tabs>
          <w:tab w:val="left" w:pos="346"/>
        </w:tabs>
        <w:ind w:hanging="246"/>
      </w:pPr>
      <w:r>
        <w:t>Consideraciones</w:t>
      </w:r>
    </w:p>
    <w:p w14:paraId="1B3A35CF" w14:textId="77777777" w:rsidR="00653510" w:rsidRDefault="00653510">
      <w:pPr>
        <w:sectPr w:rsidR="00653510">
          <w:footerReference w:type="default" r:id="rId11"/>
          <w:type w:val="continuous"/>
          <w:pgSz w:w="11900" w:h="16820"/>
          <w:pgMar w:top="1420" w:right="1160" w:bottom="2160" w:left="1600" w:header="720" w:footer="1962" w:gutter="0"/>
          <w:pgNumType w:start="1"/>
          <w:cols w:space="720"/>
        </w:sectPr>
      </w:pPr>
    </w:p>
    <w:p w14:paraId="232F11BB" w14:textId="77777777" w:rsidR="00653510" w:rsidRDefault="00390730">
      <w:pPr>
        <w:pStyle w:val="Textoindependiente"/>
        <w:spacing w:before="70" w:line="276" w:lineRule="auto"/>
        <w:ind w:left="100" w:right="533"/>
        <w:jc w:val="both"/>
      </w:pPr>
      <w:r>
        <w:lastRenderedPageBreak/>
        <w:t>Para</w:t>
      </w:r>
      <w:r>
        <w:rPr>
          <w:spacing w:val="-7"/>
        </w:rPr>
        <w:t xml:space="preserve"> </w:t>
      </w:r>
      <w:r>
        <w:t>resolver</w:t>
      </w:r>
      <w:r>
        <w:rPr>
          <w:spacing w:val="-8"/>
        </w:rPr>
        <w:t xml:space="preserve"> </w:t>
      </w:r>
      <w:r>
        <w:t>esta</w:t>
      </w:r>
      <w:r>
        <w:rPr>
          <w:spacing w:val="-7"/>
        </w:rPr>
        <w:t xml:space="preserve"> </w:t>
      </w:r>
      <w:r>
        <w:t>consulta</w:t>
      </w:r>
      <w:r>
        <w:rPr>
          <w:spacing w:val="-8"/>
        </w:rPr>
        <w:t xml:space="preserve"> </w:t>
      </w:r>
      <w:r>
        <w:t>se</w:t>
      </w:r>
      <w:r>
        <w:rPr>
          <w:spacing w:val="-8"/>
        </w:rPr>
        <w:t xml:space="preserve"> </w:t>
      </w:r>
      <w:r>
        <w:t>analizarán</w:t>
      </w:r>
      <w:r>
        <w:rPr>
          <w:spacing w:val="-7"/>
        </w:rPr>
        <w:t xml:space="preserve"> </w:t>
      </w:r>
      <w:r>
        <w:t>los</w:t>
      </w:r>
      <w:r>
        <w:rPr>
          <w:spacing w:val="-8"/>
        </w:rPr>
        <w:t xml:space="preserve"> </w:t>
      </w:r>
      <w:r>
        <w:t>siguientes</w:t>
      </w:r>
      <w:r>
        <w:rPr>
          <w:spacing w:val="-7"/>
        </w:rPr>
        <w:t xml:space="preserve"> </w:t>
      </w:r>
      <w:r>
        <w:t>temas:</w:t>
      </w:r>
      <w:r>
        <w:rPr>
          <w:spacing w:val="-7"/>
        </w:rPr>
        <w:t xml:space="preserve"> </w:t>
      </w:r>
      <w:r>
        <w:t>i)</w:t>
      </w:r>
      <w:r>
        <w:rPr>
          <w:spacing w:val="-8"/>
        </w:rPr>
        <w:t xml:space="preserve"> </w:t>
      </w:r>
      <w:r>
        <w:t>contexto</w:t>
      </w:r>
      <w:r>
        <w:rPr>
          <w:spacing w:val="-7"/>
        </w:rPr>
        <w:t xml:space="preserve"> </w:t>
      </w:r>
      <w:r>
        <w:t>normativo</w:t>
      </w:r>
      <w:r>
        <w:rPr>
          <w:spacing w:val="-8"/>
        </w:rPr>
        <w:t xml:space="preserve"> </w:t>
      </w:r>
      <w:r>
        <w:t>de los pliegos tipo y ii) estructuración de los estudios previos y deber de</w:t>
      </w:r>
      <w:r>
        <w:rPr>
          <w:spacing w:val="-42"/>
        </w:rPr>
        <w:t xml:space="preserve"> </w:t>
      </w:r>
      <w:r>
        <w:t>publicación.</w:t>
      </w:r>
    </w:p>
    <w:p w14:paraId="5FC7EA01" w14:textId="77777777" w:rsidR="00653510" w:rsidRDefault="00390730">
      <w:pPr>
        <w:pStyle w:val="Textoindependiente"/>
        <w:spacing w:before="120" w:line="276" w:lineRule="auto"/>
        <w:ind w:left="100" w:right="534" w:firstLine="709"/>
        <w:jc w:val="both"/>
      </w:pPr>
      <w:r>
        <w:t>La Agencia Nacional de Contratación Pública − Colombia Compra Eficiente se pronunció sobre la normatividad de los documentos base o pliegos tipo y sus excepciones, en los Conceptos C-698 del 19 de noviembre de 2020, C-716 del 30 de noviembre</w:t>
      </w:r>
      <w:r>
        <w:rPr>
          <w:spacing w:val="-11"/>
        </w:rPr>
        <w:t xml:space="preserve"> </w:t>
      </w:r>
      <w:r>
        <w:t>de</w:t>
      </w:r>
      <w:r>
        <w:rPr>
          <w:spacing w:val="-11"/>
        </w:rPr>
        <w:t xml:space="preserve"> </w:t>
      </w:r>
      <w:r>
        <w:t>2020</w:t>
      </w:r>
      <w:r>
        <w:rPr>
          <w:spacing w:val="-10"/>
        </w:rPr>
        <w:t xml:space="preserve"> </w:t>
      </w:r>
      <w:r>
        <w:t>y</w:t>
      </w:r>
      <w:r>
        <w:rPr>
          <w:spacing w:val="-11"/>
        </w:rPr>
        <w:t xml:space="preserve"> </w:t>
      </w:r>
      <w:r>
        <w:t>C-775</w:t>
      </w:r>
      <w:r>
        <w:rPr>
          <w:spacing w:val="-11"/>
        </w:rPr>
        <w:t xml:space="preserve"> </w:t>
      </w:r>
      <w:r>
        <w:t>de</w:t>
      </w:r>
      <w:r>
        <w:rPr>
          <w:spacing w:val="-10"/>
        </w:rPr>
        <w:t xml:space="preserve"> </w:t>
      </w:r>
      <w:r>
        <w:t>2020</w:t>
      </w:r>
      <w:r>
        <w:rPr>
          <w:spacing w:val="-11"/>
        </w:rPr>
        <w:t xml:space="preserve"> </w:t>
      </w:r>
      <w:r>
        <w:t>del</w:t>
      </w:r>
      <w:r>
        <w:rPr>
          <w:spacing w:val="-10"/>
        </w:rPr>
        <w:t xml:space="preserve"> </w:t>
      </w:r>
      <w:r>
        <w:t>11</w:t>
      </w:r>
      <w:r>
        <w:rPr>
          <w:spacing w:val="-11"/>
        </w:rPr>
        <w:t xml:space="preserve"> </w:t>
      </w:r>
      <w:r>
        <w:t>de</w:t>
      </w:r>
      <w:r>
        <w:rPr>
          <w:spacing w:val="-11"/>
        </w:rPr>
        <w:t xml:space="preserve"> </w:t>
      </w:r>
      <w:r>
        <w:t>diciembre</w:t>
      </w:r>
      <w:r>
        <w:rPr>
          <w:spacing w:val="-10"/>
        </w:rPr>
        <w:t xml:space="preserve"> </w:t>
      </w:r>
      <w:r>
        <w:t>de</w:t>
      </w:r>
      <w:r>
        <w:rPr>
          <w:spacing w:val="-11"/>
        </w:rPr>
        <w:t xml:space="preserve"> </w:t>
      </w:r>
      <w:r>
        <w:t>2020.</w:t>
      </w:r>
      <w:r>
        <w:rPr>
          <w:spacing w:val="-10"/>
        </w:rPr>
        <w:t xml:space="preserve"> </w:t>
      </w:r>
      <w:r>
        <w:t>A</w:t>
      </w:r>
      <w:r>
        <w:rPr>
          <w:spacing w:val="-11"/>
        </w:rPr>
        <w:t xml:space="preserve"> </w:t>
      </w:r>
      <w:r>
        <w:t>la</w:t>
      </w:r>
      <w:r>
        <w:rPr>
          <w:spacing w:val="-11"/>
        </w:rPr>
        <w:t xml:space="preserve"> </w:t>
      </w:r>
      <w:r>
        <w:t>vez</w:t>
      </w:r>
      <w:r>
        <w:rPr>
          <w:spacing w:val="-10"/>
        </w:rPr>
        <w:t xml:space="preserve"> </w:t>
      </w:r>
      <w:r>
        <w:t>se</w:t>
      </w:r>
      <w:r>
        <w:rPr>
          <w:spacing w:val="-11"/>
        </w:rPr>
        <w:t xml:space="preserve"> </w:t>
      </w:r>
      <w:r>
        <w:t>pronunció sobre el deber de estructuración de los estudios previos en los Conceptos 4201912000004665 de 6 de agosto de 2019 y 4201912000006310 de 9 de octubre de 2019 y C-671 de 2020. La tesis expuesta en estos conceptos se reitera a</w:t>
      </w:r>
      <w:r>
        <w:rPr>
          <w:spacing w:val="-42"/>
        </w:rPr>
        <w:t xml:space="preserve"> </w:t>
      </w:r>
      <w:r>
        <w:t>continuación:</w:t>
      </w:r>
    </w:p>
    <w:p w14:paraId="1369159D" w14:textId="77777777" w:rsidR="00653510" w:rsidRDefault="00653510">
      <w:pPr>
        <w:pStyle w:val="Textoindependiente"/>
        <w:spacing w:before="3"/>
        <w:rPr>
          <w:sz w:val="25"/>
        </w:rPr>
      </w:pPr>
    </w:p>
    <w:p w14:paraId="416ED511" w14:textId="77777777" w:rsidR="00653510" w:rsidRDefault="00390730">
      <w:pPr>
        <w:pStyle w:val="Ttulo1"/>
        <w:numPr>
          <w:ilvl w:val="1"/>
          <w:numId w:val="3"/>
        </w:numPr>
        <w:tabs>
          <w:tab w:val="left" w:pos="529"/>
        </w:tabs>
        <w:ind w:hanging="429"/>
      </w:pPr>
      <w:r>
        <w:t>Contexto normativo de los documentos</w:t>
      </w:r>
      <w:r>
        <w:rPr>
          <w:spacing w:val="-7"/>
        </w:rPr>
        <w:t xml:space="preserve"> </w:t>
      </w:r>
      <w:r>
        <w:t>tipo</w:t>
      </w:r>
    </w:p>
    <w:p w14:paraId="53F0CD62" w14:textId="77777777" w:rsidR="00653510" w:rsidRDefault="00653510">
      <w:pPr>
        <w:pStyle w:val="Textoindependiente"/>
        <w:spacing w:before="7"/>
        <w:rPr>
          <w:b/>
          <w:sz w:val="28"/>
        </w:rPr>
      </w:pPr>
    </w:p>
    <w:p w14:paraId="58040B22" w14:textId="77777777" w:rsidR="00653510" w:rsidRDefault="00390730">
      <w:pPr>
        <w:pStyle w:val="Textoindependiente"/>
        <w:spacing w:line="276" w:lineRule="auto"/>
        <w:ind w:left="100" w:right="534"/>
        <w:jc w:val="both"/>
      </w:pPr>
      <w:r>
        <w:rPr>
          <w:color w:val="0C0C0C"/>
        </w:rPr>
        <w:t>Los pliegos tipo aparecieron en nuestro ordenamiento jurídico en el 2007, cuando el legislador facultó al Gobierno Nacional para adoptarlos en la compra o suministro de bienes</w:t>
      </w:r>
      <w:r>
        <w:rPr>
          <w:color w:val="0C0C0C"/>
          <w:spacing w:val="-5"/>
        </w:rPr>
        <w:t xml:space="preserve"> </w:t>
      </w:r>
      <w:r>
        <w:rPr>
          <w:color w:val="0C0C0C"/>
        </w:rPr>
        <w:t>de</w:t>
      </w:r>
      <w:r>
        <w:rPr>
          <w:color w:val="0C0C0C"/>
          <w:spacing w:val="-5"/>
        </w:rPr>
        <w:t xml:space="preserve"> </w:t>
      </w:r>
      <w:r>
        <w:rPr>
          <w:color w:val="0C0C0C"/>
        </w:rPr>
        <w:t>características</w:t>
      </w:r>
      <w:r>
        <w:rPr>
          <w:color w:val="0C0C0C"/>
          <w:spacing w:val="-5"/>
        </w:rPr>
        <w:t xml:space="preserve"> </w:t>
      </w:r>
      <w:r>
        <w:rPr>
          <w:color w:val="0C0C0C"/>
        </w:rPr>
        <w:t>técnicas</w:t>
      </w:r>
      <w:r>
        <w:rPr>
          <w:color w:val="0C0C0C"/>
          <w:spacing w:val="-4"/>
        </w:rPr>
        <w:t xml:space="preserve"> </w:t>
      </w:r>
      <w:r>
        <w:rPr>
          <w:color w:val="0C0C0C"/>
        </w:rPr>
        <w:t>uniformes</w:t>
      </w:r>
      <w:r>
        <w:rPr>
          <w:color w:val="0C0C0C"/>
          <w:vertAlign w:val="superscript"/>
        </w:rPr>
        <w:t>1</w:t>
      </w:r>
      <w:r>
        <w:rPr>
          <w:color w:val="0C0C0C"/>
        </w:rPr>
        <w:t>.</w:t>
      </w:r>
      <w:r>
        <w:rPr>
          <w:color w:val="0C0C0C"/>
          <w:spacing w:val="-5"/>
        </w:rPr>
        <w:t xml:space="preserve"> </w:t>
      </w:r>
      <w:r>
        <w:rPr>
          <w:color w:val="0C0C0C"/>
        </w:rPr>
        <w:t>La</w:t>
      </w:r>
      <w:r>
        <w:rPr>
          <w:color w:val="0C0C0C"/>
          <w:spacing w:val="-5"/>
        </w:rPr>
        <w:t xml:space="preserve"> </w:t>
      </w:r>
      <w:r>
        <w:rPr>
          <w:color w:val="0C0C0C"/>
        </w:rPr>
        <w:t>orientación</w:t>
      </w:r>
      <w:r>
        <w:rPr>
          <w:color w:val="0C0C0C"/>
          <w:spacing w:val="-4"/>
        </w:rPr>
        <w:t xml:space="preserve"> </w:t>
      </w:r>
      <w:r>
        <w:rPr>
          <w:color w:val="0C0C0C"/>
        </w:rPr>
        <w:t>inicial</w:t>
      </w:r>
      <w:r>
        <w:rPr>
          <w:color w:val="0C0C0C"/>
          <w:spacing w:val="-5"/>
        </w:rPr>
        <w:t xml:space="preserve"> </w:t>
      </w:r>
      <w:r>
        <w:rPr>
          <w:color w:val="0C0C0C"/>
        </w:rPr>
        <w:t>del</w:t>
      </w:r>
      <w:r>
        <w:rPr>
          <w:color w:val="0C0C0C"/>
          <w:spacing w:val="-5"/>
        </w:rPr>
        <w:t xml:space="preserve"> </w:t>
      </w:r>
      <w:r>
        <w:rPr>
          <w:color w:val="0C0C0C"/>
        </w:rPr>
        <w:t>proyecto</w:t>
      </w:r>
      <w:r>
        <w:rPr>
          <w:color w:val="0C0C0C"/>
          <w:spacing w:val="-5"/>
        </w:rPr>
        <w:t xml:space="preserve"> </w:t>
      </w:r>
      <w:r>
        <w:rPr>
          <w:color w:val="0C0C0C"/>
        </w:rPr>
        <w:t>que</w:t>
      </w:r>
      <w:r>
        <w:rPr>
          <w:color w:val="0C0C0C"/>
          <w:spacing w:val="-5"/>
        </w:rPr>
        <w:t xml:space="preserve"> </w:t>
      </w:r>
      <w:r>
        <w:rPr>
          <w:color w:val="0C0C0C"/>
        </w:rPr>
        <w:t>se convirtió en la Ley 1150 de 2007 era facultar al Gobierno Nacional para adoptar los pliegos</w:t>
      </w:r>
      <w:r>
        <w:rPr>
          <w:color w:val="0C0C0C"/>
          <w:spacing w:val="-18"/>
        </w:rPr>
        <w:t xml:space="preserve"> </w:t>
      </w:r>
      <w:r>
        <w:rPr>
          <w:color w:val="0C0C0C"/>
        </w:rPr>
        <w:t>tipo</w:t>
      </w:r>
      <w:r>
        <w:rPr>
          <w:color w:val="0C0C0C"/>
          <w:spacing w:val="-18"/>
        </w:rPr>
        <w:t xml:space="preserve"> </w:t>
      </w:r>
      <w:r>
        <w:rPr>
          <w:color w:val="0C0C0C"/>
        </w:rPr>
        <w:t>en</w:t>
      </w:r>
      <w:r>
        <w:rPr>
          <w:color w:val="0C0C0C"/>
          <w:spacing w:val="-18"/>
        </w:rPr>
        <w:t xml:space="preserve"> </w:t>
      </w:r>
      <w:r>
        <w:rPr>
          <w:color w:val="0C0C0C"/>
        </w:rPr>
        <w:t>todos</w:t>
      </w:r>
      <w:r>
        <w:rPr>
          <w:color w:val="0C0C0C"/>
          <w:spacing w:val="-18"/>
        </w:rPr>
        <w:t xml:space="preserve"> </w:t>
      </w:r>
      <w:r>
        <w:rPr>
          <w:color w:val="0C0C0C"/>
        </w:rPr>
        <w:t>los</w:t>
      </w:r>
      <w:r>
        <w:rPr>
          <w:color w:val="0C0C0C"/>
          <w:spacing w:val="-18"/>
        </w:rPr>
        <w:t xml:space="preserve"> </w:t>
      </w:r>
      <w:r>
        <w:rPr>
          <w:color w:val="0C0C0C"/>
        </w:rPr>
        <w:t>contratos</w:t>
      </w:r>
      <w:r>
        <w:rPr>
          <w:color w:val="0C0C0C"/>
          <w:spacing w:val="-19"/>
        </w:rPr>
        <w:t xml:space="preserve"> </w:t>
      </w:r>
      <w:r>
        <w:rPr>
          <w:color w:val="0C0C0C"/>
        </w:rPr>
        <w:t>estatales,</w:t>
      </w:r>
      <w:r>
        <w:rPr>
          <w:color w:val="0C0C0C"/>
          <w:spacing w:val="-18"/>
        </w:rPr>
        <w:t xml:space="preserve"> </w:t>
      </w:r>
      <w:r>
        <w:rPr>
          <w:color w:val="0C0C0C"/>
        </w:rPr>
        <w:t>pues</w:t>
      </w:r>
      <w:r>
        <w:rPr>
          <w:color w:val="0C0C0C"/>
          <w:spacing w:val="-18"/>
        </w:rPr>
        <w:t xml:space="preserve"> </w:t>
      </w:r>
      <w:r>
        <w:rPr>
          <w:color w:val="0C0C0C"/>
        </w:rPr>
        <w:t>en</w:t>
      </w:r>
      <w:r>
        <w:rPr>
          <w:color w:val="0C0C0C"/>
          <w:spacing w:val="-19"/>
        </w:rPr>
        <w:t xml:space="preserve"> </w:t>
      </w:r>
      <w:r>
        <w:rPr>
          <w:color w:val="0C0C0C"/>
        </w:rPr>
        <w:t>el</w:t>
      </w:r>
      <w:r>
        <w:rPr>
          <w:color w:val="0C0C0C"/>
          <w:spacing w:val="-18"/>
        </w:rPr>
        <w:t xml:space="preserve"> </w:t>
      </w:r>
      <w:r>
        <w:rPr>
          <w:color w:val="0C0C0C"/>
        </w:rPr>
        <w:t>proyecto</w:t>
      </w:r>
      <w:r>
        <w:rPr>
          <w:color w:val="0C0C0C"/>
          <w:spacing w:val="-18"/>
        </w:rPr>
        <w:t xml:space="preserve"> </w:t>
      </w:r>
      <w:r>
        <w:rPr>
          <w:color w:val="0C0C0C"/>
        </w:rPr>
        <w:t>el</w:t>
      </w:r>
      <w:r>
        <w:rPr>
          <w:color w:val="0C0C0C"/>
          <w:spacing w:val="-19"/>
        </w:rPr>
        <w:t xml:space="preserve"> </w:t>
      </w:r>
      <w:r>
        <w:rPr>
          <w:color w:val="0C0C0C"/>
        </w:rPr>
        <w:t>parágrafo</w:t>
      </w:r>
      <w:r>
        <w:rPr>
          <w:color w:val="0C0C0C"/>
          <w:spacing w:val="-17"/>
        </w:rPr>
        <w:t xml:space="preserve"> </w:t>
      </w:r>
      <w:r>
        <w:rPr>
          <w:color w:val="0C0C0C"/>
        </w:rPr>
        <w:t>3º</w:t>
      </w:r>
      <w:r>
        <w:rPr>
          <w:color w:val="0C0C0C"/>
          <w:spacing w:val="-19"/>
        </w:rPr>
        <w:t xml:space="preserve"> </w:t>
      </w:r>
      <w:r>
        <w:rPr>
          <w:color w:val="0C0C0C"/>
        </w:rPr>
        <w:t>disponía que:</w:t>
      </w:r>
      <w:r>
        <w:rPr>
          <w:color w:val="0C0C0C"/>
          <w:spacing w:val="-17"/>
        </w:rPr>
        <w:t xml:space="preserve"> </w:t>
      </w:r>
      <w:r>
        <w:rPr>
          <w:color w:val="0C0C0C"/>
        </w:rPr>
        <w:t>«El</w:t>
      </w:r>
      <w:r>
        <w:rPr>
          <w:color w:val="0C0C0C"/>
          <w:spacing w:val="-16"/>
        </w:rPr>
        <w:t xml:space="preserve"> </w:t>
      </w:r>
      <w:r>
        <w:rPr>
          <w:color w:val="0C0C0C"/>
        </w:rPr>
        <w:t>Gobierno</w:t>
      </w:r>
      <w:r>
        <w:rPr>
          <w:color w:val="0C0C0C"/>
          <w:spacing w:val="-15"/>
        </w:rPr>
        <w:t xml:space="preserve"> </w:t>
      </w:r>
      <w:r>
        <w:rPr>
          <w:color w:val="0C0C0C"/>
        </w:rPr>
        <w:t>Nacional</w:t>
      </w:r>
      <w:r>
        <w:rPr>
          <w:color w:val="0C0C0C"/>
          <w:spacing w:val="-16"/>
        </w:rPr>
        <w:t xml:space="preserve"> </w:t>
      </w:r>
      <w:r>
        <w:rPr>
          <w:color w:val="0C0C0C"/>
        </w:rPr>
        <w:t>tendrá</w:t>
      </w:r>
      <w:r>
        <w:rPr>
          <w:color w:val="0C0C0C"/>
          <w:spacing w:val="-15"/>
        </w:rPr>
        <w:t xml:space="preserve"> </w:t>
      </w:r>
      <w:r>
        <w:rPr>
          <w:color w:val="0C0C0C"/>
        </w:rPr>
        <w:t>la</w:t>
      </w:r>
      <w:r>
        <w:rPr>
          <w:color w:val="0C0C0C"/>
          <w:spacing w:val="-16"/>
        </w:rPr>
        <w:t xml:space="preserve"> </w:t>
      </w:r>
      <w:r>
        <w:rPr>
          <w:color w:val="0C0C0C"/>
        </w:rPr>
        <w:t>facultad</w:t>
      </w:r>
      <w:r>
        <w:rPr>
          <w:color w:val="0C0C0C"/>
          <w:spacing w:val="-15"/>
        </w:rPr>
        <w:t xml:space="preserve"> </w:t>
      </w:r>
      <w:r>
        <w:rPr>
          <w:color w:val="0C0C0C"/>
        </w:rPr>
        <w:t>de</w:t>
      </w:r>
      <w:r>
        <w:rPr>
          <w:color w:val="0C0C0C"/>
          <w:spacing w:val="-16"/>
        </w:rPr>
        <w:t xml:space="preserve"> </w:t>
      </w:r>
      <w:r>
        <w:rPr>
          <w:color w:val="0C0C0C"/>
        </w:rPr>
        <w:t>estandarizar</w:t>
      </w:r>
      <w:r>
        <w:rPr>
          <w:color w:val="0C0C0C"/>
          <w:spacing w:val="-16"/>
        </w:rPr>
        <w:t xml:space="preserve"> </w:t>
      </w:r>
      <w:r>
        <w:rPr>
          <w:color w:val="0C0C0C"/>
        </w:rPr>
        <w:t>los</w:t>
      </w:r>
      <w:r>
        <w:rPr>
          <w:color w:val="0C0C0C"/>
          <w:spacing w:val="-16"/>
        </w:rPr>
        <w:t xml:space="preserve"> </w:t>
      </w:r>
      <w:r>
        <w:rPr>
          <w:color w:val="0C0C0C"/>
        </w:rPr>
        <w:t>pliegos</w:t>
      </w:r>
      <w:r>
        <w:rPr>
          <w:color w:val="0C0C0C"/>
          <w:spacing w:val="-16"/>
        </w:rPr>
        <w:t xml:space="preserve"> </w:t>
      </w:r>
      <w:r>
        <w:rPr>
          <w:color w:val="0C0C0C"/>
        </w:rPr>
        <w:t>de</w:t>
      </w:r>
      <w:r>
        <w:rPr>
          <w:color w:val="0C0C0C"/>
          <w:spacing w:val="-16"/>
        </w:rPr>
        <w:t xml:space="preserve"> </w:t>
      </w:r>
      <w:r>
        <w:rPr>
          <w:color w:val="0C0C0C"/>
        </w:rPr>
        <w:t>condiciones o términos de referencia y los contratos de las entidades</w:t>
      </w:r>
      <w:r>
        <w:rPr>
          <w:color w:val="0C0C0C"/>
          <w:spacing w:val="-16"/>
        </w:rPr>
        <w:t xml:space="preserve"> </w:t>
      </w:r>
      <w:r>
        <w:rPr>
          <w:color w:val="0C0C0C"/>
        </w:rPr>
        <w:t>estatales»</w:t>
      </w:r>
      <w:r>
        <w:rPr>
          <w:color w:val="0C0C0C"/>
          <w:vertAlign w:val="superscript"/>
        </w:rPr>
        <w:t>2</w:t>
      </w:r>
      <w:r>
        <w:rPr>
          <w:color w:val="0C0C0C"/>
        </w:rPr>
        <w:t>.</w:t>
      </w:r>
    </w:p>
    <w:p w14:paraId="2E2BEBB9" w14:textId="77777777" w:rsidR="00653510" w:rsidRDefault="00390730">
      <w:pPr>
        <w:pStyle w:val="Textoindependiente"/>
        <w:spacing w:before="130" w:line="278" w:lineRule="auto"/>
        <w:ind w:left="100" w:right="534" w:firstLine="795"/>
        <w:jc w:val="both"/>
        <w:rPr>
          <w:sz w:val="21"/>
        </w:rPr>
      </w:pPr>
      <w:r>
        <w:rPr>
          <w:color w:val="0C0C0C"/>
        </w:rPr>
        <w:t>La intención era agilizar y dar mayor transparencia a los procedimientos de selección, así como evitar el direccionamiento, razón por la cual –conforme a lo explicado</w:t>
      </w:r>
      <w:r>
        <w:rPr>
          <w:color w:val="0C0C0C"/>
          <w:spacing w:val="-6"/>
        </w:rPr>
        <w:t xml:space="preserve"> </w:t>
      </w:r>
      <w:r>
        <w:rPr>
          <w:color w:val="0C0C0C"/>
        </w:rPr>
        <w:t>en</w:t>
      </w:r>
      <w:r>
        <w:rPr>
          <w:color w:val="0C0C0C"/>
          <w:spacing w:val="-6"/>
        </w:rPr>
        <w:t xml:space="preserve"> </w:t>
      </w:r>
      <w:r>
        <w:rPr>
          <w:color w:val="0C0C0C"/>
        </w:rPr>
        <w:t>la</w:t>
      </w:r>
      <w:r>
        <w:rPr>
          <w:color w:val="0C0C0C"/>
          <w:spacing w:val="-5"/>
        </w:rPr>
        <w:t xml:space="preserve"> </w:t>
      </w:r>
      <w:r>
        <w:rPr>
          <w:color w:val="0C0C0C"/>
        </w:rPr>
        <w:t>exposición</w:t>
      </w:r>
      <w:r>
        <w:rPr>
          <w:color w:val="0C0C0C"/>
          <w:spacing w:val="-6"/>
        </w:rPr>
        <w:t xml:space="preserve"> </w:t>
      </w:r>
      <w:r>
        <w:rPr>
          <w:color w:val="0C0C0C"/>
        </w:rPr>
        <w:t>de</w:t>
      </w:r>
      <w:r>
        <w:rPr>
          <w:color w:val="0C0C0C"/>
          <w:spacing w:val="-5"/>
        </w:rPr>
        <w:t xml:space="preserve"> </w:t>
      </w:r>
      <w:r>
        <w:rPr>
          <w:color w:val="0C0C0C"/>
        </w:rPr>
        <w:t>motivos–</w:t>
      </w:r>
      <w:r>
        <w:rPr>
          <w:color w:val="0C0C0C"/>
          <w:spacing w:val="-6"/>
        </w:rPr>
        <w:t xml:space="preserve"> </w:t>
      </w:r>
      <w:r>
        <w:rPr>
          <w:color w:val="0C0C0C"/>
        </w:rPr>
        <w:t>«[…]</w:t>
      </w:r>
      <w:r>
        <w:rPr>
          <w:color w:val="0C0C0C"/>
          <w:spacing w:val="-6"/>
        </w:rPr>
        <w:t xml:space="preserve"> </w:t>
      </w:r>
      <w:r>
        <w:rPr>
          <w:color w:val="0C0C0C"/>
        </w:rPr>
        <w:t>se</w:t>
      </w:r>
      <w:r>
        <w:rPr>
          <w:color w:val="0C0C0C"/>
          <w:spacing w:val="-5"/>
        </w:rPr>
        <w:t xml:space="preserve"> </w:t>
      </w:r>
      <w:r>
        <w:rPr>
          <w:color w:val="0C0C0C"/>
        </w:rPr>
        <w:t>asigna</w:t>
      </w:r>
      <w:r>
        <w:rPr>
          <w:color w:val="0C0C0C"/>
          <w:spacing w:val="-6"/>
        </w:rPr>
        <w:t xml:space="preserve"> </w:t>
      </w:r>
      <w:r>
        <w:rPr>
          <w:color w:val="0C0C0C"/>
        </w:rPr>
        <w:t>al</w:t>
      </w:r>
      <w:r>
        <w:rPr>
          <w:color w:val="0C0C0C"/>
          <w:spacing w:val="-5"/>
        </w:rPr>
        <w:t xml:space="preserve"> </w:t>
      </w:r>
      <w:r>
        <w:rPr>
          <w:color w:val="0C0C0C"/>
        </w:rPr>
        <w:t>Gobierno</w:t>
      </w:r>
      <w:r>
        <w:rPr>
          <w:color w:val="0C0C0C"/>
          <w:spacing w:val="-5"/>
        </w:rPr>
        <w:t xml:space="preserve"> </w:t>
      </w:r>
      <w:r>
        <w:rPr>
          <w:color w:val="0C0C0C"/>
        </w:rPr>
        <w:t>Nacional</w:t>
      </w:r>
      <w:r>
        <w:rPr>
          <w:color w:val="0C0C0C"/>
          <w:spacing w:val="-5"/>
        </w:rPr>
        <w:t xml:space="preserve"> </w:t>
      </w:r>
      <w:r>
        <w:rPr>
          <w:color w:val="0C0C0C"/>
        </w:rPr>
        <w:t>la</w:t>
      </w:r>
      <w:r>
        <w:rPr>
          <w:color w:val="0C0C0C"/>
          <w:spacing w:val="-6"/>
        </w:rPr>
        <w:t xml:space="preserve"> </w:t>
      </w:r>
      <w:r>
        <w:rPr>
          <w:color w:val="0C0C0C"/>
        </w:rPr>
        <w:t>facultad de estandarizar los pliegos de condiciones y términos de referencia de los contratos, medida que redundará en la agilidad y claridad de los procedimientos»</w:t>
      </w:r>
      <w:r>
        <w:rPr>
          <w:color w:val="0C0C0C"/>
          <w:vertAlign w:val="superscript"/>
        </w:rPr>
        <w:t>3</w:t>
      </w:r>
      <w:r>
        <w:rPr>
          <w:color w:val="0C0C0C"/>
        </w:rPr>
        <w:t>. Sin embargo, en</w:t>
      </w:r>
      <w:r>
        <w:rPr>
          <w:color w:val="0C0C0C"/>
          <w:spacing w:val="-11"/>
        </w:rPr>
        <w:t xml:space="preserve"> </w:t>
      </w:r>
      <w:r>
        <w:rPr>
          <w:color w:val="0C0C0C"/>
        </w:rPr>
        <w:t>el</w:t>
      </w:r>
      <w:r>
        <w:rPr>
          <w:color w:val="0C0C0C"/>
          <w:spacing w:val="-10"/>
        </w:rPr>
        <w:t xml:space="preserve"> </w:t>
      </w:r>
      <w:r>
        <w:rPr>
          <w:color w:val="0C0C0C"/>
        </w:rPr>
        <w:t>texto</w:t>
      </w:r>
      <w:r>
        <w:rPr>
          <w:color w:val="0C0C0C"/>
          <w:spacing w:val="-10"/>
        </w:rPr>
        <w:t xml:space="preserve"> </w:t>
      </w:r>
      <w:r>
        <w:rPr>
          <w:color w:val="0C0C0C"/>
        </w:rPr>
        <w:t>aprobado,</w:t>
      </w:r>
      <w:r>
        <w:rPr>
          <w:color w:val="0C0C0C"/>
          <w:spacing w:val="-10"/>
        </w:rPr>
        <w:t xml:space="preserve"> </w:t>
      </w:r>
      <w:r>
        <w:rPr>
          <w:color w:val="0C0C0C"/>
        </w:rPr>
        <w:t>los</w:t>
      </w:r>
      <w:r>
        <w:rPr>
          <w:color w:val="0C0C0C"/>
          <w:spacing w:val="-10"/>
        </w:rPr>
        <w:t xml:space="preserve"> </w:t>
      </w:r>
      <w:r>
        <w:rPr>
          <w:color w:val="0C0C0C"/>
        </w:rPr>
        <w:t>pliegos</w:t>
      </w:r>
      <w:r>
        <w:rPr>
          <w:color w:val="0C0C0C"/>
          <w:spacing w:val="-11"/>
        </w:rPr>
        <w:t xml:space="preserve"> </w:t>
      </w:r>
      <w:r>
        <w:rPr>
          <w:color w:val="0C0C0C"/>
        </w:rPr>
        <w:t>tipo</w:t>
      </w:r>
      <w:r>
        <w:rPr>
          <w:color w:val="0C0C0C"/>
          <w:spacing w:val="-10"/>
        </w:rPr>
        <w:t xml:space="preserve"> </w:t>
      </w:r>
      <w:r>
        <w:rPr>
          <w:color w:val="0C0C0C"/>
        </w:rPr>
        <w:t>se</w:t>
      </w:r>
      <w:r>
        <w:rPr>
          <w:color w:val="0C0C0C"/>
          <w:spacing w:val="-11"/>
        </w:rPr>
        <w:t xml:space="preserve"> </w:t>
      </w:r>
      <w:r>
        <w:rPr>
          <w:color w:val="0C0C0C"/>
        </w:rPr>
        <w:t>limitaron</w:t>
      </w:r>
      <w:r>
        <w:rPr>
          <w:color w:val="0C0C0C"/>
          <w:spacing w:val="-10"/>
        </w:rPr>
        <w:t xml:space="preserve"> </w:t>
      </w:r>
      <w:r>
        <w:rPr>
          <w:color w:val="0C0C0C"/>
        </w:rPr>
        <w:t>a</w:t>
      </w:r>
      <w:r>
        <w:rPr>
          <w:color w:val="0C0C0C"/>
          <w:spacing w:val="-11"/>
        </w:rPr>
        <w:t xml:space="preserve"> </w:t>
      </w:r>
      <w:r>
        <w:rPr>
          <w:color w:val="0C0C0C"/>
        </w:rPr>
        <w:t>la</w:t>
      </w:r>
      <w:r>
        <w:rPr>
          <w:color w:val="0C0C0C"/>
          <w:spacing w:val="-11"/>
        </w:rPr>
        <w:t xml:space="preserve"> </w:t>
      </w:r>
      <w:r>
        <w:rPr>
          <w:color w:val="0C0C0C"/>
        </w:rPr>
        <w:t>adquisición</w:t>
      </w:r>
      <w:r>
        <w:rPr>
          <w:color w:val="0C0C0C"/>
          <w:spacing w:val="-10"/>
        </w:rPr>
        <w:t xml:space="preserve"> </w:t>
      </w:r>
      <w:r>
        <w:rPr>
          <w:color w:val="0C0C0C"/>
        </w:rPr>
        <w:t>o</w:t>
      </w:r>
      <w:r>
        <w:rPr>
          <w:color w:val="0C0C0C"/>
          <w:spacing w:val="-11"/>
        </w:rPr>
        <w:t xml:space="preserve"> </w:t>
      </w:r>
      <w:r>
        <w:rPr>
          <w:color w:val="0C0C0C"/>
        </w:rPr>
        <w:t>suministro</w:t>
      </w:r>
      <w:r>
        <w:rPr>
          <w:color w:val="0C0C0C"/>
          <w:spacing w:val="-11"/>
        </w:rPr>
        <w:t xml:space="preserve"> </w:t>
      </w:r>
      <w:r>
        <w:rPr>
          <w:color w:val="0C0C0C"/>
        </w:rPr>
        <w:t>de</w:t>
      </w:r>
      <w:r>
        <w:rPr>
          <w:color w:val="0C0C0C"/>
          <w:spacing w:val="-10"/>
        </w:rPr>
        <w:t xml:space="preserve"> </w:t>
      </w:r>
      <w:r>
        <w:rPr>
          <w:color w:val="0C0C0C"/>
        </w:rPr>
        <w:t>bienes de características técnicas</w:t>
      </w:r>
      <w:r>
        <w:rPr>
          <w:color w:val="0C0C0C"/>
          <w:spacing w:val="-4"/>
        </w:rPr>
        <w:t xml:space="preserve"> </w:t>
      </w:r>
      <w:r>
        <w:rPr>
          <w:color w:val="0C0C0C"/>
        </w:rPr>
        <w:t>uniformes</w:t>
      </w:r>
      <w:r>
        <w:rPr>
          <w:color w:val="0C0C0C"/>
          <w:vertAlign w:val="superscript"/>
        </w:rPr>
        <w:t>4</w:t>
      </w:r>
      <w:r>
        <w:rPr>
          <w:color w:val="0C0C0C"/>
          <w:sz w:val="21"/>
        </w:rPr>
        <w:t>.</w:t>
      </w:r>
    </w:p>
    <w:p w14:paraId="65FEDFE9" w14:textId="77777777" w:rsidR="00653510" w:rsidRDefault="00390730">
      <w:pPr>
        <w:pStyle w:val="Textoindependiente"/>
        <w:spacing w:before="150" w:line="276" w:lineRule="auto"/>
        <w:ind w:left="100" w:right="533" w:firstLine="709"/>
        <w:jc w:val="both"/>
      </w:pPr>
      <w:r>
        <w:rPr>
          <w:color w:val="0C0C0C"/>
        </w:rPr>
        <w:t>Posteriormente, el artículo 2, parágrafo 7º, de la Ley 1150 de 2007, adicionado por el artículo 4 de la Ley 1882 de 2018, establece la obligatoriedad de la adopción de documentos tipo para algunos contratos, en los siguientes términos:</w:t>
      </w:r>
    </w:p>
    <w:p w14:paraId="7DE0E753" w14:textId="77777777" w:rsidR="00653510" w:rsidRDefault="00653510">
      <w:pPr>
        <w:pStyle w:val="Textoindependiente"/>
        <w:spacing w:before="4"/>
        <w:rPr>
          <w:sz w:val="23"/>
        </w:rPr>
      </w:pPr>
    </w:p>
    <w:p w14:paraId="38175AC2" w14:textId="77777777" w:rsidR="00653510" w:rsidRDefault="00390730">
      <w:pPr>
        <w:spacing w:line="252" w:lineRule="auto"/>
        <w:ind w:left="810" w:right="1242"/>
        <w:jc w:val="both"/>
        <w:rPr>
          <w:sz w:val="21"/>
        </w:rPr>
      </w:pPr>
      <w:r>
        <w:rPr>
          <w:color w:val="0C0C0C"/>
          <w:sz w:val="21"/>
        </w:rPr>
        <w:t>Parágrafo 7°. El Gobierno nacional adoptará documentos tipo para los pliegos de condiciones de los procesos de selección de obras públicas, interventoría para las obras públicas, interventoría para consultoría de estudios</w:t>
      </w:r>
      <w:r>
        <w:rPr>
          <w:color w:val="0C0C0C"/>
          <w:spacing w:val="-12"/>
          <w:sz w:val="21"/>
        </w:rPr>
        <w:t xml:space="preserve"> </w:t>
      </w:r>
      <w:r>
        <w:rPr>
          <w:color w:val="0C0C0C"/>
          <w:sz w:val="21"/>
        </w:rPr>
        <w:t>y</w:t>
      </w:r>
      <w:r>
        <w:rPr>
          <w:color w:val="0C0C0C"/>
          <w:spacing w:val="-11"/>
          <w:sz w:val="21"/>
        </w:rPr>
        <w:t xml:space="preserve"> </w:t>
      </w:r>
      <w:r>
        <w:rPr>
          <w:color w:val="0C0C0C"/>
          <w:sz w:val="21"/>
        </w:rPr>
        <w:t>diseños</w:t>
      </w:r>
      <w:r>
        <w:rPr>
          <w:color w:val="0C0C0C"/>
          <w:spacing w:val="-11"/>
          <w:sz w:val="21"/>
        </w:rPr>
        <w:t xml:space="preserve"> </w:t>
      </w:r>
      <w:r>
        <w:rPr>
          <w:color w:val="0C0C0C"/>
          <w:sz w:val="21"/>
        </w:rPr>
        <w:t>para</w:t>
      </w:r>
      <w:r>
        <w:rPr>
          <w:color w:val="0C0C0C"/>
          <w:spacing w:val="-12"/>
          <w:sz w:val="21"/>
        </w:rPr>
        <w:t xml:space="preserve"> </w:t>
      </w:r>
      <w:r>
        <w:rPr>
          <w:color w:val="0C0C0C"/>
          <w:sz w:val="21"/>
        </w:rPr>
        <w:t>obras</w:t>
      </w:r>
      <w:r>
        <w:rPr>
          <w:color w:val="0C0C0C"/>
          <w:spacing w:val="-11"/>
          <w:sz w:val="21"/>
        </w:rPr>
        <w:t xml:space="preserve"> </w:t>
      </w:r>
      <w:r>
        <w:rPr>
          <w:color w:val="0C0C0C"/>
          <w:sz w:val="21"/>
        </w:rPr>
        <w:t>públicas,</w:t>
      </w:r>
      <w:r>
        <w:rPr>
          <w:color w:val="0C0C0C"/>
          <w:spacing w:val="-11"/>
          <w:sz w:val="21"/>
        </w:rPr>
        <w:t xml:space="preserve"> </w:t>
      </w:r>
      <w:r>
        <w:rPr>
          <w:color w:val="0C0C0C"/>
          <w:sz w:val="21"/>
        </w:rPr>
        <w:t>consultoría</w:t>
      </w:r>
      <w:r>
        <w:rPr>
          <w:color w:val="0C0C0C"/>
          <w:spacing w:val="-12"/>
          <w:sz w:val="21"/>
        </w:rPr>
        <w:t xml:space="preserve"> </w:t>
      </w:r>
      <w:r>
        <w:rPr>
          <w:color w:val="0C0C0C"/>
          <w:sz w:val="21"/>
        </w:rPr>
        <w:t>en</w:t>
      </w:r>
      <w:r>
        <w:rPr>
          <w:color w:val="0C0C0C"/>
          <w:spacing w:val="-11"/>
          <w:sz w:val="21"/>
        </w:rPr>
        <w:t xml:space="preserve"> </w:t>
      </w:r>
      <w:r>
        <w:rPr>
          <w:color w:val="0C0C0C"/>
          <w:sz w:val="21"/>
        </w:rPr>
        <w:t>ingeniería</w:t>
      </w:r>
      <w:r>
        <w:rPr>
          <w:color w:val="0C0C0C"/>
          <w:spacing w:val="-11"/>
          <w:sz w:val="21"/>
        </w:rPr>
        <w:t xml:space="preserve"> </w:t>
      </w:r>
      <w:r>
        <w:rPr>
          <w:color w:val="0C0C0C"/>
          <w:sz w:val="21"/>
        </w:rPr>
        <w:t>para</w:t>
      </w:r>
      <w:r>
        <w:rPr>
          <w:color w:val="0C0C0C"/>
          <w:spacing w:val="-11"/>
          <w:sz w:val="21"/>
        </w:rPr>
        <w:t xml:space="preserve"> </w:t>
      </w:r>
      <w:r>
        <w:rPr>
          <w:color w:val="0C0C0C"/>
          <w:sz w:val="21"/>
        </w:rPr>
        <w:t>obras, los cuales deberán ser utilizados por todas las entidades sometidas al Estatuto</w:t>
      </w:r>
      <w:r>
        <w:rPr>
          <w:color w:val="0C0C0C"/>
          <w:spacing w:val="39"/>
          <w:sz w:val="21"/>
        </w:rPr>
        <w:t xml:space="preserve"> </w:t>
      </w:r>
      <w:r>
        <w:rPr>
          <w:color w:val="0C0C0C"/>
          <w:sz w:val="21"/>
        </w:rPr>
        <w:t>General</w:t>
      </w:r>
      <w:r>
        <w:rPr>
          <w:color w:val="0C0C0C"/>
          <w:spacing w:val="38"/>
          <w:sz w:val="21"/>
        </w:rPr>
        <w:t xml:space="preserve"> </w:t>
      </w:r>
      <w:r>
        <w:rPr>
          <w:color w:val="0C0C0C"/>
          <w:sz w:val="21"/>
        </w:rPr>
        <w:t>de</w:t>
      </w:r>
      <w:r>
        <w:rPr>
          <w:color w:val="0C0C0C"/>
          <w:spacing w:val="38"/>
          <w:sz w:val="21"/>
        </w:rPr>
        <w:t xml:space="preserve"> </w:t>
      </w:r>
      <w:r>
        <w:rPr>
          <w:color w:val="0C0C0C"/>
          <w:sz w:val="21"/>
        </w:rPr>
        <w:t>la</w:t>
      </w:r>
      <w:r>
        <w:rPr>
          <w:color w:val="0C0C0C"/>
          <w:spacing w:val="38"/>
          <w:sz w:val="21"/>
        </w:rPr>
        <w:t xml:space="preserve"> </w:t>
      </w:r>
      <w:r>
        <w:rPr>
          <w:color w:val="0C0C0C"/>
          <w:sz w:val="21"/>
        </w:rPr>
        <w:t>Contratación</w:t>
      </w:r>
      <w:r>
        <w:rPr>
          <w:color w:val="0C0C0C"/>
          <w:spacing w:val="38"/>
          <w:sz w:val="21"/>
        </w:rPr>
        <w:t xml:space="preserve"> </w:t>
      </w:r>
      <w:r>
        <w:rPr>
          <w:color w:val="0C0C0C"/>
          <w:sz w:val="21"/>
        </w:rPr>
        <w:t>de</w:t>
      </w:r>
      <w:r>
        <w:rPr>
          <w:color w:val="0C0C0C"/>
          <w:spacing w:val="38"/>
          <w:sz w:val="21"/>
        </w:rPr>
        <w:t xml:space="preserve"> </w:t>
      </w:r>
      <w:r>
        <w:rPr>
          <w:color w:val="0C0C0C"/>
          <w:sz w:val="21"/>
        </w:rPr>
        <w:t>la</w:t>
      </w:r>
      <w:r>
        <w:rPr>
          <w:color w:val="0C0C0C"/>
          <w:spacing w:val="37"/>
          <w:sz w:val="21"/>
        </w:rPr>
        <w:t xml:space="preserve"> </w:t>
      </w:r>
      <w:r>
        <w:rPr>
          <w:color w:val="0C0C0C"/>
          <w:sz w:val="21"/>
        </w:rPr>
        <w:t>Administración</w:t>
      </w:r>
      <w:r>
        <w:rPr>
          <w:color w:val="0C0C0C"/>
          <w:spacing w:val="40"/>
          <w:sz w:val="21"/>
        </w:rPr>
        <w:t xml:space="preserve"> </w:t>
      </w:r>
      <w:r>
        <w:rPr>
          <w:color w:val="0C0C0C"/>
          <w:sz w:val="21"/>
        </w:rPr>
        <w:t>Pública</w:t>
      </w:r>
      <w:r>
        <w:rPr>
          <w:color w:val="0C0C0C"/>
          <w:spacing w:val="40"/>
          <w:sz w:val="21"/>
        </w:rPr>
        <w:t xml:space="preserve"> </w:t>
      </w:r>
      <w:r>
        <w:rPr>
          <w:color w:val="0C0C0C"/>
          <w:sz w:val="21"/>
        </w:rPr>
        <w:t>en</w:t>
      </w:r>
      <w:r>
        <w:rPr>
          <w:color w:val="0C0C0C"/>
          <w:spacing w:val="37"/>
          <w:sz w:val="21"/>
        </w:rPr>
        <w:t xml:space="preserve"> </w:t>
      </w:r>
      <w:r>
        <w:rPr>
          <w:color w:val="0C0C0C"/>
          <w:sz w:val="21"/>
        </w:rPr>
        <w:t>los</w:t>
      </w:r>
    </w:p>
    <w:p w14:paraId="730184D6" w14:textId="77777777" w:rsidR="00653510" w:rsidRDefault="00A00A85">
      <w:pPr>
        <w:pStyle w:val="Textoindependiente"/>
        <w:spacing w:before="5"/>
        <w:rPr>
          <w:sz w:val="26"/>
        </w:rPr>
      </w:pPr>
      <w:r>
        <w:rPr>
          <w:noProof/>
        </w:rPr>
        <mc:AlternateContent>
          <mc:Choice Requires="wps">
            <w:drawing>
              <wp:anchor distT="0" distB="0" distL="0" distR="0" simplePos="0" relativeHeight="487587840" behindDoc="1" locked="0" layoutInCell="1" allowOverlap="1" wp14:anchorId="0A3E747B" wp14:editId="19075958">
                <wp:simplePos x="0" y="0"/>
                <wp:positionH relativeFrom="page">
                  <wp:posOffset>1080135</wp:posOffset>
                </wp:positionH>
                <wp:positionV relativeFrom="paragraph">
                  <wp:posOffset>221615</wp:posOffset>
                </wp:positionV>
                <wp:extent cx="1828800" cy="1270"/>
                <wp:effectExtent l="0" t="0" r="0" b="0"/>
                <wp:wrapTopAndBottom/>
                <wp:docPr id="12"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7B9B8D" id="Freeform 10" o:spid="_x0000_s1026" style="position:absolute;margin-left:85.05pt;margin-top:17.45pt;width:2in;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" path="m,l2880,e" filled="f" strokeweight=".5pt">
                <v:path arrowok="t" o:connecttype="custom" o:connectlocs="0,0;1828800,0" o:connectangles="0,0"/>
                <w10:wrap type="topAndBottom" anchorx="page"/>
              </v:shape>
            </w:pict>
          </mc:Fallback>
        </mc:AlternateContent>
      </w:r>
    </w:p>
    <w:p w14:paraId="1C520712" w14:textId="77777777" w:rsidR="00653510" w:rsidRDefault="00390730">
      <w:pPr>
        <w:spacing w:before="95"/>
        <w:ind w:left="100" w:right="534"/>
        <w:jc w:val="both"/>
        <w:rPr>
          <w:sz w:val="19"/>
        </w:rPr>
      </w:pPr>
      <w:r>
        <w:rPr>
          <w:rFonts w:ascii="Calibri" w:hAnsi="Calibri"/>
          <w:sz w:val="19"/>
          <w:vertAlign w:val="superscript"/>
        </w:rPr>
        <w:t>1</w:t>
      </w:r>
      <w:r>
        <w:rPr>
          <w:rFonts w:ascii="Calibri" w:hAnsi="Calibri"/>
          <w:sz w:val="19"/>
        </w:rPr>
        <w:t xml:space="preserve"> </w:t>
      </w:r>
      <w:r>
        <w:rPr>
          <w:sz w:val="19"/>
        </w:rPr>
        <w:t>El parágrafo 3 del artículo 2 de la Ley 1150 de 2007 facultó por primera vez al Gobierno Nacional para adoptar estándares generales en los pliegos de condiciones, razón por la cual dispuso lo siguiente: «El Gobierno Nacional tendrá la facultad de estandarizar las condiciones generales de los pliegos de condiciones y los contratos de las entidades estatales, cuando se trate de la adquisición o suministro</w:t>
      </w:r>
      <w:r>
        <w:rPr>
          <w:spacing w:val="-10"/>
          <w:sz w:val="19"/>
        </w:rPr>
        <w:t xml:space="preserve"> </w:t>
      </w:r>
      <w:r>
        <w:rPr>
          <w:sz w:val="19"/>
        </w:rPr>
        <w:t>de</w:t>
      </w:r>
      <w:r>
        <w:rPr>
          <w:spacing w:val="-10"/>
          <w:sz w:val="19"/>
        </w:rPr>
        <w:t xml:space="preserve"> </w:t>
      </w:r>
      <w:r>
        <w:rPr>
          <w:sz w:val="19"/>
        </w:rPr>
        <w:t>bienes</w:t>
      </w:r>
      <w:r>
        <w:rPr>
          <w:spacing w:val="-9"/>
          <w:sz w:val="19"/>
        </w:rPr>
        <w:t xml:space="preserve"> </w:t>
      </w:r>
      <w:r>
        <w:rPr>
          <w:sz w:val="19"/>
        </w:rPr>
        <w:t>y</w:t>
      </w:r>
      <w:r>
        <w:rPr>
          <w:spacing w:val="-10"/>
          <w:sz w:val="19"/>
        </w:rPr>
        <w:t xml:space="preserve"> </w:t>
      </w:r>
      <w:r>
        <w:rPr>
          <w:sz w:val="19"/>
        </w:rPr>
        <w:t>servicios</w:t>
      </w:r>
      <w:r>
        <w:rPr>
          <w:spacing w:val="-10"/>
          <w:sz w:val="19"/>
        </w:rPr>
        <w:t xml:space="preserve"> </w:t>
      </w:r>
      <w:r>
        <w:rPr>
          <w:sz w:val="19"/>
        </w:rPr>
        <w:t>de</w:t>
      </w:r>
      <w:r>
        <w:rPr>
          <w:spacing w:val="-9"/>
          <w:sz w:val="19"/>
        </w:rPr>
        <w:t xml:space="preserve"> </w:t>
      </w:r>
      <w:r>
        <w:rPr>
          <w:sz w:val="19"/>
        </w:rPr>
        <w:t>características</w:t>
      </w:r>
      <w:r>
        <w:rPr>
          <w:spacing w:val="-10"/>
          <w:sz w:val="19"/>
        </w:rPr>
        <w:t xml:space="preserve"> </w:t>
      </w:r>
      <w:r>
        <w:rPr>
          <w:sz w:val="19"/>
        </w:rPr>
        <w:t>técnicas</w:t>
      </w:r>
      <w:r>
        <w:rPr>
          <w:spacing w:val="-9"/>
          <w:sz w:val="19"/>
        </w:rPr>
        <w:t xml:space="preserve"> </w:t>
      </w:r>
      <w:r>
        <w:rPr>
          <w:sz w:val="19"/>
        </w:rPr>
        <w:t>uniformes</w:t>
      </w:r>
      <w:r>
        <w:rPr>
          <w:spacing w:val="-9"/>
          <w:sz w:val="19"/>
        </w:rPr>
        <w:t xml:space="preserve"> </w:t>
      </w:r>
      <w:r>
        <w:rPr>
          <w:sz w:val="19"/>
        </w:rPr>
        <w:t>y</w:t>
      </w:r>
      <w:r>
        <w:rPr>
          <w:spacing w:val="-10"/>
          <w:sz w:val="19"/>
        </w:rPr>
        <w:t xml:space="preserve"> </w:t>
      </w:r>
      <w:r>
        <w:rPr>
          <w:sz w:val="19"/>
        </w:rPr>
        <w:t>de</w:t>
      </w:r>
      <w:r>
        <w:rPr>
          <w:spacing w:val="-10"/>
          <w:sz w:val="19"/>
        </w:rPr>
        <w:t xml:space="preserve"> </w:t>
      </w:r>
      <w:r>
        <w:rPr>
          <w:sz w:val="19"/>
        </w:rPr>
        <w:t>común</w:t>
      </w:r>
      <w:r>
        <w:rPr>
          <w:spacing w:val="-9"/>
          <w:sz w:val="19"/>
        </w:rPr>
        <w:t xml:space="preserve"> </w:t>
      </w:r>
      <w:r>
        <w:rPr>
          <w:sz w:val="19"/>
        </w:rPr>
        <w:t>utilización</w:t>
      </w:r>
      <w:r>
        <w:rPr>
          <w:spacing w:val="-10"/>
          <w:sz w:val="19"/>
        </w:rPr>
        <w:t xml:space="preserve"> </w:t>
      </w:r>
      <w:r>
        <w:rPr>
          <w:sz w:val="19"/>
        </w:rPr>
        <w:t>por</w:t>
      </w:r>
      <w:r>
        <w:rPr>
          <w:spacing w:val="-10"/>
          <w:sz w:val="19"/>
        </w:rPr>
        <w:t xml:space="preserve"> </w:t>
      </w:r>
      <w:r>
        <w:rPr>
          <w:sz w:val="19"/>
        </w:rPr>
        <w:t>parte de las</w:t>
      </w:r>
      <w:r>
        <w:rPr>
          <w:spacing w:val="-3"/>
          <w:sz w:val="19"/>
        </w:rPr>
        <w:t xml:space="preserve"> </w:t>
      </w:r>
      <w:r>
        <w:rPr>
          <w:sz w:val="19"/>
        </w:rPr>
        <w:t>entidades».</w:t>
      </w:r>
    </w:p>
    <w:p w14:paraId="11E604CD" w14:textId="77777777" w:rsidR="00653510" w:rsidRDefault="00390730">
      <w:pPr>
        <w:spacing w:before="12"/>
        <w:ind w:left="100"/>
        <w:rPr>
          <w:sz w:val="19"/>
        </w:rPr>
      </w:pPr>
      <w:r>
        <w:rPr>
          <w:rFonts w:ascii="Calibri"/>
          <w:sz w:val="19"/>
          <w:vertAlign w:val="superscript"/>
        </w:rPr>
        <w:t>2</w:t>
      </w:r>
      <w:r>
        <w:rPr>
          <w:rFonts w:ascii="Calibri"/>
          <w:sz w:val="19"/>
        </w:rPr>
        <w:t xml:space="preserve"> </w:t>
      </w:r>
      <w:proofErr w:type="gramStart"/>
      <w:r>
        <w:rPr>
          <w:sz w:val="19"/>
        </w:rPr>
        <w:t>Diario</w:t>
      </w:r>
      <w:proofErr w:type="gramEnd"/>
      <w:r>
        <w:rPr>
          <w:sz w:val="19"/>
        </w:rPr>
        <w:t xml:space="preserve"> Oficial. Gaceta del Congreso 458 de 2005.</w:t>
      </w:r>
    </w:p>
    <w:p w14:paraId="4052D5FC" w14:textId="77777777" w:rsidR="00653510" w:rsidRDefault="00390730">
      <w:pPr>
        <w:spacing w:before="13"/>
        <w:ind w:left="100"/>
        <w:rPr>
          <w:sz w:val="19"/>
        </w:rPr>
      </w:pPr>
      <w:r>
        <w:rPr>
          <w:rFonts w:ascii="Calibri" w:hAnsi="Calibri"/>
          <w:sz w:val="19"/>
          <w:vertAlign w:val="superscript"/>
        </w:rPr>
        <w:t>3</w:t>
      </w:r>
      <w:r>
        <w:rPr>
          <w:rFonts w:ascii="Calibri" w:hAnsi="Calibri"/>
          <w:sz w:val="19"/>
        </w:rPr>
        <w:t xml:space="preserve"> </w:t>
      </w:r>
      <w:r>
        <w:rPr>
          <w:i/>
          <w:sz w:val="19"/>
        </w:rPr>
        <w:t>Ibídem</w:t>
      </w:r>
      <w:r>
        <w:rPr>
          <w:sz w:val="19"/>
        </w:rPr>
        <w:t>.</w:t>
      </w:r>
    </w:p>
    <w:p w14:paraId="44E7F026" w14:textId="77777777" w:rsidR="00653510" w:rsidRDefault="00390730">
      <w:pPr>
        <w:spacing w:before="12"/>
        <w:ind w:left="100"/>
        <w:rPr>
          <w:sz w:val="19"/>
        </w:rPr>
      </w:pPr>
      <w:r>
        <w:rPr>
          <w:rFonts w:ascii="Calibri" w:hAnsi="Calibri"/>
          <w:sz w:val="19"/>
          <w:vertAlign w:val="superscript"/>
        </w:rPr>
        <w:t>4</w:t>
      </w:r>
      <w:r>
        <w:rPr>
          <w:rFonts w:ascii="Calibri" w:hAnsi="Calibri"/>
          <w:sz w:val="19"/>
        </w:rPr>
        <w:t xml:space="preserve"> </w:t>
      </w:r>
      <w:proofErr w:type="gramStart"/>
      <w:r>
        <w:rPr>
          <w:sz w:val="19"/>
        </w:rPr>
        <w:t>Diario</w:t>
      </w:r>
      <w:proofErr w:type="gramEnd"/>
      <w:r>
        <w:rPr>
          <w:sz w:val="19"/>
        </w:rPr>
        <w:t xml:space="preserve"> Oficial. Gaceta del Congreso 416 de 2007, Informe de Conciliación Senado.</w:t>
      </w:r>
    </w:p>
    <w:p w14:paraId="10F4C636" w14:textId="77777777" w:rsidR="00653510" w:rsidRDefault="00653510">
      <w:pPr>
        <w:rPr>
          <w:sz w:val="19"/>
        </w:rPr>
        <w:sectPr w:rsidR="00653510">
          <w:pgSz w:w="11900" w:h="16820"/>
          <w:pgMar w:top="1340" w:right="1160" w:bottom="2160" w:left="1600" w:header="0" w:footer="1962" w:gutter="0"/>
          <w:cols w:space="720"/>
        </w:sectPr>
      </w:pPr>
    </w:p>
    <w:p w14:paraId="1964C862" w14:textId="77777777" w:rsidR="00653510" w:rsidRDefault="00390730">
      <w:pPr>
        <w:spacing w:before="65" w:line="252" w:lineRule="auto"/>
        <w:ind w:left="810" w:right="1242"/>
        <w:jc w:val="both"/>
        <w:rPr>
          <w:sz w:val="21"/>
        </w:rPr>
      </w:pPr>
      <w:r>
        <w:rPr>
          <w:color w:val="0C0C0C"/>
          <w:sz w:val="21"/>
        </w:rPr>
        <w:lastRenderedPageBreak/>
        <w:t xml:space="preserve">procesos de selección que adelanten. </w:t>
      </w:r>
      <w:r>
        <w:rPr>
          <w:i/>
          <w:color w:val="0C0C0C"/>
          <w:sz w:val="21"/>
        </w:rPr>
        <w:t xml:space="preserve">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w:t>
      </w:r>
      <w:r>
        <w:rPr>
          <w:color w:val="0C0C0C"/>
          <w:sz w:val="21"/>
        </w:rPr>
        <w:t xml:space="preserve">[…] </w:t>
      </w:r>
      <w:r>
        <w:rPr>
          <w:i/>
          <w:color w:val="0C0C0C"/>
          <w:sz w:val="21"/>
        </w:rPr>
        <w:t xml:space="preserve">teniendo en cuenta la naturaleza y cuantía de los contratos </w:t>
      </w:r>
      <w:r>
        <w:rPr>
          <w:color w:val="0C0C0C"/>
          <w:sz w:val="21"/>
        </w:rPr>
        <w:t>[…]. (Énfasis fuera de texto)</w:t>
      </w:r>
    </w:p>
    <w:p w14:paraId="4A680502" w14:textId="77777777" w:rsidR="00653510" w:rsidRDefault="00653510">
      <w:pPr>
        <w:pStyle w:val="Textoindependiente"/>
        <w:spacing w:before="4"/>
        <w:rPr>
          <w:sz w:val="20"/>
        </w:rPr>
      </w:pPr>
    </w:p>
    <w:p w14:paraId="1394FA6A" w14:textId="77777777" w:rsidR="00653510" w:rsidRDefault="00390730">
      <w:pPr>
        <w:pStyle w:val="Textoindependiente"/>
        <w:spacing w:line="276" w:lineRule="auto"/>
        <w:ind w:left="100" w:right="533" w:firstLine="708"/>
        <w:jc w:val="both"/>
      </w:pPr>
      <w:r>
        <w:rPr>
          <w:color w:val="0C0C0C"/>
        </w:rPr>
        <w:t>En igual sentido, el 22 de julio de 2020, el Gobierno Nacional sancionó la Ley 2022,</w:t>
      </w:r>
      <w:r>
        <w:rPr>
          <w:color w:val="0C0C0C"/>
          <w:spacing w:val="-9"/>
        </w:rPr>
        <w:t xml:space="preserve"> </w:t>
      </w:r>
      <w:r>
        <w:rPr>
          <w:color w:val="0C0C0C"/>
        </w:rPr>
        <w:t>llamada</w:t>
      </w:r>
      <w:r>
        <w:rPr>
          <w:color w:val="0C0C0C"/>
          <w:spacing w:val="-8"/>
        </w:rPr>
        <w:t xml:space="preserve"> </w:t>
      </w:r>
      <w:r>
        <w:rPr>
          <w:color w:val="0C0C0C"/>
        </w:rPr>
        <w:t>la</w:t>
      </w:r>
      <w:r>
        <w:rPr>
          <w:color w:val="0C0C0C"/>
          <w:spacing w:val="-9"/>
        </w:rPr>
        <w:t xml:space="preserve"> </w:t>
      </w:r>
      <w:r>
        <w:rPr>
          <w:color w:val="0C0C0C"/>
        </w:rPr>
        <w:t>«ley</w:t>
      </w:r>
      <w:r>
        <w:rPr>
          <w:color w:val="0C0C0C"/>
          <w:spacing w:val="-8"/>
        </w:rPr>
        <w:t xml:space="preserve"> </w:t>
      </w:r>
      <w:r>
        <w:rPr>
          <w:color w:val="0C0C0C"/>
        </w:rPr>
        <w:t>de</w:t>
      </w:r>
      <w:r>
        <w:rPr>
          <w:color w:val="0C0C0C"/>
          <w:spacing w:val="-9"/>
        </w:rPr>
        <w:t xml:space="preserve"> </w:t>
      </w:r>
      <w:r>
        <w:rPr>
          <w:color w:val="0C0C0C"/>
        </w:rPr>
        <w:t>pliegos</w:t>
      </w:r>
      <w:r>
        <w:rPr>
          <w:color w:val="0C0C0C"/>
          <w:spacing w:val="-8"/>
        </w:rPr>
        <w:t xml:space="preserve"> </w:t>
      </w:r>
      <w:r>
        <w:rPr>
          <w:color w:val="0C0C0C"/>
        </w:rPr>
        <w:t>tipo»,</w:t>
      </w:r>
      <w:r>
        <w:rPr>
          <w:color w:val="0C0C0C"/>
          <w:spacing w:val="-8"/>
        </w:rPr>
        <w:t xml:space="preserve"> </w:t>
      </w:r>
      <w:r>
        <w:rPr>
          <w:color w:val="0C0C0C"/>
        </w:rPr>
        <w:t>que</w:t>
      </w:r>
      <w:r>
        <w:rPr>
          <w:color w:val="0C0C0C"/>
          <w:spacing w:val="-9"/>
        </w:rPr>
        <w:t xml:space="preserve"> </w:t>
      </w:r>
      <w:r>
        <w:rPr>
          <w:color w:val="0C0C0C"/>
        </w:rPr>
        <w:t>rige</w:t>
      </w:r>
      <w:r>
        <w:rPr>
          <w:color w:val="0C0C0C"/>
          <w:spacing w:val="-9"/>
        </w:rPr>
        <w:t xml:space="preserve"> </w:t>
      </w:r>
      <w:r>
        <w:rPr>
          <w:color w:val="0C0C0C"/>
        </w:rPr>
        <w:t>a</w:t>
      </w:r>
      <w:r>
        <w:rPr>
          <w:color w:val="0C0C0C"/>
          <w:spacing w:val="-9"/>
        </w:rPr>
        <w:t xml:space="preserve"> </w:t>
      </w:r>
      <w:r>
        <w:rPr>
          <w:color w:val="0C0C0C"/>
        </w:rPr>
        <w:t>partir</w:t>
      </w:r>
      <w:r>
        <w:rPr>
          <w:color w:val="0C0C0C"/>
          <w:spacing w:val="-8"/>
        </w:rPr>
        <w:t xml:space="preserve"> </w:t>
      </w:r>
      <w:r>
        <w:rPr>
          <w:color w:val="0C0C0C"/>
        </w:rPr>
        <w:t>de</w:t>
      </w:r>
      <w:r>
        <w:rPr>
          <w:color w:val="0C0C0C"/>
          <w:spacing w:val="-9"/>
        </w:rPr>
        <w:t xml:space="preserve"> </w:t>
      </w:r>
      <w:r>
        <w:rPr>
          <w:color w:val="0C0C0C"/>
        </w:rPr>
        <w:t>su</w:t>
      </w:r>
      <w:r>
        <w:rPr>
          <w:color w:val="0C0C0C"/>
          <w:spacing w:val="-9"/>
        </w:rPr>
        <w:t xml:space="preserve"> </w:t>
      </w:r>
      <w:r>
        <w:rPr>
          <w:color w:val="0C0C0C"/>
        </w:rPr>
        <w:t>publicación</w:t>
      </w:r>
      <w:r>
        <w:rPr>
          <w:color w:val="0C0C0C"/>
          <w:spacing w:val="-8"/>
        </w:rPr>
        <w:t xml:space="preserve"> </w:t>
      </w:r>
      <w:r>
        <w:rPr>
          <w:color w:val="0C0C0C"/>
        </w:rPr>
        <w:t>y</w:t>
      </w:r>
      <w:r>
        <w:rPr>
          <w:color w:val="0C0C0C"/>
          <w:spacing w:val="-9"/>
        </w:rPr>
        <w:t xml:space="preserve"> </w:t>
      </w:r>
      <w:r>
        <w:rPr>
          <w:color w:val="0C0C0C"/>
        </w:rPr>
        <w:t>cuyo</w:t>
      </w:r>
      <w:r>
        <w:rPr>
          <w:color w:val="0C0C0C"/>
          <w:spacing w:val="-9"/>
        </w:rPr>
        <w:t xml:space="preserve"> </w:t>
      </w:r>
      <w:r>
        <w:rPr>
          <w:color w:val="0C0C0C"/>
        </w:rPr>
        <w:t>artículo 1</w:t>
      </w:r>
      <w:r>
        <w:rPr>
          <w:color w:val="0C0C0C"/>
          <w:spacing w:val="-3"/>
        </w:rPr>
        <w:t xml:space="preserve"> </w:t>
      </w:r>
      <w:r>
        <w:rPr>
          <w:color w:val="0C0C0C"/>
        </w:rPr>
        <w:t>modifica</w:t>
      </w:r>
      <w:r>
        <w:rPr>
          <w:color w:val="0C0C0C"/>
          <w:spacing w:val="-3"/>
        </w:rPr>
        <w:t xml:space="preserve"> </w:t>
      </w:r>
      <w:r>
        <w:rPr>
          <w:color w:val="0C0C0C"/>
        </w:rPr>
        <w:t>el</w:t>
      </w:r>
      <w:r>
        <w:rPr>
          <w:color w:val="0C0C0C"/>
          <w:spacing w:val="-3"/>
        </w:rPr>
        <w:t xml:space="preserve"> </w:t>
      </w:r>
      <w:r>
        <w:rPr>
          <w:color w:val="0C0C0C"/>
        </w:rPr>
        <w:t>artículo</w:t>
      </w:r>
      <w:r>
        <w:rPr>
          <w:color w:val="0C0C0C"/>
          <w:spacing w:val="-3"/>
        </w:rPr>
        <w:t xml:space="preserve"> </w:t>
      </w:r>
      <w:r>
        <w:rPr>
          <w:color w:val="0C0C0C"/>
        </w:rPr>
        <w:t>4</w:t>
      </w:r>
      <w:r>
        <w:rPr>
          <w:color w:val="0C0C0C"/>
          <w:spacing w:val="-3"/>
        </w:rPr>
        <w:t xml:space="preserve"> </w:t>
      </w:r>
      <w:r>
        <w:rPr>
          <w:color w:val="0C0C0C"/>
        </w:rPr>
        <w:t>de</w:t>
      </w:r>
      <w:r>
        <w:rPr>
          <w:color w:val="0C0C0C"/>
          <w:spacing w:val="-3"/>
        </w:rPr>
        <w:t xml:space="preserve"> </w:t>
      </w:r>
      <w:r>
        <w:rPr>
          <w:color w:val="0C0C0C"/>
        </w:rPr>
        <w:t>la</w:t>
      </w:r>
      <w:r>
        <w:rPr>
          <w:color w:val="0C0C0C"/>
          <w:spacing w:val="-3"/>
        </w:rPr>
        <w:t xml:space="preserve"> </w:t>
      </w:r>
      <w:r>
        <w:rPr>
          <w:color w:val="0C0C0C"/>
        </w:rPr>
        <w:t>Ley</w:t>
      </w:r>
      <w:r>
        <w:rPr>
          <w:color w:val="0C0C0C"/>
          <w:spacing w:val="-3"/>
        </w:rPr>
        <w:t xml:space="preserve"> </w:t>
      </w:r>
      <w:r>
        <w:rPr>
          <w:color w:val="0C0C0C"/>
        </w:rPr>
        <w:t>1882</w:t>
      </w:r>
      <w:r>
        <w:rPr>
          <w:color w:val="0C0C0C"/>
          <w:spacing w:val="-3"/>
        </w:rPr>
        <w:t xml:space="preserve"> </w:t>
      </w:r>
      <w:r>
        <w:rPr>
          <w:color w:val="0C0C0C"/>
        </w:rPr>
        <w:t>de</w:t>
      </w:r>
      <w:r>
        <w:rPr>
          <w:color w:val="0C0C0C"/>
          <w:spacing w:val="-3"/>
        </w:rPr>
        <w:t xml:space="preserve"> </w:t>
      </w:r>
      <w:r>
        <w:rPr>
          <w:color w:val="0C0C0C"/>
        </w:rPr>
        <w:t>2018</w:t>
      </w:r>
      <w:r>
        <w:rPr>
          <w:color w:val="0C0C0C"/>
          <w:spacing w:val="-3"/>
        </w:rPr>
        <w:t xml:space="preserve"> </w:t>
      </w:r>
      <w:r>
        <w:rPr>
          <w:color w:val="0C0C0C"/>
        </w:rPr>
        <w:t>en</w:t>
      </w:r>
      <w:r>
        <w:rPr>
          <w:color w:val="0C0C0C"/>
          <w:spacing w:val="-3"/>
        </w:rPr>
        <w:t xml:space="preserve"> </w:t>
      </w:r>
      <w:r>
        <w:rPr>
          <w:color w:val="0C0C0C"/>
        </w:rPr>
        <w:t>relación</w:t>
      </w:r>
      <w:r>
        <w:rPr>
          <w:color w:val="0C0C0C"/>
          <w:spacing w:val="-3"/>
        </w:rPr>
        <w:t xml:space="preserve"> </w:t>
      </w:r>
      <w:r>
        <w:rPr>
          <w:color w:val="0C0C0C"/>
        </w:rPr>
        <w:t>con</w:t>
      </w:r>
      <w:r>
        <w:rPr>
          <w:color w:val="0C0C0C"/>
          <w:spacing w:val="-3"/>
        </w:rPr>
        <w:t xml:space="preserve"> </w:t>
      </w:r>
      <w:r>
        <w:rPr>
          <w:color w:val="0C0C0C"/>
        </w:rPr>
        <w:t>los</w:t>
      </w:r>
      <w:r>
        <w:rPr>
          <w:color w:val="0C0C0C"/>
          <w:spacing w:val="-3"/>
        </w:rPr>
        <w:t xml:space="preserve"> </w:t>
      </w:r>
      <w:r>
        <w:rPr>
          <w:color w:val="0C0C0C"/>
        </w:rPr>
        <w:t>siguientes</w:t>
      </w:r>
      <w:r>
        <w:rPr>
          <w:color w:val="0C0C0C"/>
          <w:spacing w:val="-2"/>
        </w:rPr>
        <w:t xml:space="preserve"> </w:t>
      </w:r>
      <w:r>
        <w:rPr>
          <w:color w:val="0C0C0C"/>
        </w:rPr>
        <w:t>aspectos:</w:t>
      </w:r>
    </w:p>
    <w:p w14:paraId="5557826F" w14:textId="77777777" w:rsidR="00653510" w:rsidRDefault="00390730">
      <w:pPr>
        <w:pStyle w:val="Prrafodelista"/>
        <w:numPr>
          <w:ilvl w:val="0"/>
          <w:numId w:val="2"/>
        </w:numPr>
        <w:tabs>
          <w:tab w:val="left" w:pos="282"/>
        </w:tabs>
        <w:spacing w:line="276" w:lineRule="auto"/>
        <w:ind w:left="100" w:right="534" w:firstLine="0"/>
        <w:jc w:val="both"/>
      </w:pPr>
      <w:r>
        <w:rPr>
          <w:color w:val="0C0C0C"/>
        </w:rPr>
        <w:t>el</w:t>
      </w:r>
      <w:r>
        <w:rPr>
          <w:color w:val="0C0C0C"/>
          <w:spacing w:val="-6"/>
        </w:rPr>
        <w:t xml:space="preserve"> </w:t>
      </w:r>
      <w:r>
        <w:rPr>
          <w:color w:val="0C0C0C"/>
        </w:rPr>
        <w:t>sujeto</w:t>
      </w:r>
      <w:r>
        <w:rPr>
          <w:color w:val="0C0C0C"/>
          <w:spacing w:val="-7"/>
        </w:rPr>
        <w:t xml:space="preserve"> </w:t>
      </w:r>
      <w:r>
        <w:rPr>
          <w:color w:val="0C0C0C"/>
        </w:rPr>
        <w:t>encargado</w:t>
      </w:r>
      <w:r>
        <w:rPr>
          <w:color w:val="0C0C0C"/>
          <w:spacing w:val="-6"/>
        </w:rPr>
        <w:t xml:space="preserve"> </w:t>
      </w:r>
      <w:r>
        <w:rPr>
          <w:color w:val="0C0C0C"/>
        </w:rPr>
        <w:t>de</w:t>
      </w:r>
      <w:r>
        <w:rPr>
          <w:color w:val="0C0C0C"/>
          <w:spacing w:val="-5"/>
        </w:rPr>
        <w:t xml:space="preserve"> </w:t>
      </w:r>
      <w:r>
        <w:rPr>
          <w:color w:val="0C0C0C"/>
        </w:rPr>
        <w:t>la</w:t>
      </w:r>
      <w:r>
        <w:rPr>
          <w:color w:val="0C0C0C"/>
          <w:spacing w:val="-6"/>
        </w:rPr>
        <w:t xml:space="preserve"> </w:t>
      </w:r>
      <w:r>
        <w:rPr>
          <w:color w:val="0C0C0C"/>
        </w:rPr>
        <w:t>adopción</w:t>
      </w:r>
      <w:r>
        <w:rPr>
          <w:color w:val="0C0C0C"/>
          <w:spacing w:val="-6"/>
        </w:rPr>
        <w:t xml:space="preserve"> </w:t>
      </w:r>
      <w:r>
        <w:rPr>
          <w:color w:val="0C0C0C"/>
        </w:rPr>
        <w:t>de</w:t>
      </w:r>
      <w:r>
        <w:rPr>
          <w:color w:val="0C0C0C"/>
          <w:spacing w:val="-5"/>
        </w:rPr>
        <w:t xml:space="preserve"> </w:t>
      </w:r>
      <w:r>
        <w:rPr>
          <w:color w:val="0C0C0C"/>
        </w:rPr>
        <w:t>los</w:t>
      </w:r>
      <w:r>
        <w:rPr>
          <w:color w:val="0C0C0C"/>
          <w:spacing w:val="-6"/>
        </w:rPr>
        <w:t xml:space="preserve"> </w:t>
      </w:r>
      <w:r>
        <w:rPr>
          <w:color w:val="0C0C0C"/>
        </w:rPr>
        <w:t>documentos</w:t>
      </w:r>
      <w:r>
        <w:rPr>
          <w:color w:val="0C0C0C"/>
          <w:spacing w:val="-6"/>
        </w:rPr>
        <w:t xml:space="preserve"> </w:t>
      </w:r>
      <w:r>
        <w:rPr>
          <w:color w:val="0C0C0C"/>
        </w:rPr>
        <w:t>tipo,</w:t>
      </w:r>
      <w:r>
        <w:rPr>
          <w:color w:val="0C0C0C"/>
          <w:spacing w:val="-6"/>
        </w:rPr>
        <w:t xml:space="preserve"> </w:t>
      </w:r>
      <w:r>
        <w:rPr>
          <w:color w:val="0C0C0C"/>
        </w:rPr>
        <w:t>ya</w:t>
      </w:r>
      <w:r>
        <w:rPr>
          <w:color w:val="0C0C0C"/>
          <w:spacing w:val="-6"/>
        </w:rPr>
        <w:t xml:space="preserve"> </w:t>
      </w:r>
      <w:r>
        <w:rPr>
          <w:color w:val="0C0C0C"/>
        </w:rPr>
        <w:t>que</w:t>
      </w:r>
      <w:r>
        <w:rPr>
          <w:color w:val="0C0C0C"/>
          <w:spacing w:val="-6"/>
        </w:rPr>
        <w:t xml:space="preserve"> </w:t>
      </w:r>
      <w:r>
        <w:rPr>
          <w:color w:val="0C0C0C"/>
        </w:rPr>
        <w:t>antes</w:t>
      </w:r>
      <w:r>
        <w:rPr>
          <w:color w:val="0C0C0C"/>
          <w:spacing w:val="-6"/>
        </w:rPr>
        <w:t xml:space="preserve"> </w:t>
      </w:r>
      <w:r>
        <w:rPr>
          <w:color w:val="0C0C0C"/>
        </w:rPr>
        <w:t>se</w:t>
      </w:r>
      <w:r>
        <w:rPr>
          <w:color w:val="0C0C0C"/>
          <w:spacing w:val="-6"/>
        </w:rPr>
        <w:t xml:space="preserve"> </w:t>
      </w:r>
      <w:r>
        <w:rPr>
          <w:color w:val="0C0C0C"/>
        </w:rPr>
        <w:t>señalaba al</w:t>
      </w:r>
      <w:r>
        <w:rPr>
          <w:color w:val="0C0C0C"/>
          <w:spacing w:val="-19"/>
        </w:rPr>
        <w:t xml:space="preserve"> </w:t>
      </w:r>
      <w:r>
        <w:rPr>
          <w:color w:val="0C0C0C"/>
        </w:rPr>
        <w:t>Gobierno</w:t>
      </w:r>
      <w:r>
        <w:rPr>
          <w:color w:val="0C0C0C"/>
          <w:spacing w:val="-18"/>
        </w:rPr>
        <w:t xml:space="preserve"> </w:t>
      </w:r>
      <w:r>
        <w:rPr>
          <w:color w:val="0C0C0C"/>
        </w:rPr>
        <w:t>Nacional</w:t>
      </w:r>
      <w:r>
        <w:rPr>
          <w:color w:val="0C0C0C"/>
          <w:spacing w:val="-19"/>
        </w:rPr>
        <w:t xml:space="preserve"> </w:t>
      </w:r>
      <w:r>
        <w:rPr>
          <w:color w:val="0C0C0C"/>
        </w:rPr>
        <w:t>y</w:t>
      </w:r>
      <w:r>
        <w:rPr>
          <w:color w:val="0C0C0C"/>
          <w:spacing w:val="-19"/>
        </w:rPr>
        <w:t xml:space="preserve"> </w:t>
      </w:r>
      <w:r>
        <w:rPr>
          <w:color w:val="0C0C0C"/>
        </w:rPr>
        <w:t>ahora</w:t>
      </w:r>
      <w:r>
        <w:rPr>
          <w:color w:val="0C0C0C"/>
          <w:spacing w:val="-19"/>
        </w:rPr>
        <w:t xml:space="preserve"> </w:t>
      </w:r>
      <w:r>
        <w:rPr>
          <w:color w:val="0C0C0C"/>
        </w:rPr>
        <w:t>la</w:t>
      </w:r>
      <w:r>
        <w:rPr>
          <w:color w:val="0C0C0C"/>
          <w:spacing w:val="-18"/>
        </w:rPr>
        <w:t xml:space="preserve"> </w:t>
      </w:r>
      <w:r>
        <w:rPr>
          <w:color w:val="0C0C0C"/>
        </w:rPr>
        <w:t>entidad</w:t>
      </w:r>
      <w:r>
        <w:rPr>
          <w:color w:val="0C0C0C"/>
          <w:spacing w:val="-19"/>
        </w:rPr>
        <w:t xml:space="preserve"> </w:t>
      </w:r>
      <w:r>
        <w:rPr>
          <w:color w:val="0C0C0C"/>
        </w:rPr>
        <w:t>encargada</w:t>
      </w:r>
      <w:r>
        <w:rPr>
          <w:color w:val="0C0C0C"/>
          <w:spacing w:val="-19"/>
        </w:rPr>
        <w:t xml:space="preserve"> </w:t>
      </w:r>
      <w:r>
        <w:rPr>
          <w:color w:val="0C0C0C"/>
        </w:rPr>
        <w:t>directamente</w:t>
      </w:r>
      <w:r>
        <w:rPr>
          <w:color w:val="0C0C0C"/>
          <w:spacing w:val="-19"/>
        </w:rPr>
        <w:t xml:space="preserve"> </w:t>
      </w:r>
      <w:r>
        <w:rPr>
          <w:color w:val="0C0C0C"/>
        </w:rPr>
        <w:t>por</w:t>
      </w:r>
      <w:r>
        <w:rPr>
          <w:color w:val="0C0C0C"/>
          <w:spacing w:val="-19"/>
        </w:rPr>
        <w:t xml:space="preserve"> </w:t>
      </w:r>
      <w:r>
        <w:rPr>
          <w:color w:val="0C0C0C"/>
        </w:rPr>
        <w:t>la</w:t>
      </w:r>
      <w:r>
        <w:rPr>
          <w:color w:val="0C0C0C"/>
          <w:spacing w:val="-19"/>
        </w:rPr>
        <w:t xml:space="preserve"> </w:t>
      </w:r>
      <w:r>
        <w:rPr>
          <w:color w:val="0C0C0C"/>
        </w:rPr>
        <w:t>Ley</w:t>
      </w:r>
      <w:r>
        <w:rPr>
          <w:color w:val="0C0C0C"/>
          <w:spacing w:val="-18"/>
        </w:rPr>
        <w:t xml:space="preserve"> </w:t>
      </w:r>
      <w:r>
        <w:rPr>
          <w:color w:val="0C0C0C"/>
        </w:rPr>
        <w:t>es</w:t>
      </w:r>
      <w:r>
        <w:rPr>
          <w:color w:val="0C0C0C"/>
          <w:spacing w:val="-19"/>
        </w:rPr>
        <w:t xml:space="preserve"> </w:t>
      </w:r>
      <w:r>
        <w:rPr>
          <w:color w:val="0C0C0C"/>
        </w:rPr>
        <w:t>la</w:t>
      </w:r>
      <w:r>
        <w:rPr>
          <w:color w:val="0C0C0C"/>
          <w:spacing w:val="-19"/>
        </w:rPr>
        <w:t xml:space="preserve"> </w:t>
      </w:r>
      <w:r>
        <w:rPr>
          <w:color w:val="0C0C0C"/>
        </w:rPr>
        <w:t>Agencia Nacional</w:t>
      </w:r>
      <w:r>
        <w:rPr>
          <w:color w:val="0C0C0C"/>
          <w:spacing w:val="-14"/>
        </w:rPr>
        <w:t xml:space="preserve"> </w:t>
      </w:r>
      <w:r>
        <w:rPr>
          <w:color w:val="0C0C0C"/>
        </w:rPr>
        <w:t>de</w:t>
      </w:r>
      <w:r>
        <w:rPr>
          <w:color w:val="0C0C0C"/>
          <w:spacing w:val="-13"/>
        </w:rPr>
        <w:t xml:space="preserve"> </w:t>
      </w:r>
      <w:r>
        <w:rPr>
          <w:color w:val="0C0C0C"/>
        </w:rPr>
        <w:t>Contratación</w:t>
      </w:r>
      <w:r>
        <w:rPr>
          <w:color w:val="0C0C0C"/>
          <w:spacing w:val="-13"/>
        </w:rPr>
        <w:t xml:space="preserve"> </w:t>
      </w:r>
      <w:r>
        <w:rPr>
          <w:color w:val="0C0C0C"/>
        </w:rPr>
        <w:t>Pública</w:t>
      </w:r>
      <w:r>
        <w:rPr>
          <w:color w:val="0C0C0C"/>
          <w:spacing w:val="-13"/>
        </w:rPr>
        <w:t xml:space="preserve"> </w:t>
      </w:r>
      <w:r>
        <w:rPr>
          <w:color w:val="0C0C0C"/>
        </w:rPr>
        <w:t>–</w:t>
      </w:r>
      <w:r>
        <w:rPr>
          <w:color w:val="0C0C0C"/>
          <w:spacing w:val="-13"/>
        </w:rPr>
        <w:t xml:space="preserve"> </w:t>
      </w:r>
      <w:r>
        <w:rPr>
          <w:color w:val="0C0C0C"/>
        </w:rPr>
        <w:t>Colombia</w:t>
      </w:r>
      <w:r>
        <w:rPr>
          <w:color w:val="0C0C0C"/>
          <w:spacing w:val="-13"/>
        </w:rPr>
        <w:t xml:space="preserve"> </w:t>
      </w:r>
      <w:r>
        <w:rPr>
          <w:color w:val="0C0C0C"/>
        </w:rPr>
        <w:t>Compra</w:t>
      </w:r>
      <w:r>
        <w:rPr>
          <w:color w:val="0C0C0C"/>
          <w:spacing w:val="-14"/>
        </w:rPr>
        <w:t xml:space="preserve"> </w:t>
      </w:r>
      <w:r>
        <w:rPr>
          <w:color w:val="0C0C0C"/>
        </w:rPr>
        <w:t>Eficiente</w:t>
      </w:r>
      <w:r>
        <w:rPr>
          <w:color w:val="0C0C0C"/>
          <w:spacing w:val="-12"/>
        </w:rPr>
        <w:t xml:space="preserve"> </w:t>
      </w:r>
      <w:r>
        <w:rPr>
          <w:color w:val="0C0C0C"/>
        </w:rPr>
        <w:t>o</w:t>
      </w:r>
      <w:r>
        <w:rPr>
          <w:color w:val="0C0C0C"/>
          <w:spacing w:val="-14"/>
        </w:rPr>
        <w:t xml:space="preserve"> </w:t>
      </w:r>
      <w:r>
        <w:rPr>
          <w:color w:val="0C0C0C"/>
        </w:rPr>
        <w:t>quien</w:t>
      </w:r>
      <w:r>
        <w:rPr>
          <w:color w:val="0C0C0C"/>
          <w:spacing w:val="-13"/>
        </w:rPr>
        <w:t xml:space="preserve"> </w:t>
      </w:r>
      <w:r>
        <w:rPr>
          <w:color w:val="0C0C0C"/>
        </w:rPr>
        <w:t>haga</w:t>
      </w:r>
      <w:r>
        <w:rPr>
          <w:color w:val="0C0C0C"/>
          <w:spacing w:val="-13"/>
        </w:rPr>
        <w:t xml:space="preserve"> </w:t>
      </w:r>
      <w:r>
        <w:rPr>
          <w:color w:val="0C0C0C"/>
        </w:rPr>
        <w:t>sus</w:t>
      </w:r>
      <w:r>
        <w:rPr>
          <w:color w:val="0C0C0C"/>
          <w:spacing w:val="-13"/>
        </w:rPr>
        <w:t xml:space="preserve"> </w:t>
      </w:r>
      <w:r>
        <w:rPr>
          <w:color w:val="0C0C0C"/>
        </w:rPr>
        <w:t>veces;</w:t>
      </w:r>
    </w:p>
    <w:p w14:paraId="1933B292" w14:textId="77777777" w:rsidR="00653510" w:rsidRDefault="00390730">
      <w:pPr>
        <w:pStyle w:val="Prrafodelista"/>
        <w:numPr>
          <w:ilvl w:val="0"/>
          <w:numId w:val="2"/>
        </w:numPr>
        <w:tabs>
          <w:tab w:val="left" w:pos="374"/>
        </w:tabs>
        <w:spacing w:line="276" w:lineRule="auto"/>
        <w:ind w:left="100" w:right="533" w:firstLine="0"/>
        <w:jc w:val="both"/>
      </w:pPr>
      <w:r>
        <w:rPr>
          <w:color w:val="0C0C0C"/>
        </w:rPr>
        <w:t>la inclusión de buenas prácticas contractuales y los principios de la contratación pública</w:t>
      </w:r>
      <w:r>
        <w:rPr>
          <w:color w:val="0C0C0C"/>
          <w:spacing w:val="-14"/>
        </w:rPr>
        <w:t xml:space="preserve"> </w:t>
      </w:r>
      <w:r>
        <w:rPr>
          <w:color w:val="0C0C0C"/>
        </w:rPr>
        <w:t>para</w:t>
      </w:r>
      <w:r>
        <w:rPr>
          <w:color w:val="0C0C0C"/>
          <w:spacing w:val="-13"/>
        </w:rPr>
        <w:t xml:space="preserve"> </w:t>
      </w:r>
      <w:r>
        <w:rPr>
          <w:color w:val="0C0C0C"/>
        </w:rPr>
        <w:t>establecer</w:t>
      </w:r>
      <w:r>
        <w:rPr>
          <w:color w:val="0C0C0C"/>
          <w:spacing w:val="-14"/>
        </w:rPr>
        <w:t xml:space="preserve"> </w:t>
      </w:r>
      <w:r>
        <w:rPr>
          <w:color w:val="0C0C0C"/>
        </w:rPr>
        <w:t>los</w:t>
      </w:r>
      <w:r>
        <w:rPr>
          <w:color w:val="0C0C0C"/>
          <w:spacing w:val="-13"/>
        </w:rPr>
        <w:t xml:space="preserve"> </w:t>
      </w:r>
      <w:r>
        <w:rPr>
          <w:color w:val="0C0C0C"/>
        </w:rPr>
        <w:t>requisitos</w:t>
      </w:r>
      <w:r>
        <w:rPr>
          <w:color w:val="0C0C0C"/>
          <w:spacing w:val="-15"/>
        </w:rPr>
        <w:t xml:space="preserve"> </w:t>
      </w:r>
      <w:r>
        <w:rPr>
          <w:color w:val="0C0C0C"/>
        </w:rPr>
        <w:t>habilitantes,</w:t>
      </w:r>
      <w:r>
        <w:rPr>
          <w:color w:val="0C0C0C"/>
          <w:spacing w:val="-13"/>
        </w:rPr>
        <w:t xml:space="preserve"> </w:t>
      </w:r>
      <w:r>
        <w:rPr>
          <w:color w:val="0C0C0C"/>
        </w:rPr>
        <w:t>factores</w:t>
      </w:r>
      <w:r>
        <w:rPr>
          <w:color w:val="0C0C0C"/>
          <w:spacing w:val="-13"/>
        </w:rPr>
        <w:t xml:space="preserve"> </w:t>
      </w:r>
      <w:r>
        <w:rPr>
          <w:color w:val="0C0C0C"/>
        </w:rPr>
        <w:t>técnicos,</w:t>
      </w:r>
      <w:r>
        <w:rPr>
          <w:color w:val="0C0C0C"/>
          <w:spacing w:val="-12"/>
        </w:rPr>
        <w:t xml:space="preserve"> </w:t>
      </w:r>
      <w:r>
        <w:rPr>
          <w:color w:val="0C0C0C"/>
        </w:rPr>
        <w:t>económicos</w:t>
      </w:r>
      <w:r>
        <w:rPr>
          <w:color w:val="0C0C0C"/>
          <w:spacing w:val="-14"/>
        </w:rPr>
        <w:t xml:space="preserve"> </w:t>
      </w:r>
      <w:r>
        <w:rPr>
          <w:color w:val="0C0C0C"/>
        </w:rPr>
        <w:t>y</w:t>
      </w:r>
      <w:r>
        <w:rPr>
          <w:color w:val="0C0C0C"/>
          <w:spacing w:val="-14"/>
        </w:rPr>
        <w:t xml:space="preserve"> </w:t>
      </w:r>
      <w:r>
        <w:rPr>
          <w:color w:val="0C0C0C"/>
        </w:rPr>
        <w:t>otros factores de escogencia en los documentos tipo; iii) la implementación de procesos de capacitación en los municipios para la utilización de los documentos tipo buscando el desarrollo de la economía local; y iv) las responsabilidades para Colombia Compra Eficiente en la definición del desarrollo e implementación de los documentos tipo mediante cronogramas, coordinación con otras entidades especializadas, recepción de comentarios de los interesados y revisión de los documentos tipo</w:t>
      </w:r>
      <w:r>
        <w:rPr>
          <w:color w:val="0C0C0C"/>
          <w:spacing w:val="-22"/>
        </w:rPr>
        <w:t xml:space="preserve"> </w:t>
      </w:r>
      <w:r>
        <w:rPr>
          <w:color w:val="0C0C0C"/>
        </w:rPr>
        <w:t>expedidos</w:t>
      </w:r>
      <w:r>
        <w:rPr>
          <w:color w:val="0C0C0C"/>
          <w:vertAlign w:val="superscript"/>
        </w:rPr>
        <w:t>5</w:t>
      </w:r>
      <w:r>
        <w:rPr>
          <w:color w:val="0C0C0C"/>
        </w:rPr>
        <w:t>.</w:t>
      </w:r>
    </w:p>
    <w:p w14:paraId="6F564122" w14:textId="77777777" w:rsidR="00653510" w:rsidRDefault="00390730">
      <w:pPr>
        <w:pStyle w:val="Textoindependiente"/>
        <w:spacing w:before="160" w:line="276" w:lineRule="auto"/>
        <w:ind w:left="100" w:right="534" w:firstLine="703"/>
        <w:jc w:val="both"/>
      </w:pPr>
      <w:r>
        <w:rPr>
          <w:color w:val="0C0C0C"/>
        </w:rPr>
        <w:t>Sin</w:t>
      </w:r>
      <w:r>
        <w:rPr>
          <w:color w:val="0C0C0C"/>
          <w:spacing w:val="-13"/>
        </w:rPr>
        <w:t xml:space="preserve"> </w:t>
      </w:r>
      <w:r>
        <w:rPr>
          <w:color w:val="0C0C0C"/>
        </w:rPr>
        <w:t>perjuicio</w:t>
      </w:r>
      <w:r>
        <w:rPr>
          <w:color w:val="0C0C0C"/>
          <w:spacing w:val="-13"/>
        </w:rPr>
        <w:t xml:space="preserve"> </w:t>
      </w:r>
      <w:r>
        <w:rPr>
          <w:color w:val="0C0C0C"/>
        </w:rPr>
        <w:t>de</w:t>
      </w:r>
      <w:r>
        <w:rPr>
          <w:color w:val="0C0C0C"/>
          <w:spacing w:val="-13"/>
        </w:rPr>
        <w:t xml:space="preserve"> </w:t>
      </w:r>
      <w:r>
        <w:rPr>
          <w:color w:val="0C0C0C"/>
        </w:rPr>
        <w:t>lo</w:t>
      </w:r>
      <w:r>
        <w:rPr>
          <w:color w:val="0C0C0C"/>
          <w:spacing w:val="-13"/>
        </w:rPr>
        <w:t xml:space="preserve"> </w:t>
      </w:r>
      <w:r>
        <w:rPr>
          <w:color w:val="0C0C0C"/>
        </w:rPr>
        <w:t>anterior,</w:t>
      </w:r>
      <w:r>
        <w:rPr>
          <w:color w:val="0C0C0C"/>
          <w:spacing w:val="-13"/>
        </w:rPr>
        <w:t xml:space="preserve"> </w:t>
      </w:r>
      <w:r>
        <w:rPr>
          <w:color w:val="0C0C0C"/>
        </w:rPr>
        <w:t>la</w:t>
      </w:r>
      <w:r>
        <w:rPr>
          <w:color w:val="0C0C0C"/>
          <w:spacing w:val="-14"/>
        </w:rPr>
        <w:t xml:space="preserve"> </w:t>
      </w:r>
      <w:r>
        <w:rPr>
          <w:color w:val="0C0C0C"/>
        </w:rPr>
        <w:t>exposición</w:t>
      </w:r>
      <w:r>
        <w:rPr>
          <w:color w:val="0C0C0C"/>
          <w:spacing w:val="-13"/>
        </w:rPr>
        <w:t xml:space="preserve"> </w:t>
      </w:r>
      <w:r>
        <w:rPr>
          <w:color w:val="0C0C0C"/>
        </w:rPr>
        <w:t>de</w:t>
      </w:r>
      <w:r>
        <w:rPr>
          <w:color w:val="0C0C0C"/>
          <w:spacing w:val="-13"/>
        </w:rPr>
        <w:t xml:space="preserve"> </w:t>
      </w:r>
      <w:r>
        <w:rPr>
          <w:color w:val="0C0C0C"/>
        </w:rPr>
        <w:t>motivos</w:t>
      </w:r>
      <w:r>
        <w:rPr>
          <w:color w:val="0C0C0C"/>
          <w:spacing w:val="-13"/>
        </w:rPr>
        <w:t xml:space="preserve"> </w:t>
      </w:r>
      <w:r>
        <w:rPr>
          <w:color w:val="0C0C0C"/>
        </w:rPr>
        <w:t>del</w:t>
      </w:r>
      <w:r>
        <w:rPr>
          <w:color w:val="0C0C0C"/>
          <w:spacing w:val="-13"/>
        </w:rPr>
        <w:t xml:space="preserve"> </w:t>
      </w:r>
      <w:r>
        <w:rPr>
          <w:color w:val="0C0C0C"/>
        </w:rPr>
        <w:t>proyecto</w:t>
      </w:r>
      <w:r>
        <w:rPr>
          <w:color w:val="0C0C0C"/>
          <w:spacing w:val="-13"/>
        </w:rPr>
        <w:t xml:space="preserve"> </w:t>
      </w:r>
      <w:r>
        <w:rPr>
          <w:color w:val="0C0C0C"/>
        </w:rPr>
        <w:t>que</w:t>
      </w:r>
      <w:r>
        <w:rPr>
          <w:color w:val="0C0C0C"/>
          <w:spacing w:val="-13"/>
        </w:rPr>
        <w:t xml:space="preserve"> </w:t>
      </w:r>
      <w:r>
        <w:rPr>
          <w:color w:val="0C0C0C"/>
        </w:rPr>
        <w:t>se</w:t>
      </w:r>
      <w:r>
        <w:rPr>
          <w:color w:val="0C0C0C"/>
          <w:spacing w:val="-13"/>
        </w:rPr>
        <w:t xml:space="preserve"> </w:t>
      </w:r>
      <w:r>
        <w:rPr>
          <w:color w:val="0C0C0C"/>
        </w:rPr>
        <w:t>convirtió en la Ley 1882 de 2018 se refirió a la necesidad de utilizar documentos tipo, pues reducen el tiempo de los procesos de contratación y contribuyen al logro de una contratación</w:t>
      </w:r>
      <w:r>
        <w:rPr>
          <w:color w:val="0C0C0C"/>
          <w:spacing w:val="30"/>
        </w:rPr>
        <w:t xml:space="preserve"> </w:t>
      </w:r>
      <w:r>
        <w:rPr>
          <w:color w:val="0C0C0C"/>
        </w:rPr>
        <w:t>pública</w:t>
      </w:r>
      <w:r>
        <w:rPr>
          <w:color w:val="0C0C0C"/>
          <w:spacing w:val="30"/>
        </w:rPr>
        <w:t xml:space="preserve"> </w:t>
      </w:r>
      <w:r>
        <w:rPr>
          <w:color w:val="0C0C0C"/>
        </w:rPr>
        <w:t>más</w:t>
      </w:r>
      <w:r>
        <w:rPr>
          <w:color w:val="0C0C0C"/>
          <w:spacing w:val="30"/>
        </w:rPr>
        <w:t xml:space="preserve"> </w:t>
      </w:r>
      <w:r>
        <w:rPr>
          <w:color w:val="0C0C0C"/>
        </w:rPr>
        <w:t>transparente</w:t>
      </w:r>
      <w:r>
        <w:rPr>
          <w:color w:val="0C0C0C"/>
          <w:spacing w:val="32"/>
        </w:rPr>
        <w:t xml:space="preserve"> </w:t>
      </w:r>
      <w:r>
        <w:rPr>
          <w:color w:val="0C0C0C"/>
        </w:rPr>
        <w:t>y</w:t>
      </w:r>
      <w:r>
        <w:rPr>
          <w:color w:val="0C0C0C"/>
          <w:spacing w:val="30"/>
        </w:rPr>
        <w:t xml:space="preserve"> </w:t>
      </w:r>
      <w:r>
        <w:rPr>
          <w:color w:val="0C0C0C"/>
        </w:rPr>
        <w:t>con</w:t>
      </w:r>
      <w:r>
        <w:rPr>
          <w:color w:val="0C0C0C"/>
          <w:spacing w:val="30"/>
        </w:rPr>
        <w:t xml:space="preserve"> </w:t>
      </w:r>
      <w:r>
        <w:rPr>
          <w:color w:val="0C0C0C"/>
        </w:rPr>
        <w:t>mayor</w:t>
      </w:r>
      <w:r>
        <w:rPr>
          <w:color w:val="0C0C0C"/>
          <w:spacing w:val="30"/>
        </w:rPr>
        <w:t xml:space="preserve"> </w:t>
      </w:r>
      <w:r>
        <w:rPr>
          <w:color w:val="0C0C0C"/>
        </w:rPr>
        <w:t>concurrencia</w:t>
      </w:r>
      <w:r>
        <w:rPr>
          <w:color w:val="0C0C0C"/>
          <w:spacing w:val="30"/>
        </w:rPr>
        <w:t xml:space="preserve"> </w:t>
      </w:r>
      <w:r>
        <w:rPr>
          <w:color w:val="0C0C0C"/>
        </w:rPr>
        <w:t>de</w:t>
      </w:r>
      <w:r>
        <w:rPr>
          <w:color w:val="0C0C0C"/>
          <w:spacing w:val="30"/>
        </w:rPr>
        <w:t xml:space="preserve"> </w:t>
      </w:r>
      <w:r>
        <w:rPr>
          <w:color w:val="0C0C0C"/>
        </w:rPr>
        <w:t>oferentes.</w:t>
      </w:r>
    </w:p>
    <w:p w14:paraId="5B0DBB19" w14:textId="77777777" w:rsidR="00653510" w:rsidRDefault="00A00A85">
      <w:pPr>
        <w:pStyle w:val="Textoindependiente"/>
        <w:spacing w:before="6"/>
        <w:rPr>
          <w:sz w:val="26"/>
        </w:rPr>
      </w:pPr>
      <w:r>
        <w:rPr>
          <w:noProof/>
        </w:rPr>
        <mc:AlternateContent>
          <mc:Choice Requires="wps">
            <w:drawing>
              <wp:anchor distT="0" distB="0" distL="0" distR="0" simplePos="0" relativeHeight="487588352" behindDoc="1" locked="0" layoutInCell="1" allowOverlap="1" wp14:anchorId="49FB4375" wp14:editId="4757CC13">
                <wp:simplePos x="0" y="0"/>
                <wp:positionH relativeFrom="page">
                  <wp:posOffset>1080135</wp:posOffset>
                </wp:positionH>
                <wp:positionV relativeFrom="paragraph">
                  <wp:posOffset>221615</wp:posOffset>
                </wp:positionV>
                <wp:extent cx="1828800" cy="1270"/>
                <wp:effectExtent l="0" t="0" r="0" b="0"/>
                <wp:wrapTopAndBottom/>
                <wp:docPr id="11"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E104E0" id="Freeform 9" o:spid="_x0000_s1026" style="position:absolute;margin-left:85.05pt;margin-top:17.45pt;width:2in;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" path="m,l2880,e" filled="f" strokeweight=".5pt">
                <v:path arrowok="t" o:connecttype="custom" o:connectlocs="0,0;1828800,0" o:connectangles="0,0"/>
                <w10:wrap type="topAndBottom" anchorx="page"/>
              </v:shape>
            </w:pict>
          </mc:Fallback>
        </mc:AlternateContent>
      </w:r>
    </w:p>
    <w:p w14:paraId="38CF90C3" w14:textId="77777777" w:rsidR="00653510" w:rsidRDefault="00390730">
      <w:pPr>
        <w:spacing w:before="60" w:line="244" w:lineRule="auto"/>
        <w:ind w:left="100" w:right="533" w:firstLine="709"/>
        <w:jc w:val="both"/>
        <w:rPr>
          <w:sz w:val="19"/>
        </w:rPr>
      </w:pPr>
      <w:r>
        <w:rPr>
          <w:rFonts w:ascii="Times New Roman" w:hAnsi="Times New Roman"/>
          <w:position w:val="9"/>
          <w:sz w:val="16"/>
        </w:rPr>
        <w:t xml:space="preserve">5 </w:t>
      </w:r>
      <w:proofErr w:type="gramStart"/>
      <w:r>
        <w:rPr>
          <w:sz w:val="19"/>
        </w:rPr>
        <w:t>El</w:t>
      </w:r>
      <w:proofErr w:type="gramEnd"/>
      <w:r>
        <w:rPr>
          <w:sz w:val="19"/>
        </w:rPr>
        <w:t xml:space="preserve">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w:t>
      </w:r>
      <w:r>
        <w:rPr>
          <w:spacing w:val="-6"/>
          <w:sz w:val="19"/>
        </w:rPr>
        <w:t xml:space="preserve"> </w:t>
      </w:r>
      <w:r>
        <w:rPr>
          <w:sz w:val="19"/>
        </w:rPr>
        <w:t>serán</w:t>
      </w:r>
      <w:r>
        <w:rPr>
          <w:spacing w:val="-6"/>
          <w:sz w:val="19"/>
        </w:rPr>
        <w:t xml:space="preserve"> </w:t>
      </w:r>
      <w:r>
        <w:rPr>
          <w:sz w:val="19"/>
        </w:rPr>
        <w:t>de</w:t>
      </w:r>
      <w:r>
        <w:rPr>
          <w:spacing w:val="-5"/>
          <w:sz w:val="19"/>
        </w:rPr>
        <w:t xml:space="preserve"> </w:t>
      </w:r>
      <w:r>
        <w:rPr>
          <w:sz w:val="19"/>
        </w:rPr>
        <w:t>obligatorio</w:t>
      </w:r>
      <w:r>
        <w:rPr>
          <w:spacing w:val="-5"/>
          <w:sz w:val="19"/>
        </w:rPr>
        <w:t xml:space="preserve"> </w:t>
      </w:r>
      <w:r>
        <w:rPr>
          <w:sz w:val="19"/>
        </w:rPr>
        <w:t>cumplimiento</w:t>
      </w:r>
      <w:r>
        <w:rPr>
          <w:spacing w:val="-6"/>
          <w:sz w:val="19"/>
        </w:rPr>
        <w:t xml:space="preserve"> </w:t>
      </w:r>
      <w:r>
        <w:rPr>
          <w:sz w:val="19"/>
        </w:rPr>
        <w:t>en</w:t>
      </w:r>
      <w:r>
        <w:rPr>
          <w:spacing w:val="-5"/>
          <w:sz w:val="19"/>
        </w:rPr>
        <w:t xml:space="preserve"> </w:t>
      </w:r>
      <w:r>
        <w:rPr>
          <w:sz w:val="19"/>
        </w:rPr>
        <w:t>la</w:t>
      </w:r>
      <w:r>
        <w:rPr>
          <w:spacing w:val="-6"/>
          <w:sz w:val="19"/>
        </w:rPr>
        <w:t xml:space="preserve"> </w:t>
      </w:r>
      <w:r>
        <w:rPr>
          <w:sz w:val="19"/>
        </w:rPr>
        <w:t>actividad</w:t>
      </w:r>
      <w:r>
        <w:rPr>
          <w:spacing w:val="-5"/>
          <w:sz w:val="19"/>
        </w:rPr>
        <w:t xml:space="preserve"> </w:t>
      </w:r>
      <w:r>
        <w:rPr>
          <w:sz w:val="19"/>
        </w:rPr>
        <w:t>contractual</w:t>
      </w:r>
      <w:r>
        <w:rPr>
          <w:spacing w:val="-5"/>
          <w:sz w:val="19"/>
        </w:rPr>
        <w:t xml:space="preserve"> </w:t>
      </w:r>
      <w:r>
        <w:rPr>
          <w:sz w:val="19"/>
        </w:rPr>
        <w:t>de</w:t>
      </w:r>
      <w:r>
        <w:rPr>
          <w:spacing w:val="-6"/>
          <w:sz w:val="19"/>
        </w:rPr>
        <w:t xml:space="preserve"> </w:t>
      </w:r>
      <w:r>
        <w:rPr>
          <w:sz w:val="19"/>
        </w:rPr>
        <w:t>todas</w:t>
      </w:r>
      <w:r>
        <w:rPr>
          <w:spacing w:val="-5"/>
          <w:sz w:val="19"/>
        </w:rPr>
        <w:t xml:space="preserve"> </w:t>
      </w:r>
      <w:r>
        <w:rPr>
          <w:sz w:val="19"/>
        </w:rPr>
        <w:t>las</w:t>
      </w:r>
      <w:r>
        <w:rPr>
          <w:spacing w:val="-5"/>
          <w:sz w:val="19"/>
        </w:rPr>
        <w:t xml:space="preserve"> </w:t>
      </w:r>
      <w:r>
        <w:rPr>
          <w:sz w:val="19"/>
        </w:rPr>
        <w:t>entidades</w:t>
      </w:r>
      <w:r>
        <w:rPr>
          <w:spacing w:val="-5"/>
          <w:sz w:val="19"/>
        </w:rPr>
        <w:t xml:space="preserve"> </w:t>
      </w:r>
      <w:r>
        <w:rPr>
          <w:sz w:val="19"/>
        </w:rPr>
        <w:t>sometidas</w:t>
      </w:r>
      <w:r>
        <w:rPr>
          <w:spacing w:val="-6"/>
          <w:sz w:val="19"/>
        </w:rPr>
        <w:t xml:space="preserve"> </w:t>
      </w:r>
      <w:r>
        <w:rPr>
          <w:sz w:val="19"/>
        </w:rPr>
        <w:t>al Estatuto General de Contratación de la Administración</w:t>
      </w:r>
      <w:r>
        <w:rPr>
          <w:spacing w:val="-12"/>
          <w:sz w:val="19"/>
        </w:rPr>
        <w:t xml:space="preserve"> </w:t>
      </w:r>
      <w:r>
        <w:rPr>
          <w:sz w:val="19"/>
        </w:rPr>
        <w:t>Pública.</w:t>
      </w:r>
    </w:p>
    <w:p w14:paraId="0DF16B26" w14:textId="77777777" w:rsidR="00653510" w:rsidRDefault="00390730">
      <w:pPr>
        <w:ind w:left="100" w:right="533" w:firstLine="709"/>
        <w:jc w:val="both"/>
        <w:rPr>
          <w:sz w:val="19"/>
        </w:rPr>
      </w:pPr>
      <w:proofErr w:type="gramStart"/>
      <w:r>
        <w:rPr>
          <w:sz w:val="19"/>
        </w:rPr>
        <w:t>»Dentro</w:t>
      </w:r>
      <w:proofErr w:type="gramEnd"/>
      <w:r>
        <w:rPr>
          <w:sz w:val="19"/>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01A85046" w14:textId="77777777" w:rsidR="00653510" w:rsidRDefault="00390730">
      <w:pPr>
        <w:ind w:left="100" w:right="534" w:firstLine="709"/>
        <w:jc w:val="both"/>
        <w:rPr>
          <w:sz w:val="19"/>
        </w:rPr>
      </w:pPr>
      <w:proofErr w:type="gramStart"/>
      <w:r>
        <w:rPr>
          <w:sz w:val="19"/>
        </w:rPr>
        <w:t>»Con</w:t>
      </w:r>
      <w:proofErr w:type="gramEnd"/>
      <w:r>
        <w:rPr>
          <w:sz w:val="19"/>
        </w:rPr>
        <w:t xml:space="preserve"> el ánimo de promover la descentralización, el empleo local, el desarrollo, los servicios e</w:t>
      </w:r>
      <w:r>
        <w:rPr>
          <w:spacing w:val="-16"/>
          <w:sz w:val="19"/>
        </w:rPr>
        <w:t xml:space="preserve"> </w:t>
      </w:r>
      <w:r>
        <w:rPr>
          <w:sz w:val="19"/>
        </w:rPr>
        <w:t>industria</w:t>
      </w:r>
      <w:r>
        <w:rPr>
          <w:spacing w:val="-17"/>
          <w:sz w:val="19"/>
        </w:rPr>
        <w:t xml:space="preserve"> </w:t>
      </w:r>
      <w:r>
        <w:rPr>
          <w:sz w:val="19"/>
        </w:rPr>
        <w:t>local,</w:t>
      </w:r>
      <w:r>
        <w:rPr>
          <w:spacing w:val="-16"/>
          <w:sz w:val="19"/>
        </w:rPr>
        <w:t xml:space="preserve"> </w:t>
      </w:r>
      <w:r>
        <w:rPr>
          <w:sz w:val="19"/>
        </w:rPr>
        <w:t>en</w:t>
      </w:r>
      <w:r>
        <w:rPr>
          <w:spacing w:val="-16"/>
          <w:sz w:val="19"/>
        </w:rPr>
        <w:t xml:space="preserve"> </w:t>
      </w:r>
      <w:r>
        <w:rPr>
          <w:sz w:val="19"/>
        </w:rPr>
        <w:t>la</w:t>
      </w:r>
      <w:r>
        <w:rPr>
          <w:spacing w:val="-16"/>
          <w:sz w:val="19"/>
        </w:rPr>
        <w:t xml:space="preserve"> </w:t>
      </w:r>
      <w:r>
        <w:rPr>
          <w:sz w:val="19"/>
        </w:rPr>
        <w:t>adopción</w:t>
      </w:r>
      <w:r>
        <w:rPr>
          <w:spacing w:val="-16"/>
          <w:sz w:val="19"/>
        </w:rPr>
        <w:t xml:space="preserve"> </w:t>
      </w:r>
      <w:r>
        <w:rPr>
          <w:sz w:val="19"/>
        </w:rPr>
        <w:t>de</w:t>
      </w:r>
      <w:r>
        <w:rPr>
          <w:spacing w:val="-16"/>
          <w:sz w:val="19"/>
        </w:rPr>
        <w:t xml:space="preserve"> </w:t>
      </w:r>
      <w:r>
        <w:rPr>
          <w:sz w:val="19"/>
        </w:rPr>
        <w:t>los</w:t>
      </w:r>
      <w:r>
        <w:rPr>
          <w:spacing w:val="-16"/>
          <w:sz w:val="19"/>
        </w:rPr>
        <w:t xml:space="preserve"> </w:t>
      </w:r>
      <w:r>
        <w:rPr>
          <w:sz w:val="19"/>
        </w:rPr>
        <w:t>documentos</w:t>
      </w:r>
      <w:r>
        <w:rPr>
          <w:spacing w:val="-16"/>
          <w:sz w:val="19"/>
        </w:rPr>
        <w:t xml:space="preserve"> </w:t>
      </w:r>
      <w:r>
        <w:rPr>
          <w:sz w:val="19"/>
        </w:rPr>
        <w:t>tipo,</w:t>
      </w:r>
      <w:r>
        <w:rPr>
          <w:spacing w:val="-15"/>
          <w:sz w:val="19"/>
        </w:rPr>
        <w:t xml:space="preserve"> </w:t>
      </w:r>
      <w:r>
        <w:rPr>
          <w:sz w:val="19"/>
        </w:rPr>
        <w:t>se</w:t>
      </w:r>
      <w:r>
        <w:rPr>
          <w:spacing w:val="-16"/>
          <w:sz w:val="19"/>
        </w:rPr>
        <w:t xml:space="preserve"> </w:t>
      </w:r>
      <w:r>
        <w:rPr>
          <w:sz w:val="19"/>
        </w:rPr>
        <w:t>tendrá</w:t>
      </w:r>
      <w:r>
        <w:rPr>
          <w:spacing w:val="-15"/>
          <w:sz w:val="19"/>
        </w:rPr>
        <w:t xml:space="preserve"> </w:t>
      </w:r>
      <w:r>
        <w:rPr>
          <w:sz w:val="19"/>
        </w:rPr>
        <w:t>en</w:t>
      </w:r>
      <w:r>
        <w:rPr>
          <w:spacing w:val="-16"/>
          <w:sz w:val="19"/>
        </w:rPr>
        <w:t xml:space="preserve"> </w:t>
      </w:r>
      <w:r>
        <w:rPr>
          <w:sz w:val="19"/>
        </w:rPr>
        <w:t>cuenta</w:t>
      </w:r>
      <w:r>
        <w:rPr>
          <w:spacing w:val="-16"/>
          <w:sz w:val="19"/>
        </w:rPr>
        <w:t xml:space="preserve"> </w:t>
      </w:r>
      <w:r>
        <w:rPr>
          <w:sz w:val="19"/>
        </w:rPr>
        <w:t>las</w:t>
      </w:r>
      <w:r>
        <w:rPr>
          <w:spacing w:val="-16"/>
          <w:sz w:val="19"/>
        </w:rPr>
        <w:t xml:space="preserve"> </w:t>
      </w:r>
      <w:r>
        <w:rPr>
          <w:sz w:val="19"/>
        </w:rPr>
        <w:t>características</w:t>
      </w:r>
      <w:r>
        <w:rPr>
          <w:spacing w:val="-16"/>
          <w:sz w:val="19"/>
        </w:rPr>
        <w:t xml:space="preserve"> </w:t>
      </w:r>
      <w:r>
        <w:rPr>
          <w:sz w:val="19"/>
        </w:rPr>
        <w:t>propias de las regiones, la cuantía, el fomento de la economía local y la naturaleza y especialidad de la contratación.</w:t>
      </w:r>
      <w:r>
        <w:rPr>
          <w:spacing w:val="-4"/>
          <w:sz w:val="19"/>
        </w:rPr>
        <w:t xml:space="preserve"> </w:t>
      </w:r>
      <w:r>
        <w:rPr>
          <w:sz w:val="19"/>
        </w:rPr>
        <w:t>Para</w:t>
      </w:r>
      <w:r>
        <w:rPr>
          <w:spacing w:val="-3"/>
          <w:sz w:val="19"/>
        </w:rPr>
        <w:t xml:space="preserve"> </w:t>
      </w:r>
      <w:r>
        <w:rPr>
          <w:sz w:val="19"/>
        </w:rPr>
        <w:t>tal</w:t>
      </w:r>
      <w:r>
        <w:rPr>
          <w:spacing w:val="-3"/>
          <w:sz w:val="19"/>
        </w:rPr>
        <w:t xml:space="preserve"> </w:t>
      </w:r>
      <w:r>
        <w:rPr>
          <w:sz w:val="19"/>
        </w:rPr>
        <w:t>efecto</w:t>
      </w:r>
      <w:r>
        <w:rPr>
          <w:spacing w:val="-3"/>
          <w:sz w:val="19"/>
        </w:rPr>
        <w:t xml:space="preserve"> </w:t>
      </w:r>
      <w:r>
        <w:rPr>
          <w:sz w:val="19"/>
        </w:rPr>
        <w:t>se</w:t>
      </w:r>
      <w:r>
        <w:rPr>
          <w:spacing w:val="-3"/>
          <w:sz w:val="19"/>
        </w:rPr>
        <w:t xml:space="preserve"> </w:t>
      </w:r>
      <w:r>
        <w:rPr>
          <w:sz w:val="19"/>
        </w:rPr>
        <w:t>deberá</w:t>
      </w:r>
      <w:r>
        <w:rPr>
          <w:spacing w:val="-3"/>
          <w:sz w:val="19"/>
        </w:rPr>
        <w:t xml:space="preserve"> </w:t>
      </w:r>
      <w:r>
        <w:rPr>
          <w:sz w:val="19"/>
        </w:rPr>
        <w:t>llevar</w:t>
      </w:r>
      <w:r>
        <w:rPr>
          <w:spacing w:val="-3"/>
          <w:sz w:val="19"/>
        </w:rPr>
        <w:t xml:space="preserve"> </w:t>
      </w:r>
      <w:r>
        <w:rPr>
          <w:sz w:val="19"/>
        </w:rPr>
        <w:t>a</w:t>
      </w:r>
      <w:r>
        <w:rPr>
          <w:spacing w:val="-3"/>
          <w:sz w:val="19"/>
        </w:rPr>
        <w:t xml:space="preserve"> </w:t>
      </w:r>
      <w:r>
        <w:rPr>
          <w:sz w:val="19"/>
        </w:rPr>
        <w:t>cabo</w:t>
      </w:r>
      <w:r>
        <w:rPr>
          <w:spacing w:val="-3"/>
          <w:sz w:val="19"/>
        </w:rPr>
        <w:t xml:space="preserve"> </w:t>
      </w:r>
      <w:r>
        <w:rPr>
          <w:sz w:val="19"/>
        </w:rPr>
        <w:t>un</w:t>
      </w:r>
      <w:r>
        <w:rPr>
          <w:spacing w:val="-3"/>
          <w:sz w:val="19"/>
        </w:rPr>
        <w:t xml:space="preserve"> </w:t>
      </w:r>
      <w:r>
        <w:rPr>
          <w:sz w:val="19"/>
        </w:rPr>
        <w:t>proceso</w:t>
      </w:r>
      <w:r>
        <w:rPr>
          <w:spacing w:val="-3"/>
          <w:sz w:val="19"/>
        </w:rPr>
        <w:t xml:space="preserve"> </w:t>
      </w:r>
      <w:r>
        <w:rPr>
          <w:sz w:val="19"/>
        </w:rPr>
        <w:t>de</w:t>
      </w:r>
      <w:r>
        <w:rPr>
          <w:spacing w:val="-3"/>
          <w:sz w:val="19"/>
        </w:rPr>
        <w:t xml:space="preserve"> </w:t>
      </w:r>
      <w:r>
        <w:rPr>
          <w:sz w:val="19"/>
        </w:rPr>
        <w:t>capacitación</w:t>
      </w:r>
      <w:r>
        <w:rPr>
          <w:spacing w:val="-3"/>
          <w:sz w:val="19"/>
        </w:rPr>
        <w:t xml:space="preserve"> </w:t>
      </w:r>
      <w:r>
        <w:rPr>
          <w:sz w:val="19"/>
        </w:rPr>
        <w:t>para</w:t>
      </w:r>
      <w:r>
        <w:rPr>
          <w:spacing w:val="-3"/>
          <w:sz w:val="19"/>
        </w:rPr>
        <w:t xml:space="preserve"> </w:t>
      </w:r>
      <w:r>
        <w:rPr>
          <w:sz w:val="19"/>
        </w:rPr>
        <w:t>los</w:t>
      </w:r>
      <w:r>
        <w:rPr>
          <w:spacing w:val="-3"/>
          <w:sz w:val="19"/>
        </w:rPr>
        <w:t xml:space="preserve"> </w:t>
      </w:r>
      <w:r>
        <w:rPr>
          <w:sz w:val="19"/>
        </w:rPr>
        <w:t>municipios.</w:t>
      </w:r>
    </w:p>
    <w:p w14:paraId="311C3B23" w14:textId="77777777" w:rsidR="00653510" w:rsidRDefault="00390730">
      <w:pPr>
        <w:ind w:left="100" w:right="533" w:firstLine="709"/>
        <w:jc w:val="both"/>
        <w:rPr>
          <w:sz w:val="19"/>
        </w:rPr>
      </w:pPr>
      <w:r>
        <w:rPr>
          <w:sz w:val="19"/>
        </w:rPr>
        <w:t>»La Agencia Nacional de Contratación Pública Colombia Compra Eficiente fijará un cronograma,</w:t>
      </w:r>
      <w:r>
        <w:rPr>
          <w:spacing w:val="-7"/>
          <w:sz w:val="19"/>
        </w:rPr>
        <w:t xml:space="preserve"> </w:t>
      </w:r>
      <w:r>
        <w:rPr>
          <w:sz w:val="19"/>
        </w:rPr>
        <w:t>y</w:t>
      </w:r>
      <w:r>
        <w:rPr>
          <w:spacing w:val="-6"/>
          <w:sz w:val="19"/>
        </w:rPr>
        <w:t xml:space="preserve"> </w:t>
      </w:r>
      <w:r>
        <w:rPr>
          <w:sz w:val="19"/>
        </w:rPr>
        <w:t>definirá</w:t>
      </w:r>
      <w:r>
        <w:rPr>
          <w:spacing w:val="-6"/>
          <w:sz w:val="19"/>
        </w:rPr>
        <w:t xml:space="preserve"> </w:t>
      </w:r>
      <w:r>
        <w:rPr>
          <w:sz w:val="19"/>
        </w:rPr>
        <w:t>en</w:t>
      </w:r>
      <w:r>
        <w:rPr>
          <w:spacing w:val="-6"/>
          <w:sz w:val="19"/>
        </w:rPr>
        <w:t xml:space="preserve"> </w:t>
      </w:r>
      <w:r>
        <w:rPr>
          <w:sz w:val="19"/>
        </w:rPr>
        <w:t>coordinación</w:t>
      </w:r>
      <w:r>
        <w:rPr>
          <w:spacing w:val="-6"/>
          <w:sz w:val="19"/>
        </w:rPr>
        <w:t xml:space="preserve"> </w:t>
      </w:r>
      <w:r>
        <w:rPr>
          <w:sz w:val="19"/>
        </w:rPr>
        <w:t>con</w:t>
      </w:r>
      <w:r>
        <w:rPr>
          <w:spacing w:val="-7"/>
          <w:sz w:val="19"/>
        </w:rPr>
        <w:t xml:space="preserve"> </w:t>
      </w:r>
      <w:r>
        <w:rPr>
          <w:sz w:val="19"/>
        </w:rPr>
        <w:t>las</w:t>
      </w:r>
      <w:r>
        <w:rPr>
          <w:spacing w:val="-6"/>
          <w:sz w:val="19"/>
        </w:rPr>
        <w:t xml:space="preserve"> </w:t>
      </w:r>
      <w:r>
        <w:rPr>
          <w:sz w:val="19"/>
        </w:rPr>
        <w:t>entidades</w:t>
      </w:r>
      <w:r>
        <w:rPr>
          <w:spacing w:val="-6"/>
          <w:sz w:val="19"/>
        </w:rPr>
        <w:t xml:space="preserve"> </w:t>
      </w:r>
      <w:r>
        <w:rPr>
          <w:sz w:val="19"/>
        </w:rPr>
        <w:t>técnicas</w:t>
      </w:r>
      <w:r>
        <w:rPr>
          <w:spacing w:val="-5"/>
          <w:sz w:val="19"/>
        </w:rPr>
        <w:t xml:space="preserve"> </w:t>
      </w:r>
      <w:r>
        <w:rPr>
          <w:sz w:val="19"/>
        </w:rPr>
        <w:t>o</w:t>
      </w:r>
      <w:r>
        <w:rPr>
          <w:spacing w:val="-7"/>
          <w:sz w:val="19"/>
        </w:rPr>
        <w:t xml:space="preserve"> </w:t>
      </w:r>
      <w:r>
        <w:rPr>
          <w:sz w:val="19"/>
        </w:rPr>
        <w:t>especializadas</w:t>
      </w:r>
      <w:r>
        <w:rPr>
          <w:spacing w:val="-6"/>
          <w:sz w:val="19"/>
        </w:rPr>
        <w:t xml:space="preserve"> </w:t>
      </w:r>
      <w:r>
        <w:rPr>
          <w:sz w:val="19"/>
        </w:rPr>
        <w:t>correspondientes el procedimiento para implementar gradualmente los documentos tipo, con el propósito de facilitar la incorporación de estos en el sistema de compra pública y deberá establecer el procedimiento para recibir</w:t>
      </w:r>
      <w:r>
        <w:rPr>
          <w:spacing w:val="-8"/>
          <w:sz w:val="19"/>
        </w:rPr>
        <w:t xml:space="preserve"> </w:t>
      </w:r>
      <w:r>
        <w:rPr>
          <w:sz w:val="19"/>
        </w:rPr>
        <w:t>y</w:t>
      </w:r>
      <w:r>
        <w:rPr>
          <w:spacing w:val="-7"/>
          <w:sz w:val="19"/>
        </w:rPr>
        <w:t xml:space="preserve"> </w:t>
      </w:r>
      <w:r>
        <w:rPr>
          <w:sz w:val="19"/>
        </w:rPr>
        <w:t>revisar</w:t>
      </w:r>
      <w:r>
        <w:rPr>
          <w:spacing w:val="-8"/>
          <w:sz w:val="19"/>
        </w:rPr>
        <w:t xml:space="preserve"> </w:t>
      </w:r>
      <w:r>
        <w:rPr>
          <w:sz w:val="19"/>
        </w:rPr>
        <w:t>comentarios</w:t>
      </w:r>
      <w:r>
        <w:rPr>
          <w:spacing w:val="-7"/>
          <w:sz w:val="19"/>
        </w:rPr>
        <w:t xml:space="preserve"> </w:t>
      </w:r>
      <w:r>
        <w:rPr>
          <w:sz w:val="19"/>
        </w:rPr>
        <w:t>de</w:t>
      </w:r>
      <w:r>
        <w:rPr>
          <w:spacing w:val="-8"/>
          <w:sz w:val="19"/>
        </w:rPr>
        <w:t xml:space="preserve"> </w:t>
      </w:r>
      <w:r>
        <w:rPr>
          <w:sz w:val="19"/>
        </w:rPr>
        <w:t>los</w:t>
      </w:r>
      <w:r>
        <w:rPr>
          <w:spacing w:val="-7"/>
          <w:sz w:val="19"/>
        </w:rPr>
        <w:t xml:space="preserve"> </w:t>
      </w:r>
      <w:r>
        <w:rPr>
          <w:sz w:val="19"/>
        </w:rPr>
        <w:t>interesados,</w:t>
      </w:r>
      <w:r>
        <w:rPr>
          <w:spacing w:val="-8"/>
          <w:sz w:val="19"/>
        </w:rPr>
        <w:t xml:space="preserve"> </w:t>
      </w:r>
      <w:r>
        <w:rPr>
          <w:sz w:val="19"/>
        </w:rPr>
        <w:t>así</w:t>
      </w:r>
      <w:r>
        <w:rPr>
          <w:spacing w:val="-7"/>
          <w:sz w:val="19"/>
        </w:rPr>
        <w:t xml:space="preserve"> </w:t>
      </w:r>
      <w:r>
        <w:rPr>
          <w:sz w:val="19"/>
        </w:rPr>
        <w:t>como</w:t>
      </w:r>
      <w:r>
        <w:rPr>
          <w:spacing w:val="-8"/>
          <w:sz w:val="19"/>
        </w:rPr>
        <w:t xml:space="preserve"> </w:t>
      </w:r>
      <w:r>
        <w:rPr>
          <w:sz w:val="19"/>
        </w:rPr>
        <w:t>un</w:t>
      </w:r>
      <w:r>
        <w:rPr>
          <w:spacing w:val="-7"/>
          <w:sz w:val="19"/>
        </w:rPr>
        <w:t xml:space="preserve"> </w:t>
      </w:r>
      <w:r>
        <w:rPr>
          <w:sz w:val="19"/>
        </w:rPr>
        <w:t>sistema</w:t>
      </w:r>
      <w:r>
        <w:rPr>
          <w:spacing w:val="-8"/>
          <w:sz w:val="19"/>
        </w:rPr>
        <w:t xml:space="preserve"> </w:t>
      </w:r>
      <w:r>
        <w:rPr>
          <w:sz w:val="19"/>
        </w:rPr>
        <w:t>para</w:t>
      </w:r>
      <w:r>
        <w:rPr>
          <w:spacing w:val="-7"/>
          <w:sz w:val="19"/>
        </w:rPr>
        <w:t xml:space="preserve"> </w:t>
      </w:r>
      <w:r>
        <w:rPr>
          <w:sz w:val="19"/>
        </w:rPr>
        <w:t>la</w:t>
      </w:r>
      <w:r>
        <w:rPr>
          <w:spacing w:val="-8"/>
          <w:sz w:val="19"/>
        </w:rPr>
        <w:t xml:space="preserve"> </w:t>
      </w:r>
      <w:r>
        <w:rPr>
          <w:sz w:val="19"/>
        </w:rPr>
        <w:t>revisión</w:t>
      </w:r>
      <w:r>
        <w:rPr>
          <w:spacing w:val="-7"/>
          <w:sz w:val="19"/>
        </w:rPr>
        <w:t xml:space="preserve"> </w:t>
      </w:r>
      <w:r>
        <w:rPr>
          <w:sz w:val="19"/>
        </w:rPr>
        <w:t>constante</w:t>
      </w:r>
      <w:r>
        <w:rPr>
          <w:spacing w:val="-8"/>
          <w:sz w:val="19"/>
        </w:rPr>
        <w:t xml:space="preserve"> </w:t>
      </w:r>
      <w:r>
        <w:rPr>
          <w:sz w:val="19"/>
        </w:rPr>
        <w:t>de</w:t>
      </w:r>
      <w:r>
        <w:rPr>
          <w:spacing w:val="-7"/>
          <w:sz w:val="19"/>
        </w:rPr>
        <w:t xml:space="preserve"> </w:t>
      </w:r>
      <w:r>
        <w:rPr>
          <w:sz w:val="19"/>
        </w:rPr>
        <w:t>los documentos tipo, que</w:t>
      </w:r>
      <w:r>
        <w:rPr>
          <w:spacing w:val="-4"/>
          <w:sz w:val="19"/>
        </w:rPr>
        <w:t xml:space="preserve"> </w:t>
      </w:r>
      <w:r>
        <w:rPr>
          <w:sz w:val="19"/>
        </w:rPr>
        <w:t>expida.</w:t>
      </w:r>
    </w:p>
    <w:p w14:paraId="23157FEA" w14:textId="77777777" w:rsidR="00653510" w:rsidRDefault="00390730">
      <w:pPr>
        <w:ind w:left="100" w:right="534" w:firstLine="708"/>
        <w:jc w:val="both"/>
        <w:rPr>
          <w:sz w:val="19"/>
        </w:rPr>
      </w:pPr>
      <w:proofErr w:type="gramStart"/>
      <w:r>
        <w:rPr>
          <w:sz w:val="19"/>
        </w:rPr>
        <w:t>»En</w:t>
      </w:r>
      <w:proofErr w:type="gramEnd"/>
      <w:r>
        <w:rPr>
          <w:sz w:val="19"/>
        </w:rPr>
        <w:t xml:space="preserve"> todo caso, serán de uso obligatorio los documentos tipo para los pliegos de condiciones de los procesos de selección de obras públicas, interventoría para las obras públicas interventoría para</w:t>
      </w:r>
      <w:r>
        <w:rPr>
          <w:spacing w:val="-6"/>
          <w:sz w:val="19"/>
        </w:rPr>
        <w:t xml:space="preserve"> </w:t>
      </w:r>
      <w:r>
        <w:rPr>
          <w:sz w:val="19"/>
        </w:rPr>
        <w:t>consultoría</w:t>
      </w:r>
      <w:r>
        <w:rPr>
          <w:spacing w:val="-5"/>
          <w:sz w:val="19"/>
        </w:rPr>
        <w:t xml:space="preserve"> </w:t>
      </w:r>
      <w:r>
        <w:rPr>
          <w:sz w:val="19"/>
        </w:rPr>
        <w:t>de</w:t>
      </w:r>
      <w:r>
        <w:rPr>
          <w:spacing w:val="-6"/>
          <w:sz w:val="19"/>
        </w:rPr>
        <w:t xml:space="preserve"> </w:t>
      </w:r>
      <w:r>
        <w:rPr>
          <w:sz w:val="19"/>
        </w:rPr>
        <w:t>estudios</w:t>
      </w:r>
      <w:r>
        <w:rPr>
          <w:spacing w:val="-5"/>
          <w:sz w:val="19"/>
        </w:rPr>
        <w:t xml:space="preserve"> </w:t>
      </w:r>
      <w:r>
        <w:rPr>
          <w:sz w:val="19"/>
        </w:rPr>
        <w:t>y</w:t>
      </w:r>
      <w:r>
        <w:rPr>
          <w:spacing w:val="-6"/>
          <w:sz w:val="19"/>
        </w:rPr>
        <w:t xml:space="preserve"> </w:t>
      </w:r>
      <w:r>
        <w:rPr>
          <w:sz w:val="19"/>
        </w:rPr>
        <w:t>diseños</w:t>
      </w:r>
      <w:r>
        <w:rPr>
          <w:spacing w:val="-5"/>
          <w:sz w:val="19"/>
        </w:rPr>
        <w:t xml:space="preserve"> </w:t>
      </w:r>
      <w:r>
        <w:rPr>
          <w:sz w:val="19"/>
        </w:rPr>
        <w:t>para</w:t>
      </w:r>
      <w:r>
        <w:rPr>
          <w:spacing w:val="-6"/>
          <w:sz w:val="19"/>
        </w:rPr>
        <w:t xml:space="preserve"> </w:t>
      </w:r>
      <w:r>
        <w:rPr>
          <w:sz w:val="19"/>
        </w:rPr>
        <w:t>obras</w:t>
      </w:r>
      <w:r>
        <w:rPr>
          <w:spacing w:val="-5"/>
          <w:sz w:val="19"/>
        </w:rPr>
        <w:t xml:space="preserve"> </w:t>
      </w:r>
      <w:r>
        <w:rPr>
          <w:sz w:val="19"/>
        </w:rPr>
        <w:t>públicas,</w:t>
      </w:r>
      <w:r>
        <w:rPr>
          <w:spacing w:val="-6"/>
          <w:sz w:val="19"/>
        </w:rPr>
        <w:t xml:space="preserve"> </w:t>
      </w:r>
      <w:r>
        <w:rPr>
          <w:sz w:val="19"/>
        </w:rPr>
        <w:t>consultoría</w:t>
      </w:r>
      <w:r>
        <w:rPr>
          <w:spacing w:val="-5"/>
          <w:sz w:val="19"/>
        </w:rPr>
        <w:t xml:space="preserve"> </w:t>
      </w:r>
      <w:r>
        <w:rPr>
          <w:sz w:val="19"/>
        </w:rPr>
        <w:t>en</w:t>
      </w:r>
      <w:r>
        <w:rPr>
          <w:spacing w:val="-6"/>
          <w:sz w:val="19"/>
        </w:rPr>
        <w:t xml:space="preserve"> </w:t>
      </w:r>
      <w:r>
        <w:rPr>
          <w:sz w:val="19"/>
        </w:rPr>
        <w:t>ingeniería</w:t>
      </w:r>
      <w:r>
        <w:rPr>
          <w:spacing w:val="-5"/>
          <w:sz w:val="19"/>
        </w:rPr>
        <w:t xml:space="preserve"> </w:t>
      </w:r>
      <w:r>
        <w:rPr>
          <w:sz w:val="19"/>
        </w:rPr>
        <w:t>para</w:t>
      </w:r>
      <w:r>
        <w:rPr>
          <w:spacing w:val="-6"/>
          <w:sz w:val="19"/>
        </w:rPr>
        <w:t xml:space="preserve"> </w:t>
      </w:r>
      <w:r>
        <w:rPr>
          <w:sz w:val="19"/>
        </w:rPr>
        <w:t>obras,</w:t>
      </w:r>
      <w:r>
        <w:rPr>
          <w:spacing w:val="-5"/>
          <w:sz w:val="19"/>
        </w:rPr>
        <w:t xml:space="preserve"> </w:t>
      </w:r>
      <w:r>
        <w:rPr>
          <w:sz w:val="19"/>
        </w:rPr>
        <w:t>que lleven</w:t>
      </w:r>
      <w:r>
        <w:rPr>
          <w:spacing w:val="-9"/>
          <w:sz w:val="19"/>
        </w:rPr>
        <w:t xml:space="preserve"> </w:t>
      </w:r>
      <w:r>
        <w:rPr>
          <w:sz w:val="19"/>
        </w:rPr>
        <w:t>a</w:t>
      </w:r>
      <w:r>
        <w:rPr>
          <w:spacing w:val="-9"/>
          <w:sz w:val="19"/>
        </w:rPr>
        <w:t xml:space="preserve"> </w:t>
      </w:r>
      <w:r>
        <w:rPr>
          <w:sz w:val="19"/>
        </w:rPr>
        <w:t>cabo</w:t>
      </w:r>
      <w:r>
        <w:rPr>
          <w:spacing w:val="-9"/>
          <w:sz w:val="19"/>
        </w:rPr>
        <w:t xml:space="preserve"> </w:t>
      </w:r>
      <w:r>
        <w:rPr>
          <w:sz w:val="19"/>
        </w:rPr>
        <w:t>todas</w:t>
      </w:r>
      <w:r>
        <w:rPr>
          <w:spacing w:val="-8"/>
          <w:sz w:val="19"/>
        </w:rPr>
        <w:t xml:space="preserve"> </w:t>
      </w:r>
      <w:r>
        <w:rPr>
          <w:sz w:val="19"/>
        </w:rPr>
        <w:t>las</w:t>
      </w:r>
      <w:r>
        <w:rPr>
          <w:spacing w:val="-9"/>
          <w:sz w:val="19"/>
        </w:rPr>
        <w:t xml:space="preserve"> </w:t>
      </w:r>
      <w:r>
        <w:rPr>
          <w:sz w:val="19"/>
        </w:rPr>
        <w:t>entidades</w:t>
      </w:r>
      <w:r>
        <w:rPr>
          <w:spacing w:val="-9"/>
          <w:sz w:val="19"/>
        </w:rPr>
        <w:t xml:space="preserve"> </w:t>
      </w:r>
      <w:r>
        <w:rPr>
          <w:sz w:val="19"/>
        </w:rPr>
        <w:t>sometidas</w:t>
      </w:r>
      <w:r>
        <w:rPr>
          <w:spacing w:val="-9"/>
          <w:sz w:val="19"/>
        </w:rPr>
        <w:t xml:space="preserve"> </w:t>
      </w:r>
      <w:r>
        <w:rPr>
          <w:sz w:val="19"/>
        </w:rPr>
        <w:t>al</w:t>
      </w:r>
      <w:r>
        <w:rPr>
          <w:spacing w:val="-9"/>
          <w:sz w:val="19"/>
        </w:rPr>
        <w:t xml:space="preserve"> </w:t>
      </w:r>
      <w:r>
        <w:rPr>
          <w:sz w:val="19"/>
        </w:rPr>
        <w:t>Estatuto</w:t>
      </w:r>
      <w:r>
        <w:rPr>
          <w:spacing w:val="-8"/>
          <w:sz w:val="19"/>
        </w:rPr>
        <w:t xml:space="preserve"> </w:t>
      </w:r>
      <w:r>
        <w:rPr>
          <w:sz w:val="19"/>
        </w:rPr>
        <w:t>General</w:t>
      </w:r>
      <w:r>
        <w:rPr>
          <w:spacing w:val="-8"/>
          <w:sz w:val="19"/>
        </w:rPr>
        <w:t xml:space="preserve"> </w:t>
      </w:r>
      <w:r>
        <w:rPr>
          <w:sz w:val="19"/>
        </w:rPr>
        <w:t>de</w:t>
      </w:r>
      <w:r>
        <w:rPr>
          <w:spacing w:val="-9"/>
          <w:sz w:val="19"/>
        </w:rPr>
        <w:t xml:space="preserve"> </w:t>
      </w:r>
      <w:r>
        <w:rPr>
          <w:sz w:val="19"/>
        </w:rPr>
        <w:t>Contratación</w:t>
      </w:r>
      <w:r>
        <w:rPr>
          <w:spacing w:val="-9"/>
          <w:sz w:val="19"/>
        </w:rPr>
        <w:t xml:space="preserve"> </w:t>
      </w:r>
      <w:r>
        <w:rPr>
          <w:sz w:val="19"/>
        </w:rPr>
        <w:t>de</w:t>
      </w:r>
      <w:r>
        <w:rPr>
          <w:spacing w:val="-9"/>
          <w:sz w:val="19"/>
        </w:rPr>
        <w:t xml:space="preserve"> </w:t>
      </w:r>
      <w:r>
        <w:rPr>
          <w:sz w:val="19"/>
        </w:rPr>
        <w:t>la</w:t>
      </w:r>
      <w:r>
        <w:rPr>
          <w:spacing w:val="-9"/>
          <w:sz w:val="19"/>
        </w:rPr>
        <w:t xml:space="preserve"> </w:t>
      </w:r>
      <w:r>
        <w:rPr>
          <w:sz w:val="19"/>
        </w:rPr>
        <w:t>Administración Pública, en los términos fijados mediante la reglamentación</w:t>
      </w:r>
      <w:r>
        <w:rPr>
          <w:spacing w:val="-13"/>
          <w:sz w:val="19"/>
        </w:rPr>
        <w:t xml:space="preserve"> </w:t>
      </w:r>
      <w:r>
        <w:rPr>
          <w:sz w:val="19"/>
        </w:rPr>
        <w:t>correspondiente».</w:t>
      </w:r>
    </w:p>
    <w:p w14:paraId="0AD8FCF4" w14:textId="77777777" w:rsidR="00653510" w:rsidRDefault="00653510">
      <w:pPr>
        <w:jc w:val="both"/>
        <w:rPr>
          <w:sz w:val="19"/>
        </w:rPr>
        <w:sectPr w:rsidR="00653510">
          <w:pgSz w:w="11900" w:h="16820"/>
          <w:pgMar w:top="1360" w:right="1160" w:bottom="2180" w:left="1600" w:header="0" w:footer="1962" w:gutter="0"/>
          <w:cols w:space="720"/>
        </w:sectPr>
      </w:pPr>
    </w:p>
    <w:p w14:paraId="416CDCAB" w14:textId="77777777" w:rsidR="00653510" w:rsidRDefault="00390730">
      <w:pPr>
        <w:pStyle w:val="Textoindependiente"/>
        <w:spacing w:before="70" w:line="276" w:lineRule="auto"/>
        <w:ind w:left="100" w:right="534"/>
        <w:jc w:val="both"/>
      </w:pPr>
      <w:r>
        <w:rPr>
          <w:color w:val="0C0C0C"/>
        </w:rPr>
        <w:lastRenderedPageBreak/>
        <w:t>Igualmente, la intención del legislador era adaptar el ordenamiento jurídico colombiano a las nuevas tendencias internacionales, al entender que los documentos tipo son una medida eficaz contra la corrupción y permiten una administración pública más eficiente y moderna.</w:t>
      </w:r>
    </w:p>
    <w:p w14:paraId="085A5AE9" w14:textId="77777777" w:rsidR="00653510" w:rsidRDefault="00390730">
      <w:pPr>
        <w:pStyle w:val="Textoindependiente"/>
        <w:spacing w:before="120" w:line="276" w:lineRule="auto"/>
        <w:ind w:left="100" w:right="472" w:firstLine="705"/>
        <w:jc w:val="both"/>
      </w:pPr>
      <w:r>
        <w:rPr>
          <w:color w:val="0C0C0C"/>
        </w:rPr>
        <w:t>En ejercicio de la competencia conferida por el citado parágrafo, el Gobierno Nacional expidió el Decreto 342 de 2019, por medio del que se adoptaron los documentos tipo para licitaciones públicas para selección de contratistas de obra de infraestructura de transporte. En esta medida, el reglamento adicionó la Sección 6 y la Subsección</w:t>
      </w:r>
      <w:r>
        <w:rPr>
          <w:color w:val="0C0C0C"/>
          <w:spacing w:val="-15"/>
        </w:rPr>
        <w:t xml:space="preserve"> </w:t>
      </w:r>
      <w:r>
        <w:rPr>
          <w:color w:val="0C0C0C"/>
        </w:rPr>
        <w:t>1</w:t>
      </w:r>
      <w:r>
        <w:rPr>
          <w:color w:val="0C0C0C"/>
          <w:spacing w:val="-17"/>
        </w:rPr>
        <w:t xml:space="preserve"> </w:t>
      </w:r>
      <w:r>
        <w:rPr>
          <w:color w:val="0C0C0C"/>
        </w:rPr>
        <w:t>al</w:t>
      </w:r>
      <w:r>
        <w:rPr>
          <w:color w:val="0C0C0C"/>
          <w:spacing w:val="-16"/>
        </w:rPr>
        <w:t xml:space="preserve"> </w:t>
      </w:r>
      <w:r>
        <w:rPr>
          <w:color w:val="0C0C0C"/>
        </w:rPr>
        <w:t>Capítulo</w:t>
      </w:r>
      <w:r>
        <w:rPr>
          <w:color w:val="0C0C0C"/>
          <w:spacing w:val="-17"/>
        </w:rPr>
        <w:t xml:space="preserve"> </w:t>
      </w:r>
      <w:r>
        <w:rPr>
          <w:color w:val="0C0C0C"/>
        </w:rPr>
        <w:t>2</w:t>
      </w:r>
      <w:r>
        <w:rPr>
          <w:color w:val="0C0C0C"/>
          <w:spacing w:val="-17"/>
        </w:rPr>
        <w:t xml:space="preserve"> </w:t>
      </w:r>
      <w:r>
        <w:rPr>
          <w:color w:val="0C0C0C"/>
        </w:rPr>
        <w:t>del</w:t>
      </w:r>
      <w:r>
        <w:rPr>
          <w:color w:val="0C0C0C"/>
          <w:spacing w:val="-16"/>
        </w:rPr>
        <w:t xml:space="preserve"> </w:t>
      </w:r>
      <w:r>
        <w:rPr>
          <w:color w:val="0C0C0C"/>
        </w:rPr>
        <w:t>Título</w:t>
      </w:r>
      <w:r>
        <w:rPr>
          <w:color w:val="0C0C0C"/>
          <w:spacing w:val="-16"/>
        </w:rPr>
        <w:t xml:space="preserve"> </w:t>
      </w:r>
      <w:r>
        <w:rPr>
          <w:color w:val="0C0C0C"/>
        </w:rPr>
        <w:t>1</w:t>
      </w:r>
      <w:r>
        <w:rPr>
          <w:color w:val="0C0C0C"/>
          <w:spacing w:val="-16"/>
        </w:rPr>
        <w:t xml:space="preserve"> </w:t>
      </w:r>
      <w:r>
        <w:rPr>
          <w:color w:val="0C0C0C"/>
        </w:rPr>
        <w:t>de</w:t>
      </w:r>
      <w:r>
        <w:rPr>
          <w:color w:val="0C0C0C"/>
          <w:spacing w:val="-17"/>
        </w:rPr>
        <w:t xml:space="preserve"> </w:t>
      </w:r>
      <w:r>
        <w:rPr>
          <w:color w:val="0C0C0C"/>
        </w:rPr>
        <w:t>la</w:t>
      </w:r>
      <w:r>
        <w:rPr>
          <w:color w:val="0C0C0C"/>
          <w:spacing w:val="-17"/>
        </w:rPr>
        <w:t xml:space="preserve"> </w:t>
      </w:r>
      <w:r>
        <w:rPr>
          <w:color w:val="0C0C0C"/>
        </w:rPr>
        <w:t>Parte</w:t>
      </w:r>
      <w:r>
        <w:rPr>
          <w:color w:val="0C0C0C"/>
          <w:spacing w:val="-15"/>
        </w:rPr>
        <w:t xml:space="preserve"> </w:t>
      </w:r>
      <w:r>
        <w:rPr>
          <w:color w:val="0C0C0C"/>
        </w:rPr>
        <w:t>2</w:t>
      </w:r>
      <w:r>
        <w:rPr>
          <w:color w:val="0C0C0C"/>
          <w:spacing w:val="-17"/>
        </w:rPr>
        <w:t xml:space="preserve"> </w:t>
      </w:r>
      <w:r>
        <w:rPr>
          <w:color w:val="0C0C0C"/>
        </w:rPr>
        <w:t>del</w:t>
      </w:r>
      <w:r>
        <w:rPr>
          <w:color w:val="0C0C0C"/>
          <w:spacing w:val="-16"/>
        </w:rPr>
        <w:t xml:space="preserve"> </w:t>
      </w:r>
      <w:r>
        <w:rPr>
          <w:color w:val="0C0C0C"/>
        </w:rPr>
        <w:t>Libro</w:t>
      </w:r>
      <w:r>
        <w:rPr>
          <w:color w:val="0C0C0C"/>
          <w:spacing w:val="-17"/>
        </w:rPr>
        <w:t xml:space="preserve"> </w:t>
      </w:r>
      <w:r>
        <w:rPr>
          <w:color w:val="0C0C0C"/>
        </w:rPr>
        <w:t>2</w:t>
      </w:r>
      <w:r>
        <w:rPr>
          <w:color w:val="0C0C0C"/>
          <w:spacing w:val="-17"/>
        </w:rPr>
        <w:t xml:space="preserve"> </w:t>
      </w:r>
      <w:r>
        <w:rPr>
          <w:color w:val="0C0C0C"/>
        </w:rPr>
        <w:t>del</w:t>
      </w:r>
      <w:r>
        <w:rPr>
          <w:color w:val="0C0C0C"/>
          <w:spacing w:val="-16"/>
        </w:rPr>
        <w:t xml:space="preserve"> </w:t>
      </w:r>
      <w:r>
        <w:rPr>
          <w:color w:val="0C0C0C"/>
        </w:rPr>
        <w:t>Decreto</w:t>
      </w:r>
      <w:r>
        <w:rPr>
          <w:color w:val="0C0C0C"/>
          <w:spacing w:val="-17"/>
        </w:rPr>
        <w:t xml:space="preserve"> </w:t>
      </w:r>
      <w:r>
        <w:rPr>
          <w:color w:val="0C0C0C"/>
        </w:rPr>
        <w:t>1082</w:t>
      </w:r>
      <w:r>
        <w:rPr>
          <w:color w:val="0C0C0C"/>
          <w:spacing w:val="-16"/>
        </w:rPr>
        <w:t xml:space="preserve"> </w:t>
      </w:r>
      <w:r>
        <w:rPr>
          <w:color w:val="0C0C0C"/>
        </w:rPr>
        <w:t>de</w:t>
      </w:r>
      <w:r>
        <w:rPr>
          <w:color w:val="0C0C0C"/>
          <w:spacing w:val="-17"/>
        </w:rPr>
        <w:t xml:space="preserve"> </w:t>
      </w:r>
      <w:r>
        <w:rPr>
          <w:color w:val="0C0C0C"/>
        </w:rPr>
        <w:t>2015, Decreto Único Reglamentario del Sector Administrativo de Planeación</w:t>
      </w:r>
      <w:r>
        <w:rPr>
          <w:color w:val="0C0C0C"/>
          <w:spacing w:val="-31"/>
        </w:rPr>
        <w:t xml:space="preserve"> </w:t>
      </w:r>
      <w:r>
        <w:rPr>
          <w:color w:val="0C0C0C"/>
        </w:rPr>
        <w:t>Nacional.</w:t>
      </w:r>
    </w:p>
    <w:p w14:paraId="0D5E6315" w14:textId="77777777" w:rsidR="00653510" w:rsidRDefault="00390730">
      <w:pPr>
        <w:pStyle w:val="Textoindependiente"/>
        <w:spacing w:before="120"/>
        <w:ind w:left="806"/>
        <w:jc w:val="both"/>
      </w:pPr>
      <w:r>
        <w:rPr>
          <w:color w:val="0C0C0C"/>
        </w:rPr>
        <w:t>El artículo 2.2.1.2.6.1.1 del Decreto 1082 de 2015, sobre el objeto de los</w:t>
      </w:r>
    </w:p>
    <w:p w14:paraId="790BC636" w14:textId="77777777" w:rsidR="00653510" w:rsidRDefault="00390730">
      <w:pPr>
        <w:pStyle w:val="Textoindependiente"/>
        <w:spacing w:before="37" w:line="276" w:lineRule="auto"/>
        <w:ind w:left="100" w:right="533"/>
        <w:jc w:val="both"/>
      </w:pPr>
      <w:r>
        <w:rPr>
          <w:color w:val="0C0C0C"/>
        </w:rPr>
        <w:t>«Documentos Tipo» adoptados por el Decreto 342 de 2019, señala que «La presente subsección tiene por objeto adoptar los Documentos Tipo para los pliegos de condiciones</w:t>
      </w:r>
      <w:r>
        <w:rPr>
          <w:color w:val="0C0C0C"/>
          <w:spacing w:val="-12"/>
        </w:rPr>
        <w:t xml:space="preserve"> </w:t>
      </w:r>
      <w:r>
        <w:rPr>
          <w:color w:val="0C0C0C"/>
        </w:rPr>
        <w:t>de</w:t>
      </w:r>
      <w:r>
        <w:rPr>
          <w:color w:val="0C0C0C"/>
          <w:spacing w:val="-12"/>
        </w:rPr>
        <w:t xml:space="preserve"> </w:t>
      </w:r>
      <w:r>
        <w:rPr>
          <w:color w:val="0C0C0C"/>
        </w:rPr>
        <w:t>los</w:t>
      </w:r>
      <w:r>
        <w:rPr>
          <w:color w:val="0C0C0C"/>
          <w:spacing w:val="-11"/>
        </w:rPr>
        <w:t xml:space="preserve"> </w:t>
      </w:r>
      <w:r>
        <w:rPr>
          <w:color w:val="0C0C0C"/>
        </w:rPr>
        <w:t>procesos</w:t>
      </w:r>
      <w:r>
        <w:rPr>
          <w:color w:val="0C0C0C"/>
          <w:spacing w:val="-12"/>
        </w:rPr>
        <w:t xml:space="preserve"> </w:t>
      </w:r>
      <w:r>
        <w:rPr>
          <w:color w:val="0C0C0C"/>
        </w:rPr>
        <w:t>de</w:t>
      </w:r>
      <w:r>
        <w:rPr>
          <w:color w:val="0C0C0C"/>
          <w:spacing w:val="-12"/>
        </w:rPr>
        <w:t xml:space="preserve"> </w:t>
      </w:r>
      <w:r>
        <w:rPr>
          <w:color w:val="0C0C0C"/>
        </w:rPr>
        <w:t>selección</w:t>
      </w:r>
      <w:r>
        <w:rPr>
          <w:color w:val="0C0C0C"/>
          <w:spacing w:val="-11"/>
        </w:rPr>
        <w:t xml:space="preserve"> </w:t>
      </w:r>
      <w:r>
        <w:rPr>
          <w:color w:val="0C0C0C"/>
        </w:rPr>
        <w:t>de</w:t>
      </w:r>
      <w:r>
        <w:rPr>
          <w:color w:val="0C0C0C"/>
          <w:spacing w:val="-12"/>
        </w:rPr>
        <w:t xml:space="preserve"> </w:t>
      </w:r>
      <w:r>
        <w:rPr>
          <w:color w:val="0C0C0C"/>
        </w:rPr>
        <w:t>licitación</w:t>
      </w:r>
      <w:r>
        <w:rPr>
          <w:color w:val="0C0C0C"/>
          <w:spacing w:val="-11"/>
        </w:rPr>
        <w:t xml:space="preserve"> </w:t>
      </w:r>
      <w:r>
        <w:rPr>
          <w:color w:val="0C0C0C"/>
        </w:rPr>
        <w:t>de</w:t>
      </w:r>
      <w:r>
        <w:rPr>
          <w:color w:val="0C0C0C"/>
          <w:spacing w:val="-12"/>
        </w:rPr>
        <w:t xml:space="preserve"> </w:t>
      </w:r>
      <w:r>
        <w:rPr>
          <w:color w:val="0C0C0C"/>
        </w:rPr>
        <w:t>obra</w:t>
      </w:r>
      <w:r>
        <w:rPr>
          <w:color w:val="0C0C0C"/>
          <w:spacing w:val="-12"/>
        </w:rPr>
        <w:t xml:space="preserve"> </w:t>
      </w:r>
      <w:r>
        <w:rPr>
          <w:color w:val="0C0C0C"/>
        </w:rPr>
        <w:t>pública</w:t>
      </w:r>
      <w:r>
        <w:rPr>
          <w:color w:val="0C0C0C"/>
          <w:spacing w:val="-11"/>
        </w:rPr>
        <w:t xml:space="preserve"> </w:t>
      </w:r>
      <w:r>
        <w:rPr>
          <w:color w:val="0C0C0C"/>
        </w:rPr>
        <w:t>de</w:t>
      </w:r>
      <w:r>
        <w:rPr>
          <w:color w:val="0C0C0C"/>
          <w:spacing w:val="-12"/>
        </w:rPr>
        <w:t xml:space="preserve"> </w:t>
      </w:r>
      <w:r>
        <w:rPr>
          <w:color w:val="0C0C0C"/>
        </w:rPr>
        <w:t>infraestructura de</w:t>
      </w:r>
      <w:r>
        <w:rPr>
          <w:color w:val="0C0C0C"/>
          <w:spacing w:val="-7"/>
        </w:rPr>
        <w:t xml:space="preserve"> </w:t>
      </w:r>
      <w:r>
        <w:rPr>
          <w:color w:val="0C0C0C"/>
        </w:rPr>
        <w:t>transporte».</w:t>
      </w:r>
      <w:r>
        <w:rPr>
          <w:color w:val="0C0C0C"/>
          <w:spacing w:val="-4"/>
        </w:rPr>
        <w:t xml:space="preserve"> </w:t>
      </w:r>
      <w:r>
        <w:rPr>
          <w:color w:val="0C0C0C"/>
        </w:rPr>
        <w:t>Además,</w:t>
      </w:r>
      <w:r>
        <w:rPr>
          <w:color w:val="0C0C0C"/>
          <w:spacing w:val="-6"/>
        </w:rPr>
        <w:t xml:space="preserve"> </w:t>
      </w:r>
      <w:r>
        <w:rPr>
          <w:color w:val="0C0C0C"/>
        </w:rPr>
        <w:t>el</w:t>
      </w:r>
      <w:r>
        <w:rPr>
          <w:color w:val="0C0C0C"/>
          <w:spacing w:val="-6"/>
        </w:rPr>
        <w:t xml:space="preserve"> </w:t>
      </w:r>
      <w:r>
        <w:rPr>
          <w:color w:val="0C0C0C"/>
        </w:rPr>
        <w:t>artículo</w:t>
      </w:r>
      <w:r>
        <w:rPr>
          <w:color w:val="0C0C0C"/>
          <w:spacing w:val="-6"/>
        </w:rPr>
        <w:t xml:space="preserve"> </w:t>
      </w:r>
      <w:r>
        <w:rPr>
          <w:color w:val="0C0C0C"/>
        </w:rPr>
        <w:t>2.2.1.2.6.1.2</w:t>
      </w:r>
      <w:r>
        <w:rPr>
          <w:color w:val="0C0C0C"/>
          <w:spacing w:val="-7"/>
        </w:rPr>
        <w:t xml:space="preserve"> </w:t>
      </w:r>
      <w:r>
        <w:rPr>
          <w:color w:val="0C0C0C"/>
        </w:rPr>
        <w:t>del</w:t>
      </w:r>
      <w:r>
        <w:rPr>
          <w:color w:val="0C0C0C"/>
          <w:spacing w:val="-6"/>
        </w:rPr>
        <w:t xml:space="preserve"> </w:t>
      </w:r>
      <w:r>
        <w:rPr>
          <w:color w:val="0C0C0C"/>
        </w:rPr>
        <w:t>Decreto</w:t>
      </w:r>
      <w:r>
        <w:rPr>
          <w:color w:val="0C0C0C"/>
          <w:spacing w:val="-7"/>
        </w:rPr>
        <w:t xml:space="preserve"> </w:t>
      </w:r>
      <w:r>
        <w:rPr>
          <w:color w:val="0C0C0C"/>
        </w:rPr>
        <w:t>–referido</w:t>
      </w:r>
      <w:r>
        <w:rPr>
          <w:color w:val="0C0C0C"/>
          <w:spacing w:val="-6"/>
        </w:rPr>
        <w:t xml:space="preserve"> </w:t>
      </w:r>
      <w:r>
        <w:rPr>
          <w:color w:val="0C0C0C"/>
        </w:rPr>
        <w:t>al</w:t>
      </w:r>
      <w:r>
        <w:rPr>
          <w:color w:val="0C0C0C"/>
          <w:spacing w:val="-6"/>
        </w:rPr>
        <w:t xml:space="preserve"> </w:t>
      </w:r>
      <w:r>
        <w:rPr>
          <w:color w:val="0C0C0C"/>
        </w:rPr>
        <w:t>alcance</w:t>
      </w:r>
      <w:r>
        <w:rPr>
          <w:color w:val="0C0C0C"/>
          <w:spacing w:val="-7"/>
        </w:rPr>
        <w:t xml:space="preserve"> </w:t>
      </w:r>
      <w:r>
        <w:rPr>
          <w:color w:val="0C0C0C"/>
        </w:rPr>
        <w:t>de</w:t>
      </w:r>
      <w:r>
        <w:rPr>
          <w:color w:val="0C0C0C"/>
          <w:spacing w:val="-6"/>
        </w:rPr>
        <w:t xml:space="preserve"> </w:t>
      </w:r>
      <w:r>
        <w:rPr>
          <w:color w:val="0C0C0C"/>
        </w:rPr>
        <w:t>los documentos tipo–dispone que «contienen parámetros obligatorios para las entidades estatales sometidas al Estatuto General de la Contratación Pública que adelanten procesos</w:t>
      </w:r>
      <w:r>
        <w:rPr>
          <w:color w:val="0C0C0C"/>
          <w:spacing w:val="-5"/>
        </w:rPr>
        <w:t xml:space="preserve"> </w:t>
      </w:r>
      <w:r>
        <w:rPr>
          <w:color w:val="0C0C0C"/>
        </w:rPr>
        <w:t>de</w:t>
      </w:r>
      <w:r>
        <w:rPr>
          <w:color w:val="0C0C0C"/>
          <w:spacing w:val="-4"/>
        </w:rPr>
        <w:t xml:space="preserve"> </w:t>
      </w:r>
      <w:r>
        <w:rPr>
          <w:color w:val="0C0C0C"/>
        </w:rPr>
        <w:t>selección</w:t>
      </w:r>
      <w:r>
        <w:rPr>
          <w:color w:val="0C0C0C"/>
          <w:spacing w:val="-5"/>
        </w:rPr>
        <w:t xml:space="preserve"> </w:t>
      </w:r>
      <w:r>
        <w:rPr>
          <w:color w:val="0C0C0C"/>
        </w:rPr>
        <w:t>de</w:t>
      </w:r>
      <w:r>
        <w:rPr>
          <w:color w:val="0C0C0C"/>
          <w:spacing w:val="-4"/>
        </w:rPr>
        <w:t xml:space="preserve"> </w:t>
      </w:r>
      <w:r>
        <w:rPr>
          <w:color w:val="0C0C0C"/>
        </w:rPr>
        <w:t>licitación</w:t>
      </w:r>
      <w:r>
        <w:rPr>
          <w:color w:val="0C0C0C"/>
          <w:spacing w:val="-5"/>
        </w:rPr>
        <w:t xml:space="preserve"> </w:t>
      </w:r>
      <w:r>
        <w:rPr>
          <w:color w:val="0C0C0C"/>
        </w:rPr>
        <w:t>de</w:t>
      </w:r>
      <w:r>
        <w:rPr>
          <w:color w:val="0C0C0C"/>
          <w:spacing w:val="-4"/>
        </w:rPr>
        <w:t xml:space="preserve"> </w:t>
      </w:r>
      <w:r>
        <w:rPr>
          <w:color w:val="0C0C0C"/>
        </w:rPr>
        <w:t>obra</w:t>
      </w:r>
      <w:r>
        <w:rPr>
          <w:color w:val="0C0C0C"/>
          <w:spacing w:val="-5"/>
        </w:rPr>
        <w:t xml:space="preserve"> </w:t>
      </w:r>
      <w:r>
        <w:rPr>
          <w:color w:val="0C0C0C"/>
        </w:rPr>
        <w:t>pública</w:t>
      </w:r>
      <w:r>
        <w:rPr>
          <w:color w:val="0C0C0C"/>
          <w:spacing w:val="-4"/>
        </w:rPr>
        <w:t xml:space="preserve"> </w:t>
      </w:r>
      <w:r>
        <w:rPr>
          <w:color w:val="0C0C0C"/>
        </w:rPr>
        <w:t>de</w:t>
      </w:r>
      <w:r>
        <w:rPr>
          <w:color w:val="0C0C0C"/>
          <w:spacing w:val="-5"/>
        </w:rPr>
        <w:t xml:space="preserve"> </w:t>
      </w:r>
      <w:r>
        <w:rPr>
          <w:color w:val="0C0C0C"/>
        </w:rPr>
        <w:t>infraestructura</w:t>
      </w:r>
      <w:r>
        <w:rPr>
          <w:color w:val="0C0C0C"/>
          <w:spacing w:val="-4"/>
        </w:rPr>
        <w:t xml:space="preserve"> </w:t>
      </w:r>
      <w:r>
        <w:rPr>
          <w:color w:val="0C0C0C"/>
        </w:rPr>
        <w:t>de</w:t>
      </w:r>
      <w:r>
        <w:rPr>
          <w:color w:val="0C0C0C"/>
          <w:spacing w:val="-5"/>
        </w:rPr>
        <w:t xml:space="preserve"> </w:t>
      </w:r>
      <w:r>
        <w:rPr>
          <w:color w:val="0C0C0C"/>
        </w:rPr>
        <w:t>transporte».</w:t>
      </w:r>
    </w:p>
    <w:p w14:paraId="53BFFE8D" w14:textId="77777777" w:rsidR="00653510" w:rsidRDefault="00390730">
      <w:pPr>
        <w:pStyle w:val="Textoindependiente"/>
        <w:spacing w:before="120" w:line="276" w:lineRule="auto"/>
        <w:ind w:left="100" w:right="472" w:firstLine="705"/>
        <w:jc w:val="both"/>
      </w:pPr>
      <w:r>
        <w:rPr>
          <w:color w:val="0C0C0C"/>
        </w:rPr>
        <w:t>El</w:t>
      </w:r>
      <w:r>
        <w:rPr>
          <w:color w:val="0C0C0C"/>
          <w:spacing w:val="-18"/>
        </w:rPr>
        <w:t xml:space="preserve"> </w:t>
      </w:r>
      <w:r>
        <w:rPr>
          <w:color w:val="0C0C0C"/>
        </w:rPr>
        <w:t>Gobierno</w:t>
      </w:r>
      <w:r>
        <w:rPr>
          <w:color w:val="0C0C0C"/>
          <w:spacing w:val="-16"/>
        </w:rPr>
        <w:t xml:space="preserve"> </w:t>
      </w:r>
      <w:r>
        <w:rPr>
          <w:color w:val="0C0C0C"/>
        </w:rPr>
        <w:t>Nacional</w:t>
      </w:r>
      <w:r>
        <w:rPr>
          <w:color w:val="0C0C0C"/>
          <w:spacing w:val="-17"/>
        </w:rPr>
        <w:t xml:space="preserve"> </w:t>
      </w:r>
      <w:r>
        <w:rPr>
          <w:color w:val="0C0C0C"/>
        </w:rPr>
        <w:t>mediante</w:t>
      </w:r>
      <w:r>
        <w:rPr>
          <w:color w:val="0C0C0C"/>
          <w:spacing w:val="-18"/>
        </w:rPr>
        <w:t xml:space="preserve"> </w:t>
      </w:r>
      <w:r>
        <w:rPr>
          <w:color w:val="0C0C0C"/>
        </w:rPr>
        <w:t>el</w:t>
      </w:r>
      <w:r>
        <w:rPr>
          <w:color w:val="0C0C0C"/>
          <w:spacing w:val="-17"/>
        </w:rPr>
        <w:t xml:space="preserve"> </w:t>
      </w:r>
      <w:r>
        <w:rPr>
          <w:color w:val="0C0C0C"/>
        </w:rPr>
        <w:t>artículo</w:t>
      </w:r>
      <w:r>
        <w:rPr>
          <w:color w:val="0C0C0C"/>
          <w:spacing w:val="-17"/>
        </w:rPr>
        <w:t xml:space="preserve"> </w:t>
      </w:r>
      <w:r>
        <w:rPr>
          <w:color w:val="0C0C0C"/>
        </w:rPr>
        <w:t>2.2.1.2.6.1.3</w:t>
      </w:r>
      <w:r>
        <w:rPr>
          <w:color w:val="0C0C0C"/>
          <w:spacing w:val="-17"/>
        </w:rPr>
        <w:t xml:space="preserve"> </w:t>
      </w:r>
      <w:r>
        <w:rPr>
          <w:color w:val="0C0C0C"/>
        </w:rPr>
        <w:t>del</w:t>
      </w:r>
      <w:r>
        <w:rPr>
          <w:color w:val="0C0C0C"/>
          <w:spacing w:val="-18"/>
        </w:rPr>
        <w:t xml:space="preserve"> </w:t>
      </w:r>
      <w:r>
        <w:rPr>
          <w:color w:val="0C0C0C"/>
        </w:rPr>
        <w:t>Decreto</w:t>
      </w:r>
      <w:r>
        <w:rPr>
          <w:color w:val="0C0C0C"/>
          <w:spacing w:val="-17"/>
        </w:rPr>
        <w:t xml:space="preserve"> </w:t>
      </w:r>
      <w:r>
        <w:rPr>
          <w:color w:val="0C0C0C"/>
        </w:rPr>
        <w:t>1082</w:t>
      </w:r>
      <w:r>
        <w:rPr>
          <w:color w:val="0C0C0C"/>
          <w:spacing w:val="-17"/>
        </w:rPr>
        <w:t xml:space="preserve"> </w:t>
      </w:r>
      <w:r>
        <w:rPr>
          <w:color w:val="0C0C0C"/>
        </w:rPr>
        <w:t>de</w:t>
      </w:r>
      <w:r>
        <w:rPr>
          <w:color w:val="0C0C0C"/>
          <w:spacing w:val="-17"/>
        </w:rPr>
        <w:t xml:space="preserve"> </w:t>
      </w:r>
      <w:r>
        <w:rPr>
          <w:color w:val="0C0C0C"/>
        </w:rPr>
        <w:t>2015, adicionado por el Decreto 342 de 2019, facultó a la Agencia Nacional de Contratación Pública – Colombia Compra Eficiente, para que en coordinación con el Departamento Nacional de Planeación –DNP– y el Ministerio de Transporte, desarrollara e implementara los Documentos Tipo. Esto tuvo lugar con la expedición de la Resolución No. 1798 del 1º de abril de 2019 que implementó la Versión 1 de los documentos tipo para procesos de licitación de obra pública de infraestructura de</w:t>
      </w:r>
      <w:r>
        <w:rPr>
          <w:color w:val="0C0C0C"/>
          <w:spacing w:val="-29"/>
        </w:rPr>
        <w:t xml:space="preserve"> </w:t>
      </w:r>
      <w:r>
        <w:rPr>
          <w:color w:val="0C0C0C"/>
        </w:rPr>
        <w:t>transporte.</w:t>
      </w:r>
    </w:p>
    <w:p w14:paraId="079547A9" w14:textId="77777777" w:rsidR="00653510" w:rsidRDefault="00390730">
      <w:pPr>
        <w:pStyle w:val="Textoindependiente"/>
        <w:spacing w:before="120" w:line="276" w:lineRule="auto"/>
        <w:ind w:left="100" w:right="534" w:firstLine="733"/>
        <w:jc w:val="both"/>
      </w:pPr>
      <w:r>
        <w:rPr>
          <w:color w:val="0C0C0C"/>
        </w:rPr>
        <w:t>La Agencia Nacional de Contratación Pública – Colombia Compra Eficiente luego</w:t>
      </w:r>
      <w:r>
        <w:rPr>
          <w:color w:val="0C0C0C"/>
          <w:spacing w:val="-14"/>
        </w:rPr>
        <w:t xml:space="preserve"> </w:t>
      </w:r>
      <w:r>
        <w:rPr>
          <w:color w:val="0C0C0C"/>
        </w:rPr>
        <w:t>de</w:t>
      </w:r>
      <w:r>
        <w:rPr>
          <w:color w:val="0C0C0C"/>
          <w:spacing w:val="-14"/>
        </w:rPr>
        <w:t xml:space="preserve"> </w:t>
      </w:r>
      <w:r>
        <w:rPr>
          <w:color w:val="0C0C0C"/>
        </w:rPr>
        <w:t>identificar,</w:t>
      </w:r>
      <w:r>
        <w:rPr>
          <w:color w:val="0C0C0C"/>
          <w:spacing w:val="-14"/>
        </w:rPr>
        <w:t xml:space="preserve"> </w:t>
      </w:r>
      <w:r>
        <w:rPr>
          <w:color w:val="0C0C0C"/>
        </w:rPr>
        <w:t>junto</w:t>
      </w:r>
      <w:r>
        <w:rPr>
          <w:color w:val="0C0C0C"/>
          <w:spacing w:val="-13"/>
        </w:rPr>
        <w:t xml:space="preserve"> </w:t>
      </w:r>
      <w:r>
        <w:rPr>
          <w:color w:val="0C0C0C"/>
        </w:rPr>
        <w:t>con</w:t>
      </w:r>
      <w:r>
        <w:rPr>
          <w:color w:val="0C0C0C"/>
          <w:spacing w:val="-14"/>
        </w:rPr>
        <w:t xml:space="preserve"> </w:t>
      </w:r>
      <w:r>
        <w:rPr>
          <w:color w:val="0C0C0C"/>
        </w:rPr>
        <w:t>el</w:t>
      </w:r>
      <w:r>
        <w:rPr>
          <w:color w:val="0C0C0C"/>
          <w:spacing w:val="-14"/>
        </w:rPr>
        <w:t xml:space="preserve"> </w:t>
      </w:r>
      <w:r>
        <w:rPr>
          <w:color w:val="0C0C0C"/>
        </w:rPr>
        <w:t>Departamento</w:t>
      </w:r>
      <w:r>
        <w:rPr>
          <w:color w:val="0C0C0C"/>
          <w:spacing w:val="-13"/>
        </w:rPr>
        <w:t xml:space="preserve"> </w:t>
      </w:r>
      <w:r>
        <w:rPr>
          <w:color w:val="0C0C0C"/>
        </w:rPr>
        <w:t>Nacional</w:t>
      </w:r>
      <w:r>
        <w:rPr>
          <w:color w:val="0C0C0C"/>
          <w:spacing w:val="-14"/>
        </w:rPr>
        <w:t xml:space="preserve"> </w:t>
      </w:r>
      <w:r>
        <w:rPr>
          <w:color w:val="0C0C0C"/>
        </w:rPr>
        <w:t>de</w:t>
      </w:r>
      <w:r>
        <w:rPr>
          <w:color w:val="0C0C0C"/>
          <w:spacing w:val="-14"/>
        </w:rPr>
        <w:t xml:space="preserve"> </w:t>
      </w:r>
      <w:r>
        <w:rPr>
          <w:color w:val="0C0C0C"/>
        </w:rPr>
        <w:t>Planeación</w:t>
      </w:r>
      <w:r>
        <w:rPr>
          <w:color w:val="0C0C0C"/>
          <w:spacing w:val="-13"/>
        </w:rPr>
        <w:t xml:space="preserve"> </w:t>
      </w:r>
      <w:r>
        <w:rPr>
          <w:color w:val="0C0C0C"/>
        </w:rPr>
        <w:t>y</w:t>
      </w:r>
      <w:r>
        <w:rPr>
          <w:color w:val="0C0C0C"/>
          <w:spacing w:val="-13"/>
        </w:rPr>
        <w:t xml:space="preserve"> </w:t>
      </w:r>
      <w:r>
        <w:rPr>
          <w:color w:val="0C0C0C"/>
        </w:rPr>
        <w:t>el</w:t>
      </w:r>
      <w:r>
        <w:rPr>
          <w:color w:val="0C0C0C"/>
          <w:spacing w:val="-14"/>
        </w:rPr>
        <w:t xml:space="preserve"> </w:t>
      </w:r>
      <w:r>
        <w:rPr>
          <w:color w:val="0C0C0C"/>
        </w:rPr>
        <w:t>Ministerio</w:t>
      </w:r>
      <w:r>
        <w:rPr>
          <w:color w:val="0C0C0C"/>
          <w:spacing w:val="-14"/>
        </w:rPr>
        <w:t xml:space="preserve"> </w:t>
      </w:r>
      <w:r>
        <w:rPr>
          <w:color w:val="0C0C0C"/>
        </w:rPr>
        <w:t>de Transporte, la necesidad de actualizar los documentos tipo para los procesos de licitación pública en orden de fortalecerlos y adaptarlos a la realidad de la contratación del</w:t>
      </w:r>
      <w:r>
        <w:rPr>
          <w:color w:val="0C0C0C"/>
          <w:spacing w:val="-6"/>
        </w:rPr>
        <w:t xml:space="preserve"> </w:t>
      </w:r>
      <w:r>
        <w:rPr>
          <w:color w:val="0C0C0C"/>
        </w:rPr>
        <w:t>país,</w:t>
      </w:r>
      <w:r>
        <w:rPr>
          <w:color w:val="0C0C0C"/>
          <w:spacing w:val="-5"/>
        </w:rPr>
        <w:t xml:space="preserve"> </w:t>
      </w:r>
      <w:r>
        <w:rPr>
          <w:color w:val="0C0C0C"/>
        </w:rPr>
        <w:t>implementó</w:t>
      </w:r>
      <w:r>
        <w:rPr>
          <w:color w:val="0C0C0C"/>
          <w:spacing w:val="-5"/>
        </w:rPr>
        <w:t xml:space="preserve"> </w:t>
      </w:r>
      <w:r>
        <w:rPr>
          <w:color w:val="0C0C0C"/>
        </w:rPr>
        <w:t>la</w:t>
      </w:r>
      <w:r>
        <w:rPr>
          <w:color w:val="0C0C0C"/>
          <w:spacing w:val="-6"/>
        </w:rPr>
        <w:t xml:space="preserve"> </w:t>
      </w:r>
      <w:r>
        <w:rPr>
          <w:color w:val="0C0C0C"/>
        </w:rPr>
        <w:t>versión</w:t>
      </w:r>
      <w:r>
        <w:rPr>
          <w:color w:val="0C0C0C"/>
          <w:spacing w:val="-6"/>
        </w:rPr>
        <w:t xml:space="preserve"> </w:t>
      </w:r>
      <w:r>
        <w:rPr>
          <w:color w:val="0C0C0C"/>
        </w:rPr>
        <w:t>2.</w:t>
      </w:r>
      <w:r>
        <w:rPr>
          <w:color w:val="0C0C0C"/>
          <w:spacing w:val="-5"/>
        </w:rPr>
        <w:t xml:space="preserve"> </w:t>
      </w:r>
      <w:r>
        <w:rPr>
          <w:color w:val="0C0C0C"/>
        </w:rPr>
        <w:t>De</w:t>
      </w:r>
      <w:r>
        <w:rPr>
          <w:color w:val="0C0C0C"/>
          <w:spacing w:val="-6"/>
        </w:rPr>
        <w:t xml:space="preserve"> </w:t>
      </w:r>
      <w:r>
        <w:rPr>
          <w:color w:val="0C0C0C"/>
        </w:rPr>
        <w:t>esta</w:t>
      </w:r>
      <w:r>
        <w:rPr>
          <w:color w:val="0C0C0C"/>
          <w:spacing w:val="-6"/>
        </w:rPr>
        <w:t xml:space="preserve"> </w:t>
      </w:r>
      <w:r>
        <w:rPr>
          <w:color w:val="0C0C0C"/>
        </w:rPr>
        <w:t>manera</w:t>
      </w:r>
      <w:r>
        <w:rPr>
          <w:color w:val="0C0C0C"/>
          <w:spacing w:val="-6"/>
        </w:rPr>
        <w:t xml:space="preserve"> </w:t>
      </w:r>
      <w:r>
        <w:rPr>
          <w:color w:val="0C0C0C"/>
        </w:rPr>
        <w:t>expidió</w:t>
      </w:r>
      <w:r>
        <w:rPr>
          <w:color w:val="0C0C0C"/>
          <w:spacing w:val="-5"/>
        </w:rPr>
        <w:t xml:space="preserve"> </w:t>
      </w:r>
      <w:r>
        <w:rPr>
          <w:color w:val="0C0C0C"/>
        </w:rPr>
        <w:t>la</w:t>
      </w:r>
      <w:r>
        <w:rPr>
          <w:color w:val="0C0C0C"/>
          <w:spacing w:val="-6"/>
        </w:rPr>
        <w:t xml:space="preserve"> </w:t>
      </w:r>
      <w:r>
        <w:rPr>
          <w:color w:val="0C0C0C"/>
        </w:rPr>
        <w:t>Resolución</w:t>
      </w:r>
      <w:r>
        <w:rPr>
          <w:color w:val="0C0C0C"/>
          <w:spacing w:val="-4"/>
        </w:rPr>
        <w:t xml:space="preserve"> </w:t>
      </w:r>
      <w:r>
        <w:rPr>
          <w:color w:val="0C0C0C"/>
        </w:rPr>
        <w:t>No.</w:t>
      </w:r>
      <w:r>
        <w:rPr>
          <w:color w:val="0C0C0C"/>
          <w:spacing w:val="-6"/>
        </w:rPr>
        <w:t xml:space="preserve"> </w:t>
      </w:r>
      <w:r>
        <w:rPr>
          <w:color w:val="0C0C0C"/>
        </w:rPr>
        <w:t>045</w:t>
      </w:r>
      <w:r>
        <w:rPr>
          <w:color w:val="0C0C0C"/>
          <w:spacing w:val="-6"/>
        </w:rPr>
        <w:t xml:space="preserve"> </w:t>
      </w:r>
      <w:r>
        <w:rPr>
          <w:color w:val="0C0C0C"/>
        </w:rPr>
        <w:t>del</w:t>
      </w:r>
      <w:r>
        <w:rPr>
          <w:color w:val="0C0C0C"/>
          <w:spacing w:val="-6"/>
        </w:rPr>
        <w:t xml:space="preserve"> </w:t>
      </w:r>
      <w:r>
        <w:rPr>
          <w:color w:val="0C0C0C"/>
        </w:rPr>
        <w:t>14 de febrero de 2020, «Por la cual se actualizan los Documentos Tipo para los procesos de</w:t>
      </w:r>
      <w:r>
        <w:rPr>
          <w:color w:val="0C0C0C"/>
          <w:spacing w:val="-9"/>
        </w:rPr>
        <w:t xml:space="preserve"> </w:t>
      </w:r>
      <w:r>
        <w:rPr>
          <w:color w:val="0C0C0C"/>
        </w:rPr>
        <w:t>selección</w:t>
      </w:r>
      <w:r>
        <w:rPr>
          <w:color w:val="0C0C0C"/>
          <w:spacing w:val="-9"/>
        </w:rPr>
        <w:t xml:space="preserve"> </w:t>
      </w:r>
      <w:r>
        <w:rPr>
          <w:color w:val="0C0C0C"/>
        </w:rPr>
        <w:t>de</w:t>
      </w:r>
      <w:r>
        <w:rPr>
          <w:color w:val="0C0C0C"/>
          <w:spacing w:val="-8"/>
        </w:rPr>
        <w:t xml:space="preserve"> </w:t>
      </w:r>
      <w:r>
        <w:rPr>
          <w:color w:val="0C0C0C"/>
        </w:rPr>
        <w:t>licitación</w:t>
      </w:r>
      <w:r>
        <w:rPr>
          <w:color w:val="0C0C0C"/>
          <w:spacing w:val="-9"/>
        </w:rPr>
        <w:t xml:space="preserve"> </w:t>
      </w:r>
      <w:r>
        <w:rPr>
          <w:color w:val="0C0C0C"/>
        </w:rPr>
        <w:t>de</w:t>
      </w:r>
      <w:r>
        <w:rPr>
          <w:color w:val="0C0C0C"/>
          <w:spacing w:val="-8"/>
        </w:rPr>
        <w:t xml:space="preserve"> </w:t>
      </w:r>
      <w:r>
        <w:rPr>
          <w:color w:val="0C0C0C"/>
        </w:rPr>
        <w:t>obra</w:t>
      </w:r>
      <w:r>
        <w:rPr>
          <w:color w:val="0C0C0C"/>
          <w:spacing w:val="-9"/>
        </w:rPr>
        <w:t xml:space="preserve"> </w:t>
      </w:r>
      <w:r>
        <w:rPr>
          <w:color w:val="0C0C0C"/>
        </w:rPr>
        <w:t>pública</w:t>
      </w:r>
      <w:r>
        <w:rPr>
          <w:color w:val="0C0C0C"/>
          <w:spacing w:val="-8"/>
        </w:rPr>
        <w:t xml:space="preserve"> </w:t>
      </w:r>
      <w:r>
        <w:rPr>
          <w:color w:val="0C0C0C"/>
        </w:rPr>
        <w:t>de</w:t>
      </w:r>
      <w:r>
        <w:rPr>
          <w:color w:val="0C0C0C"/>
          <w:spacing w:val="-9"/>
        </w:rPr>
        <w:t xml:space="preserve"> </w:t>
      </w:r>
      <w:r>
        <w:rPr>
          <w:color w:val="0C0C0C"/>
        </w:rPr>
        <w:t>infraestructura</w:t>
      </w:r>
      <w:r>
        <w:rPr>
          <w:color w:val="0C0C0C"/>
          <w:spacing w:val="-8"/>
        </w:rPr>
        <w:t xml:space="preserve"> </w:t>
      </w:r>
      <w:r>
        <w:rPr>
          <w:color w:val="0C0C0C"/>
        </w:rPr>
        <w:t>de</w:t>
      </w:r>
      <w:r>
        <w:rPr>
          <w:color w:val="0C0C0C"/>
          <w:spacing w:val="-9"/>
        </w:rPr>
        <w:t xml:space="preserve"> </w:t>
      </w:r>
      <w:r>
        <w:rPr>
          <w:color w:val="0C0C0C"/>
        </w:rPr>
        <w:t>transporte</w:t>
      </w:r>
      <w:r>
        <w:rPr>
          <w:color w:val="0C0C0C"/>
          <w:spacing w:val="-7"/>
        </w:rPr>
        <w:t xml:space="preserve"> </w:t>
      </w:r>
      <w:r>
        <w:rPr>
          <w:color w:val="0C0C0C"/>
        </w:rPr>
        <w:t>y</w:t>
      </w:r>
      <w:r>
        <w:rPr>
          <w:color w:val="0C0C0C"/>
          <w:spacing w:val="-9"/>
        </w:rPr>
        <w:t xml:space="preserve"> </w:t>
      </w:r>
      <w:r>
        <w:rPr>
          <w:color w:val="0C0C0C"/>
        </w:rPr>
        <w:t>se</w:t>
      </w:r>
      <w:r>
        <w:rPr>
          <w:color w:val="0C0C0C"/>
          <w:spacing w:val="-8"/>
        </w:rPr>
        <w:t xml:space="preserve"> </w:t>
      </w:r>
      <w:r>
        <w:rPr>
          <w:color w:val="0C0C0C"/>
        </w:rPr>
        <w:t>deroga</w:t>
      </w:r>
      <w:r>
        <w:rPr>
          <w:color w:val="0C0C0C"/>
          <w:spacing w:val="-9"/>
        </w:rPr>
        <w:t xml:space="preserve"> </w:t>
      </w:r>
      <w:r>
        <w:rPr>
          <w:color w:val="0C0C0C"/>
        </w:rPr>
        <w:t>la Resolución 1798 de</w:t>
      </w:r>
      <w:r>
        <w:rPr>
          <w:color w:val="0C0C0C"/>
          <w:spacing w:val="-4"/>
        </w:rPr>
        <w:t xml:space="preserve"> </w:t>
      </w:r>
      <w:r>
        <w:rPr>
          <w:color w:val="0C0C0C"/>
        </w:rPr>
        <w:t>2019».</w:t>
      </w:r>
    </w:p>
    <w:p w14:paraId="04EAC91C" w14:textId="77777777" w:rsidR="00653510" w:rsidRDefault="00390730">
      <w:pPr>
        <w:pStyle w:val="Textoindependiente"/>
        <w:spacing w:before="120" w:line="276" w:lineRule="auto"/>
        <w:ind w:left="100" w:right="534" w:firstLine="708"/>
        <w:jc w:val="both"/>
      </w:pPr>
      <w:r>
        <w:rPr>
          <w:color w:val="0C0C0C"/>
        </w:rPr>
        <w:t>El Gobierno Nacional ejerció nuevamente la competencia prevista en el citado artículo 4 de la Ley 1882 de 2018, expidiendo el Decreto 2096 de 2019. A través de él se autorizaron los documentos tipo para procesos de contratación de obra pública de infraestructura de transporte adelantados en la modalidad de selección abreviada de menor cuantía. Este reglamento adicionó la Subsección 2 a la Sección 6 del Capítulo 2 del Título 1 de la parte 2 del Libro 2 del Decreto 1082 de 2015.</w:t>
      </w:r>
    </w:p>
    <w:p w14:paraId="3E31D8D1" w14:textId="77777777" w:rsidR="00653510" w:rsidRDefault="00390730">
      <w:pPr>
        <w:pStyle w:val="Textoindependiente"/>
        <w:spacing w:before="120" w:line="276" w:lineRule="auto"/>
        <w:ind w:left="100" w:right="534" w:firstLine="733"/>
        <w:jc w:val="both"/>
      </w:pPr>
      <w:r>
        <w:rPr>
          <w:color w:val="0C0C0C"/>
        </w:rPr>
        <w:t>El artículo 2.2.1.2.6.2.2 del Decreto 1082 de 2015 contiene el listado de los documentos tipo aplicables a los procesos de selección abreviada de menor cuantía para la contratación de obra pública de infraestructura de transporte. Además,</w:t>
      </w:r>
    </w:p>
    <w:p w14:paraId="195792C2" w14:textId="77777777" w:rsidR="00653510" w:rsidRDefault="00653510">
      <w:pPr>
        <w:spacing w:line="276" w:lineRule="auto"/>
        <w:jc w:val="both"/>
        <w:sectPr w:rsidR="00653510">
          <w:pgSz w:w="11900" w:h="16820"/>
          <w:pgMar w:top="1340" w:right="1160" w:bottom="2180" w:left="1600" w:header="0" w:footer="1962" w:gutter="0"/>
          <w:cols w:space="720"/>
        </w:sectPr>
      </w:pPr>
    </w:p>
    <w:p w14:paraId="4FA5E53B" w14:textId="77777777" w:rsidR="00653510" w:rsidRDefault="00390730">
      <w:pPr>
        <w:pStyle w:val="Textoindependiente"/>
        <w:spacing w:before="70" w:line="276" w:lineRule="auto"/>
        <w:ind w:left="100" w:right="533"/>
        <w:jc w:val="both"/>
      </w:pPr>
      <w:r>
        <w:rPr>
          <w:color w:val="0C0C0C"/>
        </w:rPr>
        <w:lastRenderedPageBreak/>
        <w:t>el</w:t>
      </w:r>
      <w:r>
        <w:rPr>
          <w:color w:val="0C0C0C"/>
          <w:spacing w:val="-6"/>
        </w:rPr>
        <w:t xml:space="preserve"> </w:t>
      </w:r>
      <w:r>
        <w:rPr>
          <w:color w:val="0C0C0C"/>
        </w:rPr>
        <w:t>2.2.1.2.6.2.3</w:t>
      </w:r>
      <w:r>
        <w:rPr>
          <w:color w:val="0C0C0C"/>
          <w:spacing w:val="-6"/>
        </w:rPr>
        <w:t xml:space="preserve"> </w:t>
      </w:r>
      <w:r>
        <w:rPr>
          <w:i/>
          <w:color w:val="0C0C0C"/>
        </w:rPr>
        <w:t>ibidem</w:t>
      </w:r>
      <w:r>
        <w:rPr>
          <w:i/>
          <w:color w:val="0C0C0C"/>
          <w:spacing w:val="-6"/>
        </w:rPr>
        <w:t xml:space="preserve"> </w:t>
      </w:r>
      <w:r>
        <w:rPr>
          <w:color w:val="0C0C0C"/>
        </w:rPr>
        <w:t>facultó</w:t>
      </w:r>
      <w:r>
        <w:rPr>
          <w:color w:val="0C0C0C"/>
          <w:spacing w:val="-18"/>
        </w:rPr>
        <w:t xml:space="preserve"> </w:t>
      </w:r>
      <w:r>
        <w:rPr>
          <w:color w:val="0C0C0C"/>
        </w:rPr>
        <w:t>a</w:t>
      </w:r>
      <w:r>
        <w:rPr>
          <w:color w:val="0C0C0C"/>
          <w:spacing w:val="-20"/>
        </w:rPr>
        <w:t xml:space="preserve"> </w:t>
      </w:r>
      <w:r>
        <w:rPr>
          <w:color w:val="0C0C0C"/>
        </w:rPr>
        <w:t>la</w:t>
      </w:r>
      <w:r>
        <w:rPr>
          <w:color w:val="0C0C0C"/>
          <w:spacing w:val="-19"/>
        </w:rPr>
        <w:t xml:space="preserve"> </w:t>
      </w:r>
      <w:r>
        <w:rPr>
          <w:color w:val="0C0C0C"/>
        </w:rPr>
        <w:t>Agencia</w:t>
      </w:r>
      <w:r>
        <w:rPr>
          <w:color w:val="0C0C0C"/>
          <w:spacing w:val="-19"/>
        </w:rPr>
        <w:t xml:space="preserve"> </w:t>
      </w:r>
      <w:r>
        <w:rPr>
          <w:color w:val="0C0C0C"/>
        </w:rPr>
        <w:t>Nacional</w:t>
      </w:r>
      <w:r>
        <w:rPr>
          <w:color w:val="0C0C0C"/>
          <w:spacing w:val="-19"/>
        </w:rPr>
        <w:t xml:space="preserve"> </w:t>
      </w:r>
      <w:r>
        <w:rPr>
          <w:color w:val="0C0C0C"/>
        </w:rPr>
        <w:t>de</w:t>
      </w:r>
      <w:r>
        <w:rPr>
          <w:color w:val="0C0C0C"/>
          <w:spacing w:val="-20"/>
        </w:rPr>
        <w:t xml:space="preserve"> </w:t>
      </w:r>
      <w:r>
        <w:rPr>
          <w:color w:val="0C0C0C"/>
        </w:rPr>
        <w:t>Contratación</w:t>
      </w:r>
      <w:r>
        <w:rPr>
          <w:color w:val="0C0C0C"/>
          <w:spacing w:val="-19"/>
        </w:rPr>
        <w:t xml:space="preserve"> </w:t>
      </w:r>
      <w:r>
        <w:rPr>
          <w:color w:val="0C0C0C"/>
        </w:rPr>
        <w:t>Pública</w:t>
      </w:r>
      <w:r>
        <w:rPr>
          <w:color w:val="0C0C0C"/>
          <w:spacing w:val="-19"/>
        </w:rPr>
        <w:t xml:space="preserve"> </w:t>
      </w:r>
      <w:r>
        <w:rPr>
          <w:color w:val="0C0C0C"/>
        </w:rPr>
        <w:t>–</w:t>
      </w:r>
      <w:r>
        <w:rPr>
          <w:color w:val="0C0C0C"/>
          <w:spacing w:val="-19"/>
        </w:rPr>
        <w:t xml:space="preserve"> </w:t>
      </w:r>
      <w:r>
        <w:rPr>
          <w:color w:val="0C0C0C"/>
        </w:rPr>
        <w:t>Colombia Compra Eficiente, para que en coordinación con el Departamento Nacional de Planeación –DNP– y el Ministerio de Transporte, desarrollara e implementara los documentos tipo. La entidad ejerció esta competencia mediante la expedición de la Resolución</w:t>
      </w:r>
      <w:r>
        <w:rPr>
          <w:color w:val="0C0C0C"/>
          <w:spacing w:val="-14"/>
        </w:rPr>
        <w:t xml:space="preserve"> </w:t>
      </w:r>
      <w:r>
        <w:rPr>
          <w:color w:val="0C0C0C"/>
        </w:rPr>
        <w:t>No.</w:t>
      </w:r>
      <w:r>
        <w:rPr>
          <w:color w:val="0C0C0C"/>
          <w:spacing w:val="-15"/>
        </w:rPr>
        <w:t xml:space="preserve"> </w:t>
      </w:r>
      <w:r>
        <w:rPr>
          <w:color w:val="0C0C0C"/>
        </w:rPr>
        <w:t>044</w:t>
      </w:r>
      <w:r>
        <w:rPr>
          <w:color w:val="0C0C0C"/>
          <w:spacing w:val="-14"/>
        </w:rPr>
        <w:t xml:space="preserve"> </w:t>
      </w:r>
      <w:r>
        <w:rPr>
          <w:color w:val="0C0C0C"/>
        </w:rPr>
        <w:t>del</w:t>
      </w:r>
      <w:r>
        <w:rPr>
          <w:color w:val="0C0C0C"/>
          <w:spacing w:val="-15"/>
        </w:rPr>
        <w:t xml:space="preserve"> </w:t>
      </w:r>
      <w:r>
        <w:rPr>
          <w:color w:val="0C0C0C"/>
        </w:rPr>
        <w:t>14</w:t>
      </w:r>
      <w:r>
        <w:rPr>
          <w:color w:val="0C0C0C"/>
          <w:spacing w:val="-15"/>
        </w:rPr>
        <w:t xml:space="preserve"> </w:t>
      </w:r>
      <w:r>
        <w:rPr>
          <w:color w:val="0C0C0C"/>
        </w:rPr>
        <w:t>de</w:t>
      </w:r>
      <w:r>
        <w:rPr>
          <w:color w:val="0C0C0C"/>
          <w:spacing w:val="-14"/>
        </w:rPr>
        <w:t xml:space="preserve"> </w:t>
      </w:r>
      <w:r>
        <w:rPr>
          <w:color w:val="0C0C0C"/>
        </w:rPr>
        <w:t>febrero</w:t>
      </w:r>
      <w:r>
        <w:rPr>
          <w:color w:val="0C0C0C"/>
          <w:spacing w:val="-14"/>
        </w:rPr>
        <w:t xml:space="preserve"> </w:t>
      </w:r>
      <w:r>
        <w:rPr>
          <w:color w:val="0C0C0C"/>
        </w:rPr>
        <w:t>de</w:t>
      </w:r>
      <w:r>
        <w:rPr>
          <w:color w:val="0C0C0C"/>
          <w:spacing w:val="-15"/>
        </w:rPr>
        <w:t xml:space="preserve"> </w:t>
      </w:r>
      <w:r>
        <w:rPr>
          <w:color w:val="0C0C0C"/>
        </w:rPr>
        <w:t>2020</w:t>
      </w:r>
      <w:r>
        <w:rPr>
          <w:color w:val="0C0C0C"/>
          <w:spacing w:val="-14"/>
        </w:rPr>
        <w:t xml:space="preserve"> </w:t>
      </w:r>
      <w:r>
        <w:rPr>
          <w:color w:val="0C0C0C"/>
        </w:rPr>
        <w:t>que</w:t>
      </w:r>
      <w:r>
        <w:rPr>
          <w:color w:val="0C0C0C"/>
          <w:spacing w:val="-15"/>
        </w:rPr>
        <w:t xml:space="preserve"> </w:t>
      </w:r>
      <w:r>
        <w:rPr>
          <w:color w:val="0C0C0C"/>
        </w:rPr>
        <w:t>implementó</w:t>
      </w:r>
      <w:r>
        <w:rPr>
          <w:color w:val="0C0C0C"/>
          <w:spacing w:val="-14"/>
        </w:rPr>
        <w:t xml:space="preserve"> </w:t>
      </w:r>
      <w:r>
        <w:rPr>
          <w:color w:val="0C0C0C"/>
        </w:rPr>
        <w:t>los</w:t>
      </w:r>
      <w:r>
        <w:rPr>
          <w:color w:val="0C0C0C"/>
          <w:spacing w:val="-14"/>
        </w:rPr>
        <w:t xml:space="preserve"> </w:t>
      </w:r>
      <w:r>
        <w:rPr>
          <w:color w:val="0C0C0C"/>
        </w:rPr>
        <w:t>documentos</w:t>
      </w:r>
      <w:r>
        <w:rPr>
          <w:color w:val="0C0C0C"/>
          <w:spacing w:val="-14"/>
        </w:rPr>
        <w:t xml:space="preserve"> </w:t>
      </w:r>
      <w:r>
        <w:rPr>
          <w:color w:val="0C0C0C"/>
        </w:rPr>
        <w:t>tipo</w:t>
      </w:r>
      <w:r>
        <w:rPr>
          <w:color w:val="0C0C0C"/>
          <w:spacing w:val="-14"/>
        </w:rPr>
        <w:t xml:space="preserve"> </w:t>
      </w:r>
      <w:r>
        <w:rPr>
          <w:color w:val="0C0C0C"/>
        </w:rPr>
        <w:t>para esta modalidad de</w:t>
      </w:r>
      <w:r>
        <w:rPr>
          <w:color w:val="0C0C0C"/>
          <w:spacing w:val="-4"/>
        </w:rPr>
        <w:t xml:space="preserve"> </w:t>
      </w:r>
      <w:r>
        <w:rPr>
          <w:color w:val="0C0C0C"/>
        </w:rPr>
        <w:t>selección.</w:t>
      </w:r>
    </w:p>
    <w:p w14:paraId="2A57F096" w14:textId="77777777" w:rsidR="00653510" w:rsidRDefault="00390730">
      <w:pPr>
        <w:pStyle w:val="Textoindependiente"/>
        <w:spacing w:before="120" w:line="276" w:lineRule="auto"/>
        <w:ind w:left="100" w:right="534" w:firstLine="708"/>
        <w:jc w:val="both"/>
      </w:pPr>
      <w:r>
        <w:rPr>
          <w:color w:val="0C0C0C"/>
        </w:rPr>
        <w:t>Finalmente, el Gobierno Nacional ejerció la competencia prevista en el citado artículo 4 de la Ley 1882 de 2018, expidiendo el Decreto 594 de 2020, el cual adoptó los</w:t>
      </w:r>
      <w:r>
        <w:rPr>
          <w:color w:val="0C0C0C"/>
          <w:spacing w:val="-14"/>
        </w:rPr>
        <w:t xml:space="preserve"> </w:t>
      </w:r>
      <w:r>
        <w:rPr>
          <w:color w:val="0C0C0C"/>
        </w:rPr>
        <w:t>documentos</w:t>
      </w:r>
      <w:r>
        <w:rPr>
          <w:color w:val="0C0C0C"/>
          <w:spacing w:val="-14"/>
        </w:rPr>
        <w:t xml:space="preserve"> </w:t>
      </w:r>
      <w:r>
        <w:rPr>
          <w:color w:val="0C0C0C"/>
        </w:rPr>
        <w:t>tipo</w:t>
      </w:r>
      <w:r>
        <w:rPr>
          <w:color w:val="0C0C0C"/>
          <w:spacing w:val="-14"/>
        </w:rPr>
        <w:t xml:space="preserve"> </w:t>
      </w:r>
      <w:r>
        <w:rPr>
          <w:color w:val="0C0C0C"/>
        </w:rPr>
        <w:t>para</w:t>
      </w:r>
      <w:r>
        <w:rPr>
          <w:color w:val="0C0C0C"/>
          <w:spacing w:val="-14"/>
        </w:rPr>
        <w:t xml:space="preserve"> </w:t>
      </w:r>
      <w:r>
        <w:rPr>
          <w:color w:val="0C0C0C"/>
        </w:rPr>
        <w:t>procesos</w:t>
      </w:r>
      <w:r>
        <w:rPr>
          <w:color w:val="0C0C0C"/>
          <w:spacing w:val="-14"/>
        </w:rPr>
        <w:t xml:space="preserve"> </w:t>
      </w:r>
      <w:r>
        <w:rPr>
          <w:color w:val="0C0C0C"/>
        </w:rPr>
        <w:t>de</w:t>
      </w:r>
      <w:r>
        <w:rPr>
          <w:color w:val="0C0C0C"/>
          <w:spacing w:val="-14"/>
        </w:rPr>
        <w:t xml:space="preserve"> </w:t>
      </w:r>
      <w:r>
        <w:rPr>
          <w:color w:val="0C0C0C"/>
        </w:rPr>
        <w:t>contratación</w:t>
      </w:r>
      <w:r>
        <w:rPr>
          <w:color w:val="0C0C0C"/>
          <w:spacing w:val="-14"/>
        </w:rPr>
        <w:t xml:space="preserve"> </w:t>
      </w:r>
      <w:r>
        <w:rPr>
          <w:color w:val="0C0C0C"/>
        </w:rPr>
        <w:t>de</w:t>
      </w:r>
      <w:r>
        <w:rPr>
          <w:color w:val="0C0C0C"/>
          <w:spacing w:val="-14"/>
        </w:rPr>
        <w:t xml:space="preserve"> </w:t>
      </w:r>
      <w:r>
        <w:rPr>
          <w:color w:val="0C0C0C"/>
        </w:rPr>
        <w:t>obra</w:t>
      </w:r>
      <w:r>
        <w:rPr>
          <w:color w:val="0C0C0C"/>
          <w:spacing w:val="-14"/>
        </w:rPr>
        <w:t xml:space="preserve"> </w:t>
      </w:r>
      <w:r>
        <w:rPr>
          <w:color w:val="0C0C0C"/>
        </w:rPr>
        <w:t>pública</w:t>
      </w:r>
      <w:r>
        <w:rPr>
          <w:color w:val="0C0C0C"/>
          <w:spacing w:val="-14"/>
        </w:rPr>
        <w:t xml:space="preserve"> </w:t>
      </w:r>
      <w:r>
        <w:rPr>
          <w:color w:val="0C0C0C"/>
        </w:rPr>
        <w:t>de</w:t>
      </w:r>
      <w:r>
        <w:rPr>
          <w:color w:val="0C0C0C"/>
          <w:spacing w:val="-14"/>
        </w:rPr>
        <w:t xml:space="preserve"> </w:t>
      </w:r>
      <w:r>
        <w:rPr>
          <w:color w:val="0C0C0C"/>
        </w:rPr>
        <w:t>infraestructura</w:t>
      </w:r>
      <w:r>
        <w:rPr>
          <w:color w:val="0C0C0C"/>
          <w:spacing w:val="-14"/>
        </w:rPr>
        <w:t xml:space="preserve"> </w:t>
      </w:r>
      <w:r>
        <w:rPr>
          <w:color w:val="0C0C0C"/>
        </w:rPr>
        <w:t>de transporte</w:t>
      </w:r>
      <w:r>
        <w:rPr>
          <w:color w:val="0C0C0C"/>
          <w:spacing w:val="-8"/>
        </w:rPr>
        <w:t xml:space="preserve"> </w:t>
      </w:r>
      <w:r>
        <w:rPr>
          <w:color w:val="0C0C0C"/>
        </w:rPr>
        <w:t>adelantados</w:t>
      </w:r>
      <w:r>
        <w:rPr>
          <w:color w:val="0C0C0C"/>
          <w:spacing w:val="-9"/>
        </w:rPr>
        <w:t xml:space="preserve"> </w:t>
      </w:r>
      <w:r>
        <w:rPr>
          <w:color w:val="0C0C0C"/>
        </w:rPr>
        <w:t>en</w:t>
      </w:r>
      <w:r>
        <w:rPr>
          <w:color w:val="0C0C0C"/>
          <w:spacing w:val="-10"/>
        </w:rPr>
        <w:t xml:space="preserve"> </w:t>
      </w:r>
      <w:r>
        <w:rPr>
          <w:color w:val="0C0C0C"/>
        </w:rPr>
        <w:t>la</w:t>
      </w:r>
      <w:r>
        <w:rPr>
          <w:color w:val="0C0C0C"/>
          <w:spacing w:val="-10"/>
        </w:rPr>
        <w:t xml:space="preserve"> </w:t>
      </w:r>
      <w:r>
        <w:rPr>
          <w:color w:val="0C0C0C"/>
        </w:rPr>
        <w:t>modalidad</w:t>
      </w:r>
      <w:r>
        <w:rPr>
          <w:color w:val="0C0C0C"/>
          <w:spacing w:val="-10"/>
        </w:rPr>
        <w:t xml:space="preserve"> </w:t>
      </w:r>
      <w:r>
        <w:rPr>
          <w:color w:val="0C0C0C"/>
        </w:rPr>
        <w:t>de</w:t>
      </w:r>
      <w:r>
        <w:rPr>
          <w:color w:val="0C0C0C"/>
          <w:spacing w:val="-10"/>
        </w:rPr>
        <w:t xml:space="preserve"> </w:t>
      </w:r>
      <w:r>
        <w:rPr>
          <w:color w:val="0C0C0C"/>
        </w:rPr>
        <w:t>mínima</w:t>
      </w:r>
      <w:r>
        <w:rPr>
          <w:color w:val="0C0C0C"/>
          <w:spacing w:val="-10"/>
        </w:rPr>
        <w:t xml:space="preserve"> </w:t>
      </w:r>
      <w:r>
        <w:rPr>
          <w:color w:val="0C0C0C"/>
        </w:rPr>
        <w:t>cuantía.</w:t>
      </w:r>
      <w:r>
        <w:rPr>
          <w:color w:val="0C0C0C"/>
          <w:spacing w:val="-10"/>
        </w:rPr>
        <w:t xml:space="preserve"> </w:t>
      </w:r>
      <w:r>
        <w:rPr>
          <w:color w:val="0C0C0C"/>
        </w:rPr>
        <w:t>Este</w:t>
      </w:r>
      <w:r>
        <w:rPr>
          <w:color w:val="0C0C0C"/>
          <w:spacing w:val="-9"/>
        </w:rPr>
        <w:t xml:space="preserve"> </w:t>
      </w:r>
      <w:r>
        <w:rPr>
          <w:color w:val="0C0C0C"/>
        </w:rPr>
        <w:t>reglamento</w:t>
      </w:r>
      <w:r>
        <w:rPr>
          <w:color w:val="0C0C0C"/>
          <w:spacing w:val="-9"/>
        </w:rPr>
        <w:t xml:space="preserve"> </w:t>
      </w:r>
      <w:r>
        <w:rPr>
          <w:color w:val="0C0C0C"/>
        </w:rPr>
        <w:t>adicionó</w:t>
      </w:r>
      <w:r>
        <w:rPr>
          <w:color w:val="0C0C0C"/>
          <w:spacing w:val="-10"/>
        </w:rPr>
        <w:t xml:space="preserve"> </w:t>
      </w:r>
      <w:r>
        <w:rPr>
          <w:color w:val="0C0C0C"/>
        </w:rPr>
        <w:t>la Subsección 3 a la Sección 6 del Capítulo 2 del Título 1 de la parte 2 del Libro 2 del Decreto 1082 de</w:t>
      </w:r>
      <w:r>
        <w:rPr>
          <w:color w:val="0C0C0C"/>
          <w:spacing w:val="-4"/>
        </w:rPr>
        <w:t xml:space="preserve"> </w:t>
      </w:r>
      <w:r>
        <w:rPr>
          <w:color w:val="0C0C0C"/>
        </w:rPr>
        <w:t>2015.</w:t>
      </w:r>
    </w:p>
    <w:p w14:paraId="0AB57067" w14:textId="77777777" w:rsidR="00653510" w:rsidRDefault="00390730">
      <w:pPr>
        <w:pStyle w:val="Textoindependiente"/>
        <w:spacing w:before="120" w:line="276" w:lineRule="auto"/>
        <w:ind w:left="100" w:right="533" w:firstLine="708"/>
        <w:jc w:val="both"/>
      </w:pPr>
      <w:r>
        <w:rPr>
          <w:color w:val="0C0C0C"/>
        </w:rPr>
        <w:t>El artículo 2.2.1.2.6.3.2 del Decreto 1082 de 2015 contiene el listado de los documentos tipo aplicables a los procesos de mínima cuantía para la contratación de obra pública de infraestructura de transporte, mientras que el 2.2.1.2.6.3.3 facultó a la Agencia Nacional de Contratación Pública – Colombia Compra Eficiente, para que en coordinación con el Departamento Nacional de Planeación –DNP– y el Ministerio de Transporte, desarrollara e implementara los documentos tipo. Esta competencia fue ejercida mediante la expedición de la Resolución No. 094 del 21 de mayo de 2020 que implementó los documentos tipo para esta modalidad de selección.</w:t>
      </w:r>
    </w:p>
    <w:p w14:paraId="6DA5E4F3" w14:textId="77777777" w:rsidR="00653510" w:rsidRDefault="00390730">
      <w:pPr>
        <w:pStyle w:val="Textoindependiente"/>
        <w:spacing w:before="120" w:line="276" w:lineRule="auto"/>
        <w:ind w:left="100" w:right="534" w:firstLine="708"/>
        <w:jc w:val="both"/>
      </w:pPr>
      <w:r>
        <w:rPr>
          <w:color w:val="0C0C0C"/>
        </w:rPr>
        <w:t>Ahora bien, esta Agencia consciente de la afectación económica que causaron las medidas adoptadas para contener la pandemia COVID – 19 en el país, decide actualizar</w:t>
      </w:r>
      <w:r>
        <w:rPr>
          <w:color w:val="0C0C0C"/>
          <w:spacing w:val="-18"/>
        </w:rPr>
        <w:t xml:space="preserve"> </w:t>
      </w:r>
      <w:r>
        <w:rPr>
          <w:color w:val="0C0C0C"/>
        </w:rPr>
        <w:t>los</w:t>
      </w:r>
      <w:r>
        <w:rPr>
          <w:color w:val="0C0C0C"/>
          <w:spacing w:val="-18"/>
        </w:rPr>
        <w:t xml:space="preserve"> </w:t>
      </w:r>
      <w:r>
        <w:rPr>
          <w:color w:val="0C0C0C"/>
        </w:rPr>
        <w:t>documentos</w:t>
      </w:r>
      <w:r>
        <w:rPr>
          <w:color w:val="0C0C0C"/>
          <w:spacing w:val="-18"/>
        </w:rPr>
        <w:t xml:space="preserve"> </w:t>
      </w:r>
      <w:r>
        <w:rPr>
          <w:color w:val="0C0C0C"/>
        </w:rPr>
        <w:t>tipo</w:t>
      </w:r>
      <w:r>
        <w:rPr>
          <w:color w:val="0C0C0C"/>
          <w:spacing w:val="-18"/>
        </w:rPr>
        <w:t xml:space="preserve"> </w:t>
      </w:r>
      <w:r>
        <w:rPr>
          <w:color w:val="0C0C0C"/>
        </w:rPr>
        <w:t>para</w:t>
      </w:r>
      <w:r>
        <w:rPr>
          <w:color w:val="0C0C0C"/>
          <w:spacing w:val="-18"/>
        </w:rPr>
        <w:t xml:space="preserve"> </w:t>
      </w:r>
      <w:r>
        <w:rPr>
          <w:color w:val="0C0C0C"/>
        </w:rPr>
        <w:t>los</w:t>
      </w:r>
      <w:r>
        <w:rPr>
          <w:color w:val="0C0C0C"/>
          <w:spacing w:val="-18"/>
        </w:rPr>
        <w:t xml:space="preserve"> </w:t>
      </w:r>
      <w:r>
        <w:rPr>
          <w:color w:val="0C0C0C"/>
        </w:rPr>
        <w:t>procesos</w:t>
      </w:r>
      <w:r>
        <w:rPr>
          <w:color w:val="0C0C0C"/>
          <w:spacing w:val="-17"/>
        </w:rPr>
        <w:t xml:space="preserve"> </w:t>
      </w:r>
      <w:r>
        <w:rPr>
          <w:color w:val="0C0C0C"/>
        </w:rPr>
        <w:t>de</w:t>
      </w:r>
      <w:r>
        <w:rPr>
          <w:color w:val="0C0C0C"/>
          <w:spacing w:val="-18"/>
        </w:rPr>
        <w:t xml:space="preserve"> </w:t>
      </w:r>
      <w:r>
        <w:rPr>
          <w:color w:val="0C0C0C"/>
        </w:rPr>
        <w:t>licitación</w:t>
      </w:r>
      <w:r>
        <w:rPr>
          <w:color w:val="0C0C0C"/>
          <w:spacing w:val="-18"/>
        </w:rPr>
        <w:t xml:space="preserve"> </w:t>
      </w:r>
      <w:r>
        <w:rPr>
          <w:color w:val="0C0C0C"/>
        </w:rPr>
        <w:t>de</w:t>
      </w:r>
      <w:r>
        <w:rPr>
          <w:color w:val="0C0C0C"/>
          <w:spacing w:val="-18"/>
        </w:rPr>
        <w:t xml:space="preserve"> </w:t>
      </w:r>
      <w:r>
        <w:rPr>
          <w:color w:val="0C0C0C"/>
        </w:rPr>
        <w:t>obra</w:t>
      </w:r>
      <w:r>
        <w:rPr>
          <w:color w:val="0C0C0C"/>
          <w:spacing w:val="-18"/>
        </w:rPr>
        <w:t xml:space="preserve"> </w:t>
      </w:r>
      <w:r>
        <w:rPr>
          <w:color w:val="0C0C0C"/>
        </w:rPr>
        <w:t>pública</w:t>
      </w:r>
      <w:r>
        <w:rPr>
          <w:color w:val="0C0C0C"/>
          <w:spacing w:val="-18"/>
        </w:rPr>
        <w:t xml:space="preserve"> </w:t>
      </w:r>
      <w:r>
        <w:rPr>
          <w:color w:val="0C0C0C"/>
        </w:rPr>
        <w:t>y</w:t>
      </w:r>
      <w:r>
        <w:rPr>
          <w:color w:val="0C0C0C"/>
          <w:spacing w:val="-18"/>
        </w:rPr>
        <w:t xml:space="preserve"> </w:t>
      </w:r>
      <w:r>
        <w:rPr>
          <w:color w:val="0C0C0C"/>
        </w:rPr>
        <w:t>selección abreviada</w:t>
      </w:r>
      <w:r>
        <w:rPr>
          <w:color w:val="0C0C0C"/>
          <w:spacing w:val="-14"/>
        </w:rPr>
        <w:t xml:space="preserve"> </w:t>
      </w:r>
      <w:r>
        <w:rPr>
          <w:color w:val="0C0C0C"/>
        </w:rPr>
        <w:t>de</w:t>
      </w:r>
      <w:r>
        <w:rPr>
          <w:color w:val="0C0C0C"/>
          <w:spacing w:val="-13"/>
        </w:rPr>
        <w:t xml:space="preserve"> </w:t>
      </w:r>
      <w:r>
        <w:rPr>
          <w:color w:val="0C0C0C"/>
        </w:rPr>
        <w:t>menor</w:t>
      </w:r>
      <w:r>
        <w:rPr>
          <w:color w:val="0C0C0C"/>
          <w:spacing w:val="-14"/>
        </w:rPr>
        <w:t xml:space="preserve"> </w:t>
      </w:r>
      <w:r>
        <w:rPr>
          <w:color w:val="0C0C0C"/>
        </w:rPr>
        <w:t>cuantía</w:t>
      </w:r>
      <w:r>
        <w:rPr>
          <w:color w:val="0C0C0C"/>
          <w:spacing w:val="-13"/>
        </w:rPr>
        <w:t xml:space="preserve"> </w:t>
      </w:r>
      <w:r>
        <w:rPr>
          <w:color w:val="0C0C0C"/>
        </w:rPr>
        <w:t>de</w:t>
      </w:r>
      <w:r>
        <w:rPr>
          <w:color w:val="0C0C0C"/>
          <w:spacing w:val="-14"/>
        </w:rPr>
        <w:t xml:space="preserve"> </w:t>
      </w:r>
      <w:r>
        <w:rPr>
          <w:color w:val="0C0C0C"/>
        </w:rPr>
        <w:t>infraestructura</w:t>
      </w:r>
      <w:r>
        <w:rPr>
          <w:color w:val="0C0C0C"/>
          <w:spacing w:val="-13"/>
        </w:rPr>
        <w:t xml:space="preserve"> </w:t>
      </w:r>
      <w:r>
        <w:rPr>
          <w:color w:val="0C0C0C"/>
        </w:rPr>
        <w:t>de</w:t>
      </w:r>
      <w:r>
        <w:rPr>
          <w:color w:val="0C0C0C"/>
          <w:spacing w:val="-14"/>
        </w:rPr>
        <w:t xml:space="preserve"> </w:t>
      </w:r>
      <w:r>
        <w:rPr>
          <w:color w:val="0C0C0C"/>
        </w:rPr>
        <w:t>transporte</w:t>
      </w:r>
      <w:r>
        <w:rPr>
          <w:color w:val="0C0C0C"/>
          <w:spacing w:val="-11"/>
        </w:rPr>
        <w:t xml:space="preserve"> </w:t>
      </w:r>
      <w:r>
        <w:rPr>
          <w:color w:val="0C0C0C"/>
        </w:rPr>
        <w:t>y,</w:t>
      </w:r>
      <w:r>
        <w:rPr>
          <w:color w:val="0C0C0C"/>
          <w:spacing w:val="-14"/>
        </w:rPr>
        <w:t xml:space="preserve"> </w:t>
      </w:r>
      <w:r>
        <w:rPr>
          <w:color w:val="0C0C0C"/>
        </w:rPr>
        <w:t>en</w:t>
      </w:r>
      <w:r>
        <w:rPr>
          <w:color w:val="0C0C0C"/>
          <w:spacing w:val="-13"/>
        </w:rPr>
        <w:t xml:space="preserve"> </w:t>
      </w:r>
      <w:r>
        <w:rPr>
          <w:color w:val="0C0C0C"/>
        </w:rPr>
        <w:t>consecuencia,</w:t>
      </w:r>
      <w:r>
        <w:rPr>
          <w:color w:val="0C0C0C"/>
          <w:spacing w:val="-13"/>
        </w:rPr>
        <w:t xml:space="preserve"> </w:t>
      </w:r>
      <w:r>
        <w:rPr>
          <w:color w:val="0C0C0C"/>
        </w:rPr>
        <w:t>adopta medidas</w:t>
      </w:r>
      <w:r>
        <w:rPr>
          <w:color w:val="0C0C0C"/>
          <w:spacing w:val="-6"/>
        </w:rPr>
        <w:t xml:space="preserve"> </w:t>
      </w:r>
      <w:r>
        <w:rPr>
          <w:color w:val="0C0C0C"/>
        </w:rPr>
        <w:t>en</w:t>
      </w:r>
      <w:r>
        <w:rPr>
          <w:color w:val="0C0C0C"/>
          <w:spacing w:val="-5"/>
        </w:rPr>
        <w:t xml:space="preserve"> </w:t>
      </w:r>
      <w:r>
        <w:rPr>
          <w:color w:val="0C0C0C"/>
        </w:rPr>
        <w:t>apoyo</w:t>
      </w:r>
      <w:r>
        <w:rPr>
          <w:color w:val="0C0C0C"/>
          <w:spacing w:val="-5"/>
        </w:rPr>
        <w:t xml:space="preserve"> </w:t>
      </w:r>
      <w:r>
        <w:rPr>
          <w:color w:val="0C0C0C"/>
        </w:rPr>
        <w:t>a</w:t>
      </w:r>
      <w:r>
        <w:rPr>
          <w:color w:val="0C0C0C"/>
          <w:spacing w:val="-5"/>
        </w:rPr>
        <w:t xml:space="preserve"> </w:t>
      </w:r>
      <w:r>
        <w:rPr>
          <w:color w:val="0C0C0C"/>
        </w:rPr>
        <w:t>la</w:t>
      </w:r>
      <w:r>
        <w:rPr>
          <w:color w:val="0C0C0C"/>
          <w:spacing w:val="-6"/>
        </w:rPr>
        <w:t xml:space="preserve"> </w:t>
      </w:r>
      <w:r>
        <w:rPr>
          <w:color w:val="0C0C0C"/>
        </w:rPr>
        <w:t>industria</w:t>
      </w:r>
      <w:r>
        <w:rPr>
          <w:color w:val="0C0C0C"/>
          <w:spacing w:val="-5"/>
        </w:rPr>
        <w:t xml:space="preserve"> </w:t>
      </w:r>
      <w:r>
        <w:rPr>
          <w:color w:val="0C0C0C"/>
        </w:rPr>
        <w:t>nacional.</w:t>
      </w:r>
      <w:r>
        <w:rPr>
          <w:color w:val="0C0C0C"/>
          <w:spacing w:val="-5"/>
        </w:rPr>
        <w:t xml:space="preserve"> </w:t>
      </w:r>
      <w:r>
        <w:rPr>
          <w:color w:val="0C0C0C"/>
        </w:rPr>
        <w:t>Por</w:t>
      </w:r>
      <w:r>
        <w:rPr>
          <w:color w:val="0C0C0C"/>
          <w:spacing w:val="-5"/>
        </w:rPr>
        <w:t xml:space="preserve"> </w:t>
      </w:r>
      <w:r>
        <w:rPr>
          <w:color w:val="0C0C0C"/>
        </w:rPr>
        <w:t>tanto,</w:t>
      </w:r>
      <w:r>
        <w:rPr>
          <w:color w:val="0C0C0C"/>
          <w:spacing w:val="-5"/>
        </w:rPr>
        <w:t xml:space="preserve"> </w:t>
      </w:r>
      <w:r>
        <w:rPr>
          <w:color w:val="0C0C0C"/>
        </w:rPr>
        <w:t>Colombia</w:t>
      </w:r>
      <w:r>
        <w:rPr>
          <w:color w:val="0C0C0C"/>
          <w:spacing w:val="-5"/>
        </w:rPr>
        <w:t xml:space="preserve"> </w:t>
      </w:r>
      <w:r>
        <w:rPr>
          <w:color w:val="0C0C0C"/>
        </w:rPr>
        <w:t>Compra</w:t>
      </w:r>
      <w:r>
        <w:rPr>
          <w:color w:val="0C0C0C"/>
          <w:spacing w:val="-5"/>
        </w:rPr>
        <w:t xml:space="preserve"> </w:t>
      </w:r>
      <w:r>
        <w:rPr>
          <w:color w:val="0C0C0C"/>
        </w:rPr>
        <w:t>Eficiente</w:t>
      </w:r>
      <w:r>
        <w:rPr>
          <w:color w:val="0C0C0C"/>
          <w:spacing w:val="-3"/>
        </w:rPr>
        <w:t xml:space="preserve"> </w:t>
      </w:r>
      <w:r>
        <w:rPr>
          <w:color w:val="0C0C0C"/>
        </w:rPr>
        <w:t>expide las Resoluciones No. 240 y 241 del 27 de noviembre 2020 a través de las cuales se adoptan los documentos tipo de licitación de obra pública – versión 3 y de selección abreviada de menor cuantía – versión 2 de infraestructura de transporte, lo cuales son obligatorios a partir del 1º de enero de</w:t>
      </w:r>
      <w:r>
        <w:rPr>
          <w:color w:val="0C0C0C"/>
          <w:spacing w:val="-12"/>
        </w:rPr>
        <w:t xml:space="preserve"> </w:t>
      </w:r>
      <w:r>
        <w:rPr>
          <w:color w:val="0C0C0C"/>
        </w:rPr>
        <w:t>2021.</w:t>
      </w:r>
    </w:p>
    <w:p w14:paraId="104D2DB3" w14:textId="77777777" w:rsidR="00653510" w:rsidRDefault="00653510">
      <w:pPr>
        <w:pStyle w:val="Textoindependiente"/>
        <w:spacing w:before="3"/>
        <w:rPr>
          <w:sz w:val="25"/>
        </w:rPr>
      </w:pPr>
    </w:p>
    <w:p w14:paraId="7BDEE365" w14:textId="77777777" w:rsidR="00653510" w:rsidRDefault="00390730">
      <w:pPr>
        <w:pStyle w:val="Ttulo1"/>
        <w:numPr>
          <w:ilvl w:val="1"/>
          <w:numId w:val="3"/>
        </w:numPr>
        <w:tabs>
          <w:tab w:val="left" w:pos="518"/>
        </w:tabs>
        <w:spacing w:line="276" w:lineRule="auto"/>
        <w:ind w:left="100" w:right="534" w:firstLine="0"/>
      </w:pPr>
      <w:r>
        <w:t>Estudios</w:t>
      </w:r>
      <w:r>
        <w:rPr>
          <w:spacing w:val="-16"/>
        </w:rPr>
        <w:t xml:space="preserve"> </w:t>
      </w:r>
      <w:r>
        <w:t>previos</w:t>
      </w:r>
      <w:r>
        <w:rPr>
          <w:spacing w:val="-17"/>
        </w:rPr>
        <w:t xml:space="preserve"> </w:t>
      </w:r>
      <w:r>
        <w:t>en</w:t>
      </w:r>
      <w:r>
        <w:rPr>
          <w:spacing w:val="-17"/>
        </w:rPr>
        <w:t xml:space="preserve"> </w:t>
      </w:r>
      <w:r>
        <w:t>los</w:t>
      </w:r>
      <w:r>
        <w:rPr>
          <w:spacing w:val="-18"/>
        </w:rPr>
        <w:t xml:space="preserve"> </w:t>
      </w:r>
      <w:r>
        <w:t>procedimientos</w:t>
      </w:r>
      <w:r>
        <w:rPr>
          <w:spacing w:val="-15"/>
        </w:rPr>
        <w:t xml:space="preserve"> </w:t>
      </w:r>
      <w:r>
        <w:t>de</w:t>
      </w:r>
      <w:r>
        <w:rPr>
          <w:spacing w:val="-18"/>
        </w:rPr>
        <w:t xml:space="preserve"> </w:t>
      </w:r>
      <w:r>
        <w:t>selección</w:t>
      </w:r>
      <w:r>
        <w:rPr>
          <w:spacing w:val="-17"/>
        </w:rPr>
        <w:t xml:space="preserve"> </w:t>
      </w:r>
      <w:r>
        <w:t>regidos</w:t>
      </w:r>
      <w:r>
        <w:rPr>
          <w:spacing w:val="-18"/>
        </w:rPr>
        <w:t xml:space="preserve"> </w:t>
      </w:r>
      <w:r>
        <w:t>por</w:t>
      </w:r>
      <w:r>
        <w:rPr>
          <w:spacing w:val="-17"/>
        </w:rPr>
        <w:t xml:space="preserve"> </w:t>
      </w:r>
      <w:r>
        <w:t>documentos tipo</w:t>
      </w:r>
    </w:p>
    <w:p w14:paraId="30C6A2D0" w14:textId="77777777" w:rsidR="00653510" w:rsidRDefault="00653510">
      <w:pPr>
        <w:pStyle w:val="Textoindependiente"/>
        <w:spacing w:before="3"/>
        <w:rPr>
          <w:b/>
          <w:sz w:val="25"/>
        </w:rPr>
      </w:pPr>
    </w:p>
    <w:p w14:paraId="4F60C89F" w14:textId="77777777" w:rsidR="00653510" w:rsidRDefault="00390730">
      <w:pPr>
        <w:pStyle w:val="Textoindependiente"/>
        <w:spacing w:line="276" w:lineRule="auto"/>
        <w:ind w:left="100" w:right="533"/>
        <w:jc w:val="both"/>
      </w:pPr>
      <w:r>
        <w:t>El</w:t>
      </w:r>
      <w:r>
        <w:rPr>
          <w:spacing w:val="-9"/>
        </w:rPr>
        <w:t xml:space="preserve"> </w:t>
      </w:r>
      <w:r>
        <w:t>artículo</w:t>
      </w:r>
      <w:r>
        <w:rPr>
          <w:spacing w:val="-8"/>
        </w:rPr>
        <w:t xml:space="preserve"> </w:t>
      </w:r>
      <w:r>
        <w:t>4</w:t>
      </w:r>
      <w:r>
        <w:rPr>
          <w:spacing w:val="-9"/>
        </w:rPr>
        <w:t xml:space="preserve"> </w:t>
      </w:r>
      <w:r>
        <w:t>de</w:t>
      </w:r>
      <w:r>
        <w:rPr>
          <w:spacing w:val="-8"/>
        </w:rPr>
        <w:t xml:space="preserve"> </w:t>
      </w:r>
      <w:r>
        <w:t>la</w:t>
      </w:r>
      <w:r>
        <w:rPr>
          <w:spacing w:val="-9"/>
        </w:rPr>
        <w:t xml:space="preserve"> </w:t>
      </w:r>
      <w:r>
        <w:t>Ley</w:t>
      </w:r>
      <w:r>
        <w:rPr>
          <w:spacing w:val="-8"/>
        </w:rPr>
        <w:t xml:space="preserve"> </w:t>
      </w:r>
      <w:r>
        <w:t>1882</w:t>
      </w:r>
      <w:r>
        <w:rPr>
          <w:spacing w:val="-9"/>
        </w:rPr>
        <w:t xml:space="preserve"> </w:t>
      </w:r>
      <w:r>
        <w:t>de</w:t>
      </w:r>
      <w:r>
        <w:rPr>
          <w:spacing w:val="-8"/>
        </w:rPr>
        <w:t xml:space="preserve"> </w:t>
      </w:r>
      <w:r>
        <w:t>2018</w:t>
      </w:r>
      <w:r>
        <w:rPr>
          <w:spacing w:val="-9"/>
        </w:rPr>
        <w:t xml:space="preserve"> </w:t>
      </w:r>
      <w:r>
        <w:t>establece</w:t>
      </w:r>
      <w:r>
        <w:rPr>
          <w:spacing w:val="-8"/>
        </w:rPr>
        <w:t xml:space="preserve"> </w:t>
      </w:r>
      <w:r>
        <w:t>que</w:t>
      </w:r>
      <w:r>
        <w:rPr>
          <w:spacing w:val="-9"/>
        </w:rPr>
        <w:t xml:space="preserve"> </w:t>
      </w:r>
      <w:r>
        <w:t>la</w:t>
      </w:r>
      <w:r>
        <w:rPr>
          <w:spacing w:val="-8"/>
        </w:rPr>
        <w:t xml:space="preserve"> </w:t>
      </w:r>
      <w:r>
        <w:t>Agencia</w:t>
      </w:r>
      <w:r>
        <w:rPr>
          <w:spacing w:val="-8"/>
        </w:rPr>
        <w:t xml:space="preserve"> </w:t>
      </w:r>
      <w:r>
        <w:t>Nacional</w:t>
      </w:r>
      <w:r>
        <w:rPr>
          <w:spacing w:val="-8"/>
        </w:rPr>
        <w:t xml:space="preserve"> </w:t>
      </w:r>
      <w:r>
        <w:t>de</w:t>
      </w:r>
      <w:r>
        <w:rPr>
          <w:spacing w:val="-9"/>
        </w:rPr>
        <w:t xml:space="preserve"> </w:t>
      </w:r>
      <w:r>
        <w:t>Contratación Pública Colombia Compra Eficiente «o quien haga sus veces, adoptará documentos tipo»</w:t>
      </w:r>
      <w:r>
        <w:rPr>
          <w:spacing w:val="-15"/>
        </w:rPr>
        <w:t xml:space="preserve"> </w:t>
      </w:r>
      <w:r>
        <w:t>y</w:t>
      </w:r>
      <w:r>
        <w:rPr>
          <w:spacing w:val="-14"/>
        </w:rPr>
        <w:t xml:space="preserve"> </w:t>
      </w:r>
      <w:r>
        <w:t>que</w:t>
      </w:r>
      <w:r>
        <w:rPr>
          <w:spacing w:val="-14"/>
        </w:rPr>
        <w:t xml:space="preserve"> </w:t>
      </w:r>
      <w:r>
        <w:t>estos</w:t>
      </w:r>
      <w:r>
        <w:rPr>
          <w:spacing w:val="-14"/>
        </w:rPr>
        <w:t xml:space="preserve"> </w:t>
      </w:r>
      <w:r>
        <w:t>«serán</w:t>
      </w:r>
      <w:r>
        <w:rPr>
          <w:spacing w:val="-14"/>
        </w:rPr>
        <w:t xml:space="preserve"> </w:t>
      </w:r>
      <w:r>
        <w:t>de</w:t>
      </w:r>
      <w:r>
        <w:rPr>
          <w:spacing w:val="-14"/>
        </w:rPr>
        <w:t xml:space="preserve"> </w:t>
      </w:r>
      <w:r>
        <w:t>obligatorio</w:t>
      </w:r>
      <w:r>
        <w:rPr>
          <w:spacing w:val="-14"/>
        </w:rPr>
        <w:t xml:space="preserve"> </w:t>
      </w:r>
      <w:r>
        <w:t>cumplimiento</w:t>
      </w:r>
      <w:r>
        <w:rPr>
          <w:spacing w:val="-14"/>
        </w:rPr>
        <w:t xml:space="preserve"> </w:t>
      </w:r>
      <w:r>
        <w:t>en</w:t>
      </w:r>
      <w:r>
        <w:rPr>
          <w:spacing w:val="-14"/>
        </w:rPr>
        <w:t xml:space="preserve"> </w:t>
      </w:r>
      <w:r>
        <w:t>la</w:t>
      </w:r>
      <w:r>
        <w:rPr>
          <w:spacing w:val="-14"/>
        </w:rPr>
        <w:t xml:space="preserve"> </w:t>
      </w:r>
      <w:r>
        <w:t>actividad</w:t>
      </w:r>
      <w:r>
        <w:rPr>
          <w:spacing w:val="-14"/>
        </w:rPr>
        <w:t xml:space="preserve"> </w:t>
      </w:r>
      <w:r>
        <w:t>contractual</w:t>
      </w:r>
      <w:r>
        <w:rPr>
          <w:spacing w:val="-14"/>
        </w:rPr>
        <w:t xml:space="preserve"> </w:t>
      </w:r>
      <w:r>
        <w:t>de</w:t>
      </w:r>
      <w:r>
        <w:rPr>
          <w:spacing w:val="-14"/>
        </w:rPr>
        <w:t xml:space="preserve"> </w:t>
      </w:r>
      <w:r>
        <w:t>todas las entidades sometidas al Estatuto General de Contratación de la Administración Pública». Adicionalmente, frente a su contenido, dispone que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w:t>
      </w:r>
      <w:r>
        <w:rPr>
          <w:spacing w:val="-14"/>
        </w:rPr>
        <w:t xml:space="preserve"> </w:t>
      </w:r>
      <w:r>
        <w:t>pública».</w:t>
      </w:r>
    </w:p>
    <w:p w14:paraId="4EFD6B67" w14:textId="77777777" w:rsidR="00653510" w:rsidRDefault="00653510">
      <w:pPr>
        <w:spacing w:line="276" w:lineRule="auto"/>
        <w:jc w:val="both"/>
        <w:sectPr w:rsidR="00653510">
          <w:pgSz w:w="11900" w:h="16820"/>
          <w:pgMar w:top="1340" w:right="1160" w:bottom="2180" w:left="1600" w:header="0" w:footer="1962" w:gutter="0"/>
          <w:cols w:space="720"/>
        </w:sectPr>
      </w:pPr>
    </w:p>
    <w:p w14:paraId="6B0E40FB" w14:textId="77777777" w:rsidR="00653510" w:rsidRDefault="00390730">
      <w:pPr>
        <w:pStyle w:val="Textoindependiente"/>
        <w:spacing w:before="70" w:line="276" w:lineRule="auto"/>
        <w:ind w:left="100" w:right="533" w:firstLine="708"/>
        <w:jc w:val="both"/>
      </w:pPr>
      <w:r>
        <w:lastRenderedPageBreak/>
        <w:t>Los documentos tipo estandarizaron los diferentes requisitos habilitantes, estableciendo para los procesos de licitación pública y selección abreviada los siguientes: i) capacidad jurídica; ii) existencia y representación legal; iii) certificación de pagos de seguridad social y aportes legales; iv) experiencia; v) visita al sitio de la obra;</w:t>
      </w:r>
    </w:p>
    <w:p w14:paraId="1CDFD2F9" w14:textId="77777777" w:rsidR="00653510" w:rsidRDefault="00390730">
      <w:pPr>
        <w:pStyle w:val="Prrafodelista"/>
        <w:numPr>
          <w:ilvl w:val="0"/>
          <w:numId w:val="1"/>
        </w:numPr>
        <w:tabs>
          <w:tab w:val="left" w:pos="443"/>
        </w:tabs>
        <w:spacing w:line="276" w:lineRule="auto"/>
        <w:ind w:left="100" w:right="534" w:firstLine="0"/>
        <w:jc w:val="both"/>
      </w:pPr>
      <w:r>
        <w:t>capacidad financiera; vii) capital de trabajo; viii) capacidad organizacional; y ix) capacidad residual. Para los procesos de mínima cuantía se fijaron los requisitos de: i) capacidad jurídica; ii) existencia y representación legal; iii) certificación de pagos de seguridad social y aportes legales; iv) experiencia; v) capacidad financiera; y vi) capacidad</w:t>
      </w:r>
      <w:r>
        <w:rPr>
          <w:spacing w:val="-1"/>
        </w:rPr>
        <w:t xml:space="preserve"> </w:t>
      </w:r>
      <w:r>
        <w:t>residual.</w:t>
      </w:r>
    </w:p>
    <w:p w14:paraId="51AD629D" w14:textId="77777777" w:rsidR="00653510" w:rsidRDefault="00390730">
      <w:pPr>
        <w:pStyle w:val="Textoindependiente"/>
        <w:spacing w:before="120" w:line="276" w:lineRule="auto"/>
        <w:ind w:left="100" w:right="534" w:firstLine="708"/>
        <w:jc w:val="both"/>
      </w:pPr>
      <w:r>
        <w:t>Estos requisitos se encuentran detalladamente regulados por los «Documentos Base o Pliegos Tipo» de las modalidades de licitación pública y selección abreviada, al igual que en la «Invitación» desarrollada para procesos de mínima cuantía. Esta regulación abarca desde la cuantificación del requisito exigible, hasta la forma y documentación mediante los que deben ser acreditados por los proponentes, criterios que son inmodificables e inalterables por las entidades.</w:t>
      </w:r>
    </w:p>
    <w:p w14:paraId="03ACF7CE" w14:textId="77777777" w:rsidR="00653510" w:rsidRDefault="00390730">
      <w:pPr>
        <w:pStyle w:val="Textoindependiente"/>
        <w:spacing w:before="120" w:line="276" w:lineRule="auto"/>
        <w:ind w:left="100" w:right="533" w:firstLine="709"/>
        <w:jc w:val="both"/>
      </w:pPr>
      <w:r>
        <w:t>Lo anterior no significa que la determinación de los requisitos habilitantes de los procesos</w:t>
      </w:r>
      <w:r>
        <w:rPr>
          <w:spacing w:val="-9"/>
        </w:rPr>
        <w:t xml:space="preserve"> </w:t>
      </w:r>
      <w:r>
        <w:t>adelantados</w:t>
      </w:r>
      <w:r>
        <w:rPr>
          <w:spacing w:val="-9"/>
        </w:rPr>
        <w:t xml:space="preserve"> </w:t>
      </w:r>
      <w:r>
        <w:t>con</w:t>
      </w:r>
      <w:r>
        <w:rPr>
          <w:spacing w:val="-9"/>
        </w:rPr>
        <w:t xml:space="preserve"> </w:t>
      </w:r>
      <w:r>
        <w:t>documentos</w:t>
      </w:r>
      <w:r>
        <w:rPr>
          <w:spacing w:val="-9"/>
        </w:rPr>
        <w:t xml:space="preserve"> </w:t>
      </w:r>
      <w:r>
        <w:t>tipo</w:t>
      </w:r>
      <w:r>
        <w:rPr>
          <w:spacing w:val="-8"/>
        </w:rPr>
        <w:t xml:space="preserve"> </w:t>
      </w:r>
      <w:r>
        <w:t>no</w:t>
      </w:r>
      <w:r>
        <w:rPr>
          <w:spacing w:val="-10"/>
        </w:rPr>
        <w:t xml:space="preserve"> </w:t>
      </w:r>
      <w:r>
        <w:t>exista</w:t>
      </w:r>
      <w:r>
        <w:rPr>
          <w:spacing w:val="-8"/>
        </w:rPr>
        <w:t xml:space="preserve"> </w:t>
      </w:r>
      <w:r>
        <w:t>obligación</w:t>
      </w:r>
      <w:r>
        <w:rPr>
          <w:spacing w:val="-9"/>
        </w:rPr>
        <w:t xml:space="preserve"> </w:t>
      </w:r>
      <w:r>
        <w:t>de</w:t>
      </w:r>
      <w:r>
        <w:rPr>
          <w:spacing w:val="-9"/>
        </w:rPr>
        <w:t xml:space="preserve"> </w:t>
      </w:r>
      <w:r>
        <w:t>realizar</w:t>
      </w:r>
      <w:r>
        <w:rPr>
          <w:spacing w:val="-10"/>
        </w:rPr>
        <w:t xml:space="preserve"> </w:t>
      </w:r>
      <w:r>
        <w:t>los</w:t>
      </w:r>
      <w:r>
        <w:rPr>
          <w:spacing w:val="-9"/>
        </w:rPr>
        <w:t xml:space="preserve"> </w:t>
      </w:r>
      <w:r>
        <w:t>estudios previos conforme al artículo 2.2.1.1.2.1.1 del Decreto 1082 de 2015. En efecto, el numeral</w:t>
      </w:r>
      <w:r>
        <w:rPr>
          <w:spacing w:val="-17"/>
        </w:rPr>
        <w:t xml:space="preserve"> </w:t>
      </w:r>
      <w:r>
        <w:t>1.23</w:t>
      </w:r>
      <w:r>
        <w:rPr>
          <w:spacing w:val="-16"/>
        </w:rPr>
        <w:t xml:space="preserve"> </w:t>
      </w:r>
      <w:r>
        <w:t>del</w:t>
      </w:r>
      <w:r>
        <w:rPr>
          <w:spacing w:val="-16"/>
        </w:rPr>
        <w:t xml:space="preserve"> </w:t>
      </w:r>
      <w:r>
        <w:t>«anexo</w:t>
      </w:r>
      <w:r>
        <w:rPr>
          <w:spacing w:val="-16"/>
        </w:rPr>
        <w:t xml:space="preserve"> </w:t>
      </w:r>
      <w:r>
        <w:t>3</w:t>
      </w:r>
      <w:r>
        <w:rPr>
          <w:spacing w:val="-16"/>
        </w:rPr>
        <w:t xml:space="preserve"> </w:t>
      </w:r>
      <w:r>
        <w:t>–</w:t>
      </w:r>
      <w:r>
        <w:rPr>
          <w:spacing w:val="-17"/>
        </w:rPr>
        <w:t xml:space="preserve"> </w:t>
      </w:r>
      <w:r>
        <w:t>Glosario»,</w:t>
      </w:r>
      <w:r>
        <w:rPr>
          <w:spacing w:val="-15"/>
        </w:rPr>
        <w:t xml:space="preserve"> </w:t>
      </w:r>
      <w:r>
        <w:t>define</w:t>
      </w:r>
      <w:r>
        <w:rPr>
          <w:spacing w:val="-16"/>
        </w:rPr>
        <w:t xml:space="preserve"> </w:t>
      </w:r>
      <w:r>
        <w:t>los</w:t>
      </w:r>
      <w:r>
        <w:rPr>
          <w:spacing w:val="-16"/>
        </w:rPr>
        <w:t xml:space="preserve"> </w:t>
      </w:r>
      <w:r>
        <w:t>estudios</w:t>
      </w:r>
      <w:r>
        <w:rPr>
          <w:spacing w:val="-16"/>
        </w:rPr>
        <w:t xml:space="preserve"> </w:t>
      </w:r>
      <w:r>
        <w:t>previos</w:t>
      </w:r>
      <w:r>
        <w:rPr>
          <w:spacing w:val="-17"/>
        </w:rPr>
        <w:t xml:space="preserve"> </w:t>
      </w:r>
      <w:r>
        <w:t>como</w:t>
      </w:r>
      <w:r>
        <w:rPr>
          <w:spacing w:val="-16"/>
        </w:rPr>
        <w:t xml:space="preserve"> </w:t>
      </w:r>
      <w:r>
        <w:t>«la</w:t>
      </w:r>
      <w:r>
        <w:rPr>
          <w:spacing w:val="-16"/>
        </w:rPr>
        <w:t xml:space="preserve"> </w:t>
      </w:r>
      <w:r>
        <w:t>justificación jurídica, técnica, económica y financiera del proyecto que realiza la Entidad de acuerdo con la Ley 80 de 1993, Ley 1150 de 2007 y el Decreto 1082 de</w:t>
      </w:r>
      <w:r>
        <w:rPr>
          <w:spacing w:val="-28"/>
        </w:rPr>
        <w:t xml:space="preserve"> </w:t>
      </w:r>
      <w:r>
        <w:t>2015».</w:t>
      </w:r>
    </w:p>
    <w:p w14:paraId="1DAB5A5A" w14:textId="77777777" w:rsidR="00653510" w:rsidRDefault="00390730">
      <w:pPr>
        <w:pStyle w:val="Textoindependiente"/>
        <w:spacing w:before="120" w:line="276" w:lineRule="auto"/>
        <w:ind w:left="100" w:right="534" w:firstLine="709"/>
        <w:jc w:val="both"/>
      </w:pPr>
      <w:r>
        <w:t xml:space="preserve">La introducción del «Documento Base» para licitación pública y selección abreviada de menor cuantía, y la «Invitación», para procesos de mínima cuantía, se refieren a la disponibilidad de los documentos del proceso entre estos los </w:t>
      </w:r>
      <w:r>
        <w:rPr>
          <w:i/>
        </w:rPr>
        <w:t xml:space="preserve">estudios previos </w:t>
      </w:r>
      <w:r>
        <w:t>en el Sistema Electrónico de Contratación Pública –SECOP–. También, el numeral 1.1 del «Documento base», para licitación pública y selección abreviada de menor cuantía al referirse a la obra pública, establece que «tiene las especificaciones técnicas</w:t>
      </w:r>
      <w:r>
        <w:rPr>
          <w:spacing w:val="-17"/>
        </w:rPr>
        <w:t xml:space="preserve"> </w:t>
      </w:r>
      <w:r>
        <w:t>descritas</w:t>
      </w:r>
      <w:r>
        <w:rPr>
          <w:spacing w:val="-17"/>
        </w:rPr>
        <w:t xml:space="preserve"> </w:t>
      </w:r>
      <w:r>
        <w:t>en</w:t>
      </w:r>
      <w:r>
        <w:rPr>
          <w:spacing w:val="-17"/>
        </w:rPr>
        <w:t xml:space="preserve"> </w:t>
      </w:r>
      <w:r>
        <w:t>el</w:t>
      </w:r>
      <w:r>
        <w:rPr>
          <w:spacing w:val="-18"/>
        </w:rPr>
        <w:t xml:space="preserve"> </w:t>
      </w:r>
      <w:r>
        <w:t>Anexo</w:t>
      </w:r>
      <w:r>
        <w:rPr>
          <w:spacing w:val="-16"/>
        </w:rPr>
        <w:t xml:space="preserve"> </w:t>
      </w:r>
      <w:r>
        <w:t>1</w:t>
      </w:r>
      <w:r>
        <w:rPr>
          <w:spacing w:val="-17"/>
        </w:rPr>
        <w:t xml:space="preserve"> </w:t>
      </w:r>
      <w:r>
        <w:t>–</w:t>
      </w:r>
      <w:r>
        <w:rPr>
          <w:spacing w:val="-18"/>
        </w:rPr>
        <w:t xml:space="preserve"> </w:t>
      </w:r>
      <w:r>
        <w:t>Anexo</w:t>
      </w:r>
      <w:r>
        <w:rPr>
          <w:spacing w:val="-16"/>
        </w:rPr>
        <w:t xml:space="preserve"> </w:t>
      </w:r>
      <w:r>
        <w:t>Técnico</w:t>
      </w:r>
      <w:r>
        <w:rPr>
          <w:spacing w:val="-17"/>
        </w:rPr>
        <w:t xml:space="preserve"> </w:t>
      </w:r>
      <w:r>
        <w:t>y</w:t>
      </w:r>
      <w:r>
        <w:rPr>
          <w:spacing w:val="-17"/>
        </w:rPr>
        <w:t xml:space="preserve"> </w:t>
      </w:r>
      <w:r>
        <w:t>el</w:t>
      </w:r>
      <w:r>
        <w:rPr>
          <w:spacing w:val="-17"/>
        </w:rPr>
        <w:t xml:space="preserve"> </w:t>
      </w:r>
      <w:r>
        <w:t>Estudio</w:t>
      </w:r>
      <w:r>
        <w:rPr>
          <w:spacing w:val="-16"/>
        </w:rPr>
        <w:t xml:space="preserve"> </w:t>
      </w:r>
      <w:r>
        <w:t>Previo,</w:t>
      </w:r>
      <w:r>
        <w:rPr>
          <w:spacing w:val="-17"/>
        </w:rPr>
        <w:t xml:space="preserve"> </w:t>
      </w:r>
      <w:r>
        <w:t>los</w:t>
      </w:r>
      <w:r>
        <w:rPr>
          <w:spacing w:val="-17"/>
        </w:rPr>
        <w:t xml:space="preserve"> </w:t>
      </w:r>
      <w:r>
        <w:t>cuales</w:t>
      </w:r>
      <w:r>
        <w:rPr>
          <w:spacing w:val="-17"/>
        </w:rPr>
        <w:t xml:space="preserve"> </w:t>
      </w:r>
      <w:r>
        <w:t>incluyen la</w:t>
      </w:r>
      <w:r>
        <w:rPr>
          <w:spacing w:val="-5"/>
        </w:rPr>
        <w:t xml:space="preserve"> </w:t>
      </w:r>
      <w:r>
        <w:t>descripción</w:t>
      </w:r>
      <w:r>
        <w:rPr>
          <w:spacing w:val="-5"/>
        </w:rPr>
        <w:t xml:space="preserve"> </w:t>
      </w:r>
      <w:r>
        <w:t>de</w:t>
      </w:r>
      <w:r>
        <w:rPr>
          <w:spacing w:val="-5"/>
        </w:rPr>
        <w:t xml:space="preserve"> </w:t>
      </w:r>
      <w:r>
        <w:t>las</w:t>
      </w:r>
      <w:r>
        <w:rPr>
          <w:spacing w:val="-5"/>
        </w:rPr>
        <w:t xml:space="preserve"> </w:t>
      </w:r>
      <w:r>
        <w:t>obras</w:t>
      </w:r>
      <w:r>
        <w:rPr>
          <w:spacing w:val="-4"/>
        </w:rPr>
        <w:t xml:space="preserve"> </w:t>
      </w:r>
      <w:r>
        <w:t>e</w:t>
      </w:r>
      <w:r>
        <w:rPr>
          <w:spacing w:val="-5"/>
        </w:rPr>
        <w:t xml:space="preserve"> </w:t>
      </w:r>
      <w:r>
        <w:t>información</w:t>
      </w:r>
      <w:r>
        <w:rPr>
          <w:spacing w:val="-5"/>
        </w:rPr>
        <w:t xml:space="preserve"> </w:t>
      </w:r>
      <w:r>
        <w:t>técnica</w:t>
      </w:r>
      <w:r>
        <w:rPr>
          <w:spacing w:val="-4"/>
        </w:rPr>
        <w:t xml:space="preserve"> </w:t>
      </w:r>
      <w:r>
        <w:t>[…],</w:t>
      </w:r>
      <w:r>
        <w:rPr>
          <w:spacing w:val="-5"/>
        </w:rPr>
        <w:t xml:space="preserve"> </w:t>
      </w:r>
      <w:r>
        <w:t>mientras</w:t>
      </w:r>
      <w:r>
        <w:rPr>
          <w:spacing w:val="-4"/>
        </w:rPr>
        <w:t xml:space="preserve"> </w:t>
      </w:r>
      <w:r>
        <w:t>que</w:t>
      </w:r>
      <w:r>
        <w:rPr>
          <w:spacing w:val="-5"/>
        </w:rPr>
        <w:t xml:space="preserve"> </w:t>
      </w:r>
      <w:r>
        <w:t>la</w:t>
      </w:r>
      <w:r>
        <w:rPr>
          <w:spacing w:val="-5"/>
        </w:rPr>
        <w:t xml:space="preserve"> </w:t>
      </w:r>
      <w:r>
        <w:t>«Invitación»</w:t>
      </w:r>
      <w:r>
        <w:rPr>
          <w:spacing w:val="-5"/>
        </w:rPr>
        <w:t xml:space="preserve"> </w:t>
      </w:r>
      <w:r>
        <w:t>para procesos de mínima cuantía en el numeral 1.1 consagra que «la obra pública tiene las especificaciones técnicas descritas en el Anexo 1 – Anexo Técnico y el Estudio Previo, los cuales incluyen la descripción de las obras e información técnica</w:t>
      </w:r>
      <w:r>
        <w:rPr>
          <w:spacing w:val="-25"/>
        </w:rPr>
        <w:t xml:space="preserve"> </w:t>
      </w:r>
      <w:r>
        <w:t>[…]».</w:t>
      </w:r>
    </w:p>
    <w:p w14:paraId="51B5F13B" w14:textId="77777777" w:rsidR="00653510" w:rsidRDefault="00390730">
      <w:pPr>
        <w:pStyle w:val="Textoindependiente"/>
        <w:spacing w:before="120" w:line="276" w:lineRule="auto"/>
        <w:ind w:left="100" w:right="534" w:firstLine="709"/>
        <w:jc w:val="both"/>
      </w:pPr>
      <w:r>
        <w:t>En</w:t>
      </w:r>
      <w:r>
        <w:rPr>
          <w:spacing w:val="-8"/>
        </w:rPr>
        <w:t xml:space="preserve"> </w:t>
      </w:r>
      <w:r>
        <w:t>relación</w:t>
      </w:r>
      <w:r>
        <w:rPr>
          <w:spacing w:val="-8"/>
        </w:rPr>
        <w:t xml:space="preserve"> </w:t>
      </w:r>
      <w:r>
        <w:t>con</w:t>
      </w:r>
      <w:r>
        <w:rPr>
          <w:spacing w:val="-7"/>
        </w:rPr>
        <w:t xml:space="preserve"> </w:t>
      </w:r>
      <w:r>
        <w:t>la</w:t>
      </w:r>
      <w:r>
        <w:rPr>
          <w:spacing w:val="-8"/>
        </w:rPr>
        <w:t xml:space="preserve"> </w:t>
      </w:r>
      <w:r>
        <w:t>acreditación</w:t>
      </w:r>
      <w:r>
        <w:rPr>
          <w:spacing w:val="-7"/>
        </w:rPr>
        <w:t xml:space="preserve"> </w:t>
      </w:r>
      <w:r>
        <w:t>de</w:t>
      </w:r>
      <w:r>
        <w:rPr>
          <w:spacing w:val="-8"/>
        </w:rPr>
        <w:t xml:space="preserve"> </w:t>
      </w:r>
      <w:r>
        <w:t>la</w:t>
      </w:r>
      <w:r>
        <w:rPr>
          <w:spacing w:val="-7"/>
        </w:rPr>
        <w:t xml:space="preserve"> </w:t>
      </w:r>
      <w:r>
        <w:t>experiencia</w:t>
      </w:r>
      <w:r>
        <w:rPr>
          <w:spacing w:val="-8"/>
        </w:rPr>
        <w:t xml:space="preserve"> </w:t>
      </w:r>
      <w:r>
        <w:t>el</w:t>
      </w:r>
      <w:r>
        <w:rPr>
          <w:spacing w:val="-8"/>
        </w:rPr>
        <w:t xml:space="preserve"> </w:t>
      </w:r>
      <w:r>
        <w:t>numeral</w:t>
      </w:r>
      <w:r>
        <w:rPr>
          <w:spacing w:val="-7"/>
        </w:rPr>
        <w:t xml:space="preserve"> </w:t>
      </w:r>
      <w:r>
        <w:t>3.5</w:t>
      </w:r>
      <w:r>
        <w:rPr>
          <w:spacing w:val="-8"/>
        </w:rPr>
        <w:t xml:space="preserve"> </w:t>
      </w:r>
      <w:r>
        <w:t>del</w:t>
      </w:r>
      <w:r>
        <w:rPr>
          <w:spacing w:val="-7"/>
        </w:rPr>
        <w:t xml:space="preserve"> </w:t>
      </w:r>
      <w:r>
        <w:t>«Documento Base» para licitación pública y selección abreviada y 4.5 de «la invitación», para los procesos de mínima cuantía señalan que «Por regla general, el proponente solo puede acreditar la experiencia que ha obtenido y no la experiencia de su matriz, subsidiarias o integrantes del mismo grupo empresarial. No obstante, si de acuerdo con el estudio de sector es necesario que el proponente acredite la experiencia de su matriz como en los</w:t>
      </w:r>
      <w:r>
        <w:rPr>
          <w:spacing w:val="-16"/>
        </w:rPr>
        <w:t xml:space="preserve"> </w:t>
      </w:r>
      <w:r>
        <w:t>casos</w:t>
      </w:r>
      <w:r>
        <w:rPr>
          <w:spacing w:val="-15"/>
        </w:rPr>
        <w:t xml:space="preserve"> </w:t>
      </w:r>
      <w:r>
        <w:t>de</w:t>
      </w:r>
      <w:r>
        <w:rPr>
          <w:spacing w:val="-15"/>
        </w:rPr>
        <w:t xml:space="preserve"> </w:t>
      </w:r>
      <w:r>
        <w:t>contratos</w:t>
      </w:r>
      <w:r>
        <w:rPr>
          <w:spacing w:val="-16"/>
        </w:rPr>
        <w:t xml:space="preserve"> </w:t>
      </w:r>
      <w:r>
        <w:t>de</w:t>
      </w:r>
      <w:r>
        <w:rPr>
          <w:spacing w:val="-15"/>
        </w:rPr>
        <w:t xml:space="preserve"> </w:t>
      </w:r>
      <w:r>
        <w:t>franquicia,</w:t>
      </w:r>
      <w:r>
        <w:rPr>
          <w:spacing w:val="-14"/>
        </w:rPr>
        <w:t xml:space="preserve"> </w:t>
      </w:r>
      <w:r>
        <w:t>la</w:t>
      </w:r>
      <w:r>
        <w:rPr>
          <w:spacing w:val="-15"/>
        </w:rPr>
        <w:t xml:space="preserve"> </w:t>
      </w:r>
      <w:r>
        <w:t>entidad</w:t>
      </w:r>
      <w:r>
        <w:rPr>
          <w:spacing w:val="-15"/>
        </w:rPr>
        <w:t xml:space="preserve"> </w:t>
      </w:r>
      <w:r>
        <w:t>estatal</w:t>
      </w:r>
      <w:r>
        <w:rPr>
          <w:spacing w:val="-15"/>
        </w:rPr>
        <w:t xml:space="preserve"> </w:t>
      </w:r>
      <w:r>
        <w:t>debe</w:t>
      </w:r>
      <w:r>
        <w:rPr>
          <w:spacing w:val="-16"/>
        </w:rPr>
        <w:t xml:space="preserve"> </w:t>
      </w:r>
      <w:r>
        <w:t>justificar</w:t>
      </w:r>
      <w:r>
        <w:rPr>
          <w:spacing w:val="-15"/>
        </w:rPr>
        <w:t xml:space="preserve"> </w:t>
      </w:r>
      <w:r>
        <w:t>dicha</w:t>
      </w:r>
      <w:r>
        <w:rPr>
          <w:spacing w:val="-15"/>
        </w:rPr>
        <w:t xml:space="preserve"> </w:t>
      </w:r>
      <w:r>
        <w:t>circunstancia en los estudios y documentos previos e indicar en el pliego de condiciones la forma de acreditar la experiencia que no aparece en el</w:t>
      </w:r>
      <w:r>
        <w:rPr>
          <w:spacing w:val="-13"/>
        </w:rPr>
        <w:t xml:space="preserve"> </w:t>
      </w:r>
      <w:r>
        <w:t>RUP».</w:t>
      </w:r>
    </w:p>
    <w:p w14:paraId="4BF449A9" w14:textId="77777777" w:rsidR="00653510" w:rsidRDefault="00390730">
      <w:pPr>
        <w:pStyle w:val="Textoindependiente"/>
        <w:spacing w:before="120" w:line="276" w:lineRule="auto"/>
        <w:ind w:left="100" w:right="533" w:firstLine="709"/>
        <w:jc w:val="both"/>
      </w:pPr>
      <w:r>
        <w:t>Respecto</w:t>
      </w:r>
      <w:r>
        <w:rPr>
          <w:spacing w:val="-8"/>
        </w:rPr>
        <w:t xml:space="preserve"> </w:t>
      </w:r>
      <w:r>
        <w:t>a</w:t>
      </w:r>
      <w:r>
        <w:rPr>
          <w:spacing w:val="-8"/>
        </w:rPr>
        <w:t xml:space="preserve"> </w:t>
      </w:r>
      <w:r>
        <w:t>la</w:t>
      </w:r>
      <w:r>
        <w:rPr>
          <w:spacing w:val="-7"/>
        </w:rPr>
        <w:t xml:space="preserve"> </w:t>
      </w:r>
      <w:r>
        <w:t>visita</w:t>
      </w:r>
      <w:r>
        <w:rPr>
          <w:spacing w:val="-8"/>
        </w:rPr>
        <w:t xml:space="preserve"> </w:t>
      </w:r>
      <w:r>
        <w:t>al</w:t>
      </w:r>
      <w:r>
        <w:rPr>
          <w:spacing w:val="-7"/>
        </w:rPr>
        <w:t xml:space="preserve"> </w:t>
      </w:r>
      <w:r>
        <w:t>sitio</w:t>
      </w:r>
      <w:r>
        <w:rPr>
          <w:spacing w:val="-8"/>
        </w:rPr>
        <w:t xml:space="preserve"> </w:t>
      </w:r>
      <w:r>
        <w:t>de</w:t>
      </w:r>
      <w:r>
        <w:rPr>
          <w:spacing w:val="-8"/>
        </w:rPr>
        <w:t xml:space="preserve"> </w:t>
      </w:r>
      <w:r>
        <w:t>la</w:t>
      </w:r>
      <w:r>
        <w:rPr>
          <w:spacing w:val="-7"/>
        </w:rPr>
        <w:t xml:space="preserve"> </w:t>
      </w:r>
      <w:r>
        <w:t>obra</w:t>
      </w:r>
      <w:r>
        <w:rPr>
          <w:spacing w:val="-8"/>
        </w:rPr>
        <w:t xml:space="preserve"> </w:t>
      </w:r>
      <w:r>
        <w:t>en</w:t>
      </w:r>
      <w:r>
        <w:rPr>
          <w:spacing w:val="-7"/>
        </w:rPr>
        <w:t xml:space="preserve"> </w:t>
      </w:r>
      <w:r>
        <w:t>el</w:t>
      </w:r>
      <w:r>
        <w:rPr>
          <w:spacing w:val="-8"/>
        </w:rPr>
        <w:t xml:space="preserve"> </w:t>
      </w:r>
      <w:r>
        <w:t>numeral</w:t>
      </w:r>
      <w:r>
        <w:rPr>
          <w:spacing w:val="-7"/>
        </w:rPr>
        <w:t xml:space="preserve"> </w:t>
      </w:r>
      <w:r>
        <w:t>1.19</w:t>
      </w:r>
      <w:r>
        <w:rPr>
          <w:spacing w:val="-8"/>
        </w:rPr>
        <w:t xml:space="preserve"> </w:t>
      </w:r>
      <w:r>
        <w:t>del</w:t>
      </w:r>
      <w:r>
        <w:rPr>
          <w:spacing w:val="-8"/>
        </w:rPr>
        <w:t xml:space="preserve"> </w:t>
      </w:r>
      <w:r>
        <w:t>«Documento</w:t>
      </w:r>
      <w:r>
        <w:rPr>
          <w:spacing w:val="-7"/>
        </w:rPr>
        <w:t xml:space="preserve"> </w:t>
      </w:r>
      <w:r>
        <w:t>Base» para licitación pública y selección abreviada de menor cuantía se establece que</w:t>
      </w:r>
      <w:r>
        <w:rPr>
          <w:spacing w:val="10"/>
        </w:rPr>
        <w:t xml:space="preserve"> </w:t>
      </w:r>
      <w:r>
        <w:t>«La</w:t>
      </w:r>
    </w:p>
    <w:p w14:paraId="75BAC171" w14:textId="77777777" w:rsidR="00653510" w:rsidRDefault="00653510">
      <w:pPr>
        <w:spacing w:line="276" w:lineRule="auto"/>
        <w:jc w:val="both"/>
        <w:sectPr w:rsidR="00653510">
          <w:pgSz w:w="11900" w:h="16820"/>
          <w:pgMar w:top="1340" w:right="1160" w:bottom="2180" w:left="1600" w:header="0" w:footer="1962" w:gutter="0"/>
          <w:cols w:space="720"/>
        </w:sectPr>
      </w:pPr>
    </w:p>
    <w:p w14:paraId="189BFF38" w14:textId="77777777" w:rsidR="00653510" w:rsidRDefault="00390730">
      <w:pPr>
        <w:pStyle w:val="Textoindependiente"/>
        <w:spacing w:before="70" w:line="276" w:lineRule="auto"/>
        <w:ind w:left="100" w:right="534"/>
        <w:jc w:val="both"/>
      </w:pPr>
      <w:r>
        <w:lastRenderedPageBreak/>
        <w:t>entidad estatal podrá incluir la visita al sitio de obra cuando se justifique su necesidad en</w:t>
      </w:r>
      <w:r>
        <w:rPr>
          <w:spacing w:val="-8"/>
        </w:rPr>
        <w:t xml:space="preserve"> </w:t>
      </w:r>
      <w:r>
        <w:t>los</w:t>
      </w:r>
      <w:r>
        <w:rPr>
          <w:spacing w:val="-8"/>
        </w:rPr>
        <w:t xml:space="preserve"> </w:t>
      </w:r>
      <w:r>
        <w:t>estudios</w:t>
      </w:r>
      <w:r>
        <w:rPr>
          <w:spacing w:val="-7"/>
        </w:rPr>
        <w:t xml:space="preserve"> </w:t>
      </w:r>
      <w:r>
        <w:t>previos».</w:t>
      </w:r>
      <w:r>
        <w:rPr>
          <w:spacing w:val="-7"/>
        </w:rPr>
        <w:t xml:space="preserve"> </w:t>
      </w:r>
      <w:r>
        <w:t>Por</w:t>
      </w:r>
      <w:r>
        <w:rPr>
          <w:spacing w:val="-6"/>
        </w:rPr>
        <w:t xml:space="preserve"> </w:t>
      </w:r>
      <w:r>
        <w:t>otra</w:t>
      </w:r>
      <w:r>
        <w:rPr>
          <w:spacing w:val="-8"/>
        </w:rPr>
        <w:t xml:space="preserve"> </w:t>
      </w:r>
      <w:r>
        <w:t>parte</w:t>
      </w:r>
      <w:r>
        <w:rPr>
          <w:spacing w:val="-8"/>
        </w:rPr>
        <w:t xml:space="preserve"> </w:t>
      </w:r>
      <w:r>
        <w:t>en</w:t>
      </w:r>
      <w:r>
        <w:rPr>
          <w:spacing w:val="-8"/>
        </w:rPr>
        <w:t xml:space="preserve"> </w:t>
      </w:r>
      <w:r>
        <w:t>el</w:t>
      </w:r>
      <w:r>
        <w:rPr>
          <w:spacing w:val="-7"/>
        </w:rPr>
        <w:t xml:space="preserve"> </w:t>
      </w:r>
      <w:r>
        <w:t>numeral</w:t>
      </w:r>
      <w:r>
        <w:rPr>
          <w:spacing w:val="-7"/>
        </w:rPr>
        <w:t xml:space="preserve"> </w:t>
      </w:r>
      <w:r>
        <w:t>4.1</w:t>
      </w:r>
      <w:r>
        <w:rPr>
          <w:spacing w:val="-8"/>
        </w:rPr>
        <w:t xml:space="preserve"> </w:t>
      </w:r>
      <w:r>
        <w:t>del</w:t>
      </w:r>
      <w:r>
        <w:rPr>
          <w:spacing w:val="-8"/>
        </w:rPr>
        <w:t xml:space="preserve"> </w:t>
      </w:r>
      <w:r>
        <w:t>«Documentos</w:t>
      </w:r>
      <w:r>
        <w:rPr>
          <w:spacing w:val="-6"/>
        </w:rPr>
        <w:t xml:space="preserve"> </w:t>
      </w:r>
      <w:r>
        <w:t>Base»</w:t>
      </w:r>
      <w:r>
        <w:rPr>
          <w:spacing w:val="-7"/>
        </w:rPr>
        <w:t xml:space="preserve"> </w:t>
      </w:r>
      <w:r>
        <w:t xml:space="preserve">para licitación pública y selección abreviada de menor cuantía y 5.1 de la «Invitación» para los procesos de mínima cuantía, señalan que «[s]i existe alguna duda o interrogante sobre la presentación de estos Análisis de Precios Unitarios y el precio de </w:t>
      </w:r>
      <w:r>
        <w:rPr>
          <w:i/>
        </w:rPr>
        <w:t xml:space="preserve">estudios </w:t>
      </w:r>
      <w:r>
        <w:t>publicados por la Entidad, es deber de los Proponente hacerlos conocer» dentro del plazo establecido en el Anexo 2 – Cronograma para licitación pública y selección abreviada</w:t>
      </w:r>
      <w:r>
        <w:rPr>
          <w:spacing w:val="-18"/>
        </w:rPr>
        <w:t xml:space="preserve"> </w:t>
      </w:r>
      <w:r>
        <w:t>y</w:t>
      </w:r>
      <w:r>
        <w:rPr>
          <w:spacing w:val="-17"/>
        </w:rPr>
        <w:t xml:space="preserve"> </w:t>
      </w:r>
      <w:r>
        <w:t>dentro</w:t>
      </w:r>
      <w:r>
        <w:rPr>
          <w:spacing w:val="-17"/>
        </w:rPr>
        <w:t xml:space="preserve"> </w:t>
      </w:r>
      <w:r>
        <w:t>del</w:t>
      </w:r>
      <w:r>
        <w:rPr>
          <w:spacing w:val="-17"/>
        </w:rPr>
        <w:t xml:space="preserve"> </w:t>
      </w:r>
      <w:r>
        <w:t>plazo</w:t>
      </w:r>
      <w:r>
        <w:rPr>
          <w:spacing w:val="-18"/>
        </w:rPr>
        <w:t xml:space="preserve"> </w:t>
      </w:r>
      <w:r>
        <w:t>establecido</w:t>
      </w:r>
      <w:r>
        <w:rPr>
          <w:spacing w:val="-17"/>
        </w:rPr>
        <w:t xml:space="preserve"> </w:t>
      </w:r>
      <w:r>
        <w:t>en</w:t>
      </w:r>
      <w:r>
        <w:rPr>
          <w:spacing w:val="-17"/>
        </w:rPr>
        <w:t xml:space="preserve"> </w:t>
      </w:r>
      <w:r>
        <w:t>el</w:t>
      </w:r>
      <w:r>
        <w:rPr>
          <w:spacing w:val="-17"/>
        </w:rPr>
        <w:t xml:space="preserve"> </w:t>
      </w:r>
      <w:r>
        <w:t>Pacto</w:t>
      </w:r>
      <w:r>
        <w:rPr>
          <w:spacing w:val="-17"/>
        </w:rPr>
        <w:t xml:space="preserve"> </w:t>
      </w:r>
      <w:r>
        <w:t>de</w:t>
      </w:r>
      <w:r>
        <w:rPr>
          <w:spacing w:val="-17"/>
        </w:rPr>
        <w:t xml:space="preserve"> </w:t>
      </w:r>
      <w:r>
        <w:t>Transparencia</w:t>
      </w:r>
      <w:r>
        <w:rPr>
          <w:spacing w:val="-16"/>
        </w:rPr>
        <w:t xml:space="preserve"> </w:t>
      </w:r>
      <w:r>
        <w:t>para</w:t>
      </w:r>
      <w:r>
        <w:rPr>
          <w:spacing w:val="-17"/>
        </w:rPr>
        <w:t xml:space="preserve"> </w:t>
      </w:r>
      <w:r>
        <w:t>los</w:t>
      </w:r>
      <w:r>
        <w:rPr>
          <w:spacing w:val="-17"/>
        </w:rPr>
        <w:t xml:space="preserve"> </w:t>
      </w:r>
      <w:r>
        <w:t>procesos de mínima</w:t>
      </w:r>
      <w:r>
        <w:rPr>
          <w:spacing w:val="-3"/>
        </w:rPr>
        <w:t xml:space="preserve"> </w:t>
      </w:r>
      <w:r>
        <w:t>cuantía.</w:t>
      </w:r>
    </w:p>
    <w:p w14:paraId="339AC1DD" w14:textId="77777777" w:rsidR="00653510" w:rsidRDefault="00390730">
      <w:pPr>
        <w:pStyle w:val="Textoindependiente"/>
        <w:spacing w:before="120" w:line="276" w:lineRule="auto"/>
        <w:ind w:left="100" w:right="534" w:firstLine="709"/>
        <w:jc w:val="both"/>
      </w:pPr>
      <w:r>
        <w:t>De igual forma, los estudios previos se encuentran previstos en el «Anexo 1– Anexo» técnico de la siguiente manera: i) el numeral 7 literal a) para licitación pública y selección abreviada de menor cuantía y 2.10, literal a) de la «Invitación», establecen que «[l]a Entidad deberá incluir requisitos de experiencia proporcionales y adecuados al</w:t>
      </w:r>
      <w:r>
        <w:rPr>
          <w:spacing w:val="-11"/>
        </w:rPr>
        <w:t xml:space="preserve"> </w:t>
      </w:r>
      <w:r>
        <w:t>tipo</w:t>
      </w:r>
      <w:r>
        <w:rPr>
          <w:spacing w:val="-10"/>
        </w:rPr>
        <w:t xml:space="preserve"> </w:t>
      </w:r>
      <w:r>
        <w:t>de</w:t>
      </w:r>
      <w:r>
        <w:rPr>
          <w:spacing w:val="-11"/>
        </w:rPr>
        <w:t xml:space="preserve"> </w:t>
      </w:r>
      <w:r>
        <w:t>obra</w:t>
      </w:r>
      <w:r>
        <w:rPr>
          <w:spacing w:val="-10"/>
        </w:rPr>
        <w:t xml:space="preserve"> </w:t>
      </w:r>
      <w:r>
        <w:t>conforme</w:t>
      </w:r>
      <w:r>
        <w:rPr>
          <w:spacing w:val="-11"/>
        </w:rPr>
        <w:t xml:space="preserve"> </w:t>
      </w:r>
      <w:r>
        <w:t>a</w:t>
      </w:r>
      <w:r>
        <w:rPr>
          <w:spacing w:val="-11"/>
        </w:rPr>
        <w:t xml:space="preserve"> </w:t>
      </w:r>
      <w:r>
        <w:t>lo</w:t>
      </w:r>
      <w:r>
        <w:rPr>
          <w:spacing w:val="-10"/>
        </w:rPr>
        <w:t xml:space="preserve"> </w:t>
      </w:r>
      <w:r>
        <w:t>establecido</w:t>
      </w:r>
      <w:r>
        <w:rPr>
          <w:spacing w:val="-10"/>
        </w:rPr>
        <w:t xml:space="preserve"> </w:t>
      </w:r>
      <w:r>
        <w:t>en</w:t>
      </w:r>
      <w:r>
        <w:rPr>
          <w:spacing w:val="-11"/>
        </w:rPr>
        <w:t xml:space="preserve"> </w:t>
      </w:r>
      <w:r>
        <w:t>los</w:t>
      </w:r>
      <w:r>
        <w:rPr>
          <w:spacing w:val="-10"/>
        </w:rPr>
        <w:t xml:space="preserve"> </w:t>
      </w:r>
      <w:r>
        <w:rPr>
          <w:i/>
        </w:rPr>
        <w:t>estudios</w:t>
      </w:r>
      <w:r>
        <w:rPr>
          <w:i/>
          <w:spacing w:val="-11"/>
        </w:rPr>
        <w:t xml:space="preserve"> </w:t>
      </w:r>
      <w:r>
        <w:rPr>
          <w:i/>
        </w:rPr>
        <w:t>y</w:t>
      </w:r>
      <w:r>
        <w:rPr>
          <w:i/>
          <w:spacing w:val="-11"/>
        </w:rPr>
        <w:t xml:space="preserve"> </w:t>
      </w:r>
      <w:r>
        <w:rPr>
          <w:i/>
        </w:rPr>
        <w:t>documentos</w:t>
      </w:r>
      <w:r>
        <w:rPr>
          <w:i/>
          <w:spacing w:val="-11"/>
        </w:rPr>
        <w:t xml:space="preserve"> </w:t>
      </w:r>
      <w:r>
        <w:rPr>
          <w:i/>
        </w:rPr>
        <w:t>previos</w:t>
      </w:r>
      <w:r>
        <w:rPr>
          <w:i/>
          <w:spacing w:val="-10"/>
        </w:rPr>
        <w:t xml:space="preserve"> </w:t>
      </w:r>
      <w:r>
        <w:t>[…]»</w:t>
      </w:r>
      <w:r>
        <w:rPr>
          <w:spacing w:val="-11"/>
        </w:rPr>
        <w:t xml:space="preserve"> </w:t>
      </w:r>
      <w:r>
        <w:t>y</w:t>
      </w:r>
      <w:r>
        <w:rPr>
          <w:spacing w:val="-11"/>
        </w:rPr>
        <w:t xml:space="preserve"> </w:t>
      </w:r>
      <w:r>
        <w:t>ii) en el numeral 10 para licitación pública y selección abreviada de menor cuantía y 2.13 de</w:t>
      </w:r>
      <w:r>
        <w:rPr>
          <w:spacing w:val="-13"/>
        </w:rPr>
        <w:t xml:space="preserve"> </w:t>
      </w:r>
      <w:r>
        <w:t>la</w:t>
      </w:r>
      <w:r>
        <w:rPr>
          <w:spacing w:val="-13"/>
        </w:rPr>
        <w:t xml:space="preserve"> </w:t>
      </w:r>
      <w:r>
        <w:t>«Invitación»,</w:t>
      </w:r>
      <w:r>
        <w:rPr>
          <w:spacing w:val="-11"/>
        </w:rPr>
        <w:t xml:space="preserve"> </w:t>
      </w:r>
      <w:r>
        <w:t>se</w:t>
      </w:r>
      <w:r>
        <w:rPr>
          <w:spacing w:val="-13"/>
        </w:rPr>
        <w:t xml:space="preserve"> </w:t>
      </w:r>
      <w:r>
        <w:t>establece</w:t>
      </w:r>
      <w:r>
        <w:rPr>
          <w:spacing w:val="-12"/>
        </w:rPr>
        <w:t xml:space="preserve"> </w:t>
      </w:r>
      <w:r>
        <w:t>que</w:t>
      </w:r>
      <w:r>
        <w:rPr>
          <w:spacing w:val="-12"/>
        </w:rPr>
        <w:t xml:space="preserve"> </w:t>
      </w:r>
      <w:r>
        <w:t>«[d]e</w:t>
      </w:r>
      <w:r>
        <w:rPr>
          <w:spacing w:val="-13"/>
        </w:rPr>
        <w:t xml:space="preserve"> </w:t>
      </w:r>
      <w:r>
        <w:t>ser</w:t>
      </w:r>
      <w:r>
        <w:rPr>
          <w:spacing w:val="-12"/>
        </w:rPr>
        <w:t xml:space="preserve"> </w:t>
      </w:r>
      <w:r>
        <w:t>necesario,</w:t>
      </w:r>
      <w:r>
        <w:rPr>
          <w:spacing w:val="-12"/>
        </w:rPr>
        <w:t xml:space="preserve"> </w:t>
      </w:r>
      <w:r>
        <w:t>según</w:t>
      </w:r>
      <w:r>
        <w:rPr>
          <w:spacing w:val="-13"/>
        </w:rPr>
        <w:t xml:space="preserve"> </w:t>
      </w:r>
      <w:r>
        <w:t>los</w:t>
      </w:r>
      <w:r>
        <w:rPr>
          <w:spacing w:val="-12"/>
        </w:rPr>
        <w:t xml:space="preserve"> </w:t>
      </w:r>
      <w:r>
        <w:rPr>
          <w:i/>
        </w:rPr>
        <w:t>Estudios</w:t>
      </w:r>
      <w:r>
        <w:rPr>
          <w:i/>
          <w:spacing w:val="-11"/>
        </w:rPr>
        <w:t xml:space="preserve"> </w:t>
      </w:r>
      <w:r>
        <w:rPr>
          <w:i/>
        </w:rPr>
        <w:t>Previos</w:t>
      </w:r>
      <w:r>
        <w:rPr>
          <w:i/>
          <w:spacing w:val="-11"/>
        </w:rPr>
        <w:t xml:space="preserve"> </w:t>
      </w:r>
      <w:r>
        <w:t>son de</w:t>
      </w:r>
      <w:r>
        <w:rPr>
          <w:spacing w:val="-16"/>
        </w:rPr>
        <w:t xml:space="preserve"> </w:t>
      </w:r>
      <w:r>
        <w:t>cargo</w:t>
      </w:r>
      <w:r>
        <w:rPr>
          <w:spacing w:val="-15"/>
        </w:rPr>
        <w:t xml:space="preserve"> </w:t>
      </w:r>
      <w:r>
        <w:t>del</w:t>
      </w:r>
      <w:r>
        <w:rPr>
          <w:spacing w:val="-16"/>
        </w:rPr>
        <w:t xml:space="preserve"> </w:t>
      </w:r>
      <w:r>
        <w:t>Proponente</w:t>
      </w:r>
      <w:r>
        <w:rPr>
          <w:spacing w:val="-13"/>
        </w:rPr>
        <w:t xml:space="preserve"> </w:t>
      </w:r>
      <w:r>
        <w:t>favorecido</w:t>
      </w:r>
      <w:r>
        <w:rPr>
          <w:spacing w:val="-14"/>
        </w:rPr>
        <w:t xml:space="preserve"> </w:t>
      </w:r>
      <w:r>
        <w:t>todos</w:t>
      </w:r>
      <w:r>
        <w:rPr>
          <w:spacing w:val="-16"/>
        </w:rPr>
        <w:t xml:space="preserve"> </w:t>
      </w:r>
      <w:r>
        <w:t>los</w:t>
      </w:r>
      <w:r>
        <w:rPr>
          <w:spacing w:val="-15"/>
        </w:rPr>
        <w:t xml:space="preserve"> </w:t>
      </w:r>
      <w:r>
        <w:t>costos</w:t>
      </w:r>
      <w:r>
        <w:rPr>
          <w:spacing w:val="-16"/>
        </w:rPr>
        <w:t xml:space="preserve"> </w:t>
      </w:r>
      <w:r>
        <w:t>requeridos</w:t>
      </w:r>
      <w:r>
        <w:rPr>
          <w:spacing w:val="-15"/>
        </w:rPr>
        <w:t xml:space="preserve"> </w:t>
      </w:r>
      <w:r>
        <w:t>para</w:t>
      </w:r>
      <w:r>
        <w:rPr>
          <w:spacing w:val="-15"/>
        </w:rPr>
        <w:t xml:space="preserve"> </w:t>
      </w:r>
      <w:r>
        <w:t>colocar</w:t>
      </w:r>
      <w:r>
        <w:rPr>
          <w:spacing w:val="-16"/>
        </w:rPr>
        <w:t xml:space="preserve"> </w:t>
      </w:r>
      <w:r>
        <w:t>y</w:t>
      </w:r>
      <w:r>
        <w:rPr>
          <w:spacing w:val="-15"/>
        </w:rPr>
        <w:t xml:space="preserve"> </w:t>
      </w:r>
      <w:r>
        <w:t>mantener la señalización de obra y las vallas informativas, la iluminación nocturna y demás dispositivos de seguridad y de comunicación y coordinación en los términos definidos por las autoridades</w:t>
      </w:r>
      <w:r>
        <w:rPr>
          <w:spacing w:val="-4"/>
        </w:rPr>
        <w:t xml:space="preserve"> </w:t>
      </w:r>
      <w:r>
        <w:t>competentes».</w:t>
      </w:r>
    </w:p>
    <w:p w14:paraId="530C0FCE" w14:textId="77777777" w:rsidR="00653510" w:rsidRDefault="00390730">
      <w:pPr>
        <w:pStyle w:val="Textoindependiente"/>
        <w:spacing w:before="120" w:line="276" w:lineRule="auto"/>
        <w:ind w:left="100" w:right="534" w:firstLine="709"/>
        <w:jc w:val="both"/>
      </w:pPr>
      <w:r>
        <w:t>En el Anexo 5 −Minuta del contrato, para la licitación pública y selección abreviada de menor cuantía, se establece que los estudios previos hacen parte del contrato y «consecuencia producen sus mismos efectos y obligaciones jurídicas y contractuales […]»</w:t>
      </w:r>
    </w:p>
    <w:p w14:paraId="10C7277B" w14:textId="77777777" w:rsidR="00653510" w:rsidRDefault="00390730">
      <w:pPr>
        <w:pStyle w:val="Textoindependiente"/>
        <w:spacing w:before="120" w:line="276" w:lineRule="auto"/>
        <w:ind w:left="100" w:right="533" w:firstLine="708"/>
        <w:jc w:val="both"/>
      </w:pPr>
      <w:r>
        <w:t>En el numeral 7.1 de la «Invitación» para los procesos de mínima cuantía se señala que «Es potestativo de la entidad exigir garantías conforme al artículo 2.2.1.2.1.5.4 del Decreto 1082 de 2015. Si conforme al alcance del proyecto la entidad decide solicitar la garantía de seriedad, debe justificarlo en los estudios previos […]».</w:t>
      </w:r>
    </w:p>
    <w:p w14:paraId="434264C3" w14:textId="77777777" w:rsidR="00653510" w:rsidRDefault="00390730">
      <w:pPr>
        <w:pStyle w:val="Textoindependiente"/>
        <w:spacing w:before="120" w:line="276" w:lineRule="auto"/>
        <w:ind w:left="100" w:right="533" w:firstLine="709"/>
        <w:jc w:val="both"/>
      </w:pPr>
      <w:r>
        <w:t>Por último, en relación con los bienes o servicios adicionales a la obra pública, en</w:t>
      </w:r>
      <w:r>
        <w:rPr>
          <w:spacing w:val="-13"/>
        </w:rPr>
        <w:t xml:space="preserve"> </w:t>
      </w:r>
      <w:r>
        <w:t>los</w:t>
      </w:r>
      <w:r>
        <w:rPr>
          <w:spacing w:val="-12"/>
        </w:rPr>
        <w:t xml:space="preserve"> </w:t>
      </w:r>
      <w:r>
        <w:t>cuales</w:t>
      </w:r>
      <w:r>
        <w:rPr>
          <w:spacing w:val="-12"/>
        </w:rPr>
        <w:t xml:space="preserve"> </w:t>
      </w:r>
      <w:r>
        <w:t>la</w:t>
      </w:r>
      <w:r>
        <w:rPr>
          <w:spacing w:val="-12"/>
        </w:rPr>
        <w:t xml:space="preserve"> </w:t>
      </w:r>
      <w:r>
        <w:t>entidad</w:t>
      </w:r>
      <w:r>
        <w:rPr>
          <w:spacing w:val="-11"/>
        </w:rPr>
        <w:t xml:space="preserve"> </w:t>
      </w:r>
      <w:r>
        <w:t>haya</w:t>
      </w:r>
      <w:r>
        <w:rPr>
          <w:spacing w:val="-12"/>
        </w:rPr>
        <w:t xml:space="preserve"> </w:t>
      </w:r>
      <w:r>
        <w:t>identificado</w:t>
      </w:r>
      <w:r>
        <w:rPr>
          <w:spacing w:val="-11"/>
        </w:rPr>
        <w:t xml:space="preserve"> </w:t>
      </w:r>
      <w:r>
        <w:t>estos</w:t>
      </w:r>
      <w:r>
        <w:rPr>
          <w:spacing w:val="-11"/>
        </w:rPr>
        <w:t xml:space="preserve"> </w:t>
      </w:r>
      <w:r>
        <w:t>bienes</w:t>
      </w:r>
      <w:r>
        <w:rPr>
          <w:spacing w:val="-11"/>
        </w:rPr>
        <w:t xml:space="preserve"> </w:t>
      </w:r>
      <w:r>
        <w:t>o</w:t>
      </w:r>
      <w:r>
        <w:rPr>
          <w:spacing w:val="-12"/>
        </w:rPr>
        <w:t xml:space="preserve"> </w:t>
      </w:r>
      <w:r>
        <w:t>servicios</w:t>
      </w:r>
      <w:r>
        <w:rPr>
          <w:spacing w:val="-12"/>
        </w:rPr>
        <w:t xml:space="preserve"> </w:t>
      </w:r>
      <w:r>
        <w:t>adicionales</w:t>
      </w:r>
      <w:r>
        <w:rPr>
          <w:spacing w:val="-11"/>
        </w:rPr>
        <w:t xml:space="preserve"> </w:t>
      </w:r>
      <w:r>
        <w:t>y</w:t>
      </w:r>
      <w:r>
        <w:rPr>
          <w:spacing w:val="-12"/>
        </w:rPr>
        <w:t xml:space="preserve"> </w:t>
      </w:r>
      <w:r>
        <w:t>requiera experiencia adicional debe aplicar los criterios definidos en el artículo 2.2.1.2.6.1.5. del Decreto</w:t>
      </w:r>
      <w:r>
        <w:rPr>
          <w:spacing w:val="-19"/>
        </w:rPr>
        <w:t xml:space="preserve"> </w:t>
      </w:r>
      <w:r>
        <w:t>1082</w:t>
      </w:r>
      <w:r>
        <w:rPr>
          <w:spacing w:val="-19"/>
        </w:rPr>
        <w:t xml:space="preserve"> </w:t>
      </w:r>
      <w:r>
        <w:t>de</w:t>
      </w:r>
      <w:r>
        <w:rPr>
          <w:spacing w:val="-18"/>
        </w:rPr>
        <w:t xml:space="preserve"> </w:t>
      </w:r>
      <w:r>
        <w:t>2015,</w:t>
      </w:r>
      <w:r>
        <w:rPr>
          <w:spacing w:val="-19"/>
        </w:rPr>
        <w:t xml:space="preserve"> </w:t>
      </w:r>
      <w:r>
        <w:t>adicionado</w:t>
      </w:r>
      <w:r>
        <w:rPr>
          <w:spacing w:val="-18"/>
        </w:rPr>
        <w:t xml:space="preserve"> </w:t>
      </w:r>
      <w:r>
        <w:t>por</w:t>
      </w:r>
      <w:r>
        <w:rPr>
          <w:spacing w:val="-19"/>
        </w:rPr>
        <w:t xml:space="preserve"> </w:t>
      </w:r>
      <w:r>
        <w:t>el</w:t>
      </w:r>
      <w:r>
        <w:rPr>
          <w:spacing w:val="-18"/>
        </w:rPr>
        <w:t xml:space="preserve"> </w:t>
      </w:r>
      <w:r>
        <w:t>artículo</w:t>
      </w:r>
      <w:r>
        <w:rPr>
          <w:spacing w:val="-19"/>
        </w:rPr>
        <w:t xml:space="preserve"> </w:t>
      </w:r>
      <w:r>
        <w:t>1</w:t>
      </w:r>
      <w:r>
        <w:rPr>
          <w:spacing w:val="-18"/>
        </w:rPr>
        <w:t xml:space="preserve"> </w:t>
      </w:r>
      <w:r>
        <w:t>del</w:t>
      </w:r>
      <w:r>
        <w:rPr>
          <w:spacing w:val="-19"/>
        </w:rPr>
        <w:t xml:space="preserve"> </w:t>
      </w:r>
      <w:r>
        <w:t>Decreto</w:t>
      </w:r>
      <w:r>
        <w:rPr>
          <w:spacing w:val="-18"/>
        </w:rPr>
        <w:t xml:space="preserve"> </w:t>
      </w:r>
      <w:r>
        <w:t>342</w:t>
      </w:r>
      <w:r>
        <w:rPr>
          <w:spacing w:val="-19"/>
        </w:rPr>
        <w:t xml:space="preserve"> </w:t>
      </w:r>
      <w:r>
        <w:t>de</w:t>
      </w:r>
      <w:r>
        <w:rPr>
          <w:spacing w:val="-18"/>
        </w:rPr>
        <w:t xml:space="preserve"> </w:t>
      </w:r>
      <w:r>
        <w:t>2019</w:t>
      </w:r>
      <w:r>
        <w:rPr>
          <w:spacing w:val="-19"/>
        </w:rPr>
        <w:t xml:space="preserve"> </w:t>
      </w:r>
      <w:r>
        <w:t>que</w:t>
      </w:r>
      <w:r>
        <w:rPr>
          <w:spacing w:val="-24"/>
        </w:rPr>
        <w:t xml:space="preserve"> </w:t>
      </w:r>
      <w:r>
        <w:t>dispone:</w:t>
      </w:r>
    </w:p>
    <w:p w14:paraId="652066D4" w14:textId="77777777" w:rsidR="00653510" w:rsidRDefault="00653510">
      <w:pPr>
        <w:pStyle w:val="Textoindependiente"/>
      </w:pPr>
    </w:p>
    <w:p w14:paraId="2715B2A0" w14:textId="77777777" w:rsidR="00653510" w:rsidRDefault="00390730">
      <w:pPr>
        <w:ind w:left="810" w:right="1242"/>
        <w:jc w:val="both"/>
        <w:rPr>
          <w:sz w:val="21"/>
        </w:rPr>
      </w:pPr>
      <w:r>
        <w:rPr>
          <w:sz w:val="21"/>
        </w:rPr>
        <w:t>Artículo 2.2.1.2.6.1.5. Bienes o servicios adicionales a la obra pública. Cuando el objeto contractual incluya bienes o servicios ajenos a la obra pública de infraestructura de transporte, la entidad estatal deberá aplicar los Documentos Tipo. Si de manera excepcional requiere incluir experiencia adicional</w:t>
      </w:r>
      <w:r>
        <w:rPr>
          <w:spacing w:val="-8"/>
          <w:sz w:val="21"/>
        </w:rPr>
        <w:t xml:space="preserve"> </w:t>
      </w:r>
      <w:r>
        <w:rPr>
          <w:sz w:val="21"/>
        </w:rPr>
        <w:t>para</w:t>
      </w:r>
      <w:r>
        <w:rPr>
          <w:spacing w:val="-8"/>
          <w:sz w:val="21"/>
        </w:rPr>
        <w:t xml:space="preserve"> </w:t>
      </w:r>
      <w:r>
        <w:rPr>
          <w:sz w:val="21"/>
        </w:rPr>
        <w:t>evaluar</w:t>
      </w:r>
      <w:r>
        <w:rPr>
          <w:spacing w:val="-9"/>
          <w:sz w:val="21"/>
        </w:rPr>
        <w:t xml:space="preserve"> </w:t>
      </w:r>
      <w:r>
        <w:rPr>
          <w:sz w:val="21"/>
        </w:rPr>
        <w:t>la</w:t>
      </w:r>
      <w:r>
        <w:rPr>
          <w:spacing w:val="-8"/>
          <w:sz w:val="21"/>
        </w:rPr>
        <w:t xml:space="preserve"> </w:t>
      </w:r>
      <w:r>
        <w:rPr>
          <w:sz w:val="21"/>
        </w:rPr>
        <w:t>idoneidad</w:t>
      </w:r>
      <w:r>
        <w:rPr>
          <w:spacing w:val="-7"/>
          <w:sz w:val="21"/>
        </w:rPr>
        <w:t xml:space="preserve"> </w:t>
      </w:r>
      <w:r>
        <w:rPr>
          <w:sz w:val="21"/>
        </w:rPr>
        <w:t>respecto</w:t>
      </w:r>
      <w:r>
        <w:rPr>
          <w:spacing w:val="-9"/>
          <w:sz w:val="21"/>
        </w:rPr>
        <w:t xml:space="preserve"> </w:t>
      </w:r>
      <w:r>
        <w:rPr>
          <w:sz w:val="21"/>
        </w:rPr>
        <w:t>de</w:t>
      </w:r>
      <w:r>
        <w:rPr>
          <w:spacing w:val="-8"/>
          <w:sz w:val="21"/>
        </w:rPr>
        <w:t xml:space="preserve"> </w:t>
      </w:r>
      <w:r>
        <w:rPr>
          <w:sz w:val="21"/>
        </w:rPr>
        <w:t>los</w:t>
      </w:r>
      <w:r>
        <w:rPr>
          <w:spacing w:val="-8"/>
          <w:sz w:val="21"/>
        </w:rPr>
        <w:t xml:space="preserve"> </w:t>
      </w:r>
      <w:r>
        <w:rPr>
          <w:sz w:val="21"/>
        </w:rPr>
        <w:t>bienes</w:t>
      </w:r>
      <w:r>
        <w:rPr>
          <w:spacing w:val="-9"/>
          <w:sz w:val="21"/>
        </w:rPr>
        <w:t xml:space="preserve"> </w:t>
      </w:r>
      <w:r>
        <w:rPr>
          <w:sz w:val="21"/>
        </w:rPr>
        <w:t>o</w:t>
      </w:r>
      <w:r>
        <w:rPr>
          <w:spacing w:val="-8"/>
          <w:sz w:val="21"/>
        </w:rPr>
        <w:t xml:space="preserve"> </w:t>
      </w:r>
      <w:r>
        <w:rPr>
          <w:sz w:val="21"/>
        </w:rPr>
        <w:t>servicios</w:t>
      </w:r>
      <w:r>
        <w:rPr>
          <w:spacing w:val="-8"/>
          <w:sz w:val="21"/>
        </w:rPr>
        <w:t xml:space="preserve"> </w:t>
      </w:r>
      <w:r>
        <w:rPr>
          <w:sz w:val="21"/>
        </w:rPr>
        <w:t>ajenos a la obra pública, deberá seguir los siguientes</w:t>
      </w:r>
      <w:r>
        <w:rPr>
          <w:spacing w:val="-15"/>
          <w:sz w:val="21"/>
        </w:rPr>
        <w:t xml:space="preserve"> </w:t>
      </w:r>
      <w:r>
        <w:rPr>
          <w:sz w:val="21"/>
        </w:rPr>
        <w:t>parámetros:</w:t>
      </w:r>
    </w:p>
    <w:p w14:paraId="06727547" w14:textId="77777777" w:rsidR="00653510" w:rsidRDefault="00390730">
      <w:pPr>
        <w:pStyle w:val="Prrafodelista"/>
        <w:numPr>
          <w:ilvl w:val="1"/>
          <w:numId w:val="1"/>
        </w:numPr>
        <w:tabs>
          <w:tab w:val="left" w:pos="810"/>
        </w:tabs>
        <w:spacing w:before="120"/>
        <w:ind w:right="1242"/>
        <w:jc w:val="both"/>
        <w:rPr>
          <w:sz w:val="21"/>
        </w:rPr>
      </w:pPr>
      <w:r>
        <w:rPr>
          <w:sz w:val="21"/>
        </w:rPr>
        <w:t>Demostrar en los estudios previos que ha verificado las condiciones de mercado para la adquisición de los bienes o servicios adicionales al componente</w:t>
      </w:r>
      <w:r>
        <w:rPr>
          <w:spacing w:val="-7"/>
          <w:sz w:val="21"/>
        </w:rPr>
        <w:t xml:space="preserve"> </w:t>
      </w:r>
      <w:r>
        <w:rPr>
          <w:sz w:val="21"/>
        </w:rPr>
        <w:t>de</w:t>
      </w:r>
      <w:r>
        <w:rPr>
          <w:spacing w:val="-6"/>
          <w:sz w:val="21"/>
        </w:rPr>
        <w:t xml:space="preserve"> </w:t>
      </w:r>
      <w:r>
        <w:rPr>
          <w:sz w:val="21"/>
        </w:rPr>
        <w:t>obra</w:t>
      </w:r>
      <w:r>
        <w:rPr>
          <w:spacing w:val="-6"/>
          <w:sz w:val="21"/>
        </w:rPr>
        <w:t xml:space="preserve"> </w:t>
      </w:r>
      <w:r>
        <w:rPr>
          <w:sz w:val="21"/>
        </w:rPr>
        <w:t>pública,</w:t>
      </w:r>
      <w:r>
        <w:rPr>
          <w:spacing w:val="-5"/>
          <w:sz w:val="21"/>
        </w:rPr>
        <w:t xml:space="preserve"> </w:t>
      </w:r>
      <w:r>
        <w:rPr>
          <w:sz w:val="21"/>
        </w:rPr>
        <w:t>de</w:t>
      </w:r>
      <w:r>
        <w:rPr>
          <w:spacing w:val="-7"/>
          <w:sz w:val="21"/>
        </w:rPr>
        <w:t xml:space="preserve"> </w:t>
      </w:r>
      <w:r>
        <w:rPr>
          <w:sz w:val="21"/>
        </w:rPr>
        <w:t>tal</w:t>
      </w:r>
      <w:r>
        <w:rPr>
          <w:spacing w:val="-5"/>
          <w:sz w:val="21"/>
        </w:rPr>
        <w:t xml:space="preserve"> </w:t>
      </w:r>
      <w:r>
        <w:rPr>
          <w:sz w:val="21"/>
        </w:rPr>
        <w:t>manera</w:t>
      </w:r>
      <w:r>
        <w:rPr>
          <w:spacing w:val="-6"/>
          <w:sz w:val="21"/>
        </w:rPr>
        <w:t xml:space="preserve"> </w:t>
      </w:r>
      <w:r>
        <w:rPr>
          <w:sz w:val="21"/>
        </w:rPr>
        <w:t>que</w:t>
      </w:r>
      <w:r>
        <w:rPr>
          <w:spacing w:val="-6"/>
          <w:sz w:val="21"/>
        </w:rPr>
        <w:t xml:space="preserve"> </w:t>
      </w:r>
      <w:r>
        <w:rPr>
          <w:sz w:val="21"/>
        </w:rPr>
        <w:t>la</w:t>
      </w:r>
      <w:r>
        <w:rPr>
          <w:spacing w:val="-6"/>
          <w:sz w:val="21"/>
        </w:rPr>
        <w:t xml:space="preserve"> </w:t>
      </w:r>
      <w:r>
        <w:rPr>
          <w:sz w:val="21"/>
        </w:rPr>
        <w:t>experiencia</w:t>
      </w:r>
      <w:r>
        <w:rPr>
          <w:spacing w:val="-6"/>
          <w:sz w:val="21"/>
        </w:rPr>
        <w:t xml:space="preserve"> </w:t>
      </w:r>
      <w:r>
        <w:rPr>
          <w:sz w:val="21"/>
        </w:rPr>
        <w:t>adicional</w:t>
      </w:r>
      <w:r>
        <w:rPr>
          <w:spacing w:val="-5"/>
          <w:sz w:val="21"/>
        </w:rPr>
        <w:t xml:space="preserve"> </w:t>
      </w:r>
      <w:r>
        <w:rPr>
          <w:sz w:val="21"/>
        </w:rPr>
        <w:t>que se</w:t>
      </w:r>
      <w:r>
        <w:rPr>
          <w:spacing w:val="-7"/>
          <w:sz w:val="21"/>
        </w:rPr>
        <w:t xml:space="preserve"> </w:t>
      </w:r>
      <w:r>
        <w:rPr>
          <w:sz w:val="21"/>
        </w:rPr>
        <w:t>exija</w:t>
      </w:r>
      <w:r>
        <w:rPr>
          <w:spacing w:val="-6"/>
          <w:sz w:val="21"/>
        </w:rPr>
        <w:t xml:space="preserve"> </w:t>
      </w:r>
      <w:r>
        <w:rPr>
          <w:sz w:val="21"/>
        </w:rPr>
        <w:t>para</w:t>
      </w:r>
      <w:r>
        <w:rPr>
          <w:spacing w:val="-6"/>
          <w:sz w:val="21"/>
        </w:rPr>
        <w:t xml:space="preserve"> </w:t>
      </w:r>
      <w:r>
        <w:rPr>
          <w:sz w:val="21"/>
        </w:rPr>
        <w:t>tales</w:t>
      </w:r>
      <w:r>
        <w:rPr>
          <w:spacing w:val="-5"/>
          <w:sz w:val="21"/>
        </w:rPr>
        <w:t xml:space="preserve"> </w:t>
      </w:r>
      <w:r>
        <w:rPr>
          <w:sz w:val="21"/>
        </w:rPr>
        <w:t>bienes</w:t>
      </w:r>
      <w:r>
        <w:rPr>
          <w:spacing w:val="-6"/>
          <w:sz w:val="21"/>
        </w:rPr>
        <w:t xml:space="preserve"> </w:t>
      </w:r>
      <w:r>
        <w:rPr>
          <w:sz w:val="21"/>
        </w:rPr>
        <w:t>o</w:t>
      </w:r>
      <w:r>
        <w:rPr>
          <w:spacing w:val="-7"/>
          <w:sz w:val="21"/>
        </w:rPr>
        <w:t xml:space="preserve"> </w:t>
      </w:r>
      <w:r>
        <w:rPr>
          <w:sz w:val="21"/>
        </w:rPr>
        <w:t>servicios</w:t>
      </w:r>
      <w:r>
        <w:rPr>
          <w:spacing w:val="-6"/>
          <w:sz w:val="21"/>
        </w:rPr>
        <w:t xml:space="preserve"> </w:t>
      </w:r>
      <w:r>
        <w:rPr>
          <w:sz w:val="21"/>
        </w:rPr>
        <w:t>procure</w:t>
      </w:r>
      <w:r>
        <w:rPr>
          <w:spacing w:val="-6"/>
          <w:sz w:val="21"/>
        </w:rPr>
        <w:t xml:space="preserve"> </w:t>
      </w:r>
      <w:r>
        <w:rPr>
          <w:sz w:val="21"/>
        </w:rPr>
        <w:t>la</w:t>
      </w:r>
      <w:r>
        <w:rPr>
          <w:spacing w:val="-6"/>
          <w:sz w:val="21"/>
        </w:rPr>
        <w:t xml:space="preserve"> </w:t>
      </w:r>
      <w:r>
        <w:rPr>
          <w:sz w:val="21"/>
        </w:rPr>
        <w:t>pluralidad</w:t>
      </w:r>
      <w:r>
        <w:rPr>
          <w:spacing w:val="-6"/>
          <w:sz w:val="21"/>
        </w:rPr>
        <w:t xml:space="preserve"> </w:t>
      </w:r>
      <w:r>
        <w:rPr>
          <w:sz w:val="21"/>
        </w:rPr>
        <w:t>de</w:t>
      </w:r>
      <w:r>
        <w:rPr>
          <w:spacing w:val="-6"/>
          <w:sz w:val="21"/>
        </w:rPr>
        <w:t xml:space="preserve"> </w:t>
      </w:r>
      <w:r>
        <w:rPr>
          <w:sz w:val="21"/>
        </w:rPr>
        <w:t>oferentes,</w:t>
      </w:r>
      <w:r>
        <w:rPr>
          <w:spacing w:val="-7"/>
          <w:sz w:val="21"/>
        </w:rPr>
        <w:t xml:space="preserve"> </w:t>
      </w:r>
      <w:r>
        <w:rPr>
          <w:sz w:val="21"/>
        </w:rPr>
        <w:t>y</w:t>
      </w:r>
      <w:r>
        <w:rPr>
          <w:spacing w:val="-6"/>
          <w:sz w:val="21"/>
        </w:rPr>
        <w:t xml:space="preserve"> </w:t>
      </w:r>
      <w:r>
        <w:rPr>
          <w:sz w:val="21"/>
        </w:rPr>
        <w:t>no limite la concurrencia de proponentes al proceso de contratación</w:t>
      </w:r>
      <w:r>
        <w:rPr>
          <w:spacing w:val="-18"/>
          <w:sz w:val="21"/>
        </w:rPr>
        <w:t xml:space="preserve"> </w:t>
      </w:r>
      <w:r>
        <w:rPr>
          <w:sz w:val="21"/>
        </w:rPr>
        <w:t>[…].</w:t>
      </w:r>
    </w:p>
    <w:p w14:paraId="7009CD67" w14:textId="77777777" w:rsidR="00653510" w:rsidRDefault="00653510">
      <w:pPr>
        <w:jc w:val="both"/>
        <w:rPr>
          <w:sz w:val="21"/>
        </w:rPr>
        <w:sectPr w:rsidR="00653510">
          <w:pgSz w:w="11900" w:h="16820"/>
          <w:pgMar w:top="1340" w:right="1160" w:bottom="2180" w:left="1600" w:header="0" w:footer="1962" w:gutter="0"/>
          <w:cols w:space="720"/>
        </w:sectPr>
      </w:pPr>
    </w:p>
    <w:p w14:paraId="4319D37E" w14:textId="77777777" w:rsidR="00653510" w:rsidRDefault="00390730">
      <w:pPr>
        <w:pStyle w:val="Textoindependiente"/>
        <w:spacing w:before="70" w:line="276" w:lineRule="auto"/>
        <w:ind w:left="100" w:right="533" w:firstLine="708"/>
        <w:jc w:val="both"/>
        <w:rPr>
          <w:i/>
        </w:rPr>
      </w:pPr>
      <w:r>
        <w:lastRenderedPageBreak/>
        <w:t>En consecuencia, los procedimientos para selección de contratistas de obra pública de infraestructura de transporte en las modalidades de licitación pública, selección abreviada de menor cuantía y mínima cuantía adelantados con documentos tipo, a pesar de contar con requisitos habilitantes e índices financieros definidos previamente por dichos documentos, no se encuentran exentos de la obligación de realizar los estudios previos. Lo anterior, necesariamente requiere aplicar el artículo 2.2.1.1.2.1.1</w:t>
      </w:r>
      <w:r>
        <w:rPr>
          <w:spacing w:val="-8"/>
        </w:rPr>
        <w:t xml:space="preserve"> </w:t>
      </w:r>
      <w:r>
        <w:t>del</w:t>
      </w:r>
      <w:r>
        <w:rPr>
          <w:spacing w:val="-9"/>
        </w:rPr>
        <w:t xml:space="preserve"> </w:t>
      </w:r>
      <w:r>
        <w:t>Decreto</w:t>
      </w:r>
      <w:r>
        <w:rPr>
          <w:spacing w:val="-8"/>
        </w:rPr>
        <w:t xml:space="preserve"> </w:t>
      </w:r>
      <w:r>
        <w:t>1082</w:t>
      </w:r>
      <w:r>
        <w:rPr>
          <w:spacing w:val="-8"/>
        </w:rPr>
        <w:t xml:space="preserve"> </w:t>
      </w:r>
      <w:r>
        <w:t>del</w:t>
      </w:r>
      <w:r>
        <w:rPr>
          <w:spacing w:val="-8"/>
        </w:rPr>
        <w:t xml:space="preserve"> </w:t>
      </w:r>
      <w:r>
        <w:t>2015,</w:t>
      </w:r>
      <w:r>
        <w:rPr>
          <w:spacing w:val="-8"/>
        </w:rPr>
        <w:t xml:space="preserve"> </w:t>
      </w:r>
      <w:r>
        <w:t>evidenciando</w:t>
      </w:r>
      <w:r>
        <w:rPr>
          <w:spacing w:val="-8"/>
        </w:rPr>
        <w:t xml:space="preserve"> </w:t>
      </w:r>
      <w:r>
        <w:t>el</w:t>
      </w:r>
      <w:r>
        <w:rPr>
          <w:spacing w:val="-9"/>
        </w:rPr>
        <w:t xml:space="preserve"> </w:t>
      </w:r>
      <w:r>
        <w:t>cumplimiento</w:t>
      </w:r>
      <w:r>
        <w:rPr>
          <w:spacing w:val="-8"/>
        </w:rPr>
        <w:t xml:space="preserve"> </w:t>
      </w:r>
      <w:r>
        <w:t>de</w:t>
      </w:r>
      <w:r>
        <w:rPr>
          <w:spacing w:val="-9"/>
        </w:rPr>
        <w:t xml:space="preserve"> </w:t>
      </w:r>
      <w:r>
        <w:t>este</w:t>
      </w:r>
      <w:r>
        <w:rPr>
          <w:spacing w:val="-8"/>
        </w:rPr>
        <w:t xml:space="preserve"> </w:t>
      </w:r>
      <w:r>
        <w:t xml:space="preserve">requisito dentro de los </w:t>
      </w:r>
      <w:r>
        <w:rPr>
          <w:i/>
        </w:rPr>
        <w:t>Documentos del</w:t>
      </w:r>
      <w:r>
        <w:rPr>
          <w:i/>
          <w:spacing w:val="-5"/>
        </w:rPr>
        <w:t xml:space="preserve"> </w:t>
      </w:r>
      <w:r>
        <w:rPr>
          <w:i/>
        </w:rPr>
        <w:t>Proceso.</w:t>
      </w:r>
    </w:p>
    <w:p w14:paraId="50D351FA" w14:textId="77777777" w:rsidR="00653510" w:rsidRDefault="00653510">
      <w:pPr>
        <w:pStyle w:val="Textoindependiente"/>
        <w:spacing w:before="3"/>
        <w:rPr>
          <w:i/>
          <w:sz w:val="25"/>
        </w:rPr>
      </w:pPr>
    </w:p>
    <w:p w14:paraId="55FCCF6B" w14:textId="77777777" w:rsidR="00653510" w:rsidRDefault="00390730">
      <w:pPr>
        <w:pStyle w:val="Ttulo1"/>
        <w:numPr>
          <w:ilvl w:val="1"/>
          <w:numId w:val="3"/>
        </w:numPr>
        <w:tabs>
          <w:tab w:val="left" w:pos="543"/>
        </w:tabs>
        <w:spacing w:line="276" w:lineRule="auto"/>
        <w:ind w:left="100" w:right="533" w:firstLine="0"/>
      </w:pPr>
      <w:r>
        <w:t>Estructuración de los estudios previos y deber de publicar el cálculo de los precios</w:t>
      </w:r>
      <w:r>
        <w:rPr>
          <w:spacing w:val="-2"/>
        </w:rPr>
        <w:t xml:space="preserve"> </w:t>
      </w:r>
      <w:r>
        <w:t>unitarios</w:t>
      </w:r>
    </w:p>
    <w:p w14:paraId="5EAE0F6A" w14:textId="77777777" w:rsidR="00653510" w:rsidRDefault="00653510">
      <w:pPr>
        <w:pStyle w:val="Textoindependiente"/>
        <w:spacing w:before="3"/>
        <w:rPr>
          <w:b/>
          <w:sz w:val="25"/>
        </w:rPr>
      </w:pPr>
    </w:p>
    <w:p w14:paraId="569243A7" w14:textId="77777777" w:rsidR="00653510" w:rsidRDefault="00390730">
      <w:pPr>
        <w:pStyle w:val="Textoindependiente"/>
        <w:spacing w:line="276" w:lineRule="auto"/>
        <w:ind w:left="100" w:right="533"/>
        <w:jc w:val="both"/>
      </w:pPr>
      <w:r>
        <w:t>La parte introductoria del documento base o pliego tipo en el párrafo cuarto manifiesta que</w:t>
      </w:r>
      <w:r>
        <w:rPr>
          <w:spacing w:val="-7"/>
        </w:rPr>
        <w:t xml:space="preserve"> </w:t>
      </w:r>
      <w:r>
        <w:t>los</w:t>
      </w:r>
      <w:r>
        <w:rPr>
          <w:spacing w:val="-7"/>
        </w:rPr>
        <w:t xml:space="preserve"> </w:t>
      </w:r>
      <w:r>
        <w:t>documentos</w:t>
      </w:r>
      <w:r>
        <w:rPr>
          <w:spacing w:val="-6"/>
        </w:rPr>
        <w:t xml:space="preserve"> </w:t>
      </w:r>
      <w:r>
        <w:t>del</w:t>
      </w:r>
      <w:r>
        <w:rPr>
          <w:spacing w:val="-7"/>
        </w:rPr>
        <w:t xml:space="preserve"> </w:t>
      </w:r>
      <w:r>
        <w:t>proceso</w:t>
      </w:r>
      <w:r>
        <w:rPr>
          <w:spacing w:val="-6"/>
        </w:rPr>
        <w:t xml:space="preserve"> </w:t>
      </w:r>
      <w:r>
        <w:t>incluyen</w:t>
      </w:r>
      <w:r>
        <w:rPr>
          <w:spacing w:val="-7"/>
        </w:rPr>
        <w:t xml:space="preserve"> </w:t>
      </w:r>
      <w:r>
        <w:t>los</w:t>
      </w:r>
      <w:r>
        <w:rPr>
          <w:spacing w:val="-6"/>
        </w:rPr>
        <w:t xml:space="preserve"> </w:t>
      </w:r>
      <w:r>
        <w:t>estudios</w:t>
      </w:r>
      <w:r>
        <w:rPr>
          <w:spacing w:val="-7"/>
        </w:rPr>
        <w:t xml:space="preserve"> </w:t>
      </w:r>
      <w:r>
        <w:t>y</w:t>
      </w:r>
      <w:r>
        <w:rPr>
          <w:spacing w:val="-7"/>
        </w:rPr>
        <w:t xml:space="preserve"> </w:t>
      </w:r>
      <w:r>
        <w:t>documentos</w:t>
      </w:r>
      <w:r>
        <w:rPr>
          <w:spacing w:val="-6"/>
        </w:rPr>
        <w:t xml:space="preserve"> </w:t>
      </w:r>
      <w:r>
        <w:t>previos,</w:t>
      </w:r>
      <w:r>
        <w:rPr>
          <w:spacing w:val="-7"/>
        </w:rPr>
        <w:t xml:space="preserve"> </w:t>
      </w:r>
      <w:r>
        <w:t>el</w:t>
      </w:r>
      <w:r>
        <w:rPr>
          <w:spacing w:val="-6"/>
        </w:rPr>
        <w:t xml:space="preserve"> </w:t>
      </w:r>
      <w:r>
        <w:t>estudio de sector, así como cualquiera de sus anexos, están a disposición del público en el Sistema</w:t>
      </w:r>
      <w:r>
        <w:rPr>
          <w:spacing w:val="-9"/>
        </w:rPr>
        <w:t xml:space="preserve"> </w:t>
      </w:r>
      <w:r>
        <w:t>Electrónico</w:t>
      </w:r>
      <w:r>
        <w:rPr>
          <w:spacing w:val="-7"/>
        </w:rPr>
        <w:t xml:space="preserve"> </w:t>
      </w:r>
      <w:r>
        <w:t>de</w:t>
      </w:r>
      <w:r>
        <w:rPr>
          <w:spacing w:val="-10"/>
        </w:rPr>
        <w:t xml:space="preserve"> </w:t>
      </w:r>
      <w:r>
        <w:t>Contratación</w:t>
      </w:r>
      <w:r>
        <w:rPr>
          <w:spacing w:val="-9"/>
        </w:rPr>
        <w:t xml:space="preserve"> </w:t>
      </w:r>
      <w:r>
        <w:t>Pública</w:t>
      </w:r>
      <w:r>
        <w:rPr>
          <w:spacing w:val="-8"/>
        </w:rPr>
        <w:t xml:space="preserve"> </w:t>
      </w:r>
      <w:r>
        <w:t>–SECOP–.</w:t>
      </w:r>
      <w:r>
        <w:rPr>
          <w:spacing w:val="-9"/>
        </w:rPr>
        <w:t xml:space="preserve"> </w:t>
      </w:r>
      <w:r>
        <w:t>Para</w:t>
      </w:r>
      <w:r>
        <w:rPr>
          <w:spacing w:val="-9"/>
        </w:rPr>
        <w:t xml:space="preserve"> </w:t>
      </w:r>
      <w:r>
        <w:t>materializar</w:t>
      </w:r>
      <w:r>
        <w:rPr>
          <w:spacing w:val="-9"/>
        </w:rPr>
        <w:t xml:space="preserve"> </w:t>
      </w:r>
      <w:r>
        <w:t>los</w:t>
      </w:r>
      <w:r>
        <w:rPr>
          <w:spacing w:val="-9"/>
        </w:rPr>
        <w:t xml:space="preserve"> </w:t>
      </w:r>
      <w:r>
        <w:t>principios de la función administrativa y de la contratación estatal, las entidades estatales tienen el</w:t>
      </w:r>
      <w:r>
        <w:rPr>
          <w:spacing w:val="-16"/>
        </w:rPr>
        <w:t xml:space="preserve"> </w:t>
      </w:r>
      <w:r>
        <w:t>deber</w:t>
      </w:r>
      <w:r>
        <w:rPr>
          <w:spacing w:val="-16"/>
        </w:rPr>
        <w:t xml:space="preserve"> </w:t>
      </w:r>
      <w:r>
        <w:t>de</w:t>
      </w:r>
      <w:r>
        <w:rPr>
          <w:spacing w:val="-16"/>
        </w:rPr>
        <w:t xml:space="preserve"> </w:t>
      </w:r>
      <w:r>
        <w:t>planear</w:t>
      </w:r>
      <w:r>
        <w:rPr>
          <w:spacing w:val="-16"/>
        </w:rPr>
        <w:t xml:space="preserve"> </w:t>
      </w:r>
      <w:r>
        <w:t>sus</w:t>
      </w:r>
      <w:r>
        <w:rPr>
          <w:spacing w:val="-16"/>
        </w:rPr>
        <w:t xml:space="preserve"> </w:t>
      </w:r>
      <w:r>
        <w:t>contratos,</w:t>
      </w:r>
      <w:r>
        <w:rPr>
          <w:spacing w:val="-16"/>
        </w:rPr>
        <w:t xml:space="preserve"> </w:t>
      </w:r>
      <w:r>
        <w:t>es</w:t>
      </w:r>
      <w:r>
        <w:rPr>
          <w:spacing w:val="-16"/>
        </w:rPr>
        <w:t xml:space="preserve"> </w:t>
      </w:r>
      <w:r>
        <w:t>decir</w:t>
      </w:r>
      <w:r>
        <w:rPr>
          <w:spacing w:val="-16"/>
        </w:rPr>
        <w:t xml:space="preserve"> </w:t>
      </w:r>
      <w:r>
        <w:t>deben</w:t>
      </w:r>
      <w:r>
        <w:rPr>
          <w:spacing w:val="-16"/>
        </w:rPr>
        <w:t xml:space="preserve"> </w:t>
      </w:r>
      <w:r>
        <w:t>realizar</w:t>
      </w:r>
      <w:r>
        <w:rPr>
          <w:spacing w:val="-16"/>
        </w:rPr>
        <w:t xml:space="preserve"> </w:t>
      </w:r>
      <w:r>
        <w:t>los</w:t>
      </w:r>
      <w:r>
        <w:rPr>
          <w:spacing w:val="-16"/>
        </w:rPr>
        <w:t xml:space="preserve"> </w:t>
      </w:r>
      <w:r>
        <w:t>estudios,</w:t>
      </w:r>
      <w:r>
        <w:rPr>
          <w:spacing w:val="-16"/>
        </w:rPr>
        <w:t xml:space="preserve"> </w:t>
      </w:r>
      <w:r>
        <w:t>diseños</w:t>
      </w:r>
      <w:r>
        <w:rPr>
          <w:spacing w:val="-16"/>
        </w:rPr>
        <w:t xml:space="preserve"> </w:t>
      </w:r>
      <w:r>
        <w:t>y</w:t>
      </w:r>
      <w:r>
        <w:rPr>
          <w:spacing w:val="-16"/>
        </w:rPr>
        <w:t xml:space="preserve"> </w:t>
      </w:r>
      <w:r>
        <w:t>análisis que sean requeridos para la correcta ejecución del contrato, los cuales deberán ser adecuados al alcance y la complejidad del proceso de contratación</w:t>
      </w:r>
      <w:r>
        <w:rPr>
          <w:vertAlign w:val="superscript"/>
        </w:rPr>
        <w:t>6</w:t>
      </w:r>
      <w:r>
        <w:t>. Así lo estableció el numeral 12 del artículo 25 de la Ley 80 de 1993, modificado por el artículo 87 de la Ley 1474 de</w:t>
      </w:r>
      <w:r>
        <w:rPr>
          <w:spacing w:val="-4"/>
        </w:rPr>
        <w:t xml:space="preserve"> </w:t>
      </w:r>
      <w:r>
        <w:t>2011:</w:t>
      </w:r>
    </w:p>
    <w:p w14:paraId="443A37F5" w14:textId="77777777" w:rsidR="00653510" w:rsidRDefault="00A00A85">
      <w:pPr>
        <w:pStyle w:val="Textoindependiente"/>
        <w:spacing w:before="10"/>
        <w:rPr>
          <w:sz w:val="21"/>
        </w:rPr>
      </w:pPr>
      <w:r>
        <w:rPr>
          <w:noProof/>
        </w:rPr>
        <mc:AlternateContent>
          <mc:Choice Requires="wps">
            <w:drawing>
              <wp:anchor distT="0" distB="0" distL="0" distR="0" simplePos="0" relativeHeight="487588864" behindDoc="1" locked="0" layoutInCell="1" allowOverlap="1" wp14:anchorId="0E3CD650" wp14:editId="4EF673A2">
                <wp:simplePos x="0" y="0"/>
                <wp:positionH relativeFrom="page">
                  <wp:posOffset>1080135</wp:posOffset>
                </wp:positionH>
                <wp:positionV relativeFrom="paragraph">
                  <wp:posOffset>187960</wp:posOffset>
                </wp:positionV>
                <wp:extent cx="1828800" cy="1270"/>
                <wp:effectExtent l="0" t="0" r="0" b="0"/>
                <wp:wrapTopAndBottom/>
                <wp:docPr id="10"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072037" id="Freeform 8" o:spid="_x0000_s1026" style="position:absolute;margin-left:85.05pt;margin-top:14.8pt;width:2in;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" path="m,l2880,e" filled="f" strokeweight=".5pt">
                <v:path arrowok="t" o:connecttype="custom" o:connectlocs="0,0;1828800,0" o:connectangles="0,0"/>
                <w10:wrap type="topAndBottom" anchorx="page"/>
              </v:shape>
            </w:pict>
          </mc:Fallback>
        </mc:AlternateContent>
      </w:r>
    </w:p>
    <w:p w14:paraId="08818720" w14:textId="77777777" w:rsidR="00653510" w:rsidRDefault="00390730">
      <w:pPr>
        <w:spacing w:before="86"/>
        <w:ind w:left="200" w:right="638" w:firstLine="707"/>
        <w:jc w:val="both"/>
        <w:rPr>
          <w:rFonts w:ascii="Calibri" w:hAnsi="Calibri"/>
          <w:sz w:val="18"/>
        </w:rPr>
      </w:pPr>
      <w:r>
        <w:rPr>
          <w:rFonts w:ascii="Calibri" w:hAnsi="Calibri"/>
          <w:sz w:val="18"/>
          <w:vertAlign w:val="superscript"/>
        </w:rPr>
        <w:t>6</w:t>
      </w:r>
      <w:r>
        <w:rPr>
          <w:rFonts w:ascii="Calibri" w:hAnsi="Calibri"/>
          <w:sz w:val="18"/>
        </w:rPr>
        <w:t xml:space="preserve"> </w:t>
      </w:r>
      <w:proofErr w:type="gramStart"/>
      <w:r>
        <w:rPr>
          <w:rFonts w:ascii="Calibri" w:hAnsi="Calibri"/>
          <w:sz w:val="18"/>
        </w:rPr>
        <w:t>La</w:t>
      </w:r>
      <w:proofErr w:type="gramEnd"/>
      <w:r>
        <w:rPr>
          <w:rFonts w:ascii="Calibri" w:hAnsi="Calibri"/>
          <w:sz w:val="18"/>
        </w:rPr>
        <w:t xml:space="preserve"> Corte constitucional en Sentencia C-300 de 2012 MP. Jorge Ignacio Pretel </w:t>
      </w:r>
      <w:proofErr w:type="spellStart"/>
      <w:r>
        <w:rPr>
          <w:rFonts w:ascii="Calibri" w:hAnsi="Calibri"/>
          <w:sz w:val="18"/>
        </w:rPr>
        <w:t>Chabljub</w:t>
      </w:r>
      <w:proofErr w:type="spellEnd"/>
      <w:r>
        <w:rPr>
          <w:rFonts w:ascii="Calibri" w:hAnsi="Calibri"/>
          <w:sz w:val="18"/>
        </w:rPr>
        <w:t>, consideró al respecto:</w:t>
      </w:r>
      <w:r>
        <w:rPr>
          <w:rFonts w:ascii="Calibri" w:hAnsi="Calibri"/>
          <w:spacing w:val="-14"/>
          <w:sz w:val="18"/>
        </w:rPr>
        <w:t xml:space="preserve"> </w:t>
      </w:r>
      <w:r>
        <w:rPr>
          <w:rFonts w:ascii="Calibri" w:hAnsi="Calibri"/>
          <w:sz w:val="18"/>
        </w:rPr>
        <w:t>«El</w:t>
      </w:r>
      <w:r>
        <w:rPr>
          <w:rFonts w:ascii="Calibri" w:hAnsi="Calibri"/>
          <w:spacing w:val="-14"/>
          <w:sz w:val="18"/>
        </w:rPr>
        <w:t xml:space="preserve"> </w:t>
      </w:r>
      <w:r>
        <w:rPr>
          <w:rFonts w:ascii="Calibri" w:hAnsi="Calibri"/>
          <w:sz w:val="18"/>
        </w:rPr>
        <w:t>principio</w:t>
      </w:r>
      <w:r>
        <w:rPr>
          <w:rFonts w:ascii="Calibri" w:hAnsi="Calibri"/>
          <w:spacing w:val="-14"/>
          <w:sz w:val="18"/>
        </w:rPr>
        <w:t xml:space="preserve"> </w:t>
      </w:r>
      <w:r>
        <w:rPr>
          <w:rFonts w:ascii="Calibri" w:hAnsi="Calibri"/>
          <w:sz w:val="18"/>
        </w:rPr>
        <w:t>de</w:t>
      </w:r>
      <w:r>
        <w:rPr>
          <w:rFonts w:ascii="Calibri" w:hAnsi="Calibri"/>
          <w:spacing w:val="-14"/>
          <w:sz w:val="18"/>
        </w:rPr>
        <w:t xml:space="preserve"> </w:t>
      </w:r>
      <w:r>
        <w:rPr>
          <w:rFonts w:ascii="Calibri" w:hAnsi="Calibri"/>
          <w:sz w:val="18"/>
        </w:rPr>
        <w:t>planeación</w:t>
      </w:r>
      <w:r>
        <w:rPr>
          <w:rFonts w:ascii="Calibri" w:hAnsi="Calibri"/>
          <w:spacing w:val="-14"/>
          <w:sz w:val="18"/>
        </w:rPr>
        <w:t xml:space="preserve"> </w:t>
      </w:r>
      <w:r>
        <w:rPr>
          <w:rFonts w:ascii="Calibri" w:hAnsi="Calibri"/>
          <w:sz w:val="18"/>
        </w:rPr>
        <w:t>hace</w:t>
      </w:r>
      <w:r>
        <w:rPr>
          <w:rFonts w:ascii="Calibri" w:hAnsi="Calibri"/>
          <w:spacing w:val="-14"/>
          <w:sz w:val="18"/>
        </w:rPr>
        <w:t xml:space="preserve"> </w:t>
      </w:r>
      <w:r>
        <w:rPr>
          <w:rFonts w:ascii="Calibri" w:hAnsi="Calibri"/>
          <w:sz w:val="18"/>
        </w:rPr>
        <w:t>referencia</w:t>
      </w:r>
      <w:r>
        <w:rPr>
          <w:rFonts w:ascii="Calibri" w:hAnsi="Calibri"/>
          <w:spacing w:val="-14"/>
          <w:sz w:val="18"/>
        </w:rPr>
        <w:t xml:space="preserve"> </w:t>
      </w:r>
      <w:r>
        <w:rPr>
          <w:rFonts w:ascii="Calibri" w:hAnsi="Calibri"/>
          <w:sz w:val="18"/>
        </w:rPr>
        <w:t>al</w:t>
      </w:r>
      <w:r>
        <w:rPr>
          <w:rFonts w:ascii="Calibri" w:hAnsi="Calibri"/>
          <w:spacing w:val="-14"/>
          <w:sz w:val="18"/>
        </w:rPr>
        <w:t xml:space="preserve"> </w:t>
      </w:r>
      <w:r>
        <w:rPr>
          <w:rFonts w:ascii="Calibri" w:hAnsi="Calibri"/>
          <w:sz w:val="18"/>
        </w:rPr>
        <w:t>deber</w:t>
      </w:r>
      <w:r>
        <w:rPr>
          <w:rFonts w:ascii="Calibri" w:hAnsi="Calibri"/>
          <w:spacing w:val="-14"/>
          <w:sz w:val="18"/>
        </w:rPr>
        <w:t xml:space="preserve"> </w:t>
      </w:r>
      <w:r>
        <w:rPr>
          <w:rFonts w:ascii="Calibri" w:hAnsi="Calibri"/>
          <w:sz w:val="18"/>
        </w:rPr>
        <w:t>de</w:t>
      </w:r>
      <w:r>
        <w:rPr>
          <w:rFonts w:ascii="Calibri" w:hAnsi="Calibri"/>
          <w:spacing w:val="-15"/>
          <w:sz w:val="18"/>
        </w:rPr>
        <w:t xml:space="preserve"> </w:t>
      </w:r>
      <w:r>
        <w:rPr>
          <w:rFonts w:ascii="Calibri" w:hAnsi="Calibri"/>
          <w:sz w:val="18"/>
        </w:rPr>
        <w:t>la</w:t>
      </w:r>
      <w:r>
        <w:rPr>
          <w:rFonts w:ascii="Calibri" w:hAnsi="Calibri"/>
          <w:spacing w:val="-14"/>
          <w:sz w:val="18"/>
        </w:rPr>
        <w:t xml:space="preserve"> </w:t>
      </w:r>
      <w:r>
        <w:rPr>
          <w:rFonts w:ascii="Calibri" w:hAnsi="Calibri"/>
          <w:sz w:val="18"/>
        </w:rPr>
        <w:t>entidad</w:t>
      </w:r>
      <w:r>
        <w:rPr>
          <w:rFonts w:ascii="Calibri" w:hAnsi="Calibri"/>
          <w:spacing w:val="-13"/>
          <w:sz w:val="18"/>
        </w:rPr>
        <w:t xml:space="preserve"> </w:t>
      </w:r>
      <w:r>
        <w:rPr>
          <w:rFonts w:ascii="Calibri" w:hAnsi="Calibri"/>
          <w:sz w:val="18"/>
        </w:rPr>
        <w:t>contratante</w:t>
      </w:r>
      <w:r>
        <w:rPr>
          <w:rFonts w:ascii="Calibri" w:hAnsi="Calibri"/>
          <w:spacing w:val="-13"/>
          <w:sz w:val="18"/>
        </w:rPr>
        <w:t xml:space="preserve"> </w:t>
      </w:r>
      <w:r>
        <w:rPr>
          <w:rFonts w:ascii="Calibri" w:hAnsi="Calibri"/>
          <w:sz w:val="18"/>
        </w:rPr>
        <w:t>de</w:t>
      </w:r>
      <w:r>
        <w:rPr>
          <w:rFonts w:ascii="Calibri" w:hAnsi="Calibri"/>
          <w:spacing w:val="-14"/>
          <w:sz w:val="18"/>
        </w:rPr>
        <w:t xml:space="preserve"> </w:t>
      </w:r>
      <w:r>
        <w:rPr>
          <w:rFonts w:ascii="Calibri" w:hAnsi="Calibri"/>
          <w:sz w:val="18"/>
        </w:rPr>
        <w:t>realizar</w:t>
      </w:r>
      <w:r>
        <w:rPr>
          <w:rFonts w:ascii="Calibri" w:hAnsi="Calibri"/>
          <w:spacing w:val="-14"/>
          <w:sz w:val="18"/>
        </w:rPr>
        <w:t xml:space="preserve"> </w:t>
      </w:r>
      <w:r>
        <w:rPr>
          <w:rFonts w:ascii="Calibri" w:hAnsi="Calibri"/>
          <w:sz w:val="18"/>
        </w:rPr>
        <w:t>estudios</w:t>
      </w:r>
      <w:r>
        <w:rPr>
          <w:rFonts w:ascii="Calibri" w:hAnsi="Calibri"/>
          <w:spacing w:val="-13"/>
          <w:sz w:val="18"/>
        </w:rPr>
        <w:t xml:space="preserve"> </w:t>
      </w:r>
      <w:r>
        <w:rPr>
          <w:rFonts w:ascii="Calibri" w:hAnsi="Calibri"/>
          <w:sz w:val="18"/>
        </w:rPr>
        <w:t>previos adecuados (estudios de prefactibilidad, factibilidad, ingeniería, suelos, etc.), con el fin de precisar el objeto del contrato, las obligaciones mutuas de las partes, la distribución de los riesgos y el precio, estructurar debidamente su</w:t>
      </w:r>
      <w:r>
        <w:rPr>
          <w:rFonts w:ascii="Calibri" w:hAnsi="Calibri"/>
          <w:spacing w:val="-3"/>
          <w:sz w:val="18"/>
        </w:rPr>
        <w:t xml:space="preserve"> </w:t>
      </w:r>
      <w:r>
        <w:rPr>
          <w:rFonts w:ascii="Calibri" w:hAnsi="Calibri"/>
          <w:sz w:val="18"/>
        </w:rPr>
        <w:t>financiación</w:t>
      </w:r>
      <w:r>
        <w:rPr>
          <w:rFonts w:ascii="Calibri" w:hAnsi="Calibri"/>
          <w:spacing w:val="-3"/>
          <w:sz w:val="18"/>
        </w:rPr>
        <w:t xml:space="preserve"> </w:t>
      </w:r>
      <w:r>
        <w:rPr>
          <w:rFonts w:ascii="Calibri" w:hAnsi="Calibri"/>
          <w:sz w:val="18"/>
        </w:rPr>
        <w:t>y</w:t>
      </w:r>
      <w:r>
        <w:rPr>
          <w:rFonts w:ascii="Calibri" w:hAnsi="Calibri"/>
          <w:spacing w:val="-3"/>
          <w:sz w:val="18"/>
        </w:rPr>
        <w:t xml:space="preserve"> </w:t>
      </w:r>
      <w:r>
        <w:rPr>
          <w:rFonts w:ascii="Calibri" w:hAnsi="Calibri"/>
          <w:sz w:val="18"/>
        </w:rPr>
        <w:t>permitir</w:t>
      </w:r>
      <w:r>
        <w:rPr>
          <w:rFonts w:ascii="Calibri" w:hAnsi="Calibri"/>
          <w:spacing w:val="-3"/>
          <w:sz w:val="18"/>
        </w:rPr>
        <w:t xml:space="preserve"> </w:t>
      </w:r>
      <w:r>
        <w:rPr>
          <w:rFonts w:ascii="Calibri" w:hAnsi="Calibri"/>
          <w:sz w:val="18"/>
        </w:rPr>
        <w:t>a</w:t>
      </w:r>
      <w:r>
        <w:rPr>
          <w:rFonts w:ascii="Calibri" w:hAnsi="Calibri"/>
          <w:spacing w:val="-3"/>
          <w:sz w:val="18"/>
        </w:rPr>
        <w:t xml:space="preserve"> </w:t>
      </w:r>
      <w:r>
        <w:rPr>
          <w:rFonts w:ascii="Calibri" w:hAnsi="Calibri"/>
          <w:sz w:val="18"/>
        </w:rPr>
        <w:t>los</w:t>
      </w:r>
      <w:r>
        <w:rPr>
          <w:rFonts w:ascii="Calibri" w:hAnsi="Calibri"/>
          <w:spacing w:val="-3"/>
          <w:sz w:val="18"/>
        </w:rPr>
        <w:t xml:space="preserve"> </w:t>
      </w:r>
      <w:r>
        <w:rPr>
          <w:rFonts w:ascii="Calibri" w:hAnsi="Calibri"/>
          <w:sz w:val="18"/>
        </w:rPr>
        <w:t>interesados</w:t>
      </w:r>
      <w:r>
        <w:rPr>
          <w:rFonts w:ascii="Calibri" w:hAnsi="Calibri"/>
          <w:spacing w:val="-3"/>
          <w:sz w:val="18"/>
        </w:rPr>
        <w:t xml:space="preserve"> </w:t>
      </w:r>
      <w:r>
        <w:rPr>
          <w:rFonts w:ascii="Calibri" w:hAnsi="Calibri"/>
          <w:sz w:val="18"/>
        </w:rPr>
        <w:t>diseñar</w:t>
      </w:r>
      <w:r>
        <w:rPr>
          <w:rFonts w:ascii="Calibri" w:hAnsi="Calibri"/>
          <w:spacing w:val="-3"/>
          <w:sz w:val="18"/>
        </w:rPr>
        <w:t xml:space="preserve"> </w:t>
      </w:r>
      <w:r>
        <w:rPr>
          <w:rFonts w:ascii="Calibri" w:hAnsi="Calibri"/>
          <w:sz w:val="18"/>
        </w:rPr>
        <w:t>sus</w:t>
      </w:r>
      <w:r>
        <w:rPr>
          <w:rFonts w:ascii="Calibri" w:hAnsi="Calibri"/>
          <w:spacing w:val="-3"/>
          <w:sz w:val="18"/>
        </w:rPr>
        <w:t xml:space="preserve"> </w:t>
      </w:r>
      <w:r>
        <w:rPr>
          <w:rFonts w:ascii="Calibri" w:hAnsi="Calibri"/>
          <w:sz w:val="18"/>
        </w:rPr>
        <w:t>ofertas</w:t>
      </w:r>
      <w:r>
        <w:rPr>
          <w:rFonts w:ascii="Calibri" w:hAnsi="Calibri"/>
          <w:spacing w:val="-3"/>
          <w:sz w:val="18"/>
        </w:rPr>
        <w:t xml:space="preserve"> </w:t>
      </w:r>
      <w:r>
        <w:rPr>
          <w:rFonts w:ascii="Calibri" w:hAnsi="Calibri"/>
          <w:sz w:val="18"/>
        </w:rPr>
        <w:t>y</w:t>
      </w:r>
      <w:r>
        <w:rPr>
          <w:rFonts w:ascii="Calibri" w:hAnsi="Calibri"/>
          <w:spacing w:val="-3"/>
          <w:sz w:val="18"/>
        </w:rPr>
        <w:t xml:space="preserve"> </w:t>
      </w:r>
      <w:r>
        <w:rPr>
          <w:rFonts w:ascii="Calibri" w:hAnsi="Calibri"/>
          <w:sz w:val="18"/>
        </w:rPr>
        <w:t>buscar</w:t>
      </w:r>
      <w:r>
        <w:rPr>
          <w:rFonts w:ascii="Calibri" w:hAnsi="Calibri"/>
          <w:spacing w:val="-3"/>
          <w:sz w:val="18"/>
        </w:rPr>
        <w:t xml:space="preserve"> </w:t>
      </w:r>
      <w:r>
        <w:rPr>
          <w:rFonts w:ascii="Calibri" w:hAnsi="Calibri"/>
          <w:sz w:val="18"/>
        </w:rPr>
        <w:t>diferentes</w:t>
      </w:r>
      <w:r>
        <w:rPr>
          <w:rFonts w:ascii="Calibri" w:hAnsi="Calibri"/>
          <w:spacing w:val="-3"/>
          <w:sz w:val="18"/>
        </w:rPr>
        <w:t xml:space="preserve"> </w:t>
      </w:r>
      <w:r>
        <w:rPr>
          <w:rFonts w:ascii="Calibri" w:hAnsi="Calibri"/>
          <w:sz w:val="18"/>
        </w:rPr>
        <w:t>fuentes</w:t>
      </w:r>
      <w:r>
        <w:rPr>
          <w:rFonts w:ascii="Calibri" w:hAnsi="Calibri"/>
          <w:spacing w:val="-3"/>
          <w:sz w:val="18"/>
        </w:rPr>
        <w:t xml:space="preserve"> </w:t>
      </w:r>
      <w:r>
        <w:rPr>
          <w:rFonts w:ascii="Calibri" w:hAnsi="Calibri"/>
          <w:sz w:val="18"/>
        </w:rPr>
        <w:t>de</w:t>
      </w:r>
      <w:r>
        <w:rPr>
          <w:rFonts w:ascii="Calibri" w:hAnsi="Calibri"/>
          <w:spacing w:val="-3"/>
          <w:sz w:val="18"/>
        </w:rPr>
        <w:t xml:space="preserve"> </w:t>
      </w:r>
      <w:r>
        <w:rPr>
          <w:rFonts w:ascii="Calibri" w:hAnsi="Calibri"/>
          <w:sz w:val="18"/>
        </w:rPr>
        <w:t>recursos.</w:t>
      </w:r>
    </w:p>
    <w:p w14:paraId="6C299749" w14:textId="77777777" w:rsidR="00653510" w:rsidRDefault="00390730">
      <w:pPr>
        <w:spacing w:before="120"/>
        <w:ind w:left="200" w:right="636" w:firstLine="608"/>
        <w:jc w:val="both"/>
        <w:rPr>
          <w:rFonts w:ascii="Calibri" w:hAnsi="Calibri"/>
          <w:sz w:val="18"/>
        </w:rPr>
      </w:pPr>
      <w:r>
        <w:rPr>
          <w:rFonts w:ascii="Calibri" w:hAnsi="Calibri"/>
          <w:sz w:val="18"/>
        </w:rPr>
        <w:t>Este principio está entonces directamente relacionado con los de economía, eficacia, racionalidad de la intervención</w:t>
      </w:r>
      <w:r>
        <w:rPr>
          <w:rFonts w:ascii="Calibri" w:hAnsi="Calibri"/>
          <w:spacing w:val="-12"/>
          <w:sz w:val="18"/>
        </w:rPr>
        <w:t xml:space="preserve"> </w:t>
      </w:r>
      <w:r>
        <w:rPr>
          <w:rFonts w:ascii="Calibri" w:hAnsi="Calibri"/>
          <w:sz w:val="18"/>
        </w:rPr>
        <w:t>estatal</w:t>
      </w:r>
      <w:r>
        <w:rPr>
          <w:rFonts w:ascii="Calibri" w:hAnsi="Calibri"/>
          <w:spacing w:val="-12"/>
          <w:sz w:val="18"/>
        </w:rPr>
        <w:t xml:space="preserve"> </w:t>
      </w:r>
      <w:r>
        <w:rPr>
          <w:rFonts w:ascii="Calibri" w:hAnsi="Calibri"/>
          <w:sz w:val="18"/>
        </w:rPr>
        <w:t>y</w:t>
      </w:r>
      <w:r>
        <w:rPr>
          <w:rFonts w:ascii="Calibri" w:hAnsi="Calibri"/>
          <w:spacing w:val="-12"/>
          <w:sz w:val="18"/>
        </w:rPr>
        <w:t xml:space="preserve"> </w:t>
      </w:r>
      <w:r>
        <w:rPr>
          <w:rFonts w:ascii="Calibri" w:hAnsi="Calibri"/>
          <w:sz w:val="18"/>
        </w:rPr>
        <w:t>libre</w:t>
      </w:r>
      <w:r>
        <w:rPr>
          <w:rFonts w:ascii="Calibri" w:hAnsi="Calibri"/>
          <w:spacing w:val="-13"/>
          <w:sz w:val="18"/>
        </w:rPr>
        <w:t xml:space="preserve"> </w:t>
      </w:r>
      <w:r>
        <w:rPr>
          <w:rFonts w:ascii="Calibri" w:hAnsi="Calibri"/>
          <w:sz w:val="18"/>
        </w:rPr>
        <w:t>concurrencia.</w:t>
      </w:r>
      <w:r>
        <w:rPr>
          <w:rFonts w:ascii="Calibri" w:hAnsi="Calibri"/>
          <w:spacing w:val="-10"/>
          <w:sz w:val="18"/>
        </w:rPr>
        <w:t xml:space="preserve"> </w:t>
      </w:r>
      <w:r>
        <w:rPr>
          <w:rFonts w:ascii="Calibri" w:hAnsi="Calibri"/>
          <w:sz w:val="18"/>
        </w:rPr>
        <w:t>De</w:t>
      </w:r>
      <w:r>
        <w:rPr>
          <w:rFonts w:ascii="Calibri" w:hAnsi="Calibri"/>
          <w:spacing w:val="-13"/>
          <w:sz w:val="18"/>
        </w:rPr>
        <w:t xml:space="preserve"> </w:t>
      </w:r>
      <w:r>
        <w:rPr>
          <w:rFonts w:ascii="Calibri" w:hAnsi="Calibri"/>
          <w:sz w:val="18"/>
        </w:rPr>
        <w:t>un</w:t>
      </w:r>
      <w:r>
        <w:rPr>
          <w:rFonts w:ascii="Calibri" w:hAnsi="Calibri"/>
          <w:spacing w:val="-12"/>
          <w:sz w:val="18"/>
        </w:rPr>
        <w:t xml:space="preserve"> </w:t>
      </w:r>
      <w:r>
        <w:rPr>
          <w:rFonts w:ascii="Calibri" w:hAnsi="Calibri"/>
          <w:sz w:val="18"/>
        </w:rPr>
        <w:t>lado,</w:t>
      </w:r>
      <w:r>
        <w:rPr>
          <w:rFonts w:ascii="Calibri" w:hAnsi="Calibri"/>
          <w:spacing w:val="-12"/>
          <w:sz w:val="18"/>
        </w:rPr>
        <w:t xml:space="preserve"> </w:t>
      </w:r>
      <w:r>
        <w:rPr>
          <w:rFonts w:ascii="Calibri" w:hAnsi="Calibri"/>
          <w:sz w:val="18"/>
        </w:rPr>
        <w:t>se</w:t>
      </w:r>
      <w:r>
        <w:rPr>
          <w:rFonts w:ascii="Calibri" w:hAnsi="Calibri"/>
          <w:spacing w:val="-12"/>
          <w:sz w:val="18"/>
        </w:rPr>
        <w:t xml:space="preserve"> </w:t>
      </w:r>
      <w:r>
        <w:rPr>
          <w:rFonts w:ascii="Calibri" w:hAnsi="Calibri"/>
          <w:sz w:val="18"/>
        </w:rPr>
        <w:t>relaciona</w:t>
      </w:r>
      <w:r>
        <w:rPr>
          <w:rFonts w:ascii="Calibri" w:hAnsi="Calibri"/>
          <w:spacing w:val="-12"/>
          <w:sz w:val="18"/>
        </w:rPr>
        <w:t xml:space="preserve"> </w:t>
      </w:r>
      <w:r>
        <w:rPr>
          <w:rFonts w:ascii="Calibri" w:hAnsi="Calibri"/>
          <w:sz w:val="18"/>
        </w:rPr>
        <w:t>con</w:t>
      </w:r>
      <w:r>
        <w:rPr>
          <w:rFonts w:ascii="Calibri" w:hAnsi="Calibri"/>
          <w:spacing w:val="-12"/>
          <w:sz w:val="18"/>
        </w:rPr>
        <w:t xml:space="preserve"> </w:t>
      </w:r>
      <w:r>
        <w:rPr>
          <w:rFonts w:ascii="Calibri" w:hAnsi="Calibri"/>
          <w:sz w:val="18"/>
        </w:rPr>
        <w:t>los</w:t>
      </w:r>
      <w:r>
        <w:rPr>
          <w:rFonts w:ascii="Calibri" w:hAnsi="Calibri"/>
          <w:spacing w:val="-12"/>
          <w:sz w:val="18"/>
        </w:rPr>
        <w:t xml:space="preserve"> </w:t>
      </w:r>
      <w:r>
        <w:rPr>
          <w:rFonts w:ascii="Calibri" w:hAnsi="Calibri"/>
          <w:sz w:val="18"/>
        </w:rPr>
        <w:t>principios</w:t>
      </w:r>
      <w:r>
        <w:rPr>
          <w:rFonts w:ascii="Calibri" w:hAnsi="Calibri"/>
          <w:spacing w:val="-13"/>
          <w:sz w:val="18"/>
        </w:rPr>
        <w:t xml:space="preserve"> </w:t>
      </w:r>
      <w:r>
        <w:rPr>
          <w:rFonts w:ascii="Calibri" w:hAnsi="Calibri"/>
          <w:sz w:val="18"/>
        </w:rPr>
        <w:t>de</w:t>
      </w:r>
      <w:r>
        <w:rPr>
          <w:rFonts w:ascii="Calibri" w:hAnsi="Calibri"/>
          <w:spacing w:val="-12"/>
          <w:sz w:val="18"/>
        </w:rPr>
        <w:t xml:space="preserve"> </w:t>
      </w:r>
      <w:r>
        <w:rPr>
          <w:rFonts w:ascii="Calibri" w:hAnsi="Calibri"/>
          <w:sz w:val="18"/>
        </w:rPr>
        <w:t>economía</w:t>
      </w:r>
      <w:r>
        <w:rPr>
          <w:rFonts w:ascii="Calibri" w:hAnsi="Calibri"/>
          <w:spacing w:val="-12"/>
          <w:sz w:val="18"/>
        </w:rPr>
        <w:t xml:space="preserve"> </w:t>
      </w:r>
      <w:r>
        <w:rPr>
          <w:rFonts w:ascii="Calibri" w:hAnsi="Calibri"/>
          <w:sz w:val="18"/>
        </w:rPr>
        <w:t>y</w:t>
      </w:r>
      <w:r>
        <w:rPr>
          <w:rFonts w:ascii="Calibri" w:hAnsi="Calibri"/>
          <w:spacing w:val="-13"/>
          <w:sz w:val="18"/>
        </w:rPr>
        <w:t xml:space="preserve"> </w:t>
      </w:r>
      <w:r>
        <w:rPr>
          <w:rFonts w:ascii="Calibri" w:hAnsi="Calibri"/>
          <w:sz w:val="18"/>
        </w:rPr>
        <w:t>eficacia</w:t>
      </w:r>
      <w:r>
        <w:rPr>
          <w:rFonts w:ascii="Calibri" w:hAnsi="Calibri"/>
          <w:spacing w:val="-12"/>
          <w:sz w:val="18"/>
        </w:rPr>
        <w:t xml:space="preserve"> </w:t>
      </w:r>
      <w:r>
        <w:rPr>
          <w:rFonts w:ascii="Calibri" w:hAnsi="Calibri"/>
          <w:sz w:val="18"/>
        </w:rPr>
        <w:t>(artículo 209 superior) y racionalidad de la intervención estatal (artículo 334 superior), pues los estudios previos no son solamente</w:t>
      </w:r>
      <w:r>
        <w:rPr>
          <w:rFonts w:ascii="Calibri" w:hAnsi="Calibri"/>
          <w:spacing w:val="-11"/>
          <w:sz w:val="18"/>
        </w:rPr>
        <w:t xml:space="preserve"> </w:t>
      </w:r>
      <w:r>
        <w:rPr>
          <w:rFonts w:ascii="Calibri" w:hAnsi="Calibri"/>
          <w:sz w:val="18"/>
        </w:rPr>
        <w:t>necesarios</w:t>
      </w:r>
      <w:r>
        <w:rPr>
          <w:rFonts w:ascii="Calibri" w:hAnsi="Calibri"/>
          <w:spacing w:val="-11"/>
          <w:sz w:val="18"/>
        </w:rPr>
        <w:t xml:space="preserve"> </w:t>
      </w:r>
      <w:r>
        <w:rPr>
          <w:rFonts w:ascii="Calibri" w:hAnsi="Calibri"/>
          <w:sz w:val="18"/>
        </w:rPr>
        <w:t>para</w:t>
      </w:r>
      <w:r>
        <w:rPr>
          <w:rFonts w:ascii="Calibri" w:hAnsi="Calibri"/>
          <w:spacing w:val="-11"/>
          <w:sz w:val="18"/>
        </w:rPr>
        <w:t xml:space="preserve"> </w:t>
      </w:r>
      <w:r>
        <w:rPr>
          <w:rFonts w:ascii="Calibri" w:hAnsi="Calibri"/>
          <w:sz w:val="18"/>
        </w:rPr>
        <w:t>la</w:t>
      </w:r>
      <w:r>
        <w:rPr>
          <w:rFonts w:ascii="Calibri" w:hAnsi="Calibri"/>
          <w:spacing w:val="-11"/>
          <w:sz w:val="18"/>
        </w:rPr>
        <w:t xml:space="preserve"> </w:t>
      </w:r>
      <w:r>
        <w:rPr>
          <w:rFonts w:ascii="Calibri" w:hAnsi="Calibri"/>
          <w:sz w:val="18"/>
        </w:rPr>
        <w:t>adecuada</w:t>
      </w:r>
      <w:r>
        <w:rPr>
          <w:rFonts w:ascii="Calibri" w:hAnsi="Calibri"/>
          <w:spacing w:val="-11"/>
          <w:sz w:val="18"/>
        </w:rPr>
        <w:t xml:space="preserve"> </w:t>
      </w:r>
      <w:r>
        <w:rPr>
          <w:rFonts w:ascii="Calibri" w:hAnsi="Calibri"/>
          <w:sz w:val="18"/>
        </w:rPr>
        <w:t>ejecución</w:t>
      </w:r>
      <w:r>
        <w:rPr>
          <w:rFonts w:ascii="Calibri" w:hAnsi="Calibri"/>
          <w:spacing w:val="-11"/>
          <w:sz w:val="18"/>
        </w:rPr>
        <w:t xml:space="preserve"> </w:t>
      </w:r>
      <w:r>
        <w:rPr>
          <w:rFonts w:ascii="Calibri" w:hAnsi="Calibri"/>
          <w:sz w:val="18"/>
        </w:rPr>
        <w:t>del</w:t>
      </w:r>
      <w:r>
        <w:rPr>
          <w:rFonts w:ascii="Calibri" w:hAnsi="Calibri"/>
          <w:spacing w:val="-11"/>
          <w:sz w:val="18"/>
        </w:rPr>
        <w:t xml:space="preserve"> </w:t>
      </w:r>
      <w:r>
        <w:rPr>
          <w:rFonts w:ascii="Calibri" w:hAnsi="Calibri"/>
          <w:sz w:val="18"/>
        </w:rPr>
        <w:t>contrato</w:t>
      </w:r>
      <w:r>
        <w:rPr>
          <w:rFonts w:ascii="Calibri" w:hAnsi="Calibri"/>
          <w:spacing w:val="-11"/>
          <w:sz w:val="18"/>
        </w:rPr>
        <w:t xml:space="preserve"> </w:t>
      </w:r>
      <w:r>
        <w:rPr>
          <w:rFonts w:ascii="Calibri" w:hAnsi="Calibri"/>
          <w:sz w:val="18"/>
        </w:rPr>
        <w:t>-en</w:t>
      </w:r>
      <w:r>
        <w:rPr>
          <w:rFonts w:ascii="Calibri" w:hAnsi="Calibri"/>
          <w:spacing w:val="-11"/>
          <w:sz w:val="18"/>
        </w:rPr>
        <w:t xml:space="preserve"> </w:t>
      </w:r>
      <w:r>
        <w:rPr>
          <w:rFonts w:ascii="Calibri" w:hAnsi="Calibri"/>
          <w:sz w:val="18"/>
        </w:rPr>
        <w:t>términos</w:t>
      </w:r>
      <w:r>
        <w:rPr>
          <w:rFonts w:ascii="Calibri" w:hAnsi="Calibri"/>
          <w:spacing w:val="-10"/>
          <w:sz w:val="18"/>
        </w:rPr>
        <w:t xml:space="preserve"> </w:t>
      </w:r>
      <w:r>
        <w:rPr>
          <w:rFonts w:ascii="Calibri" w:hAnsi="Calibri"/>
          <w:sz w:val="18"/>
        </w:rPr>
        <w:t>de</w:t>
      </w:r>
      <w:r>
        <w:rPr>
          <w:rFonts w:ascii="Calibri" w:hAnsi="Calibri"/>
          <w:spacing w:val="-11"/>
          <w:sz w:val="18"/>
        </w:rPr>
        <w:t xml:space="preserve"> </w:t>
      </w:r>
      <w:r>
        <w:rPr>
          <w:rFonts w:ascii="Calibri" w:hAnsi="Calibri"/>
          <w:sz w:val="18"/>
        </w:rPr>
        <w:t>calidad</w:t>
      </w:r>
      <w:r>
        <w:rPr>
          <w:rFonts w:ascii="Calibri" w:hAnsi="Calibri"/>
          <w:spacing w:val="-10"/>
          <w:sz w:val="18"/>
        </w:rPr>
        <w:t xml:space="preserve"> </w:t>
      </w:r>
      <w:r>
        <w:rPr>
          <w:rFonts w:ascii="Calibri" w:hAnsi="Calibri"/>
          <w:sz w:val="18"/>
        </w:rPr>
        <w:t>y</w:t>
      </w:r>
      <w:r>
        <w:rPr>
          <w:rFonts w:ascii="Calibri" w:hAnsi="Calibri"/>
          <w:spacing w:val="-11"/>
          <w:sz w:val="18"/>
        </w:rPr>
        <w:t xml:space="preserve"> </w:t>
      </w:r>
      <w:r>
        <w:rPr>
          <w:rFonts w:ascii="Calibri" w:hAnsi="Calibri"/>
          <w:sz w:val="18"/>
        </w:rPr>
        <w:t>tiempo,</w:t>
      </w:r>
      <w:r>
        <w:rPr>
          <w:rFonts w:ascii="Calibri" w:hAnsi="Calibri"/>
          <w:spacing w:val="-10"/>
          <w:sz w:val="18"/>
        </w:rPr>
        <w:t xml:space="preserve"> </w:t>
      </w:r>
      <w:r>
        <w:rPr>
          <w:rFonts w:ascii="Calibri" w:hAnsi="Calibri"/>
          <w:sz w:val="18"/>
        </w:rPr>
        <w:t>sino</w:t>
      </w:r>
      <w:r>
        <w:rPr>
          <w:rFonts w:ascii="Calibri" w:hAnsi="Calibri"/>
          <w:spacing w:val="-11"/>
          <w:sz w:val="18"/>
        </w:rPr>
        <w:t xml:space="preserve"> </w:t>
      </w:r>
      <w:r>
        <w:rPr>
          <w:rFonts w:ascii="Calibri" w:hAnsi="Calibri"/>
          <w:sz w:val="18"/>
        </w:rPr>
        <w:t>también</w:t>
      </w:r>
      <w:r>
        <w:rPr>
          <w:rFonts w:ascii="Calibri" w:hAnsi="Calibri"/>
          <w:spacing w:val="-10"/>
          <w:sz w:val="18"/>
        </w:rPr>
        <w:t xml:space="preserve"> </w:t>
      </w:r>
      <w:r>
        <w:rPr>
          <w:rFonts w:ascii="Calibri" w:hAnsi="Calibri"/>
          <w:sz w:val="18"/>
        </w:rPr>
        <w:t>para evitar mayores costos a la administración fruto de modificaciones sobrevinientes imputables a la entidad y que redunden en una obligación de restablecer el equilibrio económico del contrato sin posibilidad de negociación de los</w:t>
      </w:r>
      <w:r>
        <w:rPr>
          <w:rFonts w:ascii="Calibri" w:hAnsi="Calibri"/>
          <w:spacing w:val="-10"/>
          <w:sz w:val="18"/>
        </w:rPr>
        <w:t xml:space="preserve"> </w:t>
      </w:r>
      <w:r>
        <w:rPr>
          <w:rFonts w:ascii="Calibri" w:hAnsi="Calibri"/>
          <w:sz w:val="18"/>
        </w:rPr>
        <w:t>precios.</w:t>
      </w:r>
      <w:r>
        <w:rPr>
          <w:rFonts w:ascii="Calibri" w:hAnsi="Calibri"/>
          <w:spacing w:val="-10"/>
          <w:sz w:val="18"/>
        </w:rPr>
        <w:t xml:space="preserve"> </w:t>
      </w:r>
      <w:r>
        <w:rPr>
          <w:rFonts w:ascii="Calibri" w:hAnsi="Calibri"/>
          <w:sz w:val="18"/>
        </w:rPr>
        <w:t>Ciertamente,</w:t>
      </w:r>
      <w:r>
        <w:rPr>
          <w:rFonts w:ascii="Calibri" w:hAnsi="Calibri"/>
          <w:spacing w:val="-10"/>
          <w:sz w:val="18"/>
        </w:rPr>
        <w:t xml:space="preserve"> </w:t>
      </w:r>
      <w:r>
        <w:rPr>
          <w:rFonts w:ascii="Calibri" w:hAnsi="Calibri"/>
          <w:sz w:val="18"/>
        </w:rPr>
        <w:t>los</w:t>
      </w:r>
      <w:r>
        <w:rPr>
          <w:rFonts w:ascii="Calibri" w:hAnsi="Calibri"/>
          <w:spacing w:val="-10"/>
          <w:sz w:val="18"/>
        </w:rPr>
        <w:t xml:space="preserve"> </w:t>
      </w:r>
      <w:r>
        <w:rPr>
          <w:rFonts w:ascii="Calibri" w:hAnsi="Calibri"/>
          <w:sz w:val="18"/>
        </w:rPr>
        <w:t>estudios</w:t>
      </w:r>
      <w:r>
        <w:rPr>
          <w:rFonts w:ascii="Calibri" w:hAnsi="Calibri"/>
          <w:spacing w:val="-10"/>
          <w:sz w:val="18"/>
        </w:rPr>
        <w:t xml:space="preserve"> </w:t>
      </w:r>
      <w:r>
        <w:rPr>
          <w:rFonts w:ascii="Calibri" w:hAnsi="Calibri"/>
          <w:sz w:val="18"/>
        </w:rPr>
        <w:t>previos</w:t>
      </w:r>
      <w:r>
        <w:rPr>
          <w:rFonts w:ascii="Calibri" w:hAnsi="Calibri"/>
          <w:spacing w:val="-10"/>
          <w:sz w:val="18"/>
        </w:rPr>
        <w:t xml:space="preserve"> </w:t>
      </w:r>
      <w:r>
        <w:rPr>
          <w:rFonts w:ascii="Calibri" w:hAnsi="Calibri"/>
          <w:sz w:val="18"/>
        </w:rPr>
        <w:t>determinan</w:t>
      </w:r>
      <w:r>
        <w:rPr>
          <w:rFonts w:ascii="Calibri" w:hAnsi="Calibri"/>
          <w:spacing w:val="-10"/>
          <w:sz w:val="18"/>
        </w:rPr>
        <w:t xml:space="preserve"> </w:t>
      </w:r>
      <w:r>
        <w:rPr>
          <w:rFonts w:ascii="Calibri" w:hAnsi="Calibri"/>
          <w:sz w:val="18"/>
        </w:rPr>
        <w:t>el</w:t>
      </w:r>
      <w:r>
        <w:rPr>
          <w:rFonts w:ascii="Calibri" w:hAnsi="Calibri"/>
          <w:spacing w:val="-10"/>
          <w:sz w:val="18"/>
        </w:rPr>
        <w:t xml:space="preserve"> </w:t>
      </w:r>
      <w:r>
        <w:rPr>
          <w:rFonts w:ascii="Calibri" w:hAnsi="Calibri"/>
          <w:sz w:val="18"/>
        </w:rPr>
        <w:t>retorno</w:t>
      </w:r>
      <w:r>
        <w:rPr>
          <w:rFonts w:ascii="Calibri" w:hAnsi="Calibri"/>
          <w:spacing w:val="-10"/>
          <w:sz w:val="18"/>
        </w:rPr>
        <w:t xml:space="preserve"> </w:t>
      </w:r>
      <w:r>
        <w:rPr>
          <w:rFonts w:ascii="Calibri" w:hAnsi="Calibri"/>
          <w:sz w:val="18"/>
        </w:rPr>
        <w:t>que</w:t>
      </w:r>
      <w:r>
        <w:rPr>
          <w:rFonts w:ascii="Calibri" w:hAnsi="Calibri"/>
          <w:spacing w:val="-9"/>
          <w:sz w:val="18"/>
        </w:rPr>
        <w:t xml:space="preserve"> </w:t>
      </w:r>
      <w:r>
        <w:rPr>
          <w:rFonts w:ascii="Calibri" w:hAnsi="Calibri"/>
          <w:sz w:val="18"/>
        </w:rPr>
        <w:t>pueden</w:t>
      </w:r>
      <w:r>
        <w:rPr>
          <w:rFonts w:ascii="Calibri" w:hAnsi="Calibri"/>
          <w:spacing w:val="-10"/>
          <w:sz w:val="18"/>
        </w:rPr>
        <w:t xml:space="preserve"> </w:t>
      </w:r>
      <w:r>
        <w:rPr>
          <w:rFonts w:ascii="Calibri" w:hAnsi="Calibri"/>
          <w:sz w:val="18"/>
        </w:rPr>
        <w:t>esperar</w:t>
      </w:r>
      <w:r>
        <w:rPr>
          <w:rFonts w:ascii="Calibri" w:hAnsi="Calibri"/>
          <w:spacing w:val="-10"/>
          <w:sz w:val="18"/>
        </w:rPr>
        <w:t xml:space="preserve"> </w:t>
      </w:r>
      <w:r>
        <w:rPr>
          <w:rFonts w:ascii="Calibri" w:hAnsi="Calibri"/>
          <w:sz w:val="18"/>
        </w:rPr>
        <w:t>los</w:t>
      </w:r>
      <w:r>
        <w:rPr>
          <w:rFonts w:ascii="Calibri" w:hAnsi="Calibri"/>
          <w:spacing w:val="-10"/>
          <w:sz w:val="18"/>
        </w:rPr>
        <w:t xml:space="preserve"> </w:t>
      </w:r>
      <w:r>
        <w:rPr>
          <w:rFonts w:ascii="Calibri" w:hAnsi="Calibri"/>
          <w:sz w:val="18"/>
        </w:rPr>
        <w:t>inversionistas,</w:t>
      </w:r>
      <w:r>
        <w:rPr>
          <w:rFonts w:ascii="Calibri" w:hAnsi="Calibri"/>
          <w:spacing w:val="-9"/>
          <w:sz w:val="18"/>
        </w:rPr>
        <w:t xml:space="preserve"> </w:t>
      </w:r>
      <w:r>
        <w:rPr>
          <w:rFonts w:ascii="Calibri" w:hAnsi="Calibri"/>
          <w:sz w:val="18"/>
        </w:rPr>
        <w:t>el</w:t>
      </w:r>
      <w:r>
        <w:rPr>
          <w:rFonts w:ascii="Calibri" w:hAnsi="Calibri"/>
          <w:spacing w:val="-10"/>
          <w:sz w:val="18"/>
        </w:rPr>
        <w:t xml:space="preserve"> </w:t>
      </w:r>
      <w:r>
        <w:rPr>
          <w:rFonts w:ascii="Calibri" w:hAnsi="Calibri"/>
          <w:sz w:val="18"/>
        </w:rPr>
        <w:t>cual, si</w:t>
      </w:r>
      <w:r>
        <w:rPr>
          <w:rFonts w:ascii="Calibri" w:hAnsi="Calibri"/>
          <w:spacing w:val="-10"/>
          <w:sz w:val="18"/>
        </w:rPr>
        <w:t xml:space="preserve"> </w:t>
      </w:r>
      <w:r>
        <w:rPr>
          <w:rFonts w:ascii="Calibri" w:hAnsi="Calibri"/>
          <w:sz w:val="18"/>
        </w:rPr>
        <w:t>no</w:t>
      </w:r>
      <w:r>
        <w:rPr>
          <w:rFonts w:ascii="Calibri" w:hAnsi="Calibri"/>
          <w:spacing w:val="-9"/>
          <w:sz w:val="18"/>
        </w:rPr>
        <w:t xml:space="preserve"> </w:t>
      </w:r>
      <w:r>
        <w:rPr>
          <w:rFonts w:ascii="Calibri" w:hAnsi="Calibri"/>
          <w:sz w:val="18"/>
        </w:rPr>
        <w:t>es</w:t>
      </w:r>
      <w:r>
        <w:rPr>
          <w:rFonts w:ascii="Calibri" w:hAnsi="Calibri"/>
          <w:spacing w:val="-10"/>
          <w:sz w:val="18"/>
        </w:rPr>
        <w:t xml:space="preserve"> </w:t>
      </w:r>
      <w:r>
        <w:rPr>
          <w:rFonts w:ascii="Calibri" w:hAnsi="Calibri"/>
          <w:sz w:val="18"/>
        </w:rPr>
        <w:t>obtenido</w:t>
      </w:r>
      <w:r>
        <w:rPr>
          <w:rFonts w:ascii="Calibri" w:hAnsi="Calibri"/>
          <w:spacing w:val="-9"/>
          <w:sz w:val="18"/>
        </w:rPr>
        <w:t xml:space="preserve"> </w:t>
      </w:r>
      <w:r>
        <w:rPr>
          <w:rFonts w:ascii="Calibri" w:hAnsi="Calibri"/>
          <w:sz w:val="18"/>
        </w:rPr>
        <w:t>por</w:t>
      </w:r>
      <w:r>
        <w:rPr>
          <w:rFonts w:ascii="Calibri" w:hAnsi="Calibri"/>
          <w:spacing w:val="-10"/>
          <w:sz w:val="18"/>
        </w:rPr>
        <w:t xml:space="preserve"> </w:t>
      </w:r>
      <w:r>
        <w:rPr>
          <w:rFonts w:ascii="Calibri" w:hAnsi="Calibri"/>
          <w:sz w:val="18"/>
        </w:rPr>
        <w:t>causas</w:t>
      </w:r>
      <w:r>
        <w:rPr>
          <w:rFonts w:ascii="Calibri" w:hAnsi="Calibri"/>
          <w:spacing w:val="-9"/>
          <w:sz w:val="18"/>
        </w:rPr>
        <w:t xml:space="preserve"> </w:t>
      </w:r>
      <w:r>
        <w:rPr>
          <w:rFonts w:ascii="Calibri" w:hAnsi="Calibri"/>
          <w:sz w:val="18"/>
        </w:rPr>
        <w:t>imputables</w:t>
      </w:r>
      <w:r>
        <w:rPr>
          <w:rFonts w:ascii="Calibri" w:hAnsi="Calibri"/>
          <w:spacing w:val="-8"/>
          <w:sz w:val="18"/>
        </w:rPr>
        <w:t xml:space="preserve"> </w:t>
      </w:r>
      <w:r>
        <w:rPr>
          <w:rFonts w:ascii="Calibri" w:hAnsi="Calibri"/>
          <w:sz w:val="18"/>
        </w:rPr>
        <w:t>al</w:t>
      </w:r>
      <w:r>
        <w:rPr>
          <w:rFonts w:ascii="Calibri" w:hAnsi="Calibri"/>
          <w:spacing w:val="-10"/>
          <w:sz w:val="18"/>
        </w:rPr>
        <w:t xml:space="preserve"> </w:t>
      </w:r>
      <w:r>
        <w:rPr>
          <w:rFonts w:ascii="Calibri" w:hAnsi="Calibri"/>
          <w:sz w:val="18"/>
        </w:rPr>
        <w:t>Estado</w:t>
      </w:r>
      <w:r>
        <w:rPr>
          <w:rFonts w:ascii="Calibri" w:hAnsi="Calibri"/>
          <w:spacing w:val="-9"/>
          <w:sz w:val="18"/>
        </w:rPr>
        <w:t xml:space="preserve"> </w:t>
      </w:r>
      <w:r>
        <w:rPr>
          <w:rFonts w:ascii="Calibri" w:hAnsi="Calibri"/>
          <w:sz w:val="18"/>
        </w:rPr>
        <w:t>en</w:t>
      </w:r>
      <w:r>
        <w:rPr>
          <w:rFonts w:ascii="Calibri" w:hAnsi="Calibri"/>
          <w:spacing w:val="-10"/>
          <w:sz w:val="18"/>
        </w:rPr>
        <w:t xml:space="preserve"> </w:t>
      </w:r>
      <w:r>
        <w:rPr>
          <w:rFonts w:ascii="Calibri" w:hAnsi="Calibri"/>
          <w:sz w:val="18"/>
        </w:rPr>
        <w:t>el</w:t>
      </w:r>
      <w:r>
        <w:rPr>
          <w:rFonts w:ascii="Calibri" w:hAnsi="Calibri"/>
          <w:spacing w:val="-9"/>
          <w:sz w:val="18"/>
        </w:rPr>
        <w:t xml:space="preserve"> </w:t>
      </w:r>
      <w:r>
        <w:rPr>
          <w:rFonts w:ascii="Calibri" w:hAnsi="Calibri"/>
          <w:sz w:val="18"/>
        </w:rPr>
        <w:t>marco</w:t>
      </w:r>
      <w:r>
        <w:rPr>
          <w:rFonts w:ascii="Calibri" w:hAnsi="Calibri"/>
          <w:spacing w:val="-9"/>
          <w:sz w:val="18"/>
        </w:rPr>
        <w:t xml:space="preserve"> </w:t>
      </w:r>
      <w:r>
        <w:rPr>
          <w:rFonts w:ascii="Calibri" w:hAnsi="Calibri"/>
          <w:sz w:val="18"/>
        </w:rPr>
        <w:t>del</w:t>
      </w:r>
      <w:r>
        <w:rPr>
          <w:rFonts w:ascii="Calibri" w:hAnsi="Calibri"/>
          <w:spacing w:val="-9"/>
          <w:sz w:val="18"/>
        </w:rPr>
        <w:t xml:space="preserve"> </w:t>
      </w:r>
      <w:r>
        <w:rPr>
          <w:rFonts w:ascii="Calibri" w:hAnsi="Calibri"/>
          <w:sz w:val="18"/>
        </w:rPr>
        <w:t>esquema</w:t>
      </w:r>
      <w:r>
        <w:rPr>
          <w:rFonts w:ascii="Calibri" w:hAnsi="Calibri"/>
          <w:spacing w:val="-9"/>
          <w:sz w:val="18"/>
        </w:rPr>
        <w:t xml:space="preserve"> </w:t>
      </w:r>
      <w:r>
        <w:rPr>
          <w:rFonts w:ascii="Calibri" w:hAnsi="Calibri"/>
          <w:sz w:val="18"/>
        </w:rPr>
        <w:t>de</w:t>
      </w:r>
      <w:r>
        <w:rPr>
          <w:rFonts w:ascii="Calibri" w:hAnsi="Calibri"/>
          <w:spacing w:val="-9"/>
          <w:sz w:val="18"/>
        </w:rPr>
        <w:t xml:space="preserve"> </w:t>
      </w:r>
      <w:r>
        <w:rPr>
          <w:rFonts w:ascii="Calibri" w:hAnsi="Calibri"/>
          <w:sz w:val="18"/>
        </w:rPr>
        <w:t>distribución</w:t>
      </w:r>
      <w:r>
        <w:rPr>
          <w:rFonts w:ascii="Calibri" w:hAnsi="Calibri"/>
          <w:spacing w:val="-9"/>
          <w:sz w:val="18"/>
        </w:rPr>
        <w:t xml:space="preserve"> </w:t>
      </w:r>
      <w:r>
        <w:rPr>
          <w:rFonts w:ascii="Calibri" w:hAnsi="Calibri"/>
          <w:sz w:val="18"/>
        </w:rPr>
        <w:t>de</w:t>
      </w:r>
      <w:r>
        <w:rPr>
          <w:rFonts w:ascii="Calibri" w:hAnsi="Calibri"/>
          <w:spacing w:val="-9"/>
          <w:sz w:val="18"/>
        </w:rPr>
        <w:t xml:space="preserve"> </w:t>
      </w:r>
      <w:r>
        <w:rPr>
          <w:rFonts w:ascii="Calibri" w:hAnsi="Calibri"/>
          <w:sz w:val="18"/>
        </w:rPr>
        <w:t>riesgos,</w:t>
      </w:r>
      <w:r>
        <w:rPr>
          <w:rFonts w:ascii="Calibri" w:hAnsi="Calibri"/>
          <w:spacing w:val="-9"/>
          <w:sz w:val="18"/>
        </w:rPr>
        <w:t xml:space="preserve"> </w:t>
      </w:r>
      <w:r>
        <w:rPr>
          <w:rFonts w:ascii="Calibri" w:hAnsi="Calibri"/>
          <w:sz w:val="18"/>
        </w:rPr>
        <w:t>puede</w:t>
      </w:r>
      <w:r>
        <w:rPr>
          <w:rFonts w:ascii="Calibri" w:hAnsi="Calibri"/>
          <w:spacing w:val="-9"/>
          <w:sz w:val="18"/>
        </w:rPr>
        <w:t xml:space="preserve"> </w:t>
      </w:r>
      <w:r>
        <w:rPr>
          <w:rFonts w:ascii="Calibri" w:hAnsi="Calibri"/>
          <w:sz w:val="18"/>
        </w:rPr>
        <w:t>llevar a condenas judiciales o a la necesidad de renegociaciones a favor del</w:t>
      </w:r>
      <w:r>
        <w:rPr>
          <w:rFonts w:ascii="Calibri" w:hAnsi="Calibri"/>
          <w:spacing w:val="-22"/>
          <w:sz w:val="18"/>
        </w:rPr>
        <w:t xml:space="preserve"> </w:t>
      </w:r>
      <w:r>
        <w:rPr>
          <w:rFonts w:ascii="Calibri" w:hAnsi="Calibri"/>
          <w:sz w:val="18"/>
        </w:rPr>
        <w:t>contratista.</w:t>
      </w:r>
    </w:p>
    <w:p w14:paraId="129DC25C" w14:textId="77777777" w:rsidR="00653510" w:rsidRDefault="00390730">
      <w:pPr>
        <w:spacing w:before="120"/>
        <w:ind w:left="200" w:right="588" w:firstLine="608"/>
        <w:jc w:val="both"/>
        <w:rPr>
          <w:rFonts w:ascii="Calibri" w:hAnsi="Calibri"/>
          <w:sz w:val="19"/>
        </w:rPr>
      </w:pPr>
      <w:r>
        <w:rPr>
          <w:rFonts w:ascii="Calibri" w:hAnsi="Calibri"/>
          <w:sz w:val="18"/>
        </w:rPr>
        <w:t>De otro lado, se relaciona con el principio de libre concurrencia –manifestación de los principios constitucionales de libre competencia e igualdad, ya que permite que cualquier interesado con posibilidad de presentar</w:t>
      </w:r>
      <w:r>
        <w:rPr>
          <w:rFonts w:ascii="Calibri" w:hAnsi="Calibri"/>
          <w:spacing w:val="-14"/>
          <w:sz w:val="18"/>
        </w:rPr>
        <w:t xml:space="preserve"> </w:t>
      </w:r>
      <w:r>
        <w:rPr>
          <w:rFonts w:ascii="Calibri" w:hAnsi="Calibri"/>
          <w:sz w:val="18"/>
        </w:rPr>
        <w:t>una</w:t>
      </w:r>
      <w:r>
        <w:rPr>
          <w:rFonts w:ascii="Calibri" w:hAnsi="Calibri"/>
          <w:spacing w:val="-14"/>
          <w:sz w:val="18"/>
        </w:rPr>
        <w:t xml:space="preserve"> </w:t>
      </w:r>
      <w:r>
        <w:rPr>
          <w:rFonts w:ascii="Calibri" w:hAnsi="Calibri"/>
          <w:sz w:val="18"/>
        </w:rPr>
        <w:t>buena</w:t>
      </w:r>
      <w:r>
        <w:rPr>
          <w:rFonts w:ascii="Calibri" w:hAnsi="Calibri"/>
          <w:spacing w:val="-14"/>
          <w:sz w:val="18"/>
        </w:rPr>
        <w:t xml:space="preserve"> </w:t>
      </w:r>
      <w:r>
        <w:rPr>
          <w:rFonts w:ascii="Calibri" w:hAnsi="Calibri"/>
          <w:sz w:val="18"/>
        </w:rPr>
        <w:t>oferta</w:t>
      </w:r>
      <w:r>
        <w:rPr>
          <w:rFonts w:ascii="Calibri" w:hAnsi="Calibri"/>
          <w:spacing w:val="-14"/>
          <w:sz w:val="18"/>
        </w:rPr>
        <w:t xml:space="preserve"> </w:t>
      </w:r>
      <w:r>
        <w:rPr>
          <w:rFonts w:ascii="Calibri" w:hAnsi="Calibri"/>
          <w:sz w:val="18"/>
        </w:rPr>
        <w:t>según</w:t>
      </w:r>
      <w:r>
        <w:rPr>
          <w:rFonts w:ascii="Calibri" w:hAnsi="Calibri"/>
          <w:spacing w:val="-13"/>
          <w:sz w:val="18"/>
        </w:rPr>
        <w:t xml:space="preserve"> </w:t>
      </w:r>
      <w:r>
        <w:rPr>
          <w:rFonts w:ascii="Calibri" w:hAnsi="Calibri"/>
          <w:sz w:val="18"/>
        </w:rPr>
        <w:t>la</w:t>
      </w:r>
      <w:r>
        <w:rPr>
          <w:rFonts w:ascii="Calibri" w:hAnsi="Calibri"/>
          <w:spacing w:val="-14"/>
          <w:sz w:val="18"/>
        </w:rPr>
        <w:t xml:space="preserve"> </w:t>
      </w:r>
      <w:r>
        <w:rPr>
          <w:rFonts w:ascii="Calibri" w:hAnsi="Calibri"/>
          <w:sz w:val="18"/>
        </w:rPr>
        <w:t>información</w:t>
      </w:r>
      <w:r>
        <w:rPr>
          <w:rFonts w:ascii="Calibri" w:hAnsi="Calibri"/>
          <w:spacing w:val="-14"/>
          <w:sz w:val="18"/>
        </w:rPr>
        <w:t xml:space="preserve"> </w:t>
      </w:r>
      <w:r>
        <w:rPr>
          <w:rFonts w:ascii="Calibri" w:hAnsi="Calibri"/>
          <w:sz w:val="18"/>
        </w:rPr>
        <w:t>disponible,</w:t>
      </w:r>
      <w:r>
        <w:rPr>
          <w:rFonts w:ascii="Calibri" w:hAnsi="Calibri"/>
          <w:spacing w:val="-14"/>
          <w:sz w:val="18"/>
        </w:rPr>
        <w:t xml:space="preserve"> </w:t>
      </w:r>
      <w:r>
        <w:rPr>
          <w:rFonts w:ascii="Calibri" w:hAnsi="Calibri"/>
          <w:sz w:val="18"/>
        </w:rPr>
        <w:t>pueda</w:t>
      </w:r>
      <w:r>
        <w:rPr>
          <w:rFonts w:ascii="Calibri" w:hAnsi="Calibri"/>
          <w:spacing w:val="-14"/>
          <w:sz w:val="18"/>
        </w:rPr>
        <w:t xml:space="preserve"> </w:t>
      </w:r>
      <w:r>
        <w:rPr>
          <w:rFonts w:ascii="Calibri" w:hAnsi="Calibri"/>
          <w:sz w:val="18"/>
        </w:rPr>
        <w:t>participar</w:t>
      </w:r>
      <w:r>
        <w:rPr>
          <w:rFonts w:ascii="Calibri" w:hAnsi="Calibri"/>
          <w:spacing w:val="-13"/>
          <w:sz w:val="18"/>
        </w:rPr>
        <w:t xml:space="preserve"> </w:t>
      </w:r>
      <w:r>
        <w:rPr>
          <w:rFonts w:ascii="Calibri" w:hAnsi="Calibri"/>
          <w:sz w:val="18"/>
        </w:rPr>
        <w:t>en</w:t>
      </w:r>
      <w:r>
        <w:rPr>
          <w:rFonts w:ascii="Calibri" w:hAnsi="Calibri"/>
          <w:spacing w:val="-14"/>
          <w:sz w:val="18"/>
        </w:rPr>
        <w:t xml:space="preserve"> </w:t>
      </w:r>
      <w:r>
        <w:rPr>
          <w:rFonts w:ascii="Calibri" w:hAnsi="Calibri"/>
          <w:sz w:val="18"/>
        </w:rPr>
        <w:t>el</w:t>
      </w:r>
      <w:r>
        <w:rPr>
          <w:rFonts w:ascii="Calibri" w:hAnsi="Calibri"/>
          <w:spacing w:val="-14"/>
          <w:sz w:val="18"/>
        </w:rPr>
        <w:t xml:space="preserve"> </w:t>
      </w:r>
      <w:r>
        <w:rPr>
          <w:rFonts w:ascii="Calibri" w:hAnsi="Calibri"/>
          <w:sz w:val="18"/>
        </w:rPr>
        <w:t>respectivo</w:t>
      </w:r>
      <w:r>
        <w:rPr>
          <w:rFonts w:ascii="Calibri" w:hAnsi="Calibri"/>
          <w:spacing w:val="-13"/>
          <w:sz w:val="18"/>
        </w:rPr>
        <w:t xml:space="preserve"> </w:t>
      </w:r>
      <w:r>
        <w:rPr>
          <w:rFonts w:ascii="Calibri" w:hAnsi="Calibri"/>
          <w:sz w:val="18"/>
        </w:rPr>
        <w:t>proceso</w:t>
      </w:r>
      <w:r>
        <w:rPr>
          <w:rFonts w:ascii="Calibri" w:hAnsi="Calibri"/>
          <w:spacing w:val="-14"/>
          <w:sz w:val="18"/>
        </w:rPr>
        <w:t xml:space="preserve"> </w:t>
      </w:r>
      <w:r>
        <w:rPr>
          <w:rFonts w:ascii="Calibri" w:hAnsi="Calibri"/>
          <w:sz w:val="18"/>
        </w:rPr>
        <w:t>de</w:t>
      </w:r>
      <w:r>
        <w:rPr>
          <w:rFonts w:ascii="Calibri" w:hAnsi="Calibri"/>
          <w:spacing w:val="-13"/>
          <w:sz w:val="18"/>
        </w:rPr>
        <w:t xml:space="preserve"> </w:t>
      </w:r>
      <w:r>
        <w:rPr>
          <w:rFonts w:ascii="Calibri" w:hAnsi="Calibri"/>
          <w:sz w:val="18"/>
        </w:rPr>
        <w:t xml:space="preserve">selección; si la información fruto de la etapa precontractual es lejana a la realidad del negocio, posibles oferentes se abstendrán de presentar propuestas, en perjuicio de la libre competencia, y de la posibilidad de la entidad de acceder a ofertas más favorables. En este punto, vale la pena recordar </w:t>
      </w:r>
      <w:proofErr w:type="gramStart"/>
      <w:r>
        <w:rPr>
          <w:rFonts w:ascii="Calibri" w:hAnsi="Calibri"/>
          <w:sz w:val="18"/>
        </w:rPr>
        <w:t>que</w:t>
      </w:r>
      <w:proofErr w:type="gramEnd"/>
      <w:r>
        <w:rPr>
          <w:rFonts w:ascii="Calibri" w:hAnsi="Calibri"/>
          <w:sz w:val="18"/>
        </w:rPr>
        <w:t xml:space="preserve"> en los contratos de concesión, usualmente el concesionario acude a la financiación de terceros (por medio de créditos, venta de títulos, etc.), razón por la cual es indispensable contar con una imagen lo más cercana a la realidad de las dimensiones del negocio,</w:t>
      </w:r>
      <w:r>
        <w:rPr>
          <w:rFonts w:ascii="Calibri" w:hAnsi="Calibri"/>
          <w:spacing w:val="-12"/>
          <w:sz w:val="18"/>
        </w:rPr>
        <w:t xml:space="preserve"> </w:t>
      </w:r>
      <w:r>
        <w:rPr>
          <w:rFonts w:ascii="Calibri" w:hAnsi="Calibri"/>
          <w:sz w:val="18"/>
        </w:rPr>
        <w:t>con</w:t>
      </w:r>
      <w:r>
        <w:rPr>
          <w:rFonts w:ascii="Calibri" w:hAnsi="Calibri"/>
          <w:spacing w:val="-12"/>
          <w:sz w:val="18"/>
        </w:rPr>
        <w:t xml:space="preserve"> </w:t>
      </w:r>
      <w:r>
        <w:rPr>
          <w:rFonts w:ascii="Calibri" w:hAnsi="Calibri"/>
          <w:sz w:val="18"/>
        </w:rPr>
        <w:t>el</w:t>
      </w:r>
      <w:r>
        <w:rPr>
          <w:rFonts w:ascii="Calibri" w:hAnsi="Calibri"/>
          <w:spacing w:val="-12"/>
          <w:sz w:val="18"/>
        </w:rPr>
        <w:t xml:space="preserve"> </w:t>
      </w:r>
      <w:r>
        <w:rPr>
          <w:rFonts w:ascii="Calibri" w:hAnsi="Calibri"/>
          <w:sz w:val="18"/>
        </w:rPr>
        <w:t>fin</w:t>
      </w:r>
      <w:r>
        <w:rPr>
          <w:rFonts w:ascii="Calibri" w:hAnsi="Calibri"/>
          <w:spacing w:val="-13"/>
          <w:sz w:val="18"/>
        </w:rPr>
        <w:t xml:space="preserve"> </w:t>
      </w:r>
      <w:r>
        <w:rPr>
          <w:rFonts w:ascii="Calibri" w:hAnsi="Calibri"/>
          <w:sz w:val="18"/>
        </w:rPr>
        <w:t>de</w:t>
      </w:r>
      <w:r>
        <w:rPr>
          <w:rFonts w:ascii="Calibri" w:hAnsi="Calibri"/>
          <w:spacing w:val="-12"/>
          <w:sz w:val="18"/>
        </w:rPr>
        <w:t xml:space="preserve"> </w:t>
      </w:r>
      <w:r>
        <w:rPr>
          <w:rFonts w:ascii="Calibri" w:hAnsi="Calibri"/>
          <w:sz w:val="18"/>
        </w:rPr>
        <w:t>que</w:t>
      </w:r>
      <w:r>
        <w:rPr>
          <w:rFonts w:ascii="Calibri" w:hAnsi="Calibri"/>
          <w:spacing w:val="-13"/>
          <w:sz w:val="18"/>
        </w:rPr>
        <w:t xml:space="preserve"> </w:t>
      </w:r>
      <w:r>
        <w:rPr>
          <w:rFonts w:ascii="Calibri" w:hAnsi="Calibri"/>
          <w:sz w:val="18"/>
        </w:rPr>
        <w:t>los</w:t>
      </w:r>
      <w:r>
        <w:rPr>
          <w:rFonts w:ascii="Calibri" w:hAnsi="Calibri"/>
          <w:spacing w:val="-12"/>
          <w:sz w:val="18"/>
        </w:rPr>
        <w:t xml:space="preserve"> </w:t>
      </w:r>
      <w:r>
        <w:rPr>
          <w:rFonts w:ascii="Calibri" w:hAnsi="Calibri"/>
          <w:sz w:val="18"/>
        </w:rPr>
        <w:t>inversionistas</w:t>
      </w:r>
      <w:r>
        <w:rPr>
          <w:rFonts w:ascii="Calibri" w:hAnsi="Calibri"/>
          <w:spacing w:val="-12"/>
          <w:sz w:val="18"/>
        </w:rPr>
        <w:t xml:space="preserve"> </w:t>
      </w:r>
      <w:r>
        <w:rPr>
          <w:rFonts w:ascii="Calibri" w:hAnsi="Calibri"/>
          <w:sz w:val="18"/>
        </w:rPr>
        <w:t>lleven</w:t>
      </w:r>
      <w:r>
        <w:rPr>
          <w:rFonts w:ascii="Calibri" w:hAnsi="Calibri"/>
          <w:spacing w:val="-11"/>
          <w:sz w:val="18"/>
        </w:rPr>
        <w:t xml:space="preserve"> </w:t>
      </w:r>
      <w:r>
        <w:rPr>
          <w:rFonts w:ascii="Calibri" w:hAnsi="Calibri"/>
          <w:sz w:val="18"/>
        </w:rPr>
        <w:t>a</w:t>
      </w:r>
      <w:r>
        <w:rPr>
          <w:rFonts w:ascii="Calibri" w:hAnsi="Calibri"/>
          <w:spacing w:val="-13"/>
          <w:sz w:val="18"/>
        </w:rPr>
        <w:t xml:space="preserve"> </w:t>
      </w:r>
      <w:r>
        <w:rPr>
          <w:rFonts w:ascii="Calibri" w:hAnsi="Calibri"/>
          <w:sz w:val="18"/>
        </w:rPr>
        <w:t>cabo</w:t>
      </w:r>
      <w:r>
        <w:rPr>
          <w:rFonts w:ascii="Calibri" w:hAnsi="Calibri"/>
          <w:spacing w:val="-11"/>
          <w:sz w:val="18"/>
        </w:rPr>
        <w:t xml:space="preserve"> </w:t>
      </w:r>
      <w:r>
        <w:rPr>
          <w:rFonts w:ascii="Calibri" w:hAnsi="Calibri"/>
          <w:sz w:val="18"/>
        </w:rPr>
        <w:t>el</w:t>
      </w:r>
      <w:r>
        <w:rPr>
          <w:rFonts w:ascii="Calibri" w:hAnsi="Calibri"/>
          <w:spacing w:val="-13"/>
          <w:sz w:val="18"/>
        </w:rPr>
        <w:t xml:space="preserve"> </w:t>
      </w:r>
      <w:r>
        <w:rPr>
          <w:rFonts w:ascii="Calibri" w:hAnsi="Calibri"/>
          <w:sz w:val="18"/>
        </w:rPr>
        <w:t>respectivo</w:t>
      </w:r>
      <w:r>
        <w:rPr>
          <w:rFonts w:ascii="Calibri" w:hAnsi="Calibri"/>
          <w:spacing w:val="-11"/>
          <w:sz w:val="18"/>
        </w:rPr>
        <w:t xml:space="preserve"> </w:t>
      </w:r>
      <w:r>
        <w:rPr>
          <w:rFonts w:ascii="Calibri" w:hAnsi="Calibri"/>
          <w:sz w:val="18"/>
        </w:rPr>
        <w:t>análisis</w:t>
      </w:r>
      <w:r>
        <w:rPr>
          <w:rFonts w:ascii="Calibri" w:hAnsi="Calibri"/>
          <w:spacing w:val="-13"/>
          <w:sz w:val="18"/>
        </w:rPr>
        <w:t xml:space="preserve"> </w:t>
      </w:r>
      <w:r>
        <w:rPr>
          <w:rFonts w:ascii="Calibri" w:hAnsi="Calibri"/>
          <w:sz w:val="18"/>
        </w:rPr>
        <w:t>costo-</w:t>
      </w:r>
      <w:r>
        <w:rPr>
          <w:rFonts w:ascii="Calibri" w:hAnsi="Calibri"/>
          <w:sz w:val="19"/>
        </w:rPr>
        <w:t>beneficio</w:t>
      </w:r>
      <w:r>
        <w:rPr>
          <w:rFonts w:ascii="Calibri" w:hAnsi="Calibri"/>
          <w:spacing w:val="-12"/>
          <w:sz w:val="19"/>
        </w:rPr>
        <w:t xml:space="preserve"> </w:t>
      </w:r>
      <w:r>
        <w:rPr>
          <w:rFonts w:ascii="Calibri" w:hAnsi="Calibri"/>
          <w:sz w:val="19"/>
        </w:rPr>
        <w:t>y</w:t>
      </w:r>
      <w:r>
        <w:rPr>
          <w:rFonts w:ascii="Calibri" w:hAnsi="Calibri"/>
          <w:spacing w:val="-12"/>
          <w:sz w:val="19"/>
        </w:rPr>
        <w:t xml:space="preserve"> </w:t>
      </w:r>
      <w:r>
        <w:rPr>
          <w:rFonts w:ascii="Calibri" w:hAnsi="Calibri"/>
          <w:sz w:val="19"/>
        </w:rPr>
        <w:t>tomen</w:t>
      </w:r>
      <w:r>
        <w:rPr>
          <w:rFonts w:ascii="Calibri" w:hAnsi="Calibri"/>
          <w:spacing w:val="-12"/>
          <w:sz w:val="19"/>
        </w:rPr>
        <w:t xml:space="preserve"> </w:t>
      </w:r>
      <w:r>
        <w:rPr>
          <w:rFonts w:ascii="Calibri" w:hAnsi="Calibri"/>
          <w:sz w:val="19"/>
        </w:rPr>
        <w:t>decisiones sobre</w:t>
      </w:r>
      <w:r>
        <w:rPr>
          <w:rFonts w:ascii="Calibri" w:hAnsi="Calibri"/>
          <w:spacing w:val="-14"/>
          <w:sz w:val="19"/>
        </w:rPr>
        <w:t xml:space="preserve"> </w:t>
      </w:r>
      <w:r>
        <w:rPr>
          <w:rFonts w:ascii="Calibri" w:hAnsi="Calibri"/>
          <w:sz w:val="19"/>
        </w:rPr>
        <w:t>si</w:t>
      </w:r>
      <w:r>
        <w:rPr>
          <w:rFonts w:ascii="Calibri" w:hAnsi="Calibri"/>
          <w:spacing w:val="-14"/>
          <w:sz w:val="19"/>
        </w:rPr>
        <w:t xml:space="preserve"> </w:t>
      </w:r>
      <w:r>
        <w:rPr>
          <w:rFonts w:ascii="Calibri" w:hAnsi="Calibri"/>
          <w:sz w:val="19"/>
        </w:rPr>
        <w:t>participan</w:t>
      </w:r>
      <w:r>
        <w:rPr>
          <w:rFonts w:ascii="Calibri" w:hAnsi="Calibri"/>
          <w:spacing w:val="-12"/>
          <w:sz w:val="19"/>
        </w:rPr>
        <w:t xml:space="preserve"> </w:t>
      </w:r>
      <w:r>
        <w:rPr>
          <w:rFonts w:ascii="Calibri" w:hAnsi="Calibri"/>
          <w:sz w:val="19"/>
        </w:rPr>
        <w:t>o</w:t>
      </w:r>
      <w:r>
        <w:rPr>
          <w:rFonts w:ascii="Calibri" w:hAnsi="Calibri"/>
          <w:spacing w:val="-14"/>
          <w:sz w:val="19"/>
        </w:rPr>
        <w:t xml:space="preserve"> </w:t>
      </w:r>
      <w:r>
        <w:rPr>
          <w:rFonts w:ascii="Calibri" w:hAnsi="Calibri"/>
          <w:sz w:val="19"/>
        </w:rPr>
        <w:t>no</w:t>
      </w:r>
      <w:r>
        <w:rPr>
          <w:rFonts w:ascii="Calibri" w:hAnsi="Calibri"/>
          <w:spacing w:val="-14"/>
          <w:sz w:val="19"/>
        </w:rPr>
        <w:t xml:space="preserve"> </w:t>
      </w:r>
      <w:r>
        <w:rPr>
          <w:rFonts w:ascii="Calibri" w:hAnsi="Calibri"/>
          <w:sz w:val="19"/>
        </w:rPr>
        <w:t>en</w:t>
      </w:r>
      <w:r>
        <w:rPr>
          <w:rFonts w:ascii="Calibri" w:hAnsi="Calibri"/>
          <w:spacing w:val="-13"/>
          <w:sz w:val="19"/>
        </w:rPr>
        <w:t xml:space="preserve"> </w:t>
      </w:r>
      <w:r>
        <w:rPr>
          <w:rFonts w:ascii="Calibri" w:hAnsi="Calibri"/>
          <w:sz w:val="19"/>
        </w:rPr>
        <w:t>el</w:t>
      </w:r>
      <w:r>
        <w:rPr>
          <w:rFonts w:ascii="Calibri" w:hAnsi="Calibri"/>
          <w:spacing w:val="-14"/>
          <w:sz w:val="19"/>
        </w:rPr>
        <w:t xml:space="preserve"> </w:t>
      </w:r>
      <w:r>
        <w:rPr>
          <w:rFonts w:ascii="Calibri" w:hAnsi="Calibri"/>
          <w:sz w:val="19"/>
        </w:rPr>
        <w:t>proyecto.</w:t>
      </w:r>
      <w:r>
        <w:rPr>
          <w:rFonts w:ascii="Calibri" w:hAnsi="Calibri"/>
          <w:spacing w:val="-13"/>
          <w:sz w:val="19"/>
        </w:rPr>
        <w:t xml:space="preserve"> </w:t>
      </w:r>
      <w:r>
        <w:rPr>
          <w:rFonts w:ascii="Calibri" w:hAnsi="Calibri"/>
          <w:sz w:val="19"/>
        </w:rPr>
        <w:t>Sin</w:t>
      </w:r>
      <w:r>
        <w:rPr>
          <w:rFonts w:ascii="Calibri" w:hAnsi="Calibri"/>
          <w:spacing w:val="-13"/>
          <w:sz w:val="19"/>
        </w:rPr>
        <w:t xml:space="preserve"> </w:t>
      </w:r>
      <w:r>
        <w:rPr>
          <w:rFonts w:ascii="Calibri" w:hAnsi="Calibri"/>
          <w:sz w:val="19"/>
        </w:rPr>
        <w:t>esta</w:t>
      </w:r>
      <w:r>
        <w:rPr>
          <w:rFonts w:ascii="Calibri" w:hAnsi="Calibri"/>
          <w:spacing w:val="-13"/>
          <w:sz w:val="19"/>
        </w:rPr>
        <w:t xml:space="preserve"> </w:t>
      </w:r>
      <w:r>
        <w:rPr>
          <w:rFonts w:ascii="Calibri" w:hAnsi="Calibri"/>
          <w:sz w:val="19"/>
        </w:rPr>
        <w:t>información,</w:t>
      </w:r>
      <w:r>
        <w:rPr>
          <w:rFonts w:ascii="Calibri" w:hAnsi="Calibri"/>
          <w:spacing w:val="-13"/>
          <w:sz w:val="19"/>
        </w:rPr>
        <w:t xml:space="preserve"> </w:t>
      </w:r>
      <w:r>
        <w:rPr>
          <w:rFonts w:ascii="Calibri" w:hAnsi="Calibri"/>
          <w:sz w:val="19"/>
        </w:rPr>
        <w:t>las</w:t>
      </w:r>
      <w:r>
        <w:rPr>
          <w:rFonts w:ascii="Calibri" w:hAnsi="Calibri"/>
          <w:spacing w:val="-13"/>
          <w:sz w:val="19"/>
        </w:rPr>
        <w:t xml:space="preserve"> </w:t>
      </w:r>
      <w:r>
        <w:rPr>
          <w:rFonts w:ascii="Calibri" w:hAnsi="Calibri"/>
          <w:sz w:val="19"/>
        </w:rPr>
        <w:t>decisiones</w:t>
      </w:r>
      <w:r>
        <w:rPr>
          <w:rFonts w:ascii="Calibri" w:hAnsi="Calibri"/>
          <w:spacing w:val="-13"/>
          <w:sz w:val="19"/>
        </w:rPr>
        <w:t xml:space="preserve"> </w:t>
      </w:r>
      <w:r>
        <w:rPr>
          <w:rFonts w:ascii="Calibri" w:hAnsi="Calibri"/>
          <w:sz w:val="19"/>
        </w:rPr>
        <w:t>de</w:t>
      </w:r>
      <w:r>
        <w:rPr>
          <w:rFonts w:ascii="Calibri" w:hAnsi="Calibri"/>
          <w:spacing w:val="-14"/>
          <w:sz w:val="19"/>
        </w:rPr>
        <w:t xml:space="preserve"> </w:t>
      </w:r>
      <w:r>
        <w:rPr>
          <w:rFonts w:ascii="Calibri" w:hAnsi="Calibri"/>
          <w:sz w:val="19"/>
        </w:rPr>
        <w:t>financiación</w:t>
      </w:r>
      <w:r>
        <w:rPr>
          <w:rFonts w:ascii="Calibri" w:hAnsi="Calibri"/>
          <w:spacing w:val="-12"/>
          <w:sz w:val="19"/>
        </w:rPr>
        <w:t xml:space="preserve"> </w:t>
      </w:r>
      <w:r>
        <w:rPr>
          <w:rFonts w:ascii="Calibri" w:hAnsi="Calibri"/>
          <w:sz w:val="19"/>
        </w:rPr>
        <w:t>no</w:t>
      </w:r>
      <w:r>
        <w:rPr>
          <w:rFonts w:ascii="Calibri" w:hAnsi="Calibri"/>
          <w:spacing w:val="-14"/>
          <w:sz w:val="19"/>
        </w:rPr>
        <w:t xml:space="preserve"> </w:t>
      </w:r>
      <w:r>
        <w:rPr>
          <w:rFonts w:ascii="Calibri" w:hAnsi="Calibri"/>
          <w:sz w:val="19"/>
        </w:rPr>
        <w:t>podrán</w:t>
      </w:r>
      <w:r>
        <w:rPr>
          <w:rFonts w:ascii="Calibri" w:hAnsi="Calibri"/>
          <w:spacing w:val="-13"/>
          <w:sz w:val="19"/>
        </w:rPr>
        <w:t xml:space="preserve"> </w:t>
      </w:r>
      <w:r>
        <w:rPr>
          <w:rFonts w:ascii="Calibri" w:hAnsi="Calibri"/>
          <w:sz w:val="19"/>
        </w:rPr>
        <w:t>basarse en una previsión real de cómo obtener la mayor cantidad de servicios por el dinero invertido, elemento determinante de las decisiones de</w:t>
      </w:r>
      <w:r>
        <w:rPr>
          <w:rFonts w:ascii="Calibri" w:hAnsi="Calibri"/>
          <w:spacing w:val="-7"/>
          <w:sz w:val="19"/>
        </w:rPr>
        <w:t xml:space="preserve"> </w:t>
      </w:r>
      <w:r>
        <w:rPr>
          <w:rFonts w:ascii="Calibri" w:hAnsi="Calibri"/>
          <w:sz w:val="19"/>
        </w:rPr>
        <w:t>participación».</w:t>
      </w:r>
    </w:p>
    <w:p w14:paraId="4935FA32" w14:textId="77777777" w:rsidR="00653510" w:rsidRDefault="00653510">
      <w:pPr>
        <w:jc w:val="both"/>
        <w:rPr>
          <w:rFonts w:ascii="Calibri" w:hAnsi="Calibri"/>
          <w:sz w:val="19"/>
        </w:rPr>
        <w:sectPr w:rsidR="00653510">
          <w:pgSz w:w="11900" w:h="16820"/>
          <w:pgMar w:top="1340" w:right="1160" w:bottom="2180" w:left="1600" w:header="0" w:footer="1962" w:gutter="0"/>
          <w:cols w:space="720"/>
        </w:sectPr>
      </w:pPr>
    </w:p>
    <w:p w14:paraId="36CC2189" w14:textId="77777777" w:rsidR="00653510" w:rsidRDefault="00653510">
      <w:pPr>
        <w:pStyle w:val="Textoindependiente"/>
        <w:spacing w:before="5"/>
        <w:rPr>
          <w:rFonts w:ascii="Calibri"/>
          <w:sz w:val="10"/>
        </w:rPr>
      </w:pPr>
    </w:p>
    <w:p w14:paraId="502F68A6" w14:textId="77777777" w:rsidR="00653510" w:rsidRDefault="00390730">
      <w:pPr>
        <w:spacing w:before="94"/>
        <w:ind w:left="806"/>
        <w:jc w:val="both"/>
        <w:rPr>
          <w:sz w:val="21"/>
        </w:rPr>
      </w:pPr>
      <w:r>
        <w:rPr>
          <w:sz w:val="21"/>
        </w:rPr>
        <w:t>Artículo 25. Del principio de economía. En virtud de este principio: […]</w:t>
      </w:r>
    </w:p>
    <w:p w14:paraId="45CE8704" w14:textId="77777777" w:rsidR="00653510" w:rsidRDefault="00390730">
      <w:pPr>
        <w:spacing w:before="120"/>
        <w:ind w:left="806" w:right="1243"/>
        <w:jc w:val="both"/>
        <w:rPr>
          <w:sz w:val="21"/>
        </w:rPr>
      </w:pPr>
      <w:r>
        <w:rPr>
          <w:sz w:val="21"/>
        </w:rPr>
        <w:t>12.</w:t>
      </w:r>
      <w:r>
        <w:rPr>
          <w:spacing w:val="-4"/>
          <w:sz w:val="21"/>
        </w:rPr>
        <w:t xml:space="preserve"> </w:t>
      </w:r>
      <w:r>
        <w:rPr>
          <w:sz w:val="21"/>
        </w:rPr>
        <w:t>Previo</w:t>
      </w:r>
      <w:r>
        <w:rPr>
          <w:spacing w:val="-3"/>
          <w:sz w:val="21"/>
        </w:rPr>
        <w:t xml:space="preserve"> </w:t>
      </w:r>
      <w:r>
        <w:rPr>
          <w:sz w:val="21"/>
        </w:rPr>
        <w:t>a</w:t>
      </w:r>
      <w:r>
        <w:rPr>
          <w:spacing w:val="-4"/>
          <w:sz w:val="21"/>
        </w:rPr>
        <w:t xml:space="preserve"> </w:t>
      </w:r>
      <w:r>
        <w:rPr>
          <w:sz w:val="21"/>
        </w:rPr>
        <w:t>la</w:t>
      </w:r>
      <w:r>
        <w:rPr>
          <w:spacing w:val="-4"/>
          <w:sz w:val="21"/>
        </w:rPr>
        <w:t xml:space="preserve"> </w:t>
      </w:r>
      <w:r>
        <w:rPr>
          <w:sz w:val="21"/>
        </w:rPr>
        <w:t>apertura</w:t>
      </w:r>
      <w:r>
        <w:rPr>
          <w:spacing w:val="-4"/>
          <w:sz w:val="21"/>
        </w:rPr>
        <w:t xml:space="preserve"> </w:t>
      </w:r>
      <w:r>
        <w:rPr>
          <w:sz w:val="21"/>
        </w:rPr>
        <w:t>de</w:t>
      </w:r>
      <w:r>
        <w:rPr>
          <w:spacing w:val="-4"/>
          <w:sz w:val="21"/>
        </w:rPr>
        <w:t xml:space="preserve"> </w:t>
      </w:r>
      <w:r>
        <w:rPr>
          <w:sz w:val="21"/>
        </w:rPr>
        <w:t>un</w:t>
      </w:r>
      <w:r>
        <w:rPr>
          <w:spacing w:val="-4"/>
          <w:sz w:val="21"/>
        </w:rPr>
        <w:t xml:space="preserve"> </w:t>
      </w:r>
      <w:r>
        <w:rPr>
          <w:sz w:val="21"/>
        </w:rPr>
        <w:t>proceso</w:t>
      </w:r>
      <w:r>
        <w:rPr>
          <w:spacing w:val="-4"/>
          <w:sz w:val="21"/>
        </w:rPr>
        <w:t xml:space="preserve"> </w:t>
      </w:r>
      <w:r>
        <w:rPr>
          <w:sz w:val="21"/>
        </w:rPr>
        <w:t>de</w:t>
      </w:r>
      <w:r>
        <w:rPr>
          <w:spacing w:val="-4"/>
          <w:sz w:val="21"/>
        </w:rPr>
        <w:t xml:space="preserve"> </w:t>
      </w:r>
      <w:r>
        <w:rPr>
          <w:sz w:val="21"/>
        </w:rPr>
        <w:t>selección,</w:t>
      </w:r>
      <w:r>
        <w:rPr>
          <w:spacing w:val="-4"/>
          <w:sz w:val="21"/>
        </w:rPr>
        <w:t xml:space="preserve"> </w:t>
      </w:r>
      <w:r>
        <w:rPr>
          <w:sz w:val="21"/>
        </w:rPr>
        <w:t>o</w:t>
      </w:r>
      <w:r>
        <w:rPr>
          <w:spacing w:val="-4"/>
          <w:sz w:val="21"/>
        </w:rPr>
        <w:t xml:space="preserve"> </w:t>
      </w:r>
      <w:r>
        <w:rPr>
          <w:sz w:val="21"/>
        </w:rPr>
        <w:t>a</w:t>
      </w:r>
      <w:r>
        <w:rPr>
          <w:spacing w:val="-4"/>
          <w:sz w:val="21"/>
        </w:rPr>
        <w:t xml:space="preserve"> </w:t>
      </w:r>
      <w:r>
        <w:rPr>
          <w:sz w:val="21"/>
        </w:rPr>
        <w:t>la</w:t>
      </w:r>
      <w:r>
        <w:rPr>
          <w:spacing w:val="-4"/>
          <w:sz w:val="21"/>
        </w:rPr>
        <w:t xml:space="preserve"> </w:t>
      </w:r>
      <w:r>
        <w:rPr>
          <w:sz w:val="21"/>
        </w:rPr>
        <w:t>firma</w:t>
      </w:r>
      <w:r>
        <w:rPr>
          <w:spacing w:val="-3"/>
          <w:sz w:val="21"/>
        </w:rPr>
        <w:t xml:space="preserve"> </w:t>
      </w:r>
      <w:r>
        <w:rPr>
          <w:sz w:val="21"/>
        </w:rPr>
        <w:t>del</w:t>
      </w:r>
      <w:r>
        <w:rPr>
          <w:spacing w:val="-4"/>
          <w:sz w:val="21"/>
        </w:rPr>
        <w:t xml:space="preserve"> </w:t>
      </w:r>
      <w:r>
        <w:rPr>
          <w:sz w:val="21"/>
        </w:rPr>
        <w:t>contrato en el caso en que la modalidad de selección sea contratación directa, deberán elaborarse los estudios, diseños y proyectos requeridos, y los pliegos de condiciones, según</w:t>
      </w:r>
      <w:r>
        <w:rPr>
          <w:spacing w:val="-5"/>
          <w:sz w:val="21"/>
        </w:rPr>
        <w:t xml:space="preserve"> </w:t>
      </w:r>
      <w:r>
        <w:rPr>
          <w:sz w:val="21"/>
        </w:rPr>
        <w:t>corresponda.</w:t>
      </w:r>
    </w:p>
    <w:p w14:paraId="1F1E6EB6" w14:textId="77777777" w:rsidR="00653510" w:rsidRDefault="00390730">
      <w:pPr>
        <w:spacing w:before="120"/>
        <w:ind w:left="806" w:right="1240"/>
        <w:jc w:val="both"/>
        <w:rPr>
          <w:sz w:val="21"/>
        </w:rPr>
      </w:pPr>
      <w:r>
        <w:rPr>
          <w:sz w:val="21"/>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p w14:paraId="6D89EFD1" w14:textId="77777777" w:rsidR="00653510" w:rsidRDefault="00653510">
      <w:pPr>
        <w:pStyle w:val="Textoindependiente"/>
      </w:pPr>
    </w:p>
    <w:p w14:paraId="5FC20B80" w14:textId="77777777" w:rsidR="00653510" w:rsidRDefault="00390730">
      <w:pPr>
        <w:pStyle w:val="Textoindependiente"/>
        <w:spacing w:before="144" w:line="276" w:lineRule="auto"/>
        <w:ind w:left="100" w:right="533" w:firstLine="708"/>
        <w:jc w:val="both"/>
      </w:pPr>
      <w:r>
        <w:t>La anterior disposición garantiza la viabilidad de los proyectos, independiente del tipo de contrato o la modalidad de contratación, es decir busca que las entidades cuenten</w:t>
      </w:r>
      <w:r>
        <w:rPr>
          <w:spacing w:val="-14"/>
        </w:rPr>
        <w:t xml:space="preserve"> </w:t>
      </w:r>
      <w:r>
        <w:t>con</w:t>
      </w:r>
      <w:r>
        <w:rPr>
          <w:spacing w:val="-13"/>
        </w:rPr>
        <w:t xml:space="preserve"> </w:t>
      </w:r>
      <w:r>
        <w:t>el</w:t>
      </w:r>
      <w:r>
        <w:rPr>
          <w:spacing w:val="-13"/>
        </w:rPr>
        <w:t xml:space="preserve"> </w:t>
      </w:r>
      <w:r>
        <w:t>suficiente</w:t>
      </w:r>
      <w:r>
        <w:rPr>
          <w:spacing w:val="-13"/>
        </w:rPr>
        <w:t xml:space="preserve"> </w:t>
      </w:r>
      <w:r>
        <w:t>sustento</w:t>
      </w:r>
      <w:r>
        <w:rPr>
          <w:spacing w:val="-13"/>
        </w:rPr>
        <w:t xml:space="preserve"> </w:t>
      </w:r>
      <w:r>
        <w:t>para</w:t>
      </w:r>
      <w:r>
        <w:rPr>
          <w:spacing w:val="-13"/>
        </w:rPr>
        <w:t xml:space="preserve"> </w:t>
      </w:r>
      <w:r>
        <w:t>adelantar</w:t>
      </w:r>
      <w:r>
        <w:rPr>
          <w:spacing w:val="-13"/>
        </w:rPr>
        <w:t xml:space="preserve"> </w:t>
      </w:r>
      <w:r>
        <w:t>sus</w:t>
      </w:r>
      <w:r>
        <w:rPr>
          <w:spacing w:val="-13"/>
        </w:rPr>
        <w:t xml:space="preserve"> </w:t>
      </w:r>
      <w:r>
        <w:t>procesos</w:t>
      </w:r>
      <w:r>
        <w:rPr>
          <w:spacing w:val="-13"/>
        </w:rPr>
        <w:t xml:space="preserve"> </w:t>
      </w:r>
      <w:r>
        <w:t>de</w:t>
      </w:r>
      <w:r>
        <w:rPr>
          <w:spacing w:val="-13"/>
        </w:rPr>
        <w:t xml:space="preserve"> </w:t>
      </w:r>
      <w:r>
        <w:t>contratación.</w:t>
      </w:r>
      <w:r>
        <w:rPr>
          <w:spacing w:val="-13"/>
        </w:rPr>
        <w:t xml:space="preserve"> </w:t>
      </w:r>
      <w:r>
        <w:t>En</w:t>
      </w:r>
      <w:r>
        <w:rPr>
          <w:spacing w:val="-13"/>
        </w:rPr>
        <w:t xml:space="preserve"> </w:t>
      </w:r>
      <w:r>
        <w:t>igual sentido, el artículo 2.2.1.1.1.6.1 del Decreto 1082 de 2015</w:t>
      </w:r>
      <w:r>
        <w:rPr>
          <w:vertAlign w:val="superscript"/>
        </w:rPr>
        <w:t>7</w:t>
      </w:r>
      <w:r>
        <w:t xml:space="preserve"> establece la obligación de las entidades estatales de realizar los análisis pertinentes para conocer el sector del objeto del proceso de contratación desde la perspectiva legal, comercial, financiera, organizacional, técnica, y de análisis de riesgo, la obligación según esta norma debe cumplirse durante la etapa de planeación del</w:t>
      </w:r>
      <w:r>
        <w:rPr>
          <w:spacing w:val="-10"/>
        </w:rPr>
        <w:t xml:space="preserve"> </w:t>
      </w:r>
      <w:r>
        <w:t>contrato.</w:t>
      </w:r>
    </w:p>
    <w:p w14:paraId="324020F7" w14:textId="77777777" w:rsidR="00653510" w:rsidRDefault="00390730">
      <w:pPr>
        <w:pStyle w:val="Textoindependiente"/>
        <w:spacing w:before="120" w:line="276" w:lineRule="auto"/>
        <w:ind w:left="100" w:right="533" w:firstLine="708"/>
        <w:jc w:val="both"/>
      </w:pPr>
      <w:r>
        <w:t>Mas allá del cumplimiento de la normativa, «los estudios y documentos previos son el soporte para elaborar el proyecto de pliegos, los pliegos de condiciones, y el contrato</w:t>
      </w:r>
      <w:r>
        <w:rPr>
          <w:sz w:val="24"/>
        </w:rPr>
        <w:t>»</w:t>
      </w:r>
      <w:r>
        <w:rPr>
          <w:sz w:val="24"/>
          <w:vertAlign w:val="superscript"/>
        </w:rPr>
        <w:t>8</w:t>
      </w:r>
      <w:r>
        <w:t>, por ello deben publicarse en la etapa precontractual y tienen la finalidad de servir de motivación para los documentos expedidos unilateralmente por la entidad estatal</w:t>
      </w:r>
      <w:r>
        <w:rPr>
          <w:spacing w:val="-15"/>
        </w:rPr>
        <w:t xml:space="preserve"> </w:t>
      </w:r>
      <w:r>
        <w:t>tales</w:t>
      </w:r>
      <w:r>
        <w:rPr>
          <w:spacing w:val="-14"/>
        </w:rPr>
        <w:t xml:space="preserve"> </w:t>
      </w:r>
      <w:r>
        <w:t>como</w:t>
      </w:r>
      <w:r>
        <w:rPr>
          <w:spacing w:val="-14"/>
        </w:rPr>
        <w:t xml:space="preserve"> </w:t>
      </w:r>
      <w:r>
        <w:t>el</w:t>
      </w:r>
      <w:r>
        <w:rPr>
          <w:spacing w:val="-15"/>
        </w:rPr>
        <w:t xml:space="preserve"> </w:t>
      </w:r>
      <w:r>
        <w:t>acto</w:t>
      </w:r>
      <w:r>
        <w:rPr>
          <w:spacing w:val="-14"/>
        </w:rPr>
        <w:t xml:space="preserve"> </w:t>
      </w:r>
      <w:r>
        <w:t>administrativo</w:t>
      </w:r>
      <w:r>
        <w:rPr>
          <w:spacing w:val="-14"/>
        </w:rPr>
        <w:t xml:space="preserve"> </w:t>
      </w:r>
      <w:r>
        <w:t>de</w:t>
      </w:r>
      <w:r>
        <w:rPr>
          <w:spacing w:val="-15"/>
        </w:rPr>
        <w:t xml:space="preserve"> </w:t>
      </w:r>
      <w:r>
        <w:t>apertura,</w:t>
      </w:r>
      <w:r>
        <w:rPr>
          <w:spacing w:val="-14"/>
        </w:rPr>
        <w:t xml:space="preserve"> </w:t>
      </w:r>
      <w:r>
        <w:t>los</w:t>
      </w:r>
      <w:r>
        <w:rPr>
          <w:spacing w:val="-14"/>
        </w:rPr>
        <w:t xml:space="preserve"> </w:t>
      </w:r>
      <w:r>
        <w:t>pliegos</w:t>
      </w:r>
      <w:r>
        <w:rPr>
          <w:spacing w:val="-15"/>
        </w:rPr>
        <w:t xml:space="preserve"> </w:t>
      </w:r>
      <w:r>
        <w:t>de</w:t>
      </w:r>
      <w:r>
        <w:rPr>
          <w:spacing w:val="-14"/>
        </w:rPr>
        <w:t xml:space="preserve"> </w:t>
      </w:r>
      <w:r>
        <w:t>condiciones</w:t>
      </w:r>
      <w:r>
        <w:rPr>
          <w:spacing w:val="-14"/>
        </w:rPr>
        <w:t xml:space="preserve"> </w:t>
      </w:r>
      <w:r>
        <w:t>y</w:t>
      </w:r>
      <w:r>
        <w:rPr>
          <w:spacing w:val="-15"/>
        </w:rPr>
        <w:t xml:space="preserve"> </w:t>
      </w:r>
      <w:r>
        <w:t>el</w:t>
      </w:r>
      <w:r>
        <w:rPr>
          <w:spacing w:val="-14"/>
        </w:rPr>
        <w:t xml:space="preserve"> </w:t>
      </w:r>
      <w:r>
        <w:t>acto de adjudicación, entre</w:t>
      </w:r>
      <w:r>
        <w:rPr>
          <w:spacing w:val="-4"/>
        </w:rPr>
        <w:t xml:space="preserve"> </w:t>
      </w:r>
      <w:r>
        <w:t>otros.</w:t>
      </w:r>
    </w:p>
    <w:p w14:paraId="613D7A0C" w14:textId="77777777" w:rsidR="00653510" w:rsidRDefault="00390730">
      <w:pPr>
        <w:pStyle w:val="Textoindependiente"/>
        <w:spacing w:before="120" w:line="276" w:lineRule="auto"/>
        <w:ind w:left="100" w:right="533" w:firstLine="708"/>
        <w:jc w:val="both"/>
      </w:pPr>
      <w:r>
        <w:t>El numeral 15 del artículo 25 de la Ley 80 de 1993, antes citado, establece el deber de las entidades de realizar estudios previos en dos momentos específicos: i) previo a la apertura de un proceso de selección y ii) previo a la firma del contrato en el caso</w:t>
      </w:r>
      <w:r>
        <w:rPr>
          <w:spacing w:val="-8"/>
        </w:rPr>
        <w:t xml:space="preserve"> </w:t>
      </w:r>
      <w:r>
        <w:t>en</w:t>
      </w:r>
      <w:r>
        <w:rPr>
          <w:spacing w:val="-8"/>
        </w:rPr>
        <w:t xml:space="preserve"> </w:t>
      </w:r>
      <w:r>
        <w:t>que</w:t>
      </w:r>
      <w:r>
        <w:rPr>
          <w:spacing w:val="-8"/>
        </w:rPr>
        <w:t xml:space="preserve"> </w:t>
      </w:r>
      <w:r>
        <w:t>la</w:t>
      </w:r>
      <w:r>
        <w:rPr>
          <w:spacing w:val="-8"/>
        </w:rPr>
        <w:t xml:space="preserve"> </w:t>
      </w:r>
      <w:r>
        <w:t>modalidad</w:t>
      </w:r>
      <w:r>
        <w:rPr>
          <w:spacing w:val="-8"/>
        </w:rPr>
        <w:t xml:space="preserve"> </w:t>
      </w:r>
      <w:r>
        <w:t>de</w:t>
      </w:r>
      <w:r>
        <w:rPr>
          <w:spacing w:val="-8"/>
        </w:rPr>
        <w:t xml:space="preserve"> </w:t>
      </w:r>
      <w:r>
        <w:t>selección</w:t>
      </w:r>
      <w:r>
        <w:rPr>
          <w:spacing w:val="-8"/>
        </w:rPr>
        <w:t xml:space="preserve"> </w:t>
      </w:r>
      <w:r>
        <w:t>sea</w:t>
      </w:r>
      <w:r>
        <w:rPr>
          <w:spacing w:val="-8"/>
        </w:rPr>
        <w:t xml:space="preserve"> </w:t>
      </w:r>
      <w:r>
        <w:t>contratación</w:t>
      </w:r>
      <w:r>
        <w:rPr>
          <w:spacing w:val="-8"/>
        </w:rPr>
        <w:t xml:space="preserve"> </w:t>
      </w:r>
      <w:r>
        <w:t>directa.</w:t>
      </w:r>
      <w:r>
        <w:rPr>
          <w:spacing w:val="-8"/>
        </w:rPr>
        <w:t xml:space="preserve"> </w:t>
      </w:r>
      <w:r>
        <w:t>Por</w:t>
      </w:r>
      <w:r>
        <w:rPr>
          <w:spacing w:val="-8"/>
        </w:rPr>
        <w:t xml:space="preserve"> </w:t>
      </w:r>
      <w:r>
        <w:t>su</w:t>
      </w:r>
      <w:r>
        <w:rPr>
          <w:spacing w:val="-7"/>
        </w:rPr>
        <w:t xml:space="preserve"> </w:t>
      </w:r>
      <w:r>
        <w:t>parte,</w:t>
      </w:r>
      <w:r>
        <w:rPr>
          <w:spacing w:val="-8"/>
        </w:rPr>
        <w:t xml:space="preserve"> </w:t>
      </w:r>
      <w:r>
        <w:t>el</w:t>
      </w:r>
      <w:r>
        <w:rPr>
          <w:spacing w:val="-8"/>
        </w:rPr>
        <w:t xml:space="preserve"> </w:t>
      </w:r>
      <w:r>
        <w:t>artículo 2.2.1.1.1.6.1 del Decreto 1082 de 2015 impone la obligación de realizar los estudios previos en la etapa de planeación del</w:t>
      </w:r>
      <w:r>
        <w:rPr>
          <w:spacing w:val="-10"/>
        </w:rPr>
        <w:t xml:space="preserve"> </w:t>
      </w:r>
      <w:r>
        <w:t>contrato.</w:t>
      </w:r>
    </w:p>
    <w:p w14:paraId="0E8001CB" w14:textId="77777777" w:rsidR="00653510" w:rsidRDefault="00A00A85">
      <w:pPr>
        <w:pStyle w:val="Textoindependiente"/>
        <w:spacing w:before="5"/>
        <w:rPr>
          <w:sz w:val="19"/>
        </w:rPr>
      </w:pPr>
      <w:r>
        <w:rPr>
          <w:noProof/>
        </w:rPr>
        <mc:AlternateContent>
          <mc:Choice Requires="wps">
            <w:drawing>
              <wp:anchor distT="0" distB="0" distL="0" distR="0" simplePos="0" relativeHeight="487589376" behindDoc="1" locked="0" layoutInCell="1" allowOverlap="1" wp14:anchorId="5FBEED02" wp14:editId="3A9759CB">
                <wp:simplePos x="0" y="0"/>
                <wp:positionH relativeFrom="page">
                  <wp:posOffset>1080135</wp:posOffset>
                </wp:positionH>
                <wp:positionV relativeFrom="paragraph">
                  <wp:posOffset>170180</wp:posOffset>
                </wp:positionV>
                <wp:extent cx="1828800" cy="1270"/>
                <wp:effectExtent l="0" t="0" r="0" b="0"/>
                <wp:wrapTopAndBottom/>
                <wp:docPr id="9"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17D4FE" id="Freeform 7" o:spid="_x0000_s1026" style="position:absolute;margin-left:85.05pt;margin-top:13.4pt;width:2in;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" path="m,l2880,e" filled="f" strokeweight=".5pt">
                <v:path arrowok="t" o:connecttype="custom" o:connectlocs="0,0;1828800,0" o:connectangles="0,0"/>
                <w10:wrap type="topAndBottom" anchorx="page"/>
              </v:shape>
            </w:pict>
          </mc:Fallback>
        </mc:AlternateContent>
      </w:r>
    </w:p>
    <w:p w14:paraId="5FD17DA5" w14:textId="77777777" w:rsidR="00653510" w:rsidRDefault="00653510">
      <w:pPr>
        <w:pStyle w:val="Textoindependiente"/>
        <w:spacing w:before="4"/>
        <w:rPr>
          <w:sz w:val="14"/>
        </w:rPr>
      </w:pPr>
    </w:p>
    <w:p w14:paraId="02CE05ED" w14:textId="77777777" w:rsidR="00653510" w:rsidRDefault="00390730">
      <w:pPr>
        <w:spacing w:before="1" w:line="213" w:lineRule="auto"/>
        <w:ind w:left="200" w:right="493" w:firstLine="608"/>
        <w:rPr>
          <w:rFonts w:ascii="Calibri" w:hAnsi="Calibri"/>
          <w:sz w:val="19"/>
        </w:rPr>
      </w:pPr>
      <w:r>
        <w:rPr>
          <w:rFonts w:ascii="Calibri" w:hAnsi="Calibri"/>
          <w:sz w:val="19"/>
          <w:vertAlign w:val="superscript"/>
        </w:rPr>
        <w:t>7</w:t>
      </w:r>
      <w:r>
        <w:rPr>
          <w:rFonts w:ascii="Calibri" w:hAnsi="Calibri"/>
          <w:sz w:val="19"/>
        </w:rPr>
        <w:t xml:space="preserve"> </w:t>
      </w:r>
      <w:proofErr w:type="gramStart"/>
      <w:r>
        <w:rPr>
          <w:rFonts w:ascii="Calibri" w:hAnsi="Calibri"/>
          <w:sz w:val="19"/>
        </w:rPr>
        <w:t>Artículo</w:t>
      </w:r>
      <w:proofErr w:type="gramEnd"/>
      <w:r>
        <w:rPr>
          <w:rFonts w:ascii="Calibri" w:hAnsi="Calibri"/>
          <w:sz w:val="19"/>
        </w:rPr>
        <w:t xml:space="preserve"> 2.2.1.1.1.6.1. Deber de análisis de las Entidades Estatales. «La Entidad Estatal debe hacer, durante la etapa de planeación, el análisis necesario para conocer el sector relativo al objeto del Proceso de</w:t>
      </w:r>
    </w:p>
    <w:p w14:paraId="34C6068D" w14:textId="77777777" w:rsidR="00653510" w:rsidRDefault="00390730">
      <w:pPr>
        <w:spacing w:before="40" w:line="276" w:lineRule="auto"/>
        <w:ind w:left="200" w:right="493"/>
        <w:rPr>
          <w:rFonts w:ascii="Calibri" w:hAnsi="Calibri"/>
          <w:sz w:val="19"/>
        </w:rPr>
      </w:pPr>
      <w:r>
        <w:rPr>
          <w:rFonts w:ascii="Calibri" w:hAnsi="Calibri"/>
          <w:sz w:val="19"/>
        </w:rPr>
        <w:t>Contratación desde la perspectiva legal, comercial, financiera, organizacional, técnica, y de análisis de Riesgo. La Entidad Estatal debe dejar constancia de este análisis en los Documentos del Proceso».</w:t>
      </w:r>
    </w:p>
    <w:p w14:paraId="2BF62492" w14:textId="77777777" w:rsidR="00653510" w:rsidRDefault="00653510">
      <w:pPr>
        <w:pStyle w:val="Textoindependiente"/>
        <w:rPr>
          <w:rFonts w:ascii="Calibri"/>
          <w:sz w:val="18"/>
        </w:rPr>
      </w:pPr>
    </w:p>
    <w:p w14:paraId="1CE5BB40" w14:textId="77777777" w:rsidR="00653510" w:rsidRDefault="00653510">
      <w:pPr>
        <w:pStyle w:val="Textoindependiente"/>
        <w:rPr>
          <w:rFonts w:ascii="Calibri"/>
          <w:sz w:val="18"/>
        </w:rPr>
      </w:pPr>
    </w:p>
    <w:p w14:paraId="344D414B" w14:textId="77777777" w:rsidR="00653510" w:rsidRDefault="00390730">
      <w:pPr>
        <w:spacing w:before="147" w:line="213" w:lineRule="auto"/>
        <w:ind w:left="200" w:right="621" w:firstLine="608"/>
        <w:rPr>
          <w:rFonts w:ascii="Calibri" w:hAnsi="Calibri"/>
          <w:sz w:val="19"/>
        </w:rPr>
      </w:pPr>
      <w:r>
        <w:rPr>
          <w:rFonts w:ascii="Calibri" w:hAnsi="Calibri"/>
          <w:sz w:val="19"/>
          <w:vertAlign w:val="superscript"/>
        </w:rPr>
        <w:t>8</w:t>
      </w:r>
      <w:r>
        <w:rPr>
          <w:rFonts w:ascii="Calibri" w:hAnsi="Calibri"/>
          <w:sz w:val="19"/>
        </w:rPr>
        <w:t xml:space="preserve"> </w:t>
      </w:r>
      <w:proofErr w:type="gramStart"/>
      <w:r>
        <w:rPr>
          <w:rFonts w:ascii="Calibri" w:hAnsi="Calibri"/>
          <w:sz w:val="19"/>
        </w:rPr>
        <w:t>Artículo</w:t>
      </w:r>
      <w:proofErr w:type="gramEnd"/>
      <w:r>
        <w:rPr>
          <w:rFonts w:ascii="Calibri" w:hAnsi="Calibri"/>
          <w:sz w:val="19"/>
        </w:rPr>
        <w:t xml:space="preserve"> 2.2.1.1.2.1.1. «Estudios y documentos previos. Los estudios y documentos previos son el soporte para elaborar el proyecto de pliegos, los pliegos de condiciones, y el contrato. Deben permanecer a</w:t>
      </w:r>
    </w:p>
    <w:p w14:paraId="12CEB92F" w14:textId="77777777" w:rsidR="00653510" w:rsidRDefault="00390730">
      <w:pPr>
        <w:spacing w:before="41" w:line="276" w:lineRule="auto"/>
        <w:ind w:left="200" w:right="493"/>
        <w:rPr>
          <w:rFonts w:ascii="Calibri" w:hAnsi="Calibri"/>
          <w:sz w:val="19"/>
        </w:rPr>
      </w:pPr>
      <w:r>
        <w:rPr>
          <w:rFonts w:ascii="Calibri" w:hAnsi="Calibri"/>
          <w:sz w:val="19"/>
        </w:rPr>
        <w:t>disposición</w:t>
      </w:r>
      <w:r>
        <w:rPr>
          <w:rFonts w:ascii="Calibri" w:hAnsi="Calibri"/>
          <w:spacing w:val="-15"/>
          <w:sz w:val="19"/>
        </w:rPr>
        <w:t xml:space="preserve"> </w:t>
      </w:r>
      <w:r>
        <w:rPr>
          <w:rFonts w:ascii="Calibri" w:hAnsi="Calibri"/>
          <w:sz w:val="19"/>
        </w:rPr>
        <w:t>del</w:t>
      </w:r>
      <w:r>
        <w:rPr>
          <w:rFonts w:ascii="Calibri" w:hAnsi="Calibri"/>
          <w:spacing w:val="-16"/>
          <w:sz w:val="19"/>
        </w:rPr>
        <w:t xml:space="preserve"> </w:t>
      </w:r>
      <w:r>
        <w:rPr>
          <w:rFonts w:ascii="Calibri" w:hAnsi="Calibri"/>
          <w:sz w:val="19"/>
        </w:rPr>
        <w:t>público</w:t>
      </w:r>
      <w:r>
        <w:rPr>
          <w:rFonts w:ascii="Calibri" w:hAnsi="Calibri"/>
          <w:spacing w:val="-15"/>
          <w:sz w:val="19"/>
        </w:rPr>
        <w:t xml:space="preserve"> </w:t>
      </w:r>
      <w:r>
        <w:rPr>
          <w:rFonts w:ascii="Calibri" w:hAnsi="Calibri"/>
          <w:sz w:val="19"/>
        </w:rPr>
        <w:t>durante</w:t>
      </w:r>
      <w:r>
        <w:rPr>
          <w:rFonts w:ascii="Calibri" w:hAnsi="Calibri"/>
          <w:spacing w:val="-15"/>
          <w:sz w:val="19"/>
        </w:rPr>
        <w:t xml:space="preserve"> </w:t>
      </w:r>
      <w:r>
        <w:rPr>
          <w:rFonts w:ascii="Calibri" w:hAnsi="Calibri"/>
          <w:sz w:val="19"/>
        </w:rPr>
        <w:t>el</w:t>
      </w:r>
      <w:r>
        <w:rPr>
          <w:rFonts w:ascii="Calibri" w:hAnsi="Calibri"/>
          <w:spacing w:val="-16"/>
          <w:sz w:val="19"/>
        </w:rPr>
        <w:t xml:space="preserve"> </w:t>
      </w:r>
      <w:r>
        <w:rPr>
          <w:rFonts w:ascii="Calibri" w:hAnsi="Calibri"/>
          <w:sz w:val="19"/>
        </w:rPr>
        <w:t>desarrollo</w:t>
      </w:r>
      <w:r>
        <w:rPr>
          <w:rFonts w:ascii="Calibri" w:hAnsi="Calibri"/>
          <w:spacing w:val="-15"/>
          <w:sz w:val="19"/>
        </w:rPr>
        <w:t xml:space="preserve"> </w:t>
      </w:r>
      <w:r>
        <w:rPr>
          <w:rFonts w:ascii="Calibri" w:hAnsi="Calibri"/>
          <w:sz w:val="19"/>
        </w:rPr>
        <w:t>del</w:t>
      </w:r>
      <w:r>
        <w:rPr>
          <w:rFonts w:ascii="Calibri" w:hAnsi="Calibri"/>
          <w:spacing w:val="-16"/>
          <w:sz w:val="19"/>
        </w:rPr>
        <w:t xml:space="preserve"> </w:t>
      </w:r>
      <w:r>
        <w:rPr>
          <w:rFonts w:ascii="Calibri" w:hAnsi="Calibri"/>
          <w:sz w:val="19"/>
        </w:rPr>
        <w:t>Proceso</w:t>
      </w:r>
      <w:r>
        <w:rPr>
          <w:rFonts w:ascii="Calibri" w:hAnsi="Calibri"/>
          <w:spacing w:val="-15"/>
          <w:sz w:val="19"/>
        </w:rPr>
        <w:t xml:space="preserve"> </w:t>
      </w:r>
      <w:r>
        <w:rPr>
          <w:rFonts w:ascii="Calibri" w:hAnsi="Calibri"/>
          <w:sz w:val="19"/>
        </w:rPr>
        <w:t>de</w:t>
      </w:r>
      <w:r>
        <w:rPr>
          <w:rFonts w:ascii="Calibri" w:hAnsi="Calibri"/>
          <w:spacing w:val="-16"/>
          <w:sz w:val="19"/>
        </w:rPr>
        <w:t xml:space="preserve"> </w:t>
      </w:r>
      <w:r>
        <w:rPr>
          <w:rFonts w:ascii="Calibri" w:hAnsi="Calibri"/>
          <w:sz w:val="19"/>
        </w:rPr>
        <w:t>Contratación</w:t>
      </w:r>
      <w:r>
        <w:rPr>
          <w:rFonts w:ascii="Calibri" w:hAnsi="Calibri"/>
          <w:spacing w:val="-15"/>
          <w:sz w:val="19"/>
        </w:rPr>
        <w:t xml:space="preserve"> </w:t>
      </w:r>
      <w:r>
        <w:rPr>
          <w:rFonts w:ascii="Calibri" w:hAnsi="Calibri"/>
          <w:sz w:val="19"/>
        </w:rPr>
        <w:t>y</w:t>
      </w:r>
      <w:r>
        <w:rPr>
          <w:rFonts w:ascii="Calibri" w:hAnsi="Calibri"/>
          <w:spacing w:val="-15"/>
          <w:sz w:val="19"/>
        </w:rPr>
        <w:t xml:space="preserve"> </w:t>
      </w:r>
      <w:r>
        <w:rPr>
          <w:rFonts w:ascii="Calibri" w:hAnsi="Calibri"/>
          <w:sz w:val="19"/>
        </w:rPr>
        <w:t>contener</w:t>
      </w:r>
      <w:r>
        <w:rPr>
          <w:rFonts w:ascii="Calibri" w:hAnsi="Calibri"/>
          <w:spacing w:val="-15"/>
          <w:sz w:val="19"/>
        </w:rPr>
        <w:t xml:space="preserve"> </w:t>
      </w:r>
      <w:r>
        <w:rPr>
          <w:rFonts w:ascii="Calibri" w:hAnsi="Calibri"/>
          <w:sz w:val="19"/>
        </w:rPr>
        <w:t>los</w:t>
      </w:r>
      <w:r>
        <w:rPr>
          <w:rFonts w:ascii="Calibri" w:hAnsi="Calibri"/>
          <w:spacing w:val="-16"/>
          <w:sz w:val="19"/>
        </w:rPr>
        <w:t xml:space="preserve"> </w:t>
      </w:r>
      <w:r>
        <w:rPr>
          <w:rFonts w:ascii="Calibri" w:hAnsi="Calibri"/>
          <w:sz w:val="19"/>
        </w:rPr>
        <w:t>siguientes</w:t>
      </w:r>
      <w:r>
        <w:rPr>
          <w:rFonts w:ascii="Calibri" w:hAnsi="Calibri"/>
          <w:spacing w:val="-16"/>
          <w:sz w:val="19"/>
        </w:rPr>
        <w:t xml:space="preserve"> </w:t>
      </w:r>
      <w:r>
        <w:rPr>
          <w:rFonts w:ascii="Calibri" w:hAnsi="Calibri"/>
          <w:sz w:val="19"/>
        </w:rPr>
        <w:t>elementos, además de los indicados para cada modalidad de selección:</w:t>
      </w:r>
      <w:r>
        <w:rPr>
          <w:rFonts w:ascii="Calibri" w:hAnsi="Calibri"/>
          <w:spacing w:val="-12"/>
          <w:sz w:val="19"/>
        </w:rPr>
        <w:t xml:space="preserve"> </w:t>
      </w:r>
      <w:r>
        <w:rPr>
          <w:rFonts w:ascii="Calibri" w:hAnsi="Calibri"/>
          <w:sz w:val="19"/>
        </w:rPr>
        <w:t>[…]».</w:t>
      </w:r>
    </w:p>
    <w:p w14:paraId="1FA2F8DF" w14:textId="77777777" w:rsidR="00653510" w:rsidRDefault="00653510">
      <w:pPr>
        <w:spacing w:line="276" w:lineRule="auto"/>
        <w:rPr>
          <w:rFonts w:ascii="Calibri" w:hAnsi="Calibri"/>
          <w:sz w:val="19"/>
        </w:rPr>
        <w:sectPr w:rsidR="00653510">
          <w:pgSz w:w="11900" w:h="16820"/>
          <w:pgMar w:top="1600" w:right="1160" w:bottom="2180" w:left="1600" w:header="0" w:footer="1962" w:gutter="0"/>
          <w:cols w:space="720"/>
        </w:sectPr>
      </w:pPr>
    </w:p>
    <w:p w14:paraId="4A3250B6" w14:textId="77777777" w:rsidR="00653510" w:rsidRDefault="00390730">
      <w:pPr>
        <w:pStyle w:val="Textoindependiente"/>
        <w:spacing w:before="70" w:line="276" w:lineRule="auto"/>
        <w:ind w:left="100" w:right="534" w:firstLine="708"/>
        <w:jc w:val="both"/>
      </w:pPr>
      <w:r>
        <w:lastRenderedPageBreak/>
        <w:t>Ahora bien, la Ley 1150 de 2007 establece, que con el propósito de suministrar al Público en general la información que le permita formular observaciones a su contenido, las Entidades Estatales publicarán los proyectos de pliegos de condiciones o sus equivalentes, en las condiciones que señale el reglamento.</w:t>
      </w:r>
    </w:p>
    <w:p w14:paraId="074F3DD2" w14:textId="77777777" w:rsidR="00653510" w:rsidRDefault="00390730">
      <w:pPr>
        <w:pStyle w:val="Textoindependiente"/>
        <w:spacing w:before="120" w:line="276" w:lineRule="auto"/>
        <w:ind w:left="100" w:right="534" w:firstLine="708"/>
        <w:jc w:val="both"/>
      </w:pPr>
      <w:r>
        <w:t>La</w:t>
      </w:r>
      <w:r>
        <w:rPr>
          <w:spacing w:val="-17"/>
        </w:rPr>
        <w:t xml:space="preserve"> </w:t>
      </w:r>
      <w:r>
        <w:t>parte</w:t>
      </w:r>
      <w:r>
        <w:rPr>
          <w:spacing w:val="-17"/>
        </w:rPr>
        <w:t xml:space="preserve"> </w:t>
      </w:r>
      <w:r>
        <w:t>2</w:t>
      </w:r>
      <w:r>
        <w:rPr>
          <w:spacing w:val="-16"/>
        </w:rPr>
        <w:t xml:space="preserve"> </w:t>
      </w:r>
      <w:r>
        <w:t>del</w:t>
      </w:r>
      <w:r>
        <w:rPr>
          <w:spacing w:val="-17"/>
        </w:rPr>
        <w:t xml:space="preserve"> </w:t>
      </w:r>
      <w:r>
        <w:t>título</w:t>
      </w:r>
      <w:r>
        <w:rPr>
          <w:spacing w:val="-15"/>
        </w:rPr>
        <w:t xml:space="preserve"> </w:t>
      </w:r>
      <w:r>
        <w:t>1</w:t>
      </w:r>
      <w:r>
        <w:rPr>
          <w:spacing w:val="-17"/>
        </w:rPr>
        <w:t xml:space="preserve"> </w:t>
      </w:r>
      <w:r>
        <w:t>del</w:t>
      </w:r>
      <w:r>
        <w:rPr>
          <w:spacing w:val="-17"/>
        </w:rPr>
        <w:t xml:space="preserve"> </w:t>
      </w:r>
      <w:r>
        <w:t>capítulo</w:t>
      </w:r>
      <w:r>
        <w:rPr>
          <w:spacing w:val="-16"/>
        </w:rPr>
        <w:t xml:space="preserve"> </w:t>
      </w:r>
      <w:r>
        <w:t>1</w:t>
      </w:r>
      <w:r>
        <w:rPr>
          <w:spacing w:val="-17"/>
        </w:rPr>
        <w:t xml:space="preserve"> </w:t>
      </w:r>
      <w:r>
        <w:t>de</w:t>
      </w:r>
      <w:r>
        <w:rPr>
          <w:spacing w:val="-16"/>
        </w:rPr>
        <w:t xml:space="preserve"> </w:t>
      </w:r>
      <w:r>
        <w:t>la</w:t>
      </w:r>
      <w:r>
        <w:rPr>
          <w:spacing w:val="-17"/>
        </w:rPr>
        <w:t xml:space="preserve"> </w:t>
      </w:r>
      <w:r>
        <w:t>sección</w:t>
      </w:r>
      <w:r>
        <w:rPr>
          <w:spacing w:val="-16"/>
        </w:rPr>
        <w:t xml:space="preserve"> </w:t>
      </w:r>
      <w:r>
        <w:t>2</w:t>
      </w:r>
      <w:r>
        <w:rPr>
          <w:spacing w:val="-17"/>
        </w:rPr>
        <w:t xml:space="preserve"> </w:t>
      </w:r>
      <w:r>
        <w:t>subsección</w:t>
      </w:r>
      <w:r>
        <w:rPr>
          <w:spacing w:val="-17"/>
        </w:rPr>
        <w:t xml:space="preserve"> </w:t>
      </w:r>
      <w:r>
        <w:t>1</w:t>
      </w:r>
      <w:r>
        <w:rPr>
          <w:spacing w:val="-16"/>
        </w:rPr>
        <w:t xml:space="preserve"> </w:t>
      </w:r>
      <w:r>
        <w:t>del</w:t>
      </w:r>
      <w:r>
        <w:rPr>
          <w:spacing w:val="-17"/>
        </w:rPr>
        <w:t xml:space="preserve"> </w:t>
      </w:r>
      <w:r>
        <w:t>Decreto</w:t>
      </w:r>
      <w:r>
        <w:rPr>
          <w:spacing w:val="-16"/>
        </w:rPr>
        <w:t xml:space="preserve"> </w:t>
      </w:r>
      <w:r>
        <w:t>1082 de 2015 establece la planeación dentro de los procesos contractuales, en el numeral 4 del artículo 2.2.1.1.2.1.1. se indica claramente que los estudios y documentos previos son el soporte para elaborar el proyecto de pliegos, los pliegos de condiciones, y el contrato.</w:t>
      </w:r>
      <w:r>
        <w:rPr>
          <w:spacing w:val="-8"/>
        </w:rPr>
        <w:t xml:space="preserve"> </w:t>
      </w:r>
      <w:r>
        <w:t>Deben</w:t>
      </w:r>
      <w:r>
        <w:rPr>
          <w:spacing w:val="-8"/>
        </w:rPr>
        <w:t xml:space="preserve"> </w:t>
      </w:r>
      <w:r>
        <w:t>permanecer</w:t>
      </w:r>
      <w:r>
        <w:rPr>
          <w:spacing w:val="-7"/>
        </w:rPr>
        <w:t xml:space="preserve"> </w:t>
      </w:r>
      <w:r>
        <w:t>a</w:t>
      </w:r>
      <w:r>
        <w:rPr>
          <w:spacing w:val="-8"/>
        </w:rPr>
        <w:t xml:space="preserve"> </w:t>
      </w:r>
      <w:r>
        <w:t>disposición</w:t>
      </w:r>
      <w:r>
        <w:rPr>
          <w:spacing w:val="-8"/>
        </w:rPr>
        <w:t xml:space="preserve"> </w:t>
      </w:r>
      <w:r>
        <w:t>del</w:t>
      </w:r>
      <w:r>
        <w:rPr>
          <w:spacing w:val="-7"/>
        </w:rPr>
        <w:t xml:space="preserve"> </w:t>
      </w:r>
      <w:r>
        <w:t>público</w:t>
      </w:r>
      <w:r>
        <w:rPr>
          <w:spacing w:val="-8"/>
        </w:rPr>
        <w:t xml:space="preserve"> </w:t>
      </w:r>
      <w:r>
        <w:t>durante</w:t>
      </w:r>
      <w:r>
        <w:rPr>
          <w:spacing w:val="-8"/>
        </w:rPr>
        <w:t xml:space="preserve"> </w:t>
      </w:r>
      <w:r>
        <w:t>el</w:t>
      </w:r>
      <w:r>
        <w:rPr>
          <w:spacing w:val="-7"/>
        </w:rPr>
        <w:t xml:space="preserve"> </w:t>
      </w:r>
      <w:r>
        <w:t>desarrollo</w:t>
      </w:r>
      <w:r>
        <w:rPr>
          <w:spacing w:val="-8"/>
        </w:rPr>
        <w:t xml:space="preserve"> </w:t>
      </w:r>
      <w:r>
        <w:t>del</w:t>
      </w:r>
      <w:r>
        <w:rPr>
          <w:spacing w:val="-8"/>
        </w:rPr>
        <w:t xml:space="preserve"> </w:t>
      </w:r>
      <w:r>
        <w:t>Proceso de</w:t>
      </w:r>
      <w:r>
        <w:rPr>
          <w:spacing w:val="-12"/>
        </w:rPr>
        <w:t xml:space="preserve"> </w:t>
      </w:r>
      <w:r>
        <w:t>Contratación</w:t>
      </w:r>
      <w:r>
        <w:rPr>
          <w:spacing w:val="-12"/>
        </w:rPr>
        <w:t xml:space="preserve"> </w:t>
      </w:r>
      <w:r>
        <w:t>y</w:t>
      </w:r>
      <w:r>
        <w:rPr>
          <w:spacing w:val="-11"/>
        </w:rPr>
        <w:t xml:space="preserve"> </w:t>
      </w:r>
      <w:r>
        <w:t>contener,</w:t>
      </w:r>
      <w:r>
        <w:rPr>
          <w:spacing w:val="-12"/>
        </w:rPr>
        <w:t xml:space="preserve"> </w:t>
      </w:r>
      <w:r>
        <w:t>además</w:t>
      </w:r>
      <w:r>
        <w:rPr>
          <w:spacing w:val="-11"/>
        </w:rPr>
        <w:t xml:space="preserve"> </w:t>
      </w:r>
      <w:r>
        <w:t>de</w:t>
      </w:r>
      <w:r>
        <w:rPr>
          <w:spacing w:val="-12"/>
        </w:rPr>
        <w:t xml:space="preserve"> </w:t>
      </w:r>
      <w:r>
        <w:t>los</w:t>
      </w:r>
      <w:r>
        <w:rPr>
          <w:spacing w:val="-12"/>
        </w:rPr>
        <w:t xml:space="preserve"> </w:t>
      </w:r>
      <w:r>
        <w:t>requisitos</w:t>
      </w:r>
      <w:r>
        <w:rPr>
          <w:spacing w:val="-11"/>
        </w:rPr>
        <w:t xml:space="preserve"> </w:t>
      </w:r>
      <w:r>
        <w:t>indicados</w:t>
      </w:r>
      <w:r>
        <w:rPr>
          <w:spacing w:val="-12"/>
        </w:rPr>
        <w:t xml:space="preserve"> </w:t>
      </w:r>
      <w:r>
        <w:t>para</w:t>
      </w:r>
      <w:r>
        <w:rPr>
          <w:spacing w:val="-11"/>
        </w:rPr>
        <w:t xml:space="preserve"> </w:t>
      </w:r>
      <w:r>
        <w:t>cada</w:t>
      </w:r>
      <w:r>
        <w:rPr>
          <w:spacing w:val="-12"/>
        </w:rPr>
        <w:t xml:space="preserve"> </w:t>
      </w:r>
      <w:r>
        <w:t>modalidad</w:t>
      </w:r>
      <w:r>
        <w:rPr>
          <w:spacing w:val="-12"/>
        </w:rPr>
        <w:t xml:space="preserve"> </w:t>
      </w:r>
      <w:r>
        <w:t xml:space="preserve">de selección: «[…] El valor estimado del contrato y la justificación </w:t>
      </w:r>
      <w:proofErr w:type="gramStart"/>
      <w:r>
        <w:t>del mismo</w:t>
      </w:r>
      <w:proofErr w:type="gramEnd"/>
      <w:r>
        <w:t>. Cuando el valor</w:t>
      </w:r>
      <w:r>
        <w:rPr>
          <w:spacing w:val="-6"/>
        </w:rPr>
        <w:t xml:space="preserve"> </w:t>
      </w:r>
      <w:r>
        <w:t>del</w:t>
      </w:r>
      <w:r>
        <w:rPr>
          <w:spacing w:val="-5"/>
        </w:rPr>
        <w:t xml:space="preserve"> </w:t>
      </w:r>
      <w:r>
        <w:t>contrato</w:t>
      </w:r>
      <w:r>
        <w:rPr>
          <w:spacing w:val="-5"/>
        </w:rPr>
        <w:t xml:space="preserve"> </w:t>
      </w:r>
      <w:r>
        <w:t>esté</w:t>
      </w:r>
      <w:r>
        <w:rPr>
          <w:spacing w:val="-5"/>
        </w:rPr>
        <w:t xml:space="preserve"> </w:t>
      </w:r>
      <w:r>
        <w:t>determinado</w:t>
      </w:r>
      <w:r>
        <w:rPr>
          <w:spacing w:val="-6"/>
        </w:rPr>
        <w:t xml:space="preserve"> </w:t>
      </w:r>
      <w:r>
        <w:t>por</w:t>
      </w:r>
      <w:r>
        <w:rPr>
          <w:spacing w:val="-5"/>
        </w:rPr>
        <w:t xml:space="preserve"> </w:t>
      </w:r>
      <w:r>
        <w:t>precios</w:t>
      </w:r>
      <w:r>
        <w:rPr>
          <w:spacing w:val="-5"/>
        </w:rPr>
        <w:t xml:space="preserve"> </w:t>
      </w:r>
      <w:r>
        <w:t>unitarios,</w:t>
      </w:r>
      <w:r>
        <w:rPr>
          <w:spacing w:val="-5"/>
        </w:rPr>
        <w:t xml:space="preserve"> </w:t>
      </w:r>
      <w:r>
        <w:t>la</w:t>
      </w:r>
      <w:r>
        <w:rPr>
          <w:spacing w:val="-5"/>
        </w:rPr>
        <w:t xml:space="preserve"> </w:t>
      </w:r>
      <w:r>
        <w:t>Entidad</w:t>
      </w:r>
      <w:r>
        <w:rPr>
          <w:spacing w:val="-5"/>
        </w:rPr>
        <w:t xml:space="preserve"> </w:t>
      </w:r>
      <w:r>
        <w:t>Estatal</w:t>
      </w:r>
      <w:r>
        <w:rPr>
          <w:spacing w:val="-4"/>
        </w:rPr>
        <w:t xml:space="preserve"> </w:t>
      </w:r>
      <w:r>
        <w:t>debe</w:t>
      </w:r>
      <w:r>
        <w:rPr>
          <w:spacing w:val="-5"/>
        </w:rPr>
        <w:t xml:space="preserve"> </w:t>
      </w:r>
      <w:r>
        <w:t>incluir la forma como los calculó y soportar sus cálculos de presupuesto en la estimación de aquellos. La Entidad Estatal no debe publicar las variables utilizadas para calcular el valor estimado del contrato cuando la modalidad de selección del contratista sea en concurso</w:t>
      </w:r>
      <w:r>
        <w:rPr>
          <w:spacing w:val="-8"/>
        </w:rPr>
        <w:t xml:space="preserve"> </w:t>
      </w:r>
      <w:r>
        <w:t>de</w:t>
      </w:r>
      <w:r>
        <w:rPr>
          <w:spacing w:val="-6"/>
        </w:rPr>
        <w:t xml:space="preserve"> </w:t>
      </w:r>
      <w:r>
        <w:t>méritos.</w:t>
      </w:r>
      <w:r>
        <w:rPr>
          <w:spacing w:val="-7"/>
        </w:rPr>
        <w:t xml:space="preserve"> </w:t>
      </w:r>
      <w:r>
        <w:t>Si</w:t>
      </w:r>
      <w:r>
        <w:rPr>
          <w:spacing w:val="-6"/>
        </w:rPr>
        <w:t xml:space="preserve"> </w:t>
      </w:r>
      <w:r>
        <w:t>el</w:t>
      </w:r>
      <w:r>
        <w:rPr>
          <w:spacing w:val="-6"/>
        </w:rPr>
        <w:t xml:space="preserve"> </w:t>
      </w:r>
      <w:r>
        <w:t>contrato</w:t>
      </w:r>
      <w:r>
        <w:rPr>
          <w:spacing w:val="-7"/>
        </w:rPr>
        <w:t xml:space="preserve"> </w:t>
      </w:r>
      <w:r>
        <w:t>es</w:t>
      </w:r>
      <w:r>
        <w:rPr>
          <w:spacing w:val="-6"/>
        </w:rPr>
        <w:t xml:space="preserve"> </w:t>
      </w:r>
      <w:r>
        <w:t>de</w:t>
      </w:r>
      <w:r>
        <w:rPr>
          <w:spacing w:val="-6"/>
        </w:rPr>
        <w:t xml:space="preserve"> </w:t>
      </w:r>
      <w:r>
        <w:t>concesión,</w:t>
      </w:r>
      <w:r>
        <w:rPr>
          <w:spacing w:val="-7"/>
        </w:rPr>
        <w:t xml:space="preserve"> </w:t>
      </w:r>
      <w:r>
        <w:t>la</w:t>
      </w:r>
      <w:r>
        <w:rPr>
          <w:spacing w:val="-6"/>
        </w:rPr>
        <w:t xml:space="preserve"> </w:t>
      </w:r>
      <w:r>
        <w:t>Entidad</w:t>
      </w:r>
      <w:r>
        <w:rPr>
          <w:spacing w:val="-5"/>
        </w:rPr>
        <w:t xml:space="preserve"> </w:t>
      </w:r>
      <w:r>
        <w:t>Estatal</w:t>
      </w:r>
      <w:r>
        <w:rPr>
          <w:spacing w:val="-5"/>
        </w:rPr>
        <w:t xml:space="preserve"> </w:t>
      </w:r>
      <w:r>
        <w:t>no</w:t>
      </w:r>
      <w:r>
        <w:rPr>
          <w:spacing w:val="-6"/>
        </w:rPr>
        <w:t xml:space="preserve"> </w:t>
      </w:r>
      <w:r>
        <w:t>debe</w:t>
      </w:r>
      <w:r>
        <w:rPr>
          <w:spacing w:val="-6"/>
        </w:rPr>
        <w:t xml:space="preserve"> </w:t>
      </w:r>
      <w:r>
        <w:t>publicar el modelo financiero utilizado en su</w:t>
      </w:r>
      <w:r>
        <w:rPr>
          <w:spacing w:val="-9"/>
        </w:rPr>
        <w:t xml:space="preserve"> </w:t>
      </w:r>
      <w:r>
        <w:t>estructuración».</w:t>
      </w:r>
    </w:p>
    <w:p w14:paraId="060363C1" w14:textId="77777777" w:rsidR="00653510" w:rsidRDefault="00390730">
      <w:pPr>
        <w:pStyle w:val="Textoindependiente"/>
        <w:spacing w:before="120" w:line="276" w:lineRule="auto"/>
        <w:ind w:left="100" w:right="533" w:firstLine="708"/>
        <w:jc w:val="both"/>
      </w:pPr>
      <w:r>
        <w:t>En conclusión, es obligación de las Entidades Estatales publicar el proyecto de pliego de condiciones cumpliendo con los elementos mínimos que consagra la ley para este Documento, con el fin de suministrar al Público la información que le permita formular observaciones a su contenido. Dado que los estudios previos contienen el cálculo de los precios unitarios en los términos mencionados en el párrafo precedente, la</w:t>
      </w:r>
      <w:r>
        <w:rPr>
          <w:spacing w:val="-15"/>
        </w:rPr>
        <w:t xml:space="preserve"> </w:t>
      </w:r>
      <w:r>
        <w:t>publicidad</w:t>
      </w:r>
      <w:r>
        <w:rPr>
          <w:spacing w:val="-15"/>
        </w:rPr>
        <w:t xml:space="preserve"> </w:t>
      </w:r>
      <w:r>
        <w:t>de</w:t>
      </w:r>
      <w:r>
        <w:rPr>
          <w:spacing w:val="-15"/>
        </w:rPr>
        <w:t xml:space="preserve"> </w:t>
      </w:r>
      <w:r>
        <w:t>este</w:t>
      </w:r>
      <w:r>
        <w:rPr>
          <w:spacing w:val="-15"/>
        </w:rPr>
        <w:t xml:space="preserve"> </w:t>
      </w:r>
      <w:r>
        <w:t>documento</w:t>
      </w:r>
      <w:r>
        <w:rPr>
          <w:spacing w:val="-15"/>
        </w:rPr>
        <w:t xml:space="preserve"> </w:t>
      </w:r>
      <w:r>
        <w:t>del</w:t>
      </w:r>
      <w:r>
        <w:rPr>
          <w:spacing w:val="-15"/>
        </w:rPr>
        <w:t xml:space="preserve"> </w:t>
      </w:r>
      <w:r>
        <w:t>proceso</w:t>
      </w:r>
      <w:r>
        <w:rPr>
          <w:spacing w:val="-15"/>
        </w:rPr>
        <w:t xml:space="preserve"> </w:t>
      </w:r>
      <w:r>
        <w:t>se</w:t>
      </w:r>
      <w:r>
        <w:rPr>
          <w:spacing w:val="-15"/>
        </w:rPr>
        <w:t xml:space="preserve"> </w:t>
      </w:r>
      <w:r>
        <w:t>realiza</w:t>
      </w:r>
      <w:r>
        <w:rPr>
          <w:spacing w:val="-14"/>
        </w:rPr>
        <w:t xml:space="preserve"> </w:t>
      </w:r>
      <w:r>
        <w:t>conforme</w:t>
      </w:r>
      <w:r>
        <w:rPr>
          <w:spacing w:val="-15"/>
        </w:rPr>
        <w:t xml:space="preserve"> </w:t>
      </w:r>
      <w:r>
        <w:t>al</w:t>
      </w:r>
      <w:r>
        <w:rPr>
          <w:spacing w:val="-15"/>
        </w:rPr>
        <w:t xml:space="preserve"> </w:t>
      </w:r>
      <w:r>
        <w:t>artículo</w:t>
      </w:r>
      <w:r>
        <w:rPr>
          <w:spacing w:val="-15"/>
        </w:rPr>
        <w:t xml:space="preserve"> </w:t>
      </w:r>
      <w:r>
        <w:t>2.2.1.1.1.7.1 del Decreto 1082 de 2015</w:t>
      </w:r>
      <w:r>
        <w:rPr>
          <w:vertAlign w:val="superscript"/>
        </w:rPr>
        <w:t>9</w:t>
      </w:r>
      <w:r>
        <w:t>. Por otra parte, dado que esta norma dispone que «[…] La oferta</w:t>
      </w:r>
      <w:r>
        <w:rPr>
          <w:spacing w:val="-7"/>
        </w:rPr>
        <w:t xml:space="preserve"> </w:t>
      </w:r>
      <w:r>
        <w:t>que</w:t>
      </w:r>
      <w:r>
        <w:rPr>
          <w:spacing w:val="-6"/>
        </w:rPr>
        <w:t xml:space="preserve"> </w:t>
      </w:r>
      <w:r>
        <w:t>debe</w:t>
      </w:r>
      <w:r>
        <w:rPr>
          <w:spacing w:val="-6"/>
        </w:rPr>
        <w:t xml:space="preserve"> </w:t>
      </w:r>
      <w:r>
        <w:t>ser</w:t>
      </w:r>
      <w:r>
        <w:rPr>
          <w:spacing w:val="-6"/>
        </w:rPr>
        <w:t xml:space="preserve"> </w:t>
      </w:r>
      <w:r>
        <w:t>publicada</w:t>
      </w:r>
      <w:r>
        <w:rPr>
          <w:spacing w:val="-6"/>
        </w:rPr>
        <w:t xml:space="preserve"> </w:t>
      </w:r>
      <w:r>
        <w:t>es</w:t>
      </w:r>
      <w:r>
        <w:rPr>
          <w:spacing w:val="-6"/>
        </w:rPr>
        <w:t xml:space="preserve"> </w:t>
      </w:r>
      <w:r>
        <w:t>la</w:t>
      </w:r>
      <w:r>
        <w:rPr>
          <w:spacing w:val="-6"/>
        </w:rPr>
        <w:t xml:space="preserve"> </w:t>
      </w:r>
      <w:r>
        <w:t>del</w:t>
      </w:r>
      <w:r>
        <w:rPr>
          <w:spacing w:val="-6"/>
        </w:rPr>
        <w:t xml:space="preserve"> </w:t>
      </w:r>
      <w:r>
        <w:t>adjudicatario</w:t>
      </w:r>
      <w:r>
        <w:rPr>
          <w:spacing w:val="-6"/>
        </w:rPr>
        <w:t xml:space="preserve"> </w:t>
      </w:r>
      <w:r>
        <w:t>del</w:t>
      </w:r>
      <w:r>
        <w:rPr>
          <w:spacing w:val="-6"/>
        </w:rPr>
        <w:t xml:space="preserve"> </w:t>
      </w:r>
      <w:r>
        <w:t>Proceso</w:t>
      </w:r>
      <w:r>
        <w:rPr>
          <w:spacing w:val="-5"/>
        </w:rPr>
        <w:t xml:space="preserve"> </w:t>
      </w:r>
      <w:r>
        <w:t>de</w:t>
      </w:r>
      <w:r>
        <w:rPr>
          <w:spacing w:val="-6"/>
        </w:rPr>
        <w:t xml:space="preserve"> </w:t>
      </w:r>
      <w:r>
        <w:t>Contratación</w:t>
      </w:r>
      <w:r>
        <w:rPr>
          <w:spacing w:val="-6"/>
        </w:rPr>
        <w:t xml:space="preserve"> </w:t>
      </w:r>
      <w:r>
        <w:t>[…]», no es posible la publicación de la propuesta en la etapa de</w:t>
      </w:r>
      <w:r>
        <w:rPr>
          <w:spacing w:val="-26"/>
        </w:rPr>
        <w:t xml:space="preserve"> </w:t>
      </w:r>
      <w:r>
        <w:t>prepliegos.</w:t>
      </w:r>
    </w:p>
    <w:p w14:paraId="4B169B02" w14:textId="77777777" w:rsidR="00653510" w:rsidRDefault="00653510">
      <w:pPr>
        <w:pStyle w:val="Textoindependiente"/>
        <w:spacing w:before="3"/>
        <w:rPr>
          <w:sz w:val="25"/>
        </w:rPr>
      </w:pPr>
    </w:p>
    <w:p w14:paraId="3D4588E6" w14:textId="77777777" w:rsidR="00653510" w:rsidRDefault="00390730">
      <w:pPr>
        <w:pStyle w:val="Ttulo1"/>
      </w:pPr>
      <w:r>
        <w:t>3. Respuestas</w:t>
      </w:r>
    </w:p>
    <w:p w14:paraId="2FA1ABFC" w14:textId="77777777" w:rsidR="00653510" w:rsidRDefault="00653510">
      <w:pPr>
        <w:pStyle w:val="Textoindependiente"/>
        <w:spacing w:before="7"/>
        <w:rPr>
          <w:b/>
          <w:sz w:val="28"/>
        </w:rPr>
      </w:pPr>
    </w:p>
    <w:p w14:paraId="684FA083" w14:textId="77777777" w:rsidR="00653510" w:rsidRDefault="00390730">
      <w:pPr>
        <w:ind w:left="806" w:right="1239"/>
        <w:jc w:val="both"/>
        <w:rPr>
          <w:sz w:val="21"/>
        </w:rPr>
      </w:pPr>
      <w:r>
        <w:rPr>
          <w:sz w:val="21"/>
        </w:rPr>
        <w:t>«¿En la fase de Borrador de un proceso licitatorio público de proyectos de infraestructura vial y de transporte, la entidad está obligada a publicar la oferta económica y los análisis de precios unitarios?, En tal caso, ¿Dónde está contemplada esta obligación?».</w:t>
      </w:r>
    </w:p>
    <w:p w14:paraId="51CDA3BF" w14:textId="77777777" w:rsidR="00653510" w:rsidRDefault="00653510">
      <w:pPr>
        <w:pStyle w:val="Textoindependiente"/>
        <w:spacing w:before="3"/>
        <w:rPr>
          <w:sz w:val="25"/>
        </w:rPr>
      </w:pPr>
    </w:p>
    <w:p w14:paraId="590FAE47" w14:textId="77777777" w:rsidR="00653510" w:rsidRDefault="00390730">
      <w:pPr>
        <w:pStyle w:val="Textoindependiente"/>
        <w:spacing w:line="276" w:lineRule="auto"/>
        <w:ind w:left="100" w:right="459"/>
      </w:pPr>
      <w:r>
        <w:t>De conformidad con las consideraciones expuestas, la parte introductoria del pliego de condiciones de la versión 3 de los documentos tipo para los contratos de infraestructura</w:t>
      </w:r>
    </w:p>
    <w:p w14:paraId="499DB61B" w14:textId="77777777" w:rsidR="00653510" w:rsidRDefault="00A00A85">
      <w:pPr>
        <w:pStyle w:val="Textoindependiente"/>
        <w:spacing w:before="5"/>
        <w:rPr>
          <w:sz w:val="24"/>
        </w:rPr>
      </w:pPr>
      <w:r>
        <w:rPr>
          <w:noProof/>
        </w:rPr>
        <mc:AlternateContent>
          <mc:Choice Requires="wps">
            <w:drawing>
              <wp:anchor distT="0" distB="0" distL="0" distR="0" simplePos="0" relativeHeight="487589888" behindDoc="1" locked="0" layoutInCell="1" allowOverlap="1" wp14:anchorId="5B5C8215" wp14:editId="06F74875">
                <wp:simplePos x="0" y="0"/>
                <wp:positionH relativeFrom="page">
                  <wp:posOffset>1080135</wp:posOffset>
                </wp:positionH>
                <wp:positionV relativeFrom="paragraph">
                  <wp:posOffset>206375</wp:posOffset>
                </wp:positionV>
                <wp:extent cx="1828800" cy="1270"/>
                <wp:effectExtent l="0" t="0" r="0" b="0"/>
                <wp:wrapTopAndBottom/>
                <wp:docPr id="8"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752195" id="Freeform 6" o:spid="_x0000_s1026" style="position:absolute;margin-left:85.05pt;margin-top:16.25pt;width:2in;height:.1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" path="m,l2880,e" filled="f" strokeweight=".5pt">
                <v:path arrowok="t" o:connecttype="custom" o:connectlocs="0,0;1828800,0" o:connectangles="0,0"/>
                <w10:wrap type="topAndBottom" anchorx="page"/>
              </v:shape>
            </w:pict>
          </mc:Fallback>
        </mc:AlternateContent>
      </w:r>
    </w:p>
    <w:p w14:paraId="425FFB41" w14:textId="77777777" w:rsidR="00653510" w:rsidRDefault="00390730">
      <w:pPr>
        <w:spacing w:before="86"/>
        <w:ind w:left="100" w:right="533"/>
        <w:jc w:val="both"/>
        <w:rPr>
          <w:rFonts w:ascii="Calibri" w:hAnsi="Calibri"/>
          <w:sz w:val="18"/>
        </w:rPr>
      </w:pPr>
      <w:r>
        <w:rPr>
          <w:rFonts w:ascii="Calibri" w:hAnsi="Calibri"/>
          <w:sz w:val="18"/>
          <w:vertAlign w:val="superscript"/>
        </w:rPr>
        <w:t>9</w:t>
      </w:r>
      <w:r>
        <w:rPr>
          <w:rFonts w:ascii="Calibri" w:hAnsi="Calibri"/>
          <w:spacing w:val="-10"/>
          <w:sz w:val="18"/>
        </w:rPr>
        <w:t xml:space="preserve"> </w:t>
      </w:r>
      <w:proofErr w:type="gramStart"/>
      <w:r>
        <w:rPr>
          <w:rFonts w:ascii="Calibri" w:hAnsi="Calibri"/>
          <w:sz w:val="18"/>
        </w:rPr>
        <w:t>Artículo</w:t>
      </w:r>
      <w:proofErr w:type="gramEnd"/>
      <w:r>
        <w:rPr>
          <w:rFonts w:ascii="Calibri" w:hAnsi="Calibri"/>
          <w:spacing w:val="-9"/>
          <w:sz w:val="18"/>
        </w:rPr>
        <w:t xml:space="preserve"> </w:t>
      </w:r>
      <w:r>
        <w:rPr>
          <w:rFonts w:ascii="Calibri" w:hAnsi="Calibri"/>
          <w:sz w:val="18"/>
        </w:rPr>
        <w:t>2.2.1.1.1.7.1.</w:t>
      </w:r>
      <w:r>
        <w:rPr>
          <w:rFonts w:ascii="Calibri" w:hAnsi="Calibri"/>
          <w:spacing w:val="-7"/>
          <w:sz w:val="18"/>
        </w:rPr>
        <w:t xml:space="preserve"> </w:t>
      </w:r>
      <w:r>
        <w:rPr>
          <w:rFonts w:ascii="Calibri" w:hAnsi="Calibri"/>
          <w:sz w:val="18"/>
        </w:rPr>
        <w:t>Publicidad</w:t>
      </w:r>
      <w:r>
        <w:rPr>
          <w:rFonts w:ascii="Calibri" w:hAnsi="Calibri"/>
          <w:spacing w:val="-8"/>
          <w:sz w:val="18"/>
        </w:rPr>
        <w:t xml:space="preserve"> </w:t>
      </w:r>
      <w:r>
        <w:rPr>
          <w:rFonts w:ascii="Calibri" w:hAnsi="Calibri"/>
          <w:sz w:val="18"/>
        </w:rPr>
        <w:t>en</w:t>
      </w:r>
      <w:r>
        <w:rPr>
          <w:rFonts w:ascii="Calibri" w:hAnsi="Calibri"/>
          <w:spacing w:val="-9"/>
          <w:sz w:val="18"/>
        </w:rPr>
        <w:t xml:space="preserve"> </w:t>
      </w:r>
      <w:r>
        <w:rPr>
          <w:rFonts w:ascii="Calibri" w:hAnsi="Calibri"/>
          <w:sz w:val="18"/>
        </w:rPr>
        <w:t>el</w:t>
      </w:r>
      <w:r>
        <w:rPr>
          <w:rFonts w:ascii="Calibri" w:hAnsi="Calibri"/>
          <w:spacing w:val="-10"/>
          <w:sz w:val="18"/>
        </w:rPr>
        <w:t xml:space="preserve"> </w:t>
      </w:r>
      <w:proofErr w:type="spellStart"/>
      <w:r>
        <w:rPr>
          <w:rFonts w:ascii="Calibri" w:hAnsi="Calibri"/>
          <w:sz w:val="18"/>
        </w:rPr>
        <w:t>Secop</w:t>
      </w:r>
      <w:proofErr w:type="spellEnd"/>
      <w:r>
        <w:rPr>
          <w:rFonts w:ascii="Calibri" w:hAnsi="Calibri"/>
          <w:sz w:val="18"/>
        </w:rPr>
        <w:t>.</w:t>
      </w:r>
      <w:r>
        <w:rPr>
          <w:rFonts w:ascii="Calibri" w:hAnsi="Calibri"/>
          <w:spacing w:val="-9"/>
          <w:sz w:val="18"/>
        </w:rPr>
        <w:t xml:space="preserve"> </w:t>
      </w:r>
      <w:r>
        <w:rPr>
          <w:rFonts w:ascii="Calibri" w:hAnsi="Calibri"/>
          <w:sz w:val="18"/>
        </w:rPr>
        <w:t>La</w:t>
      </w:r>
      <w:r>
        <w:rPr>
          <w:rFonts w:ascii="Calibri" w:hAnsi="Calibri"/>
          <w:spacing w:val="-9"/>
          <w:sz w:val="18"/>
        </w:rPr>
        <w:t xml:space="preserve"> </w:t>
      </w:r>
      <w:r>
        <w:rPr>
          <w:rFonts w:ascii="Calibri" w:hAnsi="Calibri"/>
          <w:sz w:val="18"/>
        </w:rPr>
        <w:t>Entidad</w:t>
      </w:r>
      <w:r>
        <w:rPr>
          <w:rFonts w:ascii="Calibri" w:hAnsi="Calibri"/>
          <w:spacing w:val="-9"/>
          <w:sz w:val="18"/>
        </w:rPr>
        <w:t xml:space="preserve"> </w:t>
      </w:r>
      <w:r>
        <w:rPr>
          <w:rFonts w:ascii="Calibri" w:hAnsi="Calibri"/>
          <w:sz w:val="18"/>
        </w:rPr>
        <w:t>Estatal</w:t>
      </w:r>
      <w:r>
        <w:rPr>
          <w:rFonts w:ascii="Calibri" w:hAnsi="Calibri"/>
          <w:spacing w:val="-9"/>
          <w:sz w:val="18"/>
        </w:rPr>
        <w:t xml:space="preserve"> </w:t>
      </w:r>
      <w:r>
        <w:rPr>
          <w:rFonts w:ascii="Calibri" w:hAnsi="Calibri"/>
          <w:sz w:val="18"/>
        </w:rPr>
        <w:t>está</w:t>
      </w:r>
      <w:r>
        <w:rPr>
          <w:rFonts w:ascii="Calibri" w:hAnsi="Calibri"/>
          <w:spacing w:val="-9"/>
          <w:sz w:val="18"/>
        </w:rPr>
        <w:t xml:space="preserve"> </w:t>
      </w:r>
      <w:r>
        <w:rPr>
          <w:rFonts w:ascii="Calibri" w:hAnsi="Calibri"/>
          <w:sz w:val="18"/>
        </w:rPr>
        <w:t>obligada</w:t>
      </w:r>
      <w:r>
        <w:rPr>
          <w:rFonts w:ascii="Calibri" w:hAnsi="Calibri"/>
          <w:spacing w:val="-9"/>
          <w:sz w:val="18"/>
        </w:rPr>
        <w:t xml:space="preserve"> </w:t>
      </w:r>
      <w:r>
        <w:rPr>
          <w:rFonts w:ascii="Calibri" w:hAnsi="Calibri"/>
          <w:sz w:val="18"/>
        </w:rPr>
        <w:t>a</w:t>
      </w:r>
      <w:r>
        <w:rPr>
          <w:rFonts w:ascii="Calibri" w:hAnsi="Calibri"/>
          <w:spacing w:val="-9"/>
          <w:sz w:val="18"/>
        </w:rPr>
        <w:t xml:space="preserve"> </w:t>
      </w:r>
      <w:r>
        <w:rPr>
          <w:rFonts w:ascii="Calibri" w:hAnsi="Calibri"/>
          <w:sz w:val="18"/>
        </w:rPr>
        <w:t>publicar</w:t>
      </w:r>
      <w:r>
        <w:rPr>
          <w:rFonts w:ascii="Calibri" w:hAnsi="Calibri"/>
          <w:spacing w:val="-9"/>
          <w:sz w:val="18"/>
        </w:rPr>
        <w:t xml:space="preserve"> </w:t>
      </w:r>
      <w:r>
        <w:rPr>
          <w:rFonts w:ascii="Calibri" w:hAnsi="Calibri"/>
          <w:sz w:val="18"/>
        </w:rPr>
        <w:t>en</w:t>
      </w:r>
      <w:r>
        <w:rPr>
          <w:rFonts w:ascii="Calibri" w:hAnsi="Calibri"/>
          <w:spacing w:val="-10"/>
          <w:sz w:val="18"/>
        </w:rPr>
        <w:t xml:space="preserve"> </w:t>
      </w:r>
      <w:r>
        <w:rPr>
          <w:rFonts w:ascii="Calibri" w:hAnsi="Calibri"/>
          <w:sz w:val="18"/>
        </w:rPr>
        <w:t>el</w:t>
      </w:r>
      <w:r>
        <w:rPr>
          <w:rFonts w:ascii="Calibri" w:hAnsi="Calibri"/>
          <w:spacing w:val="-9"/>
          <w:sz w:val="18"/>
        </w:rPr>
        <w:t xml:space="preserve"> </w:t>
      </w:r>
      <w:proofErr w:type="spellStart"/>
      <w:r>
        <w:rPr>
          <w:rFonts w:ascii="Calibri" w:hAnsi="Calibri"/>
          <w:sz w:val="18"/>
        </w:rPr>
        <w:t>Secop</w:t>
      </w:r>
      <w:proofErr w:type="spellEnd"/>
      <w:r>
        <w:rPr>
          <w:rFonts w:ascii="Calibri" w:hAnsi="Calibri"/>
          <w:spacing w:val="-9"/>
          <w:sz w:val="18"/>
        </w:rPr>
        <w:t xml:space="preserve"> </w:t>
      </w:r>
      <w:r>
        <w:rPr>
          <w:rFonts w:ascii="Calibri" w:hAnsi="Calibri"/>
          <w:sz w:val="18"/>
        </w:rPr>
        <w:t>los</w:t>
      </w:r>
      <w:r>
        <w:rPr>
          <w:rFonts w:ascii="Calibri" w:hAnsi="Calibri"/>
          <w:spacing w:val="-9"/>
          <w:sz w:val="18"/>
        </w:rPr>
        <w:t xml:space="preserve"> </w:t>
      </w:r>
      <w:r>
        <w:rPr>
          <w:rFonts w:ascii="Calibri" w:hAnsi="Calibri"/>
          <w:sz w:val="18"/>
        </w:rPr>
        <w:t>Documentos del Proceso y los actos administrativos del Proceso de Contratación, dentro de los tres (3) días siguientes a su expedición.</w:t>
      </w:r>
      <w:r>
        <w:rPr>
          <w:rFonts w:ascii="Calibri" w:hAnsi="Calibri"/>
          <w:spacing w:val="-4"/>
          <w:sz w:val="18"/>
        </w:rPr>
        <w:t xml:space="preserve"> </w:t>
      </w:r>
      <w:r>
        <w:rPr>
          <w:rFonts w:ascii="Calibri" w:hAnsi="Calibri"/>
          <w:sz w:val="18"/>
        </w:rPr>
        <w:t>La</w:t>
      </w:r>
      <w:r>
        <w:rPr>
          <w:rFonts w:ascii="Calibri" w:hAnsi="Calibri"/>
          <w:spacing w:val="-5"/>
          <w:sz w:val="18"/>
        </w:rPr>
        <w:t xml:space="preserve"> </w:t>
      </w:r>
      <w:r>
        <w:rPr>
          <w:rFonts w:ascii="Calibri" w:hAnsi="Calibri"/>
          <w:sz w:val="18"/>
        </w:rPr>
        <w:t>oferta</w:t>
      </w:r>
      <w:r>
        <w:rPr>
          <w:rFonts w:ascii="Calibri" w:hAnsi="Calibri"/>
          <w:spacing w:val="-5"/>
          <w:sz w:val="18"/>
        </w:rPr>
        <w:t xml:space="preserve"> </w:t>
      </w:r>
      <w:r>
        <w:rPr>
          <w:rFonts w:ascii="Calibri" w:hAnsi="Calibri"/>
          <w:sz w:val="18"/>
        </w:rPr>
        <w:t>que</w:t>
      </w:r>
      <w:r>
        <w:rPr>
          <w:rFonts w:ascii="Calibri" w:hAnsi="Calibri"/>
          <w:spacing w:val="-4"/>
          <w:sz w:val="18"/>
        </w:rPr>
        <w:t xml:space="preserve"> </w:t>
      </w:r>
      <w:r>
        <w:rPr>
          <w:rFonts w:ascii="Calibri" w:hAnsi="Calibri"/>
          <w:sz w:val="18"/>
        </w:rPr>
        <w:t>debe</w:t>
      </w:r>
      <w:r>
        <w:rPr>
          <w:rFonts w:ascii="Calibri" w:hAnsi="Calibri"/>
          <w:spacing w:val="-5"/>
          <w:sz w:val="18"/>
        </w:rPr>
        <w:t xml:space="preserve"> </w:t>
      </w:r>
      <w:r>
        <w:rPr>
          <w:rFonts w:ascii="Calibri" w:hAnsi="Calibri"/>
          <w:sz w:val="18"/>
        </w:rPr>
        <w:t>ser</w:t>
      </w:r>
      <w:r>
        <w:rPr>
          <w:rFonts w:ascii="Calibri" w:hAnsi="Calibri"/>
          <w:spacing w:val="-5"/>
          <w:sz w:val="18"/>
        </w:rPr>
        <w:t xml:space="preserve"> </w:t>
      </w:r>
      <w:r>
        <w:rPr>
          <w:rFonts w:ascii="Calibri" w:hAnsi="Calibri"/>
          <w:sz w:val="18"/>
        </w:rPr>
        <w:t>publicada</w:t>
      </w:r>
      <w:r>
        <w:rPr>
          <w:rFonts w:ascii="Calibri" w:hAnsi="Calibri"/>
          <w:spacing w:val="-4"/>
          <w:sz w:val="18"/>
        </w:rPr>
        <w:t xml:space="preserve"> </w:t>
      </w:r>
      <w:r>
        <w:rPr>
          <w:rFonts w:ascii="Calibri" w:hAnsi="Calibri"/>
          <w:sz w:val="18"/>
        </w:rPr>
        <w:t>es</w:t>
      </w:r>
      <w:r>
        <w:rPr>
          <w:rFonts w:ascii="Calibri" w:hAnsi="Calibri"/>
          <w:spacing w:val="-5"/>
          <w:sz w:val="18"/>
        </w:rPr>
        <w:t xml:space="preserve"> </w:t>
      </w:r>
      <w:r>
        <w:rPr>
          <w:rFonts w:ascii="Calibri" w:hAnsi="Calibri"/>
          <w:sz w:val="18"/>
        </w:rPr>
        <w:t>la</w:t>
      </w:r>
      <w:r>
        <w:rPr>
          <w:rFonts w:ascii="Calibri" w:hAnsi="Calibri"/>
          <w:spacing w:val="-5"/>
          <w:sz w:val="18"/>
        </w:rPr>
        <w:t xml:space="preserve"> </w:t>
      </w:r>
      <w:r>
        <w:rPr>
          <w:rFonts w:ascii="Calibri" w:hAnsi="Calibri"/>
          <w:sz w:val="18"/>
        </w:rPr>
        <w:t>del</w:t>
      </w:r>
      <w:r>
        <w:rPr>
          <w:rFonts w:ascii="Calibri" w:hAnsi="Calibri"/>
          <w:spacing w:val="-4"/>
          <w:sz w:val="18"/>
        </w:rPr>
        <w:t xml:space="preserve"> </w:t>
      </w:r>
      <w:r>
        <w:rPr>
          <w:rFonts w:ascii="Calibri" w:hAnsi="Calibri"/>
          <w:sz w:val="18"/>
        </w:rPr>
        <w:t>adjudicatario</w:t>
      </w:r>
      <w:r>
        <w:rPr>
          <w:rFonts w:ascii="Calibri" w:hAnsi="Calibri"/>
          <w:spacing w:val="-5"/>
          <w:sz w:val="18"/>
        </w:rPr>
        <w:t xml:space="preserve"> </w:t>
      </w:r>
      <w:r>
        <w:rPr>
          <w:rFonts w:ascii="Calibri" w:hAnsi="Calibri"/>
          <w:sz w:val="18"/>
        </w:rPr>
        <w:t>del</w:t>
      </w:r>
      <w:r>
        <w:rPr>
          <w:rFonts w:ascii="Calibri" w:hAnsi="Calibri"/>
          <w:spacing w:val="-5"/>
          <w:sz w:val="18"/>
        </w:rPr>
        <w:t xml:space="preserve"> </w:t>
      </w:r>
      <w:r>
        <w:rPr>
          <w:rFonts w:ascii="Calibri" w:hAnsi="Calibri"/>
          <w:sz w:val="18"/>
        </w:rPr>
        <w:t>Proceso</w:t>
      </w:r>
      <w:r>
        <w:rPr>
          <w:rFonts w:ascii="Calibri" w:hAnsi="Calibri"/>
          <w:spacing w:val="-4"/>
          <w:sz w:val="18"/>
        </w:rPr>
        <w:t xml:space="preserve"> </w:t>
      </w:r>
      <w:r>
        <w:rPr>
          <w:rFonts w:ascii="Calibri" w:hAnsi="Calibri"/>
          <w:sz w:val="18"/>
        </w:rPr>
        <w:t>de</w:t>
      </w:r>
      <w:r>
        <w:rPr>
          <w:rFonts w:ascii="Calibri" w:hAnsi="Calibri"/>
          <w:spacing w:val="-5"/>
          <w:sz w:val="18"/>
        </w:rPr>
        <w:t xml:space="preserve"> </w:t>
      </w:r>
      <w:r>
        <w:rPr>
          <w:rFonts w:ascii="Calibri" w:hAnsi="Calibri"/>
          <w:sz w:val="18"/>
        </w:rPr>
        <w:t>Contratación.</w:t>
      </w:r>
      <w:r>
        <w:rPr>
          <w:rFonts w:ascii="Calibri" w:hAnsi="Calibri"/>
          <w:spacing w:val="-5"/>
          <w:sz w:val="18"/>
        </w:rPr>
        <w:t xml:space="preserve"> </w:t>
      </w:r>
      <w:r>
        <w:rPr>
          <w:rFonts w:ascii="Calibri" w:hAnsi="Calibri"/>
          <w:sz w:val="18"/>
        </w:rPr>
        <w:t>Los</w:t>
      </w:r>
      <w:r>
        <w:rPr>
          <w:rFonts w:ascii="Calibri" w:hAnsi="Calibri"/>
          <w:spacing w:val="-4"/>
          <w:sz w:val="18"/>
        </w:rPr>
        <w:t xml:space="preserve"> </w:t>
      </w:r>
      <w:r>
        <w:rPr>
          <w:rFonts w:ascii="Calibri" w:hAnsi="Calibri"/>
          <w:sz w:val="18"/>
        </w:rPr>
        <w:t>documentos</w:t>
      </w:r>
      <w:r>
        <w:rPr>
          <w:rFonts w:ascii="Calibri" w:hAnsi="Calibri"/>
          <w:spacing w:val="-5"/>
          <w:sz w:val="18"/>
        </w:rPr>
        <w:t xml:space="preserve"> </w:t>
      </w:r>
      <w:r>
        <w:rPr>
          <w:rFonts w:ascii="Calibri" w:hAnsi="Calibri"/>
          <w:sz w:val="18"/>
        </w:rPr>
        <w:t>de las operaciones que se realicen en bolsa de productos no tienen que ser publicados en el</w:t>
      </w:r>
      <w:r>
        <w:rPr>
          <w:rFonts w:ascii="Calibri" w:hAnsi="Calibri"/>
          <w:spacing w:val="-22"/>
          <w:sz w:val="18"/>
        </w:rPr>
        <w:t xml:space="preserve"> </w:t>
      </w:r>
      <w:proofErr w:type="spellStart"/>
      <w:r>
        <w:rPr>
          <w:rFonts w:ascii="Calibri" w:hAnsi="Calibri"/>
          <w:sz w:val="18"/>
        </w:rPr>
        <w:t>Secop</w:t>
      </w:r>
      <w:proofErr w:type="spellEnd"/>
      <w:r>
        <w:rPr>
          <w:rFonts w:ascii="Calibri" w:hAnsi="Calibri"/>
          <w:sz w:val="18"/>
        </w:rPr>
        <w:t>.</w:t>
      </w:r>
    </w:p>
    <w:p w14:paraId="7736D775" w14:textId="77777777" w:rsidR="00653510" w:rsidRDefault="00653510">
      <w:pPr>
        <w:pStyle w:val="Textoindependiente"/>
        <w:rPr>
          <w:rFonts w:ascii="Calibri"/>
          <w:sz w:val="18"/>
        </w:rPr>
      </w:pPr>
    </w:p>
    <w:p w14:paraId="0DF4A475" w14:textId="77777777" w:rsidR="00653510" w:rsidRDefault="00390730">
      <w:pPr>
        <w:ind w:left="100" w:right="533"/>
        <w:jc w:val="both"/>
        <w:rPr>
          <w:rFonts w:ascii="Calibri" w:hAnsi="Calibri"/>
          <w:sz w:val="18"/>
        </w:rPr>
      </w:pPr>
      <w:r>
        <w:rPr>
          <w:rFonts w:ascii="Calibri" w:hAnsi="Calibri"/>
          <w:sz w:val="18"/>
        </w:rPr>
        <w:t>La</w:t>
      </w:r>
      <w:r>
        <w:rPr>
          <w:rFonts w:ascii="Calibri" w:hAnsi="Calibri"/>
          <w:spacing w:val="-5"/>
          <w:sz w:val="18"/>
        </w:rPr>
        <w:t xml:space="preserve"> </w:t>
      </w:r>
      <w:r>
        <w:rPr>
          <w:rFonts w:ascii="Calibri" w:hAnsi="Calibri"/>
          <w:sz w:val="18"/>
        </w:rPr>
        <w:t>Entidad</w:t>
      </w:r>
      <w:r>
        <w:rPr>
          <w:rFonts w:ascii="Calibri" w:hAnsi="Calibri"/>
          <w:spacing w:val="-5"/>
          <w:sz w:val="18"/>
        </w:rPr>
        <w:t xml:space="preserve"> </w:t>
      </w:r>
      <w:r>
        <w:rPr>
          <w:rFonts w:ascii="Calibri" w:hAnsi="Calibri"/>
          <w:sz w:val="18"/>
        </w:rPr>
        <w:t>Estatal</w:t>
      </w:r>
      <w:r>
        <w:rPr>
          <w:rFonts w:ascii="Calibri" w:hAnsi="Calibri"/>
          <w:spacing w:val="-5"/>
          <w:sz w:val="18"/>
        </w:rPr>
        <w:t xml:space="preserve"> </w:t>
      </w:r>
      <w:r>
        <w:rPr>
          <w:rFonts w:ascii="Calibri" w:hAnsi="Calibri"/>
          <w:sz w:val="18"/>
        </w:rPr>
        <w:t>está</w:t>
      </w:r>
      <w:r>
        <w:rPr>
          <w:rFonts w:ascii="Calibri" w:hAnsi="Calibri"/>
          <w:spacing w:val="-5"/>
          <w:sz w:val="18"/>
        </w:rPr>
        <w:t xml:space="preserve"> </w:t>
      </w:r>
      <w:r>
        <w:rPr>
          <w:rFonts w:ascii="Calibri" w:hAnsi="Calibri"/>
          <w:sz w:val="18"/>
        </w:rPr>
        <w:t>obligada</w:t>
      </w:r>
      <w:r>
        <w:rPr>
          <w:rFonts w:ascii="Calibri" w:hAnsi="Calibri"/>
          <w:spacing w:val="-5"/>
          <w:sz w:val="18"/>
        </w:rPr>
        <w:t xml:space="preserve"> </w:t>
      </w:r>
      <w:r>
        <w:rPr>
          <w:rFonts w:ascii="Calibri" w:hAnsi="Calibri"/>
          <w:sz w:val="18"/>
        </w:rPr>
        <w:t>a</w:t>
      </w:r>
      <w:r>
        <w:rPr>
          <w:rFonts w:ascii="Calibri" w:hAnsi="Calibri"/>
          <w:spacing w:val="-4"/>
          <w:sz w:val="18"/>
        </w:rPr>
        <w:t xml:space="preserve"> </w:t>
      </w:r>
      <w:r>
        <w:rPr>
          <w:rFonts w:ascii="Calibri" w:hAnsi="Calibri"/>
          <w:sz w:val="18"/>
        </w:rPr>
        <w:t>publicar</w:t>
      </w:r>
      <w:r>
        <w:rPr>
          <w:rFonts w:ascii="Calibri" w:hAnsi="Calibri"/>
          <w:spacing w:val="-5"/>
          <w:sz w:val="18"/>
        </w:rPr>
        <w:t xml:space="preserve"> </w:t>
      </w:r>
      <w:r>
        <w:rPr>
          <w:rFonts w:ascii="Calibri" w:hAnsi="Calibri"/>
          <w:sz w:val="18"/>
        </w:rPr>
        <w:t>oportunamente</w:t>
      </w:r>
      <w:r>
        <w:rPr>
          <w:rFonts w:ascii="Calibri" w:hAnsi="Calibri"/>
          <w:spacing w:val="-4"/>
          <w:sz w:val="18"/>
        </w:rPr>
        <w:t xml:space="preserve"> </w:t>
      </w:r>
      <w:r>
        <w:rPr>
          <w:rFonts w:ascii="Calibri" w:hAnsi="Calibri"/>
          <w:sz w:val="18"/>
        </w:rPr>
        <w:t>el</w:t>
      </w:r>
      <w:r>
        <w:rPr>
          <w:rFonts w:ascii="Calibri" w:hAnsi="Calibri"/>
          <w:spacing w:val="-5"/>
          <w:sz w:val="18"/>
        </w:rPr>
        <w:t xml:space="preserve"> </w:t>
      </w:r>
      <w:r>
        <w:rPr>
          <w:rFonts w:ascii="Calibri" w:hAnsi="Calibri"/>
          <w:sz w:val="18"/>
        </w:rPr>
        <w:t>aviso</w:t>
      </w:r>
      <w:r>
        <w:rPr>
          <w:rFonts w:ascii="Calibri" w:hAnsi="Calibri"/>
          <w:spacing w:val="-5"/>
          <w:sz w:val="18"/>
        </w:rPr>
        <w:t xml:space="preserve"> </w:t>
      </w:r>
      <w:r>
        <w:rPr>
          <w:rFonts w:ascii="Calibri" w:hAnsi="Calibri"/>
          <w:sz w:val="18"/>
        </w:rPr>
        <w:t>de</w:t>
      </w:r>
      <w:r>
        <w:rPr>
          <w:rFonts w:ascii="Calibri" w:hAnsi="Calibri"/>
          <w:spacing w:val="-5"/>
          <w:sz w:val="18"/>
        </w:rPr>
        <w:t xml:space="preserve"> </w:t>
      </w:r>
      <w:r>
        <w:rPr>
          <w:rFonts w:ascii="Calibri" w:hAnsi="Calibri"/>
          <w:sz w:val="18"/>
        </w:rPr>
        <w:t>convocatoria</w:t>
      </w:r>
      <w:r>
        <w:rPr>
          <w:rFonts w:ascii="Calibri" w:hAnsi="Calibri"/>
          <w:spacing w:val="-3"/>
          <w:sz w:val="18"/>
        </w:rPr>
        <w:t xml:space="preserve"> </w:t>
      </w:r>
      <w:r>
        <w:rPr>
          <w:rFonts w:ascii="Calibri" w:hAnsi="Calibri"/>
          <w:sz w:val="18"/>
        </w:rPr>
        <w:t>o</w:t>
      </w:r>
      <w:r>
        <w:rPr>
          <w:rFonts w:ascii="Calibri" w:hAnsi="Calibri"/>
          <w:spacing w:val="-4"/>
          <w:sz w:val="18"/>
        </w:rPr>
        <w:t xml:space="preserve"> </w:t>
      </w:r>
      <w:r>
        <w:rPr>
          <w:rFonts w:ascii="Calibri" w:hAnsi="Calibri"/>
          <w:sz w:val="18"/>
        </w:rPr>
        <w:t>la</w:t>
      </w:r>
      <w:r>
        <w:rPr>
          <w:rFonts w:ascii="Calibri" w:hAnsi="Calibri"/>
          <w:spacing w:val="-5"/>
          <w:sz w:val="18"/>
        </w:rPr>
        <w:t xml:space="preserve"> </w:t>
      </w:r>
      <w:r>
        <w:rPr>
          <w:rFonts w:ascii="Calibri" w:hAnsi="Calibri"/>
          <w:sz w:val="18"/>
        </w:rPr>
        <w:t>invitación</w:t>
      </w:r>
      <w:r>
        <w:rPr>
          <w:rFonts w:ascii="Calibri" w:hAnsi="Calibri"/>
          <w:spacing w:val="-4"/>
          <w:sz w:val="18"/>
        </w:rPr>
        <w:t xml:space="preserve"> </w:t>
      </w:r>
      <w:r>
        <w:rPr>
          <w:rFonts w:ascii="Calibri" w:hAnsi="Calibri"/>
          <w:sz w:val="18"/>
        </w:rPr>
        <w:t>en</w:t>
      </w:r>
      <w:r>
        <w:rPr>
          <w:rFonts w:ascii="Calibri" w:hAnsi="Calibri"/>
          <w:spacing w:val="-5"/>
          <w:sz w:val="18"/>
        </w:rPr>
        <w:t xml:space="preserve"> </w:t>
      </w:r>
      <w:r>
        <w:rPr>
          <w:rFonts w:ascii="Calibri" w:hAnsi="Calibri"/>
          <w:sz w:val="18"/>
        </w:rPr>
        <w:t>los</w:t>
      </w:r>
      <w:r>
        <w:rPr>
          <w:rFonts w:ascii="Calibri" w:hAnsi="Calibri"/>
          <w:spacing w:val="-5"/>
          <w:sz w:val="18"/>
        </w:rPr>
        <w:t xml:space="preserve"> </w:t>
      </w:r>
      <w:r>
        <w:rPr>
          <w:rFonts w:ascii="Calibri" w:hAnsi="Calibri"/>
          <w:sz w:val="18"/>
        </w:rPr>
        <w:t>Procesos</w:t>
      </w:r>
      <w:r>
        <w:rPr>
          <w:rFonts w:ascii="Calibri" w:hAnsi="Calibri"/>
          <w:spacing w:val="-4"/>
          <w:sz w:val="18"/>
        </w:rPr>
        <w:t xml:space="preserve"> </w:t>
      </w:r>
      <w:r>
        <w:rPr>
          <w:rFonts w:ascii="Calibri" w:hAnsi="Calibri"/>
          <w:sz w:val="18"/>
        </w:rPr>
        <w:t xml:space="preserve">de Contratación de mínima cuantía y el proyecto de pliegos de condiciones en el </w:t>
      </w:r>
      <w:proofErr w:type="spellStart"/>
      <w:r>
        <w:rPr>
          <w:rFonts w:ascii="Calibri" w:hAnsi="Calibri"/>
          <w:sz w:val="18"/>
        </w:rPr>
        <w:t>Secop</w:t>
      </w:r>
      <w:proofErr w:type="spellEnd"/>
      <w:r>
        <w:rPr>
          <w:rFonts w:ascii="Calibri" w:hAnsi="Calibri"/>
          <w:sz w:val="18"/>
        </w:rPr>
        <w:t xml:space="preserve"> para que los interesados en el Proceso</w:t>
      </w:r>
      <w:r>
        <w:rPr>
          <w:rFonts w:ascii="Calibri" w:hAnsi="Calibri"/>
          <w:spacing w:val="-14"/>
          <w:sz w:val="18"/>
        </w:rPr>
        <w:t xml:space="preserve"> </w:t>
      </w:r>
      <w:r>
        <w:rPr>
          <w:rFonts w:ascii="Calibri" w:hAnsi="Calibri"/>
          <w:sz w:val="18"/>
        </w:rPr>
        <w:t>de</w:t>
      </w:r>
      <w:r>
        <w:rPr>
          <w:rFonts w:ascii="Calibri" w:hAnsi="Calibri"/>
          <w:spacing w:val="-13"/>
          <w:sz w:val="18"/>
        </w:rPr>
        <w:t xml:space="preserve"> </w:t>
      </w:r>
      <w:r>
        <w:rPr>
          <w:rFonts w:ascii="Calibri" w:hAnsi="Calibri"/>
          <w:sz w:val="18"/>
        </w:rPr>
        <w:t>Contratación</w:t>
      </w:r>
      <w:r>
        <w:rPr>
          <w:rFonts w:ascii="Calibri" w:hAnsi="Calibri"/>
          <w:spacing w:val="-13"/>
          <w:sz w:val="18"/>
        </w:rPr>
        <w:t xml:space="preserve"> </w:t>
      </w:r>
      <w:r>
        <w:rPr>
          <w:rFonts w:ascii="Calibri" w:hAnsi="Calibri"/>
          <w:sz w:val="18"/>
        </w:rPr>
        <w:t>puedan</w:t>
      </w:r>
      <w:r>
        <w:rPr>
          <w:rFonts w:ascii="Calibri" w:hAnsi="Calibri"/>
          <w:spacing w:val="-14"/>
          <w:sz w:val="18"/>
        </w:rPr>
        <w:t xml:space="preserve"> </w:t>
      </w:r>
      <w:r>
        <w:rPr>
          <w:rFonts w:ascii="Calibri" w:hAnsi="Calibri"/>
          <w:sz w:val="18"/>
        </w:rPr>
        <w:t>presentar</w:t>
      </w:r>
      <w:r>
        <w:rPr>
          <w:rFonts w:ascii="Calibri" w:hAnsi="Calibri"/>
          <w:spacing w:val="-13"/>
          <w:sz w:val="18"/>
        </w:rPr>
        <w:t xml:space="preserve"> </w:t>
      </w:r>
      <w:r>
        <w:rPr>
          <w:rFonts w:ascii="Calibri" w:hAnsi="Calibri"/>
          <w:sz w:val="18"/>
        </w:rPr>
        <w:t>observaciones</w:t>
      </w:r>
      <w:r>
        <w:rPr>
          <w:rFonts w:ascii="Calibri" w:hAnsi="Calibri"/>
          <w:spacing w:val="-12"/>
          <w:sz w:val="18"/>
        </w:rPr>
        <w:t xml:space="preserve"> </w:t>
      </w:r>
      <w:r>
        <w:rPr>
          <w:rFonts w:ascii="Calibri" w:hAnsi="Calibri"/>
          <w:sz w:val="18"/>
        </w:rPr>
        <w:t>o</w:t>
      </w:r>
      <w:r>
        <w:rPr>
          <w:rFonts w:ascii="Calibri" w:hAnsi="Calibri"/>
          <w:spacing w:val="-14"/>
          <w:sz w:val="18"/>
        </w:rPr>
        <w:t xml:space="preserve"> </w:t>
      </w:r>
      <w:r>
        <w:rPr>
          <w:rFonts w:ascii="Calibri" w:hAnsi="Calibri"/>
          <w:sz w:val="18"/>
        </w:rPr>
        <w:t>solicitar</w:t>
      </w:r>
      <w:r>
        <w:rPr>
          <w:rFonts w:ascii="Calibri" w:hAnsi="Calibri"/>
          <w:spacing w:val="-13"/>
          <w:sz w:val="18"/>
        </w:rPr>
        <w:t xml:space="preserve"> </w:t>
      </w:r>
      <w:r>
        <w:rPr>
          <w:rFonts w:ascii="Calibri" w:hAnsi="Calibri"/>
          <w:sz w:val="18"/>
        </w:rPr>
        <w:t>aclaraciones</w:t>
      </w:r>
      <w:r>
        <w:rPr>
          <w:rFonts w:ascii="Calibri" w:hAnsi="Calibri"/>
          <w:spacing w:val="-13"/>
          <w:sz w:val="18"/>
        </w:rPr>
        <w:t xml:space="preserve"> </w:t>
      </w:r>
      <w:r>
        <w:rPr>
          <w:rFonts w:ascii="Calibri" w:hAnsi="Calibri"/>
          <w:sz w:val="18"/>
        </w:rPr>
        <w:t>en</w:t>
      </w:r>
      <w:r>
        <w:rPr>
          <w:rFonts w:ascii="Calibri" w:hAnsi="Calibri"/>
          <w:spacing w:val="-14"/>
          <w:sz w:val="18"/>
        </w:rPr>
        <w:t xml:space="preserve"> </w:t>
      </w:r>
      <w:r>
        <w:rPr>
          <w:rFonts w:ascii="Calibri" w:hAnsi="Calibri"/>
          <w:sz w:val="18"/>
        </w:rPr>
        <w:t>el</w:t>
      </w:r>
      <w:r>
        <w:rPr>
          <w:rFonts w:ascii="Calibri" w:hAnsi="Calibri"/>
          <w:spacing w:val="-13"/>
          <w:sz w:val="18"/>
        </w:rPr>
        <w:t xml:space="preserve"> </w:t>
      </w:r>
      <w:r>
        <w:rPr>
          <w:rFonts w:ascii="Calibri" w:hAnsi="Calibri"/>
          <w:sz w:val="18"/>
        </w:rPr>
        <w:t>término</w:t>
      </w:r>
      <w:r>
        <w:rPr>
          <w:rFonts w:ascii="Calibri" w:hAnsi="Calibri"/>
          <w:spacing w:val="-12"/>
          <w:sz w:val="18"/>
        </w:rPr>
        <w:t xml:space="preserve"> </w:t>
      </w:r>
      <w:r>
        <w:rPr>
          <w:rFonts w:ascii="Calibri" w:hAnsi="Calibri"/>
          <w:sz w:val="18"/>
        </w:rPr>
        <w:t>previsto</w:t>
      </w:r>
      <w:r>
        <w:rPr>
          <w:rFonts w:ascii="Calibri" w:hAnsi="Calibri"/>
          <w:spacing w:val="-14"/>
          <w:sz w:val="18"/>
        </w:rPr>
        <w:t xml:space="preserve"> </w:t>
      </w:r>
      <w:r>
        <w:rPr>
          <w:rFonts w:ascii="Calibri" w:hAnsi="Calibri"/>
          <w:sz w:val="18"/>
        </w:rPr>
        <w:t>para</w:t>
      </w:r>
      <w:r>
        <w:rPr>
          <w:rFonts w:ascii="Calibri" w:hAnsi="Calibri"/>
          <w:spacing w:val="-13"/>
          <w:sz w:val="18"/>
        </w:rPr>
        <w:t xml:space="preserve"> </w:t>
      </w:r>
      <w:r>
        <w:rPr>
          <w:rFonts w:ascii="Calibri" w:hAnsi="Calibri"/>
          <w:sz w:val="18"/>
        </w:rPr>
        <w:t>el</w:t>
      </w:r>
      <w:r>
        <w:rPr>
          <w:rFonts w:ascii="Calibri" w:hAnsi="Calibri"/>
          <w:spacing w:val="-13"/>
          <w:sz w:val="18"/>
        </w:rPr>
        <w:t xml:space="preserve"> </w:t>
      </w:r>
      <w:r>
        <w:rPr>
          <w:rFonts w:ascii="Calibri" w:hAnsi="Calibri"/>
          <w:sz w:val="18"/>
        </w:rPr>
        <w:t>efecto en el artículo 2.2.1.1.2.1.4 del presente</w:t>
      </w:r>
      <w:r>
        <w:rPr>
          <w:rFonts w:ascii="Calibri" w:hAnsi="Calibri"/>
          <w:spacing w:val="-8"/>
          <w:sz w:val="18"/>
        </w:rPr>
        <w:t xml:space="preserve"> </w:t>
      </w:r>
      <w:r>
        <w:rPr>
          <w:rFonts w:ascii="Calibri" w:hAnsi="Calibri"/>
          <w:sz w:val="18"/>
        </w:rPr>
        <w:t>decreto.</w:t>
      </w:r>
    </w:p>
    <w:p w14:paraId="7D55E734" w14:textId="77777777" w:rsidR="00653510" w:rsidRDefault="00653510">
      <w:pPr>
        <w:jc w:val="both"/>
        <w:rPr>
          <w:rFonts w:ascii="Calibri" w:hAnsi="Calibri"/>
          <w:sz w:val="18"/>
        </w:rPr>
        <w:sectPr w:rsidR="00653510">
          <w:pgSz w:w="11900" w:h="16820"/>
          <w:pgMar w:top="1340" w:right="1160" w:bottom="2180" w:left="1600" w:header="0" w:footer="1962" w:gutter="0"/>
          <w:cols w:space="720"/>
        </w:sectPr>
      </w:pPr>
    </w:p>
    <w:p w14:paraId="6393B9C3" w14:textId="77777777" w:rsidR="00653510" w:rsidRDefault="00390730">
      <w:pPr>
        <w:pStyle w:val="Textoindependiente"/>
        <w:spacing w:before="70" w:line="276" w:lineRule="auto"/>
        <w:ind w:left="100" w:right="533"/>
        <w:jc w:val="both"/>
      </w:pPr>
      <w:r>
        <w:lastRenderedPageBreak/>
        <w:t>de</w:t>
      </w:r>
      <w:r>
        <w:rPr>
          <w:spacing w:val="-15"/>
        </w:rPr>
        <w:t xml:space="preserve"> </w:t>
      </w:r>
      <w:r>
        <w:t>transporte,</w:t>
      </w:r>
      <w:r>
        <w:rPr>
          <w:spacing w:val="-13"/>
        </w:rPr>
        <w:t xml:space="preserve"> </w:t>
      </w:r>
      <w:r>
        <w:t>dispone</w:t>
      </w:r>
      <w:r>
        <w:rPr>
          <w:spacing w:val="-14"/>
        </w:rPr>
        <w:t xml:space="preserve"> </w:t>
      </w:r>
      <w:r>
        <w:t>que</w:t>
      </w:r>
      <w:r>
        <w:rPr>
          <w:spacing w:val="-14"/>
        </w:rPr>
        <w:t xml:space="preserve"> </w:t>
      </w:r>
      <w:r>
        <w:t>dentro</w:t>
      </w:r>
      <w:r>
        <w:rPr>
          <w:spacing w:val="-15"/>
        </w:rPr>
        <w:t xml:space="preserve"> </w:t>
      </w:r>
      <w:r>
        <w:t>de</w:t>
      </w:r>
      <w:r>
        <w:rPr>
          <w:spacing w:val="-14"/>
        </w:rPr>
        <w:t xml:space="preserve"> </w:t>
      </w:r>
      <w:r>
        <w:t>los</w:t>
      </w:r>
      <w:r>
        <w:rPr>
          <w:spacing w:val="-14"/>
        </w:rPr>
        <w:t xml:space="preserve"> </w:t>
      </w:r>
      <w:r>
        <w:t>documentos</w:t>
      </w:r>
      <w:r>
        <w:rPr>
          <w:spacing w:val="-14"/>
        </w:rPr>
        <w:t xml:space="preserve"> </w:t>
      </w:r>
      <w:r>
        <w:t>de</w:t>
      </w:r>
      <w:r>
        <w:rPr>
          <w:spacing w:val="-15"/>
        </w:rPr>
        <w:t xml:space="preserve"> </w:t>
      </w:r>
      <w:r>
        <w:t>los</w:t>
      </w:r>
      <w:r>
        <w:rPr>
          <w:spacing w:val="-14"/>
        </w:rPr>
        <w:t xml:space="preserve"> </w:t>
      </w:r>
      <w:r>
        <w:t>procesos</w:t>
      </w:r>
      <w:r>
        <w:rPr>
          <w:spacing w:val="-14"/>
        </w:rPr>
        <w:t xml:space="preserve"> </w:t>
      </w:r>
      <w:r>
        <w:t>están</w:t>
      </w:r>
      <w:r>
        <w:rPr>
          <w:spacing w:val="-14"/>
        </w:rPr>
        <w:t xml:space="preserve"> </w:t>
      </w:r>
      <w:r>
        <w:t>los</w:t>
      </w:r>
      <w:r>
        <w:rPr>
          <w:spacing w:val="-14"/>
        </w:rPr>
        <w:t xml:space="preserve"> </w:t>
      </w:r>
      <w:r>
        <w:t>estudios y documentos previos, los cuales hacen parte de la etapa de planeación del procedimiento</w:t>
      </w:r>
      <w:r>
        <w:rPr>
          <w:spacing w:val="-2"/>
        </w:rPr>
        <w:t xml:space="preserve"> </w:t>
      </w:r>
      <w:r>
        <w:t>contractual.</w:t>
      </w:r>
    </w:p>
    <w:p w14:paraId="354A620E" w14:textId="77777777" w:rsidR="00653510" w:rsidRDefault="00390730">
      <w:pPr>
        <w:pStyle w:val="Textoindependiente"/>
        <w:spacing w:before="120" w:line="276" w:lineRule="auto"/>
        <w:ind w:left="100" w:right="534" w:firstLine="708"/>
        <w:jc w:val="both"/>
      </w:pPr>
      <w:r>
        <w:t xml:space="preserve">Además, el artículo 2.2.1.1.2.1.1 del Decreto 1082 de 2015 señala que los documentos previos son el soporte para elaborar el proyecto de pliegos, los pliegos de condiciones, y el contrato, los cuales deben permanecer a disposición del público durante el desarrollo de cada proceso, y debe contener, entre otros aspectos, el valor estimado del contrato y la justificación </w:t>
      </w:r>
      <w:proofErr w:type="gramStart"/>
      <w:r>
        <w:t>del mismo</w:t>
      </w:r>
      <w:proofErr w:type="gramEnd"/>
      <w:r>
        <w:t>. Cuando el valor del contrato esté determinado por precios unitarios, la entidad estatal debe incluir la forma como los calculó y soportar el presupuesto en la estimación de aquellos.</w:t>
      </w:r>
    </w:p>
    <w:p w14:paraId="01A0825D" w14:textId="77777777" w:rsidR="00653510" w:rsidRDefault="00390730">
      <w:pPr>
        <w:pStyle w:val="Textoindependiente"/>
        <w:spacing w:before="120" w:line="276" w:lineRule="auto"/>
        <w:ind w:left="100" w:right="533" w:firstLine="708"/>
        <w:jc w:val="both"/>
      </w:pPr>
      <w:r>
        <w:t>Dado</w:t>
      </w:r>
      <w:r>
        <w:rPr>
          <w:spacing w:val="-12"/>
        </w:rPr>
        <w:t xml:space="preserve"> </w:t>
      </w:r>
      <w:r>
        <w:t>que</w:t>
      </w:r>
      <w:r>
        <w:rPr>
          <w:spacing w:val="-11"/>
        </w:rPr>
        <w:t xml:space="preserve"> </w:t>
      </w:r>
      <w:r>
        <w:t>los</w:t>
      </w:r>
      <w:r>
        <w:rPr>
          <w:spacing w:val="-11"/>
        </w:rPr>
        <w:t xml:space="preserve"> </w:t>
      </w:r>
      <w:r>
        <w:t>estudios</w:t>
      </w:r>
      <w:r>
        <w:rPr>
          <w:spacing w:val="-11"/>
        </w:rPr>
        <w:t xml:space="preserve"> </w:t>
      </w:r>
      <w:r>
        <w:t>previos</w:t>
      </w:r>
      <w:r>
        <w:rPr>
          <w:spacing w:val="-11"/>
        </w:rPr>
        <w:t xml:space="preserve"> </w:t>
      </w:r>
      <w:r>
        <w:t>contienen</w:t>
      </w:r>
      <w:r>
        <w:rPr>
          <w:spacing w:val="-12"/>
        </w:rPr>
        <w:t xml:space="preserve"> </w:t>
      </w:r>
      <w:r>
        <w:t>el</w:t>
      </w:r>
      <w:r>
        <w:rPr>
          <w:spacing w:val="-11"/>
        </w:rPr>
        <w:t xml:space="preserve"> </w:t>
      </w:r>
      <w:r>
        <w:t>cálculo</w:t>
      </w:r>
      <w:r>
        <w:rPr>
          <w:spacing w:val="-12"/>
        </w:rPr>
        <w:t xml:space="preserve"> </w:t>
      </w:r>
      <w:r>
        <w:t>de</w:t>
      </w:r>
      <w:r>
        <w:rPr>
          <w:spacing w:val="-11"/>
        </w:rPr>
        <w:t xml:space="preserve"> </w:t>
      </w:r>
      <w:r>
        <w:t>los</w:t>
      </w:r>
      <w:r>
        <w:rPr>
          <w:spacing w:val="-11"/>
        </w:rPr>
        <w:t xml:space="preserve"> </w:t>
      </w:r>
      <w:r>
        <w:t>precios</w:t>
      </w:r>
      <w:r>
        <w:rPr>
          <w:spacing w:val="-11"/>
        </w:rPr>
        <w:t xml:space="preserve"> </w:t>
      </w:r>
      <w:r>
        <w:t>unitarios</w:t>
      </w:r>
      <w:r>
        <w:rPr>
          <w:spacing w:val="-11"/>
        </w:rPr>
        <w:t xml:space="preserve"> </w:t>
      </w:r>
      <w:r>
        <w:t>en</w:t>
      </w:r>
      <w:r>
        <w:rPr>
          <w:spacing w:val="-11"/>
        </w:rPr>
        <w:t xml:space="preserve"> </w:t>
      </w:r>
      <w:r>
        <w:t>los términos mencionados en el párrafo precedente, la publicidad de este documento del proceso</w:t>
      </w:r>
      <w:r>
        <w:rPr>
          <w:spacing w:val="-9"/>
        </w:rPr>
        <w:t xml:space="preserve"> </w:t>
      </w:r>
      <w:r>
        <w:t>se</w:t>
      </w:r>
      <w:r>
        <w:rPr>
          <w:spacing w:val="-8"/>
        </w:rPr>
        <w:t xml:space="preserve"> </w:t>
      </w:r>
      <w:r>
        <w:t>realiza</w:t>
      </w:r>
      <w:r>
        <w:rPr>
          <w:spacing w:val="-9"/>
        </w:rPr>
        <w:t xml:space="preserve"> </w:t>
      </w:r>
      <w:r>
        <w:t>conforme</w:t>
      </w:r>
      <w:r>
        <w:rPr>
          <w:spacing w:val="-8"/>
        </w:rPr>
        <w:t xml:space="preserve"> </w:t>
      </w:r>
      <w:r>
        <w:t>al</w:t>
      </w:r>
      <w:r>
        <w:rPr>
          <w:spacing w:val="-9"/>
        </w:rPr>
        <w:t xml:space="preserve"> </w:t>
      </w:r>
      <w:r>
        <w:t>artículo</w:t>
      </w:r>
      <w:r>
        <w:rPr>
          <w:spacing w:val="-8"/>
        </w:rPr>
        <w:t xml:space="preserve"> </w:t>
      </w:r>
      <w:r>
        <w:t>2.2.1.1.1.7.1</w:t>
      </w:r>
      <w:r>
        <w:rPr>
          <w:spacing w:val="-7"/>
        </w:rPr>
        <w:t xml:space="preserve"> </w:t>
      </w:r>
      <w:r>
        <w:t>del</w:t>
      </w:r>
      <w:r>
        <w:rPr>
          <w:spacing w:val="-9"/>
        </w:rPr>
        <w:t xml:space="preserve"> </w:t>
      </w:r>
      <w:r>
        <w:t>Decreto</w:t>
      </w:r>
      <w:r>
        <w:rPr>
          <w:spacing w:val="-8"/>
        </w:rPr>
        <w:t xml:space="preserve"> </w:t>
      </w:r>
      <w:r>
        <w:t>1082</w:t>
      </w:r>
      <w:r>
        <w:rPr>
          <w:spacing w:val="-9"/>
        </w:rPr>
        <w:t xml:space="preserve"> </w:t>
      </w:r>
      <w:r>
        <w:t>de</w:t>
      </w:r>
      <w:r>
        <w:rPr>
          <w:spacing w:val="-8"/>
        </w:rPr>
        <w:t xml:space="preserve"> </w:t>
      </w:r>
      <w:r>
        <w:t>2015.</w:t>
      </w:r>
      <w:r>
        <w:rPr>
          <w:spacing w:val="-9"/>
        </w:rPr>
        <w:t xml:space="preserve"> </w:t>
      </w:r>
      <w:r>
        <w:t>Por</w:t>
      </w:r>
      <w:r>
        <w:rPr>
          <w:spacing w:val="-7"/>
        </w:rPr>
        <w:t xml:space="preserve"> </w:t>
      </w:r>
      <w:r>
        <w:t>otra parte, dado que esta norma dispone que «[…] La oferta que debe ser publicada es la del adjudicatario del Proceso de Contratación […]», no es posible la publicación de la propuesta en la etapa de</w:t>
      </w:r>
      <w:r>
        <w:rPr>
          <w:spacing w:val="-7"/>
        </w:rPr>
        <w:t xml:space="preserve"> </w:t>
      </w:r>
      <w:r>
        <w:t>prepliegos.</w:t>
      </w:r>
    </w:p>
    <w:p w14:paraId="05B5E402" w14:textId="77777777" w:rsidR="00653510" w:rsidRDefault="00653510">
      <w:pPr>
        <w:pStyle w:val="Textoindependiente"/>
        <w:spacing w:before="8"/>
        <w:rPr>
          <w:sz w:val="35"/>
        </w:rPr>
      </w:pPr>
    </w:p>
    <w:p w14:paraId="2DF8D960" w14:textId="77777777" w:rsidR="00653510" w:rsidRDefault="00390730">
      <w:pPr>
        <w:pStyle w:val="Textoindependiente"/>
        <w:spacing w:line="276" w:lineRule="auto"/>
        <w:ind w:left="100" w:right="535"/>
        <w:jc w:val="both"/>
      </w:pPr>
      <w:r>
        <w:t>Este concepto tiene el alcance previsto en el artículo 28 del Código de Procedimiento Administrativo y de lo Contencioso Administrativo.</w:t>
      </w:r>
    </w:p>
    <w:p w14:paraId="3EB80323" w14:textId="77777777" w:rsidR="00653510" w:rsidRDefault="00653510">
      <w:pPr>
        <w:pStyle w:val="Textoindependiente"/>
      </w:pPr>
    </w:p>
    <w:p w14:paraId="345D264D" w14:textId="77777777" w:rsidR="00653510" w:rsidRDefault="00390730">
      <w:pPr>
        <w:pStyle w:val="Textoindependiente"/>
        <w:ind w:left="100"/>
      </w:pPr>
      <w:r>
        <w:t>Atentamente,</w:t>
      </w:r>
    </w:p>
    <w:p w14:paraId="74932C30" w14:textId="77777777" w:rsidR="00653510" w:rsidRDefault="00653510">
      <w:pPr>
        <w:pStyle w:val="Textoindependiente"/>
        <w:rPr>
          <w:sz w:val="20"/>
        </w:rPr>
      </w:pPr>
    </w:p>
    <w:p w14:paraId="4D1333EF" w14:textId="77777777" w:rsidR="00653510" w:rsidRDefault="00653510">
      <w:pPr>
        <w:pStyle w:val="Textoindependiente"/>
        <w:rPr>
          <w:sz w:val="20"/>
        </w:rPr>
      </w:pPr>
    </w:p>
    <w:p w14:paraId="74BC3375" w14:textId="4540FFD6" w:rsidR="00653510" w:rsidRDefault="00B73AAE" w:rsidP="00B73AAE">
      <w:pPr>
        <w:pStyle w:val="Textoindependiente"/>
        <w:spacing w:before="11"/>
        <w:jc w:val="center"/>
        <w:rPr>
          <w:sz w:val="29"/>
        </w:rPr>
      </w:pPr>
      <w:r>
        <w:rPr>
          <w:noProof/>
        </w:rPr>
        <w:drawing>
          <wp:inline distT="0" distB="0" distL="0" distR="0" wp14:anchorId="69A38896" wp14:editId="41BBC626">
            <wp:extent cx="2514600" cy="1114425"/>
            <wp:effectExtent l="0" t="0" r="0" b="0"/>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124724" name="Imagen 1881124724"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730F1553" w14:textId="77777777" w:rsidR="00653510" w:rsidRDefault="00653510">
      <w:pPr>
        <w:pStyle w:val="Textoindependiente"/>
        <w:rPr>
          <w:sz w:val="20"/>
        </w:rPr>
      </w:pPr>
    </w:p>
    <w:p w14:paraId="24B1FAE1" w14:textId="77777777" w:rsidR="00653510" w:rsidRDefault="00653510">
      <w:pPr>
        <w:pStyle w:val="Textoindependiente"/>
        <w:spacing w:before="3"/>
        <w:rPr>
          <w:sz w:val="16"/>
        </w:rPr>
      </w:pPr>
    </w:p>
    <w:p w14:paraId="5AF2489A" w14:textId="77777777" w:rsidR="00653510" w:rsidRDefault="00390730" w:rsidP="00B73AAE">
      <w:pPr>
        <w:tabs>
          <w:tab w:val="left" w:pos="1020"/>
        </w:tabs>
        <w:spacing w:before="116"/>
        <w:ind w:left="209"/>
        <w:rPr>
          <w:sz w:val="16"/>
        </w:rPr>
      </w:pPr>
      <w:r>
        <w:rPr>
          <w:position w:val="-8"/>
          <w:sz w:val="16"/>
        </w:rPr>
        <w:t>Elaboró:</w:t>
      </w:r>
      <w:r>
        <w:rPr>
          <w:position w:val="-8"/>
          <w:sz w:val="16"/>
        </w:rPr>
        <w:tab/>
      </w:r>
      <w:r>
        <w:rPr>
          <w:sz w:val="16"/>
        </w:rPr>
        <w:t>María Claudia de la Ossa</w:t>
      </w:r>
      <w:r>
        <w:rPr>
          <w:spacing w:val="-6"/>
          <w:sz w:val="16"/>
        </w:rPr>
        <w:t xml:space="preserve"> </w:t>
      </w:r>
      <w:r>
        <w:rPr>
          <w:sz w:val="16"/>
        </w:rPr>
        <w:t>Bobadilla</w:t>
      </w:r>
    </w:p>
    <w:p w14:paraId="1BD824FF" w14:textId="77777777" w:rsidR="00653510" w:rsidRDefault="00390730" w:rsidP="00B73AAE">
      <w:pPr>
        <w:spacing w:after="3"/>
        <w:ind w:left="1021"/>
        <w:rPr>
          <w:sz w:val="16"/>
        </w:rPr>
      </w:pPr>
      <w:r>
        <w:rPr>
          <w:sz w:val="16"/>
        </w:rPr>
        <w:t>Contratista de la Subdirección de Gestión Contractual</w:t>
      </w:r>
    </w:p>
    <w:p w14:paraId="4E101770" w14:textId="77777777" w:rsidR="00653510" w:rsidRDefault="00A00A85" w:rsidP="00B73AAE">
      <w:pPr>
        <w:pStyle w:val="Textoindependiente"/>
        <w:ind w:left="908"/>
        <w:rPr>
          <w:sz w:val="2"/>
        </w:rPr>
      </w:pPr>
      <w:r>
        <w:rPr>
          <w:noProof/>
          <w:sz w:val="2"/>
        </w:rPr>
        <mc:AlternateContent>
          <mc:Choice Requires="wpg">
            <w:drawing>
              <wp:inline distT="0" distB="0" distL="0" distR="0" wp14:anchorId="2F6DC380" wp14:editId="20F1C378">
                <wp:extent cx="2802255" cy="6350"/>
                <wp:effectExtent l="0" t="0" r="0" b="0"/>
                <wp:docPr id="6"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2255" cy="6350"/>
                          <a:chOff x="0" y="0"/>
                          <a:chExt cx="4413" cy="10"/>
                        </a:xfrm>
                      </wpg:grpSpPr>
                      <wps:wsp>
                        <wps:cNvPr id="15" name="AutoShape 5"/>
                        <wps:cNvSpPr>
                          <a:spLocks/>
                        </wps:cNvSpPr>
                        <wps:spPr bwMode="auto">
                          <a:xfrm>
                            <a:off x="0" y="5"/>
                            <a:ext cx="4413" cy="2"/>
                          </a:xfrm>
                          <a:custGeom>
                            <a:avLst/>
                            <a:gdLst>
                              <a:gd name="T0" fmla="*/ 0 w 4413"/>
                              <a:gd name="T1" fmla="*/ 4413 w 4413"/>
                              <a:gd name="T2" fmla="*/ 0 w 4413"/>
                              <a:gd name="T3" fmla="*/ 4413 w 4413"/>
                              <a:gd name="T4" fmla="*/ 0 w 4413"/>
                              <a:gd name="T5" fmla="*/ 4413 w 4413"/>
                              <a:gd name="T6" fmla="*/ 0 w 4413"/>
                              <a:gd name="T7" fmla="*/ 4413 w 4413"/>
                            </a:gdLst>
                            <a:ahLst/>
                            <a:cxnLst>
                              <a:cxn ang="0">
                                <a:pos x="T0" y="0"/>
                              </a:cxn>
                              <a:cxn ang="0">
                                <a:pos x="T1" y="0"/>
                              </a:cxn>
                              <a:cxn ang="0">
                                <a:pos x="T2" y="0"/>
                              </a:cxn>
                              <a:cxn ang="0">
                                <a:pos x="T3" y="0"/>
                              </a:cxn>
                              <a:cxn ang="0">
                                <a:pos x="T4" y="0"/>
                              </a:cxn>
                              <a:cxn ang="0">
                                <a:pos x="T5" y="0"/>
                              </a:cxn>
                              <a:cxn ang="0">
                                <a:pos x="T6" y="0"/>
                              </a:cxn>
                              <a:cxn ang="0">
                                <a:pos x="T7" y="0"/>
                              </a:cxn>
                            </a:cxnLst>
                            <a:rect l="0" t="0" r="r" b="b"/>
                            <a:pathLst>
                              <a:path w="4413">
                                <a:moveTo>
                                  <a:pt x="0" y="0"/>
                                </a:moveTo>
                                <a:lnTo>
                                  <a:pt x="4413" y="0"/>
                                </a:lnTo>
                                <a:moveTo>
                                  <a:pt x="0" y="0"/>
                                </a:moveTo>
                                <a:lnTo>
                                  <a:pt x="4413" y="0"/>
                                </a:lnTo>
                                <a:moveTo>
                                  <a:pt x="0" y="0"/>
                                </a:moveTo>
                                <a:lnTo>
                                  <a:pt x="4413" y="0"/>
                                </a:lnTo>
                                <a:moveTo>
                                  <a:pt x="0" y="0"/>
                                </a:moveTo>
                                <a:lnTo>
                                  <a:pt x="4413" y="0"/>
                                </a:lnTo>
                              </a:path>
                            </a:pathLst>
                          </a:custGeom>
                          <a:noFill/>
                          <a:ln w="6350">
                            <a:solidFill>
                              <a:srgbClr val="80808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6B9D2C3" id="Group 4" o:spid="_x0000_s1026" style="width:220.65pt;height:.5pt;mso-position-horizontal-relative:char;mso-position-vertical-relative:line" coordsize="441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">
                <v:shape id="AutoShape 5" o:spid="_x0000_s1027" style="position:absolute;top:5;width:4413;height:2;visibility:visible;mso-wrap-style:square;v-text-anchor:top" coordsize="4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" path="m,l4413,m,l4413,m,l4413,m,l4413,e" filled="f" strokecolor="gray" strokeweight=".5pt">
                  <v:stroke dashstyle="dot"/>
                  <v:path arrowok="t" o:connecttype="custom" o:connectlocs="0,0;4413,0;0,0;4413,0;0,0;4413,0;0,0;4413,0" o:connectangles="0,0,0,0,0,0,0,0"/>
                </v:shape>
                <w10:anchorlock/>
              </v:group>
            </w:pict>
          </mc:Fallback>
        </mc:AlternateContent>
      </w:r>
    </w:p>
    <w:p w14:paraId="5A60047E" w14:textId="77777777" w:rsidR="00653510" w:rsidRDefault="00390730" w:rsidP="00B73AAE">
      <w:pPr>
        <w:tabs>
          <w:tab w:val="left" w:pos="1020"/>
        </w:tabs>
        <w:spacing w:before="6"/>
        <w:ind w:left="209"/>
        <w:rPr>
          <w:sz w:val="16"/>
        </w:rPr>
      </w:pPr>
      <w:r>
        <w:rPr>
          <w:position w:val="-8"/>
          <w:sz w:val="16"/>
        </w:rPr>
        <w:t>Revisó:</w:t>
      </w:r>
      <w:r>
        <w:rPr>
          <w:position w:val="-8"/>
          <w:sz w:val="16"/>
        </w:rPr>
        <w:tab/>
      </w:r>
      <w:r>
        <w:rPr>
          <w:sz w:val="16"/>
        </w:rPr>
        <w:t>Juan David Montoya</w:t>
      </w:r>
      <w:r>
        <w:rPr>
          <w:spacing w:val="-4"/>
          <w:sz w:val="16"/>
        </w:rPr>
        <w:t xml:space="preserve"> </w:t>
      </w:r>
      <w:r>
        <w:rPr>
          <w:sz w:val="16"/>
        </w:rPr>
        <w:t>Penagos</w:t>
      </w:r>
    </w:p>
    <w:p w14:paraId="309949B0" w14:textId="77777777" w:rsidR="00653510" w:rsidRDefault="00390730" w:rsidP="00B73AAE">
      <w:pPr>
        <w:spacing w:after="6"/>
        <w:ind w:left="1021"/>
        <w:rPr>
          <w:sz w:val="16"/>
        </w:rPr>
      </w:pPr>
      <w:r>
        <w:rPr>
          <w:sz w:val="16"/>
        </w:rPr>
        <w:t>Gestor T1-15 de la Subdirección de Gestión Contractual</w:t>
      </w:r>
    </w:p>
    <w:p w14:paraId="03ACBEB5" w14:textId="77777777" w:rsidR="00653510" w:rsidRDefault="00A00A85" w:rsidP="00B73AAE">
      <w:pPr>
        <w:pStyle w:val="Textoindependiente"/>
        <w:ind w:left="908"/>
        <w:rPr>
          <w:sz w:val="2"/>
        </w:rPr>
      </w:pPr>
      <w:r>
        <w:rPr>
          <w:noProof/>
          <w:sz w:val="2"/>
        </w:rPr>
        <mc:AlternateContent>
          <mc:Choice Requires="wpg">
            <w:drawing>
              <wp:inline distT="0" distB="0" distL="0" distR="0" wp14:anchorId="75E48E62" wp14:editId="5C3743DB">
                <wp:extent cx="2802255" cy="6350"/>
                <wp:effectExtent l="0" t="0" r="0" b="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2255" cy="6350"/>
                          <a:chOff x="0" y="0"/>
                          <a:chExt cx="4413" cy="10"/>
                        </a:xfrm>
                      </wpg:grpSpPr>
                      <wps:wsp>
                        <wps:cNvPr id="17" name="AutoShape 3"/>
                        <wps:cNvSpPr>
                          <a:spLocks/>
                        </wps:cNvSpPr>
                        <wps:spPr bwMode="auto">
                          <a:xfrm>
                            <a:off x="0" y="5"/>
                            <a:ext cx="4413" cy="2"/>
                          </a:xfrm>
                          <a:custGeom>
                            <a:avLst/>
                            <a:gdLst>
                              <a:gd name="T0" fmla="*/ 0 w 4413"/>
                              <a:gd name="T1" fmla="*/ 4413 w 4413"/>
                              <a:gd name="T2" fmla="*/ 0 w 4413"/>
                              <a:gd name="T3" fmla="*/ 4413 w 4413"/>
                              <a:gd name="T4" fmla="*/ 0 w 4413"/>
                              <a:gd name="T5" fmla="*/ 4413 w 4413"/>
                              <a:gd name="T6" fmla="*/ 0 w 4413"/>
                              <a:gd name="T7" fmla="*/ 4413 w 4413"/>
                            </a:gdLst>
                            <a:ahLst/>
                            <a:cxnLst>
                              <a:cxn ang="0">
                                <a:pos x="T0" y="0"/>
                              </a:cxn>
                              <a:cxn ang="0">
                                <a:pos x="T1" y="0"/>
                              </a:cxn>
                              <a:cxn ang="0">
                                <a:pos x="T2" y="0"/>
                              </a:cxn>
                              <a:cxn ang="0">
                                <a:pos x="T3" y="0"/>
                              </a:cxn>
                              <a:cxn ang="0">
                                <a:pos x="T4" y="0"/>
                              </a:cxn>
                              <a:cxn ang="0">
                                <a:pos x="T5" y="0"/>
                              </a:cxn>
                              <a:cxn ang="0">
                                <a:pos x="T6" y="0"/>
                              </a:cxn>
                              <a:cxn ang="0">
                                <a:pos x="T7" y="0"/>
                              </a:cxn>
                            </a:cxnLst>
                            <a:rect l="0" t="0" r="r" b="b"/>
                            <a:pathLst>
                              <a:path w="4413">
                                <a:moveTo>
                                  <a:pt x="0" y="0"/>
                                </a:moveTo>
                                <a:lnTo>
                                  <a:pt x="4413" y="0"/>
                                </a:lnTo>
                                <a:moveTo>
                                  <a:pt x="0" y="0"/>
                                </a:moveTo>
                                <a:lnTo>
                                  <a:pt x="4413" y="0"/>
                                </a:lnTo>
                                <a:moveTo>
                                  <a:pt x="0" y="0"/>
                                </a:moveTo>
                                <a:lnTo>
                                  <a:pt x="4413" y="0"/>
                                </a:lnTo>
                                <a:moveTo>
                                  <a:pt x="0" y="0"/>
                                </a:moveTo>
                                <a:lnTo>
                                  <a:pt x="4413" y="0"/>
                                </a:lnTo>
                              </a:path>
                            </a:pathLst>
                          </a:custGeom>
                          <a:noFill/>
                          <a:ln w="6350">
                            <a:solidFill>
                              <a:srgbClr val="80808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366824B" id="Group 2" o:spid="_x0000_s1026" style="width:220.65pt;height:.5pt;mso-position-horizontal-relative:char;mso-position-vertical-relative:line" coordsize="441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">
                <v:shape id="AutoShape 3" o:spid="_x0000_s1027" style="position:absolute;top:5;width:4413;height:2;visibility:visible;mso-wrap-style:square;v-text-anchor:top" coordsize="4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" path="m,l4413,m,l4413,m,l4413,m,l4413,e" filled="f" strokecolor="gray" strokeweight=".5pt">
                  <v:stroke dashstyle="dot"/>
                  <v:path arrowok="t" o:connecttype="custom" o:connectlocs="0,0;4413,0;0,0;4413,0;0,0;4413,0;0,0;4413,0" o:connectangles="0,0,0,0,0,0,0,0"/>
                </v:shape>
                <w10:anchorlock/>
              </v:group>
            </w:pict>
          </mc:Fallback>
        </mc:AlternateContent>
      </w:r>
    </w:p>
    <w:p w14:paraId="151CCA19" w14:textId="77777777" w:rsidR="00653510" w:rsidRDefault="00390730" w:rsidP="00B73AAE">
      <w:pPr>
        <w:tabs>
          <w:tab w:val="left" w:pos="1020"/>
        </w:tabs>
        <w:spacing w:before="6"/>
        <w:ind w:left="209"/>
        <w:rPr>
          <w:sz w:val="16"/>
        </w:rPr>
      </w:pPr>
      <w:r>
        <w:rPr>
          <w:position w:val="-8"/>
          <w:sz w:val="16"/>
        </w:rPr>
        <w:t>Aprobó:</w:t>
      </w:r>
      <w:r>
        <w:rPr>
          <w:position w:val="-8"/>
          <w:sz w:val="16"/>
        </w:rPr>
        <w:tab/>
      </w:r>
      <w:r>
        <w:rPr>
          <w:sz w:val="16"/>
        </w:rPr>
        <w:t>Jorge Augusto Tirado</w:t>
      </w:r>
      <w:r>
        <w:rPr>
          <w:spacing w:val="-4"/>
          <w:sz w:val="16"/>
        </w:rPr>
        <w:t xml:space="preserve"> </w:t>
      </w:r>
      <w:r>
        <w:rPr>
          <w:sz w:val="16"/>
        </w:rPr>
        <w:t>Navarro</w:t>
      </w:r>
    </w:p>
    <w:p w14:paraId="0C81D83C" w14:textId="77777777" w:rsidR="00653510" w:rsidRDefault="00390730" w:rsidP="00B73AAE">
      <w:pPr>
        <w:tabs>
          <w:tab w:val="left" w:pos="5325"/>
        </w:tabs>
        <w:ind w:left="913"/>
        <w:rPr>
          <w:sz w:val="16"/>
        </w:rPr>
      </w:pPr>
      <w:r>
        <w:rPr>
          <w:rFonts w:ascii="Times New Roman" w:hAnsi="Times New Roman"/>
          <w:sz w:val="16"/>
          <w:u w:val="dotted" w:color="808080"/>
        </w:rPr>
        <w:t xml:space="preserve">  </w:t>
      </w:r>
      <w:r>
        <w:rPr>
          <w:rFonts w:ascii="Times New Roman" w:hAnsi="Times New Roman"/>
          <w:spacing w:val="-12"/>
          <w:sz w:val="16"/>
          <w:u w:val="dotted" w:color="808080"/>
        </w:rPr>
        <w:t xml:space="preserve"> </w:t>
      </w:r>
      <w:r>
        <w:rPr>
          <w:sz w:val="16"/>
          <w:u w:val="dotted" w:color="808080"/>
        </w:rPr>
        <w:t>Subdirector de Gestión Contractual ANCP –</w:t>
      </w:r>
      <w:r>
        <w:rPr>
          <w:spacing w:val="-30"/>
          <w:sz w:val="16"/>
          <w:u w:val="dotted" w:color="808080"/>
        </w:rPr>
        <w:t xml:space="preserve"> </w:t>
      </w:r>
      <w:r>
        <w:rPr>
          <w:sz w:val="16"/>
          <w:u w:val="dotted" w:color="808080"/>
        </w:rPr>
        <w:t>CCE</w:t>
      </w:r>
      <w:r>
        <w:rPr>
          <w:sz w:val="16"/>
          <w:u w:val="dotted" w:color="808080"/>
        </w:rPr>
        <w:tab/>
      </w:r>
    </w:p>
    <w:sectPr w:rsidR="00653510">
      <w:pgSz w:w="11900" w:h="16820"/>
      <w:pgMar w:top="1340" w:right="1160" w:bottom="2180" w:left="1600" w:header="0" w:footer="19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ABFEAB" w14:textId="77777777" w:rsidR="00344967" w:rsidRDefault="00344967">
      <w:r>
        <w:separator/>
      </w:r>
    </w:p>
  </w:endnote>
  <w:endnote w:type="continuationSeparator" w:id="0">
    <w:p w14:paraId="489247F4" w14:textId="77777777" w:rsidR="00344967" w:rsidRDefault="003449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0BF04" w14:textId="77777777" w:rsidR="00653510" w:rsidRDefault="00390730">
    <w:pPr>
      <w:pStyle w:val="Textoindependiente"/>
      <w:spacing w:line="14" w:lineRule="auto"/>
      <w:rPr>
        <w:sz w:val="20"/>
      </w:rPr>
    </w:pPr>
    <w:r>
      <w:rPr>
        <w:noProof/>
      </w:rPr>
      <w:drawing>
        <wp:anchor distT="0" distB="0" distL="0" distR="0" simplePos="0" relativeHeight="251657216" behindDoc="1" locked="0" layoutInCell="1" allowOverlap="1" wp14:anchorId="3DC127FB" wp14:editId="3627A0DD">
          <wp:simplePos x="0" y="0"/>
          <wp:positionH relativeFrom="page">
            <wp:posOffset>1080135</wp:posOffset>
          </wp:positionH>
          <wp:positionV relativeFrom="page">
            <wp:posOffset>9389657</wp:posOffset>
          </wp:positionV>
          <wp:extent cx="5400040" cy="757643"/>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5400040" cy="757643"/>
                  </a:xfrm>
                  <a:prstGeom prst="rect">
                    <a:avLst/>
                  </a:prstGeom>
                </pic:spPr>
              </pic:pic>
            </a:graphicData>
          </a:graphic>
        </wp:anchor>
      </w:drawing>
    </w:r>
    <w:r w:rsidR="00A00A85">
      <w:rPr>
        <w:noProof/>
      </w:rPr>
      <mc:AlternateContent>
        <mc:Choice Requires="wps">
          <w:drawing>
            <wp:anchor distT="0" distB="0" distL="114300" distR="114300" simplePos="0" relativeHeight="251658240" behindDoc="1" locked="0" layoutInCell="1" allowOverlap="1" wp14:anchorId="295303D2" wp14:editId="70C65857">
              <wp:simplePos x="0" y="0"/>
              <wp:positionH relativeFrom="page">
                <wp:posOffset>5814060</wp:posOffset>
              </wp:positionH>
              <wp:positionV relativeFrom="page">
                <wp:posOffset>9273540</wp:posOffset>
              </wp:positionV>
              <wp:extent cx="678815" cy="127000"/>
              <wp:effectExtent l="0" t="0" r="0" b="0"/>
              <wp:wrapNone/>
              <wp:docPr id="1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7881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3805A2" w14:textId="77777777" w:rsidR="00653510" w:rsidRDefault="00390730">
                          <w:pPr>
                            <w:spacing w:line="183" w:lineRule="exact"/>
                            <w:ind w:left="20"/>
                            <w:rPr>
                              <w:rFonts w:ascii="Calibri" w:hAnsi="Calibri"/>
                              <w:b/>
                              <w:sz w:val="16"/>
                            </w:rPr>
                          </w:pPr>
                          <w:r>
                            <w:rPr>
                              <w:rFonts w:ascii="Calibri" w:hAnsi="Calibri"/>
                              <w:color w:val="808080"/>
                              <w:sz w:val="16"/>
                            </w:rPr>
                            <w:t xml:space="preserve">Página </w:t>
                          </w:r>
                          <w:r>
                            <w:fldChar w:fldCharType="begin"/>
                          </w:r>
                          <w:r>
                            <w:rPr>
                              <w:rFonts w:ascii="Calibri" w:hAnsi="Calibri"/>
                              <w:b/>
                              <w:color w:val="808080"/>
                              <w:sz w:val="16"/>
                            </w:rPr>
                            <w:instrText xml:space="preserve"> PAGE </w:instrText>
                          </w:r>
                          <w:r>
                            <w:fldChar w:fldCharType="separate"/>
                          </w:r>
                          <w:r>
                            <w:t>10</w:t>
                          </w:r>
                          <w:r>
                            <w:fldChar w:fldCharType="end"/>
                          </w:r>
                          <w:r>
                            <w:rPr>
                              <w:rFonts w:ascii="Calibri" w:hAnsi="Calibri"/>
                              <w:b/>
                              <w:color w:val="808080"/>
                              <w:sz w:val="16"/>
                            </w:rPr>
                            <w:t xml:space="preserve"> </w:t>
                          </w:r>
                          <w:r>
                            <w:rPr>
                              <w:rFonts w:ascii="Calibri" w:hAnsi="Calibri"/>
                              <w:color w:val="808080"/>
                              <w:sz w:val="16"/>
                            </w:rPr>
                            <w:t xml:space="preserve">de </w:t>
                          </w:r>
                          <w:r>
                            <w:rPr>
                              <w:rFonts w:ascii="Calibri" w:hAnsi="Calibri"/>
                              <w:b/>
                              <w:color w:val="808080"/>
                              <w:sz w:val="16"/>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5303D2" id="_x0000_t202" coordsize="21600,21600" o:spt="202" path="m,l,21600r21600,l21600,xe">
              <v:stroke joinstyle="miter"/>
              <v:path gradientshapeok="t" o:connecttype="rect"/>
            </v:shapetype>
            <v:shape id="Text Box 1" o:spid="_x0000_s1026" type="#_x0000_t202" style="position:absolute;margin-left:457.8pt;margin-top:730.2pt;width:53.45pt;height:10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" filled="f" stroked="f">
              <v:path arrowok="t"/>
              <v:textbox inset="0,0,0,0">
                <w:txbxContent>
                  <w:p w14:paraId="043805A2" w14:textId="77777777" w:rsidR="00653510" w:rsidRDefault="00390730">
                    <w:pPr>
                      <w:spacing w:line="183" w:lineRule="exact"/>
                      <w:ind w:left="20"/>
                      <w:rPr>
                        <w:rFonts w:ascii="Calibri" w:hAnsi="Calibri"/>
                        <w:b/>
                        <w:sz w:val="16"/>
                      </w:rPr>
                    </w:pPr>
                    <w:r>
                      <w:rPr>
                        <w:rFonts w:ascii="Calibri" w:hAnsi="Calibri"/>
                        <w:color w:val="808080"/>
                        <w:sz w:val="16"/>
                      </w:rPr>
                      <w:t xml:space="preserve">Página </w:t>
                    </w:r>
                    <w:r>
                      <w:fldChar w:fldCharType="begin"/>
                    </w:r>
                    <w:r>
                      <w:rPr>
                        <w:rFonts w:ascii="Calibri" w:hAnsi="Calibri"/>
                        <w:b/>
                        <w:color w:val="808080"/>
                        <w:sz w:val="16"/>
                      </w:rPr>
                      <w:instrText xml:space="preserve"> PAGE </w:instrText>
                    </w:r>
                    <w:r>
                      <w:fldChar w:fldCharType="separate"/>
                    </w:r>
                    <w:r>
                      <w:t>10</w:t>
                    </w:r>
                    <w:r>
                      <w:fldChar w:fldCharType="end"/>
                    </w:r>
                    <w:r>
                      <w:rPr>
                        <w:rFonts w:ascii="Calibri" w:hAnsi="Calibri"/>
                        <w:b/>
                        <w:color w:val="808080"/>
                        <w:sz w:val="16"/>
                      </w:rPr>
                      <w:t xml:space="preserve"> </w:t>
                    </w:r>
                    <w:r>
                      <w:rPr>
                        <w:rFonts w:ascii="Calibri" w:hAnsi="Calibri"/>
                        <w:color w:val="808080"/>
                        <w:sz w:val="16"/>
                      </w:rPr>
                      <w:t xml:space="preserve">de </w:t>
                    </w:r>
                    <w:r>
                      <w:rPr>
                        <w:rFonts w:ascii="Calibri" w:hAnsi="Calibri"/>
                        <w:b/>
                        <w:color w:val="808080"/>
                        <w:sz w:val="16"/>
                      </w:rPr>
                      <w:t>11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635AAD" w14:textId="77777777" w:rsidR="00344967" w:rsidRDefault="00344967">
      <w:r>
        <w:separator/>
      </w:r>
    </w:p>
  </w:footnote>
  <w:footnote w:type="continuationSeparator" w:id="0">
    <w:p w14:paraId="20F5AD90" w14:textId="77777777" w:rsidR="00344967" w:rsidRDefault="003449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6A0077"/>
    <w:multiLevelType w:val="hybridMultilevel"/>
    <w:tmpl w:val="24ECB7EC"/>
    <w:lvl w:ilvl="0" w:tplc="552E223E">
      <w:start w:val="6"/>
      <w:numFmt w:val="lowerRoman"/>
      <w:lvlText w:val="%1)"/>
      <w:lvlJc w:val="left"/>
      <w:pPr>
        <w:ind w:left="101" w:hanging="342"/>
      </w:pPr>
      <w:rPr>
        <w:rFonts w:ascii="Arial" w:eastAsia="Arial" w:hAnsi="Arial" w:cs="Arial" w:hint="default"/>
        <w:spacing w:val="-30"/>
        <w:w w:val="100"/>
        <w:sz w:val="22"/>
        <w:szCs w:val="22"/>
        <w:lang w:val="es-ES" w:eastAsia="en-US" w:bidi="ar-SA"/>
      </w:rPr>
    </w:lvl>
    <w:lvl w:ilvl="1" w:tplc="2D02EC36">
      <w:start w:val="1"/>
      <w:numFmt w:val="decimal"/>
      <w:lvlText w:val="%2."/>
      <w:lvlJc w:val="left"/>
      <w:pPr>
        <w:ind w:left="810" w:hanging="223"/>
      </w:pPr>
      <w:rPr>
        <w:rFonts w:ascii="Arial" w:eastAsia="Arial" w:hAnsi="Arial" w:cs="Arial" w:hint="default"/>
        <w:spacing w:val="-2"/>
        <w:w w:val="100"/>
        <w:sz w:val="20"/>
        <w:szCs w:val="20"/>
        <w:lang w:val="es-ES" w:eastAsia="en-US" w:bidi="ar-SA"/>
      </w:rPr>
    </w:lvl>
    <w:lvl w:ilvl="2" w:tplc="7318F244">
      <w:numFmt w:val="bullet"/>
      <w:lvlText w:val="•"/>
      <w:lvlJc w:val="left"/>
      <w:pPr>
        <w:ind w:left="820" w:hanging="223"/>
      </w:pPr>
      <w:rPr>
        <w:rFonts w:hint="default"/>
        <w:lang w:val="es-ES" w:eastAsia="en-US" w:bidi="ar-SA"/>
      </w:rPr>
    </w:lvl>
    <w:lvl w:ilvl="3" w:tplc="DB8C4936">
      <w:numFmt w:val="bullet"/>
      <w:lvlText w:val="•"/>
      <w:lvlJc w:val="left"/>
      <w:pPr>
        <w:ind w:left="1860" w:hanging="223"/>
      </w:pPr>
      <w:rPr>
        <w:rFonts w:hint="default"/>
        <w:lang w:val="es-ES" w:eastAsia="en-US" w:bidi="ar-SA"/>
      </w:rPr>
    </w:lvl>
    <w:lvl w:ilvl="4" w:tplc="2EC81ECA">
      <w:numFmt w:val="bullet"/>
      <w:lvlText w:val="•"/>
      <w:lvlJc w:val="left"/>
      <w:pPr>
        <w:ind w:left="2900" w:hanging="223"/>
      </w:pPr>
      <w:rPr>
        <w:rFonts w:hint="default"/>
        <w:lang w:val="es-ES" w:eastAsia="en-US" w:bidi="ar-SA"/>
      </w:rPr>
    </w:lvl>
    <w:lvl w:ilvl="5" w:tplc="6F2ECCAA">
      <w:numFmt w:val="bullet"/>
      <w:lvlText w:val="•"/>
      <w:lvlJc w:val="left"/>
      <w:pPr>
        <w:ind w:left="3940" w:hanging="223"/>
      </w:pPr>
      <w:rPr>
        <w:rFonts w:hint="default"/>
        <w:lang w:val="es-ES" w:eastAsia="en-US" w:bidi="ar-SA"/>
      </w:rPr>
    </w:lvl>
    <w:lvl w:ilvl="6" w:tplc="437A2134">
      <w:numFmt w:val="bullet"/>
      <w:lvlText w:val="•"/>
      <w:lvlJc w:val="left"/>
      <w:pPr>
        <w:ind w:left="4980" w:hanging="223"/>
      </w:pPr>
      <w:rPr>
        <w:rFonts w:hint="default"/>
        <w:lang w:val="es-ES" w:eastAsia="en-US" w:bidi="ar-SA"/>
      </w:rPr>
    </w:lvl>
    <w:lvl w:ilvl="7" w:tplc="33383F0C">
      <w:numFmt w:val="bullet"/>
      <w:lvlText w:val="•"/>
      <w:lvlJc w:val="left"/>
      <w:pPr>
        <w:ind w:left="6020" w:hanging="223"/>
      </w:pPr>
      <w:rPr>
        <w:rFonts w:hint="default"/>
        <w:lang w:val="es-ES" w:eastAsia="en-US" w:bidi="ar-SA"/>
      </w:rPr>
    </w:lvl>
    <w:lvl w:ilvl="8" w:tplc="31784A02">
      <w:numFmt w:val="bullet"/>
      <w:lvlText w:val="•"/>
      <w:lvlJc w:val="left"/>
      <w:pPr>
        <w:ind w:left="7060" w:hanging="223"/>
      </w:pPr>
      <w:rPr>
        <w:rFonts w:hint="default"/>
        <w:lang w:val="es-ES" w:eastAsia="en-US" w:bidi="ar-SA"/>
      </w:rPr>
    </w:lvl>
  </w:abstractNum>
  <w:abstractNum w:abstractNumId="1" w15:restartNumberingAfterBreak="0">
    <w:nsid w:val="4DA75116"/>
    <w:multiLevelType w:val="hybridMultilevel"/>
    <w:tmpl w:val="1F1AA42E"/>
    <w:lvl w:ilvl="0" w:tplc="E7183A5A">
      <w:start w:val="1"/>
      <w:numFmt w:val="lowerRoman"/>
      <w:lvlText w:val="%1)"/>
      <w:lvlJc w:val="left"/>
      <w:pPr>
        <w:ind w:left="101" w:hanging="181"/>
      </w:pPr>
      <w:rPr>
        <w:rFonts w:ascii="Arial" w:eastAsia="Arial" w:hAnsi="Arial" w:cs="Arial" w:hint="default"/>
        <w:color w:val="0C0C0C"/>
        <w:spacing w:val="-1"/>
        <w:w w:val="100"/>
        <w:sz w:val="22"/>
        <w:szCs w:val="22"/>
        <w:lang w:val="es-ES" w:eastAsia="en-US" w:bidi="ar-SA"/>
      </w:rPr>
    </w:lvl>
    <w:lvl w:ilvl="1" w:tplc="09EE675C">
      <w:numFmt w:val="bullet"/>
      <w:lvlText w:val="•"/>
      <w:lvlJc w:val="left"/>
      <w:pPr>
        <w:ind w:left="1004" w:hanging="181"/>
      </w:pPr>
      <w:rPr>
        <w:rFonts w:hint="default"/>
        <w:lang w:val="es-ES" w:eastAsia="en-US" w:bidi="ar-SA"/>
      </w:rPr>
    </w:lvl>
    <w:lvl w:ilvl="2" w:tplc="A7E6CD9C">
      <w:numFmt w:val="bullet"/>
      <w:lvlText w:val="•"/>
      <w:lvlJc w:val="left"/>
      <w:pPr>
        <w:ind w:left="1908" w:hanging="181"/>
      </w:pPr>
      <w:rPr>
        <w:rFonts w:hint="default"/>
        <w:lang w:val="es-ES" w:eastAsia="en-US" w:bidi="ar-SA"/>
      </w:rPr>
    </w:lvl>
    <w:lvl w:ilvl="3" w:tplc="747ACE58">
      <w:numFmt w:val="bullet"/>
      <w:lvlText w:val="•"/>
      <w:lvlJc w:val="left"/>
      <w:pPr>
        <w:ind w:left="2812" w:hanging="181"/>
      </w:pPr>
      <w:rPr>
        <w:rFonts w:hint="default"/>
        <w:lang w:val="es-ES" w:eastAsia="en-US" w:bidi="ar-SA"/>
      </w:rPr>
    </w:lvl>
    <w:lvl w:ilvl="4" w:tplc="8C3EC726">
      <w:numFmt w:val="bullet"/>
      <w:lvlText w:val="•"/>
      <w:lvlJc w:val="left"/>
      <w:pPr>
        <w:ind w:left="3716" w:hanging="181"/>
      </w:pPr>
      <w:rPr>
        <w:rFonts w:hint="default"/>
        <w:lang w:val="es-ES" w:eastAsia="en-US" w:bidi="ar-SA"/>
      </w:rPr>
    </w:lvl>
    <w:lvl w:ilvl="5" w:tplc="96D4DC60">
      <w:numFmt w:val="bullet"/>
      <w:lvlText w:val="•"/>
      <w:lvlJc w:val="left"/>
      <w:pPr>
        <w:ind w:left="4620" w:hanging="181"/>
      </w:pPr>
      <w:rPr>
        <w:rFonts w:hint="default"/>
        <w:lang w:val="es-ES" w:eastAsia="en-US" w:bidi="ar-SA"/>
      </w:rPr>
    </w:lvl>
    <w:lvl w:ilvl="6" w:tplc="CA022AFA">
      <w:numFmt w:val="bullet"/>
      <w:lvlText w:val="•"/>
      <w:lvlJc w:val="left"/>
      <w:pPr>
        <w:ind w:left="5524" w:hanging="181"/>
      </w:pPr>
      <w:rPr>
        <w:rFonts w:hint="default"/>
        <w:lang w:val="es-ES" w:eastAsia="en-US" w:bidi="ar-SA"/>
      </w:rPr>
    </w:lvl>
    <w:lvl w:ilvl="7" w:tplc="333CEA02">
      <w:numFmt w:val="bullet"/>
      <w:lvlText w:val="•"/>
      <w:lvlJc w:val="left"/>
      <w:pPr>
        <w:ind w:left="6428" w:hanging="181"/>
      </w:pPr>
      <w:rPr>
        <w:rFonts w:hint="default"/>
        <w:lang w:val="es-ES" w:eastAsia="en-US" w:bidi="ar-SA"/>
      </w:rPr>
    </w:lvl>
    <w:lvl w:ilvl="8" w:tplc="EA78AC7C">
      <w:numFmt w:val="bullet"/>
      <w:lvlText w:val="•"/>
      <w:lvlJc w:val="left"/>
      <w:pPr>
        <w:ind w:left="7332" w:hanging="181"/>
      </w:pPr>
      <w:rPr>
        <w:rFonts w:hint="default"/>
        <w:lang w:val="es-ES" w:eastAsia="en-US" w:bidi="ar-SA"/>
      </w:rPr>
    </w:lvl>
  </w:abstractNum>
  <w:abstractNum w:abstractNumId="2" w15:restartNumberingAfterBreak="0">
    <w:nsid w:val="56497849"/>
    <w:multiLevelType w:val="multilevel"/>
    <w:tmpl w:val="8E9EA852"/>
    <w:lvl w:ilvl="0">
      <w:start w:val="1"/>
      <w:numFmt w:val="decimal"/>
      <w:lvlText w:val="%1."/>
      <w:lvlJc w:val="left"/>
      <w:pPr>
        <w:ind w:left="345" w:hanging="245"/>
      </w:pPr>
      <w:rPr>
        <w:rFonts w:ascii="Arial" w:eastAsia="Arial" w:hAnsi="Arial" w:cs="Arial" w:hint="default"/>
        <w:b/>
        <w:bCs/>
        <w:spacing w:val="-1"/>
        <w:w w:val="100"/>
        <w:sz w:val="22"/>
        <w:szCs w:val="22"/>
        <w:lang w:val="es-ES" w:eastAsia="en-US" w:bidi="ar-SA"/>
      </w:rPr>
    </w:lvl>
    <w:lvl w:ilvl="1">
      <w:start w:val="1"/>
      <w:numFmt w:val="decimal"/>
      <w:lvlText w:val="%1.%2."/>
      <w:lvlJc w:val="left"/>
      <w:pPr>
        <w:ind w:left="528" w:hanging="428"/>
      </w:pPr>
      <w:rPr>
        <w:rFonts w:ascii="Arial" w:eastAsia="Arial" w:hAnsi="Arial" w:cs="Arial" w:hint="default"/>
        <w:b/>
        <w:bCs/>
        <w:spacing w:val="-1"/>
        <w:w w:val="100"/>
        <w:sz w:val="22"/>
        <w:szCs w:val="22"/>
        <w:lang w:val="es-ES" w:eastAsia="en-US" w:bidi="ar-SA"/>
      </w:rPr>
    </w:lvl>
    <w:lvl w:ilvl="2">
      <w:numFmt w:val="bullet"/>
      <w:lvlText w:val="•"/>
      <w:lvlJc w:val="left"/>
      <w:pPr>
        <w:ind w:left="1477" w:hanging="428"/>
      </w:pPr>
      <w:rPr>
        <w:rFonts w:hint="default"/>
        <w:lang w:val="es-ES" w:eastAsia="en-US" w:bidi="ar-SA"/>
      </w:rPr>
    </w:lvl>
    <w:lvl w:ilvl="3">
      <w:numFmt w:val="bullet"/>
      <w:lvlText w:val="•"/>
      <w:lvlJc w:val="left"/>
      <w:pPr>
        <w:ind w:left="2435" w:hanging="428"/>
      </w:pPr>
      <w:rPr>
        <w:rFonts w:hint="default"/>
        <w:lang w:val="es-ES" w:eastAsia="en-US" w:bidi="ar-SA"/>
      </w:rPr>
    </w:lvl>
    <w:lvl w:ilvl="4">
      <w:numFmt w:val="bullet"/>
      <w:lvlText w:val="•"/>
      <w:lvlJc w:val="left"/>
      <w:pPr>
        <w:ind w:left="3393" w:hanging="428"/>
      </w:pPr>
      <w:rPr>
        <w:rFonts w:hint="default"/>
        <w:lang w:val="es-ES" w:eastAsia="en-US" w:bidi="ar-SA"/>
      </w:rPr>
    </w:lvl>
    <w:lvl w:ilvl="5">
      <w:numFmt w:val="bullet"/>
      <w:lvlText w:val="•"/>
      <w:lvlJc w:val="left"/>
      <w:pPr>
        <w:ind w:left="4351" w:hanging="428"/>
      </w:pPr>
      <w:rPr>
        <w:rFonts w:hint="default"/>
        <w:lang w:val="es-ES" w:eastAsia="en-US" w:bidi="ar-SA"/>
      </w:rPr>
    </w:lvl>
    <w:lvl w:ilvl="6">
      <w:numFmt w:val="bullet"/>
      <w:lvlText w:val="•"/>
      <w:lvlJc w:val="left"/>
      <w:pPr>
        <w:ind w:left="5308" w:hanging="428"/>
      </w:pPr>
      <w:rPr>
        <w:rFonts w:hint="default"/>
        <w:lang w:val="es-ES" w:eastAsia="en-US" w:bidi="ar-SA"/>
      </w:rPr>
    </w:lvl>
    <w:lvl w:ilvl="7">
      <w:numFmt w:val="bullet"/>
      <w:lvlText w:val="•"/>
      <w:lvlJc w:val="left"/>
      <w:pPr>
        <w:ind w:left="6266" w:hanging="428"/>
      </w:pPr>
      <w:rPr>
        <w:rFonts w:hint="default"/>
        <w:lang w:val="es-ES" w:eastAsia="en-US" w:bidi="ar-SA"/>
      </w:rPr>
    </w:lvl>
    <w:lvl w:ilvl="8">
      <w:numFmt w:val="bullet"/>
      <w:lvlText w:val="•"/>
      <w:lvlJc w:val="left"/>
      <w:pPr>
        <w:ind w:left="7224" w:hanging="428"/>
      </w:pPr>
      <w:rPr>
        <w:rFonts w:hint="default"/>
        <w:lang w:val="es-ES" w:eastAsia="en-US" w:bidi="ar-SA"/>
      </w:rPr>
    </w:lvl>
  </w:abstractNum>
  <w:num w:numId="1" w16cid:durableId="2067489924">
    <w:abstractNumId w:val="0"/>
  </w:num>
  <w:num w:numId="2" w16cid:durableId="1813209037">
    <w:abstractNumId w:val="1"/>
  </w:num>
  <w:num w:numId="3" w16cid:durableId="6842119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510"/>
    <w:rsid w:val="00025987"/>
    <w:rsid w:val="00344967"/>
    <w:rsid w:val="00390730"/>
    <w:rsid w:val="00444262"/>
    <w:rsid w:val="00653510"/>
    <w:rsid w:val="00A00A85"/>
    <w:rsid w:val="00B73AAE"/>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D159A8"/>
  <w15:docId w15:val="{88686CF4-C215-874A-9C36-D61AC6CD8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100"/>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100"/>
    </w:pPr>
  </w:style>
  <w:style w:type="paragraph" w:customStyle="1" w:styleId="TableParagraph">
    <w:name w:val="Table Paragraph"/>
    <w:basedOn w:val="Normal"/>
    <w:uiPriority w:val="1"/>
    <w:qFormat/>
  </w:style>
  <w:style w:type="character" w:styleId="Refdecomentario">
    <w:name w:val="annotation reference"/>
    <w:basedOn w:val="Fuentedeprrafopredeter"/>
    <w:uiPriority w:val="99"/>
    <w:semiHidden/>
    <w:unhideWhenUsed/>
    <w:rsid w:val="00A00A85"/>
    <w:rPr>
      <w:sz w:val="16"/>
      <w:szCs w:val="16"/>
    </w:rPr>
  </w:style>
  <w:style w:type="paragraph" w:customStyle="1" w:styleId="Textocomentario1">
    <w:name w:val="Texto comentario1"/>
    <w:basedOn w:val="Normal"/>
    <w:next w:val="Textocomentario"/>
    <w:link w:val="TextocomentarioCar"/>
    <w:uiPriority w:val="99"/>
    <w:semiHidden/>
    <w:unhideWhenUsed/>
    <w:rsid w:val="00A00A85"/>
    <w:pPr>
      <w:widowControl/>
      <w:autoSpaceDE/>
      <w:autoSpaceDN/>
    </w:pPr>
    <w:rPr>
      <w:rFonts w:asciiTheme="minorHAnsi" w:eastAsiaTheme="minorHAnsi" w:hAnsiTheme="minorHAnsi" w:cstheme="minorBidi"/>
      <w:sz w:val="20"/>
      <w:szCs w:val="20"/>
      <w:lang w:val="es-MX"/>
    </w:rPr>
  </w:style>
  <w:style w:type="character" w:customStyle="1" w:styleId="TextocomentarioCar">
    <w:name w:val="Texto comentario Car"/>
    <w:basedOn w:val="Fuentedeprrafopredeter"/>
    <w:link w:val="Textocomentario1"/>
    <w:uiPriority w:val="99"/>
    <w:semiHidden/>
    <w:rsid w:val="00A00A85"/>
    <w:rPr>
      <w:sz w:val="20"/>
      <w:szCs w:val="20"/>
      <w:lang w:val="es-MX"/>
    </w:rPr>
  </w:style>
  <w:style w:type="paragraph" w:styleId="Textocomentario">
    <w:name w:val="annotation text"/>
    <w:basedOn w:val="Normal"/>
    <w:link w:val="TextocomentarioCar1"/>
    <w:uiPriority w:val="99"/>
    <w:semiHidden/>
    <w:unhideWhenUsed/>
    <w:rsid w:val="00A00A85"/>
    <w:rPr>
      <w:sz w:val="20"/>
      <w:szCs w:val="20"/>
    </w:rPr>
  </w:style>
  <w:style w:type="character" w:customStyle="1" w:styleId="TextocomentarioCar1">
    <w:name w:val="Texto comentario Car1"/>
    <w:basedOn w:val="Fuentedeprrafopredeter"/>
    <w:link w:val="Textocomentario"/>
    <w:uiPriority w:val="99"/>
    <w:semiHidden/>
    <w:rsid w:val="00A00A85"/>
    <w:rPr>
      <w:rFonts w:ascii="Arial" w:eastAsia="Arial" w:hAnsi="Arial" w:cs="Arial"/>
      <w:sz w:val="20"/>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8CABE5D2-C1FB-4C4A-96E8-4AA5B6BA25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A9E5BD-9312-4A17-BAF6-63880D1FA66C}">
  <ds:schemaRefs>
    <ds:schemaRef ds:uri="http://schemas.microsoft.com/sharepoint/v3/contenttype/forms"/>
  </ds:schemaRefs>
</ds:datastoreItem>
</file>

<file path=customXml/itemProps3.xml><?xml version="1.0" encoding="utf-8"?>
<ds:datastoreItem xmlns:ds="http://schemas.openxmlformats.org/officeDocument/2006/customXml" ds:itemID="{CC2CD444-69F2-4708-A30A-F6D9BF6F9CC6}">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5619</Words>
  <Characters>30908</Characters>
  <Application>Microsoft Office Word</Application>
  <DocSecurity>0</DocSecurity>
  <Lines>257</Lines>
  <Paragraphs>72</Paragraphs>
  <ScaleCrop>false</ScaleCrop>
  <Company/>
  <LinksUpToDate>false</LinksUpToDate>
  <CharactersWithSpaces>36455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Natalia Londoño</dc:creator>
  <cp:lastModifiedBy>Martin Rojas Mejia</cp:lastModifiedBy>
  <cp:revision>4</cp:revision>
  <dcterms:created xsi:type="dcterms:W3CDTF">2022-04-07T14:25:00Z</dcterms:created>
  <dcterms:modified xsi:type="dcterms:W3CDTF">2022-05-03T21:09:00Z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2021-04-09T00:00:00Z</vt:filetime>
  </property>
  <property fmtid="{D5CDD505-2E9C-101B-9397-08002B2CF9AE}" pid="3" name="LastSaved">
    <vt:filetime>2021-04-09T00:00:00Z</vt:filetime>
  </property>
  <property fmtid="{D5CDD505-2E9C-101B-9397-08002B2CF9AE}" pid="4" name="ContentTypeId">
    <vt:lpwstr>0x010100F2E0F32964D9B84EA054B84E5D4157A0</vt:lpwstr>
  </property>
</Properties>
</file>