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17A30" w14:textId="77777777" w:rsidR="0080118E" w:rsidRPr="000E3161" w:rsidRDefault="0080118E" w:rsidP="0080118E">
      <w:pPr>
        <w:spacing w:line="276" w:lineRule="auto"/>
        <w:rPr>
          <w:rFonts w:ascii="Verdana" w:eastAsia="Calibri" w:hAnsi="Verdana" w:cs="Arial"/>
          <w:b/>
          <w:bCs/>
          <w:lang w:val="es-ES" w:eastAsia="es-ES"/>
        </w:rPr>
      </w:pPr>
      <w:r w:rsidRPr="000E3161">
        <w:rPr>
          <w:rFonts w:ascii="Verdana" w:eastAsia="Calibri" w:hAnsi="Verdana" w:cs="Arial"/>
          <w:b/>
          <w:bCs/>
          <w:lang w:val="es-ES" w:eastAsia="es-ES"/>
        </w:rPr>
        <w:t>CÓMPUTO EXPERIENCIA PROFESIONAL – Régimen jurídico aplicable</w:t>
      </w:r>
    </w:p>
    <w:p w14:paraId="1D395D34" w14:textId="77777777" w:rsidR="0080118E" w:rsidRDefault="0080118E" w:rsidP="0080118E">
      <w:pPr>
        <w:spacing w:before="120" w:after="0" w:line="276" w:lineRule="auto"/>
        <w:jc w:val="both"/>
        <w:rPr>
          <w:rFonts w:ascii="Verdana" w:hAnsi="Verdana" w:cs="Arial"/>
          <w:color w:val="000000" w:themeColor="text1"/>
        </w:rPr>
      </w:pPr>
      <w:r>
        <w:rPr>
          <w:rFonts w:ascii="Verdana" w:hAnsi="Verdana" w:cs="Arial"/>
          <w:color w:val="000000" w:themeColor="text1"/>
        </w:rPr>
        <w:t xml:space="preserve">La experiencia profesional en general para las profesiones acreditadas por el Ministerio de Educación se contabiliza a partir de la terminación y aprobación del pénsum académico de educación superior, siempre que el profesional acredite que trabajó desde ese momento. Como excepción, esta norma dispone que a las profesiones relacionadas con el sector salud se les contabilizará la experiencia profesional a partir de la inscripción o registro profesional. </w:t>
      </w:r>
    </w:p>
    <w:p w14:paraId="3CB95E98" w14:textId="77777777" w:rsidR="0080118E" w:rsidRPr="003C068C" w:rsidRDefault="0080118E" w:rsidP="0080118E">
      <w:pPr>
        <w:spacing w:before="120" w:after="120" w:line="276" w:lineRule="auto"/>
        <w:ind w:right="51"/>
        <w:jc w:val="both"/>
        <w:rPr>
          <w:rFonts w:ascii="Verdana" w:eastAsia="Calibri" w:hAnsi="Verdana" w:cs="Arial"/>
          <w:lang w:val="es-MX"/>
        </w:rPr>
      </w:pPr>
      <w:r>
        <w:rPr>
          <w:rFonts w:ascii="Verdana" w:eastAsia="Calibri" w:hAnsi="Verdana" w:cs="Arial"/>
          <w:lang w:val="es-MX"/>
        </w:rPr>
        <w:t>Otra excepción a esta regla general</w:t>
      </w:r>
      <w:r w:rsidRPr="003C068C">
        <w:rPr>
          <w:rFonts w:ascii="Verdana" w:eastAsia="Calibri" w:hAnsi="Verdana" w:cs="Arial"/>
          <w:lang w:val="es-MX"/>
        </w:rPr>
        <w:t xml:space="preserve">, </w:t>
      </w:r>
      <w:r>
        <w:rPr>
          <w:rFonts w:ascii="Verdana" w:eastAsia="Calibri" w:hAnsi="Verdana" w:cs="Arial"/>
          <w:lang w:val="es-MX"/>
        </w:rPr>
        <w:t>se da con la</w:t>
      </w:r>
      <w:r w:rsidRPr="003C068C">
        <w:rPr>
          <w:rFonts w:ascii="Verdana" w:eastAsia="Calibri" w:hAnsi="Verdana" w:cs="Arial"/>
          <w:lang w:val="es-MX"/>
        </w:rPr>
        <w:t xml:space="preserve"> Ley 1955 de 2019 </w:t>
      </w:r>
      <w:r>
        <w:rPr>
          <w:rFonts w:ascii="Verdana" w:eastAsia="Calibri" w:hAnsi="Verdana" w:cs="Arial"/>
          <w:lang w:val="es-MX"/>
        </w:rPr>
        <w:t>que</w:t>
      </w:r>
      <w:r w:rsidRPr="003C068C">
        <w:rPr>
          <w:rFonts w:ascii="Verdana" w:eastAsia="Calibri" w:hAnsi="Verdana" w:cs="Arial"/>
          <w:lang w:val="es-MX"/>
        </w:rPr>
        <w:t xml:space="preserve"> permite contar como experiencia profesional las prácticas laborales realizadas por estudiantes para obtener el título de grado. De acuerdo con el artículo 15 de la Ley 1780 de 2016,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w:t>
      </w:r>
    </w:p>
    <w:p w14:paraId="2E6ECABB" w14:textId="77777777" w:rsidR="0080118E" w:rsidRDefault="0080118E" w:rsidP="0080118E">
      <w:pPr>
        <w:spacing w:after="0" w:line="240" w:lineRule="auto"/>
        <w:rPr>
          <w:rFonts w:ascii="Verdana" w:eastAsia="Geomanist Light" w:hAnsi="Verdana" w:cs="Arial"/>
          <w:color w:val="000000" w:themeColor="text1"/>
          <w:lang w:val="es-MX"/>
        </w:rPr>
      </w:pPr>
    </w:p>
    <w:p w14:paraId="6B6435C8" w14:textId="77777777" w:rsidR="0080118E" w:rsidRDefault="0080118E" w:rsidP="0080118E">
      <w:pPr>
        <w:spacing w:after="0" w:line="240" w:lineRule="auto"/>
        <w:rPr>
          <w:rFonts w:ascii="Verdana" w:eastAsia="Geomanist Light" w:hAnsi="Verdana" w:cs="Arial"/>
          <w:color w:val="000000" w:themeColor="text1"/>
          <w:lang w:val="es-MX"/>
        </w:rPr>
      </w:pPr>
    </w:p>
    <w:p w14:paraId="7E702F4A" w14:textId="77777777" w:rsidR="0080118E" w:rsidRDefault="0080118E" w:rsidP="0080118E">
      <w:pPr>
        <w:spacing w:after="0" w:line="240" w:lineRule="auto"/>
        <w:rPr>
          <w:rFonts w:ascii="Verdana" w:eastAsia="Geomanist Light" w:hAnsi="Verdana" w:cs="Arial"/>
          <w:color w:val="000000" w:themeColor="text1"/>
          <w:lang w:val="es-MX"/>
        </w:rPr>
      </w:pPr>
    </w:p>
    <w:p w14:paraId="30D330FB" w14:textId="77777777" w:rsidR="0080118E" w:rsidRDefault="0080118E" w:rsidP="0080118E">
      <w:pPr>
        <w:spacing w:after="0" w:line="240" w:lineRule="auto"/>
        <w:rPr>
          <w:rFonts w:ascii="Verdana" w:eastAsia="Geomanist Light" w:hAnsi="Verdana" w:cs="Arial"/>
          <w:color w:val="000000" w:themeColor="text1"/>
          <w:lang w:val="es-MX"/>
        </w:rPr>
      </w:pPr>
    </w:p>
    <w:p w14:paraId="310AD3D8" w14:textId="77777777" w:rsidR="0080118E" w:rsidRDefault="0080118E" w:rsidP="0080118E">
      <w:pPr>
        <w:spacing w:after="0" w:line="240" w:lineRule="auto"/>
        <w:rPr>
          <w:rFonts w:ascii="Verdana" w:eastAsia="Geomanist Light" w:hAnsi="Verdana" w:cs="Arial"/>
          <w:color w:val="000000" w:themeColor="text1"/>
          <w:lang w:val="es-MX"/>
        </w:rPr>
      </w:pPr>
    </w:p>
    <w:p w14:paraId="076DC3F6" w14:textId="77777777" w:rsidR="0080118E" w:rsidRDefault="0080118E" w:rsidP="0080118E">
      <w:pPr>
        <w:spacing w:after="0" w:line="240" w:lineRule="auto"/>
        <w:rPr>
          <w:rFonts w:ascii="Verdana" w:eastAsia="Geomanist Light" w:hAnsi="Verdana" w:cs="Arial"/>
          <w:color w:val="000000" w:themeColor="text1"/>
          <w:lang w:val="es-MX"/>
        </w:rPr>
      </w:pPr>
    </w:p>
    <w:p w14:paraId="19037A94" w14:textId="77777777" w:rsidR="0080118E" w:rsidRDefault="0080118E" w:rsidP="0080118E">
      <w:pPr>
        <w:spacing w:after="0" w:line="240" w:lineRule="auto"/>
        <w:rPr>
          <w:rFonts w:ascii="Verdana" w:eastAsia="Geomanist Light" w:hAnsi="Verdana" w:cs="Arial"/>
          <w:color w:val="000000" w:themeColor="text1"/>
          <w:lang w:val="es-MX"/>
        </w:rPr>
      </w:pPr>
    </w:p>
    <w:p w14:paraId="35823ACF" w14:textId="77777777" w:rsidR="0080118E" w:rsidRDefault="0080118E" w:rsidP="0080118E">
      <w:pPr>
        <w:spacing w:after="0" w:line="240" w:lineRule="auto"/>
        <w:rPr>
          <w:rFonts w:ascii="Verdana" w:eastAsia="Geomanist Light" w:hAnsi="Verdana" w:cs="Arial"/>
          <w:color w:val="000000" w:themeColor="text1"/>
          <w:lang w:val="es-MX"/>
        </w:rPr>
      </w:pPr>
    </w:p>
    <w:p w14:paraId="6016F622" w14:textId="77777777" w:rsidR="0080118E" w:rsidRDefault="0080118E" w:rsidP="0080118E">
      <w:pPr>
        <w:spacing w:after="0" w:line="240" w:lineRule="auto"/>
        <w:rPr>
          <w:rFonts w:ascii="Verdana" w:eastAsia="Geomanist Light" w:hAnsi="Verdana" w:cs="Arial"/>
          <w:color w:val="000000" w:themeColor="text1"/>
          <w:lang w:val="es-MX"/>
        </w:rPr>
      </w:pPr>
    </w:p>
    <w:p w14:paraId="6BED5582" w14:textId="77777777" w:rsidR="0080118E" w:rsidRDefault="0080118E" w:rsidP="0080118E">
      <w:pPr>
        <w:spacing w:after="0" w:line="240" w:lineRule="auto"/>
        <w:rPr>
          <w:rFonts w:ascii="Verdana" w:eastAsia="Geomanist Light" w:hAnsi="Verdana" w:cs="Arial"/>
          <w:color w:val="000000" w:themeColor="text1"/>
          <w:lang w:val="es-MX"/>
        </w:rPr>
      </w:pPr>
    </w:p>
    <w:p w14:paraId="0AF6504B" w14:textId="77777777" w:rsidR="0080118E" w:rsidRDefault="0080118E" w:rsidP="0080118E">
      <w:pPr>
        <w:spacing w:after="0" w:line="240" w:lineRule="auto"/>
        <w:rPr>
          <w:rFonts w:ascii="Verdana" w:eastAsia="Geomanist Light" w:hAnsi="Verdana" w:cs="Arial"/>
          <w:color w:val="000000" w:themeColor="text1"/>
          <w:lang w:val="es-MX"/>
        </w:rPr>
      </w:pPr>
    </w:p>
    <w:p w14:paraId="26730EA9" w14:textId="77777777" w:rsidR="0080118E" w:rsidRDefault="0080118E" w:rsidP="0080118E">
      <w:pPr>
        <w:spacing w:after="0" w:line="240" w:lineRule="auto"/>
        <w:rPr>
          <w:rFonts w:ascii="Verdana" w:eastAsia="Geomanist Light" w:hAnsi="Verdana" w:cs="Arial"/>
          <w:color w:val="000000" w:themeColor="text1"/>
          <w:lang w:val="es-MX"/>
        </w:rPr>
      </w:pPr>
    </w:p>
    <w:p w14:paraId="270632D3" w14:textId="77777777" w:rsidR="0080118E" w:rsidRDefault="0080118E" w:rsidP="0080118E">
      <w:pPr>
        <w:spacing w:after="0" w:line="240" w:lineRule="auto"/>
        <w:rPr>
          <w:rFonts w:ascii="Verdana" w:eastAsia="Geomanist Light" w:hAnsi="Verdana" w:cs="Arial"/>
          <w:color w:val="000000" w:themeColor="text1"/>
          <w:lang w:val="es-MX"/>
        </w:rPr>
      </w:pPr>
    </w:p>
    <w:p w14:paraId="33D8A2CB" w14:textId="77777777" w:rsidR="0080118E" w:rsidRDefault="0080118E" w:rsidP="0080118E">
      <w:pPr>
        <w:spacing w:after="0" w:line="240" w:lineRule="auto"/>
        <w:rPr>
          <w:rFonts w:ascii="Verdana" w:eastAsia="Geomanist Light" w:hAnsi="Verdana" w:cs="Arial"/>
          <w:color w:val="000000" w:themeColor="text1"/>
          <w:lang w:val="es-MX"/>
        </w:rPr>
      </w:pPr>
    </w:p>
    <w:p w14:paraId="18EA0CEE" w14:textId="77777777" w:rsidR="0080118E" w:rsidRDefault="0080118E" w:rsidP="0080118E">
      <w:pPr>
        <w:spacing w:after="0" w:line="240" w:lineRule="auto"/>
        <w:rPr>
          <w:rFonts w:ascii="Verdana" w:eastAsia="Geomanist Light" w:hAnsi="Verdana" w:cs="Arial"/>
          <w:color w:val="000000" w:themeColor="text1"/>
          <w:lang w:val="es-MX"/>
        </w:rPr>
      </w:pPr>
    </w:p>
    <w:p w14:paraId="65FECF5D" w14:textId="77777777" w:rsidR="0080118E" w:rsidRDefault="0080118E" w:rsidP="0080118E">
      <w:pPr>
        <w:spacing w:after="0" w:line="240" w:lineRule="auto"/>
        <w:rPr>
          <w:rFonts w:ascii="Verdana" w:eastAsia="Geomanist Light" w:hAnsi="Verdana" w:cs="Arial"/>
          <w:color w:val="000000" w:themeColor="text1"/>
          <w:lang w:val="es-MX"/>
        </w:rPr>
      </w:pPr>
    </w:p>
    <w:p w14:paraId="7B6618DE" w14:textId="77777777" w:rsidR="0080118E" w:rsidRDefault="0080118E" w:rsidP="0080118E">
      <w:pPr>
        <w:spacing w:after="0" w:line="240" w:lineRule="auto"/>
        <w:rPr>
          <w:rFonts w:ascii="Verdana" w:eastAsia="Geomanist Light" w:hAnsi="Verdana" w:cs="Arial"/>
          <w:color w:val="000000" w:themeColor="text1"/>
          <w:lang w:val="es-MX"/>
        </w:rPr>
      </w:pPr>
    </w:p>
    <w:p w14:paraId="16D5070B" w14:textId="77777777" w:rsidR="0080118E" w:rsidRDefault="0080118E" w:rsidP="0080118E">
      <w:pPr>
        <w:spacing w:after="0" w:line="240" w:lineRule="auto"/>
        <w:rPr>
          <w:rFonts w:ascii="Verdana" w:eastAsia="Geomanist Light" w:hAnsi="Verdana" w:cs="Arial"/>
          <w:color w:val="000000" w:themeColor="text1"/>
          <w:lang w:val="es-MX"/>
        </w:rPr>
      </w:pPr>
    </w:p>
    <w:p w14:paraId="057BF75C" w14:textId="77777777" w:rsidR="0080118E" w:rsidRDefault="0080118E" w:rsidP="0080118E">
      <w:pPr>
        <w:spacing w:after="0" w:line="240" w:lineRule="auto"/>
        <w:rPr>
          <w:rFonts w:ascii="Verdana" w:eastAsia="Geomanist Light" w:hAnsi="Verdana" w:cs="Arial"/>
          <w:color w:val="000000" w:themeColor="text1"/>
          <w:lang w:val="es-MX"/>
        </w:rPr>
      </w:pPr>
    </w:p>
    <w:p w14:paraId="21ABC3BF" w14:textId="77777777" w:rsidR="0080118E" w:rsidRDefault="0080118E" w:rsidP="0080118E">
      <w:pPr>
        <w:spacing w:after="0" w:line="240" w:lineRule="auto"/>
        <w:rPr>
          <w:rFonts w:ascii="Verdana" w:eastAsia="Geomanist Light" w:hAnsi="Verdana" w:cs="Arial"/>
          <w:color w:val="000000" w:themeColor="text1"/>
          <w:lang w:val="es-MX"/>
        </w:rPr>
      </w:pPr>
    </w:p>
    <w:p w14:paraId="5AF5A981" w14:textId="77777777" w:rsidR="0080118E" w:rsidRDefault="0080118E" w:rsidP="0080118E">
      <w:pPr>
        <w:spacing w:after="0" w:line="240" w:lineRule="auto"/>
        <w:rPr>
          <w:rFonts w:ascii="Verdana" w:eastAsia="Geomanist Light" w:hAnsi="Verdana" w:cs="Arial"/>
          <w:color w:val="000000" w:themeColor="text1"/>
          <w:lang w:val="es-MX"/>
        </w:rPr>
      </w:pPr>
    </w:p>
    <w:p w14:paraId="1BB7F90C" w14:textId="77777777" w:rsidR="0080118E" w:rsidRDefault="0080118E" w:rsidP="0080118E">
      <w:pPr>
        <w:spacing w:after="0" w:line="240" w:lineRule="auto"/>
        <w:rPr>
          <w:rFonts w:ascii="Verdana" w:eastAsia="Geomanist Light" w:hAnsi="Verdana" w:cs="Arial"/>
          <w:color w:val="000000" w:themeColor="text1"/>
          <w:lang w:val="es-MX"/>
        </w:rPr>
      </w:pPr>
    </w:p>
    <w:p w14:paraId="781BD32A" w14:textId="77777777" w:rsidR="0080118E" w:rsidRDefault="0080118E" w:rsidP="0080118E">
      <w:pPr>
        <w:spacing w:after="0" w:line="240" w:lineRule="auto"/>
        <w:rPr>
          <w:rFonts w:ascii="Verdana" w:eastAsia="Geomanist Light" w:hAnsi="Verdana" w:cs="Arial"/>
          <w:color w:val="000000" w:themeColor="text1"/>
          <w:lang w:val="es-MX"/>
        </w:rPr>
      </w:pPr>
    </w:p>
    <w:p w14:paraId="7FCD2709" w14:textId="77777777" w:rsidR="0080118E" w:rsidRDefault="0080118E" w:rsidP="0080118E">
      <w:pPr>
        <w:spacing w:after="0" w:line="240" w:lineRule="auto"/>
        <w:rPr>
          <w:rFonts w:ascii="Verdana" w:eastAsia="Geomanist Light" w:hAnsi="Verdana" w:cs="Arial"/>
          <w:color w:val="000000" w:themeColor="text1"/>
          <w:lang w:val="es-MX"/>
        </w:rPr>
      </w:pPr>
    </w:p>
    <w:p w14:paraId="7C5F8152" w14:textId="44177CA8" w:rsidR="0080118E" w:rsidRPr="00593A5F" w:rsidRDefault="00FD2CA0" w:rsidP="0080118E">
      <w:pPr>
        <w:spacing w:after="0" w:line="240" w:lineRule="auto"/>
        <w:rPr>
          <w:rFonts w:ascii="Verdana" w:eastAsia="Geomanist Light" w:hAnsi="Verdana" w:cs="Arial"/>
          <w:color w:val="201F1E"/>
          <w:lang w:val="es-MX"/>
        </w:rPr>
      </w:pPr>
      <w:r>
        <w:rPr>
          <w:rFonts w:ascii="Verdana" w:eastAsia="Calibri" w:hAnsi="Verdana" w:cs="Arial"/>
          <w:b/>
          <w:bCs/>
          <w:noProof/>
          <w:lang w:val="es-ES" w:eastAsia="es-ES"/>
        </w:rPr>
        <w:lastRenderedPageBreak/>
        <w:drawing>
          <wp:anchor distT="0" distB="0" distL="114300" distR="114300" simplePos="0" relativeHeight="251658240" behindDoc="0" locked="0" layoutInCell="1" allowOverlap="1" wp14:anchorId="42FF19F8" wp14:editId="4EE6754A">
            <wp:simplePos x="0" y="0"/>
            <wp:positionH relativeFrom="column">
              <wp:posOffset>2685415</wp:posOffset>
            </wp:positionH>
            <wp:positionV relativeFrom="paragraph">
              <wp:posOffset>85090</wp:posOffset>
            </wp:positionV>
            <wp:extent cx="2800350" cy="89535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800350" cy="895350"/>
                    </a:xfrm>
                    <a:prstGeom prst="rect">
                      <a:avLst/>
                    </a:prstGeom>
                  </pic:spPr>
                </pic:pic>
              </a:graphicData>
            </a:graphic>
            <wp14:sizeRelH relativeFrom="page">
              <wp14:pctWidth>0</wp14:pctWidth>
            </wp14:sizeRelH>
            <wp14:sizeRelV relativeFrom="page">
              <wp14:pctHeight>0</wp14:pctHeight>
            </wp14:sizeRelV>
          </wp:anchor>
        </w:drawing>
      </w:r>
      <w:r w:rsidR="0080118E" w:rsidRPr="00593A5F">
        <w:rPr>
          <w:rFonts w:ascii="Verdana" w:eastAsia="Geomanist Light" w:hAnsi="Verdana" w:cs="Arial"/>
          <w:color w:val="000000" w:themeColor="text1"/>
          <w:lang w:val="es-MX"/>
        </w:rPr>
        <w:t>Bogotá D.C., </w:t>
      </w:r>
      <w:r>
        <w:rPr>
          <w:rFonts w:ascii="Verdana" w:eastAsia="Geomanist Light" w:hAnsi="Verdana" w:cs="Arial"/>
          <w:color w:val="201F1E"/>
          <w:lang w:val="es-MX"/>
        </w:rPr>
        <w:t xml:space="preserve">14 de </w:t>
      </w:r>
      <w:proofErr w:type="gramStart"/>
      <w:r>
        <w:rPr>
          <w:rFonts w:ascii="Verdana" w:eastAsia="Geomanist Light" w:hAnsi="Verdana" w:cs="Arial"/>
          <w:color w:val="201F1E"/>
          <w:lang w:val="es-MX"/>
        </w:rPr>
        <w:t>Marzo</w:t>
      </w:r>
      <w:proofErr w:type="gramEnd"/>
      <w:r>
        <w:rPr>
          <w:rFonts w:ascii="Verdana" w:eastAsia="Geomanist Light" w:hAnsi="Verdana" w:cs="Arial"/>
          <w:color w:val="201F1E"/>
          <w:lang w:val="es-MX"/>
        </w:rPr>
        <w:t xml:space="preserve"> de 2025</w:t>
      </w:r>
    </w:p>
    <w:p w14:paraId="76F12D22" w14:textId="6CEEB9E5" w:rsidR="0080118E" w:rsidRPr="00593A5F" w:rsidRDefault="0080118E" w:rsidP="0080118E">
      <w:pPr>
        <w:spacing w:after="0" w:line="240" w:lineRule="auto"/>
        <w:jc w:val="both"/>
        <w:rPr>
          <w:rFonts w:ascii="Verdana" w:eastAsia="Calibri" w:hAnsi="Verdana" w:cs="Arial"/>
          <w:color w:val="000000"/>
          <w:lang w:val="es-ES"/>
        </w:rPr>
      </w:pPr>
    </w:p>
    <w:p w14:paraId="1D5D656B" w14:textId="5F20B3BF" w:rsidR="0080118E" w:rsidRDefault="0080118E" w:rsidP="0080118E">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23087B49" w14:textId="459FB105" w:rsidR="0080118E" w:rsidRPr="00C52C19" w:rsidRDefault="0080118E" w:rsidP="0080118E">
      <w:pPr>
        <w:spacing w:after="0" w:line="240" w:lineRule="auto"/>
        <w:jc w:val="both"/>
        <w:rPr>
          <w:rFonts w:ascii="Verdana" w:eastAsia="Calibri" w:hAnsi="Verdana" w:cs="Arial"/>
          <w:lang w:val="es-ES" w:eastAsia="es-ES"/>
        </w:rPr>
      </w:pPr>
      <w:r>
        <w:rPr>
          <w:rFonts w:ascii="Verdana" w:eastAsia="Calibri" w:hAnsi="Verdana" w:cs="Arial"/>
          <w:lang w:val="es-ES" w:eastAsia="es-ES"/>
        </w:rPr>
        <w:t xml:space="preserve">Johny Hernando Castro </w:t>
      </w:r>
      <w:proofErr w:type="spellStart"/>
      <w:r>
        <w:rPr>
          <w:rFonts w:ascii="Verdana" w:eastAsia="Calibri" w:hAnsi="Verdana" w:cs="Arial"/>
          <w:lang w:val="es-ES" w:eastAsia="es-ES"/>
        </w:rPr>
        <w:t>Leon</w:t>
      </w:r>
      <w:proofErr w:type="spellEnd"/>
    </w:p>
    <w:p w14:paraId="176E68F4" w14:textId="1EFF7123" w:rsidR="0080118E" w:rsidRDefault="004D4BDE" w:rsidP="0080118E">
      <w:pPr>
        <w:spacing w:after="0" w:line="240" w:lineRule="auto"/>
        <w:rPr>
          <w:rFonts w:ascii="Verdana" w:eastAsia="Calibri" w:hAnsi="Verdana" w:cs="Arial"/>
          <w:u w:val="single"/>
          <w:lang w:val="es-ES" w:eastAsia="es-ES"/>
        </w:rPr>
      </w:pPr>
      <w:hyperlink r:id="rId11" w:history="1">
        <w:r w:rsidR="0080118E" w:rsidRPr="00F747B0">
          <w:rPr>
            <w:rStyle w:val="Hipervnculo"/>
            <w:rFonts w:ascii="Verdana" w:eastAsia="Calibri" w:hAnsi="Verdana" w:cs="Arial"/>
            <w:lang w:val="es-ES" w:eastAsia="es-ES"/>
          </w:rPr>
          <w:t>jcastro@ofb.gov.co</w:t>
        </w:r>
      </w:hyperlink>
    </w:p>
    <w:p w14:paraId="01BD0C6C" w14:textId="4A053037" w:rsidR="0080118E" w:rsidRPr="00B96799" w:rsidRDefault="0080118E" w:rsidP="0080118E">
      <w:pPr>
        <w:spacing w:after="0" w:line="240" w:lineRule="auto"/>
        <w:rPr>
          <w:rFonts w:ascii="Verdana" w:eastAsia="Calibri" w:hAnsi="Verdana" w:cs="Arial"/>
          <w:b/>
          <w:bCs/>
          <w:lang w:val="es-ES" w:eastAsia="es-ES"/>
        </w:rPr>
      </w:pPr>
      <w:r>
        <w:rPr>
          <w:rFonts w:ascii="Verdana" w:eastAsia="Calibri" w:hAnsi="Verdana" w:cs="Arial"/>
          <w:lang w:val="es-ES" w:eastAsia="es-ES"/>
        </w:rPr>
        <w:t>Bogotá D.C.</w:t>
      </w:r>
      <w:r w:rsidRPr="00B96799">
        <w:rPr>
          <w:rFonts w:ascii="Verdana" w:eastAsia="Calibri" w:hAnsi="Verdana" w:cs="Arial"/>
          <w:lang w:val="es-ES" w:eastAsia="es-ES"/>
        </w:rPr>
        <w:t>, Cundinamarca</w:t>
      </w:r>
    </w:p>
    <w:p w14:paraId="4C922C0D" w14:textId="77777777" w:rsidR="0080118E" w:rsidRPr="00593A5F" w:rsidRDefault="0080118E" w:rsidP="0080118E">
      <w:pPr>
        <w:spacing w:after="0" w:line="240" w:lineRule="auto"/>
        <w:rPr>
          <w:rFonts w:ascii="Verdana" w:eastAsia="Calibri" w:hAnsi="Verdana" w:cs="Arial"/>
          <w:b/>
          <w:bCs/>
          <w:color w:val="000000"/>
          <w:lang w:val="es-ES_tradnl" w:eastAsia="es-ES_tradnl"/>
        </w:rPr>
      </w:pPr>
    </w:p>
    <w:p w14:paraId="1EB0DDFF" w14:textId="77777777" w:rsidR="0080118E" w:rsidRPr="00593A5F" w:rsidRDefault="0080118E" w:rsidP="0080118E">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0118E" w:rsidRPr="00593A5F" w14:paraId="08B43CD8" w14:textId="77777777" w:rsidTr="00BF26C9">
        <w:trPr>
          <w:trHeight w:val="884"/>
        </w:trPr>
        <w:tc>
          <w:tcPr>
            <w:tcW w:w="2689" w:type="dxa"/>
          </w:tcPr>
          <w:p w14:paraId="02414001" w14:textId="77777777" w:rsidR="0080118E" w:rsidRPr="00C00976" w:rsidRDefault="0080118E" w:rsidP="00BF26C9">
            <w:pPr>
              <w:jc w:val="both"/>
              <w:rPr>
                <w:rFonts w:ascii="Verdana" w:eastAsia="Calibri" w:hAnsi="Verdana" w:cs="Arial"/>
                <w:b/>
                <w:bCs/>
                <w:color w:val="7030A0"/>
                <w:lang w:val="es-ES_tradnl" w:eastAsia="es-ES_tradnl"/>
              </w:rPr>
            </w:pPr>
          </w:p>
        </w:tc>
        <w:tc>
          <w:tcPr>
            <w:tcW w:w="6100" w:type="dxa"/>
          </w:tcPr>
          <w:p w14:paraId="1C411AF7" w14:textId="77777777" w:rsidR="0080118E" w:rsidRPr="00C00976" w:rsidRDefault="0080118E" w:rsidP="00BF26C9">
            <w:pPr>
              <w:jc w:val="both"/>
              <w:rPr>
                <w:rFonts w:ascii="Verdana" w:eastAsia="Calibri" w:hAnsi="Verdana" w:cs="Arial"/>
                <w:b/>
                <w:bCs/>
                <w:color w:val="7030A0"/>
                <w:lang w:val="es-ES" w:eastAsia="es-ES"/>
              </w:rPr>
            </w:pPr>
            <w:r w:rsidRPr="00247BDE">
              <w:rPr>
                <w:rFonts w:ascii="Verdana" w:eastAsia="Calibri" w:hAnsi="Verdana" w:cs="Arial"/>
                <w:b/>
                <w:bCs/>
                <w:lang w:val="es-ES" w:eastAsia="es-ES"/>
              </w:rPr>
              <w:t>Concepto C-</w:t>
            </w:r>
            <w:r>
              <w:rPr>
                <w:rFonts w:ascii="Verdana" w:eastAsia="Calibri" w:hAnsi="Verdana" w:cs="Arial"/>
                <w:b/>
                <w:bCs/>
                <w:lang w:val="es-ES" w:eastAsia="es-ES"/>
              </w:rPr>
              <w:t>148</w:t>
            </w:r>
            <w:r w:rsidRPr="00C00976">
              <w:rPr>
                <w:rFonts w:ascii="Verdana" w:eastAsia="Calibri" w:hAnsi="Verdana" w:cs="Arial"/>
                <w:b/>
                <w:bCs/>
                <w:color w:val="7030A0"/>
                <w:lang w:val="es-ES" w:eastAsia="es-ES"/>
              </w:rPr>
              <w:t xml:space="preserve"> </w:t>
            </w:r>
            <w:r w:rsidRPr="00247BDE">
              <w:rPr>
                <w:rFonts w:ascii="Verdana" w:eastAsia="Calibri" w:hAnsi="Verdana" w:cs="Arial"/>
                <w:b/>
                <w:bCs/>
                <w:lang w:val="es-ES" w:eastAsia="es-ES"/>
              </w:rPr>
              <w:t>de</w:t>
            </w:r>
            <w:r w:rsidRPr="00C00976">
              <w:rPr>
                <w:rFonts w:ascii="Verdana" w:eastAsia="Calibri" w:hAnsi="Verdana" w:cs="Arial"/>
                <w:b/>
                <w:bCs/>
                <w:color w:val="7030A0"/>
                <w:lang w:val="es-ES" w:eastAsia="es-ES"/>
              </w:rPr>
              <w:t xml:space="preserve"> </w:t>
            </w:r>
            <w:r w:rsidRPr="00C52C19">
              <w:rPr>
                <w:rFonts w:ascii="Verdana" w:eastAsia="Calibri" w:hAnsi="Verdana" w:cs="Arial"/>
                <w:b/>
                <w:bCs/>
                <w:lang w:val="es-ES" w:eastAsia="es-ES"/>
              </w:rPr>
              <w:t>2025</w:t>
            </w:r>
          </w:p>
        </w:tc>
      </w:tr>
      <w:tr w:rsidR="0080118E" w:rsidRPr="00593A5F" w14:paraId="531D8331" w14:textId="77777777" w:rsidTr="00BF26C9">
        <w:trPr>
          <w:trHeight w:val="884"/>
        </w:trPr>
        <w:tc>
          <w:tcPr>
            <w:tcW w:w="2689" w:type="dxa"/>
          </w:tcPr>
          <w:p w14:paraId="058EDD0D" w14:textId="77777777" w:rsidR="0080118E" w:rsidRPr="00C52C19" w:rsidRDefault="0080118E" w:rsidP="00BF26C9">
            <w:pPr>
              <w:jc w:val="both"/>
              <w:rPr>
                <w:rFonts w:ascii="Verdana" w:eastAsia="Calibri" w:hAnsi="Verdana" w:cs="Arial"/>
                <w:lang w:val="es-ES_tradnl" w:eastAsia="es-ES_tradnl"/>
              </w:rPr>
            </w:pPr>
            <w:r w:rsidRPr="00C52C19">
              <w:rPr>
                <w:rFonts w:ascii="Verdana" w:eastAsia="Calibri" w:hAnsi="Verdana" w:cs="Arial"/>
                <w:b/>
                <w:lang w:val="es-ES_tradnl" w:eastAsia="es-ES_tradnl"/>
              </w:rPr>
              <w:t>Temas:</w:t>
            </w:r>
            <w:r w:rsidRPr="00C52C19">
              <w:rPr>
                <w:rFonts w:ascii="Verdana" w:eastAsia="Calibri" w:hAnsi="Verdana" w:cs="Arial"/>
                <w:lang w:val="es-ES_tradnl" w:eastAsia="es-ES_tradnl"/>
              </w:rPr>
              <w:t xml:space="preserve">                   </w:t>
            </w:r>
          </w:p>
        </w:tc>
        <w:tc>
          <w:tcPr>
            <w:tcW w:w="6100" w:type="dxa"/>
          </w:tcPr>
          <w:p w14:paraId="54C2E023" w14:textId="77777777" w:rsidR="0080118E" w:rsidRPr="00C52C19" w:rsidRDefault="0080118E" w:rsidP="00BF26C9">
            <w:pPr>
              <w:spacing w:line="276" w:lineRule="auto"/>
              <w:jc w:val="both"/>
              <w:rPr>
                <w:rFonts w:ascii="Verdana" w:eastAsia="Calibri" w:hAnsi="Verdana" w:cs="Arial"/>
                <w:lang w:val="es-ES" w:eastAsia="es-ES"/>
              </w:rPr>
            </w:pPr>
            <w:r w:rsidRPr="00C52C19">
              <w:rPr>
                <w:rFonts w:ascii="Verdana" w:eastAsia="Calibri" w:hAnsi="Verdana" w:cs="Arial"/>
                <w:lang w:val="es-ES" w:eastAsia="es-ES"/>
              </w:rPr>
              <w:t xml:space="preserve">CÓMPUTO EXPERIENCIA PROFESIONAL </w:t>
            </w:r>
            <w:r>
              <w:rPr>
                <w:rFonts w:ascii="Verdana" w:eastAsia="Calibri" w:hAnsi="Verdana" w:cs="Arial"/>
                <w:lang w:val="es-ES" w:eastAsia="es-ES"/>
              </w:rPr>
              <w:t>– Régimen jurídico aplicable</w:t>
            </w:r>
          </w:p>
        </w:tc>
      </w:tr>
      <w:tr w:rsidR="0080118E" w:rsidRPr="00593A5F" w14:paraId="554E032A" w14:textId="77777777" w:rsidTr="00BF26C9">
        <w:tc>
          <w:tcPr>
            <w:tcW w:w="2689" w:type="dxa"/>
          </w:tcPr>
          <w:p w14:paraId="2E3EDEE5" w14:textId="77777777" w:rsidR="0080118E" w:rsidRPr="00C52C19" w:rsidRDefault="0080118E" w:rsidP="00BF26C9">
            <w:pPr>
              <w:jc w:val="both"/>
              <w:rPr>
                <w:rFonts w:ascii="Verdana" w:eastAsia="Calibri" w:hAnsi="Verdana" w:cs="Arial"/>
                <w:b/>
                <w:lang w:val="es-ES_tradnl" w:eastAsia="es-ES_tradnl"/>
              </w:rPr>
            </w:pPr>
            <w:r w:rsidRPr="00C52C19">
              <w:rPr>
                <w:rFonts w:ascii="Verdana" w:eastAsia="Calibri" w:hAnsi="Verdana" w:cs="Arial"/>
                <w:b/>
                <w:lang w:val="es-ES_tradnl" w:eastAsia="es-ES_tradnl"/>
              </w:rPr>
              <w:t>Radicación:</w:t>
            </w:r>
            <w:r w:rsidRPr="00C52C19">
              <w:rPr>
                <w:rFonts w:ascii="Verdana" w:eastAsia="Calibri" w:hAnsi="Verdana" w:cs="Arial"/>
                <w:lang w:val="es-ES_tradnl" w:eastAsia="es-ES_tradnl"/>
              </w:rPr>
              <w:t xml:space="preserve">               </w:t>
            </w:r>
          </w:p>
        </w:tc>
        <w:tc>
          <w:tcPr>
            <w:tcW w:w="6100" w:type="dxa"/>
          </w:tcPr>
          <w:p w14:paraId="3CF9C6D7" w14:textId="77777777" w:rsidR="0080118E" w:rsidRPr="00C52C19" w:rsidRDefault="0080118E" w:rsidP="00BF26C9">
            <w:pPr>
              <w:jc w:val="both"/>
              <w:rPr>
                <w:rFonts w:ascii="Verdana" w:eastAsia="Calibri" w:hAnsi="Verdana" w:cs="Arial"/>
                <w:lang w:val="es-ES_tradnl" w:eastAsia="es-ES_tradnl"/>
              </w:rPr>
            </w:pPr>
            <w:r w:rsidRPr="00C52C19">
              <w:rPr>
                <w:rFonts w:ascii="Verdana" w:eastAsia="Calibri" w:hAnsi="Verdana" w:cs="Arial"/>
                <w:lang w:val="es-ES_tradnl" w:eastAsia="es-ES_tradnl"/>
              </w:rPr>
              <w:t>Respuesta a consulta con radicado No. P20250210001166</w:t>
            </w:r>
          </w:p>
        </w:tc>
      </w:tr>
    </w:tbl>
    <w:p w14:paraId="2CDC5307" w14:textId="77777777" w:rsidR="0080118E" w:rsidRPr="00593A5F" w:rsidRDefault="0080118E" w:rsidP="0080118E">
      <w:pPr>
        <w:spacing w:after="0" w:line="240" w:lineRule="auto"/>
        <w:jc w:val="both"/>
        <w:rPr>
          <w:rFonts w:ascii="Verdana" w:eastAsia="Calibri" w:hAnsi="Verdana" w:cs="Arial"/>
          <w:color w:val="000000"/>
          <w:lang w:val="es-ES_tradnl" w:eastAsia="es-ES_tradnl"/>
        </w:rPr>
      </w:pPr>
    </w:p>
    <w:p w14:paraId="1B69F52F" w14:textId="77777777" w:rsidR="0080118E" w:rsidRPr="00593A5F" w:rsidRDefault="0080118E" w:rsidP="0080118E">
      <w:pPr>
        <w:spacing w:after="0" w:line="240" w:lineRule="auto"/>
        <w:jc w:val="both"/>
        <w:rPr>
          <w:rFonts w:ascii="Verdana" w:eastAsia="Calibri" w:hAnsi="Verdana" w:cs="Arial"/>
          <w:color w:val="000000"/>
          <w:lang w:val="es-ES_tradnl" w:eastAsia="es-ES_tradnl"/>
        </w:rPr>
      </w:pPr>
    </w:p>
    <w:p w14:paraId="4AEFC40C" w14:textId="77777777" w:rsidR="0080118E" w:rsidRDefault="0080118E" w:rsidP="0080118E">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 xml:space="preserve">Estimado </w:t>
      </w:r>
      <w:r w:rsidRPr="00C52C19">
        <w:rPr>
          <w:rFonts w:ascii="Verdana" w:eastAsia="Calibri" w:hAnsi="Verdana" w:cs="Arial"/>
          <w:lang w:val="es-ES" w:eastAsia="es-ES"/>
        </w:rPr>
        <w:t xml:space="preserve">señor Castro: </w:t>
      </w:r>
    </w:p>
    <w:p w14:paraId="6B40CE22" w14:textId="77777777" w:rsidR="0080118E" w:rsidRDefault="0080118E" w:rsidP="0080118E">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030DD06" w14:textId="77777777" w:rsidR="0080118E" w:rsidRPr="00C52C19" w:rsidRDefault="0080118E" w:rsidP="0080118E">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C52C19">
        <w:rPr>
          <w:rFonts w:ascii="Verdana" w:eastAsia="Calibri" w:hAnsi="Verdana" w:cs="Arial"/>
          <w:lang w:val="es-ES" w:eastAsia="es-ES"/>
        </w:rPr>
        <w:t xml:space="preserve">fecha 10 de febrero de 2025, en la cual manifiesta lo siguiente: </w:t>
      </w:r>
    </w:p>
    <w:p w14:paraId="5D9BED98" w14:textId="77777777" w:rsidR="0080118E" w:rsidRPr="00272A7B" w:rsidRDefault="0080118E" w:rsidP="0080118E">
      <w:pPr>
        <w:pStyle w:val="Prrafodelista"/>
        <w:tabs>
          <w:tab w:val="left" w:pos="142"/>
          <w:tab w:val="left" w:pos="284"/>
        </w:tabs>
        <w:spacing w:line="276" w:lineRule="auto"/>
        <w:ind w:left="0"/>
        <w:jc w:val="both"/>
        <w:rPr>
          <w:rFonts w:ascii="Verdana" w:eastAsia="Century Gothic" w:hAnsi="Verdana" w:cs="Century Gothic"/>
          <w:b/>
          <w:bCs/>
        </w:rPr>
      </w:pPr>
    </w:p>
    <w:p w14:paraId="41F6C5D2" w14:textId="77777777" w:rsidR="0080118E" w:rsidRPr="00C52C19" w:rsidRDefault="0080118E" w:rsidP="0080118E">
      <w:pPr>
        <w:spacing w:after="0" w:line="240" w:lineRule="auto"/>
        <w:ind w:left="709" w:right="709"/>
        <w:jc w:val="both"/>
        <w:rPr>
          <w:rFonts w:ascii="Verdana" w:eastAsia="Century Gothic" w:hAnsi="Verdana" w:cs="Century Gothic"/>
          <w:sz w:val="20"/>
          <w:szCs w:val="20"/>
          <w:lang w:val="es-ES"/>
        </w:rPr>
      </w:pPr>
      <w:bookmarkStart w:id="0" w:name="_Hlk95313578"/>
      <w:r w:rsidRPr="00C52C19">
        <w:rPr>
          <w:rFonts w:ascii="Verdana" w:eastAsia="Century Gothic" w:hAnsi="Verdana" w:cs="Century Gothic"/>
          <w:sz w:val="20"/>
          <w:szCs w:val="20"/>
          <w:lang w:val="es-ES"/>
        </w:rPr>
        <w:t>“</w:t>
      </w:r>
      <w:r w:rsidRPr="00C52C19">
        <w:rPr>
          <w:rStyle w:val="normaltextrun"/>
          <w:rFonts w:ascii="Verdana" w:hAnsi="Verdana" w:cs="Arial"/>
          <w:sz w:val="20"/>
          <w:szCs w:val="20"/>
          <w:shd w:val="clear" w:color="auto" w:fill="FFFFFF"/>
          <w:lang w:val="es-ES"/>
        </w:rPr>
        <w:t xml:space="preserve">De manera atenta solicito su concepto sobre la siguiente consulta: Al suscribir un contrato de prestación de servicios profesionales con una persona natural que presenta título de administrador de empresas, ¿debe tomarse su experiencia profesional desde la fecha de grado (pregrado) o desde la fecha en que le fue expedida la tarjeta profesional </w:t>
      </w:r>
      <w:proofErr w:type="gramStart"/>
      <w:r w:rsidRPr="00C52C19">
        <w:rPr>
          <w:rStyle w:val="normaltextrun"/>
          <w:rFonts w:ascii="Verdana" w:hAnsi="Verdana" w:cs="Arial"/>
          <w:sz w:val="20"/>
          <w:szCs w:val="20"/>
          <w:shd w:val="clear" w:color="auto" w:fill="FFFFFF"/>
          <w:lang w:val="es-ES"/>
        </w:rPr>
        <w:t>correspondiente?.</w:t>
      </w:r>
      <w:proofErr w:type="gramEnd"/>
      <w:r w:rsidRPr="00C52C19">
        <w:rPr>
          <w:rStyle w:val="normaltextrun"/>
          <w:rFonts w:ascii="Verdana" w:hAnsi="Verdana" w:cs="Arial"/>
          <w:sz w:val="20"/>
          <w:szCs w:val="20"/>
          <w:shd w:val="clear" w:color="auto" w:fill="FFFFFF"/>
          <w:lang w:val="es-ES"/>
        </w:rPr>
        <w:t xml:space="preserve"> En este sentido, ¿en qué casos se toma en cuenta la experiencia profesional a partir del título de pregrado? Muchas gracias.</w:t>
      </w:r>
      <w:r w:rsidRPr="00C52C19">
        <w:rPr>
          <w:rFonts w:ascii="Verdana" w:eastAsia="Century Gothic" w:hAnsi="Verdana" w:cs="Century Gothic"/>
          <w:sz w:val="20"/>
          <w:szCs w:val="20"/>
          <w:lang w:val="es-ES"/>
        </w:rPr>
        <w:t>”</w:t>
      </w:r>
      <w:bookmarkEnd w:id="0"/>
      <w:r w:rsidRPr="00C52C19">
        <w:rPr>
          <w:rFonts w:ascii="Verdana" w:eastAsia="Century Gothic" w:hAnsi="Verdana" w:cs="Century Gothic"/>
          <w:sz w:val="20"/>
          <w:szCs w:val="20"/>
          <w:lang w:val="es-ES"/>
        </w:rPr>
        <w:t>.</w:t>
      </w:r>
    </w:p>
    <w:p w14:paraId="330FEED1" w14:textId="77777777" w:rsidR="0080118E" w:rsidRPr="00593A5F" w:rsidRDefault="0080118E" w:rsidP="0080118E">
      <w:pPr>
        <w:pStyle w:val="Prrafodelista"/>
        <w:tabs>
          <w:tab w:val="left" w:pos="142"/>
          <w:tab w:val="left" w:pos="284"/>
        </w:tabs>
        <w:spacing w:line="276" w:lineRule="auto"/>
        <w:ind w:left="0"/>
        <w:jc w:val="both"/>
        <w:rPr>
          <w:rFonts w:ascii="Verdana" w:eastAsia="Century Gothic" w:hAnsi="Verdana" w:cs="Century Gothic"/>
          <w:b/>
          <w:bCs/>
        </w:rPr>
      </w:pPr>
    </w:p>
    <w:p w14:paraId="0549A67D" w14:textId="77777777" w:rsidR="0080118E" w:rsidRDefault="0080118E" w:rsidP="0080118E">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593A5F">
        <w:rPr>
          <w:rFonts w:ascii="Verdana" w:eastAsia="Calibri" w:hAnsi="Verdana" w:cs="Arial"/>
          <w:color w:val="000000"/>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7584C5B9" w14:textId="77777777" w:rsidR="0080118E" w:rsidRDefault="0080118E" w:rsidP="0080118E">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01A252E1" w14:textId="77777777" w:rsidR="0080118E" w:rsidRPr="00593A5F" w:rsidRDefault="0080118E" w:rsidP="0080118E">
      <w:pPr>
        <w:spacing w:after="0" w:line="276" w:lineRule="auto"/>
        <w:ind w:firstLine="709"/>
        <w:jc w:val="both"/>
        <w:rPr>
          <w:rFonts w:ascii="Verdana" w:eastAsia="Calibri" w:hAnsi="Verdana" w:cs="Arial"/>
          <w:color w:val="000000"/>
          <w:lang w:val="es-ES" w:eastAsia="es-ES"/>
        </w:rPr>
      </w:pPr>
    </w:p>
    <w:p w14:paraId="4B524134" w14:textId="77777777" w:rsidR="0080118E" w:rsidRPr="00593A5F" w:rsidRDefault="0080118E" w:rsidP="0080118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2D9C3BF6" w14:textId="77777777" w:rsidR="0080118E" w:rsidRPr="00593A5F" w:rsidRDefault="0080118E" w:rsidP="0080118E">
      <w:pPr>
        <w:tabs>
          <w:tab w:val="left" w:pos="426"/>
        </w:tabs>
        <w:spacing w:after="0" w:line="276" w:lineRule="auto"/>
        <w:jc w:val="both"/>
        <w:rPr>
          <w:rFonts w:ascii="Verdana" w:eastAsia="Century Gothic" w:hAnsi="Verdana" w:cs="Century Gothic"/>
          <w:lang w:val="es-ES"/>
        </w:rPr>
      </w:pPr>
    </w:p>
    <w:p w14:paraId="5DB52A07" w14:textId="77777777" w:rsidR="0080118E" w:rsidRPr="00C52C19" w:rsidRDefault="0080118E" w:rsidP="0080118E">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 el siguiente</w:t>
      </w:r>
      <w:r>
        <w:rPr>
          <w:rFonts w:ascii="Verdana" w:eastAsia="Century Gothic" w:hAnsi="Verdana" w:cs="Century Gothic"/>
        </w:rPr>
        <w:t xml:space="preserve"> </w:t>
      </w:r>
      <w:r w:rsidRPr="00593A5F">
        <w:rPr>
          <w:rFonts w:ascii="Verdana" w:eastAsia="Century Gothic" w:hAnsi="Verdana" w:cs="Century Gothic"/>
        </w:rPr>
        <w:t>problema jurídic</w:t>
      </w:r>
      <w:r>
        <w:rPr>
          <w:rFonts w:ascii="Verdana" w:eastAsia="Century Gothic" w:hAnsi="Verdana" w:cs="Century Gothic"/>
        </w:rPr>
        <w:t>o</w:t>
      </w:r>
      <w:r w:rsidRPr="00593A5F">
        <w:rPr>
          <w:rFonts w:ascii="Verdana" w:eastAsia="Century Gothic" w:hAnsi="Verdana" w:cs="Century Gothic"/>
        </w:rPr>
        <w:t>:</w:t>
      </w:r>
      <w:r>
        <w:rPr>
          <w:rFonts w:ascii="Verdana" w:eastAsia="Century Gothic" w:hAnsi="Verdana" w:cs="Century Gothic"/>
        </w:rPr>
        <w:t xml:space="preserve"> para la profesión de administración de empresas ¿el computo de experiencia profesional para un contrasto de prestación de servicios profesionales se hace desde la fecha de grado o desde la fecha de expedición de la tarjeta profesional? </w:t>
      </w:r>
    </w:p>
    <w:p w14:paraId="0A1A2A55" w14:textId="77777777" w:rsidR="0080118E" w:rsidRPr="00593A5F" w:rsidRDefault="0080118E" w:rsidP="0080118E">
      <w:pPr>
        <w:spacing w:after="0" w:line="276" w:lineRule="auto"/>
        <w:jc w:val="both"/>
        <w:rPr>
          <w:rFonts w:ascii="Verdana" w:eastAsia="Calibri" w:hAnsi="Verdana" w:cs="Arial"/>
          <w:color w:val="7030A0"/>
          <w:lang w:val="es-ES"/>
        </w:rPr>
      </w:pPr>
    </w:p>
    <w:p w14:paraId="28D6C5EA" w14:textId="77777777" w:rsidR="0080118E" w:rsidRPr="00593A5F" w:rsidRDefault="0080118E" w:rsidP="0080118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2735CFA" w14:textId="77777777" w:rsidR="0080118E" w:rsidRPr="00593A5F" w:rsidRDefault="0080118E" w:rsidP="0080118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0118E" w:rsidRPr="00593A5F" w14:paraId="7F84944C" w14:textId="77777777" w:rsidTr="00BF26C9">
        <w:tc>
          <w:tcPr>
            <w:tcW w:w="8828" w:type="dxa"/>
            <w:shd w:val="clear" w:color="auto" w:fill="auto"/>
          </w:tcPr>
          <w:p w14:paraId="2EC2BACA" w14:textId="77777777" w:rsidR="0080118E" w:rsidRPr="00593A5F" w:rsidRDefault="0080118E" w:rsidP="00BF26C9">
            <w:pPr>
              <w:spacing w:line="276" w:lineRule="auto"/>
              <w:jc w:val="both"/>
              <w:rPr>
                <w:rFonts w:ascii="Verdana" w:eastAsia="Calibri" w:hAnsi="Verdana" w:cs="Arial"/>
                <w:color w:val="7030A0"/>
                <w:lang w:val="es-ES"/>
              </w:rPr>
            </w:pPr>
            <w:r>
              <w:rPr>
                <w:rFonts w:ascii="Verdana" w:eastAsia="Calibri" w:hAnsi="Verdana" w:cs="Arial"/>
                <w:lang w:val="es-MX"/>
              </w:rPr>
              <w:t xml:space="preserve">Para la profesión de administración de empresas la experiencia profesional se computa bajo la regla general del artículo 229 del Decreto 019 de 2012, es decir, </w:t>
            </w:r>
            <w:r w:rsidRPr="00C706AF">
              <w:rPr>
                <w:rFonts w:ascii="Verdana" w:eastAsia="Calibri" w:hAnsi="Verdana" w:cs="Arial"/>
                <w:lang w:val="es-MX"/>
              </w:rPr>
              <w:t>a partir de la terminación y aprobación del pensum académico de educación superior</w:t>
            </w:r>
            <w:r>
              <w:rPr>
                <w:rFonts w:ascii="Verdana" w:eastAsia="Calibri" w:hAnsi="Verdana" w:cs="Arial"/>
                <w:lang w:val="es-MX"/>
              </w:rPr>
              <w:t xml:space="preserve">. Lo anterior, exceptuando los casos en que como estudiante la persona haya realizado prácticas laborales en los términos del </w:t>
            </w:r>
            <w:r w:rsidRPr="00385414">
              <w:rPr>
                <w:rFonts w:ascii="Verdana" w:eastAsia="Calibri" w:hAnsi="Verdana" w:cs="Arial"/>
                <w:lang w:val="es-MX"/>
              </w:rPr>
              <w:t>artículo 15 de la Ley 1780 de 2016</w:t>
            </w:r>
            <w:r>
              <w:rPr>
                <w:rFonts w:ascii="Verdana" w:eastAsia="Calibri" w:hAnsi="Verdana" w:cs="Arial"/>
                <w:lang w:val="es-MX"/>
              </w:rPr>
              <w:t xml:space="preserve">, a quienes en virtud del </w:t>
            </w:r>
            <w:r w:rsidRPr="00385414">
              <w:rPr>
                <w:rFonts w:ascii="Verdana" w:eastAsia="Calibri" w:hAnsi="Verdana" w:cs="Arial"/>
                <w:lang w:val="es-MX"/>
              </w:rPr>
              <w:t>artículo 192 de la Ley 1955 de 2019</w:t>
            </w:r>
            <w:r>
              <w:rPr>
                <w:rFonts w:ascii="Verdana" w:eastAsia="Calibri" w:hAnsi="Verdana" w:cs="Arial"/>
                <w:lang w:val="es-MX"/>
              </w:rPr>
              <w:t xml:space="preserve"> se les computa como experiencia profesional el tiempo de </w:t>
            </w:r>
            <w:r w:rsidRPr="003C068C">
              <w:rPr>
                <w:rFonts w:ascii="Verdana" w:eastAsia="Calibri" w:hAnsi="Verdana" w:cs="Arial"/>
                <w:lang w:val="es-MX"/>
              </w:rPr>
              <w:t xml:space="preserve">las prácticas laborales </w:t>
            </w:r>
            <w:r w:rsidRPr="00385414">
              <w:rPr>
                <w:rFonts w:ascii="Verdana" w:eastAsia="Calibri" w:hAnsi="Verdana" w:cs="Arial"/>
                <w:lang w:val="es-MX"/>
              </w:rPr>
              <w:t>realizada</w:t>
            </w:r>
            <w:r>
              <w:rPr>
                <w:rFonts w:ascii="Verdana" w:eastAsia="Calibri" w:hAnsi="Verdana" w:cs="Arial"/>
                <w:lang w:val="es-MX"/>
              </w:rPr>
              <w:t>s</w:t>
            </w:r>
            <w:r w:rsidRPr="00385414">
              <w:rPr>
                <w:rFonts w:ascii="Verdana" w:eastAsia="Calibri" w:hAnsi="Verdana" w:cs="Arial"/>
                <w:lang w:val="es-MX"/>
              </w:rPr>
              <w:t xml:space="preserve"> antes o después de terminadas las materias</w:t>
            </w:r>
            <w:r>
              <w:rPr>
                <w:rFonts w:ascii="Verdana" w:eastAsia="Calibri" w:hAnsi="Verdana" w:cs="Arial"/>
                <w:lang w:val="es-MX"/>
              </w:rPr>
              <w:t>.</w:t>
            </w:r>
          </w:p>
        </w:tc>
      </w:tr>
    </w:tbl>
    <w:p w14:paraId="1C3A1B4D" w14:textId="77777777" w:rsidR="0080118E" w:rsidRPr="00593A5F" w:rsidRDefault="0080118E" w:rsidP="0080118E">
      <w:pPr>
        <w:tabs>
          <w:tab w:val="left" w:pos="142"/>
          <w:tab w:val="left" w:pos="284"/>
        </w:tabs>
        <w:spacing w:after="0" w:line="276" w:lineRule="auto"/>
        <w:jc w:val="both"/>
        <w:rPr>
          <w:rFonts w:ascii="Verdana" w:eastAsia="Century Gothic" w:hAnsi="Verdana" w:cs="Century Gothic"/>
          <w:b/>
          <w:bCs/>
          <w:lang w:val="es-ES"/>
        </w:rPr>
      </w:pPr>
    </w:p>
    <w:p w14:paraId="7C361DD4" w14:textId="77777777" w:rsidR="0080118E" w:rsidRPr="00593A5F" w:rsidRDefault="0080118E" w:rsidP="0080118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3234B72" w14:textId="77777777" w:rsidR="0080118E" w:rsidRPr="00593A5F" w:rsidRDefault="0080118E" w:rsidP="0080118E">
      <w:pPr>
        <w:spacing w:after="0" w:line="276" w:lineRule="auto"/>
        <w:jc w:val="both"/>
        <w:rPr>
          <w:rFonts w:ascii="Verdana" w:eastAsia="Calibri" w:hAnsi="Verdana" w:cs="Arial"/>
          <w:color w:val="7030A0"/>
          <w:lang w:val="es-ES"/>
        </w:rPr>
      </w:pPr>
    </w:p>
    <w:p w14:paraId="3C1230F3" w14:textId="77777777" w:rsidR="0080118E" w:rsidRPr="00B96799" w:rsidRDefault="0080118E" w:rsidP="0080118E">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20ECC0A2" w14:textId="77777777" w:rsidR="0080118E" w:rsidRDefault="0080118E" w:rsidP="0080118E">
      <w:pPr>
        <w:spacing w:after="0" w:line="276" w:lineRule="auto"/>
        <w:jc w:val="both"/>
        <w:rPr>
          <w:rFonts w:ascii="Verdana" w:eastAsia="Calibri" w:hAnsi="Verdana" w:cs="Arial"/>
          <w:color w:val="7030A0"/>
          <w:lang w:val="es-ES"/>
        </w:rPr>
      </w:pPr>
    </w:p>
    <w:p w14:paraId="35A6BEF9" w14:textId="77777777" w:rsidR="0080118E" w:rsidRDefault="0080118E" w:rsidP="0080118E">
      <w:pPr>
        <w:spacing w:before="120" w:after="0" w:line="276" w:lineRule="auto"/>
        <w:jc w:val="both"/>
        <w:rPr>
          <w:rFonts w:ascii="Verdana" w:hAnsi="Verdana" w:cs="Arial"/>
          <w:color w:val="000000" w:themeColor="text1"/>
        </w:rPr>
      </w:pPr>
      <w:r>
        <w:rPr>
          <w:rFonts w:ascii="Verdana" w:hAnsi="Verdana" w:cs="Arial"/>
          <w:color w:val="000000" w:themeColor="text1"/>
        </w:rPr>
        <w:lastRenderedPageBreak/>
        <w:t>El computo de la experiencia profesional debe realizarse por regla general conforme al artículo 229 del Decreto 019 de 2012, que establece:</w:t>
      </w:r>
    </w:p>
    <w:p w14:paraId="58F9322B" w14:textId="77777777" w:rsidR="0080118E" w:rsidRPr="00614B00" w:rsidRDefault="0080118E" w:rsidP="0080118E">
      <w:pPr>
        <w:spacing w:before="100" w:beforeAutospacing="1" w:after="100" w:afterAutospacing="1" w:line="270" w:lineRule="atLeast"/>
        <w:ind w:left="709" w:right="758"/>
        <w:jc w:val="both"/>
        <w:rPr>
          <w:rFonts w:ascii="Verdana" w:eastAsia="Times New Roman" w:hAnsi="Verdana" w:cs="Open Sans"/>
          <w:sz w:val="20"/>
          <w:szCs w:val="20"/>
          <w:lang w:eastAsia="es-CO"/>
        </w:rPr>
      </w:pPr>
      <w:r w:rsidRPr="00614B00">
        <w:rPr>
          <w:rFonts w:ascii="Verdana" w:eastAsia="Times New Roman" w:hAnsi="Verdana" w:cs="Open Sans"/>
          <w:sz w:val="20"/>
          <w:szCs w:val="20"/>
          <w:lang w:eastAsia="es-CO"/>
        </w:rPr>
        <w:t>Para el ejercicio de las diferentes profesiones acreditadas por el Ministerio de Educación Nacional, la experiencia profesional se computará a partir de la terminación y aprobación del pensum académico de educación superior.</w:t>
      </w:r>
    </w:p>
    <w:p w14:paraId="6B06820C" w14:textId="77777777" w:rsidR="0080118E" w:rsidRPr="00614B00" w:rsidRDefault="0080118E" w:rsidP="0080118E">
      <w:pPr>
        <w:spacing w:before="100" w:beforeAutospacing="1" w:after="100" w:afterAutospacing="1" w:line="270" w:lineRule="atLeast"/>
        <w:ind w:left="709" w:right="758"/>
        <w:jc w:val="both"/>
        <w:rPr>
          <w:rFonts w:ascii="Verdana" w:eastAsia="Times New Roman" w:hAnsi="Verdana" w:cs="Open Sans"/>
          <w:sz w:val="20"/>
          <w:szCs w:val="20"/>
          <w:lang w:eastAsia="es-CO"/>
        </w:rPr>
      </w:pPr>
      <w:r w:rsidRPr="00614B00">
        <w:rPr>
          <w:rFonts w:ascii="Verdana" w:eastAsia="Times New Roman" w:hAnsi="Verdana" w:cs="Open Sans"/>
          <w:sz w:val="20"/>
          <w:szCs w:val="20"/>
          <w:lang w:eastAsia="es-CO"/>
        </w:rPr>
        <w:t>Se exceptúan de esta condición las profesiones relacionadas con el sistema de seguridad social en salud en las cuales la experiencia profesional se computará a partir de la inscripción o registro profesional.</w:t>
      </w:r>
    </w:p>
    <w:p w14:paraId="73B7EBCF" w14:textId="77777777" w:rsidR="0080118E" w:rsidRDefault="0080118E" w:rsidP="0080118E">
      <w:pPr>
        <w:spacing w:before="120" w:after="0" w:line="276" w:lineRule="auto"/>
        <w:ind w:firstLine="708"/>
        <w:jc w:val="both"/>
        <w:rPr>
          <w:rFonts w:ascii="Verdana" w:hAnsi="Verdana" w:cs="Arial"/>
          <w:color w:val="000000" w:themeColor="text1"/>
        </w:rPr>
      </w:pPr>
      <w:r>
        <w:rPr>
          <w:rFonts w:ascii="Verdana" w:hAnsi="Verdana" w:cs="Arial"/>
          <w:color w:val="000000" w:themeColor="text1"/>
        </w:rPr>
        <w:t xml:space="preserve">En consecuencia, la experiencia profesional en general para las profesiones acreditadas por el Ministerio de Educación se contabiliza a partir de la terminación y aprobación del pénsum académico de educación superior, siempre que el profesional acredite que trabajó desde ese momento. Como excepción, esta norma dispone que a las profesiones relacionadas con el sector salud se les contabilizará la experiencia profesional a partir de la inscripción o registro profesional. </w:t>
      </w:r>
    </w:p>
    <w:p w14:paraId="71DE624D" w14:textId="77777777" w:rsidR="0080118E" w:rsidRPr="003C068C" w:rsidRDefault="0080118E" w:rsidP="0080118E">
      <w:pPr>
        <w:spacing w:before="120" w:after="120" w:line="276" w:lineRule="auto"/>
        <w:ind w:right="51" w:firstLine="708"/>
        <w:jc w:val="both"/>
        <w:rPr>
          <w:rFonts w:ascii="Verdana" w:eastAsia="Calibri" w:hAnsi="Verdana" w:cs="Arial"/>
          <w:lang w:val="es-MX"/>
        </w:rPr>
      </w:pPr>
      <w:r>
        <w:rPr>
          <w:rFonts w:ascii="Verdana" w:eastAsia="Calibri" w:hAnsi="Verdana" w:cs="Arial"/>
          <w:lang w:val="es-MX"/>
        </w:rPr>
        <w:t>Otra excepción a esta regla general</w:t>
      </w:r>
      <w:r w:rsidRPr="003C068C">
        <w:rPr>
          <w:rFonts w:ascii="Verdana" w:eastAsia="Calibri" w:hAnsi="Verdana" w:cs="Arial"/>
          <w:lang w:val="es-MX"/>
        </w:rPr>
        <w:t xml:space="preserve">, </w:t>
      </w:r>
      <w:r>
        <w:rPr>
          <w:rFonts w:ascii="Verdana" w:eastAsia="Calibri" w:hAnsi="Verdana" w:cs="Arial"/>
          <w:lang w:val="es-MX"/>
        </w:rPr>
        <w:t>se da con la</w:t>
      </w:r>
      <w:r w:rsidRPr="003C068C">
        <w:rPr>
          <w:rFonts w:ascii="Verdana" w:eastAsia="Calibri" w:hAnsi="Verdana" w:cs="Arial"/>
          <w:lang w:val="es-MX"/>
        </w:rPr>
        <w:t xml:space="preserve"> Ley 1955 de 2019 </w:t>
      </w:r>
      <w:r>
        <w:rPr>
          <w:rFonts w:ascii="Verdana" w:eastAsia="Calibri" w:hAnsi="Verdana" w:cs="Arial"/>
          <w:lang w:val="es-MX"/>
        </w:rPr>
        <w:t>que</w:t>
      </w:r>
      <w:r w:rsidRPr="003C068C">
        <w:rPr>
          <w:rFonts w:ascii="Verdana" w:eastAsia="Calibri" w:hAnsi="Verdana" w:cs="Arial"/>
          <w:lang w:val="es-MX"/>
        </w:rPr>
        <w:t xml:space="preserve"> permite contar como experiencia profesional las prácticas laborales realizadas por estudiantes para obtener el título de grado. De acuerdo con el artículo 15 de la Ley 1780 de 2016</w:t>
      </w:r>
      <w:r w:rsidRPr="003C068C">
        <w:rPr>
          <w:rFonts w:ascii="Verdana" w:eastAsia="Calibri" w:hAnsi="Verdana" w:cs="Arial"/>
          <w:vertAlign w:val="superscript"/>
          <w:lang w:val="es-MX"/>
        </w:rPr>
        <w:footnoteReference w:id="1"/>
      </w:r>
      <w:r w:rsidRPr="003C068C">
        <w:rPr>
          <w:rFonts w:ascii="Verdana" w:eastAsia="Calibri" w:hAnsi="Verdana" w:cs="Arial"/>
          <w:lang w:val="es-MX"/>
        </w:rPr>
        <w:t>,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w:t>
      </w:r>
    </w:p>
    <w:p w14:paraId="7B6E18C8" w14:textId="77777777" w:rsidR="0080118E" w:rsidRPr="003C068C" w:rsidRDefault="0080118E" w:rsidP="0080118E">
      <w:pPr>
        <w:spacing w:before="120" w:after="120" w:line="276" w:lineRule="auto"/>
        <w:ind w:right="51" w:firstLine="708"/>
        <w:jc w:val="both"/>
        <w:rPr>
          <w:rFonts w:ascii="Verdana" w:eastAsia="Calibri" w:hAnsi="Verdana" w:cs="Arial"/>
          <w:lang w:val="es-MX"/>
        </w:rPr>
      </w:pPr>
      <w:r w:rsidRPr="003C068C">
        <w:rPr>
          <w:rFonts w:ascii="Verdana" w:eastAsia="Calibri" w:hAnsi="Verdana" w:cs="Arial"/>
          <w:lang w:val="es-MX"/>
        </w:rPr>
        <w:t>El artículo 192 de la Ley 1955 de 2019</w:t>
      </w:r>
      <w:r w:rsidRPr="003C068C">
        <w:rPr>
          <w:rFonts w:ascii="Verdana" w:eastAsia="Calibri" w:hAnsi="Verdana" w:cs="Arial"/>
          <w:vertAlign w:val="superscript"/>
          <w:lang w:val="es-MX"/>
        </w:rPr>
        <w:footnoteReference w:id="2"/>
      </w:r>
      <w:r w:rsidRPr="003C068C">
        <w:rPr>
          <w:rFonts w:ascii="Verdana" w:eastAsia="Calibri" w:hAnsi="Verdana" w:cs="Arial"/>
          <w:lang w:val="es-MX"/>
        </w:rPr>
        <w:t xml:space="preserve"> establece que el tiempo de la práctica laboral que el estudiante realice para optar por su título profesional, </w:t>
      </w:r>
      <w:r w:rsidRPr="003C068C">
        <w:rPr>
          <w:rFonts w:ascii="Verdana" w:eastAsia="Calibri" w:hAnsi="Verdana" w:cs="Arial"/>
          <w:lang w:val="es-MX"/>
        </w:rPr>
        <w:lastRenderedPageBreak/>
        <w:t>tecnológico o técnico cuenta como experiencia laboral. Sin embargo, solo se computan como experiencia las prácticas laborales realizadas durante los veinticuatro (24) meses anteriores a la entrada en vigencia de dicha ley y las que se realicen con posterioridad; y, por último, exceptúa de lo dispuesto en este artículo a los estudiantes de posgrado del sector salud.</w:t>
      </w:r>
    </w:p>
    <w:p w14:paraId="49B9B7C0" w14:textId="77777777" w:rsidR="0080118E" w:rsidRPr="003C068C" w:rsidRDefault="0080118E" w:rsidP="0080118E">
      <w:pPr>
        <w:spacing w:before="120" w:after="120" w:line="276" w:lineRule="auto"/>
        <w:ind w:right="51" w:firstLine="708"/>
        <w:jc w:val="both"/>
        <w:rPr>
          <w:rFonts w:ascii="Verdana" w:eastAsia="Calibri" w:hAnsi="Verdana" w:cs="Arial"/>
          <w:lang w:val="es-MX"/>
        </w:rPr>
      </w:pPr>
      <w:r w:rsidRPr="003C068C">
        <w:rPr>
          <w:rFonts w:ascii="Verdana" w:eastAsia="Calibri" w:hAnsi="Verdana" w:cs="Arial"/>
          <w:lang w:val="es-MX"/>
        </w:rPr>
        <w:t xml:space="preserve">De conformidad con esta norma, las entidades estatales deben tener en cuenta las prácticas laborales como experiencia profesional aun cuando estas se hayan realizado antes de la terminación de materias. No obstante, solo se tendrán en cuenta i) las prácticas laborales que fueron realizadas durante los veinticuatro meses anteriores a la entrada en vigencia de dicha ley y las que se realicen con posterioridad, y </w:t>
      </w:r>
      <w:proofErr w:type="spellStart"/>
      <w:r w:rsidRPr="003C068C">
        <w:rPr>
          <w:rFonts w:ascii="Verdana" w:eastAsia="Calibri" w:hAnsi="Verdana" w:cs="Arial"/>
          <w:lang w:val="es-MX"/>
        </w:rPr>
        <w:t>ii</w:t>
      </w:r>
      <w:proofErr w:type="spellEnd"/>
      <w:r w:rsidRPr="003C068C">
        <w:rPr>
          <w:rFonts w:ascii="Verdana" w:eastAsia="Calibri" w:hAnsi="Verdana" w:cs="Arial"/>
          <w:lang w:val="es-MX"/>
        </w:rPr>
        <w:t>) las que realice cualquier estudiante que no sea de p</w:t>
      </w:r>
      <w:r>
        <w:rPr>
          <w:rFonts w:ascii="Verdana" w:eastAsia="Calibri" w:hAnsi="Verdana" w:cs="Arial"/>
          <w:lang w:val="es-MX"/>
        </w:rPr>
        <w:t>os</w:t>
      </w:r>
      <w:r w:rsidRPr="003C068C">
        <w:rPr>
          <w:rFonts w:ascii="Verdana" w:eastAsia="Calibri" w:hAnsi="Verdana" w:cs="Arial"/>
          <w:lang w:val="es-MX"/>
        </w:rPr>
        <w:t>grado del sector salud.</w:t>
      </w:r>
    </w:p>
    <w:p w14:paraId="74CB2DC5" w14:textId="77777777" w:rsidR="0080118E" w:rsidRDefault="0080118E" w:rsidP="0080118E">
      <w:pPr>
        <w:spacing w:before="120" w:after="0" w:line="276" w:lineRule="auto"/>
        <w:ind w:firstLine="708"/>
        <w:jc w:val="both"/>
        <w:rPr>
          <w:rFonts w:ascii="Verdana" w:eastAsia="Calibri" w:hAnsi="Verdana" w:cs="Arial"/>
          <w:lang w:val="es-MX"/>
        </w:rPr>
      </w:pPr>
      <w:r>
        <w:rPr>
          <w:rFonts w:ascii="Verdana" w:eastAsia="Calibri" w:hAnsi="Verdana" w:cs="Arial"/>
          <w:lang w:val="es-MX"/>
        </w:rPr>
        <w:t>De otra parte, e</w:t>
      </w:r>
      <w:r w:rsidRPr="003C068C">
        <w:rPr>
          <w:rFonts w:ascii="Verdana" w:eastAsia="Calibri" w:hAnsi="Verdana" w:cs="Arial"/>
          <w:lang w:val="es-MX"/>
        </w:rPr>
        <w:t xml:space="preserve">n relación con la exigencia de la tarjeta profesional para celebrar el contrato de prestación de servicios, el artículo 26 de la Constitución Política indica que: </w:t>
      </w:r>
      <w:r>
        <w:rPr>
          <w:rFonts w:ascii="Verdana" w:eastAsia="Calibri" w:hAnsi="Verdana" w:cs="Arial"/>
          <w:lang w:val="es-MX"/>
        </w:rPr>
        <w:t>“</w:t>
      </w:r>
      <w:r w:rsidRPr="003C068C">
        <w:rPr>
          <w:rFonts w:ascii="Verdana" w:eastAsia="Calibri" w:hAnsi="Verdana" w:cs="Arial"/>
          <w:lang w:val="es-MX"/>
        </w:rPr>
        <w:t>La Ley podrá exigir títulos de idoneidad</w:t>
      </w:r>
      <w:r>
        <w:rPr>
          <w:rFonts w:ascii="Verdana" w:eastAsia="Calibri" w:hAnsi="Verdana" w:cs="Arial"/>
          <w:lang w:val="es-MX"/>
        </w:rPr>
        <w:t>”</w:t>
      </w:r>
      <w:r w:rsidRPr="003C068C">
        <w:rPr>
          <w:rFonts w:ascii="Verdana" w:eastAsia="Calibri" w:hAnsi="Verdana" w:cs="Arial"/>
          <w:lang w:val="es-MX"/>
        </w:rPr>
        <w:t>. La Corte Constitucional explicó que la Constitución Política autorizó al legislador para exigir determinados títulos de idoneidad a quienes quieren desempeñar actividades que impliquen riesgo social, con el objetivo de demostrar la adecuada aptitud del aspirante</w:t>
      </w:r>
      <w:r>
        <w:rPr>
          <w:rFonts w:ascii="Verdana" w:eastAsia="Calibri" w:hAnsi="Verdana" w:cs="Arial"/>
          <w:lang w:val="es-MX"/>
        </w:rPr>
        <w:t>”</w:t>
      </w:r>
      <w:r w:rsidRPr="003C068C">
        <w:rPr>
          <w:rFonts w:ascii="Verdana" w:eastAsia="Calibri" w:hAnsi="Verdana" w:cs="Arial"/>
          <w:vertAlign w:val="superscript"/>
          <w:lang w:val="es-MX"/>
        </w:rPr>
        <w:footnoteReference w:id="3"/>
      </w:r>
      <w:r w:rsidRPr="003C068C">
        <w:rPr>
          <w:rFonts w:ascii="Verdana" w:eastAsia="Calibri" w:hAnsi="Verdana" w:cs="Arial"/>
          <w:lang w:val="es-MX"/>
        </w:rPr>
        <w:t>.</w:t>
      </w:r>
      <w:r>
        <w:rPr>
          <w:rFonts w:ascii="Verdana" w:eastAsia="Calibri" w:hAnsi="Verdana" w:cs="Arial"/>
          <w:lang w:val="es-MX"/>
        </w:rPr>
        <w:t xml:space="preserve"> Por lo que, </w:t>
      </w:r>
      <w:r w:rsidRPr="003C068C">
        <w:rPr>
          <w:rFonts w:ascii="Verdana" w:eastAsia="Calibri" w:hAnsi="Verdana" w:cs="Arial"/>
          <w:lang w:val="es-MX"/>
        </w:rPr>
        <w:t xml:space="preserve">la ley, frente a personal de la correspondiente entidad, o ante determinadas profesiones que impliquen riesgo </w:t>
      </w:r>
      <w:r w:rsidRPr="003C068C">
        <w:rPr>
          <w:rFonts w:ascii="Verdana" w:eastAsia="Calibri" w:hAnsi="Verdana" w:cs="Arial"/>
          <w:lang w:val="es-MX"/>
        </w:rPr>
        <w:lastRenderedPageBreak/>
        <w:t>social, puede exigir el requisito de tarjeta profesional para garantizar la aptitud del aspirante.</w:t>
      </w:r>
    </w:p>
    <w:p w14:paraId="31A7C36C" w14:textId="77777777" w:rsidR="0080118E" w:rsidRDefault="0080118E" w:rsidP="0080118E">
      <w:pPr>
        <w:spacing w:before="120" w:after="0" w:line="276" w:lineRule="auto"/>
        <w:ind w:firstLine="708"/>
        <w:jc w:val="both"/>
        <w:rPr>
          <w:rFonts w:ascii="Verdana" w:hAnsi="Verdana" w:cs="Arial"/>
          <w:color w:val="000000" w:themeColor="text1"/>
        </w:rPr>
      </w:pPr>
      <w:r>
        <w:rPr>
          <w:rFonts w:ascii="Verdana" w:eastAsia="Calibri" w:hAnsi="Verdana" w:cs="Arial"/>
          <w:lang w:val="es-MX"/>
        </w:rPr>
        <w:t xml:space="preserve">En virtud de lo expuesto, para la profesión de administración de empresas la experiencia profesional se computa bajo la regla general del Decreto 019 de 2012, es decir, </w:t>
      </w:r>
      <w:r w:rsidRPr="00C706AF">
        <w:rPr>
          <w:rFonts w:ascii="Verdana" w:eastAsia="Calibri" w:hAnsi="Verdana" w:cs="Arial"/>
          <w:lang w:val="es-MX"/>
        </w:rPr>
        <w:t>a partir de la terminación y aprobación del pensum académico de educación superior</w:t>
      </w:r>
      <w:r>
        <w:rPr>
          <w:rFonts w:ascii="Verdana" w:eastAsia="Calibri" w:hAnsi="Verdana" w:cs="Arial"/>
          <w:lang w:val="es-MX"/>
        </w:rPr>
        <w:t xml:space="preserve">. Lo anterior, exceptuando los casos en que como estudiante la persona haya realizado prácticas laborales en los términos del </w:t>
      </w:r>
      <w:r w:rsidRPr="00385414">
        <w:rPr>
          <w:rFonts w:ascii="Verdana" w:eastAsia="Calibri" w:hAnsi="Verdana" w:cs="Arial"/>
          <w:lang w:val="es-MX"/>
        </w:rPr>
        <w:t>artículo 15 de la Ley 1780 de 2016</w:t>
      </w:r>
      <w:r>
        <w:rPr>
          <w:rFonts w:ascii="Verdana" w:eastAsia="Calibri" w:hAnsi="Verdana" w:cs="Arial"/>
          <w:lang w:val="es-MX"/>
        </w:rPr>
        <w:t xml:space="preserve">, a los cuales en virtud del </w:t>
      </w:r>
      <w:r w:rsidRPr="00385414">
        <w:rPr>
          <w:rFonts w:ascii="Verdana" w:eastAsia="Calibri" w:hAnsi="Verdana" w:cs="Arial"/>
          <w:lang w:val="es-MX"/>
        </w:rPr>
        <w:t>artículo 192 de la Ley 1955 de 2019</w:t>
      </w:r>
      <w:r>
        <w:rPr>
          <w:rFonts w:ascii="Verdana" w:eastAsia="Calibri" w:hAnsi="Verdana" w:cs="Arial"/>
          <w:lang w:val="es-MX"/>
        </w:rPr>
        <w:t xml:space="preserve"> se les computa como experiencia profesional el tiempo de </w:t>
      </w:r>
      <w:r w:rsidRPr="003C068C">
        <w:rPr>
          <w:rFonts w:ascii="Verdana" w:eastAsia="Calibri" w:hAnsi="Verdana" w:cs="Arial"/>
          <w:lang w:val="es-MX"/>
        </w:rPr>
        <w:t xml:space="preserve">las prácticas laborales </w:t>
      </w:r>
      <w:r w:rsidRPr="00385414">
        <w:rPr>
          <w:rFonts w:ascii="Verdana" w:eastAsia="Calibri" w:hAnsi="Verdana" w:cs="Arial"/>
          <w:lang w:val="es-MX"/>
        </w:rPr>
        <w:t>realizada</w:t>
      </w:r>
      <w:r>
        <w:rPr>
          <w:rFonts w:ascii="Verdana" w:eastAsia="Calibri" w:hAnsi="Verdana" w:cs="Arial"/>
          <w:lang w:val="es-MX"/>
        </w:rPr>
        <w:t>s</w:t>
      </w:r>
      <w:r w:rsidRPr="00385414">
        <w:rPr>
          <w:rFonts w:ascii="Verdana" w:eastAsia="Calibri" w:hAnsi="Verdana" w:cs="Arial"/>
          <w:lang w:val="es-MX"/>
        </w:rPr>
        <w:t xml:space="preserve"> antes o después de terminadas las materias</w:t>
      </w:r>
      <w:r>
        <w:rPr>
          <w:rFonts w:ascii="Verdana" w:eastAsia="Calibri" w:hAnsi="Verdana" w:cs="Arial"/>
          <w:lang w:val="es-MX"/>
        </w:rPr>
        <w:t>.</w:t>
      </w:r>
    </w:p>
    <w:p w14:paraId="0C00CC98" w14:textId="77777777" w:rsidR="0080118E" w:rsidRDefault="0080118E" w:rsidP="0080118E">
      <w:pPr>
        <w:spacing w:before="120" w:after="0" w:line="276" w:lineRule="auto"/>
        <w:jc w:val="both"/>
        <w:rPr>
          <w:rFonts w:ascii="Verdana" w:eastAsia="Calibri" w:hAnsi="Verdana" w:cs="Arial"/>
        </w:rPr>
      </w:pPr>
      <w:r>
        <w:rPr>
          <w:rFonts w:ascii="Verdana" w:hAnsi="Verdana" w:cs="Arial"/>
          <w:color w:val="000000" w:themeColor="text1"/>
        </w:rPr>
        <w:t xml:space="preserve">Finalmente, es importante mencionar que, de acuerdo con el artículo </w:t>
      </w:r>
      <w:bookmarkStart w:id="3" w:name="_Hlk192854616"/>
      <w:r w:rsidRPr="00B34BAB">
        <w:rPr>
          <w:rFonts w:ascii="Verdana" w:hAnsi="Verdana" w:cs="Arial"/>
          <w:color w:val="000000" w:themeColor="text1"/>
          <w:lang w:val="es-ES"/>
        </w:rPr>
        <w:t>2.2.1.2.1.4.9</w:t>
      </w:r>
      <w:r>
        <w:rPr>
          <w:rFonts w:ascii="Verdana" w:hAnsi="Verdana" w:cs="Arial"/>
          <w:color w:val="000000" w:themeColor="text1"/>
          <w:lang w:val="es-ES"/>
        </w:rPr>
        <w:t xml:space="preserve"> </w:t>
      </w:r>
      <w:bookmarkEnd w:id="3"/>
      <w:r>
        <w:rPr>
          <w:rFonts w:ascii="Verdana" w:hAnsi="Verdana" w:cs="Arial"/>
          <w:color w:val="000000" w:themeColor="text1"/>
          <w:lang w:val="es-ES"/>
        </w:rPr>
        <w:t xml:space="preserve">del Decreto 1082 de 2015, corresponde a cada Entidad Estatal verificar la idoneidad de las personas que pretendan celebrar contratos de prestación de servicios profesionales, de acuerdo con las características y alcance objeto del objeto del contrato. En ese sentido, tratándose de contratos de prestación de servicios profesionales, las Entidades Estatales deberán considerar si además de los documentos referidos es requerido algún otro requisito. </w:t>
      </w:r>
    </w:p>
    <w:p w14:paraId="15B5AC34" w14:textId="77777777" w:rsidR="0080118E" w:rsidRPr="00593A5F" w:rsidRDefault="0080118E" w:rsidP="0080118E">
      <w:pPr>
        <w:widowControl w:val="0"/>
        <w:autoSpaceDE w:val="0"/>
        <w:autoSpaceDN w:val="0"/>
        <w:spacing w:after="0" w:line="276" w:lineRule="auto"/>
        <w:jc w:val="both"/>
        <w:rPr>
          <w:rFonts w:ascii="Verdana" w:hAnsi="Verdana" w:cs="Arial"/>
        </w:rPr>
      </w:pPr>
    </w:p>
    <w:p w14:paraId="759BF737" w14:textId="77777777" w:rsidR="0080118E" w:rsidRPr="00593A5F" w:rsidRDefault="0080118E" w:rsidP="0080118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7B67FF40" w14:textId="77777777" w:rsidR="0080118E" w:rsidRPr="00593A5F" w:rsidRDefault="0080118E" w:rsidP="0080118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0118E" w:rsidRPr="00593A5F" w14:paraId="363918F1" w14:textId="77777777" w:rsidTr="00BF26C9">
        <w:trPr>
          <w:trHeight w:val="870"/>
        </w:trPr>
        <w:tc>
          <w:tcPr>
            <w:tcW w:w="8647" w:type="dxa"/>
          </w:tcPr>
          <w:p w14:paraId="5FB82745" w14:textId="77777777" w:rsidR="0080118E" w:rsidRPr="000E3161" w:rsidRDefault="0080118E" w:rsidP="0080118E">
            <w:pPr>
              <w:pStyle w:val="Prrafodelista"/>
              <w:numPr>
                <w:ilvl w:val="0"/>
                <w:numId w:val="17"/>
              </w:numPr>
              <w:rPr>
                <w:rFonts w:ascii="Verdana" w:hAnsi="Verdana"/>
              </w:rPr>
            </w:pPr>
            <w:r w:rsidRPr="000E3161">
              <w:rPr>
                <w:rFonts w:ascii="Verdana" w:hAnsi="Verdana"/>
              </w:rPr>
              <w:t>Decreto 019 de 2012, artículo 229</w:t>
            </w:r>
          </w:p>
          <w:p w14:paraId="36C766FF" w14:textId="77777777" w:rsidR="0080118E" w:rsidRPr="000E3161" w:rsidRDefault="0080118E" w:rsidP="0080118E">
            <w:pPr>
              <w:pStyle w:val="Prrafodelista"/>
              <w:numPr>
                <w:ilvl w:val="0"/>
                <w:numId w:val="17"/>
              </w:numPr>
              <w:rPr>
                <w:rFonts w:ascii="Verdana" w:hAnsi="Verdana"/>
              </w:rPr>
            </w:pPr>
            <w:r w:rsidRPr="000E3161">
              <w:rPr>
                <w:rFonts w:ascii="Verdana" w:hAnsi="Verdana"/>
              </w:rPr>
              <w:t>Ley 1955 de 2019, artículo 192</w:t>
            </w:r>
          </w:p>
          <w:p w14:paraId="1AC711D1" w14:textId="77777777" w:rsidR="0080118E" w:rsidRPr="000E3161" w:rsidRDefault="0080118E" w:rsidP="0080118E">
            <w:pPr>
              <w:pStyle w:val="Prrafodelista"/>
              <w:numPr>
                <w:ilvl w:val="0"/>
                <w:numId w:val="17"/>
              </w:numPr>
              <w:rPr>
                <w:rFonts w:ascii="Verdana" w:hAnsi="Verdana"/>
              </w:rPr>
            </w:pPr>
            <w:r w:rsidRPr="000E3161">
              <w:rPr>
                <w:rFonts w:ascii="Verdana" w:hAnsi="Verdana"/>
              </w:rPr>
              <w:t>Ley 1780 de 2016, artículo 15</w:t>
            </w:r>
          </w:p>
          <w:p w14:paraId="620335D9" w14:textId="77777777" w:rsidR="0080118E" w:rsidRPr="000E3161" w:rsidRDefault="0080118E" w:rsidP="0080118E">
            <w:pPr>
              <w:pStyle w:val="Prrafodelista"/>
              <w:numPr>
                <w:ilvl w:val="0"/>
                <w:numId w:val="17"/>
              </w:numPr>
              <w:rPr>
                <w:rFonts w:ascii="Verdana" w:hAnsi="Verdana" w:cs="Arial"/>
                <w:color w:val="000000" w:themeColor="text1"/>
              </w:rPr>
            </w:pPr>
            <w:r w:rsidRPr="000E3161">
              <w:rPr>
                <w:rFonts w:ascii="Verdana" w:hAnsi="Verdana"/>
              </w:rPr>
              <w:t>Constitución Política de Colombia, artículo 26</w:t>
            </w:r>
          </w:p>
          <w:p w14:paraId="3035A524" w14:textId="77777777" w:rsidR="0080118E" w:rsidRPr="000E3161" w:rsidRDefault="0080118E" w:rsidP="0080118E">
            <w:pPr>
              <w:pStyle w:val="Prrafodelista"/>
              <w:numPr>
                <w:ilvl w:val="0"/>
                <w:numId w:val="17"/>
              </w:numPr>
              <w:rPr>
                <w:rFonts w:ascii="Verdana" w:hAnsi="Verdana"/>
              </w:rPr>
            </w:pPr>
            <w:r w:rsidRPr="000E3161">
              <w:rPr>
                <w:rFonts w:ascii="Verdana" w:hAnsi="Verdana"/>
              </w:rPr>
              <w:t xml:space="preserve">Decreto 1082 de 2015, artículo </w:t>
            </w:r>
            <w:r w:rsidRPr="000E3161">
              <w:rPr>
                <w:rFonts w:ascii="Verdana" w:hAnsi="Verdana" w:cs="Arial"/>
                <w:color w:val="000000" w:themeColor="text1"/>
              </w:rPr>
              <w:t>2.2.1.2.1.4.9</w:t>
            </w:r>
          </w:p>
          <w:p w14:paraId="150D31B8" w14:textId="77777777" w:rsidR="0080118E" w:rsidRPr="000E3161" w:rsidRDefault="0080118E" w:rsidP="0080118E">
            <w:pPr>
              <w:pStyle w:val="Prrafodelista"/>
              <w:numPr>
                <w:ilvl w:val="0"/>
                <w:numId w:val="17"/>
              </w:numPr>
            </w:pPr>
            <w:r w:rsidRPr="000E3161">
              <w:rPr>
                <w:rFonts w:ascii="Verdana" w:hAnsi="Verdana"/>
              </w:rPr>
              <w:t>Corte Constitucional. Sentencia C-697 de 2000. M.P. Eduardo Cifuentes Muñoz</w:t>
            </w:r>
          </w:p>
        </w:tc>
      </w:tr>
    </w:tbl>
    <w:p w14:paraId="477E98C3" w14:textId="77777777" w:rsidR="0080118E" w:rsidRPr="00593A5F" w:rsidRDefault="0080118E" w:rsidP="0080118E">
      <w:pPr>
        <w:widowControl w:val="0"/>
        <w:autoSpaceDE w:val="0"/>
        <w:autoSpaceDN w:val="0"/>
        <w:spacing w:after="0" w:line="276" w:lineRule="auto"/>
        <w:jc w:val="both"/>
        <w:rPr>
          <w:rFonts w:ascii="Verdana" w:hAnsi="Verdana" w:cs="Arial"/>
        </w:rPr>
      </w:pPr>
    </w:p>
    <w:p w14:paraId="5EB7480E" w14:textId="77777777" w:rsidR="0080118E" w:rsidRPr="00593A5F" w:rsidRDefault="0080118E" w:rsidP="0080118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8542B69" w14:textId="77777777" w:rsidR="0080118E" w:rsidRPr="00593A5F" w:rsidRDefault="0080118E" w:rsidP="0080118E">
      <w:pPr>
        <w:widowControl w:val="0"/>
        <w:autoSpaceDE w:val="0"/>
        <w:autoSpaceDN w:val="0"/>
        <w:spacing w:after="0" w:line="276" w:lineRule="auto"/>
        <w:jc w:val="both"/>
        <w:rPr>
          <w:rFonts w:ascii="Verdana" w:hAnsi="Verdana" w:cs="Arial"/>
        </w:rPr>
      </w:pPr>
    </w:p>
    <w:p w14:paraId="10122B52" w14:textId="77777777" w:rsidR="0080118E" w:rsidRDefault="0080118E" w:rsidP="0080118E">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614506">
        <w:rPr>
          <w:rStyle w:val="normaltextrun"/>
          <w:rFonts w:ascii="Verdana" w:hAnsi="Verdana" w:cs="Arial"/>
          <w:shd w:val="clear" w:color="auto" w:fill="FFFFFF"/>
          <w:lang w:val="es-ES"/>
        </w:rPr>
        <w:t xml:space="preserve">La Subdirección de Gestión Contractual se ha pronunciado frente a la experiencia profesional y la forma de verificarse, en los conceptos C-231 del 13 de abril de 2020, C-212 del 14 de abril de 2020, C-317 de 10 de junio de 2020, C-337 del 26 de junio de 2020, C-355 del 4 de junio de 2020, C-353 del 30 de junio de 2020, C-457 del 7 de julio de 2020, C- 357 de agosto de 2024, C-279 de agosto 09 de 2024, C-409 del 6 de septiembre de 2024, C-510 del 03 de octubre de </w:t>
      </w:r>
      <w:r w:rsidRPr="00614506">
        <w:rPr>
          <w:rStyle w:val="normaltextrun"/>
          <w:rFonts w:ascii="Verdana" w:hAnsi="Verdana" w:cs="Arial"/>
          <w:shd w:val="clear" w:color="auto" w:fill="FFFFFF"/>
          <w:lang w:val="es-ES"/>
        </w:rPr>
        <w:lastRenderedPageBreak/>
        <w:t>2024, C-938 de 27 de diciembre de 2024, C-050 de 13 de febrero de 2025 y C-114 de 11 de marzo de 2025. Es</w:t>
      </w:r>
      <w:r w:rsidRPr="00614506">
        <w:rPr>
          <w:rFonts w:ascii="Verdana" w:hAnsi="Verdana"/>
        </w:rPr>
        <w:t xml:space="preserve">tos y otros conceptos se encuentran disponibles para consulta en el Sistema de relatoría </w:t>
      </w:r>
      <w:r w:rsidRPr="00A1554D">
        <w:rPr>
          <w:rFonts w:ascii="Verdana" w:hAnsi="Verdana"/>
        </w:rPr>
        <w:t>de la Agencia, al cual se puede acceder a través del siguiente enlace:</w:t>
      </w:r>
      <w:r w:rsidRPr="00A1554D">
        <w:rPr>
          <w:rStyle w:val="normaltextrun"/>
          <w:rFonts w:ascii="Verdana" w:hAnsi="Verdana" w:cs="Arial"/>
          <w:shd w:val="clear" w:color="auto" w:fill="FFFFFF"/>
          <w:lang w:val="es-ES"/>
        </w:rPr>
        <w:t xml:space="preserve"> </w:t>
      </w:r>
      <w:hyperlink r:id="rId12"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2414A9E7" w14:textId="77777777" w:rsidR="0080118E" w:rsidRDefault="0080118E" w:rsidP="0080118E">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7C6D6D6" w14:textId="77777777" w:rsidR="0080118E" w:rsidRDefault="0080118E" w:rsidP="0080118E">
      <w:pPr>
        <w:spacing w:after="0" w:line="240" w:lineRule="auto"/>
        <w:jc w:val="both"/>
        <w:rPr>
          <w:rFonts w:ascii="Verdana" w:eastAsia="Calibri" w:hAnsi="Verdana" w:cs="Arial"/>
          <w:lang w:val="es-ES" w:eastAsia="es-ES"/>
        </w:rPr>
      </w:pPr>
      <w:r w:rsidRPr="00944E10">
        <w:rPr>
          <w:rFonts w:ascii="Verdana" w:eastAsia="Calibri" w:hAnsi="Verdana" w:cs="Arial"/>
          <w:lang w:eastAsia="es-ES"/>
        </w:rPr>
        <w:t xml:space="preserve">Te informamos que ya se encuentra disponible la </w:t>
      </w:r>
      <w:r w:rsidRPr="00944E10">
        <w:rPr>
          <w:rFonts w:ascii="Verdana" w:eastAsia="Calibri" w:hAnsi="Verdana" w:cs="Arial"/>
          <w:b/>
          <w:bCs/>
          <w:lang w:eastAsia="es-ES"/>
        </w:rPr>
        <w:t>Cartilla para incentivar y fortalecer el acceso a las compras y contratación pública de los pueblos y comunidades étnicas en Colombia.</w:t>
      </w:r>
      <w:r w:rsidRPr="00944E10">
        <w:rPr>
          <w:rFonts w:ascii="Verdana" w:eastAsia="Calibri" w:hAnsi="Verdana" w:cs="Arial"/>
          <w:lang w:eastAsia="es-ES"/>
        </w:rPr>
        <w:t xml:space="preserve">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history="1">
        <w:r w:rsidRPr="00944E10">
          <w:rPr>
            <w:rStyle w:val="Hipervnculo"/>
            <w:rFonts w:ascii="Verdana" w:eastAsia="Calibri" w:hAnsi="Verdana" w:cs="Arial"/>
            <w:lang w:eastAsia="es-ES"/>
          </w:rPr>
          <w:t>Cartilla para incentivar y fortalecer el acceso a las compras y contratación pública de los pueblos y comunidades étnicas en Colombia | Colombia Compra Eficiente | Agencia Nacional de Contratación Pública</w:t>
        </w:r>
      </w:hyperlink>
    </w:p>
    <w:p w14:paraId="322CBA5E" w14:textId="77777777" w:rsidR="0080118E" w:rsidRPr="00944E10" w:rsidRDefault="0080118E" w:rsidP="0080118E">
      <w:pPr>
        <w:spacing w:after="0" w:line="240" w:lineRule="auto"/>
        <w:jc w:val="both"/>
        <w:rPr>
          <w:rFonts w:ascii="Verdana" w:eastAsia="Calibri" w:hAnsi="Verdana" w:cs="Arial"/>
          <w:lang w:eastAsia="es-ES"/>
        </w:rPr>
      </w:pPr>
    </w:p>
    <w:p w14:paraId="78F66DD4" w14:textId="77777777" w:rsidR="0080118E" w:rsidRDefault="0080118E" w:rsidP="0080118E">
      <w:pPr>
        <w:spacing w:after="0" w:line="240" w:lineRule="auto"/>
        <w:jc w:val="both"/>
        <w:rPr>
          <w:rFonts w:ascii="Verdana" w:eastAsia="Calibri" w:hAnsi="Verdana" w:cs="Arial"/>
          <w:lang w:val="es-ES" w:eastAsia="es-ES"/>
        </w:rPr>
      </w:pPr>
      <w:r w:rsidRPr="00944E10">
        <w:rPr>
          <w:rFonts w:ascii="Verdana" w:eastAsia="Calibri" w:hAnsi="Verdana" w:cs="Arial"/>
          <w:lang w:eastAsia="es-ES"/>
        </w:rPr>
        <w:t>De otra parte, </w:t>
      </w:r>
      <w:r>
        <w:rPr>
          <w:rFonts w:ascii="Verdana" w:eastAsia="Calibri" w:hAnsi="Verdana" w:cs="Arial"/>
          <w:lang w:eastAsia="es-ES"/>
        </w:rPr>
        <w:t>l</w:t>
      </w:r>
      <w:r w:rsidRPr="00944E10">
        <w:rPr>
          <w:rFonts w:ascii="Verdana" w:eastAsia="Calibri" w:hAnsi="Verdana" w:cs="Arial"/>
          <w:lang w:eastAsia="es-ES"/>
        </w:rPr>
        <w:t xml:space="preserve">e informamos que, con el objetivo de garantizar un conocimiento adecuado de las </w:t>
      </w:r>
      <w:r w:rsidRPr="00944E10">
        <w:rPr>
          <w:rFonts w:ascii="Verdana" w:eastAsia="Calibri" w:hAnsi="Verdana" w:cs="Arial"/>
          <w:b/>
          <w:bCs/>
          <w:lang w:eastAsia="es-ES"/>
        </w:rPr>
        <w:t>modificaciones y/o actualizaciones realizadas a los Documentos Tipo</w:t>
      </w:r>
      <w:r w:rsidRPr="00944E10">
        <w:rPr>
          <w:rFonts w:ascii="Verdana" w:eastAsia="Calibri" w:hAnsi="Verdana" w:cs="Arial"/>
          <w:lang w:eastAsia="es-ES"/>
        </w:rPr>
        <w:t xml:space="preserve">, hemos programado una serie de </w:t>
      </w:r>
      <w:r w:rsidRPr="00944E10">
        <w:rPr>
          <w:rFonts w:ascii="Verdana" w:eastAsia="Calibri" w:hAnsi="Verdana" w:cs="Arial"/>
          <w:b/>
          <w:bCs/>
          <w:lang w:eastAsia="es-ES"/>
        </w:rPr>
        <w:t xml:space="preserve">capacitaciones </w:t>
      </w:r>
      <w:r w:rsidRPr="00944E10">
        <w:rPr>
          <w:rFonts w:ascii="Verdana" w:eastAsia="Calibri" w:hAnsi="Verdana" w:cs="Arial"/>
          <w:lang w:eastAsia="es-ES"/>
        </w:rPr>
        <w:t xml:space="preserve">dirigidas a todos los actores involucrados en los procesos de selección. Podrá conocer la programación y realizar tu inscripción a estas capacitaciones a través del siguiente enlace: </w:t>
      </w:r>
      <w:hyperlink r:id="rId14" w:history="1">
        <w:r w:rsidRPr="00944E10">
          <w:rPr>
            <w:rStyle w:val="Hipervnculo"/>
            <w:rFonts w:ascii="Verdana" w:eastAsia="Calibri" w:hAnsi="Verdana" w:cs="Arial"/>
            <w:lang w:eastAsia="es-ES"/>
          </w:rPr>
          <w:t>Calendario | Colombia Compra Eficiente | Agencia Nacional de Contratación Pública</w:t>
        </w:r>
      </w:hyperlink>
    </w:p>
    <w:p w14:paraId="20E05B5F" w14:textId="77777777" w:rsidR="0080118E" w:rsidRPr="00944E10" w:rsidRDefault="0080118E" w:rsidP="0080118E">
      <w:pPr>
        <w:spacing w:after="0" w:line="240" w:lineRule="auto"/>
        <w:jc w:val="both"/>
        <w:rPr>
          <w:rFonts w:ascii="Verdana" w:eastAsia="Calibri" w:hAnsi="Verdana" w:cs="Arial"/>
          <w:lang w:eastAsia="es-ES"/>
        </w:rPr>
      </w:pPr>
    </w:p>
    <w:p w14:paraId="5A1E2101" w14:textId="77777777" w:rsidR="0080118E" w:rsidRPr="00944E10" w:rsidRDefault="0080118E" w:rsidP="0080118E">
      <w:pPr>
        <w:spacing w:after="0" w:line="240" w:lineRule="auto"/>
        <w:jc w:val="both"/>
        <w:rPr>
          <w:rFonts w:ascii="Verdana" w:eastAsia="Calibri" w:hAnsi="Verdana" w:cs="Arial"/>
          <w:lang w:eastAsia="es-ES"/>
        </w:rPr>
      </w:pPr>
      <w:r>
        <w:rPr>
          <w:rFonts w:ascii="Verdana" w:eastAsia="Calibri" w:hAnsi="Verdana" w:cs="Arial"/>
          <w:lang w:eastAsia="es-ES"/>
        </w:rPr>
        <w:t>Se le informa que</w:t>
      </w:r>
      <w:r w:rsidRPr="00944E10">
        <w:rPr>
          <w:rFonts w:ascii="Verdana" w:eastAsia="Calibri" w:hAnsi="Verdana" w:cs="Arial"/>
          <w:lang w:eastAsia="es-ES"/>
        </w:rPr>
        <w:t xml:space="preserve"> publicamos </w:t>
      </w:r>
      <w:r w:rsidRPr="00944E10">
        <w:rPr>
          <w:rFonts w:ascii="Verdana" w:eastAsia="Calibri" w:hAnsi="Verdana" w:cs="Arial"/>
          <w:b/>
          <w:bCs/>
          <w:lang w:eastAsia="es-ES"/>
        </w:rPr>
        <w:t>la nueva Guía de Contratación Pública Sostenible y Socialmente Responsable</w:t>
      </w:r>
      <w:r w:rsidRPr="00944E10">
        <w:rPr>
          <w:rFonts w:ascii="Verdana" w:eastAsia="Calibri" w:hAnsi="Verdana" w:cs="Arial"/>
          <w:lang w:eastAsia="es-ES"/>
        </w:rPr>
        <w:t xml:space="preserve">.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history="1">
        <w:r w:rsidRPr="00944E10">
          <w:rPr>
            <w:rStyle w:val="Hipervnculo"/>
            <w:rFonts w:ascii="Verdana" w:eastAsia="Calibri" w:hAnsi="Verdana" w:cs="Arial"/>
            <w:lang w:eastAsia="es-ES"/>
          </w:rPr>
          <w:t>Guía de Contratación Pública Sostenible y Socialmente Responsable | Colombia Compra Eficiente | Agencia Nacional de Contratación Pública</w:t>
        </w:r>
      </w:hyperlink>
    </w:p>
    <w:p w14:paraId="50E506DE" w14:textId="77777777" w:rsidR="0080118E" w:rsidRDefault="0080118E" w:rsidP="0080118E">
      <w:pPr>
        <w:spacing w:after="0" w:line="240" w:lineRule="auto"/>
        <w:jc w:val="both"/>
      </w:pPr>
    </w:p>
    <w:p w14:paraId="7D4554E0" w14:textId="77777777" w:rsidR="0080118E" w:rsidRPr="00504DD6" w:rsidRDefault="0080118E" w:rsidP="0080118E">
      <w:pPr>
        <w:spacing w:after="0" w:line="240" w:lineRule="auto"/>
        <w:jc w:val="both"/>
        <w:rPr>
          <w:rFonts w:ascii="Verdana" w:eastAsia="Calibri" w:hAnsi="Verdana" w:cs="Arial"/>
          <w:lang w:eastAsia="es-ES_tradnl"/>
        </w:rPr>
      </w:pPr>
      <w:r>
        <w:rPr>
          <w:rFonts w:ascii="Verdana" w:eastAsia="Calibri" w:hAnsi="Verdana" w:cs="Arial"/>
          <w:lang w:eastAsia="es-ES_tradnl"/>
        </w:rPr>
        <w:t>Así mismo, lo</w:t>
      </w:r>
      <w:r w:rsidRPr="00B84822">
        <w:rPr>
          <w:rFonts w:ascii="Verdana" w:eastAsia="Calibri" w:hAnsi="Verdana" w:cs="Arial"/>
          <w:lang w:eastAsia="es-ES_tradnl"/>
        </w:rPr>
        <w:t xml:space="preserve"> invitamos a consultar la </w:t>
      </w:r>
      <w:r w:rsidRPr="00B84822">
        <w:rPr>
          <w:rFonts w:ascii="Verdana" w:eastAsia="Calibri" w:hAnsi="Verdana" w:cs="Arial"/>
          <w:b/>
          <w:bCs/>
          <w:lang w:eastAsia="es-ES_tradnl"/>
        </w:rPr>
        <w:t>versión VIII de 2024</w:t>
      </w:r>
      <w:r w:rsidRPr="00B84822">
        <w:rPr>
          <w:rFonts w:ascii="Verdana" w:eastAsia="Calibri" w:hAnsi="Verdana" w:cs="Arial"/>
          <w:lang w:eastAsia="es-ES_tradnl"/>
        </w:rPr>
        <w:t xml:space="preserve">, del </w:t>
      </w:r>
      <w:r w:rsidRPr="00B84822">
        <w:rPr>
          <w:rFonts w:ascii="Verdana" w:eastAsia="Calibri" w:hAnsi="Verdana" w:cs="Arial"/>
          <w:b/>
          <w:bCs/>
          <w:lang w:eastAsia="es-ES_tradnl"/>
        </w:rPr>
        <w:t>Boletín de Relatoría</w:t>
      </w:r>
      <w:r w:rsidRPr="00B84822">
        <w:rPr>
          <w:rFonts w:ascii="Verdana" w:eastAsia="Calibri" w:hAnsi="Verdana" w:cs="Arial"/>
          <w:lang w:eastAsia="es-ES_tradnl"/>
        </w:rPr>
        <w:t xml:space="preserve"> de la Subdirección de Gestión Contractual relacionado con la participación de las MIPYMES en los procesos de compra y contratación pública, el cual se puede descargar en la página web de la Agencia: </w:t>
      </w:r>
      <w:hyperlink r:id="rId16" w:history="1">
        <w:r w:rsidRPr="00B84822">
          <w:rPr>
            <w:rStyle w:val="Hipervnculo"/>
            <w:rFonts w:ascii="Verdana" w:eastAsia="Calibri" w:hAnsi="Verdana"/>
            <w:lang w:eastAsia="es-ES_tradnl"/>
          </w:rPr>
          <w:t>https://www.colombiacompra.gov.co/sites/cce_public/files/files_2020/boletin_de_realtoria_viii.pdf</w:t>
        </w:r>
      </w:hyperlink>
    </w:p>
    <w:p w14:paraId="67D61A98" w14:textId="77777777" w:rsidR="0080118E" w:rsidRDefault="0080118E" w:rsidP="0080118E">
      <w:pPr>
        <w:spacing w:after="0" w:line="240" w:lineRule="auto"/>
        <w:jc w:val="both"/>
        <w:rPr>
          <w:rFonts w:ascii="Verdana" w:hAnsi="Verdana"/>
        </w:rPr>
      </w:pPr>
    </w:p>
    <w:p w14:paraId="1BC737ED" w14:textId="77777777" w:rsidR="0080118E" w:rsidRPr="003E2460" w:rsidRDefault="0080118E" w:rsidP="0080118E">
      <w:pPr>
        <w:spacing w:after="0" w:line="240" w:lineRule="auto"/>
        <w:jc w:val="both"/>
        <w:rPr>
          <w:rFonts w:ascii="Verdana" w:hAnsi="Verdana"/>
        </w:rPr>
      </w:pPr>
      <w:r w:rsidRPr="003E2460">
        <w:rPr>
          <w:rFonts w:ascii="Verdana" w:hAnsi="Verdana"/>
        </w:rPr>
        <w:lastRenderedPageBreak/>
        <w:t xml:space="preserve">Por último, lo invitamos a seguirnos en las redes sociales en las cuales se difunde información institucional: </w:t>
      </w:r>
    </w:p>
    <w:p w14:paraId="44B9387E" w14:textId="77777777" w:rsidR="0080118E" w:rsidRPr="003E2460" w:rsidRDefault="0080118E" w:rsidP="0080118E">
      <w:pPr>
        <w:spacing w:after="0" w:line="240" w:lineRule="auto"/>
        <w:jc w:val="both"/>
        <w:rPr>
          <w:rFonts w:ascii="Verdana" w:hAnsi="Verdana"/>
        </w:rPr>
      </w:pPr>
    </w:p>
    <w:p w14:paraId="10B918DC" w14:textId="77777777" w:rsidR="0080118E" w:rsidRPr="003E2460" w:rsidRDefault="0080118E" w:rsidP="0080118E">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27FB76A8" w14:textId="77777777" w:rsidR="0080118E" w:rsidRPr="003E2460" w:rsidRDefault="0080118E" w:rsidP="0080118E">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7503D07D" w14:textId="77777777" w:rsidR="0080118E" w:rsidRPr="003E2460" w:rsidRDefault="0080118E" w:rsidP="0080118E">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2E6233DD" w14:textId="77777777" w:rsidR="0080118E" w:rsidRPr="00593A5F" w:rsidRDefault="0080118E" w:rsidP="0080118E">
      <w:pPr>
        <w:widowControl w:val="0"/>
        <w:autoSpaceDE w:val="0"/>
        <w:autoSpaceDN w:val="0"/>
        <w:spacing w:after="0" w:line="276" w:lineRule="auto"/>
        <w:jc w:val="both"/>
        <w:rPr>
          <w:rFonts w:ascii="Verdana" w:hAnsi="Verdana" w:cs="Arial"/>
        </w:rPr>
      </w:pPr>
    </w:p>
    <w:p w14:paraId="086C60DB" w14:textId="77777777" w:rsidR="0080118E" w:rsidRPr="00593A5F" w:rsidRDefault="0080118E" w:rsidP="0080118E">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40CC748B" w14:textId="77777777" w:rsidR="0080118E" w:rsidRPr="00593A5F" w:rsidRDefault="0080118E" w:rsidP="0080118E">
      <w:pPr>
        <w:widowControl w:val="0"/>
        <w:autoSpaceDE w:val="0"/>
        <w:autoSpaceDN w:val="0"/>
        <w:spacing w:after="0" w:line="276" w:lineRule="auto"/>
        <w:jc w:val="both"/>
        <w:rPr>
          <w:rFonts w:ascii="Verdana" w:hAnsi="Verdana" w:cs="Arial"/>
        </w:rPr>
      </w:pPr>
    </w:p>
    <w:p w14:paraId="7E9FE12B" w14:textId="77777777" w:rsidR="0080118E" w:rsidRPr="00593A5F" w:rsidRDefault="0080118E" w:rsidP="0080118E">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568E254E" w14:textId="4636023D" w:rsidR="0080118E" w:rsidRPr="00593A5F" w:rsidRDefault="00FD2CA0" w:rsidP="0080118E">
      <w:pPr>
        <w:spacing w:line="276" w:lineRule="auto"/>
        <w:jc w:val="center"/>
        <w:rPr>
          <w:rFonts w:ascii="Verdana" w:hAnsi="Verdana" w:cs="Arial"/>
          <w:color w:val="000000"/>
          <w:lang w:val="es-ES_tradnl" w:eastAsia="es-CO"/>
        </w:rPr>
      </w:pPr>
      <w:r>
        <w:rPr>
          <w:noProof/>
        </w:rPr>
        <w:drawing>
          <wp:inline distT="0" distB="0" distL="0" distR="0" wp14:anchorId="2100C723" wp14:editId="35E44F8D">
            <wp:extent cx="3768725" cy="1399540"/>
            <wp:effectExtent l="0" t="0" r="3175" b="0"/>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0118E" w:rsidRPr="00593A5F" w14:paraId="41549619" w14:textId="77777777" w:rsidTr="00BF26C9">
        <w:trPr>
          <w:trHeight w:val="315"/>
        </w:trPr>
        <w:tc>
          <w:tcPr>
            <w:tcW w:w="893" w:type="dxa"/>
            <w:vAlign w:val="center"/>
            <w:hideMark/>
          </w:tcPr>
          <w:p w14:paraId="263A16C0" w14:textId="77777777" w:rsidR="0080118E" w:rsidRPr="003751C7" w:rsidRDefault="0080118E" w:rsidP="00BF26C9">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D878F6E" w14:textId="77777777" w:rsidR="0080118E" w:rsidRPr="00097DBE" w:rsidRDefault="0080118E" w:rsidP="00BF26C9">
            <w:pPr>
              <w:contextualSpacing/>
              <w:rPr>
                <w:rFonts w:ascii="Verdana" w:eastAsia="Arial" w:hAnsi="Verdana" w:cs="Arial"/>
                <w:sz w:val="16"/>
                <w:szCs w:val="16"/>
              </w:rPr>
            </w:pPr>
            <w:r w:rsidRPr="00097DBE">
              <w:rPr>
                <w:rStyle w:val="normaltextrun"/>
                <w:rFonts w:ascii="Verdana" w:hAnsi="Verdana"/>
                <w:sz w:val="16"/>
                <w:szCs w:val="16"/>
              </w:rPr>
              <w:t xml:space="preserve">Catalina Cubides </w:t>
            </w:r>
            <w:proofErr w:type="spellStart"/>
            <w:r w:rsidRPr="00097DBE">
              <w:rPr>
                <w:rStyle w:val="normaltextrun"/>
                <w:rFonts w:ascii="Verdana" w:hAnsi="Verdana"/>
                <w:sz w:val="16"/>
                <w:szCs w:val="16"/>
              </w:rPr>
              <w:t>Estupiñan</w:t>
            </w:r>
            <w:proofErr w:type="spellEnd"/>
          </w:p>
          <w:p w14:paraId="749633F8" w14:textId="77777777" w:rsidR="0080118E" w:rsidRPr="003751C7" w:rsidRDefault="0080118E" w:rsidP="00BF26C9">
            <w:pPr>
              <w:contextualSpacing/>
              <w:rPr>
                <w:rFonts w:ascii="Verdana" w:eastAsia="Arial" w:hAnsi="Verdana" w:cs="Arial"/>
                <w:sz w:val="16"/>
                <w:szCs w:val="16"/>
              </w:rPr>
            </w:pPr>
            <w:r w:rsidRPr="00097DBE">
              <w:rPr>
                <w:rStyle w:val="normaltextrun"/>
                <w:rFonts w:ascii="Verdana" w:eastAsia="Arial" w:hAnsi="Verdana" w:cs="Arial"/>
                <w:sz w:val="16"/>
                <w:szCs w:val="16"/>
              </w:rPr>
              <w:t>Contratista de la Subdirección de Gestión Contractual</w:t>
            </w:r>
          </w:p>
        </w:tc>
      </w:tr>
      <w:tr w:rsidR="0080118E" w:rsidRPr="00593A5F" w14:paraId="133D3ECD" w14:textId="77777777" w:rsidTr="00BF26C9">
        <w:trPr>
          <w:trHeight w:val="330"/>
        </w:trPr>
        <w:tc>
          <w:tcPr>
            <w:tcW w:w="893" w:type="dxa"/>
            <w:vAlign w:val="center"/>
            <w:hideMark/>
          </w:tcPr>
          <w:p w14:paraId="650F1139" w14:textId="77777777" w:rsidR="0080118E" w:rsidRPr="003751C7" w:rsidRDefault="0080118E" w:rsidP="00BF26C9">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E14B73D" w14:textId="77777777" w:rsidR="0080118E" w:rsidRPr="00097DBE" w:rsidRDefault="0080118E" w:rsidP="00BF26C9">
            <w:pPr>
              <w:pStyle w:val="paragraph"/>
              <w:spacing w:before="0" w:beforeAutospacing="0" w:after="0" w:afterAutospacing="0"/>
              <w:contextualSpacing/>
              <w:textAlignment w:val="baseline"/>
              <w:rPr>
                <w:rFonts w:ascii="Verdana" w:hAnsi="Verdana" w:cs="Segoe UI"/>
                <w:sz w:val="16"/>
                <w:szCs w:val="16"/>
              </w:rPr>
            </w:pPr>
            <w:r w:rsidRPr="00097DBE">
              <w:rPr>
                <w:rFonts w:ascii="Verdana" w:hAnsi="Verdana" w:cs="Segoe UI"/>
                <w:sz w:val="16"/>
                <w:szCs w:val="16"/>
              </w:rPr>
              <w:t>Juan Carlos González Vásquez</w:t>
            </w:r>
          </w:p>
          <w:p w14:paraId="4BC6587B" w14:textId="77777777" w:rsidR="0080118E" w:rsidRPr="003751C7" w:rsidRDefault="0080118E" w:rsidP="00BF26C9">
            <w:pPr>
              <w:pStyle w:val="paragraph"/>
              <w:spacing w:before="0" w:beforeAutospacing="0" w:after="0" w:afterAutospacing="0"/>
              <w:contextualSpacing/>
              <w:textAlignment w:val="baseline"/>
              <w:rPr>
                <w:rFonts w:ascii="Verdana" w:hAnsi="Verdana" w:cs="Segoe UI"/>
                <w:sz w:val="16"/>
                <w:szCs w:val="16"/>
              </w:rPr>
            </w:pPr>
            <w:r w:rsidRPr="00097DBE">
              <w:rPr>
                <w:rStyle w:val="normaltextrun"/>
                <w:rFonts w:ascii="Verdana" w:hAnsi="Verdana" w:cs="Arial"/>
                <w:sz w:val="16"/>
                <w:szCs w:val="16"/>
                <w:lang w:val="es-ES"/>
              </w:rPr>
              <w:t>Contratista de la Subdirección de Gestión Contractual</w:t>
            </w:r>
            <w:r w:rsidRPr="00097DBE">
              <w:rPr>
                <w:rStyle w:val="eop"/>
                <w:rFonts w:ascii="Verdana" w:hAnsi="Verdana" w:cs="Arial"/>
                <w:sz w:val="16"/>
                <w:szCs w:val="16"/>
              </w:rPr>
              <w:t> </w:t>
            </w:r>
          </w:p>
        </w:tc>
      </w:tr>
      <w:tr w:rsidR="0080118E" w:rsidRPr="00593A5F" w14:paraId="45988C9D" w14:textId="77777777" w:rsidTr="00BF26C9">
        <w:trPr>
          <w:trHeight w:val="300"/>
        </w:trPr>
        <w:tc>
          <w:tcPr>
            <w:tcW w:w="893" w:type="dxa"/>
            <w:vAlign w:val="center"/>
          </w:tcPr>
          <w:p w14:paraId="2F9F0954" w14:textId="77777777" w:rsidR="0080118E" w:rsidRPr="003751C7" w:rsidRDefault="0080118E" w:rsidP="00BF26C9">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335A09B" w14:textId="77777777" w:rsidR="0080118E" w:rsidRPr="003751C7" w:rsidRDefault="0080118E" w:rsidP="00BF26C9">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3B5EF98E" w14:textId="77777777" w:rsidR="0080118E" w:rsidRPr="003751C7" w:rsidRDefault="0080118E" w:rsidP="00BF26C9">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w:t>
            </w:r>
            <w:proofErr w:type="spellStart"/>
            <w:r w:rsidRPr="003751C7">
              <w:rPr>
                <w:rFonts w:ascii="Verdana" w:eastAsia="Calibri" w:hAnsi="Verdana" w:cs="Arial"/>
                <w:sz w:val="16"/>
                <w:szCs w:val="16"/>
                <w:lang w:val="pt-BR" w:eastAsia="es-ES"/>
              </w:rPr>
              <w:t>Gestión</w:t>
            </w:r>
            <w:proofErr w:type="spellEnd"/>
            <w:r w:rsidRPr="003751C7">
              <w:rPr>
                <w:rFonts w:ascii="Verdana" w:eastAsia="Calibri" w:hAnsi="Verdana" w:cs="Arial"/>
                <w:sz w:val="16"/>
                <w:szCs w:val="16"/>
                <w:lang w:val="pt-BR" w:eastAsia="es-ES"/>
              </w:rPr>
              <w:t xml:space="preserve">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08572D38" w14:textId="77777777" w:rsidR="0080118E" w:rsidRPr="00593A5F" w:rsidRDefault="0080118E" w:rsidP="0080118E">
      <w:pPr>
        <w:spacing w:after="0" w:line="240" w:lineRule="auto"/>
        <w:rPr>
          <w:rFonts w:ascii="Verdana" w:eastAsia="Times New Roman" w:hAnsi="Verdana" w:cs="Arial"/>
          <w:sz w:val="24"/>
          <w:szCs w:val="24"/>
          <w:lang w:eastAsia="es-ES"/>
        </w:rPr>
      </w:pPr>
    </w:p>
    <w:p w14:paraId="136E6A14" w14:textId="77777777" w:rsidR="0080118E" w:rsidRPr="00871B59" w:rsidRDefault="0080118E" w:rsidP="0080118E"/>
    <w:p w14:paraId="3900974D" w14:textId="77777777" w:rsidR="003D5B0D" w:rsidRPr="00033795" w:rsidRDefault="003D5B0D" w:rsidP="00033795"/>
    <w:sectPr w:rsidR="003D5B0D" w:rsidRPr="00033795"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E838C" w14:textId="77777777" w:rsidR="004D4BDE" w:rsidRDefault="004D4BDE" w:rsidP="004A1847">
      <w:pPr>
        <w:spacing w:after="0" w:line="240" w:lineRule="auto"/>
      </w:pPr>
      <w:r>
        <w:separator/>
      </w:r>
    </w:p>
  </w:endnote>
  <w:endnote w:type="continuationSeparator" w:id="0">
    <w:p w14:paraId="7C7CEA3C" w14:textId="77777777" w:rsidR="004D4BDE" w:rsidRDefault="004D4BD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E8B1D" w14:textId="77777777" w:rsidR="004D4BDE" w:rsidRDefault="004D4BDE" w:rsidP="004A1847">
      <w:pPr>
        <w:spacing w:after="0" w:line="240" w:lineRule="auto"/>
      </w:pPr>
      <w:r>
        <w:separator/>
      </w:r>
    </w:p>
  </w:footnote>
  <w:footnote w:type="continuationSeparator" w:id="0">
    <w:p w14:paraId="42782240" w14:textId="77777777" w:rsidR="004D4BDE" w:rsidRDefault="004D4BDE" w:rsidP="004A1847">
      <w:pPr>
        <w:spacing w:after="0" w:line="240" w:lineRule="auto"/>
      </w:pPr>
      <w:r>
        <w:continuationSeparator/>
      </w:r>
    </w:p>
  </w:footnote>
  <w:footnote w:id="1">
    <w:p w14:paraId="2BBB4D74" w14:textId="77777777" w:rsidR="0080118E" w:rsidRPr="00285AC2" w:rsidRDefault="0080118E" w:rsidP="0080118E">
      <w:pPr>
        <w:ind w:firstLine="709"/>
        <w:jc w:val="both"/>
        <w:rPr>
          <w:rFonts w:ascii="Verdana" w:eastAsia="Calibri" w:hAnsi="Verdana" w:cs="Arial"/>
          <w:color w:val="000000"/>
          <w:sz w:val="14"/>
          <w:szCs w:val="14"/>
        </w:rPr>
      </w:pPr>
      <w:r w:rsidRPr="00285AC2">
        <w:rPr>
          <w:rStyle w:val="Refdenotaalpie"/>
          <w:rFonts w:ascii="Verdana" w:hAnsi="Verdana" w:cs="Arial"/>
          <w:color w:val="000000"/>
          <w:sz w:val="14"/>
          <w:szCs w:val="14"/>
        </w:rPr>
        <w:footnoteRef/>
      </w:r>
      <w:r w:rsidRPr="00285AC2">
        <w:rPr>
          <w:rFonts w:ascii="Verdana" w:hAnsi="Verdana" w:cs="Arial"/>
          <w:color w:val="000000"/>
          <w:sz w:val="14"/>
          <w:szCs w:val="14"/>
        </w:rPr>
        <w:t xml:space="preserve"> </w:t>
      </w:r>
      <w:r w:rsidRPr="00285AC2">
        <w:rPr>
          <w:rFonts w:ascii="Verdana" w:eastAsia="Calibri" w:hAnsi="Verdana" w:cs="Arial"/>
          <w:color w:val="000000"/>
          <w:sz w:val="14"/>
          <w:szCs w:val="14"/>
        </w:rPr>
        <w:t>Ley 1780 de 2016: “Artículo 15. Naturaleza, definición y reglamentación de la práctica laboral.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 y su tipo de formación; para el cumplimiento de un requisito para culminar sus estudios u obtener un título que lo acreditará para el desempeño laboral.</w:t>
      </w:r>
    </w:p>
    <w:p w14:paraId="4B9730EF" w14:textId="77777777" w:rsidR="0080118E" w:rsidRPr="000E3161" w:rsidRDefault="0080118E" w:rsidP="0080118E">
      <w:pPr>
        <w:ind w:firstLine="709"/>
        <w:jc w:val="both"/>
        <w:rPr>
          <w:rFonts w:ascii="Verdana" w:eastAsia="Calibri" w:hAnsi="Verdana" w:cs="Arial"/>
          <w:color w:val="000000"/>
          <w:sz w:val="14"/>
          <w:szCs w:val="14"/>
        </w:rPr>
      </w:pPr>
      <w:r w:rsidRPr="00285AC2">
        <w:rPr>
          <w:rFonts w:ascii="Verdana" w:eastAsia="Calibri" w:hAnsi="Verdana" w:cs="Arial"/>
          <w:color w:val="000000"/>
          <w:sz w:val="14"/>
          <w:szCs w:val="14"/>
        </w:rPr>
        <w:t>“Por tratarse de una actividad formativa, la práctica laboral no constituye relación de trabajo”.</w:t>
      </w:r>
    </w:p>
  </w:footnote>
  <w:footnote w:id="2">
    <w:p w14:paraId="023D19D8" w14:textId="77777777" w:rsidR="0080118E" w:rsidRPr="00E268CA" w:rsidRDefault="0080118E" w:rsidP="0080118E">
      <w:pPr>
        <w:pStyle w:val="NormalWeb"/>
        <w:spacing w:after="0"/>
        <w:ind w:firstLine="709"/>
        <w:jc w:val="both"/>
        <w:rPr>
          <w:rFonts w:ascii="Verdana" w:hAnsi="Verdana" w:cs="Arial"/>
          <w:color w:val="000000"/>
          <w:sz w:val="14"/>
          <w:szCs w:val="14"/>
        </w:rPr>
      </w:pPr>
      <w:r w:rsidRPr="00E268CA">
        <w:rPr>
          <w:rStyle w:val="Refdenotaalpie"/>
          <w:rFonts w:ascii="Verdana" w:hAnsi="Verdana" w:cs="Arial"/>
          <w:color w:val="000000"/>
          <w:sz w:val="14"/>
          <w:szCs w:val="14"/>
        </w:rPr>
        <w:footnoteRef/>
      </w:r>
      <w:bookmarkStart w:id="1" w:name="192"/>
      <w:r w:rsidRPr="00E268CA">
        <w:rPr>
          <w:rFonts w:ascii="Verdana" w:hAnsi="Verdana" w:cs="Arial"/>
          <w:bCs/>
          <w:color w:val="000000"/>
          <w:sz w:val="14"/>
          <w:szCs w:val="14"/>
        </w:rPr>
        <w:t xml:space="preserve"> “Artículo 192. Prácticas Laborales.</w:t>
      </w:r>
      <w:bookmarkEnd w:id="1"/>
      <w:r w:rsidRPr="00E268CA">
        <w:rPr>
          <w:rFonts w:ascii="Verdana" w:hAnsi="Verdana" w:cs="Arial"/>
          <w:color w:val="000000"/>
          <w:sz w:val="14"/>
          <w:szCs w:val="14"/>
        </w:rPr>
        <w:t> Además de lo previsto en el artículo </w:t>
      </w:r>
      <w:hyperlink r:id="rId1" w:anchor="15" w:history="1">
        <w:r w:rsidRPr="00E268CA">
          <w:rPr>
            <w:rStyle w:val="Hipervnculo"/>
            <w:rFonts w:ascii="Verdana" w:eastAsiaTheme="majorEastAsia" w:hAnsi="Verdana" w:cs="Arial"/>
            <w:color w:val="000000"/>
            <w:sz w:val="14"/>
            <w:szCs w:val="14"/>
          </w:rPr>
          <w:t>15</w:t>
        </w:r>
      </w:hyperlink>
      <w:r w:rsidRPr="00E268CA">
        <w:rPr>
          <w:rFonts w:ascii="Verdana" w:hAnsi="Verdana" w:cs="Arial"/>
          <w:color w:val="000000"/>
          <w:sz w:val="14"/>
          <w:szCs w:val="14"/>
        </w:rPr>
        <w:t xml:space="preserve"> de la Ley 1780 de 2016, las prácticas laborales podrán desarrollarse por estudiantes de educación superior de posgrado, de educación para el trabajo y desarrollo humano, de formación profesional integral del SENA, así como de toda la oferta de formación por competencias. </w:t>
      </w:r>
    </w:p>
    <w:p w14:paraId="7D151ED9" w14:textId="77777777" w:rsidR="0080118E" w:rsidRPr="00E268CA" w:rsidRDefault="0080118E" w:rsidP="0080118E">
      <w:pPr>
        <w:pStyle w:val="NormalWeb"/>
        <w:spacing w:after="0"/>
        <w:ind w:firstLine="709"/>
        <w:jc w:val="both"/>
        <w:rPr>
          <w:rFonts w:ascii="Verdana" w:hAnsi="Verdana" w:cs="Arial"/>
          <w:color w:val="000000"/>
          <w:sz w:val="14"/>
          <w:szCs w:val="14"/>
        </w:rPr>
      </w:pPr>
      <w:r w:rsidRPr="00E268CA">
        <w:rPr>
          <w:rStyle w:val="baj"/>
          <w:rFonts w:ascii="Verdana" w:hAnsi="Verdana" w:cs="Arial"/>
          <w:bCs/>
          <w:color w:val="000000"/>
          <w:sz w:val="14"/>
          <w:szCs w:val="14"/>
        </w:rPr>
        <w:t>“PARÁGRAFO 1o.</w:t>
      </w:r>
      <w:r w:rsidRPr="00E268CA">
        <w:rPr>
          <w:rFonts w:ascii="Verdana" w:hAnsi="Verdana" w:cs="Arial"/>
          <w:color w:val="000000"/>
          <w:sz w:val="14"/>
          <w:szCs w:val="14"/>
        </w:rPr>
        <w:t> El tiempo de la práctica laboral que el estudiante realice para optar a su título de profesional, tecnológico o técnico cuenta como experiencia laboral, sin perjuicio de las disposiciones vigentes en la materia.</w:t>
      </w:r>
    </w:p>
    <w:p w14:paraId="2E4D718F" w14:textId="77777777" w:rsidR="0080118E" w:rsidRPr="00E268CA" w:rsidRDefault="0080118E" w:rsidP="0080118E">
      <w:pPr>
        <w:pStyle w:val="NormalWeb"/>
        <w:spacing w:after="0"/>
        <w:ind w:firstLine="709"/>
        <w:jc w:val="both"/>
        <w:rPr>
          <w:rFonts w:ascii="Verdana" w:hAnsi="Verdana" w:cs="Arial"/>
          <w:color w:val="000000"/>
          <w:sz w:val="14"/>
          <w:szCs w:val="14"/>
        </w:rPr>
      </w:pPr>
      <w:r w:rsidRPr="00E268CA">
        <w:rPr>
          <w:rFonts w:ascii="Verdana" w:hAnsi="Verdana" w:cs="Arial"/>
          <w:color w:val="000000"/>
          <w:sz w:val="14"/>
          <w:szCs w:val="14"/>
        </w:rPr>
        <w:t>“</w:t>
      </w:r>
      <w:r w:rsidRPr="00E268CA">
        <w:rPr>
          <w:rStyle w:val="baj"/>
          <w:rFonts w:ascii="Verdana" w:hAnsi="Verdana" w:cs="Arial"/>
          <w:bCs/>
          <w:color w:val="000000"/>
          <w:sz w:val="14"/>
          <w:szCs w:val="14"/>
        </w:rPr>
        <w:t>PARÁGRAFO 2o.</w:t>
      </w:r>
      <w:r w:rsidRPr="00E268CA">
        <w:rPr>
          <w:rFonts w:ascii="Verdana" w:hAnsi="Verdana" w:cs="Arial"/>
          <w:color w:val="000000"/>
          <w:sz w:val="14"/>
          <w:szCs w:val="14"/>
        </w:rPr>
        <w:t xml:space="preserve"> Las prácticas laborales realizadas durante los veinticuatro (24) meses anteriores a la entrada en vigencia de la presente Ley, serán tenidas en cuenta al momento de contabilizar el tiempo de experiencia laboral. </w:t>
      </w:r>
    </w:p>
    <w:p w14:paraId="6C0A35C4" w14:textId="77777777" w:rsidR="0080118E" w:rsidRPr="00E268CA" w:rsidRDefault="0080118E" w:rsidP="0080118E">
      <w:pPr>
        <w:pStyle w:val="NormalWeb"/>
        <w:spacing w:after="0"/>
        <w:ind w:firstLine="709"/>
        <w:jc w:val="both"/>
        <w:rPr>
          <w:rFonts w:ascii="Verdana" w:hAnsi="Verdana" w:cs="Arial"/>
          <w:color w:val="000000"/>
          <w:sz w:val="14"/>
          <w:szCs w:val="14"/>
        </w:rPr>
      </w:pPr>
      <w:r w:rsidRPr="00E268CA">
        <w:rPr>
          <w:rStyle w:val="baj"/>
          <w:rFonts w:ascii="Verdana" w:hAnsi="Verdana" w:cs="Arial"/>
          <w:bCs/>
          <w:color w:val="000000"/>
          <w:sz w:val="14"/>
          <w:szCs w:val="14"/>
        </w:rPr>
        <w:t>“PARÁGRAFO 3o.</w:t>
      </w:r>
      <w:r w:rsidRPr="00E268CA">
        <w:rPr>
          <w:rFonts w:ascii="Verdana" w:hAnsi="Verdana" w:cs="Arial"/>
          <w:color w:val="000000"/>
          <w:sz w:val="14"/>
          <w:szCs w:val="14"/>
        </w:rPr>
        <w:t> Se exceptúan de lo dispuesto en el presente artículo, los estudiantes de posgrado del sector salud.</w:t>
      </w:r>
    </w:p>
    <w:p w14:paraId="5EBD9098" w14:textId="77777777" w:rsidR="0080118E" w:rsidRPr="00E268CA" w:rsidRDefault="0080118E" w:rsidP="0080118E">
      <w:pPr>
        <w:pStyle w:val="NormalWeb"/>
        <w:spacing w:after="0"/>
        <w:ind w:firstLine="709"/>
        <w:jc w:val="both"/>
        <w:rPr>
          <w:rFonts w:ascii="Verdana" w:hAnsi="Verdana" w:cs="Arial"/>
          <w:color w:val="000000"/>
          <w:sz w:val="14"/>
          <w:szCs w:val="14"/>
        </w:rPr>
      </w:pPr>
      <w:r w:rsidRPr="00E268CA">
        <w:rPr>
          <w:rFonts w:ascii="Verdana" w:hAnsi="Verdana" w:cs="Arial"/>
          <w:color w:val="000000"/>
          <w:sz w:val="14"/>
          <w:szCs w:val="14"/>
        </w:rPr>
        <w:t>“</w:t>
      </w:r>
      <w:r w:rsidRPr="00E268CA">
        <w:rPr>
          <w:rStyle w:val="baj"/>
          <w:rFonts w:ascii="Verdana" w:hAnsi="Verdana" w:cs="Arial"/>
          <w:bCs/>
          <w:color w:val="000000"/>
          <w:sz w:val="14"/>
          <w:szCs w:val="14"/>
        </w:rPr>
        <w:t>PARÁGRAFO 4o</w:t>
      </w:r>
      <w:r w:rsidRPr="00E268CA">
        <w:rPr>
          <w:rStyle w:val="baj"/>
          <w:rFonts w:ascii="Verdana" w:hAnsi="Verdana" w:cs="Arial"/>
          <w:b/>
          <w:bCs/>
          <w:color w:val="000000"/>
          <w:sz w:val="14"/>
          <w:szCs w:val="14"/>
        </w:rPr>
        <w:t>.</w:t>
      </w:r>
      <w:r w:rsidRPr="00E268CA">
        <w:rPr>
          <w:rFonts w:ascii="Verdana" w:hAnsi="Verdana" w:cs="Arial"/>
          <w:color w:val="000000"/>
          <w:sz w:val="14"/>
          <w:szCs w:val="14"/>
        </w:rPr>
        <w:t> En el sector público se generarán oportunidades de prácticas laborales para estudiantes de administración pública”.</w:t>
      </w:r>
    </w:p>
    <w:p w14:paraId="296102BE" w14:textId="77777777" w:rsidR="0080118E" w:rsidRPr="003C068C" w:rsidRDefault="0080118E" w:rsidP="0080118E">
      <w:pPr>
        <w:pStyle w:val="Textonotapie"/>
        <w:ind w:firstLine="709"/>
        <w:jc w:val="both"/>
        <w:rPr>
          <w:rFonts w:ascii="Arial" w:hAnsi="Arial" w:cs="Arial"/>
          <w:color w:val="000000"/>
          <w:sz w:val="19"/>
          <w:szCs w:val="19"/>
          <w:lang w:val="es-CO"/>
        </w:rPr>
      </w:pPr>
      <w:r w:rsidRPr="003C068C">
        <w:rPr>
          <w:rFonts w:ascii="Arial" w:hAnsi="Arial" w:cs="Arial"/>
          <w:color w:val="000000"/>
          <w:sz w:val="19"/>
          <w:szCs w:val="19"/>
        </w:rPr>
        <w:t xml:space="preserve"> </w:t>
      </w:r>
    </w:p>
  </w:footnote>
  <w:footnote w:id="3">
    <w:p w14:paraId="09B2FF9B" w14:textId="77777777" w:rsidR="0080118E" w:rsidRPr="003C068C" w:rsidRDefault="0080118E" w:rsidP="0080118E">
      <w:pPr>
        <w:pStyle w:val="Textonotapie"/>
        <w:ind w:firstLine="708"/>
        <w:jc w:val="both"/>
        <w:rPr>
          <w:rFonts w:ascii="Arial" w:hAnsi="Arial" w:cs="Arial"/>
          <w:color w:val="000000"/>
          <w:sz w:val="19"/>
          <w:szCs w:val="19"/>
        </w:rPr>
      </w:pPr>
    </w:p>
    <w:p w14:paraId="330482D9" w14:textId="77777777" w:rsidR="0080118E" w:rsidRPr="00B23861" w:rsidRDefault="0080118E" w:rsidP="0080118E">
      <w:pPr>
        <w:pStyle w:val="Textonotapie"/>
        <w:ind w:firstLine="708"/>
        <w:jc w:val="both"/>
        <w:rPr>
          <w:rFonts w:ascii="Verdana" w:eastAsia="Calibri" w:hAnsi="Verdana" w:cs="Arial"/>
          <w:color w:val="000000"/>
          <w:sz w:val="14"/>
          <w:szCs w:val="14"/>
        </w:rPr>
      </w:pPr>
      <w:r w:rsidRPr="00B23861">
        <w:rPr>
          <w:rStyle w:val="Refdenotaalpie"/>
          <w:rFonts w:ascii="Verdana" w:hAnsi="Verdana" w:cs="Arial"/>
          <w:color w:val="000000"/>
          <w:sz w:val="14"/>
          <w:szCs w:val="14"/>
        </w:rPr>
        <w:footnoteRef/>
      </w:r>
      <w:r w:rsidRPr="00B23861">
        <w:rPr>
          <w:rFonts w:ascii="Verdana" w:hAnsi="Verdana" w:cs="Arial"/>
          <w:color w:val="000000"/>
          <w:sz w:val="14"/>
          <w:szCs w:val="14"/>
        </w:rPr>
        <w:t xml:space="preserve"> </w:t>
      </w:r>
      <w:bookmarkStart w:id="2" w:name="_Hlk192854624"/>
      <w:r w:rsidRPr="00B23861">
        <w:rPr>
          <w:rFonts w:ascii="Verdana" w:hAnsi="Verdana" w:cs="Arial"/>
          <w:color w:val="000000"/>
          <w:sz w:val="14"/>
          <w:szCs w:val="14"/>
        </w:rPr>
        <w:t xml:space="preserve">Corte Constitucional. Sentencia </w:t>
      </w:r>
      <w:r w:rsidRPr="00B23861">
        <w:rPr>
          <w:rFonts w:ascii="Verdana" w:eastAsia="Calibri" w:hAnsi="Verdana" w:cs="Arial"/>
          <w:color w:val="000000"/>
          <w:sz w:val="14"/>
          <w:szCs w:val="14"/>
        </w:rPr>
        <w:t>C-697 de 2000. M.P. Eduardo Cifuentes Muñoz</w:t>
      </w:r>
      <w:bookmarkEnd w:id="2"/>
      <w:r w:rsidRPr="00B23861">
        <w:rPr>
          <w:rFonts w:ascii="Verdana" w:eastAsia="Calibri" w:hAnsi="Verdana" w:cs="Arial"/>
          <w:color w:val="000000"/>
          <w:sz w:val="14"/>
          <w:szCs w:val="14"/>
        </w:rPr>
        <w:t xml:space="preserve">:  </w:t>
      </w:r>
      <w:r>
        <w:rPr>
          <w:rFonts w:ascii="Verdana" w:eastAsia="Calibri" w:hAnsi="Verdana" w:cs="Arial"/>
          <w:color w:val="000000"/>
          <w:sz w:val="14"/>
          <w:szCs w:val="14"/>
        </w:rPr>
        <w:t>“</w:t>
      </w:r>
      <w:r w:rsidRPr="00B23861">
        <w:rPr>
          <w:rFonts w:ascii="Verdana" w:eastAsia="Calibri" w:hAnsi="Verdana" w:cs="Arial"/>
          <w:color w:val="000000"/>
          <w:sz w:val="14"/>
          <w:szCs w:val="14"/>
        </w:rPr>
        <w:t>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14:paraId="4F1C98BF" w14:textId="77777777" w:rsidR="0080118E" w:rsidRPr="00B23861" w:rsidRDefault="0080118E" w:rsidP="0080118E">
      <w:pPr>
        <w:pStyle w:val="Textonotapie"/>
        <w:ind w:firstLine="708"/>
        <w:jc w:val="both"/>
        <w:rPr>
          <w:rFonts w:ascii="Verdana" w:eastAsia="Calibri" w:hAnsi="Verdana" w:cs="Arial"/>
          <w:color w:val="000000"/>
          <w:sz w:val="14"/>
          <w:szCs w:val="14"/>
        </w:rPr>
      </w:pPr>
      <w:r w:rsidRPr="00B23861">
        <w:rPr>
          <w:rFonts w:ascii="Verdana" w:eastAsia="Calibri" w:hAnsi="Verdana" w:cs="Arial"/>
          <w:color w:val="000000"/>
          <w:sz w:val="14"/>
          <w:szCs w:val="14"/>
        </w:rPr>
        <w:t>[…]</w:t>
      </w:r>
    </w:p>
    <w:p w14:paraId="171CB008" w14:textId="77777777" w:rsidR="0080118E" w:rsidRPr="00B23861" w:rsidRDefault="0080118E" w:rsidP="0080118E">
      <w:pPr>
        <w:pStyle w:val="Textonotapie"/>
        <w:ind w:firstLine="708"/>
        <w:jc w:val="both"/>
        <w:rPr>
          <w:rFonts w:ascii="Verdana" w:hAnsi="Verdana" w:cs="Arial"/>
          <w:color w:val="000000"/>
          <w:sz w:val="14"/>
          <w:szCs w:val="14"/>
        </w:rPr>
      </w:pPr>
      <w:r>
        <w:rPr>
          <w:rFonts w:ascii="Verdana" w:eastAsia="Calibri" w:hAnsi="Verdana" w:cs="Arial"/>
          <w:color w:val="000000"/>
          <w:sz w:val="14"/>
          <w:szCs w:val="14"/>
        </w:rPr>
        <w:t>“</w:t>
      </w:r>
      <w:r w:rsidRPr="00B23861">
        <w:rPr>
          <w:rFonts w:ascii="Verdana" w:eastAsia="Calibri" w:hAnsi="Verdana" w:cs="Arial"/>
          <w:color w:val="000000"/>
          <w:sz w:val="14"/>
          <w:szCs w:val="14"/>
        </w:rPr>
        <w:t>La exigencia de títulos de idoneidad y tarjetas profesionales, constituye una excepción al principio de libertad e igualdad en materia laboral y, por lo tanto, es necesario demostrar que la formación intelectual y técnica requerida es un medio idóneo y proporción».</w:t>
      </w:r>
    </w:p>
    <w:p w14:paraId="4299D1D0" w14:textId="77777777" w:rsidR="0080118E" w:rsidRPr="00B23861" w:rsidRDefault="0080118E" w:rsidP="0080118E">
      <w:pPr>
        <w:pStyle w:val="Textonotapie"/>
        <w:ind w:firstLine="708"/>
        <w:jc w:val="both"/>
        <w:rPr>
          <w:rFonts w:ascii="Verdana" w:hAnsi="Verdana" w:cs="Arial"/>
          <w:color w:val="000000"/>
          <w:sz w:val="14"/>
          <w:szCs w:val="14"/>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3953F2"/>
    <w:multiLevelType w:val="hybridMultilevel"/>
    <w:tmpl w:val="6CC647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5"/>
  </w:num>
  <w:num w:numId="8">
    <w:abstractNumId w:val="12"/>
  </w:num>
  <w:num w:numId="9">
    <w:abstractNumId w:val="7"/>
  </w:num>
  <w:num w:numId="10">
    <w:abstractNumId w:val="11"/>
  </w:num>
  <w:num w:numId="11">
    <w:abstractNumId w:val="8"/>
  </w:num>
  <w:num w:numId="12">
    <w:abstractNumId w:val="1"/>
  </w:num>
  <w:num w:numId="13">
    <w:abstractNumId w:val="3"/>
  </w:num>
  <w:num w:numId="14">
    <w:abstractNumId w:val="14"/>
  </w:num>
  <w:num w:numId="15">
    <w:abstractNumId w:val="10"/>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3795"/>
    <w:rsid w:val="00046945"/>
    <w:rsid w:val="00061B2A"/>
    <w:rsid w:val="00082362"/>
    <w:rsid w:val="000A683E"/>
    <w:rsid w:val="000B19B9"/>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A6437"/>
    <w:rsid w:val="004D4BDE"/>
    <w:rsid w:val="004F21C4"/>
    <w:rsid w:val="004F685F"/>
    <w:rsid w:val="005566E8"/>
    <w:rsid w:val="00574867"/>
    <w:rsid w:val="00591460"/>
    <w:rsid w:val="005B3816"/>
    <w:rsid w:val="005C3777"/>
    <w:rsid w:val="005C5CDC"/>
    <w:rsid w:val="005D476C"/>
    <w:rsid w:val="006219F8"/>
    <w:rsid w:val="00665D70"/>
    <w:rsid w:val="006900D9"/>
    <w:rsid w:val="00706C16"/>
    <w:rsid w:val="00756841"/>
    <w:rsid w:val="007649AB"/>
    <w:rsid w:val="00771D0C"/>
    <w:rsid w:val="007833AC"/>
    <w:rsid w:val="007B268C"/>
    <w:rsid w:val="007B7171"/>
    <w:rsid w:val="007C0C0F"/>
    <w:rsid w:val="007C3DC2"/>
    <w:rsid w:val="007E5497"/>
    <w:rsid w:val="0080118E"/>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66319"/>
    <w:rsid w:val="00B72CD3"/>
    <w:rsid w:val="00B72FFF"/>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D2CA0"/>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18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0118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0118E"/>
    <w:rPr>
      <w:rFonts w:ascii="Geomanist Light" w:hAnsi="Geomanist Light"/>
      <w:lang w:val="es-ES"/>
    </w:rPr>
  </w:style>
  <w:style w:type="character" w:customStyle="1" w:styleId="baj">
    <w:name w:val="b_aj"/>
    <w:basedOn w:val="Fuentedeprrafopredeter"/>
    <w:rsid w:val="008011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sergio.caballero%40colombiacompra.gov.co%7Ceb0fd05604104aa4d3bc08dd4c4ad35e%7C7b09041e245149d08cb179d5e3d8c1be%7C0%7C0%7C638750606450638124%7CUnknown%7CTWFpbGZsb3d8eyJFbXB0eU1hcGkiOnRydWUsIlYiOiIwLjAuMDAwMCIsIlAiOiJXaW4zMiIsIkFOIjoiTWFpbCIsIldUIjoyfQ%3D%3D%7C0%7C%7C%7C&amp;sdata=GsJIL57dtjU4EgyeV9GoXT9Qyf5HCr3L97ztn6DduKY%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sites/cce_public/files/files_2020/boletin_de_realtoria_viii.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castro@ofb.gov.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sergio.caballero%40colombiacompra.gov.co%7Ceb0fd05604104aa4d3bc08dd4c4ad35e%7C7b09041e245149d08cb179d5e3d8c1be%7C0%7C0%7C638750606450689684%7CUnknown%7CTWFpbGZsb3d8eyJFbXB0eU1hcGkiOnRydWUsIlYiOiIwLjAuMDAwMCIsIlAiOiJXaW4zMiIsIkFOIjoiTWFpbCIsIldUIjoyfQ%3D%3D%7C0%7C%7C%7C&amp;sdata=NxWmEz0gePs69v4kYbGRcHH9k%2FqWDe2nEUXaxf28aZc%3D&amp;reserved=0" TargetMode="External"/><Relationship Id="rId10" Type="http://schemas.openxmlformats.org/officeDocument/2006/relationships/image" Target="media/image2.tmp"/><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sergio.caballero%40colombiacompra.gov.co%7Ceb0fd05604104aa4d3bc08dd4c4ad35e%7C7b09041e245149d08cb179d5e3d8c1be%7C0%7C0%7C638750606450666822%7CUnknown%7CTWFpbGZsb3d8eyJFbXB0eU1hcGkiOnRydWUsIlYiOiIwLjAuMDAwMCIsIlAiOiJXaW4zMiIsIkFOIjoiTWFpbCIsIldUIjoyfQ%3D%3D%7C0%7C%7C%7C&amp;sdata=mU5XUX7Q%2BXd%2FpAjSuS1xL4Fxie0rJRg%2FgAbyPiGkYwc%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1780_2016.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648B84F-EE12-4AAC-9EEC-A9A65E05E934}"/>
</file>

<file path=docProps/app.xml><?xml version="1.0" encoding="utf-8"?>
<Properties xmlns="http://schemas.openxmlformats.org/officeDocument/2006/extended-properties" xmlns:vt="http://schemas.openxmlformats.org/officeDocument/2006/docPropsVTypes">
  <Template>Normal</Template>
  <TotalTime>3</TotalTime>
  <Pages>8</Pages>
  <Words>2353</Words>
  <Characters>12942</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cp:lastModifiedBy>
  <cp:revision>3</cp:revision>
  <cp:lastPrinted>2023-01-10T21:18:00Z</cp:lastPrinted>
  <dcterms:created xsi:type="dcterms:W3CDTF">2025-03-14T20:47:00Z</dcterms:created>
  <dcterms:modified xsi:type="dcterms:W3CDTF">2025-03-18T03:44:00Z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