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A3D3F" w14:textId="0AEE200E" w:rsidR="00C0340D" w:rsidRDefault="00101E8C" w:rsidP="00803150">
      <w:pPr>
        <w:spacing w:after="0" w:line="240" w:lineRule="auto"/>
        <w:jc w:val="both"/>
        <w:rPr>
          <w:rFonts w:ascii="Verdana" w:eastAsia="Geomanist Light" w:hAnsi="Verdana" w:cs="Arial"/>
          <w:b/>
          <w:bCs/>
          <w:color w:val="000000" w:themeColor="text1"/>
          <w:sz w:val="20"/>
          <w:szCs w:val="20"/>
        </w:rPr>
      </w:pPr>
      <w:bookmarkStart w:id="0" w:name="_Hlk143780582"/>
      <w:r w:rsidRPr="00101E8C">
        <w:rPr>
          <w:rFonts w:ascii="Verdana" w:eastAsia="Geomanist Light" w:hAnsi="Verdana" w:cs="Arial"/>
          <w:b/>
          <w:bCs/>
          <w:color w:val="000000" w:themeColor="text1"/>
          <w:sz w:val="20"/>
          <w:szCs w:val="20"/>
        </w:rPr>
        <w:t>CAPACIDAD RESIDUAL – Decreto 1082 de 2013 – Definición – Cálculo – Factores</w:t>
      </w:r>
      <w:r w:rsidR="00803150">
        <w:rPr>
          <w:rFonts w:ascii="Verdana" w:eastAsia="Geomanist Light" w:hAnsi="Verdana" w:cs="Arial"/>
          <w:b/>
          <w:bCs/>
          <w:color w:val="000000" w:themeColor="text1"/>
          <w:sz w:val="20"/>
          <w:szCs w:val="20"/>
        </w:rPr>
        <w:t>.</w:t>
      </w:r>
    </w:p>
    <w:p w14:paraId="63E327AC" w14:textId="77777777" w:rsidR="00803150" w:rsidRPr="009B16F5" w:rsidRDefault="00803150" w:rsidP="00C0340D">
      <w:pPr>
        <w:spacing w:after="0" w:line="240" w:lineRule="auto"/>
        <w:rPr>
          <w:rFonts w:ascii="Verdana" w:eastAsia="Geomanist Light" w:hAnsi="Verdana" w:cs="Arial"/>
          <w:color w:val="000000"/>
          <w:sz w:val="20"/>
          <w:szCs w:val="20"/>
          <w:lang w:val="es-MX"/>
        </w:rPr>
      </w:pPr>
    </w:p>
    <w:p w14:paraId="0D6C81BE" w14:textId="77777777" w:rsidR="00C0340D" w:rsidRPr="009B16F5" w:rsidRDefault="00C0340D" w:rsidP="00C0340D">
      <w:pPr>
        <w:spacing w:after="0" w:line="240" w:lineRule="auto"/>
        <w:jc w:val="both"/>
        <w:rPr>
          <w:rFonts w:ascii="Verdana" w:eastAsia="Geomanist Light" w:hAnsi="Verdana" w:cs="Arial"/>
          <w:color w:val="000000" w:themeColor="text1"/>
          <w:sz w:val="20"/>
          <w:szCs w:val="20"/>
        </w:rPr>
      </w:pPr>
      <w:r w:rsidRPr="009B16F5">
        <w:rPr>
          <w:rFonts w:ascii="Verdana" w:eastAsia="Geomanist Light" w:hAnsi="Verdana" w:cs="Arial"/>
          <w:color w:val="000000" w:themeColor="text1"/>
          <w:sz w:val="20"/>
          <w:szCs w:val="20"/>
        </w:rPr>
        <w:t xml:space="preserve">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9B16F5">
        <w:rPr>
          <w:rFonts w:ascii="Verdana" w:eastAsia="Geomanist Light" w:hAnsi="Verdana" w:cs="Arial"/>
          <w:color w:val="000000" w:themeColor="text1"/>
          <w:sz w:val="20"/>
          <w:szCs w:val="20"/>
        </w:rPr>
        <w:t>ii</w:t>
      </w:r>
      <w:proofErr w:type="spellEnd"/>
      <w:r w:rsidRPr="009B16F5">
        <w:rPr>
          <w:rFonts w:ascii="Verdana" w:eastAsia="Geomanist Light" w:hAnsi="Verdana" w:cs="Arial"/>
          <w:color w:val="000000" w:themeColor="text1"/>
          <w:sz w:val="20"/>
          <w:szCs w:val="20"/>
        </w:rPr>
        <w:t xml:space="preserve">) Capacidad Financiera –CF–, </w:t>
      </w:r>
      <w:proofErr w:type="spellStart"/>
      <w:r w:rsidRPr="009B16F5">
        <w:rPr>
          <w:rFonts w:ascii="Verdana" w:eastAsia="Geomanist Light" w:hAnsi="Verdana" w:cs="Arial"/>
          <w:color w:val="000000" w:themeColor="text1"/>
          <w:sz w:val="20"/>
          <w:szCs w:val="20"/>
        </w:rPr>
        <w:t>iii</w:t>
      </w:r>
      <w:proofErr w:type="spellEnd"/>
      <w:r w:rsidRPr="009B16F5">
        <w:rPr>
          <w:rFonts w:ascii="Verdana" w:eastAsia="Geomanist Light" w:hAnsi="Verdana" w:cs="Arial"/>
          <w:color w:val="000000" w:themeColor="text1"/>
          <w:sz w:val="20"/>
          <w:szCs w:val="20"/>
        </w:rPr>
        <w:t xml:space="preserve">) Capacidad Técnica –CT–, </w:t>
      </w:r>
      <w:proofErr w:type="spellStart"/>
      <w:r w:rsidRPr="009B16F5">
        <w:rPr>
          <w:rFonts w:ascii="Verdana" w:eastAsia="Geomanist Light" w:hAnsi="Verdana" w:cs="Arial"/>
          <w:color w:val="000000" w:themeColor="text1"/>
          <w:sz w:val="20"/>
          <w:szCs w:val="20"/>
        </w:rPr>
        <w:t>iv</w:t>
      </w:r>
      <w:proofErr w:type="spellEnd"/>
      <w:r w:rsidRPr="009B16F5">
        <w:rPr>
          <w:rFonts w:ascii="Verdana" w:eastAsia="Geomanist Light" w:hAnsi="Verdana" w:cs="Arial"/>
          <w:color w:val="000000" w:themeColor="text1"/>
          <w:sz w:val="20"/>
          <w:szCs w:val="20"/>
        </w:rPr>
        <w:t xml:space="preserve">) Capacidad de Organización y v) los Saldos de los Contratos en Ejecución –SCE–. De igual manera,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9B16F5">
        <w:rPr>
          <w:rFonts w:ascii="Verdana" w:eastAsia="Geomanist Light" w:hAnsi="Verdana" w:cs="Arial"/>
          <w:color w:val="000000" w:themeColor="text1"/>
          <w:sz w:val="20"/>
          <w:szCs w:val="20"/>
        </w:rPr>
        <w:t>ii</w:t>
      </w:r>
      <w:proofErr w:type="spellEnd"/>
      <w:r w:rsidRPr="009B16F5">
        <w:rPr>
          <w:rFonts w:ascii="Verdana" w:eastAsia="Geomanist Light" w:hAnsi="Verdana" w:cs="Arial"/>
          <w:color w:val="000000" w:themeColor="text1"/>
          <w:sz w:val="20"/>
          <w:szCs w:val="20"/>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9B16F5">
        <w:rPr>
          <w:rFonts w:ascii="Verdana" w:eastAsia="Geomanist Light" w:hAnsi="Verdana" w:cs="Arial"/>
          <w:color w:val="000000" w:themeColor="text1"/>
          <w:sz w:val="20"/>
          <w:szCs w:val="20"/>
        </w:rPr>
        <w:t>iii</w:t>
      </w:r>
      <w:proofErr w:type="spellEnd"/>
      <w:r w:rsidRPr="009B16F5">
        <w:rPr>
          <w:rFonts w:ascii="Verdana" w:eastAsia="Geomanist Light" w:hAnsi="Verdana" w:cs="Arial"/>
          <w:color w:val="000000" w:themeColor="text1"/>
          <w:sz w:val="20"/>
          <w:szCs w:val="20"/>
        </w:rPr>
        <w:t>) el balance general auditado del año inmediatamente anterior y estado de resultados auditado del año en que haya obtenido el mayor ingreso operacional en los últimos cinco (5) años.</w:t>
      </w:r>
    </w:p>
    <w:p w14:paraId="16BA0010" w14:textId="77777777" w:rsidR="00C0340D" w:rsidRPr="009B16F5" w:rsidRDefault="00C0340D" w:rsidP="00C0340D">
      <w:pPr>
        <w:spacing w:after="0" w:line="240" w:lineRule="auto"/>
        <w:jc w:val="both"/>
        <w:rPr>
          <w:rFonts w:ascii="Verdana" w:eastAsia="Geomanist Light" w:hAnsi="Verdana" w:cs="Arial"/>
          <w:color w:val="000000" w:themeColor="text1"/>
          <w:sz w:val="20"/>
          <w:szCs w:val="20"/>
        </w:rPr>
      </w:pPr>
    </w:p>
    <w:p w14:paraId="47823C2F" w14:textId="15129C15" w:rsidR="00C0340D" w:rsidRPr="009B16F5" w:rsidRDefault="00996CF5" w:rsidP="00C0340D">
      <w:pPr>
        <w:spacing w:after="0" w:line="240" w:lineRule="auto"/>
        <w:jc w:val="both"/>
        <w:rPr>
          <w:rFonts w:ascii="Verdana" w:eastAsia="Geomanist Light" w:hAnsi="Verdana" w:cs="Arial"/>
          <w:b/>
          <w:bCs/>
          <w:color w:val="000000" w:themeColor="text1"/>
          <w:sz w:val="20"/>
          <w:szCs w:val="20"/>
        </w:rPr>
      </w:pPr>
      <w:r w:rsidRPr="00996CF5">
        <w:rPr>
          <w:rFonts w:ascii="Verdana" w:eastAsia="Geomanist Light" w:hAnsi="Verdana" w:cs="Arial"/>
          <w:b/>
          <w:bCs/>
          <w:color w:val="000000" w:themeColor="text1"/>
          <w:sz w:val="20"/>
          <w:szCs w:val="20"/>
        </w:rPr>
        <w:t>CAPACIDAD TÉCNICA – Guía para Determinar y Verificar la Capacidad Residual del Proponente en los Procesos de Contratación de Obra Pública – Formato</w:t>
      </w:r>
      <w:r>
        <w:rPr>
          <w:rFonts w:ascii="Verdana" w:eastAsia="Geomanist Light" w:hAnsi="Verdana" w:cs="Arial"/>
          <w:b/>
          <w:bCs/>
          <w:color w:val="000000" w:themeColor="text1"/>
          <w:sz w:val="20"/>
          <w:szCs w:val="20"/>
        </w:rPr>
        <w:t>.</w:t>
      </w:r>
      <w:r w:rsidR="00C0340D" w:rsidRPr="009B16F5">
        <w:rPr>
          <w:rFonts w:ascii="Verdana" w:eastAsia="Geomanist Light" w:hAnsi="Verdana" w:cs="Arial"/>
          <w:b/>
          <w:bCs/>
          <w:color w:val="000000" w:themeColor="text1"/>
          <w:sz w:val="20"/>
          <w:szCs w:val="20"/>
        </w:rPr>
        <w:t xml:space="preserve"> </w:t>
      </w:r>
    </w:p>
    <w:p w14:paraId="6A4BB27C" w14:textId="77777777" w:rsidR="00C0340D" w:rsidRPr="009B16F5" w:rsidRDefault="00C0340D" w:rsidP="00C0340D">
      <w:pPr>
        <w:spacing w:after="0" w:line="240" w:lineRule="auto"/>
        <w:jc w:val="both"/>
        <w:rPr>
          <w:rFonts w:ascii="Verdana" w:eastAsia="Geomanist Light" w:hAnsi="Verdana" w:cs="Arial"/>
          <w:color w:val="000000" w:themeColor="text1"/>
          <w:sz w:val="20"/>
          <w:szCs w:val="20"/>
        </w:rPr>
      </w:pPr>
    </w:p>
    <w:p w14:paraId="750B2FF6" w14:textId="247D1B9D" w:rsidR="00C0340D" w:rsidRPr="009B16F5" w:rsidRDefault="00C0340D" w:rsidP="00C0340D">
      <w:pPr>
        <w:spacing w:after="0" w:line="240" w:lineRule="auto"/>
        <w:jc w:val="both"/>
        <w:rPr>
          <w:rFonts w:ascii="Verdana" w:eastAsia="Geomanist Light" w:hAnsi="Verdana" w:cs="Arial"/>
          <w:color w:val="000000" w:themeColor="text1"/>
          <w:sz w:val="20"/>
          <w:szCs w:val="20"/>
        </w:rPr>
      </w:pPr>
      <w:r w:rsidRPr="009B16F5">
        <w:rPr>
          <w:rFonts w:ascii="Verdana" w:eastAsia="Geomanist Light" w:hAnsi="Verdana" w:cs="Arial"/>
          <w:color w:val="000000" w:themeColor="text1"/>
          <w:sz w:val="20"/>
          <w:szCs w:val="20"/>
        </w:rPr>
        <w:t xml:space="preserve">[…] la </w:t>
      </w:r>
      <w:r w:rsidR="00305790">
        <w:rPr>
          <w:rFonts w:ascii="Verdana" w:eastAsia="Geomanist Light" w:hAnsi="Verdana" w:cs="Arial"/>
          <w:color w:val="000000" w:themeColor="text1"/>
          <w:sz w:val="20"/>
          <w:szCs w:val="20"/>
        </w:rPr>
        <w:t>“</w:t>
      </w:r>
      <w:r w:rsidRPr="009B16F5">
        <w:rPr>
          <w:rFonts w:ascii="Verdana" w:eastAsia="Geomanist Light" w:hAnsi="Verdana" w:cs="Arial"/>
          <w:color w:val="000000" w:themeColor="text1"/>
          <w:sz w:val="20"/>
          <w:szCs w:val="20"/>
        </w:rPr>
        <w:t>Guía para Determinar y Verificar la Capacidad Residual del Proponente en los Procesos de Contratación de Obra Pública</w:t>
      </w:r>
      <w:r w:rsidR="00305790">
        <w:rPr>
          <w:rFonts w:ascii="Verdana" w:eastAsia="Geomanist Light" w:hAnsi="Verdana" w:cs="Arial"/>
          <w:color w:val="000000" w:themeColor="text1"/>
          <w:sz w:val="20"/>
          <w:szCs w:val="20"/>
        </w:rPr>
        <w:t>”</w:t>
      </w:r>
      <w:r w:rsidRPr="009B16F5">
        <w:rPr>
          <w:rFonts w:ascii="Verdana" w:eastAsia="Geomanist Light" w:hAnsi="Verdana" w:cs="Arial"/>
          <w:color w:val="000000" w:themeColor="text1"/>
          <w:sz w:val="20"/>
          <w:szCs w:val="20"/>
        </w:rPr>
        <w:t xml:space="preserve">, indica que, la capacidad técnica (CT) se asigna teniendo en cuenta el número de socios y profesionales de la arquitectura, ingeniería y geología vinculados mediante una relación laboral o contractual conforme a la cual desarrollen actividades relacionadas directamente a la construcción. Asimismo, establece que para acreditar la capacidad técnica (CT) es el proponente quien debe diligenciar el Formato correspondiente al “Anexo 2 – Certificación de la Capacidad Técnica”. </w:t>
      </w:r>
    </w:p>
    <w:p w14:paraId="493BE64E" w14:textId="77777777" w:rsidR="00C0340D" w:rsidRPr="009B16F5" w:rsidRDefault="00C0340D" w:rsidP="00C0340D">
      <w:pPr>
        <w:spacing w:after="0" w:line="240" w:lineRule="auto"/>
        <w:jc w:val="both"/>
        <w:rPr>
          <w:rFonts w:ascii="Verdana" w:eastAsia="Geomanist Light" w:hAnsi="Verdana" w:cs="Arial"/>
          <w:color w:val="000000" w:themeColor="text1"/>
          <w:sz w:val="20"/>
          <w:szCs w:val="20"/>
        </w:rPr>
      </w:pPr>
    </w:p>
    <w:p w14:paraId="2D758287" w14:textId="11540E64" w:rsidR="00304266" w:rsidRDefault="00996CF5" w:rsidP="00304266">
      <w:pPr>
        <w:spacing w:after="0" w:line="240" w:lineRule="auto"/>
        <w:jc w:val="both"/>
        <w:rPr>
          <w:rFonts w:ascii="Verdana" w:eastAsia="Geomanist Light" w:hAnsi="Verdana" w:cs="Arial"/>
          <w:b/>
          <w:bCs/>
          <w:color w:val="000000" w:themeColor="text1"/>
          <w:sz w:val="20"/>
          <w:szCs w:val="20"/>
        </w:rPr>
      </w:pPr>
      <w:r w:rsidRPr="00996CF5">
        <w:rPr>
          <w:rFonts w:ascii="Verdana" w:eastAsia="Geomanist Light" w:hAnsi="Verdana" w:cs="Arial"/>
          <w:b/>
          <w:bCs/>
          <w:color w:val="000000" w:themeColor="text1"/>
          <w:sz w:val="20"/>
          <w:szCs w:val="20"/>
        </w:rPr>
        <w:t>CAPACIDAD TÉCNICA – Guía para Determinar y Verificar la Capacidad Residual del Proponente en los Procesos de Contratación de Obra Pública – Cálculo – Puntajes</w:t>
      </w:r>
      <w:r>
        <w:rPr>
          <w:rFonts w:ascii="Verdana" w:eastAsia="Geomanist Light" w:hAnsi="Verdana" w:cs="Arial"/>
          <w:b/>
          <w:bCs/>
          <w:color w:val="000000" w:themeColor="text1"/>
          <w:sz w:val="20"/>
          <w:szCs w:val="20"/>
        </w:rPr>
        <w:t>.</w:t>
      </w:r>
    </w:p>
    <w:p w14:paraId="2AD9E966" w14:textId="77777777" w:rsidR="00996CF5" w:rsidRPr="009B16F5" w:rsidRDefault="00996CF5" w:rsidP="00304266">
      <w:pPr>
        <w:spacing w:after="0" w:line="240" w:lineRule="auto"/>
        <w:jc w:val="both"/>
        <w:rPr>
          <w:rFonts w:ascii="Verdana" w:eastAsia="Geomanist Light" w:hAnsi="Verdana" w:cs="Arial"/>
          <w:color w:val="000000" w:themeColor="text1"/>
          <w:sz w:val="20"/>
          <w:szCs w:val="20"/>
        </w:rPr>
      </w:pPr>
    </w:p>
    <w:p w14:paraId="101D46DE" w14:textId="77777777" w:rsidR="00304266" w:rsidRPr="009B16F5" w:rsidRDefault="00304266" w:rsidP="00304266">
      <w:pPr>
        <w:spacing w:after="0" w:line="240" w:lineRule="auto"/>
        <w:jc w:val="both"/>
        <w:rPr>
          <w:rFonts w:ascii="Verdana" w:eastAsia="Geomanist Light" w:hAnsi="Verdana" w:cs="Arial"/>
          <w:color w:val="000000" w:themeColor="text1"/>
          <w:sz w:val="20"/>
          <w:szCs w:val="20"/>
        </w:rPr>
      </w:pPr>
      <w:r w:rsidRPr="009B16F5">
        <w:rPr>
          <w:rFonts w:ascii="Verdana" w:eastAsia="Geomanist Light" w:hAnsi="Verdana" w:cs="Arial"/>
          <w:color w:val="000000" w:themeColor="text1"/>
          <w:sz w:val="20"/>
          <w:szCs w:val="20"/>
        </w:rPr>
        <w:t xml:space="preserve">Para el caso de la Capacidad Técnica (CT), sobre la cual se centra su consulta, el artículo 72 de la Ley 1682 de 2013 y el artículo 2.2.1.1.1.6.4 del Decreto 1082 de 2015, la incluyen como uno de los factores que se debe tener en cuenta para calcular la capacidad residual de los proponentes, sin embargo, no definieron los criterios o la forma de valoración de este factor, por lo cual, la Agencia Nacional de Contratación Pública – Colombia Compra Eficiente, de acuerdo con la competencia establecida por el Decreto 1082 de 2015, al fijar la metodología para el cálculo de la capacidad residual, estableció la forma de calcular la Capacidad Técnica (CT) en la “Guía para Determinar y Verificar la Capacidad Residual del Proponente en los Procesos de Contratación de Obra Pública”. </w:t>
      </w:r>
    </w:p>
    <w:p w14:paraId="706DCC5D" w14:textId="77777777" w:rsidR="005B31F0" w:rsidRDefault="005B31F0" w:rsidP="00304266">
      <w:pPr>
        <w:spacing w:after="0" w:line="240" w:lineRule="auto"/>
        <w:jc w:val="both"/>
        <w:rPr>
          <w:rFonts w:ascii="Verdana" w:eastAsia="Geomanist Light" w:hAnsi="Verdana" w:cs="Arial"/>
          <w:color w:val="000000" w:themeColor="text1"/>
          <w:sz w:val="20"/>
          <w:szCs w:val="20"/>
        </w:rPr>
      </w:pPr>
    </w:p>
    <w:p w14:paraId="4E34739C" w14:textId="394092C0" w:rsidR="00304266" w:rsidRPr="009B16F5" w:rsidRDefault="005426D4" w:rsidP="00304266">
      <w:pPr>
        <w:spacing w:after="0" w:line="240" w:lineRule="auto"/>
        <w:jc w:val="both"/>
        <w:rPr>
          <w:rFonts w:ascii="Verdana" w:eastAsia="Geomanist Light" w:hAnsi="Verdana" w:cs="Arial"/>
          <w:color w:val="000000" w:themeColor="text1"/>
          <w:sz w:val="20"/>
          <w:szCs w:val="20"/>
        </w:rPr>
      </w:pPr>
      <w:r w:rsidRPr="005426D4">
        <w:rPr>
          <w:rFonts w:ascii="Verdana" w:eastAsia="Geomanist Light" w:hAnsi="Verdana" w:cs="Arial"/>
          <w:color w:val="000000" w:themeColor="text1"/>
          <w:sz w:val="20"/>
          <w:szCs w:val="20"/>
        </w:rPr>
        <w:t>La “Guía para Determinar y Verificar la Capacidad Residual del Proponente en los Procesos de Contratación de Obra Pública”, indica que, la Capacidad Técnica (CT) se asigna teniendo en cuenta el número de socios y profesionales de la arquitectura, ingeniería y geología vinculados mediante una relación laboral o contractual conforme a la cual desarrollen actividades relacionadas directamente a la construcción</w:t>
      </w:r>
      <w:r w:rsidR="00717704">
        <w:rPr>
          <w:rFonts w:ascii="Verdana" w:eastAsia="Geomanist Light" w:hAnsi="Verdana" w:cs="Arial"/>
          <w:color w:val="000000" w:themeColor="text1"/>
          <w:sz w:val="20"/>
          <w:szCs w:val="20"/>
        </w:rPr>
        <w:t xml:space="preserve"> estableciendo </w:t>
      </w:r>
      <w:r w:rsidR="00717704">
        <w:rPr>
          <w:rFonts w:ascii="Verdana" w:eastAsia="Geomanist Light" w:hAnsi="Verdana" w:cs="Arial"/>
          <w:color w:val="000000" w:themeColor="text1"/>
          <w:sz w:val="20"/>
          <w:szCs w:val="20"/>
        </w:rPr>
        <w:lastRenderedPageBreak/>
        <w:t>el siguiente puntaje d</w:t>
      </w:r>
      <w:r w:rsidR="005B31F0" w:rsidRPr="005B31F0">
        <w:rPr>
          <w:rFonts w:ascii="Verdana" w:eastAsia="Geomanist Light" w:hAnsi="Verdana" w:cs="Arial"/>
          <w:color w:val="000000" w:themeColor="text1"/>
          <w:sz w:val="20"/>
          <w:szCs w:val="20"/>
        </w:rPr>
        <w:t>ependiendo del número de profesionales en las disciplinas señaladas, el proponente podrá obtener cero (0), veinte (20), treinta (30) o cuarenta (40) puntos como máximo, que serán tenidos en cuenta en la fórmula para el cálculo de la capacidad residual del proponente, junto con los puntajes obtenidos por los factores de Experiencia (E) y Capacidad Financiera (CF) y los valores en pesos colombianos de los factores de Capacidad de Organización (CO) y Saldo de Contratos en Ejecución (SCE).</w:t>
      </w:r>
    </w:p>
    <w:p w14:paraId="19FF1495" w14:textId="77777777" w:rsidR="00C0340D" w:rsidRPr="00304266" w:rsidRDefault="00C0340D" w:rsidP="00C0340D">
      <w:pPr>
        <w:spacing w:after="0" w:line="240" w:lineRule="auto"/>
        <w:rPr>
          <w:rFonts w:ascii="Verdana" w:eastAsia="Geomanist Light" w:hAnsi="Verdana" w:cs="Arial"/>
          <w:color w:val="000000"/>
          <w:sz w:val="20"/>
          <w:szCs w:val="20"/>
        </w:rPr>
      </w:pPr>
    </w:p>
    <w:p w14:paraId="3BB1DD0C" w14:textId="48E6D785" w:rsidR="00020FF5" w:rsidRPr="00FE339F" w:rsidRDefault="00FE339F" w:rsidP="00E245AB">
      <w:pPr>
        <w:spacing w:after="0"/>
        <w:rPr>
          <w:rFonts w:ascii="Verdana" w:eastAsia="Geomanist Light" w:hAnsi="Verdana" w:cs="Arial"/>
          <w:b/>
          <w:bCs/>
          <w:color w:val="000000" w:themeColor="text1"/>
          <w:sz w:val="20"/>
          <w:szCs w:val="20"/>
        </w:rPr>
      </w:pPr>
      <w:r w:rsidRPr="00FE339F">
        <w:rPr>
          <w:rFonts w:ascii="Verdana" w:eastAsia="Geomanist Light" w:hAnsi="Verdana" w:cs="Arial"/>
          <w:b/>
          <w:bCs/>
          <w:color w:val="000000" w:themeColor="text1"/>
          <w:sz w:val="20"/>
          <w:szCs w:val="20"/>
        </w:rPr>
        <w:t>CAUSALES DE RECHAZO – Taxatividad</w:t>
      </w:r>
    </w:p>
    <w:p w14:paraId="42B55014" w14:textId="77777777" w:rsidR="00C0340D" w:rsidRDefault="00C0340D" w:rsidP="00E245AB">
      <w:pPr>
        <w:spacing w:after="0"/>
        <w:rPr>
          <w:rFonts w:ascii="Verdana" w:hAnsi="Verdana"/>
          <w:lang w:val="es-MX"/>
        </w:rPr>
      </w:pPr>
    </w:p>
    <w:p w14:paraId="28D73894" w14:textId="77777777" w:rsidR="00C8011B" w:rsidRPr="00C8011B" w:rsidRDefault="00C8011B" w:rsidP="004521F2">
      <w:pPr>
        <w:spacing w:after="120" w:line="240" w:lineRule="auto"/>
        <w:jc w:val="both"/>
        <w:rPr>
          <w:rFonts w:ascii="Verdana" w:eastAsia="Geomanist Light" w:hAnsi="Verdana" w:cs="Arial"/>
          <w:color w:val="000000" w:themeColor="text1"/>
          <w:sz w:val="20"/>
          <w:szCs w:val="20"/>
        </w:rPr>
      </w:pPr>
      <w:r w:rsidRPr="00C8011B">
        <w:rPr>
          <w:rFonts w:ascii="Verdana" w:eastAsia="Geomanist Light" w:hAnsi="Verdana" w:cs="Arial"/>
          <w:color w:val="000000" w:themeColor="text1"/>
          <w:sz w:val="20"/>
          <w:szCs w:val="20"/>
        </w:rPr>
        <w:t xml:space="preserve">Las causales de rechazo de ofertas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w:t>
      </w:r>
    </w:p>
    <w:p w14:paraId="63A24B86" w14:textId="77777777" w:rsidR="00C8011B" w:rsidRPr="00C8011B" w:rsidRDefault="00C8011B" w:rsidP="004521F2">
      <w:pPr>
        <w:spacing w:after="120" w:line="240" w:lineRule="auto"/>
        <w:jc w:val="both"/>
        <w:rPr>
          <w:rFonts w:ascii="Verdana" w:eastAsia="Geomanist Light" w:hAnsi="Verdana" w:cs="Arial"/>
          <w:color w:val="000000" w:themeColor="text1"/>
          <w:sz w:val="20"/>
          <w:szCs w:val="20"/>
        </w:rPr>
      </w:pPr>
      <w:r w:rsidRPr="00C8011B">
        <w:rPr>
          <w:rFonts w:ascii="Verdana" w:eastAsia="Geomanist Light" w:hAnsi="Verdana" w:cs="Arial"/>
          <w:color w:val="000000" w:themeColor="text1"/>
          <w:sz w:val="20"/>
          <w:szCs w:val="20"/>
        </w:rPr>
        <w:t xml:space="preserve">De conformidad con esta regla, el rechazo de la oferta procede cuando en ejercicio de la potestad verificadora se advierta que luego de agotar la posibilidad de subsanación o aclaración el proponente dejó de incluir información que afecta la capacidad residual.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p>
    <w:p w14:paraId="775C3E84" w14:textId="77777777" w:rsidR="00C8011B" w:rsidRPr="00C8011B" w:rsidRDefault="00C8011B" w:rsidP="004521F2">
      <w:pPr>
        <w:spacing w:after="0" w:line="240" w:lineRule="auto"/>
        <w:rPr>
          <w:rFonts w:ascii="Verdana" w:hAnsi="Verdana"/>
        </w:rPr>
      </w:pPr>
    </w:p>
    <w:p w14:paraId="3B341969" w14:textId="77777777" w:rsidR="00C0340D" w:rsidRDefault="00C0340D" w:rsidP="00E245AB">
      <w:pPr>
        <w:spacing w:after="0"/>
        <w:rPr>
          <w:rFonts w:ascii="Verdana" w:hAnsi="Verdana"/>
          <w:lang w:val="es-MX"/>
        </w:rPr>
      </w:pPr>
    </w:p>
    <w:p w14:paraId="4846A2CD" w14:textId="77777777" w:rsidR="00C0340D" w:rsidRDefault="00C0340D" w:rsidP="00E245AB">
      <w:pPr>
        <w:spacing w:after="0"/>
        <w:rPr>
          <w:rFonts w:ascii="Verdana" w:hAnsi="Verdana"/>
          <w:lang w:val="es-MX"/>
        </w:rPr>
      </w:pPr>
    </w:p>
    <w:p w14:paraId="35BEDE31" w14:textId="77777777" w:rsidR="00C0340D" w:rsidRDefault="00C0340D" w:rsidP="00E245AB">
      <w:pPr>
        <w:spacing w:after="0"/>
        <w:rPr>
          <w:rFonts w:ascii="Verdana" w:hAnsi="Verdana"/>
          <w:lang w:val="es-MX"/>
        </w:rPr>
      </w:pPr>
    </w:p>
    <w:p w14:paraId="2D083CD5" w14:textId="77777777" w:rsidR="00C0340D" w:rsidRDefault="00C0340D" w:rsidP="00E245AB">
      <w:pPr>
        <w:spacing w:after="0"/>
        <w:rPr>
          <w:rFonts w:ascii="Verdana" w:hAnsi="Verdana"/>
          <w:lang w:val="es-MX"/>
        </w:rPr>
      </w:pPr>
    </w:p>
    <w:p w14:paraId="51CD34DD" w14:textId="77777777" w:rsidR="00C0340D" w:rsidRDefault="00C0340D" w:rsidP="00E245AB">
      <w:pPr>
        <w:spacing w:after="0"/>
        <w:rPr>
          <w:rFonts w:ascii="Verdana" w:hAnsi="Verdana"/>
          <w:lang w:val="es-MX"/>
        </w:rPr>
      </w:pPr>
    </w:p>
    <w:p w14:paraId="520295B6" w14:textId="77777777" w:rsidR="00C0340D" w:rsidRDefault="00C0340D" w:rsidP="00E245AB">
      <w:pPr>
        <w:spacing w:after="0"/>
        <w:rPr>
          <w:rFonts w:ascii="Verdana" w:hAnsi="Verdana"/>
          <w:lang w:val="es-MX"/>
        </w:rPr>
      </w:pPr>
    </w:p>
    <w:p w14:paraId="662174C2" w14:textId="77777777" w:rsidR="00C0340D" w:rsidRDefault="00C0340D" w:rsidP="00E245AB">
      <w:pPr>
        <w:spacing w:after="0"/>
        <w:rPr>
          <w:rFonts w:ascii="Verdana" w:hAnsi="Verdana"/>
          <w:lang w:val="es-MX"/>
        </w:rPr>
      </w:pPr>
    </w:p>
    <w:p w14:paraId="23D3279D" w14:textId="77777777" w:rsidR="00C0340D" w:rsidRDefault="00C0340D" w:rsidP="00E245AB">
      <w:pPr>
        <w:spacing w:after="0"/>
        <w:rPr>
          <w:rFonts w:ascii="Verdana" w:hAnsi="Verdana"/>
          <w:lang w:val="es-MX"/>
        </w:rPr>
      </w:pPr>
    </w:p>
    <w:p w14:paraId="78544369" w14:textId="77777777" w:rsidR="00C0340D" w:rsidRDefault="00C0340D" w:rsidP="00E245AB">
      <w:pPr>
        <w:spacing w:after="0"/>
        <w:rPr>
          <w:rFonts w:ascii="Verdana" w:hAnsi="Verdana"/>
          <w:lang w:val="es-MX"/>
        </w:rPr>
      </w:pPr>
    </w:p>
    <w:p w14:paraId="635D22BC" w14:textId="77777777" w:rsidR="00C0340D" w:rsidRDefault="00C0340D" w:rsidP="00E245AB">
      <w:pPr>
        <w:spacing w:after="0"/>
        <w:rPr>
          <w:rFonts w:ascii="Verdana" w:hAnsi="Verdana"/>
          <w:lang w:val="es-MX"/>
        </w:rPr>
      </w:pPr>
    </w:p>
    <w:p w14:paraId="36F3EF69" w14:textId="77777777" w:rsidR="00C0340D" w:rsidRDefault="00C0340D" w:rsidP="00E245AB">
      <w:pPr>
        <w:spacing w:after="0"/>
        <w:rPr>
          <w:rFonts w:ascii="Verdana" w:hAnsi="Verdana"/>
          <w:lang w:val="es-MX"/>
        </w:rPr>
      </w:pPr>
    </w:p>
    <w:p w14:paraId="3E5957FD" w14:textId="77777777" w:rsidR="00C0340D" w:rsidRDefault="00C0340D" w:rsidP="00E245AB">
      <w:pPr>
        <w:spacing w:after="0"/>
        <w:rPr>
          <w:rFonts w:ascii="Verdana" w:hAnsi="Verdana"/>
          <w:lang w:val="es-MX"/>
        </w:rPr>
      </w:pPr>
    </w:p>
    <w:p w14:paraId="59374E8C" w14:textId="77777777" w:rsidR="00C0340D" w:rsidRDefault="00C0340D" w:rsidP="00E245AB">
      <w:pPr>
        <w:spacing w:after="0"/>
        <w:rPr>
          <w:rFonts w:ascii="Verdana" w:hAnsi="Verdana"/>
          <w:lang w:val="es-MX"/>
        </w:rPr>
      </w:pPr>
    </w:p>
    <w:p w14:paraId="12921CAC" w14:textId="77777777" w:rsidR="00C0340D" w:rsidRDefault="00C0340D" w:rsidP="00E245AB">
      <w:pPr>
        <w:spacing w:after="0"/>
        <w:rPr>
          <w:rFonts w:ascii="Verdana" w:hAnsi="Verdana"/>
          <w:lang w:val="es-MX"/>
        </w:rPr>
      </w:pPr>
    </w:p>
    <w:p w14:paraId="05F5BB00" w14:textId="77777777" w:rsidR="00C0340D" w:rsidRDefault="00C0340D" w:rsidP="00E245AB">
      <w:pPr>
        <w:spacing w:after="0"/>
        <w:rPr>
          <w:rFonts w:ascii="Verdana" w:hAnsi="Verdana"/>
          <w:lang w:val="es-MX"/>
        </w:rPr>
      </w:pPr>
    </w:p>
    <w:p w14:paraId="6E24E14F" w14:textId="77777777" w:rsidR="00C0340D" w:rsidRDefault="00C0340D" w:rsidP="00E245AB">
      <w:pPr>
        <w:spacing w:after="0"/>
        <w:rPr>
          <w:rFonts w:ascii="Verdana" w:hAnsi="Verdana"/>
          <w:lang w:val="es-MX"/>
        </w:rPr>
      </w:pPr>
    </w:p>
    <w:p w14:paraId="37587340" w14:textId="77777777" w:rsidR="00C0340D" w:rsidRDefault="00C0340D" w:rsidP="00E245AB">
      <w:pPr>
        <w:spacing w:after="0"/>
        <w:rPr>
          <w:rFonts w:ascii="Verdana" w:hAnsi="Verdana"/>
          <w:lang w:val="es-MX"/>
        </w:rPr>
      </w:pPr>
    </w:p>
    <w:p w14:paraId="522EE05E" w14:textId="77777777" w:rsidR="00C0340D" w:rsidRDefault="00C0340D" w:rsidP="00E245AB">
      <w:pPr>
        <w:spacing w:after="0"/>
        <w:rPr>
          <w:rFonts w:ascii="Verdana" w:hAnsi="Verdana"/>
          <w:lang w:val="es-MX"/>
        </w:rPr>
      </w:pPr>
    </w:p>
    <w:p w14:paraId="0B435760" w14:textId="482F17FF" w:rsidR="00A7578C" w:rsidRDefault="00A7578C" w:rsidP="00E245AB">
      <w:pPr>
        <w:spacing w:after="0"/>
        <w:rPr>
          <w:rFonts w:ascii="Verdana" w:hAnsi="Verdana"/>
        </w:rPr>
      </w:pPr>
      <w:r w:rsidRPr="00A7578C">
        <w:rPr>
          <w:rFonts w:ascii="Verdana" w:hAnsi="Verdana"/>
          <w:noProof/>
        </w:rPr>
        <w:lastRenderedPageBreak/>
        <w:drawing>
          <wp:anchor distT="0" distB="0" distL="114300" distR="114300" simplePos="0" relativeHeight="251658240" behindDoc="0" locked="0" layoutInCell="1" allowOverlap="1" wp14:anchorId="688EC91D" wp14:editId="6F8F3076">
            <wp:simplePos x="0" y="0"/>
            <wp:positionH relativeFrom="column">
              <wp:posOffset>3045957</wp:posOffset>
            </wp:positionH>
            <wp:positionV relativeFrom="paragraph">
              <wp:posOffset>6985</wp:posOffset>
            </wp:positionV>
            <wp:extent cx="2546985" cy="834390"/>
            <wp:effectExtent l="0" t="0" r="5715" b="3810"/>
            <wp:wrapSquare wrapText="bothSides"/>
            <wp:docPr id="174908105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81058"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546985" cy="834390"/>
                    </a:xfrm>
                    <a:prstGeom prst="rect">
                      <a:avLst/>
                    </a:prstGeom>
                  </pic:spPr>
                </pic:pic>
              </a:graphicData>
            </a:graphic>
            <wp14:sizeRelH relativeFrom="margin">
              <wp14:pctWidth>0</wp14:pctWidth>
            </wp14:sizeRelH>
            <wp14:sizeRelV relativeFrom="margin">
              <wp14:pctHeight>0</wp14:pctHeight>
            </wp14:sizeRelV>
          </wp:anchor>
        </w:drawing>
      </w:r>
    </w:p>
    <w:p w14:paraId="70BD01F6" w14:textId="504C8EA8" w:rsidR="00A7578C" w:rsidRDefault="00A7578C" w:rsidP="00E245AB">
      <w:pPr>
        <w:spacing w:after="0"/>
        <w:rPr>
          <w:rFonts w:ascii="Verdana" w:hAnsi="Verdana"/>
        </w:rPr>
      </w:pPr>
    </w:p>
    <w:p w14:paraId="3FE2184B" w14:textId="48BA26A9" w:rsidR="00E245AB" w:rsidRPr="0044528D" w:rsidRDefault="00CE2C72" w:rsidP="00E245AB">
      <w:pPr>
        <w:spacing w:after="0"/>
        <w:rPr>
          <w:rFonts w:ascii="Verdana" w:hAnsi="Verdana"/>
        </w:rPr>
      </w:pPr>
      <w:r w:rsidRPr="00CE2C72">
        <w:rPr>
          <w:rFonts w:ascii="Verdana" w:hAnsi="Verdana"/>
        </w:rPr>
        <w:t xml:space="preserve">Bogotá D.C., 11 </w:t>
      </w:r>
      <w:proofErr w:type="gramStart"/>
      <w:r w:rsidRPr="00CE2C72">
        <w:rPr>
          <w:rFonts w:ascii="Verdana" w:hAnsi="Verdana"/>
        </w:rPr>
        <w:t>Marzo</w:t>
      </w:r>
      <w:proofErr w:type="gramEnd"/>
      <w:r w:rsidRPr="00CE2C72">
        <w:rPr>
          <w:rFonts w:ascii="Verdana" w:hAnsi="Verdana"/>
        </w:rPr>
        <w:t xml:space="preserve"> 2025</w:t>
      </w:r>
      <w:r w:rsidR="00891928" w:rsidRPr="0044528D">
        <w:rPr>
          <w:rFonts w:ascii="Verdana" w:hAnsi="Verdana"/>
        </w:rPr>
        <w:tab/>
      </w:r>
    </w:p>
    <w:p w14:paraId="3C85FB88" w14:textId="77777777" w:rsidR="002E512B" w:rsidRDefault="002E512B" w:rsidP="002E512B">
      <w:pPr>
        <w:spacing w:after="0" w:line="240" w:lineRule="auto"/>
        <w:jc w:val="both"/>
        <w:rPr>
          <w:rFonts w:ascii="Verdana" w:eastAsia="Calibri" w:hAnsi="Verdana" w:cs="Arial"/>
          <w:color w:val="000000"/>
          <w:lang w:val="es-ES" w:eastAsia="es-ES"/>
        </w:rPr>
      </w:pPr>
    </w:p>
    <w:p w14:paraId="046223C6" w14:textId="77777777" w:rsidR="00CE2C72" w:rsidRDefault="00CE2C72" w:rsidP="002E512B">
      <w:pPr>
        <w:spacing w:after="0" w:line="240" w:lineRule="auto"/>
        <w:jc w:val="both"/>
        <w:rPr>
          <w:rFonts w:ascii="Verdana" w:eastAsia="Calibri" w:hAnsi="Verdana" w:cs="Arial"/>
          <w:color w:val="000000"/>
          <w:lang w:val="es-ES" w:eastAsia="es-ES"/>
        </w:rPr>
      </w:pPr>
    </w:p>
    <w:p w14:paraId="7B0F7422" w14:textId="2869F82A" w:rsidR="002E512B" w:rsidRPr="001827D1" w:rsidRDefault="002E512B" w:rsidP="002E512B">
      <w:pPr>
        <w:spacing w:after="0" w:line="240" w:lineRule="auto"/>
        <w:jc w:val="both"/>
        <w:rPr>
          <w:rFonts w:ascii="Verdana" w:eastAsia="Calibri" w:hAnsi="Verdana" w:cs="Arial"/>
          <w:color w:val="000000"/>
          <w:lang w:val="es-ES" w:eastAsia="es-ES"/>
        </w:rPr>
      </w:pPr>
      <w:r w:rsidRPr="001827D1">
        <w:rPr>
          <w:rFonts w:ascii="Verdana" w:eastAsia="Calibri" w:hAnsi="Verdana" w:cs="Arial"/>
          <w:color w:val="000000"/>
          <w:lang w:val="es-ES" w:eastAsia="es-ES"/>
        </w:rPr>
        <w:t>Señor</w:t>
      </w:r>
    </w:p>
    <w:p w14:paraId="1AE7337D" w14:textId="77777777" w:rsidR="002E512B" w:rsidRDefault="002E512B" w:rsidP="002E512B">
      <w:pPr>
        <w:spacing w:after="0" w:line="240" w:lineRule="auto"/>
        <w:jc w:val="both"/>
        <w:rPr>
          <w:rFonts w:ascii="Verdana" w:eastAsia="Calibri" w:hAnsi="Verdana" w:cs="Arial"/>
          <w:b/>
          <w:bCs/>
          <w:color w:val="000000"/>
          <w:lang w:eastAsia="es-ES"/>
        </w:rPr>
      </w:pPr>
      <w:r w:rsidRPr="000453F2">
        <w:rPr>
          <w:rFonts w:ascii="Verdana" w:eastAsia="Calibri" w:hAnsi="Verdana" w:cs="Arial"/>
          <w:b/>
          <w:bCs/>
          <w:color w:val="000000"/>
          <w:lang w:eastAsia="es-ES"/>
        </w:rPr>
        <w:t xml:space="preserve">Jorge Alberto </w:t>
      </w:r>
      <w:proofErr w:type="spellStart"/>
      <w:r w:rsidRPr="000453F2">
        <w:rPr>
          <w:rFonts w:ascii="Verdana" w:eastAsia="Calibri" w:hAnsi="Verdana" w:cs="Arial"/>
          <w:b/>
          <w:bCs/>
          <w:color w:val="000000"/>
          <w:lang w:eastAsia="es-ES"/>
        </w:rPr>
        <w:t>Rodriguez</w:t>
      </w:r>
      <w:proofErr w:type="spellEnd"/>
      <w:r w:rsidRPr="000453F2">
        <w:rPr>
          <w:rFonts w:ascii="Verdana" w:eastAsia="Calibri" w:hAnsi="Verdana" w:cs="Arial"/>
          <w:b/>
          <w:bCs/>
          <w:color w:val="000000"/>
          <w:lang w:eastAsia="es-ES"/>
        </w:rPr>
        <w:t xml:space="preserve"> </w:t>
      </w:r>
      <w:proofErr w:type="spellStart"/>
      <w:r w:rsidRPr="000453F2">
        <w:rPr>
          <w:rFonts w:ascii="Verdana" w:eastAsia="Calibri" w:hAnsi="Verdana" w:cs="Arial"/>
          <w:b/>
          <w:bCs/>
          <w:color w:val="000000"/>
          <w:lang w:eastAsia="es-ES"/>
        </w:rPr>
        <w:t>Cachaya</w:t>
      </w:r>
      <w:proofErr w:type="spellEnd"/>
    </w:p>
    <w:p w14:paraId="32AF150F" w14:textId="77777777" w:rsidR="002E512B" w:rsidRDefault="002E512B" w:rsidP="002E512B">
      <w:pPr>
        <w:spacing w:after="0" w:line="240" w:lineRule="auto"/>
        <w:rPr>
          <w:rFonts w:ascii="Verdana" w:eastAsia="Calibri" w:hAnsi="Verdana" w:cs="Arial"/>
          <w:b/>
          <w:bCs/>
          <w:color w:val="000000"/>
          <w:lang w:eastAsia="es-ES"/>
        </w:rPr>
      </w:pPr>
      <w:hyperlink r:id="rId12" w:history="1">
        <w:r w:rsidRPr="00962D16">
          <w:rPr>
            <w:rStyle w:val="Hipervnculo"/>
            <w:rFonts w:ascii="Verdana" w:eastAsia="Calibri" w:hAnsi="Verdana" w:cs="Arial"/>
            <w:b/>
            <w:bCs/>
            <w:lang w:eastAsia="es-ES"/>
          </w:rPr>
          <w:t>jorgrodr@fiscalia.gov.co</w:t>
        </w:r>
      </w:hyperlink>
    </w:p>
    <w:p w14:paraId="01C7A157" w14:textId="30877CB7" w:rsidR="002E512B" w:rsidRPr="001A7666" w:rsidRDefault="002E512B" w:rsidP="002E512B">
      <w:pPr>
        <w:spacing w:after="0" w:line="240" w:lineRule="auto"/>
        <w:rPr>
          <w:rFonts w:ascii="Verdana" w:eastAsia="Calibri" w:hAnsi="Verdana" w:cs="Arial"/>
          <w:b/>
          <w:color w:val="000000"/>
          <w:lang w:val="es-ES" w:eastAsia="es-ES"/>
        </w:rPr>
      </w:pPr>
      <w:r>
        <w:rPr>
          <w:rFonts w:ascii="Verdana" w:eastAsia="Calibri" w:hAnsi="Verdana" w:cs="Arial"/>
          <w:color w:val="000000"/>
          <w:lang w:eastAsia="es-ES"/>
        </w:rPr>
        <w:t>Bogotá</w:t>
      </w:r>
      <w:r w:rsidR="006D5093">
        <w:rPr>
          <w:rFonts w:ascii="Verdana" w:eastAsia="Calibri" w:hAnsi="Verdana" w:cs="Arial"/>
          <w:color w:val="000000"/>
          <w:lang w:eastAsia="es-ES"/>
        </w:rPr>
        <w:t xml:space="preserve"> D.C.</w:t>
      </w:r>
    </w:p>
    <w:p w14:paraId="6285459E" w14:textId="77777777" w:rsidR="002E512B" w:rsidRPr="001A7666" w:rsidRDefault="002E512B" w:rsidP="002E512B">
      <w:pPr>
        <w:spacing w:after="0" w:line="240" w:lineRule="auto"/>
        <w:rPr>
          <w:rFonts w:ascii="Verdana" w:eastAsia="Calibri" w:hAnsi="Verdana" w:cs="Arial"/>
          <w:b/>
          <w:color w:val="000000"/>
          <w:lang w:val="es-ES" w:eastAsia="es-ES_tradnl"/>
        </w:rPr>
      </w:pPr>
    </w:p>
    <w:p w14:paraId="2DCCB563" w14:textId="77777777" w:rsidR="002E512B" w:rsidRPr="001A7666" w:rsidRDefault="002E512B" w:rsidP="002E512B">
      <w:pPr>
        <w:spacing w:after="0" w:line="240" w:lineRule="auto"/>
        <w:rPr>
          <w:rFonts w:ascii="Verdana" w:eastAsia="Calibri" w:hAnsi="Verdana" w:cs="Arial"/>
          <w:b/>
          <w:color w:val="000000"/>
          <w:lang w:val="es-E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25"/>
        <w:gridCol w:w="5864"/>
      </w:tblGrid>
      <w:tr w:rsidR="002E512B" w:rsidRPr="001827D1" w14:paraId="29C9B81A" w14:textId="77777777" w:rsidTr="00BC5C37">
        <w:trPr>
          <w:trHeight w:val="318"/>
        </w:trPr>
        <w:tc>
          <w:tcPr>
            <w:tcW w:w="2925" w:type="dxa"/>
          </w:tcPr>
          <w:p w14:paraId="21577288" w14:textId="77777777" w:rsidR="002E512B" w:rsidRPr="001A7666" w:rsidRDefault="002E512B" w:rsidP="007900C2">
            <w:pPr>
              <w:jc w:val="both"/>
              <w:rPr>
                <w:rFonts w:ascii="Verdana" w:eastAsia="Calibri" w:hAnsi="Verdana" w:cs="Arial"/>
                <w:b/>
                <w:color w:val="000000"/>
                <w:lang w:val="es-ES" w:eastAsia="es-ES_tradnl"/>
              </w:rPr>
            </w:pPr>
          </w:p>
        </w:tc>
        <w:tc>
          <w:tcPr>
            <w:tcW w:w="5864" w:type="dxa"/>
          </w:tcPr>
          <w:p w14:paraId="459B3E22" w14:textId="77777777" w:rsidR="002E512B" w:rsidRDefault="002E512B" w:rsidP="007900C2">
            <w:pPr>
              <w:jc w:val="both"/>
              <w:rPr>
                <w:rFonts w:ascii="Verdana" w:eastAsia="Calibri" w:hAnsi="Verdana" w:cs="Arial"/>
                <w:b/>
                <w:bCs/>
                <w:color w:val="000000"/>
                <w:lang w:val="es-ES" w:eastAsia="es-ES"/>
              </w:rPr>
            </w:pPr>
            <w:r w:rsidRPr="001827D1">
              <w:rPr>
                <w:rFonts w:ascii="Verdana" w:eastAsia="Calibri" w:hAnsi="Verdana" w:cs="Arial"/>
                <w:b/>
                <w:bCs/>
                <w:color w:val="000000"/>
                <w:lang w:val="es-ES" w:eastAsia="es-ES"/>
              </w:rPr>
              <w:t xml:space="preserve">Concepto C- </w:t>
            </w:r>
            <w:r>
              <w:rPr>
                <w:rFonts w:ascii="Verdana" w:eastAsia="Calibri" w:hAnsi="Verdana" w:cs="Arial"/>
                <w:b/>
                <w:bCs/>
                <w:color w:val="000000"/>
                <w:lang w:val="es-ES" w:eastAsia="es-ES"/>
              </w:rPr>
              <w:t>149</w:t>
            </w:r>
            <w:r w:rsidRPr="001827D1">
              <w:rPr>
                <w:rFonts w:ascii="Verdana" w:eastAsia="Calibri" w:hAnsi="Verdana" w:cs="Arial"/>
                <w:b/>
                <w:bCs/>
                <w:color w:val="000000"/>
                <w:lang w:val="es-ES" w:eastAsia="es-ES"/>
              </w:rPr>
              <w:t xml:space="preserve"> de 202</w:t>
            </w:r>
            <w:r>
              <w:rPr>
                <w:rFonts w:ascii="Verdana" w:eastAsia="Calibri" w:hAnsi="Verdana" w:cs="Arial"/>
                <w:b/>
                <w:bCs/>
                <w:color w:val="000000"/>
                <w:lang w:val="es-ES" w:eastAsia="es-ES"/>
              </w:rPr>
              <w:t>5</w:t>
            </w:r>
          </w:p>
          <w:p w14:paraId="32D17D89" w14:textId="77777777" w:rsidR="00DC3353" w:rsidRPr="001827D1" w:rsidRDefault="00DC3353" w:rsidP="007900C2">
            <w:pPr>
              <w:jc w:val="both"/>
              <w:rPr>
                <w:rFonts w:ascii="Verdana" w:eastAsia="Calibri" w:hAnsi="Verdana" w:cs="Arial"/>
                <w:b/>
                <w:bCs/>
                <w:color w:val="000000"/>
                <w:lang w:val="es-ES" w:eastAsia="es-ES"/>
              </w:rPr>
            </w:pPr>
          </w:p>
        </w:tc>
      </w:tr>
      <w:tr w:rsidR="002E512B" w:rsidRPr="001827D1" w14:paraId="4AE7AFFD" w14:textId="77777777" w:rsidTr="007900C2">
        <w:trPr>
          <w:trHeight w:val="884"/>
        </w:trPr>
        <w:tc>
          <w:tcPr>
            <w:tcW w:w="2925" w:type="dxa"/>
          </w:tcPr>
          <w:p w14:paraId="3AA8944A" w14:textId="77777777" w:rsidR="002E512B" w:rsidRPr="001827D1" w:rsidRDefault="002E512B" w:rsidP="007900C2">
            <w:pPr>
              <w:jc w:val="both"/>
              <w:rPr>
                <w:rFonts w:ascii="Verdana" w:eastAsia="Calibri" w:hAnsi="Verdana" w:cs="Arial"/>
                <w:color w:val="000000"/>
                <w:lang w:val="es-ES_tradnl" w:eastAsia="es-ES_tradnl"/>
              </w:rPr>
            </w:pPr>
            <w:r w:rsidRPr="001827D1">
              <w:rPr>
                <w:rFonts w:ascii="Verdana" w:eastAsia="Calibri" w:hAnsi="Verdana" w:cs="Arial"/>
                <w:b/>
                <w:color w:val="000000"/>
                <w:lang w:val="es-ES_tradnl" w:eastAsia="es-ES_tradnl"/>
              </w:rPr>
              <w:t>Temas:</w:t>
            </w:r>
            <w:r w:rsidRPr="001827D1">
              <w:rPr>
                <w:rFonts w:ascii="Verdana" w:eastAsia="Calibri" w:hAnsi="Verdana" w:cs="Arial"/>
                <w:color w:val="000000"/>
                <w:lang w:val="es-ES_tradnl" w:eastAsia="es-ES_tradnl"/>
              </w:rPr>
              <w:t xml:space="preserve">                   </w:t>
            </w:r>
          </w:p>
        </w:tc>
        <w:tc>
          <w:tcPr>
            <w:tcW w:w="5864" w:type="dxa"/>
          </w:tcPr>
          <w:p w14:paraId="33DA5925" w14:textId="1226B1C8" w:rsidR="002464F2" w:rsidRPr="002464F2" w:rsidRDefault="002464F2" w:rsidP="002464F2">
            <w:pPr>
              <w:ind w:left="6"/>
              <w:contextualSpacing/>
              <w:jc w:val="both"/>
              <w:rPr>
                <w:rFonts w:ascii="Verdana" w:eastAsia="Calibri" w:hAnsi="Verdana" w:cs="Arial"/>
                <w:lang w:val="es-ES"/>
              </w:rPr>
            </w:pPr>
            <w:r w:rsidRPr="002464F2">
              <w:rPr>
                <w:rFonts w:ascii="Verdana" w:eastAsia="Calibri" w:hAnsi="Verdana" w:cs="Calibri"/>
                <w:lang w:val="es-ES"/>
              </w:rPr>
              <w:t>CAPACIDAD RESIDUAL – Decreto 1082 de 2013 – Definición – Cálculo –</w:t>
            </w:r>
            <w:r w:rsidRPr="002464F2">
              <w:rPr>
                <w:rFonts w:ascii="Verdana" w:eastAsia="Calibri" w:hAnsi="Verdana" w:cs="Calibri"/>
                <w:spacing w:val="1"/>
                <w:lang w:val="es-ES"/>
              </w:rPr>
              <w:t xml:space="preserve"> </w:t>
            </w:r>
            <w:r w:rsidRPr="002464F2">
              <w:rPr>
                <w:rFonts w:ascii="Verdana" w:eastAsia="Calibri" w:hAnsi="Verdana" w:cs="Calibri"/>
                <w:lang w:val="es-ES"/>
              </w:rPr>
              <w:t>Factores / CAPACIDAD TÉCNICA – Guía</w:t>
            </w:r>
            <w:r w:rsidRPr="002464F2">
              <w:rPr>
                <w:rFonts w:ascii="Verdana" w:eastAsia="Calibri" w:hAnsi="Verdana" w:cs="Calibri"/>
                <w:spacing w:val="-47"/>
                <w:lang w:val="es-ES"/>
              </w:rPr>
              <w:t xml:space="preserve"> </w:t>
            </w:r>
            <w:r w:rsidRPr="002464F2">
              <w:rPr>
                <w:rFonts w:ascii="Verdana" w:eastAsia="Calibri" w:hAnsi="Verdana" w:cs="Calibri"/>
                <w:lang w:val="es-ES"/>
              </w:rPr>
              <w:t>para Determinar y Verificar la Capacidad Residual del Proponente en los</w:t>
            </w:r>
            <w:r w:rsidRPr="002464F2">
              <w:rPr>
                <w:rFonts w:ascii="Verdana" w:eastAsia="Calibri" w:hAnsi="Verdana" w:cs="Calibri"/>
                <w:spacing w:val="1"/>
                <w:lang w:val="es-ES"/>
              </w:rPr>
              <w:t xml:space="preserve"> </w:t>
            </w:r>
            <w:r w:rsidRPr="002464F2">
              <w:rPr>
                <w:rFonts w:ascii="Verdana" w:eastAsia="Calibri" w:hAnsi="Verdana" w:cs="Calibri"/>
                <w:lang w:val="es-ES"/>
              </w:rPr>
              <w:t>Procesos</w:t>
            </w:r>
            <w:r w:rsidRPr="002464F2">
              <w:rPr>
                <w:rFonts w:ascii="Verdana" w:eastAsia="Calibri" w:hAnsi="Verdana" w:cs="Calibri"/>
                <w:spacing w:val="-2"/>
                <w:lang w:val="es-ES"/>
              </w:rPr>
              <w:t xml:space="preserve"> </w:t>
            </w:r>
            <w:r w:rsidRPr="002464F2">
              <w:rPr>
                <w:rFonts w:ascii="Verdana" w:eastAsia="Calibri" w:hAnsi="Verdana" w:cs="Calibri"/>
                <w:lang w:val="es-ES"/>
              </w:rPr>
              <w:t>de</w:t>
            </w:r>
            <w:r w:rsidRPr="002464F2">
              <w:rPr>
                <w:rFonts w:ascii="Verdana" w:eastAsia="Calibri" w:hAnsi="Verdana" w:cs="Calibri"/>
                <w:spacing w:val="-2"/>
                <w:lang w:val="es-ES"/>
              </w:rPr>
              <w:t xml:space="preserve"> </w:t>
            </w:r>
            <w:r w:rsidRPr="002464F2">
              <w:rPr>
                <w:rFonts w:ascii="Verdana" w:eastAsia="Calibri" w:hAnsi="Verdana" w:cs="Calibri"/>
                <w:lang w:val="es-ES"/>
              </w:rPr>
              <w:t>Contratación</w:t>
            </w:r>
            <w:r w:rsidRPr="002464F2">
              <w:rPr>
                <w:rFonts w:ascii="Verdana" w:eastAsia="Calibri" w:hAnsi="Verdana" w:cs="Calibri"/>
                <w:spacing w:val="-2"/>
                <w:lang w:val="es-ES"/>
              </w:rPr>
              <w:t xml:space="preserve"> </w:t>
            </w:r>
            <w:r w:rsidRPr="002464F2">
              <w:rPr>
                <w:rFonts w:ascii="Verdana" w:eastAsia="Calibri" w:hAnsi="Verdana" w:cs="Calibri"/>
                <w:lang w:val="es-ES"/>
              </w:rPr>
              <w:t>de</w:t>
            </w:r>
            <w:r w:rsidRPr="002464F2">
              <w:rPr>
                <w:rFonts w:ascii="Verdana" w:eastAsia="Calibri" w:hAnsi="Verdana" w:cs="Calibri"/>
                <w:spacing w:val="-1"/>
                <w:lang w:val="es-ES"/>
              </w:rPr>
              <w:t xml:space="preserve"> </w:t>
            </w:r>
            <w:r w:rsidRPr="002464F2">
              <w:rPr>
                <w:rFonts w:ascii="Verdana" w:eastAsia="Calibri" w:hAnsi="Verdana" w:cs="Calibri"/>
                <w:lang w:val="es-ES"/>
              </w:rPr>
              <w:t>Obra</w:t>
            </w:r>
            <w:r w:rsidRPr="002464F2">
              <w:rPr>
                <w:rFonts w:ascii="Verdana" w:eastAsia="Calibri" w:hAnsi="Verdana" w:cs="Calibri"/>
                <w:spacing w:val="-2"/>
                <w:lang w:val="es-ES"/>
              </w:rPr>
              <w:t xml:space="preserve"> </w:t>
            </w:r>
            <w:r w:rsidRPr="002464F2">
              <w:rPr>
                <w:rFonts w:ascii="Verdana" w:eastAsia="Calibri" w:hAnsi="Verdana" w:cs="Calibri"/>
                <w:lang w:val="es-ES"/>
              </w:rPr>
              <w:t>Pública</w:t>
            </w:r>
            <w:r w:rsidRPr="002464F2">
              <w:rPr>
                <w:rFonts w:ascii="Verdana" w:eastAsia="Calibri" w:hAnsi="Verdana" w:cs="Calibri"/>
                <w:spacing w:val="4"/>
                <w:lang w:val="es-ES"/>
              </w:rPr>
              <w:t xml:space="preserve"> </w:t>
            </w:r>
            <w:r w:rsidRPr="002464F2">
              <w:rPr>
                <w:rFonts w:ascii="Verdana" w:eastAsia="Calibri" w:hAnsi="Verdana" w:cs="Calibri"/>
                <w:lang w:val="es-ES"/>
              </w:rPr>
              <w:t>–</w:t>
            </w:r>
            <w:r w:rsidRPr="002464F2">
              <w:rPr>
                <w:rFonts w:ascii="Verdana" w:eastAsia="Calibri" w:hAnsi="Verdana" w:cs="Calibri"/>
                <w:spacing w:val="-2"/>
                <w:lang w:val="es-ES"/>
              </w:rPr>
              <w:t xml:space="preserve"> </w:t>
            </w:r>
            <w:r w:rsidR="007E7DC2">
              <w:rPr>
                <w:rFonts w:ascii="Verdana" w:eastAsia="Calibri" w:hAnsi="Verdana" w:cs="Calibri"/>
                <w:spacing w:val="-2"/>
                <w:lang w:val="es-ES"/>
              </w:rPr>
              <w:t xml:space="preserve">Formato / </w:t>
            </w:r>
            <w:r w:rsidR="007E7DC2" w:rsidRPr="002464F2">
              <w:rPr>
                <w:rFonts w:ascii="Verdana" w:eastAsia="Calibri" w:hAnsi="Verdana" w:cs="Calibri"/>
                <w:lang w:val="es-ES"/>
              </w:rPr>
              <w:t>CAPACIDAD TÉCNICA – Guía</w:t>
            </w:r>
            <w:r w:rsidR="007E7DC2" w:rsidRPr="002464F2">
              <w:rPr>
                <w:rFonts w:ascii="Verdana" w:eastAsia="Calibri" w:hAnsi="Verdana" w:cs="Calibri"/>
                <w:spacing w:val="-47"/>
                <w:lang w:val="es-ES"/>
              </w:rPr>
              <w:t xml:space="preserve"> </w:t>
            </w:r>
            <w:r w:rsidR="007E7DC2" w:rsidRPr="002464F2">
              <w:rPr>
                <w:rFonts w:ascii="Verdana" w:eastAsia="Calibri" w:hAnsi="Verdana" w:cs="Calibri"/>
                <w:lang w:val="es-ES"/>
              </w:rPr>
              <w:t>para Determinar y Verificar la Capacidad Residual del Proponente en los</w:t>
            </w:r>
            <w:r w:rsidR="007E7DC2" w:rsidRPr="002464F2">
              <w:rPr>
                <w:rFonts w:ascii="Verdana" w:eastAsia="Calibri" w:hAnsi="Verdana" w:cs="Calibri"/>
                <w:spacing w:val="1"/>
                <w:lang w:val="es-ES"/>
              </w:rPr>
              <w:t xml:space="preserve"> </w:t>
            </w:r>
            <w:r w:rsidR="007E7DC2" w:rsidRPr="002464F2">
              <w:rPr>
                <w:rFonts w:ascii="Verdana" w:eastAsia="Calibri" w:hAnsi="Verdana" w:cs="Calibri"/>
                <w:lang w:val="es-ES"/>
              </w:rPr>
              <w:t>Procesos</w:t>
            </w:r>
            <w:r w:rsidR="007E7DC2" w:rsidRPr="002464F2">
              <w:rPr>
                <w:rFonts w:ascii="Verdana" w:eastAsia="Calibri" w:hAnsi="Verdana" w:cs="Calibri"/>
                <w:spacing w:val="-2"/>
                <w:lang w:val="es-ES"/>
              </w:rPr>
              <w:t xml:space="preserve"> </w:t>
            </w:r>
            <w:r w:rsidR="007E7DC2" w:rsidRPr="002464F2">
              <w:rPr>
                <w:rFonts w:ascii="Verdana" w:eastAsia="Calibri" w:hAnsi="Verdana" w:cs="Calibri"/>
                <w:lang w:val="es-ES"/>
              </w:rPr>
              <w:t>de</w:t>
            </w:r>
            <w:r w:rsidR="007E7DC2" w:rsidRPr="002464F2">
              <w:rPr>
                <w:rFonts w:ascii="Verdana" w:eastAsia="Calibri" w:hAnsi="Verdana" w:cs="Calibri"/>
                <w:spacing w:val="-2"/>
                <w:lang w:val="es-ES"/>
              </w:rPr>
              <w:t xml:space="preserve"> </w:t>
            </w:r>
            <w:r w:rsidR="007E7DC2" w:rsidRPr="002464F2">
              <w:rPr>
                <w:rFonts w:ascii="Verdana" w:eastAsia="Calibri" w:hAnsi="Verdana" w:cs="Calibri"/>
                <w:lang w:val="es-ES"/>
              </w:rPr>
              <w:t>Contratación</w:t>
            </w:r>
            <w:r w:rsidR="007E7DC2" w:rsidRPr="002464F2">
              <w:rPr>
                <w:rFonts w:ascii="Verdana" w:eastAsia="Calibri" w:hAnsi="Verdana" w:cs="Calibri"/>
                <w:spacing w:val="-2"/>
                <w:lang w:val="es-ES"/>
              </w:rPr>
              <w:t xml:space="preserve"> </w:t>
            </w:r>
            <w:r w:rsidR="007E7DC2" w:rsidRPr="002464F2">
              <w:rPr>
                <w:rFonts w:ascii="Verdana" w:eastAsia="Calibri" w:hAnsi="Verdana" w:cs="Calibri"/>
                <w:lang w:val="es-ES"/>
              </w:rPr>
              <w:t>de</w:t>
            </w:r>
            <w:r w:rsidR="007E7DC2" w:rsidRPr="002464F2">
              <w:rPr>
                <w:rFonts w:ascii="Verdana" w:eastAsia="Calibri" w:hAnsi="Verdana" w:cs="Calibri"/>
                <w:spacing w:val="-1"/>
                <w:lang w:val="es-ES"/>
              </w:rPr>
              <w:t xml:space="preserve"> </w:t>
            </w:r>
            <w:r w:rsidR="007E7DC2" w:rsidRPr="002464F2">
              <w:rPr>
                <w:rFonts w:ascii="Verdana" w:eastAsia="Calibri" w:hAnsi="Verdana" w:cs="Calibri"/>
                <w:lang w:val="es-ES"/>
              </w:rPr>
              <w:t>Obra</w:t>
            </w:r>
            <w:r w:rsidR="007E7DC2" w:rsidRPr="002464F2">
              <w:rPr>
                <w:rFonts w:ascii="Verdana" w:eastAsia="Calibri" w:hAnsi="Verdana" w:cs="Calibri"/>
                <w:spacing w:val="-2"/>
                <w:lang w:val="es-ES"/>
              </w:rPr>
              <w:t xml:space="preserve"> </w:t>
            </w:r>
            <w:r w:rsidR="007E7DC2" w:rsidRPr="002464F2">
              <w:rPr>
                <w:rFonts w:ascii="Verdana" w:eastAsia="Calibri" w:hAnsi="Verdana" w:cs="Calibri"/>
                <w:lang w:val="es-ES"/>
              </w:rPr>
              <w:t>Pública</w:t>
            </w:r>
            <w:r w:rsidR="007E7DC2">
              <w:rPr>
                <w:rFonts w:ascii="Verdana" w:eastAsia="Calibri" w:hAnsi="Verdana" w:cs="Calibri"/>
                <w:lang w:val="es-ES"/>
              </w:rPr>
              <w:t xml:space="preserve"> – </w:t>
            </w:r>
            <w:r w:rsidRPr="002464F2">
              <w:rPr>
                <w:rFonts w:ascii="Verdana" w:eastAsia="Calibri" w:hAnsi="Verdana" w:cs="Calibri"/>
                <w:lang w:val="es-ES"/>
              </w:rPr>
              <w:t>Cálculo</w:t>
            </w:r>
            <w:r w:rsidR="007E7DC2">
              <w:rPr>
                <w:rFonts w:ascii="Verdana" w:eastAsia="Calibri" w:hAnsi="Verdana" w:cs="Calibri"/>
                <w:lang w:val="es-ES"/>
              </w:rPr>
              <w:t xml:space="preserve"> – Puntajes / CAUSALES DE RECHAZO – Taxatividad</w:t>
            </w:r>
          </w:p>
          <w:p w14:paraId="6D5AAE90" w14:textId="77777777" w:rsidR="002E512B" w:rsidRPr="001827D1" w:rsidRDefault="002E512B" w:rsidP="007900C2">
            <w:pPr>
              <w:spacing w:line="276" w:lineRule="auto"/>
              <w:jc w:val="both"/>
              <w:rPr>
                <w:rFonts w:ascii="Verdana" w:eastAsia="Calibri" w:hAnsi="Verdana" w:cs="Arial"/>
                <w:color w:val="000000"/>
                <w:lang w:val="es-ES" w:eastAsia="es-ES"/>
              </w:rPr>
            </w:pPr>
          </w:p>
        </w:tc>
      </w:tr>
      <w:tr w:rsidR="002E512B" w:rsidRPr="001827D1" w14:paraId="5C76D24A" w14:textId="77777777" w:rsidTr="007900C2">
        <w:tc>
          <w:tcPr>
            <w:tcW w:w="2925" w:type="dxa"/>
          </w:tcPr>
          <w:p w14:paraId="3557697B" w14:textId="77777777" w:rsidR="002E512B" w:rsidRPr="001827D1" w:rsidRDefault="002E512B" w:rsidP="007900C2">
            <w:pPr>
              <w:jc w:val="both"/>
              <w:rPr>
                <w:rFonts w:ascii="Verdana" w:eastAsia="Calibri" w:hAnsi="Verdana" w:cs="Arial"/>
                <w:b/>
                <w:color w:val="000000"/>
                <w:lang w:val="es-ES_tradnl" w:eastAsia="es-ES_tradnl"/>
              </w:rPr>
            </w:pPr>
            <w:r w:rsidRPr="001827D1">
              <w:rPr>
                <w:rFonts w:ascii="Verdana" w:eastAsia="Calibri" w:hAnsi="Verdana" w:cs="Arial"/>
                <w:b/>
                <w:color w:val="000000"/>
                <w:lang w:val="es-ES_tradnl" w:eastAsia="es-ES_tradnl"/>
              </w:rPr>
              <w:t>Radicación:</w:t>
            </w:r>
            <w:r w:rsidRPr="001827D1">
              <w:rPr>
                <w:rFonts w:ascii="Verdana" w:eastAsia="Calibri" w:hAnsi="Verdana" w:cs="Arial"/>
                <w:color w:val="000000"/>
                <w:lang w:val="es-ES_tradnl" w:eastAsia="es-ES_tradnl"/>
              </w:rPr>
              <w:t xml:space="preserve">               </w:t>
            </w:r>
          </w:p>
        </w:tc>
        <w:tc>
          <w:tcPr>
            <w:tcW w:w="5864" w:type="dxa"/>
          </w:tcPr>
          <w:p w14:paraId="75767516" w14:textId="77777777" w:rsidR="002E512B" w:rsidRPr="001827D1" w:rsidRDefault="002E512B" w:rsidP="007900C2">
            <w:pPr>
              <w:jc w:val="both"/>
              <w:rPr>
                <w:rFonts w:ascii="Verdana" w:eastAsia="Calibri" w:hAnsi="Verdana" w:cs="Arial"/>
                <w:color w:val="000000"/>
                <w:lang w:val="es-ES_tradnl" w:eastAsia="es-ES_tradnl"/>
              </w:rPr>
            </w:pPr>
            <w:r w:rsidRPr="001827D1">
              <w:rPr>
                <w:rFonts w:ascii="Verdana" w:eastAsia="Calibri" w:hAnsi="Verdana" w:cs="Arial"/>
                <w:color w:val="000000"/>
                <w:lang w:val="es-ES_tradnl" w:eastAsia="es-ES_tradnl"/>
              </w:rPr>
              <w:t xml:space="preserve">Respuesta a consulta con radicado No. </w:t>
            </w:r>
            <w:r w:rsidRPr="002A466B">
              <w:rPr>
                <w:rFonts w:ascii="Verdana" w:eastAsia="Calibri" w:hAnsi="Verdana" w:cs="Arial"/>
                <w:color w:val="000000"/>
                <w:lang w:eastAsia="es-ES_tradnl"/>
              </w:rPr>
              <w:t>P20250204000979</w:t>
            </w:r>
          </w:p>
        </w:tc>
      </w:tr>
    </w:tbl>
    <w:p w14:paraId="556E401E" w14:textId="77777777" w:rsidR="002E512B" w:rsidRPr="001827D1" w:rsidRDefault="002E512B" w:rsidP="002E512B">
      <w:pPr>
        <w:spacing w:after="0" w:line="240" w:lineRule="auto"/>
        <w:jc w:val="both"/>
        <w:rPr>
          <w:rFonts w:ascii="Verdana" w:eastAsia="Calibri" w:hAnsi="Verdana" w:cs="Arial"/>
          <w:color w:val="000000"/>
          <w:lang w:val="es-ES_tradnl" w:eastAsia="es-ES_tradnl"/>
        </w:rPr>
      </w:pPr>
    </w:p>
    <w:p w14:paraId="019E9392" w14:textId="77777777" w:rsidR="002E512B" w:rsidRPr="001827D1" w:rsidRDefault="002E512B" w:rsidP="002E512B">
      <w:pPr>
        <w:spacing w:after="0" w:line="240" w:lineRule="auto"/>
        <w:jc w:val="both"/>
        <w:rPr>
          <w:rFonts w:ascii="Verdana" w:eastAsia="Calibri" w:hAnsi="Verdana" w:cs="Arial"/>
          <w:color w:val="000000"/>
          <w:lang w:val="es-ES_tradnl" w:eastAsia="es-ES_tradnl"/>
        </w:rPr>
      </w:pPr>
    </w:p>
    <w:p w14:paraId="2D812D36" w14:textId="77777777" w:rsidR="00020FF5" w:rsidRDefault="00020FF5" w:rsidP="00B36026">
      <w:pPr>
        <w:spacing w:after="0" w:line="276" w:lineRule="auto"/>
        <w:jc w:val="both"/>
        <w:rPr>
          <w:rFonts w:ascii="Verdana" w:eastAsia="Calibri" w:hAnsi="Verdana" w:cs="Arial"/>
          <w:color w:val="000000"/>
          <w:lang w:val="es-ES" w:eastAsia="es-ES"/>
        </w:rPr>
      </w:pPr>
    </w:p>
    <w:p w14:paraId="3B900542" w14:textId="3179ECE0" w:rsidR="002E512B" w:rsidRPr="001827D1" w:rsidRDefault="002E512B" w:rsidP="00B36026">
      <w:pPr>
        <w:spacing w:after="0" w:line="276" w:lineRule="auto"/>
        <w:jc w:val="both"/>
        <w:rPr>
          <w:rFonts w:ascii="Verdana" w:eastAsia="Calibri" w:hAnsi="Verdana" w:cs="Arial"/>
          <w:color w:val="000000"/>
          <w:lang w:val="es-ES" w:eastAsia="es-ES"/>
        </w:rPr>
      </w:pPr>
      <w:r w:rsidRPr="001827D1">
        <w:rPr>
          <w:rFonts w:ascii="Verdana" w:eastAsia="Calibri" w:hAnsi="Verdana" w:cs="Arial"/>
          <w:color w:val="000000"/>
          <w:lang w:val="es-ES" w:eastAsia="es-ES"/>
        </w:rPr>
        <w:t>Estimad</w:t>
      </w:r>
      <w:r>
        <w:rPr>
          <w:rFonts w:ascii="Verdana" w:eastAsia="Calibri" w:hAnsi="Verdana" w:cs="Arial"/>
          <w:color w:val="000000"/>
          <w:lang w:val="es-ES" w:eastAsia="es-ES"/>
        </w:rPr>
        <w:t>o</w:t>
      </w:r>
      <w:r w:rsidRPr="001827D1">
        <w:rPr>
          <w:rFonts w:ascii="Verdana" w:eastAsia="Calibri" w:hAnsi="Verdana" w:cs="Arial"/>
          <w:color w:val="000000"/>
          <w:lang w:val="es-ES" w:eastAsia="es-ES"/>
        </w:rPr>
        <w:t xml:space="preserve"> señor</w:t>
      </w:r>
      <w:r>
        <w:rPr>
          <w:rFonts w:ascii="Verdana" w:eastAsia="Calibri" w:hAnsi="Verdana" w:cs="Arial"/>
          <w:color w:val="000000"/>
          <w:lang w:val="es-ES" w:eastAsia="es-ES"/>
        </w:rPr>
        <w:t xml:space="preserve"> Rodríguez</w:t>
      </w:r>
      <w:r w:rsidRPr="001827D1">
        <w:rPr>
          <w:rFonts w:ascii="Verdana" w:eastAsia="Calibri" w:hAnsi="Verdana" w:cs="Arial"/>
          <w:color w:val="000000"/>
          <w:lang w:val="es-ES" w:eastAsia="es-ES"/>
        </w:rPr>
        <w:t xml:space="preserve">: </w:t>
      </w:r>
    </w:p>
    <w:p w14:paraId="1F2677D1" w14:textId="77777777" w:rsidR="002E512B" w:rsidRPr="001827D1" w:rsidRDefault="002E512B" w:rsidP="00B36026">
      <w:pPr>
        <w:tabs>
          <w:tab w:val="left" w:pos="3768"/>
        </w:tabs>
        <w:spacing w:after="0" w:line="276" w:lineRule="auto"/>
        <w:jc w:val="both"/>
        <w:rPr>
          <w:rFonts w:ascii="Verdana" w:eastAsia="Calibri" w:hAnsi="Verdana" w:cs="Arial"/>
          <w:color w:val="000000"/>
          <w:lang w:val="es-ES" w:eastAsia="es-ES"/>
        </w:rPr>
      </w:pPr>
      <w:r w:rsidRPr="001827D1">
        <w:rPr>
          <w:rFonts w:ascii="Verdana" w:eastAsia="Calibri" w:hAnsi="Verdana" w:cs="Arial"/>
          <w:color w:val="000000"/>
          <w:lang w:val="es-ES" w:eastAsia="es-ES"/>
        </w:rPr>
        <w:tab/>
      </w:r>
    </w:p>
    <w:p w14:paraId="21CF4CC4" w14:textId="77777777" w:rsidR="002E512B" w:rsidRPr="001827D1" w:rsidRDefault="002E512B" w:rsidP="00B36026">
      <w:pPr>
        <w:spacing w:after="0" w:line="276" w:lineRule="auto"/>
        <w:jc w:val="both"/>
        <w:rPr>
          <w:rFonts w:ascii="Verdana" w:eastAsia="Calibri" w:hAnsi="Verdana" w:cs="Arial"/>
          <w:color w:val="000000"/>
          <w:lang w:val="es-ES" w:eastAsia="es-ES"/>
        </w:rPr>
      </w:pPr>
      <w:r w:rsidRPr="001827D1">
        <w:rPr>
          <w:rFonts w:ascii="Verdana" w:eastAsia="Calibri" w:hAnsi="Verdana" w:cs="Arial"/>
          <w:color w:val="000000"/>
          <w:lang w:val="es-ES" w:eastAsia="es-ES"/>
        </w:rPr>
        <w:t>En ejercicio de la competencia otorgada por los artículos 3, numeral 5º, y 11, numeral 8º, del Decreto Ley 4170 de 2011,</w:t>
      </w:r>
      <w:r w:rsidRPr="001827D1">
        <w:rPr>
          <w:rFonts w:ascii="Verdana" w:eastAsia="Arial MT" w:hAnsi="Verdana" w:cs="Arial MT"/>
          <w:color w:val="000000"/>
          <w:lang w:val="es-ES" w:eastAsia="es-ES"/>
        </w:rPr>
        <w:t xml:space="preserve"> </w:t>
      </w:r>
      <w:r w:rsidRPr="001827D1">
        <w:rPr>
          <w:rFonts w:ascii="Verdana" w:eastAsia="Times New Roman" w:hAnsi="Verdana" w:cs="Arial"/>
          <w:color w:val="000000"/>
        </w:rPr>
        <w:t xml:space="preserve">así como lo establecido en el artículo 4 de la Resolución 1707 de 2018 expedida por esta Entidad, </w:t>
      </w:r>
      <w:r w:rsidRPr="001827D1">
        <w:rPr>
          <w:rFonts w:ascii="Verdana" w:eastAsia="Calibri" w:hAnsi="Verdana" w:cs="Arial"/>
          <w:color w:val="000000"/>
          <w:lang w:val="es-ES" w:eastAsia="es-ES"/>
        </w:rPr>
        <w:t xml:space="preserve">la Agencia Nacional de Contratación Pública – Colombia Compra Eficiente– responde su solicitud de consulta de fecha </w:t>
      </w:r>
      <w:r>
        <w:rPr>
          <w:rFonts w:ascii="Verdana" w:eastAsia="Calibri" w:hAnsi="Verdana" w:cs="Arial"/>
          <w:color w:val="000000"/>
          <w:lang w:val="es-ES" w:eastAsia="es-ES"/>
        </w:rPr>
        <w:t>4 de febrero de 2025</w:t>
      </w:r>
      <w:r w:rsidRPr="001827D1">
        <w:rPr>
          <w:rFonts w:ascii="Verdana" w:eastAsia="Calibri" w:hAnsi="Verdana" w:cs="Arial"/>
          <w:color w:val="000000"/>
          <w:lang w:val="es-ES" w:eastAsia="es-ES"/>
        </w:rPr>
        <w:t xml:space="preserve">, en la cual manifiesta lo siguiente: </w:t>
      </w:r>
    </w:p>
    <w:p w14:paraId="28C0CBC1" w14:textId="77777777" w:rsidR="002E512B" w:rsidRPr="001827D1" w:rsidRDefault="002E512B" w:rsidP="00BC5C37">
      <w:pPr>
        <w:tabs>
          <w:tab w:val="left" w:pos="142"/>
          <w:tab w:val="left" w:pos="284"/>
        </w:tabs>
        <w:spacing w:after="0" w:line="276" w:lineRule="auto"/>
        <w:jc w:val="both"/>
        <w:rPr>
          <w:rFonts w:ascii="Verdana" w:eastAsia="Century Gothic" w:hAnsi="Verdana" w:cs="Century Gothic"/>
          <w:b/>
          <w:bCs/>
          <w:color w:val="000000"/>
          <w:lang w:val="es-ES"/>
        </w:rPr>
      </w:pPr>
    </w:p>
    <w:p w14:paraId="075568B5" w14:textId="77777777" w:rsidR="002E512B" w:rsidRPr="00BB414D" w:rsidRDefault="002E512B" w:rsidP="00B36026">
      <w:pPr>
        <w:spacing w:after="0" w:line="240" w:lineRule="auto"/>
        <w:ind w:left="709" w:right="709"/>
        <w:jc w:val="both"/>
        <w:rPr>
          <w:rFonts w:ascii="Verdana" w:eastAsia="Century Gothic" w:hAnsi="Verdana" w:cs="Century Gothic"/>
          <w:i/>
          <w:iCs/>
          <w:color w:val="000000"/>
          <w:sz w:val="20"/>
          <w:szCs w:val="20"/>
        </w:rPr>
      </w:pPr>
      <w:bookmarkStart w:id="1" w:name="_Hlk95313578"/>
      <w:r w:rsidRPr="001827D1">
        <w:rPr>
          <w:rFonts w:ascii="Verdana" w:eastAsia="Century Gothic" w:hAnsi="Verdana" w:cs="Century Gothic"/>
          <w:i/>
          <w:iCs/>
          <w:color w:val="000000"/>
          <w:sz w:val="20"/>
          <w:szCs w:val="20"/>
          <w:lang w:val="es-ES"/>
        </w:rPr>
        <w:t>“</w:t>
      </w:r>
      <w:bookmarkEnd w:id="1"/>
      <w:r w:rsidRPr="001F1C78">
        <w:rPr>
          <w:rFonts w:ascii="Verdana" w:eastAsia="Century Gothic" w:hAnsi="Verdana" w:cs="Century Gothic"/>
          <w:i/>
          <w:iCs/>
          <w:color w:val="000000"/>
          <w:sz w:val="20"/>
          <w:szCs w:val="20"/>
        </w:rPr>
        <w:t>Como evaluador financiero de los procesos de contratación de la Fiscalía General</w:t>
      </w:r>
      <w:r>
        <w:rPr>
          <w:rFonts w:ascii="Verdana" w:eastAsia="Century Gothic" w:hAnsi="Verdana" w:cs="Century Gothic"/>
          <w:i/>
          <w:iCs/>
          <w:color w:val="000000"/>
          <w:sz w:val="20"/>
          <w:szCs w:val="20"/>
        </w:rPr>
        <w:t xml:space="preserve"> </w:t>
      </w:r>
      <w:r w:rsidRPr="001F1C78">
        <w:rPr>
          <w:rFonts w:ascii="Verdana" w:eastAsia="Century Gothic" w:hAnsi="Verdana" w:cs="Century Gothic"/>
          <w:i/>
          <w:iCs/>
          <w:color w:val="000000"/>
          <w:sz w:val="20"/>
          <w:szCs w:val="20"/>
        </w:rPr>
        <w:t>de la Nación en un contrato de obra, y en transcurso del informe de la evaluación</w:t>
      </w:r>
      <w:r>
        <w:rPr>
          <w:rFonts w:ascii="Verdana" w:eastAsia="Century Gothic" w:hAnsi="Verdana" w:cs="Century Gothic"/>
          <w:i/>
          <w:iCs/>
          <w:color w:val="000000"/>
          <w:sz w:val="20"/>
          <w:szCs w:val="20"/>
        </w:rPr>
        <w:t xml:space="preserve"> </w:t>
      </w:r>
      <w:r w:rsidRPr="001F1C78">
        <w:rPr>
          <w:rFonts w:ascii="Verdana" w:eastAsia="Century Gothic" w:hAnsi="Verdana" w:cs="Century Gothic"/>
          <w:i/>
          <w:iCs/>
          <w:color w:val="000000"/>
          <w:sz w:val="20"/>
          <w:szCs w:val="20"/>
        </w:rPr>
        <w:t xml:space="preserve">financiera un proponente realizo observaciones a los proponentes, </w:t>
      </w:r>
      <w:proofErr w:type="spellStart"/>
      <w:r w:rsidRPr="001F1C78">
        <w:rPr>
          <w:rFonts w:ascii="Verdana" w:eastAsia="Century Gothic" w:hAnsi="Verdana" w:cs="Century Gothic"/>
          <w:i/>
          <w:iCs/>
          <w:color w:val="000000"/>
          <w:sz w:val="20"/>
          <w:szCs w:val="20"/>
        </w:rPr>
        <w:t>manifestanto</w:t>
      </w:r>
      <w:proofErr w:type="spellEnd"/>
      <w:r>
        <w:rPr>
          <w:rFonts w:ascii="Verdana" w:eastAsia="Century Gothic" w:hAnsi="Verdana" w:cs="Century Gothic"/>
          <w:i/>
          <w:iCs/>
          <w:color w:val="000000"/>
          <w:sz w:val="20"/>
          <w:szCs w:val="20"/>
        </w:rPr>
        <w:t xml:space="preserve"> </w:t>
      </w:r>
      <w:r w:rsidRPr="001F1C78">
        <w:rPr>
          <w:rFonts w:ascii="Verdana" w:eastAsia="Century Gothic" w:hAnsi="Verdana" w:cs="Century Gothic"/>
          <w:i/>
          <w:iCs/>
          <w:color w:val="000000"/>
          <w:sz w:val="20"/>
          <w:szCs w:val="20"/>
        </w:rPr>
        <w:t xml:space="preserve">que las propuestas </w:t>
      </w:r>
      <w:proofErr w:type="spellStart"/>
      <w:r w:rsidRPr="001F1C78">
        <w:rPr>
          <w:rFonts w:ascii="Verdana" w:eastAsia="Century Gothic" w:hAnsi="Verdana" w:cs="Century Gothic"/>
          <w:i/>
          <w:iCs/>
          <w:color w:val="000000"/>
          <w:sz w:val="20"/>
          <w:szCs w:val="20"/>
        </w:rPr>
        <w:t>deberian</w:t>
      </w:r>
      <w:proofErr w:type="spellEnd"/>
      <w:r w:rsidRPr="001F1C78">
        <w:rPr>
          <w:rFonts w:ascii="Verdana" w:eastAsia="Century Gothic" w:hAnsi="Verdana" w:cs="Century Gothic"/>
          <w:i/>
          <w:iCs/>
          <w:color w:val="000000"/>
          <w:sz w:val="20"/>
          <w:szCs w:val="20"/>
        </w:rPr>
        <w:t xml:space="preserve"> ser rechazadas teniendo en cuenta que para el cálculo</w:t>
      </w:r>
      <w:r>
        <w:rPr>
          <w:rFonts w:ascii="Verdana" w:eastAsia="Century Gothic" w:hAnsi="Verdana" w:cs="Century Gothic"/>
          <w:i/>
          <w:iCs/>
          <w:color w:val="000000"/>
          <w:sz w:val="20"/>
          <w:szCs w:val="20"/>
        </w:rPr>
        <w:t xml:space="preserve"> </w:t>
      </w:r>
      <w:r w:rsidRPr="001F1C78">
        <w:rPr>
          <w:rFonts w:ascii="Verdana" w:eastAsia="Century Gothic" w:hAnsi="Verdana" w:cs="Century Gothic"/>
          <w:i/>
          <w:iCs/>
          <w:color w:val="000000"/>
          <w:sz w:val="20"/>
          <w:szCs w:val="20"/>
        </w:rPr>
        <w:t xml:space="preserve">del K Residual </w:t>
      </w:r>
      <w:proofErr w:type="spellStart"/>
      <w:r w:rsidRPr="001F1C78">
        <w:rPr>
          <w:rFonts w:ascii="Verdana" w:eastAsia="Century Gothic" w:hAnsi="Verdana" w:cs="Century Gothic"/>
          <w:i/>
          <w:iCs/>
          <w:color w:val="000000"/>
          <w:sz w:val="20"/>
          <w:szCs w:val="20"/>
        </w:rPr>
        <w:t>especificamente</w:t>
      </w:r>
      <w:proofErr w:type="spellEnd"/>
      <w:r w:rsidRPr="001F1C78">
        <w:rPr>
          <w:rFonts w:ascii="Verdana" w:eastAsia="Century Gothic" w:hAnsi="Verdana" w:cs="Century Gothic"/>
          <w:i/>
          <w:iCs/>
          <w:color w:val="000000"/>
          <w:sz w:val="20"/>
          <w:szCs w:val="20"/>
        </w:rPr>
        <w:t xml:space="preserve"> en el formato de la </w:t>
      </w:r>
      <w:proofErr w:type="spellStart"/>
      <w:r w:rsidRPr="001F1C78">
        <w:rPr>
          <w:rFonts w:ascii="Verdana" w:eastAsia="Century Gothic" w:hAnsi="Verdana" w:cs="Century Gothic"/>
          <w:i/>
          <w:iCs/>
          <w:color w:val="000000"/>
          <w:sz w:val="20"/>
          <w:szCs w:val="20"/>
        </w:rPr>
        <w:t>Capaciad</w:t>
      </w:r>
      <w:proofErr w:type="spellEnd"/>
      <w:r w:rsidRPr="001F1C78">
        <w:rPr>
          <w:rFonts w:ascii="Verdana" w:eastAsia="Century Gothic" w:hAnsi="Verdana" w:cs="Century Gothic"/>
          <w:i/>
          <w:iCs/>
          <w:color w:val="000000"/>
          <w:sz w:val="20"/>
          <w:szCs w:val="20"/>
        </w:rPr>
        <w:t xml:space="preserve"> Técnica los</w:t>
      </w:r>
      <w:r>
        <w:rPr>
          <w:rFonts w:ascii="Verdana" w:eastAsia="Century Gothic" w:hAnsi="Verdana" w:cs="Century Gothic"/>
          <w:i/>
          <w:iCs/>
          <w:color w:val="000000"/>
          <w:sz w:val="20"/>
          <w:szCs w:val="20"/>
        </w:rPr>
        <w:t xml:space="preserve"> </w:t>
      </w:r>
      <w:r w:rsidRPr="001F1C78">
        <w:rPr>
          <w:rFonts w:ascii="Verdana" w:eastAsia="Century Gothic" w:hAnsi="Verdana" w:cs="Century Gothic"/>
          <w:i/>
          <w:iCs/>
          <w:color w:val="000000"/>
          <w:sz w:val="20"/>
          <w:szCs w:val="20"/>
        </w:rPr>
        <w:t xml:space="preserve">proponentes no </w:t>
      </w:r>
      <w:proofErr w:type="spellStart"/>
      <w:r w:rsidRPr="001F1C78">
        <w:rPr>
          <w:rFonts w:ascii="Verdana" w:eastAsia="Century Gothic" w:hAnsi="Verdana" w:cs="Century Gothic"/>
          <w:i/>
          <w:iCs/>
          <w:color w:val="000000"/>
          <w:sz w:val="20"/>
          <w:szCs w:val="20"/>
        </w:rPr>
        <w:t>habian</w:t>
      </w:r>
      <w:proofErr w:type="spellEnd"/>
      <w:r w:rsidRPr="001F1C78">
        <w:rPr>
          <w:rFonts w:ascii="Verdana" w:eastAsia="Century Gothic" w:hAnsi="Verdana" w:cs="Century Gothic"/>
          <w:i/>
          <w:iCs/>
          <w:color w:val="000000"/>
          <w:sz w:val="20"/>
          <w:szCs w:val="20"/>
        </w:rPr>
        <w:t xml:space="preserve"> adjuntado </w:t>
      </w:r>
      <w:r w:rsidRPr="001F1C78">
        <w:rPr>
          <w:rFonts w:ascii="Verdana" w:eastAsia="Century Gothic" w:hAnsi="Verdana" w:cs="Century Gothic"/>
          <w:i/>
          <w:iCs/>
          <w:color w:val="000000"/>
          <w:sz w:val="20"/>
          <w:szCs w:val="20"/>
        </w:rPr>
        <w:lastRenderedPageBreak/>
        <w:t>las planillas de pago de seguridad social o que no</w:t>
      </w:r>
      <w:r>
        <w:rPr>
          <w:rFonts w:ascii="Verdana" w:eastAsia="Century Gothic" w:hAnsi="Verdana" w:cs="Century Gothic"/>
          <w:i/>
          <w:iCs/>
          <w:color w:val="000000"/>
          <w:sz w:val="20"/>
          <w:szCs w:val="20"/>
        </w:rPr>
        <w:t xml:space="preserve"> </w:t>
      </w:r>
      <w:r w:rsidRPr="001F1C78">
        <w:rPr>
          <w:rFonts w:ascii="Verdana" w:eastAsia="Century Gothic" w:hAnsi="Verdana" w:cs="Century Gothic"/>
          <w:i/>
          <w:iCs/>
          <w:color w:val="000000"/>
          <w:sz w:val="20"/>
          <w:szCs w:val="20"/>
        </w:rPr>
        <w:t>estaban al día de las personas allí relacionadas, por lo tanto, solicito nos den un</w:t>
      </w:r>
      <w:r>
        <w:rPr>
          <w:rFonts w:ascii="Verdana" w:eastAsia="Century Gothic" w:hAnsi="Verdana" w:cs="Century Gothic"/>
          <w:i/>
          <w:iCs/>
          <w:color w:val="000000"/>
          <w:sz w:val="20"/>
          <w:szCs w:val="20"/>
        </w:rPr>
        <w:t xml:space="preserve"> </w:t>
      </w:r>
      <w:r w:rsidRPr="001F1C78">
        <w:rPr>
          <w:rFonts w:ascii="Verdana" w:eastAsia="Century Gothic" w:hAnsi="Verdana" w:cs="Century Gothic"/>
          <w:i/>
          <w:iCs/>
          <w:color w:val="000000"/>
          <w:sz w:val="20"/>
          <w:szCs w:val="20"/>
        </w:rPr>
        <w:t>concepto si estas planillas son vinculantes para el cumplimiento de este formato o</w:t>
      </w:r>
      <w:r>
        <w:rPr>
          <w:rFonts w:ascii="Verdana" w:eastAsia="Century Gothic" w:hAnsi="Verdana" w:cs="Century Gothic"/>
          <w:i/>
          <w:iCs/>
          <w:color w:val="000000"/>
          <w:sz w:val="20"/>
          <w:szCs w:val="20"/>
        </w:rPr>
        <w:t xml:space="preserve"> </w:t>
      </w:r>
      <w:r w:rsidRPr="001F1C78">
        <w:rPr>
          <w:rFonts w:ascii="Verdana" w:eastAsia="Century Gothic" w:hAnsi="Verdana" w:cs="Century Gothic"/>
          <w:i/>
          <w:iCs/>
          <w:color w:val="000000"/>
          <w:sz w:val="20"/>
          <w:szCs w:val="20"/>
        </w:rPr>
        <w:t xml:space="preserve">si es o no causal de rechazo. </w:t>
      </w:r>
      <w:proofErr w:type="spellStart"/>
      <w:r w:rsidRPr="001F1C78">
        <w:rPr>
          <w:rFonts w:ascii="Verdana" w:eastAsia="Century Gothic" w:hAnsi="Verdana" w:cs="Century Gothic"/>
          <w:i/>
          <w:iCs/>
          <w:color w:val="000000"/>
          <w:sz w:val="20"/>
          <w:szCs w:val="20"/>
        </w:rPr>
        <w:t>Asi</w:t>
      </w:r>
      <w:proofErr w:type="spellEnd"/>
      <w:r w:rsidRPr="001F1C78">
        <w:rPr>
          <w:rFonts w:ascii="Verdana" w:eastAsia="Century Gothic" w:hAnsi="Verdana" w:cs="Century Gothic"/>
          <w:i/>
          <w:iCs/>
          <w:color w:val="000000"/>
          <w:sz w:val="20"/>
          <w:szCs w:val="20"/>
        </w:rPr>
        <w:t xml:space="preserve"> mismo, en el Formato de la Capacidad Técnica</w:t>
      </w:r>
      <w:r>
        <w:rPr>
          <w:rFonts w:ascii="Verdana" w:eastAsia="Century Gothic" w:hAnsi="Verdana" w:cs="Century Gothic"/>
          <w:i/>
          <w:iCs/>
          <w:color w:val="000000"/>
          <w:sz w:val="20"/>
          <w:szCs w:val="20"/>
        </w:rPr>
        <w:t xml:space="preserve"> </w:t>
      </w:r>
      <w:r w:rsidRPr="001F1C78">
        <w:rPr>
          <w:rFonts w:ascii="Verdana" w:eastAsia="Century Gothic" w:hAnsi="Verdana" w:cs="Century Gothic"/>
          <w:i/>
          <w:iCs/>
          <w:color w:val="000000"/>
          <w:sz w:val="20"/>
          <w:szCs w:val="20"/>
        </w:rPr>
        <w:t>unos proponentes certifican no tener profesionales, motivo por el cual el observante</w:t>
      </w:r>
      <w:r>
        <w:rPr>
          <w:rFonts w:ascii="Verdana" w:eastAsia="Century Gothic" w:hAnsi="Verdana" w:cs="Century Gothic"/>
          <w:i/>
          <w:iCs/>
          <w:color w:val="000000"/>
          <w:sz w:val="20"/>
          <w:szCs w:val="20"/>
        </w:rPr>
        <w:t xml:space="preserve"> </w:t>
      </w:r>
      <w:r w:rsidRPr="001F1C78">
        <w:rPr>
          <w:rFonts w:ascii="Verdana" w:eastAsia="Century Gothic" w:hAnsi="Verdana" w:cs="Century Gothic"/>
          <w:i/>
          <w:iCs/>
          <w:color w:val="000000"/>
          <w:sz w:val="20"/>
          <w:szCs w:val="20"/>
        </w:rPr>
        <w:t xml:space="preserve">manifiesta que no se le </w:t>
      </w:r>
      <w:proofErr w:type="spellStart"/>
      <w:r w:rsidRPr="001F1C78">
        <w:rPr>
          <w:rFonts w:ascii="Verdana" w:eastAsia="Century Gothic" w:hAnsi="Verdana" w:cs="Century Gothic"/>
          <w:i/>
          <w:iCs/>
          <w:color w:val="000000"/>
          <w:sz w:val="20"/>
          <w:szCs w:val="20"/>
        </w:rPr>
        <w:t>deberia</w:t>
      </w:r>
      <w:proofErr w:type="spellEnd"/>
      <w:r w:rsidRPr="001F1C78">
        <w:rPr>
          <w:rFonts w:ascii="Verdana" w:eastAsia="Century Gothic" w:hAnsi="Verdana" w:cs="Century Gothic"/>
          <w:i/>
          <w:iCs/>
          <w:color w:val="000000"/>
          <w:sz w:val="20"/>
          <w:szCs w:val="20"/>
        </w:rPr>
        <w:t xml:space="preserve"> otorgar 20 Puntos, se precisa que los puntos son</w:t>
      </w:r>
      <w:r>
        <w:rPr>
          <w:rFonts w:ascii="Verdana" w:eastAsia="Century Gothic" w:hAnsi="Verdana" w:cs="Century Gothic"/>
          <w:i/>
          <w:iCs/>
          <w:color w:val="000000"/>
          <w:sz w:val="20"/>
          <w:szCs w:val="20"/>
        </w:rPr>
        <w:t xml:space="preserve"> </w:t>
      </w:r>
      <w:r w:rsidRPr="001F1C78">
        <w:rPr>
          <w:rFonts w:ascii="Verdana" w:eastAsia="Century Gothic" w:hAnsi="Verdana" w:cs="Century Gothic"/>
          <w:i/>
          <w:iCs/>
          <w:color w:val="000000"/>
          <w:sz w:val="20"/>
          <w:szCs w:val="20"/>
        </w:rPr>
        <w:t>obtenidos a través del cálculo hecho por la herramienta digital de CCE, aunque uno</w:t>
      </w:r>
      <w:r>
        <w:rPr>
          <w:rFonts w:ascii="Verdana" w:eastAsia="Century Gothic" w:hAnsi="Verdana" w:cs="Century Gothic"/>
          <w:i/>
          <w:iCs/>
          <w:color w:val="000000"/>
          <w:sz w:val="20"/>
          <w:szCs w:val="20"/>
        </w:rPr>
        <w:t xml:space="preserve"> </w:t>
      </w:r>
      <w:r w:rsidRPr="001F1C78">
        <w:rPr>
          <w:rFonts w:ascii="Verdana" w:eastAsia="Century Gothic" w:hAnsi="Verdana" w:cs="Century Gothic"/>
          <w:i/>
          <w:iCs/>
          <w:color w:val="000000"/>
          <w:sz w:val="20"/>
          <w:szCs w:val="20"/>
        </w:rPr>
        <w:t xml:space="preserve">digite </w:t>
      </w:r>
      <w:proofErr w:type="gramStart"/>
      <w:r w:rsidRPr="001F1C78">
        <w:rPr>
          <w:rFonts w:ascii="Verdana" w:eastAsia="Century Gothic" w:hAnsi="Verdana" w:cs="Century Gothic"/>
          <w:i/>
          <w:iCs/>
          <w:color w:val="000000"/>
          <w:sz w:val="20"/>
          <w:szCs w:val="20"/>
        </w:rPr>
        <w:t>cero(</w:t>
      </w:r>
      <w:proofErr w:type="gramEnd"/>
      <w:r w:rsidRPr="001F1C78">
        <w:rPr>
          <w:rFonts w:ascii="Verdana" w:eastAsia="Century Gothic" w:hAnsi="Verdana" w:cs="Century Gothic"/>
          <w:i/>
          <w:iCs/>
          <w:color w:val="000000"/>
          <w:sz w:val="20"/>
          <w:szCs w:val="20"/>
        </w:rPr>
        <w:t>0).</w:t>
      </w:r>
      <w:r w:rsidRPr="00BB414D">
        <w:rPr>
          <w:rFonts w:ascii="Verdana" w:eastAsia="Century Gothic" w:hAnsi="Verdana" w:cs="Century Gothic"/>
          <w:i/>
          <w:iCs/>
          <w:color w:val="000000"/>
          <w:sz w:val="20"/>
          <w:szCs w:val="20"/>
        </w:rPr>
        <w:t>”</w:t>
      </w:r>
    </w:p>
    <w:p w14:paraId="729EA711" w14:textId="77777777" w:rsidR="002E512B" w:rsidRPr="001827D1" w:rsidRDefault="002E512B" w:rsidP="002E512B">
      <w:pPr>
        <w:tabs>
          <w:tab w:val="left" w:pos="142"/>
          <w:tab w:val="left" w:pos="284"/>
        </w:tabs>
        <w:spacing w:line="276" w:lineRule="auto"/>
        <w:contextualSpacing/>
        <w:jc w:val="both"/>
        <w:rPr>
          <w:rFonts w:ascii="Verdana" w:eastAsia="Century Gothic" w:hAnsi="Verdana" w:cs="Century Gothic"/>
          <w:b/>
          <w:bCs/>
          <w:color w:val="000000"/>
          <w:lang w:val="es-ES"/>
        </w:rPr>
      </w:pPr>
    </w:p>
    <w:p w14:paraId="4B7C23AC" w14:textId="77777777" w:rsidR="002E512B" w:rsidRPr="001827D1" w:rsidRDefault="002E512B" w:rsidP="002E512B">
      <w:pPr>
        <w:spacing w:after="120" w:line="276" w:lineRule="auto"/>
        <w:ind w:firstLine="709"/>
        <w:jc w:val="both"/>
        <w:rPr>
          <w:rFonts w:ascii="Verdana" w:eastAsia="Calibri" w:hAnsi="Verdana" w:cs="Arial"/>
          <w:color w:val="000000"/>
          <w:szCs w:val="24"/>
          <w:lang w:val="es-ES_tradnl" w:eastAsia="es-ES_tradnl"/>
        </w:rPr>
      </w:pPr>
      <w:r w:rsidRPr="001827D1">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827D1">
        <w:rPr>
          <w:rFonts w:ascii="Verdana" w:eastAsia="Calibri" w:hAnsi="Verdana" w:cs="Arial"/>
          <w:color w:val="000000"/>
          <w:szCs w:val="24"/>
          <w:lang w:val="es-ES_tradnl" w:eastAsia="es-ES_tradnl"/>
        </w:rPr>
        <w:tab/>
      </w:r>
    </w:p>
    <w:p w14:paraId="747157EC" w14:textId="42FBEB19" w:rsidR="002E512B" w:rsidRPr="001827D1" w:rsidRDefault="002E512B" w:rsidP="002E512B">
      <w:pPr>
        <w:spacing w:after="0" w:line="276" w:lineRule="auto"/>
        <w:ind w:firstLine="709"/>
        <w:jc w:val="both"/>
        <w:rPr>
          <w:rFonts w:ascii="Verdana" w:eastAsia="Calibri" w:hAnsi="Verdana" w:cs="Arial"/>
          <w:color w:val="000000"/>
          <w:lang w:val="es-ES" w:eastAsia="es-ES"/>
        </w:rPr>
      </w:pPr>
      <w:r w:rsidRPr="001827D1">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686A91">
        <w:rPr>
          <w:rFonts w:ascii="Verdana" w:eastAsia="Calibri" w:hAnsi="Verdana" w:cs="Arial"/>
          <w:color w:val="000000"/>
          <w:lang w:val="es-ES" w:eastAsia="es-ES"/>
        </w:rPr>
        <w:t>señalando</w:t>
      </w:r>
      <w:r w:rsidR="00686A91" w:rsidRPr="001827D1">
        <w:rPr>
          <w:rFonts w:ascii="Verdana" w:eastAsia="Calibri" w:hAnsi="Verdana" w:cs="Arial"/>
          <w:color w:val="000000"/>
          <w:lang w:val="es-ES" w:eastAsia="es-ES"/>
        </w:rPr>
        <w:t xml:space="preserve"> </w:t>
      </w:r>
      <w:r w:rsidR="00686A91">
        <w:rPr>
          <w:rFonts w:ascii="Verdana" w:eastAsia="Calibri" w:hAnsi="Verdana" w:cs="Arial"/>
          <w:color w:val="000000"/>
          <w:lang w:val="es-ES" w:eastAsia="es-ES"/>
        </w:rPr>
        <w:t>alg</w:t>
      </w:r>
      <w:r w:rsidRPr="001827D1">
        <w:rPr>
          <w:rFonts w:ascii="Verdana" w:eastAsia="Calibri" w:hAnsi="Verdana" w:cs="Arial"/>
          <w:color w:val="000000"/>
          <w:lang w:val="es-ES" w:eastAsia="es-ES"/>
        </w:rPr>
        <w:t xml:space="preserve">unas consideraciones sobre las normas generales relacionadas con los problemas jurídicos de su consulta. </w:t>
      </w:r>
    </w:p>
    <w:p w14:paraId="3B46DBCA" w14:textId="77777777" w:rsidR="002E512B" w:rsidRPr="001827D1" w:rsidRDefault="002E512B" w:rsidP="002E512B">
      <w:pPr>
        <w:spacing w:after="0" w:line="276" w:lineRule="auto"/>
        <w:ind w:firstLine="709"/>
        <w:jc w:val="both"/>
        <w:rPr>
          <w:rFonts w:ascii="Verdana" w:eastAsia="Calibri" w:hAnsi="Verdana" w:cs="Arial"/>
          <w:color w:val="000000"/>
          <w:lang w:val="es-ES" w:eastAsia="es-ES"/>
        </w:rPr>
      </w:pPr>
    </w:p>
    <w:p w14:paraId="286AB352" w14:textId="77777777" w:rsidR="002E512B" w:rsidRPr="001827D1" w:rsidRDefault="002E512B" w:rsidP="002E512B">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t>Problema planteado:</w:t>
      </w:r>
    </w:p>
    <w:p w14:paraId="206E0996" w14:textId="77777777" w:rsidR="002E512B" w:rsidRPr="001827D1" w:rsidRDefault="002E512B" w:rsidP="002E512B">
      <w:pPr>
        <w:tabs>
          <w:tab w:val="left" w:pos="426"/>
        </w:tabs>
        <w:spacing w:after="0" w:line="276" w:lineRule="auto"/>
        <w:jc w:val="both"/>
        <w:rPr>
          <w:rFonts w:ascii="Verdana" w:eastAsia="Century Gothic" w:hAnsi="Verdana" w:cs="Century Gothic"/>
          <w:color w:val="000000"/>
          <w:lang w:val="es-ES"/>
        </w:rPr>
      </w:pPr>
    </w:p>
    <w:p w14:paraId="38728D32" w14:textId="653D7FF2" w:rsidR="002E512B" w:rsidRDefault="002E512B" w:rsidP="002E512B">
      <w:pPr>
        <w:spacing w:after="0" w:line="276" w:lineRule="auto"/>
        <w:jc w:val="both"/>
        <w:rPr>
          <w:rFonts w:ascii="Verdana" w:eastAsia="Century Gothic" w:hAnsi="Verdana" w:cs="Century Gothic"/>
        </w:rPr>
      </w:pPr>
      <w:r w:rsidRPr="001827D1">
        <w:rPr>
          <w:rFonts w:ascii="Verdana" w:eastAsia="Century Gothic" w:hAnsi="Verdana" w:cs="Century Gothic"/>
          <w:color w:val="000000"/>
        </w:rPr>
        <w:t>De acuerdo con el contenido de su solicitud, esta Agencia resolverá</w:t>
      </w:r>
      <w:r>
        <w:rPr>
          <w:rFonts w:ascii="Verdana" w:eastAsia="Century Gothic" w:hAnsi="Verdana" w:cs="Century Gothic"/>
          <w:color w:val="000000"/>
        </w:rPr>
        <w:t xml:space="preserve"> l</w:t>
      </w:r>
      <w:r w:rsidR="00686A91">
        <w:rPr>
          <w:rFonts w:ascii="Verdana" w:eastAsia="Century Gothic" w:hAnsi="Verdana" w:cs="Century Gothic"/>
          <w:color w:val="000000"/>
        </w:rPr>
        <w:t>os</w:t>
      </w:r>
      <w:r>
        <w:rPr>
          <w:rFonts w:ascii="Verdana" w:eastAsia="Century Gothic" w:hAnsi="Verdana" w:cs="Century Gothic"/>
          <w:color w:val="000000"/>
        </w:rPr>
        <w:t xml:space="preserve"> </w:t>
      </w:r>
      <w:r w:rsidRPr="001827D1">
        <w:rPr>
          <w:rFonts w:ascii="Verdana" w:eastAsia="Century Gothic" w:hAnsi="Verdana" w:cs="Century Gothic"/>
          <w:color w:val="000000"/>
        </w:rPr>
        <w:t>siguiente</w:t>
      </w:r>
      <w:r w:rsidR="00686A91">
        <w:rPr>
          <w:rFonts w:ascii="Verdana" w:eastAsia="Century Gothic" w:hAnsi="Verdana" w:cs="Century Gothic"/>
          <w:color w:val="000000"/>
        </w:rPr>
        <w:t>s</w:t>
      </w:r>
      <w:r w:rsidRPr="001827D1">
        <w:rPr>
          <w:rFonts w:ascii="Verdana" w:eastAsia="Century Gothic" w:hAnsi="Verdana" w:cs="Century Gothic"/>
          <w:color w:val="000000"/>
        </w:rPr>
        <w:t xml:space="preserve"> problema</w:t>
      </w:r>
      <w:r w:rsidR="00686A91">
        <w:rPr>
          <w:rFonts w:ascii="Verdana" w:eastAsia="Century Gothic" w:hAnsi="Verdana" w:cs="Century Gothic"/>
          <w:color w:val="000000"/>
        </w:rPr>
        <w:t>s</w:t>
      </w:r>
      <w:r w:rsidRPr="001827D1">
        <w:rPr>
          <w:rFonts w:ascii="Verdana" w:eastAsia="Century Gothic" w:hAnsi="Verdana" w:cs="Century Gothic"/>
          <w:color w:val="000000"/>
        </w:rPr>
        <w:t xml:space="preserve"> jurídico</w:t>
      </w:r>
      <w:r w:rsidR="00686A91">
        <w:rPr>
          <w:rFonts w:ascii="Verdana" w:eastAsia="Century Gothic" w:hAnsi="Verdana" w:cs="Century Gothic"/>
          <w:color w:val="000000"/>
        </w:rPr>
        <w:t>s</w:t>
      </w:r>
      <w:r w:rsidR="00066921">
        <w:rPr>
          <w:rFonts w:ascii="Verdana" w:eastAsia="Century Gothic" w:hAnsi="Verdana" w:cs="Century Gothic"/>
          <w:color w:val="000000"/>
        </w:rPr>
        <w:t xml:space="preserve"> en relación con el cálculo de la capacidad residual</w:t>
      </w:r>
      <w:r w:rsidRPr="001827D1">
        <w:rPr>
          <w:rFonts w:ascii="Verdana" w:eastAsia="Century Gothic" w:hAnsi="Verdana" w:cs="Century Gothic"/>
          <w:color w:val="000000"/>
        </w:rPr>
        <w:t>:</w:t>
      </w:r>
      <w:r>
        <w:rPr>
          <w:rFonts w:ascii="Verdana" w:eastAsia="Century Gothic" w:hAnsi="Verdana" w:cs="Century Gothic"/>
          <w:color w:val="000000"/>
        </w:rPr>
        <w:t xml:space="preserve"> i) </w:t>
      </w:r>
      <w:r>
        <w:rPr>
          <w:rFonts w:ascii="Verdana" w:eastAsia="Century Gothic" w:hAnsi="Verdana" w:cs="Century Gothic"/>
        </w:rPr>
        <w:t xml:space="preserve">¿Las planillas de pago de seguridad social </w:t>
      </w:r>
      <w:r w:rsidRPr="00E61DDB">
        <w:rPr>
          <w:rFonts w:ascii="Verdana" w:eastAsia="Century Gothic" w:hAnsi="Verdana" w:cs="Century Gothic"/>
        </w:rPr>
        <w:t xml:space="preserve">son </w:t>
      </w:r>
      <w:r>
        <w:rPr>
          <w:rFonts w:ascii="Verdana" w:eastAsia="Century Gothic" w:hAnsi="Verdana" w:cs="Century Gothic"/>
        </w:rPr>
        <w:t xml:space="preserve">necesarias para el cálculo de la capacidad residual, conforme el formato de </w:t>
      </w:r>
      <w:r w:rsidRPr="00E61DDB">
        <w:rPr>
          <w:rFonts w:ascii="Verdana" w:eastAsia="Century Gothic" w:hAnsi="Verdana" w:cs="Century Gothic"/>
        </w:rPr>
        <w:t xml:space="preserve">capacidad técnica? </w:t>
      </w:r>
      <w:proofErr w:type="spellStart"/>
      <w:r>
        <w:rPr>
          <w:rFonts w:ascii="Verdana" w:eastAsia="Century Gothic" w:hAnsi="Verdana" w:cs="Century Gothic"/>
        </w:rPr>
        <w:t>ii</w:t>
      </w:r>
      <w:proofErr w:type="spellEnd"/>
      <w:r>
        <w:rPr>
          <w:rFonts w:ascii="Verdana" w:eastAsia="Century Gothic" w:hAnsi="Verdana" w:cs="Century Gothic"/>
        </w:rPr>
        <w:t>)</w:t>
      </w:r>
      <w:r w:rsidR="00DE09C5">
        <w:rPr>
          <w:rFonts w:ascii="Verdana" w:eastAsia="Century Gothic" w:hAnsi="Verdana" w:cs="Century Gothic"/>
        </w:rPr>
        <w:t xml:space="preserve"> </w:t>
      </w:r>
      <w:r>
        <w:rPr>
          <w:rFonts w:ascii="Verdana" w:eastAsia="Century Gothic" w:hAnsi="Verdana" w:cs="Century Gothic"/>
        </w:rPr>
        <w:t>¿Qu</w:t>
      </w:r>
      <w:r w:rsidR="00637331">
        <w:rPr>
          <w:rFonts w:ascii="Verdana" w:eastAsia="Century Gothic" w:hAnsi="Verdana" w:cs="Century Gothic"/>
        </w:rPr>
        <w:t>é</w:t>
      </w:r>
      <w:r>
        <w:rPr>
          <w:rFonts w:ascii="Verdana" w:eastAsia="Century Gothic" w:hAnsi="Verdana" w:cs="Century Gothic"/>
        </w:rPr>
        <w:t xml:space="preserve"> puntaje se debe otorgar cuando </w:t>
      </w:r>
      <w:r w:rsidR="00DE09C5">
        <w:rPr>
          <w:rFonts w:ascii="Verdana" w:eastAsia="Century Gothic" w:hAnsi="Verdana" w:cs="Century Gothic"/>
        </w:rPr>
        <w:t>un proponente</w:t>
      </w:r>
      <w:r>
        <w:rPr>
          <w:rFonts w:ascii="Verdana" w:eastAsia="Century Gothic" w:hAnsi="Verdana" w:cs="Century Gothic"/>
        </w:rPr>
        <w:t xml:space="preserve"> certifica </w:t>
      </w:r>
      <w:r w:rsidR="00637331">
        <w:rPr>
          <w:rFonts w:ascii="Verdana" w:eastAsia="Century Gothic" w:hAnsi="Verdana" w:cs="Century Gothic"/>
        </w:rPr>
        <w:t xml:space="preserve">no </w:t>
      </w:r>
      <w:r>
        <w:rPr>
          <w:rFonts w:ascii="Verdana" w:eastAsia="Century Gothic" w:hAnsi="Verdana" w:cs="Century Gothic"/>
        </w:rPr>
        <w:t xml:space="preserve">tener </w:t>
      </w:r>
      <w:r w:rsidRPr="00E14E2C">
        <w:rPr>
          <w:rFonts w:ascii="Verdana" w:eastAsia="Century Gothic" w:hAnsi="Verdana" w:cs="Century Gothic"/>
        </w:rPr>
        <w:t>el número de socios y profesionales de la arquitectura, ingeniería y geología vinculados mediante una relación laboral o contractual conforme a la cual desarrollen actividades relacionadas directamente a la construcción</w:t>
      </w:r>
      <w:r>
        <w:rPr>
          <w:rFonts w:ascii="Verdana" w:eastAsia="Century Gothic" w:hAnsi="Verdana" w:cs="Century Gothic"/>
        </w:rPr>
        <w:t>?</w:t>
      </w:r>
      <w:r w:rsidRPr="00E14E2C">
        <w:rPr>
          <w:rFonts w:ascii="Verdana" w:eastAsia="Century Gothic" w:hAnsi="Verdana" w:cs="Century Gothic"/>
        </w:rPr>
        <w:t>.</w:t>
      </w:r>
    </w:p>
    <w:p w14:paraId="1D9F7881" w14:textId="77777777" w:rsidR="002E512B" w:rsidRPr="00A710CE" w:rsidRDefault="002E512B" w:rsidP="002E512B">
      <w:pPr>
        <w:pStyle w:val="Prrafodelista"/>
        <w:spacing w:after="0" w:line="276" w:lineRule="auto"/>
        <w:ind w:left="1080"/>
        <w:jc w:val="both"/>
        <w:rPr>
          <w:rFonts w:ascii="Verdana" w:eastAsia="Century Gothic" w:hAnsi="Verdana" w:cs="Century Gothic"/>
          <w:color w:val="000000"/>
        </w:rPr>
      </w:pPr>
    </w:p>
    <w:p w14:paraId="09DEAF54" w14:textId="77777777" w:rsidR="002E512B" w:rsidRPr="001827D1" w:rsidRDefault="002E512B" w:rsidP="002E512B">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lastRenderedPageBreak/>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E512B" w:rsidRPr="001827D1" w14:paraId="36BB063D" w14:textId="77777777" w:rsidTr="007900C2">
        <w:trPr>
          <w:trHeight w:val="632"/>
        </w:trPr>
        <w:tc>
          <w:tcPr>
            <w:tcW w:w="8828" w:type="dxa"/>
            <w:shd w:val="clear" w:color="auto" w:fill="auto"/>
          </w:tcPr>
          <w:p w14:paraId="01C6A6F2" w14:textId="77777777" w:rsidR="00E420BF" w:rsidRDefault="00E420BF" w:rsidP="00E420BF">
            <w:pPr>
              <w:spacing w:after="120" w:line="276" w:lineRule="auto"/>
              <w:jc w:val="both"/>
              <w:rPr>
                <w:rFonts w:ascii="Verdana" w:eastAsia="Calibri" w:hAnsi="Verdana" w:cs="Arial"/>
              </w:rPr>
            </w:pPr>
            <w:r>
              <w:rPr>
                <w:rFonts w:ascii="Verdana" w:eastAsia="Calibri" w:hAnsi="Verdana" w:cs="Arial"/>
              </w:rPr>
              <w:t>i) L</w:t>
            </w:r>
            <w:r w:rsidRPr="00E460B7">
              <w:rPr>
                <w:rFonts w:ascii="Verdana" w:eastAsia="Calibri" w:hAnsi="Verdana" w:cs="Arial"/>
              </w:rPr>
              <w:t xml:space="preserve">a </w:t>
            </w:r>
            <w:r>
              <w:rPr>
                <w:rFonts w:ascii="Verdana" w:eastAsia="Calibri" w:hAnsi="Verdana" w:cs="Arial"/>
              </w:rPr>
              <w:t>“</w:t>
            </w:r>
            <w:r w:rsidRPr="00E460B7">
              <w:rPr>
                <w:rFonts w:ascii="Verdana" w:eastAsia="Calibri" w:hAnsi="Verdana" w:cs="Arial"/>
              </w:rPr>
              <w:t>Guía para Determinar y Verificar la Capacidad Residual del Proponente en los Procesos de Contratación de Obra Pública</w:t>
            </w:r>
            <w:r>
              <w:rPr>
                <w:rFonts w:ascii="Verdana" w:eastAsia="Calibri" w:hAnsi="Verdana" w:cs="Arial"/>
              </w:rPr>
              <w:t>”</w:t>
            </w:r>
            <w:r w:rsidRPr="00E460B7">
              <w:rPr>
                <w:rFonts w:ascii="Verdana" w:eastAsia="Calibri" w:hAnsi="Verdana" w:cs="Arial"/>
              </w:rPr>
              <w:t>, indica que, la Capacidad Técnica (CT) se asigna teniendo en cuenta el número de socios y profesionales de la arquitectura, ingeniería y geología vinculados mediante una relación laboral o contractual conforme a la cual desarrollen actividades relacionadas directamente a la construcción.</w:t>
            </w:r>
          </w:p>
          <w:p w14:paraId="3CFF4B3C" w14:textId="77777777" w:rsidR="00E420BF" w:rsidRPr="00BC5C37" w:rsidRDefault="00E420BF" w:rsidP="00E420BF">
            <w:pPr>
              <w:spacing w:after="120" w:line="276" w:lineRule="auto"/>
              <w:ind w:firstLine="708"/>
              <w:jc w:val="both"/>
              <w:rPr>
                <w:rFonts w:ascii="Verdana" w:eastAsia="Calibri" w:hAnsi="Verdana"/>
              </w:rPr>
            </w:pPr>
            <w:r w:rsidRPr="009920FD">
              <w:rPr>
                <w:rFonts w:ascii="Verdana" w:hAnsi="Verdana"/>
                <w:lang w:val="es-ES"/>
              </w:rPr>
              <w:t xml:space="preserve">Asimismo, establece que para acreditar la Capacidad Técnica (CT) es el proponente quien debe diligenciar el formato establecido en los pliegos de condiciones. </w:t>
            </w:r>
            <w:r>
              <w:rPr>
                <w:rFonts w:ascii="Verdana" w:hAnsi="Verdana"/>
                <w:lang w:val="es-ES"/>
              </w:rPr>
              <w:t xml:space="preserve">Al respecto debe tenerse en cuenta, </w:t>
            </w:r>
            <w:r>
              <w:rPr>
                <w:rFonts w:ascii="Verdana" w:eastAsia="Calibri" w:hAnsi="Verdana" w:cs="Arial"/>
              </w:rPr>
              <w:t xml:space="preserve">que </w:t>
            </w:r>
            <w:r w:rsidRPr="00BC5C37">
              <w:rPr>
                <w:rFonts w:ascii="Verdana" w:eastAsia="Calibri" w:hAnsi="Verdana"/>
              </w:rPr>
              <w:t xml:space="preserve">la entidad estatal, como directora de los Procesos de Contratación que adelanta, debe señalar en el pliego de condiciones–o en la invitación– cuál es la información que se debe acreditar para el cálculo de la capacidad residual, así como los documentos que tendrá como válidos para tal fin. En consecuencia, el proponente deberá ceñirse a lo dispuesto por la entidad y allegar toda información ordenada, en los términos y la forma en que hayan sido señalados, con el fin de que la entidad pueda calcular la capacidad residual del proponente y verificar si cumple o no con la requerida en el proceso de contratación que adelanta. </w:t>
            </w:r>
          </w:p>
          <w:p w14:paraId="28F614EB" w14:textId="77777777" w:rsidR="00E420BF" w:rsidRDefault="00E420BF" w:rsidP="00E420BF">
            <w:pPr>
              <w:spacing w:after="120" w:line="276" w:lineRule="auto"/>
              <w:ind w:firstLine="709"/>
              <w:jc w:val="both"/>
              <w:rPr>
                <w:rFonts w:ascii="Verdana" w:hAnsi="Verdana"/>
                <w:lang w:val="es-ES"/>
              </w:rPr>
            </w:pPr>
            <w:r w:rsidRPr="009920FD">
              <w:rPr>
                <w:rFonts w:ascii="Verdana" w:hAnsi="Verdana"/>
                <w:lang w:val="es-ES"/>
              </w:rPr>
              <w:t>En todo caso</w:t>
            </w:r>
            <w:r>
              <w:rPr>
                <w:rFonts w:ascii="Verdana" w:hAnsi="Verdana"/>
                <w:lang w:val="es-ES"/>
              </w:rPr>
              <w:t>,</w:t>
            </w:r>
            <w:r w:rsidRPr="009920FD">
              <w:rPr>
                <w:rFonts w:ascii="Verdana" w:hAnsi="Verdana"/>
                <w:lang w:val="es-ES"/>
              </w:rPr>
              <w:t xml:space="preserve"> </w:t>
            </w:r>
            <w:r>
              <w:rPr>
                <w:rFonts w:ascii="Verdana" w:hAnsi="Verdana"/>
                <w:lang w:val="es-ES"/>
              </w:rPr>
              <w:t xml:space="preserve">la mencionada Guía </w:t>
            </w:r>
            <w:r w:rsidRPr="009920FD">
              <w:rPr>
                <w:rFonts w:ascii="Verdana" w:hAnsi="Verdana"/>
                <w:lang w:val="es-ES"/>
              </w:rPr>
              <w:t xml:space="preserve">sugiere </w:t>
            </w:r>
            <w:r>
              <w:rPr>
                <w:rFonts w:ascii="Verdana" w:hAnsi="Verdana"/>
                <w:lang w:val="es-ES"/>
              </w:rPr>
              <w:t>el uso</w:t>
            </w:r>
            <w:r w:rsidRPr="009920FD">
              <w:rPr>
                <w:rFonts w:ascii="Verdana" w:hAnsi="Verdana"/>
                <w:lang w:val="es-ES"/>
              </w:rPr>
              <w:t xml:space="preserve"> </w:t>
            </w:r>
            <w:r>
              <w:rPr>
                <w:rFonts w:ascii="Verdana" w:hAnsi="Verdana"/>
                <w:lang w:val="es-ES"/>
              </w:rPr>
              <w:t>d</w:t>
            </w:r>
            <w:r w:rsidRPr="009920FD">
              <w:rPr>
                <w:rFonts w:ascii="Verdana" w:hAnsi="Verdana"/>
                <w:lang w:val="es-ES"/>
              </w:rPr>
              <w:t xml:space="preserve">el “Anexo 2 – Certificación de la Capacidad Técnica”. Este formato señala que, el representante legal del proponente y el auditor o revisor fiscal deben diligenciar el “Nombre del socio y/o profesional de la arquitectura, ingeniería o geología”, la “Profesión”, el “No. de matrícula profesional”, el “Número y año del Contrato laboral o de prestación de servicios profesionales” y la “Vigencia del Contrato”, aclarando que para el caso de los proponentes plurales este anexo deberá ser diligenciado de forma independiente por cada integrante. </w:t>
            </w:r>
          </w:p>
          <w:p w14:paraId="038D36DE" w14:textId="77777777" w:rsidR="00E420BF" w:rsidRDefault="00E420BF" w:rsidP="00E420BF">
            <w:pPr>
              <w:spacing w:after="120" w:line="276" w:lineRule="auto"/>
              <w:ind w:firstLine="709"/>
              <w:jc w:val="both"/>
              <w:rPr>
                <w:rFonts w:ascii="Verdana" w:eastAsia="Calibri" w:hAnsi="Verdana" w:cs="Arial"/>
              </w:rPr>
            </w:pPr>
            <w:r>
              <w:rPr>
                <w:rFonts w:ascii="Verdana" w:hAnsi="Verdana"/>
                <w:lang w:val="es-ES"/>
              </w:rPr>
              <w:t>Así las cosas, respecto al primer problema jurídico, debe señalarse que n</w:t>
            </w:r>
            <w:r w:rsidRPr="00FA4CC1">
              <w:rPr>
                <w:rFonts w:ascii="Verdana" w:eastAsia="Calibri" w:hAnsi="Verdana" w:cs="Arial"/>
              </w:rPr>
              <w:t>i la</w:t>
            </w:r>
            <w:r>
              <w:rPr>
                <w:rFonts w:ascii="Verdana" w:eastAsia="Calibri" w:hAnsi="Verdana" w:cs="Arial"/>
              </w:rPr>
              <w:t>s</w:t>
            </w:r>
            <w:r w:rsidRPr="00FA4CC1">
              <w:rPr>
                <w:rFonts w:ascii="Verdana" w:eastAsia="Calibri" w:hAnsi="Verdana" w:cs="Arial"/>
              </w:rPr>
              <w:t xml:space="preserve"> referenciada</w:t>
            </w:r>
            <w:r>
              <w:rPr>
                <w:rFonts w:ascii="Verdana" w:eastAsia="Calibri" w:hAnsi="Verdana" w:cs="Arial"/>
              </w:rPr>
              <w:t>s</w:t>
            </w:r>
            <w:r w:rsidRPr="00FA4CC1">
              <w:rPr>
                <w:rFonts w:ascii="Verdana" w:eastAsia="Calibri" w:hAnsi="Verdana" w:cs="Arial"/>
              </w:rPr>
              <w:t xml:space="preserve"> norma</w:t>
            </w:r>
            <w:r>
              <w:rPr>
                <w:rFonts w:ascii="Verdana" w:eastAsia="Calibri" w:hAnsi="Verdana" w:cs="Arial"/>
              </w:rPr>
              <w:t>s</w:t>
            </w:r>
            <w:r w:rsidRPr="00FA4CC1">
              <w:rPr>
                <w:rFonts w:ascii="Verdana" w:eastAsia="Calibri" w:hAnsi="Verdana" w:cs="Arial"/>
              </w:rPr>
              <w:t xml:space="preserve">, ni la </w:t>
            </w:r>
            <w:r>
              <w:t xml:space="preserve"> “</w:t>
            </w:r>
            <w:r w:rsidRPr="00FA4CC1">
              <w:rPr>
                <w:rFonts w:ascii="Verdana" w:eastAsia="Calibri" w:hAnsi="Verdana" w:cs="Arial"/>
              </w:rPr>
              <w:t>Guía para determinar y verificar la Capacidad Residual del proponente en los Procesos de Contratación de obra pública”,  expedida por esta Agencia, exigen o sugieren el acompañamiento de las planillas de pago de seguridad social como un anexo para la acreditación de este requisito, por lo que su solicitud y cumplimiento es una discreción de la entidad contratante como directora de los Procesos de Contratación que adelanta</w:t>
            </w:r>
            <w:r>
              <w:rPr>
                <w:rFonts w:ascii="Verdana" w:eastAsia="Calibri" w:hAnsi="Verdana" w:cs="Arial"/>
              </w:rPr>
              <w:t xml:space="preserve">. </w:t>
            </w:r>
          </w:p>
          <w:p w14:paraId="5B7E9EAA" w14:textId="77777777" w:rsidR="00E420BF" w:rsidRDefault="00E420BF" w:rsidP="00E420BF">
            <w:pPr>
              <w:spacing w:line="276" w:lineRule="auto"/>
              <w:ind w:firstLine="709"/>
              <w:jc w:val="both"/>
              <w:rPr>
                <w:rFonts w:ascii="Verdana" w:eastAsia="Calibri" w:hAnsi="Verdana" w:cs="Arial"/>
              </w:rPr>
            </w:pPr>
            <w:r>
              <w:rPr>
                <w:rFonts w:ascii="Verdana" w:eastAsia="Calibri" w:hAnsi="Verdana" w:cs="Arial"/>
              </w:rPr>
              <w:t>La exigencia de dichas planillas</w:t>
            </w:r>
            <w:r w:rsidRPr="00FA4CC1">
              <w:rPr>
                <w:rFonts w:ascii="Verdana" w:eastAsia="Calibri" w:hAnsi="Verdana" w:cs="Arial"/>
              </w:rPr>
              <w:t xml:space="preserve"> debe señalar</w:t>
            </w:r>
            <w:r>
              <w:rPr>
                <w:rFonts w:ascii="Verdana" w:eastAsia="Calibri" w:hAnsi="Verdana" w:cs="Arial"/>
              </w:rPr>
              <w:t>se</w:t>
            </w:r>
            <w:r w:rsidRPr="00FA4CC1">
              <w:rPr>
                <w:rFonts w:ascii="Verdana" w:eastAsia="Calibri" w:hAnsi="Verdana" w:cs="Arial"/>
              </w:rPr>
              <w:t xml:space="preserve"> en el pliego de condiciones–o en la invitación–</w:t>
            </w:r>
            <w:r>
              <w:rPr>
                <w:rFonts w:ascii="Verdana" w:eastAsia="Calibri" w:hAnsi="Verdana" w:cs="Arial"/>
              </w:rPr>
              <w:t xml:space="preserve">, así como </w:t>
            </w:r>
            <w:r w:rsidRPr="00FA4CC1">
              <w:rPr>
                <w:rFonts w:ascii="Verdana" w:eastAsia="Calibri" w:hAnsi="Verdana" w:cs="Arial"/>
              </w:rPr>
              <w:t xml:space="preserve">es la información que se debe </w:t>
            </w:r>
            <w:r w:rsidRPr="00FA4CC1">
              <w:rPr>
                <w:rFonts w:ascii="Verdana" w:eastAsia="Calibri" w:hAnsi="Verdana" w:cs="Arial"/>
              </w:rPr>
              <w:lastRenderedPageBreak/>
              <w:t>acreditar para el cálculo de la Capacidad Residual</w:t>
            </w:r>
            <w:r>
              <w:rPr>
                <w:rFonts w:ascii="Verdana" w:eastAsia="Calibri" w:hAnsi="Verdana" w:cs="Arial"/>
              </w:rPr>
              <w:t xml:space="preserve"> y</w:t>
            </w:r>
            <w:r w:rsidRPr="00FA4CC1">
              <w:rPr>
                <w:rFonts w:ascii="Verdana" w:eastAsia="Calibri" w:hAnsi="Verdana" w:cs="Arial"/>
              </w:rPr>
              <w:t xml:space="preserve"> los documentos que </w:t>
            </w:r>
            <w:r>
              <w:rPr>
                <w:rFonts w:ascii="Verdana" w:eastAsia="Calibri" w:hAnsi="Verdana" w:cs="Arial"/>
              </w:rPr>
              <w:t xml:space="preserve">se </w:t>
            </w:r>
            <w:r w:rsidRPr="00FA4CC1">
              <w:rPr>
                <w:rFonts w:ascii="Verdana" w:eastAsia="Calibri" w:hAnsi="Verdana" w:cs="Arial"/>
              </w:rPr>
              <w:t>tendrá</w:t>
            </w:r>
            <w:r>
              <w:rPr>
                <w:rFonts w:ascii="Verdana" w:eastAsia="Calibri" w:hAnsi="Verdana" w:cs="Arial"/>
              </w:rPr>
              <w:t>n</w:t>
            </w:r>
            <w:r w:rsidRPr="00FA4CC1">
              <w:rPr>
                <w:rFonts w:ascii="Verdana" w:eastAsia="Calibri" w:hAnsi="Verdana" w:cs="Arial"/>
              </w:rPr>
              <w:t xml:space="preserve"> como válidos para tal fin. En consecuencia, el proponente deberá ceñirse a lo dispuesto por la Entidad y allegar toda información ordenada, en los términos y la forma en que hayan sido señalados, con el fin de que la Entidad pueda calcular la Capacidad Residual del proponente y verificar si cumple o no con la requerida en el Proceso de Contratación que adelanta.</w:t>
            </w:r>
          </w:p>
          <w:p w14:paraId="175DBA74" w14:textId="77777777" w:rsidR="00E420BF" w:rsidRDefault="00E420BF" w:rsidP="007900C2">
            <w:pPr>
              <w:spacing w:line="276" w:lineRule="auto"/>
              <w:jc w:val="both"/>
              <w:rPr>
                <w:rFonts w:ascii="Verdana" w:eastAsia="Calibri" w:hAnsi="Verdana" w:cs="Arial"/>
                <w:lang w:val="es-ES"/>
              </w:rPr>
            </w:pPr>
          </w:p>
          <w:p w14:paraId="353A0950" w14:textId="77777777" w:rsidR="002E512B" w:rsidRDefault="00E420BF" w:rsidP="00E420BF">
            <w:pPr>
              <w:spacing w:line="276" w:lineRule="auto"/>
              <w:jc w:val="both"/>
              <w:rPr>
                <w:rFonts w:ascii="Verdana" w:eastAsia="Calibri" w:hAnsi="Verdana" w:cs="Arial"/>
              </w:rPr>
            </w:pPr>
            <w:proofErr w:type="spellStart"/>
            <w:r>
              <w:rPr>
                <w:rFonts w:ascii="Verdana" w:eastAsia="Calibri" w:hAnsi="Verdana" w:cs="Arial"/>
              </w:rPr>
              <w:t>ii</w:t>
            </w:r>
            <w:proofErr w:type="spellEnd"/>
            <w:r>
              <w:rPr>
                <w:rFonts w:ascii="Verdana" w:eastAsia="Calibri" w:hAnsi="Verdana" w:cs="Arial"/>
              </w:rPr>
              <w:t xml:space="preserve">) </w:t>
            </w:r>
            <w:r w:rsidR="002E512B" w:rsidRPr="00956BB2">
              <w:rPr>
                <w:rFonts w:ascii="Verdana" w:eastAsia="Calibri" w:hAnsi="Verdana" w:cs="Arial"/>
              </w:rPr>
              <w:t xml:space="preserve">De conformidad con el numeral 9.4  de la </w:t>
            </w:r>
            <w:r>
              <w:rPr>
                <w:rFonts w:ascii="Verdana" w:eastAsia="Calibri" w:hAnsi="Verdana" w:cs="Arial"/>
              </w:rPr>
              <w:t>“</w:t>
            </w:r>
            <w:r w:rsidR="002E512B" w:rsidRPr="00956BB2">
              <w:rPr>
                <w:rFonts w:ascii="Verdana" w:eastAsia="Calibri" w:hAnsi="Verdana" w:cs="Arial"/>
              </w:rPr>
              <w:t>Guía para Determinar y Verificar la Capacidad Residual del Proponente en los Procesos de Contratación de Obra Pública</w:t>
            </w:r>
            <w:r>
              <w:rPr>
                <w:rFonts w:ascii="Verdana" w:eastAsia="Calibri" w:hAnsi="Verdana" w:cs="Arial"/>
              </w:rPr>
              <w:t>”</w:t>
            </w:r>
            <w:r w:rsidR="002E512B" w:rsidRPr="00956BB2">
              <w:rPr>
                <w:rFonts w:ascii="Verdana" w:eastAsia="Calibri" w:hAnsi="Verdana" w:cs="Arial"/>
              </w:rPr>
              <w:t xml:space="preserve"> y su </w:t>
            </w:r>
            <w:r>
              <w:rPr>
                <w:rFonts w:ascii="Verdana" w:eastAsia="Calibri" w:hAnsi="Verdana" w:cs="Arial"/>
              </w:rPr>
              <w:t>“</w:t>
            </w:r>
            <w:r w:rsidR="002E512B" w:rsidRPr="00956BB2">
              <w:rPr>
                <w:rFonts w:ascii="Verdana" w:eastAsia="Calibri" w:hAnsi="Verdana" w:cs="Arial"/>
              </w:rPr>
              <w:t>Anexo 2</w:t>
            </w:r>
            <w:r>
              <w:rPr>
                <w:rFonts w:ascii="Verdana" w:eastAsia="Calibri" w:hAnsi="Verdana" w:cs="Arial"/>
              </w:rPr>
              <w:t>”</w:t>
            </w:r>
            <w:r w:rsidR="002E512B" w:rsidRPr="00E420BF">
              <w:rPr>
                <w:rFonts w:ascii="Verdana" w:eastAsia="Calibri" w:hAnsi="Verdana" w:cs="Arial"/>
              </w:rPr>
              <w:t>,</w:t>
            </w:r>
            <w:r w:rsidR="002E512B" w:rsidRPr="00956BB2">
              <w:rPr>
                <w:rFonts w:ascii="Verdana" w:eastAsia="Calibri" w:hAnsi="Verdana" w:cs="Arial"/>
              </w:rPr>
              <w:t xml:space="preserve"> los socios y profesionales de la arquitectura, ingeniería y geología, deben estar vinculados mediante una relación laboral o contractual, por lo cual para el cálculo de la Capacidad Técnica se deben tener en cuenta los profesionales antes mencionados que estén vinculados ya sea mediante contrato laboral o por un contrato de prestación de servicios, siempre que desarrollen actividades relacionadas con la construcción y</w:t>
            </w:r>
            <w:r w:rsidR="00F56778" w:rsidRPr="00E420BF">
              <w:rPr>
                <w:rFonts w:ascii="Verdana" w:eastAsia="Calibri" w:hAnsi="Verdana" w:cs="Arial"/>
              </w:rPr>
              <w:t>,</w:t>
            </w:r>
            <w:r w:rsidR="002E512B" w:rsidRPr="00956BB2">
              <w:rPr>
                <w:rFonts w:ascii="Verdana" w:eastAsia="Calibri" w:hAnsi="Verdana" w:cs="Arial"/>
              </w:rPr>
              <w:t xml:space="preserve"> en caso que el número de profesionales sea mayor a – menos o igual a 0, el puntaje corresponderá a 0.</w:t>
            </w:r>
          </w:p>
          <w:p w14:paraId="4A298AB4" w14:textId="6D41A3FF" w:rsidR="00020FF5" w:rsidRPr="007C4573" w:rsidRDefault="00020FF5" w:rsidP="00E420BF">
            <w:pPr>
              <w:spacing w:line="276" w:lineRule="auto"/>
              <w:jc w:val="both"/>
              <w:rPr>
                <w:rFonts w:ascii="Verdana" w:eastAsia="Aptos" w:hAnsi="Verdana" w:cs="Arial"/>
                <w:kern w:val="2"/>
                <w14:ligatures w14:val="standardContextual"/>
              </w:rPr>
            </w:pPr>
          </w:p>
        </w:tc>
      </w:tr>
    </w:tbl>
    <w:p w14:paraId="3FEB2CC0" w14:textId="77777777" w:rsidR="002E512B" w:rsidRPr="001827D1" w:rsidRDefault="002E512B" w:rsidP="00637331">
      <w:pPr>
        <w:tabs>
          <w:tab w:val="left" w:pos="142"/>
          <w:tab w:val="left" w:pos="284"/>
        </w:tabs>
        <w:spacing w:after="0" w:line="276" w:lineRule="auto"/>
        <w:jc w:val="both"/>
        <w:rPr>
          <w:rFonts w:ascii="Verdana" w:eastAsia="Century Gothic" w:hAnsi="Verdana" w:cs="Century Gothic"/>
          <w:b/>
          <w:bCs/>
          <w:color w:val="000000"/>
          <w:lang w:val="es-ES"/>
        </w:rPr>
      </w:pPr>
    </w:p>
    <w:p w14:paraId="3C208C61" w14:textId="77777777" w:rsidR="002E512B" w:rsidRPr="001827D1" w:rsidRDefault="002E512B" w:rsidP="00637331">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t>Razones de la respuesta:</w:t>
      </w:r>
    </w:p>
    <w:p w14:paraId="47B63BC8" w14:textId="77777777" w:rsidR="002E512B" w:rsidRPr="001827D1" w:rsidRDefault="002E512B" w:rsidP="00637331">
      <w:pPr>
        <w:spacing w:after="0" w:line="276" w:lineRule="auto"/>
        <w:jc w:val="both"/>
        <w:rPr>
          <w:rFonts w:ascii="Verdana" w:eastAsia="Calibri" w:hAnsi="Verdana" w:cs="Arial"/>
          <w:color w:val="000000"/>
          <w:lang w:val="es-ES"/>
        </w:rPr>
      </w:pPr>
    </w:p>
    <w:p w14:paraId="352039A1" w14:textId="77777777" w:rsidR="002E512B" w:rsidRDefault="002E512B" w:rsidP="00637331">
      <w:pPr>
        <w:spacing w:after="0" w:line="276" w:lineRule="auto"/>
        <w:jc w:val="both"/>
        <w:rPr>
          <w:rFonts w:ascii="Verdana" w:eastAsia="Calibri" w:hAnsi="Verdana" w:cs="Arial"/>
          <w:color w:val="000000"/>
          <w:lang w:val="es-ES"/>
        </w:rPr>
      </w:pPr>
      <w:r w:rsidRPr="001827D1">
        <w:rPr>
          <w:rFonts w:ascii="Verdana" w:eastAsia="Calibri" w:hAnsi="Verdana" w:cs="Arial"/>
          <w:color w:val="000000"/>
          <w:lang w:val="es-ES"/>
        </w:rPr>
        <w:t xml:space="preserve">Lo anterior se sustenta en las siguientes consideraciones: </w:t>
      </w:r>
      <w:bookmarkStart w:id="2" w:name="_Hlk173311098"/>
      <w:bookmarkStart w:id="3" w:name="_Hlk182495957"/>
    </w:p>
    <w:p w14:paraId="304FA464" w14:textId="77777777" w:rsidR="002E512B" w:rsidRPr="00DC71F5" w:rsidRDefault="002E512B" w:rsidP="00BC5C37">
      <w:pPr>
        <w:spacing w:after="0" w:line="276" w:lineRule="auto"/>
        <w:jc w:val="both"/>
        <w:rPr>
          <w:rFonts w:ascii="Verdana" w:eastAsia="Calibri" w:hAnsi="Verdana" w:cs="Arial"/>
          <w:color w:val="000000"/>
          <w:lang w:val="es-ES"/>
        </w:rPr>
      </w:pPr>
    </w:p>
    <w:bookmarkEnd w:id="2"/>
    <w:bookmarkEnd w:id="3"/>
    <w:p w14:paraId="5BE0C77C" w14:textId="6C41BC0D" w:rsidR="00F777E8" w:rsidRPr="00BC5C37" w:rsidRDefault="00620A5F" w:rsidP="00A6490D">
      <w:pPr>
        <w:widowControl w:val="0"/>
        <w:autoSpaceDE w:val="0"/>
        <w:autoSpaceDN w:val="0"/>
        <w:spacing w:after="120" w:line="276" w:lineRule="auto"/>
        <w:jc w:val="both"/>
        <w:rPr>
          <w:rFonts w:ascii="Verdana" w:eastAsia="Arial" w:hAnsi="Verdana" w:cs="Arial"/>
          <w:lang w:eastAsia="es-ES" w:bidi="es-ES"/>
        </w:rPr>
      </w:pPr>
      <w:r>
        <w:rPr>
          <w:rFonts w:ascii="Verdana" w:eastAsia="Arial" w:hAnsi="Verdana" w:cs="Arial"/>
          <w:lang w:eastAsia="es-ES" w:bidi="es-ES"/>
        </w:rPr>
        <w:t xml:space="preserve">i) </w:t>
      </w:r>
      <w:r w:rsidR="002E512B" w:rsidRPr="00E460B7">
        <w:rPr>
          <w:rFonts w:ascii="Verdana" w:eastAsia="Arial" w:hAnsi="Verdana" w:cs="Arial"/>
          <w:lang w:eastAsia="es-ES" w:bidi="es-ES"/>
        </w:rPr>
        <w:t>La capacidad residual es una aptitud que se exige a los oferentes con el objetivo de establecer o determinar si estos pueden o no cumplir de manera oportuna y a cabalidad con las obligaciones derivadas del contrato de obra pública, sin que los demás compromisos contractuales que hubieran adquirido les afecte la habilidad de cumplir con el objeto del contrato que está en proceso de selección</w:t>
      </w:r>
      <w:r w:rsidR="002E512B" w:rsidRPr="00DC71F5">
        <w:rPr>
          <w:vertAlign w:val="superscript"/>
          <w:lang w:eastAsia="es-ES" w:bidi="es-ES"/>
        </w:rPr>
        <w:footnoteReference w:id="2"/>
      </w:r>
      <w:r w:rsidR="002E512B" w:rsidRPr="00E460B7">
        <w:rPr>
          <w:rFonts w:ascii="Verdana" w:eastAsia="Arial" w:hAnsi="Verdana" w:cs="Arial"/>
          <w:lang w:eastAsia="es-ES" w:bidi="es-ES"/>
        </w:rPr>
        <w:t>.</w:t>
      </w:r>
    </w:p>
    <w:p w14:paraId="08776B86" w14:textId="529D19E1" w:rsidR="00F777E8" w:rsidRPr="00BC5C37" w:rsidRDefault="00F777E8" w:rsidP="00A6490D">
      <w:pPr>
        <w:widowControl w:val="0"/>
        <w:autoSpaceDE w:val="0"/>
        <w:autoSpaceDN w:val="0"/>
        <w:spacing w:after="120" w:line="276" w:lineRule="auto"/>
        <w:jc w:val="both"/>
        <w:rPr>
          <w:rFonts w:ascii="Verdana" w:eastAsia="Arial" w:hAnsi="Verdana" w:cs="Arial"/>
          <w:lang w:eastAsia="es-ES" w:bidi="es-ES"/>
        </w:rPr>
      </w:pPr>
      <w:r>
        <w:rPr>
          <w:rFonts w:ascii="Verdana" w:eastAsia="Arial" w:hAnsi="Verdana" w:cs="Arial"/>
          <w:lang w:eastAsia="es-ES" w:bidi="es-ES"/>
        </w:rPr>
        <w:tab/>
      </w:r>
      <w:r w:rsidR="002E512B" w:rsidRPr="00E460B7">
        <w:rPr>
          <w:rFonts w:ascii="Verdana" w:eastAsia="Arial" w:hAnsi="Verdana" w:cs="Arial"/>
          <w:lang w:eastAsia="es-ES" w:bidi="es-ES"/>
        </w:rPr>
        <w:t xml:space="preserve">Teniendo en cuenta lo anterior, la Agencia Nacional de Contratación </w:t>
      </w:r>
      <w:r w:rsidR="002E512B" w:rsidRPr="00E460B7">
        <w:rPr>
          <w:rFonts w:ascii="Verdana" w:eastAsia="Arial" w:hAnsi="Verdana" w:cs="Arial"/>
          <w:lang w:eastAsia="es-ES" w:bidi="es-ES"/>
        </w:rPr>
        <w:lastRenderedPageBreak/>
        <w:t>Pública</w:t>
      </w:r>
      <w:r w:rsidR="00D73CF8">
        <w:rPr>
          <w:rFonts w:ascii="Verdana" w:eastAsia="Arial" w:hAnsi="Verdana" w:cs="Arial"/>
          <w:lang w:eastAsia="es-ES" w:bidi="es-ES"/>
        </w:rPr>
        <w:t xml:space="preserve"> – Colombia Compra Eficiente</w:t>
      </w:r>
      <w:r w:rsidR="002E512B" w:rsidRPr="00BC5C37">
        <w:rPr>
          <w:rFonts w:ascii="Verdana" w:eastAsia="Arial" w:hAnsi="Verdana" w:cs="Arial"/>
          <w:lang w:eastAsia="es-ES" w:bidi="es-ES"/>
        </w:rPr>
        <w:t xml:space="preserve"> </w:t>
      </w:r>
      <w:r w:rsidR="002E512B" w:rsidRPr="00E460B7">
        <w:rPr>
          <w:rFonts w:ascii="Verdana" w:eastAsia="Arial" w:hAnsi="Verdana" w:cs="Arial"/>
          <w:lang w:eastAsia="es-ES" w:bidi="es-ES"/>
        </w:rPr>
        <w:t>considera que la capacidad residual hace referencia a la suficiencia que se predica del proponente para asumir nuevas obligaciones que se derivan del contrato objeto del procedimiento de contratación, en relación con las obligaciones que ya ha adquirido simultáneamente</w:t>
      </w:r>
      <w:r w:rsidR="00E611D1" w:rsidRPr="00BC5C37">
        <w:rPr>
          <w:rFonts w:ascii="Verdana" w:eastAsia="Arial" w:hAnsi="Verdana" w:cs="Arial"/>
          <w:lang w:eastAsia="es-ES" w:bidi="es-ES"/>
        </w:rPr>
        <w:t xml:space="preserve"> frente a otros contratos</w:t>
      </w:r>
      <w:r w:rsidR="002E512B" w:rsidRPr="00E460B7">
        <w:rPr>
          <w:rFonts w:ascii="Verdana" w:eastAsia="Arial" w:hAnsi="Verdana" w:cs="Arial"/>
          <w:lang w:eastAsia="es-ES" w:bidi="es-ES"/>
        </w:rPr>
        <w:t>.</w:t>
      </w:r>
      <w:r>
        <w:rPr>
          <w:rFonts w:ascii="Verdana" w:eastAsia="Arial" w:hAnsi="Verdana" w:cs="Arial"/>
          <w:lang w:eastAsia="es-ES" w:bidi="es-ES"/>
        </w:rPr>
        <w:tab/>
      </w:r>
    </w:p>
    <w:p w14:paraId="3EEF3752" w14:textId="0656DC4F" w:rsidR="002E512B" w:rsidRPr="00E460B7" w:rsidRDefault="00F777E8" w:rsidP="00A6490D">
      <w:pPr>
        <w:widowControl w:val="0"/>
        <w:autoSpaceDE w:val="0"/>
        <w:autoSpaceDN w:val="0"/>
        <w:spacing w:after="0" w:line="276" w:lineRule="auto"/>
        <w:jc w:val="both"/>
        <w:rPr>
          <w:rFonts w:ascii="Verdana" w:eastAsia="Arial" w:hAnsi="Verdana" w:cs="Arial"/>
          <w:lang w:eastAsia="es-ES" w:bidi="es-ES"/>
        </w:rPr>
      </w:pPr>
      <w:r>
        <w:rPr>
          <w:rFonts w:ascii="Verdana" w:eastAsia="Arial" w:hAnsi="Verdana" w:cs="Arial"/>
          <w:lang w:eastAsia="es-ES" w:bidi="es-ES"/>
        </w:rPr>
        <w:tab/>
        <w:t>Por su parte, l</w:t>
      </w:r>
      <w:r w:rsidR="002E512B" w:rsidRPr="00BC5C37">
        <w:rPr>
          <w:rFonts w:ascii="Verdana" w:eastAsia="Arial" w:hAnsi="Verdana" w:cs="Arial"/>
          <w:lang w:eastAsia="es-ES" w:bidi="es-ES"/>
        </w:rPr>
        <w:t>a</w:t>
      </w:r>
      <w:r w:rsidR="002E512B" w:rsidRPr="00E460B7">
        <w:rPr>
          <w:rFonts w:ascii="Verdana" w:eastAsia="Arial" w:hAnsi="Verdana" w:cs="Arial"/>
          <w:lang w:eastAsia="es-ES" w:bidi="es-ES"/>
        </w:rPr>
        <w:t xml:space="preserve"> Ley 1150 de 2007 establece que la capacidad residual de los interesados en participar en procesos de selección para contratos de obra deberá ser igual o superior al que la entidad ha establecido en los pliegos de condiciones, en los siguientes términos:</w:t>
      </w:r>
    </w:p>
    <w:p w14:paraId="7A2A2119" w14:textId="77777777" w:rsidR="002E512B" w:rsidRPr="00BC5C37" w:rsidRDefault="002E512B" w:rsidP="00BC5C37">
      <w:pPr>
        <w:pStyle w:val="Prrafodelista"/>
        <w:widowControl w:val="0"/>
        <w:autoSpaceDE w:val="0"/>
        <w:autoSpaceDN w:val="0"/>
        <w:spacing w:after="0" w:line="276" w:lineRule="auto"/>
        <w:ind w:right="51"/>
        <w:rPr>
          <w:rFonts w:ascii="Verdana" w:eastAsia="Arial" w:hAnsi="Verdana" w:cs="Arial"/>
          <w:lang w:val="es-CO" w:eastAsia="es-ES" w:bidi="es-ES"/>
        </w:rPr>
      </w:pPr>
    </w:p>
    <w:p w14:paraId="3D44B3E5" w14:textId="77777777" w:rsidR="002E512B" w:rsidRPr="00814C99" w:rsidRDefault="002E512B" w:rsidP="00BC5C37">
      <w:pPr>
        <w:pStyle w:val="Prrafodelista"/>
        <w:widowControl w:val="0"/>
        <w:autoSpaceDE w:val="0"/>
        <w:autoSpaceDN w:val="0"/>
        <w:spacing w:after="0" w:line="240" w:lineRule="auto"/>
        <w:ind w:left="709" w:right="709"/>
        <w:contextualSpacing w:val="0"/>
        <w:jc w:val="both"/>
        <w:rPr>
          <w:rFonts w:ascii="Verdana" w:eastAsia="Arial" w:hAnsi="Verdana" w:cs="Arial"/>
          <w:sz w:val="20"/>
          <w:szCs w:val="20"/>
          <w:lang w:eastAsia="es-ES" w:bidi="es-ES"/>
        </w:rPr>
      </w:pPr>
      <w:r w:rsidRPr="00814C99">
        <w:rPr>
          <w:rFonts w:ascii="Verdana" w:eastAsia="Arial" w:hAnsi="Verdana" w:cs="Arial"/>
          <w:sz w:val="20"/>
          <w:szCs w:val="20"/>
          <w:lang w:eastAsia="es-ES" w:bidi="es-ES"/>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w:t>
      </w:r>
      <w:r w:rsidRPr="00814C99">
        <w:rPr>
          <w:rFonts w:ascii="Verdana" w:eastAsia="Arial" w:hAnsi="Verdana" w:cs="Arial"/>
          <w:spacing w:val="-3"/>
          <w:sz w:val="20"/>
          <w:szCs w:val="20"/>
          <w:lang w:eastAsia="es-ES" w:bidi="es-ES"/>
        </w:rPr>
        <w:t xml:space="preserve"> </w:t>
      </w:r>
      <w:r w:rsidRPr="00814C99">
        <w:rPr>
          <w:rFonts w:ascii="Verdana" w:eastAsia="Arial" w:hAnsi="Verdana" w:cs="Arial"/>
          <w:sz w:val="20"/>
          <w:szCs w:val="20"/>
          <w:lang w:eastAsia="es-ES" w:bidi="es-ES"/>
        </w:rPr>
        <w:t>principal.</w:t>
      </w:r>
    </w:p>
    <w:p w14:paraId="389FB564" w14:textId="77777777" w:rsidR="00880F1D" w:rsidRDefault="00880F1D" w:rsidP="00BC5C37">
      <w:pPr>
        <w:pStyle w:val="Prrafodelista"/>
        <w:widowControl w:val="0"/>
        <w:autoSpaceDE w:val="0"/>
        <w:autoSpaceDN w:val="0"/>
        <w:spacing w:after="0" w:line="240" w:lineRule="auto"/>
        <w:ind w:left="709" w:right="709"/>
        <w:contextualSpacing w:val="0"/>
        <w:rPr>
          <w:rFonts w:ascii="Verdana" w:eastAsia="Arial" w:hAnsi="Verdana" w:cs="Arial"/>
          <w:sz w:val="20"/>
          <w:szCs w:val="20"/>
          <w:lang w:eastAsia="es-ES" w:bidi="es-ES"/>
        </w:rPr>
      </w:pPr>
    </w:p>
    <w:p w14:paraId="0FB61CC1" w14:textId="7CDCAB2C" w:rsidR="002E512B" w:rsidRPr="00814C99" w:rsidRDefault="002E512B" w:rsidP="00BC5C37">
      <w:pPr>
        <w:pStyle w:val="Prrafodelista"/>
        <w:widowControl w:val="0"/>
        <w:autoSpaceDE w:val="0"/>
        <w:autoSpaceDN w:val="0"/>
        <w:spacing w:after="0" w:line="240" w:lineRule="auto"/>
        <w:ind w:left="709" w:right="709"/>
        <w:contextualSpacing w:val="0"/>
        <w:rPr>
          <w:rFonts w:ascii="Verdana" w:eastAsia="Arial" w:hAnsi="Verdana" w:cs="Arial"/>
          <w:sz w:val="20"/>
          <w:szCs w:val="20"/>
          <w:lang w:eastAsia="es-ES" w:bidi="es-ES"/>
        </w:rPr>
      </w:pPr>
      <w:r w:rsidRPr="00814C99">
        <w:rPr>
          <w:rFonts w:ascii="Verdana" w:eastAsia="Arial" w:hAnsi="Verdana" w:cs="Arial"/>
          <w:sz w:val="20"/>
          <w:szCs w:val="20"/>
          <w:lang w:eastAsia="es-ES" w:bidi="es-ES"/>
        </w:rPr>
        <w:t>[…]</w:t>
      </w:r>
    </w:p>
    <w:p w14:paraId="64E95941" w14:textId="77777777" w:rsidR="00880F1D" w:rsidRDefault="00880F1D" w:rsidP="00BC5C37">
      <w:pPr>
        <w:pStyle w:val="Prrafodelista"/>
        <w:widowControl w:val="0"/>
        <w:autoSpaceDE w:val="0"/>
        <w:autoSpaceDN w:val="0"/>
        <w:spacing w:after="0" w:line="240" w:lineRule="auto"/>
        <w:ind w:left="709" w:right="709"/>
        <w:contextualSpacing w:val="0"/>
        <w:jc w:val="both"/>
        <w:rPr>
          <w:rFonts w:ascii="Verdana" w:eastAsia="Arial" w:hAnsi="Verdana" w:cs="Arial"/>
          <w:sz w:val="20"/>
          <w:szCs w:val="20"/>
          <w:lang w:eastAsia="es-ES" w:bidi="es-ES"/>
        </w:rPr>
      </w:pPr>
    </w:p>
    <w:p w14:paraId="5879D34E" w14:textId="110416BF" w:rsidR="002E512B" w:rsidRPr="00814C99" w:rsidRDefault="002E512B" w:rsidP="00BC5C37">
      <w:pPr>
        <w:pStyle w:val="Prrafodelista"/>
        <w:widowControl w:val="0"/>
        <w:autoSpaceDE w:val="0"/>
        <w:autoSpaceDN w:val="0"/>
        <w:spacing w:after="0" w:line="240" w:lineRule="auto"/>
        <w:ind w:left="709" w:right="709"/>
        <w:contextualSpacing w:val="0"/>
        <w:jc w:val="both"/>
        <w:rPr>
          <w:rFonts w:ascii="Verdana" w:eastAsia="Arial" w:hAnsi="Verdana" w:cs="Arial"/>
          <w:sz w:val="20"/>
          <w:szCs w:val="20"/>
          <w:lang w:eastAsia="es-ES" w:bidi="es-ES"/>
        </w:rPr>
      </w:pPr>
      <w:r w:rsidRPr="00814C99">
        <w:rPr>
          <w:rFonts w:ascii="Verdana" w:eastAsia="Arial" w:hAnsi="Verdana" w:cs="Arial"/>
          <w:sz w:val="20"/>
          <w:szCs w:val="20"/>
          <w:lang w:eastAsia="es-ES" w:bidi="es-E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54AC4435" w14:textId="77777777" w:rsidR="002E512B" w:rsidRDefault="002E512B" w:rsidP="00FC616A">
      <w:pPr>
        <w:pStyle w:val="Prrafodelista"/>
        <w:spacing w:after="0" w:line="276" w:lineRule="auto"/>
        <w:contextualSpacing w:val="0"/>
        <w:jc w:val="both"/>
        <w:rPr>
          <w:rFonts w:ascii="Verdana" w:eastAsia="Calibri" w:hAnsi="Verdana" w:cs="Arial"/>
        </w:rPr>
      </w:pPr>
    </w:p>
    <w:p w14:paraId="5A6085C1" w14:textId="62ACF362" w:rsidR="00F777E8" w:rsidRDefault="00F777E8" w:rsidP="00FC04E4">
      <w:pPr>
        <w:spacing w:after="120" w:line="276" w:lineRule="auto"/>
        <w:ind w:firstLine="709"/>
        <w:jc w:val="both"/>
        <w:rPr>
          <w:rFonts w:ascii="Verdana" w:eastAsia="Calibri" w:hAnsi="Verdana" w:cs="Arial"/>
        </w:rPr>
      </w:pPr>
      <w:r w:rsidRPr="00BC5C37">
        <w:rPr>
          <w:rFonts w:ascii="Verdana" w:eastAsia="Calibri" w:hAnsi="Verdana" w:cs="Arial"/>
        </w:rPr>
        <w:t xml:space="preserve">De acuerdo con el artículo 72 de la Ley 1682 de 2013, </w:t>
      </w:r>
      <w:r w:rsidRPr="00BC5C37">
        <w:rPr>
          <w:rFonts w:ascii="Verdana" w:hAnsi="Verdana" w:cs="Arial"/>
        </w:rPr>
        <w:t xml:space="preserve">por la cual se adoptan medidas y disposiciones para los proyectos de infraestructura de transporte, </w:t>
      </w:r>
      <w:r w:rsidRPr="00BC5C37">
        <w:rPr>
          <w:rFonts w:ascii="Verdana" w:eastAsia="Calibri" w:hAnsi="Verdana" w:cs="Arial"/>
        </w:rPr>
        <w:t xml:space="preserve">la </w:t>
      </w:r>
      <w:r w:rsidR="00EE5647" w:rsidRPr="000B3BCC">
        <w:rPr>
          <w:rFonts w:ascii="Verdana" w:eastAsia="Calibri" w:hAnsi="Verdana" w:cs="Arial"/>
        </w:rPr>
        <w:t>“</w:t>
      </w:r>
      <w:r w:rsidRPr="00BC5C37">
        <w:rPr>
          <w:rFonts w:ascii="Verdana" w:eastAsia="Calibri" w:hAnsi="Verdana" w:cs="Arial"/>
          <w:i/>
        </w:rPr>
        <w:t>capacidad residual de contratación cuando se realicen contratos de obra pública se obtendrá de sustraer de la capacidad de contratación, el saldo del valor de los contratos en ejecución</w:t>
      </w:r>
      <w:r w:rsidR="00EE5647" w:rsidRPr="000B3BCC">
        <w:rPr>
          <w:rFonts w:ascii="Verdana" w:eastAsia="Calibri" w:hAnsi="Verdana" w:cs="Arial"/>
          <w:i/>
          <w:iCs/>
        </w:rPr>
        <w:t>”</w:t>
      </w:r>
      <w:r w:rsidRPr="00BC5C37">
        <w:rPr>
          <w:rFonts w:ascii="Verdana" w:eastAsia="Calibri" w:hAnsi="Verdana" w:cs="Arial"/>
          <w:i/>
        </w:rPr>
        <w:t>.</w:t>
      </w:r>
      <w:r w:rsidRPr="00BC5C37">
        <w:rPr>
          <w:rFonts w:ascii="Verdana" w:eastAsia="Calibri" w:hAnsi="Verdana" w:cs="Arial"/>
        </w:rPr>
        <w:t xml:space="preserve"> La </w:t>
      </w:r>
      <w:r w:rsidR="00EE5647" w:rsidRPr="000B3BCC">
        <w:rPr>
          <w:rFonts w:ascii="Verdana" w:eastAsia="Calibri" w:hAnsi="Verdana" w:cs="Arial"/>
        </w:rPr>
        <w:t>“</w:t>
      </w:r>
      <w:r w:rsidRPr="00BC5C37">
        <w:rPr>
          <w:rFonts w:ascii="Verdana" w:eastAsia="Calibri" w:hAnsi="Verdana" w:cs="Arial"/>
        </w:rPr>
        <w:t>capacidad de contratación</w:t>
      </w:r>
      <w:r w:rsidR="00EE5647" w:rsidRPr="000B3BCC">
        <w:rPr>
          <w:rFonts w:ascii="Verdana" w:eastAsia="Calibri" w:hAnsi="Verdana" w:cs="Arial"/>
        </w:rPr>
        <w:t>”</w:t>
      </w:r>
      <w:r w:rsidRPr="00BC5C37">
        <w:rPr>
          <w:rFonts w:ascii="Verdana" w:eastAsia="Calibri" w:hAnsi="Verdana" w:cs="Arial"/>
        </w:rPr>
        <w:t xml:space="preserve">, según se desprende de la misma disposición, </w:t>
      </w:r>
      <w:r w:rsidR="00EE5647" w:rsidRPr="000B3BCC">
        <w:rPr>
          <w:rFonts w:ascii="Verdana" w:eastAsia="Calibri" w:hAnsi="Verdana" w:cs="Arial"/>
        </w:rPr>
        <w:t>“</w:t>
      </w:r>
      <w:r w:rsidRPr="00BC5C37">
        <w:rPr>
          <w:rFonts w:ascii="Verdana" w:eastAsia="Calibri" w:hAnsi="Verdana" w:cs="Arial"/>
        </w:rPr>
        <w:t>[…] se deberá calcular mediante la evaluación de los siguientes factores: Experiencia (E), Capacidad Financiera (CF), Capacidad Técnica (CT), y Capacidad de Organización (CO)</w:t>
      </w:r>
      <w:r w:rsidR="00EE5647" w:rsidRPr="000B3BCC">
        <w:rPr>
          <w:rFonts w:ascii="Verdana" w:eastAsia="Calibri" w:hAnsi="Verdana" w:cs="Arial"/>
        </w:rPr>
        <w:t>”</w:t>
      </w:r>
      <w:r w:rsidRPr="00BC5C37">
        <w:rPr>
          <w:rFonts w:ascii="Verdana" w:eastAsia="Calibri" w:hAnsi="Verdana" w:cs="Arial"/>
        </w:rPr>
        <w:t>.</w:t>
      </w:r>
    </w:p>
    <w:p w14:paraId="6C76DFC2" w14:textId="73562A42" w:rsidR="000B3BCC" w:rsidRPr="000B3BCC" w:rsidRDefault="00F777E8" w:rsidP="00BC5C37">
      <w:pPr>
        <w:spacing w:after="120" w:line="276" w:lineRule="auto"/>
        <w:ind w:firstLine="708"/>
        <w:jc w:val="both"/>
        <w:rPr>
          <w:rFonts w:ascii="Verdana" w:eastAsia="Calibri" w:hAnsi="Verdana" w:cs="Arial"/>
        </w:rPr>
      </w:pPr>
      <w:bookmarkStart w:id="4" w:name="_Hlk103608376"/>
      <w:r w:rsidRPr="00BC5C37">
        <w:rPr>
          <w:rFonts w:ascii="Verdana" w:eastAsia="Calibri" w:hAnsi="Verdana" w:cs="Arial"/>
        </w:rPr>
        <w:t xml:space="preserve">Igualmente, el artículo 2.2.1.1.1.6.4 del Decreto 1082 de 2015 indica que las entidades estatales deberán calcular la </w:t>
      </w:r>
      <w:r w:rsidR="00C438CE" w:rsidRPr="00BC5C37">
        <w:rPr>
          <w:rFonts w:ascii="Verdana" w:eastAsia="Calibri" w:hAnsi="Verdana" w:cs="Arial"/>
        </w:rPr>
        <w:t>capacidad residual</w:t>
      </w:r>
      <w:r w:rsidRPr="00BC5C37">
        <w:rPr>
          <w:rFonts w:ascii="Verdana" w:eastAsia="Calibri" w:hAnsi="Verdana" w:cs="Arial"/>
        </w:rPr>
        <w:t xml:space="preserve"> conforme a la metodología definida por la Agencia Nacional de Contratación – Colombia Compre Eficiente. Para tale</w:t>
      </w:r>
      <w:r w:rsidR="00CB30EF">
        <w:rPr>
          <w:rFonts w:ascii="Verdana" w:eastAsia="Calibri" w:hAnsi="Verdana" w:cs="Arial"/>
        </w:rPr>
        <w:t>s</w:t>
      </w:r>
      <w:r w:rsidRPr="00BC5C37">
        <w:rPr>
          <w:rFonts w:ascii="Verdana" w:eastAsia="Calibri" w:hAnsi="Verdana" w:cs="Arial"/>
        </w:rPr>
        <w:t xml:space="preserve"> fines, resulta necesario tener en cuenta los factores de: i) Experiencia –E–, </w:t>
      </w:r>
      <w:proofErr w:type="spellStart"/>
      <w:r w:rsidRPr="00BC5C37">
        <w:rPr>
          <w:rFonts w:ascii="Verdana" w:eastAsia="Calibri" w:hAnsi="Verdana" w:cs="Arial"/>
        </w:rPr>
        <w:t>ii</w:t>
      </w:r>
      <w:proofErr w:type="spellEnd"/>
      <w:r w:rsidRPr="00BC5C37">
        <w:rPr>
          <w:rFonts w:ascii="Verdana" w:eastAsia="Calibri" w:hAnsi="Verdana" w:cs="Arial"/>
        </w:rPr>
        <w:t xml:space="preserve">) Capacidad Financiera –CF–, </w:t>
      </w:r>
      <w:proofErr w:type="spellStart"/>
      <w:r w:rsidRPr="00BC5C37">
        <w:rPr>
          <w:rFonts w:ascii="Verdana" w:eastAsia="Calibri" w:hAnsi="Verdana" w:cs="Arial"/>
        </w:rPr>
        <w:t>iii</w:t>
      </w:r>
      <w:proofErr w:type="spellEnd"/>
      <w:r w:rsidRPr="00BC5C37">
        <w:rPr>
          <w:rFonts w:ascii="Verdana" w:eastAsia="Calibri" w:hAnsi="Verdana" w:cs="Arial"/>
        </w:rPr>
        <w:t xml:space="preserve">) Capacidad Técnica –CT–, </w:t>
      </w:r>
      <w:proofErr w:type="spellStart"/>
      <w:r w:rsidRPr="00BC5C37">
        <w:rPr>
          <w:rFonts w:ascii="Verdana" w:eastAsia="Calibri" w:hAnsi="Verdana" w:cs="Arial"/>
        </w:rPr>
        <w:t>iv</w:t>
      </w:r>
      <w:proofErr w:type="spellEnd"/>
      <w:r w:rsidRPr="00BC5C37">
        <w:rPr>
          <w:rFonts w:ascii="Verdana" w:eastAsia="Calibri" w:hAnsi="Verdana" w:cs="Arial"/>
        </w:rPr>
        <w:t>) Capacidad de Organización y v) los Saldos de los Contratos en Ejecución –SCE–.</w:t>
      </w:r>
    </w:p>
    <w:p w14:paraId="604F861D" w14:textId="3CD2135A" w:rsidR="000B3BCC" w:rsidRPr="00BC5C37" w:rsidRDefault="00F777E8" w:rsidP="00BC5C37">
      <w:pPr>
        <w:spacing w:after="120" w:line="276" w:lineRule="auto"/>
        <w:ind w:firstLine="708"/>
        <w:jc w:val="both"/>
        <w:rPr>
          <w:rFonts w:ascii="Verdana" w:hAnsi="Verdana"/>
        </w:rPr>
      </w:pPr>
      <w:r w:rsidRPr="00BC5C37">
        <w:rPr>
          <w:rFonts w:ascii="Verdana" w:eastAsia="Calibri" w:hAnsi="Verdana" w:cs="Arial"/>
        </w:rPr>
        <w:lastRenderedPageBreak/>
        <w:t>De l</w:t>
      </w:r>
      <w:r w:rsidR="009C7CEE">
        <w:rPr>
          <w:rFonts w:ascii="Verdana" w:eastAsia="Calibri" w:hAnsi="Verdana" w:cs="Arial"/>
        </w:rPr>
        <w:t>a misma</w:t>
      </w:r>
      <w:r w:rsidRPr="00BC5C37">
        <w:rPr>
          <w:rFonts w:ascii="Verdana" w:eastAsia="Calibri" w:hAnsi="Verdana" w:cs="Arial"/>
        </w:rPr>
        <w:t xml:space="preserve"> manera, el precitado artículo </w:t>
      </w:r>
      <w:r w:rsidRPr="00BC5C37">
        <w:rPr>
          <w:rFonts w:ascii="Verdana" w:hAnsi="Verdana" w:cs="Arial"/>
        </w:rPr>
        <w:t xml:space="preserve">establece que el interesado en celebrar contratos de obra pública acreditará su </w:t>
      </w:r>
      <w:r w:rsidR="0090606F" w:rsidRPr="0090606F">
        <w:rPr>
          <w:rFonts w:ascii="Verdana" w:hAnsi="Verdana" w:cs="Arial"/>
        </w:rPr>
        <w:t xml:space="preserve">capacidad residual </w:t>
      </w:r>
      <w:r w:rsidRPr="00BC5C37">
        <w:rPr>
          <w:rFonts w:ascii="Verdana" w:hAnsi="Verdana" w:cs="Arial"/>
        </w:rPr>
        <w:t xml:space="preserve">con los siguientes documentos: i) la lista de los contratos de obras civiles en ejecución suscritos con entidades estatales y con entidades privadas; </w:t>
      </w:r>
      <w:proofErr w:type="spellStart"/>
      <w:r w:rsidRPr="00BC5C37">
        <w:rPr>
          <w:rFonts w:ascii="Verdana" w:hAnsi="Verdana" w:cs="Arial"/>
        </w:rPr>
        <w:t>ii</w:t>
      </w:r>
      <w:proofErr w:type="spellEnd"/>
      <w:r w:rsidRPr="00BC5C37">
        <w:rPr>
          <w:rFonts w:ascii="Verdana" w:hAnsi="Verdana" w:cs="Arial"/>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BC5C37">
        <w:rPr>
          <w:rFonts w:ascii="Verdana" w:hAnsi="Verdana" w:cs="Arial"/>
        </w:rPr>
        <w:t>iii</w:t>
      </w:r>
      <w:proofErr w:type="spellEnd"/>
      <w:r w:rsidRPr="00BC5C37">
        <w:rPr>
          <w:rFonts w:ascii="Verdana" w:hAnsi="Verdana" w:cs="Arial"/>
        </w:rPr>
        <w:t>) el balance general auditado del año inmediatamente anterior y estado de resultados auditado del año en que haya obtenido el mayor ingreso operacional en los últimos cinco (5) años</w:t>
      </w:r>
      <w:bookmarkEnd w:id="4"/>
      <w:r w:rsidRPr="00BC5C37">
        <w:rPr>
          <w:rFonts w:ascii="Verdana" w:hAnsi="Verdana"/>
          <w:vertAlign w:val="superscript"/>
        </w:rPr>
        <w:footnoteReference w:id="3"/>
      </w:r>
      <w:r w:rsidRPr="00BC5C37">
        <w:rPr>
          <w:rFonts w:ascii="Verdana" w:hAnsi="Verdana" w:cs="Arial"/>
        </w:rPr>
        <w:t xml:space="preserve">. </w:t>
      </w:r>
    </w:p>
    <w:p w14:paraId="6DC3ED0E" w14:textId="1CAB49F6" w:rsidR="002E512B" w:rsidRPr="00E460B7" w:rsidRDefault="00643C5C" w:rsidP="00BC5C37">
      <w:pPr>
        <w:spacing w:line="276" w:lineRule="auto"/>
        <w:ind w:firstLine="708"/>
        <w:jc w:val="both"/>
        <w:rPr>
          <w:rFonts w:ascii="Verdana" w:eastAsia="Calibri" w:hAnsi="Verdana" w:cs="Arial"/>
        </w:rPr>
      </w:pPr>
      <w:r>
        <w:rPr>
          <w:rFonts w:ascii="Verdana" w:eastAsia="Calibri" w:hAnsi="Verdana" w:cs="Arial"/>
        </w:rPr>
        <w:t>Así</w:t>
      </w:r>
      <w:r w:rsidR="002E512B" w:rsidRPr="00E460B7">
        <w:rPr>
          <w:rFonts w:ascii="Verdana" w:eastAsia="Calibri" w:hAnsi="Verdana" w:cs="Arial"/>
        </w:rPr>
        <w:t xml:space="preserve">, la entidad estatal debe verificar que la capacidad residual del proponente </w:t>
      </w:r>
      <w:r w:rsidR="00F33CB1">
        <w:rPr>
          <w:rFonts w:ascii="Verdana" w:eastAsia="Calibri" w:hAnsi="Verdana" w:cs="Arial"/>
        </w:rPr>
        <w:t>“</w:t>
      </w:r>
      <w:r w:rsidR="002E512B" w:rsidRPr="00E460B7">
        <w:rPr>
          <w:rFonts w:ascii="Verdana" w:eastAsia="Calibri" w:hAnsi="Verdana" w:cs="Arial"/>
        </w:rPr>
        <w:t>CRP</w:t>
      </w:r>
      <w:r w:rsidR="00F33CB1">
        <w:rPr>
          <w:rFonts w:ascii="Verdana" w:eastAsia="Calibri" w:hAnsi="Verdana" w:cs="Arial"/>
        </w:rPr>
        <w:t>”</w:t>
      </w:r>
      <w:r w:rsidR="002E512B" w:rsidRPr="00E460B7">
        <w:rPr>
          <w:rFonts w:ascii="Verdana" w:eastAsia="Calibri" w:hAnsi="Verdana" w:cs="Arial"/>
        </w:rPr>
        <w:t xml:space="preserve"> sea igual o superior a la capacidad residual del proceso de contratación </w:t>
      </w:r>
      <w:r w:rsidR="00F33CB1">
        <w:rPr>
          <w:rFonts w:ascii="Verdana" w:eastAsia="Calibri" w:hAnsi="Verdana" w:cs="Arial"/>
        </w:rPr>
        <w:t>“</w:t>
      </w:r>
      <w:r w:rsidR="002E512B" w:rsidRPr="00E460B7">
        <w:rPr>
          <w:rFonts w:ascii="Verdana" w:eastAsia="Calibri" w:hAnsi="Verdana" w:cs="Arial"/>
        </w:rPr>
        <w:t>CRPC</w:t>
      </w:r>
      <w:r w:rsidR="00F33CB1">
        <w:rPr>
          <w:rFonts w:ascii="Verdana" w:eastAsia="Calibri" w:hAnsi="Verdana" w:cs="Arial"/>
        </w:rPr>
        <w:t>”</w:t>
      </w:r>
      <w:r w:rsidR="002E512B" w:rsidRPr="00E460B7">
        <w:rPr>
          <w:rFonts w:ascii="Verdana" w:eastAsia="Calibri" w:hAnsi="Verdana" w:cs="Arial"/>
        </w:rPr>
        <w:t xml:space="preserve">. De todas formas, previamente debe establecer la </w:t>
      </w:r>
      <w:r w:rsidR="00F33CB1">
        <w:rPr>
          <w:rFonts w:ascii="Verdana" w:eastAsia="Calibri" w:hAnsi="Verdana" w:cs="Arial"/>
        </w:rPr>
        <w:t>“</w:t>
      </w:r>
      <w:r w:rsidR="002E512B" w:rsidRPr="00E460B7">
        <w:rPr>
          <w:rFonts w:ascii="Verdana" w:eastAsia="Calibri" w:hAnsi="Verdana" w:cs="Arial"/>
        </w:rPr>
        <w:t>CRP</w:t>
      </w:r>
      <w:r w:rsidR="00F33CB1">
        <w:rPr>
          <w:rFonts w:ascii="Verdana" w:eastAsia="Calibri" w:hAnsi="Verdana" w:cs="Arial"/>
        </w:rPr>
        <w:t>”</w:t>
      </w:r>
      <w:r w:rsidR="002E512B" w:rsidRPr="00E460B7">
        <w:rPr>
          <w:rFonts w:ascii="Verdana" w:eastAsia="Calibri" w:hAnsi="Verdana" w:cs="Arial"/>
        </w:rPr>
        <w:t xml:space="preserve">, con fundamento en los siguientes factores: i) experiencia </w:t>
      </w:r>
      <w:r w:rsidR="00F33CB1">
        <w:rPr>
          <w:rFonts w:ascii="Verdana" w:eastAsia="Calibri" w:hAnsi="Verdana" w:cs="Arial"/>
        </w:rPr>
        <w:t>“</w:t>
      </w:r>
      <w:r w:rsidR="002E512B" w:rsidRPr="00E460B7">
        <w:rPr>
          <w:rFonts w:ascii="Verdana" w:eastAsia="Calibri" w:hAnsi="Verdana" w:cs="Arial"/>
        </w:rPr>
        <w:t>E</w:t>
      </w:r>
      <w:r w:rsidR="00F33CB1">
        <w:rPr>
          <w:rFonts w:ascii="Verdana" w:eastAsia="Calibri" w:hAnsi="Verdana" w:cs="Arial"/>
        </w:rPr>
        <w:t>”</w:t>
      </w:r>
      <w:r w:rsidR="002E512B" w:rsidRPr="00E460B7">
        <w:rPr>
          <w:rFonts w:ascii="Verdana" w:eastAsia="Calibri" w:hAnsi="Verdana" w:cs="Arial"/>
        </w:rPr>
        <w:t xml:space="preserve">; </w:t>
      </w:r>
      <w:proofErr w:type="spellStart"/>
      <w:r w:rsidR="002E512B" w:rsidRPr="00E460B7">
        <w:rPr>
          <w:rFonts w:ascii="Verdana" w:eastAsia="Calibri" w:hAnsi="Verdana" w:cs="Arial"/>
        </w:rPr>
        <w:t>ii</w:t>
      </w:r>
      <w:proofErr w:type="spellEnd"/>
      <w:r w:rsidR="002E512B" w:rsidRPr="00E460B7">
        <w:rPr>
          <w:rFonts w:ascii="Verdana" w:eastAsia="Calibri" w:hAnsi="Verdana" w:cs="Arial"/>
        </w:rPr>
        <w:t xml:space="preserve">) capacidad financiera </w:t>
      </w:r>
      <w:r w:rsidR="00F33CB1">
        <w:rPr>
          <w:rFonts w:ascii="Verdana" w:eastAsia="Calibri" w:hAnsi="Verdana" w:cs="Arial"/>
        </w:rPr>
        <w:t>“</w:t>
      </w:r>
      <w:r w:rsidR="002E512B" w:rsidRPr="00E460B7">
        <w:rPr>
          <w:rFonts w:ascii="Verdana" w:eastAsia="Calibri" w:hAnsi="Verdana" w:cs="Arial"/>
        </w:rPr>
        <w:t>CF</w:t>
      </w:r>
      <w:r w:rsidR="00F33CB1">
        <w:rPr>
          <w:rFonts w:ascii="Verdana" w:eastAsia="Calibri" w:hAnsi="Verdana" w:cs="Arial"/>
        </w:rPr>
        <w:t>”</w:t>
      </w:r>
      <w:r w:rsidR="002E512B" w:rsidRPr="00E460B7">
        <w:rPr>
          <w:rFonts w:ascii="Verdana" w:eastAsia="Calibri" w:hAnsi="Verdana" w:cs="Arial"/>
        </w:rPr>
        <w:t xml:space="preserve">; </w:t>
      </w:r>
      <w:proofErr w:type="spellStart"/>
      <w:r w:rsidR="002E512B" w:rsidRPr="00E460B7">
        <w:rPr>
          <w:rFonts w:ascii="Verdana" w:eastAsia="Calibri" w:hAnsi="Verdana" w:cs="Arial"/>
        </w:rPr>
        <w:t>iii</w:t>
      </w:r>
      <w:proofErr w:type="spellEnd"/>
      <w:r w:rsidR="002E512B" w:rsidRPr="00E460B7">
        <w:rPr>
          <w:rFonts w:ascii="Verdana" w:eastAsia="Calibri" w:hAnsi="Verdana" w:cs="Arial"/>
        </w:rPr>
        <w:t xml:space="preserve">) capacidad técnica </w:t>
      </w:r>
      <w:r w:rsidR="00F33CB1">
        <w:rPr>
          <w:rFonts w:ascii="Verdana" w:eastAsia="Calibri" w:hAnsi="Verdana" w:cs="Arial"/>
        </w:rPr>
        <w:t>“</w:t>
      </w:r>
      <w:r w:rsidR="002E512B" w:rsidRPr="00E460B7">
        <w:rPr>
          <w:rFonts w:ascii="Verdana" w:eastAsia="Calibri" w:hAnsi="Verdana" w:cs="Arial"/>
        </w:rPr>
        <w:t>CT</w:t>
      </w:r>
      <w:r w:rsidR="00F33CB1">
        <w:rPr>
          <w:rFonts w:ascii="Verdana" w:eastAsia="Calibri" w:hAnsi="Verdana" w:cs="Arial"/>
        </w:rPr>
        <w:t>”</w:t>
      </w:r>
      <w:r w:rsidR="002E512B" w:rsidRPr="00E460B7">
        <w:rPr>
          <w:rFonts w:ascii="Verdana" w:eastAsia="Calibri" w:hAnsi="Verdana" w:cs="Arial"/>
        </w:rPr>
        <w:t xml:space="preserve">, </w:t>
      </w:r>
      <w:proofErr w:type="spellStart"/>
      <w:r w:rsidR="002E512B" w:rsidRPr="00E460B7">
        <w:rPr>
          <w:rFonts w:ascii="Verdana" w:eastAsia="Calibri" w:hAnsi="Verdana" w:cs="Arial"/>
        </w:rPr>
        <w:t>iv</w:t>
      </w:r>
      <w:proofErr w:type="spellEnd"/>
      <w:r w:rsidR="002E512B" w:rsidRPr="00E460B7">
        <w:rPr>
          <w:rFonts w:ascii="Verdana" w:eastAsia="Calibri" w:hAnsi="Verdana" w:cs="Arial"/>
        </w:rPr>
        <w:t xml:space="preserve">) capacidad de organización </w:t>
      </w:r>
      <w:r w:rsidR="00F33CB1">
        <w:rPr>
          <w:rFonts w:ascii="Verdana" w:eastAsia="Calibri" w:hAnsi="Verdana" w:cs="Arial"/>
        </w:rPr>
        <w:t>“</w:t>
      </w:r>
      <w:r w:rsidR="002E512B" w:rsidRPr="00E460B7">
        <w:rPr>
          <w:rFonts w:ascii="Verdana" w:eastAsia="Calibri" w:hAnsi="Verdana" w:cs="Arial"/>
        </w:rPr>
        <w:t>CO</w:t>
      </w:r>
      <w:r w:rsidR="00F33CB1">
        <w:rPr>
          <w:rFonts w:ascii="Verdana" w:eastAsia="Calibri" w:hAnsi="Verdana" w:cs="Arial"/>
        </w:rPr>
        <w:t>”</w:t>
      </w:r>
      <w:r w:rsidR="002E512B" w:rsidRPr="00E460B7">
        <w:rPr>
          <w:rFonts w:ascii="Verdana" w:eastAsia="Calibri" w:hAnsi="Verdana" w:cs="Arial"/>
        </w:rPr>
        <w:t xml:space="preserve">; y v) los saldos de los contratos en ejecución </w:t>
      </w:r>
      <w:r w:rsidR="00F33CB1">
        <w:rPr>
          <w:rFonts w:ascii="Verdana" w:eastAsia="Calibri" w:hAnsi="Verdana" w:cs="Arial"/>
        </w:rPr>
        <w:t>“</w:t>
      </w:r>
      <w:r w:rsidR="002E512B" w:rsidRPr="00E460B7">
        <w:rPr>
          <w:rFonts w:ascii="Verdana" w:eastAsia="Calibri" w:hAnsi="Verdana" w:cs="Arial"/>
        </w:rPr>
        <w:t>SCE</w:t>
      </w:r>
      <w:r w:rsidR="00F33CB1">
        <w:rPr>
          <w:rFonts w:ascii="Verdana" w:eastAsia="Calibri" w:hAnsi="Verdana" w:cs="Arial"/>
        </w:rPr>
        <w:t>”</w:t>
      </w:r>
      <w:r w:rsidR="002E512B" w:rsidRPr="00E460B7">
        <w:rPr>
          <w:rFonts w:ascii="Verdana" w:eastAsia="Calibri" w:hAnsi="Verdana" w:cs="Arial"/>
        </w:rPr>
        <w:t>, según la siguiente fórmula:</w:t>
      </w:r>
    </w:p>
    <w:p w14:paraId="106A1F1C" w14:textId="77777777" w:rsidR="002E512B" w:rsidRPr="000812CD" w:rsidRDefault="002E512B" w:rsidP="002E512B">
      <w:pPr>
        <w:pStyle w:val="Prrafodelista"/>
        <w:spacing w:after="0" w:line="276" w:lineRule="auto"/>
        <w:jc w:val="both"/>
        <w:rPr>
          <w:rFonts w:ascii="Verdana" w:eastAsia="Calibri" w:hAnsi="Verdana" w:cs="Arial"/>
        </w:rPr>
      </w:pPr>
      <w:r w:rsidRPr="0055329F">
        <w:rPr>
          <w:rFonts w:ascii="Verdana" w:eastAsia="Calibri" w:hAnsi="Verdana" w:cs="Arial"/>
          <w:noProof/>
        </w:rPr>
        <w:drawing>
          <wp:inline distT="0" distB="0" distL="0" distR="0" wp14:anchorId="1F3300CE" wp14:editId="02B2B455">
            <wp:extent cx="4305673" cy="624894"/>
            <wp:effectExtent l="0" t="0" r="0" b="3810"/>
            <wp:docPr id="1187773629" name="Imagen 1"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73629" name="Imagen 1" descr="Imagen que contiene Diagrama&#10;&#10;El contenido generado por IA puede ser incorrecto."/>
                    <pic:cNvPicPr/>
                  </pic:nvPicPr>
                  <pic:blipFill>
                    <a:blip r:embed="rId13"/>
                    <a:stretch>
                      <a:fillRect/>
                    </a:stretch>
                  </pic:blipFill>
                  <pic:spPr>
                    <a:xfrm>
                      <a:off x="0" y="0"/>
                      <a:ext cx="4305673" cy="624894"/>
                    </a:xfrm>
                    <a:prstGeom prst="rect">
                      <a:avLst/>
                    </a:prstGeom>
                  </pic:spPr>
                </pic:pic>
              </a:graphicData>
            </a:graphic>
          </wp:inline>
        </w:drawing>
      </w:r>
    </w:p>
    <w:p w14:paraId="523833BC" w14:textId="77777777" w:rsidR="002E512B" w:rsidRPr="000812CD" w:rsidRDefault="002E512B" w:rsidP="002E512B">
      <w:pPr>
        <w:pStyle w:val="Prrafodelista"/>
        <w:spacing w:after="0" w:line="276" w:lineRule="auto"/>
        <w:jc w:val="both"/>
        <w:rPr>
          <w:rFonts w:ascii="Verdana" w:eastAsia="Calibri" w:hAnsi="Verdana" w:cs="Arial"/>
        </w:rPr>
      </w:pPr>
    </w:p>
    <w:p w14:paraId="611C5F36" w14:textId="0A6A308E" w:rsidR="009F2A34" w:rsidRPr="00BC5C37" w:rsidRDefault="002E512B" w:rsidP="00BC5C37">
      <w:pPr>
        <w:spacing w:after="120" w:line="276" w:lineRule="auto"/>
        <w:ind w:firstLine="708"/>
        <w:jc w:val="both"/>
        <w:rPr>
          <w:rFonts w:ascii="Verdana" w:eastAsia="Calibri" w:hAnsi="Verdana" w:cs="Arial"/>
        </w:rPr>
      </w:pPr>
      <w:r w:rsidRPr="00E460B7">
        <w:rPr>
          <w:rFonts w:ascii="Verdana" w:eastAsia="Calibri" w:hAnsi="Verdana" w:cs="Arial"/>
        </w:rPr>
        <w:t xml:space="preserve">A cada uno de estos factores se les debe asignar los siguientes puntajes máximos: i) </w:t>
      </w:r>
      <w:r w:rsidR="003E21A6">
        <w:rPr>
          <w:rFonts w:ascii="Verdana" w:eastAsia="Calibri" w:hAnsi="Verdana" w:cs="Arial"/>
        </w:rPr>
        <w:t>“</w:t>
      </w:r>
      <w:r w:rsidRPr="00E460B7">
        <w:rPr>
          <w:rFonts w:ascii="Verdana" w:eastAsia="Calibri" w:hAnsi="Verdana" w:cs="Arial"/>
        </w:rPr>
        <w:t>E</w:t>
      </w:r>
      <w:r w:rsidR="003E21A6">
        <w:rPr>
          <w:rFonts w:ascii="Verdana" w:eastAsia="Calibri" w:hAnsi="Verdana" w:cs="Arial"/>
        </w:rPr>
        <w:t>”</w:t>
      </w:r>
      <w:r w:rsidRPr="00E460B7">
        <w:rPr>
          <w:rFonts w:ascii="Verdana" w:eastAsia="Calibri" w:hAnsi="Verdana" w:cs="Arial"/>
        </w:rPr>
        <w:t xml:space="preserve"> 120; </w:t>
      </w:r>
      <w:proofErr w:type="spellStart"/>
      <w:r w:rsidRPr="00E460B7">
        <w:rPr>
          <w:rFonts w:ascii="Verdana" w:eastAsia="Calibri" w:hAnsi="Verdana" w:cs="Arial"/>
        </w:rPr>
        <w:t>ii</w:t>
      </w:r>
      <w:proofErr w:type="spellEnd"/>
      <w:r w:rsidRPr="00E460B7">
        <w:rPr>
          <w:rFonts w:ascii="Verdana" w:eastAsia="Calibri" w:hAnsi="Verdana" w:cs="Arial"/>
        </w:rPr>
        <w:t xml:space="preserve">) </w:t>
      </w:r>
      <w:r w:rsidR="003E21A6">
        <w:rPr>
          <w:rFonts w:ascii="Verdana" w:eastAsia="Calibri" w:hAnsi="Verdana" w:cs="Arial"/>
        </w:rPr>
        <w:t>“</w:t>
      </w:r>
      <w:r w:rsidRPr="00E460B7">
        <w:rPr>
          <w:rFonts w:ascii="Verdana" w:eastAsia="Calibri" w:hAnsi="Verdana" w:cs="Arial"/>
        </w:rPr>
        <w:t>CF</w:t>
      </w:r>
      <w:r w:rsidR="003E21A6">
        <w:rPr>
          <w:rFonts w:ascii="Verdana" w:eastAsia="Calibri" w:hAnsi="Verdana" w:cs="Arial"/>
        </w:rPr>
        <w:t>”</w:t>
      </w:r>
      <w:r w:rsidRPr="00E460B7">
        <w:rPr>
          <w:rFonts w:ascii="Verdana" w:eastAsia="Calibri" w:hAnsi="Verdana" w:cs="Arial"/>
        </w:rPr>
        <w:t xml:space="preserve"> 40; y </w:t>
      </w:r>
      <w:proofErr w:type="spellStart"/>
      <w:r w:rsidRPr="00E460B7">
        <w:rPr>
          <w:rFonts w:ascii="Verdana" w:eastAsia="Calibri" w:hAnsi="Verdana" w:cs="Arial"/>
        </w:rPr>
        <w:t>iii</w:t>
      </w:r>
      <w:proofErr w:type="spellEnd"/>
      <w:r w:rsidRPr="00E460B7">
        <w:rPr>
          <w:rFonts w:ascii="Verdana" w:eastAsia="Calibri" w:hAnsi="Verdana" w:cs="Arial"/>
        </w:rPr>
        <w:t xml:space="preserve">) </w:t>
      </w:r>
      <w:r w:rsidR="003E21A6">
        <w:rPr>
          <w:rFonts w:ascii="Verdana" w:eastAsia="Calibri" w:hAnsi="Verdana" w:cs="Arial"/>
        </w:rPr>
        <w:t>“</w:t>
      </w:r>
      <w:r w:rsidRPr="00E460B7">
        <w:rPr>
          <w:rFonts w:ascii="Verdana" w:eastAsia="Calibri" w:hAnsi="Verdana" w:cs="Arial"/>
        </w:rPr>
        <w:t>CT</w:t>
      </w:r>
      <w:r w:rsidR="00562F6D">
        <w:rPr>
          <w:rFonts w:ascii="Verdana" w:eastAsia="Calibri" w:hAnsi="Verdana" w:cs="Arial"/>
        </w:rPr>
        <w:t>”</w:t>
      </w:r>
      <w:r w:rsidRPr="00E460B7">
        <w:rPr>
          <w:rFonts w:ascii="Verdana" w:eastAsia="Calibri" w:hAnsi="Verdana" w:cs="Arial"/>
        </w:rPr>
        <w:t xml:space="preserve"> 40. La </w:t>
      </w:r>
      <w:r w:rsidR="00562F6D">
        <w:rPr>
          <w:rFonts w:ascii="Verdana" w:eastAsia="Calibri" w:hAnsi="Verdana" w:cs="Arial"/>
        </w:rPr>
        <w:t>“</w:t>
      </w:r>
      <w:r w:rsidRPr="00E460B7">
        <w:rPr>
          <w:rFonts w:ascii="Verdana" w:eastAsia="Calibri" w:hAnsi="Verdana" w:cs="Arial"/>
        </w:rPr>
        <w:t>CO</w:t>
      </w:r>
      <w:r w:rsidR="00562F6D">
        <w:rPr>
          <w:rFonts w:ascii="Verdana" w:eastAsia="Calibri" w:hAnsi="Verdana" w:cs="Arial"/>
        </w:rPr>
        <w:t>”</w:t>
      </w:r>
      <w:r w:rsidRPr="00E460B7">
        <w:rPr>
          <w:rFonts w:ascii="Verdana" w:eastAsia="Calibri" w:hAnsi="Verdana" w:cs="Arial"/>
        </w:rPr>
        <w:t xml:space="preserve"> no tiene asignación de puntaje en la fórmula, por un lado, porque su unidad de medida es en pesos </w:t>
      </w:r>
      <w:r w:rsidRPr="00E460B7">
        <w:rPr>
          <w:rFonts w:ascii="Verdana" w:eastAsia="Calibri" w:hAnsi="Verdana" w:cs="Arial"/>
        </w:rPr>
        <w:lastRenderedPageBreak/>
        <w:t xml:space="preserve">colombianos </w:t>
      </w:r>
      <w:r w:rsidR="00562F6D">
        <w:rPr>
          <w:rFonts w:ascii="Verdana" w:eastAsia="Calibri" w:hAnsi="Verdana" w:cs="Arial"/>
        </w:rPr>
        <w:t>“</w:t>
      </w:r>
      <w:r w:rsidRPr="00E460B7">
        <w:rPr>
          <w:rFonts w:ascii="Verdana" w:eastAsia="Calibri" w:hAnsi="Verdana" w:cs="Arial"/>
        </w:rPr>
        <w:t>COP</w:t>
      </w:r>
      <w:r w:rsidR="00562F6D">
        <w:rPr>
          <w:rFonts w:ascii="Verdana" w:eastAsia="Calibri" w:hAnsi="Verdana" w:cs="Arial"/>
        </w:rPr>
        <w:t>”</w:t>
      </w:r>
      <w:r w:rsidRPr="00E460B7">
        <w:rPr>
          <w:rFonts w:ascii="Verdana" w:eastAsia="Calibri" w:hAnsi="Verdana" w:cs="Arial"/>
        </w:rPr>
        <w:t xml:space="preserve"> y, por el otro, debido a que el mismo constituye un factor multiplicador de los demás factores en la fórmula. </w:t>
      </w:r>
    </w:p>
    <w:p w14:paraId="01F814DB" w14:textId="039EC717" w:rsidR="002E512B" w:rsidRPr="00E460B7" w:rsidRDefault="002E512B" w:rsidP="00BC5C37">
      <w:pPr>
        <w:spacing w:after="0" w:line="276" w:lineRule="auto"/>
        <w:ind w:firstLine="708"/>
        <w:jc w:val="both"/>
        <w:rPr>
          <w:rFonts w:ascii="Verdana" w:eastAsia="Calibri" w:hAnsi="Verdana" w:cs="Arial"/>
        </w:rPr>
      </w:pPr>
      <w:r w:rsidRPr="00E460B7">
        <w:rPr>
          <w:rFonts w:ascii="Verdana" w:eastAsia="Calibri" w:hAnsi="Verdana" w:cs="Arial"/>
        </w:rPr>
        <w:t xml:space="preserve">Para el caso de la Capacidad Técnica (CT), </w:t>
      </w:r>
      <w:bookmarkStart w:id="5" w:name="_Hlk120020747"/>
      <w:r w:rsidRPr="00E460B7">
        <w:rPr>
          <w:rFonts w:ascii="Verdana" w:eastAsia="Calibri" w:hAnsi="Verdana" w:cs="Arial"/>
        </w:rPr>
        <w:t>sobre la cual se centra su consulta, el artículo 72 de la Ley 1682 de 2013 y el artículo 2.2.1.1.1.6.4 del Decreto 1082 de 2015, la incluyen como uno de los factores que se deben tener en cuenta para calcular la capacidad residual de los proponentes</w:t>
      </w:r>
      <w:r w:rsidR="00960FEC">
        <w:rPr>
          <w:rFonts w:ascii="Verdana" w:eastAsia="Calibri" w:hAnsi="Verdana" w:cs="Arial"/>
        </w:rPr>
        <w:t>.</w:t>
      </w:r>
      <w:r w:rsidRPr="00BC5C37">
        <w:rPr>
          <w:rFonts w:ascii="Verdana" w:eastAsia="Calibri" w:hAnsi="Verdana" w:cs="Arial"/>
        </w:rPr>
        <w:t xml:space="preserve"> </w:t>
      </w:r>
      <w:r w:rsidR="00960FEC">
        <w:rPr>
          <w:rFonts w:ascii="Verdana" w:eastAsia="Calibri" w:hAnsi="Verdana" w:cs="Arial"/>
        </w:rPr>
        <w:t>S</w:t>
      </w:r>
      <w:r w:rsidRPr="00BC5C37">
        <w:rPr>
          <w:rFonts w:ascii="Verdana" w:eastAsia="Calibri" w:hAnsi="Verdana" w:cs="Arial"/>
        </w:rPr>
        <w:t>in embargo,</w:t>
      </w:r>
      <w:r w:rsidR="00960FEC">
        <w:rPr>
          <w:rFonts w:ascii="Verdana" w:eastAsia="Calibri" w:hAnsi="Verdana" w:cs="Arial"/>
        </w:rPr>
        <w:t xml:space="preserve"> estas disposiciones</w:t>
      </w:r>
      <w:r w:rsidRPr="00E460B7">
        <w:rPr>
          <w:rFonts w:ascii="Verdana" w:eastAsia="Calibri" w:hAnsi="Verdana" w:cs="Arial"/>
        </w:rPr>
        <w:t xml:space="preserve"> no definieron criterios o la forma de valoración de este factor</w:t>
      </w:r>
      <w:r w:rsidR="00C83508">
        <w:rPr>
          <w:rFonts w:ascii="Verdana" w:eastAsia="Calibri" w:hAnsi="Verdana" w:cs="Arial"/>
        </w:rPr>
        <w:t xml:space="preserve">. Por </w:t>
      </w:r>
      <w:r w:rsidRPr="00E460B7">
        <w:rPr>
          <w:rFonts w:ascii="Verdana" w:eastAsia="Calibri" w:hAnsi="Verdana" w:cs="Arial"/>
        </w:rPr>
        <w:t xml:space="preserve">lo </w:t>
      </w:r>
      <w:r w:rsidR="00C83508">
        <w:rPr>
          <w:rFonts w:ascii="Verdana" w:eastAsia="Calibri" w:hAnsi="Verdana" w:cs="Arial"/>
        </w:rPr>
        <w:t>anterior,</w:t>
      </w:r>
      <w:r w:rsidRPr="00E460B7">
        <w:rPr>
          <w:rFonts w:ascii="Verdana" w:eastAsia="Calibri" w:hAnsi="Verdana" w:cs="Arial"/>
        </w:rPr>
        <w:t xml:space="preserve"> la Agencia Nacional de Contratación Pública – Colombia Compra Eficiente, en el marco de la competencia establecida por el Decreto 1082 de 2015, al fijar la metodología para el cálculo de la capacidad residual, estableció la forma de calcular la Capacidad Técnica (CT) en la </w:t>
      </w:r>
      <w:r w:rsidR="00771114">
        <w:rPr>
          <w:rFonts w:ascii="Verdana" w:eastAsia="Calibri" w:hAnsi="Verdana" w:cs="Arial"/>
        </w:rPr>
        <w:t>“</w:t>
      </w:r>
      <w:r w:rsidRPr="00E460B7">
        <w:rPr>
          <w:rFonts w:ascii="Verdana" w:eastAsia="Calibri" w:hAnsi="Verdana" w:cs="Arial"/>
        </w:rPr>
        <w:t>Guía para Determinar y Verificar la Capacidad Residual del Proponente en los Procesos de Contratación de Obra Pública</w:t>
      </w:r>
      <w:r w:rsidR="00771114">
        <w:rPr>
          <w:rFonts w:ascii="Verdana" w:eastAsia="Calibri" w:hAnsi="Verdana" w:cs="Arial"/>
        </w:rPr>
        <w:t>”</w:t>
      </w:r>
      <w:r w:rsidR="00D6001A">
        <w:rPr>
          <w:rStyle w:val="Refdenotaalpie"/>
          <w:rFonts w:ascii="Verdana" w:eastAsia="Calibri" w:hAnsi="Verdana" w:cs="Arial"/>
        </w:rPr>
        <w:footnoteReference w:id="4"/>
      </w:r>
      <w:r w:rsidRPr="00E460B7">
        <w:rPr>
          <w:rFonts w:ascii="Verdana" w:eastAsia="Calibri" w:hAnsi="Verdana" w:cs="Arial"/>
        </w:rPr>
        <w:t xml:space="preserve"> de la siguiente manera: </w:t>
      </w:r>
    </w:p>
    <w:p w14:paraId="2544CAD6" w14:textId="77777777" w:rsidR="002E512B" w:rsidRPr="00390F1B" w:rsidRDefault="002E512B" w:rsidP="00BC5C37">
      <w:pPr>
        <w:pStyle w:val="Prrafodelista"/>
        <w:spacing w:after="0" w:line="276" w:lineRule="auto"/>
        <w:jc w:val="both"/>
        <w:rPr>
          <w:rFonts w:eastAsia="Calibri" w:cs="Arial"/>
        </w:rPr>
      </w:pPr>
    </w:p>
    <w:p w14:paraId="5B262CD7" w14:textId="77777777" w:rsidR="002E512B" w:rsidRPr="00266201" w:rsidRDefault="002E512B" w:rsidP="00BC5C37">
      <w:pPr>
        <w:pStyle w:val="Prrafodelista"/>
        <w:spacing w:after="0" w:line="240" w:lineRule="auto"/>
        <w:ind w:left="709" w:right="709"/>
        <w:jc w:val="both"/>
        <w:rPr>
          <w:rFonts w:ascii="Verdana" w:eastAsia="Calibri" w:hAnsi="Verdana" w:cs="Arial"/>
          <w:b/>
          <w:sz w:val="20"/>
          <w:szCs w:val="20"/>
        </w:rPr>
      </w:pPr>
      <w:r w:rsidRPr="0039383C">
        <w:rPr>
          <w:rFonts w:ascii="Verdana" w:eastAsia="Calibri" w:hAnsi="Verdana" w:cs="Arial"/>
          <w:sz w:val="20"/>
          <w:szCs w:val="20"/>
        </w:rPr>
        <w:t>“</w:t>
      </w:r>
      <w:r w:rsidRPr="00266201">
        <w:rPr>
          <w:rFonts w:ascii="Verdana" w:eastAsia="Calibri" w:hAnsi="Verdana" w:cs="Arial"/>
          <w:b/>
          <w:sz w:val="20"/>
          <w:szCs w:val="20"/>
        </w:rPr>
        <w:t>9.4 ¿Cómo calcular la Capacidad Técnica (CT)?</w:t>
      </w:r>
    </w:p>
    <w:p w14:paraId="50D0571A" w14:textId="77777777" w:rsidR="006902B4" w:rsidRDefault="006902B4" w:rsidP="006902B4">
      <w:pPr>
        <w:pStyle w:val="Prrafodelista"/>
        <w:spacing w:after="0" w:line="240" w:lineRule="auto"/>
        <w:ind w:left="709" w:right="709"/>
        <w:jc w:val="both"/>
        <w:rPr>
          <w:rFonts w:ascii="Verdana" w:eastAsia="Calibri" w:hAnsi="Verdana" w:cs="Arial"/>
          <w:sz w:val="20"/>
          <w:szCs w:val="20"/>
        </w:rPr>
      </w:pPr>
    </w:p>
    <w:p w14:paraId="62930E51" w14:textId="77777777" w:rsidR="002E512B" w:rsidRDefault="002E512B" w:rsidP="006902B4">
      <w:pPr>
        <w:pStyle w:val="Prrafodelista"/>
        <w:spacing w:after="0" w:line="240" w:lineRule="auto"/>
        <w:ind w:left="709" w:right="709"/>
        <w:jc w:val="both"/>
        <w:rPr>
          <w:rFonts w:ascii="Verdana" w:eastAsia="Calibri" w:hAnsi="Verdana" w:cs="Arial"/>
          <w:sz w:val="20"/>
          <w:szCs w:val="20"/>
        </w:rPr>
      </w:pPr>
      <w:r w:rsidRPr="0039383C">
        <w:rPr>
          <w:rFonts w:ascii="Verdana" w:eastAsia="Calibri" w:hAnsi="Verdana" w:cs="Arial"/>
          <w:sz w:val="20"/>
          <w:szCs w:val="20"/>
        </w:rPr>
        <w:t>La capacidad técnica (CT) se asigna teniendo en cuenta el número de socios y profesionales de la arquitectura, ingeniería y geología vinculados mediante una relación laboral o contractual conforme a la cual desarrollen actividades relacionadas directamente a la construcción.</w:t>
      </w:r>
    </w:p>
    <w:p w14:paraId="14EAB761" w14:textId="77777777" w:rsidR="006902B4" w:rsidRPr="0039383C" w:rsidRDefault="006902B4" w:rsidP="00BC5C37">
      <w:pPr>
        <w:pStyle w:val="Prrafodelista"/>
        <w:spacing w:after="0" w:line="240" w:lineRule="auto"/>
        <w:ind w:left="709" w:right="709"/>
        <w:jc w:val="both"/>
        <w:rPr>
          <w:rFonts w:ascii="Verdana" w:eastAsia="Calibri" w:hAnsi="Verdana" w:cs="Arial"/>
          <w:sz w:val="20"/>
          <w:szCs w:val="20"/>
        </w:rPr>
      </w:pPr>
    </w:p>
    <w:p w14:paraId="3E992DF1" w14:textId="77777777" w:rsidR="002E512B" w:rsidRDefault="002E512B" w:rsidP="006902B4">
      <w:pPr>
        <w:pStyle w:val="Textoindependiente"/>
        <w:ind w:left="709" w:right="709"/>
        <w:jc w:val="both"/>
        <w:rPr>
          <w:rFonts w:ascii="Verdana" w:eastAsia="Calibri" w:hAnsi="Verdana"/>
        </w:rPr>
      </w:pPr>
      <w:r w:rsidRPr="0039383C">
        <w:rPr>
          <w:rFonts w:ascii="Verdana" w:eastAsia="Calibri" w:hAnsi="Verdana"/>
        </w:rPr>
        <w:t>Para acreditar la Capacidad Técnica (CT) el proponente debe diligenciar el formato establecido para tal fin en los pliegos de condiciones. No obstante, se sugiere el establecido en el Anexo 2 de esta guía.</w:t>
      </w:r>
    </w:p>
    <w:p w14:paraId="7DDC3919" w14:textId="77777777" w:rsidR="007F0BE9" w:rsidRPr="0039383C" w:rsidRDefault="007F0BE9" w:rsidP="00BC5C37">
      <w:pPr>
        <w:pStyle w:val="Textoindependiente"/>
        <w:ind w:left="709" w:right="709"/>
        <w:jc w:val="both"/>
        <w:rPr>
          <w:rFonts w:ascii="Verdana" w:eastAsia="Calibri" w:hAnsi="Verdana"/>
        </w:rPr>
      </w:pPr>
    </w:p>
    <w:p w14:paraId="15843B56" w14:textId="180B2020" w:rsidR="002E512B" w:rsidRDefault="002E512B" w:rsidP="006902B4">
      <w:pPr>
        <w:pStyle w:val="Textoindependiente"/>
        <w:ind w:left="709" w:right="709"/>
        <w:jc w:val="both"/>
        <w:rPr>
          <w:rFonts w:ascii="Verdana" w:eastAsia="Calibri" w:hAnsi="Verdana"/>
        </w:rPr>
      </w:pPr>
      <w:r w:rsidRPr="0039383C">
        <w:rPr>
          <w:rFonts w:ascii="Verdana" w:eastAsia="Calibri" w:hAnsi="Verdana"/>
        </w:rPr>
        <w:t>[.</w:t>
      </w:r>
      <w:r>
        <w:rPr>
          <w:rFonts w:ascii="Verdana" w:eastAsia="Calibri" w:hAnsi="Verdana"/>
        </w:rPr>
        <w:t>.</w:t>
      </w:r>
      <w:r w:rsidRPr="0039383C">
        <w:rPr>
          <w:rFonts w:ascii="Verdana" w:eastAsia="Calibri" w:hAnsi="Verdana"/>
        </w:rPr>
        <w:t>.]”</w:t>
      </w:r>
      <w:r w:rsidR="00C129B2">
        <w:rPr>
          <w:rFonts w:ascii="Verdana" w:eastAsia="Calibri" w:hAnsi="Verdana"/>
        </w:rPr>
        <w:t xml:space="preserve">. </w:t>
      </w:r>
    </w:p>
    <w:p w14:paraId="6A747A87" w14:textId="77777777" w:rsidR="006902B4" w:rsidRPr="00BC5C37" w:rsidRDefault="006902B4" w:rsidP="00BC5C37">
      <w:pPr>
        <w:pStyle w:val="Textoindependiente"/>
        <w:spacing w:line="276" w:lineRule="auto"/>
        <w:ind w:left="709" w:right="709"/>
        <w:jc w:val="both"/>
        <w:rPr>
          <w:rFonts w:ascii="Verdana" w:eastAsia="Calibri" w:hAnsi="Verdana"/>
          <w:sz w:val="22"/>
          <w:szCs w:val="22"/>
        </w:rPr>
      </w:pPr>
    </w:p>
    <w:p w14:paraId="68526442" w14:textId="5A76B26C" w:rsidR="00E4565F" w:rsidRDefault="002E512B" w:rsidP="008C0FF0">
      <w:pPr>
        <w:spacing w:after="120" w:line="276" w:lineRule="auto"/>
        <w:ind w:firstLine="708"/>
        <w:jc w:val="both"/>
        <w:rPr>
          <w:rFonts w:ascii="Verdana" w:eastAsia="Calibri" w:hAnsi="Verdana" w:cs="Arial"/>
        </w:rPr>
      </w:pPr>
      <w:r w:rsidRPr="00E460B7">
        <w:rPr>
          <w:rFonts w:ascii="Verdana" w:eastAsia="Calibri" w:hAnsi="Verdana" w:cs="Arial"/>
        </w:rPr>
        <w:t xml:space="preserve">Se observa que, la </w:t>
      </w:r>
      <w:r w:rsidR="007F0BE9">
        <w:rPr>
          <w:rFonts w:ascii="Verdana" w:eastAsia="Calibri" w:hAnsi="Verdana" w:cs="Arial"/>
        </w:rPr>
        <w:t>“</w:t>
      </w:r>
      <w:r w:rsidRPr="00E460B7">
        <w:rPr>
          <w:rFonts w:ascii="Verdana" w:eastAsia="Calibri" w:hAnsi="Verdana" w:cs="Arial"/>
        </w:rPr>
        <w:t>Guía para Determinar y Verificar la Capacidad Residual del Proponente en los Procesos de Contratación de Obra Pública</w:t>
      </w:r>
      <w:r w:rsidR="007F0BE9">
        <w:rPr>
          <w:rFonts w:ascii="Verdana" w:eastAsia="Calibri" w:hAnsi="Verdana" w:cs="Arial"/>
        </w:rPr>
        <w:t>”</w:t>
      </w:r>
      <w:r w:rsidRPr="00E460B7">
        <w:rPr>
          <w:rFonts w:ascii="Verdana" w:eastAsia="Calibri" w:hAnsi="Verdana" w:cs="Arial"/>
        </w:rPr>
        <w:t xml:space="preserve">, indica que, la </w:t>
      </w:r>
      <w:r w:rsidR="00266201" w:rsidRPr="00E460B7">
        <w:rPr>
          <w:rFonts w:ascii="Verdana" w:eastAsia="Calibri" w:hAnsi="Verdana" w:cs="Arial"/>
        </w:rPr>
        <w:t>Capacidad Técnica</w:t>
      </w:r>
      <w:r w:rsidRPr="00E460B7">
        <w:rPr>
          <w:rFonts w:ascii="Verdana" w:eastAsia="Calibri" w:hAnsi="Verdana" w:cs="Arial"/>
        </w:rPr>
        <w:t xml:space="preserve"> (CT) se asigna teniendo en cuenta el número de socios y profesionales de la arquitectura, ingeniería y geología vinculados mediante una relación laboral o contractual conforme a la cual desarrollen actividades relacionadas directamente a la construcción.</w:t>
      </w:r>
    </w:p>
    <w:p w14:paraId="13EE948B" w14:textId="00F638C6" w:rsidR="00923832" w:rsidRPr="00BC5C37" w:rsidRDefault="006726B5" w:rsidP="00923832">
      <w:pPr>
        <w:spacing w:after="120" w:line="276" w:lineRule="auto"/>
        <w:ind w:firstLine="708"/>
        <w:jc w:val="both"/>
        <w:rPr>
          <w:rFonts w:ascii="Verdana" w:eastAsia="Calibri" w:hAnsi="Verdana"/>
        </w:rPr>
      </w:pPr>
      <w:r w:rsidRPr="009920FD">
        <w:rPr>
          <w:rFonts w:ascii="Verdana" w:hAnsi="Verdana"/>
          <w:lang w:val="es-ES"/>
        </w:rPr>
        <w:lastRenderedPageBreak/>
        <w:t xml:space="preserve">Asimismo, establece que para acreditar la </w:t>
      </w:r>
      <w:r w:rsidR="00FD2F44" w:rsidRPr="009920FD">
        <w:rPr>
          <w:rFonts w:ascii="Verdana" w:hAnsi="Verdana"/>
          <w:lang w:val="es-ES"/>
        </w:rPr>
        <w:t xml:space="preserve">Capacidad Técnica </w:t>
      </w:r>
      <w:r w:rsidRPr="009920FD">
        <w:rPr>
          <w:rFonts w:ascii="Verdana" w:hAnsi="Verdana"/>
          <w:lang w:val="es-ES"/>
        </w:rPr>
        <w:t>(CT) es el proponente quien debe diligenciar el formato</w:t>
      </w:r>
      <w:r w:rsidR="00DD4370" w:rsidRPr="009920FD">
        <w:rPr>
          <w:rFonts w:ascii="Verdana" w:hAnsi="Verdana"/>
          <w:lang w:val="es-ES"/>
        </w:rPr>
        <w:t xml:space="preserve"> establecido en los pliegos de cond</w:t>
      </w:r>
      <w:r w:rsidR="000E6303" w:rsidRPr="009920FD">
        <w:rPr>
          <w:rFonts w:ascii="Verdana" w:hAnsi="Verdana"/>
          <w:lang w:val="es-ES"/>
        </w:rPr>
        <w:t xml:space="preserve">iciones. </w:t>
      </w:r>
      <w:r w:rsidR="00923832">
        <w:rPr>
          <w:rFonts w:ascii="Verdana" w:hAnsi="Verdana"/>
          <w:lang w:val="es-ES"/>
        </w:rPr>
        <w:t xml:space="preserve">Al respecto debe tenerse en cuenta, </w:t>
      </w:r>
      <w:r w:rsidR="0037601C">
        <w:rPr>
          <w:rFonts w:ascii="Verdana" w:eastAsia="Calibri" w:hAnsi="Verdana" w:cs="Arial"/>
        </w:rPr>
        <w:t>que</w:t>
      </w:r>
      <w:r w:rsidR="00923832">
        <w:rPr>
          <w:rFonts w:ascii="Verdana" w:eastAsia="Calibri" w:hAnsi="Verdana" w:cs="Arial"/>
        </w:rPr>
        <w:t xml:space="preserve"> </w:t>
      </w:r>
      <w:r w:rsidR="00923832" w:rsidRPr="00BC5C37">
        <w:rPr>
          <w:rFonts w:ascii="Verdana" w:eastAsia="Calibri" w:hAnsi="Verdana"/>
        </w:rPr>
        <w:t xml:space="preserve">la entidad estatal, como directora de los Procesos de Contratación que adelanta, debe señalar en el pliego de condiciones–o en la </w:t>
      </w:r>
      <w:r w:rsidR="00DA382B" w:rsidRPr="00BC5C37">
        <w:rPr>
          <w:rFonts w:ascii="Verdana" w:eastAsia="Calibri" w:hAnsi="Verdana"/>
        </w:rPr>
        <w:t>invitación</w:t>
      </w:r>
      <w:r w:rsidR="00923832" w:rsidRPr="00BC5C37">
        <w:rPr>
          <w:rFonts w:ascii="Verdana" w:eastAsia="Calibri" w:hAnsi="Verdana"/>
        </w:rPr>
        <w:t xml:space="preserve">– cuál es la información que se debe acreditar para el cálculo de la </w:t>
      </w:r>
      <w:r w:rsidR="004E4BB8" w:rsidRPr="00BC5C37">
        <w:rPr>
          <w:rFonts w:ascii="Verdana" w:eastAsia="Calibri" w:hAnsi="Verdana"/>
        </w:rPr>
        <w:t>capacidad residual</w:t>
      </w:r>
      <w:r w:rsidR="00923832" w:rsidRPr="00BC5C37">
        <w:rPr>
          <w:rFonts w:ascii="Verdana" w:eastAsia="Calibri" w:hAnsi="Verdana"/>
        </w:rPr>
        <w:t xml:space="preserve">, así como los documentos que tendrá como válidos para tal fin. En consecuencia, el proponente deberá ceñirse a lo dispuesto por la </w:t>
      </w:r>
      <w:r w:rsidR="004E4BB8" w:rsidRPr="00BC5C37">
        <w:rPr>
          <w:rFonts w:ascii="Verdana" w:eastAsia="Calibri" w:hAnsi="Verdana"/>
        </w:rPr>
        <w:t xml:space="preserve">entidad </w:t>
      </w:r>
      <w:r w:rsidR="00923832" w:rsidRPr="00BC5C37">
        <w:rPr>
          <w:rFonts w:ascii="Verdana" w:eastAsia="Calibri" w:hAnsi="Verdana"/>
        </w:rPr>
        <w:t xml:space="preserve">y allegar toda información ordenada, en los términos y la forma en que hayan sido señalados, con el fin de que la </w:t>
      </w:r>
      <w:r w:rsidR="004E4BB8" w:rsidRPr="00BC5C37">
        <w:rPr>
          <w:rFonts w:ascii="Verdana" w:eastAsia="Calibri" w:hAnsi="Verdana"/>
        </w:rPr>
        <w:t xml:space="preserve">entidad </w:t>
      </w:r>
      <w:r w:rsidR="00923832" w:rsidRPr="00BC5C37">
        <w:rPr>
          <w:rFonts w:ascii="Verdana" w:eastAsia="Calibri" w:hAnsi="Verdana"/>
        </w:rPr>
        <w:t xml:space="preserve">pueda calcular la </w:t>
      </w:r>
      <w:r w:rsidR="004E4BB8" w:rsidRPr="00BC5C37">
        <w:rPr>
          <w:rFonts w:ascii="Verdana" w:eastAsia="Calibri" w:hAnsi="Verdana"/>
        </w:rPr>
        <w:t>capacidad residual del proponente y verificar si cumple o no con la requerida en el proceso de contratación que adelanta</w:t>
      </w:r>
      <w:r w:rsidR="00923832" w:rsidRPr="00BC5C37">
        <w:rPr>
          <w:rFonts w:ascii="Verdana" w:eastAsia="Calibri" w:hAnsi="Verdana"/>
        </w:rPr>
        <w:t xml:space="preserve">. </w:t>
      </w:r>
    </w:p>
    <w:p w14:paraId="728CEA26" w14:textId="3B774B86" w:rsidR="00FA4CC1" w:rsidRDefault="000E6303" w:rsidP="00FA4CC1">
      <w:pPr>
        <w:spacing w:after="120" w:line="276" w:lineRule="auto"/>
        <w:ind w:firstLine="709"/>
        <w:jc w:val="both"/>
        <w:rPr>
          <w:rFonts w:ascii="Verdana" w:hAnsi="Verdana"/>
          <w:lang w:val="es-ES"/>
        </w:rPr>
      </w:pPr>
      <w:r w:rsidRPr="009920FD">
        <w:rPr>
          <w:rFonts w:ascii="Verdana" w:hAnsi="Verdana"/>
          <w:lang w:val="es-ES"/>
        </w:rPr>
        <w:t>En todo caso</w:t>
      </w:r>
      <w:r w:rsidR="005D7328">
        <w:rPr>
          <w:rFonts w:ascii="Verdana" w:hAnsi="Verdana"/>
          <w:lang w:val="es-ES"/>
        </w:rPr>
        <w:t>,</w:t>
      </w:r>
      <w:r w:rsidRPr="009920FD">
        <w:rPr>
          <w:rFonts w:ascii="Verdana" w:hAnsi="Verdana"/>
          <w:lang w:val="es-ES"/>
        </w:rPr>
        <w:t xml:space="preserve"> </w:t>
      </w:r>
      <w:r w:rsidR="005455A1">
        <w:rPr>
          <w:rFonts w:ascii="Verdana" w:hAnsi="Verdana"/>
          <w:lang w:val="es-ES"/>
        </w:rPr>
        <w:t xml:space="preserve">la mencionada Guía </w:t>
      </w:r>
      <w:r w:rsidRPr="009920FD">
        <w:rPr>
          <w:rFonts w:ascii="Verdana" w:hAnsi="Verdana"/>
          <w:lang w:val="es-ES"/>
        </w:rPr>
        <w:t xml:space="preserve">sugiere </w:t>
      </w:r>
      <w:r w:rsidR="005455A1">
        <w:rPr>
          <w:rFonts w:ascii="Verdana" w:hAnsi="Verdana"/>
          <w:lang w:val="es-ES"/>
        </w:rPr>
        <w:t>el uso</w:t>
      </w:r>
      <w:r w:rsidRPr="009920FD">
        <w:rPr>
          <w:rFonts w:ascii="Verdana" w:hAnsi="Verdana"/>
          <w:lang w:val="es-ES"/>
        </w:rPr>
        <w:t xml:space="preserve"> </w:t>
      </w:r>
      <w:r w:rsidR="005455A1">
        <w:rPr>
          <w:rFonts w:ascii="Verdana" w:hAnsi="Verdana"/>
          <w:lang w:val="es-ES"/>
        </w:rPr>
        <w:t>d</w:t>
      </w:r>
      <w:r w:rsidRPr="009920FD">
        <w:rPr>
          <w:rFonts w:ascii="Verdana" w:hAnsi="Verdana"/>
          <w:lang w:val="es-ES"/>
        </w:rPr>
        <w:t>e</w:t>
      </w:r>
      <w:r w:rsidR="006726B5" w:rsidRPr="009920FD">
        <w:rPr>
          <w:rFonts w:ascii="Verdana" w:hAnsi="Verdana"/>
          <w:lang w:val="es-ES"/>
        </w:rPr>
        <w:t>l “Anexo 2 – Certificación de la Capacidad Técnica</w:t>
      </w:r>
      <w:r w:rsidRPr="009920FD">
        <w:rPr>
          <w:rFonts w:ascii="Verdana" w:hAnsi="Verdana"/>
          <w:lang w:val="es-ES"/>
        </w:rPr>
        <w:t>”</w:t>
      </w:r>
      <w:r w:rsidR="006726B5" w:rsidRPr="009920FD">
        <w:rPr>
          <w:rFonts w:ascii="Verdana" w:hAnsi="Verdana"/>
          <w:lang w:val="es-ES"/>
        </w:rPr>
        <w:t xml:space="preserve">. Este formato señala que, el representante legal del proponente y el auditor o revisor fiscal deben diligenciar el “Nombre del socio y/o profesional de la arquitectura, ingeniería o geología”, la “Profesión”, el “No. de matrícula profesional”, el “Número y año del Contrato laboral o de prestación de servicios profesionales” y la “Vigencia del Contrato”, aclarando que para el caso de los proponentes plurales este anexo deberá ser diligenciado de forma independiente por cada integrante. </w:t>
      </w:r>
    </w:p>
    <w:p w14:paraId="0732F67B" w14:textId="77777777" w:rsidR="00F6641B" w:rsidRDefault="006E5A8C" w:rsidP="00FA4CC1">
      <w:pPr>
        <w:spacing w:after="120" w:line="276" w:lineRule="auto"/>
        <w:ind w:firstLine="709"/>
        <w:jc w:val="both"/>
        <w:rPr>
          <w:rFonts w:ascii="Verdana" w:eastAsia="Calibri" w:hAnsi="Verdana" w:cs="Arial"/>
        </w:rPr>
      </w:pPr>
      <w:r>
        <w:rPr>
          <w:rFonts w:ascii="Verdana" w:hAnsi="Verdana"/>
          <w:lang w:val="es-ES"/>
        </w:rPr>
        <w:t>Así las cosas, r</w:t>
      </w:r>
      <w:r w:rsidR="00FA4CC1">
        <w:rPr>
          <w:rFonts w:ascii="Verdana" w:hAnsi="Verdana"/>
          <w:lang w:val="es-ES"/>
        </w:rPr>
        <w:t xml:space="preserve">especto al primer </w:t>
      </w:r>
      <w:r w:rsidR="006B1F2C">
        <w:rPr>
          <w:rFonts w:ascii="Verdana" w:hAnsi="Verdana"/>
          <w:lang w:val="es-ES"/>
        </w:rPr>
        <w:t>problema jurídico, debe señalarse que n</w:t>
      </w:r>
      <w:r w:rsidR="00FA4CC1" w:rsidRPr="00FA4CC1">
        <w:rPr>
          <w:rFonts w:ascii="Verdana" w:eastAsia="Calibri" w:hAnsi="Verdana" w:cs="Arial"/>
        </w:rPr>
        <w:t>i la</w:t>
      </w:r>
      <w:r w:rsidR="00E108EE">
        <w:rPr>
          <w:rFonts w:ascii="Verdana" w:eastAsia="Calibri" w:hAnsi="Verdana" w:cs="Arial"/>
        </w:rPr>
        <w:t>s</w:t>
      </w:r>
      <w:r w:rsidR="00FA4CC1" w:rsidRPr="00FA4CC1">
        <w:rPr>
          <w:rFonts w:ascii="Verdana" w:eastAsia="Calibri" w:hAnsi="Verdana" w:cs="Arial"/>
        </w:rPr>
        <w:t xml:space="preserve"> referenciada</w:t>
      </w:r>
      <w:r w:rsidR="00E108EE">
        <w:rPr>
          <w:rFonts w:ascii="Verdana" w:eastAsia="Calibri" w:hAnsi="Verdana" w:cs="Arial"/>
        </w:rPr>
        <w:t>s</w:t>
      </w:r>
      <w:r w:rsidR="00FA4CC1" w:rsidRPr="00FA4CC1">
        <w:rPr>
          <w:rFonts w:ascii="Verdana" w:eastAsia="Calibri" w:hAnsi="Verdana" w:cs="Arial"/>
        </w:rPr>
        <w:t xml:space="preserve"> norma</w:t>
      </w:r>
      <w:r w:rsidR="00E108EE">
        <w:rPr>
          <w:rFonts w:ascii="Verdana" w:eastAsia="Calibri" w:hAnsi="Verdana" w:cs="Arial"/>
        </w:rPr>
        <w:t>s</w:t>
      </w:r>
      <w:r w:rsidR="00FA4CC1" w:rsidRPr="00FA4CC1">
        <w:rPr>
          <w:rFonts w:ascii="Verdana" w:eastAsia="Calibri" w:hAnsi="Verdana" w:cs="Arial"/>
        </w:rPr>
        <w:t xml:space="preserve">, ni la </w:t>
      </w:r>
      <w:r w:rsidR="00FA4CC1">
        <w:t xml:space="preserve"> “</w:t>
      </w:r>
      <w:r w:rsidR="00FA4CC1" w:rsidRPr="00FA4CC1">
        <w:rPr>
          <w:rFonts w:ascii="Verdana" w:eastAsia="Calibri" w:hAnsi="Verdana" w:cs="Arial"/>
        </w:rPr>
        <w:t xml:space="preserve">Guía para determinar y verificar la Capacidad Residual del proponente en los Procesos de Contratación de obra pública”,  expedida por esta </w:t>
      </w:r>
      <w:r w:rsidR="00E108EE" w:rsidRPr="00FA4CC1">
        <w:rPr>
          <w:rFonts w:ascii="Verdana" w:eastAsia="Calibri" w:hAnsi="Verdana" w:cs="Arial"/>
        </w:rPr>
        <w:t>Agencia</w:t>
      </w:r>
      <w:r w:rsidR="00FA4CC1" w:rsidRPr="00FA4CC1">
        <w:rPr>
          <w:rFonts w:ascii="Verdana" w:eastAsia="Calibri" w:hAnsi="Verdana" w:cs="Arial"/>
        </w:rPr>
        <w:t xml:space="preserve">, exigen o sugieren el acompañamiento de las planillas de pago de seguridad social como un anexo para la acreditación de este requisito, por lo que su solicitud y cumplimiento es una discreción de la entidad contratante como directora de los </w:t>
      </w:r>
      <w:r w:rsidR="00BD54C0" w:rsidRPr="00FA4CC1">
        <w:rPr>
          <w:rFonts w:ascii="Verdana" w:eastAsia="Calibri" w:hAnsi="Verdana" w:cs="Arial"/>
        </w:rPr>
        <w:t xml:space="preserve">procesos de contratación </w:t>
      </w:r>
      <w:r w:rsidR="00FA4CC1" w:rsidRPr="00FA4CC1">
        <w:rPr>
          <w:rFonts w:ascii="Verdana" w:eastAsia="Calibri" w:hAnsi="Verdana" w:cs="Arial"/>
        </w:rPr>
        <w:t>que adelanta</w:t>
      </w:r>
      <w:r w:rsidR="008E1307">
        <w:rPr>
          <w:rFonts w:ascii="Verdana" w:eastAsia="Calibri" w:hAnsi="Verdana" w:cs="Arial"/>
        </w:rPr>
        <w:t xml:space="preserve">. </w:t>
      </w:r>
    </w:p>
    <w:p w14:paraId="7357E480" w14:textId="1E5F1718" w:rsidR="00FA4CC1" w:rsidRPr="00FA4CC1" w:rsidRDefault="008E1307" w:rsidP="00FA4CC1">
      <w:pPr>
        <w:spacing w:after="120" w:line="276" w:lineRule="auto"/>
        <w:ind w:firstLine="709"/>
        <w:jc w:val="both"/>
        <w:rPr>
          <w:rFonts w:ascii="Verdana" w:hAnsi="Verdana"/>
          <w:lang w:val="es-ES"/>
        </w:rPr>
      </w:pPr>
      <w:r>
        <w:rPr>
          <w:rFonts w:ascii="Verdana" w:eastAsia="Calibri" w:hAnsi="Verdana" w:cs="Arial"/>
        </w:rPr>
        <w:t>La exigencia de dichas planillas</w:t>
      </w:r>
      <w:r w:rsidR="00FA4CC1" w:rsidRPr="00FA4CC1">
        <w:rPr>
          <w:rFonts w:ascii="Verdana" w:eastAsia="Calibri" w:hAnsi="Verdana" w:cs="Arial"/>
        </w:rPr>
        <w:t xml:space="preserve"> debe señalar</w:t>
      </w:r>
      <w:r>
        <w:rPr>
          <w:rFonts w:ascii="Verdana" w:eastAsia="Calibri" w:hAnsi="Verdana" w:cs="Arial"/>
        </w:rPr>
        <w:t>se</w:t>
      </w:r>
      <w:r w:rsidR="00FA4CC1" w:rsidRPr="00FA4CC1">
        <w:rPr>
          <w:rFonts w:ascii="Verdana" w:eastAsia="Calibri" w:hAnsi="Verdana" w:cs="Arial"/>
        </w:rPr>
        <w:t xml:space="preserve"> en el pliego de condiciones–o en la </w:t>
      </w:r>
      <w:r w:rsidRPr="00FA4CC1">
        <w:rPr>
          <w:rFonts w:ascii="Verdana" w:eastAsia="Calibri" w:hAnsi="Verdana" w:cs="Arial"/>
        </w:rPr>
        <w:t>invitación</w:t>
      </w:r>
      <w:r w:rsidR="00FA4CC1" w:rsidRPr="00FA4CC1">
        <w:rPr>
          <w:rFonts w:ascii="Verdana" w:eastAsia="Calibri" w:hAnsi="Verdana" w:cs="Arial"/>
        </w:rPr>
        <w:t>–</w:t>
      </w:r>
      <w:r w:rsidR="00BA0ED0">
        <w:rPr>
          <w:rFonts w:ascii="Verdana" w:eastAsia="Calibri" w:hAnsi="Verdana" w:cs="Arial"/>
        </w:rPr>
        <w:t xml:space="preserve">, así como </w:t>
      </w:r>
      <w:r w:rsidR="00FA4CC1" w:rsidRPr="00FA4CC1">
        <w:rPr>
          <w:rFonts w:ascii="Verdana" w:eastAsia="Calibri" w:hAnsi="Verdana" w:cs="Arial"/>
        </w:rPr>
        <w:t>es la información que se debe acreditar para el cálculo de la Capacidad Residual</w:t>
      </w:r>
      <w:r w:rsidR="00BA0ED0">
        <w:rPr>
          <w:rFonts w:ascii="Verdana" w:eastAsia="Calibri" w:hAnsi="Verdana" w:cs="Arial"/>
        </w:rPr>
        <w:t xml:space="preserve"> y</w:t>
      </w:r>
      <w:r w:rsidR="00FA4CC1" w:rsidRPr="00FA4CC1">
        <w:rPr>
          <w:rFonts w:ascii="Verdana" w:eastAsia="Calibri" w:hAnsi="Verdana" w:cs="Arial"/>
        </w:rPr>
        <w:t xml:space="preserve"> los documentos que </w:t>
      </w:r>
      <w:r w:rsidR="00BA0ED0">
        <w:rPr>
          <w:rFonts w:ascii="Verdana" w:eastAsia="Calibri" w:hAnsi="Verdana" w:cs="Arial"/>
        </w:rPr>
        <w:t xml:space="preserve">se </w:t>
      </w:r>
      <w:r w:rsidR="00FA4CC1" w:rsidRPr="00FA4CC1">
        <w:rPr>
          <w:rFonts w:ascii="Verdana" w:eastAsia="Calibri" w:hAnsi="Verdana" w:cs="Arial"/>
        </w:rPr>
        <w:t>tendrá</w:t>
      </w:r>
      <w:r w:rsidR="00BA0ED0">
        <w:rPr>
          <w:rFonts w:ascii="Verdana" w:eastAsia="Calibri" w:hAnsi="Verdana" w:cs="Arial"/>
        </w:rPr>
        <w:t>n</w:t>
      </w:r>
      <w:r w:rsidR="00FA4CC1" w:rsidRPr="00FA4CC1">
        <w:rPr>
          <w:rFonts w:ascii="Verdana" w:eastAsia="Calibri" w:hAnsi="Verdana" w:cs="Arial"/>
        </w:rPr>
        <w:t xml:space="preserve"> como válidos para tal fin. En consecuencia, el proponente deberá ceñirse a lo dispuesto por la Entidad y allegar toda información ordenada, en los términos y la forma en que hayan sido señalados, con el fin de que la </w:t>
      </w:r>
      <w:r w:rsidR="00F6641B" w:rsidRPr="00FA4CC1">
        <w:rPr>
          <w:rFonts w:ascii="Verdana" w:eastAsia="Calibri" w:hAnsi="Verdana" w:cs="Arial"/>
        </w:rPr>
        <w:t xml:space="preserve">entidad </w:t>
      </w:r>
      <w:r w:rsidR="00FA4CC1" w:rsidRPr="00FA4CC1">
        <w:rPr>
          <w:rFonts w:ascii="Verdana" w:eastAsia="Calibri" w:hAnsi="Verdana" w:cs="Arial"/>
        </w:rPr>
        <w:t>pueda calcular la Capacidad Residual del proponente y verificar si cumple o no con la requerida en el Proceso de Contratación que adelanta.</w:t>
      </w:r>
    </w:p>
    <w:p w14:paraId="45A5C5A7" w14:textId="16A0E38F" w:rsidR="002E512B" w:rsidRPr="00E460B7" w:rsidRDefault="00F6641B" w:rsidP="00130E77">
      <w:pPr>
        <w:spacing w:after="0" w:line="276" w:lineRule="auto"/>
        <w:ind w:firstLine="708"/>
        <w:jc w:val="both"/>
        <w:rPr>
          <w:rFonts w:ascii="Verdana" w:eastAsia="Calibri" w:hAnsi="Verdana" w:cs="Arial"/>
        </w:rPr>
      </w:pPr>
      <w:proofErr w:type="spellStart"/>
      <w:r>
        <w:rPr>
          <w:rFonts w:ascii="Verdana" w:eastAsia="Calibri" w:hAnsi="Verdana" w:cs="Arial"/>
          <w:lang w:val="es-ES"/>
        </w:rPr>
        <w:t>ii</w:t>
      </w:r>
      <w:proofErr w:type="spellEnd"/>
      <w:r>
        <w:rPr>
          <w:rFonts w:ascii="Verdana" w:eastAsia="Calibri" w:hAnsi="Verdana" w:cs="Arial"/>
          <w:lang w:val="es-ES"/>
        </w:rPr>
        <w:t xml:space="preserve">) </w:t>
      </w:r>
      <w:r w:rsidR="002E512B" w:rsidRPr="00E460B7">
        <w:rPr>
          <w:rFonts w:ascii="Verdana" w:eastAsia="Calibri" w:hAnsi="Verdana" w:cs="Arial"/>
        </w:rPr>
        <w:t>Ahora</w:t>
      </w:r>
      <w:r w:rsidR="008C0FF0">
        <w:rPr>
          <w:rFonts w:ascii="Verdana" w:eastAsia="Calibri" w:hAnsi="Verdana" w:cs="Arial"/>
        </w:rPr>
        <w:t xml:space="preserve"> bien</w:t>
      </w:r>
      <w:r w:rsidR="002E512B" w:rsidRPr="00E460B7">
        <w:rPr>
          <w:rFonts w:ascii="Verdana" w:eastAsia="Calibri" w:hAnsi="Verdana" w:cs="Arial"/>
        </w:rPr>
        <w:t>, según esta Guía el puntaje de la capacidad técnica (CT) se asigna con base en la siguiente tabla:</w:t>
      </w:r>
    </w:p>
    <w:bookmarkEnd w:id="5"/>
    <w:p w14:paraId="039C6107" w14:textId="77777777" w:rsidR="002E512B" w:rsidRPr="00B35C65" w:rsidRDefault="002E512B" w:rsidP="00130E77">
      <w:pPr>
        <w:pStyle w:val="Prrafodelista"/>
        <w:spacing w:after="0" w:line="276" w:lineRule="auto"/>
        <w:contextualSpacing w:val="0"/>
        <w:jc w:val="both"/>
        <w:rPr>
          <w:rFonts w:ascii="Verdana" w:eastAsia="Calibri" w:hAnsi="Verdana" w:cs="Arial"/>
        </w:rPr>
      </w:pPr>
    </w:p>
    <w:p w14:paraId="2142F65A" w14:textId="77777777" w:rsidR="002E512B" w:rsidRPr="00B35C65" w:rsidRDefault="002E512B" w:rsidP="00130E77">
      <w:pPr>
        <w:pStyle w:val="Prrafodelista"/>
        <w:spacing w:after="120" w:line="276" w:lineRule="auto"/>
        <w:contextualSpacing w:val="0"/>
        <w:jc w:val="both"/>
        <w:rPr>
          <w:rFonts w:ascii="Verdana" w:eastAsia="Calibri" w:hAnsi="Verdana" w:cs="Arial"/>
        </w:rPr>
      </w:pPr>
      <w:r w:rsidRPr="00B35C65">
        <w:rPr>
          <w:rFonts w:ascii="Verdana" w:eastAsia="Calibri" w:hAnsi="Verdana" w:cs="Arial"/>
          <w:noProof/>
        </w:rPr>
        <w:drawing>
          <wp:inline distT="0" distB="0" distL="0" distR="0" wp14:anchorId="1CBCDE06" wp14:editId="149E480D">
            <wp:extent cx="4328535" cy="1234547"/>
            <wp:effectExtent l="0" t="0" r="0" b="3810"/>
            <wp:docPr id="1735293242"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54020" name="Imagen 1" descr="Tabla&#10;&#10;El contenido generado por IA puede ser incorrecto."/>
                    <pic:cNvPicPr/>
                  </pic:nvPicPr>
                  <pic:blipFill>
                    <a:blip r:embed="rId14"/>
                    <a:stretch>
                      <a:fillRect/>
                    </a:stretch>
                  </pic:blipFill>
                  <pic:spPr>
                    <a:xfrm>
                      <a:off x="0" y="0"/>
                      <a:ext cx="4328535" cy="1234547"/>
                    </a:xfrm>
                    <a:prstGeom prst="rect">
                      <a:avLst/>
                    </a:prstGeom>
                  </pic:spPr>
                </pic:pic>
              </a:graphicData>
            </a:graphic>
          </wp:inline>
        </w:drawing>
      </w:r>
    </w:p>
    <w:p w14:paraId="28FE707B" w14:textId="77777777" w:rsidR="0000008B" w:rsidRDefault="0000008B" w:rsidP="00130E77">
      <w:pPr>
        <w:spacing w:after="120" w:line="276" w:lineRule="auto"/>
        <w:ind w:firstLine="708"/>
        <w:jc w:val="both"/>
        <w:rPr>
          <w:rFonts w:ascii="Verdana" w:eastAsia="Calibri" w:hAnsi="Verdana" w:cs="Arial"/>
        </w:rPr>
      </w:pPr>
      <w:r>
        <w:rPr>
          <w:rFonts w:ascii="Verdana" w:eastAsia="Calibri" w:hAnsi="Verdana" w:cs="Arial"/>
          <w:lang w:val="es-ES"/>
        </w:rPr>
        <w:t>Conforme a lo anterior, p</w:t>
      </w:r>
      <w:proofErr w:type="spellStart"/>
      <w:r w:rsidR="002E512B" w:rsidRPr="0000008B">
        <w:rPr>
          <w:rFonts w:ascii="Verdana" w:eastAsia="Calibri" w:hAnsi="Verdana" w:cs="Arial"/>
        </w:rPr>
        <w:t>or</w:t>
      </w:r>
      <w:proofErr w:type="spellEnd"/>
      <w:r w:rsidR="002E512B" w:rsidRPr="0000008B">
        <w:rPr>
          <w:rFonts w:ascii="Verdana" w:eastAsia="Calibri" w:hAnsi="Verdana" w:cs="Arial"/>
        </w:rPr>
        <w:t xml:space="preserve"> ejemplo, si un proponente cuenta con entre uno (1) y cinco (5) socios y profesionales de la arquitectura, ingeniería y geología vinculados mediante un contrato laboral o algún otro tipo de contrato el puntaje máximo que este obtendrá será de veinte (20) puntos.</w:t>
      </w:r>
    </w:p>
    <w:p w14:paraId="50FEE74E" w14:textId="77777777" w:rsidR="002E512B" w:rsidRDefault="002E512B" w:rsidP="00130E77">
      <w:pPr>
        <w:spacing w:after="120" w:line="276" w:lineRule="auto"/>
        <w:ind w:firstLine="708"/>
        <w:jc w:val="both"/>
        <w:rPr>
          <w:rFonts w:ascii="Verdana" w:eastAsia="Calibri" w:hAnsi="Verdana" w:cs="Arial"/>
        </w:rPr>
      </w:pPr>
      <w:r w:rsidRPr="0021093B">
        <w:rPr>
          <w:rFonts w:ascii="Verdana" w:eastAsia="Calibri" w:hAnsi="Verdana" w:cs="Arial"/>
        </w:rPr>
        <w:t>De esta manera, dependiendo del número de profesionales en las disciplinas señaladas, el proponente podrá obtener cero (0), veinte (20), treinta (30) o cuarenta (40) puntos como máximo, que serán tenidos en cuenta en la fórmula para el cálculo de la capacidad residual del proponente, junto con los puntajes obtenidos por los factores de Experiencia (E) y Capacidad Financiera (CF) y los valores en pesos colombianos de los factores de Capacidad de Organización (CO) y Saldo de Contratos en Ejecución (SCE)</w:t>
      </w:r>
      <w:r>
        <w:rPr>
          <w:rFonts w:ascii="Verdana" w:eastAsia="Calibri" w:hAnsi="Verdana" w:cs="Arial"/>
        </w:rPr>
        <w:t>.</w:t>
      </w:r>
    </w:p>
    <w:p w14:paraId="0A0471ED" w14:textId="77777777" w:rsidR="002E512B" w:rsidRPr="0021093B" w:rsidRDefault="002E512B" w:rsidP="00130E77">
      <w:pPr>
        <w:spacing w:after="120" w:line="276" w:lineRule="auto"/>
        <w:ind w:firstLine="708"/>
        <w:jc w:val="both"/>
        <w:rPr>
          <w:rFonts w:ascii="Verdana" w:eastAsia="Calibri" w:hAnsi="Verdana" w:cs="Arial"/>
        </w:rPr>
      </w:pPr>
      <w:r w:rsidRPr="0021093B">
        <w:rPr>
          <w:rFonts w:ascii="Verdana" w:eastAsia="Calibri" w:hAnsi="Verdana" w:cs="Arial"/>
        </w:rPr>
        <w:t>Explicado esto, se concluye que para el cálculo de la Capacidad Técnica (CT) se tendrán en cuenta los socios y profesionales en arquitectura, ingeniería y geología, quienes deberán estar vinculados a través de una relación laboral o contractual. Es decir, en este factor, independiente de la forma de vinculación con el proponente, lo relevante es que sean profesionales en las áreas allí dispuestas, las cuales tienen relación con la construcción de obra.</w:t>
      </w:r>
    </w:p>
    <w:p w14:paraId="24DECCAB" w14:textId="7457CF90" w:rsidR="001B7CD4" w:rsidRDefault="001B7CD4" w:rsidP="00130E77">
      <w:pPr>
        <w:spacing w:after="120" w:line="276" w:lineRule="auto"/>
        <w:ind w:firstLine="708"/>
        <w:jc w:val="both"/>
        <w:rPr>
          <w:rFonts w:ascii="Verdana" w:eastAsia="Calibri" w:hAnsi="Verdana" w:cs="Arial"/>
        </w:rPr>
      </w:pPr>
      <w:r w:rsidRPr="00F2182F">
        <w:rPr>
          <w:rFonts w:ascii="Verdana" w:eastAsia="Calibri" w:hAnsi="Verdana" w:cs="Arial"/>
        </w:rPr>
        <w:t xml:space="preserve">En este contexto, resulta oportuno precisar que, </w:t>
      </w:r>
      <w:r>
        <w:rPr>
          <w:rFonts w:ascii="Verdana" w:eastAsia="Calibri" w:hAnsi="Verdana" w:cs="Arial"/>
        </w:rPr>
        <w:t>el aplicativo dispuesto por la Agencia Nacional de Contratación Pública – Colombia Compra Eficiente</w:t>
      </w:r>
      <w:r w:rsidR="00D65BD2">
        <w:rPr>
          <w:rFonts w:ascii="Verdana" w:eastAsia="Calibri" w:hAnsi="Verdana" w:cs="Arial"/>
        </w:rPr>
        <w:t xml:space="preserve"> denominado </w:t>
      </w:r>
      <w:r w:rsidR="00130E77" w:rsidRPr="00130E77">
        <w:rPr>
          <w:rFonts w:ascii="Verdana" w:eastAsia="Calibri" w:hAnsi="Verdana" w:cs="Arial"/>
        </w:rPr>
        <w:t>“Aplicación para establecer la Capacidad Residual”</w:t>
      </w:r>
      <w:r>
        <w:rPr>
          <w:rFonts w:ascii="Verdana" w:eastAsia="Calibri" w:hAnsi="Verdana" w:cs="Arial"/>
        </w:rPr>
        <w:t xml:space="preserve"> es una herramienta de apoyo para el cálculo de capacidad residual del proponente, más no es de obligatorio uso. En todo caso prevalece la metodología establecida en la guía, por lo que a ella se deben ceñir las entidades al momento de hacer el respectivo calculo.  </w:t>
      </w:r>
    </w:p>
    <w:p w14:paraId="104571DC" w14:textId="5E0F8EDB" w:rsidR="002E512B" w:rsidRPr="00E460B7" w:rsidRDefault="002038FB" w:rsidP="003203ED">
      <w:pPr>
        <w:spacing w:after="0" w:line="276" w:lineRule="auto"/>
        <w:ind w:right="49" w:firstLine="703"/>
        <w:jc w:val="both"/>
        <w:rPr>
          <w:rFonts w:ascii="Verdana" w:eastAsia="Calibri" w:hAnsi="Verdana" w:cs="Arial"/>
        </w:rPr>
      </w:pPr>
      <w:r>
        <w:rPr>
          <w:rFonts w:ascii="Verdana" w:eastAsia="Calibri" w:hAnsi="Verdana" w:cs="Arial"/>
        </w:rPr>
        <w:t xml:space="preserve">Visto lo anterior, es importante pasar al </w:t>
      </w:r>
      <w:bookmarkStart w:id="6" w:name="_Hlk121298068"/>
      <w:r>
        <w:rPr>
          <w:rFonts w:ascii="Verdana" w:eastAsia="Calibri" w:hAnsi="Verdana" w:cs="Arial"/>
        </w:rPr>
        <w:t>a</w:t>
      </w:r>
      <w:r w:rsidRPr="00BC5C37">
        <w:rPr>
          <w:rFonts w:ascii="Verdana" w:eastAsia="Calibri" w:hAnsi="Verdana"/>
        </w:rPr>
        <w:t xml:space="preserve">nálisis frente al rechazo de ofertas respecto a la información solicitada para el cálculo de la </w:t>
      </w:r>
      <w:r w:rsidR="00EE0DC6" w:rsidRPr="00BC5C37">
        <w:rPr>
          <w:rFonts w:ascii="Verdana" w:eastAsia="Calibri" w:hAnsi="Verdana"/>
        </w:rPr>
        <w:t>capacidad residual</w:t>
      </w:r>
      <w:bookmarkEnd w:id="6"/>
      <w:r w:rsidR="00B960CD" w:rsidRPr="00BC5C37">
        <w:rPr>
          <w:rFonts w:ascii="Verdana" w:eastAsia="Calibri" w:hAnsi="Verdana"/>
        </w:rPr>
        <w:t xml:space="preserve">. </w:t>
      </w:r>
      <w:r w:rsidR="002E512B" w:rsidRPr="00E460B7">
        <w:rPr>
          <w:rFonts w:ascii="Verdana" w:eastAsia="Calibri" w:hAnsi="Verdana" w:cs="Arial"/>
        </w:rPr>
        <w:t>Las causales de rechazo son las establecidas en la Ley y las fijadas por la</w:t>
      </w:r>
      <w:r w:rsidR="00E27414">
        <w:rPr>
          <w:rFonts w:ascii="Verdana" w:eastAsia="Calibri" w:hAnsi="Verdana" w:cs="Arial"/>
        </w:rPr>
        <w:t xml:space="preserve"> </w:t>
      </w:r>
      <w:r w:rsidR="00726A4D" w:rsidRPr="00E460B7">
        <w:rPr>
          <w:rFonts w:ascii="Verdana" w:eastAsia="Calibri" w:hAnsi="Verdana" w:cs="Arial"/>
        </w:rPr>
        <w:t xml:space="preserve">entidad estatal </w:t>
      </w:r>
      <w:r w:rsidR="002E512B" w:rsidRPr="00E460B7">
        <w:rPr>
          <w:rFonts w:ascii="Verdana" w:eastAsia="Calibri" w:hAnsi="Verdana" w:cs="Arial"/>
        </w:rPr>
        <w:t xml:space="preserve">en los pliegos de condiciones. Sin embargo, en ejercicio de </w:t>
      </w:r>
      <w:r w:rsidR="002E512B" w:rsidRPr="00E460B7">
        <w:rPr>
          <w:rFonts w:ascii="Verdana" w:eastAsia="Calibri" w:hAnsi="Verdana" w:cs="Arial"/>
        </w:rPr>
        <w:lastRenderedPageBreak/>
        <w:t>dicha facultad, a las entidades no les es dable fijar causales de rechazo que soslayen o afecten la selección objetiva en la contratación. Sobre el particular, el Consejo de Estado</w:t>
      </w:r>
      <w:r w:rsidR="002E512B">
        <w:rPr>
          <w:rStyle w:val="Refdenotaalpie"/>
          <w:rFonts w:ascii="Verdana" w:eastAsia="Calibri" w:hAnsi="Verdana" w:cs="Arial"/>
        </w:rPr>
        <w:footnoteReference w:id="5"/>
      </w:r>
      <w:r w:rsidR="002E512B" w:rsidRPr="00E460B7">
        <w:rPr>
          <w:rFonts w:ascii="Verdana" w:eastAsia="Calibri" w:hAnsi="Verdana" w:cs="Arial"/>
        </w:rPr>
        <w:t xml:space="preserve"> señala:</w:t>
      </w:r>
    </w:p>
    <w:p w14:paraId="532DCEE0" w14:textId="77777777" w:rsidR="002E512B" w:rsidRDefault="002E512B" w:rsidP="002D3084">
      <w:pPr>
        <w:pStyle w:val="Prrafodelista"/>
        <w:spacing w:after="120" w:line="276" w:lineRule="auto"/>
        <w:jc w:val="both"/>
        <w:rPr>
          <w:rFonts w:ascii="Verdana" w:eastAsia="Calibri" w:hAnsi="Verdana" w:cs="Arial"/>
        </w:rPr>
      </w:pPr>
    </w:p>
    <w:p w14:paraId="1F664BEE" w14:textId="77777777" w:rsidR="002E512B" w:rsidRPr="009671D9" w:rsidRDefault="002E512B" w:rsidP="003203ED">
      <w:pPr>
        <w:pStyle w:val="Prrafodelista"/>
        <w:spacing w:after="0" w:line="240" w:lineRule="auto"/>
        <w:ind w:left="709" w:right="709"/>
        <w:jc w:val="both"/>
        <w:rPr>
          <w:rFonts w:ascii="Verdana" w:eastAsia="Calibri" w:hAnsi="Verdana" w:cs="Arial"/>
          <w:sz w:val="20"/>
          <w:szCs w:val="20"/>
        </w:rPr>
      </w:pPr>
      <w:r w:rsidRPr="009671D9">
        <w:rPr>
          <w:rFonts w:ascii="Verdana" w:eastAsia="Calibri" w:hAnsi="Verdana" w:cs="Arial"/>
          <w:sz w:val="20"/>
          <w:szCs w:val="20"/>
        </w:rPr>
        <w:t xml:space="preserve">“Quiere con esto destacar la Sala que las causales de rechazo de las propuestas pueden ser legales y por lo mismo generan el efecto del descarte o exclusión de la oferta </w:t>
      </w:r>
      <w:proofErr w:type="spellStart"/>
      <w:r w:rsidRPr="009671D9">
        <w:rPr>
          <w:rFonts w:ascii="Verdana" w:eastAsia="Calibri" w:hAnsi="Verdana" w:cs="Arial"/>
          <w:sz w:val="20"/>
          <w:szCs w:val="20"/>
        </w:rPr>
        <w:t>ope</w:t>
      </w:r>
      <w:proofErr w:type="spellEnd"/>
      <w:r w:rsidRPr="009671D9">
        <w:rPr>
          <w:rFonts w:ascii="Verdana" w:eastAsia="Calibri" w:hAnsi="Verdana" w:cs="Arial"/>
          <w:sz w:val="20"/>
          <w:szCs w:val="20"/>
        </w:rPr>
        <w:t xml:space="preserve"> </w:t>
      </w:r>
      <w:proofErr w:type="spellStart"/>
      <w:r w:rsidRPr="009671D9">
        <w:rPr>
          <w:rFonts w:ascii="Verdana" w:eastAsia="Calibri" w:hAnsi="Verdana" w:cs="Arial"/>
          <w:sz w:val="20"/>
          <w:szCs w:val="20"/>
        </w:rPr>
        <w:t>legis</w:t>
      </w:r>
      <w:proofErr w:type="spellEnd"/>
      <w:r w:rsidRPr="009671D9">
        <w:rPr>
          <w:rFonts w:ascii="Verdana" w:eastAsia="Calibri" w:hAnsi="Verdana" w:cs="Arial"/>
          <w:sz w:val="20"/>
          <w:szCs w:val="20"/>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327BBA29" w14:textId="77777777" w:rsidR="002E512B" w:rsidRPr="009335E8" w:rsidRDefault="002E512B" w:rsidP="003203ED">
      <w:pPr>
        <w:pStyle w:val="Prrafodelista"/>
        <w:spacing w:after="0" w:line="276" w:lineRule="auto"/>
        <w:ind w:left="0"/>
        <w:contextualSpacing w:val="0"/>
        <w:jc w:val="both"/>
        <w:rPr>
          <w:rFonts w:ascii="Verdana" w:eastAsia="Calibri" w:hAnsi="Verdana" w:cs="Arial"/>
        </w:rPr>
      </w:pPr>
    </w:p>
    <w:p w14:paraId="426C188C" w14:textId="7D31563B" w:rsidR="002E512B" w:rsidRDefault="002E512B" w:rsidP="003203ED">
      <w:pPr>
        <w:spacing w:after="0" w:line="276" w:lineRule="auto"/>
        <w:ind w:firstLine="708"/>
        <w:jc w:val="both"/>
        <w:rPr>
          <w:rFonts w:ascii="Verdana" w:eastAsia="Calibri" w:hAnsi="Verdana" w:cs="Arial"/>
        </w:rPr>
      </w:pPr>
      <w:r w:rsidRPr="00E460B7">
        <w:rPr>
          <w:rFonts w:ascii="Verdana" w:eastAsia="Calibri" w:hAnsi="Verdana" w:cs="Arial"/>
        </w:rPr>
        <w:t>De igual forma, esta Agencia ha reiterado la postura del Consejo de Estado, según la cual, por la naturaleza propia de las causales de rechazo, su aplicación es estricta y restrictiva, lo que significa que su interpretación</w:t>
      </w:r>
      <w:r w:rsidR="00E27414">
        <w:rPr>
          <w:rFonts w:ascii="Verdana" w:eastAsia="Calibri" w:hAnsi="Verdana" w:cs="Arial"/>
        </w:rPr>
        <w:t xml:space="preserve"> </w:t>
      </w:r>
      <w:r w:rsidRPr="00E460B7">
        <w:rPr>
          <w:rFonts w:ascii="Verdana" w:eastAsia="Calibri" w:hAnsi="Verdana" w:cs="Arial"/>
        </w:rPr>
        <w:t>gramatical prevalece sobre una interpretación extensiva o de otra índole,</w:t>
      </w:r>
      <w:r w:rsidR="00E27414">
        <w:rPr>
          <w:rFonts w:ascii="Verdana" w:eastAsia="Calibri" w:hAnsi="Verdana" w:cs="Arial"/>
        </w:rPr>
        <w:t xml:space="preserve"> </w:t>
      </w:r>
      <w:r w:rsidRPr="00E460B7">
        <w:rPr>
          <w:rFonts w:ascii="Verdana" w:eastAsia="Calibri" w:hAnsi="Verdana" w:cs="Arial"/>
        </w:rPr>
        <w:t>mediante la cual se pretenda ampliar su alcance. Al respecto, el Consejo</w:t>
      </w:r>
      <w:r w:rsidR="00B26386">
        <w:rPr>
          <w:rFonts w:ascii="Verdana" w:eastAsia="Calibri" w:hAnsi="Verdana" w:cs="Arial"/>
        </w:rPr>
        <w:t xml:space="preserve"> </w:t>
      </w:r>
      <w:r w:rsidRPr="009335E8">
        <w:rPr>
          <w:rFonts w:ascii="Verdana" w:eastAsia="Calibri" w:hAnsi="Verdana" w:cs="Arial"/>
        </w:rPr>
        <w:t>de Estado</w:t>
      </w:r>
      <w:r>
        <w:rPr>
          <w:rStyle w:val="Refdenotaalpie"/>
          <w:rFonts w:ascii="Verdana" w:eastAsia="Calibri" w:hAnsi="Verdana" w:cs="Arial"/>
        </w:rPr>
        <w:footnoteReference w:id="6"/>
      </w:r>
      <w:r w:rsidRPr="009335E8">
        <w:rPr>
          <w:rFonts w:ascii="Verdana" w:eastAsia="Calibri" w:hAnsi="Verdana" w:cs="Arial"/>
        </w:rPr>
        <w:t xml:space="preserve"> sostuvo:</w:t>
      </w:r>
      <w:r>
        <w:rPr>
          <w:rFonts w:ascii="Verdana" w:eastAsia="Calibri" w:hAnsi="Verdana" w:cs="Arial"/>
        </w:rPr>
        <w:t xml:space="preserve"> </w:t>
      </w:r>
    </w:p>
    <w:p w14:paraId="47F683B3" w14:textId="77777777" w:rsidR="002E512B" w:rsidRDefault="002E512B" w:rsidP="003203ED">
      <w:pPr>
        <w:pStyle w:val="Prrafodelista"/>
        <w:spacing w:after="0" w:line="276" w:lineRule="auto"/>
        <w:ind w:left="0"/>
        <w:contextualSpacing w:val="0"/>
        <w:jc w:val="both"/>
        <w:rPr>
          <w:rFonts w:ascii="Verdana" w:eastAsia="Calibri" w:hAnsi="Verdana" w:cs="Arial"/>
        </w:rPr>
      </w:pPr>
    </w:p>
    <w:p w14:paraId="57273435" w14:textId="77777777" w:rsidR="002E512B" w:rsidRPr="009671D9" w:rsidRDefault="002E512B" w:rsidP="00FD67A8">
      <w:pPr>
        <w:pStyle w:val="Prrafodelista"/>
        <w:spacing w:after="0" w:line="240" w:lineRule="auto"/>
        <w:ind w:left="709" w:right="709"/>
        <w:contextualSpacing w:val="0"/>
        <w:jc w:val="both"/>
        <w:rPr>
          <w:rFonts w:ascii="Verdana" w:hAnsi="Verdana" w:cs="Arial"/>
          <w:sz w:val="20"/>
          <w:szCs w:val="20"/>
        </w:rPr>
      </w:pPr>
      <w:r w:rsidRPr="009671D9">
        <w:rPr>
          <w:rFonts w:ascii="Verdana" w:hAnsi="Verdana" w:cs="Arial"/>
          <w:sz w:val="20"/>
          <w:szCs w:val="20"/>
        </w:rPr>
        <w:t xml:space="preserve">“En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w:t>
      </w:r>
      <w:r w:rsidRPr="009671D9">
        <w:rPr>
          <w:rFonts w:ascii="Verdana" w:hAnsi="Verdana" w:cs="Arial"/>
          <w:sz w:val="20"/>
          <w:szCs w:val="20"/>
        </w:rPr>
        <w:lastRenderedPageBreak/>
        <w:t>toda vez que no tendría justificación excluir una propuesta por una deficiencia que no tenga incidencia alguna en la contratación.”</w:t>
      </w:r>
    </w:p>
    <w:p w14:paraId="160AA85A" w14:textId="77777777" w:rsidR="002E512B" w:rsidRDefault="002E512B" w:rsidP="00FD67A8">
      <w:pPr>
        <w:pStyle w:val="Prrafodelista"/>
        <w:spacing w:after="0" w:line="276" w:lineRule="auto"/>
        <w:jc w:val="both"/>
        <w:rPr>
          <w:rFonts w:ascii="Verdana" w:hAnsi="Verdana" w:cs="Arial"/>
        </w:rPr>
      </w:pPr>
    </w:p>
    <w:p w14:paraId="1F47EE28" w14:textId="77777777" w:rsidR="000A457D" w:rsidRPr="00BC5C37" w:rsidRDefault="002E512B" w:rsidP="002D3084">
      <w:pPr>
        <w:spacing w:after="120" w:line="276" w:lineRule="auto"/>
        <w:ind w:firstLine="708"/>
        <w:jc w:val="both"/>
        <w:rPr>
          <w:rFonts w:ascii="Verdana" w:hAnsi="Verdana" w:cs="Arial"/>
        </w:rPr>
      </w:pPr>
      <w:r w:rsidRPr="00E460B7">
        <w:rPr>
          <w:rFonts w:ascii="Verdana" w:hAnsi="Verdana" w:cs="Arial"/>
        </w:rPr>
        <w:t xml:space="preserve">Las causales de rechazo de ofertas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w:t>
      </w:r>
    </w:p>
    <w:p w14:paraId="443228A5" w14:textId="4BA1F52F" w:rsidR="002E512B" w:rsidRPr="00E460B7" w:rsidRDefault="002E512B" w:rsidP="002D3084">
      <w:pPr>
        <w:spacing w:after="120" w:line="276" w:lineRule="auto"/>
        <w:ind w:firstLine="708"/>
        <w:jc w:val="both"/>
        <w:rPr>
          <w:rFonts w:ascii="Verdana" w:hAnsi="Verdana" w:cs="Arial"/>
        </w:rPr>
      </w:pPr>
      <w:r w:rsidRPr="00E460B7">
        <w:rPr>
          <w:rFonts w:ascii="Verdana" w:hAnsi="Verdana" w:cs="Arial"/>
        </w:rPr>
        <w:t xml:space="preserve">De conformidad con esta regla, el rechazo de la oferta procede cuando en ejercicio de la potestad verificadora se advierta que luego de agotar la posibilidad de subsanación o aclaración el proponente dejó de incluir información que afecta la capacidad residual.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p>
    <w:p w14:paraId="050F844C" w14:textId="1DCF7F41" w:rsidR="00E77650" w:rsidRPr="00BC5C37" w:rsidRDefault="00E77650" w:rsidP="0058638C">
      <w:pPr>
        <w:tabs>
          <w:tab w:val="left" w:pos="426"/>
        </w:tabs>
        <w:spacing w:after="0" w:line="276" w:lineRule="auto"/>
        <w:jc w:val="both"/>
        <w:rPr>
          <w:rFonts w:ascii="Verdana" w:hAnsi="Verdana" w:cs="Arial"/>
        </w:rPr>
      </w:pPr>
      <w:r w:rsidRPr="0081560D">
        <w:rPr>
          <w:rFonts w:ascii="Arial" w:hAnsi="Arial" w:cs="Arial"/>
        </w:rPr>
        <w:tab/>
      </w:r>
      <w:r w:rsidRPr="0081560D">
        <w:rPr>
          <w:rFonts w:ascii="Arial" w:hAnsi="Arial" w:cs="Arial"/>
        </w:rPr>
        <w:tab/>
      </w:r>
      <w:r w:rsidRPr="00BC5C37">
        <w:rPr>
          <w:rFonts w:ascii="Verdana" w:hAnsi="Verdana" w:cs="Arial"/>
        </w:rPr>
        <w:t xml:space="preserve">Respecto a la consulta planteada acerca de la posibilidad de que una </w:t>
      </w:r>
      <w:r w:rsidR="00FD67A8" w:rsidRPr="00BC5C37">
        <w:rPr>
          <w:rFonts w:ascii="Verdana" w:hAnsi="Verdana" w:cs="Arial"/>
        </w:rPr>
        <w:t>entidad estatal</w:t>
      </w:r>
      <w:r w:rsidRPr="00BC5C37">
        <w:rPr>
          <w:rFonts w:ascii="Verdana" w:hAnsi="Verdana" w:cs="Arial"/>
        </w:rPr>
        <w:t xml:space="preserve"> rechace la oferta de un proponente por no haber </w:t>
      </w:r>
      <w:r w:rsidR="00FD67A8">
        <w:rPr>
          <w:rFonts w:ascii="Verdana" w:hAnsi="Verdana" w:cs="Arial"/>
        </w:rPr>
        <w:t>allegado las planillas</w:t>
      </w:r>
      <w:r w:rsidRPr="00BC5C37">
        <w:rPr>
          <w:rFonts w:ascii="Verdana" w:hAnsi="Verdana" w:cs="Arial"/>
        </w:rPr>
        <w:t xml:space="preserve"> de </w:t>
      </w:r>
      <w:r w:rsidR="00FD67A8">
        <w:rPr>
          <w:rFonts w:ascii="Verdana" w:hAnsi="Verdana" w:cs="Arial"/>
        </w:rPr>
        <w:t xml:space="preserve">seguridad social para el cálculo de la </w:t>
      </w:r>
      <w:r w:rsidRPr="00BC5C37">
        <w:rPr>
          <w:rFonts w:ascii="Verdana" w:hAnsi="Verdana" w:cs="Arial"/>
        </w:rPr>
        <w:t xml:space="preserve">Capacidad </w:t>
      </w:r>
      <w:r w:rsidR="00FD67A8">
        <w:rPr>
          <w:rFonts w:ascii="Verdana" w:hAnsi="Verdana" w:cs="Arial"/>
        </w:rPr>
        <w:t>Técnica</w:t>
      </w:r>
      <w:r w:rsidRPr="00BC5C37">
        <w:rPr>
          <w:rFonts w:ascii="Verdana" w:hAnsi="Verdana" w:cs="Arial"/>
        </w:rPr>
        <w:t xml:space="preserve">, debe señarse que las Entidades Estatales, como directoras de sus procesos de contratación son autónomas en estipular en sus </w:t>
      </w:r>
      <w:r w:rsidR="00FD67A8" w:rsidRPr="00BC5C37">
        <w:rPr>
          <w:rFonts w:ascii="Verdana" w:hAnsi="Verdana" w:cs="Arial"/>
        </w:rPr>
        <w:t>pliegos de condiciones</w:t>
      </w:r>
      <w:r w:rsidRPr="00BC5C37">
        <w:rPr>
          <w:rFonts w:ascii="Verdana" w:hAnsi="Verdana" w:cs="Arial"/>
        </w:rPr>
        <w:t xml:space="preserve"> o documentos equivalentes, las causales de rechazo que considere pertinente, siempre que no contradigan la Ley ni los principios que rigen en materia de contratación. Sobre el particular, debe tenerse en cuenta que el parágrafo 1 del artículo 5 de la Ley 1150 de 2011 señala:  </w:t>
      </w:r>
    </w:p>
    <w:p w14:paraId="3F52FEDF" w14:textId="77777777" w:rsidR="00E77650" w:rsidRPr="0081560D" w:rsidRDefault="00E77650" w:rsidP="0058638C">
      <w:pPr>
        <w:tabs>
          <w:tab w:val="left" w:pos="426"/>
        </w:tabs>
        <w:spacing w:after="0" w:line="276" w:lineRule="auto"/>
        <w:contextualSpacing/>
        <w:jc w:val="both"/>
        <w:rPr>
          <w:rFonts w:ascii="Arial" w:eastAsia="Times New Roman" w:hAnsi="Arial" w:cs="Arial"/>
          <w:spacing w:val="2"/>
          <w:lang w:eastAsia="es-CO"/>
        </w:rPr>
      </w:pPr>
    </w:p>
    <w:p w14:paraId="6E0891BE" w14:textId="15D6F676" w:rsidR="00E77650" w:rsidRPr="0081560D" w:rsidRDefault="009C66C5" w:rsidP="0058638C">
      <w:pPr>
        <w:spacing w:after="0" w:line="240" w:lineRule="auto"/>
        <w:ind w:left="709" w:right="709"/>
        <w:contextualSpacing/>
        <w:jc w:val="both"/>
        <w:rPr>
          <w:rFonts w:ascii="Arial" w:eastAsia="Times New Roman" w:hAnsi="Arial" w:cs="Arial"/>
          <w:spacing w:val="2"/>
          <w:sz w:val="21"/>
          <w:szCs w:val="21"/>
          <w:lang w:eastAsia="es-CO"/>
        </w:rPr>
      </w:pPr>
      <w:r>
        <w:rPr>
          <w:rFonts w:ascii="Arial" w:hAnsi="Arial" w:cs="Arial"/>
          <w:bCs/>
          <w:sz w:val="21"/>
          <w:szCs w:val="21"/>
        </w:rPr>
        <w:t>“</w:t>
      </w:r>
      <w:r w:rsidR="00E77650" w:rsidRPr="0058638C">
        <w:rPr>
          <w:rFonts w:ascii="Verdana" w:eastAsia="Times New Roman" w:hAnsi="Verdana" w:cs="Arial"/>
          <w:spacing w:val="2"/>
          <w:sz w:val="20"/>
          <w:szCs w:val="20"/>
          <w:lang w:eastAsia="es-CO"/>
        </w:rPr>
        <w:t xml:space="preserve">PARÁGRAFO 1o.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00E77650" w:rsidRPr="0058638C">
        <w:rPr>
          <w:rFonts w:ascii="Verdana" w:eastAsia="Times New Roman" w:hAnsi="Verdana" w:cs="Arial"/>
          <w:spacing w:val="2"/>
          <w:sz w:val="20"/>
          <w:szCs w:val="20"/>
          <w:lang w:eastAsia="es-CO"/>
        </w:rPr>
        <w:t>puntaje,</w:t>
      </w:r>
      <w:proofErr w:type="gramEnd"/>
      <w:r w:rsidR="00E77650" w:rsidRPr="0058638C">
        <w:rPr>
          <w:rFonts w:ascii="Verdana" w:eastAsia="Times New Roman" w:hAnsi="Verdana" w:cs="Arial"/>
          <w:spacing w:val="2"/>
          <w:sz w:val="20"/>
          <w:szCs w:val="20"/>
          <w:lang w:eastAsia="es-CO"/>
        </w:rPr>
        <w:t xml:space="preserve"> podrán ser solicitados por las entidades en cualquier momento, hasta la adjudicación. No </w:t>
      </w:r>
      <w:proofErr w:type="gramStart"/>
      <w:r w:rsidR="00E77650" w:rsidRPr="0058638C">
        <w:rPr>
          <w:rFonts w:ascii="Verdana" w:eastAsia="Times New Roman" w:hAnsi="Verdana" w:cs="Arial"/>
          <w:spacing w:val="2"/>
          <w:sz w:val="20"/>
          <w:szCs w:val="20"/>
          <w:lang w:eastAsia="es-CO"/>
        </w:rPr>
        <w:t>obstante</w:t>
      </w:r>
      <w:proofErr w:type="gramEnd"/>
      <w:r w:rsidR="00E77650" w:rsidRPr="0058638C">
        <w:rPr>
          <w:rFonts w:ascii="Verdana" w:eastAsia="Times New Roman" w:hAnsi="Verdana" w:cs="Arial"/>
          <w:spacing w:val="2"/>
          <w:sz w:val="20"/>
          <w:szCs w:val="20"/>
          <w:lang w:eastAsia="es-CO"/>
        </w:rPr>
        <w:t xml:space="preserve"> lo anterior, en aquellos procesos de selección en los que se utilice el mecanismo de subasta, deberán ser solicitados hasta el momento previo a su realización</w:t>
      </w:r>
      <w:r w:rsidRPr="0058638C">
        <w:rPr>
          <w:rFonts w:ascii="Verdana" w:hAnsi="Verdana" w:cs="Arial"/>
          <w:bCs/>
          <w:sz w:val="20"/>
          <w:szCs w:val="20"/>
        </w:rPr>
        <w:t>”</w:t>
      </w:r>
      <w:r w:rsidR="00E77650" w:rsidRPr="0058638C">
        <w:rPr>
          <w:rFonts w:ascii="Verdana" w:eastAsia="Times New Roman" w:hAnsi="Verdana" w:cs="Arial"/>
          <w:spacing w:val="2"/>
          <w:sz w:val="20"/>
          <w:szCs w:val="20"/>
          <w:lang w:eastAsia="es-CO"/>
        </w:rPr>
        <w:t>.</w:t>
      </w:r>
    </w:p>
    <w:p w14:paraId="59CC12F8" w14:textId="77777777" w:rsidR="00E77650" w:rsidRPr="0058638C" w:rsidRDefault="00E77650" w:rsidP="0058638C">
      <w:pPr>
        <w:spacing w:after="0" w:line="276" w:lineRule="auto"/>
        <w:contextualSpacing/>
        <w:jc w:val="both"/>
        <w:rPr>
          <w:rFonts w:ascii="Verdana" w:eastAsia="Times New Roman" w:hAnsi="Verdana" w:cs="Arial"/>
          <w:spacing w:val="2"/>
          <w:lang w:eastAsia="es-CO"/>
        </w:rPr>
      </w:pPr>
    </w:p>
    <w:p w14:paraId="72BD4E0F" w14:textId="77777777" w:rsidR="00E77650" w:rsidRPr="00BC5C37" w:rsidRDefault="00E77650" w:rsidP="003A4AD9">
      <w:pPr>
        <w:spacing w:after="120" w:line="276" w:lineRule="auto"/>
        <w:ind w:firstLine="709"/>
        <w:jc w:val="both"/>
        <w:rPr>
          <w:rFonts w:ascii="Verdana" w:hAnsi="Verdana" w:cs="Arial"/>
          <w:lang w:val="es-ES"/>
        </w:rPr>
      </w:pPr>
      <w:r w:rsidRPr="00BC5C37">
        <w:rPr>
          <w:rFonts w:ascii="Verdana" w:hAnsi="Verdana" w:cs="Arial"/>
          <w:lang w:val="es-ES"/>
        </w:rPr>
        <w:t xml:space="preserve">Se concluye que, si bien la administración cuenta con un espacio significativo de discrecionalidad al momento de elaborar los pliegos de </w:t>
      </w:r>
      <w:r w:rsidRPr="00BC5C37">
        <w:rPr>
          <w:rFonts w:ascii="Verdana" w:hAnsi="Verdana" w:cs="Arial"/>
          <w:lang w:val="es-ES"/>
        </w:rPr>
        <w:lastRenderedPageBreak/>
        <w:t>condiciones, la misma se encuentra delimitada por los fines y principios de la contratación estatal. En este entendimiento, la administración no puede establecer en los pliegos de condiciones causales de rechazo que no tengan un fundamento legal o constitucional, y que carezcan de razonabilidad y proporcionalidad en relación con el objeto a contratar.</w:t>
      </w:r>
    </w:p>
    <w:p w14:paraId="6624BD27" w14:textId="6928D52E" w:rsidR="002E512B" w:rsidRPr="0091500B" w:rsidRDefault="002E512B" w:rsidP="0091500B">
      <w:pPr>
        <w:spacing w:after="120" w:line="276" w:lineRule="auto"/>
        <w:ind w:firstLine="709"/>
        <w:contextualSpacing/>
        <w:jc w:val="both"/>
        <w:rPr>
          <w:rFonts w:ascii="Verdana" w:hAnsi="Verdana" w:cs="Arial"/>
          <w:lang w:val="es-ES"/>
        </w:rPr>
      </w:pPr>
      <w:r w:rsidRPr="003E0BA9">
        <w:rPr>
          <w:rFonts w:ascii="Verdana" w:hAnsi="Verdana" w:cs="Arial"/>
        </w:rPr>
        <w:t xml:space="preserve">Sin perjuicio de lo anterior debe advertirse que el análisis requerido para establecer si la falta de un documento es o no causal de rechazo debe ser realizado por la entidad contratante en consideración a las particularidades y especificaciones del respectivo objeto contractual, y de los requisitos habilitantes solicitados en el pliego de condiciones. De esta manera, lo explicado en el presente concepto no puede ser interpretado como un pronunciamiento respecto del proceso contractual aludido en la petición, ni las afirmaciones aquí realizadas pueden ser interpretadas como juicios de valor sobre circunstancias relacionadas con los hechos que motivan la petición. </w:t>
      </w:r>
    </w:p>
    <w:p w14:paraId="11EF107D" w14:textId="77777777" w:rsidR="002E512B" w:rsidRPr="001827D1" w:rsidRDefault="002E512B" w:rsidP="009C66C5">
      <w:pPr>
        <w:spacing w:after="0" w:line="276" w:lineRule="auto"/>
        <w:contextualSpacing/>
        <w:jc w:val="both"/>
        <w:rPr>
          <w:rFonts w:ascii="Verdana" w:eastAsia="Times New Roman" w:hAnsi="Verdana" w:cs="Arial"/>
          <w:color w:val="000000"/>
          <w:lang w:val="es-ES_tradnl"/>
        </w:rPr>
      </w:pPr>
    </w:p>
    <w:p w14:paraId="1B584DF3" w14:textId="77777777" w:rsidR="002E512B" w:rsidRPr="001827D1" w:rsidRDefault="002E512B" w:rsidP="002E512B">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t>Referencias normativas, jurisprudenciales y otras fuentes:</w:t>
      </w:r>
    </w:p>
    <w:p w14:paraId="25B32225" w14:textId="77777777" w:rsidR="002E512B" w:rsidRPr="001827D1" w:rsidRDefault="002E512B" w:rsidP="002E512B">
      <w:pPr>
        <w:widowControl w:val="0"/>
        <w:autoSpaceDE w:val="0"/>
        <w:autoSpaceDN w:val="0"/>
        <w:spacing w:after="0" w:line="276" w:lineRule="auto"/>
        <w:jc w:val="both"/>
        <w:rPr>
          <w:rFonts w:ascii="Verdana" w:eastAsia="Times New Roman" w:hAnsi="Verdana" w:cs="Arial"/>
          <w:color w:val="000000"/>
        </w:rPr>
      </w:pPr>
    </w:p>
    <w:tbl>
      <w:tblPr>
        <w:tblStyle w:val="Tablaconcuadrcula"/>
        <w:tblW w:w="86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E512B" w:rsidRPr="001827D1" w14:paraId="35D1695A" w14:textId="77777777" w:rsidTr="005C2184">
        <w:trPr>
          <w:trHeight w:val="1762"/>
        </w:trPr>
        <w:tc>
          <w:tcPr>
            <w:tcW w:w="8647" w:type="dxa"/>
          </w:tcPr>
          <w:p w14:paraId="27085C40" w14:textId="77777777" w:rsidR="00F906F4" w:rsidRPr="005C2184" w:rsidRDefault="00F906F4" w:rsidP="005C2184">
            <w:pPr>
              <w:pStyle w:val="Prrafodelista"/>
              <w:numPr>
                <w:ilvl w:val="0"/>
                <w:numId w:val="21"/>
              </w:numPr>
              <w:spacing w:line="276" w:lineRule="auto"/>
              <w:ind w:left="357" w:hanging="357"/>
              <w:contextualSpacing w:val="0"/>
              <w:rPr>
                <w:rFonts w:ascii="Verdana" w:eastAsia="Arial" w:hAnsi="Verdana" w:cs="Arial"/>
                <w:lang w:eastAsia="es-ES" w:bidi="es-ES"/>
              </w:rPr>
            </w:pPr>
            <w:r w:rsidRPr="005C2184">
              <w:rPr>
                <w:rFonts w:ascii="Verdana" w:eastAsia="Arial" w:hAnsi="Verdana" w:cs="Arial"/>
                <w:lang w:eastAsia="es-ES" w:bidi="es-ES"/>
              </w:rPr>
              <w:t xml:space="preserve">Ley 1150 de 2007: Artículo 5 y 6. </w:t>
            </w:r>
          </w:p>
          <w:p w14:paraId="06C7BDEC" w14:textId="77777777" w:rsidR="00F906F4" w:rsidRPr="005C2184" w:rsidRDefault="00F906F4" w:rsidP="005C2184">
            <w:pPr>
              <w:pStyle w:val="Prrafodelista"/>
              <w:numPr>
                <w:ilvl w:val="0"/>
                <w:numId w:val="21"/>
              </w:numPr>
              <w:spacing w:line="276" w:lineRule="auto"/>
              <w:ind w:left="357" w:hanging="357"/>
              <w:contextualSpacing w:val="0"/>
              <w:rPr>
                <w:rFonts w:ascii="Verdana" w:eastAsia="Calibri" w:hAnsi="Verdana" w:cs="Arial"/>
              </w:rPr>
            </w:pPr>
            <w:r w:rsidRPr="005C2184">
              <w:rPr>
                <w:rFonts w:ascii="Verdana" w:eastAsia="Calibri" w:hAnsi="Verdana" w:cs="Arial"/>
              </w:rPr>
              <w:t xml:space="preserve">Ley 1682 de 2013: Artículo 72. </w:t>
            </w:r>
          </w:p>
          <w:p w14:paraId="4AB07FF9" w14:textId="58C23B3F" w:rsidR="00F906F4" w:rsidRPr="005C2184" w:rsidRDefault="00F906F4" w:rsidP="005C2184">
            <w:pPr>
              <w:pStyle w:val="Prrafodelista"/>
              <w:numPr>
                <w:ilvl w:val="0"/>
                <w:numId w:val="21"/>
              </w:numPr>
              <w:spacing w:line="276" w:lineRule="auto"/>
              <w:ind w:left="357" w:hanging="357"/>
              <w:contextualSpacing w:val="0"/>
              <w:rPr>
                <w:rFonts w:ascii="Verdana" w:eastAsia="Calibri" w:hAnsi="Verdana" w:cs="Arial"/>
              </w:rPr>
            </w:pPr>
            <w:r w:rsidRPr="005C2184">
              <w:rPr>
                <w:rFonts w:ascii="Verdana" w:hAnsi="Verdana" w:cs="Arial"/>
              </w:rPr>
              <w:t>Decreto 1082 de 2015: Articulo 2.2.1.1.1.3.1.</w:t>
            </w:r>
            <w:r w:rsidR="005C2184">
              <w:rPr>
                <w:rFonts w:ascii="Verdana" w:hAnsi="Verdana" w:cs="Arial"/>
              </w:rPr>
              <w:t xml:space="preserve"> y </w:t>
            </w:r>
            <w:r w:rsidRPr="005C2184">
              <w:rPr>
                <w:rFonts w:ascii="Verdana" w:eastAsia="Calibri" w:hAnsi="Verdana" w:cs="Arial"/>
              </w:rPr>
              <w:t>2.2.1.1.1.6.4</w:t>
            </w:r>
            <w:r w:rsidR="005C2184">
              <w:rPr>
                <w:rFonts w:ascii="Verdana" w:eastAsia="Calibri" w:hAnsi="Verdana" w:cs="Arial"/>
              </w:rPr>
              <w:t>.</w:t>
            </w:r>
          </w:p>
          <w:p w14:paraId="3ED61431" w14:textId="72990530" w:rsidR="002E512B" w:rsidRPr="005C2184" w:rsidRDefault="002E512B" w:rsidP="005C2184">
            <w:pPr>
              <w:pStyle w:val="Prrafodelista"/>
              <w:numPr>
                <w:ilvl w:val="0"/>
                <w:numId w:val="21"/>
              </w:numPr>
              <w:spacing w:line="276" w:lineRule="auto"/>
              <w:ind w:left="357" w:hanging="357"/>
              <w:contextualSpacing w:val="0"/>
              <w:jc w:val="both"/>
              <w:rPr>
                <w:rFonts w:ascii="Verdana" w:eastAsia="Calibri" w:hAnsi="Verdana" w:cs="Arial"/>
              </w:rPr>
            </w:pPr>
            <w:r w:rsidRPr="00B018AF">
              <w:rPr>
                <w:rFonts w:ascii="Verdana" w:hAnsi="Verdana" w:cs="Arial"/>
              </w:rPr>
              <w:t>Guía para Determinar y Verificar la Capacidad Residual del Proponente</w:t>
            </w:r>
            <w:r>
              <w:rPr>
                <w:rFonts w:ascii="Verdana" w:hAnsi="Verdana" w:cs="Arial"/>
              </w:rPr>
              <w:t xml:space="preserve"> </w:t>
            </w:r>
            <w:r w:rsidRPr="00B018AF">
              <w:rPr>
                <w:rFonts w:ascii="Verdana" w:hAnsi="Verdana" w:cs="Arial"/>
              </w:rPr>
              <w:t xml:space="preserve">en los Procesos de Contratación de Obra Pública. </w:t>
            </w:r>
            <w:r w:rsidRPr="005C2184">
              <w:rPr>
                <w:rFonts w:ascii="Verdana" w:hAnsi="Verdana" w:cs="Arial"/>
              </w:rPr>
              <w:t xml:space="preserve">Disponible en: </w:t>
            </w:r>
            <w:hyperlink r:id="rId15" w:history="1">
              <w:r w:rsidR="005C2184" w:rsidRPr="005C2184">
                <w:rPr>
                  <w:rStyle w:val="Hipervnculo"/>
                  <w:rFonts w:ascii="Verdana" w:hAnsi="Verdana"/>
                </w:rPr>
                <w:t>https://www.colombiacompra.gov.co/sites/cce_public/files/cce_documents/cce-eicp-gi-22_guia_capacidad_residual_de_contratacion_v1_29-09-2023_.pdf</w:t>
              </w:r>
            </w:hyperlink>
            <w:r w:rsidR="005C2184" w:rsidRPr="005C2184">
              <w:rPr>
                <w:rFonts w:ascii="Verdana" w:hAnsi="Verdana"/>
              </w:rPr>
              <w:t xml:space="preserve"> </w:t>
            </w:r>
          </w:p>
        </w:tc>
      </w:tr>
    </w:tbl>
    <w:p w14:paraId="3DC37B76" w14:textId="77777777" w:rsidR="002E512B" w:rsidRPr="001827D1" w:rsidRDefault="002E512B" w:rsidP="002E512B">
      <w:pPr>
        <w:widowControl w:val="0"/>
        <w:autoSpaceDE w:val="0"/>
        <w:autoSpaceDN w:val="0"/>
        <w:spacing w:after="0" w:line="276" w:lineRule="auto"/>
        <w:jc w:val="both"/>
        <w:rPr>
          <w:rFonts w:ascii="Verdana" w:eastAsia="Times New Roman" w:hAnsi="Verdana" w:cs="Arial"/>
          <w:color w:val="000000"/>
        </w:rPr>
      </w:pPr>
    </w:p>
    <w:p w14:paraId="0F642893" w14:textId="77777777" w:rsidR="002E512B" w:rsidRPr="001827D1" w:rsidRDefault="002E512B" w:rsidP="002E512B">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t>Doctrina de la Agencia Nacional de Contratación Pública:</w:t>
      </w:r>
    </w:p>
    <w:p w14:paraId="1075468E" w14:textId="77777777" w:rsidR="002E512B" w:rsidRPr="001827D1" w:rsidRDefault="002E512B" w:rsidP="002E512B">
      <w:pPr>
        <w:widowControl w:val="0"/>
        <w:autoSpaceDE w:val="0"/>
        <w:autoSpaceDN w:val="0"/>
        <w:spacing w:after="0" w:line="276" w:lineRule="auto"/>
        <w:jc w:val="both"/>
        <w:rPr>
          <w:rFonts w:ascii="Verdana" w:eastAsia="Times New Roman" w:hAnsi="Verdana" w:cs="Arial"/>
          <w:color w:val="000000"/>
        </w:rPr>
      </w:pPr>
    </w:p>
    <w:p w14:paraId="7E205D12" w14:textId="77777777" w:rsidR="002E512B" w:rsidRDefault="002E512B" w:rsidP="002E512B">
      <w:pPr>
        <w:widowControl w:val="0"/>
        <w:autoSpaceDE w:val="0"/>
        <w:autoSpaceDN w:val="0"/>
        <w:spacing w:after="0" w:line="276" w:lineRule="auto"/>
        <w:jc w:val="both"/>
        <w:rPr>
          <w:rFonts w:ascii="Verdana" w:eastAsia="Times New Roman" w:hAnsi="Verdana" w:cs="Arial"/>
          <w:color w:val="000000"/>
          <w:lang w:val="es-ES"/>
        </w:rPr>
      </w:pPr>
      <w:r w:rsidRPr="00BD0638">
        <w:rPr>
          <w:rStyle w:val="normaltextrun"/>
          <w:rFonts w:ascii="Verdana" w:hAnsi="Verdana" w:cs="Arial"/>
          <w:shd w:val="clear" w:color="auto" w:fill="FFFFFF"/>
          <w:lang w:val="es-ES"/>
        </w:rPr>
        <w:t>La Agencia Nacional de Contratación Pública − Colombia Compra Eficiente se</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pronunció sobre las causales de rechazo incorporadas en los pliegos de</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condiciones, en los conceptos 2201913000007117 del 25 de septiembre de 2019,</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2201913000009538 del 23 de diciembre de 2019,</w:t>
      </w:r>
      <w:r>
        <w:rPr>
          <w:rStyle w:val="normaltextrun"/>
          <w:rFonts w:ascii="Verdana" w:hAnsi="Verdana" w:cs="Arial"/>
          <w:shd w:val="clear" w:color="auto" w:fill="FFFFFF"/>
          <w:lang w:val="es-ES"/>
        </w:rPr>
        <w:t xml:space="preserve"> 20240531007971 del 31 de mayo de 2024,</w:t>
      </w:r>
      <w:r w:rsidRPr="00BD0638">
        <w:rPr>
          <w:rStyle w:val="normaltextrun"/>
          <w:rFonts w:ascii="Verdana" w:hAnsi="Verdana" w:cs="Arial"/>
          <w:shd w:val="clear" w:color="auto" w:fill="FFFFFF"/>
          <w:lang w:val="es-ES"/>
        </w:rPr>
        <w:t xml:space="preserve"> C- 716 del 30 de octubre de</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2020, C-096 del 24 de marzo de 2021, C-056 del 20 de abril de 2021, C-078</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del 15 de marzo de 2022, C-321 del 17 de mayo de 2022, C-113 del 22 de marzo</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 xml:space="preserve">de 2022, C-178, C-186 del 12 de abril de 2022, </w:t>
      </w:r>
      <w:r w:rsidRPr="00B03549">
        <w:rPr>
          <w:rStyle w:val="normaltextrun"/>
          <w:rFonts w:ascii="Verdana" w:hAnsi="Verdana" w:cs="Arial"/>
          <w:shd w:val="clear" w:color="auto" w:fill="FFFFFF"/>
          <w:lang w:val="es-ES"/>
        </w:rPr>
        <w:t>C-849 de 7 de diciembre de 2022, C- 053 de 28 de marzo de 2023, C-280</w:t>
      </w:r>
      <w:r>
        <w:rPr>
          <w:rStyle w:val="normaltextrun"/>
          <w:rFonts w:ascii="Verdana" w:hAnsi="Verdana" w:cs="Arial"/>
          <w:shd w:val="clear" w:color="auto" w:fill="FFFFFF"/>
          <w:lang w:val="es-ES"/>
        </w:rPr>
        <w:t xml:space="preserve"> </w:t>
      </w:r>
      <w:r w:rsidRPr="00B03549">
        <w:rPr>
          <w:rStyle w:val="normaltextrun"/>
          <w:rFonts w:ascii="Verdana" w:hAnsi="Verdana" w:cs="Arial"/>
          <w:shd w:val="clear" w:color="auto" w:fill="FFFFFF"/>
          <w:lang w:val="es-ES"/>
        </w:rPr>
        <w:t>del 06 de junio de 2023</w:t>
      </w:r>
      <w:r>
        <w:rPr>
          <w:rStyle w:val="normaltextrun"/>
          <w:rFonts w:ascii="Verdana" w:hAnsi="Verdana" w:cs="Arial"/>
          <w:shd w:val="clear" w:color="auto" w:fill="FFFFFF"/>
          <w:lang w:val="es-ES"/>
        </w:rPr>
        <w:t>,</w:t>
      </w:r>
      <w:r w:rsidRPr="00B03549">
        <w:rPr>
          <w:rStyle w:val="normaltextrun"/>
          <w:rFonts w:ascii="Verdana" w:hAnsi="Verdana" w:cs="Arial"/>
          <w:shd w:val="clear" w:color="auto" w:fill="FFFFFF"/>
          <w:lang w:val="es-ES"/>
        </w:rPr>
        <w:t xml:space="preserve"> </w:t>
      </w:r>
      <w:r>
        <w:rPr>
          <w:rStyle w:val="normaltextrun"/>
          <w:rFonts w:ascii="Verdana" w:hAnsi="Verdana" w:cs="Arial"/>
          <w:shd w:val="clear" w:color="auto" w:fill="FFFFFF"/>
          <w:lang w:val="es-ES"/>
        </w:rPr>
        <w:t xml:space="preserve">C-271 del 15 de agosto de 2023, </w:t>
      </w:r>
      <w:r w:rsidRPr="00BD0638">
        <w:rPr>
          <w:rStyle w:val="normaltextrun"/>
          <w:rFonts w:ascii="Verdana" w:hAnsi="Verdana" w:cs="Arial"/>
          <w:shd w:val="clear" w:color="auto" w:fill="FFFFFF"/>
          <w:lang w:val="es-ES"/>
        </w:rPr>
        <w:t xml:space="preserve">C-406 </w:t>
      </w:r>
      <w:r w:rsidRPr="00BD0638">
        <w:rPr>
          <w:rStyle w:val="normaltextrun"/>
          <w:rFonts w:ascii="Verdana" w:hAnsi="Verdana" w:cs="Arial"/>
          <w:shd w:val="clear" w:color="auto" w:fill="FFFFFF"/>
          <w:lang w:val="es-ES"/>
        </w:rPr>
        <w:lastRenderedPageBreak/>
        <w:t>del 2 de octubre de 2023</w:t>
      </w:r>
      <w:r>
        <w:rPr>
          <w:rStyle w:val="normaltextrun"/>
          <w:rFonts w:ascii="Verdana" w:hAnsi="Verdana" w:cs="Arial"/>
          <w:shd w:val="clear" w:color="auto" w:fill="FFFFFF"/>
          <w:lang w:val="es-ES"/>
        </w:rPr>
        <w:t xml:space="preserve"> y C-342 de 2024</w:t>
      </w:r>
      <w:r w:rsidRPr="00BD0638">
        <w:rPr>
          <w:rStyle w:val="normaltextrun"/>
          <w:rFonts w:ascii="Verdana" w:hAnsi="Verdana" w:cs="Arial"/>
          <w:shd w:val="clear" w:color="auto" w:fill="FFFFFF"/>
          <w:lang w:val="es-ES"/>
        </w:rPr>
        <w:t>,</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entre otros</w:t>
      </w:r>
      <w:r w:rsidRPr="001827D1">
        <w:rPr>
          <w:rFonts w:ascii="Verdana" w:eastAsia="Times New Roman" w:hAnsi="Verdana" w:cs="Arial"/>
          <w:color w:val="000000"/>
          <w:lang w:val="es-ES"/>
        </w:rPr>
        <w:t xml:space="preserve">. </w:t>
      </w:r>
    </w:p>
    <w:p w14:paraId="3A9F712D" w14:textId="77777777" w:rsidR="002E512B" w:rsidRDefault="002E512B" w:rsidP="002E512B">
      <w:pPr>
        <w:widowControl w:val="0"/>
        <w:autoSpaceDE w:val="0"/>
        <w:autoSpaceDN w:val="0"/>
        <w:spacing w:after="0" w:line="276" w:lineRule="auto"/>
        <w:jc w:val="both"/>
        <w:rPr>
          <w:rFonts w:ascii="Verdana" w:eastAsia="Times New Roman" w:hAnsi="Verdana" w:cs="Arial"/>
          <w:color w:val="000000"/>
          <w:lang w:val="es-ES"/>
        </w:rPr>
      </w:pPr>
    </w:p>
    <w:p w14:paraId="11C5AC15" w14:textId="77777777" w:rsidR="002E512B" w:rsidRPr="001827D1" w:rsidRDefault="002E512B" w:rsidP="002E512B">
      <w:pPr>
        <w:widowControl w:val="0"/>
        <w:autoSpaceDE w:val="0"/>
        <w:autoSpaceDN w:val="0"/>
        <w:spacing w:after="0" w:line="276" w:lineRule="auto"/>
        <w:jc w:val="both"/>
        <w:rPr>
          <w:rFonts w:ascii="Verdana" w:eastAsia="Times New Roman" w:hAnsi="Verdana" w:cs="Arial"/>
          <w:color w:val="000000"/>
          <w:lang w:val="es-ES"/>
        </w:rPr>
      </w:pPr>
      <w:r w:rsidRPr="00120DAF">
        <w:rPr>
          <w:rStyle w:val="normaltextrun"/>
          <w:rFonts w:ascii="Verdana" w:hAnsi="Verdana"/>
          <w:shd w:val="clear" w:color="auto" w:fill="FFFFFF"/>
          <w:lang w:val="es-ES"/>
        </w:rPr>
        <w:t>As</w:t>
      </w:r>
      <w:r>
        <w:rPr>
          <w:rStyle w:val="normaltextrun"/>
          <w:rFonts w:ascii="Verdana" w:hAnsi="Verdana"/>
          <w:shd w:val="clear" w:color="auto" w:fill="FFFFFF"/>
          <w:lang w:val="es-ES"/>
        </w:rPr>
        <w:t xml:space="preserve">í </w:t>
      </w:r>
      <w:r w:rsidRPr="00120DAF">
        <w:rPr>
          <w:rStyle w:val="normaltextrun"/>
          <w:rFonts w:ascii="Verdana" w:hAnsi="Verdana"/>
          <w:shd w:val="clear" w:color="auto" w:fill="FFFFFF"/>
          <w:lang w:val="es-ES"/>
        </w:rPr>
        <w:t>mismo, la Agencia Nacional de Contratación Pública − Colombia Compra Eficiente se ha pronunciado sobre la capacidad residual, y la forma como esta se debe acreditar, en los conceptos 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sidRPr="00120DAF">
        <w:rPr>
          <w:rStyle w:val="normaltextrun"/>
          <w:rFonts w:ascii="Verdana" w:hAnsi="Verdana" w:cs="Arial"/>
          <w:shd w:val="clear" w:color="auto" w:fill="FFFFFF"/>
          <w:lang w:val="es-ES"/>
        </w:rPr>
        <w:t xml:space="preserve"> </w:t>
      </w:r>
      <w:r w:rsidRPr="00120DAF">
        <w:rPr>
          <w:rStyle w:val="normaltextrun"/>
          <w:rFonts w:ascii="Verdana" w:hAnsi="Verdana"/>
          <w:shd w:val="clear" w:color="auto" w:fill="FFFFFF"/>
          <w:lang w:val="es-ES"/>
        </w:rPr>
        <w:t xml:space="preserve">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C-068 del 9 de marzo de 2022, </w:t>
      </w:r>
      <w:r w:rsidRPr="00120DAF">
        <w:rPr>
          <w:rStyle w:val="normaltextrun"/>
          <w:rFonts w:ascii="Verdana" w:hAnsi="Verdana"/>
          <w:shd w:val="clear" w:color="auto" w:fill="FFFFFF"/>
        </w:rPr>
        <w:t xml:space="preserve">C-220 del 22 de abril de 2022, C-306 de 16 de mayo de 2022, C-351 de 23 de mayo de 2022, C-392 del 16 de junio de 2022, C-402 del 28 de junio de 2022, C-463 del 19 de julio de 2022, C-670 del 19 de octubre de 2022, C-615 del 19 de agosto de 2022, C-767 del 15 de noviembre de 2022, C-775 del 11 de noviembre de 2022, </w:t>
      </w:r>
      <w:r>
        <w:rPr>
          <w:rStyle w:val="normaltextrun"/>
          <w:rFonts w:ascii="Verdana" w:hAnsi="Verdana"/>
          <w:shd w:val="clear" w:color="auto" w:fill="FFFFFF"/>
        </w:rPr>
        <w:t xml:space="preserve">C-323 del 22 de septiembre de 2023, </w:t>
      </w:r>
      <w:r w:rsidRPr="00F47546">
        <w:rPr>
          <w:rStyle w:val="normaltextrun"/>
          <w:rFonts w:ascii="Verdana" w:hAnsi="Verdana"/>
          <w:shd w:val="clear" w:color="auto" w:fill="FFFFFF"/>
        </w:rPr>
        <w:t>C- 012 de 2025</w:t>
      </w:r>
      <w:r>
        <w:rPr>
          <w:rStyle w:val="normaltextrun"/>
          <w:rFonts w:ascii="Verdana" w:hAnsi="Verdana"/>
          <w:shd w:val="clear" w:color="auto" w:fill="FFFFFF"/>
        </w:rPr>
        <w:t xml:space="preserve"> </w:t>
      </w:r>
      <w:r w:rsidRPr="00120DAF">
        <w:rPr>
          <w:rStyle w:val="normaltextrun"/>
          <w:rFonts w:ascii="Verdana" w:hAnsi="Verdana"/>
          <w:shd w:val="clear" w:color="auto" w:fill="FFFFFF"/>
        </w:rPr>
        <w:t>entre otros.</w:t>
      </w:r>
      <w:r w:rsidRPr="009C66C5">
        <w:rPr>
          <w:rFonts w:ascii="Verdana" w:hAnsi="Verdana" w:cs="Arial"/>
          <w:color w:val="1A1A1A" w:themeColor="background1" w:themeShade="1A"/>
          <w:lang w:val="es-ES"/>
        </w:rPr>
        <w:t xml:space="preserve"> </w:t>
      </w:r>
      <w:r w:rsidRPr="001827D1">
        <w:rPr>
          <w:rFonts w:ascii="Verdana" w:eastAsia="Times New Roman" w:hAnsi="Verdana" w:cs="Arial"/>
          <w:color w:val="000000"/>
          <w:lang w:val="es-ES"/>
        </w:rPr>
        <w:t xml:space="preserve">Accede a través del siguiente enlace: </w:t>
      </w:r>
      <w:hyperlink r:id="rId16" w:history="1">
        <w:r w:rsidRPr="001827D1">
          <w:rPr>
            <w:rFonts w:ascii="Verdana" w:eastAsia="Times New Roman" w:hAnsi="Verdana" w:cs="Arial"/>
            <w:color w:val="101BF8"/>
            <w:u w:val="single"/>
            <w:lang w:val="es-ES"/>
          </w:rPr>
          <w:t>https://relatoria.colombiacompra.gov.co/</w:t>
        </w:r>
      </w:hyperlink>
      <w:r w:rsidRPr="001827D1">
        <w:rPr>
          <w:rFonts w:ascii="Verdana" w:eastAsia="Times New Roman" w:hAnsi="Verdana" w:cs="Arial"/>
          <w:color w:val="000000"/>
          <w:lang w:val="es-ES"/>
        </w:rPr>
        <w:t xml:space="preserve">. </w:t>
      </w:r>
    </w:p>
    <w:p w14:paraId="67676836" w14:textId="77777777" w:rsidR="002E512B" w:rsidRDefault="002E512B" w:rsidP="009C66C5">
      <w:pPr>
        <w:spacing w:after="0" w:line="276" w:lineRule="auto"/>
        <w:textAlignment w:val="baseline"/>
        <w:rPr>
          <w:rFonts w:ascii="Verdana" w:eastAsia="Times New Roman" w:hAnsi="Verdana" w:cs="Arial"/>
          <w:color w:val="000000"/>
          <w:lang w:val="es-ES"/>
        </w:rPr>
      </w:pPr>
    </w:p>
    <w:p w14:paraId="55AB2683" w14:textId="5433FA11" w:rsidR="000675DD" w:rsidRPr="000675DD" w:rsidRDefault="00020FF5" w:rsidP="000675DD">
      <w:pPr>
        <w:spacing w:after="0" w:line="276" w:lineRule="auto"/>
        <w:jc w:val="both"/>
        <w:rPr>
          <w:rFonts w:ascii="Verdana" w:eastAsia="Calibri" w:hAnsi="Verdana" w:cs="Times New Roman"/>
        </w:rPr>
      </w:pPr>
      <w:r>
        <w:rPr>
          <w:rFonts w:ascii="Verdana" w:eastAsia="Calibri" w:hAnsi="Verdana" w:cs="Times New Roman"/>
        </w:rPr>
        <w:t>T</w:t>
      </w:r>
      <w:r w:rsidR="002E512B" w:rsidRPr="00E46A07">
        <w:rPr>
          <w:rFonts w:ascii="Verdana" w:eastAsia="Calibri" w:hAnsi="Verdana" w:cs="Times New Roman"/>
        </w:rPr>
        <w:t xml:space="preserve">e contamos </w:t>
      </w:r>
      <w:r w:rsidR="000675DD" w:rsidRPr="000675DD">
        <w:rPr>
          <w:rFonts w:ascii="Verdana" w:eastAsia="Calibri" w:hAnsi="Verdana" w:cs="Times New Roman"/>
        </w:rPr>
        <w:t>que ya se encuentra disponible la </w:t>
      </w:r>
      <w:r w:rsidR="000675DD" w:rsidRPr="000675DD">
        <w:rPr>
          <w:rFonts w:ascii="Verdana" w:eastAsia="Calibri" w:hAnsi="Verdana" w:cs="Times New Roman"/>
          <w:b/>
          <w:bCs/>
        </w:rPr>
        <w:t>Cartilla para incentivar y fortalecer el acceso a las compras y contratación pública de los pueblos y comunidades étnicas en Colombia.</w:t>
      </w:r>
      <w:r w:rsidR="000675DD" w:rsidRPr="000675DD">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7" w:tgtFrame="_blank" w:tooltip="Dirección URL original: https://www.colombiacompra.gov.co/manuales-guias-y-pliegos-tipo/manuales-y-guias/cartilla-para-incentivar-y-fortalecer-el-acceso-las. Haga clic o pulse si confía en este vínculo." w:history="1">
        <w:r w:rsidR="000675DD" w:rsidRPr="000675DD">
          <w:rPr>
            <w:rStyle w:val="Hipervnculo"/>
            <w:rFonts w:ascii="Verdana" w:eastAsia="Calibri" w:hAnsi="Verdana" w:cs="Times New Roman"/>
          </w:rPr>
          <w:t>Cartilla para incentivar y fortalecer el acceso a las compras y contratación pública de los pueblos y comunidades étnicas en Colombia | Colombia Compra Eficiente | Agencia Nacional de Contratación Pública</w:t>
        </w:r>
      </w:hyperlink>
    </w:p>
    <w:p w14:paraId="21F15E43" w14:textId="77777777" w:rsidR="000675DD" w:rsidRDefault="000675DD" w:rsidP="000675DD">
      <w:pPr>
        <w:spacing w:after="0" w:line="276" w:lineRule="auto"/>
        <w:jc w:val="both"/>
        <w:rPr>
          <w:rFonts w:ascii="Verdana" w:eastAsia="Calibri" w:hAnsi="Verdana" w:cs="Times New Roman"/>
        </w:rPr>
      </w:pPr>
      <w:r w:rsidRPr="000675DD">
        <w:rPr>
          <w:rFonts w:ascii="Verdana" w:eastAsia="Calibri" w:hAnsi="Verdana" w:cs="Times New Roman"/>
        </w:rPr>
        <w:t>De otra parte, te informamos que, con el objetivo de garantizar un conocimiento adecuado de las </w:t>
      </w:r>
      <w:r w:rsidRPr="000675DD">
        <w:rPr>
          <w:rFonts w:ascii="Verdana" w:eastAsia="Calibri" w:hAnsi="Verdana" w:cs="Times New Roman"/>
          <w:b/>
          <w:bCs/>
        </w:rPr>
        <w:t>modificaciones y/o actualizaciones realizadas a los Documentos Tipo</w:t>
      </w:r>
      <w:r w:rsidRPr="000675DD">
        <w:rPr>
          <w:rFonts w:ascii="Verdana" w:eastAsia="Calibri" w:hAnsi="Verdana" w:cs="Times New Roman"/>
        </w:rPr>
        <w:t>, hemos programado una serie de </w:t>
      </w:r>
      <w:r w:rsidRPr="000675DD">
        <w:rPr>
          <w:rFonts w:ascii="Verdana" w:eastAsia="Calibri" w:hAnsi="Verdana" w:cs="Times New Roman"/>
          <w:b/>
          <w:bCs/>
        </w:rPr>
        <w:t>capacitaciones </w:t>
      </w:r>
      <w:r w:rsidRPr="000675DD">
        <w:rPr>
          <w:rFonts w:ascii="Verdana" w:eastAsia="Calibri" w:hAnsi="Verdana" w:cs="Times New Roman"/>
        </w:rPr>
        <w:t xml:space="preserve">dirigidas a todos los actores involucrados en los procesos de selección. Podrás conocer la programación y realizar tu inscripción a estas capacitaciones a través del </w:t>
      </w:r>
      <w:r w:rsidRPr="000675DD">
        <w:rPr>
          <w:rFonts w:ascii="Verdana" w:eastAsia="Calibri" w:hAnsi="Verdana" w:cs="Times New Roman"/>
        </w:rPr>
        <w:lastRenderedPageBreak/>
        <w:t>siguiente enlace: </w:t>
      </w:r>
      <w:hyperlink r:id="rId18" w:tgtFrame="_blank" w:tooltip="Dirección URL original: https://www.colombiacompra.gov.co/ciudadanos/calendario. Haga clic o pulse si confía en este vínculo." w:history="1">
        <w:r w:rsidRPr="000675DD">
          <w:rPr>
            <w:rStyle w:val="Hipervnculo"/>
            <w:rFonts w:ascii="Verdana" w:eastAsia="Calibri" w:hAnsi="Verdana" w:cs="Times New Roman"/>
          </w:rPr>
          <w:t>Calendario | Colombia Compra Eficiente | Agencia Nacional de Contratación Pública</w:t>
        </w:r>
      </w:hyperlink>
    </w:p>
    <w:p w14:paraId="018CC62F" w14:textId="77777777" w:rsidR="00E15A19" w:rsidRPr="000675DD" w:rsidRDefault="00E15A19" w:rsidP="000675DD">
      <w:pPr>
        <w:spacing w:after="0" w:line="276" w:lineRule="auto"/>
        <w:jc w:val="both"/>
        <w:rPr>
          <w:rFonts w:ascii="Verdana" w:eastAsia="Calibri" w:hAnsi="Verdana" w:cs="Times New Roman"/>
        </w:rPr>
      </w:pPr>
    </w:p>
    <w:p w14:paraId="43B9EEAE" w14:textId="77777777" w:rsidR="000675DD" w:rsidRPr="000675DD" w:rsidRDefault="000675DD" w:rsidP="000675DD">
      <w:pPr>
        <w:spacing w:after="0" w:line="276" w:lineRule="auto"/>
        <w:jc w:val="both"/>
        <w:rPr>
          <w:rFonts w:ascii="Verdana" w:eastAsia="Calibri" w:hAnsi="Verdana" w:cs="Times New Roman"/>
        </w:rPr>
      </w:pPr>
      <w:r w:rsidRPr="000675DD">
        <w:rPr>
          <w:rFonts w:ascii="Verdana" w:eastAsia="Calibri" w:hAnsi="Verdana" w:cs="Times New Roman"/>
        </w:rPr>
        <w:t>También, te contamos que ya publicamos </w:t>
      </w:r>
      <w:r w:rsidRPr="000675DD">
        <w:rPr>
          <w:rFonts w:ascii="Verdana" w:eastAsia="Calibri" w:hAnsi="Verdana" w:cs="Times New Roman"/>
          <w:b/>
          <w:bCs/>
        </w:rPr>
        <w:t>la nueva Guía de Contratación Pública Sostenible y Socialmente Responsable</w:t>
      </w:r>
      <w:r w:rsidRPr="000675DD">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9" w:tgtFrame="_blank" w:tooltip="Dirección URL original: https://www.colombiacompra.gov.co/manuales-guias-y-pliegos-tipo/manuales-y-guias/guia-de-contratacion-publica-sostenible-y-socialmente. Haga clic o pulse si confía en este vínculo." w:history="1">
        <w:r w:rsidRPr="000675DD">
          <w:rPr>
            <w:rStyle w:val="Hipervnculo"/>
            <w:rFonts w:ascii="Verdana" w:eastAsia="Calibri" w:hAnsi="Verdana" w:cs="Times New Roman"/>
          </w:rPr>
          <w:t>Guía de Contratación Pública Sostenible y Socialmente Responsable | Colombia Compra Eficiente | Agencia Nacional de Contratación Pública</w:t>
        </w:r>
      </w:hyperlink>
    </w:p>
    <w:p w14:paraId="58C1984F" w14:textId="4F0667D8" w:rsidR="002E512B" w:rsidRPr="00E46A07" w:rsidRDefault="002E512B" w:rsidP="000675DD">
      <w:pPr>
        <w:spacing w:after="0" w:line="276" w:lineRule="auto"/>
        <w:jc w:val="both"/>
        <w:rPr>
          <w:rFonts w:ascii="Verdana" w:eastAsia="Calibri" w:hAnsi="Verdana" w:cs="Times New Roman"/>
        </w:rPr>
      </w:pPr>
    </w:p>
    <w:p w14:paraId="15FCF069" w14:textId="77777777" w:rsidR="002E512B" w:rsidRPr="00CC0C1A" w:rsidRDefault="002E512B" w:rsidP="009C66C5">
      <w:pPr>
        <w:spacing w:after="0" w:line="276" w:lineRule="auto"/>
        <w:jc w:val="both"/>
        <w:rPr>
          <w:rFonts w:ascii="Verdana" w:eastAsia="Calibri" w:hAnsi="Verdana" w:cs="Times New Roman"/>
        </w:rPr>
      </w:pPr>
      <w:r w:rsidRPr="00CC0C1A">
        <w:rPr>
          <w:rFonts w:ascii="Verdana" w:hAnsi="Verdana"/>
        </w:rPr>
        <w:t xml:space="preserve">Por último, lo invitamos a seguirnos en las redes sociales en las cuales se difunde información institucional: </w:t>
      </w:r>
    </w:p>
    <w:p w14:paraId="239F9A3A" w14:textId="77777777" w:rsidR="002E512B" w:rsidRPr="00CC0C1A" w:rsidRDefault="002E512B" w:rsidP="009C66C5">
      <w:pPr>
        <w:spacing w:after="0" w:line="276" w:lineRule="auto"/>
        <w:jc w:val="both"/>
        <w:rPr>
          <w:rFonts w:ascii="Verdana" w:hAnsi="Verdana"/>
        </w:rPr>
      </w:pPr>
    </w:p>
    <w:p w14:paraId="3CEC71BF" w14:textId="77777777" w:rsidR="002E512B" w:rsidRPr="00CC0C1A" w:rsidRDefault="002E512B" w:rsidP="009C66C5">
      <w:pPr>
        <w:spacing w:after="0" w:line="276" w:lineRule="auto"/>
        <w:jc w:val="both"/>
        <w:rPr>
          <w:rFonts w:ascii="Verdana" w:hAnsi="Verdana"/>
        </w:rPr>
      </w:pPr>
      <w:r w:rsidRPr="00CC0C1A">
        <w:rPr>
          <w:rFonts w:ascii="Verdana" w:hAnsi="Verdana"/>
        </w:rPr>
        <w:t xml:space="preserve">Twitter: </w:t>
      </w:r>
      <w:r w:rsidRPr="00CC0C1A">
        <w:rPr>
          <w:rFonts w:ascii="Verdana" w:eastAsia="Calibri" w:hAnsi="Verdana" w:cs="Times New Roman"/>
          <w:color w:val="4472C4" w:themeColor="accent1"/>
          <w:u w:val="single"/>
        </w:rPr>
        <w:t>@colombiacompra</w:t>
      </w:r>
      <w:r w:rsidRPr="00CC0C1A">
        <w:rPr>
          <w:rFonts w:ascii="Verdana" w:eastAsia="Calibri" w:hAnsi="Verdana" w:cs="Times New Roman"/>
          <w:color w:val="4472C4" w:themeColor="accent1"/>
        </w:rPr>
        <w:t xml:space="preserve"> </w:t>
      </w:r>
    </w:p>
    <w:p w14:paraId="55D47B96" w14:textId="77777777" w:rsidR="002E512B" w:rsidRPr="00CC0C1A" w:rsidRDefault="002E512B" w:rsidP="009C66C5">
      <w:pPr>
        <w:spacing w:after="0" w:line="276" w:lineRule="auto"/>
        <w:jc w:val="both"/>
        <w:rPr>
          <w:rFonts w:ascii="Verdana" w:hAnsi="Verdana"/>
        </w:rPr>
      </w:pPr>
      <w:r w:rsidRPr="00CC0C1A">
        <w:rPr>
          <w:rFonts w:ascii="Verdana" w:hAnsi="Verdana"/>
        </w:rPr>
        <w:t xml:space="preserve">Facebook: </w:t>
      </w:r>
      <w:proofErr w:type="spellStart"/>
      <w:r w:rsidRPr="00CC0C1A">
        <w:rPr>
          <w:rFonts w:ascii="Verdana" w:eastAsia="Calibri" w:hAnsi="Verdana" w:cs="Times New Roman"/>
          <w:color w:val="4472C4" w:themeColor="accent1"/>
          <w:u w:val="single"/>
        </w:rPr>
        <w:t>ColombiaCompraEficiente</w:t>
      </w:r>
      <w:proofErr w:type="spellEnd"/>
    </w:p>
    <w:p w14:paraId="5396031B" w14:textId="77777777" w:rsidR="002E512B" w:rsidRPr="00CC0C1A" w:rsidRDefault="002E512B" w:rsidP="009C66C5">
      <w:pPr>
        <w:spacing w:after="0" w:line="276" w:lineRule="auto"/>
        <w:jc w:val="both"/>
        <w:rPr>
          <w:rFonts w:ascii="Verdana" w:hAnsi="Verdana"/>
        </w:rPr>
      </w:pPr>
      <w:r w:rsidRPr="00CC0C1A">
        <w:rPr>
          <w:rFonts w:ascii="Verdana" w:hAnsi="Verdana"/>
        </w:rPr>
        <w:t xml:space="preserve">LinkedIn: </w:t>
      </w:r>
      <w:r w:rsidRPr="00CC0C1A">
        <w:rPr>
          <w:rFonts w:ascii="Verdana" w:eastAsia="Calibri" w:hAnsi="Verdana" w:cs="Times New Roman"/>
          <w:color w:val="4472C4" w:themeColor="accent1"/>
          <w:u w:val="single"/>
        </w:rPr>
        <w:t>Agencia Nacional de Contratación Pública - Colombia Compra Eficiente</w:t>
      </w:r>
      <w:r w:rsidRPr="00CC0C1A">
        <w:rPr>
          <w:rFonts w:ascii="Verdana" w:eastAsia="Calibri" w:hAnsi="Verdana" w:cs="Times New Roman"/>
          <w:color w:val="4472C4" w:themeColor="accent1"/>
        </w:rPr>
        <w:t xml:space="preserve"> </w:t>
      </w:r>
      <w:r w:rsidRPr="00CC0C1A">
        <w:rPr>
          <w:rFonts w:ascii="Verdana" w:hAnsi="Verdana"/>
        </w:rPr>
        <w:t xml:space="preserve">Instagram: </w:t>
      </w:r>
      <w:r w:rsidRPr="00CC0C1A">
        <w:rPr>
          <w:rFonts w:ascii="Verdana" w:eastAsia="Calibri" w:hAnsi="Verdana" w:cs="Times New Roman"/>
          <w:color w:val="4472C4" w:themeColor="accent1"/>
          <w:u w:val="single"/>
        </w:rPr>
        <w:t>@colombiacompraeficiente_cce</w:t>
      </w:r>
    </w:p>
    <w:p w14:paraId="3D0205F0" w14:textId="77777777" w:rsidR="002E512B" w:rsidRPr="0044528D" w:rsidRDefault="002E512B" w:rsidP="002E512B">
      <w:pPr>
        <w:widowControl w:val="0"/>
        <w:autoSpaceDE w:val="0"/>
        <w:autoSpaceDN w:val="0"/>
        <w:spacing w:after="0" w:line="276" w:lineRule="auto"/>
        <w:jc w:val="both"/>
        <w:rPr>
          <w:rFonts w:ascii="Verdana" w:hAnsi="Verdana"/>
        </w:rPr>
      </w:pPr>
    </w:p>
    <w:p w14:paraId="11AAADF1" w14:textId="77777777" w:rsidR="002E512B" w:rsidRPr="00593A5F" w:rsidRDefault="002E512B" w:rsidP="002E512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BDFC3A7" w14:textId="77777777" w:rsidR="002E512B" w:rsidRPr="00593A5F" w:rsidRDefault="002E512B" w:rsidP="002E512B">
      <w:pPr>
        <w:widowControl w:val="0"/>
        <w:autoSpaceDE w:val="0"/>
        <w:autoSpaceDN w:val="0"/>
        <w:spacing w:after="0" w:line="276" w:lineRule="auto"/>
        <w:jc w:val="both"/>
        <w:rPr>
          <w:rFonts w:ascii="Verdana" w:hAnsi="Verdana" w:cs="Arial"/>
        </w:rPr>
      </w:pPr>
    </w:p>
    <w:p w14:paraId="3261B3FD" w14:textId="77777777" w:rsidR="002E512B" w:rsidRPr="00593A5F" w:rsidRDefault="002E512B" w:rsidP="009C66C5">
      <w:pPr>
        <w:spacing w:after="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942ADF9" w14:textId="40AF69D5" w:rsidR="002E512B" w:rsidRPr="00593A5F" w:rsidRDefault="00405200" w:rsidP="002E512B">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247BE281" wp14:editId="517DB4C6">
            <wp:extent cx="3358432" cy="1246691"/>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361660" cy="124788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E512B" w:rsidRPr="001827D1" w14:paraId="52324CAE" w14:textId="77777777" w:rsidTr="007900C2">
        <w:trPr>
          <w:trHeight w:val="315"/>
        </w:trPr>
        <w:tc>
          <w:tcPr>
            <w:tcW w:w="893" w:type="dxa"/>
            <w:vAlign w:val="center"/>
            <w:hideMark/>
          </w:tcPr>
          <w:p w14:paraId="6696A79B" w14:textId="77777777" w:rsidR="002E512B" w:rsidRPr="001827D1" w:rsidRDefault="002E512B" w:rsidP="007900C2">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3CA8E37D" w14:textId="77777777" w:rsidR="002E512B" w:rsidRPr="001827D1" w:rsidRDefault="002E512B" w:rsidP="007900C2">
            <w:pPr>
              <w:contextualSpacing/>
              <w:rPr>
                <w:rFonts w:ascii="Verdana" w:eastAsia="Arial" w:hAnsi="Verdana" w:cs="Arial"/>
                <w:color w:val="000000"/>
                <w:sz w:val="16"/>
                <w:szCs w:val="16"/>
              </w:rPr>
            </w:pPr>
            <w:r>
              <w:rPr>
                <w:rFonts w:ascii="Verdana" w:eastAsia="Times New Roman" w:hAnsi="Verdana" w:cs="Arial"/>
                <w:color w:val="000000"/>
                <w:sz w:val="16"/>
                <w:szCs w:val="16"/>
              </w:rPr>
              <w:t>María Joshira Nieto Manzano</w:t>
            </w:r>
          </w:p>
          <w:p w14:paraId="362C07C1" w14:textId="77777777" w:rsidR="002E512B" w:rsidRPr="001827D1" w:rsidRDefault="002E512B" w:rsidP="007900C2">
            <w:pPr>
              <w:contextualSpacing/>
              <w:rPr>
                <w:rFonts w:ascii="Verdana" w:eastAsia="Arial" w:hAnsi="Verdana" w:cs="Arial"/>
                <w:color w:val="000000"/>
                <w:sz w:val="16"/>
                <w:szCs w:val="16"/>
              </w:rPr>
            </w:pPr>
            <w:r w:rsidRPr="001827D1">
              <w:rPr>
                <w:rFonts w:ascii="Verdana" w:eastAsia="Arial" w:hAnsi="Verdana" w:cs="Arial"/>
                <w:color w:val="000000"/>
                <w:sz w:val="16"/>
                <w:szCs w:val="16"/>
              </w:rPr>
              <w:t>Contratista de la Subdirección de Gestión Contractual</w:t>
            </w:r>
          </w:p>
        </w:tc>
      </w:tr>
      <w:tr w:rsidR="002E512B" w:rsidRPr="001827D1" w14:paraId="78AA9DDD" w14:textId="77777777" w:rsidTr="007900C2">
        <w:trPr>
          <w:trHeight w:val="330"/>
        </w:trPr>
        <w:tc>
          <w:tcPr>
            <w:tcW w:w="893" w:type="dxa"/>
            <w:vAlign w:val="center"/>
            <w:hideMark/>
          </w:tcPr>
          <w:p w14:paraId="6EB499AE" w14:textId="77777777" w:rsidR="002E512B" w:rsidRPr="001827D1" w:rsidRDefault="002E512B" w:rsidP="007900C2">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2178ACB0" w14:textId="77777777" w:rsidR="002E512B" w:rsidRPr="00FC5545" w:rsidRDefault="002E512B" w:rsidP="007900C2">
            <w:pPr>
              <w:contextualSpacing/>
              <w:rPr>
                <w:rFonts w:ascii="Verdana" w:eastAsia="Times New Roman" w:hAnsi="Verdana" w:cs="Arial"/>
                <w:color w:val="000000"/>
                <w:sz w:val="16"/>
                <w:szCs w:val="16"/>
              </w:rPr>
            </w:pPr>
            <w:r w:rsidRPr="00FC5545">
              <w:rPr>
                <w:rFonts w:ascii="Verdana" w:eastAsia="Times New Roman" w:hAnsi="Verdana" w:cs="Arial"/>
                <w:color w:val="000000"/>
                <w:sz w:val="16"/>
                <w:szCs w:val="16"/>
              </w:rPr>
              <w:t xml:space="preserve">Diana Lucia Saavedra Castañeda </w:t>
            </w:r>
          </w:p>
          <w:p w14:paraId="2D8594CF" w14:textId="77777777" w:rsidR="002E512B" w:rsidRPr="00FC5545" w:rsidRDefault="002E512B" w:rsidP="007900C2">
            <w:pPr>
              <w:contextualSpacing/>
              <w:textAlignment w:val="baseline"/>
              <w:rPr>
                <w:rFonts w:ascii="Verdana" w:eastAsia="Times New Roman" w:hAnsi="Verdana" w:cs="Arial"/>
                <w:color w:val="000000"/>
                <w:sz w:val="16"/>
                <w:szCs w:val="16"/>
              </w:rPr>
            </w:pPr>
            <w:r w:rsidRPr="00FC5545">
              <w:rPr>
                <w:rFonts w:ascii="Verdana" w:eastAsia="Times New Roman" w:hAnsi="Verdana" w:cs="Arial"/>
                <w:color w:val="000000"/>
                <w:sz w:val="16"/>
                <w:szCs w:val="16"/>
              </w:rPr>
              <w:t>Contratista de la Subdirección de Gestión Contractual</w:t>
            </w:r>
          </w:p>
        </w:tc>
      </w:tr>
      <w:tr w:rsidR="002E512B" w:rsidRPr="001827D1" w14:paraId="4668CD4B" w14:textId="77777777" w:rsidTr="007900C2">
        <w:trPr>
          <w:trHeight w:val="300"/>
        </w:trPr>
        <w:tc>
          <w:tcPr>
            <w:tcW w:w="893" w:type="dxa"/>
            <w:vAlign w:val="center"/>
          </w:tcPr>
          <w:p w14:paraId="4477313A" w14:textId="77777777" w:rsidR="002E512B" w:rsidRPr="001827D1" w:rsidRDefault="002E512B" w:rsidP="007900C2">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2BA86759" w14:textId="77777777" w:rsidR="002E512B" w:rsidRPr="00FC5545" w:rsidRDefault="002E512B" w:rsidP="007900C2">
            <w:pPr>
              <w:contextualSpacing/>
              <w:rPr>
                <w:rFonts w:ascii="Verdana" w:eastAsia="Times New Roman" w:hAnsi="Verdana" w:cs="Arial"/>
                <w:color w:val="000000"/>
                <w:sz w:val="16"/>
                <w:szCs w:val="16"/>
              </w:rPr>
            </w:pPr>
            <w:r w:rsidRPr="00FC5545">
              <w:rPr>
                <w:rFonts w:ascii="Verdana" w:eastAsia="Times New Roman" w:hAnsi="Verdana" w:cs="Arial"/>
                <w:color w:val="000000"/>
                <w:sz w:val="16"/>
                <w:szCs w:val="16"/>
              </w:rPr>
              <w:t xml:space="preserve">Carolina Quintero </w:t>
            </w:r>
            <w:proofErr w:type="spellStart"/>
            <w:r w:rsidRPr="00FC5545">
              <w:rPr>
                <w:rFonts w:ascii="Verdana" w:eastAsia="Times New Roman" w:hAnsi="Verdana" w:cs="Arial"/>
                <w:color w:val="000000"/>
                <w:sz w:val="16"/>
                <w:szCs w:val="16"/>
              </w:rPr>
              <w:t>Gacharná</w:t>
            </w:r>
            <w:proofErr w:type="spellEnd"/>
          </w:p>
          <w:p w14:paraId="76917CAC" w14:textId="77777777" w:rsidR="002E512B" w:rsidRPr="00FC5545" w:rsidRDefault="002E512B" w:rsidP="007900C2">
            <w:pPr>
              <w:contextualSpacing/>
              <w:rPr>
                <w:rFonts w:ascii="Verdana" w:eastAsia="Times New Roman" w:hAnsi="Verdana" w:cs="Arial"/>
                <w:color w:val="000000"/>
                <w:sz w:val="16"/>
                <w:szCs w:val="16"/>
              </w:rPr>
            </w:pPr>
            <w:r w:rsidRPr="00FC5545">
              <w:rPr>
                <w:rFonts w:ascii="Verdana" w:eastAsia="Times New Roman" w:hAnsi="Verdana" w:cs="Arial"/>
                <w:color w:val="000000"/>
                <w:sz w:val="16"/>
                <w:szCs w:val="16"/>
              </w:rPr>
              <w:t>Subdirectora de Gestión Contractual ANCP – CCE</w:t>
            </w:r>
          </w:p>
        </w:tc>
      </w:tr>
      <w:bookmarkEnd w:id="0"/>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020FF5">
      <w:headerReference w:type="default" r:id="rId21"/>
      <w:footerReference w:type="default" r:id="rId22"/>
      <w:pgSz w:w="12240" w:h="15840" w:code="1"/>
      <w:pgMar w:top="1417" w:right="1701" w:bottom="1417" w:left="1701" w:header="709" w:footer="5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EE97C" w14:textId="77777777" w:rsidR="00642178" w:rsidRDefault="00642178" w:rsidP="004A1847">
      <w:pPr>
        <w:spacing w:after="0" w:line="240" w:lineRule="auto"/>
      </w:pPr>
      <w:r>
        <w:separator/>
      </w:r>
    </w:p>
  </w:endnote>
  <w:endnote w:type="continuationSeparator" w:id="0">
    <w:p w14:paraId="5A9340DF" w14:textId="77777777" w:rsidR="00642178" w:rsidRDefault="00642178" w:rsidP="004A1847">
      <w:pPr>
        <w:spacing w:after="0" w:line="240" w:lineRule="auto"/>
      </w:pPr>
      <w:r>
        <w:continuationSeparator/>
      </w:r>
    </w:p>
  </w:endnote>
  <w:endnote w:type="continuationNotice" w:id="1">
    <w:p w14:paraId="6C89F585" w14:textId="77777777" w:rsidR="00642178" w:rsidRDefault="006421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563C6" w14:textId="77777777" w:rsidR="00642178" w:rsidRDefault="00642178" w:rsidP="004A1847">
      <w:pPr>
        <w:spacing w:after="0" w:line="240" w:lineRule="auto"/>
      </w:pPr>
      <w:r>
        <w:separator/>
      </w:r>
    </w:p>
  </w:footnote>
  <w:footnote w:type="continuationSeparator" w:id="0">
    <w:p w14:paraId="0E05F135" w14:textId="77777777" w:rsidR="00642178" w:rsidRDefault="00642178" w:rsidP="004A1847">
      <w:pPr>
        <w:spacing w:after="0" w:line="240" w:lineRule="auto"/>
      </w:pPr>
      <w:r>
        <w:continuationSeparator/>
      </w:r>
    </w:p>
  </w:footnote>
  <w:footnote w:type="continuationNotice" w:id="1">
    <w:p w14:paraId="39FBBD8D" w14:textId="77777777" w:rsidR="00642178" w:rsidRDefault="00642178">
      <w:pPr>
        <w:spacing w:after="0" w:line="240" w:lineRule="auto"/>
      </w:pPr>
    </w:p>
  </w:footnote>
  <w:footnote w:id="2">
    <w:p w14:paraId="366BCF57" w14:textId="00B1B0FB" w:rsidR="002E512B" w:rsidRPr="00BC5C37" w:rsidRDefault="002E512B" w:rsidP="004306FA">
      <w:pPr>
        <w:spacing w:after="0" w:line="240" w:lineRule="auto"/>
        <w:ind w:right="51" w:firstLine="720"/>
        <w:jc w:val="both"/>
        <w:rPr>
          <w:rFonts w:ascii="Verdana" w:hAnsi="Verdana" w:cs="Arial"/>
          <w:sz w:val="16"/>
          <w:szCs w:val="16"/>
        </w:rPr>
      </w:pPr>
      <w:r w:rsidRPr="00BC5C37">
        <w:rPr>
          <w:rStyle w:val="Refdenotaalpie"/>
          <w:rFonts w:ascii="Verdana" w:hAnsi="Verdana" w:cs="Arial"/>
          <w:sz w:val="16"/>
          <w:szCs w:val="16"/>
        </w:rPr>
        <w:footnoteRef/>
      </w:r>
      <w:r w:rsidRPr="00BC5C37">
        <w:rPr>
          <w:rFonts w:ascii="Verdana" w:hAnsi="Verdana" w:cs="Arial"/>
          <w:sz w:val="16"/>
          <w:szCs w:val="16"/>
        </w:rPr>
        <w:t xml:space="preserve"> 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BC5C37">
        <w:rPr>
          <w:rFonts w:ascii="Verdana" w:hAnsi="Verdana" w:cs="Arial"/>
          <w:spacing w:val="-14"/>
          <w:sz w:val="16"/>
          <w:szCs w:val="16"/>
        </w:rPr>
        <w:t xml:space="preserve"> </w:t>
      </w:r>
      <w:r w:rsidRPr="00BC5C37">
        <w:rPr>
          <w:rFonts w:ascii="Verdana" w:hAnsi="Verdana" w:cs="Arial"/>
          <w:sz w:val="16"/>
          <w:szCs w:val="16"/>
        </w:rPr>
        <w:t>utilizados.</w:t>
      </w:r>
      <w:r w:rsidR="00292FFC" w:rsidRPr="00BC5C37">
        <w:rPr>
          <w:rFonts w:ascii="Verdana" w:hAnsi="Verdana" w:cs="Arial"/>
          <w:sz w:val="16"/>
          <w:szCs w:val="16"/>
        </w:rPr>
        <w:t xml:space="preserve"> </w:t>
      </w:r>
      <w:r w:rsidRPr="00BC5C37">
        <w:rPr>
          <w:rFonts w:ascii="Verdana" w:hAnsi="Verdana" w:cs="Arial"/>
          <w:sz w:val="16"/>
          <w:szCs w:val="16"/>
        </w:rPr>
        <w:t>[…]</w:t>
      </w:r>
    </w:p>
    <w:p w14:paraId="60FE0D3A" w14:textId="77777777" w:rsidR="002E512B" w:rsidRDefault="002E512B" w:rsidP="004306FA">
      <w:pPr>
        <w:spacing w:after="0" w:line="240" w:lineRule="auto"/>
        <w:ind w:right="51" w:firstLine="708"/>
        <w:jc w:val="both"/>
        <w:rPr>
          <w:rFonts w:ascii="Verdana" w:hAnsi="Verdana" w:cs="Arial"/>
          <w:sz w:val="16"/>
          <w:szCs w:val="16"/>
        </w:rPr>
      </w:pPr>
      <w:r w:rsidRPr="00BC5C37">
        <w:rPr>
          <w:rFonts w:ascii="Verdana" w:hAnsi="Verdana" w:cs="Arial"/>
          <w:sz w:val="16"/>
          <w:szCs w:val="16"/>
        </w:rPr>
        <w:t>Capacidad Residual o K de Contratación: Aptitud de un oferente para cumplir oportuna y cabalmente con el objeto de un contrato de obra, sin que sus otros compromisos contractuales afecten su habilidad de cumplir con el contrato que está en proceso de selección”.</w:t>
      </w:r>
    </w:p>
    <w:p w14:paraId="17077334" w14:textId="77777777" w:rsidR="002E512B" w:rsidRPr="00BC5C37" w:rsidRDefault="002E512B" w:rsidP="004306FA">
      <w:pPr>
        <w:spacing w:after="0" w:line="240" w:lineRule="auto"/>
        <w:ind w:right="51" w:firstLine="708"/>
        <w:jc w:val="both"/>
        <w:rPr>
          <w:rFonts w:ascii="Verdana" w:hAnsi="Verdana" w:cs="Arial"/>
          <w:sz w:val="16"/>
          <w:szCs w:val="16"/>
        </w:rPr>
      </w:pPr>
    </w:p>
  </w:footnote>
  <w:footnote w:id="3">
    <w:p w14:paraId="6F793B0D" w14:textId="74620B56" w:rsidR="00F777E8" w:rsidRPr="004306FA" w:rsidRDefault="00F777E8" w:rsidP="004306FA">
      <w:pPr>
        <w:pStyle w:val="NormalWeb"/>
        <w:shd w:val="clear" w:color="auto" w:fill="FFFFFF"/>
        <w:spacing w:before="0" w:beforeAutospacing="0" w:after="0" w:afterAutospacing="0"/>
        <w:ind w:firstLine="709"/>
        <w:rPr>
          <w:rFonts w:ascii="Verdana" w:hAnsi="Verdana" w:cs="Arial"/>
          <w:sz w:val="16"/>
          <w:szCs w:val="16"/>
        </w:rPr>
      </w:pPr>
      <w:r w:rsidRPr="004306FA">
        <w:rPr>
          <w:rStyle w:val="Refdenotaalpie"/>
          <w:rFonts w:ascii="Verdana" w:hAnsi="Verdana" w:cs="Arial"/>
          <w:sz w:val="16"/>
          <w:szCs w:val="16"/>
          <w:lang w:val="es-MX"/>
        </w:rPr>
        <w:footnoteRef/>
      </w:r>
      <w:r w:rsidRPr="004306FA">
        <w:rPr>
          <w:rStyle w:val="Refdenotaalpie"/>
          <w:rFonts w:ascii="Verdana" w:hAnsi="Verdana" w:cs="Arial"/>
          <w:sz w:val="16"/>
          <w:szCs w:val="16"/>
          <w:lang w:val="es-MX"/>
        </w:rPr>
        <w:t xml:space="preserve"> </w:t>
      </w:r>
      <w:r w:rsidR="00DC60A2">
        <w:rPr>
          <w:rFonts w:ascii="Verdana" w:hAnsi="Verdana" w:cs="Arial"/>
          <w:sz w:val="16"/>
          <w:szCs w:val="16"/>
        </w:rPr>
        <w:t>“</w:t>
      </w:r>
      <w:r w:rsidRPr="004306FA">
        <w:rPr>
          <w:rFonts w:ascii="Verdana" w:hAnsi="Verdana" w:cs="Arial"/>
          <w:sz w:val="16"/>
          <w:szCs w:val="16"/>
        </w:rPr>
        <w:t>Artículo 2.2.1.1.1.6.4. Capacidad Residual: El interesado en celebrar contratos de obra pública con Entidades Estatales debe acreditar su Capacidad Residual o K de Contratación con los siguientes documentos:</w:t>
      </w:r>
    </w:p>
    <w:p w14:paraId="18DB59C3" w14:textId="55A18284" w:rsidR="00F777E8" w:rsidRPr="004306FA" w:rsidRDefault="00F777E8" w:rsidP="004306FA">
      <w:pPr>
        <w:shd w:val="clear" w:color="auto" w:fill="FFFFFF"/>
        <w:spacing w:after="0" w:line="240" w:lineRule="auto"/>
        <w:ind w:firstLine="709"/>
        <w:jc w:val="both"/>
        <w:rPr>
          <w:rFonts w:ascii="Verdana" w:hAnsi="Verdana" w:cs="Arial"/>
          <w:sz w:val="16"/>
          <w:szCs w:val="16"/>
        </w:rPr>
      </w:pPr>
      <w:r w:rsidRPr="004306FA">
        <w:rPr>
          <w:rFonts w:ascii="Verdana" w:hAnsi="Verdana" w:cs="Arial"/>
          <w:sz w:val="16"/>
          <w:szCs w:val="16"/>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320F4104" w14:textId="3018DF8A" w:rsidR="00F777E8" w:rsidRPr="004306FA" w:rsidRDefault="00F777E8" w:rsidP="004306FA">
      <w:pPr>
        <w:shd w:val="clear" w:color="auto" w:fill="FFFFFF"/>
        <w:spacing w:after="0" w:line="240" w:lineRule="auto"/>
        <w:ind w:firstLine="709"/>
        <w:jc w:val="both"/>
        <w:rPr>
          <w:rFonts w:ascii="Verdana" w:hAnsi="Verdana" w:cs="Arial"/>
          <w:sz w:val="16"/>
          <w:szCs w:val="16"/>
        </w:rPr>
      </w:pPr>
      <w:r w:rsidRPr="004306FA">
        <w:rPr>
          <w:rFonts w:ascii="Verdana" w:hAnsi="Verdana" w:cs="Arial"/>
          <w:sz w:val="16"/>
          <w:szCs w:val="16"/>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0E3E129E" w14:textId="2DC319E2" w:rsidR="00F777E8" w:rsidRPr="004306FA" w:rsidRDefault="00F777E8" w:rsidP="004306FA">
      <w:pPr>
        <w:shd w:val="clear" w:color="auto" w:fill="FFFFFF"/>
        <w:spacing w:after="0" w:line="240" w:lineRule="auto"/>
        <w:ind w:firstLine="709"/>
        <w:jc w:val="both"/>
        <w:rPr>
          <w:rFonts w:ascii="Verdana" w:hAnsi="Verdana" w:cs="Arial"/>
          <w:sz w:val="16"/>
          <w:szCs w:val="16"/>
        </w:rPr>
      </w:pPr>
      <w:r w:rsidRPr="004306FA">
        <w:rPr>
          <w:rFonts w:ascii="Verdana" w:hAnsi="Verdana" w:cs="Arial"/>
          <w:sz w:val="16"/>
          <w:szCs w:val="16"/>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r w:rsidR="00DC60A2">
        <w:rPr>
          <w:rFonts w:ascii="Verdana" w:hAnsi="Verdana" w:cs="Arial"/>
          <w:sz w:val="16"/>
          <w:szCs w:val="16"/>
        </w:rPr>
        <w:t>”</w:t>
      </w:r>
      <w:r w:rsidRPr="004306FA">
        <w:rPr>
          <w:rFonts w:ascii="Verdana" w:hAnsi="Verdana" w:cs="Arial"/>
          <w:sz w:val="16"/>
          <w:szCs w:val="16"/>
        </w:rPr>
        <w:t>.</w:t>
      </w:r>
    </w:p>
    <w:p w14:paraId="7E5CFAE8" w14:textId="77777777" w:rsidR="00F777E8" w:rsidRPr="004306FA" w:rsidRDefault="00F777E8" w:rsidP="004306FA">
      <w:pPr>
        <w:shd w:val="clear" w:color="auto" w:fill="FFFFFF"/>
        <w:spacing w:after="0" w:line="240" w:lineRule="auto"/>
        <w:ind w:firstLine="709"/>
        <w:jc w:val="both"/>
        <w:rPr>
          <w:rFonts w:ascii="Verdana" w:hAnsi="Verdana" w:cs="Arial"/>
          <w:sz w:val="16"/>
          <w:szCs w:val="16"/>
        </w:rPr>
      </w:pPr>
    </w:p>
  </w:footnote>
  <w:footnote w:id="4">
    <w:p w14:paraId="2C3BD179" w14:textId="77777777" w:rsidR="004306FA" w:rsidRPr="004306FA" w:rsidRDefault="00D6001A" w:rsidP="004306FA">
      <w:pPr>
        <w:spacing w:after="0" w:line="240" w:lineRule="auto"/>
        <w:ind w:firstLine="708"/>
        <w:jc w:val="both"/>
        <w:rPr>
          <w:rFonts w:ascii="Verdana" w:eastAsia="Calibri" w:hAnsi="Verdana" w:cs="Arial"/>
          <w:sz w:val="16"/>
          <w:szCs w:val="16"/>
        </w:rPr>
      </w:pPr>
      <w:r w:rsidRPr="004306FA">
        <w:rPr>
          <w:rStyle w:val="Refdenotaalpie"/>
          <w:rFonts w:ascii="Verdana" w:hAnsi="Verdana"/>
          <w:sz w:val="16"/>
          <w:szCs w:val="16"/>
        </w:rPr>
        <w:footnoteRef/>
      </w:r>
      <w:r w:rsidRPr="004306FA">
        <w:rPr>
          <w:rFonts w:ascii="Verdana" w:hAnsi="Verdana"/>
          <w:sz w:val="16"/>
          <w:szCs w:val="16"/>
        </w:rPr>
        <w:t xml:space="preserve"> </w:t>
      </w:r>
      <w:r w:rsidR="004306FA" w:rsidRPr="004306FA">
        <w:rPr>
          <w:rFonts w:ascii="Verdana" w:eastAsia="Calibri" w:hAnsi="Verdana" w:cs="Arial"/>
          <w:sz w:val="16"/>
          <w:szCs w:val="16"/>
        </w:rPr>
        <w:t xml:space="preserve">De conformidad con lo expuesto, la Agencia Nacional de Contratación Pública – Colombia Compra Eficiente, como ente rector del sistema de compra pública y en virtud del mandato legal, ha expedido la “Guía para determinar y verificar la Capacidad Residual del proponente en los Procesos de Contratación” con el propósito de otorgar una herramienta útil para la participación en los procesos de selección del sistema de compras públicas colombiano. En ella se ha puesto a disposición de las entidades y proponentes formatos, los cuales puede usar en desarrollo de su proceso, y estableció la metodología para el cálculo de la capacidad residual. La metodología resulta de obligatoria observancia tanto para entidades como oferentes en los procesos de contratación de obra pública y es orientadora para realizar el cálculo de la capacidad residual. </w:t>
      </w:r>
    </w:p>
    <w:p w14:paraId="7D48734D" w14:textId="0DDFCA61" w:rsidR="00D6001A" w:rsidRPr="004306FA" w:rsidRDefault="00D6001A" w:rsidP="004306FA">
      <w:pPr>
        <w:pStyle w:val="Textonotapie"/>
        <w:rPr>
          <w:rFonts w:ascii="Verdana" w:hAnsi="Verdana"/>
          <w:sz w:val="16"/>
          <w:szCs w:val="16"/>
          <w:lang w:val="es-CO"/>
        </w:rPr>
      </w:pPr>
    </w:p>
  </w:footnote>
  <w:footnote w:id="5">
    <w:p w14:paraId="0D4E54FF" w14:textId="09ECEE99" w:rsidR="002E512B" w:rsidRPr="00BC5C37" w:rsidRDefault="002E512B" w:rsidP="003A4AD9">
      <w:pPr>
        <w:pStyle w:val="Textonotapie"/>
        <w:ind w:firstLine="708"/>
        <w:jc w:val="both"/>
        <w:rPr>
          <w:rFonts w:ascii="Verdana" w:hAnsi="Verdana"/>
          <w:sz w:val="16"/>
          <w:szCs w:val="16"/>
          <w:lang w:val="es-CO"/>
        </w:rPr>
      </w:pPr>
      <w:r w:rsidRPr="00BC5C37">
        <w:rPr>
          <w:rStyle w:val="Refdenotaalpie"/>
          <w:rFonts w:ascii="Verdana" w:hAnsi="Verdana"/>
          <w:sz w:val="16"/>
          <w:szCs w:val="16"/>
        </w:rPr>
        <w:footnoteRef/>
      </w:r>
      <w:r w:rsidRPr="00BC5C37">
        <w:rPr>
          <w:rFonts w:ascii="Verdana" w:hAnsi="Verdana"/>
          <w:sz w:val="16"/>
          <w:szCs w:val="16"/>
        </w:rPr>
        <w:t xml:space="preserve"> Consejo de Estado. Sección Tercera. Sentencia del 27 de abril de 2011. Exp. 18.293. C.P. Ruth Stella Correa Palacio.</w:t>
      </w:r>
    </w:p>
  </w:footnote>
  <w:footnote w:id="6">
    <w:p w14:paraId="075626A3" w14:textId="77777777" w:rsidR="003A4AD9" w:rsidRDefault="003A4AD9" w:rsidP="003A4AD9">
      <w:pPr>
        <w:pStyle w:val="Textonotapie"/>
        <w:ind w:firstLine="708"/>
        <w:jc w:val="both"/>
        <w:rPr>
          <w:rFonts w:ascii="Verdana" w:hAnsi="Verdana"/>
          <w:sz w:val="16"/>
          <w:szCs w:val="16"/>
        </w:rPr>
      </w:pPr>
    </w:p>
    <w:p w14:paraId="7EF832E2" w14:textId="1470BE13" w:rsidR="002E512B" w:rsidRDefault="002E512B" w:rsidP="003A4AD9">
      <w:pPr>
        <w:pStyle w:val="Textonotapie"/>
        <w:ind w:firstLine="708"/>
        <w:jc w:val="both"/>
        <w:rPr>
          <w:rFonts w:ascii="Verdana" w:hAnsi="Verdana"/>
          <w:sz w:val="16"/>
          <w:szCs w:val="16"/>
        </w:rPr>
      </w:pPr>
      <w:r w:rsidRPr="00BC5C37">
        <w:rPr>
          <w:rStyle w:val="Refdenotaalpie"/>
          <w:rFonts w:ascii="Verdana" w:hAnsi="Verdana"/>
          <w:sz w:val="16"/>
          <w:szCs w:val="16"/>
        </w:rPr>
        <w:footnoteRef/>
      </w:r>
      <w:r w:rsidRPr="00BC5C37">
        <w:rPr>
          <w:rFonts w:ascii="Verdana" w:hAnsi="Verdana"/>
          <w:sz w:val="16"/>
          <w:szCs w:val="16"/>
        </w:rPr>
        <w:t xml:space="preserve"> Consejo de Estado. Sección Tercera. Sentencia del 21 de noviembre de 2013 Exp. 25397. C.P. Carlos Alberto</w:t>
      </w:r>
      <w:r w:rsidR="003A4AD9">
        <w:rPr>
          <w:rFonts w:ascii="Verdana" w:hAnsi="Verdana"/>
          <w:sz w:val="16"/>
          <w:szCs w:val="16"/>
        </w:rPr>
        <w:t xml:space="preserve"> </w:t>
      </w:r>
      <w:r w:rsidRPr="00BC5C37">
        <w:rPr>
          <w:rFonts w:ascii="Verdana" w:hAnsi="Verdana"/>
          <w:sz w:val="16"/>
          <w:szCs w:val="16"/>
        </w:rPr>
        <w:t>Zambrano Barrera.</w:t>
      </w:r>
    </w:p>
    <w:p w14:paraId="4A543966" w14:textId="2A99077E" w:rsidR="002E512B" w:rsidRPr="004306FA" w:rsidRDefault="002E512B" w:rsidP="003A4AD9">
      <w:pPr>
        <w:pStyle w:val="Textonotapie"/>
        <w:ind w:firstLine="708"/>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784503114"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860713551" name="Imagen 186071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7B8978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53893382" o:spid="_x0000_i1025" type="#_x0000_t75" style="width:11.25pt;height:11.25pt;visibility:visible;mso-wrap-style:square">
            <v:imagedata r:id="rId1" o:title=""/>
          </v:shape>
        </w:pict>
      </mc:Choice>
      <mc:Fallback>
        <w:drawing>
          <wp:inline distT="0" distB="0" distL="0" distR="0" wp14:anchorId="78DD31A0" wp14:editId="58C5B87E">
            <wp:extent cx="142875" cy="142875"/>
            <wp:effectExtent l="0" t="0" r="0" b="0"/>
            <wp:docPr id="253893382" name="Imagen 25389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6C24CDE"/>
    <w:multiLevelType w:val="hybridMultilevel"/>
    <w:tmpl w:val="C5D05BBE"/>
    <w:lvl w:ilvl="0" w:tplc="B9FC8CD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34D3366"/>
    <w:multiLevelType w:val="hybridMultilevel"/>
    <w:tmpl w:val="05EEE7A0"/>
    <w:lvl w:ilvl="0" w:tplc="0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45AF195D"/>
    <w:multiLevelType w:val="hybridMultilevel"/>
    <w:tmpl w:val="99C6CF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341274352">
    <w:abstractNumId w:val="0"/>
  </w:num>
  <w:num w:numId="17" w16cid:durableId="679089576">
    <w:abstractNumId w:val="11"/>
  </w:num>
  <w:num w:numId="18" w16cid:durableId="1492209491">
    <w:abstractNumId w:val="6"/>
  </w:num>
  <w:num w:numId="19" w16cid:durableId="866874951">
    <w:abstractNumId w:val="13"/>
  </w:num>
  <w:num w:numId="20" w16cid:durableId="943806762">
    <w:abstractNumId w:val="3"/>
  </w:num>
  <w:num w:numId="21" w16cid:durableId="13124439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08B"/>
    <w:rsid w:val="00016F78"/>
    <w:rsid w:val="00020FF5"/>
    <w:rsid w:val="00022F78"/>
    <w:rsid w:val="0004683C"/>
    <w:rsid w:val="00046945"/>
    <w:rsid w:val="00061B2A"/>
    <w:rsid w:val="00065D38"/>
    <w:rsid w:val="00066921"/>
    <w:rsid w:val="000675DD"/>
    <w:rsid w:val="00082362"/>
    <w:rsid w:val="00091D0A"/>
    <w:rsid w:val="000A457D"/>
    <w:rsid w:val="000A683E"/>
    <w:rsid w:val="000B19B9"/>
    <w:rsid w:val="000B3BCC"/>
    <w:rsid w:val="000B56D7"/>
    <w:rsid w:val="000B70A5"/>
    <w:rsid w:val="000C56EA"/>
    <w:rsid w:val="000D0334"/>
    <w:rsid w:val="000D19B1"/>
    <w:rsid w:val="000E6303"/>
    <w:rsid w:val="000F6486"/>
    <w:rsid w:val="00101E8C"/>
    <w:rsid w:val="001068D2"/>
    <w:rsid w:val="00125105"/>
    <w:rsid w:val="00127233"/>
    <w:rsid w:val="00130E77"/>
    <w:rsid w:val="0014092A"/>
    <w:rsid w:val="001511A0"/>
    <w:rsid w:val="00195A13"/>
    <w:rsid w:val="001B7CD4"/>
    <w:rsid w:val="001D6C52"/>
    <w:rsid w:val="001E4177"/>
    <w:rsid w:val="001F7DC6"/>
    <w:rsid w:val="002038FB"/>
    <w:rsid w:val="002105F0"/>
    <w:rsid w:val="00213613"/>
    <w:rsid w:val="00236811"/>
    <w:rsid w:val="002421BB"/>
    <w:rsid w:val="002464F2"/>
    <w:rsid w:val="0025796E"/>
    <w:rsid w:val="00266201"/>
    <w:rsid w:val="002707A2"/>
    <w:rsid w:val="00275330"/>
    <w:rsid w:val="00292FFC"/>
    <w:rsid w:val="002951A0"/>
    <w:rsid w:val="002962BC"/>
    <w:rsid w:val="0029757B"/>
    <w:rsid w:val="002A093D"/>
    <w:rsid w:val="002A0DD0"/>
    <w:rsid w:val="002A1461"/>
    <w:rsid w:val="002A49AC"/>
    <w:rsid w:val="002A64FD"/>
    <w:rsid w:val="002C7A84"/>
    <w:rsid w:val="002D3084"/>
    <w:rsid w:val="002E1A37"/>
    <w:rsid w:val="002E4FD9"/>
    <w:rsid w:val="002E512B"/>
    <w:rsid w:val="002F072C"/>
    <w:rsid w:val="002F6814"/>
    <w:rsid w:val="002F7035"/>
    <w:rsid w:val="00304266"/>
    <w:rsid w:val="00305790"/>
    <w:rsid w:val="00310304"/>
    <w:rsid w:val="003203ED"/>
    <w:rsid w:val="00322A85"/>
    <w:rsid w:val="00324168"/>
    <w:rsid w:val="0033071E"/>
    <w:rsid w:val="003405F5"/>
    <w:rsid w:val="003448F4"/>
    <w:rsid w:val="00353050"/>
    <w:rsid w:val="00357108"/>
    <w:rsid w:val="00374F5E"/>
    <w:rsid w:val="0037601C"/>
    <w:rsid w:val="00377E3E"/>
    <w:rsid w:val="00387F4E"/>
    <w:rsid w:val="003A4AD9"/>
    <w:rsid w:val="003A67DB"/>
    <w:rsid w:val="003A6860"/>
    <w:rsid w:val="003A779E"/>
    <w:rsid w:val="003D0F4D"/>
    <w:rsid w:val="003D5B0D"/>
    <w:rsid w:val="003E0499"/>
    <w:rsid w:val="003E21A6"/>
    <w:rsid w:val="003F3941"/>
    <w:rsid w:val="00405200"/>
    <w:rsid w:val="00406575"/>
    <w:rsid w:val="00414C74"/>
    <w:rsid w:val="00421420"/>
    <w:rsid w:val="0042722E"/>
    <w:rsid w:val="004306FA"/>
    <w:rsid w:val="00444866"/>
    <w:rsid w:val="0044528D"/>
    <w:rsid w:val="004521F2"/>
    <w:rsid w:val="00454337"/>
    <w:rsid w:val="00475DC4"/>
    <w:rsid w:val="00493FB5"/>
    <w:rsid w:val="004A1847"/>
    <w:rsid w:val="004A305D"/>
    <w:rsid w:val="004D7B76"/>
    <w:rsid w:val="004E4BB8"/>
    <w:rsid w:val="004F21C4"/>
    <w:rsid w:val="004F4858"/>
    <w:rsid w:val="004F685F"/>
    <w:rsid w:val="004F70D1"/>
    <w:rsid w:val="00503E43"/>
    <w:rsid w:val="005235ED"/>
    <w:rsid w:val="005426D4"/>
    <w:rsid w:val="005455A1"/>
    <w:rsid w:val="005566E8"/>
    <w:rsid w:val="00562F6D"/>
    <w:rsid w:val="00574867"/>
    <w:rsid w:val="005752B6"/>
    <w:rsid w:val="0058638C"/>
    <w:rsid w:val="005864DF"/>
    <w:rsid w:val="00591460"/>
    <w:rsid w:val="005B31F0"/>
    <w:rsid w:val="005B3816"/>
    <w:rsid w:val="005C2184"/>
    <w:rsid w:val="005C3777"/>
    <w:rsid w:val="005C5CDC"/>
    <w:rsid w:val="005C6120"/>
    <w:rsid w:val="005D476C"/>
    <w:rsid w:val="005D7328"/>
    <w:rsid w:val="0061462A"/>
    <w:rsid w:val="00620A5F"/>
    <w:rsid w:val="006219F8"/>
    <w:rsid w:val="00637331"/>
    <w:rsid w:val="006378EB"/>
    <w:rsid w:val="00642178"/>
    <w:rsid w:val="00643C5C"/>
    <w:rsid w:val="00655AE2"/>
    <w:rsid w:val="00665A1B"/>
    <w:rsid w:val="00665D70"/>
    <w:rsid w:val="006726B5"/>
    <w:rsid w:val="00683258"/>
    <w:rsid w:val="0068340B"/>
    <w:rsid w:val="00686A91"/>
    <w:rsid w:val="006900D9"/>
    <w:rsid w:val="006902B4"/>
    <w:rsid w:val="00696FB5"/>
    <w:rsid w:val="006B0300"/>
    <w:rsid w:val="006B1F2C"/>
    <w:rsid w:val="006B2D6A"/>
    <w:rsid w:val="006C2428"/>
    <w:rsid w:val="006D0678"/>
    <w:rsid w:val="006D5093"/>
    <w:rsid w:val="006E5A8C"/>
    <w:rsid w:val="00706C16"/>
    <w:rsid w:val="00717704"/>
    <w:rsid w:val="00726A4D"/>
    <w:rsid w:val="00735F19"/>
    <w:rsid w:val="007378C8"/>
    <w:rsid w:val="00755167"/>
    <w:rsid w:val="00756841"/>
    <w:rsid w:val="00760C30"/>
    <w:rsid w:val="007649AB"/>
    <w:rsid w:val="00771114"/>
    <w:rsid w:val="00771D0C"/>
    <w:rsid w:val="007833AC"/>
    <w:rsid w:val="007B268C"/>
    <w:rsid w:val="007B7171"/>
    <w:rsid w:val="007C0C0F"/>
    <w:rsid w:val="007C3DC2"/>
    <w:rsid w:val="007E5497"/>
    <w:rsid w:val="007E7DC2"/>
    <w:rsid w:val="007F0BE9"/>
    <w:rsid w:val="00803150"/>
    <w:rsid w:val="008052D1"/>
    <w:rsid w:val="00806F5F"/>
    <w:rsid w:val="00820278"/>
    <w:rsid w:val="00821CDB"/>
    <w:rsid w:val="008547C9"/>
    <w:rsid w:val="00865312"/>
    <w:rsid w:val="00867F95"/>
    <w:rsid w:val="0087475C"/>
    <w:rsid w:val="008770AD"/>
    <w:rsid w:val="00880F1D"/>
    <w:rsid w:val="00883463"/>
    <w:rsid w:val="008843B6"/>
    <w:rsid w:val="00891928"/>
    <w:rsid w:val="00895F4C"/>
    <w:rsid w:val="008A446D"/>
    <w:rsid w:val="008C0FF0"/>
    <w:rsid w:val="008C49E0"/>
    <w:rsid w:val="008D0A4C"/>
    <w:rsid w:val="008D180B"/>
    <w:rsid w:val="008E1307"/>
    <w:rsid w:val="008F0EA7"/>
    <w:rsid w:val="008F579A"/>
    <w:rsid w:val="0090606F"/>
    <w:rsid w:val="0091500B"/>
    <w:rsid w:val="00923832"/>
    <w:rsid w:val="00923EEF"/>
    <w:rsid w:val="009419F9"/>
    <w:rsid w:val="00955EEC"/>
    <w:rsid w:val="0095685E"/>
    <w:rsid w:val="00960FEC"/>
    <w:rsid w:val="00961B09"/>
    <w:rsid w:val="00965334"/>
    <w:rsid w:val="0097093E"/>
    <w:rsid w:val="0097248B"/>
    <w:rsid w:val="00986AC5"/>
    <w:rsid w:val="009920FD"/>
    <w:rsid w:val="00993D3D"/>
    <w:rsid w:val="00996CF5"/>
    <w:rsid w:val="009A0DFA"/>
    <w:rsid w:val="009B2D26"/>
    <w:rsid w:val="009B3B95"/>
    <w:rsid w:val="009C66C5"/>
    <w:rsid w:val="009C71FA"/>
    <w:rsid w:val="009C72E7"/>
    <w:rsid w:val="009C7CEE"/>
    <w:rsid w:val="009D3058"/>
    <w:rsid w:val="009D6780"/>
    <w:rsid w:val="009F2A34"/>
    <w:rsid w:val="009F3A13"/>
    <w:rsid w:val="009F71A5"/>
    <w:rsid w:val="00A122D3"/>
    <w:rsid w:val="00A17F13"/>
    <w:rsid w:val="00A20739"/>
    <w:rsid w:val="00A33C78"/>
    <w:rsid w:val="00A34C3E"/>
    <w:rsid w:val="00A6490D"/>
    <w:rsid w:val="00A7578C"/>
    <w:rsid w:val="00A8530B"/>
    <w:rsid w:val="00AB0ADB"/>
    <w:rsid w:val="00B01B1A"/>
    <w:rsid w:val="00B03DCD"/>
    <w:rsid w:val="00B054DE"/>
    <w:rsid w:val="00B22176"/>
    <w:rsid w:val="00B26386"/>
    <w:rsid w:val="00B36026"/>
    <w:rsid w:val="00B40755"/>
    <w:rsid w:val="00B66319"/>
    <w:rsid w:val="00B72CD3"/>
    <w:rsid w:val="00B72FFF"/>
    <w:rsid w:val="00B8379F"/>
    <w:rsid w:val="00B960CD"/>
    <w:rsid w:val="00BA0ED0"/>
    <w:rsid w:val="00BC3D36"/>
    <w:rsid w:val="00BC5C37"/>
    <w:rsid w:val="00BD3F1B"/>
    <w:rsid w:val="00BD54C0"/>
    <w:rsid w:val="00BD7F72"/>
    <w:rsid w:val="00BE74FA"/>
    <w:rsid w:val="00C0340D"/>
    <w:rsid w:val="00C04FB3"/>
    <w:rsid w:val="00C129B2"/>
    <w:rsid w:val="00C21FBA"/>
    <w:rsid w:val="00C2599B"/>
    <w:rsid w:val="00C31D14"/>
    <w:rsid w:val="00C330EB"/>
    <w:rsid w:val="00C41061"/>
    <w:rsid w:val="00C438CE"/>
    <w:rsid w:val="00C5368A"/>
    <w:rsid w:val="00C565DA"/>
    <w:rsid w:val="00C754BE"/>
    <w:rsid w:val="00C76B1C"/>
    <w:rsid w:val="00C8011B"/>
    <w:rsid w:val="00C83508"/>
    <w:rsid w:val="00C904C6"/>
    <w:rsid w:val="00C93841"/>
    <w:rsid w:val="00C93B84"/>
    <w:rsid w:val="00CB30EF"/>
    <w:rsid w:val="00CB6357"/>
    <w:rsid w:val="00CC1B26"/>
    <w:rsid w:val="00CC6C7D"/>
    <w:rsid w:val="00CD7F74"/>
    <w:rsid w:val="00CE2C72"/>
    <w:rsid w:val="00D00691"/>
    <w:rsid w:val="00D029FA"/>
    <w:rsid w:val="00D26919"/>
    <w:rsid w:val="00D3270A"/>
    <w:rsid w:val="00D423A2"/>
    <w:rsid w:val="00D520D8"/>
    <w:rsid w:val="00D6001A"/>
    <w:rsid w:val="00D63AC2"/>
    <w:rsid w:val="00D65BD2"/>
    <w:rsid w:val="00D7383B"/>
    <w:rsid w:val="00D73CF8"/>
    <w:rsid w:val="00D86C99"/>
    <w:rsid w:val="00DA231B"/>
    <w:rsid w:val="00DA382B"/>
    <w:rsid w:val="00DB161D"/>
    <w:rsid w:val="00DC22C7"/>
    <w:rsid w:val="00DC3353"/>
    <w:rsid w:val="00DC39FC"/>
    <w:rsid w:val="00DC60A2"/>
    <w:rsid w:val="00DC7EAF"/>
    <w:rsid w:val="00DD4370"/>
    <w:rsid w:val="00DE09C5"/>
    <w:rsid w:val="00DE57F8"/>
    <w:rsid w:val="00DF5254"/>
    <w:rsid w:val="00E04E71"/>
    <w:rsid w:val="00E108EE"/>
    <w:rsid w:val="00E15A19"/>
    <w:rsid w:val="00E16408"/>
    <w:rsid w:val="00E20894"/>
    <w:rsid w:val="00E2352C"/>
    <w:rsid w:val="00E245AB"/>
    <w:rsid w:val="00E27414"/>
    <w:rsid w:val="00E2764C"/>
    <w:rsid w:val="00E27F2E"/>
    <w:rsid w:val="00E420BF"/>
    <w:rsid w:val="00E4565F"/>
    <w:rsid w:val="00E460B7"/>
    <w:rsid w:val="00E50AFE"/>
    <w:rsid w:val="00E5488C"/>
    <w:rsid w:val="00E54E47"/>
    <w:rsid w:val="00E611D1"/>
    <w:rsid w:val="00E71129"/>
    <w:rsid w:val="00E72C72"/>
    <w:rsid w:val="00E75C92"/>
    <w:rsid w:val="00E771DC"/>
    <w:rsid w:val="00E77650"/>
    <w:rsid w:val="00E8772A"/>
    <w:rsid w:val="00E90F6B"/>
    <w:rsid w:val="00E92C27"/>
    <w:rsid w:val="00E93203"/>
    <w:rsid w:val="00EA0E3D"/>
    <w:rsid w:val="00EB13A6"/>
    <w:rsid w:val="00EC38A7"/>
    <w:rsid w:val="00ED0F52"/>
    <w:rsid w:val="00ED7384"/>
    <w:rsid w:val="00EE0DC6"/>
    <w:rsid w:val="00EE1AA8"/>
    <w:rsid w:val="00EE5647"/>
    <w:rsid w:val="00F2182F"/>
    <w:rsid w:val="00F24808"/>
    <w:rsid w:val="00F31EDC"/>
    <w:rsid w:val="00F33CB1"/>
    <w:rsid w:val="00F462B3"/>
    <w:rsid w:val="00F5664F"/>
    <w:rsid w:val="00F56778"/>
    <w:rsid w:val="00F602B6"/>
    <w:rsid w:val="00F6641B"/>
    <w:rsid w:val="00F666C4"/>
    <w:rsid w:val="00F76AFC"/>
    <w:rsid w:val="00F777E8"/>
    <w:rsid w:val="00F8416F"/>
    <w:rsid w:val="00F906F4"/>
    <w:rsid w:val="00FA47C0"/>
    <w:rsid w:val="00FA4CC1"/>
    <w:rsid w:val="00FB5DD1"/>
    <w:rsid w:val="00FC04E4"/>
    <w:rsid w:val="00FC2B5D"/>
    <w:rsid w:val="00FC616A"/>
    <w:rsid w:val="00FD2F44"/>
    <w:rsid w:val="00FD36C1"/>
    <w:rsid w:val="00FD67A8"/>
    <w:rsid w:val="00FE339F"/>
    <w:rsid w:val="00FE3D85"/>
    <w:rsid w:val="00FF1449"/>
    <w:rsid w:val="00FF45A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E512B"/>
    <w:rPr>
      <w:rFonts w:ascii="Geomanist Light" w:hAnsi="Geomanist Light"/>
      <w:lang w:val="es-ES"/>
    </w:rPr>
  </w:style>
  <w:style w:type="paragraph" w:customStyle="1" w:styleId="Appelnotedebasde">
    <w:name w:val="Appel note de bas de..."/>
    <w:basedOn w:val="Normal"/>
    <w:link w:val="Refdenotaalpie"/>
    <w:rsid w:val="002E512B"/>
    <w:pPr>
      <w:spacing w:line="240" w:lineRule="exact"/>
    </w:pPr>
    <w:rPr>
      <w:vertAlign w:val="superscript"/>
    </w:rPr>
  </w:style>
  <w:style w:type="paragraph" w:styleId="Textoindependiente">
    <w:name w:val="Body Text"/>
    <w:basedOn w:val="Normal"/>
    <w:link w:val="TextoindependienteCar"/>
    <w:uiPriority w:val="1"/>
    <w:qFormat/>
    <w:rsid w:val="002E512B"/>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2E512B"/>
    <w:rPr>
      <w:rFonts w:ascii="Arial" w:eastAsia="Arial" w:hAnsi="Arial" w:cs="Arial"/>
      <w:sz w:val="20"/>
      <w:szCs w:val="20"/>
      <w:lang w:val="es-ES"/>
    </w:rPr>
  </w:style>
  <w:style w:type="character" w:customStyle="1" w:styleId="NormalWebCar">
    <w:name w:val="Normal (Web) Car"/>
    <w:link w:val="NormalWeb"/>
    <w:uiPriority w:val="99"/>
    <w:rsid w:val="00F777E8"/>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04883207">
      <w:bodyDiv w:val="1"/>
      <w:marLeft w:val="0"/>
      <w:marRight w:val="0"/>
      <w:marTop w:val="0"/>
      <w:marBottom w:val="0"/>
      <w:divBdr>
        <w:top w:val="none" w:sz="0" w:space="0" w:color="auto"/>
        <w:left w:val="none" w:sz="0" w:space="0" w:color="auto"/>
        <w:bottom w:val="none" w:sz="0" w:space="0" w:color="auto"/>
        <w:right w:val="none" w:sz="0" w:space="0" w:color="auto"/>
      </w:divBdr>
      <w:divsChild>
        <w:div w:id="525337708">
          <w:marLeft w:val="0"/>
          <w:marRight w:val="0"/>
          <w:marTop w:val="0"/>
          <w:marBottom w:val="160"/>
          <w:divBdr>
            <w:top w:val="none" w:sz="0" w:space="0" w:color="auto"/>
            <w:left w:val="none" w:sz="0" w:space="0" w:color="auto"/>
            <w:bottom w:val="none" w:sz="0" w:space="0" w:color="auto"/>
            <w:right w:val="none" w:sz="0" w:space="0" w:color="auto"/>
          </w:divBdr>
        </w:div>
        <w:div w:id="816994128">
          <w:marLeft w:val="0"/>
          <w:marRight w:val="0"/>
          <w:marTop w:val="0"/>
          <w:marBottom w:val="160"/>
          <w:divBdr>
            <w:top w:val="none" w:sz="0" w:space="0" w:color="auto"/>
            <w:left w:val="none" w:sz="0" w:space="0" w:color="auto"/>
            <w:bottom w:val="none" w:sz="0" w:space="0" w:color="auto"/>
            <w:right w:val="none" w:sz="0" w:space="0" w:color="auto"/>
          </w:divBdr>
        </w:div>
        <w:div w:id="1214000216">
          <w:marLeft w:val="0"/>
          <w:marRight w:val="0"/>
          <w:marTop w:val="0"/>
          <w:marBottom w:val="16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90790493">
      <w:bodyDiv w:val="1"/>
      <w:marLeft w:val="0"/>
      <w:marRight w:val="0"/>
      <w:marTop w:val="0"/>
      <w:marBottom w:val="0"/>
      <w:divBdr>
        <w:top w:val="none" w:sz="0" w:space="0" w:color="auto"/>
        <w:left w:val="none" w:sz="0" w:space="0" w:color="auto"/>
        <w:bottom w:val="none" w:sz="0" w:space="0" w:color="auto"/>
        <w:right w:val="none" w:sz="0" w:space="0" w:color="auto"/>
      </w:divBdr>
      <w:divsChild>
        <w:div w:id="2118331144">
          <w:marLeft w:val="0"/>
          <w:marRight w:val="0"/>
          <w:marTop w:val="0"/>
          <w:marBottom w:val="160"/>
          <w:divBdr>
            <w:top w:val="none" w:sz="0" w:space="0" w:color="auto"/>
            <w:left w:val="none" w:sz="0" w:space="0" w:color="auto"/>
            <w:bottom w:val="none" w:sz="0" w:space="0" w:color="auto"/>
            <w:right w:val="none" w:sz="0" w:space="0" w:color="auto"/>
          </w:divBdr>
        </w:div>
        <w:div w:id="1441336436">
          <w:marLeft w:val="0"/>
          <w:marRight w:val="0"/>
          <w:marTop w:val="0"/>
          <w:marBottom w:val="160"/>
          <w:divBdr>
            <w:top w:val="none" w:sz="0" w:space="0" w:color="auto"/>
            <w:left w:val="none" w:sz="0" w:space="0" w:color="auto"/>
            <w:bottom w:val="none" w:sz="0" w:space="0" w:color="auto"/>
            <w:right w:val="none" w:sz="0" w:space="0" w:color="auto"/>
          </w:divBdr>
        </w:div>
        <w:div w:id="1519812436">
          <w:marLeft w:val="0"/>
          <w:marRight w:val="0"/>
          <w:marTop w:val="0"/>
          <w:marBottom w:val="16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nam02.safelinks.protection.outlook.com/?url=https%3A%2F%2Fwww.colombiacompra.gov.co%2Fciudadanos%2Fcalendario&amp;data=05%7C02%7Cmaria.nieto%40colombiacompra.gov.co%7Ceb0fd05604104aa4d3bc08dd4c4ad35e%7C7b09041e245149d08cb179d5e3d8c1be%7C0%7C0%7C638750606445343260%7CUnknown%7CTWFpbGZsb3d8eyJFbXB0eU1hcGkiOnRydWUsIlYiOiIwLjAuMDAwMCIsIlAiOiJXaW4zMiIsIkFOIjoiTWFpbCIsIldUIjoyfQ%3D%3D%7C0%7C%7C%7C&amp;sdata=HO7sT2qXJhKl3xWXnXPKbziDzE7b1pyTd%2BhZfryGX%2FQ%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jorgrodr@fiscalia.gov.co" TargetMode="External"/><Relationship Id="rId17" Type="http://schemas.openxmlformats.org/officeDocument/2006/relationships/hyperlink" Target="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sites/cce_public/files/cce_documents/cce-eicp-gi-22_guia_capacidad_residual_de_contratacion_v1_29-09-2023_.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manuales-guias-y-pliegos-tipo%2Fmanuales-y-guias%2Fguia-de-contratacion-publica-sostenible-y-socialmente&amp;data=05%7C02%7Cmaria.nieto%40colombiacompra.gov.co%7Ceb0fd05604104aa4d3bc08dd4c4ad35e%7C7b09041e245149d08cb179d5e3d8c1be%7C0%7C0%7C638750606445363808%7CUnknown%7CTWFpbGZsb3d8eyJFbXB0eU1hcGkiOnRydWUsIlYiOiIwLjAuMDAwMCIsIlAiOiJXaW4zMiIsIkFOIjoiTWFpbCIsIldUIjoyfQ%3D%3D%7C0%7C%7C%7C&amp;sdata=Efi4Ks5DiLqpyHbudIYkuLRQ47tqCXJZavNg3DrVj5I%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33216737-3881-47A7-A8DC-CDD013CF4EDA}">
  <ds:schemaRefs>
    <ds:schemaRef ds:uri="http://schemas.openxmlformats.org/officeDocument/2006/bibliography"/>
  </ds:schemaRefs>
</ds:datastoreItem>
</file>

<file path=customXml/itemProps2.xml><?xml version="1.0" encoding="utf-8"?>
<ds:datastoreItem xmlns:ds="http://schemas.openxmlformats.org/officeDocument/2006/customXml" ds:itemID="{15870C11-BB3F-44B6-BF9D-0A50B0FED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5769</Words>
  <Characters>31732</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37427</CharactersWithSpaces>
  <SharedDoc>false</SharedDoc>
  <HLinks>
    <vt:vector size="42" baseType="variant">
      <vt:variant>
        <vt:i4>6553641</vt:i4>
      </vt:variant>
      <vt:variant>
        <vt:i4>15</vt:i4>
      </vt:variant>
      <vt:variant>
        <vt:i4>0</vt:i4>
      </vt:variant>
      <vt:variant>
        <vt:i4>5</vt:i4>
      </vt:variant>
      <vt:variant>
        <vt:lpwstr>https://nam02.safelinks.protection.outlook.com/?url=https%3A%2F%2Fwww.colombiacompra.gov.co%2Fmanuales-guias-y-pliegos-tipo%2Fmanuales-y-guias%2Fguia-de-contratacion-publica-sostenible-y-socialmente&amp;data=05%7C02%7Cgustavo.hinestroza%40colombiacompra.gov.co%7Cb18b651bca3a4eb8eab008dd269b400d%7C7b09041e245149d08cb179d5e3d8c1be%7C0%7C0%7C638709170415366439%7CUnknown%7CTWFpbGZsb3d8eyJFbXB0eU1hcGkiOnRydWUsIlYiOiIwLjAuMDAwMCIsIlAiOiJXaW4zMiIsIkFOIjoiTWFpbCIsIldUIjoyfQ%3D%3D%7C0%7C%7C%7C&amp;sdata=wYVokjYCzH%2F8r3psRdzY%2Fp6mJktONTGKqOSkSxpbihY%3D&amp;reserved=0</vt:lpwstr>
      </vt:variant>
      <vt:variant>
        <vt:lpwstr/>
      </vt:variant>
      <vt:variant>
        <vt:i4>7798899</vt:i4>
      </vt:variant>
      <vt:variant>
        <vt:i4>12</vt:i4>
      </vt:variant>
      <vt:variant>
        <vt:i4>0</vt:i4>
      </vt:variant>
      <vt:variant>
        <vt:i4>5</vt:i4>
      </vt:variant>
      <vt:variant>
        <vt:lpwstr>https://nam02.safelinks.protection.outlook.com/?url=https%3A%2F%2Fwww.colombiacompra.gov.co%2Fcontent%2F02-documentos-tipo-para-los-procesos-de-seleccion-de-consultoria-de-obra-publica-de&amp;data=05%7C02%7Cgustavo.hinestroza%40colombiacompra.gov.co%7Cb18b651bca3a4eb8eab008dd269b400d%7C7b09041e245149d08cb179d5e3d8c1be%7C0%7C0%7C638709170415349526%7CUnknown%7CTWFpbGZsb3d8eyJFbXB0eU1hcGkiOnRydWUsIlYiOiIwLjAuMDAwMCIsIlAiOiJXaW4zMiIsIkFOIjoiTWFpbCIsIldUIjoyfQ%3D%3D%7C0%7C%7C%7C&amp;sdata=Wafva1jUYBs0RExqjLzzsgUNJOfl0o0pW8YRpra9Y38%3D&amp;reserved=0</vt:lpwstr>
      </vt:variant>
      <vt:variant>
        <vt:lpwstr/>
      </vt:variant>
      <vt:variant>
        <vt:i4>3211302</vt:i4>
      </vt:variant>
      <vt:variant>
        <vt:i4>9</vt:i4>
      </vt:variant>
      <vt:variant>
        <vt:i4>0</vt:i4>
      </vt:variant>
      <vt:variant>
        <vt:i4>5</vt:i4>
      </vt:variant>
      <vt:variant>
        <vt:lpwstr>https://nam02.safelinks.protection.outlook.com/?url=https%3A%2F%2Fwww.colombiacompra.gov.co%2Fcontent%2F03-documentos-tipo-para-los-procesos-de-seleccion-de-interventoria-de-obra-publica-de&amp;data=05%7C02%7Cgustavo.hinestroza%40colombiacompra.gov.co%7Cb18b651bca3a4eb8eab008dd269b400d%7C7b09041e245149d08cb179d5e3d8c1be%7C0%7C0%7C638709170415324798%7CUnknown%7CTWFpbGZsb3d8eyJFbXB0eU1hcGkiOnRydWUsIlYiOiIwLjAuMDAwMCIsIlAiOiJXaW4zMiIsIkFOIjoiTWFpbCIsIldUIjoyfQ%3D%3D%7C0%7C%7C%7C&amp;sdata=WP6Q0MNZveD9jX5eJ4GUi2pGzerfycSBvFEJQLfh%2FBU%3D&amp;reserved=0</vt:lpwstr>
      </vt:variant>
      <vt:variant>
        <vt:lpwstr/>
      </vt:variant>
      <vt:variant>
        <vt:i4>1900622</vt:i4>
      </vt:variant>
      <vt:variant>
        <vt:i4>6</vt:i4>
      </vt:variant>
      <vt:variant>
        <vt:i4>0</vt:i4>
      </vt:variant>
      <vt:variant>
        <vt:i4>5</vt:i4>
      </vt:variant>
      <vt:variant>
        <vt:lpwstr>https://relatoria.colombiacompra.gov.co/</vt:lpwstr>
      </vt:variant>
      <vt:variant>
        <vt:lpwstr/>
      </vt:variant>
      <vt:variant>
        <vt:i4>8323128</vt:i4>
      </vt:variant>
      <vt:variant>
        <vt:i4>3</vt:i4>
      </vt:variant>
      <vt:variant>
        <vt:i4>0</vt:i4>
      </vt:variant>
      <vt:variant>
        <vt:i4>5</vt:i4>
      </vt:variant>
      <vt:variant>
        <vt:lpwstr>https://www.colombiacompra.gov.co/manuales-guias-y-pliegostipo/manuales-y-guias</vt:lpwstr>
      </vt:variant>
      <vt:variant>
        <vt:lpwstr/>
      </vt:variant>
      <vt:variant>
        <vt:i4>5832749</vt:i4>
      </vt:variant>
      <vt:variant>
        <vt:i4>0</vt:i4>
      </vt:variant>
      <vt:variant>
        <vt:i4>0</vt:i4>
      </vt:variant>
      <vt:variant>
        <vt:i4>5</vt:i4>
      </vt:variant>
      <vt:variant>
        <vt:lpwstr>mailto:jorgrodr@fiscalia.gov.co</vt:lpwstr>
      </vt:variant>
      <vt:variant>
        <vt:lpwstr/>
      </vt:variant>
      <vt:variant>
        <vt:i4>7340149</vt:i4>
      </vt:variant>
      <vt:variant>
        <vt:i4>0</vt:i4>
      </vt:variant>
      <vt:variant>
        <vt:i4>0</vt:i4>
      </vt:variant>
      <vt:variant>
        <vt:i4>5</vt:i4>
      </vt:variant>
      <vt:variant>
        <vt:lpwstr>https://www.colombiacompra.gov.co/sites/cce_public/files/cce_documents/cce-eicp-gi-22_guia_capacidad_residual_de_contratacion_v1_29-09-2023_.pdf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2025-03-11T22:29:00Z</dcterms:created>
  <dcterms:modified xsi:type="dcterms:W3CDTF">2025-03-12T15:55:00Z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