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8E97E" w14:textId="77777777" w:rsidR="008A217A" w:rsidRPr="00025914" w:rsidRDefault="008A217A" w:rsidP="008A217A">
      <w:pPr>
        <w:jc w:val="both"/>
        <w:rPr>
          <w:rFonts w:ascii="Verdana" w:eastAsia="Calibri" w:hAnsi="Verdana" w:cs="Arial"/>
          <w:b/>
          <w:bCs/>
          <w:color w:val="000000" w:themeColor="text1"/>
        </w:rPr>
      </w:pPr>
      <w:bookmarkStart w:id="0" w:name="_Hlk181166130"/>
      <w:bookmarkStart w:id="1" w:name="_Hlk209714638"/>
      <w:r w:rsidRPr="00025914">
        <w:rPr>
          <w:rFonts w:ascii="Verdana" w:eastAsia="Calibri" w:hAnsi="Verdana" w:cs="Arial"/>
          <w:b/>
          <w:bCs/>
          <w:color w:val="000000" w:themeColor="text1"/>
        </w:rPr>
        <w:t>SELECCIÓN OBJETIVA ― Noción y factores de escogencia</w:t>
      </w:r>
    </w:p>
    <w:p w14:paraId="25B24C02" w14:textId="77777777" w:rsidR="008A217A" w:rsidRPr="00025914" w:rsidRDefault="008A217A" w:rsidP="008A217A">
      <w:pPr>
        <w:jc w:val="both"/>
        <w:rPr>
          <w:rFonts w:ascii="Verdana" w:eastAsia="Calibri" w:hAnsi="Verdana" w:cs="Arial"/>
          <w:color w:val="000000" w:themeColor="text1"/>
          <w:sz w:val="20"/>
          <w:szCs w:val="20"/>
          <w:lang w:val="es-ES"/>
        </w:rPr>
      </w:pPr>
      <w:r w:rsidRPr="00025914">
        <w:rPr>
          <w:rFonts w:ascii="Verdana" w:eastAsia="Calibri" w:hAnsi="Verdana" w:cs="Arial"/>
          <w:color w:val="000000" w:themeColor="text1"/>
          <w:sz w:val="20"/>
          <w:szCs w:val="20"/>
          <w:lang w:val="es-ES"/>
        </w:rPr>
        <w:t xml:space="preserve">El artículo 5 de la Ley 1150 de 2007 establece que se considera «objetiva la selección en la cual la escogencia se haga al ofrecimiento más favorable a la entidad y a los fines que ella busca, sin tener en consideración factores de afecto o de interés y, en general, cualquier clase de motivación subjetiva». […] los factores de escogencia y calificación que establezcan las entidades en los pliegos de condiciones o sus equivalentes deberán tener en cuenta, entre otras cuestiones, los criterios establecidos en los numerales 1 a 4 del mencionado artículo 5, así como los 5 parágrafos de dicha norma. </w:t>
      </w:r>
    </w:p>
    <w:p w14:paraId="441ABC46" w14:textId="77777777" w:rsidR="008A217A" w:rsidRPr="00025914" w:rsidRDefault="008A217A" w:rsidP="008A217A">
      <w:pPr>
        <w:spacing w:before="120"/>
        <w:jc w:val="both"/>
        <w:rPr>
          <w:rFonts w:ascii="Verdana" w:hAnsi="Verdana" w:cs="Arial"/>
          <w:color w:val="000000" w:themeColor="text1"/>
          <w:sz w:val="20"/>
          <w:szCs w:val="20"/>
        </w:rPr>
      </w:pPr>
      <w:r w:rsidRPr="00025914">
        <w:rPr>
          <w:rFonts w:ascii="Verdana" w:eastAsia="Calibri" w:hAnsi="Verdana" w:cs="Arial"/>
          <w:color w:val="000000" w:themeColor="text1"/>
          <w:sz w:val="20"/>
          <w:szCs w:val="20"/>
          <w:lang w:val="es-ES"/>
        </w:rPr>
        <w:t>Específicamente, el numeral 1º de la disposición referida establece que en los procesos de selección de contratistas serán objeto de verificación, como requisitos habilitantes, los siguientes: i) la capacidad jurídica; ii) la experiencia; iii) la capacidad financiera y iv) la capacidad de organización.</w:t>
      </w:r>
    </w:p>
    <w:p w14:paraId="50B59136" w14:textId="77777777" w:rsidR="008A217A" w:rsidRPr="00025914" w:rsidRDefault="008A217A" w:rsidP="008A217A">
      <w:pPr>
        <w:jc w:val="both"/>
        <w:rPr>
          <w:rFonts w:ascii="Verdana" w:eastAsia="Calibri" w:hAnsi="Verdana" w:cs="Arial"/>
          <w:b/>
          <w:bCs/>
          <w:color w:val="000000" w:themeColor="text1"/>
        </w:rPr>
      </w:pPr>
    </w:p>
    <w:p w14:paraId="60909EE7" w14:textId="77777777" w:rsidR="008A217A" w:rsidRPr="00025914" w:rsidRDefault="008A217A" w:rsidP="008A217A">
      <w:pPr>
        <w:jc w:val="both"/>
        <w:rPr>
          <w:rFonts w:ascii="Verdana" w:eastAsia="Calibri" w:hAnsi="Verdana" w:cs="Arial"/>
          <w:b/>
          <w:bCs/>
          <w:color w:val="000000" w:themeColor="text1"/>
        </w:rPr>
      </w:pPr>
      <w:r w:rsidRPr="00025914">
        <w:rPr>
          <w:rFonts w:ascii="Verdana" w:eastAsia="Calibri" w:hAnsi="Verdana" w:cs="Arial"/>
          <w:b/>
          <w:bCs/>
          <w:color w:val="000000" w:themeColor="text1"/>
        </w:rPr>
        <w:t>REQUISITOS HABILITANTES DE LA LEY 1150 DE 2007 ― Carácter enunciativo</w:t>
      </w:r>
    </w:p>
    <w:p w14:paraId="272CFF67" w14:textId="77777777" w:rsidR="008A217A" w:rsidRPr="00025914" w:rsidRDefault="008A217A" w:rsidP="008A217A">
      <w:pPr>
        <w:jc w:val="both"/>
        <w:rPr>
          <w:rFonts w:ascii="Verdana" w:eastAsia="Calibri" w:hAnsi="Verdana" w:cs="Arial"/>
          <w:color w:val="000000" w:themeColor="text1"/>
          <w:sz w:val="20"/>
          <w:szCs w:val="20"/>
          <w:lang w:val="es-ES"/>
        </w:rPr>
      </w:pPr>
      <w:r w:rsidRPr="00025914">
        <w:rPr>
          <w:rFonts w:ascii="Verdana" w:eastAsia="Calibri" w:hAnsi="Verdana" w:cs="Arial"/>
          <w:color w:val="000000" w:themeColor="text1"/>
          <w:sz w:val="20"/>
          <w:szCs w:val="20"/>
          <w:lang w:val="es-ES"/>
        </w:rPr>
        <w:t>[…] en este punto vale la pena preguntarse si los cuatro requisitos habilitantes establecidos en el artículo 5, numeral 1, de la Ley 1150 de 2007, cuyo alcance fue explicado previamente, son taxativos, esto es, si son los únicos requisitos habilitantes que puede exigirle una entidad a los proponentes. Esta pregunta tiene, al menos, dos respuestas razonables. Por un lado, que sí lo son, habida cuenta que la norma no hace referencia a otros diferentes y, por el otro, que no lo son, pues esta no contiene una expresión como «únicamente» o «solo» al referirse a los requisitos habilitantes y, además, debido a que la lectura íntegra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 norma que establece que «para poder participar en los procesos de selección de los contratos de obra, la capacidad residual del proponente o K de contratación deberá ser igual o superior al que la entidad haya establecido para el efecto en los pliegos de condiciones». Esta segunda respuesta contiene la interpretación legal que comparte la Agencia Nacional de Contratación Pública.</w:t>
      </w:r>
    </w:p>
    <w:p w14:paraId="5F049D1A" w14:textId="77777777" w:rsidR="008A217A" w:rsidRPr="00025914" w:rsidRDefault="008A217A" w:rsidP="008A217A">
      <w:pPr>
        <w:rPr>
          <w:rFonts w:ascii="Verdana" w:eastAsia="Calibri" w:hAnsi="Verdana" w:cs="Arial"/>
          <w:b/>
          <w:bCs/>
          <w:color w:val="000000" w:themeColor="text1"/>
        </w:rPr>
      </w:pPr>
      <w:r w:rsidRPr="00025914">
        <w:rPr>
          <w:rFonts w:ascii="Verdana" w:eastAsia="Calibri" w:hAnsi="Verdana" w:cs="Arial"/>
          <w:b/>
          <w:bCs/>
          <w:color w:val="000000" w:themeColor="text1"/>
        </w:rPr>
        <w:t>CERTIFICACIONES DE SISTEMAS DE GESTIÓN DE CALIDAD – No se pueden exigir como requisito habilitante o puntuable</w:t>
      </w:r>
    </w:p>
    <w:p w14:paraId="4F0BCB6E" w14:textId="656BBDED" w:rsidR="008A217A" w:rsidRPr="00025914" w:rsidRDefault="008A217A" w:rsidP="008A217A">
      <w:pPr>
        <w:jc w:val="both"/>
        <w:rPr>
          <w:rFonts w:ascii="Verdana" w:eastAsia="Calibri" w:hAnsi="Verdana" w:cs="Arial"/>
          <w:color w:val="000000" w:themeColor="text1"/>
          <w:sz w:val="20"/>
          <w:szCs w:val="20"/>
          <w:lang w:val="es-ES"/>
        </w:rPr>
      </w:pPr>
      <w:r w:rsidRPr="00025914">
        <w:rPr>
          <w:rFonts w:ascii="Verdana" w:eastAsia="Calibri" w:hAnsi="Verdana" w:cs="Arial"/>
          <w:color w:val="000000" w:themeColor="text1"/>
          <w:sz w:val="20"/>
          <w:szCs w:val="20"/>
        </w:rPr>
        <w:t xml:space="preserve">[…] </w:t>
      </w:r>
      <w:r w:rsidRPr="00025914">
        <w:rPr>
          <w:rFonts w:ascii="Verdana" w:eastAsia="Calibri" w:hAnsi="Verdana" w:cs="Arial"/>
          <w:color w:val="000000" w:themeColor="text1"/>
          <w:sz w:val="20"/>
          <w:szCs w:val="20"/>
          <w:lang w:val="es-ES"/>
        </w:rPr>
        <w:t xml:space="preserve">en el caso de los requisitos habilitantes, el artículo 5, parágrafo 2, de la Ley 1150 de 2007 establece que las </w:t>
      </w:r>
      <w:r>
        <w:rPr>
          <w:rFonts w:ascii="Verdana" w:eastAsia="Calibri" w:hAnsi="Verdana" w:cs="Arial"/>
          <w:color w:val="000000" w:themeColor="text1"/>
          <w:sz w:val="20"/>
          <w:szCs w:val="20"/>
          <w:lang w:val="es-ES"/>
        </w:rPr>
        <w:t>“</w:t>
      </w:r>
      <w:r w:rsidRPr="00025914">
        <w:rPr>
          <w:rFonts w:ascii="Verdana" w:eastAsia="Calibri" w:hAnsi="Verdana" w:cs="Arial"/>
          <w:color w:val="000000" w:themeColor="text1"/>
          <w:sz w:val="20"/>
          <w:szCs w:val="20"/>
          <w:lang w:val="es-ES"/>
        </w:rPr>
        <w:t>certificaciones de sistemas de gestión de calidad no serán objeto de calificación, ni podrán establecerse como documento habilitante para participar en licitaciones o concursos</w:t>
      </w:r>
      <w:r>
        <w:rPr>
          <w:rFonts w:ascii="Verdana" w:eastAsia="Calibri" w:hAnsi="Verdana" w:cs="Arial"/>
          <w:color w:val="000000" w:themeColor="text1"/>
          <w:sz w:val="20"/>
          <w:szCs w:val="20"/>
          <w:lang w:val="es-ES"/>
        </w:rPr>
        <w:t>”</w:t>
      </w:r>
      <w:r w:rsidRPr="00025914">
        <w:rPr>
          <w:rFonts w:ascii="Verdana" w:eastAsia="Calibri" w:hAnsi="Verdana" w:cs="Arial"/>
          <w:color w:val="000000" w:themeColor="text1"/>
          <w:sz w:val="20"/>
          <w:szCs w:val="20"/>
          <w:lang w:val="es-ES"/>
        </w:rPr>
        <w:t>. Es del caso precisar que esta prohibición comprende los requisitos habilitantes y, además, los requisitos puntuables, pues la norma prohíbe expresamente que dichas certificaciones sean objeto de calificación. […]</w:t>
      </w:r>
    </w:p>
    <w:p w14:paraId="128824C3" w14:textId="77777777" w:rsidR="008A217A" w:rsidRPr="00025914" w:rsidRDefault="008A217A" w:rsidP="008A217A">
      <w:pPr>
        <w:spacing w:before="120"/>
        <w:jc w:val="both"/>
        <w:rPr>
          <w:rFonts w:ascii="Verdana" w:eastAsia="Calibri" w:hAnsi="Verdana" w:cs="Arial"/>
          <w:color w:val="000000" w:themeColor="text1"/>
          <w:sz w:val="20"/>
          <w:szCs w:val="20"/>
          <w:lang w:val="es-ES"/>
        </w:rPr>
      </w:pPr>
      <w:r w:rsidRPr="00025914">
        <w:rPr>
          <w:rFonts w:ascii="Verdana" w:eastAsia="Calibri" w:hAnsi="Verdana" w:cs="Arial"/>
          <w:color w:val="000000" w:themeColor="text1"/>
          <w:sz w:val="20"/>
          <w:szCs w:val="20"/>
          <w:lang w:val="es-ES"/>
        </w:rPr>
        <w:lastRenderedPageBreak/>
        <w:t>Ese es el criterio actual en el Consejo de Estado. En efecto, en concepto del 20 de mayo del 2010, la Sala de Consulta y Servicio Civil de dicha Corporación aclaró que «[…] Los certificados de gestión de calidad no se pueden solicitar a los proponentes, ni como requisito habilitante para participar en los procesos de selección, ni para otorgar puntaje».</w:t>
      </w:r>
    </w:p>
    <w:p w14:paraId="3383DF2F" w14:textId="77777777" w:rsidR="00867581" w:rsidRPr="006F60F9" w:rsidRDefault="00867581" w:rsidP="00867581">
      <w:pPr>
        <w:spacing w:after="0" w:line="240" w:lineRule="auto"/>
        <w:jc w:val="both"/>
        <w:rPr>
          <w:rFonts w:ascii="Verdana" w:eastAsia="Calibri" w:hAnsi="Verdana" w:cs="Arial"/>
          <w:color w:val="000000" w:themeColor="text1"/>
          <w:sz w:val="20"/>
          <w:szCs w:val="20"/>
          <w:lang w:val="es-ES"/>
        </w:rPr>
      </w:pPr>
    </w:p>
    <w:p w14:paraId="14A84B19" w14:textId="77777777" w:rsidR="00867581" w:rsidRDefault="00867581" w:rsidP="00867581">
      <w:pPr>
        <w:spacing w:after="0" w:line="240" w:lineRule="auto"/>
        <w:jc w:val="both"/>
        <w:rPr>
          <w:rFonts w:ascii="Verdana" w:eastAsia="Calibri" w:hAnsi="Verdana" w:cs="Arial"/>
          <w:color w:val="000000" w:themeColor="text1"/>
          <w:sz w:val="20"/>
          <w:szCs w:val="20"/>
          <w:lang w:val="es-ES"/>
        </w:rPr>
      </w:pPr>
    </w:p>
    <w:p w14:paraId="5DCFBBE3"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7A477A7D"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76146F02"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021DC3BC"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2BAEA1DF"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2C844E1E"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5376C2F1"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3269EDA0"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07E9755C"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3E09BC0E"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51DB11AE"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726F0E0B"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618AA531"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7E6D93BD"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6EA1EAFF"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12AE8D71"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1695418A"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54D1E41D"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268D7211"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784FC324"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0055FF30"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6432AE66"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0CD336EA"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5DFCF871"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780E14FF"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2938EBE4"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2B142A8C"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07E60106"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32C797BC"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6ED4D280"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0DC40F3E"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76BAC7E8"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299B945D"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5F2CDB4C"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4CC97C71"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72EA1868" w14:textId="77777777" w:rsidR="008A217A" w:rsidRDefault="008A217A" w:rsidP="00867581">
      <w:pPr>
        <w:spacing w:after="0" w:line="240" w:lineRule="auto"/>
        <w:jc w:val="both"/>
        <w:rPr>
          <w:rFonts w:ascii="Verdana" w:eastAsia="Calibri" w:hAnsi="Verdana" w:cs="Arial"/>
          <w:color w:val="000000" w:themeColor="text1"/>
          <w:sz w:val="20"/>
          <w:szCs w:val="20"/>
          <w:lang w:val="es-ES"/>
        </w:rPr>
      </w:pPr>
    </w:p>
    <w:p w14:paraId="266BA2FD" w14:textId="77777777" w:rsidR="008A217A" w:rsidRPr="006F60F9" w:rsidRDefault="008A217A" w:rsidP="00867581">
      <w:pPr>
        <w:spacing w:after="0" w:line="240" w:lineRule="auto"/>
        <w:jc w:val="both"/>
        <w:rPr>
          <w:rFonts w:ascii="Verdana" w:eastAsia="Calibri" w:hAnsi="Verdana" w:cs="Arial"/>
          <w:color w:val="000000" w:themeColor="text1"/>
          <w:sz w:val="20"/>
          <w:szCs w:val="20"/>
          <w:lang w:val="es-ES"/>
        </w:rPr>
      </w:pPr>
    </w:p>
    <w:p w14:paraId="1755AB6B" w14:textId="77777777" w:rsidR="00867581" w:rsidRPr="006F60F9" w:rsidRDefault="00867581" w:rsidP="00867581">
      <w:pPr>
        <w:spacing w:after="0" w:line="240" w:lineRule="auto"/>
        <w:jc w:val="both"/>
        <w:rPr>
          <w:rFonts w:ascii="Verdana" w:eastAsia="Calibri" w:hAnsi="Verdana" w:cs="Arial"/>
          <w:color w:val="000000" w:themeColor="text1"/>
          <w:sz w:val="20"/>
          <w:szCs w:val="20"/>
          <w:lang w:val="es-ES"/>
        </w:rPr>
      </w:pPr>
    </w:p>
    <w:p w14:paraId="4C9DD73A" w14:textId="77777777" w:rsidR="00867581" w:rsidRPr="006F60F9" w:rsidRDefault="00867581" w:rsidP="00867581">
      <w:pPr>
        <w:spacing w:after="0" w:line="240" w:lineRule="auto"/>
        <w:jc w:val="both"/>
        <w:rPr>
          <w:rFonts w:ascii="Verdana" w:eastAsia="Calibri" w:hAnsi="Verdana" w:cs="Arial"/>
          <w:color w:val="000000" w:themeColor="text1"/>
          <w:sz w:val="20"/>
          <w:szCs w:val="20"/>
          <w:lang w:val="es-ES"/>
        </w:rPr>
      </w:pPr>
    </w:p>
    <w:p w14:paraId="5E569E1E" w14:textId="77777777" w:rsidR="00867581" w:rsidRPr="006F60F9" w:rsidRDefault="00867581" w:rsidP="00867581">
      <w:pPr>
        <w:spacing w:after="0" w:line="240" w:lineRule="auto"/>
        <w:jc w:val="both"/>
        <w:rPr>
          <w:rFonts w:ascii="Verdana" w:eastAsia="Calibri" w:hAnsi="Verdana" w:cs="Arial"/>
          <w:color w:val="000000" w:themeColor="text1"/>
          <w:sz w:val="20"/>
          <w:szCs w:val="20"/>
          <w:lang w:val="es-ES"/>
        </w:rPr>
      </w:pPr>
    </w:p>
    <w:p w14:paraId="3BFCBAC4" w14:textId="77777777" w:rsidR="00867581" w:rsidRPr="006F60F9" w:rsidRDefault="00867581" w:rsidP="00867581">
      <w:pPr>
        <w:spacing w:after="0" w:line="240" w:lineRule="auto"/>
        <w:jc w:val="both"/>
        <w:rPr>
          <w:rFonts w:ascii="Verdana" w:eastAsia="Calibri" w:hAnsi="Verdana" w:cs="Arial"/>
          <w:color w:val="000000" w:themeColor="text1"/>
          <w:sz w:val="20"/>
          <w:szCs w:val="20"/>
          <w:lang w:val="es-ES"/>
        </w:rPr>
      </w:pPr>
    </w:p>
    <w:p w14:paraId="734BF481" w14:textId="5B1AA839" w:rsidR="00A64017" w:rsidRDefault="00A800B4" w:rsidP="00103B90">
      <w:pPr>
        <w:spacing w:after="0" w:line="240" w:lineRule="auto"/>
        <w:rPr>
          <w:rFonts w:ascii="Verdana" w:hAnsi="Verdana"/>
        </w:rPr>
      </w:pPr>
      <w:r>
        <w:rPr>
          <w:rFonts w:ascii="Verdana" w:hAnsi="Verdana"/>
        </w:rPr>
        <w:t>B</w:t>
      </w:r>
      <w:r w:rsidR="00A64017" w:rsidRPr="0044528D">
        <w:rPr>
          <w:rFonts w:ascii="Verdana" w:hAnsi="Verdana"/>
        </w:rPr>
        <w:t xml:space="preserve">ogotá D.C., </w:t>
      </w:r>
      <w:r w:rsidR="00687D47">
        <w:rPr>
          <w:rFonts w:ascii="Verdana" w:hAnsi="Verdana"/>
        </w:rPr>
        <w:t>21</w:t>
      </w:r>
      <w:r w:rsidR="00324E0B">
        <w:rPr>
          <w:rFonts w:ascii="Verdana" w:hAnsi="Verdana"/>
        </w:rPr>
        <w:t xml:space="preserve"> </w:t>
      </w:r>
      <w:r w:rsidR="00763E4A">
        <w:rPr>
          <w:rFonts w:ascii="Verdana" w:hAnsi="Verdana"/>
        </w:rPr>
        <w:t xml:space="preserve">de </w:t>
      </w:r>
      <w:r w:rsidR="00687D47">
        <w:rPr>
          <w:rFonts w:ascii="Verdana" w:hAnsi="Verdana"/>
        </w:rPr>
        <w:t>noviembre</w:t>
      </w:r>
      <w:r w:rsidR="00763E4A">
        <w:rPr>
          <w:rFonts w:ascii="Verdana" w:hAnsi="Verdana"/>
        </w:rPr>
        <w:t xml:space="preserve"> de </w:t>
      </w:r>
      <w:r w:rsidR="00687D47">
        <w:rPr>
          <w:rFonts w:ascii="Verdana" w:hAnsi="Verdana"/>
        </w:rPr>
        <w:t>2025</w:t>
      </w:r>
      <w:r w:rsidR="00324E0B">
        <w:rPr>
          <w:rFonts w:ascii="Verdana" w:hAnsi="Verdana"/>
        </w:rPr>
        <w:t xml:space="preserve"> </w:t>
      </w:r>
      <w:r w:rsidR="00763E4A">
        <w:rPr>
          <w:rFonts w:ascii="Verdana" w:hAnsi="Verdana"/>
        </w:rPr>
        <w:t>.</w:t>
      </w:r>
    </w:p>
    <w:bookmarkEnd w:id="0"/>
    <w:p w14:paraId="43EFFE03" w14:textId="77777777" w:rsidR="00A64017" w:rsidRDefault="00A64017" w:rsidP="00103B90">
      <w:pPr>
        <w:spacing w:after="0" w:line="240" w:lineRule="auto"/>
        <w:rPr>
          <w:rFonts w:ascii="Verdana" w:hAnsi="Verdana"/>
        </w:rPr>
      </w:pPr>
    </w:p>
    <w:p w14:paraId="68F08A63" w14:textId="26D94371" w:rsidR="00A64017" w:rsidRDefault="00687D47" w:rsidP="00687D47">
      <w:pPr>
        <w:spacing w:after="0" w:line="240" w:lineRule="auto"/>
        <w:jc w:val="right"/>
        <w:rPr>
          <w:rFonts w:ascii="Verdana" w:hAnsi="Verdana"/>
        </w:rPr>
      </w:pPr>
      <w:r>
        <w:rPr>
          <w:rFonts w:ascii="Verdana" w:hAnsi="Verdana"/>
          <w:noProof/>
        </w:rPr>
        <w:drawing>
          <wp:inline distT="0" distB="0" distL="0" distR="0" wp14:anchorId="4C1A5DB0" wp14:editId="73DAAAD9">
            <wp:extent cx="2505075" cy="762000"/>
            <wp:effectExtent l="0" t="0" r="9525" b="0"/>
            <wp:docPr id="7515026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5075" cy="762000"/>
                    </a:xfrm>
                    <a:prstGeom prst="rect">
                      <a:avLst/>
                    </a:prstGeom>
                    <a:noFill/>
                    <a:ln>
                      <a:noFill/>
                    </a:ln>
                  </pic:spPr>
                </pic:pic>
              </a:graphicData>
            </a:graphic>
          </wp:inline>
        </w:drawing>
      </w:r>
    </w:p>
    <w:p w14:paraId="0C02CE3A" w14:textId="77777777" w:rsidR="00687D47" w:rsidRDefault="00687D47" w:rsidP="00103B90">
      <w:pPr>
        <w:spacing w:after="0" w:line="240" w:lineRule="auto"/>
        <w:rPr>
          <w:rFonts w:ascii="Verdana" w:hAnsi="Verdana"/>
        </w:rPr>
      </w:pPr>
    </w:p>
    <w:p w14:paraId="53EB9D4B" w14:textId="77777777" w:rsidR="00687D47" w:rsidRDefault="00687D47" w:rsidP="00103B90">
      <w:pPr>
        <w:spacing w:after="0" w:line="240" w:lineRule="auto"/>
        <w:rPr>
          <w:rFonts w:ascii="Verdana" w:hAnsi="Verdana"/>
        </w:rPr>
      </w:pPr>
    </w:p>
    <w:p w14:paraId="6EF9D4E0" w14:textId="383CBA78" w:rsidR="00A64017" w:rsidRDefault="00A64017" w:rsidP="00A64017">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sidRPr="00631045">
        <w:rPr>
          <w:rFonts w:ascii="Verdana" w:eastAsia="Calibri" w:hAnsi="Verdana" w:cs="Arial"/>
          <w:lang w:eastAsia="es-ES"/>
        </w:rPr>
        <w:tab/>
      </w:r>
    </w:p>
    <w:p w14:paraId="7AB6255F" w14:textId="77777777" w:rsidR="008323CA" w:rsidRPr="008323CA" w:rsidRDefault="008323CA" w:rsidP="00A64017">
      <w:pPr>
        <w:spacing w:after="0" w:line="240" w:lineRule="auto"/>
        <w:rPr>
          <w:rFonts w:ascii="Verdana" w:eastAsia="Calibri" w:hAnsi="Verdana" w:cs="Arial"/>
          <w:sz w:val="24"/>
          <w:szCs w:val="24"/>
          <w:lang w:eastAsia="es-ES"/>
        </w:rPr>
      </w:pPr>
      <w:hyperlink r:id="rId12" w:history="1">
        <w:r w:rsidRPr="008323CA">
          <w:rPr>
            <w:rStyle w:val="Hipervnculo"/>
            <w:rFonts w:ascii="Verdana" w:eastAsia="Calibri" w:hAnsi="Verdana" w:cs="Arial"/>
            <w:sz w:val="24"/>
            <w:szCs w:val="24"/>
            <w:lang w:eastAsia="es-ES"/>
          </w:rPr>
          <w:t>andyortecnologias@gmail.com</w:t>
        </w:r>
      </w:hyperlink>
      <w:r w:rsidRPr="008323CA">
        <w:rPr>
          <w:rFonts w:ascii="Verdana" w:eastAsia="Calibri" w:hAnsi="Verdana" w:cs="Arial"/>
          <w:sz w:val="24"/>
          <w:szCs w:val="24"/>
          <w:lang w:eastAsia="es-ES"/>
        </w:rPr>
        <w:t xml:space="preserve"> </w:t>
      </w:r>
    </w:p>
    <w:p w14:paraId="6E2CC3AD" w14:textId="77777777" w:rsidR="00CB7B40" w:rsidRPr="00FE3DEC" w:rsidRDefault="00CB7B40" w:rsidP="00A64017">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A64017" w:rsidRPr="00593A5F" w14:paraId="01D86018" w14:textId="77777777" w:rsidTr="00A15B1F">
        <w:trPr>
          <w:trHeight w:val="273"/>
        </w:trPr>
        <w:tc>
          <w:tcPr>
            <w:tcW w:w="2295" w:type="dxa"/>
          </w:tcPr>
          <w:p w14:paraId="1620BC45" w14:textId="77777777" w:rsidR="00A64017" w:rsidRPr="00E5644F" w:rsidRDefault="00A64017" w:rsidP="00A15B1F">
            <w:pPr>
              <w:jc w:val="both"/>
              <w:rPr>
                <w:rFonts w:ascii="Verdana" w:eastAsia="Calibri" w:hAnsi="Verdana" w:cs="Arial"/>
                <w:b/>
                <w:bCs/>
                <w:color w:val="7030A0"/>
                <w:lang w:val="es-ES_tradnl" w:eastAsia="es-ES_tradnl"/>
              </w:rPr>
            </w:pPr>
          </w:p>
        </w:tc>
        <w:tc>
          <w:tcPr>
            <w:tcW w:w="6481" w:type="dxa"/>
            <w:gridSpan w:val="2"/>
          </w:tcPr>
          <w:p w14:paraId="00E37139" w14:textId="4E2216F1" w:rsidR="00A64017" w:rsidRDefault="00A64017" w:rsidP="00A15B1F">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sidR="00CB7B40">
              <w:rPr>
                <w:rFonts w:ascii="Verdana" w:eastAsia="Calibri" w:hAnsi="Verdana" w:cs="Arial"/>
                <w:b/>
                <w:bCs/>
                <w:lang w:val="es-ES" w:eastAsia="es-ES"/>
              </w:rPr>
              <w:t>1</w:t>
            </w:r>
            <w:r w:rsidR="00F05362">
              <w:rPr>
                <w:rFonts w:ascii="Verdana" w:eastAsia="Calibri" w:hAnsi="Verdana" w:cs="Arial"/>
                <w:b/>
                <w:bCs/>
                <w:lang w:val="es-ES" w:eastAsia="es-ES"/>
              </w:rPr>
              <w:t>4</w:t>
            </w:r>
            <w:r w:rsidR="008323CA">
              <w:rPr>
                <w:rFonts w:ascii="Verdana" w:eastAsia="Calibri" w:hAnsi="Verdana" w:cs="Arial"/>
                <w:b/>
                <w:bCs/>
                <w:lang w:val="es-ES" w:eastAsia="es-ES"/>
              </w:rPr>
              <w:t>90</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307B3621" w14:textId="77777777" w:rsidR="00A64017" w:rsidRPr="00E5644F" w:rsidRDefault="00A64017" w:rsidP="00A15B1F">
            <w:pPr>
              <w:jc w:val="both"/>
              <w:rPr>
                <w:rFonts w:ascii="Verdana" w:eastAsia="Calibri" w:hAnsi="Verdana" w:cs="Arial"/>
                <w:b/>
                <w:bCs/>
                <w:color w:val="7030A0"/>
                <w:lang w:val="es-ES" w:eastAsia="es-ES"/>
              </w:rPr>
            </w:pPr>
          </w:p>
        </w:tc>
      </w:tr>
      <w:tr w:rsidR="00A64017" w:rsidRPr="00280D79" w14:paraId="0E48C791" w14:textId="77777777" w:rsidTr="00A15B1F">
        <w:trPr>
          <w:trHeight w:val="1583"/>
        </w:trPr>
        <w:tc>
          <w:tcPr>
            <w:tcW w:w="2295" w:type="dxa"/>
          </w:tcPr>
          <w:p w14:paraId="64EB1800" w14:textId="77777777" w:rsidR="00A64017" w:rsidRPr="00593A5F" w:rsidRDefault="00A64017" w:rsidP="00A15B1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2A049EB1" w14:textId="7D97A7A4" w:rsidR="00867581" w:rsidRPr="00280D79" w:rsidRDefault="008A217A" w:rsidP="00C14BFF">
            <w:pPr>
              <w:jc w:val="both"/>
              <w:rPr>
                <w:rFonts w:ascii="Verdana" w:eastAsia="Calibri" w:hAnsi="Verdana" w:cs="Arial"/>
                <w:b/>
                <w:highlight w:val="yellow"/>
                <w:lang w:val="es-ES" w:eastAsia="es-ES"/>
              </w:rPr>
            </w:pPr>
            <w:r w:rsidRPr="00025914">
              <w:rPr>
                <w:rFonts w:ascii="Verdana" w:eastAsia="Calibri" w:hAnsi="Verdana" w:cs="Arial"/>
                <w:color w:val="000000" w:themeColor="text1"/>
              </w:rPr>
              <w:t>SELECCIÓN OBJETIVA ― Noción y factores de escogencia / REQUISITOS HABILITANTES DE LA LEY 1150 DE 2007 ― Carácter enunciativo / CERTIFICACIONES DE SISTEMAS DE GESTIÓN DE CALIDAD – No se pueden exigir como requisito habilitante o puntuable</w:t>
            </w:r>
            <w:r>
              <w:rPr>
                <w:rFonts w:ascii="Verdana" w:eastAsia="Calibri" w:hAnsi="Verdana" w:cs="Arial"/>
                <w:color w:val="000000" w:themeColor="text1"/>
              </w:rPr>
              <w:t>.</w:t>
            </w:r>
          </w:p>
        </w:tc>
      </w:tr>
      <w:tr w:rsidR="00A64017" w:rsidRPr="00593A5F" w14:paraId="36BB2E28" w14:textId="77777777" w:rsidTr="00A15B1F">
        <w:trPr>
          <w:trHeight w:val="545"/>
        </w:trPr>
        <w:tc>
          <w:tcPr>
            <w:tcW w:w="2295" w:type="dxa"/>
          </w:tcPr>
          <w:p w14:paraId="191CC24C" w14:textId="77777777" w:rsidR="00A64017" w:rsidRPr="006730E9" w:rsidRDefault="00A64017" w:rsidP="00A15B1F">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7F568F0F" w14:textId="0BD21565" w:rsidR="00A64017" w:rsidRPr="006730E9" w:rsidRDefault="00A64017" w:rsidP="00A15B1F">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8323CA" w:rsidRPr="008323CA">
              <w:rPr>
                <w:rFonts w:ascii="Verdana" w:eastAsia="Calibri" w:hAnsi="Verdana" w:cs="Arial"/>
                <w:lang w:val="es-ES_tradnl" w:eastAsia="es-ES_tradnl"/>
              </w:rPr>
              <w:t>1_2025_10_11_011441</w:t>
            </w:r>
            <w:r w:rsidR="002D4A66">
              <w:rPr>
                <w:rFonts w:ascii="Verdana" w:eastAsia="Calibri" w:hAnsi="Verdana" w:cs="Arial"/>
                <w:lang w:val="es-ES_tradnl" w:eastAsia="es-ES_tradnl"/>
              </w:rPr>
              <w:t>.</w:t>
            </w:r>
          </w:p>
        </w:tc>
      </w:tr>
      <w:tr w:rsidR="00A64017" w:rsidRPr="00DB23D2" w14:paraId="384FAB6D" w14:textId="77777777" w:rsidTr="00A15B1F">
        <w:trPr>
          <w:gridAfter w:val="1"/>
          <w:wAfter w:w="319" w:type="dxa"/>
          <w:trHeight w:val="242"/>
        </w:trPr>
        <w:tc>
          <w:tcPr>
            <w:tcW w:w="8457" w:type="dxa"/>
            <w:gridSpan w:val="2"/>
          </w:tcPr>
          <w:p w14:paraId="45E68A2D" w14:textId="77777777" w:rsidR="00A64017" w:rsidRPr="00DB23D2" w:rsidRDefault="00A64017" w:rsidP="00103B90">
            <w:pPr>
              <w:spacing w:line="276" w:lineRule="auto"/>
              <w:jc w:val="both"/>
              <w:rPr>
                <w:rFonts w:ascii="Verdana" w:eastAsia="Calibri" w:hAnsi="Verdana" w:cs="Arial"/>
                <w:lang w:val="es-ES_tradnl" w:eastAsia="es-ES"/>
              </w:rPr>
            </w:pPr>
          </w:p>
        </w:tc>
      </w:tr>
    </w:tbl>
    <w:p w14:paraId="63704E96" w14:textId="38C496DD"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D36635">
        <w:rPr>
          <w:rFonts w:ascii="Verdana" w:eastAsia="Calibri" w:hAnsi="Verdana" w:cs="Arial"/>
          <w:lang w:val="es-ES" w:eastAsia="es-ES"/>
        </w:rPr>
        <w:t xml:space="preserve">o </w:t>
      </w:r>
      <w:r w:rsidRPr="006730E9">
        <w:rPr>
          <w:rFonts w:ascii="Verdana" w:eastAsia="Calibri" w:hAnsi="Verdana" w:cs="Arial"/>
          <w:lang w:val="es-ES" w:eastAsia="es-ES"/>
        </w:rPr>
        <w:t>señor</w:t>
      </w:r>
      <w:r w:rsidR="00CB7B40">
        <w:rPr>
          <w:rFonts w:ascii="Verdana" w:eastAsia="Calibri" w:hAnsi="Verdana" w:cs="Arial"/>
          <w:lang w:val="es-ES" w:eastAsia="es-ES"/>
        </w:rPr>
        <w:t>;</w:t>
      </w:r>
    </w:p>
    <w:p w14:paraId="6683B019" w14:textId="32AD6380" w:rsidR="00A64017" w:rsidRDefault="00CB7B40" w:rsidP="00A6401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r w:rsidR="00A64017">
        <w:rPr>
          <w:rFonts w:ascii="Verdana" w:eastAsia="Calibri" w:hAnsi="Verdana" w:cs="Arial"/>
          <w:color w:val="000000" w:themeColor="text1"/>
          <w:lang w:val="es-ES" w:eastAsia="es-ES"/>
        </w:rPr>
        <w:tab/>
      </w:r>
    </w:p>
    <w:p w14:paraId="6507A697" w14:textId="4A31DE1D"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 su solicitud</w:t>
      </w:r>
      <w:r>
        <w:rPr>
          <w:rFonts w:ascii="Verdana" w:eastAsia="Calibri" w:hAnsi="Verdana" w:cs="Arial"/>
          <w:lang w:val="es-ES" w:eastAsia="es-ES"/>
        </w:rPr>
        <w:t xml:space="preserve"> radicada </w:t>
      </w:r>
      <w:r w:rsidR="00042E11">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8323CA">
        <w:rPr>
          <w:rFonts w:ascii="Verdana" w:eastAsia="Calibri" w:hAnsi="Verdana" w:cs="Arial"/>
          <w:lang w:val="es-ES" w:eastAsia="es-ES"/>
        </w:rPr>
        <w:t>15</w:t>
      </w:r>
      <w:r w:rsidR="00E445EC">
        <w:rPr>
          <w:rFonts w:ascii="Verdana" w:eastAsia="Calibri" w:hAnsi="Verdana" w:cs="Arial"/>
          <w:lang w:val="es-ES" w:eastAsia="es-ES"/>
        </w:rPr>
        <w:t xml:space="preserve"> </w:t>
      </w:r>
      <w:r w:rsidRPr="00656A22">
        <w:rPr>
          <w:rFonts w:ascii="Verdana" w:eastAsia="Calibri" w:hAnsi="Verdana" w:cs="Arial"/>
          <w:lang w:val="es-ES" w:eastAsia="es-ES"/>
        </w:rPr>
        <w:t xml:space="preserve">de </w:t>
      </w:r>
      <w:r w:rsidR="00F05362">
        <w:rPr>
          <w:rFonts w:ascii="Verdana" w:eastAsia="Calibri" w:hAnsi="Verdana" w:cs="Arial"/>
          <w:lang w:val="es-ES" w:eastAsia="es-ES"/>
        </w:rPr>
        <w:t>octubre</w:t>
      </w:r>
      <w:r w:rsidRPr="00656A22">
        <w:rPr>
          <w:rFonts w:ascii="Verdana" w:eastAsia="Calibri" w:hAnsi="Verdana" w:cs="Arial"/>
          <w:lang w:val="es-ES" w:eastAsia="es-ES"/>
        </w:rPr>
        <w:t xml:space="preserve"> de 2025,</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718EE431" w14:textId="77777777" w:rsidR="00A64017" w:rsidRPr="00326382" w:rsidRDefault="00A64017" w:rsidP="00103B90">
      <w:pPr>
        <w:spacing w:after="0" w:line="276" w:lineRule="auto"/>
        <w:ind w:left="709" w:right="474"/>
        <w:jc w:val="both"/>
        <w:rPr>
          <w:rFonts w:ascii="Verdana" w:hAnsi="Verdana" w:cs="Arial"/>
          <w:sz w:val="20"/>
          <w:szCs w:val="20"/>
          <w:shd w:val="clear" w:color="auto" w:fill="FFFFFF"/>
        </w:rPr>
      </w:pPr>
      <w:bookmarkStart w:id="2" w:name="_Hlk95313578"/>
    </w:p>
    <w:bookmarkEnd w:id="2"/>
    <w:p w14:paraId="4F15BAFA" w14:textId="77777777" w:rsidR="005B4680" w:rsidRDefault="00CB7B40" w:rsidP="005B4680">
      <w:pPr>
        <w:tabs>
          <w:tab w:val="left" w:pos="142"/>
          <w:tab w:val="left" w:pos="567"/>
        </w:tabs>
        <w:spacing w:after="0" w:line="240" w:lineRule="auto"/>
        <w:ind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00D237B8">
        <w:rPr>
          <w:rFonts w:ascii="Verdana" w:eastAsia="Century Gothic" w:hAnsi="Verdana" w:cs="Century Gothic"/>
          <w:i/>
          <w:iCs/>
          <w:sz w:val="20"/>
          <w:szCs w:val="20"/>
        </w:rPr>
        <w:t xml:space="preserve">     </w:t>
      </w:r>
      <w:r>
        <w:rPr>
          <w:rFonts w:ascii="Verdana" w:eastAsia="Century Gothic" w:hAnsi="Verdana" w:cs="Century Gothic"/>
          <w:i/>
          <w:iCs/>
          <w:sz w:val="20"/>
          <w:szCs w:val="20"/>
        </w:rPr>
        <w:t xml:space="preserve">   </w:t>
      </w:r>
      <w:r w:rsidR="00A64017" w:rsidRPr="00EA70F7">
        <w:rPr>
          <w:rFonts w:ascii="Verdana" w:eastAsia="Century Gothic" w:hAnsi="Verdana" w:cs="Century Gothic"/>
          <w:i/>
          <w:iCs/>
          <w:sz w:val="20"/>
          <w:szCs w:val="20"/>
        </w:rPr>
        <w:t xml:space="preserve">“(…) </w:t>
      </w:r>
    </w:p>
    <w:p w14:paraId="4D50EF0E" w14:textId="48CEB2D0" w:rsidR="00E445EC" w:rsidRPr="008323CA" w:rsidRDefault="008323CA" w:rsidP="00604DCE">
      <w:pPr>
        <w:numPr>
          <w:ilvl w:val="0"/>
          <w:numId w:val="36"/>
        </w:numPr>
        <w:tabs>
          <w:tab w:val="left" w:pos="142"/>
          <w:tab w:val="left" w:pos="567"/>
        </w:tabs>
        <w:spacing w:after="0" w:line="240" w:lineRule="auto"/>
        <w:ind w:left="709" w:right="709"/>
        <w:jc w:val="both"/>
        <w:rPr>
          <w:rFonts w:ascii="Verdana" w:eastAsia="Century Gothic" w:hAnsi="Verdana" w:cs="Century Gothic"/>
          <w:i/>
          <w:iCs/>
          <w:sz w:val="20"/>
          <w:szCs w:val="20"/>
        </w:rPr>
      </w:pPr>
      <w:r w:rsidRPr="008323CA">
        <w:rPr>
          <w:rFonts w:ascii="Verdana" w:eastAsia="Century Gothic" w:hAnsi="Verdana" w:cs="Century Gothic"/>
          <w:i/>
          <w:iCs/>
          <w:sz w:val="20"/>
          <w:szCs w:val="20"/>
        </w:rPr>
        <w:t>¿En un proceso de contratación en la modalidad de mínima cuantía una entidad puede exigir como requisito habilitante que los oferentes cuenten con la norma ISO 20000-1?</w:t>
      </w:r>
      <w:r w:rsidR="00E445EC" w:rsidRPr="008323CA">
        <w:rPr>
          <w:rFonts w:ascii="Verdana" w:eastAsia="Century Gothic" w:hAnsi="Verdana" w:cs="Century Gothic"/>
          <w:i/>
          <w:iCs/>
          <w:sz w:val="20"/>
          <w:szCs w:val="20"/>
        </w:rPr>
        <w:t xml:space="preserve"> </w:t>
      </w:r>
    </w:p>
    <w:p w14:paraId="2CDDC996" w14:textId="1108CDFB" w:rsidR="00A64017" w:rsidRPr="00EA70F7" w:rsidRDefault="00A64017" w:rsidP="00D36635">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5C2F274F" w14:textId="77777777" w:rsidR="008B5BD4" w:rsidRDefault="008B5BD4" w:rsidP="00103B90">
      <w:pPr>
        <w:spacing w:after="0" w:line="276" w:lineRule="auto"/>
        <w:ind w:firstLine="709"/>
        <w:jc w:val="both"/>
        <w:rPr>
          <w:rFonts w:ascii="Verdana" w:eastAsia="Calibri" w:hAnsi="Verdana" w:cs="Arial"/>
          <w:lang w:val="es-ES" w:eastAsia="es-ES"/>
        </w:rPr>
      </w:pPr>
    </w:p>
    <w:p w14:paraId="538B555C" w14:textId="2C99F5BA" w:rsidR="00A64017" w:rsidRPr="00AA3B9F" w:rsidRDefault="00A64017" w:rsidP="00A64017">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AA3B9F">
        <w:rPr>
          <w:rFonts w:ascii="Verdana" w:eastAsia="Calibri" w:hAnsi="Verdana" w:cs="Arial"/>
          <w:lang w:val="es-ES" w:eastAsia="es-ES"/>
        </w:rPr>
        <w:lastRenderedPageBreak/>
        <w:t xml:space="preserve">extraordinario, que no concibió a </w:t>
      </w:r>
      <w:r w:rsidR="008B5BD4">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3568A68" w14:textId="32B98A9D" w:rsidR="00A64017" w:rsidRDefault="00A64017" w:rsidP="00A64017">
      <w:pPr>
        <w:spacing w:after="0" w:line="276" w:lineRule="auto"/>
        <w:ind w:firstLine="709"/>
        <w:jc w:val="both"/>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8B5BD4">
        <w:rPr>
          <w:rFonts w:ascii="Verdana" w:eastAsia="Calibri" w:hAnsi="Verdana" w:cs="Arial"/>
          <w:lang w:val="es-ES" w:eastAsia="es-ES"/>
        </w:rPr>
        <w:t>señala</w:t>
      </w:r>
      <w:r w:rsidR="008B5BD4" w:rsidRPr="00AA3B9F">
        <w:rPr>
          <w:rFonts w:ascii="Verdana" w:eastAsia="Calibri" w:hAnsi="Verdana" w:cs="Arial"/>
          <w:lang w:val="es-ES" w:eastAsia="es-ES"/>
        </w:rPr>
        <w:t xml:space="preserve">ndo </w:t>
      </w:r>
      <w:r w:rsidRPr="00AA3B9F">
        <w:rPr>
          <w:rFonts w:ascii="Verdana" w:eastAsia="Calibri" w:hAnsi="Verdana" w:cs="Arial"/>
          <w:lang w:val="es-ES" w:eastAsia="es-ES"/>
        </w:rPr>
        <w:t>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4A088568" w14:textId="77777777" w:rsidR="00A64017" w:rsidRDefault="00A64017" w:rsidP="00A64017">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3F2C784" w14:textId="77777777" w:rsidR="00A64017" w:rsidRDefault="00A64017" w:rsidP="00A6401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5A923AA7" w14:textId="77777777" w:rsidR="00A64017" w:rsidRDefault="00A64017" w:rsidP="00A64017">
      <w:pPr>
        <w:pStyle w:val="Prrafodelista"/>
        <w:tabs>
          <w:tab w:val="left" w:pos="142"/>
          <w:tab w:val="left" w:pos="284"/>
        </w:tabs>
        <w:spacing w:after="0" w:line="276" w:lineRule="auto"/>
        <w:ind w:left="0"/>
        <w:jc w:val="both"/>
        <w:rPr>
          <w:rFonts w:ascii="Verdana" w:eastAsia="Century Gothic" w:hAnsi="Verdana" w:cs="Century Gothic"/>
          <w:b/>
          <w:bCs/>
        </w:rPr>
      </w:pPr>
    </w:p>
    <w:p w14:paraId="10DF1A14" w14:textId="39530421" w:rsidR="003971DC" w:rsidRPr="009015F2" w:rsidRDefault="00A64017" w:rsidP="003971DC">
      <w:pPr>
        <w:spacing w:after="0" w:line="276" w:lineRule="auto"/>
        <w:jc w:val="both"/>
        <w:rPr>
          <w:rFonts w:ascii="Verdana" w:eastAsia="Century Gothic" w:hAnsi="Verdana" w:cs="Century Gothic"/>
        </w:rPr>
      </w:pPr>
      <w:r w:rsidRPr="00E21BD1">
        <w:rPr>
          <w:rFonts w:ascii="Verdana" w:eastAsia="Calibri" w:hAnsi="Verdana" w:cs="Arial"/>
          <w:lang w:eastAsia="es-ES"/>
        </w:rPr>
        <w:t xml:space="preserve">De acuerdo con el contenido de su solicitud, esta Agencia resolverá </w:t>
      </w:r>
      <w:r w:rsidR="00E976F8">
        <w:rPr>
          <w:rFonts w:ascii="Verdana" w:eastAsia="Calibri" w:hAnsi="Verdana" w:cs="Arial"/>
          <w:lang w:eastAsia="es-ES"/>
        </w:rPr>
        <w:t>el</w:t>
      </w:r>
      <w:r w:rsidR="00D237B8">
        <w:rPr>
          <w:rFonts w:ascii="Verdana" w:eastAsia="Calibri" w:hAnsi="Verdana" w:cs="Arial"/>
          <w:lang w:eastAsia="es-ES"/>
        </w:rPr>
        <w:t xml:space="preserve"> </w:t>
      </w:r>
      <w:r w:rsidRPr="00E21BD1">
        <w:rPr>
          <w:rFonts w:ascii="Verdana" w:eastAsia="Calibri" w:hAnsi="Verdana" w:cs="Arial"/>
          <w:lang w:eastAsia="es-ES"/>
        </w:rPr>
        <w:t>siguiente problema jurídico:</w:t>
      </w:r>
      <w:bookmarkStart w:id="3" w:name="_Hlk196737317"/>
      <w:r w:rsidR="009015F2">
        <w:rPr>
          <w:rFonts w:ascii="Verdana" w:eastAsia="Century Gothic" w:hAnsi="Verdana" w:cs="Century Gothic"/>
        </w:rPr>
        <w:t xml:space="preserve"> </w:t>
      </w:r>
      <w:r w:rsidR="008E2259" w:rsidRPr="008E2259">
        <w:rPr>
          <w:rFonts w:ascii="Verdana" w:hAnsi="Verdana"/>
        </w:rPr>
        <w:t>¿ Las certificaciones de sistemas de gestión de calidad pueden establecerse como documento habilitante para participar en procesos de selección de mínima cuantía?</w:t>
      </w:r>
    </w:p>
    <w:p w14:paraId="168ABEE7" w14:textId="77777777" w:rsidR="006420DB" w:rsidRDefault="006420DB" w:rsidP="001B319A">
      <w:pPr>
        <w:spacing w:after="0" w:line="276" w:lineRule="auto"/>
        <w:jc w:val="both"/>
        <w:rPr>
          <w:rFonts w:ascii="Verdana" w:eastAsia="Calibri" w:hAnsi="Verdana" w:cs="Arial"/>
          <w:lang w:eastAsia="es-ES"/>
        </w:rPr>
      </w:pPr>
    </w:p>
    <w:bookmarkEnd w:id="3"/>
    <w:p w14:paraId="5A5F1798" w14:textId="77777777" w:rsidR="00A64017"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D191623"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64017" w:rsidRPr="00593A5F" w14:paraId="1ED9E821" w14:textId="77777777" w:rsidTr="00A15B1F">
        <w:tc>
          <w:tcPr>
            <w:tcW w:w="8828" w:type="dxa"/>
          </w:tcPr>
          <w:p w14:paraId="522E0F93" w14:textId="4EF52334" w:rsidR="004C28B2" w:rsidRDefault="00933CFF" w:rsidP="00933CFF">
            <w:pPr>
              <w:spacing w:before="120" w:line="276" w:lineRule="auto"/>
              <w:jc w:val="both"/>
              <w:rPr>
                <w:rFonts w:ascii="Verdana" w:eastAsia="Calibri" w:hAnsi="Verdana" w:cs="Arial"/>
                <w:color w:val="000000" w:themeColor="text1"/>
              </w:rPr>
            </w:pPr>
            <w:r>
              <w:rPr>
                <w:rFonts w:ascii="Verdana" w:hAnsi="Verdana"/>
                <w:bCs/>
                <w:lang w:val="es-MX" w:eastAsia="es-CO"/>
              </w:rPr>
              <w:t xml:space="preserve">           </w:t>
            </w:r>
            <w:r w:rsidRPr="00025914">
              <w:rPr>
                <w:rFonts w:ascii="Verdana" w:hAnsi="Verdana" w:cs="Arial"/>
              </w:rPr>
              <w:t>E</w:t>
            </w:r>
            <w:r w:rsidRPr="00025914">
              <w:rPr>
                <w:rFonts w:ascii="Verdana" w:eastAsia="Calibri" w:hAnsi="Verdana" w:cs="Arial"/>
                <w:color w:val="000000" w:themeColor="text1"/>
              </w:rPr>
              <w:t xml:space="preserve">n el caso de los requisitos habilitantes, el artículo 5, parágrafo 2, de la Ley 1150 de 2007 establece que las </w:t>
            </w:r>
            <w:r>
              <w:rPr>
                <w:rFonts w:ascii="Verdana" w:eastAsia="Calibri" w:hAnsi="Verdana" w:cs="Arial"/>
                <w:color w:val="000000" w:themeColor="text1"/>
              </w:rPr>
              <w:t>“</w:t>
            </w:r>
            <w:r w:rsidRPr="00025914">
              <w:rPr>
                <w:rFonts w:ascii="Verdana" w:eastAsia="Calibri" w:hAnsi="Verdana" w:cs="Arial"/>
                <w:color w:val="000000" w:themeColor="text1"/>
              </w:rPr>
              <w:t>certificaciones de sistemas de gestión de calidad no serán objeto de calificación, ni podrán establecerse como documento habilitante para participar en licitaciones o concursos</w:t>
            </w:r>
            <w:r>
              <w:rPr>
                <w:rFonts w:ascii="Verdana" w:eastAsia="Calibri" w:hAnsi="Verdana" w:cs="Arial"/>
                <w:color w:val="000000" w:themeColor="text1"/>
              </w:rPr>
              <w:t>”</w:t>
            </w:r>
            <w:r w:rsidRPr="00025914">
              <w:rPr>
                <w:rFonts w:ascii="Verdana" w:eastAsia="Calibri" w:hAnsi="Verdana" w:cs="Arial"/>
                <w:color w:val="000000" w:themeColor="text1"/>
              </w:rPr>
              <w:t>.</w:t>
            </w:r>
            <w:r w:rsidR="008E2259">
              <w:rPr>
                <w:rFonts w:ascii="Verdana" w:eastAsia="Calibri" w:hAnsi="Verdana" w:cs="Arial"/>
                <w:color w:val="000000" w:themeColor="text1"/>
              </w:rPr>
              <w:t xml:space="preserve"> </w:t>
            </w:r>
            <w:r w:rsidR="008E2259" w:rsidRPr="008E2259">
              <w:rPr>
                <w:rFonts w:ascii="Verdana" w:eastAsia="Calibri" w:hAnsi="Verdana" w:cs="Arial"/>
                <w:color w:val="000000" w:themeColor="text1"/>
              </w:rPr>
              <w:t>Es necesario precisar que</w:t>
            </w:r>
            <w:r w:rsidRPr="00025914">
              <w:rPr>
                <w:rFonts w:ascii="Verdana" w:eastAsia="Calibri" w:hAnsi="Verdana" w:cs="Arial"/>
                <w:color w:val="000000" w:themeColor="text1"/>
              </w:rPr>
              <w:t xml:space="preserve">, a juicio de la Agencia Nacional de Contratación Pública, tal prohibición no se restringe a la exigencia de la certificación o el documento como tal, sino que debe entenderse en relación con la implementación de un sistema de gestión de calidad en sí mismo. En ese sentido, lo que prohíbe el legislador es que la entidad les exija a los proponentes, a título de requisito habilitante o calificable, la implementación de un sistema de gestión de calidad. </w:t>
            </w:r>
          </w:p>
          <w:p w14:paraId="36C3538E" w14:textId="00F41E01" w:rsidR="00933CFF" w:rsidRDefault="004C28B2" w:rsidP="00933CFF">
            <w:pPr>
              <w:spacing w:before="120" w:line="276" w:lineRule="auto"/>
              <w:jc w:val="both"/>
              <w:rPr>
                <w:rFonts w:ascii="Verdana" w:eastAsia="Calibri" w:hAnsi="Verdana" w:cs="Arial"/>
                <w:color w:val="000000" w:themeColor="text1"/>
              </w:rPr>
            </w:pPr>
            <w:r>
              <w:rPr>
                <w:rFonts w:ascii="Verdana" w:eastAsia="Calibri" w:hAnsi="Verdana" w:cs="Arial"/>
                <w:color w:val="000000" w:themeColor="text1"/>
              </w:rPr>
              <w:lastRenderedPageBreak/>
              <w:t xml:space="preserve">         </w:t>
            </w:r>
            <w:r w:rsidR="00933CFF" w:rsidRPr="00025914">
              <w:rPr>
                <w:rFonts w:ascii="Verdana" w:eastAsia="Calibri" w:hAnsi="Verdana" w:cs="Arial"/>
                <w:color w:val="000000" w:themeColor="text1"/>
              </w:rPr>
              <w:t xml:space="preserve">Ese es el efecto útil de la norma </w:t>
            </w:r>
            <w:r w:rsidR="00933CFF" w:rsidRPr="00025914">
              <w:rPr>
                <w:rFonts w:ascii="Verdana" w:eastAsia="Calibri" w:hAnsi="Verdana" w:cs="Arial"/>
                <w:i/>
                <w:iCs/>
                <w:color w:val="000000" w:themeColor="text1"/>
              </w:rPr>
              <w:t>sub examine</w:t>
            </w:r>
            <w:r w:rsidR="00933CFF" w:rsidRPr="00025914">
              <w:rPr>
                <w:rFonts w:ascii="Verdana" w:eastAsia="Calibri" w:hAnsi="Verdana" w:cs="Arial"/>
                <w:color w:val="000000" w:themeColor="text1"/>
              </w:rPr>
              <w:t>, pues, aceptar una lectura exegética del parágrafo, implicaría asumir que una entidad está autorizada para exigir como requisito habilitante el cumplimiento de normas que hacen parte de sistemas de gestión de la calidad, verbi gracia ISO o ICONTEC, entre otras, sin pedir expresamente el documento o certificado que se expide al verificar estos estándares de calidad, lo cual, por un lado, le resta efectos prácticos a la prohibición establecida por el legislador y, por el otro, desconoce la finalidad perseguida por la norma.</w:t>
            </w:r>
          </w:p>
          <w:p w14:paraId="607B0CF0" w14:textId="77777777" w:rsidR="00933CFF" w:rsidRDefault="00933CFF" w:rsidP="00933CFF">
            <w:pPr>
              <w:spacing w:line="276" w:lineRule="auto"/>
              <w:ind w:firstLine="709"/>
              <w:jc w:val="both"/>
              <w:rPr>
                <w:rFonts w:ascii="Verdana" w:eastAsia="Calibri" w:hAnsi="Verdana" w:cs="Arial"/>
                <w:color w:val="000000" w:themeColor="text1"/>
              </w:rPr>
            </w:pPr>
          </w:p>
          <w:p w14:paraId="7E694307" w14:textId="592E4E34" w:rsidR="00933CFF" w:rsidRPr="00025914" w:rsidRDefault="00933CFF" w:rsidP="00933CFF">
            <w:pPr>
              <w:spacing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 xml:space="preserve">Ese es el criterio actual en el Consejo de Estado. En efecto, en concepto del 20 de mayo del 2010, la Sala de Consulta y Servicio Civil de dicha Corporación aclaró que </w:t>
            </w:r>
            <w:r>
              <w:rPr>
                <w:rFonts w:ascii="Verdana" w:eastAsia="Calibri" w:hAnsi="Verdana" w:cs="Arial"/>
                <w:color w:val="000000" w:themeColor="text1"/>
              </w:rPr>
              <w:t>“</w:t>
            </w:r>
            <w:r w:rsidRPr="00025914">
              <w:rPr>
                <w:rFonts w:ascii="Verdana" w:hAnsi="Verdana"/>
              </w:rPr>
              <w:t xml:space="preserve">[…] </w:t>
            </w:r>
            <w:r w:rsidRPr="00025914">
              <w:rPr>
                <w:rFonts w:ascii="Verdana" w:eastAsia="Calibri" w:hAnsi="Verdana" w:cs="Arial"/>
                <w:color w:val="000000" w:themeColor="text1"/>
              </w:rPr>
              <w:t>Los certificados de gestión de calidad no se pueden solicitar a los proponentes, ni como requisito habilitante para participar en los procesos de selección, ni para otorgar puntaje</w:t>
            </w:r>
            <w:r>
              <w:rPr>
                <w:rFonts w:ascii="Verdana" w:eastAsia="Calibri" w:hAnsi="Verdana" w:cs="Arial"/>
                <w:color w:val="000000" w:themeColor="text1"/>
              </w:rPr>
              <w:t>”</w:t>
            </w:r>
            <w:r w:rsidRPr="00025914">
              <w:rPr>
                <w:rStyle w:val="Refdenotaalpie"/>
                <w:rFonts w:ascii="Verdana" w:eastAsia="Calibri" w:hAnsi="Verdana" w:cs="Arial"/>
                <w:color w:val="000000" w:themeColor="text1"/>
              </w:rPr>
              <w:footnoteReference w:id="1"/>
            </w:r>
            <w:r w:rsidRPr="00025914">
              <w:rPr>
                <w:rFonts w:ascii="Verdana" w:eastAsia="Calibri" w:hAnsi="Verdana" w:cs="Arial"/>
                <w:color w:val="000000" w:themeColor="text1"/>
              </w:rPr>
              <w:t>.</w:t>
            </w:r>
          </w:p>
          <w:p w14:paraId="273D5895" w14:textId="2F38858C" w:rsidR="00933CFF" w:rsidRPr="00025914" w:rsidRDefault="00933CFF" w:rsidP="00933CFF">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 xml:space="preserve">Lo </w:t>
            </w:r>
            <w:r w:rsidR="004C28B2">
              <w:rPr>
                <w:rFonts w:ascii="Verdana" w:eastAsia="Calibri" w:hAnsi="Verdana" w:cs="Arial"/>
                <w:color w:val="000000" w:themeColor="text1"/>
              </w:rPr>
              <w:t>anterior</w:t>
            </w:r>
            <w:r w:rsidRPr="00025914">
              <w:rPr>
                <w:rFonts w:ascii="Verdana" w:eastAsia="Calibri" w:hAnsi="Verdana" w:cs="Arial"/>
                <w:color w:val="000000" w:themeColor="text1"/>
              </w:rPr>
              <w:t xml:space="preserve"> no quiere decir que, durante la ejecución del contrato estatal, la entidad no pueda y deba supervisar el cumplimiento de unos estándares mínimos de calidad que exige la ley en algunos eventos específicos y determinados, como es el caso de los estándares mínimos del Sistema de Gestión de la Seguridad y Salud en el Trabajo </w:t>
            </w:r>
            <w:r>
              <w:rPr>
                <w:rFonts w:ascii="Verdana" w:eastAsia="Calibri" w:hAnsi="Verdana" w:cs="Arial"/>
                <w:color w:val="000000" w:themeColor="text1"/>
              </w:rPr>
              <w:t>“</w:t>
            </w:r>
            <w:r w:rsidRPr="00025914">
              <w:rPr>
                <w:rFonts w:ascii="Verdana" w:eastAsia="Calibri" w:hAnsi="Verdana" w:cs="Arial"/>
                <w:color w:val="000000" w:themeColor="text1"/>
              </w:rPr>
              <w:t>SG-SST</w:t>
            </w:r>
            <w:r>
              <w:rPr>
                <w:rFonts w:ascii="Verdana" w:eastAsia="Calibri" w:hAnsi="Verdana" w:cs="Arial"/>
                <w:color w:val="000000" w:themeColor="text1"/>
              </w:rPr>
              <w:t>”</w:t>
            </w:r>
            <w:r w:rsidRPr="00025914">
              <w:rPr>
                <w:rFonts w:ascii="Verdana" w:eastAsia="Calibri" w:hAnsi="Verdana" w:cs="Arial"/>
                <w:color w:val="000000" w:themeColor="text1"/>
              </w:rPr>
              <w:t>, reglamentados por medio de la Resolución 0312 del 13 de febrero de 2019, expedida por el Ministerio del Trabajo. En efecto, los artículos 3, 9, 16 y 20 de esa resolución establecen exigencias mínimas que deberán cumplir las empresas, empleadores y contratantes a los que se refiere el artículo 2 de dicho acto administrativo.</w:t>
            </w:r>
          </w:p>
          <w:p w14:paraId="60883179" w14:textId="77777777" w:rsidR="00933CFF" w:rsidRDefault="00933CFF" w:rsidP="006420DB">
            <w:pPr>
              <w:spacing w:line="276" w:lineRule="auto"/>
              <w:contextualSpacing/>
              <w:jc w:val="both"/>
              <w:rPr>
                <w:rFonts w:ascii="Verdana" w:eastAsia="Calibri" w:hAnsi="Verdana" w:cs="Arial"/>
                <w:bCs/>
                <w:color w:val="000000" w:themeColor="text1"/>
              </w:rPr>
            </w:pPr>
          </w:p>
          <w:p w14:paraId="05BF1378" w14:textId="6CD91F07" w:rsidR="006420DB" w:rsidRPr="00DB4737" w:rsidRDefault="009C3C72" w:rsidP="006420DB">
            <w:pPr>
              <w:spacing w:line="276" w:lineRule="auto"/>
              <w:contextualSpacing/>
              <w:jc w:val="both"/>
              <w:rPr>
                <w:rFonts w:ascii="Verdana" w:eastAsia="Calibri" w:hAnsi="Verdana" w:cs="Times New Roman"/>
                <w:lang w:val="es-ES"/>
              </w:rPr>
            </w:pPr>
            <w:r>
              <w:rPr>
                <w:rFonts w:ascii="Verdana" w:eastAsia="Calibri" w:hAnsi="Verdana" w:cs="Arial"/>
                <w:bCs/>
                <w:color w:val="000000" w:themeColor="text1"/>
              </w:rPr>
              <w:t xml:space="preserve">         </w:t>
            </w:r>
            <w:r w:rsidR="006420DB">
              <w:rPr>
                <w:rFonts w:ascii="Verdana" w:eastAsia="Calibri" w:hAnsi="Verdana" w:cs="Arial"/>
                <w:bCs/>
                <w:color w:val="000000" w:themeColor="text1"/>
              </w:rPr>
              <w:t>Finalmente</w:t>
            </w:r>
            <w:r w:rsidR="006420DB">
              <w:rPr>
                <w:rFonts w:ascii="Verdana" w:eastAsia="Calibri" w:hAnsi="Verdana" w:cs="Times New Roman"/>
                <w:lang w:val="es-ES"/>
              </w:rPr>
              <w:t>,</w:t>
            </w:r>
            <w:r w:rsidR="006420DB" w:rsidRPr="00DB4737">
              <w:rPr>
                <w:rFonts w:ascii="Verdana" w:eastAsia="Calibri" w:hAnsi="Verdana" w:cs="Times New Roman"/>
                <w:lang w:val="es-ES"/>
              </w:rPr>
              <w:t xml:space="preserve"> debe advertirse que el análisis en torno </w:t>
            </w:r>
            <w:r w:rsidR="006420DB">
              <w:rPr>
                <w:rFonts w:ascii="Verdana" w:eastAsia="Calibri" w:hAnsi="Verdana" w:cs="Times New Roman"/>
                <w:lang w:val="es-ES"/>
              </w:rPr>
              <w:t>a un proceso de contratación especifico debe</w:t>
            </w:r>
            <w:r w:rsidR="006420DB" w:rsidRPr="0012388D">
              <w:rPr>
                <w:rFonts w:ascii="Verdana" w:eastAsia="Calibri" w:hAnsi="Verdana" w:cs="Times New Roman"/>
                <w:lang w:val="es-ES"/>
              </w:rPr>
              <w:t xml:space="preserve"> ser realizado por quienes tengan interés en ello.</w:t>
            </w:r>
            <w:r w:rsidR="006420DB"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6420DB">
              <w:t xml:space="preserve"> </w:t>
            </w:r>
          </w:p>
          <w:p w14:paraId="0E5A9819" w14:textId="77777777" w:rsidR="006420DB" w:rsidRDefault="006420DB" w:rsidP="006420DB">
            <w:pPr>
              <w:spacing w:line="276" w:lineRule="auto"/>
              <w:contextualSpacing/>
              <w:jc w:val="both"/>
              <w:rPr>
                <w:rFonts w:ascii="Verdana" w:eastAsia="Calibri" w:hAnsi="Verdana" w:cs="Times New Roman"/>
                <w:lang w:val="es-ES"/>
              </w:rPr>
            </w:pPr>
          </w:p>
          <w:p w14:paraId="5EA94571" w14:textId="21834752" w:rsidR="00A51CB5" w:rsidRPr="00E529C2" w:rsidRDefault="009C3C72" w:rsidP="006420DB">
            <w:pPr>
              <w:spacing w:line="276" w:lineRule="auto"/>
              <w:jc w:val="both"/>
              <w:rPr>
                <w:rFonts w:ascii="Verdana" w:eastAsia="Calibri" w:hAnsi="Verdana" w:cs="Times New Roman"/>
                <w:lang w:val="es-ES"/>
              </w:rPr>
            </w:pPr>
            <w:r>
              <w:rPr>
                <w:rFonts w:ascii="Verdana" w:eastAsia="Calibri" w:hAnsi="Verdana" w:cs="Times New Roman"/>
                <w:lang w:val="es-ES"/>
              </w:rPr>
              <w:lastRenderedPageBreak/>
              <w:t xml:space="preserve">        </w:t>
            </w:r>
            <w:r w:rsidR="006420DB"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675FED" w:rsidRPr="00593A5F" w14:paraId="390C137A" w14:textId="77777777" w:rsidTr="00A15B1F">
        <w:tc>
          <w:tcPr>
            <w:tcW w:w="8828" w:type="dxa"/>
          </w:tcPr>
          <w:p w14:paraId="47EF0E80" w14:textId="77777777" w:rsidR="00675FED" w:rsidRDefault="00675FED" w:rsidP="00675FED">
            <w:pPr>
              <w:spacing w:after="120" w:line="276" w:lineRule="auto"/>
              <w:jc w:val="both"/>
              <w:rPr>
                <w:rFonts w:ascii="Verdana" w:eastAsia="Calibri" w:hAnsi="Verdana" w:cs="Arial"/>
                <w:bCs/>
                <w:lang w:eastAsia="es-ES_tradnl"/>
              </w:rPr>
            </w:pPr>
          </w:p>
        </w:tc>
      </w:tr>
    </w:tbl>
    <w:p w14:paraId="5C382394" w14:textId="77777777" w:rsidR="00A64017" w:rsidRDefault="00A64017" w:rsidP="00A64017">
      <w:pPr>
        <w:tabs>
          <w:tab w:val="left" w:pos="142"/>
          <w:tab w:val="left" w:pos="284"/>
        </w:tabs>
        <w:spacing w:after="0" w:line="276" w:lineRule="auto"/>
        <w:jc w:val="both"/>
        <w:rPr>
          <w:rFonts w:ascii="Verdana" w:eastAsia="Century Gothic" w:hAnsi="Verdana" w:cs="Century Gothic"/>
          <w:b/>
          <w:bCs/>
          <w:lang w:val="es-ES"/>
        </w:rPr>
      </w:pPr>
    </w:p>
    <w:p w14:paraId="70B9C5F2" w14:textId="77777777" w:rsidR="00A64017"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A6627C4" w14:textId="77777777" w:rsidR="00C31B11" w:rsidRDefault="00C31B11" w:rsidP="00C31B1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396A7F7" w14:textId="5FB58A00" w:rsidR="00933CFF" w:rsidRPr="00025914" w:rsidRDefault="00070BF0" w:rsidP="00933CFF">
      <w:pPr>
        <w:spacing w:line="276" w:lineRule="auto"/>
        <w:jc w:val="both"/>
        <w:rPr>
          <w:rFonts w:ascii="Verdana" w:eastAsia="Calibri" w:hAnsi="Verdana" w:cs="Arial"/>
          <w:color w:val="000000" w:themeColor="text1"/>
        </w:rPr>
      </w:pPr>
      <w:r>
        <w:rPr>
          <w:rFonts w:ascii="Verdana" w:eastAsia="Calibri" w:hAnsi="Verdana" w:cs="Arial"/>
          <w:bCs/>
        </w:rPr>
        <w:tab/>
        <w:t xml:space="preserve">   </w:t>
      </w:r>
      <w:r w:rsidR="00933CFF" w:rsidRPr="00025914">
        <w:rPr>
          <w:rFonts w:ascii="Verdana" w:eastAsia="Calibri" w:hAnsi="Verdana" w:cs="Arial"/>
          <w:color w:val="000000" w:themeColor="text1"/>
        </w:rPr>
        <w:t xml:space="preserve">El artículo 5 de la Ley 1150 de 2007 establece que se considera </w:t>
      </w:r>
      <w:r w:rsidR="00933CFF">
        <w:rPr>
          <w:rFonts w:ascii="Verdana" w:eastAsia="Calibri" w:hAnsi="Verdana" w:cs="Arial"/>
          <w:color w:val="000000" w:themeColor="text1"/>
        </w:rPr>
        <w:t>“</w:t>
      </w:r>
      <w:r w:rsidR="00933CFF" w:rsidRPr="00025914">
        <w:rPr>
          <w:rFonts w:ascii="Verdana" w:eastAsia="Calibri" w:hAnsi="Verdana" w:cs="Arial"/>
          <w:color w:val="000000" w:themeColor="text1"/>
        </w:rPr>
        <w:t>objetiva la selección en la cual la escogencia se haga al ofrecimiento más favorable a la entidad y a los fines que ella busca, sin tener en consideración factores de afecto o de interés y, en general, cualquier clase de motivación subjetiva</w:t>
      </w:r>
      <w:r w:rsidR="00AC032B">
        <w:rPr>
          <w:rFonts w:ascii="Verdana" w:eastAsia="Calibri" w:hAnsi="Verdana" w:cs="Arial"/>
          <w:color w:val="000000" w:themeColor="text1"/>
        </w:rPr>
        <w:t>”</w:t>
      </w:r>
      <w:r w:rsidR="00933CFF" w:rsidRPr="00025914">
        <w:rPr>
          <w:rFonts w:ascii="Verdana" w:eastAsia="Calibri" w:hAnsi="Verdana" w:cs="Arial"/>
          <w:color w:val="000000" w:themeColor="text1"/>
        </w:rPr>
        <w:t xml:space="preserve">. En ese contexto, los factores de escogencia y calificación que establezcan las entidades en los pliegos de condiciones o sus </w:t>
      </w:r>
      <w:r w:rsidR="00AC032B" w:rsidRPr="00025914">
        <w:rPr>
          <w:rFonts w:ascii="Verdana" w:eastAsia="Calibri" w:hAnsi="Verdana" w:cs="Arial"/>
          <w:color w:val="000000" w:themeColor="text1"/>
        </w:rPr>
        <w:t>equivalentes</w:t>
      </w:r>
      <w:r w:rsidR="00933CFF" w:rsidRPr="00025914">
        <w:rPr>
          <w:rFonts w:ascii="Verdana" w:eastAsia="Calibri" w:hAnsi="Verdana" w:cs="Arial"/>
          <w:color w:val="000000" w:themeColor="text1"/>
        </w:rPr>
        <w:t xml:space="preserve"> deberán tener en cuenta, entre otras cuestiones, los criterios establecidos en los numerales 1 a 4 del mencionado artículo 5, así como los 5 parágrafos de dicha norma. </w:t>
      </w:r>
    </w:p>
    <w:p w14:paraId="65B675D6" w14:textId="77777777" w:rsidR="00933CFF" w:rsidRPr="00025914" w:rsidRDefault="00933CFF" w:rsidP="00933CFF">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 xml:space="preserve">Específicamente, el numeral 1º de la disposición referida establece que en los procesos de selección de contratistas serán objeto de verificación, como requisitos habilitantes, los siguientes: i) la capacidad jurídica; ii) la experiencia; iii) la capacidad financiera y iv) la capacidad de organización. En efecto, la normativa </w:t>
      </w:r>
      <w:r w:rsidRPr="00025914">
        <w:rPr>
          <w:rFonts w:ascii="Verdana" w:eastAsia="Calibri" w:hAnsi="Verdana" w:cs="Arial"/>
          <w:i/>
          <w:iCs/>
          <w:color w:val="000000" w:themeColor="text1"/>
        </w:rPr>
        <w:t>sub lite</w:t>
      </w:r>
      <w:r w:rsidRPr="00025914">
        <w:rPr>
          <w:rFonts w:ascii="Verdana" w:eastAsia="Calibri" w:hAnsi="Verdana" w:cs="Arial"/>
          <w:color w:val="000000" w:themeColor="text1"/>
        </w:rPr>
        <w:t xml:space="preserve"> dispone: </w:t>
      </w:r>
    </w:p>
    <w:p w14:paraId="23D37B0B" w14:textId="77777777" w:rsidR="00933CFF" w:rsidRPr="00AC032B" w:rsidRDefault="00933CFF" w:rsidP="00933CFF">
      <w:pPr>
        <w:ind w:left="709" w:right="709"/>
        <w:jc w:val="both"/>
        <w:rPr>
          <w:rFonts w:ascii="Verdana" w:eastAsia="Calibri" w:hAnsi="Verdana" w:cs="Arial"/>
          <w:color w:val="000000" w:themeColor="text1"/>
          <w:sz w:val="20"/>
          <w:szCs w:val="20"/>
        </w:rPr>
      </w:pPr>
      <w:r w:rsidRPr="00AC032B">
        <w:rPr>
          <w:rFonts w:ascii="Verdana" w:eastAsia="Calibri" w:hAnsi="Verdana" w:cs="Arial"/>
          <w:color w:val="000000" w:themeColor="text1"/>
          <w:sz w:val="20"/>
          <w:szCs w:val="20"/>
        </w:rPr>
        <w:t xml:space="preserve">Artículo 5. De la Selección Objetiva. </w:t>
      </w:r>
    </w:p>
    <w:p w14:paraId="032428D8" w14:textId="77777777" w:rsidR="00933CFF" w:rsidRPr="00AC032B" w:rsidRDefault="00933CFF" w:rsidP="00933CFF">
      <w:pPr>
        <w:ind w:left="709" w:right="709"/>
        <w:jc w:val="both"/>
        <w:rPr>
          <w:rFonts w:ascii="Verdana" w:eastAsia="Calibri" w:hAnsi="Verdana" w:cs="Arial"/>
          <w:color w:val="000000" w:themeColor="text1"/>
          <w:sz w:val="20"/>
          <w:szCs w:val="20"/>
        </w:rPr>
      </w:pPr>
      <w:r w:rsidRPr="00AC032B">
        <w:rPr>
          <w:rFonts w:ascii="Verdana" w:eastAsia="Calibri" w:hAnsi="Verdana" w:cs="Arial"/>
          <w:color w:val="000000" w:themeColor="text1"/>
          <w:sz w:val="20"/>
          <w:szCs w:val="20"/>
        </w:rPr>
        <w:t>[…]</w:t>
      </w:r>
    </w:p>
    <w:p w14:paraId="1D3FA3C3" w14:textId="77777777" w:rsidR="00933CFF" w:rsidRPr="00AC032B" w:rsidRDefault="00933CFF" w:rsidP="00933CFF">
      <w:pPr>
        <w:ind w:left="709" w:right="709"/>
        <w:jc w:val="both"/>
        <w:rPr>
          <w:rFonts w:ascii="Verdana" w:eastAsia="Calibri" w:hAnsi="Verdana" w:cs="Arial"/>
          <w:color w:val="000000" w:themeColor="text1"/>
          <w:sz w:val="20"/>
          <w:szCs w:val="20"/>
        </w:rPr>
      </w:pPr>
      <w:r w:rsidRPr="00AC032B">
        <w:rPr>
          <w:rFonts w:ascii="Verdana" w:eastAsia="Calibri" w:hAnsi="Verdana" w:cs="Arial"/>
          <w:color w:val="000000" w:themeColor="text1"/>
          <w:sz w:val="20"/>
          <w:szCs w:val="2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2D7A39A6" w14:textId="77777777" w:rsidR="00933CFF" w:rsidRPr="00025914" w:rsidRDefault="00933CFF" w:rsidP="00933CFF">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lastRenderedPageBreak/>
        <w:t xml:space="preserve">A continuación, se explicará el alcance de los requisitos habilitantes previamente referidos. </w:t>
      </w:r>
    </w:p>
    <w:p w14:paraId="45025C90" w14:textId="77777777" w:rsidR="00933CFF" w:rsidRPr="00025914" w:rsidRDefault="00933CFF" w:rsidP="00933CFF">
      <w:pPr>
        <w:spacing w:before="120" w:after="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 xml:space="preserve">La </w:t>
      </w:r>
      <w:r w:rsidRPr="00025914">
        <w:rPr>
          <w:rFonts w:ascii="Verdana" w:eastAsia="Calibri" w:hAnsi="Verdana" w:cs="Arial"/>
          <w:bCs/>
          <w:i/>
          <w:iCs/>
          <w:color w:val="000000" w:themeColor="text1"/>
        </w:rPr>
        <w:t>capacidad jurídica</w:t>
      </w:r>
      <w:r w:rsidRPr="00025914">
        <w:rPr>
          <w:rFonts w:ascii="Verdana" w:eastAsia="Calibri" w:hAnsi="Verdana" w:cs="Arial"/>
          <w:color w:val="000000" w:themeColor="text1"/>
        </w:rPr>
        <w:t xml:space="preserve"> es la aptitud que recae en los sujetos activos o pasivos de las relaciones jurídicas</w:t>
      </w:r>
      <w:r w:rsidRPr="00025914">
        <w:rPr>
          <w:rStyle w:val="Refdenotaalpie"/>
          <w:rFonts w:ascii="Verdana" w:eastAsia="Calibri" w:hAnsi="Verdana" w:cs="Arial"/>
          <w:color w:val="000000" w:themeColor="text1"/>
        </w:rPr>
        <w:footnoteReference w:id="2"/>
      </w:r>
      <w:r w:rsidRPr="00025914">
        <w:rPr>
          <w:rFonts w:ascii="Verdana" w:eastAsia="Calibri" w:hAnsi="Verdana" w:cs="Arial"/>
          <w:color w:val="000000" w:themeColor="text1"/>
        </w:rPr>
        <w:t>. Para efectos de la contratación estatal, es la facultad que tiene una persona natural o jurídica o una forma asociativa sin personería jurídica para celebrar contratos con una entidad pública. En ese ámbito, la capacidad jurídica tiene doble proyección: de un lado, en la facultad que alguien tiene para obligarse a cumplir el objeto del contrato estatal y, por el otro, en la prohibición de que esa persona esté incursa en inhabilidades</w:t>
      </w:r>
      <w:r w:rsidRPr="00025914">
        <w:rPr>
          <w:rStyle w:val="Refdenotaalpie"/>
          <w:rFonts w:ascii="Verdana" w:eastAsia="Calibri" w:hAnsi="Verdana" w:cs="Arial"/>
          <w:color w:val="000000" w:themeColor="text1"/>
        </w:rPr>
        <w:footnoteReference w:id="3"/>
      </w:r>
      <w:r w:rsidRPr="00025914">
        <w:rPr>
          <w:rFonts w:ascii="Verdana" w:eastAsia="Calibri" w:hAnsi="Verdana" w:cs="Arial"/>
          <w:color w:val="000000" w:themeColor="text1"/>
        </w:rPr>
        <w:t xml:space="preserve"> o incompatibilidades, que le impidan la celebración del contrato. </w:t>
      </w:r>
    </w:p>
    <w:p w14:paraId="06A5D031" w14:textId="77777777" w:rsidR="00933CFF" w:rsidRPr="00025914" w:rsidRDefault="00933CFF" w:rsidP="00933CFF">
      <w:pPr>
        <w:spacing w:line="276" w:lineRule="auto"/>
        <w:ind w:firstLine="708"/>
        <w:jc w:val="both"/>
        <w:rPr>
          <w:rFonts w:ascii="Verdana" w:eastAsia="Calibri" w:hAnsi="Verdana" w:cs="Arial"/>
          <w:color w:val="000000" w:themeColor="text1"/>
        </w:rPr>
      </w:pPr>
      <w:r w:rsidRPr="00025914">
        <w:rPr>
          <w:rFonts w:ascii="Verdana" w:eastAsia="Calibri" w:hAnsi="Verdana" w:cs="Arial"/>
          <w:color w:val="000000" w:themeColor="text1"/>
        </w:rPr>
        <w:t>Para efectos del Estatuto General de Contratación de la Administración Pública, la capacidad para contratar la tienen las personas consideradas legalmente capaces, según lo que establece el artículo 6 de la Ley 80 de 1993</w:t>
      </w:r>
      <w:r w:rsidRPr="00025914">
        <w:rPr>
          <w:rStyle w:val="Refdenotaalpie"/>
          <w:rFonts w:ascii="Verdana" w:eastAsia="Calibri" w:hAnsi="Verdana" w:cs="Arial"/>
          <w:color w:val="000000" w:themeColor="text1"/>
        </w:rPr>
        <w:footnoteReference w:id="4"/>
      </w:r>
      <w:r w:rsidRPr="00025914">
        <w:rPr>
          <w:rFonts w:ascii="Verdana" w:eastAsia="Calibri" w:hAnsi="Verdana" w:cs="Arial"/>
          <w:color w:val="000000" w:themeColor="text1"/>
        </w:rPr>
        <w:t xml:space="preserve">. Por un lado, las personas naturales tienen capacidad jurídica cuando alcanzan la mayoría de edad, claro está, siempre que su capacidad no haya sido limitada –ej. interdicción judicial–, y siempre que no estén incursas en inhabilidades, incompatibilidades o prohibiciones para contratar. Por otro lado, la capacidad de las personas jurídicas se traduce en la posibilidad que tienen estas para adelantar actividades en el marco de su objeto social, en las facultades que le han sido otorgadas al representante legal y en la ausencia de inhabilidades, incompatibilidades o prohibiciones para contratar, bien sea de los socios individualmente considerados o de la empresa como tal. </w:t>
      </w:r>
    </w:p>
    <w:p w14:paraId="22308D0B" w14:textId="77777777" w:rsidR="00933CFF" w:rsidRPr="00025914" w:rsidRDefault="00933CFF" w:rsidP="00933CFF">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 xml:space="preserve">En el marco de los procesos de selección de contratistas, las entidades deben solicitar a los proponentes toda la información necesaria para conocer su idoneidad en relación con el contrato a celebrar y ejecutar, así como verificar su honestidad e integridad en relación con el manejo de los recursos públicos. El </w:t>
      </w:r>
      <w:r w:rsidRPr="00025914">
        <w:rPr>
          <w:rFonts w:ascii="Verdana" w:eastAsia="Calibri" w:hAnsi="Verdana" w:cs="Arial"/>
          <w:color w:val="000000" w:themeColor="text1"/>
        </w:rPr>
        <w:lastRenderedPageBreak/>
        <w:t>Consejo de Estado ha exhortado a las entidades estatales para conocer la calidad en la que actúa el proponente, en estos términos</w:t>
      </w:r>
      <w:r w:rsidRPr="00025914">
        <w:rPr>
          <w:rStyle w:val="Refdenotaalpie"/>
          <w:rFonts w:ascii="Verdana" w:eastAsia="Calibri" w:hAnsi="Verdana" w:cs="Arial"/>
          <w:color w:val="000000" w:themeColor="text1"/>
        </w:rPr>
        <w:footnoteReference w:id="5"/>
      </w:r>
      <w:r w:rsidRPr="00025914">
        <w:rPr>
          <w:rFonts w:ascii="Verdana" w:eastAsia="Calibri" w:hAnsi="Verdana" w:cs="Arial"/>
          <w:color w:val="000000" w:themeColor="text1"/>
        </w:rPr>
        <w:t xml:space="preserve">: </w:t>
      </w:r>
    </w:p>
    <w:p w14:paraId="3B9F9D0A" w14:textId="77777777" w:rsidR="00933CFF" w:rsidRPr="00025914" w:rsidRDefault="00933CFF" w:rsidP="00933CFF">
      <w:pPr>
        <w:jc w:val="both"/>
        <w:rPr>
          <w:rFonts w:ascii="Verdana" w:eastAsia="Calibri" w:hAnsi="Verdana" w:cs="Arial"/>
          <w:color w:val="000000" w:themeColor="text1"/>
        </w:rPr>
      </w:pPr>
    </w:p>
    <w:p w14:paraId="75584B64" w14:textId="77777777" w:rsidR="00933CFF" w:rsidRPr="00AC032B" w:rsidRDefault="00933CFF" w:rsidP="00933CFF">
      <w:pPr>
        <w:ind w:left="709" w:right="760"/>
        <w:jc w:val="both"/>
        <w:rPr>
          <w:rFonts w:ascii="Verdana" w:eastAsia="Calibri" w:hAnsi="Verdana" w:cs="Arial"/>
          <w:color w:val="000000" w:themeColor="text1"/>
          <w:sz w:val="20"/>
          <w:szCs w:val="20"/>
        </w:rPr>
      </w:pPr>
      <w:r w:rsidRPr="00AC032B">
        <w:rPr>
          <w:rFonts w:ascii="Verdana" w:eastAsia="Calibri" w:hAnsi="Verdana" w:cs="Arial"/>
          <w:color w:val="000000" w:themeColor="text1"/>
          <w:sz w:val="20"/>
          <w:szCs w:val="20"/>
        </w:rPr>
        <w:t>No duda la Sala en afirmar que la anterior disposición conlleva un deber calificado para las entidades estatales, cuyo presupuesto es la buena fe […], consistente en una carga de conocimiento que las obliga a determinar la calidad con la que actúa el proponente o contratista, esto es, persona natural o jurídica, o sucursal de una sociedad extranjera, si pertenece o no a un grupo empresarial, si se trata de una filial o subsidiaria, la composición de su capital, si cotiza o no en bolsa, si es una empresa familiar, la idoneidad personal y profesional de sus representantes legales, entre otros aspectos, así como el origen lícito de los fondos que empleará en la ejecución del objeto contratado, los cuales, por supuesto, no pueden provenir de actividades delictivas en general, o ser el producto de actos de corrupción, en particular.</w:t>
      </w:r>
      <w:r w:rsidRPr="00AC032B">
        <w:rPr>
          <w:rStyle w:val="Refdenotaalpie"/>
          <w:rFonts w:ascii="Verdana" w:eastAsia="Calibri" w:hAnsi="Verdana" w:cs="Arial"/>
          <w:color w:val="000000" w:themeColor="text1"/>
          <w:sz w:val="20"/>
          <w:szCs w:val="20"/>
        </w:rPr>
        <w:t xml:space="preserve"> </w:t>
      </w:r>
    </w:p>
    <w:p w14:paraId="617CCCB4" w14:textId="77777777" w:rsidR="00933CFF" w:rsidRPr="00025914" w:rsidRDefault="00933CFF" w:rsidP="00933CFF">
      <w:pPr>
        <w:spacing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Los límites a la capacidad jurídica de las personas naturales y jurídicas que deseen contratar con el Estado, particularmente los que establece el régimen de inhabilidades e incompatibilidades previsto en la Ley 80 de 1993, se sustenta en valores como el de la prevalencia de los intereses estatales e igualdad y en los principios de moralidad, ética, corrección, probidad, transparencia e imparcialidad, entre otros de similares proyecciones.</w:t>
      </w:r>
    </w:p>
    <w:p w14:paraId="0BC5F142" w14:textId="77777777" w:rsidR="00933CFF" w:rsidRPr="00025914" w:rsidRDefault="00933CFF" w:rsidP="00933CFF">
      <w:pPr>
        <w:spacing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 xml:space="preserve">La </w:t>
      </w:r>
      <w:r w:rsidRPr="00025914">
        <w:rPr>
          <w:rFonts w:ascii="Verdana" w:eastAsia="Calibri" w:hAnsi="Verdana" w:cs="Arial"/>
          <w:bCs/>
          <w:i/>
          <w:iCs/>
          <w:color w:val="000000" w:themeColor="text1"/>
        </w:rPr>
        <w:t>experiencia</w:t>
      </w:r>
      <w:r w:rsidRPr="00025914">
        <w:rPr>
          <w:rFonts w:ascii="Verdana" w:eastAsia="Calibri" w:hAnsi="Verdana" w:cs="Arial"/>
          <w:i/>
          <w:iCs/>
          <w:color w:val="000000" w:themeColor="text1"/>
        </w:rPr>
        <w:t xml:space="preserve"> </w:t>
      </w:r>
      <w:r w:rsidRPr="00025914">
        <w:rPr>
          <w:rFonts w:ascii="Verdana" w:eastAsia="Calibri" w:hAnsi="Verdana" w:cs="Arial"/>
          <w:color w:val="000000" w:themeColor="text1"/>
        </w:rPr>
        <w:t xml:space="preserve">como requisito habilitante, según las consideraciones expuestas en el concepto C-002 del 12 de febrero de 2020 –radicado No. 2202013000000921–, tiene como propósito que </w:t>
      </w:r>
      <w:r w:rsidRPr="00025914">
        <w:rPr>
          <w:rStyle w:val="normaltextrun"/>
          <w:rFonts w:ascii="Verdana" w:hAnsi="Verdana" w:cs="Arial"/>
          <w:color w:val="000000" w:themeColor="text1"/>
        </w:rPr>
        <w:t>las entidades fijen unos requisitos mínimos que deben acreditar los proponentes, para que estas puedan verificar su aptitud para participar en el proceso de selección y, eventualmente, ejecutar el contrato estatal</w:t>
      </w:r>
      <w:r w:rsidRPr="00025914">
        <w:rPr>
          <w:rStyle w:val="Refdenotaalpie"/>
          <w:rFonts w:ascii="Verdana" w:hAnsi="Verdana" w:cs="Arial"/>
          <w:color w:val="000000" w:themeColor="text1"/>
        </w:rPr>
        <w:footnoteReference w:id="6"/>
      </w:r>
      <w:r w:rsidRPr="00025914">
        <w:rPr>
          <w:rStyle w:val="normaltextrun"/>
          <w:rFonts w:ascii="Verdana" w:hAnsi="Verdana" w:cs="Arial"/>
          <w:color w:val="000000" w:themeColor="text1"/>
        </w:rPr>
        <w:t xml:space="preserve">. La entidad, como responsable de la estructuración </w:t>
      </w:r>
      <w:r w:rsidRPr="00025914">
        <w:rPr>
          <w:rStyle w:val="normaltextrun"/>
          <w:rFonts w:ascii="Verdana" w:hAnsi="Verdana" w:cs="Arial"/>
          <w:color w:val="000000" w:themeColor="text1"/>
        </w:rPr>
        <w:lastRenderedPageBreak/>
        <w:t>del proceso de contratación, es autónoma para requerir la experiencia necesaria para el objeto contractual, para lo cual, de acuerdo con el artículo 2.2.1.1.1.6.2. del Decreto 1082 de 2015, debe tener en cuenta el estudio del sector y sus diferentes componentes, tales como la identificación de riesgos, el mercado y el precio del bien, obra o servicio a contratar</w:t>
      </w:r>
      <w:r w:rsidRPr="00025914">
        <w:rPr>
          <w:rStyle w:val="Refdenotaalpie"/>
          <w:rFonts w:ascii="Verdana" w:hAnsi="Verdana" w:cs="Arial"/>
          <w:color w:val="000000" w:themeColor="text1"/>
        </w:rPr>
        <w:footnoteReference w:id="7"/>
      </w:r>
      <w:r w:rsidRPr="00025914">
        <w:rPr>
          <w:rStyle w:val="normaltextrun"/>
          <w:rFonts w:ascii="Verdana" w:hAnsi="Verdana" w:cs="Arial"/>
          <w:color w:val="000000" w:themeColor="text1"/>
        </w:rPr>
        <w:t>.</w:t>
      </w:r>
    </w:p>
    <w:p w14:paraId="43C5189D" w14:textId="40E44121" w:rsidR="00933CFF" w:rsidRPr="00025914" w:rsidRDefault="00933CFF" w:rsidP="00933CFF">
      <w:pPr>
        <w:pStyle w:val="paragraph"/>
        <w:spacing w:before="120" w:beforeAutospacing="0" w:after="0" w:afterAutospacing="0" w:line="276" w:lineRule="auto"/>
        <w:ind w:firstLine="703"/>
        <w:jc w:val="both"/>
        <w:textAlignment w:val="baseline"/>
        <w:rPr>
          <w:rFonts w:ascii="Verdana" w:hAnsi="Verdana" w:cs="Arial"/>
          <w:color w:val="000000" w:themeColor="text1"/>
          <w:sz w:val="22"/>
          <w:szCs w:val="22"/>
        </w:rPr>
      </w:pPr>
      <w:r w:rsidRPr="00025914">
        <w:rPr>
          <w:rStyle w:val="normaltextrun"/>
          <w:rFonts w:ascii="Verdana" w:hAnsi="Verdana" w:cs="Arial"/>
          <w:color w:val="000000" w:themeColor="text1"/>
          <w:sz w:val="22"/>
          <w:szCs w:val="22"/>
        </w:rPr>
        <w:t xml:space="preserve">La experiencia que se deriva de la ejecución de los contratos que el proponente ha celebrado y ejecutado con diferentes contratantes, sin importar la naturaleza de estos últimos, se verifica con el Registro Único de Proponentes </w:t>
      </w:r>
      <w:r>
        <w:rPr>
          <w:rStyle w:val="normaltextrun"/>
          <w:rFonts w:ascii="Verdana" w:hAnsi="Verdana" w:cs="Arial"/>
          <w:color w:val="000000" w:themeColor="text1"/>
          <w:sz w:val="22"/>
          <w:szCs w:val="22"/>
        </w:rPr>
        <w:t>“</w:t>
      </w:r>
      <w:r w:rsidRPr="00025914">
        <w:rPr>
          <w:rStyle w:val="normaltextrun"/>
          <w:rFonts w:ascii="Verdana" w:hAnsi="Verdana" w:cs="Arial"/>
          <w:color w:val="000000" w:themeColor="text1"/>
          <w:sz w:val="22"/>
          <w:szCs w:val="22"/>
        </w:rPr>
        <w:t>RUP</w:t>
      </w:r>
      <w:r w:rsidR="00AC032B">
        <w:rPr>
          <w:rStyle w:val="normaltextrun"/>
          <w:rFonts w:ascii="Verdana" w:hAnsi="Verdana" w:cs="Arial"/>
          <w:color w:val="000000" w:themeColor="text1"/>
          <w:sz w:val="22"/>
          <w:szCs w:val="22"/>
        </w:rPr>
        <w:t>”</w:t>
      </w:r>
      <w:r w:rsidRPr="00025914">
        <w:rPr>
          <w:rStyle w:val="Refdenotaalpie"/>
          <w:rFonts w:ascii="Verdana" w:hAnsi="Verdana" w:cs="Arial"/>
          <w:color w:val="000000" w:themeColor="text1"/>
          <w:sz w:val="22"/>
          <w:szCs w:val="22"/>
        </w:rPr>
        <w:footnoteReference w:id="8"/>
      </w:r>
      <w:r w:rsidRPr="00025914">
        <w:rPr>
          <w:rStyle w:val="normaltextrun"/>
          <w:rFonts w:ascii="Verdana" w:hAnsi="Verdana" w:cs="Arial"/>
          <w:color w:val="000000" w:themeColor="text1"/>
          <w:sz w:val="22"/>
          <w:szCs w:val="22"/>
        </w:rPr>
        <w:t>, claro está, cuando este certificado sea exigible. Allí constan únicamente los requisitos habilitantes que se evalúan con este documento, de los cuales el mismo es plena prueba, sin que le sea posible a la entidad o al proponente solicitar o aportar otra documentación distinta</w:t>
      </w:r>
      <w:r w:rsidRPr="00025914">
        <w:rPr>
          <w:rStyle w:val="Refdenotaalpie"/>
          <w:rFonts w:ascii="Verdana" w:hAnsi="Verdana" w:cs="Arial"/>
          <w:color w:val="000000" w:themeColor="text1"/>
          <w:sz w:val="22"/>
          <w:szCs w:val="22"/>
        </w:rPr>
        <w:footnoteReference w:id="9"/>
      </w:r>
      <w:r w:rsidRPr="00025914">
        <w:rPr>
          <w:rStyle w:val="normaltextrun"/>
          <w:rFonts w:ascii="Verdana" w:hAnsi="Verdana" w:cs="Arial"/>
          <w:color w:val="000000" w:themeColor="text1"/>
          <w:sz w:val="22"/>
          <w:szCs w:val="22"/>
        </w:rPr>
        <w:t xml:space="preserve">, sin perjuicio de lo establecido en el numeral 3.5.5. del </w:t>
      </w:r>
      <w:r>
        <w:rPr>
          <w:rStyle w:val="normaltextrun"/>
          <w:rFonts w:ascii="Verdana" w:hAnsi="Verdana" w:cs="Arial"/>
          <w:color w:val="000000" w:themeColor="text1"/>
          <w:sz w:val="22"/>
          <w:szCs w:val="22"/>
        </w:rPr>
        <w:t>“</w:t>
      </w:r>
      <w:r w:rsidRPr="00025914">
        <w:rPr>
          <w:rStyle w:val="normaltextrun"/>
          <w:rFonts w:ascii="Verdana" w:hAnsi="Verdana" w:cs="Arial"/>
          <w:color w:val="000000" w:themeColor="text1"/>
          <w:sz w:val="22"/>
          <w:szCs w:val="22"/>
        </w:rPr>
        <w:t>Documento Base</w:t>
      </w:r>
      <w:r w:rsidR="00AC032B">
        <w:rPr>
          <w:rStyle w:val="normaltextrun"/>
          <w:rFonts w:ascii="Verdana" w:hAnsi="Verdana" w:cs="Arial"/>
          <w:color w:val="000000" w:themeColor="text1"/>
          <w:sz w:val="22"/>
          <w:szCs w:val="22"/>
        </w:rPr>
        <w:t>”</w:t>
      </w:r>
      <w:r w:rsidRPr="00025914">
        <w:rPr>
          <w:rStyle w:val="normaltextrun"/>
          <w:rFonts w:ascii="Verdana" w:hAnsi="Verdana" w:cs="Arial"/>
          <w:color w:val="000000" w:themeColor="text1"/>
          <w:sz w:val="22"/>
          <w:szCs w:val="22"/>
        </w:rPr>
        <w:t xml:space="preserve"> en los </w:t>
      </w:r>
      <w:r>
        <w:rPr>
          <w:rStyle w:val="normaltextrun"/>
          <w:rFonts w:ascii="Verdana" w:hAnsi="Verdana" w:cs="Arial"/>
          <w:color w:val="000000" w:themeColor="text1"/>
          <w:sz w:val="22"/>
          <w:szCs w:val="22"/>
        </w:rPr>
        <w:t>“</w:t>
      </w:r>
      <w:r w:rsidRPr="00025914">
        <w:rPr>
          <w:rStyle w:val="normaltextrun"/>
          <w:rFonts w:ascii="Verdana" w:hAnsi="Verdana" w:cs="Arial"/>
          <w:color w:val="000000" w:themeColor="text1"/>
          <w:sz w:val="22"/>
          <w:szCs w:val="22"/>
        </w:rPr>
        <w:t>Pliegos Tipo</w:t>
      </w:r>
      <w:r w:rsidR="00AC032B">
        <w:rPr>
          <w:rStyle w:val="normaltextrun"/>
          <w:rFonts w:ascii="Verdana" w:hAnsi="Verdana" w:cs="Arial"/>
          <w:color w:val="000000" w:themeColor="text1"/>
          <w:sz w:val="22"/>
          <w:szCs w:val="22"/>
        </w:rPr>
        <w:t>”</w:t>
      </w:r>
      <w:r w:rsidRPr="00025914">
        <w:rPr>
          <w:rStyle w:val="normaltextrun"/>
          <w:rFonts w:ascii="Verdana" w:hAnsi="Verdana" w:cs="Arial"/>
          <w:color w:val="000000" w:themeColor="text1"/>
          <w:sz w:val="22"/>
          <w:szCs w:val="22"/>
        </w:rPr>
        <w:t xml:space="preserve">, el cual se relaciona con </w:t>
      </w:r>
      <w:r>
        <w:rPr>
          <w:rStyle w:val="normaltextrun"/>
          <w:rFonts w:ascii="Verdana" w:hAnsi="Verdana" w:cs="Arial"/>
          <w:color w:val="000000" w:themeColor="text1"/>
          <w:sz w:val="22"/>
          <w:szCs w:val="22"/>
        </w:rPr>
        <w:t>“</w:t>
      </w:r>
      <w:r w:rsidRPr="00025914">
        <w:rPr>
          <w:rStyle w:val="normaltextrun"/>
          <w:rFonts w:ascii="Verdana" w:hAnsi="Verdana" w:cs="Arial"/>
          <w:color w:val="000000" w:themeColor="text1"/>
          <w:sz w:val="22"/>
          <w:szCs w:val="22"/>
        </w:rPr>
        <w:t>los documentos válidos para acreditar la experiencia requerida</w:t>
      </w:r>
      <w:r w:rsidR="00AC032B">
        <w:rPr>
          <w:rStyle w:val="normaltextrun"/>
          <w:rFonts w:ascii="Verdana" w:hAnsi="Verdana" w:cs="Arial"/>
          <w:color w:val="000000" w:themeColor="text1"/>
          <w:sz w:val="22"/>
          <w:szCs w:val="22"/>
        </w:rPr>
        <w:t>”</w:t>
      </w:r>
      <w:r w:rsidRPr="00025914">
        <w:rPr>
          <w:rStyle w:val="normaltextrun"/>
          <w:rFonts w:ascii="Verdana" w:hAnsi="Verdana" w:cs="Arial"/>
          <w:color w:val="000000" w:themeColor="text1"/>
          <w:sz w:val="22"/>
          <w:szCs w:val="22"/>
        </w:rPr>
        <w:t>.</w:t>
      </w:r>
    </w:p>
    <w:p w14:paraId="7B4E1C3E" w14:textId="77777777" w:rsidR="00933CFF" w:rsidRPr="00025914" w:rsidRDefault="00933CFF" w:rsidP="00933CFF">
      <w:pPr>
        <w:pStyle w:val="paragraph"/>
        <w:spacing w:before="120" w:beforeAutospacing="0" w:after="0" w:afterAutospacing="0" w:line="276" w:lineRule="auto"/>
        <w:ind w:firstLine="703"/>
        <w:jc w:val="both"/>
        <w:textAlignment w:val="baseline"/>
        <w:rPr>
          <w:rStyle w:val="normaltextrun"/>
          <w:rFonts w:ascii="Verdana" w:hAnsi="Verdana" w:cs="Arial"/>
          <w:color w:val="000000" w:themeColor="text1"/>
          <w:sz w:val="22"/>
          <w:szCs w:val="22"/>
        </w:rPr>
      </w:pPr>
      <w:r w:rsidRPr="00025914">
        <w:rPr>
          <w:rStyle w:val="normaltextrun"/>
          <w:rFonts w:ascii="Verdana" w:hAnsi="Verdana" w:cs="Arial"/>
          <w:color w:val="000000" w:themeColor="text1"/>
          <w:sz w:val="22"/>
          <w:szCs w:val="22"/>
        </w:rPr>
        <w:t xml:space="preserve">La experiencia debe inscribirse, renovarse o actualizarse en el RUP con copia de los contratos o con certificados de los contratos celebrados por el proponente con diferentes contratantes, quienes los expiden dando cuenta del contrato ejecutado y de que recibieron los bienes, obras o servicios de parte del </w:t>
      </w:r>
      <w:r w:rsidRPr="00025914">
        <w:rPr>
          <w:rStyle w:val="normaltextrun"/>
          <w:rFonts w:ascii="Verdana" w:hAnsi="Verdana" w:cs="Arial"/>
          <w:color w:val="000000" w:themeColor="text1"/>
          <w:sz w:val="22"/>
          <w:szCs w:val="22"/>
        </w:rPr>
        <w:lastRenderedPageBreak/>
        <w:t>proponente. Estos documentos deben codificarse de acuerdo con el clasificador de bienes y servicios en el tercer nivel</w:t>
      </w:r>
      <w:r w:rsidRPr="00025914">
        <w:rPr>
          <w:rStyle w:val="Refdenotaalpie"/>
          <w:rFonts w:ascii="Verdana" w:hAnsi="Verdana" w:cs="Arial"/>
          <w:color w:val="000000" w:themeColor="text1"/>
          <w:sz w:val="22"/>
          <w:szCs w:val="22"/>
        </w:rPr>
        <w:footnoteReference w:id="10"/>
      </w:r>
      <w:r w:rsidRPr="00025914">
        <w:rPr>
          <w:rStyle w:val="normaltextrun"/>
          <w:rFonts w:ascii="Verdana" w:hAnsi="Verdana" w:cs="Arial"/>
          <w:color w:val="000000" w:themeColor="text1"/>
          <w:sz w:val="22"/>
          <w:szCs w:val="22"/>
        </w:rPr>
        <w:t xml:space="preserve">.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totalmente idéntico. </w:t>
      </w:r>
    </w:p>
    <w:p w14:paraId="7E9E7539" w14:textId="77777777" w:rsidR="00933CFF" w:rsidRPr="00025914" w:rsidRDefault="00933CFF" w:rsidP="00933CFF">
      <w:pPr>
        <w:pStyle w:val="paragraph"/>
        <w:spacing w:before="120" w:beforeAutospacing="0" w:after="0" w:afterAutospacing="0" w:line="276" w:lineRule="auto"/>
        <w:ind w:firstLine="703"/>
        <w:jc w:val="both"/>
        <w:textAlignment w:val="baseline"/>
        <w:rPr>
          <w:rFonts w:ascii="Verdana" w:hAnsi="Verdana" w:cs="Arial"/>
          <w:color w:val="000000" w:themeColor="text1"/>
          <w:sz w:val="22"/>
          <w:szCs w:val="22"/>
        </w:rPr>
      </w:pPr>
      <w:r w:rsidRPr="00025914">
        <w:rPr>
          <w:rStyle w:val="normaltextrun"/>
          <w:rFonts w:ascii="Verdana" w:hAnsi="Verdana" w:cs="Arial"/>
          <w:color w:val="000000" w:themeColor="text1"/>
          <w:sz w:val="22"/>
          <w:szCs w:val="22"/>
        </w:rPr>
        <w:t>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según estos parámetros.</w:t>
      </w:r>
      <w:r w:rsidRPr="00025914">
        <w:rPr>
          <w:rStyle w:val="eop"/>
          <w:rFonts w:ascii="Verdana" w:hAnsi="Verdana" w:cs="Arial"/>
          <w:color w:val="000000" w:themeColor="text1"/>
          <w:sz w:val="22"/>
          <w:szCs w:val="22"/>
        </w:rPr>
        <w:t> </w:t>
      </w:r>
    </w:p>
    <w:p w14:paraId="200411E8" w14:textId="77777777" w:rsidR="00933CFF" w:rsidRPr="00025914" w:rsidRDefault="00933CFF" w:rsidP="00933CFF">
      <w:pPr>
        <w:pStyle w:val="paragraph"/>
        <w:spacing w:before="120" w:beforeAutospacing="0" w:after="0" w:afterAutospacing="0" w:line="276" w:lineRule="auto"/>
        <w:ind w:firstLine="703"/>
        <w:jc w:val="both"/>
        <w:textAlignment w:val="baseline"/>
        <w:rPr>
          <w:rFonts w:ascii="Verdana" w:hAnsi="Verdana" w:cs="Arial"/>
          <w:color w:val="000000" w:themeColor="text1"/>
          <w:sz w:val="22"/>
          <w:szCs w:val="22"/>
        </w:rPr>
      </w:pPr>
      <w:r w:rsidRPr="00025914">
        <w:rPr>
          <w:rStyle w:val="normaltextrun"/>
          <w:rFonts w:ascii="Verdana" w:hAnsi="Verdana" w:cs="Arial"/>
          <w:color w:val="000000" w:themeColor="text1"/>
          <w:sz w:val="22"/>
          <w:szCs w:val="22"/>
        </w:rPr>
        <w:t xml:space="preserve">Colombia Compra Eficiente considera que no es posible tener experiencia si en la práctica no se ha ejercido o ejecutado lo que se ofrece a otros contratantes. Precisamente de esa experiencia es que se deriva el conocimiento que tiene el proponente, el cual es importante para la contratación pública, en la medida en que garantiza que no existirá improvisación o mayores costos por errores o dificultades originadas en realizar una actividad por primera vez. Adicionalmente, se entiende que la experiencia puede ser obtenida directamente o por participar asociado con otra persona, como es el caso de proponentes plurales como consorcios o uniones temporales, caso en el cual, aunque la experiencia no deja de ser personal, es compartida por tratarse de esquemas asociativos. Por otra parte, la Agencia recomienda que la experiencia que se solicite sea proporcional y no igual al objeto que se va a contratar, ya que esto puede limitar la participación de los proveedores por no haber ejecutado un </w:t>
      </w:r>
      <w:r w:rsidRPr="00025914">
        <w:rPr>
          <w:rStyle w:val="normaltextrun"/>
          <w:rFonts w:ascii="Verdana" w:hAnsi="Verdana" w:cs="Arial"/>
          <w:color w:val="000000" w:themeColor="text1"/>
          <w:sz w:val="22"/>
          <w:szCs w:val="22"/>
        </w:rPr>
        <w:lastRenderedPageBreak/>
        <w:t>objeto igual, aunque sí hubieran ejecutado uno similar, afectando con eso la pluralidad de oferentes. Igualmente, es importante resaltar que:</w:t>
      </w:r>
    </w:p>
    <w:p w14:paraId="572FB10B" w14:textId="77777777" w:rsidR="00933CFF" w:rsidRPr="00025914" w:rsidRDefault="00933CFF" w:rsidP="00933CFF">
      <w:pPr>
        <w:pStyle w:val="paragraph"/>
        <w:spacing w:before="120" w:beforeAutospacing="0" w:after="0" w:afterAutospacing="0" w:line="276" w:lineRule="auto"/>
        <w:ind w:firstLine="703"/>
        <w:jc w:val="both"/>
        <w:textAlignment w:val="baseline"/>
        <w:rPr>
          <w:rFonts w:ascii="Verdana" w:hAnsi="Verdana" w:cs="Arial"/>
          <w:color w:val="000000" w:themeColor="text1"/>
          <w:sz w:val="22"/>
          <w:szCs w:val="22"/>
        </w:rPr>
      </w:pPr>
      <w:r w:rsidRPr="00025914">
        <w:rPr>
          <w:rStyle w:val="normaltextrun"/>
          <w:rFonts w:ascii="Verdana" w:hAnsi="Verdana" w:cs="Arial"/>
          <w:color w:val="000000" w:themeColor="text1"/>
          <w:sz w:val="22"/>
          <w:szCs w:val="22"/>
        </w:rPr>
        <w:t>i) La experiencia es personal, esto es, se adquiere participando, directa o indirectamente, sin que sea posible no participar y tener una experiencia que no es propia.</w:t>
      </w:r>
    </w:p>
    <w:p w14:paraId="5BA7E2F0" w14:textId="77777777" w:rsidR="00933CFF" w:rsidRPr="00025914" w:rsidRDefault="00933CFF" w:rsidP="00933CFF">
      <w:pPr>
        <w:pStyle w:val="paragraph"/>
        <w:spacing w:before="120" w:beforeAutospacing="0" w:after="0" w:afterAutospacing="0" w:line="276" w:lineRule="auto"/>
        <w:ind w:firstLine="703"/>
        <w:jc w:val="both"/>
        <w:textAlignment w:val="baseline"/>
        <w:rPr>
          <w:rFonts w:ascii="Verdana" w:hAnsi="Verdana" w:cs="Arial"/>
          <w:color w:val="000000" w:themeColor="text1"/>
          <w:sz w:val="22"/>
          <w:szCs w:val="22"/>
        </w:rPr>
      </w:pPr>
      <w:r w:rsidRPr="00025914">
        <w:rPr>
          <w:rStyle w:val="spellingerror"/>
          <w:rFonts w:ascii="Verdana" w:hAnsi="Verdana" w:cs="Arial"/>
          <w:color w:val="000000" w:themeColor="text1"/>
          <w:sz w:val="22"/>
          <w:szCs w:val="22"/>
        </w:rPr>
        <w:t>ii</w:t>
      </w:r>
      <w:r w:rsidRPr="00025914">
        <w:rPr>
          <w:rStyle w:val="normaltextrun"/>
          <w:rFonts w:ascii="Verdana" w:hAnsi="Verdana" w:cs="Arial"/>
          <w:color w:val="000000" w:themeColor="text1"/>
          <w:sz w:val="22"/>
          <w:szCs w:val="22"/>
        </w:rPr>
        <w:t>)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el de las figuras asociativas –consorcios y uniones temporales–, evento en el que se verificará en el correspondiente documento privado de constitución.</w:t>
      </w:r>
    </w:p>
    <w:p w14:paraId="52B9F943" w14:textId="77777777" w:rsidR="00933CFF" w:rsidRPr="00025914" w:rsidRDefault="00933CFF" w:rsidP="00933CFF">
      <w:pPr>
        <w:pStyle w:val="paragraph"/>
        <w:spacing w:before="120" w:beforeAutospacing="0" w:after="0" w:afterAutospacing="0" w:line="276" w:lineRule="auto"/>
        <w:ind w:firstLine="703"/>
        <w:jc w:val="both"/>
        <w:textAlignment w:val="baseline"/>
        <w:rPr>
          <w:rFonts w:ascii="Verdana" w:hAnsi="Verdana" w:cs="Arial"/>
          <w:color w:val="000000" w:themeColor="text1"/>
          <w:sz w:val="22"/>
          <w:szCs w:val="22"/>
        </w:rPr>
      </w:pPr>
      <w:r w:rsidRPr="00025914">
        <w:rPr>
          <w:rStyle w:val="spellingerror"/>
          <w:rFonts w:ascii="Verdana" w:hAnsi="Verdana" w:cs="Arial"/>
          <w:color w:val="000000" w:themeColor="text1"/>
          <w:sz w:val="22"/>
          <w:szCs w:val="22"/>
        </w:rPr>
        <w:t>iii</w:t>
      </w:r>
      <w:r w:rsidRPr="00025914">
        <w:rPr>
          <w:rStyle w:val="normaltextrun"/>
          <w:rFonts w:ascii="Verdana" w:hAnsi="Verdana" w:cs="Arial"/>
          <w:color w:val="000000" w:themeColor="text1"/>
          <w:sz w:val="22"/>
          <w:szCs w:val="22"/>
        </w:rPr>
        <w:t>) La experiencia se puede transferir y esto es diferente a compartirla, puesto que implica que la experiencia de una persona se traslada a otra, y esta última acredita esa experiencia como propia.</w:t>
      </w:r>
      <w:r w:rsidRPr="00025914">
        <w:rPr>
          <w:rStyle w:val="eop"/>
          <w:rFonts w:ascii="Verdana" w:hAnsi="Verdana" w:cs="Arial"/>
          <w:color w:val="000000" w:themeColor="text1"/>
          <w:sz w:val="22"/>
          <w:szCs w:val="22"/>
        </w:rPr>
        <w:t> </w:t>
      </w:r>
    </w:p>
    <w:p w14:paraId="439C64A5" w14:textId="77777777" w:rsidR="00933CFF" w:rsidRPr="00025914" w:rsidRDefault="00933CFF" w:rsidP="00933CFF">
      <w:pPr>
        <w:pStyle w:val="paragraph"/>
        <w:spacing w:before="120" w:beforeAutospacing="0" w:after="0" w:afterAutospacing="0" w:line="276" w:lineRule="auto"/>
        <w:ind w:firstLine="703"/>
        <w:jc w:val="both"/>
        <w:textAlignment w:val="baseline"/>
        <w:rPr>
          <w:rFonts w:ascii="Verdana" w:hAnsi="Verdana" w:cs="Arial"/>
          <w:color w:val="000000" w:themeColor="text1"/>
          <w:sz w:val="22"/>
          <w:szCs w:val="22"/>
        </w:rPr>
      </w:pPr>
      <w:r w:rsidRPr="00025914">
        <w:rPr>
          <w:rStyle w:val="spellingerror"/>
          <w:rFonts w:ascii="Verdana" w:hAnsi="Verdana" w:cs="Arial"/>
          <w:color w:val="000000" w:themeColor="text1"/>
          <w:sz w:val="22"/>
          <w:szCs w:val="22"/>
        </w:rPr>
        <w:t>iv</w:t>
      </w:r>
      <w:r w:rsidRPr="00025914">
        <w:rPr>
          <w:rStyle w:val="normaltextrun"/>
          <w:rFonts w:ascii="Verdana" w:hAnsi="Verdana" w:cs="Arial"/>
          <w:color w:val="000000" w:themeColor="text1"/>
          <w:sz w:val="22"/>
          <w:szCs w:val="22"/>
        </w:rPr>
        <w:t>) Cuando la persona que adquirió la experiencia desaparece o se liquida, no es posible que comparta o transfiera su experiencia, porque al ser personal sigue la suerte de quien la adquirió.</w:t>
      </w:r>
    </w:p>
    <w:p w14:paraId="61CDD798" w14:textId="110ACDDD" w:rsidR="00933CFF" w:rsidRPr="00025914" w:rsidRDefault="00933CFF" w:rsidP="00933CFF">
      <w:pPr>
        <w:spacing w:before="120" w:line="276" w:lineRule="auto"/>
        <w:jc w:val="both"/>
        <w:rPr>
          <w:rFonts w:ascii="Verdana" w:eastAsia="Calibri" w:hAnsi="Verdana" w:cs="Arial"/>
          <w:color w:val="000000" w:themeColor="text1"/>
        </w:rPr>
      </w:pPr>
      <w:r w:rsidRPr="00025914">
        <w:rPr>
          <w:rFonts w:ascii="Verdana" w:eastAsia="Calibri" w:hAnsi="Verdana" w:cs="Arial"/>
          <w:color w:val="000000" w:themeColor="text1"/>
        </w:rPr>
        <w:tab/>
        <w:t xml:space="preserve">La </w:t>
      </w:r>
      <w:r w:rsidRPr="00025914">
        <w:rPr>
          <w:rFonts w:ascii="Verdana" w:eastAsia="Calibri" w:hAnsi="Verdana" w:cs="Arial"/>
          <w:bCs/>
          <w:i/>
          <w:iCs/>
          <w:color w:val="000000" w:themeColor="text1"/>
        </w:rPr>
        <w:t>capacidad financiera</w:t>
      </w:r>
      <w:r w:rsidRPr="00025914">
        <w:rPr>
          <w:rFonts w:ascii="Verdana" w:eastAsia="Calibri" w:hAnsi="Verdana" w:cs="Arial"/>
          <w:i/>
          <w:iCs/>
          <w:color w:val="000000" w:themeColor="text1"/>
        </w:rPr>
        <w:t xml:space="preserve"> </w:t>
      </w:r>
      <w:r w:rsidRPr="00025914">
        <w:rPr>
          <w:rFonts w:ascii="Verdana" w:eastAsia="Calibri" w:hAnsi="Verdana" w:cs="Arial"/>
          <w:color w:val="000000" w:themeColor="text1"/>
        </w:rPr>
        <w:t xml:space="preserve">se determina a través de la liquidez y el endeudamiento de los proponentes. Busca establecer condiciones mínimas en relación con la </w:t>
      </w:r>
      <w:r>
        <w:rPr>
          <w:rFonts w:ascii="Verdana" w:eastAsia="Calibri" w:hAnsi="Verdana" w:cs="Arial"/>
          <w:color w:val="000000" w:themeColor="text1"/>
        </w:rPr>
        <w:t>“</w:t>
      </w:r>
      <w:r w:rsidRPr="00025914">
        <w:rPr>
          <w:rFonts w:ascii="Verdana" w:eastAsia="Calibri" w:hAnsi="Verdana" w:cs="Arial"/>
          <w:color w:val="000000" w:themeColor="text1"/>
        </w:rPr>
        <w:t>salud financiera</w:t>
      </w:r>
      <w:r w:rsidR="00AC032B">
        <w:rPr>
          <w:rFonts w:ascii="Verdana" w:eastAsia="Calibri" w:hAnsi="Verdana" w:cs="Arial"/>
          <w:color w:val="000000" w:themeColor="text1"/>
        </w:rPr>
        <w:t>”</w:t>
      </w:r>
      <w:r w:rsidRPr="00025914">
        <w:rPr>
          <w:rFonts w:ascii="Verdana" w:eastAsia="Calibri" w:hAnsi="Verdana" w:cs="Arial"/>
          <w:color w:val="000000" w:themeColor="text1"/>
        </w:rPr>
        <w:t xml:space="preserve"> de estos últimos, particularmente demostrar su aptitud para cumplir oportuna y cabalmente el objeto del contrato. En ese sentido, la capacidad financiera que la entidad requiera para un proceso de contratación, debe ser adecuada y proporcional a la naturaleza y al valor del contrato. Además, los requisitos de capacidad financiera deben ser establecidos con fundamento en los Estudios del Sector, los cuales pueden ser elaborados según la </w:t>
      </w:r>
      <w:r>
        <w:rPr>
          <w:rFonts w:ascii="Verdana" w:eastAsia="Calibri" w:hAnsi="Verdana" w:cs="Arial"/>
          <w:color w:val="000000" w:themeColor="text1"/>
        </w:rPr>
        <w:t>“</w:t>
      </w:r>
      <w:r w:rsidRPr="00025914">
        <w:rPr>
          <w:rFonts w:ascii="Verdana" w:eastAsia="Calibri" w:hAnsi="Verdana" w:cs="Arial"/>
          <w:color w:val="000000" w:themeColor="text1"/>
        </w:rPr>
        <w:t>Guía para la Elaboración de Estudios de Sector</w:t>
      </w:r>
      <w:r w:rsidR="00AC032B">
        <w:rPr>
          <w:rFonts w:ascii="Verdana" w:eastAsia="Calibri" w:hAnsi="Verdana" w:cs="Arial"/>
          <w:color w:val="000000" w:themeColor="text1"/>
        </w:rPr>
        <w:t>”</w:t>
      </w:r>
      <w:r w:rsidRPr="00025914">
        <w:rPr>
          <w:rFonts w:ascii="Verdana" w:eastAsia="Calibri" w:hAnsi="Verdana" w:cs="Arial"/>
          <w:color w:val="000000" w:themeColor="text1"/>
        </w:rPr>
        <w:t>, de esta Agencia.</w:t>
      </w:r>
    </w:p>
    <w:p w14:paraId="30D4D144" w14:textId="77777777" w:rsidR="00933CFF" w:rsidRPr="00025914" w:rsidRDefault="00933CFF" w:rsidP="00933CFF">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 xml:space="preserve">En atención a la naturaleza del contrato a suscribir y su valor, plazo y forma de pago, la entidad debe hacer uso de los indicadores que considere adecuados respecto del objeto del proceso de contratación, para lo cual no es suficiente la aplicación mecánica de fórmulas financieras, pues deben conocer cada indicador, sus fórmulas de cálculo y su interpretación. Según el artículo 2.2.1.1.1.5.3. del Decreto 1082 de 2015, son indicadores de la capacidad financiera los siguientes: i) el </w:t>
      </w:r>
      <w:r w:rsidRPr="00025914">
        <w:rPr>
          <w:rFonts w:ascii="Verdana" w:eastAsia="Calibri" w:hAnsi="Verdana" w:cs="Arial"/>
          <w:i/>
          <w:iCs/>
          <w:color w:val="000000" w:themeColor="text1"/>
        </w:rPr>
        <w:t>Índice de Liquidez</w:t>
      </w:r>
      <w:r w:rsidRPr="00025914">
        <w:rPr>
          <w:rFonts w:ascii="Verdana" w:eastAsia="Calibri" w:hAnsi="Verdana" w:cs="Arial"/>
          <w:color w:val="000000" w:themeColor="text1"/>
        </w:rPr>
        <w:t xml:space="preserve">, que corresponde a la división entre el activo corriente y el pasivo corriente, y que determina la capacidad que tiene el proponente para cumplir con sus obligaciones de corto plazo; ii) el </w:t>
      </w:r>
      <w:r w:rsidRPr="00025914">
        <w:rPr>
          <w:rFonts w:ascii="Verdana" w:eastAsia="Calibri" w:hAnsi="Verdana" w:cs="Arial"/>
          <w:i/>
          <w:iCs/>
          <w:color w:val="000000" w:themeColor="text1"/>
        </w:rPr>
        <w:t xml:space="preserve">Índice </w:t>
      </w:r>
      <w:r w:rsidRPr="00025914">
        <w:rPr>
          <w:rFonts w:ascii="Verdana" w:eastAsia="Calibri" w:hAnsi="Verdana" w:cs="Arial"/>
          <w:i/>
          <w:iCs/>
          <w:color w:val="000000" w:themeColor="text1"/>
        </w:rPr>
        <w:lastRenderedPageBreak/>
        <w:t>de Endeudamiento</w:t>
      </w:r>
      <w:r w:rsidRPr="00025914">
        <w:rPr>
          <w:rFonts w:ascii="Verdana" w:eastAsia="Calibri" w:hAnsi="Verdana" w:cs="Arial"/>
          <w:color w:val="000000" w:themeColor="text1"/>
        </w:rPr>
        <w:t xml:space="preserve">, que se calcula dividiendo el pasivo total por el activo total, el cual determina el grado de endeudamiento en la estructura de financiación del proponente; y iii) la </w:t>
      </w:r>
      <w:r w:rsidRPr="00025914">
        <w:rPr>
          <w:rFonts w:ascii="Verdana" w:eastAsia="Calibri" w:hAnsi="Verdana" w:cs="Arial"/>
          <w:i/>
          <w:iCs/>
          <w:color w:val="000000" w:themeColor="text1"/>
        </w:rPr>
        <w:t>Razón de Cobertura de Intereses</w:t>
      </w:r>
      <w:r w:rsidRPr="00025914">
        <w:rPr>
          <w:rFonts w:ascii="Verdana" w:eastAsia="Calibri" w:hAnsi="Verdana" w:cs="Arial"/>
          <w:color w:val="000000" w:themeColor="text1"/>
        </w:rPr>
        <w:t xml:space="preserve">, que es igual a la utilidad operacional, sobre los gastos de intereses, y que refleja la capacidad del proponente de cumplir con sus obligaciones financieras. Adicionalmente, Colombia Compra Eficiente recomienda valorar otro tipo de indicadores como el </w:t>
      </w:r>
      <w:r w:rsidRPr="00025914">
        <w:rPr>
          <w:rFonts w:ascii="Verdana" w:eastAsia="Calibri" w:hAnsi="Verdana" w:cs="Arial"/>
          <w:i/>
          <w:iCs/>
          <w:color w:val="000000" w:themeColor="text1"/>
        </w:rPr>
        <w:t>capital de trabajo</w:t>
      </w:r>
      <w:r w:rsidRPr="00025914">
        <w:rPr>
          <w:rFonts w:ascii="Verdana" w:eastAsia="Calibri" w:hAnsi="Verdana" w:cs="Arial"/>
          <w:color w:val="000000" w:themeColor="text1"/>
        </w:rPr>
        <w:t xml:space="preserve">, la </w:t>
      </w:r>
      <w:r w:rsidRPr="00025914">
        <w:rPr>
          <w:rFonts w:ascii="Verdana" w:eastAsia="Calibri" w:hAnsi="Verdana" w:cs="Arial"/>
          <w:i/>
          <w:iCs/>
          <w:color w:val="000000" w:themeColor="text1"/>
        </w:rPr>
        <w:t>razón de efectivo</w:t>
      </w:r>
      <w:r w:rsidRPr="00025914">
        <w:rPr>
          <w:rFonts w:ascii="Verdana" w:eastAsia="Calibri" w:hAnsi="Verdana" w:cs="Arial"/>
          <w:color w:val="000000" w:themeColor="text1"/>
        </w:rPr>
        <w:t xml:space="preserve">, la denominada </w:t>
      </w:r>
      <w:r w:rsidRPr="00025914">
        <w:rPr>
          <w:rFonts w:ascii="Verdana" w:eastAsia="Calibri" w:hAnsi="Verdana" w:cs="Arial"/>
          <w:i/>
          <w:iCs/>
          <w:color w:val="000000" w:themeColor="text1"/>
        </w:rPr>
        <w:t>prueba ácida</w:t>
      </w:r>
      <w:r w:rsidRPr="00025914">
        <w:rPr>
          <w:rStyle w:val="Refdenotaalpie"/>
          <w:rFonts w:ascii="Verdana" w:eastAsia="Calibri" w:hAnsi="Verdana" w:cs="Arial"/>
          <w:color w:val="000000" w:themeColor="text1"/>
        </w:rPr>
        <w:footnoteReference w:id="11"/>
      </w:r>
      <w:r w:rsidRPr="00025914">
        <w:rPr>
          <w:rFonts w:ascii="Verdana" w:eastAsia="Calibri" w:hAnsi="Verdana" w:cs="Arial"/>
          <w:color w:val="000000" w:themeColor="text1"/>
        </w:rPr>
        <w:t xml:space="preserve">, la </w:t>
      </w:r>
      <w:r w:rsidRPr="00025914">
        <w:rPr>
          <w:rFonts w:ascii="Verdana" w:eastAsia="Calibri" w:hAnsi="Verdana" w:cs="Arial"/>
          <w:i/>
          <w:iCs/>
          <w:color w:val="000000" w:themeColor="text1"/>
        </w:rPr>
        <w:t xml:space="preserve">concentración de endeudamiento a corto </w:t>
      </w:r>
      <w:r w:rsidRPr="00025914">
        <w:rPr>
          <w:rFonts w:ascii="Verdana" w:eastAsia="Calibri" w:hAnsi="Verdana" w:cs="Arial"/>
          <w:color w:val="000000" w:themeColor="text1"/>
        </w:rPr>
        <w:t>y</w:t>
      </w:r>
      <w:r w:rsidRPr="00025914">
        <w:rPr>
          <w:rFonts w:ascii="Verdana" w:eastAsia="Calibri" w:hAnsi="Verdana" w:cs="Arial"/>
          <w:i/>
          <w:iCs/>
          <w:color w:val="000000" w:themeColor="text1"/>
        </w:rPr>
        <w:t xml:space="preserve"> a largo plazo</w:t>
      </w:r>
      <w:r w:rsidRPr="00025914">
        <w:rPr>
          <w:rFonts w:ascii="Verdana" w:eastAsia="Calibri" w:hAnsi="Verdana" w:cs="Arial"/>
          <w:color w:val="000000" w:themeColor="text1"/>
        </w:rPr>
        <w:t xml:space="preserve"> y el </w:t>
      </w:r>
      <w:r w:rsidRPr="00025914">
        <w:rPr>
          <w:rFonts w:ascii="Verdana" w:eastAsia="Calibri" w:hAnsi="Verdana" w:cs="Arial"/>
          <w:i/>
          <w:iCs/>
          <w:color w:val="000000" w:themeColor="text1"/>
        </w:rPr>
        <w:t>patrimonio</w:t>
      </w:r>
      <w:r w:rsidRPr="00025914">
        <w:rPr>
          <w:rFonts w:ascii="Verdana" w:eastAsia="Calibri" w:hAnsi="Verdana" w:cs="Arial"/>
          <w:color w:val="000000" w:themeColor="text1"/>
        </w:rPr>
        <w:t>.</w:t>
      </w:r>
    </w:p>
    <w:p w14:paraId="6F6CD885" w14:textId="0D343058" w:rsidR="00933CFF" w:rsidRPr="00025914" w:rsidRDefault="00933CFF" w:rsidP="00933CFF">
      <w:pPr>
        <w:spacing w:before="120" w:line="276" w:lineRule="auto"/>
        <w:ind w:firstLine="709"/>
        <w:jc w:val="both"/>
        <w:rPr>
          <w:rFonts w:ascii="Verdana" w:eastAsia="Calibri" w:hAnsi="Verdana" w:cs="Arial"/>
          <w:color w:val="000000" w:themeColor="text1"/>
        </w:rPr>
      </w:pPr>
      <w:r w:rsidRPr="00025914">
        <w:rPr>
          <w:rFonts w:ascii="Verdana" w:hAnsi="Verdana" w:cs="Arial"/>
          <w:color w:val="000000" w:themeColor="text1"/>
        </w:rPr>
        <w:t>L</w:t>
      </w:r>
      <w:r w:rsidRPr="00025914">
        <w:rPr>
          <w:rFonts w:ascii="Verdana" w:eastAsia="Calibri" w:hAnsi="Verdana" w:cs="Arial"/>
          <w:color w:val="000000" w:themeColor="text1"/>
        </w:rPr>
        <w:t xml:space="preserve">a </w:t>
      </w:r>
      <w:r w:rsidRPr="00025914">
        <w:rPr>
          <w:rFonts w:ascii="Verdana" w:eastAsia="Calibri" w:hAnsi="Verdana" w:cs="Arial"/>
          <w:bCs/>
          <w:i/>
          <w:iCs/>
          <w:color w:val="000000" w:themeColor="text1"/>
        </w:rPr>
        <w:t>capacidad de organización</w:t>
      </w:r>
      <w:r w:rsidRPr="00025914">
        <w:rPr>
          <w:rFonts w:ascii="Verdana" w:eastAsia="Calibri" w:hAnsi="Verdana" w:cs="Arial"/>
          <w:color w:val="000000" w:themeColor="text1"/>
        </w:rPr>
        <w:t>, s</w:t>
      </w:r>
      <w:r w:rsidRPr="00025914">
        <w:rPr>
          <w:rFonts w:ascii="Verdana" w:hAnsi="Verdana" w:cs="Arial"/>
          <w:color w:val="000000" w:themeColor="text1"/>
        </w:rPr>
        <w:t xml:space="preserve">egún el </w:t>
      </w:r>
      <w:r>
        <w:rPr>
          <w:rFonts w:ascii="Verdana" w:hAnsi="Verdana" w:cs="Arial"/>
          <w:color w:val="000000" w:themeColor="text1"/>
        </w:rPr>
        <w:t>“</w:t>
      </w:r>
      <w:r w:rsidRPr="00025914">
        <w:rPr>
          <w:rFonts w:ascii="Verdana" w:hAnsi="Verdana" w:cs="Arial"/>
          <w:color w:val="000000" w:themeColor="text1"/>
        </w:rPr>
        <w:t>Manual para determinar y verificar los requisitos habilitantes en los Procesos de Contratación</w:t>
      </w:r>
      <w:r w:rsidR="00AC032B">
        <w:rPr>
          <w:rFonts w:ascii="Verdana" w:hAnsi="Verdana" w:cs="Arial"/>
          <w:color w:val="000000" w:themeColor="text1"/>
        </w:rPr>
        <w:t>”</w:t>
      </w:r>
      <w:r w:rsidRPr="00025914">
        <w:rPr>
          <w:rFonts w:ascii="Verdana" w:hAnsi="Verdana" w:cs="Arial"/>
          <w:color w:val="000000" w:themeColor="text1"/>
        </w:rPr>
        <w:t xml:space="preserve">, elaborado por la Agencia Nacional de Contratación Pública, </w:t>
      </w:r>
      <w:r w:rsidRPr="00025914">
        <w:rPr>
          <w:rFonts w:ascii="Verdana" w:eastAsia="Calibri" w:hAnsi="Verdana" w:cs="Arial"/>
          <w:color w:val="000000" w:themeColor="text1"/>
        </w:rPr>
        <w:t xml:space="preserve">es </w:t>
      </w:r>
      <w:r>
        <w:rPr>
          <w:rFonts w:ascii="Verdana" w:eastAsia="Calibri" w:hAnsi="Verdana" w:cs="Arial"/>
          <w:color w:val="000000" w:themeColor="text1"/>
        </w:rPr>
        <w:t>“</w:t>
      </w:r>
      <w:r w:rsidRPr="00025914">
        <w:rPr>
          <w:rFonts w:ascii="Verdana" w:eastAsia="Calibri" w:hAnsi="Verdana" w:cs="Arial"/>
          <w:color w:val="000000" w:themeColor="text1"/>
        </w:rPr>
        <w:t>la aptitud de un proponente para cumplir oportuna y cabalmente el objeto del contrato en función de su organización interna</w:t>
      </w:r>
      <w:r w:rsidR="00AC032B">
        <w:rPr>
          <w:rFonts w:ascii="Verdana" w:eastAsia="Calibri" w:hAnsi="Verdana" w:cs="Arial"/>
          <w:color w:val="000000" w:themeColor="text1"/>
        </w:rPr>
        <w:t>”</w:t>
      </w:r>
      <w:r w:rsidRPr="00025914">
        <w:rPr>
          <w:rFonts w:ascii="Verdana" w:eastAsia="Calibri" w:hAnsi="Verdana" w:cs="Arial"/>
          <w:color w:val="000000" w:themeColor="text1"/>
        </w:rPr>
        <w:t xml:space="preserve">. Según el artículo 2.2.1.1.1.5.3., numeral 4, del Decreto 1082 de 2015, los indicadores para medir la capacidad organizacional de un proponente son: por un lado, la </w:t>
      </w:r>
      <w:r w:rsidRPr="00025914">
        <w:rPr>
          <w:rFonts w:ascii="Verdana" w:eastAsia="Calibri" w:hAnsi="Verdana" w:cs="Arial"/>
          <w:i/>
          <w:iCs/>
          <w:color w:val="000000" w:themeColor="text1"/>
        </w:rPr>
        <w:t>rentabilidad del patrimonio</w:t>
      </w:r>
      <w:r w:rsidRPr="00025914">
        <w:rPr>
          <w:rFonts w:ascii="Verdana" w:eastAsia="Calibri" w:hAnsi="Verdana" w:cs="Arial"/>
          <w:color w:val="000000" w:themeColor="text1"/>
        </w:rPr>
        <w:t xml:space="preserve">, que corresponde a la utilidad operacional dividida por el patrimonio, y que determina la rentabilidad del patrimonio del proponente, es decir, la capacidad de generación de utilidad operacional por cada peso invertido en el patrimonio, del tal forma que, a mayor rentabilidad sobre el patrimonio, mayor es la rentabilidad de los accionistas y mejor la capacidad organizacional del proponente. Por el otro, la </w:t>
      </w:r>
      <w:r w:rsidRPr="00025914">
        <w:rPr>
          <w:rFonts w:ascii="Verdana" w:eastAsia="Calibri" w:hAnsi="Verdana" w:cs="Arial"/>
          <w:i/>
          <w:iCs/>
          <w:color w:val="000000" w:themeColor="text1"/>
        </w:rPr>
        <w:t>rentabilidad del activo</w:t>
      </w:r>
      <w:r w:rsidRPr="00025914">
        <w:rPr>
          <w:rFonts w:ascii="Verdana" w:eastAsia="Calibri" w:hAnsi="Verdana" w:cs="Arial"/>
          <w:color w:val="000000" w:themeColor="text1"/>
        </w:rPr>
        <w:t>,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menor o igual que el referido indicador de rentabilidad sobre patrimonio.</w:t>
      </w:r>
    </w:p>
    <w:p w14:paraId="3DBB56B6" w14:textId="77777777" w:rsidR="00933CFF" w:rsidRPr="00025914" w:rsidRDefault="00933CFF" w:rsidP="00933CFF">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A juicio de esta Agencia, también son relevantes los siguientes indicadores</w:t>
      </w:r>
      <w:r w:rsidRPr="00025914">
        <w:rPr>
          <w:rFonts w:ascii="Verdana" w:hAnsi="Verdana" w:cs="Arial"/>
          <w:color w:val="000000" w:themeColor="text1"/>
        </w:rPr>
        <w:t xml:space="preserve">, pero únicamente </w:t>
      </w:r>
      <w:r w:rsidRPr="00025914">
        <w:rPr>
          <w:rFonts w:ascii="Verdana" w:eastAsia="Calibri" w:hAnsi="Verdana" w:cs="Arial"/>
          <w:color w:val="000000" w:themeColor="text1"/>
        </w:rPr>
        <w:t>en aquellos casos en los que, por las características del objeto a contratar, la naturaleza o complejidad del proceso de contratación, se requiera, a saber: i) margen bruto; ii) margen operacional; iii) margen neto; iv) retorno sobre capital invertido; v) rotación de activos totales; vi) rotación de activos fijos; y vii) rotación de inventarios.</w:t>
      </w:r>
    </w:p>
    <w:p w14:paraId="56FA4946" w14:textId="4543A541" w:rsidR="00933CFF" w:rsidRPr="00025914" w:rsidRDefault="00933CFF" w:rsidP="00933CFF">
      <w:pPr>
        <w:spacing w:before="120" w:line="276" w:lineRule="auto"/>
        <w:ind w:firstLine="709"/>
        <w:jc w:val="both"/>
        <w:rPr>
          <w:rFonts w:ascii="Verdana" w:hAnsi="Verdana" w:cs="Arial"/>
          <w:color w:val="000000" w:themeColor="text1"/>
        </w:rPr>
      </w:pPr>
      <w:r w:rsidRPr="00025914">
        <w:rPr>
          <w:rFonts w:ascii="Verdana" w:hAnsi="Verdana" w:cs="Arial"/>
          <w:color w:val="000000" w:themeColor="text1"/>
        </w:rPr>
        <w:lastRenderedPageBreak/>
        <w:t xml:space="preserve">Ahora bien, en este punto vale la pena preguntarse si los cuatro requisitos habilitantes establecidos en el artículo 5, numeral 1, de la Ley 1150 de 2007, cuyo alcance fue explicado previamente, son taxativos, esto es, si son los únicos requisitos habilitantes que puede exigirle una entidad a los proponentes. Esta pregunta tiene, al menos, dos respuestas razonables. Por un lado, que sí lo son, habida cuenta que la norma no hace referencia a otros diferentes y, por el otro, que no lo son, pues esta no contiene una expresión como </w:t>
      </w:r>
      <w:r>
        <w:rPr>
          <w:rFonts w:ascii="Verdana" w:hAnsi="Verdana" w:cs="Arial"/>
          <w:color w:val="000000" w:themeColor="text1"/>
        </w:rPr>
        <w:t>“</w:t>
      </w:r>
      <w:r w:rsidRPr="00025914">
        <w:rPr>
          <w:rFonts w:ascii="Verdana" w:hAnsi="Verdana" w:cs="Arial"/>
          <w:color w:val="000000" w:themeColor="text1"/>
        </w:rPr>
        <w:t>únicamente</w:t>
      </w:r>
      <w:r w:rsidR="00AC032B">
        <w:rPr>
          <w:rFonts w:ascii="Verdana" w:hAnsi="Verdana" w:cs="Arial"/>
          <w:color w:val="000000" w:themeColor="text1"/>
        </w:rPr>
        <w:t>”</w:t>
      </w:r>
      <w:r w:rsidRPr="00025914">
        <w:rPr>
          <w:rFonts w:ascii="Verdana" w:hAnsi="Verdana" w:cs="Arial"/>
          <w:color w:val="000000" w:themeColor="text1"/>
        </w:rPr>
        <w:t xml:space="preserve"> o </w:t>
      </w:r>
      <w:r>
        <w:rPr>
          <w:rFonts w:ascii="Verdana" w:hAnsi="Verdana" w:cs="Arial"/>
          <w:color w:val="000000" w:themeColor="text1"/>
        </w:rPr>
        <w:t>“</w:t>
      </w:r>
      <w:r w:rsidRPr="00025914">
        <w:rPr>
          <w:rFonts w:ascii="Verdana" w:hAnsi="Verdana" w:cs="Arial"/>
          <w:color w:val="000000" w:themeColor="text1"/>
        </w:rPr>
        <w:t>solo</w:t>
      </w:r>
      <w:r w:rsidR="00AC032B">
        <w:rPr>
          <w:rFonts w:ascii="Verdana" w:hAnsi="Verdana" w:cs="Arial"/>
          <w:color w:val="000000" w:themeColor="text1"/>
        </w:rPr>
        <w:t>”</w:t>
      </w:r>
      <w:r w:rsidRPr="00025914">
        <w:rPr>
          <w:rFonts w:ascii="Verdana" w:hAnsi="Verdana" w:cs="Arial"/>
          <w:color w:val="000000" w:themeColor="text1"/>
        </w:rPr>
        <w:t xml:space="preserve"> al referirse a los requisitos habilitantes y, además, debido a que la lectura íntegra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 norma que establece que </w:t>
      </w:r>
      <w:r>
        <w:rPr>
          <w:rFonts w:ascii="Verdana" w:hAnsi="Verdana" w:cs="Arial"/>
          <w:color w:val="000000" w:themeColor="text1"/>
        </w:rPr>
        <w:t>“</w:t>
      </w:r>
      <w:r w:rsidRPr="00025914">
        <w:rPr>
          <w:rFonts w:ascii="Verdana" w:hAnsi="Verdana" w:cs="Arial"/>
          <w:color w:val="000000" w:themeColor="text1"/>
        </w:rPr>
        <w:t>para poder participar en los procesos de selección de los contratos de obra, la capacidad residual del proponente o K de contratación deberá ser igual o superior al que la entidad haya establecido para el efecto en los pliegos de condiciones</w:t>
      </w:r>
      <w:r w:rsidR="00AC032B">
        <w:rPr>
          <w:rFonts w:ascii="Verdana" w:hAnsi="Verdana" w:cs="Arial"/>
          <w:color w:val="000000" w:themeColor="text1"/>
        </w:rPr>
        <w:t>”</w:t>
      </w:r>
      <w:r w:rsidRPr="00025914">
        <w:rPr>
          <w:rFonts w:ascii="Verdana" w:hAnsi="Verdana" w:cs="Arial"/>
          <w:color w:val="000000" w:themeColor="text1"/>
        </w:rPr>
        <w:t xml:space="preserve">. Esta segunda respuesta contiene la interpretación legal que comparte la Agencia Nacional de Contratación Pública. </w:t>
      </w:r>
    </w:p>
    <w:p w14:paraId="5AD9F55E" w14:textId="171F34D6" w:rsidR="00933CFF" w:rsidRPr="00025914" w:rsidRDefault="00933CFF" w:rsidP="00933CFF">
      <w:pPr>
        <w:spacing w:before="120" w:line="276" w:lineRule="auto"/>
        <w:ind w:firstLine="709"/>
        <w:jc w:val="both"/>
        <w:rPr>
          <w:rFonts w:ascii="Verdana" w:hAnsi="Verdana" w:cs="Arial"/>
          <w:color w:val="000000" w:themeColor="text1"/>
        </w:rPr>
      </w:pPr>
      <w:r w:rsidRPr="00025914">
        <w:rPr>
          <w:rFonts w:ascii="Verdana" w:hAnsi="Verdana" w:cs="Arial"/>
          <w:color w:val="000000" w:themeColor="text1"/>
        </w:rPr>
        <w:t>Hay otros argumentos que sustentan tal elección interpretativa. Tal y como lo han considerado la Corte Constitucional</w:t>
      </w:r>
      <w:r w:rsidRPr="00025914">
        <w:rPr>
          <w:rStyle w:val="Refdenotaalpie"/>
          <w:rFonts w:ascii="Verdana" w:hAnsi="Verdana" w:cs="Arial"/>
          <w:color w:val="000000" w:themeColor="text1"/>
        </w:rPr>
        <w:footnoteReference w:id="12"/>
      </w:r>
      <w:r w:rsidRPr="00025914">
        <w:rPr>
          <w:rFonts w:ascii="Verdana" w:hAnsi="Verdana" w:cs="Arial"/>
          <w:color w:val="000000" w:themeColor="text1"/>
        </w:rPr>
        <w:t xml:space="preserve"> y el Consejo de Estado</w:t>
      </w:r>
      <w:r w:rsidRPr="00025914">
        <w:rPr>
          <w:rStyle w:val="Refdenotaalpie"/>
          <w:rFonts w:ascii="Verdana" w:hAnsi="Verdana" w:cs="Arial"/>
          <w:color w:val="000000" w:themeColor="text1"/>
        </w:rPr>
        <w:footnoteReference w:id="13"/>
      </w:r>
      <w:r w:rsidRPr="00025914">
        <w:rPr>
          <w:rFonts w:ascii="Verdana" w:hAnsi="Verdana" w:cs="Arial"/>
          <w:color w:val="000000" w:themeColor="text1"/>
        </w:rPr>
        <w:t xml:space="preserve">, en virtud del </w:t>
      </w:r>
      <w:r>
        <w:rPr>
          <w:rFonts w:ascii="Verdana" w:hAnsi="Verdana" w:cs="Arial"/>
          <w:color w:val="000000" w:themeColor="text1"/>
        </w:rPr>
        <w:t>“</w:t>
      </w:r>
      <w:r w:rsidRPr="00025914">
        <w:rPr>
          <w:rFonts w:ascii="Verdana" w:hAnsi="Verdana" w:cs="Arial"/>
          <w:color w:val="000000" w:themeColor="text1"/>
        </w:rPr>
        <w:t>principio del efecto útil</w:t>
      </w:r>
      <w:r w:rsidR="00AC032B">
        <w:rPr>
          <w:rFonts w:ascii="Verdana" w:hAnsi="Verdana" w:cs="Arial"/>
          <w:color w:val="000000" w:themeColor="text1"/>
        </w:rPr>
        <w:t>”</w:t>
      </w:r>
      <w:r w:rsidRPr="00025914">
        <w:rPr>
          <w:rFonts w:ascii="Verdana" w:hAnsi="Verdana" w:cs="Arial"/>
          <w:color w:val="000000" w:themeColor="text1"/>
        </w:rPr>
        <w:t xml:space="preserve">, el texto de una norma debe ser interpretado de manera que todo cuanto ella prescribe produzca consecuencias jurídicas. En ese contexto, surge la inquietud en relación con los efectos del parágrafo 2 del mismo artículo 5 de la Ley 1150 de 2007, pues si la intención del legislador era que solo fueran requisitos habilitantes los cuatro que contiene el numeral 1 de dicha disposición, ¿cómo se explica que el referido parágrafo aclare que </w:t>
      </w:r>
      <w:r>
        <w:rPr>
          <w:rFonts w:ascii="Verdana" w:hAnsi="Verdana" w:cs="Arial"/>
          <w:color w:val="000000" w:themeColor="text1"/>
        </w:rPr>
        <w:t>“</w:t>
      </w:r>
      <w:r w:rsidRPr="00025914">
        <w:rPr>
          <w:rFonts w:ascii="Verdana" w:hAnsi="Verdana" w:cs="Arial"/>
          <w:color w:val="000000" w:themeColor="text1"/>
        </w:rPr>
        <w:t>las certificaciones de sistemas de gestión de calidad no serán objeto de calificación, ni podrán establecerse como documento habilitante para participar en licitaciones o concursos</w:t>
      </w:r>
      <w:r w:rsidR="00AC032B">
        <w:rPr>
          <w:rFonts w:ascii="Verdana" w:hAnsi="Verdana" w:cs="Arial"/>
          <w:color w:val="000000" w:themeColor="text1"/>
        </w:rPr>
        <w:t>”</w:t>
      </w:r>
      <w:r w:rsidRPr="00025914">
        <w:rPr>
          <w:rFonts w:ascii="Verdana" w:hAnsi="Verdana" w:cs="Arial"/>
          <w:color w:val="000000" w:themeColor="text1"/>
        </w:rPr>
        <w:t xml:space="preserve">? Si se interpreta que solo son cuatro los requisitos habilitantes, el parágrafo 2 carecería de efectos jurídicos y, por ende, no tendría ninguna consecuencia normativa que en el mismo artículo se aclare que una exigencia no puede ser considera como requisito habilitante. </w:t>
      </w:r>
    </w:p>
    <w:p w14:paraId="76A70969" w14:textId="77777777" w:rsidR="00933CFF" w:rsidRPr="00025914" w:rsidRDefault="00933CFF" w:rsidP="00933CFF">
      <w:pPr>
        <w:spacing w:before="120" w:line="276" w:lineRule="auto"/>
        <w:ind w:firstLine="709"/>
        <w:jc w:val="both"/>
        <w:rPr>
          <w:rFonts w:ascii="Verdana" w:hAnsi="Verdana" w:cs="Arial"/>
          <w:color w:val="000000" w:themeColor="text1"/>
        </w:rPr>
      </w:pPr>
      <w:r w:rsidRPr="00025914">
        <w:rPr>
          <w:rFonts w:ascii="Verdana" w:hAnsi="Verdana" w:cs="Arial"/>
          <w:color w:val="000000" w:themeColor="text1"/>
        </w:rPr>
        <w:t xml:space="preserve">La intención del legislador, de la cual dan cuenta los antecedentes legislativos de la norma </w:t>
      </w:r>
      <w:r w:rsidRPr="00025914">
        <w:rPr>
          <w:rFonts w:ascii="Verdana" w:hAnsi="Verdana" w:cs="Arial"/>
          <w:i/>
          <w:iCs/>
          <w:color w:val="000000" w:themeColor="text1"/>
        </w:rPr>
        <w:t>sub examine</w:t>
      </w:r>
      <w:r w:rsidRPr="00025914">
        <w:rPr>
          <w:rFonts w:ascii="Verdana" w:hAnsi="Verdana" w:cs="Arial"/>
          <w:color w:val="000000" w:themeColor="text1"/>
        </w:rPr>
        <w:t xml:space="preserve">, también justifica la interpretación </w:t>
      </w:r>
      <w:r w:rsidRPr="00025914">
        <w:rPr>
          <w:rFonts w:ascii="Verdana" w:hAnsi="Verdana" w:cs="Arial"/>
          <w:color w:val="000000" w:themeColor="text1"/>
        </w:rPr>
        <w:lastRenderedPageBreak/>
        <w:t>propuesta por esta Agencia, ya que fue hasta el cuarto debate parlamentario en donde se incluyó el parágrafo comentando anteriormente</w:t>
      </w:r>
      <w:r w:rsidRPr="00025914">
        <w:rPr>
          <w:rStyle w:val="Refdenotaalpie"/>
          <w:rFonts w:ascii="Verdana" w:hAnsi="Verdana" w:cs="Arial"/>
          <w:color w:val="000000" w:themeColor="text1"/>
        </w:rPr>
        <w:footnoteReference w:id="14"/>
      </w:r>
      <w:r w:rsidRPr="00025914">
        <w:rPr>
          <w:rFonts w:ascii="Verdana" w:hAnsi="Verdana" w:cs="Arial"/>
          <w:color w:val="000000" w:themeColor="text1"/>
        </w:rPr>
        <w:t>, lo que deja ver la necesidad que tenía el Congreso de aclarar que unos documentos no podrían ser tenidos como requisitos habilitantes, lo que da cuenta, a su vez, de su reconocimiento tácito de la existencia de otros requisitos habilitantes, distintos a los cuatro que establece el artículo 5, parágrafo 1, de la Ley 1150 de 2007.</w:t>
      </w:r>
    </w:p>
    <w:p w14:paraId="0121016D" w14:textId="114DBD63" w:rsidR="00933CFF" w:rsidRPr="00025914" w:rsidRDefault="00933CFF" w:rsidP="00933CFF">
      <w:pPr>
        <w:spacing w:before="120" w:line="276" w:lineRule="auto"/>
        <w:ind w:firstLine="709"/>
        <w:jc w:val="both"/>
        <w:rPr>
          <w:rFonts w:ascii="Verdana" w:hAnsi="Verdana" w:cs="Arial"/>
          <w:color w:val="000000" w:themeColor="text1"/>
        </w:rPr>
      </w:pPr>
      <w:r w:rsidRPr="00025914">
        <w:rPr>
          <w:rFonts w:ascii="Verdana" w:hAnsi="Verdana" w:cs="Arial"/>
          <w:color w:val="000000" w:themeColor="text1"/>
        </w:rPr>
        <w:t xml:space="preserve">Por otro lado, en el referido </w:t>
      </w:r>
      <w:r>
        <w:rPr>
          <w:rFonts w:ascii="Verdana" w:hAnsi="Verdana" w:cs="Arial"/>
          <w:color w:val="000000" w:themeColor="text1"/>
        </w:rPr>
        <w:t>“</w:t>
      </w:r>
      <w:r w:rsidRPr="00025914">
        <w:rPr>
          <w:rFonts w:ascii="Verdana" w:hAnsi="Verdana" w:cs="Arial"/>
          <w:color w:val="000000" w:themeColor="text1"/>
        </w:rPr>
        <w:t>Manual para determinar y verificar los requisitos habilitantes en los Procesos de Contratación</w:t>
      </w:r>
      <w:r w:rsidR="00AC032B">
        <w:rPr>
          <w:rFonts w:ascii="Verdana" w:hAnsi="Verdana" w:cs="Arial"/>
          <w:color w:val="000000" w:themeColor="text1"/>
        </w:rPr>
        <w:t>”</w:t>
      </w:r>
      <w:r w:rsidRPr="00025914">
        <w:rPr>
          <w:rFonts w:ascii="Verdana" w:hAnsi="Verdana" w:cs="Arial"/>
          <w:color w:val="000000" w:themeColor="text1"/>
        </w:rPr>
        <w:t xml:space="preserve"> se determinaron los parámetros para </w:t>
      </w:r>
      <w:r w:rsidRPr="00025914">
        <w:rPr>
          <w:rFonts w:ascii="Verdana" w:hAnsi="Verdana" w:cs="Arial"/>
          <w:i/>
          <w:iCs/>
          <w:color w:val="000000" w:themeColor="text1"/>
        </w:rPr>
        <w:t>establecer</w:t>
      </w:r>
      <w:r w:rsidRPr="00025914">
        <w:rPr>
          <w:rFonts w:ascii="Verdana" w:hAnsi="Verdana" w:cs="Arial"/>
          <w:color w:val="000000" w:themeColor="text1"/>
        </w:rPr>
        <w:t xml:space="preserve">, </w:t>
      </w:r>
      <w:r w:rsidRPr="00025914">
        <w:rPr>
          <w:rFonts w:ascii="Verdana" w:hAnsi="Verdana" w:cs="Arial"/>
          <w:i/>
          <w:iCs/>
          <w:color w:val="000000" w:themeColor="text1"/>
        </w:rPr>
        <w:t>acreditar</w:t>
      </w:r>
      <w:r w:rsidRPr="00025914">
        <w:rPr>
          <w:rFonts w:ascii="Verdana" w:hAnsi="Verdana" w:cs="Arial"/>
          <w:color w:val="000000" w:themeColor="text1"/>
        </w:rPr>
        <w:t xml:space="preserve"> y </w:t>
      </w:r>
      <w:r w:rsidRPr="00025914">
        <w:rPr>
          <w:rFonts w:ascii="Verdana" w:hAnsi="Verdana" w:cs="Arial"/>
          <w:i/>
          <w:iCs/>
          <w:color w:val="000000" w:themeColor="text1"/>
        </w:rPr>
        <w:t>subsanar</w:t>
      </w:r>
      <w:r w:rsidRPr="00025914">
        <w:rPr>
          <w:rFonts w:ascii="Verdana" w:hAnsi="Verdana" w:cs="Arial"/>
          <w:color w:val="000000" w:themeColor="text1"/>
        </w:rPr>
        <w:t xml:space="preserve"> los requisitos habilitantes estudiados en los párrafos precedentes. Allí también se precisó que los requisitos habilitantes tienen como fin primordial medir </w:t>
      </w:r>
      <w:r>
        <w:rPr>
          <w:rFonts w:ascii="Verdana" w:hAnsi="Verdana" w:cs="Arial"/>
          <w:color w:val="000000" w:themeColor="text1"/>
        </w:rPr>
        <w:t>“</w:t>
      </w:r>
      <w:r w:rsidRPr="00025914">
        <w:rPr>
          <w:rFonts w:ascii="Verdana" w:hAnsi="Verdana" w:cs="Arial"/>
          <w:color w:val="000000" w:themeColor="text1"/>
        </w:rPr>
        <w:t>la aptitud del proponente para participar en un Proceso de Contratación como oferente y están referidos a su capacidad jurídica, financiera, organizacional y su experiencia</w:t>
      </w:r>
      <w:r w:rsidR="00AC032B">
        <w:rPr>
          <w:rFonts w:ascii="Verdana" w:hAnsi="Verdana" w:cs="Arial"/>
          <w:color w:val="000000" w:themeColor="text1"/>
        </w:rPr>
        <w:t>”</w:t>
      </w:r>
      <w:r w:rsidRPr="00025914">
        <w:rPr>
          <w:rFonts w:ascii="Verdana" w:hAnsi="Verdana" w:cs="Arial"/>
          <w:color w:val="000000" w:themeColor="text1"/>
        </w:rPr>
        <w:t xml:space="preserve">. Su propósito es, según el Manual, </w:t>
      </w:r>
      <w:r>
        <w:rPr>
          <w:rFonts w:ascii="Verdana" w:hAnsi="Verdana" w:cs="Arial"/>
          <w:color w:val="000000" w:themeColor="text1"/>
        </w:rPr>
        <w:t>“</w:t>
      </w:r>
      <w:r w:rsidRPr="00025914">
        <w:rPr>
          <w:rFonts w:ascii="Verdana" w:hAnsi="Verdana" w:cs="Arial"/>
          <w:color w:val="000000" w:themeColor="text1"/>
        </w:rPr>
        <w:t>establecer unas condiciones mínimas para los proponentes de tal manera que la Entidad Estatal sólo evalúe las ofertas de aquellos que están en condiciones de cumplir con el objeto del Proceso de Contratación</w:t>
      </w:r>
      <w:r w:rsidR="00AC032B">
        <w:rPr>
          <w:rFonts w:ascii="Verdana" w:hAnsi="Verdana" w:cs="Arial"/>
          <w:color w:val="000000" w:themeColor="text1"/>
        </w:rPr>
        <w:t>”</w:t>
      </w:r>
      <w:r w:rsidRPr="00025914">
        <w:rPr>
          <w:rFonts w:ascii="Verdana" w:hAnsi="Verdana" w:cs="Arial"/>
          <w:color w:val="000000" w:themeColor="text1"/>
        </w:rPr>
        <w:t>.</w:t>
      </w:r>
    </w:p>
    <w:p w14:paraId="6A4064DF" w14:textId="77777777" w:rsidR="00933CFF" w:rsidRPr="00025914" w:rsidRDefault="00933CFF" w:rsidP="00933CFF">
      <w:pPr>
        <w:spacing w:before="120" w:line="276" w:lineRule="auto"/>
        <w:ind w:firstLine="709"/>
        <w:jc w:val="both"/>
        <w:rPr>
          <w:rFonts w:ascii="Verdana" w:hAnsi="Verdana" w:cs="Arial"/>
          <w:color w:val="000000" w:themeColor="text1"/>
        </w:rPr>
      </w:pPr>
      <w:bookmarkStart w:id="4" w:name="_Hlk34917473"/>
      <w:r w:rsidRPr="00025914">
        <w:rPr>
          <w:rFonts w:ascii="Verdana" w:hAnsi="Verdana" w:cs="Arial"/>
          <w:color w:val="000000" w:themeColor="text1"/>
        </w:rPr>
        <w:t xml:space="preserve">Corresponde a las entidades estatales, durante la etapa de planeación del contrato estatal, estudiar y </w:t>
      </w:r>
      <w:r w:rsidRPr="00025914">
        <w:rPr>
          <w:rFonts w:ascii="Verdana" w:hAnsi="Verdana" w:cs="Arial"/>
          <w:bCs/>
          <w:iCs/>
          <w:color w:val="000000" w:themeColor="text1"/>
        </w:rPr>
        <w:t>determinar</w:t>
      </w:r>
      <w:r w:rsidRPr="00025914">
        <w:rPr>
          <w:rFonts w:ascii="Verdana" w:hAnsi="Verdana" w:cs="Arial"/>
          <w:color w:val="000000" w:themeColor="text1"/>
        </w:rPr>
        <w:t xml:space="preserve">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w:t>
      </w:r>
      <w:r w:rsidRPr="00025914">
        <w:rPr>
          <w:rFonts w:ascii="Verdana" w:hAnsi="Verdana" w:cs="Arial"/>
          <w:i/>
          <w:iCs/>
          <w:color w:val="000000" w:themeColor="text1"/>
        </w:rPr>
        <w:t>riesgos</w:t>
      </w:r>
      <w:r w:rsidRPr="00025914">
        <w:rPr>
          <w:rFonts w:ascii="Verdana" w:hAnsi="Verdana" w:cs="Arial"/>
          <w:color w:val="000000" w:themeColor="text1"/>
        </w:rPr>
        <w:t xml:space="preserve"> </w:t>
      </w:r>
      <w:r w:rsidRPr="00025914">
        <w:rPr>
          <w:rFonts w:ascii="Verdana" w:hAnsi="Verdana" w:cs="Arial"/>
          <w:i/>
          <w:iCs/>
          <w:color w:val="000000" w:themeColor="text1"/>
        </w:rPr>
        <w:t>asociados al contrato</w:t>
      </w:r>
      <w:r w:rsidRPr="00025914">
        <w:rPr>
          <w:rFonts w:ascii="Verdana" w:hAnsi="Verdana" w:cs="Arial"/>
          <w:color w:val="000000" w:themeColor="text1"/>
        </w:rPr>
        <w:t xml:space="preserve">, el plazo y la complejidad de ejecución del objeto. Todo porque el ejercicio de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por ejemplo, como el que estable el artículo 5, parágrafo 2, de la Ley 1150 de 2007, </w:t>
      </w:r>
      <w:r w:rsidRPr="00025914">
        <w:rPr>
          <w:rFonts w:ascii="Verdana" w:hAnsi="Verdana" w:cs="Arial"/>
          <w:color w:val="000000" w:themeColor="text1"/>
          <w:lang w:val="es-ES"/>
        </w:rPr>
        <w:t>relacionado con la prohibición de exigir certificaciones de sistemas de gestión de calidad como requisito habilitante</w:t>
      </w:r>
      <w:r w:rsidRPr="00025914">
        <w:rPr>
          <w:rFonts w:ascii="Verdana" w:hAnsi="Verdana" w:cs="Arial"/>
          <w:color w:val="000000" w:themeColor="text1"/>
        </w:rPr>
        <w:t xml:space="preserve">. </w:t>
      </w:r>
    </w:p>
    <w:bookmarkEnd w:id="4"/>
    <w:p w14:paraId="436ABAA5" w14:textId="06BF3978" w:rsidR="00933CFF" w:rsidRPr="00025914" w:rsidRDefault="00933CFF" w:rsidP="00933CFF">
      <w:pPr>
        <w:spacing w:before="120" w:line="276" w:lineRule="auto"/>
        <w:ind w:firstLine="709"/>
        <w:jc w:val="both"/>
        <w:rPr>
          <w:rFonts w:ascii="Verdana" w:hAnsi="Verdana" w:cs="Arial"/>
          <w:color w:val="000000" w:themeColor="text1"/>
        </w:rPr>
      </w:pPr>
      <w:r w:rsidRPr="00025914">
        <w:rPr>
          <w:rFonts w:ascii="Verdana" w:hAnsi="Verdana" w:cs="Arial"/>
          <w:color w:val="000000" w:themeColor="text1"/>
        </w:rPr>
        <w:t xml:space="preserve">Al respecto, en la sentencia C-004 de 2017, la Corte Constitucional señaló que </w:t>
      </w:r>
      <w:r>
        <w:rPr>
          <w:rFonts w:ascii="Verdana" w:hAnsi="Verdana" w:cs="Arial"/>
          <w:color w:val="000000" w:themeColor="text1"/>
        </w:rPr>
        <w:t>“</w:t>
      </w:r>
      <w:r w:rsidRPr="00025914">
        <w:rPr>
          <w:rFonts w:ascii="Verdana" w:hAnsi="Verdana" w:cs="Arial"/>
          <w:color w:val="000000" w:themeColor="text1"/>
        </w:rPr>
        <w:t xml:space="preserve">[l]a determinación de dichas condiciones habilitantes para participar, es </w:t>
      </w:r>
      <w:r w:rsidRPr="00025914">
        <w:rPr>
          <w:rFonts w:ascii="Verdana" w:hAnsi="Verdana" w:cs="Arial"/>
          <w:color w:val="000000" w:themeColor="text1"/>
        </w:rPr>
        <w:lastRenderedPageBreak/>
        <w:t>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r w:rsidR="00AC032B">
        <w:rPr>
          <w:rFonts w:ascii="Verdana" w:hAnsi="Verdana" w:cs="Arial"/>
          <w:color w:val="000000" w:themeColor="text1"/>
        </w:rPr>
        <w:t>”</w:t>
      </w:r>
    </w:p>
    <w:p w14:paraId="70872601" w14:textId="77777777" w:rsidR="00933CFF" w:rsidRPr="00025914" w:rsidRDefault="00933CFF" w:rsidP="00933CFF">
      <w:pPr>
        <w:spacing w:before="120" w:line="276" w:lineRule="auto"/>
        <w:ind w:firstLine="709"/>
        <w:jc w:val="both"/>
        <w:rPr>
          <w:rFonts w:ascii="Verdana" w:hAnsi="Verdana" w:cs="Arial"/>
          <w:color w:val="000000" w:themeColor="text1"/>
        </w:rPr>
      </w:pPr>
      <w:r w:rsidRPr="00025914">
        <w:rPr>
          <w:rFonts w:ascii="Verdana" w:hAnsi="Verdana" w:cs="Arial"/>
          <w:color w:val="000000" w:themeColor="text1"/>
        </w:rPr>
        <w:t>De todos modos, como se dijo antes, para la configuración de los requisitos habilitantes, la entidad no está limitada a los cuatro que enuncia el artículo 5, numeral 1, de la Ley 1150 de 2007, pues, se insiste, estos son solo enunciativos y no taxativos.</w:t>
      </w:r>
    </w:p>
    <w:p w14:paraId="0BC9DAF2" w14:textId="04C0C8B2" w:rsidR="00933CFF" w:rsidRPr="00025914" w:rsidRDefault="00933CFF" w:rsidP="00933CFF">
      <w:pPr>
        <w:spacing w:before="120" w:line="276" w:lineRule="auto"/>
        <w:ind w:firstLine="709"/>
        <w:jc w:val="both"/>
        <w:rPr>
          <w:rFonts w:ascii="Verdana" w:hAnsi="Verdana" w:cs="Arial"/>
          <w:color w:val="000000" w:themeColor="text1"/>
        </w:rPr>
      </w:pPr>
      <w:r w:rsidRPr="00025914">
        <w:rPr>
          <w:rFonts w:ascii="Verdana" w:hAnsi="Verdana" w:cs="Arial"/>
          <w:color w:val="000000" w:themeColor="text1"/>
        </w:rPr>
        <w:t xml:space="preserve">Por el objeto de la consulta, es importante resaltar que Colombia Compra Eficiente elaboró el </w:t>
      </w:r>
      <w:r>
        <w:rPr>
          <w:rFonts w:ascii="Verdana" w:hAnsi="Verdana" w:cs="Arial"/>
          <w:color w:val="000000" w:themeColor="text1"/>
        </w:rPr>
        <w:t>“</w:t>
      </w:r>
      <w:r w:rsidRPr="00025914">
        <w:rPr>
          <w:rFonts w:ascii="Verdana" w:hAnsi="Verdana" w:cs="Arial"/>
          <w:color w:val="000000" w:themeColor="text1"/>
        </w:rPr>
        <w:t>Manual para la Identificación y Cobertura del Riesgo en los Procesos de Contratación</w:t>
      </w:r>
      <w:r w:rsidR="00AC032B">
        <w:rPr>
          <w:rFonts w:ascii="Verdana" w:hAnsi="Verdana" w:cs="Arial"/>
          <w:color w:val="000000" w:themeColor="text1"/>
        </w:rPr>
        <w:t>”</w:t>
      </w:r>
      <w:r w:rsidRPr="00025914">
        <w:rPr>
          <w:rFonts w:ascii="Verdana" w:hAnsi="Verdana" w:cs="Arial"/>
          <w:color w:val="000000" w:themeColor="text1"/>
        </w:rPr>
        <w:t>. Este documento invita a las entidades públicas a identificar los riesgos del proceso de contratación, de acuerdo con la siguiente clasificación: i) por su clase, en donde existen riesgos generales y específicos; ii) por su fuente, siendo riesgos internos y externos; iii) por la etapa en el que se encuentra, en donde los riesgos pueden ser en la planeación, selección, contratación o en la ejecución; y iv) por el tipo, estos son:</w:t>
      </w:r>
    </w:p>
    <w:p w14:paraId="2C1508FD" w14:textId="77777777" w:rsidR="00933CFF" w:rsidRPr="00AC032B" w:rsidRDefault="00933CFF" w:rsidP="00933CFF">
      <w:pPr>
        <w:ind w:left="709" w:right="760"/>
        <w:jc w:val="both"/>
        <w:rPr>
          <w:rFonts w:ascii="Verdana" w:hAnsi="Verdana" w:cs="Arial"/>
          <w:color w:val="000000" w:themeColor="text1"/>
          <w:sz w:val="20"/>
          <w:szCs w:val="20"/>
        </w:rPr>
      </w:pPr>
      <w:r w:rsidRPr="00AC032B">
        <w:rPr>
          <w:rFonts w:ascii="Verdana" w:hAnsi="Verdana" w:cs="Arial"/>
          <w:color w:val="000000" w:themeColor="text1"/>
          <w:sz w:val="20"/>
          <w:szCs w:val="20"/>
        </w:rPr>
        <w:t>Riesgos Económicos: son los derivados del comportamiento del mercado, tales como la fluctuación de los precios de los insumos, desabastecimiento y especulación de los mismos, entre otros.</w:t>
      </w:r>
    </w:p>
    <w:p w14:paraId="3E068EFA" w14:textId="77777777" w:rsidR="00933CFF" w:rsidRPr="00AC032B" w:rsidRDefault="00933CFF" w:rsidP="00933CFF">
      <w:pPr>
        <w:ind w:left="709" w:right="760"/>
        <w:jc w:val="both"/>
        <w:rPr>
          <w:rFonts w:ascii="Verdana" w:hAnsi="Verdana" w:cs="Arial"/>
          <w:color w:val="000000" w:themeColor="text1"/>
          <w:sz w:val="20"/>
          <w:szCs w:val="20"/>
        </w:rPr>
      </w:pPr>
      <w:r w:rsidRPr="00AC032B">
        <w:rPr>
          <w:rFonts w:ascii="Verdana" w:hAnsi="Verdana" w:cs="Arial"/>
          <w:color w:val="000000" w:themeColor="text1"/>
          <w:sz w:val="20"/>
          <w:szCs w:val="20"/>
        </w:rPr>
        <w:t>Riesgos Sociales o Políticos: son los derivados de los cambios de las políticas gubernamentales y de cambios en las condiciones sociales que tengan impacto en la ejecución del contrato.</w:t>
      </w:r>
    </w:p>
    <w:p w14:paraId="1CA7E816" w14:textId="77777777" w:rsidR="00933CFF" w:rsidRPr="00AC032B" w:rsidRDefault="00933CFF" w:rsidP="00933CFF">
      <w:pPr>
        <w:ind w:left="709" w:right="760"/>
        <w:jc w:val="both"/>
        <w:rPr>
          <w:rFonts w:ascii="Verdana" w:hAnsi="Verdana" w:cs="Arial"/>
          <w:i/>
          <w:iCs/>
          <w:color w:val="000000" w:themeColor="text1"/>
          <w:sz w:val="20"/>
          <w:szCs w:val="20"/>
        </w:rPr>
      </w:pPr>
      <w:r w:rsidRPr="00AC032B">
        <w:rPr>
          <w:rFonts w:ascii="Verdana" w:hAnsi="Verdana" w:cs="Arial"/>
          <w:i/>
          <w:iCs/>
          <w:color w:val="000000" w:themeColor="text1"/>
          <w:sz w:val="20"/>
          <w:szCs w:val="20"/>
        </w:rPr>
        <w:t>Riesgos Operacionales: son los asociados a la operatividad del contrato, tales como la suficiencia del presupuesto oficial, del plazo o los derivados de procesos, procedimientos, parámetros, sistemas de información y tecnológicos, equipos humanos o técnicos inadecuados o insuficientes.</w:t>
      </w:r>
    </w:p>
    <w:p w14:paraId="707F509B" w14:textId="77777777" w:rsidR="00933CFF" w:rsidRPr="00AC032B" w:rsidRDefault="00933CFF" w:rsidP="00933CFF">
      <w:pPr>
        <w:ind w:left="709" w:right="760"/>
        <w:jc w:val="both"/>
        <w:rPr>
          <w:rFonts w:ascii="Verdana" w:hAnsi="Verdana" w:cs="Arial"/>
          <w:color w:val="000000" w:themeColor="text1"/>
          <w:sz w:val="20"/>
          <w:szCs w:val="20"/>
        </w:rPr>
      </w:pPr>
      <w:r w:rsidRPr="00AC032B">
        <w:rPr>
          <w:rFonts w:ascii="Verdana" w:hAnsi="Verdana" w:cs="Arial"/>
          <w:color w:val="000000" w:themeColor="text1"/>
          <w:sz w:val="20"/>
          <w:szCs w:val="20"/>
        </w:rPr>
        <w:t>Riesgos Financieros: son (i) el riesgo de consecución de financiación o riesgo de liquidez para obtener recursos para cumplir con el objeto del contrato, y (ii) el riesgo de las condiciones financieras establecidas para la obtención de los recursos, tales como plazos, tasas, garantías, contragarantías, y refinanciaciones, entre otros.</w:t>
      </w:r>
    </w:p>
    <w:p w14:paraId="5F44487C" w14:textId="77777777" w:rsidR="00933CFF" w:rsidRPr="00AC032B" w:rsidRDefault="00933CFF" w:rsidP="00933CFF">
      <w:pPr>
        <w:ind w:left="709" w:right="760"/>
        <w:jc w:val="both"/>
        <w:rPr>
          <w:rFonts w:ascii="Verdana" w:hAnsi="Verdana" w:cs="Arial"/>
          <w:color w:val="000000" w:themeColor="text1"/>
          <w:sz w:val="20"/>
          <w:szCs w:val="20"/>
        </w:rPr>
      </w:pPr>
      <w:r w:rsidRPr="00AC032B">
        <w:rPr>
          <w:rFonts w:ascii="Verdana" w:hAnsi="Verdana" w:cs="Arial"/>
          <w:color w:val="000000" w:themeColor="text1"/>
          <w:sz w:val="20"/>
          <w:szCs w:val="20"/>
        </w:rPr>
        <w:t>Riesgos Regulatorios: derivados de cambios regulatorios o reglamentarios que afecten la ecuación económica del contrato.</w:t>
      </w:r>
    </w:p>
    <w:p w14:paraId="599DB8C1" w14:textId="77777777" w:rsidR="00933CFF" w:rsidRPr="00AC032B" w:rsidRDefault="00933CFF" w:rsidP="00933CFF">
      <w:pPr>
        <w:ind w:left="709" w:right="760"/>
        <w:jc w:val="both"/>
        <w:rPr>
          <w:rFonts w:ascii="Verdana" w:hAnsi="Verdana" w:cs="Arial"/>
          <w:color w:val="000000" w:themeColor="text1"/>
          <w:sz w:val="20"/>
          <w:szCs w:val="20"/>
        </w:rPr>
      </w:pPr>
      <w:r w:rsidRPr="00AC032B">
        <w:rPr>
          <w:rFonts w:ascii="Verdana" w:hAnsi="Verdana" w:cs="Arial"/>
          <w:color w:val="000000" w:themeColor="text1"/>
          <w:sz w:val="20"/>
          <w:szCs w:val="20"/>
        </w:rPr>
        <w:t>Riesgos de la Naturaleza: son los eventos naturales previsibles en los cuales no hay intervención humana que puedan tener impacto en la ejecución del contrato, por ejemplo los temblores, inundaciones, lluvias, sequías, entre otros.</w:t>
      </w:r>
    </w:p>
    <w:p w14:paraId="12C599AF" w14:textId="77777777" w:rsidR="00933CFF" w:rsidRPr="00AC032B" w:rsidRDefault="00933CFF" w:rsidP="00933CFF">
      <w:pPr>
        <w:ind w:left="709" w:right="760"/>
        <w:jc w:val="both"/>
        <w:rPr>
          <w:rFonts w:ascii="Verdana" w:hAnsi="Verdana" w:cs="Arial"/>
          <w:color w:val="000000" w:themeColor="text1"/>
          <w:sz w:val="20"/>
          <w:szCs w:val="20"/>
        </w:rPr>
      </w:pPr>
      <w:r w:rsidRPr="00AC032B">
        <w:rPr>
          <w:rFonts w:ascii="Verdana" w:hAnsi="Verdana" w:cs="Arial"/>
          <w:color w:val="000000" w:themeColor="text1"/>
          <w:sz w:val="20"/>
          <w:szCs w:val="20"/>
        </w:rPr>
        <w:lastRenderedPageBreak/>
        <w:t>Riesgos Ambientales: son los derivados de las obligaciones legales o reglamentarias de carácter ambiental, así como de las licencias, planes de manejo o de permisos y autorizaciones ambientales, incluyendo tasas retributivas y compensatorias, obligaciones de mitigación, tareas de monitoreo y control, entre otras.</w:t>
      </w:r>
    </w:p>
    <w:p w14:paraId="41A592AF" w14:textId="77777777" w:rsidR="00933CFF" w:rsidRPr="00AC032B" w:rsidRDefault="00933CFF" w:rsidP="00933CFF">
      <w:pPr>
        <w:ind w:left="709" w:right="760"/>
        <w:jc w:val="both"/>
        <w:rPr>
          <w:rFonts w:ascii="Verdana" w:hAnsi="Verdana" w:cs="Arial"/>
          <w:color w:val="000000" w:themeColor="text1"/>
          <w:sz w:val="20"/>
          <w:szCs w:val="20"/>
        </w:rPr>
      </w:pPr>
      <w:r w:rsidRPr="00AC032B">
        <w:rPr>
          <w:rFonts w:ascii="Verdana" w:hAnsi="Verdana" w:cs="Arial"/>
          <w:color w:val="000000" w:themeColor="text1"/>
          <w:sz w:val="20"/>
          <w:szCs w:val="20"/>
        </w:rPr>
        <w:t>Riesgos Tecnológicos: son los derivados de fallas en los sistemas de comunicación de voz y de datos, suspensión de servicios públicos, nuevos desarrollos tecnológicos o estándares que deben ser tenidos en cuenta para la ejecución del contrato, obsolescencia tecnológica. [Cursivas propias]</w:t>
      </w:r>
    </w:p>
    <w:p w14:paraId="7B8E15CE" w14:textId="77777777" w:rsidR="00933CFF" w:rsidRPr="00025914" w:rsidRDefault="00933CFF" w:rsidP="00933CFF">
      <w:pPr>
        <w:spacing w:line="276" w:lineRule="auto"/>
        <w:ind w:firstLine="709"/>
        <w:jc w:val="both"/>
        <w:rPr>
          <w:rFonts w:ascii="Verdana" w:hAnsi="Verdana" w:cs="Arial"/>
          <w:color w:val="000000" w:themeColor="text1"/>
        </w:rPr>
      </w:pPr>
      <w:r w:rsidRPr="00025914">
        <w:rPr>
          <w:rFonts w:ascii="Verdana" w:hAnsi="Verdana" w:cs="Arial"/>
          <w:color w:val="000000" w:themeColor="text1"/>
        </w:rPr>
        <w:t xml:space="preserve">Los riesgos asociados al contrato estatal, entonces, pueden estar coligados con los riesgos de las personas que van a ejecutar el contrato estatal como </w:t>
      </w:r>
      <w:r w:rsidRPr="00025914">
        <w:rPr>
          <w:rFonts w:ascii="Verdana" w:hAnsi="Verdana" w:cs="Arial"/>
          <w:i/>
          <w:iCs/>
          <w:color w:val="000000" w:themeColor="text1"/>
        </w:rPr>
        <w:t>riesgos operacionales</w:t>
      </w:r>
      <w:r w:rsidRPr="00025914">
        <w:rPr>
          <w:rFonts w:ascii="Verdana" w:hAnsi="Verdana" w:cs="Arial"/>
          <w:color w:val="000000" w:themeColor="text1"/>
        </w:rPr>
        <w:t>, a pesar de que son regulador por disposiciones de seguridad laboral. Muestra de la relación que tienen estos con los contratos estatales es que, en aplicación de lo dispuesto por el artículo 2.2.1.2.3.1.7. del Decreto 1082 de 2015, la entidad puede exigirle al contratista una póliza que ampare los riesgos asociados con prestaciones sociales e indemnizaciones laborales. También lo es la obligación de la entidad de verificar los pagos que hace el contratista, a título de aportes de sus contratistas</w:t>
      </w:r>
      <w:r w:rsidRPr="00025914">
        <w:rPr>
          <w:rStyle w:val="Refdenotaalpie"/>
          <w:rFonts w:ascii="Verdana" w:hAnsi="Verdana" w:cs="Arial"/>
          <w:color w:val="000000" w:themeColor="text1"/>
        </w:rPr>
        <w:footnoteReference w:id="15"/>
      </w:r>
      <w:r w:rsidRPr="00025914">
        <w:rPr>
          <w:rFonts w:ascii="Verdana" w:hAnsi="Verdana" w:cs="Arial"/>
          <w:color w:val="000000" w:themeColor="text1"/>
        </w:rPr>
        <w:t>.</w:t>
      </w:r>
    </w:p>
    <w:p w14:paraId="14E77ADF" w14:textId="77777777" w:rsidR="00933CFF" w:rsidRPr="00025914" w:rsidRDefault="00933CFF" w:rsidP="00933CFF">
      <w:pPr>
        <w:spacing w:before="120" w:line="276" w:lineRule="auto"/>
        <w:ind w:firstLine="709"/>
        <w:jc w:val="both"/>
        <w:rPr>
          <w:rFonts w:ascii="Verdana" w:hAnsi="Verdana" w:cs="Arial"/>
          <w:color w:val="000000" w:themeColor="text1"/>
        </w:rPr>
      </w:pPr>
      <w:r w:rsidRPr="00025914">
        <w:rPr>
          <w:rFonts w:ascii="Verdana" w:hAnsi="Verdana" w:cs="Arial"/>
          <w:color w:val="000000" w:themeColor="text1"/>
        </w:rPr>
        <w:t xml:space="preserve">Una vez los requisitos de habilitación son fijados por la entidad estatal, quienes presenten ofertas deben </w:t>
      </w:r>
      <w:r w:rsidRPr="00025914">
        <w:rPr>
          <w:rFonts w:ascii="Verdana" w:hAnsi="Verdana" w:cs="Arial"/>
          <w:bCs/>
          <w:i/>
          <w:iCs/>
          <w:color w:val="000000" w:themeColor="text1"/>
        </w:rPr>
        <w:t>acreditar</w:t>
      </w:r>
      <w:r w:rsidRPr="00025914">
        <w:rPr>
          <w:rFonts w:ascii="Verdana" w:hAnsi="Verdana" w:cs="Arial"/>
          <w:color w:val="000000" w:themeColor="text1"/>
        </w:rPr>
        <w:t xml:space="preserve"> que cumplen con los mismos, pues, en el evento contrario, las propuestas deberán ser rechazadas. Lo anterior, sin perjuicio de la posibilidad de </w:t>
      </w:r>
      <w:r w:rsidRPr="00025914">
        <w:rPr>
          <w:rFonts w:ascii="Verdana" w:hAnsi="Verdana" w:cs="Arial"/>
          <w:bCs/>
          <w:i/>
          <w:iCs/>
          <w:color w:val="000000" w:themeColor="text1"/>
        </w:rPr>
        <w:t>subsanar</w:t>
      </w:r>
      <w:r w:rsidRPr="00025914">
        <w:rPr>
          <w:rFonts w:ascii="Verdana" w:hAnsi="Verdana" w:cs="Arial"/>
          <w:color w:val="000000" w:themeColor="text1"/>
        </w:rPr>
        <w:t>, la cual desarrolla el artículo 5 de la Ley 1882 de 2018, que modificó el parágrafo 1º del artículo 5 de la Ley 1150 de 2007, en los siguientes términos:</w:t>
      </w:r>
    </w:p>
    <w:p w14:paraId="29A0AC03" w14:textId="77777777" w:rsidR="00933CFF" w:rsidRPr="00AC032B" w:rsidRDefault="00933CFF" w:rsidP="00933CFF">
      <w:pPr>
        <w:ind w:left="703" w:right="760"/>
        <w:jc w:val="both"/>
        <w:rPr>
          <w:rFonts w:ascii="Verdana" w:hAnsi="Verdana" w:cs="Arial"/>
          <w:color w:val="000000" w:themeColor="text1"/>
          <w:sz w:val="20"/>
          <w:szCs w:val="20"/>
        </w:rPr>
      </w:pPr>
      <w:r w:rsidRPr="00AC032B">
        <w:rPr>
          <w:rFonts w:ascii="Verdana" w:hAnsi="Verdana" w:cs="Arial"/>
          <w:color w:val="000000" w:themeColor="text1"/>
          <w:sz w:val="20"/>
          <w:szCs w:val="20"/>
        </w:rPr>
        <w:t xml:space="preserve">Artículo 5°. De la selección objetiva. </w:t>
      </w:r>
    </w:p>
    <w:p w14:paraId="13F3C197" w14:textId="77777777" w:rsidR="00933CFF" w:rsidRPr="00AC032B" w:rsidRDefault="00933CFF" w:rsidP="00933CFF">
      <w:pPr>
        <w:ind w:left="703" w:right="760"/>
        <w:jc w:val="both"/>
        <w:rPr>
          <w:rFonts w:ascii="Verdana" w:hAnsi="Verdana" w:cs="Arial"/>
          <w:color w:val="000000" w:themeColor="text1"/>
          <w:sz w:val="20"/>
          <w:szCs w:val="20"/>
        </w:rPr>
      </w:pPr>
      <w:r w:rsidRPr="00AC032B">
        <w:rPr>
          <w:rFonts w:ascii="Verdana" w:hAnsi="Verdana" w:cs="Arial"/>
          <w:color w:val="000000" w:themeColor="text1"/>
          <w:sz w:val="20"/>
          <w:szCs w:val="20"/>
        </w:rPr>
        <w:t xml:space="preserve">[... ] </w:t>
      </w:r>
    </w:p>
    <w:p w14:paraId="095670CF" w14:textId="77777777" w:rsidR="00933CFF" w:rsidRPr="00AC032B" w:rsidRDefault="00933CFF" w:rsidP="00933CFF">
      <w:pPr>
        <w:ind w:left="703" w:right="760"/>
        <w:jc w:val="both"/>
        <w:rPr>
          <w:rFonts w:ascii="Verdana" w:hAnsi="Verdana" w:cs="Arial"/>
          <w:color w:val="000000" w:themeColor="text1"/>
          <w:sz w:val="20"/>
          <w:szCs w:val="20"/>
        </w:rPr>
      </w:pPr>
      <w:r w:rsidRPr="00AC032B">
        <w:rPr>
          <w:rFonts w:ascii="Verdana" w:hAnsi="Verdana" w:cs="Arial"/>
          <w:color w:val="000000" w:themeColor="text1"/>
          <w:sz w:val="20"/>
          <w:szCs w:val="20"/>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w:t>
      </w:r>
      <w:r w:rsidRPr="00AC032B">
        <w:rPr>
          <w:rFonts w:ascii="Verdana" w:hAnsi="Verdana" w:cs="Arial"/>
          <w:color w:val="000000" w:themeColor="text1"/>
          <w:sz w:val="20"/>
          <w:szCs w:val="20"/>
        </w:rPr>
        <w:lastRenderedPageBreak/>
        <w:t xml:space="preserve">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2FDD6461" w14:textId="2C1B8E97" w:rsidR="00933CFF" w:rsidRPr="00025914" w:rsidRDefault="00933CFF" w:rsidP="00933CFF">
      <w:pPr>
        <w:spacing w:line="276" w:lineRule="auto"/>
        <w:ind w:firstLine="709"/>
        <w:jc w:val="both"/>
        <w:rPr>
          <w:rFonts w:ascii="Verdana" w:eastAsia="Calibri" w:hAnsi="Verdana" w:cs="Arial"/>
          <w:color w:val="000000" w:themeColor="text1"/>
        </w:rPr>
      </w:pPr>
      <w:r w:rsidRPr="00025914">
        <w:rPr>
          <w:rFonts w:ascii="Verdana" w:hAnsi="Verdana" w:cs="Arial"/>
          <w:color w:val="000000" w:themeColor="text1"/>
        </w:rPr>
        <w:t xml:space="preserve">Esta norma, por un lado, mantiene el criterio de la Ley 80 de 1993, relativo a que todo lo que no sea necesario para la comparación de propuestas no es título suficiente para su rechazo y, por el otro, mantiene el criterio aclaratorio de la Ley 1150 de 2007, según el cual todo lo que no afecte la asignación de puntaje puede subsanarse. También introduce modificaciones en relación con: i) el ámbito temporal para ejercer la facultad de subsanar la oferta; ii) </w:t>
      </w:r>
      <w:r w:rsidRPr="00025914">
        <w:rPr>
          <w:rFonts w:ascii="Verdana" w:eastAsia="Calibri" w:hAnsi="Verdana" w:cs="Arial"/>
          <w:color w:val="000000" w:themeColor="text1"/>
        </w:rPr>
        <w:t xml:space="preserve">la introducción de un criterio material, directamente relacionado con los aspectos subsanables: </w:t>
      </w:r>
      <w:r>
        <w:rPr>
          <w:rFonts w:ascii="Verdana" w:eastAsia="Calibri" w:hAnsi="Verdana" w:cs="Arial"/>
          <w:color w:val="000000" w:themeColor="text1"/>
        </w:rPr>
        <w:t>“</w:t>
      </w:r>
      <w:r w:rsidRPr="00025914">
        <w:rPr>
          <w:rFonts w:ascii="Verdana" w:hAnsi="Verdana" w:cs="Arial"/>
          <w:i/>
          <w:color w:val="000000" w:themeColor="text1"/>
        </w:rPr>
        <w:t>los proponentes no podrán acreditar circunstancias ocurridas con posterioridad al cierre del proceso</w:t>
      </w:r>
      <w:r w:rsidR="00AC032B">
        <w:rPr>
          <w:rFonts w:ascii="Verdana" w:hAnsi="Verdana" w:cs="Arial"/>
          <w:color w:val="000000" w:themeColor="text1"/>
        </w:rPr>
        <w:t>”</w:t>
      </w:r>
      <w:r w:rsidRPr="00025914">
        <w:rPr>
          <w:rFonts w:ascii="Verdana" w:hAnsi="Verdana" w:cs="Arial"/>
          <w:color w:val="000000" w:themeColor="text1"/>
        </w:rPr>
        <w:t xml:space="preserve">; y iii) la determinación </w:t>
      </w:r>
      <w:r w:rsidRPr="00025914">
        <w:rPr>
          <w:rFonts w:ascii="Verdana" w:eastAsia="Calibri" w:hAnsi="Verdana" w:cs="Arial"/>
          <w:color w:val="000000" w:themeColor="text1"/>
        </w:rPr>
        <w:t xml:space="preserve">expresa de que </w:t>
      </w:r>
      <w:r>
        <w:rPr>
          <w:rFonts w:ascii="Verdana" w:eastAsia="Calibri" w:hAnsi="Verdana" w:cs="Arial"/>
          <w:color w:val="000000" w:themeColor="text1"/>
        </w:rPr>
        <w:t>“</w:t>
      </w:r>
      <w:r w:rsidRPr="00025914">
        <w:rPr>
          <w:rFonts w:ascii="Verdana" w:eastAsia="Calibri" w:hAnsi="Verdana" w:cs="Arial"/>
          <w:color w:val="000000" w:themeColor="text1"/>
        </w:rPr>
        <w:t>la no entrega de la garantía de seriedad junto con la propuesta no será subsanable y será causal de rechazo de la misma</w:t>
      </w:r>
      <w:r w:rsidR="00AC032B">
        <w:rPr>
          <w:rFonts w:ascii="Verdana" w:eastAsia="Calibri" w:hAnsi="Verdana" w:cs="Arial"/>
          <w:color w:val="000000" w:themeColor="text1"/>
        </w:rPr>
        <w:t>”</w:t>
      </w:r>
      <w:r w:rsidRPr="00025914">
        <w:rPr>
          <w:rFonts w:ascii="Verdana" w:eastAsia="Calibri" w:hAnsi="Verdana" w:cs="Arial"/>
          <w:color w:val="000000" w:themeColor="text1"/>
        </w:rPr>
        <w:t>, dejando claro que se trata de un documento de obligatoria presentación junto con la propuesta y que materializa los principios de seriedad e irrevocabilidad de la oferta.</w:t>
      </w:r>
    </w:p>
    <w:p w14:paraId="5B60A8D7" w14:textId="77777777" w:rsidR="00933CFF" w:rsidRPr="00025914" w:rsidRDefault="00933CFF" w:rsidP="00933CFF">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Como conclusión de lo anterior, puede decirse que aunque la Ley 1150 de 2007 estableció unos requisitos habilitantes para los proponentes: la capacidad jurídica, las condiciones de experiencia, la capacidad financiera y la capacidad de organización, lo cierto es que los mismos no son taxativos; que los requisitos habilitantes deben ser establecidos por la entidad en cada proceso contractual de acuerdo con los parámetros fijados en el Decreto 1082 de 2015; y que una vez los requisitos de habilitación son fijados, quienes presenten ofertas deben acreditar que cumplen con ellos, so pena de que sus propuestas sean rechazadas, claro está, sin perjuicio de la posibilidad de subsanarlas. Todo, dentro de los parámetros explicados en las consideraciones anteriores.</w:t>
      </w:r>
    </w:p>
    <w:p w14:paraId="263A2483" w14:textId="249425E0" w:rsidR="00933CFF" w:rsidRPr="00025914" w:rsidRDefault="00933CFF" w:rsidP="00933CFF">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 xml:space="preserve">Lo dicho, claro está, sin perjuicio de las prohibiciones legales. Por ejemplo, en el caso de los requisitos habilitantes, el artículo 5, parágrafo 2, de la Ley 1150 de 2007 establece que las </w:t>
      </w:r>
      <w:r>
        <w:rPr>
          <w:rFonts w:ascii="Verdana" w:eastAsia="Calibri" w:hAnsi="Verdana" w:cs="Arial"/>
          <w:color w:val="000000" w:themeColor="text1"/>
        </w:rPr>
        <w:t>“</w:t>
      </w:r>
      <w:r w:rsidRPr="00025914">
        <w:rPr>
          <w:rFonts w:ascii="Verdana" w:eastAsia="Calibri" w:hAnsi="Verdana" w:cs="Arial"/>
          <w:color w:val="000000" w:themeColor="text1"/>
        </w:rPr>
        <w:t xml:space="preserve">certificaciones de sistemas de gestión de calidad no serán objeto de calificación, ni podrán establecerse como documento habilitante </w:t>
      </w:r>
      <w:r w:rsidRPr="00025914">
        <w:rPr>
          <w:rFonts w:ascii="Verdana" w:eastAsia="Calibri" w:hAnsi="Verdana" w:cs="Arial"/>
          <w:color w:val="000000" w:themeColor="text1"/>
        </w:rPr>
        <w:lastRenderedPageBreak/>
        <w:t>para participar en licitaciones o concursos</w:t>
      </w:r>
      <w:r w:rsidR="00AC032B">
        <w:rPr>
          <w:rFonts w:ascii="Verdana" w:eastAsia="Calibri" w:hAnsi="Verdana" w:cs="Arial"/>
          <w:color w:val="000000" w:themeColor="text1"/>
        </w:rPr>
        <w:t>”</w:t>
      </w:r>
      <w:r w:rsidRPr="00025914">
        <w:rPr>
          <w:rFonts w:ascii="Verdana" w:eastAsia="Calibri" w:hAnsi="Verdana" w:cs="Arial"/>
          <w:color w:val="000000" w:themeColor="text1"/>
        </w:rPr>
        <w:t xml:space="preserve">. Es del caso precisar que, a juicio de la Agencia Nacional de Contratación Pública, tal prohibición no se restringe a la exigencia de la certificación o el documento como tal, sino que debe entenderse en relación con la implementación de un sistema de gestión de calidad en sí mismo. En ese sentido, lo que prohíbe el legislador es que la entidad les exija a los proponentes, a título de requisito habilitante o calificable, la implementación de un sistema de gestión de calidad. Ese es el efecto útil de la norma </w:t>
      </w:r>
      <w:r w:rsidRPr="00025914">
        <w:rPr>
          <w:rFonts w:ascii="Verdana" w:eastAsia="Calibri" w:hAnsi="Verdana" w:cs="Arial"/>
          <w:i/>
          <w:iCs/>
          <w:color w:val="000000" w:themeColor="text1"/>
        </w:rPr>
        <w:t>sub examine</w:t>
      </w:r>
      <w:r w:rsidRPr="00025914">
        <w:rPr>
          <w:rFonts w:ascii="Verdana" w:eastAsia="Calibri" w:hAnsi="Verdana" w:cs="Arial"/>
          <w:color w:val="000000" w:themeColor="text1"/>
        </w:rPr>
        <w:t>, pues, aceptar una lectura exegética del parágrafo, implicaría asumir que una entidad está autorizada para exigir como requisito habilitante el cumplimiento de normas que hacen parte de sistemas de gestión de la calidad, verbi gracia ISO o ICONTEC, entre otras, sin pedir expresamente el documento o certificado que se expide al verificar estos estándares de calidad, lo cual, por un lado, le resta efectos prácticos a la prohibición establecida por el legislador y, por el otro, desconoce la finalidad perseguida por la norma.</w:t>
      </w:r>
    </w:p>
    <w:p w14:paraId="1F97785A" w14:textId="0ECF9A2D" w:rsidR="00933CFF" w:rsidRPr="00025914" w:rsidRDefault="00933CFF" w:rsidP="00933CFF">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 xml:space="preserve">Lo dicho antes no quiere decir que, durante la ejecución del contrato estatal, la entidad no pueda y deba supervisar el cumplimiento de unos estándares mínimos de calidad que exige la ley en algunos eventos específicos y determinados, como es el caso de los estándares mínimos del Sistema de Gestión de la Seguridad y Salud en el Trabajo </w:t>
      </w:r>
      <w:r>
        <w:rPr>
          <w:rFonts w:ascii="Verdana" w:eastAsia="Calibri" w:hAnsi="Verdana" w:cs="Arial"/>
          <w:color w:val="000000" w:themeColor="text1"/>
        </w:rPr>
        <w:t>“</w:t>
      </w:r>
      <w:r w:rsidRPr="00025914">
        <w:rPr>
          <w:rFonts w:ascii="Verdana" w:eastAsia="Calibri" w:hAnsi="Verdana" w:cs="Arial"/>
          <w:color w:val="000000" w:themeColor="text1"/>
        </w:rPr>
        <w:t>SG-SST</w:t>
      </w:r>
      <w:r w:rsidR="00AC032B">
        <w:rPr>
          <w:rFonts w:ascii="Verdana" w:eastAsia="Calibri" w:hAnsi="Verdana" w:cs="Arial"/>
          <w:color w:val="000000" w:themeColor="text1"/>
        </w:rPr>
        <w:t>”</w:t>
      </w:r>
      <w:r w:rsidRPr="00025914">
        <w:rPr>
          <w:rFonts w:ascii="Verdana" w:eastAsia="Calibri" w:hAnsi="Verdana" w:cs="Arial"/>
          <w:color w:val="000000" w:themeColor="text1"/>
        </w:rPr>
        <w:t>, reglamentados por medio de la Resolución 0312 del 13 de febrero de 2019, expedida por el Ministerio del Trabajo. En efecto, los artículos 3, 9, 16 y 20 de esa resolución establecen exigencias mínimas que deberán cumplir las empresas, empleadores y contratantes a los que se refiere el artículo 2 de dicho acto administrativo.</w:t>
      </w:r>
    </w:p>
    <w:p w14:paraId="52615192" w14:textId="41D15108" w:rsidR="00E41707" w:rsidRDefault="00E41707" w:rsidP="00E41707">
      <w:pPr>
        <w:spacing w:after="120" w:line="276" w:lineRule="auto"/>
        <w:jc w:val="both"/>
        <w:rPr>
          <w:rFonts w:ascii="Verdana" w:hAnsi="Verdana" w:cs="Arial"/>
          <w:color w:val="000000" w:themeColor="text1"/>
          <w:lang w:val="es-ES_tradnl"/>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18102CB6" w14:textId="77777777" w:rsidR="00E41707" w:rsidRDefault="00E41707" w:rsidP="00E41707">
      <w:pPr>
        <w:spacing w:after="120" w:line="276" w:lineRule="auto"/>
        <w:jc w:val="both"/>
        <w:rPr>
          <w:rFonts w:ascii="Verdana" w:hAnsi="Verdana" w:cs="Arial"/>
          <w:color w:val="000000" w:themeColor="text1"/>
          <w:lang w:val="es-ES_tradnl"/>
        </w:rPr>
      </w:pPr>
    </w:p>
    <w:p w14:paraId="3C1B09FA" w14:textId="57710401" w:rsidR="00A64017" w:rsidRPr="0060676F" w:rsidRDefault="00A64017" w:rsidP="00E41707">
      <w:pPr>
        <w:spacing w:after="120" w:line="276" w:lineRule="auto"/>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745A8C4A" w14:textId="77777777" w:rsidR="00A64017" w:rsidRPr="00593A5F" w:rsidRDefault="00A64017" w:rsidP="00A6401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64017" w:rsidRPr="00593A5F" w14:paraId="1DC30723" w14:textId="77777777" w:rsidTr="00A15B1F">
        <w:trPr>
          <w:trHeight w:val="870"/>
        </w:trPr>
        <w:tc>
          <w:tcPr>
            <w:tcW w:w="8647" w:type="dxa"/>
          </w:tcPr>
          <w:p w14:paraId="2A57F92F" w14:textId="32E45D94" w:rsidR="00B13ACF" w:rsidRPr="00025914" w:rsidRDefault="00B13ACF" w:rsidP="00B13ACF">
            <w:pPr>
              <w:pStyle w:val="Prrafodelista"/>
              <w:numPr>
                <w:ilvl w:val="0"/>
                <w:numId w:val="38"/>
              </w:numPr>
              <w:spacing w:after="120" w:line="276" w:lineRule="auto"/>
              <w:ind w:right="709"/>
              <w:jc w:val="both"/>
              <w:rPr>
                <w:rFonts w:ascii="Verdana" w:hAnsi="Verdana" w:cs="Arial"/>
                <w:noProof/>
                <w:lang w:val="es-ES_tradnl"/>
              </w:rPr>
            </w:pPr>
            <w:r w:rsidRPr="00025914">
              <w:rPr>
                <w:rFonts w:ascii="Verdana" w:eastAsia="Calibri" w:hAnsi="Verdana" w:cs="Arial"/>
                <w:bCs/>
                <w:lang w:val="es-MX"/>
              </w:rPr>
              <w:lastRenderedPageBreak/>
              <w:t xml:space="preserve">Artículo 5 de la </w:t>
            </w:r>
            <w:r w:rsidRPr="00025914">
              <w:rPr>
                <w:rFonts w:ascii="Verdana" w:eastAsia="Calibri" w:hAnsi="Verdana" w:cs="Arial"/>
                <w:color w:val="000000"/>
                <w:lang w:val="es-ES_tradnl"/>
              </w:rPr>
              <w:t xml:space="preserve">Ley 1150 de 2007 </w:t>
            </w:r>
          </w:p>
          <w:p w14:paraId="0BFF428A" w14:textId="26214838" w:rsidR="00B13ACF" w:rsidRPr="00025914" w:rsidRDefault="00B13ACF" w:rsidP="00B13ACF">
            <w:pPr>
              <w:pStyle w:val="Prrafodelista"/>
              <w:numPr>
                <w:ilvl w:val="0"/>
                <w:numId w:val="38"/>
              </w:numPr>
              <w:spacing w:before="120" w:line="276" w:lineRule="auto"/>
              <w:ind w:right="113"/>
              <w:jc w:val="both"/>
              <w:rPr>
                <w:rFonts w:ascii="Verdana" w:hAnsi="Verdana" w:cs="Arial"/>
                <w:lang w:eastAsia="es-CO"/>
              </w:rPr>
            </w:pPr>
            <w:r w:rsidRPr="00025914">
              <w:rPr>
                <w:rFonts w:ascii="Verdana" w:hAnsi="Verdana" w:cs="Arial"/>
                <w:bCs/>
                <w:lang w:eastAsia="es-MX"/>
              </w:rPr>
              <w:t xml:space="preserve">Artículo </w:t>
            </w:r>
            <w:r w:rsidRPr="00025914">
              <w:rPr>
                <w:rStyle w:val="normaltextrun"/>
                <w:rFonts w:ascii="Verdana" w:hAnsi="Verdana" w:cs="Arial"/>
                <w:color w:val="000000" w:themeColor="text1"/>
              </w:rPr>
              <w:t xml:space="preserve">2.2.1.1.1.6.2. </w:t>
            </w:r>
            <w:r w:rsidRPr="00025914">
              <w:rPr>
                <w:rFonts w:ascii="Verdana" w:hAnsi="Verdana" w:cs="Arial"/>
                <w:lang w:eastAsia="es-CO"/>
              </w:rPr>
              <w:t xml:space="preserve">del Decreto 1082 de 2015. </w:t>
            </w:r>
          </w:p>
          <w:p w14:paraId="5AA86007" w14:textId="33BF934E" w:rsidR="00B13ACF" w:rsidRPr="00025914" w:rsidRDefault="00B13ACF" w:rsidP="00B13ACF">
            <w:pPr>
              <w:pStyle w:val="Prrafodelista"/>
              <w:numPr>
                <w:ilvl w:val="0"/>
                <w:numId w:val="38"/>
              </w:numPr>
              <w:spacing w:after="120" w:line="276" w:lineRule="auto"/>
              <w:ind w:right="709"/>
              <w:jc w:val="both"/>
              <w:rPr>
                <w:rFonts w:ascii="Verdana" w:eastAsia="Calibri" w:hAnsi="Verdana" w:cs="Arial"/>
                <w:bCs/>
                <w:color w:val="000000" w:themeColor="text1"/>
                <w:lang w:val="es-ES_tradnl"/>
              </w:rPr>
            </w:pPr>
            <w:r w:rsidRPr="00025914">
              <w:rPr>
                <w:rFonts w:ascii="Verdana" w:hAnsi="Verdana" w:cs="Arial"/>
                <w:color w:val="000000" w:themeColor="text1"/>
              </w:rPr>
              <w:t>Manual para determinar y verificar los requisitos habilitantes en los Procesos de Contratación</w:t>
            </w:r>
            <w:r w:rsidRPr="00025914">
              <w:rPr>
                <w:rFonts w:ascii="Verdana" w:hAnsi="Verdana" w:cs="Arial"/>
                <w:noProof/>
                <w:lang w:val="es-ES_tradnl"/>
              </w:rPr>
              <w:t xml:space="preserve">, disponible en: </w:t>
            </w:r>
            <w:hyperlink r:id="rId13" w:history="1">
              <w:r w:rsidRPr="00F20009">
                <w:rPr>
                  <w:rStyle w:val="Hipervnculo"/>
                  <w:rFonts w:ascii="Verdana" w:hAnsi="Verdana" w:cs="Arial"/>
                  <w:noProof/>
                  <w:lang w:val="es-ES_tradnl"/>
                </w:rPr>
                <w:t>https://www.colombiacompra.gov.co/sites/cce_public/files/cce_documents/cce-eicp-ma-04._manual_requisitos_habilitantes_v3_29-09-2023.pdf</w:t>
              </w:r>
            </w:hyperlink>
            <w:r>
              <w:rPr>
                <w:rFonts w:ascii="Verdana" w:hAnsi="Verdana" w:cs="Arial"/>
                <w:noProof/>
                <w:lang w:val="es-ES_tradnl"/>
              </w:rPr>
              <w:t xml:space="preserve"> </w:t>
            </w:r>
          </w:p>
          <w:p w14:paraId="2F09E9B8" w14:textId="0878D9B8" w:rsidR="00B13ACF" w:rsidRPr="0003480F" w:rsidRDefault="00B13ACF" w:rsidP="00B13ACF">
            <w:pPr>
              <w:widowControl w:val="0"/>
              <w:numPr>
                <w:ilvl w:val="0"/>
                <w:numId w:val="38"/>
              </w:numPr>
              <w:autoSpaceDE w:val="0"/>
              <w:autoSpaceDN w:val="0"/>
              <w:spacing w:line="276" w:lineRule="auto"/>
              <w:jc w:val="both"/>
              <w:rPr>
                <w:rFonts w:ascii="Verdana" w:hAnsi="Verdana" w:cs="Arial"/>
                <w:color w:val="000000" w:themeColor="text1"/>
              </w:rPr>
            </w:pPr>
            <w:r w:rsidRPr="00025914">
              <w:rPr>
                <w:rFonts w:ascii="Verdana" w:hAnsi="Verdana" w:cs="Arial"/>
              </w:rPr>
              <w:t>Jurisprudencia del Consejo de Estado, Sala de Consulta y Servicio Civil. Concepto del 20 de mayo de 2010. Expediente. C.P. Enrique José Arboleda Perdomo.</w:t>
            </w:r>
            <w:r w:rsidRPr="00025914">
              <w:rPr>
                <w:rFonts w:ascii="Verdana" w:hAnsi="Verdana" w:cs="Arial"/>
                <w:noProof/>
                <w:lang w:val="es-ES_tradnl"/>
              </w:rPr>
              <w:t xml:space="preserve">, disponible </w:t>
            </w:r>
            <w:r w:rsidRPr="00025914">
              <w:rPr>
                <w:rFonts w:ascii="Verdana" w:hAnsi="Verdana" w:cs="Arial"/>
              </w:rPr>
              <w:t xml:space="preserve">en: </w:t>
            </w:r>
            <w:r w:rsidRPr="00025914">
              <w:rPr>
                <w:rFonts w:ascii="Verdana" w:hAnsi="Verdana" w:cs="Arial"/>
                <w:noProof/>
                <w:lang w:val="es-ES_tradnl"/>
              </w:rPr>
              <w:t xml:space="preserve"> </w:t>
            </w:r>
            <w:hyperlink r:id="rId14" w:history="1">
              <w:r w:rsidRPr="00025914">
                <w:rPr>
                  <w:rStyle w:val="Hipervnculo"/>
                  <w:rFonts w:ascii="Verdana" w:hAnsi="Verdana" w:cs="Arial"/>
                  <w:noProof/>
                  <w:lang w:val="es-ES_tradnl"/>
                </w:rPr>
                <w:t>https://relatoria.colombiacompra.gov.co/providencias-consejo-de-estado/</w:t>
              </w:r>
            </w:hyperlink>
          </w:p>
          <w:p w14:paraId="60CC6EC9" w14:textId="424A66DA" w:rsidR="00CC5B4B" w:rsidRPr="0003480F" w:rsidRDefault="00CC5B4B" w:rsidP="00943E42">
            <w:pPr>
              <w:widowControl w:val="0"/>
              <w:autoSpaceDE w:val="0"/>
              <w:autoSpaceDN w:val="0"/>
              <w:spacing w:after="120" w:line="276" w:lineRule="auto"/>
              <w:ind w:left="720"/>
              <w:jc w:val="both"/>
              <w:rPr>
                <w:rFonts w:ascii="Verdana" w:hAnsi="Verdana" w:cs="Arial"/>
                <w:color w:val="000000" w:themeColor="text1"/>
              </w:rPr>
            </w:pPr>
          </w:p>
        </w:tc>
      </w:tr>
    </w:tbl>
    <w:p w14:paraId="5DF595B1" w14:textId="77777777" w:rsidR="00A64017"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17C882F" w14:textId="77777777" w:rsidR="00A64017" w:rsidRDefault="00A64017" w:rsidP="00A64017">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1814799"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8EF2F7F" w14:textId="77777777" w:rsidR="008A217A" w:rsidRPr="00FA4CEE" w:rsidRDefault="008A217A" w:rsidP="008A217A">
      <w:pPr>
        <w:widowControl w:val="0"/>
        <w:autoSpaceDE w:val="0"/>
        <w:autoSpaceDN w:val="0"/>
        <w:spacing w:after="120" w:line="276" w:lineRule="auto"/>
        <w:jc w:val="both"/>
        <w:rPr>
          <w:rFonts w:ascii="Verdana" w:eastAsia="Calibri" w:hAnsi="Verdana" w:cs="Arial"/>
          <w:lang w:val="es-ES" w:eastAsia="es-ES_tradnl"/>
        </w:rPr>
      </w:pPr>
      <w:r w:rsidRPr="00FA4CEE">
        <w:rPr>
          <w:rFonts w:ascii="Verdana" w:hAnsi="Verdana" w:cs="Arial"/>
          <w:bCs/>
          <w:shd w:val="clear" w:color="auto" w:fill="FFFFFF"/>
        </w:rPr>
        <w:t xml:space="preserve">La Agencia Nacional de Contratación Pública – Colombia Compra Eficiente ha expedido </w:t>
      </w:r>
      <w:r w:rsidRPr="00FA4CEE">
        <w:rPr>
          <w:rFonts w:ascii="Verdana" w:eastAsia="Calibri" w:hAnsi="Verdana" w:cs="Arial"/>
          <w:lang w:val="es-ES_tradnl"/>
        </w:rPr>
        <w:t>conceptos sobre requisitos habilitantes y los códigos CIIU, tales como: C-296 del 26 de marzo de 2025, C- 187 del 25 de marzo de 2025, C-662 del 29 de enero de 2025, C- 337 del 18 de agosto de 2023, C-397 del 7 de mayo de 2025, C-926 del 18 de agosto de 2025</w:t>
      </w:r>
      <w:r>
        <w:rPr>
          <w:rFonts w:ascii="Verdana" w:eastAsia="Calibri" w:hAnsi="Verdana" w:cs="Arial"/>
          <w:lang w:val="es-ES_tradnl"/>
        </w:rPr>
        <w:t>, C-1014 del 1 de septiembre de 2025,</w:t>
      </w:r>
      <w:r w:rsidRPr="00FA4CEE">
        <w:rPr>
          <w:rFonts w:ascii="Verdana" w:eastAsia="Calibri" w:hAnsi="Verdana" w:cs="Arial"/>
          <w:lang w:val="es-ES_tradnl"/>
        </w:rPr>
        <w:t xml:space="preserve"> entre otros</w:t>
      </w:r>
      <w:r w:rsidRPr="00FA4CEE">
        <w:rPr>
          <w:rFonts w:ascii="Verdana" w:eastAsia="Calibri" w:hAnsi="Verdana" w:cs="Arial"/>
          <w:lang w:val="es-ES" w:eastAsia="es-ES_tradnl"/>
        </w:rPr>
        <w:t xml:space="preserve">. </w:t>
      </w:r>
      <w:r w:rsidRPr="00FA4CEE">
        <w:rPr>
          <w:rFonts w:ascii="Verdana" w:hAnsi="Verdana" w:cs="Arial"/>
          <w:shd w:val="clear" w:color="auto" w:fill="FFFFFF"/>
        </w:rPr>
        <w:t>Es</w:t>
      </w:r>
      <w:r w:rsidRPr="00FA4CEE">
        <w:rPr>
          <w:rFonts w:ascii="Verdana" w:hAnsi="Verdana"/>
        </w:rPr>
        <w:t>tos conceptos se encuentran disponibles para consulta en el Sistema de relatoría de la Agencia, al cual se puede acceder a través del siguiente enlace:</w:t>
      </w:r>
      <w:r w:rsidRPr="00FA4CEE">
        <w:rPr>
          <w:rFonts w:ascii="Verdana" w:hAnsi="Verdana" w:cs="Arial"/>
          <w:shd w:val="clear" w:color="auto" w:fill="FFFFFF"/>
        </w:rPr>
        <w:t xml:space="preserve"> </w:t>
      </w:r>
      <w:hyperlink r:id="rId15" w:history="1">
        <w:r w:rsidRPr="00FA4CEE">
          <w:rPr>
            <w:rFonts w:ascii="Verdana" w:hAnsi="Verdana" w:cs="Arial"/>
            <w:color w:val="0000FF"/>
            <w:u w:val="single"/>
            <w:shd w:val="clear" w:color="auto" w:fill="FFFFFF"/>
          </w:rPr>
          <w:t>https://relatoria.colombiacompra.gov.co/</w:t>
        </w:r>
      </w:hyperlink>
      <w:r w:rsidRPr="00FA4CEE">
        <w:rPr>
          <w:rFonts w:ascii="Verdana" w:hAnsi="Verdana" w:cs="Arial"/>
          <w:shd w:val="clear" w:color="auto" w:fill="FFFFFF"/>
        </w:rPr>
        <w:t xml:space="preserve"> </w:t>
      </w:r>
    </w:p>
    <w:p w14:paraId="27A467DD" w14:textId="5782F1D9" w:rsidR="00A64017" w:rsidRPr="00AE7E03" w:rsidRDefault="00943E42" w:rsidP="00A64017">
      <w:pPr>
        <w:widowControl w:val="0"/>
        <w:autoSpaceDE w:val="0"/>
        <w:autoSpaceDN w:val="0"/>
        <w:spacing w:after="0" w:line="276" w:lineRule="auto"/>
        <w:jc w:val="both"/>
        <w:rPr>
          <w:rFonts w:ascii="Verdana" w:eastAsia="Arial" w:hAnsi="Verdana" w:cs="Arial"/>
          <w:lang w:val="es-MX" w:eastAsia="es-ES"/>
        </w:rPr>
      </w:pPr>
      <w:r>
        <w:rPr>
          <w:rFonts w:ascii="Verdana" w:hAnsi="Verdana" w:cs="Arial"/>
          <w:shd w:val="clear" w:color="auto" w:fill="FFFFFF"/>
        </w:rPr>
        <w:t xml:space="preserve">, </w:t>
      </w:r>
      <w:r>
        <w:rPr>
          <w:rFonts w:ascii="Verdana" w:eastAsia="Aptos" w:hAnsi="Verdana" w:cs="Arial"/>
          <w:shd w:val="clear" w:color="auto" w:fill="FFFFFF"/>
          <w:lang w:val="es-ES"/>
        </w:rPr>
        <w:t>e</w:t>
      </w:r>
      <w:r w:rsidRPr="00406AA6">
        <w:rPr>
          <w:rFonts w:ascii="Verdana" w:eastAsia="Aptos" w:hAnsi="Verdana" w:cs="Arial"/>
          <w:shd w:val="clear" w:color="auto" w:fill="FFFFFF"/>
          <w:lang w:val="es-ES"/>
        </w:rPr>
        <w:t>ntre otros</w:t>
      </w:r>
      <w:r w:rsidR="008F7110">
        <w:rPr>
          <w:rFonts w:ascii="Verdana" w:eastAsia="Calibri" w:hAnsi="Verdana" w:cs="Arial"/>
          <w:lang w:val="es-ES" w:eastAsia="es-ES_tradnl"/>
        </w:rPr>
        <w:t>;</w:t>
      </w:r>
      <w:r w:rsidR="009A5D6C">
        <w:rPr>
          <w:rFonts w:ascii="Verdana" w:hAnsi="Verdana" w:cs="Arial"/>
          <w:shd w:val="clear" w:color="auto" w:fill="FFFFFF"/>
        </w:rPr>
        <w:t xml:space="preserve">. </w:t>
      </w:r>
      <w:r w:rsidR="00A64017" w:rsidRPr="009A5D6C">
        <w:rPr>
          <w:rFonts w:ascii="Verdana" w:eastAsia="Calibri" w:hAnsi="Verdana" w:cs="Times New Roman"/>
        </w:rPr>
        <w:t>Estos se encuentran</w:t>
      </w:r>
      <w:r w:rsidR="00A64017"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931545C" w14:textId="77777777" w:rsidR="00A64017" w:rsidRPr="0065720B" w:rsidRDefault="00A64017" w:rsidP="00A64017">
      <w:pPr>
        <w:widowControl w:val="0"/>
        <w:autoSpaceDE w:val="0"/>
        <w:autoSpaceDN w:val="0"/>
        <w:spacing w:after="0" w:line="276" w:lineRule="auto"/>
        <w:jc w:val="both"/>
        <w:rPr>
          <w:rStyle w:val="normaltextrun"/>
          <w:rFonts w:ascii="Verdana" w:eastAsia="Calibri" w:hAnsi="Verdana" w:cs="Arial"/>
          <w:lang w:val="es-ES_tradnl" w:eastAsia="en-GB"/>
        </w:rPr>
      </w:pPr>
      <w:hyperlink r:id="rId16"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247E4DC7" w14:textId="77777777" w:rsidR="00A64017" w:rsidRPr="00505CD6" w:rsidRDefault="00A64017" w:rsidP="00A64017">
      <w:pPr>
        <w:widowControl w:val="0"/>
        <w:autoSpaceDE w:val="0"/>
        <w:autoSpaceDN w:val="0"/>
        <w:spacing w:after="0" w:line="276" w:lineRule="auto"/>
        <w:jc w:val="both"/>
        <w:rPr>
          <w:rFonts w:ascii="Verdana" w:hAnsi="Verdana" w:cs="Arial"/>
          <w:color w:val="000000" w:themeColor="text1"/>
          <w:shd w:val="clear" w:color="auto" w:fill="FFFFFF"/>
        </w:rPr>
      </w:pPr>
    </w:p>
    <w:p w14:paraId="1C7A848A" w14:textId="77777777" w:rsidR="00A64017" w:rsidRPr="00103B90" w:rsidRDefault="00A64017" w:rsidP="00A64017">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 xml:space="preserve">Guía de Contratación Pública Sostenible y Socialmente </w:t>
        </w:r>
        <w:r w:rsidRPr="00505CD6">
          <w:rPr>
            <w:rFonts w:ascii="Verdana" w:hAnsi="Verdana" w:cs="Arial"/>
            <w:color w:val="0563C1" w:themeColor="hyperlink"/>
            <w:u w:val="single"/>
            <w:shd w:val="clear" w:color="auto" w:fill="FFFFFF"/>
          </w:rPr>
          <w:lastRenderedPageBreak/>
          <w:t>Responsable | Colombia Compra Eficiente | Agencia Nacional de Contratación Pública</w:t>
        </w:r>
      </w:hyperlink>
      <w:r w:rsidRPr="00103B90">
        <w:rPr>
          <w:rFonts w:ascii="Verdana" w:hAnsi="Verdana"/>
        </w:rPr>
        <w:t>.</w:t>
      </w:r>
    </w:p>
    <w:p w14:paraId="233B7348" w14:textId="77777777" w:rsidR="00A64017" w:rsidRPr="00103B90" w:rsidRDefault="00A64017" w:rsidP="00A64017">
      <w:pPr>
        <w:widowControl w:val="0"/>
        <w:autoSpaceDE w:val="0"/>
        <w:autoSpaceDN w:val="0"/>
        <w:spacing w:after="0" w:line="276" w:lineRule="auto"/>
        <w:jc w:val="both"/>
        <w:rPr>
          <w:rFonts w:ascii="Verdana" w:hAnsi="Verdana"/>
        </w:rPr>
      </w:pPr>
    </w:p>
    <w:p w14:paraId="3AC26022" w14:textId="77777777" w:rsidR="00A64017" w:rsidRPr="00505CD6" w:rsidRDefault="00A64017" w:rsidP="00A64017">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DEEBD0F" w14:textId="77777777" w:rsidR="00A64017" w:rsidRPr="00505CD6" w:rsidRDefault="00A64017" w:rsidP="00A64017">
      <w:pPr>
        <w:widowControl w:val="0"/>
        <w:autoSpaceDE w:val="0"/>
        <w:autoSpaceDN w:val="0"/>
        <w:spacing w:after="0" w:line="276" w:lineRule="auto"/>
        <w:jc w:val="both"/>
        <w:rPr>
          <w:rFonts w:ascii="Verdana" w:hAnsi="Verdana" w:cs="Arial"/>
        </w:rPr>
      </w:pPr>
    </w:p>
    <w:p w14:paraId="58604560" w14:textId="06BDD46E" w:rsidR="00A64017" w:rsidRDefault="00A64017" w:rsidP="00A51CB5">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44B6A7C" w14:textId="28B469B3" w:rsidR="0073141C" w:rsidRDefault="0073141C" w:rsidP="00A64017">
      <w:pPr>
        <w:spacing w:line="276" w:lineRule="auto"/>
        <w:jc w:val="center"/>
        <w:rPr>
          <w:noProof/>
        </w:rPr>
      </w:pPr>
    </w:p>
    <w:p w14:paraId="59A16AF3" w14:textId="170FD810" w:rsidR="00687D47" w:rsidRDefault="004C28B2" w:rsidP="004C28B2">
      <w:pPr>
        <w:spacing w:line="276" w:lineRule="auto"/>
        <w:jc w:val="center"/>
        <w:rPr>
          <w:noProof/>
        </w:rPr>
      </w:pPr>
      <w:r>
        <w:rPr>
          <w:noProof/>
        </w:rPr>
        <w:drawing>
          <wp:inline distT="0" distB="0" distL="0" distR="0" wp14:anchorId="157615E6" wp14:editId="06EEED3C">
            <wp:extent cx="4253230" cy="1786255"/>
            <wp:effectExtent l="0" t="0" r="0" b="4445"/>
            <wp:docPr id="20421376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53230" cy="178625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64017" w:rsidRPr="00593A5F" w14:paraId="2074F15F" w14:textId="77777777" w:rsidTr="00A15B1F">
        <w:trPr>
          <w:trHeight w:val="315"/>
        </w:trPr>
        <w:tc>
          <w:tcPr>
            <w:tcW w:w="893" w:type="dxa"/>
            <w:vAlign w:val="center"/>
            <w:hideMark/>
          </w:tcPr>
          <w:p w14:paraId="7378D4C0"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D86B379" w14:textId="1E3C3026" w:rsidR="00A64017" w:rsidRPr="007911EE" w:rsidRDefault="00F90546" w:rsidP="00A15B1F">
            <w:pPr>
              <w:contextualSpacing/>
              <w:rPr>
                <w:rFonts w:ascii="Verdana" w:hAnsi="Verdana"/>
                <w:sz w:val="16"/>
                <w:szCs w:val="16"/>
              </w:rPr>
            </w:pPr>
            <w:r>
              <w:rPr>
                <w:rFonts w:ascii="Verdana" w:hAnsi="Verdana"/>
                <w:sz w:val="16"/>
                <w:szCs w:val="16"/>
              </w:rPr>
              <w:t xml:space="preserve">Daniel </w:t>
            </w:r>
            <w:r w:rsidR="006A7425">
              <w:rPr>
                <w:rFonts w:ascii="Verdana" w:hAnsi="Verdana"/>
                <w:sz w:val="16"/>
                <w:szCs w:val="16"/>
              </w:rPr>
              <w:t xml:space="preserve">Eduardo </w:t>
            </w:r>
            <w:r>
              <w:rPr>
                <w:rFonts w:ascii="Verdana" w:hAnsi="Verdana"/>
                <w:sz w:val="16"/>
                <w:szCs w:val="16"/>
              </w:rPr>
              <w:t>Rojas</w:t>
            </w:r>
          </w:p>
          <w:p w14:paraId="33A01C93" w14:textId="77777777" w:rsidR="00A64017" w:rsidRPr="007911EE" w:rsidRDefault="00A64017" w:rsidP="00A15B1F">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A64017" w:rsidRPr="00593A5F" w14:paraId="2D3F1B0D" w14:textId="77777777" w:rsidTr="00A15B1F">
        <w:trPr>
          <w:trHeight w:val="330"/>
        </w:trPr>
        <w:tc>
          <w:tcPr>
            <w:tcW w:w="893" w:type="dxa"/>
            <w:vAlign w:val="center"/>
            <w:hideMark/>
          </w:tcPr>
          <w:p w14:paraId="415C854E"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B5F35E2" w14:textId="4E09DF4F" w:rsidR="00CC5B4B" w:rsidRDefault="00D51274" w:rsidP="00A15B1F">
            <w:pPr>
              <w:spacing w:line="276" w:lineRule="auto"/>
              <w:contextualSpacing/>
              <w:jc w:val="both"/>
              <w:rPr>
                <w:rFonts w:ascii="Verdana" w:hAnsi="Verdana"/>
                <w:sz w:val="16"/>
                <w:szCs w:val="16"/>
              </w:rPr>
            </w:pPr>
            <w:r>
              <w:rPr>
                <w:rFonts w:ascii="Verdana" w:hAnsi="Verdana"/>
                <w:sz w:val="16"/>
                <w:szCs w:val="16"/>
              </w:rPr>
              <w:t>Diana Lucia Saavedra</w:t>
            </w:r>
            <w:r w:rsidR="00CC5B4B">
              <w:rPr>
                <w:rFonts w:ascii="Verdana" w:hAnsi="Verdana"/>
                <w:sz w:val="16"/>
                <w:szCs w:val="16"/>
              </w:rPr>
              <w:t>.</w:t>
            </w:r>
          </w:p>
          <w:p w14:paraId="72046261" w14:textId="6A56B4B3" w:rsidR="00A64017" w:rsidRPr="007911EE" w:rsidRDefault="00A64017" w:rsidP="00A15B1F">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A64017" w:rsidRPr="00593A5F" w14:paraId="53B0CBD3" w14:textId="77777777" w:rsidTr="00A15B1F">
        <w:trPr>
          <w:trHeight w:val="330"/>
        </w:trPr>
        <w:tc>
          <w:tcPr>
            <w:tcW w:w="893" w:type="dxa"/>
            <w:vAlign w:val="center"/>
          </w:tcPr>
          <w:p w14:paraId="68FD8648" w14:textId="77777777" w:rsidR="00A64017" w:rsidRPr="003751C7" w:rsidRDefault="00A64017" w:rsidP="00A15B1F">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1559B6" w14:textId="77777777" w:rsidR="00A64017" w:rsidRDefault="00A64017" w:rsidP="00A15B1F">
            <w:pPr>
              <w:spacing w:line="276" w:lineRule="auto"/>
              <w:contextualSpacing/>
              <w:jc w:val="both"/>
              <w:rPr>
                <w:rFonts w:ascii="Verdana" w:hAnsi="Verdana"/>
                <w:sz w:val="16"/>
                <w:szCs w:val="16"/>
              </w:rPr>
            </w:pPr>
            <w:r>
              <w:rPr>
                <w:rFonts w:ascii="Verdana" w:hAnsi="Verdana"/>
                <w:sz w:val="16"/>
                <w:szCs w:val="16"/>
              </w:rPr>
              <w:t xml:space="preserve">Carolina Quintero Gacharna </w:t>
            </w:r>
          </w:p>
          <w:p w14:paraId="0B1F87FE" w14:textId="7E0E60C3" w:rsidR="00A64017" w:rsidRDefault="00A64017" w:rsidP="00A15B1F">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sidR="008E2432">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4C6F1CF3" w14:textId="644B0C8E" w:rsidR="00F30C63" w:rsidRPr="00F30C63" w:rsidRDefault="00F30C63" w:rsidP="00A51CB5"/>
    <w:sectPr w:rsidR="00F30C63" w:rsidRPr="00F30C6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B1EC9" w14:textId="77777777" w:rsidR="00D5385A" w:rsidRDefault="00D5385A" w:rsidP="004A1847">
      <w:pPr>
        <w:spacing w:after="0" w:line="240" w:lineRule="auto"/>
      </w:pPr>
      <w:r>
        <w:separator/>
      </w:r>
    </w:p>
  </w:endnote>
  <w:endnote w:type="continuationSeparator" w:id="0">
    <w:p w14:paraId="5EB7ECE5" w14:textId="77777777" w:rsidR="00D5385A" w:rsidRDefault="00D5385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E38A2" w14:textId="77777777" w:rsidR="00D5385A" w:rsidRDefault="00D5385A" w:rsidP="004A1847">
      <w:pPr>
        <w:spacing w:after="0" w:line="240" w:lineRule="auto"/>
      </w:pPr>
      <w:r>
        <w:separator/>
      </w:r>
    </w:p>
  </w:footnote>
  <w:footnote w:type="continuationSeparator" w:id="0">
    <w:p w14:paraId="137A7CCC" w14:textId="77777777" w:rsidR="00D5385A" w:rsidRDefault="00D5385A" w:rsidP="004A1847">
      <w:pPr>
        <w:spacing w:after="0" w:line="240" w:lineRule="auto"/>
      </w:pPr>
      <w:r>
        <w:continuationSeparator/>
      </w:r>
    </w:p>
  </w:footnote>
  <w:footnote w:id="1">
    <w:p w14:paraId="6F36FEDE" w14:textId="77777777" w:rsidR="00933CFF" w:rsidRPr="00025914" w:rsidRDefault="00933CFF" w:rsidP="00933CFF">
      <w:pPr>
        <w:pStyle w:val="Textonotapie"/>
        <w:ind w:firstLine="708"/>
        <w:jc w:val="both"/>
        <w:rPr>
          <w:rFonts w:ascii="Verdana" w:hAnsi="Verdana" w:cs="Arial"/>
          <w:sz w:val="16"/>
          <w:szCs w:val="16"/>
          <w:lang w:val="es-ES"/>
        </w:rPr>
      </w:pPr>
      <w:r w:rsidRPr="00025914">
        <w:rPr>
          <w:rStyle w:val="Refdenotaalpie"/>
          <w:rFonts w:ascii="Verdana" w:hAnsi="Verdana" w:cs="Arial"/>
          <w:sz w:val="16"/>
          <w:szCs w:val="16"/>
        </w:rPr>
        <w:footnoteRef/>
      </w:r>
      <w:r w:rsidRPr="00025914">
        <w:rPr>
          <w:rFonts w:ascii="Verdana" w:hAnsi="Verdana" w:cs="Arial"/>
          <w:sz w:val="16"/>
          <w:szCs w:val="16"/>
        </w:rPr>
        <w:t xml:space="preserve"> Consejo de Estado, Sala de Consulta y Servicio Civil. Concepto del 20 de mayo de 2010. Expediente. C.P. Enrique José Arboleda Perdomo.</w:t>
      </w:r>
    </w:p>
  </w:footnote>
  <w:footnote w:id="2">
    <w:p w14:paraId="0512F9EC" w14:textId="77777777" w:rsidR="00933CFF" w:rsidRPr="00025914" w:rsidRDefault="00933CFF" w:rsidP="00933CFF">
      <w:pPr>
        <w:pStyle w:val="Textonotapie"/>
        <w:ind w:firstLine="708"/>
        <w:jc w:val="both"/>
        <w:rPr>
          <w:rFonts w:ascii="Verdana"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sidRPr="00025914">
        <w:rPr>
          <w:rFonts w:ascii="Verdana" w:eastAsia="Calibri" w:hAnsi="Verdana" w:cs="Arial"/>
          <w:color w:val="000000" w:themeColor="text1"/>
          <w:sz w:val="16"/>
          <w:szCs w:val="16"/>
        </w:rPr>
        <w:t>Corte Constitucional. Sentencia C 178 de 1996. M. P. Antonio Barrera Carbonell.</w:t>
      </w:r>
      <w:r w:rsidRPr="00025914">
        <w:rPr>
          <w:rFonts w:ascii="Verdana" w:hAnsi="Verdana" w:cs="Arial"/>
          <w:color w:val="000000" w:themeColor="text1"/>
          <w:sz w:val="16"/>
          <w:szCs w:val="16"/>
        </w:rPr>
        <w:t xml:space="preserve"> </w:t>
      </w:r>
    </w:p>
    <w:p w14:paraId="440A7A4C" w14:textId="77777777" w:rsidR="00933CFF" w:rsidRPr="00025914" w:rsidRDefault="00933CFF" w:rsidP="00933CFF">
      <w:pPr>
        <w:pStyle w:val="Textonotapie"/>
        <w:ind w:firstLine="708"/>
        <w:jc w:val="both"/>
        <w:rPr>
          <w:rFonts w:ascii="Verdana" w:hAnsi="Verdana" w:cs="Arial"/>
          <w:color w:val="000000" w:themeColor="text1"/>
          <w:sz w:val="16"/>
          <w:szCs w:val="16"/>
          <w:lang w:val="es-CO"/>
        </w:rPr>
      </w:pPr>
    </w:p>
  </w:footnote>
  <w:footnote w:id="3">
    <w:p w14:paraId="61028BDA" w14:textId="77777777" w:rsidR="00933CFF" w:rsidRPr="00025914" w:rsidRDefault="00933CFF" w:rsidP="00933CFF">
      <w:pPr>
        <w:pStyle w:val="Textonotapie"/>
        <w:ind w:firstLine="708"/>
        <w:jc w:val="both"/>
        <w:rPr>
          <w:rFonts w:ascii="Verdana"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Frente a la naturaleza de las inhabilidades, la Corte Constitucional ha manifestado que son circunstancias previstas en la Constitución Política, o en la ley, que le impiden a una persona ser elegida o designada para desempeñar cargos públicos. Esas circunstancias también pueden tener consecuencias respecto de otras personas que quieran celebrar o hayan celebrados contratos con el Estado. Existen dos tipos de inhabilidades, en primer lugar las que se derivan de la imposición de una condena o de una sanción disciplinaria. Estás inhabilidades son en efecto una sanción como consecuencia de la persona. En segundo lugar, se encuentran las inhabilidades que se desprenden de la posición funcional o desempeño de empleados públicos, en este caso, la inhabilidad no es una sanción sino una medida de protección del interés general en razón a la articulación o afinidad entre las funciones” o actividades a desempeñar en una determinada actividad. Cfr. Corte Constitucional. Sentencia C-353 de 2019. M.P. Jorge Iván Palacio Palacio.</w:t>
      </w:r>
    </w:p>
    <w:p w14:paraId="39BC06A8" w14:textId="77777777" w:rsidR="00933CFF" w:rsidRPr="00025914" w:rsidRDefault="00933CFF" w:rsidP="00933CFF">
      <w:pPr>
        <w:pStyle w:val="Textonotapie"/>
        <w:ind w:firstLine="708"/>
        <w:jc w:val="both"/>
        <w:rPr>
          <w:rFonts w:ascii="Verdana" w:hAnsi="Verdana" w:cs="Arial"/>
          <w:color w:val="000000" w:themeColor="text1"/>
          <w:sz w:val="16"/>
          <w:szCs w:val="16"/>
          <w:lang w:val="es-ES"/>
        </w:rPr>
      </w:pPr>
    </w:p>
  </w:footnote>
  <w:footnote w:id="4">
    <w:p w14:paraId="7D583A69" w14:textId="1A7E5F8C" w:rsidR="00933CFF" w:rsidRPr="00025914" w:rsidRDefault="00933CFF" w:rsidP="00933CFF">
      <w:pPr>
        <w:pStyle w:val="Textonotapie"/>
        <w:ind w:firstLine="708"/>
        <w:jc w:val="both"/>
        <w:rPr>
          <w:rFonts w:ascii="Verdana" w:eastAsia="Calibri"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Pr>
          <w:rFonts w:ascii="Verdana" w:eastAsia="Calibri" w:hAnsi="Verdana" w:cs="Arial"/>
          <w:color w:val="000000" w:themeColor="text1"/>
          <w:sz w:val="16"/>
          <w:szCs w:val="16"/>
        </w:rPr>
        <w:t>“</w:t>
      </w:r>
      <w:r w:rsidRPr="00025914">
        <w:rPr>
          <w:rFonts w:ascii="Verdana" w:eastAsia="Calibri" w:hAnsi="Verdana" w:cs="Arial"/>
          <w:color w:val="000000" w:themeColor="text1"/>
          <w:sz w:val="16"/>
          <w:szCs w:val="16"/>
        </w:rPr>
        <w:t>Artículo 6o. De la capacidad para contratar. Pueden celebrar contratos con las entidades estatales las personas consideradas legalmente capaces en las disposiciones vigentes».</w:t>
      </w:r>
    </w:p>
    <w:p w14:paraId="3CC5D71D" w14:textId="77777777" w:rsidR="00933CFF" w:rsidRPr="00025914" w:rsidRDefault="00933CFF" w:rsidP="00933CFF">
      <w:pPr>
        <w:pStyle w:val="Textonotapie"/>
        <w:ind w:firstLine="708"/>
        <w:jc w:val="both"/>
        <w:rPr>
          <w:rFonts w:ascii="Verdana" w:hAnsi="Verdana" w:cs="Arial"/>
          <w:color w:val="000000" w:themeColor="text1"/>
          <w:sz w:val="16"/>
          <w:szCs w:val="16"/>
          <w:lang w:val="es-CO"/>
        </w:rPr>
      </w:pPr>
    </w:p>
  </w:footnote>
  <w:footnote w:id="5">
    <w:p w14:paraId="0CDA4EE0" w14:textId="77777777" w:rsidR="00933CFF" w:rsidRPr="00025914" w:rsidRDefault="00933CFF" w:rsidP="00933CFF">
      <w:pPr>
        <w:pStyle w:val="Textonotapie"/>
        <w:ind w:firstLine="708"/>
        <w:jc w:val="both"/>
        <w:rPr>
          <w:rFonts w:ascii="Verdana" w:eastAsia="Calibri"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sidRPr="00025914">
        <w:rPr>
          <w:rFonts w:ascii="Verdana" w:eastAsia="Calibri" w:hAnsi="Verdana" w:cs="Arial"/>
          <w:color w:val="000000" w:themeColor="text1"/>
          <w:sz w:val="16"/>
          <w:szCs w:val="16"/>
        </w:rPr>
        <w:t xml:space="preserve">Consejo de Estado. Sala de Consulta y Servicio Civil. Concepto del 10 de agosto de 2015. Expediente: 11001-03-06-000-2015-00118-00 (2.260). C. P. Álvaro Namén Vargas. </w:t>
      </w:r>
    </w:p>
    <w:p w14:paraId="2E10AAF6" w14:textId="77777777" w:rsidR="00933CFF" w:rsidRPr="00025914" w:rsidRDefault="00933CFF" w:rsidP="00933CFF">
      <w:pPr>
        <w:pStyle w:val="Textonotapie"/>
        <w:ind w:firstLine="708"/>
        <w:jc w:val="both"/>
        <w:rPr>
          <w:rFonts w:ascii="Verdana" w:hAnsi="Verdana" w:cs="Arial"/>
          <w:color w:val="000000" w:themeColor="text1"/>
          <w:sz w:val="16"/>
          <w:szCs w:val="16"/>
          <w:lang w:val="es-CO"/>
        </w:rPr>
      </w:pPr>
    </w:p>
  </w:footnote>
  <w:footnote w:id="6">
    <w:p w14:paraId="507B7310" w14:textId="73E3DB1D" w:rsidR="00933CFF" w:rsidRPr="00025914" w:rsidRDefault="00933CFF" w:rsidP="00933CFF">
      <w:pPr>
        <w:pStyle w:val="Textonotapie"/>
        <w:ind w:firstLine="708"/>
        <w:jc w:val="both"/>
        <w:rPr>
          <w:rFonts w:ascii="Verdana" w:eastAsia="Calibri"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sidRPr="00025914">
        <w:rPr>
          <w:rFonts w:ascii="Verdana" w:eastAsia="Calibri" w:hAnsi="Verdana" w:cs="Arial"/>
          <w:color w:val="000000" w:themeColor="text1"/>
          <w:sz w:val="16"/>
          <w:szCs w:val="16"/>
        </w:rPr>
        <w:t xml:space="preserve">Consejo de Estado. Sección Tercera. Subsección B. Providencia del 5 de diciembre de 2016. Expediente: 05001-23-31-000-2003-03663-01 (41.333). C. P. Ramiro Pazos Guerrero. Allí se dijo que </w:t>
      </w:r>
      <w:r>
        <w:rPr>
          <w:rFonts w:ascii="Verdana" w:eastAsia="Calibri" w:hAnsi="Verdana" w:cs="Arial"/>
          <w:color w:val="000000" w:themeColor="text1"/>
          <w:sz w:val="16"/>
          <w:szCs w:val="16"/>
        </w:rPr>
        <w:t>“</w:t>
      </w:r>
      <w:r w:rsidRPr="00025914">
        <w:rPr>
          <w:rFonts w:ascii="Verdana" w:eastAsia="Calibri" w:hAnsi="Verdana" w:cs="Arial"/>
          <w:color w:val="000000" w:themeColor="text1"/>
          <w:sz w:val="16"/>
          <w:szCs w:val="16"/>
        </w:rPr>
        <w:t>es deber de los servidores evitar que prevalezca el interés particular sobre el general, de manera que para garantizar tal propósito el legislador ha establecido toda una reglamentación para propender por la transparencia en la adopción de decisiones, la cual no solo está contenida en la Ley 80 de 1993 o en los régimen especiales de contratación estatal, sino en otro tipo de normas, verbigracia en los ordenamientos disciplinarios , los que regulan el funcionamiento de los entes territoriales  o la actividad de la administración, etc.</w:t>
      </w:r>
    </w:p>
    <w:p w14:paraId="2AFA0288" w14:textId="77777777" w:rsidR="00933CFF" w:rsidRPr="00025914" w:rsidRDefault="00933CFF" w:rsidP="00933CFF">
      <w:pPr>
        <w:pStyle w:val="Textonotapie"/>
        <w:tabs>
          <w:tab w:val="left" w:pos="1892"/>
        </w:tabs>
        <w:ind w:firstLine="708"/>
        <w:jc w:val="both"/>
        <w:rPr>
          <w:rFonts w:ascii="Verdana" w:eastAsia="Calibri" w:hAnsi="Verdana" w:cs="Arial"/>
          <w:color w:val="000000" w:themeColor="text1"/>
          <w:sz w:val="16"/>
          <w:szCs w:val="16"/>
        </w:rPr>
      </w:pPr>
      <w:r w:rsidRPr="00025914">
        <w:rPr>
          <w:rFonts w:ascii="Verdana" w:eastAsia="Calibri" w:hAnsi="Verdana" w:cs="Arial"/>
          <w:color w:val="000000" w:themeColor="text1"/>
          <w:sz w:val="16"/>
          <w:szCs w:val="16"/>
        </w:rPr>
        <w:tab/>
      </w:r>
    </w:p>
    <w:p w14:paraId="543FED74" w14:textId="77777777" w:rsidR="00933CFF" w:rsidRPr="00025914" w:rsidRDefault="00933CFF" w:rsidP="00933CFF">
      <w:pPr>
        <w:pStyle w:val="Textonotapie"/>
        <w:ind w:firstLine="708"/>
        <w:jc w:val="both"/>
        <w:rPr>
          <w:rFonts w:ascii="Verdana" w:eastAsia="Calibri" w:hAnsi="Verdana" w:cs="Arial"/>
          <w:color w:val="000000" w:themeColor="text1"/>
          <w:sz w:val="16"/>
          <w:szCs w:val="16"/>
        </w:rPr>
      </w:pPr>
      <w:r w:rsidRPr="00025914">
        <w:rPr>
          <w:rFonts w:ascii="Verdana" w:eastAsia="Calibri" w:hAnsi="Verdana" w:cs="Arial"/>
          <w:color w:val="000000" w:themeColor="text1"/>
          <w:sz w:val="16"/>
          <w:szCs w:val="16"/>
        </w:rPr>
        <w:t>»27.6. No sobra decir que con toda razón, el Consejo de Estado ha considerado que el régimen de inhabilidades e incompatibilidades se justifica en la prevalencia de los intereses estatales y en los principios y valores de igualdad, moralidad, ética, corrección, probidad, trasparencia e imparcialidad».</w:t>
      </w:r>
    </w:p>
    <w:p w14:paraId="33855102" w14:textId="77777777" w:rsidR="00933CFF" w:rsidRPr="00025914" w:rsidRDefault="00933CFF" w:rsidP="00933CFF">
      <w:pPr>
        <w:pStyle w:val="Textonotapie"/>
        <w:ind w:firstLine="708"/>
        <w:jc w:val="both"/>
        <w:rPr>
          <w:rFonts w:ascii="Verdana" w:eastAsia="Calibri" w:hAnsi="Verdana" w:cs="Arial"/>
          <w:color w:val="000000" w:themeColor="text1"/>
          <w:sz w:val="16"/>
          <w:szCs w:val="16"/>
        </w:rPr>
      </w:pPr>
      <w:r w:rsidRPr="00025914">
        <w:rPr>
          <w:rFonts w:ascii="Verdana" w:eastAsia="Calibri" w:hAnsi="Verdana" w:cs="Arial"/>
          <w:color w:val="000000" w:themeColor="text1"/>
          <w:sz w:val="16"/>
          <w:szCs w:val="16"/>
        </w:rPr>
        <w:t xml:space="preserve"> </w:t>
      </w:r>
    </w:p>
  </w:footnote>
  <w:footnote w:id="7">
    <w:p w14:paraId="1C8199B6" w14:textId="1DC31EEE" w:rsidR="00933CFF" w:rsidRPr="00025914" w:rsidRDefault="00933CFF" w:rsidP="00933CFF">
      <w:pPr>
        <w:pStyle w:val="Textonotapie"/>
        <w:ind w:firstLine="708"/>
        <w:jc w:val="both"/>
        <w:rPr>
          <w:rFonts w:ascii="Verdana" w:hAnsi="Verdana" w:cs="Arial"/>
          <w:color w:val="000000" w:themeColor="text1"/>
          <w:sz w:val="16"/>
          <w:szCs w:val="16"/>
          <w:lang w:val="es-ES"/>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Decreto 1082 de 2015: </w:t>
      </w:r>
      <w:r>
        <w:rPr>
          <w:rFonts w:ascii="Verdana" w:hAnsi="Verdana" w:cs="Arial"/>
          <w:color w:val="000000" w:themeColor="text1"/>
          <w:sz w:val="16"/>
          <w:szCs w:val="16"/>
        </w:rPr>
        <w:t>“</w:t>
      </w:r>
      <w:r w:rsidRPr="00025914">
        <w:rPr>
          <w:rFonts w:ascii="Verdana" w:hAnsi="Verdana" w:cs="Arial"/>
          <w:color w:val="000000" w:themeColor="text1"/>
          <w:sz w:val="16"/>
          <w:szCs w:val="16"/>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8">
    <w:p w14:paraId="32F2A8BE" w14:textId="77777777" w:rsidR="00933CFF" w:rsidRPr="00025914" w:rsidRDefault="00933CFF" w:rsidP="00933CFF">
      <w:pPr>
        <w:pStyle w:val="Textonotapie"/>
        <w:ind w:firstLine="708"/>
        <w:jc w:val="both"/>
        <w:rPr>
          <w:rFonts w:ascii="Verdana" w:hAnsi="Verdana" w:cs="Arial"/>
          <w:color w:val="000000" w:themeColor="text1"/>
          <w:sz w:val="16"/>
          <w:szCs w:val="16"/>
        </w:rPr>
      </w:pPr>
    </w:p>
    <w:p w14:paraId="224061C2" w14:textId="77423BD9" w:rsidR="00933CFF" w:rsidRPr="00025914" w:rsidRDefault="00933CFF" w:rsidP="00933CFF">
      <w:pPr>
        <w:pStyle w:val="Textonotapie"/>
        <w:ind w:firstLine="708"/>
        <w:jc w:val="both"/>
        <w:rPr>
          <w:rFonts w:ascii="Verdana"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Decreto 1082 de 2015: </w:t>
      </w:r>
      <w:r>
        <w:rPr>
          <w:rFonts w:ascii="Verdana" w:hAnsi="Verdana" w:cs="Arial"/>
          <w:color w:val="000000" w:themeColor="text1"/>
          <w:sz w:val="16"/>
          <w:szCs w:val="16"/>
        </w:rPr>
        <w:t>“</w:t>
      </w:r>
      <w:r w:rsidRPr="00025914">
        <w:rPr>
          <w:rFonts w:ascii="Verdana" w:hAnsi="Verdana" w:cs="Arial"/>
          <w:color w:val="000000" w:themeColor="text1"/>
          <w:sz w:val="16"/>
          <w:szCs w:val="16"/>
        </w:rPr>
        <w:t>Artículo 2.2.1.1.1.5.3. Requisitos habilitantes contenidos en el RUP. Las cámaras de comercio, con base en la información a la que hace referencia el artículo anterior, deben verificar y certificar los siguientes requisitos habilitantes:</w:t>
      </w:r>
    </w:p>
    <w:p w14:paraId="1AF31610" w14:textId="77777777" w:rsidR="00933CFF" w:rsidRPr="00025914" w:rsidRDefault="00933CFF" w:rsidP="00933CFF">
      <w:pPr>
        <w:pStyle w:val="Textonotapie"/>
        <w:ind w:firstLine="708"/>
        <w:jc w:val="both"/>
        <w:rPr>
          <w:rFonts w:ascii="Verdana" w:hAnsi="Verdana" w:cs="Arial"/>
          <w:color w:val="000000" w:themeColor="text1"/>
          <w:sz w:val="16"/>
          <w:szCs w:val="16"/>
          <w:lang w:val="es-ES"/>
        </w:rPr>
      </w:pPr>
      <w:r w:rsidRPr="00025914">
        <w:rPr>
          <w:rFonts w:ascii="Verdana" w:hAnsi="Verdana" w:cs="Arial"/>
          <w:color w:val="000000" w:themeColor="text1"/>
          <w:sz w:val="16"/>
          <w:szCs w:val="16"/>
        </w:rPr>
        <w:t>»1. Experiencia – Los contratos celebrados por el interesado para cada uno de los bienes, obras y servicios que ofrecerá a las Entidades Estatales, identificados con el Clasificador de Bienes y Servicios en el tercer nivel y su valor expresado en SMMLV. […]».</w:t>
      </w:r>
    </w:p>
  </w:footnote>
  <w:footnote w:id="9">
    <w:p w14:paraId="7AA21B55" w14:textId="77777777" w:rsidR="00933CFF" w:rsidRPr="00025914" w:rsidRDefault="00933CFF" w:rsidP="00933CFF">
      <w:pPr>
        <w:pStyle w:val="Textonotapie"/>
        <w:ind w:firstLine="708"/>
        <w:jc w:val="both"/>
        <w:rPr>
          <w:rFonts w:ascii="Verdana" w:hAnsi="Verdana" w:cs="Arial"/>
          <w:color w:val="000000" w:themeColor="text1"/>
          <w:sz w:val="16"/>
          <w:szCs w:val="16"/>
        </w:rPr>
      </w:pPr>
    </w:p>
    <w:p w14:paraId="37FF7C92" w14:textId="47EDC593" w:rsidR="00933CFF" w:rsidRPr="00025914" w:rsidRDefault="00933CFF" w:rsidP="00933CFF">
      <w:pPr>
        <w:pStyle w:val="Textonotapie"/>
        <w:ind w:firstLine="708"/>
        <w:jc w:val="both"/>
        <w:rPr>
          <w:rFonts w:ascii="Verdana"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Ley 1150 de 2007: </w:t>
      </w:r>
      <w:r>
        <w:rPr>
          <w:rFonts w:ascii="Verdana" w:hAnsi="Verdana" w:cs="Arial"/>
          <w:color w:val="000000" w:themeColor="text1"/>
          <w:sz w:val="16"/>
          <w:szCs w:val="16"/>
        </w:rPr>
        <w:t>“</w:t>
      </w:r>
      <w:r w:rsidRPr="00025914">
        <w:rPr>
          <w:rFonts w:ascii="Verdana" w:hAnsi="Verdana" w:cs="Arial"/>
          <w:color w:val="000000" w:themeColor="text1"/>
          <w:sz w:val="16"/>
          <w:szCs w:val="16"/>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F5ACE12" w14:textId="77777777" w:rsidR="00933CFF" w:rsidRPr="00025914" w:rsidRDefault="00933CFF" w:rsidP="00933CFF">
      <w:pPr>
        <w:pStyle w:val="Textonotapie"/>
        <w:ind w:firstLine="708"/>
        <w:jc w:val="both"/>
        <w:rPr>
          <w:rFonts w:ascii="Verdana" w:hAnsi="Verdana" w:cs="Arial"/>
          <w:color w:val="000000" w:themeColor="text1"/>
          <w:sz w:val="16"/>
          <w:szCs w:val="16"/>
        </w:rPr>
      </w:pPr>
      <w:r w:rsidRPr="00025914">
        <w:rPr>
          <w:rFonts w:ascii="Verdana" w:hAnsi="Verdana" w:cs="Arial"/>
          <w:color w:val="000000" w:themeColor="text1"/>
          <w:sz w:val="16"/>
          <w:szCs w:val="16"/>
        </w:rPr>
        <w:t>[...]</w:t>
      </w:r>
    </w:p>
    <w:p w14:paraId="39A06AFF" w14:textId="77777777" w:rsidR="00933CFF" w:rsidRPr="00025914" w:rsidRDefault="00933CFF" w:rsidP="00933CFF">
      <w:pPr>
        <w:pStyle w:val="Textonotapie"/>
        <w:ind w:firstLine="708"/>
        <w:jc w:val="both"/>
        <w:rPr>
          <w:rFonts w:ascii="Verdana" w:hAnsi="Verdana" w:cs="Arial"/>
          <w:color w:val="000000" w:themeColor="text1"/>
          <w:sz w:val="16"/>
          <w:szCs w:val="16"/>
        </w:rPr>
      </w:pPr>
      <w:r w:rsidRPr="00025914">
        <w:rPr>
          <w:rFonts w:ascii="Verdana" w:hAnsi="Verdana" w:cs="Arial"/>
          <w:color w:val="000000" w:themeColor="text1"/>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A358609" w14:textId="77777777" w:rsidR="00933CFF" w:rsidRPr="00025914" w:rsidRDefault="00933CFF" w:rsidP="00933CFF">
      <w:pPr>
        <w:pStyle w:val="Textonotapie"/>
        <w:ind w:firstLine="708"/>
        <w:jc w:val="both"/>
        <w:rPr>
          <w:rFonts w:ascii="Verdana" w:hAnsi="Verdana" w:cs="Arial"/>
          <w:color w:val="000000" w:themeColor="text1"/>
          <w:sz w:val="16"/>
          <w:szCs w:val="16"/>
          <w:lang w:val="es-ES"/>
        </w:rPr>
      </w:pPr>
      <w:r w:rsidRPr="00025914">
        <w:rPr>
          <w:rFonts w:ascii="Verdana" w:hAnsi="Verdana" w:cs="Arial"/>
          <w:color w:val="000000" w:themeColor="text1"/>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10">
    <w:p w14:paraId="5263F976" w14:textId="77777777" w:rsidR="00933CFF" w:rsidRPr="00025914" w:rsidRDefault="00933CFF" w:rsidP="00933CFF">
      <w:pPr>
        <w:pStyle w:val="Textonotapie"/>
        <w:ind w:firstLine="708"/>
        <w:jc w:val="both"/>
        <w:rPr>
          <w:rFonts w:ascii="Verdana" w:hAnsi="Verdana" w:cs="Arial"/>
          <w:color w:val="000000" w:themeColor="text1"/>
          <w:sz w:val="16"/>
          <w:szCs w:val="16"/>
        </w:rPr>
      </w:pPr>
    </w:p>
    <w:p w14:paraId="6065F6D0" w14:textId="220F344B" w:rsidR="00933CFF" w:rsidRPr="00025914" w:rsidRDefault="00933CFF" w:rsidP="00933CFF">
      <w:pPr>
        <w:pStyle w:val="Textonotapie"/>
        <w:ind w:firstLine="708"/>
        <w:jc w:val="both"/>
        <w:rPr>
          <w:rFonts w:ascii="Verdana"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Decreto 1082 de 2015: </w:t>
      </w:r>
      <w:r>
        <w:rPr>
          <w:rFonts w:ascii="Verdana" w:hAnsi="Verdana" w:cs="Arial"/>
          <w:color w:val="000000" w:themeColor="text1"/>
          <w:sz w:val="16"/>
          <w:szCs w:val="16"/>
        </w:rPr>
        <w:t>“</w:t>
      </w:r>
      <w:r w:rsidRPr="00025914">
        <w:rPr>
          <w:rFonts w:ascii="Verdana" w:hAnsi="Verdana" w:cs="Arial"/>
          <w:color w:val="000000" w:themeColor="text1"/>
          <w:sz w:val="16"/>
          <w:szCs w:val="16"/>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2BA6653" w14:textId="77777777" w:rsidR="00933CFF" w:rsidRPr="00025914" w:rsidRDefault="00933CFF" w:rsidP="00933CFF">
      <w:pPr>
        <w:pStyle w:val="Textonotapie"/>
        <w:ind w:firstLine="709"/>
        <w:jc w:val="both"/>
        <w:rPr>
          <w:rFonts w:ascii="Verdana" w:hAnsi="Verdana" w:cs="Arial"/>
          <w:color w:val="000000" w:themeColor="text1"/>
          <w:sz w:val="16"/>
          <w:szCs w:val="16"/>
        </w:rPr>
      </w:pPr>
      <w:r w:rsidRPr="00025914">
        <w:rPr>
          <w:rFonts w:ascii="Verdana" w:hAnsi="Verdana" w:cs="Arial"/>
          <w:color w:val="000000" w:themeColor="text1"/>
          <w:sz w:val="16"/>
          <w:szCs w:val="16"/>
        </w:rPr>
        <w:t>»1.    Si es una persona natural:</w:t>
      </w:r>
    </w:p>
    <w:p w14:paraId="03F4530D" w14:textId="77777777" w:rsidR="00933CFF" w:rsidRPr="00025914" w:rsidRDefault="00933CFF" w:rsidP="00933CFF">
      <w:pPr>
        <w:pStyle w:val="Textonotapie"/>
        <w:ind w:firstLine="709"/>
        <w:jc w:val="both"/>
        <w:rPr>
          <w:rFonts w:ascii="Verdana" w:hAnsi="Verdana" w:cs="Arial"/>
          <w:color w:val="000000" w:themeColor="text1"/>
          <w:sz w:val="16"/>
          <w:szCs w:val="16"/>
        </w:rPr>
      </w:pPr>
      <w:r w:rsidRPr="00025914">
        <w:rPr>
          <w:rFonts w:ascii="Verdana" w:hAnsi="Verdana" w:cs="Arial"/>
          <w:color w:val="000000" w:themeColor="text1"/>
          <w:sz w:val="16"/>
          <w:szCs w:val="16"/>
        </w:rPr>
        <w:t>»1.1. Bienes, obras y servicios que ofrecerá a las Entidades Estatales, identificados con el Clasificador de Bienes y Servicios en el tercer nivel.</w:t>
      </w:r>
    </w:p>
    <w:p w14:paraId="4F22C57B" w14:textId="77777777" w:rsidR="00933CFF" w:rsidRPr="00025914" w:rsidRDefault="00933CFF" w:rsidP="00933CFF">
      <w:pPr>
        <w:pStyle w:val="Textonotapie"/>
        <w:ind w:firstLine="709"/>
        <w:jc w:val="both"/>
        <w:rPr>
          <w:rFonts w:ascii="Verdana" w:hAnsi="Verdana" w:cs="Arial"/>
          <w:color w:val="000000" w:themeColor="text1"/>
          <w:sz w:val="16"/>
          <w:szCs w:val="16"/>
        </w:rPr>
      </w:pPr>
      <w:r w:rsidRPr="00025914">
        <w:rPr>
          <w:rFonts w:ascii="Verdana" w:hAnsi="Verdana" w:cs="Arial"/>
          <w:color w:val="000000" w:themeColor="text1"/>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03FEDC86" w14:textId="77777777" w:rsidR="00933CFF" w:rsidRPr="00025914" w:rsidRDefault="00933CFF" w:rsidP="00933CFF">
      <w:pPr>
        <w:pStyle w:val="Textonotapie"/>
        <w:jc w:val="both"/>
        <w:rPr>
          <w:rFonts w:ascii="Verdana" w:hAnsi="Verdana" w:cs="Arial"/>
          <w:color w:val="000000" w:themeColor="text1"/>
          <w:sz w:val="16"/>
          <w:szCs w:val="16"/>
        </w:rPr>
      </w:pPr>
    </w:p>
    <w:p w14:paraId="635EB62D" w14:textId="77777777" w:rsidR="00933CFF" w:rsidRPr="00025914" w:rsidRDefault="00933CFF" w:rsidP="00933CFF">
      <w:pPr>
        <w:pStyle w:val="Textonotapie"/>
        <w:ind w:firstLine="708"/>
        <w:jc w:val="both"/>
        <w:rPr>
          <w:rFonts w:ascii="Verdana" w:hAnsi="Verdana" w:cs="Arial"/>
          <w:color w:val="000000" w:themeColor="text1"/>
          <w:sz w:val="16"/>
          <w:szCs w:val="16"/>
          <w:lang w:val="es-ES"/>
        </w:rPr>
      </w:pPr>
      <w:r w:rsidRPr="00025914">
        <w:rPr>
          <w:rFonts w:ascii="Verdana" w:hAnsi="Verdana" w:cs="Arial"/>
          <w:color w:val="000000" w:themeColor="text1"/>
          <w:sz w:val="16"/>
          <w:szCs w:val="16"/>
        </w:rPr>
        <w:t xml:space="preserve"> </w:t>
      </w:r>
    </w:p>
  </w:footnote>
  <w:footnote w:id="11">
    <w:p w14:paraId="437FD0B6" w14:textId="77777777" w:rsidR="00933CFF" w:rsidRPr="00025914" w:rsidRDefault="00933CFF" w:rsidP="00933CFF">
      <w:pPr>
        <w:pStyle w:val="Textonotapie"/>
        <w:ind w:firstLine="708"/>
        <w:jc w:val="both"/>
        <w:rPr>
          <w:rFonts w:ascii="Verdana" w:hAnsi="Verdana" w:cs="Arial"/>
          <w:color w:val="000000" w:themeColor="text1"/>
          <w:sz w:val="16"/>
          <w:szCs w:val="16"/>
          <w:lang w:val="es-ES"/>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footnote>
  <w:footnote w:id="12">
    <w:p w14:paraId="1976B355" w14:textId="77777777" w:rsidR="00933CFF" w:rsidRPr="00025914" w:rsidRDefault="00933CFF" w:rsidP="00933CFF">
      <w:pPr>
        <w:pStyle w:val="Textonotapie"/>
        <w:ind w:firstLine="708"/>
        <w:jc w:val="both"/>
        <w:rPr>
          <w:rFonts w:ascii="Verdana"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Cfr. Consejo de Estado. Sección Tercera. Providencias del 11 de diciembre de 2002, dictada dentro del expediente AG-1683, y del 18 de octubre de 2001, proferida dentro del plenario AG-021.</w:t>
      </w:r>
    </w:p>
    <w:p w14:paraId="79CA75DA" w14:textId="77777777" w:rsidR="00933CFF" w:rsidRPr="00025914" w:rsidRDefault="00933CFF" w:rsidP="00933CFF">
      <w:pPr>
        <w:pStyle w:val="Textonotapie"/>
        <w:ind w:firstLine="708"/>
        <w:jc w:val="both"/>
        <w:rPr>
          <w:rFonts w:ascii="Verdana" w:hAnsi="Verdana" w:cs="Arial"/>
          <w:color w:val="000000" w:themeColor="text1"/>
          <w:sz w:val="16"/>
          <w:szCs w:val="16"/>
          <w:lang w:val="es-ES"/>
        </w:rPr>
      </w:pPr>
    </w:p>
  </w:footnote>
  <w:footnote w:id="13">
    <w:p w14:paraId="67183251" w14:textId="77777777" w:rsidR="00933CFF" w:rsidRPr="00025914" w:rsidRDefault="00933CFF" w:rsidP="00933CFF">
      <w:pPr>
        <w:pStyle w:val="Textonotapie"/>
        <w:ind w:firstLine="708"/>
        <w:jc w:val="both"/>
        <w:rPr>
          <w:rFonts w:ascii="Verdana"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Cfr. Corte Constitucional. Sentencia C-569 de 2004. M.P. Rodrigo Uprimny Yepes.</w:t>
      </w:r>
    </w:p>
    <w:p w14:paraId="264F2CA9" w14:textId="77777777" w:rsidR="00933CFF" w:rsidRPr="00025914" w:rsidRDefault="00933CFF" w:rsidP="00933CFF">
      <w:pPr>
        <w:pStyle w:val="Textonotapie"/>
        <w:ind w:firstLine="708"/>
        <w:jc w:val="both"/>
        <w:rPr>
          <w:rFonts w:ascii="Verdana" w:hAnsi="Verdana" w:cs="Arial"/>
          <w:color w:val="000000" w:themeColor="text1"/>
          <w:sz w:val="16"/>
          <w:szCs w:val="16"/>
          <w:lang w:val="es-ES"/>
        </w:rPr>
      </w:pPr>
    </w:p>
  </w:footnote>
  <w:footnote w:id="14">
    <w:p w14:paraId="46712410" w14:textId="47D0C0B6" w:rsidR="00933CFF" w:rsidRPr="00025914" w:rsidRDefault="00933CFF" w:rsidP="00933CFF">
      <w:pPr>
        <w:pStyle w:val="Textonotapie"/>
        <w:ind w:firstLine="708"/>
        <w:jc w:val="both"/>
        <w:rPr>
          <w:rFonts w:ascii="Verdana" w:hAnsi="Verdana" w:cs="Arial"/>
          <w:color w:val="000000" w:themeColor="text1"/>
          <w:sz w:val="16"/>
          <w:szCs w:val="16"/>
          <w:lang w:val="es-ES"/>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Gaceta 096 de 2007. Pág. 9. Allí se lee: </w:t>
      </w:r>
      <w:r>
        <w:rPr>
          <w:rFonts w:ascii="Verdana" w:hAnsi="Verdana" w:cs="Arial"/>
          <w:color w:val="000000" w:themeColor="text1"/>
          <w:sz w:val="16"/>
          <w:szCs w:val="16"/>
        </w:rPr>
        <w:t>“</w:t>
      </w:r>
      <w:r w:rsidRPr="00025914">
        <w:rPr>
          <w:rFonts w:ascii="Verdana" w:hAnsi="Verdana" w:cs="Arial"/>
          <w:color w:val="000000" w:themeColor="text1"/>
          <w:sz w:val="16"/>
          <w:szCs w:val="16"/>
        </w:rPr>
        <w:t xml:space="preserve">Parágrafo 2°. Nuevo. Se adiciona un parágrafo nuevo para </w:t>
      </w:r>
      <w:r w:rsidRPr="00025914">
        <w:rPr>
          <w:rFonts w:ascii="Verdana" w:hAnsi="Verdana" w:cs="Arial"/>
          <w:i/>
          <w:iCs/>
          <w:color w:val="000000" w:themeColor="text1"/>
          <w:sz w:val="16"/>
          <w:szCs w:val="16"/>
        </w:rPr>
        <w:t>establecer de manera concreta</w:t>
      </w:r>
      <w:r w:rsidRPr="00025914">
        <w:rPr>
          <w:rFonts w:ascii="Verdana" w:hAnsi="Verdana" w:cs="Arial"/>
          <w:color w:val="000000" w:themeColor="text1"/>
          <w:sz w:val="16"/>
          <w:szCs w:val="16"/>
        </w:rPr>
        <w:t xml:space="preserve">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footnote>
  <w:footnote w:id="15">
    <w:p w14:paraId="7D815D64" w14:textId="2BF1C39A" w:rsidR="00933CFF" w:rsidRPr="00025914" w:rsidRDefault="00933CFF" w:rsidP="00933CFF">
      <w:pPr>
        <w:pStyle w:val="Textonotapie"/>
        <w:ind w:firstLine="708"/>
        <w:jc w:val="both"/>
        <w:rPr>
          <w:rFonts w:ascii="Verdana" w:hAnsi="Verdana" w:cs="Arial"/>
          <w:color w:val="000000" w:themeColor="text1"/>
          <w:sz w:val="16"/>
          <w:szCs w:val="16"/>
          <w:lang w:val="es-ES"/>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En el concepto C-071 del 4 de marzo de 2020 –radicado No. 2202013000001597–, esta Subdirección consideró: </w:t>
      </w:r>
      <w:r>
        <w:rPr>
          <w:rFonts w:ascii="Verdana" w:hAnsi="Verdana" w:cs="Arial"/>
          <w:color w:val="000000" w:themeColor="text1"/>
          <w:sz w:val="16"/>
          <w:szCs w:val="16"/>
        </w:rPr>
        <w:t>“</w:t>
      </w:r>
      <w:r w:rsidRPr="00025914">
        <w:rPr>
          <w:rFonts w:ascii="Verdana" w:hAnsi="Verdana" w:cs="Arial"/>
          <w:color w:val="000000" w:themeColor="text1"/>
          <w:sz w:val="16"/>
          <w:szCs w:val="16"/>
        </w:rPr>
        <w:t>[…] es necesario distinguir si la persona jurídica suscribió contratos de trabajo o de prestación de servicios para cumplir con el objeto para el cual fue contratada, pues, si es lo primero, le corresponde asumir una parte de los aportes como empleador; pero, si es lo segundo, no le asiste dicho deber. Lo procedente, pues, es que demuestre el pago de los aportes de los empleados dependientes y verificar el pago de los aportes de las demás personas que contrató. A la entidad, por su parte, le corresponde vigilar que el contratista acredite dichos pagos, mediante certificación expedida por el revisor fiscal o el representante legal, dependiendo del caso, en cumplimiento de lo dispuesto en el artículo 23 de la Ley 1150 de 2007». En similar sentido ver, entre otros, conceptos C-118 y C-131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9A5723"/>
    <w:multiLevelType w:val="hybridMultilevel"/>
    <w:tmpl w:val="28AEE5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A1A0170"/>
    <w:multiLevelType w:val="multilevel"/>
    <w:tmpl w:val="91EA4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190F4B"/>
    <w:multiLevelType w:val="hybridMultilevel"/>
    <w:tmpl w:val="CB563672"/>
    <w:lvl w:ilvl="0" w:tplc="E17CFDE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 w15:restartNumberingAfterBreak="0">
    <w:nsid w:val="1F144334"/>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5D6B5C"/>
    <w:multiLevelType w:val="hybridMultilevel"/>
    <w:tmpl w:val="8BE44872"/>
    <w:lvl w:ilvl="0" w:tplc="185E32A0">
      <w:start w:val="1"/>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BD2B42"/>
    <w:multiLevelType w:val="hybridMultilevel"/>
    <w:tmpl w:val="8C3A30C6"/>
    <w:lvl w:ilvl="0" w:tplc="A70E43FA">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4DA50AD"/>
    <w:multiLevelType w:val="hybridMultilevel"/>
    <w:tmpl w:val="88361A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C94ECB"/>
    <w:multiLevelType w:val="hybridMultilevel"/>
    <w:tmpl w:val="D27A4D02"/>
    <w:lvl w:ilvl="0" w:tplc="C17E85C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D726F5"/>
    <w:multiLevelType w:val="hybridMultilevel"/>
    <w:tmpl w:val="4DDC6F0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F8043F2"/>
    <w:multiLevelType w:val="multilevel"/>
    <w:tmpl w:val="6D049A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23" w15:restartNumberingAfterBreak="0">
    <w:nsid w:val="4C8A41DC"/>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03019D2"/>
    <w:multiLevelType w:val="multilevel"/>
    <w:tmpl w:val="A0404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2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7" w15:restartNumberingAfterBreak="0">
    <w:nsid w:val="66674C4C"/>
    <w:multiLevelType w:val="hybridMultilevel"/>
    <w:tmpl w:val="9C0E71C8"/>
    <w:lvl w:ilvl="0" w:tplc="240A0001">
      <w:start w:val="1"/>
      <w:numFmt w:val="bullet"/>
      <w:lvlText w:val=""/>
      <w:lvlJc w:val="left"/>
      <w:pPr>
        <w:ind w:left="1077" w:hanging="360"/>
      </w:pPr>
      <w:rPr>
        <w:rFonts w:ascii="Symbol" w:hAnsi="Symbol"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2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6E33606"/>
    <w:multiLevelType w:val="multilevel"/>
    <w:tmpl w:val="6E9A84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9835DA4"/>
    <w:multiLevelType w:val="hybridMultilevel"/>
    <w:tmpl w:val="6DA268A0"/>
    <w:lvl w:ilvl="0" w:tplc="0BB80CF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CFD41E4"/>
    <w:multiLevelType w:val="hybridMultilevel"/>
    <w:tmpl w:val="271816A0"/>
    <w:lvl w:ilvl="0" w:tplc="8B42C39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F70B8AE"/>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48779781">
    <w:abstractNumId w:val="13"/>
  </w:num>
  <w:num w:numId="2" w16cid:durableId="19822139">
    <w:abstractNumId w:val="2"/>
  </w:num>
  <w:num w:numId="3" w16cid:durableId="876742304">
    <w:abstractNumId w:val="9"/>
  </w:num>
  <w:num w:numId="4" w16cid:durableId="2451864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30"/>
  </w:num>
  <w:num w:numId="7" w16cid:durableId="1946422806">
    <w:abstractNumId w:val="11"/>
  </w:num>
  <w:num w:numId="8" w16cid:durableId="152644682">
    <w:abstractNumId w:val="29"/>
  </w:num>
  <w:num w:numId="9" w16cid:durableId="1317221377">
    <w:abstractNumId w:val="15"/>
  </w:num>
  <w:num w:numId="10" w16cid:durableId="1471245386">
    <w:abstractNumId w:val="28"/>
  </w:num>
  <w:num w:numId="11" w16cid:durableId="289172385">
    <w:abstractNumId w:val="17"/>
  </w:num>
  <w:num w:numId="12" w16cid:durableId="1470781324">
    <w:abstractNumId w:val="1"/>
  </w:num>
  <w:num w:numId="13" w16cid:durableId="1512908409">
    <w:abstractNumId w:val="8"/>
  </w:num>
  <w:num w:numId="14" w16cid:durableId="895897244">
    <w:abstractNumId w:val="31"/>
  </w:num>
  <w:num w:numId="15" w16cid:durableId="390349800">
    <w:abstractNumId w:val="26"/>
  </w:num>
  <w:num w:numId="16" w16cid:durableId="1380713882">
    <w:abstractNumId w:val="0"/>
  </w:num>
  <w:num w:numId="17" w16cid:durableId="691802391">
    <w:abstractNumId w:val="18"/>
  </w:num>
  <w:num w:numId="18" w16cid:durableId="1290623316">
    <w:abstractNumId w:val="4"/>
  </w:num>
  <w:num w:numId="19" w16cid:durableId="562327327">
    <w:abstractNumId w:val="14"/>
  </w:num>
  <w:num w:numId="20" w16cid:durableId="135807285">
    <w:abstractNumId w:val="16"/>
  </w:num>
  <w:num w:numId="21" w16cid:durableId="1816873601">
    <w:abstractNumId w:val="10"/>
  </w:num>
  <w:num w:numId="22" w16cid:durableId="1012342571">
    <w:abstractNumId w:val="27"/>
  </w:num>
  <w:num w:numId="23" w16cid:durableId="13794342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12972689">
    <w:abstractNumId w:val="5"/>
  </w:num>
  <w:num w:numId="25" w16cid:durableId="1553424327">
    <w:abstractNumId w:val="24"/>
  </w:num>
  <w:num w:numId="26" w16cid:durableId="1611006927">
    <w:abstractNumId w:val="19"/>
  </w:num>
  <w:num w:numId="27" w16cid:durableId="14273840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418375">
    <w:abstractNumId w:val="3"/>
  </w:num>
  <w:num w:numId="29" w16cid:durableId="222720132">
    <w:abstractNumId w:val="12"/>
  </w:num>
  <w:num w:numId="30" w16cid:durableId="2072921521">
    <w:abstractNumId w:val="35"/>
  </w:num>
  <w:num w:numId="31" w16cid:durableId="676464647">
    <w:abstractNumId w:val="22"/>
  </w:num>
  <w:num w:numId="32" w16cid:durableId="1218249738">
    <w:abstractNumId w:val="25"/>
  </w:num>
  <w:num w:numId="33" w16cid:durableId="1294098688">
    <w:abstractNumId w:val="34"/>
  </w:num>
  <w:num w:numId="34" w16cid:durableId="752504844">
    <w:abstractNumId w:val="7"/>
  </w:num>
  <w:num w:numId="35" w16cid:durableId="405495661">
    <w:abstractNumId w:val="36"/>
  </w:num>
  <w:num w:numId="36" w16cid:durableId="653417341">
    <w:abstractNumId w:val="23"/>
  </w:num>
  <w:num w:numId="37" w16cid:durableId="780296754">
    <w:abstractNumId w:val="6"/>
  </w:num>
  <w:num w:numId="38" w16cid:durableId="153255849">
    <w:abstractNumId w:val="21"/>
  </w:num>
  <w:num w:numId="39" w16cid:durableId="78403917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715"/>
    <w:rsid w:val="00031E96"/>
    <w:rsid w:val="0003480F"/>
    <w:rsid w:val="00042E11"/>
    <w:rsid w:val="00046945"/>
    <w:rsid w:val="00046C11"/>
    <w:rsid w:val="00053DED"/>
    <w:rsid w:val="00061B2A"/>
    <w:rsid w:val="000662CB"/>
    <w:rsid w:val="00070BF0"/>
    <w:rsid w:val="00082362"/>
    <w:rsid w:val="000907FF"/>
    <w:rsid w:val="00091A32"/>
    <w:rsid w:val="000A683E"/>
    <w:rsid w:val="000B19B9"/>
    <w:rsid w:val="000B4FA5"/>
    <w:rsid w:val="000C762A"/>
    <w:rsid w:val="000D0334"/>
    <w:rsid w:val="000D2FED"/>
    <w:rsid w:val="000E1C46"/>
    <w:rsid w:val="000E7AA1"/>
    <w:rsid w:val="000F07EB"/>
    <w:rsid w:val="000F2222"/>
    <w:rsid w:val="000F6486"/>
    <w:rsid w:val="00103B90"/>
    <w:rsid w:val="00125105"/>
    <w:rsid w:val="00127233"/>
    <w:rsid w:val="0013630D"/>
    <w:rsid w:val="001511A0"/>
    <w:rsid w:val="0015444C"/>
    <w:rsid w:val="00156F3F"/>
    <w:rsid w:val="00183336"/>
    <w:rsid w:val="001939CB"/>
    <w:rsid w:val="00194937"/>
    <w:rsid w:val="001A6583"/>
    <w:rsid w:val="001B319A"/>
    <w:rsid w:val="001B6B96"/>
    <w:rsid w:val="001C174F"/>
    <w:rsid w:val="001D1756"/>
    <w:rsid w:val="001E4177"/>
    <w:rsid w:val="001F663F"/>
    <w:rsid w:val="001F7DC6"/>
    <w:rsid w:val="002009FB"/>
    <w:rsid w:val="00203E0B"/>
    <w:rsid w:val="00205479"/>
    <w:rsid w:val="00212642"/>
    <w:rsid w:val="00215206"/>
    <w:rsid w:val="00222AE3"/>
    <w:rsid w:val="002421BB"/>
    <w:rsid w:val="002423EE"/>
    <w:rsid w:val="00242FED"/>
    <w:rsid w:val="00245A1E"/>
    <w:rsid w:val="0025796E"/>
    <w:rsid w:val="002707A2"/>
    <w:rsid w:val="0028106D"/>
    <w:rsid w:val="00282E11"/>
    <w:rsid w:val="00286F68"/>
    <w:rsid w:val="002951A0"/>
    <w:rsid w:val="002962BC"/>
    <w:rsid w:val="002A093D"/>
    <w:rsid w:val="002A0DD0"/>
    <w:rsid w:val="002A49AC"/>
    <w:rsid w:val="002A64FD"/>
    <w:rsid w:val="002A7DD8"/>
    <w:rsid w:val="002C0393"/>
    <w:rsid w:val="002C7A84"/>
    <w:rsid w:val="002D4A66"/>
    <w:rsid w:val="002E4FD9"/>
    <w:rsid w:val="002F2B7D"/>
    <w:rsid w:val="003007B5"/>
    <w:rsid w:val="00302C65"/>
    <w:rsid w:val="003037F8"/>
    <w:rsid w:val="00310DA4"/>
    <w:rsid w:val="003210BD"/>
    <w:rsid w:val="00322A85"/>
    <w:rsid w:val="00323054"/>
    <w:rsid w:val="0032344D"/>
    <w:rsid w:val="00324168"/>
    <w:rsid w:val="00324E0B"/>
    <w:rsid w:val="003448F4"/>
    <w:rsid w:val="00346217"/>
    <w:rsid w:val="00356999"/>
    <w:rsid w:val="003639A5"/>
    <w:rsid w:val="00374F5E"/>
    <w:rsid w:val="00375A69"/>
    <w:rsid w:val="00377E3E"/>
    <w:rsid w:val="00380918"/>
    <w:rsid w:val="003971DC"/>
    <w:rsid w:val="003A2E2D"/>
    <w:rsid w:val="003A779E"/>
    <w:rsid w:val="003B1736"/>
    <w:rsid w:val="003D0F4D"/>
    <w:rsid w:val="003D2678"/>
    <w:rsid w:val="003D5B0D"/>
    <w:rsid w:val="003E0499"/>
    <w:rsid w:val="003E2F6B"/>
    <w:rsid w:val="003F3941"/>
    <w:rsid w:val="00406575"/>
    <w:rsid w:val="00407E88"/>
    <w:rsid w:val="004138FA"/>
    <w:rsid w:val="00414C74"/>
    <w:rsid w:val="0041525F"/>
    <w:rsid w:val="00415D34"/>
    <w:rsid w:val="00426213"/>
    <w:rsid w:val="0042722E"/>
    <w:rsid w:val="004423E3"/>
    <w:rsid w:val="0044528D"/>
    <w:rsid w:val="0045001C"/>
    <w:rsid w:val="00473696"/>
    <w:rsid w:val="00475AA4"/>
    <w:rsid w:val="00480E56"/>
    <w:rsid w:val="00487F18"/>
    <w:rsid w:val="0049089A"/>
    <w:rsid w:val="00493AF3"/>
    <w:rsid w:val="004A1847"/>
    <w:rsid w:val="004A305D"/>
    <w:rsid w:val="004B36AC"/>
    <w:rsid w:val="004B50C2"/>
    <w:rsid w:val="004B682E"/>
    <w:rsid w:val="004B6A47"/>
    <w:rsid w:val="004C28B2"/>
    <w:rsid w:val="004C63BA"/>
    <w:rsid w:val="004C7829"/>
    <w:rsid w:val="004F06EF"/>
    <w:rsid w:val="004F21C4"/>
    <w:rsid w:val="004F462A"/>
    <w:rsid w:val="004F685F"/>
    <w:rsid w:val="0050790C"/>
    <w:rsid w:val="0053223E"/>
    <w:rsid w:val="005359FF"/>
    <w:rsid w:val="00537729"/>
    <w:rsid w:val="005566E8"/>
    <w:rsid w:val="0056164A"/>
    <w:rsid w:val="00567040"/>
    <w:rsid w:val="00574867"/>
    <w:rsid w:val="00574F32"/>
    <w:rsid w:val="005760D5"/>
    <w:rsid w:val="005764F6"/>
    <w:rsid w:val="005806A6"/>
    <w:rsid w:val="00591460"/>
    <w:rsid w:val="005948AC"/>
    <w:rsid w:val="005B3816"/>
    <w:rsid w:val="005B4680"/>
    <w:rsid w:val="005B65F1"/>
    <w:rsid w:val="005C3777"/>
    <w:rsid w:val="005C4991"/>
    <w:rsid w:val="005C5CDC"/>
    <w:rsid w:val="005C7DAB"/>
    <w:rsid w:val="005D476C"/>
    <w:rsid w:val="005D6FC4"/>
    <w:rsid w:val="005E69AD"/>
    <w:rsid w:val="00602354"/>
    <w:rsid w:val="0061329B"/>
    <w:rsid w:val="006219F8"/>
    <w:rsid w:val="00631045"/>
    <w:rsid w:val="00637BBF"/>
    <w:rsid w:val="006420DB"/>
    <w:rsid w:val="006437E3"/>
    <w:rsid w:val="00656A22"/>
    <w:rsid w:val="00665D70"/>
    <w:rsid w:val="00675FED"/>
    <w:rsid w:val="00685502"/>
    <w:rsid w:val="006874D3"/>
    <w:rsid w:val="00687D47"/>
    <w:rsid w:val="006900D9"/>
    <w:rsid w:val="006A0288"/>
    <w:rsid w:val="006A7425"/>
    <w:rsid w:val="006B2C02"/>
    <w:rsid w:val="006C1039"/>
    <w:rsid w:val="006D7121"/>
    <w:rsid w:val="006F60F9"/>
    <w:rsid w:val="00706C16"/>
    <w:rsid w:val="007108E5"/>
    <w:rsid w:val="0072552A"/>
    <w:rsid w:val="0073141C"/>
    <w:rsid w:val="00747A2A"/>
    <w:rsid w:val="00756841"/>
    <w:rsid w:val="00763E4A"/>
    <w:rsid w:val="007649AB"/>
    <w:rsid w:val="00771D0C"/>
    <w:rsid w:val="00773148"/>
    <w:rsid w:val="007733E9"/>
    <w:rsid w:val="007833AC"/>
    <w:rsid w:val="00794CF0"/>
    <w:rsid w:val="007A08A9"/>
    <w:rsid w:val="007A16C2"/>
    <w:rsid w:val="007B268C"/>
    <w:rsid w:val="007B7171"/>
    <w:rsid w:val="007C0C0F"/>
    <w:rsid w:val="007C3DC2"/>
    <w:rsid w:val="007E5497"/>
    <w:rsid w:val="00806F5F"/>
    <w:rsid w:val="00810CF4"/>
    <w:rsid w:val="00820278"/>
    <w:rsid w:val="00826A46"/>
    <w:rsid w:val="008303DD"/>
    <w:rsid w:val="008323CA"/>
    <w:rsid w:val="008336AA"/>
    <w:rsid w:val="00854443"/>
    <w:rsid w:val="00867581"/>
    <w:rsid w:val="00867F95"/>
    <w:rsid w:val="008843B6"/>
    <w:rsid w:val="00885EDB"/>
    <w:rsid w:val="00891928"/>
    <w:rsid w:val="00894D4F"/>
    <w:rsid w:val="008A217A"/>
    <w:rsid w:val="008A30DF"/>
    <w:rsid w:val="008A446D"/>
    <w:rsid w:val="008A5CDB"/>
    <w:rsid w:val="008A65FF"/>
    <w:rsid w:val="008B22D4"/>
    <w:rsid w:val="008B5BD4"/>
    <w:rsid w:val="008B6069"/>
    <w:rsid w:val="008D180B"/>
    <w:rsid w:val="008E2259"/>
    <w:rsid w:val="008E2432"/>
    <w:rsid w:val="008F0EA7"/>
    <w:rsid w:val="008F7110"/>
    <w:rsid w:val="009015F2"/>
    <w:rsid w:val="0090373B"/>
    <w:rsid w:val="009144A7"/>
    <w:rsid w:val="009144FE"/>
    <w:rsid w:val="00916515"/>
    <w:rsid w:val="00923EEF"/>
    <w:rsid w:val="00926872"/>
    <w:rsid w:val="00933CFF"/>
    <w:rsid w:val="009419F9"/>
    <w:rsid w:val="00943E42"/>
    <w:rsid w:val="00951BE3"/>
    <w:rsid w:val="009552F8"/>
    <w:rsid w:val="0095685E"/>
    <w:rsid w:val="00961B09"/>
    <w:rsid w:val="00965334"/>
    <w:rsid w:val="0097093E"/>
    <w:rsid w:val="00972BE4"/>
    <w:rsid w:val="009763D2"/>
    <w:rsid w:val="00980385"/>
    <w:rsid w:val="00986AC5"/>
    <w:rsid w:val="009A0DFA"/>
    <w:rsid w:val="009A2609"/>
    <w:rsid w:val="009A5D6C"/>
    <w:rsid w:val="009B2D26"/>
    <w:rsid w:val="009C3C72"/>
    <w:rsid w:val="009C71FA"/>
    <w:rsid w:val="009C72E7"/>
    <w:rsid w:val="009D0270"/>
    <w:rsid w:val="009D3058"/>
    <w:rsid w:val="009E066B"/>
    <w:rsid w:val="009E7558"/>
    <w:rsid w:val="009F3A13"/>
    <w:rsid w:val="009F52CB"/>
    <w:rsid w:val="00A01384"/>
    <w:rsid w:val="00A10BE8"/>
    <w:rsid w:val="00A122D3"/>
    <w:rsid w:val="00A17F13"/>
    <w:rsid w:val="00A20739"/>
    <w:rsid w:val="00A2105A"/>
    <w:rsid w:val="00A24C35"/>
    <w:rsid w:val="00A33C78"/>
    <w:rsid w:val="00A46BDF"/>
    <w:rsid w:val="00A51CB5"/>
    <w:rsid w:val="00A52834"/>
    <w:rsid w:val="00A54961"/>
    <w:rsid w:val="00A64017"/>
    <w:rsid w:val="00A67421"/>
    <w:rsid w:val="00A800B4"/>
    <w:rsid w:val="00AA1AB8"/>
    <w:rsid w:val="00AB0ADB"/>
    <w:rsid w:val="00AC032B"/>
    <w:rsid w:val="00AC19F6"/>
    <w:rsid w:val="00AD1D1F"/>
    <w:rsid w:val="00AF5AD6"/>
    <w:rsid w:val="00AF6E4E"/>
    <w:rsid w:val="00B01B1A"/>
    <w:rsid w:val="00B023E1"/>
    <w:rsid w:val="00B0362B"/>
    <w:rsid w:val="00B0429C"/>
    <w:rsid w:val="00B10334"/>
    <w:rsid w:val="00B13ACF"/>
    <w:rsid w:val="00B13F9B"/>
    <w:rsid w:val="00B23BA1"/>
    <w:rsid w:val="00B2560E"/>
    <w:rsid w:val="00B31D93"/>
    <w:rsid w:val="00B403F3"/>
    <w:rsid w:val="00B41E30"/>
    <w:rsid w:val="00B45CE8"/>
    <w:rsid w:val="00B460A5"/>
    <w:rsid w:val="00B54B1C"/>
    <w:rsid w:val="00B66319"/>
    <w:rsid w:val="00B72CD3"/>
    <w:rsid w:val="00B72F80"/>
    <w:rsid w:val="00B72FFF"/>
    <w:rsid w:val="00B74C13"/>
    <w:rsid w:val="00B97F61"/>
    <w:rsid w:val="00BA29CE"/>
    <w:rsid w:val="00BA41B4"/>
    <w:rsid w:val="00BA7AA4"/>
    <w:rsid w:val="00BB5A06"/>
    <w:rsid w:val="00BB6CF9"/>
    <w:rsid w:val="00BB7180"/>
    <w:rsid w:val="00BB7335"/>
    <w:rsid w:val="00BB7ECF"/>
    <w:rsid w:val="00BC3D36"/>
    <w:rsid w:val="00BD7F72"/>
    <w:rsid w:val="00BE36F8"/>
    <w:rsid w:val="00C04FB3"/>
    <w:rsid w:val="00C14BFF"/>
    <w:rsid w:val="00C17C49"/>
    <w:rsid w:val="00C203C3"/>
    <w:rsid w:val="00C21F3A"/>
    <w:rsid w:val="00C22001"/>
    <w:rsid w:val="00C31B11"/>
    <w:rsid w:val="00C330EB"/>
    <w:rsid w:val="00C41061"/>
    <w:rsid w:val="00C47954"/>
    <w:rsid w:val="00C47F96"/>
    <w:rsid w:val="00C63058"/>
    <w:rsid w:val="00C721CD"/>
    <w:rsid w:val="00C754BE"/>
    <w:rsid w:val="00C76B1C"/>
    <w:rsid w:val="00C84124"/>
    <w:rsid w:val="00C8467B"/>
    <w:rsid w:val="00C846DC"/>
    <w:rsid w:val="00C90C14"/>
    <w:rsid w:val="00C91AF4"/>
    <w:rsid w:val="00C9219A"/>
    <w:rsid w:val="00CA01D8"/>
    <w:rsid w:val="00CA184F"/>
    <w:rsid w:val="00CA6159"/>
    <w:rsid w:val="00CB6357"/>
    <w:rsid w:val="00CB7B40"/>
    <w:rsid w:val="00CC1B26"/>
    <w:rsid w:val="00CC4186"/>
    <w:rsid w:val="00CC5B4B"/>
    <w:rsid w:val="00CD0A5B"/>
    <w:rsid w:val="00CE4121"/>
    <w:rsid w:val="00CE429E"/>
    <w:rsid w:val="00CE66CC"/>
    <w:rsid w:val="00CE685E"/>
    <w:rsid w:val="00D10C3B"/>
    <w:rsid w:val="00D10FFF"/>
    <w:rsid w:val="00D237B8"/>
    <w:rsid w:val="00D32BBA"/>
    <w:rsid w:val="00D36635"/>
    <w:rsid w:val="00D423A2"/>
    <w:rsid w:val="00D431A3"/>
    <w:rsid w:val="00D44DAC"/>
    <w:rsid w:val="00D51274"/>
    <w:rsid w:val="00D520D8"/>
    <w:rsid w:val="00D52AEA"/>
    <w:rsid w:val="00D5385A"/>
    <w:rsid w:val="00D63AC2"/>
    <w:rsid w:val="00D7383B"/>
    <w:rsid w:val="00D73921"/>
    <w:rsid w:val="00D75DA2"/>
    <w:rsid w:val="00D807CA"/>
    <w:rsid w:val="00D80C98"/>
    <w:rsid w:val="00DA231B"/>
    <w:rsid w:val="00DB1CDB"/>
    <w:rsid w:val="00DC366F"/>
    <w:rsid w:val="00DC39FC"/>
    <w:rsid w:val="00DF5254"/>
    <w:rsid w:val="00E10F5E"/>
    <w:rsid w:val="00E16408"/>
    <w:rsid w:val="00E1659F"/>
    <w:rsid w:val="00E20894"/>
    <w:rsid w:val="00E245AB"/>
    <w:rsid w:val="00E25A6A"/>
    <w:rsid w:val="00E2764C"/>
    <w:rsid w:val="00E27F2E"/>
    <w:rsid w:val="00E41707"/>
    <w:rsid w:val="00E445EC"/>
    <w:rsid w:val="00E50AFE"/>
    <w:rsid w:val="00E53417"/>
    <w:rsid w:val="00E75C92"/>
    <w:rsid w:val="00E771DC"/>
    <w:rsid w:val="00E8182D"/>
    <w:rsid w:val="00E8772A"/>
    <w:rsid w:val="00E90F6B"/>
    <w:rsid w:val="00E92C27"/>
    <w:rsid w:val="00E96AE3"/>
    <w:rsid w:val="00E976F8"/>
    <w:rsid w:val="00EA0E3D"/>
    <w:rsid w:val="00EA3856"/>
    <w:rsid w:val="00EA70F7"/>
    <w:rsid w:val="00EB76B6"/>
    <w:rsid w:val="00EC197C"/>
    <w:rsid w:val="00EC38A7"/>
    <w:rsid w:val="00ED706A"/>
    <w:rsid w:val="00ED7384"/>
    <w:rsid w:val="00EE1AA8"/>
    <w:rsid w:val="00EF204B"/>
    <w:rsid w:val="00EF736C"/>
    <w:rsid w:val="00F04945"/>
    <w:rsid w:val="00F05362"/>
    <w:rsid w:val="00F124F7"/>
    <w:rsid w:val="00F16E96"/>
    <w:rsid w:val="00F2696E"/>
    <w:rsid w:val="00F2789C"/>
    <w:rsid w:val="00F30C63"/>
    <w:rsid w:val="00F31EDC"/>
    <w:rsid w:val="00F33245"/>
    <w:rsid w:val="00F416A1"/>
    <w:rsid w:val="00F418EF"/>
    <w:rsid w:val="00F462B3"/>
    <w:rsid w:val="00F47338"/>
    <w:rsid w:val="00F5664F"/>
    <w:rsid w:val="00F634C7"/>
    <w:rsid w:val="00F666C4"/>
    <w:rsid w:val="00F76AFC"/>
    <w:rsid w:val="00F90546"/>
    <w:rsid w:val="00F9591F"/>
    <w:rsid w:val="00F95D89"/>
    <w:rsid w:val="00FA0C2E"/>
    <w:rsid w:val="00FA3CFE"/>
    <w:rsid w:val="00FA47C0"/>
    <w:rsid w:val="00FB5DD1"/>
    <w:rsid w:val="00FC13EB"/>
    <w:rsid w:val="00FC2B5D"/>
    <w:rsid w:val="00FC6FA1"/>
    <w:rsid w:val="00FF1449"/>
    <w:rsid w:val="00FF395A"/>
    <w:rsid w:val="00FF49D7"/>
    <w:rsid w:val="00FF5A9D"/>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182D"/>
    <w:rPr>
      <w:rFonts w:ascii="Geomanist Light" w:hAnsi="Geomanist Light"/>
      <w:lang w:val="es-ES"/>
    </w:rPr>
  </w:style>
  <w:style w:type="paragraph" w:customStyle="1" w:styleId="Appelnotedebasde">
    <w:name w:val="Appel note de bas de..."/>
    <w:basedOn w:val="Normal"/>
    <w:link w:val="Refdenotaalpie"/>
    <w:uiPriority w:val="99"/>
    <w:rsid w:val="00E8182D"/>
    <w:pPr>
      <w:spacing w:line="240" w:lineRule="exact"/>
    </w:pPr>
    <w:rPr>
      <w:vertAlign w:val="superscript"/>
    </w:rPr>
  </w:style>
  <w:style w:type="character" w:styleId="Refdecomentario">
    <w:name w:val="annotation reference"/>
    <w:basedOn w:val="Fuentedeprrafopredeter"/>
    <w:uiPriority w:val="99"/>
    <w:semiHidden/>
    <w:unhideWhenUsed/>
    <w:rsid w:val="00BA7AA4"/>
    <w:rPr>
      <w:sz w:val="16"/>
      <w:szCs w:val="16"/>
    </w:rPr>
  </w:style>
  <w:style w:type="paragraph" w:styleId="Textocomentario">
    <w:name w:val="annotation text"/>
    <w:basedOn w:val="Normal"/>
    <w:link w:val="TextocomentarioCar"/>
    <w:uiPriority w:val="99"/>
    <w:unhideWhenUsed/>
    <w:rsid w:val="00BA7AA4"/>
    <w:pPr>
      <w:spacing w:line="240" w:lineRule="auto"/>
    </w:pPr>
    <w:rPr>
      <w:sz w:val="20"/>
      <w:szCs w:val="20"/>
    </w:rPr>
  </w:style>
  <w:style w:type="character" w:customStyle="1" w:styleId="TextocomentarioCar">
    <w:name w:val="Texto comentario Car"/>
    <w:basedOn w:val="Fuentedeprrafopredeter"/>
    <w:link w:val="Textocomentario"/>
    <w:uiPriority w:val="99"/>
    <w:rsid w:val="00BA7AA4"/>
    <w:rPr>
      <w:sz w:val="20"/>
      <w:szCs w:val="20"/>
    </w:rPr>
  </w:style>
  <w:style w:type="paragraph" w:styleId="Asuntodelcomentario">
    <w:name w:val="annotation subject"/>
    <w:basedOn w:val="Textocomentario"/>
    <w:next w:val="Textocomentario"/>
    <w:link w:val="AsuntodelcomentarioCar"/>
    <w:uiPriority w:val="99"/>
    <w:semiHidden/>
    <w:unhideWhenUsed/>
    <w:rsid w:val="00BA7AA4"/>
    <w:rPr>
      <w:b/>
      <w:bCs/>
    </w:rPr>
  </w:style>
  <w:style w:type="character" w:customStyle="1" w:styleId="AsuntodelcomentarioCar">
    <w:name w:val="Asunto del comentario Car"/>
    <w:basedOn w:val="TextocomentarioCar"/>
    <w:link w:val="Asuntodelcomentario"/>
    <w:uiPriority w:val="99"/>
    <w:semiHidden/>
    <w:rsid w:val="00BA7AA4"/>
    <w:rPr>
      <w:b/>
      <w:bCs/>
      <w:sz w:val="20"/>
      <w:szCs w:val="20"/>
    </w:rPr>
  </w:style>
  <w:style w:type="paragraph" w:styleId="Textoindependiente">
    <w:name w:val="Body Text"/>
    <w:basedOn w:val="Normal"/>
    <w:link w:val="TextoindependienteCar"/>
    <w:uiPriority w:val="1"/>
    <w:qFormat/>
    <w:rsid w:val="00CE429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E429E"/>
    <w:rPr>
      <w:rFonts w:ascii="Arial" w:eastAsia="Arial" w:hAnsi="Arial" w:cs="Arial"/>
      <w:lang w:val="es-ES"/>
    </w:rPr>
  </w:style>
  <w:style w:type="character" w:styleId="Fuerte">
    <w:name w:val="Strong"/>
    <w:basedOn w:val="Fuentedeprrafopredeter"/>
    <w:uiPriority w:val="22"/>
    <w:qFormat/>
    <w:rsid w:val="001D1756"/>
    <w:rPr>
      <w:b/>
      <w:bCs/>
    </w:rPr>
  </w:style>
  <w:style w:type="character" w:customStyle="1" w:styleId="NormalWebCar">
    <w:name w:val="Normal (Web) Car"/>
    <w:link w:val="NormalWeb"/>
    <w:uiPriority w:val="99"/>
    <w:rsid w:val="00480E56"/>
    <w:rPr>
      <w:rFonts w:ascii="Times New Roman" w:eastAsia="Times New Roman" w:hAnsi="Times New Roman" w:cs="Times New Roman"/>
      <w:sz w:val="24"/>
      <w:szCs w:val="24"/>
      <w:lang w:eastAsia="es-CO"/>
    </w:rPr>
  </w:style>
  <w:style w:type="paragraph" w:styleId="Sinespaciado">
    <w:name w:val="No Spacing"/>
    <w:aliases w:val="No Indent"/>
    <w:link w:val="SinespaciadoCar"/>
    <w:uiPriority w:val="3"/>
    <w:qFormat/>
    <w:rsid w:val="001C174F"/>
    <w:pPr>
      <w:spacing w:after="0" w:line="240" w:lineRule="auto"/>
    </w:pPr>
    <w:rPr>
      <w:sz w:val="24"/>
      <w:lang w:val="es-MX"/>
    </w:rPr>
  </w:style>
  <w:style w:type="character" w:customStyle="1" w:styleId="SinespaciadoCar">
    <w:name w:val="Sin espaciado Car"/>
    <w:aliases w:val="No Indent Car"/>
    <w:link w:val="Sinespaciado"/>
    <w:uiPriority w:val="3"/>
    <w:rsid w:val="001C174F"/>
    <w:rPr>
      <w:sz w:val="24"/>
      <w:lang w:val="es-MX"/>
    </w:rPr>
  </w:style>
  <w:style w:type="character" w:customStyle="1" w:styleId="baj">
    <w:name w:val="b_aj"/>
    <w:basedOn w:val="Fuentedeprrafopredeter"/>
    <w:rsid w:val="00FF49D7"/>
  </w:style>
  <w:style w:type="character" w:styleId="nfasis">
    <w:name w:val="Emphasis"/>
    <w:basedOn w:val="Fuentedeprrafopredeter"/>
    <w:uiPriority w:val="20"/>
    <w:qFormat/>
    <w:rsid w:val="00FF49D7"/>
    <w:rPr>
      <w:i/>
      <w:iCs/>
    </w:rPr>
  </w:style>
  <w:style w:type="paragraph" w:customStyle="1" w:styleId="TableParagraph">
    <w:name w:val="Table Paragraph"/>
    <w:basedOn w:val="Normal"/>
    <w:uiPriority w:val="1"/>
    <w:qFormat/>
    <w:rsid w:val="00C31B11"/>
    <w:pPr>
      <w:widowControl w:val="0"/>
      <w:autoSpaceDE w:val="0"/>
      <w:autoSpaceDN w:val="0"/>
      <w:spacing w:after="0" w:line="208" w:lineRule="exact"/>
      <w:ind w:left="119"/>
    </w:pPr>
    <w:rPr>
      <w:rFonts w:ascii="Calibri" w:eastAsia="Calibri" w:hAnsi="Calibri" w:cs="Calibri"/>
      <w:lang w:val="es-ES"/>
    </w:rPr>
  </w:style>
  <w:style w:type="table" w:customStyle="1" w:styleId="TableNormal1">
    <w:name w:val="Table Normal1"/>
    <w:uiPriority w:val="2"/>
    <w:semiHidden/>
    <w:unhideWhenUsed/>
    <w:qFormat/>
    <w:rsid w:val="00C31B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superscript">
    <w:name w:val="superscript"/>
    <w:basedOn w:val="Fuentedeprrafopredeter"/>
    <w:rsid w:val="00A54961"/>
  </w:style>
  <w:style w:type="character" w:customStyle="1" w:styleId="spellingerror">
    <w:name w:val="spellingerror"/>
    <w:basedOn w:val="Fuentedeprrafopredeter"/>
    <w:rsid w:val="00933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eicp-ma-04._manual_requisitos_habilitantes_v3_29-09-2023.pdf"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ndyortecnologias@gmail.com"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providencias-consejo-de-estad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A09CFA-D771-431F-A5B2-F4E675905C2B}"/>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DDA5537-7C51-42CD-BD85-281A9E281B60}">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1898</TotalTime>
  <Pages>20</Pages>
  <Words>6498</Words>
  <Characters>35739</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112</cp:revision>
  <cp:lastPrinted>2023-01-10T21:18:00Z</cp:lastPrinted>
  <dcterms:created xsi:type="dcterms:W3CDTF">2025-08-19T14:54:00Z</dcterms:created>
  <dcterms:modified xsi:type="dcterms:W3CDTF">2026-02-01T17:47:00Z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