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FAA0D6" w14:textId="77777777" w:rsidR="00A332C4" w:rsidRPr="00B771A8" w:rsidRDefault="00A332C4" w:rsidP="00A332C4">
      <w:pPr>
        <w:spacing w:after="0" w:line="240" w:lineRule="auto"/>
        <w:jc w:val="both"/>
        <w:rPr>
          <w:rFonts w:ascii="Verdana" w:eastAsia="Calibri" w:hAnsi="Verdana"/>
          <w:b/>
          <w:bCs/>
          <w:lang w:val="es-ES_tradnl" w:eastAsia="es-ES_tradnl"/>
        </w:rPr>
      </w:pPr>
      <w:r w:rsidRPr="00B771A8">
        <w:rPr>
          <w:rFonts w:ascii="Verdana" w:eastAsia="Times New Roman" w:hAnsi="Verdana"/>
          <w:b/>
          <w:bCs/>
          <w:lang w:val="es-ES_tradnl" w:eastAsia="es-ES_tradnl"/>
        </w:rPr>
        <w:t xml:space="preserve">CONTRATOS CON ESAL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Artículo 355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Constitución </w:t>
      </w:r>
      <w:r w:rsidRPr="00B771A8">
        <w:rPr>
          <w:rFonts w:ascii="Verdana" w:eastAsia="Calibri" w:hAnsi="Verdana"/>
          <w:b/>
          <w:bCs/>
          <w:lang w:val="es-ES_tradnl" w:eastAsia="es-ES_tradnl"/>
        </w:rPr>
        <w:t xml:space="preserve">– Artículo 96 – Ley 489 – Fundamento </w:t>
      </w:r>
    </w:p>
    <w:p w14:paraId="5CF91C5D" w14:textId="77777777" w:rsidR="00A332C4" w:rsidRDefault="00A332C4" w:rsidP="00A332C4">
      <w:pPr>
        <w:spacing w:after="0" w:line="240" w:lineRule="auto"/>
        <w:jc w:val="both"/>
        <w:rPr>
          <w:rFonts w:ascii="Verdana" w:eastAsia="Calibri" w:hAnsi="Verdana" w:cs="Arial"/>
          <w:color w:val="000000" w:themeColor="text1"/>
          <w:sz w:val="20"/>
          <w:szCs w:val="20"/>
        </w:rPr>
      </w:pPr>
    </w:p>
    <w:p w14:paraId="5BC207D5" w14:textId="77777777" w:rsidR="00A332C4" w:rsidRPr="00B771A8" w:rsidRDefault="00A332C4" w:rsidP="00A332C4">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En concordancia, el artículo 96 de la Ley 489 de 1998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3DB34D5F" w14:textId="77777777" w:rsidR="00A332C4" w:rsidRPr="00B771A8" w:rsidRDefault="00A332C4" w:rsidP="00A332C4">
      <w:pPr>
        <w:spacing w:after="0" w:line="240" w:lineRule="auto"/>
        <w:jc w:val="both"/>
        <w:rPr>
          <w:rFonts w:ascii="Verdana" w:eastAsia="Calibri" w:hAnsi="Verdana"/>
          <w:sz w:val="20"/>
          <w:szCs w:val="20"/>
          <w:lang w:eastAsia="es-ES_tradnl"/>
        </w:rPr>
      </w:pPr>
    </w:p>
    <w:p w14:paraId="22AC0AEF" w14:textId="77777777" w:rsidR="00A332C4" w:rsidRPr="00B771A8" w:rsidRDefault="00A332C4" w:rsidP="00A332C4">
      <w:pPr>
        <w:spacing w:after="0" w:line="240" w:lineRule="auto"/>
        <w:jc w:val="both"/>
        <w:rPr>
          <w:rFonts w:ascii="Verdana" w:eastAsia="Calibri" w:hAnsi="Verdana" w:cs="Arial"/>
          <w:b/>
          <w:color w:val="000000"/>
          <w:lang w:val="es-MX"/>
        </w:rPr>
      </w:pPr>
      <w:r w:rsidRPr="00B771A8">
        <w:rPr>
          <w:rFonts w:ascii="Verdana" w:eastAsia="Calibri" w:hAnsi="Verdana" w:cs="Arial"/>
          <w:b/>
          <w:color w:val="000000"/>
          <w:lang w:val="es-MX"/>
        </w:rPr>
        <w:t xml:space="preserve">CONVENIOS DE ASOCIACIÓN – Objeto – Alcance – Aportes </w:t>
      </w:r>
    </w:p>
    <w:p w14:paraId="3D2C28FF" w14:textId="77777777" w:rsidR="00A332C4" w:rsidRDefault="00A332C4" w:rsidP="00A332C4">
      <w:pPr>
        <w:spacing w:after="0" w:line="240" w:lineRule="auto"/>
        <w:jc w:val="both"/>
        <w:rPr>
          <w:rFonts w:ascii="Verdana" w:eastAsia="Calibri" w:hAnsi="Verdana" w:cs="Arial"/>
          <w:color w:val="000000" w:themeColor="text1"/>
          <w:sz w:val="20"/>
          <w:szCs w:val="20"/>
        </w:rPr>
      </w:pPr>
    </w:p>
    <w:p w14:paraId="622DA4FD" w14:textId="77777777" w:rsidR="00A332C4" w:rsidRPr="00B771A8" w:rsidRDefault="00A332C4" w:rsidP="00A332C4">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 xml:space="preserve">De otro lado, los </w:t>
      </w:r>
      <w:r w:rsidRPr="00B771A8">
        <w:rPr>
          <w:rFonts w:ascii="Verdana" w:eastAsia="Calibri" w:hAnsi="Verdana" w:cs="Arial"/>
          <w:i/>
          <w:iCs/>
          <w:color w:val="000000" w:themeColor="text1"/>
          <w:sz w:val="20"/>
          <w:szCs w:val="20"/>
        </w:rPr>
        <w:t xml:space="preserve">convenios de asociación </w:t>
      </w:r>
      <w:r w:rsidRPr="00B771A8">
        <w:rPr>
          <w:rFonts w:ascii="Verdana" w:eastAsia="Calibri" w:hAnsi="Verdana" w:cs="Arial"/>
          <w:color w:val="000000" w:themeColor="text1"/>
          <w:sz w:val="20"/>
          <w:szCs w:val="20"/>
        </w:rPr>
        <w:t>– a los cuales hace referencia en su consulta – “[…] [t]</w:t>
      </w:r>
      <w:proofErr w:type="spellStart"/>
      <w:r w:rsidRPr="00B771A8">
        <w:rPr>
          <w:rFonts w:ascii="Verdana" w:eastAsia="Calibri" w:hAnsi="Verdana" w:cs="Arial"/>
          <w:color w:val="000000" w:themeColor="text1"/>
          <w:sz w:val="20"/>
          <w:szCs w:val="20"/>
        </w:rPr>
        <w:t>ienen</w:t>
      </w:r>
      <w:proofErr w:type="spellEnd"/>
      <w:r w:rsidRPr="00B771A8">
        <w:rPr>
          <w:rFonts w:ascii="Verdana" w:eastAsia="Calibri" w:hAnsi="Verdana" w:cs="Arial"/>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0C1F5C66" w14:textId="77777777" w:rsidR="00A332C4" w:rsidRPr="00B771A8" w:rsidRDefault="00A332C4" w:rsidP="00A332C4">
      <w:pPr>
        <w:spacing w:after="0" w:line="240" w:lineRule="auto"/>
        <w:jc w:val="both"/>
        <w:rPr>
          <w:rFonts w:ascii="Verdana" w:eastAsia="Calibri" w:hAnsi="Verdana" w:cs="Arial"/>
          <w:bCs/>
          <w:color w:val="000000"/>
          <w:sz w:val="20"/>
          <w:szCs w:val="20"/>
        </w:rPr>
      </w:pPr>
    </w:p>
    <w:p w14:paraId="2A286A68" w14:textId="77777777" w:rsidR="00A332C4" w:rsidRPr="00B771A8" w:rsidRDefault="00A332C4" w:rsidP="00A332C4">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w:t>
      </w:r>
    </w:p>
    <w:p w14:paraId="6B86D7D8" w14:textId="77777777" w:rsidR="00A332C4" w:rsidRDefault="00A332C4" w:rsidP="00A332C4">
      <w:pPr>
        <w:spacing w:after="0" w:line="240" w:lineRule="auto"/>
        <w:jc w:val="both"/>
        <w:textAlignment w:val="baseline"/>
        <w:rPr>
          <w:rFonts w:ascii="Verdana" w:eastAsia="Calibri" w:hAnsi="Verdana"/>
          <w:sz w:val="20"/>
          <w:szCs w:val="20"/>
          <w:lang w:val="es-ES_tradnl" w:eastAsia="es-ES_tradnl"/>
        </w:rPr>
      </w:pPr>
    </w:p>
    <w:p w14:paraId="2F135EEC" w14:textId="77777777" w:rsidR="00A332C4" w:rsidRPr="00B771A8" w:rsidRDefault="00A332C4" w:rsidP="00A332C4">
      <w:pPr>
        <w:spacing w:after="0" w:line="240" w:lineRule="auto"/>
        <w:jc w:val="both"/>
        <w:textAlignment w:val="baseline"/>
        <w:rPr>
          <w:rFonts w:ascii="Verdana" w:eastAsia="Calibri" w:hAnsi="Verdana" w:cs="Arial"/>
          <w:sz w:val="20"/>
          <w:szCs w:val="20"/>
          <w:lang w:val="es-ES_tradnl" w:eastAsia="es-ES_tradnl"/>
        </w:rPr>
      </w:pPr>
      <w:r w:rsidRPr="00B771A8">
        <w:rPr>
          <w:rFonts w:ascii="Verdana" w:eastAsia="Calibri" w:hAnsi="Verdana"/>
          <w:sz w:val="20"/>
          <w:szCs w:val="20"/>
          <w:lang w:val="es-ES_tradnl" w:eastAsia="es-ES_tradnl"/>
        </w:rPr>
        <w:t xml:space="preserve">[…] </w:t>
      </w:r>
      <w:r w:rsidRPr="00B771A8">
        <w:rPr>
          <w:rFonts w:ascii="Verdana" w:eastAsia="Calibri" w:hAnsi="Verdana" w:cs="Arial"/>
          <w:sz w:val="20"/>
          <w:szCs w:val="20"/>
          <w:lang w:val="es-ES_tradnl" w:eastAsia="es-ES_tradnl"/>
        </w:rPr>
        <w:t>el artículo 5 del Decreto 092 de 2017</w:t>
      </w:r>
      <w:r w:rsidRPr="00B771A8">
        <w:rPr>
          <w:sz w:val="20"/>
          <w:szCs w:val="20"/>
          <w:vertAlign w:val="superscript"/>
          <w:lang w:eastAsia="es-ES_tradnl"/>
        </w:rPr>
        <w:t xml:space="preserve"> </w:t>
      </w:r>
      <w:r w:rsidRPr="00B771A8">
        <w:rPr>
          <w:rFonts w:ascii="Verdana" w:eastAsia="Calibri" w:hAnsi="Verdana" w:cs="Arial"/>
          <w:sz w:val="20"/>
          <w:szCs w:val="20"/>
          <w:lang w:val="es-ES_tradnl" w:eastAsia="es-ES_tradnl"/>
        </w:rPr>
        <w:t xml:space="preserve">establece que, </w:t>
      </w:r>
      <w:r w:rsidRPr="00B771A8">
        <w:rPr>
          <w:rFonts w:ascii="Verdana" w:eastAsia="Calibri" w:hAnsi="Verdana" w:cs="Arial"/>
          <w:sz w:val="20"/>
          <w:szCs w:val="20"/>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 pues en este evento también se tendría que realizar un proceso competitivo. </w:t>
      </w:r>
    </w:p>
    <w:p w14:paraId="152D5B7A" w14:textId="77777777" w:rsidR="00A332C4" w:rsidRPr="00B771A8" w:rsidRDefault="00A332C4" w:rsidP="00A332C4">
      <w:pPr>
        <w:spacing w:after="0" w:line="240" w:lineRule="auto"/>
        <w:jc w:val="both"/>
        <w:rPr>
          <w:rFonts w:ascii="Verdana" w:eastAsia="Calibri" w:hAnsi="Verdana"/>
          <w:sz w:val="20"/>
          <w:szCs w:val="20"/>
          <w:lang w:val="es-ES_tradnl" w:eastAsia="es-ES_tradnl"/>
        </w:rPr>
      </w:pPr>
    </w:p>
    <w:p w14:paraId="081B25B3" w14:textId="77777777" w:rsidR="00A332C4" w:rsidRPr="00B771A8" w:rsidRDefault="00A332C4" w:rsidP="00A332C4">
      <w:pPr>
        <w:spacing w:after="0" w:line="240" w:lineRule="auto"/>
        <w:jc w:val="both"/>
        <w:rPr>
          <w:rFonts w:ascii="Verdana" w:eastAsia="Calibri" w:hAnsi="Verdana"/>
          <w:b/>
          <w:bCs/>
          <w:lang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 Aportes en dinero – Aportes en especie </w:t>
      </w:r>
    </w:p>
    <w:p w14:paraId="1481F75B" w14:textId="77777777" w:rsidR="00A332C4" w:rsidRDefault="00A332C4" w:rsidP="00A332C4">
      <w:pPr>
        <w:spacing w:after="0" w:line="240" w:lineRule="auto"/>
        <w:jc w:val="both"/>
        <w:rPr>
          <w:rFonts w:ascii="Verdana" w:eastAsia="Calibri" w:hAnsi="Verdana" w:cs="Arial"/>
          <w:sz w:val="20"/>
          <w:szCs w:val="20"/>
        </w:rPr>
      </w:pPr>
    </w:p>
    <w:p w14:paraId="58FB21CB" w14:textId="77777777" w:rsidR="00A332C4" w:rsidRDefault="00A332C4" w:rsidP="00A332C4">
      <w:pPr>
        <w:spacing w:after="0" w:line="240" w:lineRule="auto"/>
        <w:jc w:val="both"/>
        <w:rPr>
          <w:rFonts w:ascii="Verdana" w:eastAsia="Calibri" w:hAnsi="Verdana" w:cs="Arial"/>
          <w:i/>
          <w:iCs/>
          <w:sz w:val="20"/>
          <w:szCs w:val="20"/>
        </w:rPr>
      </w:pPr>
      <w:r w:rsidRPr="00B771A8">
        <w:rPr>
          <w:rFonts w:ascii="Verdana" w:eastAsia="Calibri" w:hAnsi="Verdana" w:cs="Arial"/>
          <w:sz w:val="20"/>
          <w:szCs w:val="20"/>
        </w:rPr>
        <w:t xml:space="preserve">En relación con los aportes que debe comprometer la ESAL para no someter a un proceso competitivo la selección de la ESAL ha surgido el interrogante si los aportes en especie se deben tener en cuenta para el cálculo del treinta por ciento (30%) del aporte. 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w:t>
      </w:r>
      <w:r w:rsidRPr="00B771A8">
        <w:rPr>
          <w:rFonts w:ascii="Verdana" w:eastAsia="Calibri" w:hAnsi="Verdana" w:cs="Arial"/>
          <w:sz w:val="20"/>
          <w:szCs w:val="20"/>
        </w:rPr>
        <w:lastRenderedPageBreak/>
        <w:t xml:space="preserve">de los recursos </w:t>
      </w:r>
      <w:r w:rsidRPr="00B771A8">
        <w:rPr>
          <w:rFonts w:ascii="Verdana" w:eastAsia="Calibri" w:hAnsi="Verdana" w:cs="Arial"/>
          <w:i/>
          <w:iCs/>
          <w:sz w:val="20"/>
          <w:szCs w:val="20"/>
        </w:rPr>
        <w:t xml:space="preserve">en dinero </w:t>
      </w:r>
      <w:r w:rsidRPr="00B771A8">
        <w:rPr>
          <w:rFonts w:ascii="Verdana" w:eastAsia="Calibri" w:hAnsi="Verdana" w:cs="Arial"/>
          <w:sz w:val="20"/>
          <w:szCs w:val="20"/>
        </w:rPr>
        <w:t xml:space="preserve">requeridos para la ejecución proyecto, el cual corresponderá al valor por el que se celebrará el </w:t>
      </w:r>
      <w:r w:rsidRPr="00B771A8">
        <w:rPr>
          <w:rFonts w:ascii="Verdana" w:eastAsia="Calibri" w:hAnsi="Verdana" w:cs="Arial"/>
          <w:i/>
          <w:iCs/>
          <w:sz w:val="20"/>
          <w:szCs w:val="20"/>
        </w:rPr>
        <w:t>convenio de asociación”.</w:t>
      </w:r>
    </w:p>
    <w:p w14:paraId="354C4A61" w14:textId="77777777" w:rsidR="00A332C4" w:rsidRPr="00B771A8" w:rsidRDefault="00A332C4" w:rsidP="00A332C4">
      <w:pPr>
        <w:spacing w:after="0" w:line="240" w:lineRule="auto"/>
        <w:jc w:val="both"/>
        <w:rPr>
          <w:rFonts w:ascii="Verdana" w:eastAsia="Calibri" w:hAnsi="Verdana"/>
          <w:sz w:val="20"/>
          <w:szCs w:val="20"/>
          <w:lang w:eastAsia="es-ES_tradnl"/>
        </w:rPr>
      </w:pPr>
    </w:p>
    <w:p w14:paraId="4ACE38B7" w14:textId="77777777" w:rsidR="00A332C4" w:rsidRPr="00B771A8" w:rsidRDefault="00A332C4" w:rsidP="00A332C4">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Mecanismo de recaudo </w:t>
      </w:r>
    </w:p>
    <w:p w14:paraId="64629746" w14:textId="77777777" w:rsidR="00A332C4" w:rsidRDefault="00A332C4" w:rsidP="00A332C4">
      <w:pPr>
        <w:spacing w:after="0" w:line="240" w:lineRule="auto"/>
        <w:jc w:val="both"/>
        <w:rPr>
          <w:rFonts w:ascii="Verdana" w:eastAsia="Calibri" w:hAnsi="Verdana" w:cs="Arial"/>
          <w:sz w:val="20"/>
          <w:szCs w:val="20"/>
          <w:lang w:val="es-ES_tradnl" w:eastAsia="es-ES_tradnl"/>
        </w:rPr>
      </w:pPr>
    </w:p>
    <w:p w14:paraId="35524D9E" w14:textId="77777777" w:rsidR="00A332C4" w:rsidRPr="00B771A8" w:rsidRDefault="00A332C4" w:rsidP="00A332C4">
      <w:pPr>
        <w:spacing w:after="0" w:line="240" w:lineRule="auto"/>
        <w:jc w:val="both"/>
        <w:rPr>
          <w:rFonts w:ascii="Verdana" w:eastAsia="Calibri" w:hAnsi="Verdana" w:cs="Arial"/>
          <w:sz w:val="20"/>
          <w:szCs w:val="20"/>
        </w:rPr>
      </w:pPr>
      <w:r>
        <w:rPr>
          <w:rFonts w:ascii="Verdana" w:eastAsia="Calibri" w:hAnsi="Verdana" w:cs="Arial"/>
          <w:sz w:val="20"/>
          <w:szCs w:val="20"/>
          <w:lang w:val="es-ES_tradnl" w:eastAsia="es-ES_tradnl"/>
        </w:rPr>
        <w:t xml:space="preserve">[…] </w:t>
      </w:r>
      <w:r w:rsidRPr="00B771A8">
        <w:rPr>
          <w:rFonts w:ascii="Verdana" w:eastAsia="Calibri" w:hAnsi="Verdana" w:cs="Arial"/>
          <w:sz w:val="20"/>
          <w:szCs w:val="20"/>
          <w:lang w:val="es-ES_tradnl" w:eastAsia="es-ES_tradnl"/>
        </w:rPr>
        <w:t xml:space="preserve">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w:t>
      </w:r>
    </w:p>
    <w:p w14:paraId="31788389" w14:textId="77777777" w:rsidR="00A332C4" w:rsidRPr="00B771A8" w:rsidRDefault="00A332C4" w:rsidP="00A332C4">
      <w:pPr>
        <w:pStyle w:val="Prrafodelista"/>
        <w:spacing w:after="0" w:line="240" w:lineRule="auto"/>
        <w:contextualSpacing w:val="0"/>
        <w:rPr>
          <w:rFonts w:ascii="Verdana" w:eastAsia="Calibri" w:hAnsi="Verdana" w:cs="Arial"/>
          <w:sz w:val="20"/>
          <w:szCs w:val="20"/>
          <w:lang w:val="es-ES_tradnl" w:eastAsia="es-ES_tradnl"/>
        </w:rPr>
      </w:pPr>
    </w:p>
    <w:p w14:paraId="775AF023" w14:textId="77777777" w:rsidR="00A332C4" w:rsidRPr="00B771A8" w:rsidRDefault="00A332C4" w:rsidP="00A332C4">
      <w:pPr>
        <w:spacing w:after="0" w:line="240" w:lineRule="auto"/>
        <w:jc w:val="both"/>
        <w:rPr>
          <w:rFonts w:ascii="Verdana" w:eastAsia="Calibri" w:hAnsi="Verdana" w:cs="Arial"/>
          <w:sz w:val="20"/>
          <w:szCs w:val="20"/>
        </w:rPr>
      </w:pPr>
      <w:r w:rsidRPr="00B771A8">
        <w:rPr>
          <w:rFonts w:ascii="Verdana" w:eastAsia="Calibri" w:hAnsi="Verdana" w:cs="Arial"/>
          <w:sz w:val="20"/>
          <w:szCs w:val="20"/>
          <w:lang w:val="es-ES_tradnl" w:eastAsia="es-ES_tradnl"/>
        </w:rPr>
        <w:t xml:space="preserve">Al respecto, </w:t>
      </w:r>
      <w:r w:rsidRPr="00B771A8">
        <w:rPr>
          <w:rFonts w:ascii="Verdana" w:eastAsia="Calibri" w:hAnsi="Verdana" w:cs="Arial"/>
          <w:sz w:val="20"/>
          <w:szCs w:val="20"/>
          <w:lang w:eastAsia="es-ES"/>
        </w:rPr>
        <w:t>se precisa</w:t>
      </w:r>
      <w:r w:rsidRPr="00B771A8">
        <w:rPr>
          <w:rFonts w:ascii="Verdana" w:eastAsia="Calibri" w:hAnsi="Verdana" w:cs="Arial"/>
          <w:sz w:val="20"/>
          <w:szCs w:val="20"/>
          <w:lang w:val="es-ES_tradnl" w:eastAsia="es-ES_tradnl"/>
        </w:rPr>
        <w:t xml:space="preserve"> que, la entidad será autónoma en definir el mecanismo que le parezca más conveniente para el recaudo de los recursos económicos, </w:t>
      </w:r>
      <w:r w:rsidRPr="00B771A8">
        <w:rPr>
          <w:rFonts w:ascii="Verdana" w:hAnsi="Verdana" w:cs="Arial"/>
          <w:color w:val="000000" w:themeColor="text1"/>
          <w:sz w:val="20"/>
          <w:szCs w:val="20"/>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p>
    <w:p w14:paraId="76BB78F4" w14:textId="77777777" w:rsidR="00A332C4" w:rsidRDefault="00A332C4" w:rsidP="00A332C4">
      <w:pPr>
        <w:rPr>
          <w:rFonts w:ascii="Verdana" w:hAnsi="Verdana"/>
        </w:rPr>
      </w:pPr>
      <w:r>
        <w:rPr>
          <w:rFonts w:ascii="Verdana" w:hAnsi="Verdana"/>
        </w:rPr>
        <w:br w:type="page"/>
      </w:r>
    </w:p>
    <w:p w14:paraId="111C2DCB" w14:textId="7DAA1770" w:rsidR="00A332C4" w:rsidRPr="00960F72" w:rsidRDefault="005C4430" w:rsidP="00A332C4">
      <w:pPr>
        <w:spacing w:after="0" w:line="240" w:lineRule="auto"/>
        <w:rPr>
          <w:rFonts w:ascii="Verdana" w:eastAsia="Calibri" w:hAnsi="Verdana" w:cs="Arial"/>
          <w:bCs/>
          <w:sz w:val="20"/>
          <w:szCs w:val="20"/>
          <w:lang w:eastAsia="es-ES_tradnl"/>
        </w:rPr>
      </w:pPr>
      <w:r w:rsidRPr="005C4430">
        <w:rPr>
          <w:rFonts w:ascii="Verdana" w:eastAsia="Calibri" w:hAnsi="Verdana" w:cs="Arial"/>
          <w:b/>
          <w:bCs/>
          <w:lang w:eastAsia="es-ES_tradnl"/>
        </w:rPr>
        <w:lastRenderedPageBreak/>
        <w:drawing>
          <wp:anchor distT="0" distB="0" distL="114300" distR="114300" simplePos="0" relativeHeight="251658240" behindDoc="1" locked="0" layoutInCell="1" allowOverlap="1" wp14:anchorId="036B982B" wp14:editId="1248AA0E">
            <wp:simplePos x="0" y="0"/>
            <wp:positionH relativeFrom="margin">
              <wp:posOffset>3701415</wp:posOffset>
            </wp:positionH>
            <wp:positionV relativeFrom="paragraph">
              <wp:posOffset>8255</wp:posOffset>
            </wp:positionV>
            <wp:extent cx="2759710" cy="1025525"/>
            <wp:effectExtent l="0" t="0" r="2540" b="3175"/>
            <wp:wrapTight wrapText="bothSides">
              <wp:wrapPolygon edited="0">
                <wp:start x="0" y="0"/>
                <wp:lineTo x="0" y="21266"/>
                <wp:lineTo x="21471" y="21266"/>
                <wp:lineTo x="21471" y="0"/>
                <wp:lineTo x="0" y="0"/>
              </wp:wrapPolygon>
            </wp:wrapTight>
            <wp:docPr id="368403583" name="Imagen 1" descr="Interfaz de usuario gráfica, 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403583" name="Imagen 1" descr="Interfaz de usuario gráfica, Texto, Chat o mensaje de 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759710" cy="1025525"/>
                    </a:xfrm>
                    <a:prstGeom prst="rect">
                      <a:avLst/>
                    </a:prstGeom>
                  </pic:spPr>
                </pic:pic>
              </a:graphicData>
            </a:graphic>
            <wp14:sizeRelH relativeFrom="page">
              <wp14:pctWidth>0</wp14:pctWidth>
            </wp14:sizeRelH>
            <wp14:sizeRelV relativeFrom="page">
              <wp14:pctHeight>0</wp14:pctHeight>
            </wp14:sizeRelV>
          </wp:anchor>
        </w:drawing>
      </w:r>
      <w:r w:rsidR="00A332C4" w:rsidRPr="00960F72">
        <w:rPr>
          <w:rFonts w:ascii="Verdana" w:eastAsia="Geomanist Light" w:hAnsi="Verdana" w:cs="Arial"/>
        </w:rPr>
        <w:t>Bogotá D.C., [Día] de [</w:t>
      </w:r>
      <w:proofErr w:type="spellStart"/>
      <w:r w:rsidR="00A332C4" w:rsidRPr="00960F72">
        <w:rPr>
          <w:rFonts w:ascii="Verdana" w:eastAsia="Geomanist Light" w:hAnsi="Verdana" w:cs="Arial"/>
        </w:rPr>
        <w:t>Mes.NombreCapitalizado</w:t>
      </w:r>
      <w:proofErr w:type="spellEnd"/>
      <w:r w:rsidR="00A332C4" w:rsidRPr="00960F72">
        <w:rPr>
          <w:rFonts w:ascii="Verdana" w:eastAsia="Geomanist Light" w:hAnsi="Verdana" w:cs="Arial"/>
        </w:rPr>
        <w:t>] de [Año]</w:t>
      </w:r>
    </w:p>
    <w:p w14:paraId="01156FAF" w14:textId="77777777" w:rsidR="00A332C4" w:rsidRPr="00960F72" w:rsidRDefault="00A332C4" w:rsidP="00A332C4">
      <w:pPr>
        <w:spacing w:after="0" w:line="240" w:lineRule="auto"/>
        <w:jc w:val="both"/>
        <w:rPr>
          <w:rFonts w:ascii="Verdana" w:eastAsia="Calibri" w:hAnsi="Verdana" w:cs="Arial"/>
        </w:rPr>
      </w:pPr>
    </w:p>
    <w:p w14:paraId="2E6A4320" w14:textId="64D80AB0" w:rsidR="00A332C4" w:rsidRPr="00A518F4" w:rsidRDefault="00A332C4" w:rsidP="00A332C4">
      <w:pPr>
        <w:spacing w:after="0" w:line="240" w:lineRule="auto"/>
        <w:jc w:val="both"/>
        <w:rPr>
          <w:rFonts w:ascii="Verdana" w:eastAsia="Calibri" w:hAnsi="Verdana" w:cs="Arial"/>
          <w:lang w:eastAsia="es-ES"/>
        </w:rPr>
      </w:pPr>
      <w:r w:rsidRPr="00A518F4">
        <w:rPr>
          <w:rFonts w:ascii="Verdana" w:eastAsia="Calibri" w:hAnsi="Verdana" w:cs="Arial"/>
          <w:lang w:eastAsia="es-ES"/>
        </w:rPr>
        <w:t>Señor</w:t>
      </w:r>
    </w:p>
    <w:p w14:paraId="3D9DDF18" w14:textId="359CC8D8" w:rsidR="00A332C4" w:rsidRPr="00A518F4" w:rsidRDefault="00A332C4" w:rsidP="00A332C4">
      <w:pPr>
        <w:spacing w:after="0" w:line="240" w:lineRule="auto"/>
        <w:jc w:val="both"/>
        <w:rPr>
          <w:rFonts w:ascii="Verdana" w:eastAsia="Calibri" w:hAnsi="Verdana" w:cs="Arial"/>
          <w:lang w:eastAsia="es-ES"/>
        </w:rPr>
      </w:pPr>
      <w:r>
        <w:rPr>
          <w:rFonts w:ascii="Verdana" w:eastAsia="Calibri" w:hAnsi="Verdana" w:cs="Arial"/>
          <w:b/>
          <w:bCs/>
          <w:lang w:eastAsia="es-ES"/>
        </w:rPr>
        <w:t>Jesús Enrique Garnica Valbuena</w:t>
      </w:r>
    </w:p>
    <w:p w14:paraId="6C847119" w14:textId="41745C7F" w:rsidR="00A332C4" w:rsidRPr="00A518F4" w:rsidRDefault="00000000" w:rsidP="00A332C4">
      <w:pPr>
        <w:spacing w:after="0" w:line="240" w:lineRule="auto"/>
        <w:jc w:val="both"/>
        <w:rPr>
          <w:rFonts w:ascii="Verdana" w:eastAsia="Calibri" w:hAnsi="Verdana" w:cs="Arial"/>
          <w:lang w:eastAsia="es-ES"/>
        </w:rPr>
      </w:pPr>
      <w:hyperlink r:id="rId11" w:history="1">
        <w:r w:rsidR="00F90599" w:rsidRPr="0088589F">
          <w:rPr>
            <w:rStyle w:val="Hipervnculo"/>
            <w:rFonts w:ascii="Verdana" w:hAnsi="Verdana"/>
          </w:rPr>
          <w:t>Jesusenriquegarnica@gmail.com</w:t>
        </w:r>
      </w:hyperlink>
      <w:r w:rsidR="00F90599">
        <w:rPr>
          <w:rFonts w:ascii="Verdana" w:hAnsi="Verdana"/>
        </w:rPr>
        <w:t xml:space="preserve"> </w:t>
      </w:r>
    </w:p>
    <w:p w14:paraId="2FF3B848" w14:textId="458800DF" w:rsidR="00A332C4" w:rsidRPr="00A518F4" w:rsidRDefault="00A332C4" w:rsidP="00A332C4">
      <w:pPr>
        <w:spacing w:after="0" w:line="240" w:lineRule="auto"/>
        <w:rPr>
          <w:rFonts w:ascii="Verdana" w:eastAsia="Calibri" w:hAnsi="Verdana" w:cs="Arial"/>
          <w:b/>
          <w:bCs/>
          <w:lang w:eastAsia="es-ES"/>
        </w:rPr>
      </w:pPr>
      <w:r>
        <w:rPr>
          <w:rFonts w:ascii="Verdana" w:eastAsia="Calibri" w:hAnsi="Verdana" w:cs="Arial"/>
          <w:lang w:eastAsia="es-ES"/>
        </w:rPr>
        <w:t>Nemocón, Cundinamarca</w:t>
      </w:r>
    </w:p>
    <w:p w14:paraId="33F160B9" w14:textId="4AD9B6B5" w:rsidR="00A332C4" w:rsidRPr="00A518F4" w:rsidRDefault="00A332C4" w:rsidP="00A332C4">
      <w:pPr>
        <w:spacing w:after="0" w:line="240" w:lineRule="auto"/>
        <w:rPr>
          <w:rFonts w:ascii="Verdana" w:eastAsia="Calibri" w:hAnsi="Verdana" w:cs="Arial"/>
          <w:b/>
          <w:bCs/>
          <w:lang w:eastAsia="es-ES_tradnl"/>
        </w:rPr>
      </w:pPr>
    </w:p>
    <w:p w14:paraId="4E186662" w14:textId="27583305" w:rsidR="00A332C4" w:rsidRPr="00960F72" w:rsidRDefault="00A332C4" w:rsidP="00A332C4">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55"/>
        <w:gridCol w:w="6434"/>
      </w:tblGrid>
      <w:tr w:rsidR="00A332C4" w:rsidRPr="00960F72" w14:paraId="5FE5E235" w14:textId="77777777" w:rsidTr="00973611">
        <w:trPr>
          <w:trHeight w:val="190"/>
        </w:trPr>
        <w:tc>
          <w:tcPr>
            <w:tcW w:w="2355" w:type="dxa"/>
          </w:tcPr>
          <w:p w14:paraId="191C9AE4" w14:textId="77777777" w:rsidR="00A332C4" w:rsidRPr="00960F72" w:rsidRDefault="00A332C4" w:rsidP="00973611">
            <w:pPr>
              <w:jc w:val="both"/>
              <w:rPr>
                <w:rFonts w:ascii="Verdana" w:eastAsia="Calibri" w:hAnsi="Verdana" w:cs="Arial"/>
                <w:b/>
                <w:bCs/>
                <w:lang w:eastAsia="es-ES_tradnl"/>
              </w:rPr>
            </w:pPr>
          </w:p>
        </w:tc>
        <w:tc>
          <w:tcPr>
            <w:tcW w:w="6434" w:type="dxa"/>
          </w:tcPr>
          <w:p w14:paraId="796ED5C5" w14:textId="77777777" w:rsidR="00A332C4" w:rsidRPr="00960F72" w:rsidRDefault="00A332C4" w:rsidP="00973611">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502</w:t>
            </w:r>
            <w:r w:rsidRPr="00960F72">
              <w:rPr>
                <w:rFonts w:ascii="Verdana" w:eastAsia="Calibri" w:hAnsi="Verdana" w:cs="Arial"/>
                <w:b/>
                <w:bCs/>
                <w:lang w:eastAsia="es-ES"/>
              </w:rPr>
              <w:t xml:space="preserve"> de 2025</w:t>
            </w:r>
          </w:p>
          <w:p w14:paraId="2C0BE892" w14:textId="77777777" w:rsidR="00A332C4" w:rsidRPr="00960F72" w:rsidRDefault="00A332C4" w:rsidP="00973611">
            <w:pPr>
              <w:jc w:val="both"/>
              <w:rPr>
                <w:rFonts w:ascii="Verdana" w:eastAsia="Calibri" w:hAnsi="Verdana" w:cs="Arial"/>
                <w:b/>
                <w:bCs/>
                <w:lang w:eastAsia="es-ES"/>
              </w:rPr>
            </w:pPr>
          </w:p>
        </w:tc>
      </w:tr>
      <w:tr w:rsidR="00A332C4" w:rsidRPr="00960F72" w14:paraId="10F66283" w14:textId="77777777" w:rsidTr="00973611">
        <w:trPr>
          <w:trHeight w:val="884"/>
        </w:trPr>
        <w:tc>
          <w:tcPr>
            <w:tcW w:w="2355" w:type="dxa"/>
          </w:tcPr>
          <w:p w14:paraId="1123FBCD" w14:textId="77777777" w:rsidR="00A332C4" w:rsidRPr="00960F72" w:rsidRDefault="00A332C4" w:rsidP="00973611">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434" w:type="dxa"/>
          </w:tcPr>
          <w:p w14:paraId="2C7F9435" w14:textId="77777777" w:rsidR="00A332C4" w:rsidRPr="00837EFF" w:rsidRDefault="00A332C4" w:rsidP="00E277D4">
            <w:pPr>
              <w:jc w:val="both"/>
              <w:rPr>
                <w:rFonts w:ascii="Verdana" w:eastAsia="Calibri" w:hAnsi="Verdana"/>
                <w:lang w:val="es-ES_tradnl" w:eastAsia="es-ES_tradnl"/>
              </w:rPr>
            </w:pPr>
            <w:r w:rsidRPr="003D0CA0">
              <w:rPr>
                <w:rFonts w:ascii="Verdana" w:eastAsia="Times New Roman" w:hAnsi="Verdana"/>
                <w:lang w:val="es-ES_tradnl" w:eastAsia="es-ES_tradnl"/>
              </w:rPr>
              <w:t xml:space="preserve">CONTRATOS CON ESAL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Artículo 355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Constitución </w:t>
            </w:r>
            <w:r w:rsidRPr="003D0CA0">
              <w:rPr>
                <w:rFonts w:ascii="Verdana" w:eastAsia="Calibri" w:hAnsi="Verdana"/>
                <w:lang w:val="es-ES_tradnl" w:eastAsia="es-ES_tradnl"/>
              </w:rPr>
              <w:t xml:space="preserve">– Artículo 96 – Ley 489 – Fundamento / </w:t>
            </w:r>
            <w:r w:rsidRPr="003D0CA0">
              <w:rPr>
                <w:rFonts w:ascii="Verdana" w:eastAsia="Calibri" w:hAnsi="Verdana" w:cs="Arial"/>
                <w:bCs/>
                <w:color w:val="000000"/>
                <w:lang w:val="es-MX"/>
              </w:rPr>
              <w:t xml:space="preserve">CONVENIOS DE ASOCIACIÓN – Objeto – Alcance – Aportes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Aportes en dinero – Aportes en especie </w:t>
            </w:r>
            <w:r w:rsidRPr="003D0CA0">
              <w:rPr>
                <w:rFonts w:ascii="Verdana" w:eastAsia="Calibri" w:hAnsi="Verdana"/>
                <w:lang w:eastAsia="es-ES_tradnl"/>
              </w:rPr>
              <w:t>/ CONVENIOS DE ASOCIACIÓN – Aporte económico de la ESAL – Mecanismo de recaudo</w:t>
            </w:r>
            <w:r>
              <w:rPr>
                <w:rFonts w:ascii="Verdana" w:eastAsia="Calibri" w:hAnsi="Verdana"/>
                <w:lang w:eastAsia="es-ES_tradnl"/>
              </w:rPr>
              <w:t xml:space="preserve">. </w:t>
            </w:r>
            <w:r w:rsidRPr="00F93094">
              <w:rPr>
                <w:rFonts w:ascii="Verdana" w:eastAsia="Calibri" w:hAnsi="Verdana" w:cs="Arial"/>
                <w:lang w:val="es-ES"/>
              </w:rPr>
              <w:t xml:space="preserve">  </w:t>
            </w:r>
          </w:p>
          <w:p w14:paraId="35657997" w14:textId="77777777" w:rsidR="00A332C4" w:rsidRPr="00960F72" w:rsidRDefault="00A332C4" w:rsidP="00973611">
            <w:pPr>
              <w:jc w:val="both"/>
              <w:rPr>
                <w:rFonts w:ascii="Verdana" w:eastAsia="Calibri" w:hAnsi="Verdana" w:cs="Arial"/>
                <w:lang w:eastAsia="es-ES"/>
              </w:rPr>
            </w:pPr>
          </w:p>
        </w:tc>
      </w:tr>
      <w:tr w:rsidR="00A332C4" w:rsidRPr="00960F72" w14:paraId="557F5664" w14:textId="77777777" w:rsidTr="00973611">
        <w:tc>
          <w:tcPr>
            <w:tcW w:w="2355" w:type="dxa"/>
          </w:tcPr>
          <w:p w14:paraId="572DE819" w14:textId="77777777" w:rsidR="00A332C4" w:rsidRPr="00960F72" w:rsidRDefault="00A332C4" w:rsidP="00973611">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434" w:type="dxa"/>
          </w:tcPr>
          <w:p w14:paraId="172DDCE1" w14:textId="77777777" w:rsidR="00A332C4" w:rsidRPr="00960F72" w:rsidRDefault="00A332C4" w:rsidP="00973611">
            <w:pPr>
              <w:jc w:val="both"/>
              <w:rPr>
                <w:rFonts w:ascii="Verdana" w:eastAsia="Calibri" w:hAnsi="Verdana" w:cs="Arial"/>
                <w:lang w:eastAsia="es-ES_tradnl"/>
              </w:rPr>
            </w:pPr>
            <w:r w:rsidRPr="00960F72">
              <w:rPr>
                <w:rFonts w:ascii="Verdana" w:eastAsia="Calibri" w:hAnsi="Verdana" w:cs="Arial"/>
                <w:lang w:eastAsia="es-ES_tradnl"/>
              </w:rPr>
              <w:t xml:space="preserve">Respuesta a consulta con radicado No. </w:t>
            </w:r>
            <w:r w:rsidRPr="00837EFF">
              <w:rPr>
                <w:rFonts w:ascii="Verdana" w:eastAsia="Calibri" w:hAnsi="Verdana" w:cs="Arial"/>
                <w:lang w:eastAsia="es-ES_tradnl"/>
              </w:rPr>
              <w:t>1_2025_10_15_011568</w:t>
            </w:r>
          </w:p>
        </w:tc>
      </w:tr>
    </w:tbl>
    <w:p w14:paraId="11220C14" w14:textId="77777777" w:rsidR="00A332C4" w:rsidRPr="00960F72" w:rsidRDefault="00A332C4" w:rsidP="00A332C4">
      <w:pPr>
        <w:spacing w:after="0" w:line="240" w:lineRule="auto"/>
        <w:jc w:val="both"/>
        <w:rPr>
          <w:rFonts w:ascii="Verdana" w:eastAsia="Calibri" w:hAnsi="Verdana" w:cs="Arial"/>
          <w:lang w:eastAsia="es-ES_tradnl"/>
        </w:rPr>
      </w:pPr>
    </w:p>
    <w:p w14:paraId="62361542" w14:textId="77777777" w:rsidR="00A332C4" w:rsidRPr="00960F72" w:rsidRDefault="00A332C4" w:rsidP="00A332C4">
      <w:pPr>
        <w:spacing w:after="0" w:line="240" w:lineRule="auto"/>
        <w:jc w:val="both"/>
        <w:rPr>
          <w:rFonts w:ascii="Verdana" w:eastAsia="Calibri" w:hAnsi="Verdana" w:cs="Arial"/>
          <w:lang w:eastAsia="es-ES_tradnl"/>
        </w:rPr>
      </w:pPr>
    </w:p>
    <w:p w14:paraId="4FDA7571" w14:textId="77777777" w:rsidR="00A332C4" w:rsidRPr="00960F72" w:rsidRDefault="00A332C4" w:rsidP="00E277D4">
      <w:pPr>
        <w:spacing w:after="0" w:line="240"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 xml:space="preserve">o </w:t>
      </w:r>
      <w:r w:rsidRPr="00960F72">
        <w:rPr>
          <w:rFonts w:ascii="Verdana" w:eastAsia="Calibri" w:hAnsi="Verdana" w:cs="Arial"/>
          <w:lang w:eastAsia="es-ES"/>
        </w:rPr>
        <w:t>señor</w:t>
      </w:r>
      <w:r>
        <w:rPr>
          <w:rFonts w:ascii="Verdana" w:eastAsia="Calibri" w:hAnsi="Verdana" w:cs="Arial"/>
          <w:lang w:eastAsia="es-ES"/>
        </w:rPr>
        <w:t xml:space="preserve"> Garnica</w:t>
      </w:r>
      <w:r w:rsidRPr="00960F72">
        <w:rPr>
          <w:rFonts w:ascii="Verdana" w:eastAsia="Calibri" w:hAnsi="Verdana" w:cs="Arial"/>
          <w:lang w:eastAsia="es-ES"/>
        </w:rPr>
        <w:t xml:space="preserve">: </w:t>
      </w:r>
    </w:p>
    <w:p w14:paraId="0AD8628B" w14:textId="77777777" w:rsidR="00A332C4" w:rsidRPr="00960F72" w:rsidRDefault="00A332C4" w:rsidP="00A332C4">
      <w:pPr>
        <w:tabs>
          <w:tab w:val="left" w:pos="3768"/>
        </w:tabs>
        <w:spacing w:after="0" w:line="276" w:lineRule="auto"/>
        <w:jc w:val="both"/>
        <w:rPr>
          <w:rFonts w:ascii="Verdana" w:eastAsia="Calibri" w:hAnsi="Verdana" w:cs="Arial"/>
          <w:lang w:eastAsia="es-ES"/>
        </w:rPr>
      </w:pPr>
    </w:p>
    <w:p w14:paraId="2A4936F4" w14:textId="77777777" w:rsidR="00A332C4" w:rsidRPr="00960F72" w:rsidRDefault="00A332C4" w:rsidP="00A332C4">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15</w:t>
      </w:r>
      <w:r w:rsidRPr="00960F72">
        <w:rPr>
          <w:rFonts w:ascii="Verdana" w:eastAsia="Calibri" w:hAnsi="Verdana" w:cs="Arial"/>
          <w:lang w:eastAsia="es-ES"/>
        </w:rPr>
        <w:t xml:space="preserve"> de </w:t>
      </w:r>
      <w:r>
        <w:rPr>
          <w:rFonts w:ascii="Verdana" w:eastAsia="Calibri" w:hAnsi="Verdana" w:cs="Arial"/>
          <w:lang w:eastAsia="es-ES"/>
        </w:rPr>
        <w:t>octubre</w:t>
      </w:r>
      <w:r w:rsidRPr="00960F72">
        <w:rPr>
          <w:rFonts w:ascii="Verdana" w:eastAsia="Calibri" w:hAnsi="Verdana" w:cs="Arial"/>
          <w:lang w:eastAsia="es-ES"/>
        </w:rPr>
        <w:t xml:space="preserve"> de 2025, en la cual manifiesta lo siguiente: </w:t>
      </w:r>
    </w:p>
    <w:p w14:paraId="55CDFAEB" w14:textId="77777777" w:rsidR="00A332C4" w:rsidRPr="00960F72" w:rsidRDefault="00A332C4" w:rsidP="00A332C4">
      <w:pPr>
        <w:spacing w:after="0" w:line="276" w:lineRule="auto"/>
        <w:jc w:val="both"/>
        <w:rPr>
          <w:rFonts w:ascii="Verdana" w:eastAsia="Calibri" w:hAnsi="Verdana" w:cs="Arial"/>
          <w:lang w:eastAsia="es-ES"/>
        </w:rPr>
      </w:pPr>
    </w:p>
    <w:p w14:paraId="5A1FDFC3" w14:textId="77777777" w:rsidR="00A332C4" w:rsidRPr="003B3B6B" w:rsidRDefault="00A332C4" w:rsidP="00A332C4">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3B3B6B">
        <w:rPr>
          <w:rFonts w:ascii="Verdana" w:eastAsia="Calibri" w:hAnsi="Verdana" w:cs="Arial"/>
          <w:sz w:val="20"/>
          <w:szCs w:val="20"/>
          <w:lang w:eastAsia="es-ES"/>
        </w:rPr>
        <w:t>En el marco de la estructuración de un proyecto de interés público, se estimó un</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valor total de $445.077.912, con base en cotizaciones externas y análisis técnico.</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La entidad estatal cuenta con CDP por $311.554.538 (70% del total). En</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cumplimiento del artículo 5 del Decreto 092 de 2017, se prevé que la entidad sin</w:t>
      </w:r>
      <w:r>
        <w:rPr>
          <w:rFonts w:ascii="Verdana" w:eastAsia="Calibri" w:hAnsi="Verdana" w:cs="Arial"/>
          <w:sz w:val="20"/>
          <w:szCs w:val="20"/>
          <w:lang w:eastAsia="es-ES"/>
        </w:rPr>
        <w:t xml:space="preserve"> á</w:t>
      </w:r>
      <w:r w:rsidRPr="003B3B6B">
        <w:rPr>
          <w:rFonts w:ascii="Verdana" w:eastAsia="Calibri" w:hAnsi="Verdana" w:cs="Arial"/>
          <w:sz w:val="20"/>
          <w:szCs w:val="20"/>
          <w:lang w:eastAsia="es-ES"/>
        </w:rPr>
        <w:t>nimo de lucro aporte mínimo el 30% en dinero ($133.523.374). La invitación pública</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contempla que la celebración del convenio estará condicionada a la verificación de</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dicho aporte, sin comprometer recursos adicionales por parte de la entidad estatal.</w:t>
      </w:r>
    </w:p>
    <w:p w14:paraId="13D8263E" w14:textId="77777777" w:rsidR="00A332C4" w:rsidRDefault="00A332C4" w:rsidP="00A332C4">
      <w:pPr>
        <w:spacing w:after="0" w:line="240" w:lineRule="auto"/>
        <w:ind w:left="709" w:right="709"/>
        <w:jc w:val="both"/>
        <w:rPr>
          <w:rFonts w:ascii="Verdana" w:eastAsia="Calibri" w:hAnsi="Verdana" w:cs="Arial"/>
          <w:sz w:val="20"/>
          <w:szCs w:val="20"/>
          <w:lang w:eastAsia="es-ES"/>
        </w:rPr>
      </w:pPr>
      <w:r w:rsidRPr="003B3B6B">
        <w:rPr>
          <w:rFonts w:ascii="Verdana" w:eastAsia="Calibri" w:hAnsi="Verdana" w:cs="Arial"/>
          <w:sz w:val="20"/>
          <w:szCs w:val="20"/>
          <w:lang w:eastAsia="es-ES"/>
        </w:rPr>
        <w:lastRenderedPageBreak/>
        <w:t>En ese contexto, solicito a la Agencia Nacional de Contratación Pública concepto</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jurídico sobre la legalidad de publicar el valor total del proyecto en la invitación de</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manifestación de interés, cuando el CDP disponible solo respalda el 70% y el</w:t>
      </w:r>
      <w:r>
        <w:rPr>
          <w:rFonts w:ascii="Verdana" w:eastAsia="Calibri" w:hAnsi="Verdana" w:cs="Arial"/>
          <w:sz w:val="20"/>
          <w:szCs w:val="20"/>
          <w:lang w:eastAsia="es-ES"/>
        </w:rPr>
        <w:t xml:space="preserve"> </w:t>
      </w:r>
      <w:r w:rsidRPr="003B3B6B">
        <w:rPr>
          <w:rFonts w:ascii="Verdana" w:eastAsia="Calibri" w:hAnsi="Verdana" w:cs="Arial"/>
          <w:sz w:val="20"/>
          <w:szCs w:val="20"/>
          <w:lang w:eastAsia="es-ES"/>
        </w:rPr>
        <w:t>restante 30% corresponde al aporte exigido a la ESAL.</w:t>
      </w:r>
      <w:r>
        <w:rPr>
          <w:rFonts w:ascii="Verdana" w:eastAsia="Calibri" w:hAnsi="Verdana" w:cs="Arial"/>
          <w:sz w:val="20"/>
          <w:szCs w:val="20"/>
          <w:lang w:eastAsia="es-ES"/>
        </w:rPr>
        <w:t>”</w:t>
      </w:r>
    </w:p>
    <w:p w14:paraId="663FC94D" w14:textId="77777777" w:rsidR="00A332C4" w:rsidRPr="00755387" w:rsidRDefault="00A332C4" w:rsidP="00A332C4">
      <w:pPr>
        <w:spacing w:after="0" w:line="276" w:lineRule="auto"/>
        <w:ind w:left="709" w:right="709"/>
        <w:jc w:val="both"/>
        <w:rPr>
          <w:rFonts w:ascii="Verdana" w:eastAsia="Calibri" w:hAnsi="Verdana" w:cs="Arial"/>
          <w:lang w:eastAsia="es-ES"/>
        </w:rPr>
      </w:pPr>
    </w:p>
    <w:p w14:paraId="381A7254" w14:textId="77777777" w:rsidR="00A332C4" w:rsidRPr="00960F72" w:rsidRDefault="00A332C4" w:rsidP="00A332C4">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69A0D4CF" w14:textId="77777777" w:rsidR="00A332C4" w:rsidRPr="00960F72" w:rsidRDefault="00A332C4" w:rsidP="00A332C4">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5A10F04D" w14:textId="77777777" w:rsidR="00A332C4" w:rsidRPr="00960F72" w:rsidRDefault="00A332C4" w:rsidP="00A332C4">
      <w:pPr>
        <w:spacing w:after="0" w:line="276" w:lineRule="auto"/>
        <w:ind w:firstLine="709"/>
        <w:jc w:val="both"/>
        <w:rPr>
          <w:rFonts w:ascii="Verdana" w:eastAsia="Calibri" w:hAnsi="Verdana" w:cs="Arial"/>
          <w:lang w:eastAsia="es-ES"/>
        </w:rPr>
      </w:pPr>
    </w:p>
    <w:p w14:paraId="56DF916A" w14:textId="77777777" w:rsidR="00A332C4" w:rsidRPr="00960F72" w:rsidRDefault="00A332C4" w:rsidP="00AE222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59DA685F" w14:textId="77777777" w:rsidR="00A332C4" w:rsidRPr="00960F72" w:rsidRDefault="00A332C4" w:rsidP="00A332C4">
      <w:pPr>
        <w:tabs>
          <w:tab w:val="left" w:pos="426"/>
        </w:tabs>
        <w:spacing w:after="0" w:line="276" w:lineRule="auto"/>
        <w:jc w:val="both"/>
        <w:rPr>
          <w:rFonts w:ascii="Verdana" w:eastAsia="Century Gothic" w:hAnsi="Verdana" w:cs="Century Gothic"/>
        </w:rPr>
      </w:pPr>
    </w:p>
    <w:p w14:paraId="2AE2EEB0" w14:textId="2DD7BC22" w:rsidR="00A332C4" w:rsidRDefault="00A332C4" w:rsidP="00A332C4">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837EFF">
        <w:rPr>
          <w:rFonts w:ascii="Verdana" w:eastAsia="Century Gothic" w:hAnsi="Verdana" w:cs="Century Gothic"/>
        </w:rPr>
        <w:t>¿Es jurídicamente viable que, en los convenios de asociación regulados por el Decreto 092 de 2017, la entidad estatal publique el valor total del proyecto como valor del convenio, aun cuando el C</w:t>
      </w:r>
      <w:r w:rsidR="001A39AA">
        <w:rPr>
          <w:rFonts w:ascii="Verdana" w:eastAsia="Century Gothic" w:hAnsi="Verdana" w:cs="Century Gothic"/>
        </w:rPr>
        <w:t xml:space="preserve">ertificado de </w:t>
      </w:r>
      <w:r w:rsidRPr="00837EFF">
        <w:rPr>
          <w:rFonts w:ascii="Verdana" w:eastAsia="Century Gothic" w:hAnsi="Verdana" w:cs="Century Gothic"/>
        </w:rPr>
        <w:t>D</w:t>
      </w:r>
      <w:r w:rsidR="001A39AA">
        <w:rPr>
          <w:rFonts w:ascii="Verdana" w:eastAsia="Century Gothic" w:hAnsi="Verdana" w:cs="Century Gothic"/>
        </w:rPr>
        <w:t xml:space="preserve">isponibilidad </w:t>
      </w:r>
      <w:r w:rsidRPr="00837EFF">
        <w:rPr>
          <w:rFonts w:ascii="Verdana" w:eastAsia="Century Gothic" w:hAnsi="Verdana" w:cs="Century Gothic"/>
        </w:rPr>
        <w:t>P</w:t>
      </w:r>
      <w:r w:rsidR="001A39AA">
        <w:rPr>
          <w:rFonts w:ascii="Verdana" w:eastAsia="Century Gothic" w:hAnsi="Verdana" w:cs="Century Gothic"/>
        </w:rPr>
        <w:t>resupuestal</w:t>
      </w:r>
      <w:r w:rsidR="00A45BC5">
        <w:rPr>
          <w:rFonts w:ascii="Verdana" w:eastAsia="Century Gothic" w:hAnsi="Verdana" w:cs="Century Gothic"/>
        </w:rPr>
        <w:t xml:space="preserve">  - en adelante CDP –</w:t>
      </w:r>
      <w:r w:rsidRPr="00837EFF">
        <w:rPr>
          <w:rFonts w:ascii="Verdana" w:eastAsia="Century Gothic" w:hAnsi="Verdana" w:cs="Century Gothic"/>
        </w:rPr>
        <w:t xml:space="preserve"> solo respalde el aporte de la entidad pública y el restante corresponda al aporte en dinero </w:t>
      </w:r>
      <w:r w:rsidR="00727C98">
        <w:rPr>
          <w:rFonts w:ascii="Verdana" w:eastAsia="Century Gothic" w:hAnsi="Verdana" w:cs="Century Gothic"/>
        </w:rPr>
        <w:t>que entregará</w:t>
      </w:r>
      <w:r w:rsidRPr="00837EFF">
        <w:rPr>
          <w:rFonts w:ascii="Verdana" w:eastAsia="Century Gothic" w:hAnsi="Verdana" w:cs="Century Gothic"/>
        </w:rPr>
        <w:t xml:space="preserve"> la entidad sin ánimo de lucro</w:t>
      </w:r>
      <w:r w:rsidR="00B36CDF">
        <w:rPr>
          <w:rFonts w:ascii="Verdana" w:eastAsia="Century Gothic" w:hAnsi="Verdana" w:cs="Century Gothic"/>
        </w:rPr>
        <w:t xml:space="preserve"> – en adelante ESAL</w:t>
      </w:r>
      <w:r w:rsidRPr="00837EFF">
        <w:rPr>
          <w:rFonts w:ascii="Verdana" w:eastAsia="Century Gothic" w:hAnsi="Verdana" w:cs="Century Gothic"/>
        </w:rPr>
        <w:t>?</w:t>
      </w:r>
    </w:p>
    <w:p w14:paraId="2E0BB731" w14:textId="77777777" w:rsidR="005C4430" w:rsidRDefault="005C4430" w:rsidP="00A332C4">
      <w:pPr>
        <w:spacing w:after="0" w:line="276" w:lineRule="auto"/>
        <w:jc w:val="both"/>
        <w:rPr>
          <w:rFonts w:ascii="Verdana" w:eastAsia="Century Gothic" w:hAnsi="Verdana" w:cs="Century Gothic"/>
        </w:rPr>
      </w:pPr>
    </w:p>
    <w:p w14:paraId="5EEB982C" w14:textId="77777777" w:rsidR="00A332C4" w:rsidRDefault="00A332C4" w:rsidP="00A332C4">
      <w:pPr>
        <w:spacing w:after="0" w:line="276" w:lineRule="auto"/>
        <w:jc w:val="both"/>
        <w:rPr>
          <w:rFonts w:ascii="Verdana" w:eastAsia="Century Gothic" w:hAnsi="Verdana" w:cs="Century Gothic"/>
        </w:rPr>
      </w:pPr>
    </w:p>
    <w:p w14:paraId="72FEA48D" w14:textId="77777777" w:rsidR="005C4430" w:rsidRPr="00960F72" w:rsidRDefault="005C4430" w:rsidP="00A332C4">
      <w:pPr>
        <w:spacing w:after="0" w:line="276" w:lineRule="auto"/>
        <w:jc w:val="both"/>
        <w:rPr>
          <w:rFonts w:ascii="Verdana" w:eastAsia="Century Gothic" w:hAnsi="Verdana" w:cs="Century Gothic"/>
        </w:rPr>
      </w:pPr>
    </w:p>
    <w:p w14:paraId="357C2F90" w14:textId="7330FCD5" w:rsidR="00A332C4" w:rsidRDefault="00A332C4" w:rsidP="00A332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lastRenderedPageBreak/>
        <w:t>Respuesta:</w:t>
      </w:r>
    </w:p>
    <w:p w14:paraId="4403AA72" w14:textId="77777777" w:rsidR="005C4430" w:rsidRPr="005C4430" w:rsidRDefault="005C4430" w:rsidP="005C4430">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tbl>
      <w:tblPr>
        <w:tblStyle w:val="Tablaconcuadrcula"/>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31"/>
      </w:tblGrid>
      <w:tr w:rsidR="00A332C4" w:rsidRPr="00960F72" w14:paraId="735627BF" w14:textId="77777777" w:rsidTr="005C4430">
        <w:tc>
          <w:tcPr>
            <w:tcW w:w="8931" w:type="dxa"/>
          </w:tcPr>
          <w:p w14:paraId="3433FB0C" w14:textId="77777777" w:rsidR="005C4430" w:rsidRDefault="00A332C4" w:rsidP="00E277D4">
            <w:pPr>
              <w:spacing w:after="120" w:line="276" w:lineRule="auto"/>
              <w:jc w:val="both"/>
              <w:rPr>
                <w:rFonts w:ascii="Verdana" w:eastAsia="Calibri" w:hAnsi="Verdana" w:cs="Arial"/>
              </w:rPr>
            </w:pPr>
            <w:r>
              <w:rPr>
                <w:rFonts w:ascii="Verdana" w:eastAsia="Calibri" w:hAnsi="Verdana" w:cs="Arial"/>
              </w:rPr>
              <w:t>De acuerdo con lo señalado en el artículo 5 del Decreto 092 de 2017, e</w:t>
            </w:r>
            <w:r w:rsidRPr="000E7179">
              <w:rPr>
                <w:rFonts w:ascii="Verdana" w:eastAsia="Calibri" w:hAnsi="Verdana" w:cs="Arial"/>
              </w:rPr>
              <w:t xml:space="preserve">l treinta por ciento (30%) que debe aportar la ESAL a efectos de poder celebrar el convenio sin acudir a un proceso competitivo, debe calcularse respecto del monto total de los recursos </w:t>
            </w:r>
            <w:r w:rsidRPr="000E7179">
              <w:rPr>
                <w:rFonts w:ascii="Verdana" w:eastAsia="Calibri" w:hAnsi="Verdana" w:cs="Arial"/>
                <w:i/>
                <w:iCs/>
              </w:rPr>
              <w:t xml:space="preserve">en dinero </w:t>
            </w:r>
            <w:r w:rsidRPr="000E7179">
              <w:rPr>
                <w:rFonts w:ascii="Verdana" w:eastAsia="Calibri" w:hAnsi="Verdana" w:cs="Arial"/>
              </w:rPr>
              <w:t xml:space="preserve">requeridos para la ejecución proyecto, el cual corresponderá al valor por el que se celebrará el </w:t>
            </w:r>
            <w:r w:rsidRPr="000E7179">
              <w:rPr>
                <w:rFonts w:ascii="Verdana" w:eastAsia="Calibri" w:hAnsi="Verdana" w:cs="Arial"/>
                <w:i/>
                <w:iCs/>
              </w:rPr>
              <w:t>convenio de asociación.</w:t>
            </w:r>
            <w:r w:rsidRPr="000E7179">
              <w:rPr>
                <w:rFonts w:ascii="Verdana" w:eastAsia="Calibri" w:hAnsi="Verdana" w:cs="Arial"/>
              </w:rPr>
              <w:t xml:space="preserve"> De esta manera, los eventuales aportes en especie no podrán tenerse en cuenta para calcular el referido porcentaje, el cual debe ser en dinero. En ese sentido, si, por ejemplo, para desarrollar un proyecto conjunto con una ESAL se requiere un total de $100.000.000, para poder celebrar el convenio de asociación sin proceso competitivo, la </w:t>
            </w:r>
            <w:r w:rsidR="001A0920">
              <w:rPr>
                <w:rFonts w:ascii="Verdana" w:eastAsia="Calibri" w:hAnsi="Verdana" w:cs="Arial"/>
              </w:rPr>
              <w:t>e</w:t>
            </w:r>
            <w:r w:rsidRPr="000E7179">
              <w:rPr>
                <w:rFonts w:ascii="Verdana" w:eastAsia="Calibri" w:hAnsi="Verdana" w:cs="Arial"/>
              </w:rPr>
              <w:t xml:space="preserve">ntidad </w:t>
            </w:r>
            <w:r w:rsidR="001A0920">
              <w:rPr>
                <w:rFonts w:ascii="Verdana" w:eastAsia="Calibri" w:hAnsi="Verdana" w:cs="Arial"/>
              </w:rPr>
              <w:t>e</w:t>
            </w:r>
            <w:r w:rsidRPr="000E7179">
              <w:rPr>
                <w:rFonts w:ascii="Verdana" w:eastAsia="Calibri" w:hAnsi="Verdana" w:cs="Arial"/>
              </w:rPr>
              <w:t xml:space="preserve">statal deberá asociarse con una ESAL dispuesta a aportar por lo menos una suma de $30.000.000, equivalente al treinta por ciento (30%) del que sería el valor del eventual convenio. </w:t>
            </w:r>
          </w:p>
          <w:p w14:paraId="63837206" w14:textId="469DF104" w:rsidR="00A332C4" w:rsidRDefault="00A332C4" w:rsidP="00E277D4">
            <w:pPr>
              <w:spacing w:after="120" w:line="276" w:lineRule="auto"/>
              <w:jc w:val="both"/>
              <w:rPr>
                <w:rFonts w:ascii="Verdana" w:eastAsia="Calibri" w:hAnsi="Verdana" w:cs="Arial"/>
              </w:rPr>
            </w:pPr>
            <w:r>
              <w:rPr>
                <w:rFonts w:ascii="Verdana" w:eastAsia="Calibri" w:hAnsi="Verdana" w:cs="Arial"/>
              </w:rPr>
              <w:t xml:space="preserve">  </w:t>
            </w:r>
            <w:r w:rsidRPr="000E7179">
              <w:rPr>
                <w:rFonts w:ascii="Verdana" w:eastAsia="Calibri" w:hAnsi="Verdana" w:cs="Arial"/>
              </w:rPr>
              <w:t>Sin perjuicio de lo anterior, esto</w:t>
            </w:r>
            <w:r w:rsidRPr="000E7179">
              <w:rPr>
                <w:rFonts w:ascii="Verdana" w:eastAsia="Calibri" w:hAnsi="Verdana" w:cs="Arial"/>
                <w:lang w:eastAsia="es-ES"/>
              </w:rPr>
              <w:t xml:space="preserve"> no significa que no puedan hacerse aportes en especie, sino que como mínimo debe realizarse un aporte en dinero del treinta por ciento (30%) del valor del convenio de asociación para que pueda aplicar la selección directa de la ESAL, siempre que no haya otra ESAL que realice el mismo ofrecimiento. </w:t>
            </w:r>
          </w:p>
          <w:p w14:paraId="37747643" w14:textId="41C4CDF1" w:rsidR="00A332C4" w:rsidRDefault="00A332C4" w:rsidP="00E277D4">
            <w:pPr>
              <w:spacing w:after="120" w:line="276" w:lineRule="auto"/>
              <w:jc w:val="both"/>
              <w:rPr>
                <w:rFonts w:ascii="Verdana" w:eastAsia="Calibri" w:hAnsi="Verdana" w:cs="Arial"/>
                <w:lang w:val="es-ES_tradnl" w:eastAsia="es-ES_tradnl"/>
              </w:rPr>
            </w:pPr>
            <w:r>
              <w:rPr>
                <w:rFonts w:ascii="Verdana" w:eastAsia="Calibri" w:hAnsi="Verdana" w:cs="Arial"/>
                <w:lang w:eastAsia="es-ES"/>
              </w:rPr>
              <w:t xml:space="preserve">       La </w:t>
            </w:r>
            <w:r w:rsidRPr="000E7179">
              <w:rPr>
                <w:rFonts w:ascii="Verdana" w:eastAsia="Calibri" w:hAnsi="Verdana" w:cs="Arial"/>
              </w:rPr>
              <w:t xml:space="preserve">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w:t>
            </w:r>
          </w:p>
          <w:p w14:paraId="6621C385" w14:textId="5BAEB5D3" w:rsidR="00A332C4" w:rsidRPr="00D44070" w:rsidRDefault="00A332C4" w:rsidP="00E277D4">
            <w:pPr>
              <w:spacing w:after="120" w:line="276" w:lineRule="auto"/>
              <w:jc w:val="both"/>
              <w:rPr>
                <w:rFonts w:ascii="Verdana" w:eastAsia="Calibri" w:hAnsi="Verdana" w:cs="Arial"/>
                <w:lang w:eastAsia="es-ES_tradnl"/>
              </w:rPr>
            </w:pPr>
            <w:r>
              <w:rPr>
                <w:rFonts w:ascii="Verdana" w:eastAsia="Calibri" w:hAnsi="Verdana" w:cs="Arial"/>
                <w:lang w:eastAsia="es-ES_tradnl"/>
              </w:rPr>
              <w:t xml:space="preserve">     Ahora bien, </w:t>
            </w:r>
            <w:r w:rsidR="0060134E">
              <w:rPr>
                <w:rFonts w:ascii="Verdana" w:eastAsia="Calibri" w:hAnsi="Verdana" w:cs="Arial"/>
                <w:lang w:eastAsia="es-ES_tradnl"/>
              </w:rPr>
              <w:t>es</w:t>
            </w:r>
            <w:r>
              <w:rPr>
                <w:rFonts w:ascii="Verdana" w:eastAsia="Calibri" w:hAnsi="Verdana" w:cs="Arial"/>
                <w:lang w:eastAsia="es-ES_tradnl"/>
              </w:rPr>
              <w:t xml:space="preserve"> procedente </w:t>
            </w:r>
            <w:r w:rsidRPr="00D44070">
              <w:rPr>
                <w:rFonts w:ascii="Verdana" w:eastAsia="Calibri" w:hAnsi="Verdana" w:cs="Arial"/>
                <w:lang w:eastAsia="es-ES_tradnl"/>
              </w:rPr>
              <w:t>que la entidad estatal publique el valor total del proyecto como valor del convenio, aun cuando el CDP solo respalde el porcentaje correspondiente al aporte de la entidad pública, siempre que el porcentaje restante corresponda al aporte en dinero de la entidad sin ánimo de lucro –ESAL</w:t>
            </w:r>
            <w:r>
              <w:rPr>
                <w:rFonts w:ascii="Verdana" w:eastAsia="Calibri" w:hAnsi="Verdana" w:cs="Arial"/>
                <w:lang w:eastAsia="es-ES_tradnl"/>
              </w:rPr>
              <w:t xml:space="preserve">, </w:t>
            </w:r>
            <w:r w:rsidRPr="00D44070">
              <w:rPr>
                <w:rFonts w:ascii="Verdana" w:eastAsia="Calibri" w:hAnsi="Verdana" w:cs="Arial"/>
                <w:lang w:eastAsia="es-ES_tradnl"/>
              </w:rPr>
              <w:t>en los términos del artículo 5 del Decreto 092 de 2017.</w:t>
            </w:r>
          </w:p>
          <w:p w14:paraId="3856C12C" w14:textId="77777777" w:rsidR="00A332C4" w:rsidRPr="00D44070" w:rsidRDefault="00A332C4" w:rsidP="00973611">
            <w:pPr>
              <w:spacing w:line="276" w:lineRule="auto"/>
              <w:jc w:val="both"/>
              <w:rPr>
                <w:rFonts w:ascii="Verdana" w:eastAsia="Calibri" w:hAnsi="Verdana" w:cs="Arial"/>
                <w:lang w:eastAsia="es-ES_tradnl"/>
              </w:rPr>
            </w:pPr>
            <w:r>
              <w:rPr>
                <w:rFonts w:ascii="Verdana" w:eastAsia="Calibri" w:hAnsi="Verdana" w:cs="Arial"/>
                <w:lang w:eastAsia="es-ES_tradnl"/>
              </w:rPr>
              <w:t xml:space="preserve">      </w:t>
            </w:r>
            <w:r w:rsidRPr="00D44070">
              <w:rPr>
                <w:rFonts w:ascii="Verdana" w:eastAsia="Calibri" w:hAnsi="Verdana" w:cs="Arial"/>
                <w:lang w:eastAsia="es-ES_tradnl"/>
              </w:rPr>
              <w:t xml:space="preserve">Lo anterior, en la medida en que el valor del convenio de asociación corresponde al monto total de los recursos requeridos para la ejecución del proyecto, con independencia de la fuente de financiación de dichos recursos. </w:t>
            </w:r>
          </w:p>
          <w:p w14:paraId="5B618567" w14:textId="77777777" w:rsidR="005C4430" w:rsidRDefault="00A332C4" w:rsidP="00973611">
            <w:pPr>
              <w:spacing w:line="276" w:lineRule="auto"/>
              <w:jc w:val="both"/>
              <w:rPr>
                <w:rFonts w:ascii="Verdana" w:eastAsia="Calibri" w:hAnsi="Verdana" w:cs="Arial"/>
                <w:lang w:eastAsia="es-ES_tradnl"/>
              </w:rPr>
            </w:pPr>
            <w:r w:rsidRPr="00D44070">
              <w:rPr>
                <w:rFonts w:ascii="Verdana" w:eastAsia="Calibri" w:hAnsi="Verdana" w:cs="Arial"/>
                <w:lang w:eastAsia="es-ES_tradnl"/>
              </w:rPr>
              <w:t>De esta forma, el valor del convenio no se restringe al aporte que realiza la</w:t>
            </w:r>
          </w:p>
          <w:p w14:paraId="1D0FD5A5" w14:textId="442505EF" w:rsidR="00A332C4" w:rsidRDefault="00A332C4" w:rsidP="00973611">
            <w:pPr>
              <w:spacing w:line="276" w:lineRule="auto"/>
              <w:jc w:val="both"/>
              <w:rPr>
                <w:rFonts w:ascii="Verdana" w:eastAsia="Calibri" w:hAnsi="Verdana" w:cs="Arial"/>
                <w:lang w:eastAsia="es-ES_tradnl"/>
              </w:rPr>
            </w:pPr>
            <w:r w:rsidRPr="00D44070">
              <w:rPr>
                <w:rFonts w:ascii="Verdana" w:eastAsia="Calibri" w:hAnsi="Verdana" w:cs="Arial"/>
                <w:lang w:eastAsia="es-ES_tradnl"/>
              </w:rPr>
              <w:lastRenderedPageBreak/>
              <w:t xml:space="preserve"> entidad estatal, sino que integra la totalidad de los recursos necesarios para la ejecución del objeto, incluidos aquellos aportados por la ESAL, razón por la cual la publicación del valor total no implica per se el compromiso de recursos adicionales por parte de la entidad pública</w:t>
            </w:r>
            <w:r w:rsidR="001A39AA">
              <w:rPr>
                <w:rFonts w:ascii="Verdana" w:eastAsia="Calibri" w:hAnsi="Verdana" w:cs="Arial"/>
                <w:lang w:eastAsia="es-ES_tradnl"/>
              </w:rPr>
              <w:t>.</w:t>
            </w:r>
          </w:p>
          <w:p w14:paraId="0383D384" w14:textId="77777777" w:rsidR="00A332C4" w:rsidRPr="00A41BDB" w:rsidRDefault="00A332C4" w:rsidP="00973611">
            <w:pPr>
              <w:spacing w:line="276" w:lineRule="auto"/>
              <w:jc w:val="both"/>
              <w:rPr>
                <w:rFonts w:ascii="Verdana" w:eastAsia="Calibri" w:hAnsi="Verdana" w:cs="Arial"/>
                <w:lang w:eastAsia="es-ES_tradnl"/>
              </w:rPr>
            </w:pPr>
            <w:r>
              <w:rPr>
                <w:rFonts w:ascii="Verdana" w:eastAsia="Calibri" w:hAnsi="Verdana" w:cs="Arial"/>
                <w:lang w:eastAsia="es-ES_tradnl"/>
              </w:rPr>
              <w:t xml:space="preserve">      </w:t>
            </w:r>
            <w:r w:rsidRPr="00D44070">
              <w:rPr>
                <w:rFonts w:ascii="Verdana" w:eastAsia="Calibri" w:hAnsi="Verdana" w:cs="Arial"/>
                <w:lang w:eastAsia="es-ES_tradnl"/>
              </w:rPr>
              <w:t>En consecuencia, el CDP debe respaldar únicamente el valor correspondiente al compromiso presupuestal de la entidad pública, sin que ello afecte la posibilidad jurídica de que el valor total del proyecto sea reflejado como valor del convenio, siempre que se identifique con claridad que el porcentaje restante corresponde al aporte de la ESAL y que este sea exigido y verificado conforme al marco normativo aplicable.</w:t>
            </w:r>
          </w:p>
        </w:tc>
      </w:tr>
    </w:tbl>
    <w:p w14:paraId="677A298D" w14:textId="77777777" w:rsidR="00A332C4" w:rsidRPr="00960F72" w:rsidRDefault="00A332C4" w:rsidP="00A332C4">
      <w:pPr>
        <w:tabs>
          <w:tab w:val="left" w:pos="142"/>
          <w:tab w:val="left" w:pos="284"/>
        </w:tabs>
        <w:spacing w:after="0" w:line="276" w:lineRule="auto"/>
        <w:jc w:val="both"/>
        <w:rPr>
          <w:rFonts w:ascii="Verdana" w:eastAsia="Century Gothic" w:hAnsi="Verdana" w:cs="Century Gothic"/>
          <w:b/>
          <w:bCs/>
        </w:rPr>
      </w:pPr>
    </w:p>
    <w:p w14:paraId="5498F604" w14:textId="77777777" w:rsidR="00A332C4" w:rsidRDefault="00A332C4" w:rsidP="00A332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0B22D198" w14:textId="77777777" w:rsidR="00A332C4" w:rsidRDefault="00A332C4" w:rsidP="00A332C4">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51CF7B66" w14:textId="77777777" w:rsidR="00A332C4" w:rsidRDefault="00A332C4" w:rsidP="00A332C4">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1FBDE753" w14:textId="77777777" w:rsidR="00A332C4" w:rsidRDefault="00A332C4" w:rsidP="00A332C4">
      <w:pPr>
        <w:spacing w:after="0" w:line="276" w:lineRule="auto"/>
        <w:jc w:val="both"/>
        <w:rPr>
          <w:rFonts w:ascii="Verdana" w:eastAsia="Calibri" w:hAnsi="Verdana" w:cs="Arial"/>
          <w:lang w:val="es-ES"/>
        </w:rPr>
      </w:pPr>
    </w:p>
    <w:p w14:paraId="2B59B768" w14:textId="4BA9EF77" w:rsidR="00A332C4" w:rsidRPr="00AE222C" w:rsidRDefault="00A332C4" w:rsidP="00E277D4">
      <w:pPr>
        <w:spacing w:after="120" w:line="276" w:lineRule="auto"/>
        <w:jc w:val="both"/>
        <w:rPr>
          <w:rFonts w:ascii="Verdana" w:eastAsia="Calibri" w:hAnsi="Verdana" w:cs="Arial"/>
        </w:rPr>
      </w:pPr>
      <w:r w:rsidRPr="00D44070">
        <w:rPr>
          <w:rFonts w:ascii="Verdana" w:eastAsia="Calibri" w:hAnsi="Verdana" w:cs="Arial"/>
          <w:color w:val="000000" w:themeColor="text1"/>
        </w:rPr>
        <w:t xml:space="preserve">El </w:t>
      </w:r>
      <w:bookmarkStart w:id="0" w:name="_Hlk173063453"/>
      <w:r w:rsidRPr="00D44070">
        <w:rPr>
          <w:rFonts w:ascii="Verdana" w:eastAsia="Calibri" w:hAnsi="Verdana" w:cs="Arial"/>
          <w:color w:val="000000" w:themeColor="text1"/>
        </w:rPr>
        <w:t xml:space="preserve">artículo 355 de la Constitución Política </w:t>
      </w:r>
      <w:bookmarkEnd w:id="0"/>
      <w:r w:rsidRPr="00D44070">
        <w:rPr>
          <w:rFonts w:ascii="Verdana" w:eastAsia="Calibri" w:hAnsi="Verdana" w:cs="Arial"/>
          <w:color w:val="000000" w:themeColor="text1"/>
        </w:rPr>
        <w:t>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277D4">
        <w:rPr>
          <w:rFonts w:ascii="Verdana" w:hAnsi="Verdana"/>
          <w:vertAlign w:val="superscript"/>
        </w:rPr>
        <w:footnoteReference w:id="2"/>
      </w:r>
      <w:r w:rsidRPr="00D44070">
        <w:rPr>
          <w:rFonts w:ascii="Verdana" w:eastAsia="Calibri" w:hAnsi="Verdana" w:cs="Arial"/>
          <w:color w:val="000000" w:themeColor="text1"/>
        </w:rPr>
        <w:t xml:space="preserve">. </w:t>
      </w:r>
      <w:bookmarkStart w:id="1" w:name="_Hlk164688501"/>
      <w:r w:rsidRPr="00D44070">
        <w:rPr>
          <w:rFonts w:ascii="Verdana" w:eastAsia="Calibri" w:hAnsi="Verdana" w:cs="Arial"/>
          <w:color w:val="000000" w:themeColor="text1"/>
        </w:rPr>
        <w:t xml:space="preserve">En concordancia, el </w:t>
      </w:r>
      <w:bookmarkStart w:id="2" w:name="_Hlk173063480"/>
      <w:r w:rsidRPr="00D44070">
        <w:rPr>
          <w:rFonts w:ascii="Verdana" w:eastAsia="Calibri" w:hAnsi="Verdana" w:cs="Arial"/>
          <w:color w:val="000000" w:themeColor="text1"/>
        </w:rPr>
        <w:t>artículo 96 de la Ley 489 de 1998</w:t>
      </w:r>
      <w:bookmarkEnd w:id="2"/>
      <w:r w:rsidRPr="00E277D4">
        <w:rPr>
          <w:rFonts w:ascii="Verdana" w:hAnsi="Verdana"/>
          <w:vertAlign w:val="superscript"/>
        </w:rPr>
        <w:footnoteReference w:id="3"/>
      </w:r>
      <w:r w:rsidRPr="00D44070">
        <w:rPr>
          <w:rFonts w:ascii="Verdana" w:eastAsia="Calibri" w:hAnsi="Verdana" w:cs="Arial"/>
          <w:color w:val="000000" w:themeColor="text1"/>
        </w:rPr>
        <w:t xml:space="preserve"> permite a las </w:t>
      </w:r>
      <w:r w:rsidR="0060134E">
        <w:rPr>
          <w:rFonts w:ascii="Verdana" w:eastAsia="Calibri" w:hAnsi="Verdana" w:cs="Arial"/>
          <w:color w:val="000000" w:themeColor="text1"/>
        </w:rPr>
        <w:t>e</w:t>
      </w:r>
      <w:r w:rsidRPr="00D44070">
        <w:rPr>
          <w:rFonts w:ascii="Verdana" w:eastAsia="Calibri" w:hAnsi="Verdana" w:cs="Arial"/>
          <w:color w:val="000000" w:themeColor="text1"/>
        </w:rPr>
        <w:t>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1"/>
      <w:r w:rsidRPr="00D44070">
        <w:rPr>
          <w:rFonts w:ascii="Verdana" w:eastAsia="Calibri" w:hAnsi="Verdana" w:cs="Arial"/>
          <w:color w:val="000000" w:themeColor="text1"/>
        </w:rPr>
        <w:t>.</w:t>
      </w:r>
      <w:bookmarkStart w:id="4" w:name="_Hlk38819155"/>
    </w:p>
    <w:p w14:paraId="7890692F" w14:textId="333F3BC5" w:rsidR="00A332C4" w:rsidRPr="00E277D4" w:rsidRDefault="00A332C4" w:rsidP="00E277D4">
      <w:pPr>
        <w:spacing w:after="120" w:line="276" w:lineRule="auto"/>
        <w:ind w:firstLine="709"/>
        <w:jc w:val="both"/>
        <w:rPr>
          <w:rFonts w:ascii="Verdana" w:hAnsi="Verdana"/>
          <w:color w:val="000000" w:themeColor="text1"/>
        </w:rPr>
      </w:pPr>
      <w:r w:rsidRPr="00D44070">
        <w:rPr>
          <w:rFonts w:ascii="Verdana" w:hAnsi="Verdana" w:cs="Arial"/>
          <w:lang w:val="es-MX"/>
        </w:rPr>
        <w:lastRenderedPageBreak/>
        <w:t>Ahora bien, el Decreto 092 de 2017, desarrolló el artículo 355 de la Constitución Política y</w:t>
      </w:r>
      <w:r w:rsidRPr="00D44070">
        <w:rPr>
          <w:rFonts w:ascii="Verdana" w:eastAsia="Calibri" w:hAnsi="Verdana" w:cs="Arial"/>
          <w:lang w:val="es-MX"/>
        </w:rPr>
        <w:t xml:space="preserve"> dispuso las reglas para las contrataciones que realizan las </w:t>
      </w:r>
      <w:r w:rsidR="0060134E">
        <w:rPr>
          <w:rFonts w:ascii="Verdana" w:eastAsia="Calibri" w:hAnsi="Verdana" w:cs="Arial"/>
          <w:lang w:val="es-MX"/>
        </w:rPr>
        <w:t>e</w:t>
      </w:r>
      <w:r w:rsidRPr="0060134E">
        <w:rPr>
          <w:rFonts w:ascii="Verdana" w:eastAsia="Calibri" w:hAnsi="Verdana" w:cs="Arial"/>
          <w:lang w:val="es-MX"/>
        </w:rPr>
        <w:t xml:space="preserve">ntidades </w:t>
      </w:r>
      <w:r w:rsidR="0060134E">
        <w:rPr>
          <w:rFonts w:ascii="Verdana" w:eastAsia="Calibri" w:hAnsi="Verdana" w:cs="Arial"/>
          <w:lang w:val="es-MX"/>
        </w:rPr>
        <w:t>e</w:t>
      </w:r>
      <w:r w:rsidRPr="00D44070">
        <w:rPr>
          <w:rFonts w:ascii="Verdana" w:eastAsia="Calibri" w:hAnsi="Verdana" w:cs="Arial"/>
          <w:lang w:val="es-MX"/>
        </w:rPr>
        <w:t xml:space="preserve">statales con las ESAL. </w:t>
      </w:r>
      <w:r w:rsidRPr="00D44070">
        <w:rPr>
          <w:rFonts w:ascii="Verdana" w:eastAsia="Calibri" w:hAnsi="Verdana" w:cs="Arial"/>
          <w:color w:val="000000" w:themeColor="text1"/>
        </w:rPr>
        <w:t xml:space="preserve">Así las cosas, regula dos (2) eventos: i) </w:t>
      </w:r>
      <w:r w:rsidRPr="00D44070">
        <w:rPr>
          <w:rFonts w:ascii="Verdana" w:eastAsia="Calibri" w:hAnsi="Verdana" w:cs="Arial"/>
          <w:lang w:eastAsia="es-ES_tradnl"/>
        </w:rPr>
        <w:t xml:space="preserve">los </w:t>
      </w:r>
      <w:r w:rsidRPr="00D44070">
        <w:rPr>
          <w:rFonts w:ascii="Verdana" w:eastAsia="Calibri" w:hAnsi="Verdana" w:cs="Arial"/>
          <w:i/>
          <w:iCs/>
          <w:lang w:eastAsia="es-ES_tradnl"/>
        </w:rPr>
        <w:t>contratos de colaboración</w:t>
      </w:r>
      <w:r w:rsidRPr="00D44070">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D44070">
        <w:rPr>
          <w:rFonts w:ascii="Verdana" w:eastAsia="Calibri" w:hAnsi="Verdana" w:cs="Arial"/>
          <w:color w:val="000000" w:themeColor="text1"/>
        </w:rPr>
        <w:t xml:space="preserve"> y; </w:t>
      </w:r>
      <w:proofErr w:type="spellStart"/>
      <w:r w:rsidRPr="00D44070">
        <w:rPr>
          <w:rFonts w:ascii="Verdana" w:eastAsia="Calibri" w:hAnsi="Verdana" w:cs="Arial"/>
          <w:color w:val="000000" w:themeColor="text1"/>
        </w:rPr>
        <w:t>ii</w:t>
      </w:r>
      <w:proofErr w:type="spellEnd"/>
      <w:r w:rsidRPr="00D44070">
        <w:rPr>
          <w:rFonts w:ascii="Verdana" w:eastAsia="Calibri" w:hAnsi="Verdana" w:cs="Arial"/>
          <w:color w:val="000000" w:themeColor="text1"/>
        </w:rPr>
        <w:t xml:space="preserve">) los </w:t>
      </w:r>
      <w:r w:rsidRPr="00D44070">
        <w:rPr>
          <w:rFonts w:ascii="Verdana" w:eastAsia="Calibri" w:hAnsi="Verdana" w:cs="Arial"/>
          <w:i/>
          <w:iCs/>
          <w:color w:val="000000" w:themeColor="text1"/>
        </w:rPr>
        <w:t>convenios de asociación</w:t>
      </w:r>
      <w:r w:rsidRPr="00D44070">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D44070">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D44070">
        <w:rPr>
          <w:rFonts w:ascii="Verdana" w:eastAsia="Calibri" w:hAnsi="Verdana" w:cs="Arial"/>
          <w:i/>
          <w:iCs/>
          <w:color w:val="000000"/>
          <w:lang w:val="es-MX" w:eastAsia="es-ES_tradnl"/>
        </w:rPr>
        <w:t>ibidem</w:t>
      </w:r>
      <w:r w:rsidRPr="00D44070">
        <w:rPr>
          <w:rFonts w:ascii="Verdana" w:eastAsia="Calibri" w:hAnsi="Verdana" w:cs="Arial"/>
          <w:color w:val="000000"/>
          <w:lang w:val="es-MX" w:eastAsia="es-ES_tradnl"/>
        </w:rPr>
        <w:t xml:space="preserve">. </w:t>
      </w:r>
      <w:bookmarkEnd w:id="4"/>
    </w:p>
    <w:p w14:paraId="090E43CA" w14:textId="7EBC7CAA" w:rsidR="00A332C4" w:rsidRPr="00AE222C" w:rsidRDefault="00A332C4" w:rsidP="00E277D4">
      <w:pPr>
        <w:spacing w:after="120" w:line="276" w:lineRule="auto"/>
        <w:ind w:firstLine="709"/>
        <w:jc w:val="both"/>
        <w:rPr>
          <w:rFonts w:ascii="Verdana" w:eastAsia="Calibri" w:hAnsi="Verdana" w:cs="Arial"/>
          <w:color w:val="000000" w:themeColor="text1"/>
        </w:rPr>
      </w:pPr>
      <w:r w:rsidRPr="00D44070">
        <w:rPr>
          <w:rFonts w:ascii="Verdana" w:eastAsia="Calibri" w:hAnsi="Verdana" w:cs="Arial"/>
          <w:color w:val="000000" w:themeColor="text1"/>
        </w:rPr>
        <w:t xml:space="preserve">Los </w:t>
      </w:r>
      <w:r w:rsidRPr="00D44070">
        <w:rPr>
          <w:rFonts w:ascii="Verdana" w:eastAsia="Calibri" w:hAnsi="Verdana" w:cs="Arial"/>
          <w:i/>
          <w:iCs/>
          <w:color w:val="000000" w:themeColor="text1"/>
        </w:rPr>
        <w:t>contratos del artículo 355 de la Constitución Política o contratos de colaboración</w:t>
      </w:r>
      <w:r w:rsidRPr="00D44070">
        <w:rPr>
          <w:rFonts w:ascii="Verdana" w:eastAsia="Calibri" w:hAnsi="Verdana" w:cs="Arial"/>
          <w:color w:val="000000" w:themeColor="text1"/>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78EAB79F" w14:textId="1D78D292" w:rsidR="00A332C4" w:rsidRPr="00AE222C" w:rsidRDefault="00A332C4" w:rsidP="00E277D4">
      <w:pPr>
        <w:spacing w:after="120" w:line="276" w:lineRule="auto"/>
        <w:ind w:firstLine="709"/>
        <w:jc w:val="both"/>
        <w:rPr>
          <w:rFonts w:ascii="Verdana" w:eastAsia="Calibri" w:hAnsi="Verdana" w:cs="Arial"/>
          <w:color w:val="000000"/>
          <w:lang w:eastAsia="es-ES_tradnl"/>
        </w:rPr>
      </w:pPr>
      <w:r w:rsidRPr="00D44070">
        <w:rPr>
          <w:rFonts w:ascii="Verdana" w:eastAsia="Calibri" w:hAnsi="Verdana" w:cs="Arial"/>
          <w:color w:val="000000" w:themeColor="text1"/>
        </w:rPr>
        <w:t xml:space="preserve">De otro lado, los </w:t>
      </w:r>
      <w:r w:rsidRPr="00D44070">
        <w:rPr>
          <w:rFonts w:ascii="Verdana" w:eastAsia="Calibri" w:hAnsi="Verdana" w:cs="Arial"/>
          <w:i/>
          <w:iCs/>
          <w:color w:val="000000" w:themeColor="text1"/>
        </w:rPr>
        <w:t xml:space="preserve">convenios de asociación </w:t>
      </w:r>
      <w:r w:rsidRPr="00D44070">
        <w:rPr>
          <w:rFonts w:ascii="Verdana" w:eastAsia="Calibri" w:hAnsi="Verdana" w:cs="Arial"/>
          <w:color w:val="000000" w:themeColor="text1"/>
        </w:rPr>
        <w:t>– a los cuales hace referencia en su consulta – “[…] [t]</w:t>
      </w:r>
      <w:proofErr w:type="spellStart"/>
      <w:r w:rsidRPr="00D44070">
        <w:rPr>
          <w:rFonts w:ascii="Verdana" w:eastAsia="Calibri" w:hAnsi="Verdana" w:cs="Arial"/>
          <w:color w:val="000000" w:themeColor="text1"/>
        </w:rPr>
        <w:t>ienen</w:t>
      </w:r>
      <w:proofErr w:type="spellEnd"/>
      <w:r w:rsidRPr="00D44070">
        <w:rPr>
          <w:rFonts w:ascii="Verdana" w:eastAsia="Calibri" w:hAnsi="Verdana" w:cs="Arial"/>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277D4">
        <w:rPr>
          <w:rFonts w:ascii="Verdana" w:hAnsi="Verdana"/>
          <w:vertAlign w:val="superscript"/>
        </w:rPr>
        <w:footnoteReference w:id="4"/>
      </w:r>
      <w:r w:rsidRPr="00D44070">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2E104799" w14:textId="797FF9EE" w:rsidR="00A332C4" w:rsidRDefault="00A332C4" w:rsidP="00E277D4">
      <w:pPr>
        <w:spacing w:after="120" w:line="276" w:lineRule="auto"/>
        <w:ind w:firstLine="709"/>
        <w:jc w:val="both"/>
        <w:rPr>
          <w:rFonts w:ascii="Verdana" w:eastAsia="Calibri" w:hAnsi="Verdana" w:cs="Arial"/>
          <w:color w:val="000000" w:themeColor="text1"/>
          <w:lang w:val="es-ES"/>
        </w:rPr>
      </w:pPr>
      <w:r w:rsidRPr="00D44070">
        <w:rPr>
          <w:rFonts w:ascii="Verdana" w:eastAsia="Calibri" w:hAnsi="Verdana" w:cs="Arial"/>
          <w:color w:val="000000"/>
          <w:lang w:val="es-MX" w:eastAsia="es-ES_tradnl"/>
        </w:rPr>
        <w:t xml:space="preserve">De conformidad con el inciso segundo del artículo 96 de la Ley 489 de 1998, en </w:t>
      </w:r>
      <w:r w:rsidRPr="00D44070">
        <w:rPr>
          <w:rFonts w:ascii="Verdana" w:eastAsia="Calibri" w:hAnsi="Verdana" w:cs="Arial"/>
          <w:color w:val="000000"/>
          <w:lang w:eastAsia="es-ES_tradnl"/>
        </w:rPr>
        <w:t>los</w:t>
      </w:r>
      <w:r w:rsidRPr="00D44070">
        <w:rPr>
          <w:rFonts w:ascii="Verdana" w:eastAsia="Calibri" w:hAnsi="Verdana" w:cs="Arial"/>
          <w:color w:val="000000"/>
          <w:lang w:val="es-MX" w:eastAsia="es-ES_tradnl"/>
        </w:rPr>
        <w:t xml:space="preserve"> convenios</w:t>
      </w:r>
      <w:r w:rsidRPr="00D44070">
        <w:rPr>
          <w:rFonts w:ascii="Verdana" w:eastAsia="Calibri" w:hAnsi="Verdana" w:cs="Arial"/>
          <w:color w:val="000000"/>
          <w:lang w:eastAsia="es-ES_tradnl"/>
        </w:rPr>
        <w:t xml:space="preserve"> de asociación</w:t>
      </w:r>
      <w:r w:rsidRPr="00D44070">
        <w:rPr>
          <w:rFonts w:ascii="Verdana" w:eastAsia="Calibri" w:hAnsi="Verdana" w:cs="Arial"/>
          <w:color w:val="000000"/>
          <w:lang w:val="es-MX" w:eastAsia="es-ES_tradnl"/>
        </w:rPr>
        <w:t xml:space="preserve"> debe determinarse “con precisión su </w:t>
      </w:r>
      <w:r w:rsidRPr="00D44070">
        <w:rPr>
          <w:rFonts w:ascii="Verdana" w:eastAsia="Calibri" w:hAnsi="Verdana" w:cs="Arial"/>
          <w:color w:val="000000"/>
          <w:lang w:val="es-MX" w:eastAsia="es-ES_tradnl"/>
        </w:rPr>
        <w:lastRenderedPageBreak/>
        <w:t>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sidRPr="00D44070">
        <w:rPr>
          <w:rFonts w:ascii="Verdana" w:eastAsia="Calibri" w:hAnsi="Verdana" w:cs="Arial"/>
          <w:color w:val="000000"/>
          <w:lang w:eastAsia="es-ES_tradnl"/>
        </w:rPr>
        <w:t xml:space="preserve"> del valor total</w:t>
      </w:r>
      <w:r w:rsidRPr="00D44070">
        <w:rPr>
          <w:rFonts w:ascii="Verdana" w:eastAsia="Calibri" w:hAnsi="Verdana" w:cs="Arial"/>
          <w:color w:val="000000"/>
          <w:lang w:val="es-MX" w:eastAsia="es-ES_tradnl"/>
        </w:rPr>
        <w:t xml:space="preserve">, o en especie, los cuales deben servir al desarrollo de los objetivos comunes de la asociación. </w:t>
      </w:r>
    </w:p>
    <w:p w14:paraId="6D7D3A8D" w14:textId="6367E69D" w:rsidR="00A332C4" w:rsidRDefault="00A332C4" w:rsidP="00E277D4">
      <w:pPr>
        <w:spacing w:after="120" w:line="276" w:lineRule="auto"/>
        <w:ind w:firstLine="709"/>
        <w:jc w:val="both"/>
        <w:rPr>
          <w:rFonts w:ascii="Verdana" w:eastAsia="Calibri" w:hAnsi="Verdana" w:cs="Arial"/>
          <w:color w:val="000000" w:themeColor="text1"/>
        </w:rPr>
      </w:pPr>
      <w:r w:rsidRPr="002B12EC">
        <w:rPr>
          <w:rFonts w:ascii="Verdana" w:eastAsia="Calibri" w:hAnsi="Verdana" w:cs="Arial"/>
          <w:color w:val="000000" w:themeColor="text1"/>
        </w:rPr>
        <w:t>Ahora bien, podría resultar jurídicamente procedente que la entidad estatal publique el valor total del proyecto como valor del convenio de asociación, aun cuando el CDP respalde únicamente el porcentaje correspondiente al aporte de la entidad pública, siempre que el porcentaje restante corresponda al aporte en dinero de la ESAL en los términos previstos en el artículo 5 del Decreto 092 de 2017.</w:t>
      </w:r>
    </w:p>
    <w:p w14:paraId="38798F2D" w14:textId="3902FAB9" w:rsidR="00A332C4" w:rsidRPr="002B12EC" w:rsidRDefault="00A332C4" w:rsidP="00E277D4">
      <w:pPr>
        <w:spacing w:after="120" w:line="276" w:lineRule="auto"/>
        <w:ind w:firstLine="709"/>
        <w:jc w:val="both"/>
        <w:rPr>
          <w:rFonts w:ascii="Verdana" w:eastAsia="Calibri" w:hAnsi="Verdana" w:cs="Arial"/>
          <w:color w:val="000000" w:themeColor="text1"/>
        </w:rPr>
      </w:pPr>
      <w:r w:rsidRPr="002B12EC">
        <w:rPr>
          <w:rFonts w:ascii="Verdana" w:eastAsia="Calibri" w:hAnsi="Verdana" w:cs="Arial"/>
          <w:color w:val="000000" w:themeColor="text1"/>
        </w:rPr>
        <w:t xml:space="preserve">Lo anterior se sustenta en que, conforme al régimen jurídico de los convenios de asociación, el valor del convenio debe entenderse como el monto total de los recursos requeridos para la ejecución del proyecto, con independencia de la fuente de financiación de dichos recursos. En este sentido, la Agencia ha precisado que el porcentaje mínimo del treinta por ciento (30%) que debe aportar la ESAL debe calcularse “respecto del monto total de los recursos en dinero requeridos para la ejecución del proyecto, el cual corresponderá al valor por el que se celebrará el convenio de asociación”, lo que implica que dicho valor refleja la totalidad de los aportes comprometidos para el desarrollo del objeto conjunto y no únicamente aquellos que provienen del </w:t>
      </w:r>
      <w:proofErr w:type="gramStart"/>
      <w:r w:rsidRPr="002B12EC">
        <w:rPr>
          <w:rFonts w:ascii="Verdana" w:eastAsia="Calibri" w:hAnsi="Verdana" w:cs="Arial"/>
          <w:color w:val="000000" w:themeColor="text1"/>
        </w:rPr>
        <w:t>erario público</w:t>
      </w:r>
      <w:proofErr w:type="gramEnd"/>
      <w:r w:rsidRPr="002B12EC">
        <w:rPr>
          <w:rFonts w:ascii="Verdana" w:eastAsia="Calibri" w:hAnsi="Verdana" w:cs="Arial"/>
          <w:color w:val="000000" w:themeColor="text1"/>
        </w:rPr>
        <w:t xml:space="preserve">. </w:t>
      </w:r>
    </w:p>
    <w:p w14:paraId="1F4B132F" w14:textId="27645A17" w:rsidR="00A332C4" w:rsidRDefault="00A332C4" w:rsidP="00E277D4">
      <w:pPr>
        <w:spacing w:after="120" w:line="276" w:lineRule="auto"/>
        <w:ind w:firstLine="709"/>
        <w:jc w:val="both"/>
        <w:rPr>
          <w:rFonts w:ascii="Verdana" w:eastAsia="Calibri" w:hAnsi="Verdana" w:cs="Arial"/>
          <w:color w:val="000000" w:themeColor="text1"/>
        </w:rPr>
      </w:pPr>
      <w:r w:rsidRPr="002B12EC">
        <w:rPr>
          <w:rFonts w:ascii="Verdana" w:eastAsia="Calibri" w:hAnsi="Verdana" w:cs="Arial"/>
          <w:color w:val="000000" w:themeColor="text1"/>
        </w:rPr>
        <w:t>De esta forma, el valor del convenio no se restringe al aporte que realiza la entidad estatal, sino que integra la totalidad de los recursos necesarios para la ejecución del objeto, incluidos aquellos aportados por la ESAL, los cuales constituyen un elemento esencial de la estructura financiera del convenio. En ese contexto, la publicación del valor total del proyecto no configura, por sí misma, un compromiso presupuestal adicional por parte de la entidad pública, siempre que se deje claramente diferenciado que una parte de dicho valor corresponde a recursos que serán aportados directamente por la ESAL y que no afectan el presupuesto público.</w:t>
      </w:r>
    </w:p>
    <w:p w14:paraId="102D342E" w14:textId="31CAB7A5" w:rsidR="00A332C4" w:rsidRDefault="00A332C4" w:rsidP="009D518C">
      <w:pPr>
        <w:spacing w:after="0" w:line="276" w:lineRule="auto"/>
        <w:ind w:firstLine="708"/>
        <w:jc w:val="both"/>
        <w:rPr>
          <w:rFonts w:ascii="Verdana" w:eastAsia="Calibri" w:hAnsi="Verdana" w:cs="Arial"/>
          <w:color w:val="000000" w:themeColor="text1"/>
        </w:rPr>
      </w:pPr>
      <w:r w:rsidRPr="002B12EC">
        <w:rPr>
          <w:rFonts w:ascii="Verdana" w:eastAsia="Calibri" w:hAnsi="Verdana" w:cs="Arial"/>
          <w:color w:val="000000" w:themeColor="text1"/>
        </w:rPr>
        <w:t>En consecuencia, el CDP debe respaldar</w:t>
      </w:r>
      <w:r>
        <w:rPr>
          <w:rFonts w:ascii="Verdana" w:eastAsia="Calibri" w:hAnsi="Verdana" w:cs="Arial"/>
          <w:color w:val="000000" w:themeColor="text1"/>
        </w:rPr>
        <w:t xml:space="preserve"> </w:t>
      </w:r>
      <w:r w:rsidRPr="002B12EC">
        <w:rPr>
          <w:rFonts w:ascii="Verdana" w:eastAsia="Calibri" w:hAnsi="Verdana" w:cs="Arial"/>
          <w:color w:val="000000" w:themeColor="text1"/>
        </w:rPr>
        <w:t xml:space="preserve">el valor correspondiente al compromiso presupuestal asumido por la entidad estatal, sin que resulte </w:t>
      </w:r>
      <w:r w:rsidRPr="002B12EC">
        <w:rPr>
          <w:rFonts w:ascii="Verdana" w:eastAsia="Calibri" w:hAnsi="Verdana" w:cs="Arial"/>
          <w:color w:val="000000" w:themeColor="text1"/>
        </w:rPr>
        <w:lastRenderedPageBreak/>
        <w:t xml:space="preserve">jurídicamente exigible que dicho certificado cubra el valor total del proyecto cuando este incluye aportes provenientes de una ESAL. Por lo tanto, resulta viable que el valor total del proyecto sea reflejado como valor del convenio en la invitación pública, siempre que se identifique de manera expresa y transparente que el porcentaje restante corresponde al aporte en dinero de la ESAL y que dicho aporte sea debidamente exigido, acreditado y verificado en los términos del marco normativo aplicable, particularmente lo dispuesto en el Decreto 092 de 2017. </w:t>
      </w:r>
    </w:p>
    <w:p w14:paraId="56C25680" w14:textId="77777777" w:rsidR="009D518C" w:rsidRPr="009D518C" w:rsidRDefault="009D518C" w:rsidP="009D518C">
      <w:pPr>
        <w:spacing w:after="0" w:line="276" w:lineRule="auto"/>
        <w:ind w:firstLine="708"/>
        <w:jc w:val="both"/>
        <w:rPr>
          <w:rFonts w:ascii="Verdana" w:eastAsia="Calibri" w:hAnsi="Verdana" w:cs="Arial"/>
          <w:color w:val="000000" w:themeColor="text1"/>
        </w:rPr>
      </w:pPr>
    </w:p>
    <w:p w14:paraId="313790CB" w14:textId="77777777" w:rsidR="00A332C4" w:rsidRPr="00D17CC8" w:rsidRDefault="00A332C4" w:rsidP="00A332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17CC8">
        <w:rPr>
          <w:rFonts w:ascii="Verdana" w:eastAsia="Century Gothic" w:hAnsi="Verdana" w:cs="Century Gothic"/>
          <w:b/>
          <w:bCs/>
        </w:rPr>
        <w:t>Referencias normativas, jurisprudenciales y otras fuentes:</w:t>
      </w:r>
    </w:p>
    <w:p w14:paraId="3BBA8B8C" w14:textId="77777777" w:rsidR="00A332C4" w:rsidRPr="00D17CC8" w:rsidRDefault="00A332C4" w:rsidP="00A332C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332C4" w:rsidRPr="00D17CC8" w14:paraId="79A5FD4C" w14:textId="77777777" w:rsidTr="00973611">
        <w:trPr>
          <w:trHeight w:val="870"/>
        </w:trPr>
        <w:tc>
          <w:tcPr>
            <w:tcW w:w="8647" w:type="dxa"/>
          </w:tcPr>
          <w:p w14:paraId="7E883E7D" w14:textId="77777777" w:rsidR="00A332C4" w:rsidRPr="00D44070" w:rsidRDefault="00A332C4" w:rsidP="00A332C4">
            <w:pPr>
              <w:pStyle w:val="Prrafodelista"/>
              <w:numPr>
                <w:ilvl w:val="0"/>
                <w:numId w:val="17"/>
              </w:numPr>
              <w:spacing w:line="276" w:lineRule="auto"/>
              <w:contextualSpacing w:val="0"/>
              <w:jc w:val="both"/>
              <w:rPr>
                <w:rFonts w:ascii="Verdana" w:eastAsia="Calibri" w:hAnsi="Verdana" w:cs="Arial"/>
                <w:color w:val="000000" w:themeColor="text1"/>
              </w:rPr>
            </w:pPr>
            <w:r w:rsidRPr="00D17CC8">
              <w:rPr>
                <w:rFonts w:ascii="Verdana" w:eastAsia="Calibri" w:hAnsi="Verdana" w:cs="Arial"/>
                <w:color w:val="000000" w:themeColor="text1"/>
              </w:rPr>
              <w:t>Constitución Política: Artículo 355.</w:t>
            </w:r>
          </w:p>
          <w:p w14:paraId="4BD2504C" w14:textId="77777777" w:rsidR="00A332C4" w:rsidRPr="00D44070" w:rsidRDefault="00A332C4" w:rsidP="00A332C4">
            <w:pPr>
              <w:pStyle w:val="Prrafodelista"/>
              <w:numPr>
                <w:ilvl w:val="0"/>
                <w:numId w:val="17"/>
              </w:numPr>
              <w:spacing w:line="276" w:lineRule="auto"/>
              <w:contextualSpacing w:val="0"/>
              <w:jc w:val="both"/>
              <w:rPr>
                <w:rFonts w:ascii="Verdana" w:eastAsia="Calibri" w:hAnsi="Verdana" w:cs="Arial"/>
                <w:color w:val="000000" w:themeColor="text1"/>
              </w:rPr>
            </w:pPr>
            <w:r w:rsidRPr="00D17CC8">
              <w:rPr>
                <w:rFonts w:ascii="Verdana" w:eastAsia="Calibri" w:hAnsi="Verdana" w:cs="Arial"/>
                <w:color w:val="000000" w:themeColor="text1"/>
              </w:rPr>
              <w:t xml:space="preserve">Ley 489 de 1998: Artículo 96. </w:t>
            </w:r>
          </w:p>
          <w:p w14:paraId="5E5F5C6F" w14:textId="77777777" w:rsidR="00A332C4" w:rsidRPr="00D44070" w:rsidRDefault="00A332C4" w:rsidP="00A332C4">
            <w:pPr>
              <w:pStyle w:val="Prrafodelista"/>
              <w:numPr>
                <w:ilvl w:val="0"/>
                <w:numId w:val="17"/>
              </w:numPr>
              <w:spacing w:line="276" w:lineRule="auto"/>
              <w:contextualSpacing w:val="0"/>
              <w:jc w:val="both"/>
              <w:rPr>
                <w:rFonts w:ascii="Verdana" w:eastAsia="Calibri" w:hAnsi="Verdana" w:cs="Arial"/>
                <w:lang w:val="es-ES_tradnl" w:eastAsia="es-ES_tradnl"/>
              </w:rPr>
            </w:pPr>
            <w:r w:rsidRPr="00D17CC8">
              <w:rPr>
                <w:rFonts w:ascii="Verdana" w:hAnsi="Verdana" w:cs="Arial"/>
                <w:lang w:val="es-MX"/>
              </w:rPr>
              <w:t xml:space="preserve">Decreto 092 de 2017: </w:t>
            </w:r>
            <w:r w:rsidRPr="00D17CC8">
              <w:rPr>
                <w:rFonts w:ascii="Verdana" w:eastAsia="Calibri" w:hAnsi="Verdana" w:cs="Arial"/>
                <w:lang w:val="es-ES_tradnl" w:eastAsia="es-ES_tradnl"/>
              </w:rPr>
              <w:t xml:space="preserve">Artículo 5. </w:t>
            </w:r>
          </w:p>
          <w:p w14:paraId="0B69EC96" w14:textId="77777777" w:rsidR="00A332C4" w:rsidRPr="00D17CC8" w:rsidRDefault="00A332C4" w:rsidP="00A332C4">
            <w:pPr>
              <w:pStyle w:val="Prrafodelista"/>
              <w:numPr>
                <w:ilvl w:val="0"/>
                <w:numId w:val="17"/>
              </w:numPr>
              <w:spacing w:line="276" w:lineRule="auto"/>
              <w:ind w:left="714" w:hanging="357"/>
              <w:contextualSpacing w:val="0"/>
              <w:jc w:val="both"/>
              <w:rPr>
                <w:rFonts w:ascii="Verdana" w:eastAsia="Calibri" w:hAnsi="Verdana" w:cs="Arial"/>
                <w:lang w:val="es-ES_tradnl" w:eastAsia="es-ES_tradnl"/>
              </w:rPr>
            </w:pPr>
            <w:r w:rsidRPr="00D17CC8">
              <w:rPr>
                <w:rFonts w:ascii="Verdana" w:eastAsia="Calibri" w:hAnsi="Verdana" w:cs="Arial"/>
                <w:lang w:val="es-ES_tradnl" w:eastAsia="es-ES_tradnl"/>
              </w:rPr>
              <w:t xml:space="preserve">Guía para la contratación con entidades privadas sin ánimo de lucro y de reconocida idoneidad. </w:t>
            </w:r>
            <w:r w:rsidRPr="0060134E">
              <w:rPr>
                <w:rFonts w:ascii="Verdana" w:eastAsia="Calibri" w:hAnsi="Verdana" w:cs="Arial"/>
                <w:lang w:val="es-ES_tradnl" w:eastAsia="es-ES_tradnl"/>
              </w:rPr>
              <w:t xml:space="preserve">Disponible en: </w:t>
            </w:r>
            <w:hyperlink r:id="rId12" w:history="1">
              <w:r w:rsidRPr="0060134E">
                <w:rPr>
                  <w:rStyle w:val="Hipervnculo"/>
                  <w:rFonts w:ascii="Verdana" w:eastAsia="Calibri" w:hAnsi="Verdana" w:cs="Arial"/>
                  <w:lang w:val="es-ES_tradnl" w:eastAsia="es-ES_tradnl"/>
                </w:rPr>
                <w:t>https://www.colombiacompra.gov.co/sites/cce_public/files/cce_documents/cce_guia_esal.pdf</w:t>
              </w:r>
            </w:hyperlink>
            <w:r w:rsidRPr="0060134E">
              <w:rPr>
                <w:rFonts w:ascii="Verdana" w:eastAsia="Calibri" w:hAnsi="Verdana" w:cs="Arial"/>
                <w:lang w:val="es-ES_tradnl" w:eastAsia="es-ES_tradnl"/>
              </w:rPr>
              <w:t xml:space="preserve"> </w:t>
            </w:r>
          </w:p>
        </w:tc>
      </w:tr>
    </w:tbl>
    <w:p w14:paraId="6FF33F66" w14:textId="77777777" w:rsidR="00A332C4" w:rsidRPr="00D17CC8" w:rsidRDefault="00A332C4" w:rsidP="00A332C4">
      <w:pPr>
        <w:widowControl w:val="0"/>
        <w:autoSpaceDE w:val="0"/>
        <w:autoSpaceDN w:val="0"/>
        <w:spacing w:after="0" w:line="276" w:lineRule="auto"/>
        <w:jc w:val="both"/>
        <w:rPr>
          <w:rFonts w:ascii="Verdana" w:hAnsi="Verdana" w:cs="Arial"/>
        </w:rPr>
      </w:pPr>
    </w:p>
    <w:p w14:paraId="61D41062" w14:textId="77777777" w:rsidR="00A332C4" w:rsidRPr="00D17CC8" w:rsidRDefault="00A332C4" w:rsidP="00A332C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17CC8">
        <w:rPr>
          <w:rFonts w:ascii="Verdana" w:eastAsia="Century Gothic" w:hAnsi="Verdana" w:cs="Century Gothic"/>
          <w:b/>
          <w:bCs/>
        </w:rPr>
        <w:t>Doctrina de la Agencia Nacional de Contratación Pública:</w:t>
      </w:r>
    </w:p>
    <w:p w14:paraId="1F8561D6" w14:textId="77777777" w:rsidR="00A332C4" w:rsidRPr="00D17CC8" w:rsidRDefault="00A332C4" w:rsidP="00A332C4">
      <w:pPr>
        <w:widowControl w:val="0"/>
        <w:autoSpaceDE w:val="0"/>
        <w:autoSpaceDN w:val="0"/>
        <w:spacing w:after="0" w:line="276" w:lineRule="auto"/>
        <w:jc w:val="both"/>
        <w:rPr>
          <w:rFonts w:ascii="Verdana" w:hAnsi="Verdana" w:cs="Arial"/>
        </w:rPr>
      </w:pPr>
    </w:p>
    <w:p w14:paraId="5B07073D" w14:textId="77777777" w:rsidR="00A332C4" w:rsidRPr="00D17CC8" w:rsidRDefault="00A332C4" w:rsidP="00A332C4">
      <w:pPr>
        <w:widowControl w:val="0"/>
        <w:autoSpaceDE w:val="0"/>
        <w:autoSpaceDN w:val="0"/>
        <w:spacing w:after="0" w:line="276" w:lineRule="auto"/>
        <w:jc w:val="both"/>
        <w:rPr>
          <w:rFonts w:ascii="Verdana" w:eastAsia="Calibri" w:hAnsi="Verdana" w:cs="Arial"/>
          <w:bCs/>
          <w:color w:val="000000" w:themeColor="text1"/>
          <w:lang w:val="es-ES_tradnl" w:eastAsia="es-ES_tradnl"/>
        </w:rPr>
      </w:pPr>
      <w:r w:rsidRPr="00D17CC8">
        <w:rPr>
          <w:rFonts w:ascii="Verdana" w:eastAsia="Calibri" w:hAnsi="Verdana" w:cs="Arial"/>
          <w:color w:val="000000" w:themeColor="text1"/>
          <w:lang w:val="es-ES_tradnl" w:eastAsia="es-ES_tradnl"/>
        </w:rPr>
        <w:t xml:space="preserve">La Agencia Nacional de Contratación Pública – Colombia Compra Eficiente analizó </w:t>
      </w:r>
      <w:r w:rsidRPr="00D17CC8">
        <w:rPr>
          <w:rFonts w:ascii="Verdana" w:eastAsia="Calibri" w:hAnsi="Verdana" w:cs="Arial"/>
          <w:bCs/>
          <w:color w:val="000000" w:themeColor="text1"/>
          <w:lang w:val="es-ES_tradnl" w:eastAsia="es-ES_tradnl"/>
        </w:rPr>
        <w:t xml:space="preserve">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w:t>
      </w:r>
      <w:r w:rsidRPr="00D17CC8">
        <w:rPr>
          <w:rFonts w:ascii="Verdana" w:eastAsia="Calibri" w:hAnsi="Verdana" w:cs="Arial"/>
          <w:bCs/>
          <w:color w:val="000000" w:themeColor="text1"/>
          <w:lang w:val="es-ES_tradnl" w:eastAsia="es-ES_tradnl"/>
        </w:rPr>
        <w:lastRenderedPageBreak/>
        <w:t>marzo de 2022 y C-274 del 05 de mayo de 2022.</w:t>
      </w:r>
    </w:p>
    <w:p w14:paraId="37AD875A" w14:textId="77777777" w:rsidR="00A332C4" w:rsidRDefault="00A332C4" w:rsidP="00A332C4">
      <w:pPr>
        <w:widowControl w:val="0"/>
        <w:autoSpaceDE w:val="0"/>
        <w:autoSpaceDN w:val="0"/>
        <w:spacing w:after="0" w:line="276" w:lineRule="auto"/>
        <w:jc w:val="both"/>
        <w:rPr>
          <w:rFonts w:ascii="Verdana" w:eastAsia="Calibri" w:hAnsi="Verdana" w:cs="Arial"/>
          <w:bCs/>
          <w:color w:val="000000" w:themeColor="text1"/>
          <w:lang w:val="es-ES_tradnl" w:eastAsia="es-ES_tradnl"/>
        </w:rPr>
      </w:pPr>
    </w:p>
    <w:p w14:paraId="7474611F" w14:textId="77777777" w:rsidR="009D518C" w:rsidRPr="00D17CC8" w:rsidRDefault="009D518C" w:rsidP="00A332C4">
      <w:pPr>
        <w:widowControl w:val="0"/>
        <w:autoSpaceDE w:val="0"/>
        <w:autoSpaceDN w:val="0"/>
        <w:spacing w:after="0" w:line="276" w:lineRule="auto"/>
        <w:jc w:val="both"/>
        <w:rPr>
          <w:rFonts w:ascii="Verdana" w:eastAsia="Calibri" w:hAnsi="Verdana" w:cs="Arial"/>
          <w:bCs/>
          <w:color w:val="000000" w:themeColor="text1"/>
          <w:lang w:val="es-ES_tradnl" w:eastAsia="es-ES_tradnl"/>
        </w:rPr>
      </w:pPr>
    </w:p>
    <w:p w14:paraId="172E5985" w14:textId="77777777" w:rsidR="00A332C4" w:rsidRPr="00D17CC8" w:rsidRDefault="00A332C4" w:rsidP="00A332C4">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D17CC8">
        <w:rPr>
          <w:rFonts w:ascii="Verdana" w:eastAsia="Calibri" w:hAnsi="Verdana" w:cs="Arial"/>
          <w:bCs/>
          <w:color w:val="000000" w:themeColor="text1"/>
          <w:lang w:val="es-ES_tradnl" w:eastAsia="es-ES_tradnl"/>
        </w:rPr>
        <w:t xml:space="preserve"> Así mismo, explicó los convenios de asociación entre Entidades Públicas y particulares regulados en el artículo 96 de la Ley 489 de 1998, entre otros, en los conceptos 4201912000007899 del 27 de diciembre de 2019, 4201912000007901 del 27 de diciembre de 2019, C-055 del 28 de enero de 2020, C-086 del 16 de marzo de 2020, C-101 del 16 de marzo de 2020, C-228 del 17 de marzo de 2020, C-014 del 24 de marzo de 2020, C-416 del 30 de junio de 2020, C-483 del 06 de agosto de 2020, C-579 del 4 de septiembre de 2020, C-594 del 7 de septiembre de 2020, C-670 del 30 de noviembre de 2020, C-758 del 4 de enero de 2021, C-057 del 10 de marzo de 2021, C-379 de 26 de julio de 2021, C-524 de 13 de otubre de 2021, C-594 del 28 de otubre de 2021, C-609 del 29 de otubre de 2021, C-638 del 15 de diciembre de 2021, C-670 de 28 de diciembre de 2021, C-051 del 7 de marzo de 2022, C-145 del 28 de marzo de 2022, C-274 del 05 de mayo de 2022, C-292 del 11 de mayo de 2022, C-273 del 6 de mayo de 2022, C-560 de 7 de septiembre de 2022, C-771 del 29 de diciembre de 2022, C-041 del 12 de abril de 2023, C-132 del 12 de abril de 2023, C-259 del 4 de julio de 2023, C-351 del 6 de septiembre de 2023, C-418 del 10 de octubre de 2023, C-045 del 24 de abril de 2024, C-071 del 28 de mayo de 2024, C-096 del 27 de junio de 2024, C-115 del 16 de julio de 2024, C-073 del 22 de julio de 2024</w:t>
      </w:r>
      <w:r>
        <w:rPr>
          <w:rFonts w:ascii="Verdana" w:eastAsia="Calibri" w:hAnsi="Verdana" w:cs="Arial"/>
          <w:bCs/>
          <w:color w:val="000000" w:themeColor="text1"/>
          <w:lang w:val="es-ES_tradnl" w:eastAsia="es-ES_tradnl"/>
        </w:rPr>
        <w:t xml:space="preserve"> y C-141 de 2025</w:t>
      </w:r>
      <w:r w:rsidRPr="00D17CC8">
        <w:rPr>
          <w:rFonts w:ascii="Verdana" w:eastAsia="Calibri" w:hAnsi="Verdana" w:cs="Arial"/>
          <w:bCs/>
          <w:color w:val="000000" w:themeColor="text1"/>
          <w:lang w:val="es-ES_tradnl" w:eastAsia="es-ES_tradnl"/>
        </w:rPr>
        <w:t>, entre otros</w:t>
      </w:r>
      <w:r w:rsidRPr="00D17CC8">
        <w:rPr>
          <w:rStyle w:val="normaltextrun"/>
          <w:rFonts w:ascii="Verdana" w:hAnsi="Verdana" w:cs="Arial"/>
          <w:color w:val="7030A0"/>
          <w:shd w:val="clear" w:color="auto" w:fill="FFFFFF"/>
          <w:lang w:val="es-ES"/>
        </w:rPr>
        <w:t xml:space="preserve">. </w:t>
      </w:r>
    </w:p>
    <w:p w14:paraId="682D0447" w14:textId="77777777" w:rsidR="00A332C4" w:rsidRPr="00D17CC8" w:rsidRDefault="00A332C4" w:rsidP="00A332C4">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20A0424" w14:textId="77777777" w:rsidR="00A332C4" w:rsidRPr="00D17CC8" w:rsidRDefault="00A332C4" w:rsidP="00A332C4">
      <w:pPr>
        <w:widowControl w:val="0"/>
        <w:autoSpaceDE w:val="0"/>
        <w:autoSpaceDN w:val="0"/>
        <w:spacing w:after="0" w:line="276" w:lineRule="auto"/>
        <w:jc w:val="both"/>
        <w:rPr>
          <w:rStyle w:val="normaltextrun"/>
          <w:rFonts w:ascii="Verdana" w:hAnsi="Verdana" w:cs="Arial"/>
          <w:shd w:val="clear" w:color="auto" w:fill="FFFFFF"/>
          <w:lang w:val="es-ES"/>
        </w:rPr>
      </w:pPr>
      <w:r w:rsidRPr="00D17CC8">
        <w:rPr>
          <w:rStyle w:val="normaltextrun"/>
          <w:rFonts w:ascii="Verdana" w:hAnsi="Verdana" w:cs="Arial"/>
          <w:shd w:val="clear" w:color="auto" w:fill="FFFFFF"/>
          <w:lang w:val="es-ES"/>
        </w:rPr>
        <w:t>Es</w:t>
      </w:r>
      <w:r w:rsidRPr="00D17CC8">
        <w:rPr>
          <w:rFonts w:ascii="Verdana" w:hAnsi="Verdana"/>
        </w:rPr>
        <w:t>tos y otros conceptos se encuentran disponibles para consulta en el Sistema de relatoría de la Agencia, al cual se puede acceder a través del siguiente enlace:</w:t>
      </w:r>
      <w:r w:rsidRPr="00D17CC8">
        <w:rPr>
          <w:rStyle w:val="normaltextrun"/>
          <w:rFonts w:ascii="Verdana" w:hAnsi="Verdana" w:cs="Arial"/>
          <w:shd w:val="clear" w:color="auto" w:fill="FFFFFF"/>
          <w:lang w:val="es-ES"/>
        </w:rPr>
        <w:t xml:space="preserve"> </w:t>
      </w:r>
      <w:hyperlink r:id="rId13" w:history="1">
        <w:r w:rsidRPr="0060134E">
          <w:rPr>
            <w:rStyle w:val="Hipervnculo"/>
            <w:rFonts w:ascii="Verdana" w:hAnsi="Verdana" w:cs="Arial"/>
            <w:shd w:val="clear" w:color="auto" w:fill="FFFFFF"/>
            <w:lang w:val="es-ES"/>
          </w:rPr>
          <w:t>https://relatoria.colombiacompra.gov.co/busqueda/conceptos</w:t>
        </w:r>
      </w:hyperlink>
      <w:r w:rsidRPr="00D17CC8">
        <w:rPr>
          <w:rStyle w:val="normaltextrun"/>
          <w:rFonts w:ascii="Verdana" w:hAnsi="Verdana" w:cs="Arial"/>
          <w:shd w:val="clear" w:color="auto" w:fill="FFFFFF"/>
          <w:lang w:val="es-ES"/>
        </w:rPr>
        <w:t xml:space="preserve">. </w:t>
      </w:r>
    </w:p>
    <w:p w14:paraId="754DA594" w14:textId="77777777" w:rsidR="00A332C4" w:rsidRPr="00D17CC8" w:rsidRDefault="00A332C4" w:rsidP="00A332C4">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ED60A10" w14:textId="77777777" w:rsidR="00A332C4" w:rsidRPr="00D17CC8" w:rsidRDefault="00A332C4" w:rsidP="00A332C4">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D17CC8">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D17CC8">
        <w:rPr>
          <w:rStyle w:val="normaltextrun"/>
          <w:rFonts w:ascii="Verdana" w:hAnsi="Verdana" w:cs="Arial"/>
          <w:color w:val="FF0000"/>
          <w:shd w:val="clear" w:color="auto" w:fill="FFFFFF"/>
          <w:lang w:val="es-ES"/>
        </w:rPr>
        <w:t xml:space="preserve"> </w:t>
      </w:r>
      <w:hyperlink r:id="rId14" w:history="1">
        <w:r w:rsidRPr="0060134E">
          <w:rPr>
            <w:rStyle w:val="Hipervnculo"/>
            <w:rFonts w:ascii="Verdana" w:hAnsi="Verdana" w:cs="Arial"/>
            <w:shd w:val="clear" w:color="auto" w:fill="FFFFFF"/>
            <w:lang w:val="es-ES"/>
          </w:rPr>
          <w:t>https://www.colombiacompra.gov.co/sala-de-prensa/boletin-digital</w:t>
        </w:r>
      </w:hyperlink>
      <w:r w:rsidRPr="00D17CC8">
        <w:rPr>
          <w:rStyle w:val="normaltextrun"/>
          <w:rFonts w:ascii="Verdana" w:hAnsi="Verdana" w:cs="Arial"/>
          <w:color w:val="FF0000"/>
          <w:shd w:val="clear" w:color="auto" w:fill="FFFFFF"/>
          <w:lang w:val="es-ES"/>
        </w:rPr>
        <w:t xml:space="preserve">      </w:t>
      </w:r>
    </w:p>
    <w:p w14:paraId="344CE5D9" w14:textId="77777777" w:rsidR="00A332C4" w:rsidRDefault="00A332C4" w:rsidP="00A332C4">
      <w:pPr>
        <w:widowControl w:val="0"/>
        <w:autoSpaceDE w:val="0"/>
        <w:autoSpaceDN w:val="0"/>
        <w:spacing w:after="0" w:line="276" w:lineRule="auto"/>
        <w:jc w:val="both"/>
        <w:rPr>
          <w:rFonts w:ascii="Verdana" w:hAnsi="Verdana" w:cs="Arial"/>
        </w:rPr>
      </w:pPr>
    </w:p>
    <w:p w14:paraId="77FD94EA" w14:textId="77777777" w:rsidR="009D518C" w:rsidRPr="00D17CC8" w:rsidRDefault="009D518C" w:rsidP="00A332C4">
      <w:pPr>
        <w:widowControl w:val="0"/>
        <w:autoSpaceDE w:val="0"/>
        <w:autoSpaceDN w:val="0"/>
        <w:spacing w:after="0" w:line="276" w:lineRule="auto"/>
        <w:jc w:val="both"/>
        <w:rPr>
          <w:rFonts w:ascii="Verdana" w:hAnsi="Verdana" w:cs="Arial"/>
        </w:rPr>
      </w:pPr>
    </w:p>
    <w:p w14:paraId="051A8E1A" w14:textId="77777777" w:rsidR="00A332C4" w:rsidRPr="00D17CC8" w:rsidRDefault="00A332C4" w:rsidP="00A332C4">
      <w:pPr>
        <w:widowControl w:val="0"/>
        <w:autoSpaceDE w:val="0"/>
        <w:autoSpaceDN w:val="0"/>
        <w:spacing w:after="0" w:line="276" w:lineRule="auto"/>
        <w:jc w:val="both"/>
        <w:rPr>
          <w:rFonts w:ascii="Verdana" w:hAnsi="Verdana" w:cs="Arial"/>
          <w:lang w:val="es-ES_tradnl"/>
        </w:rPr>
      </w:pPr>
      <w:r w:rsidRPr="00D17CC8">
        <w:rPr>
          <w:rFonts w:ascii="Verdana" w:hAnsi="Verdana" w:cs="Arial"/>
        </w:rPr>
        <w:t xml:space="preserve">Este concepto tiene el alcance previsto en el artículo 28 del Código de Procedimiento Administrativo y de lo Contencioso Administrativo </w:t>
      </w:r>
      <w:r w:rsidRPr="00D17CC8">
        <w:rPr>
          <w:rFonts w:ascii="Verdana" w:hAnsi="Verdana" w:cs="Arial"/>
          <w:lang w:val="es-ES_tradnl"/>
        </w:rPr>
        <w:t xml:space="preserve">y las expresiones aquí utilizadas con mayúscula inicial deben ser entendidas con el </w:t>
      </w:r>
      <w:r w:rsidRPr="00D17CC8">
        <w:rPr>
          <w:rFonts w:ascii="Verdana" w:hAnsi="Verdana" w:cs="Arial"/>
          <w:lang w:val="es-ES_tradnl"/>
        </w:rPr>
        <w:lastRenderedPageBreak/>
        <w:t>significado que les otorga el artículo 2.2.1.1.1.3.1. del Decreto 1082 de 2015.</w:t>
      </w:r>
    </w:p>
    <w:p w14:paraId="66CA2DDF" w14:textId="77777777" w:rsidR="00A332C4" w:rsidRPr="00D17CC8" w:rsidRDefault="00A332C4" w:rsidP="00A332C4">
      <w:pPr>
        <w:widowControl w:val="0"/>
        <w:autoSpaceDE w:val="0"/>
        <w:autoSpaceDN w:val="0"/>
        <w:spacing w:after="0" w:line="276" w:lineRule="auto"/>
        <w:jc w:val="both"/>
        <w:rPr>
          <w:rFonts w:ascii="Verdana" w:hAnsi="Verdana" w:cs="Arial"/>
        </w:rPr>
      </w:pPr>
    </w:p>
    <w:p w14:paraId="754EA737" w14:textId="77777777" w:rsidR="00A332C4" w:rsidRPr="00D17CC8" w:rsidRDefault="00A332C4" w:rsidP="00A332C4">
      <w:pPr>
        <w:spacing w:after="0" w:line="276" w:lineRule="auto"/>
        <w:rPr>
          <w:rFonts w:ascii="Verdana" w:hAnsi="Verdana" w:cs="Arial"/>
          <w:lang w:eastAsia="es-CO"/>
        </w:rPr>
      </w:pPr>
      <w:r w:rsidRPr="00D17CC8">
        <w:rPr>
          <w:rFonts w:ascii="Verdana" w:eastAsia="Times New Roman" w:hAnsi="Verdana" w:cs="Arial"/>
          <w:lang w:eastAsia="es-CO"/>
        </w:rPr>
        <w:t>Atentamente,</w:t>
      </w:r>
      <w:r w:rsidRPr="00D17CC8">
        <w:rPr>
          <w:rFonts w:ascii="Verdana" w:hAnsi="Verdana" w:cs="Arial"/>
          <w:lang w:eastAsia="es-CO"/>
        </w:rPr>
        <w:t xml:space="preserve"> </w:t>
      </w:r>
    </w:p>
    <w:p w14:paraId="6571D5B3" w14:textId="68D375D0" w:rsidR="00A332C4" w:rsidRDefault="005C4430" w:rsidP="00A332C4">
      <w:pPr>
        <w:spacing w:after="0" w:line="276" w:lineRule="auto"/>
        <w:jc w:val="center"/>
        <w:rPr>
          <w:rFonts w:ascii="Verdana" w:hAnsi="Verdana"/>
          <w:lang w:val="es-ES_tradnl"/>
        </w:rPr>
      </w:pPr>
      <w:r>
        <w:rPr>
          <w:rFonts w:ascii="Verdana" w:hAnsi="Verdana"/>
          <w:noProof/>
          <w:lang w:val="es-ES_tradnl"/>
        </w:rPr>
        <w:drawing>
          <wp:inline distT="0" distB="0" distL="0" distR="0" wp14:anchorId="135B8AD3" wp14:editId="305E71D7">
            <wp:extent cx="3639058" cy="1343212"/>
            <wp:effectExtent l="0" t="0" r="0" b="0"/>
            <wp:docPr id="9093121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12175" name="Imagen 1" descr="Texto&#10;&#10;Descripción generada automáticamente"/>
                    <pic:cNvPicPr/>
                  </pic:nvPicPr>
                  <pic:blipFill>
                    <a:blip r:embed="rId15">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332C4" w:rsidRPr="00D53651" w14:paraId="34772B69" w14:textId="77777777" w:rsidTr="00973611">
        <w:trPr>
          <w:trHeight w:val="315"/>
        </w:trPr>
        <w:tc>
          <w:tcPr>
            <w:tcW w:w="893" w:type="dxa"/>
            <w:vAlign w:val="center"/>
            <w:hideMark/>
          </w:tcPr>
          <w:p w14:paraId="5B202372" w14:textId="77777777" w:rsidR="00A332C4" w:rsidRPr="00D53651" w:rsidRDefault="00A332C4" w:rsidP="00973611">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7AFCAA12" w14:textId="77777777" w:rsidR="00A332C4" w:rsidRPr="00D53651" w:rsidRDefault="00A332C4" w:rsidP="00973611">
            <w:pPr>
              <w:spacing w:line="276" w:lineRule="auto"/>
              <w:jc w:val="both"/>
              <w:rPr>
                <w:rFonts w:ascii="Verdana" w:hAnsi="Verdana"/>
                <w:sz w:val="16"/>
                <w:szCs w:val="16"/>
              </w:rPr>
            </w:pPr>
            <w:r>
              <w:rPr>
                <w:rFonts w:ascii="Verdana" w:hAnsi="Verdana"/>
                <w:sz w:val="16"/>
                <w:szCs w:val="16"/>
              </w:rPr>
              <w:t>Gloria Elizabeth Arango Builes</w:t>
            </w:r>
          </w:p>
          <w:p w14:paraId="4A1576B0" w14:textId="77777777" w:rsidR="00A332C4" w:rsidRPr="00D53651" w:rsidRDefault="00A332C4" w:rsidP="00973611">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A332C4" w:rsidRPr="00D53651" w14:paraId="2D1C33FE" w14:textId="77777777" w:rsidTr="00973611">
        <w:trPr>
          <w:trHeight w:val="330"/>
        </w:trPr>
        <w:tc>
          <w:tcPr>
            <w:tcW w:w="893" w:type="dxa"/>
            <w:vAlign w:val="center"/>
            <w:hideMark/>
          </w:tcPr>
          <w:p w14:paraId="5AC91D15" w14:textId="77777777" w:rsidR="00A332C4" w:rsidRPr="00D53651" w:rsidRDefault="00A332C4" w:rsidP="00973611">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706D8279" w14:textId="77777777" w:rsidR="00A332C4" w:rsidRPr="00D53651" w:rsidRDefault="00A332C4" w:rsidP="00973611">
            <w:pPr>
              <w:spacing w:line="276" w:lineRule="auto"/>
              <w:jc w:val="both"/>
              <w:rPr>
                <w:rFonts w:ascii="Verdana" w:hAnsi="Verdana"/>
                <w:sz w:val="16"/>
                <w:szCs w:val="16"/>
              </w:rPr>
            </w:pPr>
            <w:r w:rsidRPr="00960F72">
              <w:rPr>
                <w:rFonts w:ascii="Verdana" w:hAnsi="Verdana"/>
                <w:sz w:val="16"/>
                <w:szCs w:val="16"/>
              </w:rPr>
              <w:t>Diana Lucía Saavedra Castañeda</w:t>
            </w:r>
          </w:p>
          <w:p w14:paraId="34333F9D" w14:textId="77777777" w:rsidR="00A332C4" w:rsidRPr="00D53651" w:rsidRDefault="00A332C4" w:rsidP="00973611">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A332C4" w:rsidRPr="00D53651" w14:paraId="42847E59" w14:textId="77777777" w:rsidTr="00973611">
        <w:trPr>
          <w:trHeight w:val="300"/>
        </w:trPr>
        <w:tc>
          <w:tcPr>
            <w:tcW w:w="893" w:type="dxa"/>
            <w:vAlign w:val="center"/>
            <w:hideMark/>
          </w:tcPr>
          <w:p w14:paraId="2E035577" w14:textId="77777777" w:rsidR="00A332C4" w:rsidRPr="00D53651" w:rsidRDefault="00A332C4" w:rsidP="00973611">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50F286ED" w14:textId="77777777" w:rsidR="00A332C4" w:rsidRPr="00D53651" w:rsidRDefault="00A332C4" w:rsidP="00973611">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032F23FE" w14:textId="77777777" w:rsidR="00A332C4" w:rsidRPr="00D53651" w:rsidRDefault="00A332C4" w:rsidP="00973611">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6FEFE337" w14:textId="77777777" w:rsidR="00A332C4" w:rsidRPr="000931E9" w:rsidRDefault="00A332C4" w:rsidP="00A332C4"/>
    <w:p w14:paraId="60EC9F61" w14:textId="77777777" w:rsidR="00A332C4" w:rsidRPr="0044528D" w:rsidRDefault="00A332C4" w:rsidP="00A332C4">
      <w:pPr>
        <w:spacing w:after="0"/>
        <w:rPr>
          <w:rFonts w:ascii="Verdana" w:hAnsi="Verdana"/>
        </w:rPr>
      </w:pPr>
    </w:p>
    <w:p w14:paraId="70AB2361" w14:textId="77777777" w:rsidR="00A332C4" w:rsidRPr="00FA01E0" w:rsidRDefault="00A332C4" w:rsidP="00A332C4">
      <w:pPr>
        <w:spacing w:after="0" w:line="276" w:lineRule="auto"/>
        <w:jc w:val="both"/>
        <w:rPr>
          <w:rFonts w:ascii="Verdana" w:eastAsia="Calibri" w:hAnsi="Verdana" w:cs="Arial"/>
          <w:lang w:val="es-ES"/>
        </w:rPr>
      </w:pPr>
    </w:p>
    <w:p w14:paraId="70792397" w14:textId="77777777" w:rsidR="00A332C4" w:rsidRPr="004F240F" w:rsidRDefault="00A332C4" w:rsidP="00A332C4"/>
    <w:p w14:paraId="0F293BF4" w14:textId="1FD625EC" w:rsidR="00127233" w:rsidRPr="00E25202" w:rsidRDefault="00127233" w:rsidP="00E25202"/>
    <w:sectPr w:rsidR="00127233" w:rsidRPr="00E25202"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AE6599" w14:textId="77777777" w:rsidR="00F8183B" w:rsidRDefault="00F8183B" w:rsidP="004A1847">
      <w:pPr>
        <w:spacing w:after="0" w:line="240" w:lineRule="auto"/>
      </w:pPr>
      <w:r>
        <w:separator/>
      </w:r>
    </w:p>
  </w:endnote>
  <w:endnote w:type="continuationSeparator" w:id="0">
    <w:p w14:paraId="140D59ED" w14:textId="77777777" w:rsidR="00F8183B" w:rsidRDefault="00F8183B" w:rsidP="004A1847">
      <w:pPr>
        <w:spacing w:after="0" w:line="240" w:lineRule="auto"/>
      </w:pPr>
      <w:r>
        <w:continuationSeparator/>
      </w:r>
    </w:p>
  </w:endnote>
  <w:endnote w:type="continuationNotice" w:id="1">
    <w:p w14:paraId="26D2349E" w14:textId="77777777" w:rsidR="00F8183B" w:rsidRDefault="00F818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CFC12" w14:textId="77777777" w:rsidR="00F8183B" w:rsidRDefault="00F8183B" w:rsidP="004A1847">
      <w:pPr>
        <w:spacing w:after="0" w:line="240" w:lineRule="auto"/>
      </w:pPr>
      <w:r>
        <w:separator/>
      </w:r>
    </w:p>
  </w:footnote>
  <w:footnote w:type="continuationSeparator" w:id="0">
    <w:p w14:paraId="219BD9E5" w14:textId="77777777" w:rsidR="00F8183B" w:rsidRDefault="00F8183B" w:rsidP="004A1847">
      <w:pPr>
        <w:spacing w:after="0" w:line="240" w:lineRule="auto"/>
      </w:pPr>
      <w:r>
        <w:continuationSeparator/>
      </w:r>
    </w:p>
  </w:footnote>
  <w:footnote w:type="continuationNotice" w:id="1">
    <w:p w14:paraId="53EE928B" w14:textId="77777777" w:rsidR="00F8183B" w:rsidRDefault="00F8183B">
      <w:pPr>
        <w:spacing w:after="0" w:line="240" w:lineRule="auto"/>
      </w:pPr>
    </w:p>
  </w:footnote>
  <w:footnote w:id="2">
    <w:p w14:paraId="12D1DB79" w14:textId="77777777" w:rsidR="00A332C4" w:rsidRPr="009A2D37" w:rsidRDefault="00A332C4" w:rsidP="00A332C4">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r>
        <w:rPr>
          <w:rFonts w:ascii="Verdana" w:hAnsi="Verdana" w:cs="Arial"/>
          <w:color w:val="000000" w:themeColor="text1"/>
          <w:sz w:val="16"/>
          <w:szCs w:val="16"/>
        </w:rPr>
        <w:t>, dictados por la Agencia Nacional de Contratación Pública – Colombia Compra Eficiente</w:t>
      </w:r>
      <w:r w:rsidRPr="009A2D37">
        <w:rPr>
          <w:rFonts w:ascii="Verdana" w:hAnsi="Verdana" w:cs="Arial"/>
          <w:color w:val="000000" w:themeColor="text1"/>
          <w:sz w:val="16"/>
          <w:szCs w:val="16"/>
        </w:rPr>
        <w:t>.</w:t>
      </w:r>
    </w:p>
    <w:p w14:paraId="17DD670F" w14:textId="77777777" w:rsidR="00A332C4" w:rsidRPr="009A2D37" w:rsidRDefault="00A332C4" w:rsidP="00A332C4">
      <w:pPr>
        <w:pStyle w:val="Textonotapie"/>
        <w:ind w:firstLine="709"/>
        <w:jc w:val="both"/>
        <w:rPr>
          <w:rFonts w:ascii="Verdana" w:hAnsi="Verdana" w:cs="Arial"/>
          <w:color w:val="000000" w:themeColor="text1"/>
          <w:sz w:val="16"/>
          <w:szCs w:val="16"/>
          <w:lang w:val="es-ES"/>
        </w:rPr>
      </w:pPr>
    </w:p>
  </w:footnote>
  <w:footnote w:id="3">
    <w:p w14:paraId="23C76379" w14:textId="77777777" w:rsidR="00A332C4" w:rsidRPr="009A2D37" w:rsidRDefault="00A332C4" w:rsidP="00A332C4">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Al respecto, la Ley 489 de 1998 dispone que “Art</w:t>
      </w:r>
      <w:r>
        <w:rPr>
          <w:rFonts w:ascii="Verdana" w:hAnsi="Verdana" w:cs="Arial"/>
          <w:color w:val="000000" w:themeColor="text1"/>
          <w:sz w:val="16"/>
          <w:szCs w:val="16"/>
        </w:rPr>
        <w:t>ículo</w:t>
      </w:r>
      <w:r w:rsidRPr="009A2D37">
        <w:rPr>
          <w:rFonts w:ascii="Verdana" w:hAnsi="Verdana" w:cs="Arial"/>
          <w:color w:val="000000" w:themeColor="text1"/>
          <w:sz w:val="16"/>
          <w:szCs w:val="16"/>
        </w:rPr>
        <w:t xml:space="preserve">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333FD533" w14:textId="77777777" w:rsidR="00A332C4" w:rsidRPr="009A2D37" w:rsidRDefault="00A332C4" w:rsidP="00A332C4">
      <w:pPr>
        <w:pStyle w:val="Textonotapie"/>
        <w:ind w:firstLine="709"/>
        <w:jc w:val="both"/>
        <w:rPr>
          <w:rFonts w:ascii="Verdana" w:hAnsi="Verdana" w:cs="Arial"/>
          <w:color w:val="000000" w:themeColor="text1"/>
          <w:sz w:val="16"/>
          <w:szCs w:val="16"/>
        </w:rPr>
      </w:pPr>
    </w:p>
    <w:p w14:paraId="32E2E0DE" w14:textId="77777777" w:rsidR="00A332C4" w:rsidRPr="009A2D37" w:rsidRDefault="00A332C4" w:rsidP="00A332C4">
      <w:pPr>
        <w:pStyle w:val="Textonotapie"/>
        <w:ind w:firstLine="709"/>
        <w:jc w:val="both"/>
        <w:rPr>
          <w:rFonts w:ascii="Verdana" w:hAnsi="Verdana" w:cs="Arial"/>
          <w:color w:val="000000" w:themeColor="text1"/>
          <w:sz w:val="16"/>
          <w:szCs w:val="16"/>
        </w:rPr>
      </w:pPr>
      <w:r w:rsidRPr="009A2D37">
        <w:rPr>
          <w:rFonts w:ascii="Verdana" w:hAnsi="Verdana" w:cs="Arial"/>
          <w:color w:val="000000" w:themeColor="text1"/>
          <w:sz w:val="16"/>
          <w:szCs w:val="16"/>
        </w:rPr>
        <w:t xml:space="preserve">Los convenios de asociación a que se refiere el presente artículo </w:t>
      </w:r>
      <w:bookmarkStart w:id="3" w:name="_Hlk36023315"/>
      <w:r w:rsidRPr="009A2D37">
        <w:rPr>
          <w:rFonts w:ascii="Verdana" w:hAnsi="Verdana" w:cs="Arial"/>
          <w:color w:val="000000" w:themeColor="text1"/>
          <w:sz w:val="16"/>
          <w:szCs w:val="16"/>
        </w:rPr>
        <w:t>se celebrarán de conformidad con lo dispuesto en el artículo 355 de la Constitución Política</w:t>
      </w:r>
      <w:bookmarkEnd w:id="3"/>
      <w:r w:rsidRPr="009A2D37">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44D9683C" w14:textId="77777777" w:rsidR="00A332C4" w:rsidRPr="009A2D37" w:rsidRDefault="00A332C4" w:rsidP="00A332C4">
      <w:pPr>
        <w:pStyle w:val="Textonotapie"/>
        <w:ind w:firstLine="709"/>
        <w:jc w:val="both"/>
        <w:rPr>
          <w:rFonts w:ascii="Verdana" w:hAnsi="Verdana" w:cs="Arial"/>
          <w:color w:val="000000" w:themeColor="text1"/>
          <w:sz w:val="16"/>
          <w:szCs w:val="16"/>
          <w:lang w:val="es-ES"/>
        </w:rPr>
      </w:pPr>
      <w:r w:rsidRPr="009A2D37">
        <w:rPr>
          <w:rFonts w:ascii="Verdana" w:hAnsi="Verdana" w:cs="Arial"/>
          <w:color w:val="000000" w:themeColor="text1"/>
          <w:sz w:val="16"/>
          <w:szCs w:val="16"/>
        </w:rPr>
        <w:t xml:space="preserve"> </w:t>
      </w:r>
    </w:p>
  </w:footnote>
  <w:footnote w:id="4">
    <w:p w14:paraId="6380997D" w14:textId="77777777" w:rsidR="00A332C4" w:rsidRPr="009A2D37" w:rsidRDefault="00A332C4" w:rsidP="00A332C4">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578D4C7E" w14:textId="77777777" w:rsidR="00A332C4" w:rsidRPr="009A2D37" w:rsidRDefault="00A332C4" w:rsidP="00A332C4">
      <w:pPr>
        <w:pStyle w:val="Textonotapie"/>
        <w:ind w:firstLine="709"/>
        <w:jc w:val="both"/>
        <w:rPr>
          <w:rFonts w:ascii="Verdana" w:hAnsi="Verdana"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9844E6"/>
    <w:multiLevelType w:val="hybridMultilevel"/>
    <w:tmpl w:val="E25A2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4568769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CC5"/>
    <w:rsid w:val="00016F78"/>
    <w:rsid w:val="00020E23"/>
    <w:rsid w:val="00046945"/>
    <w:rsid w:val="00061B2A"/>
    <w:rsid w:val="00082362"/>
    <w:rsid w:val="000A42F0"/>
    <w:rsid w:val="000A683E"/>
    <w:rsid w:val="000B19B9"/>
    <w:rsid w:val="000D0334"/>
    <w:rsid w:val="000D5DA7"/>
    <w:rsid w:val="000F6486"/>
    <w:rsid w:val="00116940"/>
    <w:rsid w:val="00125105"/>
    <w:rsid w:val="00127233"/>
    <w:rsid w:val="0015699B"/>
    <w:rsid w:val="00177BC1"/>
    <w:rsid w:val="001A0920"/>
    <w:rsid w:val="001A33BF"/>
    <w:rsid w:val="001A39AA"/>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5753"/>
    <w:rsid w:val="003A2159"/>
    <w:rsid w:val="003A779E"/>
    <w:rsid w:val="003D0F4D"/>
    <w:rsid w:val="003D5B0D"/>
    <w:rsid w:val="003E0499"/>
    <w:rsid w:val="003E4F80"/>
    <w:rsid w:val="003E6439"/>
    <w:rsid w:val="003F3941"/>
    <w:rsid w:val="00406575"/>
    <w:rsid w:val="00414C74"/>
    <w:rsid w:val="0042722E"/>
    <w:rsid w:val="0044528D"/>
    <w:rsid w:val="004537D1"/>
    <w:rsid w:val="00466E39"/>
    <w:rsid w:val="004A1847"/>
    <w:rsid w:val="004A305D"/>
    <w:rsid w:val="004F21C4"/>
    <w:rsid w:val="004F2B3E"/>
    <w:rsid w:val="004F685F"/>
    <w:rsid w:val="004F69A7"/>
    <w:rsid w:val="005566E8"/>
    <w:rsid w:val="00574867"/>
    <w:rsid w:val="00591460"/>
    <w:rsid w:val="005A65E0"/>
    <w:rsid w:val="005C3777"/>
    <w:rsid w:val="005C4430"/>
    <w:rsid w:val="005C5CDC"/>
    <w:rsid w:val="005D476C"/>
    <w:rsid w:val="0060134E"/>
    <w:rsid w:val="006200BF"/>
    <w:rsid w:val="006219F8"/>
    <w:rsid w:val="006302F7"/>
    <w:rsid w:val="00646B9F"/>
    <w:rsid w:val="00665D70"/>
    <w:rsid w:val="006900D9"/>
    <w:rsid w:val="006971F6"/>
    <w:rsid w:val="00706C16"/>
    <w:rsid w:val="00727C98"/>
    <w:rsid w:val="007340C3"/>
    <w:rsid w:val="0075235A"/>
    <w:rsid w:val="00756841"/>
    <w:rsid w:val="007649AB"/>
    <w:rsid w:val="00771D0C"/>
    <w:rsid w:val="007833AC"/>
    <w:rsid w:val="007B268C"/>
    <w:rsid w:val="007B7171"/>
    <w:rsid w:val="007C0C0F"/>
    <w:rsid w:val="007C3DC2"/>
    <w:rsid w:val="007E5497"/>
    <w:rsid w:val="00805926"/>
    <w:rsid w:val="00806F5F"/>
    <w:rsid w:val="0081130C"/>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A33B8"/>
    <w:rsid w:val="009B2D26"/>
    <w:rsid w:val="009C71FA"/>
    <w:rsid w:val="009C72E7"/>
    <w:rsid w:val="009C7F7E"/>
    <w:rsid w:val="009D3058"/>
    <w:rsid w:val="009D518C"/>
    <w:rsid w:val="009F3A13"/>
    <w:rsid w:val="00A122D3"/>
    <w:rsid w:val="00A14468"/>
    <w:rsid w:val="00A17F13"/>
    <w:rsid w:val="00A20739"/>
    <w:rsid w:val="00A23AF9"/>
    <w:rsid w:val="00A332C4"/>
    <w:rsid w:val="00A33C78"/>
    <w:rsid w:val="00A45BC5"/>
    <w:rsid w:val="00AB0ADB"/>
    <w:rsid w:val="00AE222C"/>
    <w:rsid w:val="00B00C0E"/>
    <w:rsid w:val="00B01B1A"/>
    <w:rsid w:val="00B0381D"/>
    <w:rsid w:val="00B16225"/>
    <w:rsid w:val="00B36CDF"/>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07764"/>
    <w:rsid w:val="00D361FD"/>
    <w:rsid w:val="00D423A2"/>
    <w:rsid w:val="00D44E26"/>
    <w:rsid w:val="00D520D8"/>
    <w:rsid w:val="00D63AC2"/>
    <w:rsid w:val="00D7383B"/>
    <w:rsid w:val="00D7788A"/>
    <w:rsid w:val="00DA231B"/>
    <w:rsid w:val="00DC39FC"/>
    <w:rsid w:val="00DF0677"/>
    <w:rsid w:val="00DF5254"/>
    <w:rsid w:val="00E02524"/>
    <w:rsid w:val="00E16408"/>
    <w:rsid w:val="00E20894"/>
    <w:rsid w:val="00E245AB"/>
    <w:rsid w:val="00E25202"/>
    <w:rsid w:val="00E2764C"/>
    <w:rsid w:val="00E277D4"/>
    <w:rsid w:val="00E27F2E"/>
    <w:rsid w:val="00E50AFE"/>
    <w:rsid w:val="00E75C92"/>
    <w:rsid w:val="00E771DC"/>
    <w:rsid w:val="00E8772A"/>
    <w:rsid w:val="00E90F6B"/>
    <w:rsid w:val="00E92C27"/>
    <w:rsid w:val="00EA0E3D"/>
    <w:rsid w:val="00EC38A7"/>
    <w:rsid w:val="00EE1AA8"/>
    <w:rsid w:val="00EE2E40"/>
    <w:rsid w:val="00F23FEA"/>
    <w:rsid w:val="00F31EDC"/>
    <w:rsid w:val="00F462B3"/>
    <w:rsid w:val="00F5664F"/>
    <w:rsid w:val="00F666C4"/>
    <w:rsid w:val="00F76AFC"/>
    <w:rsid w:val="00F8183B"/>
    <w:rsid w:val="00F90599"/>
    <w:rsid w:val="00FA47C0"/>
    <w:rsid w:val="00FB5DD1"/>
    <w:rsid w:val="00FC2B5D"/>
    <w:rsid w:val="00FE490A"/>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332C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332C4"/>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esal.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susenriquegarnica@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ala-de-prensa/boletin-digita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1444383D-F018-4DD3-B699-CF8A5645A16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TotalTime>
  <Pages>11</Pages>
  <Words>3374</Words>
  <Characters>18563</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21894</CharactersWithSpaces>
  <SharedDoc>false</SharedDoc>
  <HLinks>
    <vt:vector size="24" baseType="variant">
      <vt:variant>
        <vt:i4>5439494</vt:i4>
      </vt:variant>
      <vt:variant>
        <vt:i4>9</vt:i4>
      </vt:variant>
      <vt:variant>
        <vt:i4>0</vt:i4>
      </vt:variant>
      <vt:variant>
        <vt:i4>5</vt:i4>
      </vt:variant>
      <vt:variant>
        <vt:lpwstr>https://www.colombiacompra.gov.co/sala-de-prensa/boletin-digital</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5963852</vt:i4>
      </vt:variant>
      <vt:variant>
        <vt:i4>3</vt:i4>
      </vt:variant>
      <vt:variant>
        <vt:i4>0</vt:i4>
      </vt:variant>
      <vt:variant>
        <vt:i4>5</vt:i4>
      </vt:variant>
      <vt:variant>
        <vt:lpwstr>https://www.colombiacompra.gov.co/sites/cce_public/files/cce_documents/cce_guia_esal.pdf</vt:lpwstr>
      </vt:variant>
      <vt:variant>
        <vt:lpwstr/>
      </vt:variant>
      <vt:variant>
        <vt:i4>196656</vt:i4>
      </vt:variant>
      <vt:variant>
        <vt:i4>0</vt:i4>
      </vt:variant>
      <vt:variant>
        <vt:i4>0</vt:i4>
      </vt:variant>
      <vt:variant>
        <vt:i4>5</vt:i4>
      </vt:variant>
      <vt:variant>
        <vt:lpwstr>mailto:Jesusenriquegarnica@gmail.com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Arango</cp:lastModifiedBy>
  <cp:revision>2</cp:revision>
  <cp:lastPrinted>2023-01-10T21:18:00Z</cp:lastPrinted>
  <dcterms:created xsi:type="dcterms:W3CDTF">2025-11-26T13:44:00Z</dcterms:created>
  <dcterms:modified xsi:type="dcterms:W3CDTF">2025-11-26T13:44:00Z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