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4AFE" w14:textId="77777777" w:rsidR="005D4A0D" w:rsidRPr="00647611" w:rsidRDefault="005D4A0D" w:rsidP="005D4A0D">
      <w:pPr>
        <w:spacing w:after="0" w:line="240" w:lineRule="auto"/>
        <w:jc w:val="both"/>
        <w:rPr>
          <w:rFonts w:ascii="Verdana" w:eastAsia="Calibri" w:hAnsi="Verdana" w:cs="Arial"/>
          <w:sz w:val="20"/>
          <w:szCs w:val="20"/>
          <w:lang w:val="es-ES_tradnl" w:eastAsia="es-ES"/>
        </w:rPr>
      </w:pPr>
    </w:p>
    <w:p w14:paraId="6D2FE3CA" w14:textId="77777777" w:rsidR="005D4A0D" w:rsidRPr="00647611" w:rsidRDefault="005D4A0D" w:rsidP="005D4A0D">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61429D57"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539AEE18" w14:textId="77777777" w:rsidR="005D4A0D" w:rsidRPr="00647611" w:rsidRDefault="005D4A0D" w:rsidP="005D4A0D">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9ACE03D"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782375F9" w14:textId="77777777" w:rsidR="005D4A0D" w:rsidRPr="00647611" w:rsidRDefault="005D4A0D" w:rsidP="005D4A0D">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celebración- límite</w:t>
      </w:r>
    </w:p>
    <w:p w14:paraId="0371CE5E"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400697D5" w14:textId="77777777" w:rsidR="005D4A0D" w:rsidRPr="00647611" w:rsidRDefault="005D4A0D" w:rsidP="005D4A0D">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7FB9C3F" w14:textId="77777777" w:rsidR="005D4A0D" w:rsidRPr="00647611" w:rsidRDefault="005D4A0D" w:rsidP="005D4A0D">
      <w:pPr>
        <w:spacing w:after="0" w:line="240" w:lineRule="auto"/>
        <w:jc w:val="both"/>
        <w:rPr>
          <w:rFonts w:ascii="Verdana" w:eastAsia="Calibri" w:hAnsi="Verdana" w:cs="Arial"/>
          <w:sz w:val="20"/>
          <w:szCs w:val="20"/>
        </w:rPr>
      </w:pPr>
    </w:p>
    <w:p w14:paraId="6AA5FCDE" w14:textId="77777777" w:rsidR="005D4A0D" w:rsidRPr="00647611" w:rsidRDefault="005D4A0D" w:rsidP="005D4A0D">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7CE2C4A2" w14:textId="77777777" w:rsidR="005D4A0D" w:rsidRPr="00647611" w:rsidRDefault="005D4A0D" w:rsidP="005D4A0D">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229E81F3" w14:textId="77777777" w:rsidR="005D4A0D" w:rsidRPr="00647611" w:rsidRDefault="005D4A0D" w:rsidP="005D4A0D">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5EC0DF0"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3BDF6EAE" w14:textId="77777777" w:rsidR="005D4A0D" w:rsidRPr="00647611" w:rsidRDefault="005D4A0D" w:rsidP="005D4A0D">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05A5CF6C"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45131D47" w14:textId="77777777" w:rsidR="005D4A0D" w:rsidRPr="00647611" w:rsidRDefault="005D4A0D" w:rsidP="005D4A0D">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09570BBB" w14:textId="77777777" w:rsidR="005D4A0D" w:rsidRPr="00647611" w:rsidRDefault="005D4A0D" w:rsidP="005D4A0D">
      <w:pPr>
        <w:spacing w:after="0" w:line="240" w:lineRule="auto"/>
        <w:jc w:val="both"/>
        <w:rPr>
          <w:rFonts w:ascii="Verdana" w:hAnsi="Verdana" w:cs="Arial"/>
          <w:b/>
          <w:sz w:val="20"/>
          <w:szCs w:val="20"/>
          <w:lang w:eastAsia="es-ES_tradnl"/>
        </w:rPr>
      </w:pPr>
    </w:p>
    <w:p w14:paraId="6B69BDBA" w14:textId="77777777" w:rsidR="005D4A0D" w:rsidRPr="00647611" w:rsidRDefault="005D4A0D" w:rsidP="005D4A0D">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52A07CA2"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71DA3AA0" w14:textId="77777777" w:rsidR="005D4A0D" w:rsidRPr="00647611" w:rsidRDefault="005D4A0D" w:rsidP="005D4A0D">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C07FBEB" w14:textId="77777777" w:rsidR="005D4A0D" w:rsidRPr="00647611" w:rsidRDefault="005D4A0D" w:rsidP="005D4A0D">
      <w:pPr>
        <w:spacing w:after="0" w:line="240" w:lineRule="auto"/>
        <w:jc w:val="both"/>
        <w:rPr>
          <w:rFonts w:ascii="Verdana" w:hAnsi="Verdana" w:cs="Arial"/>
          <w:b/>
          <w:sz w:val="20"/>
          <w:szCs w:val="20"/>
          <w:lang w:val="es-MX" w:eastAsia="es-ES_tradnl"/>
        </w:rPr>
      </w:pPr>
    </w:p>
    <w:p w14:paraId="39584083" w14:textId="77777777" w:rsidR="005D4A0D" w:rsidRPr="00647611" w:rsidRDefault="005D4A0D" w:rsidP="005D4A0D">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09AFA8C6" w14:textId="77777777" w:rsidR="005D4A0D" w:rsidRPr="00647611" w:rsidRDefault="005D4A0D" w:rsidP="005D4A0D">
      <w:pPr>
        <w:spacing w:after="0" w:line="240" w:lineRule="auto"/>
        <w:rPr>
          <w:rFonts w:ascii="Verdana" w:hAnsi="Verdana" w:cs="Arial"/>
          <w:sz w:val="20"/>
          <w:szCs w:val="20"/>
          <w:lang w:val="es-MX" w:eastAsia="es-ES_tradnl"/>
        </w:rPr>
      </w:pPr>
    </w:p>
    <w:p w14:paraId="32EA7CD6" w14:textId="77777777" w:rsidR="005D4A0D" w:rsidRPr="00647611" w:rsidRDefault="005D4A0D" w:rsidP="005D4A0D">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w:t>
      </w:r>
      <w:r w:rsidRPr="00647611">
        <w:rPr>
          <w:rFonts w:ascii="Verdana" w:eastAsia="Calibri" w:hAnsi="Verdana" w:cs="Arial"/>
          <w:sz w:val="20"/>
          <w:szCs w:val="20"/>
          <w:lang w:val="es-MX"/>
        </w:rPr>
        <w:lastRenderedPageBreak/>
        <w:t>pues significaría la parálisis de una actividad propia de la administración, que incluso podría desconocer los derechos fundamentales”</w:t>
      </w:r>
    </w:p>
    <w:p w14:paraId="68C3ED77" w14:textId="77777777" w:rsidR="005D4A0D" w:rsidRPr="00647611" w:rsidRDefault="005D4A0D" w:rsidP="005D4A0D">
      <w:pPr>
        <w:spacing w:after="0" w:line="240" w:lineRule="auto"/>
        <w:rPr>
          <w:rFonts w:ascii="Verdana" w:hAnsi="Verdana"/>
          <w:sz w:val="20"/>
          <w:szCs w:val="20"/>
        </w:rPr>
      </w:pPr>
    </w:p>
    <w:p w14:paraId="3F79D243" w14:textId="77777777" w:rsidR="005D4A0D" w:rsidRPr="00647611" w:rsidRDefault="005D4A0D" w:rsidP="005D4A0D">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3F841A9F" w14:textId="77777777" w:rsidR="005D4A0D" w:rsidRPr="00647611" w:rsidRDefault="005D4A0D" w:rsidP="005D4A0D">
      <w:pPr>
        <w:spacing w:after="0" w:line="240" w:lineRule="auto"/>
        <w:rPr>
          <w:rFonts w:ascii="Verdana" w:hAnsi="Verdana"/>
          <w:sz w:val="20"/>
          <w:szCs w:val="20"/>
        </w:rPr>
      </w:pPr>
    </w:p>
    <w:p w14:paraId="49FE2E23" w14:textId="77777777" w:rsidR="005D4A0D" w:rsidRPr="00647611" w:rsidRDefault="005D4A0D" w:rsidP="005D4A0D">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373CCF87" w14:textId="77777777" w:rsidR="005D4A0D" w:rsidRPr="00647611" w:rsidRDefault="005D4A0D" w:rsidP="005D4A0D">
      <w:pPr>
        <w:spacing w:after="0" w:line="240" w:lineRule="auto"/>
        <w:jc w:val="both"/>
        <w:rPr>
          <w:rFonts w:ascii="Verdana" w:hAnsi="Verdana"/>
          <w:b/>
          <w:sz w:val="20"/>
          <w:szCs w:val="20"/>
        </w:rPr>
      </w:pPr>
    </w:p>
    <w:p w14:paraId="32F24D94" w14:textId="77777777" w:rsidR="005D4A0D" w:rsidRPr="00647611" w:rsidRDefault="005D4A0D" w:rsidP="005D4A0D">
      <w:pPr>
        <w:spacing w:after="0" w:line="240" w:lineRule="auto"/>
        <w:jc w:val="both"/>
        <w:rPr>
          <w:rFonts w:ascii="Verdana" w:hAnsi="Verdana"/>
          <w:b/>
          <w:lang w:val="es-MX"/>
        </w:rPr>
      </w:pPr>
      <w:r w:rsidRPr="00647611">
        <w:rPr>
          <w:rFonts w:ascii="Verdana" w:hAnsi="Verdana"/>
          <w:b/>
          <w:lang w:val="es-ES"/>
        </w:rPr>
        <w:t xml:space="preserve">ENAJENACIÓN VOLUNTARIA </w:t>
      </w:r>
      <w:r w:rsidRPr="00647611">
        <w:rPr>
          <w:rFonts w:ascii="Verdana" w:hAnsi="Verdana"/>
          <w:b/>
          <w:lang w:val="es-MX"/>
        </w:rPr>
        <w:t>– Objeto – Aplicación – Ley de Garantías Electorales – Restricción</w:t>
      </w:r>
      <w:r>
        <w:rPr>
          <w:rFonts w:ascii="Verdana" w:hAnsi="Verdana"/>
          <w:b/>
          <w:lang w:val="es-MX"/>
        </w:rPr>
        <w:t xml:space="preserve"> –</w:t>
      </w:r>
      <w:r w:rsidRPr="00647611">
        <w:rPr>
          <w:rFonts w:ascii="Verdana" w:hAnsi="Verdana"/>
          <w:b/>
          <w:lang w:val="es-MX"/>
        </w:rPr>
        <w:t xml:space="preserve"> Contratación Directa</w:t>
      </w:r>
    </w:p>
    <w:p w14:paraId="1496F0F3" w14:textId="77777777" w:rsidR="005D4A0D" w:rsidRPr="00647611" w:rsidRDefault="005D4A0D" w:rsidP="005D4A0D">
      <w:pPr>
        <w:spacing w:after="0" w:line="240" w:lineRule="auto"/>
        <w:rPr>
          <w:rFonts w:ascii="Verdana" w:hAnsi="Verdana"/>
          <w:sz w:val="20"/>
          <w:szCs w:val="20"/>
          <w:lang w:val="es-MX"/>
        </w:rPr>
      </w:pPr>
    </w:p>
    <w:p w14:paraId="7DA64702" w14:textId="77777777" w:rsidR="005D4A0D" w:rsidRPr="00647611" w:rsidRDefault="005D4A0D" w:rsidP="005D4A0D">
      <w:pPr>
        <w:spacing w:after="0" w:line="240" w:lineRule="auto"/>
        <w:jc w:val="both"/>
        <w:rPr>
          <w:rFonts w:ascii="Verdana" w:hAnsi="Verdana"/>
          <w:sz w:val="20"/>
          <w:szCs w:val="20"/>
          <w:lang w:val="es-ES"/>
        </w:rPr>
      </w:pPr>
      <w:r w:rsidRPr="00647611">
        <w:rPr>
          <w:rFonts w:ascii="Verdana" w:hAnsi="Verdana"/>
          <w:sz w:val="20"/>
          <w:szCs w:val="20"/>
          <w:lang w:val="es-ES"/>
        </w:rPr>
        <w:t>Sin embargo, no debe pasarse por alto que, al margen de su especialidad, el procedimiento administrativo para la adquisición de inmuebles por utilidad pública e interés social mediante enajenación voluntaria, implica el ejercicio de funciones administrativas, lo que, por ende, implica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 Toda vez que a través de la adquisición de bienes inmuebles mediante enajenación directa se comprometen dineros provenientes del erario, resultan también aplicables los principios propios del Estado Social de Derecho y de la Administración pública como los principios de transparencia, publicidad entre otros.</w:t>
      </w:r>
    </w:p>
    <w:p w14:paraId="6EFF026C" w14:textId="77777777" w:rsidR="005D4A0D" w:rsidRPr="00647611" w:rsidRDefault="005D4A0D" w:rsidP="005D4A0D">
      <w:pPr>
        <w:spacing w:after="0" w:line="240" w:lineRule="auto"/>
        <w:jc w:val="both"/>
        <w:rPr>
          <w:rFonts w:ascii="Verdana" w:hAnsi="Verdana"/>
          <w:sz w:val="20"/>
          <w:szCs w:val="20"/>
          <w:lang w:val="es-ES"/>
        </w:rPr>
      </w:pPr>
    </w:p>
    <w:p w14:paraId="480CDC40" w14:textId="77777777" w:rsidR="005D4A0D" w:rsidRPr="00647611" w:rsidRDefault="005D4A0D" w:rsidP="005D4A0D">
      <w:pPr>
        <w:spacing w:after="0" w:line="240" w:lineRule="auto"/>
        <w:jc w:val="both"/>
        <w:rPr>
          <w:rFonts w:ascii="Verdana" w:hAnsi="Verdana"/>
          <w:lang w:val="es-ES"/>
        </w:rPr>
      </w:pPr>
      <w:r w:rsidRPr="00647611">
        <w:rPr>
          <w:rFonts w:ascii="Verdana" w:hAnsi="Verdana"/>
          <w:sz w:val="20"/>
          <w:szCs w:val="20"/>
          <w:lang w:val="es-ES"/>
        </w:rPr>
        <w:t>En virtud de lo expuesto, la adquisición de los predios que se realice por enajenación voluntaria está sometida a un régimen especial de contratación. Sin embargo, como se explicó antes, esta culmina con la suscripción de un contrato de promesa de compraventa o de compraventa entre la entidad y la persona, con lo cual se trata de un procedimiento de contratación estatal no competitivo que está restringido por la prohibición establecida en el artículo 33 de la Ley 996 de 2005. En contraste, cuando la adquisición ocurra por el procedimiento expropiatorio no se materializa en la celebración de un contrato.</w:t>
      </w:r>
      <w:r w:rsidRPr="00647611">
        <w:rPr>
          <w:rFonts w:ascii="Verdana" w:hAnsi="Verdana"/>
          <w:lang w:val="es-ES"/>
        </w:rPr>
        <w:t xml:space="preserve"> </w:t>
      </w:r>
    </w:p>
    <w:p w14:paraId="306A5632" w14:textId="77777777" w:rsidR="005D4A0D" w:rsidRPr="00177E85" w:rsidRDefault="005D4A0D" w:rsidP="005D4A0D">
      <w:pPr>
        <w:spacing w:after="0" w:line="240" w:lineRule="auto"/>
        <w:jc w:val="both"/>
        <w:rPr>
          <w:rFonts w:ascii="Verdana" w:eastAsia="Calibri" w:hAnsi="Verdana" w:cs="Arial"/>
          <w:sz w:val="20"/>
          <w:szCs w:val="20"/>
          <w:lang w:val="es-ES" w:eastAsia="es-ES"/>
        </w:rPr>
      </w:pPr>
    </w:p>
    <w:p w14:paraId="7A7998EC" w14:textId="77777777" w:rsidR="005D4A0D" w:rsidRDefault="005D4A0D" w:rsidP="005D4A0D">
      <w:pPr>
        <w:spacing w:after="0" w:line="240" w:lineRule="auto"/>
        <w:jc w:val="both"/>
        <w:rPr>
          <w:rFonts w:ascii="Verdana" w:eastAsia="Calibri" w:hAnsi="Verdana" w:cs="Arial"/>
          <w:sz w:val="20"/>
          <w:szCs w:val="20"/>
          <w:lang w:val="es-ES_tradnl" w:eastAsia="es-ES"/>
        </w:rPr>
      </w:pPr>
      <w:r w:rsidRPr="00683DFF">
        <w:rPr>
          <w:rFonts w:ascii="Verdana" w:eastAsia="Calibri" w:hAnsi="Verdana" w:cs="Arial"/>
          <w:sz w:val="20"/>
          <w:szCs w:val="20"/>
          <w:lang w:val="es-ES_tradnl" w:eastAsia="es-ES"/>
        </w:rPr>
        <w:t xml:space="preserve"> </w:t>
      </w:r>
    </w:p>
    <w:p w14:paraId="25EC90FE" w14:textId="77777777" w:rsidR="005D4A0D" w:rsidRDefault="005D4A0D" w:rsidP="005D4A0D">
      <w:pPr>
        <w:spacing w:after="0" w:line="240" w:lineRule="auto"/>
        <w:jc w:val="both"/>
        <w:rPr>
          <w:rFonts w:ascii="Verdana" w:eastAsia="Geomanist Light" w:hAnsi="Verdana" w:cs="Arial"/>
          <w:color w:val="000000" w:themeColor="text1"/>
          <w:lang w:val="es-MX"/>
        </w:rPr>
      </w:pPr>
    </w:p>
    <w:p w14:paraId="7F833277" w14:textId="77777777" w:rsidR="005D4A0D" w:rsidRDefault="005D4A0D" w:rsidP="005D4A0D">
      <w:pPr>
        <w:spacing w:after="0" w:line="240" w:lineRule="auto"/>
        <w:jc w:val="both"/>
        <w:rPr>
          <w:rFonts w:ascii="Verdana" w:eastAsia="Geomanist Light" w:hAnsi="Verdana" w:cs="Arial"/>
          <w:color w:val="000000" w:themeColor="text1"/>
          <w:lang w:val="es-MX"/>
        </w:rPr>
      </w:pPr>
    </w:p>
    <w:p w14:paraId="67340965" w14:textId="77777777" w:rsidR="005D4A0D" w:rsidRDefault="005D4A0D" w:rsidP="005D4A0D">
      <w:pPr>
        <w:spacing w:after="0" w:line="240" w:lineRule="auto"/>
        <w:jc w:val="both"/>
        <w:rPr>
          <w:rFonts w:ascii="Verdana" w:eastAsia="Geomanist Light" w:hAnsi="Verdana" w:cs="Arial"/>
          <w:color w:val="000000" w:themeColor="text1"/>
          <w:lang w:val="es-MX"/>
        </w:rPr>
      </w:pPr>
    </w:p>
    <w:p w14:paraId="525965CC" w14:textId="77777777" w:rsidR="005D4A0D" w:rsidRDefault="005D4A0D" w:rsidP="005D4A0D">
      <w:pPr>
        <w:spacing w:after="0" w:line="240" w:lineRule="auto"/>
        <w:jc w:val="both"/>
        <w:rPr>
          <w:rFonts w:ascii="Verdana" w:eastAsia="Geomanist Light" w:hAnsi="Verdana" w:cs="Arial"/>
          <w:color w:val="000000" w:themeColor="text1"/>
          <w:lang w:val="es-MX"/>
        </w:rPr>
      </w:pPr>
    </w:p>
    <w:p w14:paraId="4AA3117C" w14:textId="77777777" w:rsidR="005D4A0D" w:rsidRDefault="005D4A0D" w:rsidP="005D4A0D">
      <w:pPr>
        <w:spacing w:after="0" w:line="240" w:lineRule="auto"/>
        <w:jc w:val="both"/>
        <w:rPr>
          <w:rFonts w:ascii="Verdana" w:eastAsia="Geomanist Light" w:hAnsi="Verdana" w:cs="Arial"/>
          <w:color w:val="000000" w:themeColor="text1"/>
          <w:lang w:val="es-MX"/>
        </w:rPr>
      </w:pPr>
    </w:p>
    <w:p w14:paraId="6CE29BBC" w14:textId="77777777" w:rsidR="005D4A0D" w:rsidRDefault="005D4A0D" w:rsidP="005D4A0D">
      <w:pPr>
        <w:spacing w:after="0" w:line="240" w:lineRule="auto"/>
        <w:jc w:val="both"/>
        <w:rPr>
          <w:rFonts w:ascii="Verdana" w:eastAsia="Geomanist Light" w:hAnsi="Verdana" w:cs="Arial"/>
          <w:color w:val="000000" w:themeColor="text1"/>
          <w:lang w:val="es-MX"/>
        </w:rPr>
      </w:pPr>
    </w:p>
    <w:p w14:paraId="0C791404" w14:textId="77777777" w:rsidR="005D4A0D" w:rsidRDefault="005D4A0D" w:rsidP="008D78B9">
      <w:pPr>
        <w:spacing w:after="0" w:line="240" w:lineRule="auto"/>
        <w:jc w:val="both"/>
        <w:rPr>
          <w:rFonts w:ascii="Verdana" w:eastAsia="Geomanist Light" w:hAnsi="Verdana" w:cs="Arial"/>
          <w:color w:val="000000" w:themeColor="text1"/>
          <w:lang w:val="es-MX"/>
        </w:rPr>
      </w:pPr>
    </w:p>
    <w:p w14:paraId="01D026ED" w14:textId="47546A26" w:rsidR="008D78B9" w:rsidRDefault="008D78B9" w:rsidP="008D78B9">
      <w:pPr>
        <w:spacing w:after="0" w:line="240" w:lineRule="auto"/>
        <w:jc w:val="both"/>
        <w:rPr>
          <w:rFonts w:ascii="Verdana" w:eastAsia="Calibri" w:hAnsi="Verdana" w:cs="Arial"/>
          <w:sz w:val="20"/>
          <w:szCs w:val="20"/>
          <w:lang w:val="es-ES_tradnl" w:eastAsia="es-ES"/>
        </w:rPr>
      </w:pPr>
      <w:r>
        <w:rPr>
          <w:rFonts w:ascii="Verdana" w:eastAsia="Geomanist Light" w:hAnsi="Verdana" w:cs="Arial"/>
          <w:color w:val="000000" w:themeColor="text1"/>
          <w:lang w:val="es-MX"/>
        </w:rPr>
        <w:lastRenderedPageBreak/>
        <w:t>Bogotá D.C., </w:t>
      </w:r>
      <w:r w:rsidR="00D81FC9" w:rsidRPr="00D81FC9">
        <w:rPr>
          <w:rFonts w:ascii="Verdana" w:eastAsia="Geomanist Light" w:hAnsi="Verdana" w:cs="Arial"/>
          <w:color w:val="000000" w:themeColor="text1"/>
          <w:lang w:val="es-MX"/>
        </w:rPr>
        <w:t>27 de Octubre de 2025</w:t>
      </w:r>
    </w:p>
    <w:p w14:paraId="297215C2" w14:textId="77777777" w:rsidR="008D78B9" w:rsidRDefault="008D78B9" w:rsidP="008D78B9">
      <w:pPr>
        <w:spacing w:after="0" w:line="240" w:lineRule="auto"/>
        <w:jc w:val="both"/>
        <w:rPr>
          <w:rFonts w:ascii="Verdana" w:eastAsia="Calibri" w:hAnsi="Verdana" w:cs="Arial"/>
          <w:color w:val="000000"/>
          <w:lang w:val="es-ES"/>
        </w:rPr>
      </w:pPr>
    </w:p>
    <w:p w14:paraId="607965F0" w14:textId="5C4C3CAD" w:rsidR="0038135F" w:rsidRDefault="0038135F" w:rsidP="0038135F">
      <w:pPr>
        <w:spacing w:after="0" w:line="240" w:lineRule="auto"/>
        <w:jc w:val="right"/>
        <w:rPr>
          <w:rFonts w:ascii="Verdana" w:eastAsia="Calibri" w:hAnsi="Verdana" w:cs="Arial"/>
          <w:color w:val="000000"/>
          <w:lang w:val="es-ES"/>
        </w:rPr>
      </w:pPr>
      <w:r w:rsidRPr="0038135F">
        <w:rPr>
          <w:rFonts w:ascii="Verdana" w:eastAsia="Calibri" w:hAnsi="Verdana" w:cs="Arial"/>
          <w:noProof/>
          <w:color w:val="000000"/>
          <w:lang w:val="es-ES"/>
        </w:rPr>
        <w:drawing>
          <wp:inline distT="0" distB="0" distL="0" distR="0" wp14:anchorId="73C09994" wp14:editId="3ED0AFB6">
            <wp:extent cx="2400300" cy="622300"/>
            <wp:effectExtent l="0" t="0" r="0" b="0"/>
            <wp:docPr id="6910534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53435" name=""/>
                    <pic:cNvPicPr/>
                  </pic:nvPicPr>
                  <pic:blipFill>
                    <a:blip r:embed="rId10"/>
                    <a:stretch>
                      <a:fillRect/>
                    </a:stretch>
                  </pic:blipFill>
                  <pic:spPr>
                    <a:xfrm>
                      <a:off x="0" y="0"/>
                      <a:ext cx="2400300" cy="622300"/>
                    </a:xfrm>
                    <a:prstGeom prst="rect">
                      <a:avLst/>
                    </a:prstGeom>
                  </pic:spPr>
                </pic:pic>
              </a:graphicData>
            </a:graphic>
          </wp:inline>
        </w:drawing>
      </w:r>
    </w:p>
    <w:p w14:paraId="18B98E25" w14:textId="77777777" w:rsidR="008D78B9" w:rsidRDefault="008D78B9" w:rsidP="008D78B9">
      <w:pPr>
        <w:spacing w:after="0" w:line="240" w:lineRule="auto"/>
        <w:jc w:val="both"/>
        <w:rPr>
          <w:rFonts w:ascii="Verdana" w:eastAsia="Calibri" w:hAnsi="Verdana" w:cs="Arial"/>
          <w:color w:val="000000"/>
          <w:lang w:val="es-ES"/>
        </w:rPr>
      </w:pPr>
    </w:p>
    <w:p w14:paraId="218EE3AE" w14:textId="77777777" w:rsidR="008D78B9" w:rsidRDefault="008D78B9" w:rsidP="008D78B9">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01C15392" w14:textId="77777777" w:rsidR="008D78B9" w:rsidRDefault="008D78B9" w:rsidP="008D78B9">
      <w:pPr>
        <w:spacing w:after="0" w:line="240" w:lineRule="auto"/>
        <w:rPr>
          <w:rFonts w:ascii="Verdana" w:eastAsia="Calibri" w:hAnsi="Verdana" w:cs="Arial"/>
          <w:b/>
          <w:lang w:val="es-ES" w:eastAsia="es-ES"/>
        </w:rPr>
      </w:pPr>
      <w:r>
        <w:rPr>
          <w:rFonts w:ascii="Verdana" w:eastAsia="Calibri" w:hAnsi="Verdana" w:cs="Arial"/>
          <w:b/>
          <w:lang w:val="es-ES" w:eastAsia="es-ES"/>
        </w:rPr>
        <w:t>Diana Marcela Bedoya Garzón</w:t>
      </w:r>
    </w:p>
    <w:p w14:paraId="70AFB4D8" w14:textId="77777777" w:rsidR="008D78B9" w:rsidRDefault="008D78B9" w:rsidP="008D78B9">
      <w:pPr>
        <w:spacing w:after="0" w:line="240" w:lineRule="auto"/>
        <w:rPr>
          <w:rFonts w:ascii="Verdana" w:eastAsia="Calibri" w:hAnsi="Verdana" w:cs="Arial"/>
          <w:lang w:val="es-ES" w:eastAsia="es-ES"/>
        </w:rPr>
      </w:pPr>
      <w:hyperlink r:id="rId11" w:history="1">
        <w:r>
          <w:rPr>
            <w:rStyle w:val="Hipervnculo"/>
            <w:rFonts w:ascii="Verdana" w:hAnsi="Verdana"/>
          </w:rPr>
          <w:t>dianamarcela.bedoya@antioquia.gov.co</w:t>
        </w:r>
      </w:hyperlink>
      <w:r>
        <w:rPr>
          <w:rFonts w:ascii="Verdana" w:hAnsi="Verdana"/>
        </w:rPr>
        <w:t xml:space="preserve"> </w:t>
      </w:r>
      <w:r>
        <w:rPr>
          <w:rFonts w:ascii="Verdana" w:eastAsia="Calibri" w:hAnsi="Verdana" w:cs="Arial"/>
          <w:lang w:val="es-ES" w:eastAsia="es-ES"/>
        </w:rPr>
        <w:t xml:space="preserve">  </w:t>
      </w:r>
    </w:p>
    <w:p w14:paraId="1FB9B424" w14:textId="77777777" w:rsidR="008D78B9" w:rsidRDefault="008D78B9" w:rsidP="008D78B9">
      <w:pPr>
        <w:spacing w:after="0" w:line="240" w:lineRule="auto"/>
        <w:rPr>
          <w:rFonts w:ascii="Verdana" w:eastAsia="Calibri" w:hAnsi="Verdana" w:cs="Arial"/>
          <w:lang w:val="es-ES" w:eastAsia="es-ES"/>
        </w:rPr>
      </w:pPr>
      <w:r>
        <w:rPr>
          <w:rFonts w:ascii="Verdana" w:eastAsia="Calibri" w:hAnsi="Verdana" w:cs="Arial"/>
          <w:lang w:val="es-ES" w:eastAsia="es-ES"/>
        </w:rPr>
        <w:t xml:space="preserve">Medellín, Antioquia </w:t>
      </w:r>
    </w:p>
    <w:p w14:paraId="32408240" w14:textId="77777777" w:rsidR="008D78B9" w:rsidRDefault="008D78B9" w:rsidP="008D78B9">
      <w:pPr>
        <w:spacing w:after="0" w:line="240" w:lineRule="auto"/>
        <w:rPr>
          <w:rFonts w:ascii="Verdana" w:eastAsia="Calibri" w:hAnsi="Verdana" w:cs="Arial"/>
          <w:b/>
          <w:bCs/>
          <w:color w:val="000000"/>
          <w:lang w:val="es-ES_tradnl" w:eastAsia="es-ES_tradnl"/>
        </w:rPr>
      </w:pPr>
    </w:p>
    <w:p w14:paraId="6FD19B6D" w14:textId="77777777" w:rsidR="008D78B9" w:rsidRDefault="008D78B9" w:rsidP="008D78B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D78B9" w14:paraId="3999F08B" w14:textId="77777777" w:rsidTr="008D78B9">
        <w:trPr>
          <w:trHeight w:val="884"/>
        </w:trPr>
        <w:tc>
          <w:tcPr>
            <w:tcW w:w="2689" w:type="dxa"/>
          </w:tcPr>
          <w:p w14:paraId="57449E0E" w14:textId="77777777" w:rsidR="008D78B9" w:rsidRDefault="008D78B9">
            <w:pPr>
              <w:jc w:val="both"/>
              <w:rPr>
                <w:rFonts w:ascii="Verdana" w:eastAsia="Calibri" w:hAnsi="Verdana" w:cs="Arial"/>
                <w:b/>
                <w:bCs/>
                <w:color w:val="7030A0"/>
                <w:lang w:val="es-ES_tradnl" w:eastAsia="es-ES_tradnl"/>
              </w:rPr>
            </w:pPr>
          </w:p>
        </w:tc>
        <w:tc>
          <w:tcPr>
            <w:tcW w:w="6100" w:type="dxa"/>
            <w:hideMark/>
          </w:tcPr>
          <w:p w14:paraId="7E7069DB" w14:textId="59CE1D17" w:rsidR="008D78B9" w:rsidRDefault="008D78B9">
            <w:pPr>
              <w:jc w:val="both"/>
              <w:rPr>
                <w:rFonts w:ascii="Verdana" w:eastAsia="Calibri" w:hAnsi="Verdana" w:cs="Arial"/>
                <w:b/>
                <w:bCs/>
                <w:color w:val="7030A0"/>
                <w:lang w:val="es-ES" w:eastAsia="es-ES"/>
              </w:rPr>
            </w:pPr>
            <w:r>
              <w:rPr>
                <w:rFonts w:ascii="Verdana" w:eastAsia="Calibri" w:hAnsi="Verdana" w:cs="Arial"/>
                <w:b/>
                <w:bCs/>
                <w:lang w:val="es-ES" w:eastAsia="es-ES"/>
              </w:rPr>
              <w:t>Concepto C – 1512 de 2025</w:t>
            </w:r>
          </w:p>
        </w:tc>
      </w:tr>
      <w:tr w:rsidR="008D78B9" w14:paraId="75096544" w14:textId="77777777" w:rsidTr="008D78B9">
        <w:trPr>
          <w:trHeight w:val="884"/>
        </w:trPr>
        <w:tc>
          <w:tcPr>
            <w:tcW w:w="2689" w:type="dxa"/>
            <w:hideMark/>
          </w:tcPr>
          <w:p w14:paraId="61ADD33E" w14:textId="77777777" w:rsidR="008D78B9" w:rsidRDefault="008D78B9">
            <w:pPr>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648DEE0D" w14:textId="731314A6" w:rsidR="008D78B9" w:rsidRDefault="008D78B9">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LEY DE GARANTÍAS ELECTORALES ‒ Finalidad / LEY DE GARANTÍAS ELECTORALES ‒ Tipos de restricciones ‒ Ámbito temporal – </w:t>
            </w:r>
            <w:r w:rsidR="005D1ABF">
              <w:rPr>
                <w:rFonts w:ascii="Verdana" w:eastAsia="Calibri" w:hAnsi="Verdana" w:cs="Arial"/>
                <w:lang w:val="es-ES" w:eastAsia="es-ES"/>
              </w:rPr>
              <w:t>C</w:t>
            </w:r>
            <w:r>
              <w:rPr>
                <w:rFonts w:ascii="Verdana" w:eastAsia="Calibri" w:hAnsi="Verdana" w:cs="Arial"/>
                <w:lang w:val="es-ES" w:eastAsia="es-ES"/>
              </w:rPr>
              <w:t xml:space="preserve">elebración- </w:t>
            </w:r>
            <w:r w:rsidR="005D1ABF">
              <w:rPr>
                <w:rFonts w:ascii="Verdana" w:eastAsia="Calibri" w:hAnsi="Verdana" w:cs="Arial"/>
                <w:lang w:val="es-ES" w:eastAsia="es-ES"/>
              </w:rPr>
              <w:t>L</w:t>
            </w:r>
            <w:r>
              <w:rPr>
                <w:rFonts w:ascii="Verdana" w:eastAsia="Calibri" w:hAnsi="Verdana" w:cs="Arial"/>
                <w:lang w:val="es-ES" w:eastAsia="es-ES"/>
              </w:rPr>
              <w:t xml:space="preserve">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 / ENAJENACIÓN VOLUNTARIA – Objeto – Aplicación – Ley de Garantías Electorales – Restricción- Contratación Directa                     </w:t>
            </w:r>
          </w:p>
          <w:p w14:paraId="33F26495" w14:textId="77777777" w:rsidR="008D78B9" w:rsidRDefault="008D78B9">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  </w:t>
            </w:r>
          </w:p>
        </w:tc>
      </w:tr>
      <w:tr w:rsidR="008D78B9" w14:paraId="5D2567A7" w14:textId="77777777" w:rsidTr="008D78B9">
        <w:tc>
          <w:tcPr>
            <w:tcW w:w="2689" w:type="dxa"/>
            <w:hideMark/>
          </w:tcPr>
          <w:p w14:paraId="047EEA4D" w14:textId="77777777" w:rsidR="008D78B9" w:rsidRDefault="008D78B9">
            <w:pPr>
              <w:jc w:val="both"/>
              <w:rPr>
                <w:rFonts w:ascii="Verdana" w:eastAsia="Calibri" w:hAnsi="Verdana" w:cs="Arial"/>
                <w:b/>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hideMark/>
          </w:tcPr>
          <w:p w14:paraId="13EF448C" w14:textId="77777777" w:rsidR="008D78B9" w:rsidRDefault="008D78B9">
            <w:pPr>
              <w:spacing w:line="276" w:lineRule="auto"/>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las consultas con radicados No. 1_2025_10_21_011792 y 1_2025_10_21_011793       –Acumulados–                                    </w:t>
            </w:r>
          </w:p>
        </w:tc>
      </w:tr>
    </w:tbl>
    <w:p w14:paraId="7F0665BA" w14:textId="77777777" w:rsidR="008D78B9" w:rsidRDefault="008D78B9" w:rsidP="008D78B9">
      <w:pPr>
        <w:spacing w:after="0" w:line="240" w:lineRule="auto"/>
        <w:jc w:val="both"/>
        <w:rPr>
          <w:rFonts w:ascii="Verdana" w:eastAsia="Calibri" w:hAnsi="Verdana" w:cs="Arial"/>
          <w:color w:val="000000"/>
          <w:lang w:val="es-ES_tradnl" w:eastAsia="es-ES_tradnl"/>
        </w:rPr>
      </w:pPr>
    </w:p>
    <w:p w14:paraId="33799EA3" w14:textId="77777777" w:rsidR="008D78B9" w:rsidRDefault="008D78B9" w:rsidP="008D78B9">
      <w:pPr>
        <w:spacing w:after="0" w:line="240" w:lineRule="auto"/>
        <w:jc w:val="both"/>
        <w:rPr>
          <w:rFonts w:ascii="Verdana" w:eastAsia="Calibri" w:hAnsi="Verdana" w:cs="Arial"/>
          <w:color w:val="000000"/>
          <w:lang w:val="es-ES_tradnl" w:eastAsia="es-ES_tradnl"/>
        </w:rPr>
      </w:pPr>
    </w:p>
    <w:p w14:paraId="5BC795AD" w14:textId="77777777" w:rsidR="008D78B9" w:rsidRDefault="008D78B9" w:rsidP="008D78B9">
      <w:pPr>
        <w:spacing w:after="0" w:line="276" w:lineRule="auto"/>
        <w:jc w:val="both"/>
        <w:rPr>
          <w:rFonts w:ascii="Verdana" w:eastAsia="Calibri" w:hAnsi="Verdana" w:cs="Arial"/>
          <w:lang w:val="es-ES" w:eastAsia="es-ES"/>
        </w:rPr>
      </w:pPr>
      <w:r>
        <w:rPr>
          <w:rFonts w:ascii="Verdana" w:eastAsia="Calibri" w:hAnsi="Verdana" w:cs="Arial"/>
          <w:lang w:val="es-ES" w:eastAsia="es-ES"/>
        </w:rPr>
        <w:t xml:space="preserve">Estimada señora Bedoya Garzón: </w:t>
      </w:r>
    </w:p>
    <w:p w14:paraId="12C5EC1C" w14:textId="77777777" w:rsidR="008D78B9" w:rsidRDefault="008D78B9" w:rsidP="008D78B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DFFB4FB" w14:textId="77777777" w:rsidR="008D78B9" w:rsidRDefault="008D78B9" w:rsidP="008D78B9">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color w:val="000000" w:themeColor="text1"/>
          <w:lang w:val="es-ES" w:eastAsia="es-ES"/>
        </w:rPr>
        <w:t xml:space="preserve">la Agencia Nacional de Contratación Pública – Colombia Compra Eficiente responde su solicitud de </w:t>
      </w:r>
      <w:r>
        <w:rPr>
          <w:rFonts w:ascii="Verdana" w:eastAsia="Calibri" w:hAnsi="Verdana" w:cs="Arial"/>
          <w:color w:val="000000" w:themeColor="text1"/>
          <w:lang w:val="es-ES" w:eastAsia="es-ES"/>
        </w:rPr>
        <w:lastRenderedPageBreak/>
        <w:t xml:space="preserve">consulta de </w:t>
      </w:r>
      <w:r>
        <w:rPr>
          <w:rFonts w:ascii="Verdana" w:eastAsia="Calibri" w:hAnsi="Verdana" w:cs="Arial"/>
          <w:lang w:val="es-ES" w:eastAsia="es-ES"/>
        </w:rPr>
        <w:t xml:space="preserve">fecha 15 de octubre de 2025 realizada a la Procuraduría General de la Nación, remitida por competencia a esta entidad –conforme al artículo 21 de la Ley 1437 de 2011– mediante correo electrónico del 21 de octubre de la misma anualidad, en la cual manifiesta lo siguiente: </w:t>
      </w:r>
    </w:p>
    <w:p w14:paraId="65CECD9C" w14:textId="77777777" w:rsidR="008D78B9" w:rsidRDefault="008D78B9" w:rsidP="008D78B9">
      <w:pPr>
        <w:pStyle w:val="Prrafodelista"/>
        <w:tabs>
          <w:tab w:val="left" w:pos="142"/>
          <w:tab w:val="left" w:pos="284"/>
        </w:tabs>
        <w:spacing w:after="0" w:line="276" w:lineRule="auto"/>
        <w:ind w:left="0"/>
        <w:jc w:val="both"/>
        <w:rPr>
          <w:rFonts w:ascii="Verdana" w:eastAsia="Century Gothic" w:hAnsi="Verdana" w:cs="Century Gothic"/>
          <w:b/>
          <w:bCs/>
        </w:rPr>
      </w:pPr>
    </w:p>
    <w:p w14:paraId="49B2BE00" w14:textId="77777777" w:rsidR="008D78B9" w:rsidRDefault="008D78B9" w:rsidP="008D78B9">
      <w:pPr>
        <w:spacing w:after="0" w:line="240" w:lineRule="auto"/>
        <w:ind w:left="709" w:right="709"/>
        <w:jc w:val="both"/>
        <w:rPr>
          <w:rFonts w:ascii="Verdana" w:eastAsia="Century Gothic" w:hAnsi="Verdana" w:cs="Century Gothic"/>
          <w:sz w:val="20"/>
          <w:szCs w:val="20"/>
          <w:lang w:val="es-ES"/>
        </w:rPr>
      </w:pPr>
      <w:bookmarkStart w:id="0" w:name="_Hlk95313578"/>
      <w:r>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para efectos de la prevención del daño antijurídico, en virtud de los proyectos de infraestructura que han sido declarados de utilidad pública, que han sido incluidos en los planes de desarrollo, y cuentan con presupuesto, se requiere el apoyo del Ministerio Público para emitir un concepto jurídico con el objeto de analizar si la Ley 996 de 2005, particularmente lo dispuesto en su artículo 33, resulta aplicable a la celebración de contratos de compraventa de predios que han sido declarados de utilidad pública, dentro del marco de ejecución de proyectos de infraestructura vial u otros proyectos de interés público</w:t>
      </w:r>
      <w:r>
        <w:rPr>
          <w:rFonts w:ascii="Verdana" w:eastAsia="Century Gothic" w:hAnsi="Verdana" w:cs="Century Gothic"/>
          <w:sz w:val="20"/>
          <w:szCs w:val="20"/>
        </w:rPr>
        <w:t>”.</w:t>
      </w:r>
    </w:p>
    <w:p w14:paraId="692FE827" w14:textId="77777777" w:rsidR="008D78B9" w:rsidRDefault="008D78B9" w:rsidP="008D78B9">
      <w:pPr>
        <w:pStyle w:val="Prrafodelista"/>
        <w:tabs>
          <w:tab w:val="left" w:pos="142"/>
          <w:tab w:val="left" w:pos="284"/>
        </w:tabs>
        <w:spacing w:after="0" w:line="276" w:lineRule="auto"/>
        <w:ind w:left="0"/>
        <w:jc w:val="both"/>
        <w:rPr>
          <w:rFonts w:ascii="Verdana" w:eastAsia="Century Gothic" w:hAnsi="Verdana" w:cs="Century Gothic"/>
          <w:b/>
          <w:bCs/>
        </w:rPr>
      </w:pPr>
    </w:p>
    <w:p w14:paraId="6DEA1E6B" w14:textId="77777777" w:rsidR="008D78B9" w:rsidRDefault="008D78B9" w:rsidP="008D78B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499DF18C" w14:textId="77777777" w:rsidR="008D78B9" w:rsidRDefault="008D78B9" w:rsidP="008D78B9">
      <w:pPr>
        <w:spacing w:after="0" w:line="276" w:lineRule="auto"/>
        <w:ind w:firstLine="708"/>
        <w:jc w:val="both"/>
        <w:rPr>
          <w:rFonts w:ascii="Verdana" w:eastAsia="Calibri" w:hAnsi="Verdana" w:cs="Arial"/>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de su consulta.</w:t>
      </w:r>
      <w:r>
        <w:rPr>
          <w:rFonts w:ascii="Verdana" w:eastAsia="Calibri" w:hAnsi="Verdana" w:cs="Arial"/>
          <w:lang w:val="es-ES" w:eastAsia="es-ES"/>
        </w:rPr>
        <w:t xml:space="preserve"> </w:t>
      </w:r>
      <w:r>
        <w:rPr>
          <w:rFonts w:ascii="Verdana" w:eastAsia="Calibri" w:hAnsi="Verdana" w:cs="Arial"/>
          <w:color w:val="000000"/>
          <w:lang w:val="es-ES" w:eastAsia="es-ES"/>
        </w:rPr>
        <w:t xml:space="preserve">  </w:t>
      </w:r>
    </w:p>
    <w:p w14:paraId="4B48594E" w14:textId="77777777" w:rsidR="008D78B9" w:rsidRDefault="008D78B9" w:rsidP="008D78B9">
      <w:pPr>
        <w:spacing w:after="0" w:line="276" w:lineRule="auto"/>
        <w:ind w:firstLine="709"/>
        <w:jc w:val="both"/>
        <w:rPr>
          <w:rFonts w:ascii="Verdana" w:eastAsia="Calibri" w:hAnsi="Verdana" w:cs="Arial"/>
          <w:color w:val="000000"/>
          <w:lang w:val="es-ES" w:eastAsia="es-ES"/>
        </w:rPr>
      </w:pPr>
    </w:p>
    <w:p w14:paraId="3196F02F" w14:textId="77777777" w:rsidR="008D78B9" w:rsidRDefault="008D78B9" w:rsidP="008D78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Problema planteado:</w:t>
      </w:r>
    </w:p>
    <w:p w14:paraId="068915AB" w14:textId="77777777" w:rsidR="008D78B9" w:rsidRDefault="008D78B9" w:rsidP="008D78B9">
      <w:pPr>
        <w:tabs>
          <w:tab w:val="left" w:pos="426"/>
        </w:tabs>
        <w:spacing w:after="0" w:line="276" w:lineRule="auto"/>
        <w:jc w:val="both"/>
        <w:rPr>
          <w:rFonts w:ascii="Verdana" w:eastAsia="Century Gothic" w:hAnsi="Verdana" w:cs="Century Gothic"/>
          <w:lang w:val="es-ES"/>
        </w:rPr>
      </w:pPr>
    </w:p>
    <w:p w14:paraId="5410E563" w14:textId="77777777" w:rsidR="008D78B9" w:rsidRDefault="008D78B9" w:rsidP="008D78B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los siguientes problemas jurídicos: ¿los procesos de enajenación voluntaria </w:t>
      </w:r>
      <w:r>
        <w:rPr>
          <w:rFonts w:ascii="Verdana" w:eastAsia="Calibri" w:hAnsi="Verdana" w:cs="Times New Roman"/>
          <w:iCs/>
          <w:lang w:val="es-ES"/>
        </w:rPr>
        <w:t xml:space="preserve">por parte de entidades estatales para adquirir predios se considera que se adelante por </w:t>
      </w:r>
      <w:r>
        <w:rPr>
          <w:rFonts w:ascii="Verdana" w:eastAsia="Calibri" w:hAnsi="Verdana" w:cs="Times New Roman"/>
          <w:iCs/>
          <w:lang w:val="es-ES"/>
        </w:rPr>
        <w:lastRenderedPageBreak/>
        <w:t>contratación directa y, por tanto, está restringida durante la Ley de Garantías Electorales?</w:t>
      </w:r>
      <w:r>
        <w:rPr>
          <w:rFonts w:ascii="Verdana" w:eastAsia="Century Gothic" w:hAnsi="Verdana" w:cs="Century Gothic"/>
        </w:rPr>
        <w:t xml:space="preserve">             </w:t>
      </w:r>
      <w:r>
        <w:rPr>
          <w:rFonts w:ascii="Verdana" w:eastAsia="Century Gothic" w:hAnsi="Verdana" w:cs="Century Gothic"/>
          <w:color w:val="7030A0"/>
        </w:rPr>
        <w:t xml:space="preserve"> </w:t>
      </w:r>
    </w:p>
    <w:p w14:paraId="273CDD82" w14:textId="77777777" w:rsidR="008D78B9" w:rsidRDefault="008D78B9" w:rsidP="008D78B9">
      <w:pPr>
        <w:spacing w:after="0" w:line="276" w:lineRule="auto"/>
        <w:jc w:val="both"/>
        <w:rPr>
          <w:rFonts w:ascii="Verdana" w:eastAsia="Calibri" w:hAnsi="Verdana" w:cs="Arial"/>
          <w:color w:val="7030A0"/>
        </w:rPr>
      </w:pPr>
    </w:p>
    <w:p w14:paraId="650A9632" w14:textId="77777777" w:rsidR="008D78B9" w:rsidRDefault="008D78B9" w:rsidP="008D78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Respuesta:</w:t>
      </w:r>
    </w:p>
    <w:p w14:paraId="6230F16D" w14:textId="77777777" w:rsidR="008D78B9" w:rsidRDefault="008D78B9" w:rsidP="008D78B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78B9" w14:paraId="42E15591" w14:textId="77777777" w:rsidTr="008D78B9">
        <w:trPr>
          <w:jc w:val="center"/>
        </w:trPr>
        <w:tc>
          <w:tcPr>
            <w:tcW w:w="8828" w:type="dxa"/>
            <w:tcBorders>
              <w:top w:val="dotted" w:sz="4" w:space="0" w:color="auto"/>
              <w:left w:val="dotted" w:sz="4" w:space="0" w:color="auto"/>
              <w:bottom w:val="dotted" w:sz="4" w:space="0" w:color="auto"/>
              <w:right w:val="dotted" w:sz="4" w:space="0" w:color="auto"/>
            </w:tcBorders>
            <w:hideMark/>
          </w:tcPr>
          <w:p w14:paraId="0AAAC6B5" w14:textId="77777777" w:rsidR="008D78B9" w:rsidRDefault="008D78B9">
            <w:pPr>
              <w:spacing w:after="120" w:line="276" w:lineRule="auto"/>
              <w:jc w:val="both"/>
              <w:rPr>
                <w:rFonts w:ascii="Verdana" w:eastAsia="Times New Roman" w:hAnsi="Verdana" w:cs="Arial"/>
                <w:bCs/>
                <w:lang w:val="es-MX" w:eastAsia="x-none"/>
              </w:rPr>
            </w:pPr>
            <w:bookmarkStart w:id="1" w:name="_Hlk171694685"/>
            <w:r>
              <w:rPr>
                <w:rFonts w:ascii="Verdana" w:eastAsia="Calibri" w:hAnsi="Verdana" w:cs="Arial"/>
                <w:lang w:val="es-MX"/>
              </w:rPr>
              <w:t xml:space="preserve">Conforme a la interpretación general de las normas del sistema de compras públicas, la restricción prevista en el artículo 33 de la Ley 996 de 2005 </w:t>
            </w:r>
            <w:r>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w:t>
            </w:r>
            <w:r>
              <w:rPr>
                <w:rFonts w:ascii="Verdana" w:eastAsia="Times New Roman" w:hAnsi="Verdana" w:cs="Arial"/>
                <w:lang w:val="es-ES" w:eastAsia="es-ES_tradnl"/>
              </w:rPr>
              <w:t xml:space="preserve">En virtud de esta restricción, se precisa que la adquisición de los predios que se realice por enajenación voluntaria está sometida a un régimen especial de contratación. Sin embargo, como se explicó en las razones de la respuesta, esta culmina con la suscripción de un contrato de promesa de compraventa o de compraventa entre la entidad y la persona, con lo cual se trata de un procedimiento de contratación estatal no competitivo que se encuentra restringido por la prohibición establecida en el artículo 33 de la Ley 996 de 2005. En contraste, cuando la adquisición ocurra por el procedimiento expropiatorio no se materializa en la celebración de un contrato. </w:t>
            </w:r>
          </w:p>
          <w:p w14:paraId="5495B4A4" w14:textId="77777777" w:rsidR="008D78B9" w:rsidRDefault="008D78B9">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w:t>
            </w:r>
            <w:r>
              <w:rPr>
                <w:rFonts w:ascii="Verdana" w:eastAsia="Times New Roman" w:hAnsi="Verdana" w:cs="Arial"/>
                <w:bCs/>
                <w:lang w:val="es-MX" w:eastAsia="x-none"/>
              </w:rPr>
              <w:lastRenderedPageBreak/>
              <w:t>excepciones, de manera que se le permita realizar la contratación que necesite en forma directa.</w:t>
            </w:r>
          </w:p>
          <w:p w14:paraId="0E3FDBD6" w14:textId="77777777" w:rsidR="008D78B9" w:rsidRDefault="008D78B9">
            <w:pPr>
              <w:spacing w:line="276" w:lineRule="auto"/>
              <w:ind w:right="51" w:firstLine="737"/>
              <w:jc w:val="both"/>
              <w:rPr>
                <w:rFonts w:ascii="Verdana" w:eastAsia="Calibri" w:hAnsi="Verdana" w:cs="Arial"/>
                <w:bCs/>
                <w:color w:val="000000" w:themeColor="text1"/>
              </w:rPr>
            </w:pPr>
            <w:r>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99C77B0" w14:textId="77777777" w:rsidR="008D78B9" w:rsidRDefault="008D78B9" w:rsidP="008D78B9">
      <w:pPr>
        <w:tabs>
          <w:tab w:val="left" w:pos="142"/>
          <w:tab w:val="left" w:pos="284"/>
        </w:tabs>
        <w:spacing w:after="0" w:line="276" w:lineRule="auto"/>
        <w:jc w:val="both"/>
        <w:rPr>
          <w:rFonts w:ascii="Verdana" w:eastAsia="Century Gothic" w:hAnsi="Verdana" w:cs="Century Gothic"/>
          <w:b/>
          <w:bCs/>
          <w:lang w:val="es-ES"/>
        </w:rPr>
      </w:pPr>
    </w:p>
    <w:bookmarkEnd w:id="1"/>
    <w:p w14:paraId="62A876DF" w14:textId="77777777" w:rsidR="008D78B9" w:rsidRDefault="008D78B9" w:rsidP="008D78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Razones de la respuesta:</w:t>
      </w:r>
    </w:p>
    <w:p w14:paraId="73E54457" w14:textId="77777777" w:rsidR="008D78B9" w:rsidRDefault="008D78B9" w:rsidP="008D78B9">
      <w:pPr>
        <w:spacing w:after="0" w:line="276" w:lineRule="auto"/>
        <w:jc w:val="both"/>
        <w:rPr>
          <w:rFonts w:ascii="Verdana" w:eastAsia="Calibri" w:hAnsi="Verdana" w:cs="Arial"/>
          <w:color w:val="7030A0"/>
          <w:lang w:val="es-ES"/>
        </w:rPr>
      </w:pPr>
    </w:p>
    <w:p w14:paraId="3D7BBD0F" w14:textId="77777777" w:rsidR="008D78B9" w:rsidRDefault="008D78B9" w:rsidP="008D78B9">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F10C13D" w14:textId="77777777" w:rsidR="008D78B9" w:rsidRDefault="008D78B9" w:rsidP="008D78B9">
      <w:pPr>
        <w:spacing w:after="0" w:line="276" w:lineRule="auto"/>
        <w:jc w:val="both"/>
        <w:rPr>
          <w:rFonts w:ascii="Verdana" w:eastAsia="Calibri" w:hAnsi="Verdana" w:cs="Arial"/>
          <w:lang w:val="es-ES"/>
        </w:rPr>
      </w:pPr>
    </w:p>
    <w:p w14:paraId="50D2245D" w14:textId="77777777" w:rsidR="008D78B9" w:rsidRDefault="008D78B9" w:rsidP="008D78B9">
      <w:pPr>
        <w:tabs>
          <w:tab w:val="left" w:pos="426"/>
        </w:tabs>
        <w:spacing w:after="120" w:line="276" w:lineRule="auto"/>
        <w:jc w:val="both"/>
        <w:rPr>
          <w:rFonts w:ascii="Verdana" w:eastAsia="Times New Roman" w:hAnsi="Verdana" w:cs="Arial"/>
          <w:lang w:eastAsia="es-CO"/>
        </w:rPr>
      </w:pPr>
      <w:r>
        <w:rPr>
          <w:rFonts w:ascii="Verdana" w:eastAsia="Calibri" w:hAnsi="Verdana" w:cs="Arial"/>
        </w:rPr>
        <w:t>i. El ordenamiento jurídico colombiano contempla previsiones claras para evitar la obtención de beneficios personales en asuntos propios de la administración pública</w:t>
      </w:r>
      <w:r>
        <w:rPr>
          <w:rFonts w:ascii="Verdana" w:eastAsia="Calibri" w:hAnsi="Verdana" w:cs="Arial"/>
          <w:i/>
        </w:rPr>
        <w:t xml:space="preserve">. </w:t>
      </w:r>
      <w:r>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Pr>
          <w:rFonts w:ascii="Verdana" w:hAnsi="Verdana"/>
          <w:vertAlign w:val="superscript"/>
        </w:rPr>
        <w:footnoteReference w:id="1"/>
      </w:r>
      <w:r>
        <w:rPr>
          <w:rFonts w:ascii="Verdana" w:eastAsia="Calibri" w:hAnsi="Verdana" w:cs="Arial"/>
        </w:rPr>
        <w:t xml:space="preserve">. </w:t>
      </w:r>
    </w:p>
    <w:p w14:paraId="28C9F082" w14:textId="77777777" w:rsidR="008D78B9" w:rsidRDefault="008D78B9" w:rsidP="008D78B9">
      <w:pPr>
        <w:tabs>
          <w:tab w:val="left" w:pos="426"/>
        </w:tabs>
        <w:spacing w:after="0" w:line="276" w:lineRule="auto"/>
        <w:ind w:firstLine="709"/>
        <w:jc w:val="both"/>
        <w:rPr>
          <w:rFonts w:ascii="Verdana" w:eastAsia="Calibri" w:hAnsi="Verdana" w:cs="Arial"/>
          <w:lang w:val="es-ES_tradnl"/>
        </w:rPr>
      </w:pPr>
      <w:r>
        <w:rPr>
          <w:rFonts w:ascii="Verdana" w:eastAsia="Times New Roman" w:hAnsi="Verdana" w:cs="Arial"/>
          <w:lang w:eastAsia="es-CO"/>
        </w:rPr>
        <w:t>En el mismo sentido</w:t>
      </w:r>
      <w:r>
        <w:rPr>
          <w:rFonts w:ascii="Verdana" w:eastAsia="Times New Roman" w:hAnsi="Verdana" w:cs="Arial"/>
          <w:lang w:val="es-MX" w:eastAsia="es-CO"/>
        </w:rPr>
        <w:t xml:space="preserve">, </w:t>
      </w:r>
      <w:bookmarkStart w:id="2" w:name="_Hlk99576829"/>
      <w:r>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Verdana" w:eastAsia="Times New Roman" w:hAnsi="Verdana" w:cs="Arial"/>
          <w:vertAlign w:val="superscript"/>
          <w:lang w:val="es-MX" w:eastAsia="es-CO"/>
        </w:rPr>
        <w:footnoteReference w:id="2"/>
      </w:r>
      <w:r>
        <w:rPr>
          <w:rFonts w:ascii="Verdana" w:eastAsia="Times New Roman" w:hAnsi="Verdana" w:cs="Arial"/>
          <w:lang w:val="es-MX" w:eastAsia="es-CO"/>
        </w:rPr>
        <w:t xml:space="preserve">. En </w:t>
      </w:r>
      <w:r>
        <w:rPr>
          <w:rFonts w:ascii="Verdana" w:eastAsia="Times New Roman" w:hAnsi="Verdana" w:cs="Arial"/>
          <w:lang w:val="es-MX" w:eastAsia="es-CO"/>
        </w:rPr>
        <w:lastRenderedPageBreak/>
        <w:t>esta medida, introduce limitaciones para realizar nombramientos, postulaciones, contrataciones o cualquier otro tipo de actividad que implique destinación de recursos públicos bajo el devenir propio de las Entidades Estatales.</w:t>
      </w:r>
      <w:r>
        <w:rPr>
          <w:rFonts w:ascii="Verdana" w:eastAsia="Calibri" w:hAnsi="Verdana" w:cs="Arial"/>
          <w:lang w:val="es-ES_tradnl"/>
        </w:rPr>
        <w:t xml:space="preserve"> </w:t>
      </w:r>
      <w:bookmarkEnd w:id="2"/>
      <w:r>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61C7434" w14:textId="77777777" w:rsidR="008D78B9" w:rsidRDefault="008D78B9" w:rsidP="008D78B9">
      <w:pPr>
        <w:spacing w:after="0" w:line="276" w:lineRule="auto"/>
        <w:ind w:right="709"/>
        <w:contextualSpacing/>
        <w:jc w:val="both"/>
        <w:rPr>
          <w:rFonts w:ascii="Verdana" w:eastAsia="Times New Roman" w:hAnsi="Verdana" w:cs="Arial"/>
          <w:lang w:val="es-ES" w:eastAsia="es-CO"/>
        </w:rPr>
      </w:pPr>
    </w:p>
    <w:p w14:paraId="6CA2EBF2" w14:textId="77777777" w:rsidR="008D78B9" w:rsidRDefault="008D78B9" w:rsidP="008D78B9">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ES" w:eastAsia="es-CO"/>
        </w:rPr>
        <w:t xml:space="preserve">“[…] </w:t>
      </w:r>
      <w:r>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14282D3" w14:textId="77777777" w:rsidR="008D78B9" w:rsidRDefault="008D78B9" w:rsidP="008D78B9">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FA19F50" w14:textId="77777777" w:rsidR="008D78B9" w:rsidRDefault="008D78B9" w:rsidP="008D78B9">
      <w:pPr>
        <w:spacing w:after="0" w:line="240" w:lineRule="auto"/>
        <w:ind w:left="709" w:right="709"/>
        <w:contextualSpacing/>
        <w:jc w:val="both"/>
        <w:rPr>
          <w:rFonts w:ascii="Verdana" w:eastAsia="Times New Roman" w:hAnsi="Verdana" w:cs="Arial"/>
          <w:sz w:val="12"/>
          <w:szCs w:val="12"/>
          <w:lang w:val="es-MX" w:eastAsia="es-CO"/>
        </w:rPr>
      </w:pPr>
    </w:p>
    <w:p w14:paraId="66697E8D" w14:textId="77777777" w:rsidR="008D78B9" w:rsidRDefault="008D78B9" w:rsidP="008D78B9">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Calibri" w:hAnsi="Verdana" w:cs="Arial"/>
          <w:sz w:val="20"/>
          <w:szCs w:val="20"/>
          <w:vertAlign w:val="superscript"/>
          <w:lang w:val="es-MX"/>
        </w:rPr>
        <w:footnoteReference w:id="3"/>
      </w:r>
    </w:p>
    <w:p w14:paraId="7828D3CA" w14:textId="77777777" w:rsidR="008D78B9" w:rsidRDefault="008D78B9" w:rsidP="008D78B9">
      <w:pPr>
        <w:spacing w:after="0" w:line="276" w:lineRule="auto"/>
        <w:ind w:firstLine="709"/>
        <w:jc w:val="both"/>
        <w:rPr>
          <w:rFonts w:ascii="Verdana" w:eastAsia="Times New Roman" w:hAnsi="Verdana" w:cs="Arial"/>
          <w:lang w:val="es-MX" w:eastAsia="es-CO"/>
        </w:rPr>
      </w:pPr>
      <w:bookmarkStart w:id="3" w:name="_Hlk78818186"/>
    </w:p>
    <w:p w14:paraId="5151F427" w14:textId="77777777" w:rsidR="008D78B9" w:rsidRDefault="008D78B9" w:rsidP="008D78B9">
      <w:pPr>
        <w:spacing w:after="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3"/>
      <w:r>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50105B1A" w14:textId="77777777" w:rsidR="008D78B9" w:rsidRDefault="008D78B9" w:rsidP="008D78B9">
      <w:pPr>
        <w:spacing w:after="0" w:line="276" w:lineRule="auto"/>
        <w:ind w:firstLine="709"/>
        <w:jc w:val="both"/>
        <w:rPr>
          <w:rFonts w:ascii="Verdana" w:eastAsia="Times New Roman" w:hAnsi="Verdana" w:cs="Arial"/>
          <w:lang w:val="es-MX" w:eastAsia="es-CO"/>
        </w:rPr>
      </w:pPr>
    </w:p>
    <w:p w14:paraId="1E83D39B" w14:textId="77777777" w:rsidR="008D78B9" w:rsidRDefault="008D78B9" w:rsidP="008D78B9">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259AF02" w14:textId="77777777" w:rsidR="008D78B9" w:rsidRDefault="008D78B9" w:rsidP="008D78B9">
      <w:pPr>
        <w:spacing w:after="0" w:line="240" w:lineRule="auto"/>
        <w:ind w:right="709"/>
        <w:contextualSpacing/>
        <w:jc w:val="both"/>
        <w:rPr>
          <w:rFonts w:ascii="Verdana" w:eastAsia="Times New Roman" w:hAnsi="Verdana" w:cs="Arial"/>
          <w:sz w:val="12"/>
          <w:szCs w:val="12"/>
          <w:lang w:val="es-MX" w:eastAsia="es-CO"/>
        </w:rPr>
      </w:pPr>
    </w:p>
    <w:p w14:paraId="059BC76E" w14:textId="77777777" w:rsidR="008D78B9" w:rsidRDefault="008D78B9" w:rsidP="008D78B9">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La jurisprudencia de la Corte Constitucional</w:t>
      </w:r>
      <w:r>
        <w:rPr>
          <w:rFonts w:ascii="Verdana" w:eastAsia="Times New Roman" w:hAnsi="Verdana" w:cs="Arial"/>
          <w:sz w:val="20"/>
          <w:szCs w:val="20"/>
          <w:vertAlign w:val="superscript"/>
          <w:lang w:val="es-MX" w:eastAsia="es-CO"/>
        </w:rPr>
        <w:footnoteReference w:id="4"/>
      </w:r>
      <w:r>
        <w:rPr>
          <w:rFonts w:ascii="Verdana" w:eastAsia="Times New Roman" w:hAnsi="Verdana" w:cs="Arial"/>
          <w:sz w:val="20"/>
          <w:szCs w:val="20"/>
          <w:lang w:val="es-MX" w:eastAsia="es-CO"/>
        </w:rPr>
        <w:t> y del Consejo de Estado</w:t>
      </w:r>
      <w:r>
        <w:rPr>
          <w:rFonts w:ascii="Verdana" w:eastAsia="Times New Roman" w:hAnsi="Verdana" w:cs="Arial"/>
          <w:sz w:val="20"/>
          <w:szCs w:val="20"/>
          <w:vertAlign w:val="superscript"/>
          <w:lang w:val="es-MX" w:eastAsia="es-CO"/>
        </w:rPr>
        <w:footnoteReference w:id="5"/>
      </w:r>
      <w:r>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sz w:val="20"/>
          <w:szCs w:val="20"/>
          <w:vertAlign w:val="superscript"/>
          <w:lang w:val="es-MX" w:eastAsia="es-CO"/>
        </w:rPr>
        <w:footnoteReference w:id="6"/>
      </w:r>
      <w:r>
        <w:rPr>
          <w:rFonts w:ascii="Verdana" w:eastAsia="Times New Roman" w:hAnsi="Verdana" w:cs="Arial"/>
          <w:sz w:val="20"/>
          <w:szCs w:val="20"/>
          <w:lang w:val="es-MX" w:eastAsia="es-CO"/>
        </w:rPr>
        <w:t>.</w:t>
      </w:r>
    </w:p>
    <w:p w14:paraId="443E896C" w14:textId="77777777" w:rsidR="008D78B9" w:rsidRDefault="008D78B9" w:rsidP="008D78B9">
      <w:pPr>
        <w:spacing w:after="0" w:line="276" w:lineRule="auto"/>
        <w:jc w:val="both"/>
        <w:rPr>
          <w:rFonts w:ascii="Verdana" w:eastAsia="Calibri" w:hAnsi="Verdana" w:cs="Arial"/>
          <w:bCs/>
          <w:lang w:val="es-ES_tradnl"/>
        </w:rPr>
      </w:pPr>
    </w:p>
    <w:p w14:paraId="2E2AD27F" w14:textId="77777777" w:rsidR="008D78B9" w:rsidRDefault="008D78B9" w:rsidP="008D78B9">
      <w:pPr>
        <w:spacing w:after="0" w:line="276" w:lineRule="auto"/>
        <w:ind w:firstLine="709"/>
        <w:jc w:val="both"/>
        <w:rPr>
          <w:rFonts w:ascii="Verdana" w:eastAsia="Arial" w:hAnsi="Verdana" w:cs="Arial"/>
          <w:lang w:val="es-ES" w:eastAsia="es-ES" w:bidi="es-ES"/>
        </w:rPr>
      </w:pPr>
      <w:r>
        <w:rPr>
          <w:rFonts w:ascii="Verdana" w:eastAsia="Times New Roman" w:hAnsi="Verdana" w:cs="Arial"/>
          <w:lang w:val="es-MX" w:eastAsia="es-CO"/>
        </w:rPr>
        <w:t>De</w:t>
      </w:r>
      <w:r>
        <w:rPr>
          <w:rFonts w:ascii="Verdana" w:eastAsia="Arial" w:hAnsi="Verdana" w:cs="Arial"/>
          <w:lang w:val="es-ES" w:eastAsia="es-ES" w:bidi="es-ES"/>
        </w:rPr>
        <w:t xml:space="preserve"> conformidad con lo anterior, </w:t>
      </w:r>
      <w:bookmarkStart w:id="4" w:name="_Hlk77236098"/>
      <w:bookmarkStart w:id="5" w:name="_Hlk100679383"/>
      <w:r>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BDA18F2" w14:textId="77777777" w:rsidR="008D78B9" w:rsidRDefault="008D78B9" w:rsidP="008D78B9">
      <w:pPr>
        <w:spacing w:after="0" w:line="276" w:lineRule="auto"/>
        <w:ind w:firstLine="709"/>
        <w:jc w:val="both"/>
        <w:rPr>
          <w:rFonts w:ascii="Verdana" w:eastAsia="Arial" w:hAnsi="Verdana" w:cs="Arial"/>
          <w:lang w:val="es-ES" w:eastAsia="es-ES" w:bidi="es-ES"/>
        </w:rPr>
      </w:pPr>
    </w:p>
    <w:p w14:paraId="38FBC857" w14:textId="77777777" w:rsidR="008D78B9" w:rsidRDefault="008D78B9" w:rsidP="008D78B9">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2E4195F0" w14:textId="77777777" w:rsidR="008D78B9" w:rsidRDefault="008D78B9" w:rsidP="008D78B9">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Pr>
          <w:rFonts w:ascii="Verdana" w:eastAsia="Calibri" w:hAnsi="Verdana" w:cs="Arial"/>
        </w:rPr>
        <w:lastRenderedPageBreak/>
        <w:t>acciones terroristas, desastres naturales o casos de fuerza mayor, y los que deban realizar las entidades sanitarias y hospitalarias”</w:t>
      </w:r>
      <w:r>
        <w:rPr>
          <w:vertAlign w:val="superscript"/>
        </w:rPr>
        <w:footnoteReference w:id="7"/>
      </w:r>
      <w:r>
        <w:rPr>
          <w:rFonts w:ascii="Verdana" w:eastAsia="Calibri" w:hAnsi="Verdana" w:cs="Arial"/>
        </w:rPr>
        <w:t>.</w:t>
      </w:r>
    </w:p>
    <w:p w14:paraId="2521D3FB" w14:textId="77777777" w:rsidR="008D78B9" w:rsidRDefault="008D78B9" w:rsidP="008D78B9">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rPr>
        <w:t>”</w:t>
      </w:r>
      <w:bookmarkEnd w:id="5"/>
      <w:r>
        <w:rPr>
          <w:rFonts w:ascii="Verdana" w:eastAsia="Calibri" w:hAnsi="Verdana" w:cs="Arial"/>
          <w:vertAlign w:val="superscript"/>
        </w:rPr>
        <w:footnoteReference w:id="8"/>
      </w:r>
      <w:r>
        <w:rPr>
          <w:rFonts w:ascii="Verdana" w:eastAsia="Calibri" w:hAnsi="Verdana" w:cs="Arial"/>
          <w:lang w:val="es-MX"/>
        </w:rPr>
        <w:t>.</w:t>
      </w:r>
      <w:r>
        <w:rPr>
          <w:rFonts w:ascii="Verdana" w:eastAsia="Arial" w:hAnsi="Verdana" w:cs="Arial"/>
          <w:lang w:val="es-ES" w:eastAsia="es-ES" w:bidi="es-ES"/>
        </w:rPr>
        <w:t xml:space="preserve"> </w:t>
      </w:r>
    </w:p>
    <w:p w14:paraId="1DCE1C14" w14:textId="77777777" w:rsidR="008D78B9" w:rsidRDefault="008D78B9" w:rsidP="008D78B9">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Pr>
          <w:rFonts w:ascii="Verdana" w:eastAsia="Times New Roman" w:hAnsi="Verdana" w:cs="Arial"/>
          <w:bCs/>
          <w:lang w:eastAsia="es-CO"/>
        </w:rPr>
        <w:t>1. </w:t>
      </w:r>
      <w:r>
        <w:rPr>
          <w:rFonts w:ascii="Verdana" w:eastAsia="Times New Roman" w:hAnsi="Verdana" w:cs="Arial"/>
          <w:bCs/>
          <w:i/>
          <w:iCs/>
          <w:lang w:eastAsia="es-CO"/>
        </w:rPr>
        <w:t>Gral.</w:t>
      </w:r>
      <w:r>
        <w:rPr>
          <w:rFonts w:ascii="Verdana" w:eastAsia="Times New Roman" w:hAnsi="Verdana" w:cs="Arial"/>
          <w:bCs/>
          <w:lang w:eastAsia="es-CO"/>
        </w:rPr>
        <w:t xml:space="preserve"> Otorgar o firmar un contrato. 2. </w:t>
      </w:r>
      <w:proofErr w:type="spellStart"/>
      <w:r>
        <w:rPr>
          <w:rFonts w:ascii="Verdana" w:eastAsia="Times New Roman" w:hAnsi="Verdana" w:cs="Arial"/>
          <w:bCs/>
          <w:i/>
          <w:iCs/>
          <w:lang w:eastAsia="es-CO"/>
        </w:rPr>
        <w:t>Proc</w:t>
      </w:r>
      <w:proofErr w:type="spellEnd"/>
      <w:r>
        <w:rPr>
          <w:rFonts w:ascii="Verdana" w:eastAsia="Times New Roman" w:hAnsi="Verdana" w:cs="Arial"/>
          <w:bCs/>
          <w:i/>
          <w:iCs/>
          <w:lang w:eastAsia="es-CO"/>
        </w:rPr>
        <w:t>.</w:t>
      </w:r>
      <w:r>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0717E138" w14:textId="77777777" w:rsidR="008D78B9" w:rsidRDefault="008D78B9" w:rsidP="008D78B9">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Pr>
          <w:rFonts w:ascii="Verdana" w:eastAsia="Times New Roman" w:hAnsi="Verdana" w:cs="Arial"/>
          <w:bCs/>
          <w:i/>
          <w:lang w:val="es-ES" w:eastAsia="es-CO"/>
        </w:rPr>
        <w:t>ibídem</w:t>
      </w:r>
      <w:proofErr w:type="spellEnd"/>
      <w:r>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w:t>
      </w:r>
      <w:r>
        <w:rPr>
          <w:rFonts w:ascii="Verdana" w:eastAsia="Times New Roman" w:hAnsi="Verdana" w:cs="Arial"/>
          <w:bCs/>
          <w:lang w:val="es-ES" w:eastAsia="es-CO"/>
        </w:rPr>
        <w:lastRenderedPageBreak/>
        <w:t xml:space="preserve">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A27CC6E" w14:textId="77777777" w:rsidR="008D78B9" w:rsidRDefault="008D78B9" w:rsidP="008D78B9">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23DA5C73" w14:textId="77777777" w:rsidR="008D78B9" w:rsidRDefault="008D78B9" w:rsidP="008D78B9">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Pr>
          <w:rFonts w:ascii="Verdana" w:eastAsia="Times New Roman" w:hAnsi="Verdana" w:cs="Arial"/>
          <w:bCs/>
          <w:lang w:val="es-MX" w:eastAsia="es-CO"/>
        </w:rPr>
        <w:t>entrada en vigencia</w:t>
      </w:r>
      <w:proofErr w:type="gramEnd"/>
      <w:r>
        <w:rPr>
          <w:rFonts w:ascii="Verdana" w:eastAsia="Times New Roman" w:hAnsi="Verdana" w:cs="Arial"/>
          <w:bCs/>
          <w:lang w:val="es-MX" w:eastAsia="es-CO"/>
        </w:rPr>
        <w:t xml:space="preserve"> de las prohibiciones anotadas, así como la cesión de </w:t>
      </w:r>
      <w:proofErr w:type="gramStart"/>
      <w:r>
        <w:rPr>
          <w:rFonts w:ascii="Verdana" w:eastAsia="Times New Roman" w:hAnsi="Verdana" w:cs="Arial"/>
          <w:bCs/>
          <w:lang w:val="es-MX" w:eastAsia="es-CO"/>
        </w:rPr>
        <w:t>los mismos</w:t>
      </w:r>
      <w:proofErr w:type="gramEnd"/>
      <w:r>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Pr>
          <w:rFonts w:ascii="Verdana" w:eastAsia="Times New Roman" w:hAnsi="Verdana" w:cs="Arial"/>
          <w:bCs/>
          <w:vertAlign w:val="superscript"/>
          <w:lang w:val="es-MX" w:eastAsia="es-CO"/>
        </w:rPr>
        <w:footnoteReference w:id="9"/>
      </w:r>
      <w:r>
        <w:rPr>
          <w:rFonts w:ascii="Verdana" w:eastAsia="Times New Roman" w:hAnsi="Verdana" w:cs="Arial"/>
          <w:bCs/>
          <w:lang w:val="es-MX" w:eastAsia="es-CO"/>
        </w:rPr>
        <w:t xml:space="preserve">. </w:t>
      </w:r>
    </w:p>
    <w:p w14:paraId="0B195C02" w14:textId="77777777" w:rsidR="008D78B9" w:rsidRDefault="008D78B9" w:rsidP="008D78B9">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6EB5CFD" w14:textId="77777777" w:rsidR="008D78B9" w:rsidRDefault="008D78B9" w:rsidP="008D78B9">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6E5B52D0" w14:textId="77777777" w:rsidR="008D78B9" w:rsidRDefault="008D78B9" w:rsidP="008D78B9">
      <w:pPr>
        <w:widowControl w:val="0"/>
        <w:autoSpaceDE w:val="0"/>
        <w:autoSpaceDN w:val="0"/>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Pr>
          <w:rFonts w:ascii="Verdana" w:eastAsia="Arial" w:hAnsi="Verdana" w:cs="Arial"/>
          <w:sz w:val="20"/>
          <w:szCs w:val="20"/>
          <w:lang w:eastAsia="es-ES" w:bidi="es-ES"/>
        </w:rPr>
        <w:t>se integran parcialmente</w:t>
      </w:r>
      <w:bookmarkEnd w:id="8"/>
      <w:r>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w:t>
      </w:r>
      <w:r>
        <w:rPr>
          <w:rFonts w:ascii="Verdana" w:eastAsia="Arial" w:hAnsi="Verdana" w:cs="Arial"/>
          <w:sz w:val="20"/>
          <w:szCs w:val="20"/>
          <w:lang w:eastAsia="es-ES" w:bidi="es-ES"/>
        </w:rPr>
        <w:lastRenderedPageBreak/>
        <w:t>contenidas en el parágrafo del artículo 38”.</w:t>
      </w:r>
      <w:r>
        <w:rPr>
          <w:rFonts w:ascii="Verdana" w:eastAsia="Arial" w:hAnsi="Verdana" w:cs="Arial"/>
          <w:sz w:val="20"/>
          <w:szCs w:val="20"/>
          <w:vertAlign w:val="superscript"/>
          <w:lang w:eastAsia="es-ES" w:bidi="es-ES"/>
        </w:rPr>
        <w:footnoteReference w:id="10"/>
      </w:r>
    </w:p>
    <w:p w14:paraId="4084EDE6" w14:textId="77777777" w:rsidR="008D78B9" w:rsidRDefault="008D78B9" w:rsidP="008D78B9">
      <w:pPr>
        <w:widowControl w:val="0"/>
        <w:autoSpaceDE w:val="0"/>
        <w:autoSpaceDN w:val="0"/>
        <w:spacing w:line="276" w:lineRule="auto"/>
        <w:contextualSpacing/>
        <w:rPr>
          <w:rFonts w:ascii="Verdana" w:eastAsia="Arial" w:hAnsi="Verdana" w:cs="Arial"/>
          <w:lang w:val="es-ES" w:eastAsia="es-ES" w:bidi="es-ES"/>
        </w:rPr>
      </w:pPr>
    </w:p>
    <w:p w14:paraId="46A75F74" w14:textId="77777777" w:rsidR="008D78B9" w:rsidRDefault="008D78B9" w:rsidP="008D78B9">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Pr>
          <w:rFonts w:ascii="Verdana" w:eastAsia="Arial" w:hAnsi="Verdana" w:cs="Arial"/>
          <w:lang w:val="es-ES" w:eastAsia="es-ES" w:bidi="es-ES"/>
        </w:rPr>
        <w:t xml:space="preserve">la Ley 996 de 2005 establece dos (2) tipos de restricciones en materia de contratación, las cuales coinciden parcialmente. </w:t>
      </w:r>
      <w:r>
        <w:rPr>
          <w:rFonts w:ascii="Verdana" w:eastAsia="Arial" w:hAnsi="Verdana" w:cs="Arial"/>
          <w:i/>
          <w:lang w:val="es-ES" w:eastAsia="es-ES" w:bidi="es-ES"/>
        </w:rPr>
        <w:t>En primer lugar</w:t>
      </w:r>
      <w:r>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Verdana" w:eastAsia="Arial" w:hAnsi="Verdana" w:cs="Arial"/>
          <w:i/>
          <w:lang w:val="es-ES" w:eastAsia="es-ES" w:bidi="es-ES"/>
        </w:rPr>
        <w:t>En segundo lugar</w:t>
      </w:r>
      <w:r>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1E05C93F" w14:textId="77777777" w:rsidR="008D78B9" w:rsidRDefault="008D78B9" w:rsidP="008D78B9">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Ambas restricciones no son excluyentes, lo que permite concluir que, en el período preelectoral para elección de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5F064323" w14:textId="77777777" w:rsidR="008D78B9" w:rsidRDefault="008D78B9" w:rsidP="008D78B9">
      <w:pPr>
        <w:spacing w:after="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o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y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 la República, ha perdido vigencia ante la prohibición de la </w:t>
      </w:r>
      <w:r>
        <w:rPr>
          <w:rFonts w:ascii="Verdana" w:eastAsia="Arial" w:hAnsi="Verdana" w:cs="Arial"/>
          <w:lang w:val="es-ES" w:eastAsia="es-ES" w:bidi="es-ES"/>
        </w:rPr>
        <w:lastRenderedPageBreak/>
        <w:t xml:space="preserve">reelección presidencial, restablecida por el Acto Legislativo 2 de 2015. Esto excepto para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0E4A79F9" w14:textId="77777777" w:rsidR="008D78B9" w:rsidRDefault="008D78B9" w:rsidP="008D78B9">
      <w:pPr>
        <w:spacing w:after="0" w:line="276" w:lineRule="auto"/>
        <w:ind w:firstLine="708"/>
        <w:jc w:val="both"/>
        <w:rPr>
          <w:rFonts w:ascii="Verdana" w:eastAsia="Arial" w:hAnsi="Verdana" w:cs="Arial"/>
          <w:lang w:val="es-ES" w:eastAsia="es-ES" w:bidi="es-ES"/>
        </w:rPr>
      </w:pPr>
      <w:r>
        <w:rPr>
          <w:rFonts w:ascii="Verdana" w:eastAsia="Arial" w:hAnsi="Verdana" w:cs="Arial"/>
          <w:lang w:val="es-ES" w:eastAsia="es-ES" w:bidi="es-ES"/>
        </w:rPr>
        <w:t xml:space="preserve"> </w:t>
      </w:r>
      <w:bookmarkStart w:id="12" w:name="_Hlk78820161"/>
    </w:p>
    <w:p w14:paraId="5A35FA48" w14:textId="77777777" w:rsidR="008D78B9" w:rsidRDefault="008D78B9" w:rsidP="008D78B9">
      <w:pPr>
        <w:spacing w:after="0"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 xml:space="preserve">. </w:t>
      </w:r>
      <w:r>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Pr>
          <w:rFonts w:ascii="Verdana" w:eastAsia="Times New Roman" w:hAnsi="Verdana" w:cs="Arial"/>
          <w:bCs/>
          <w:lang w:val="es-MX" w:eastAsia="x-none"/>
        </w:rPr>
        <w:t xml:space="preserve">. </w:t>
      </w:r>
      <w:r>
        <w:rPr>
          <w:rFonts w:ascii="Verdana" w:eastAsia="Times New Roman" w:hAnsi="Verdana" w:cs="Arial"/>
          <w:lang w:val="es-MX" w:eastAsia="es-CO"/>
        </w:rPr>
        <w:t xml:space="preserve"> A propósito de </w:t>
      </w:r>
      <w:r>
        <w:rPr>
          <w:rFonts w:ascii="Verdana" w:eastAsia="Times New Roman" w:hAnsi="Verdana" w:cs="Arial"/>
          <w:lang w:eastAsia="es-CO"/>
        </w:rPr>
        <w:t>esta restricción de la Ley de Garantías Electorales, la Sala de Consulta y Servicio Civil del Consejo de Estado ha considerado que:</w:t>
      </w:r>
    </w:p>
    <w:p w14:paraId="63CF782B" w14:textId="77777777" w:rsidR="008D78B9" w:rsidRDefault="008D78B9" w:rsidP="008D78B9">
      <w:pPr>
        <w:spacing w:after="0" w:line="276" w:lineRule="auto"/>
        <w:ind w:left="708" w:right="709"/>
        <w:jc w:val="both"/>
        <w:rPr>
          <w:rFonts w:ascii="Verdana" w:eastAsia="Calibri" w:hAnsi="Verdana" w:cs="Arial"/>
          <w:lang w:val="es-MX"/>
        </w:rPr>
      </w:pPr>
    </w:p>
    <w:p w14:paraId="2941E58F" w14:textId="77777777" w:rsidR="008D78B9" w:rsidRDefault="008D78B9" w:rsidP="008D78B9">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Verdana" w:eastAsia="Times New Roman" w:hAnsi="Verdana" w:cs="Arial"/>
          <w:sz w:val="20"/>
          <w:szCs w:val="20"/>
          <w:vertAlign w:val="superscript"/>
          <w:lang w:eastAsia="es-CO"/>
        </w:rPr>
        <w:footnoteReference w:id="11"/>
      </w:r>
      <w:r>
        <w:rPr>
          <w:rFonts w:ascii="Verdana" w:eastAsia="Calibri" w:hAnsi="Verdana" w:cs="Arial"/>
          <w:sz w:val="20"/>
          <w:szCs w:val="20"/>
          <w:lang w:val="es-MX"/>
        </w:rPr>
        <w:t>.</w:t>
      </w:r>
    </w:p>
    <w:p w14:paraId="601073EB" w14:textId="77777777" w:rsidR="008D78B9" w:rsidRDefault="008D78B9" w:rsidP="008D78B9">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Pr>
          <w:rFonts w:ascii="Verdana" w:eastAsia="Times New Roman" w:hAnsi="Verdana" w:cs="Arial"/>
          <w:sz w:val="20"/>
          <w:szCs w:val="20"/>
          <w:vertAlign w:val="superscript"/>
          <w:lang w:val="es-MX"/>
        </w:rPr>
        <w:footnoteReference w:id="12"/>
      </w:r>
      <w:r>
        <w:rPr>
          <w:rFonts w:ascii="Verdana" w:eastAsia="Times New Roman" w:hAnsi="Verdana" w:cs="Arial"/>
          <w:sz w:val="20"/>
          <w:szCs w:val="20"/>
          <w:vertAlign w:val="superscript"/>
          <w:lang w:val="es-MX"/>
        </w:rPr>
        <w:t>.</w:t>
      </w:r>
      <w:r>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Times New Roman" w:hAnsi="Verdana" w:cs="Arial"/>
          <w:sz w:val="20"/>
          <w:szCs w:val="20"/>
          <w:vertAlign w:val="superscript"/>
          <w:lang w:eastAsia="es-CO"/>
        </w:rPr>
        <w:footnoteReference w:id="13"/>
      </w:r>
      <w:r>
        <w:rPr>
          <w:rFonts w:ascii="Verdana" w:eastAsia="Calibri" w:hAnsi="Verdana" w:cs="Arial"/>
          <w:sz w:val="20"/>
          <w:szCs w:val="20"/>
          <w:lang w:val="es-MX"/>
        </w:rPr>
        <w:t>.</w:t>
      </w:r>
    </w:p>
    <w:p w14:paraId="723BD775" w14:textId="77777777" w:rsidR="008D78B9" w:rsidRDefault="008D78B9" w:rsidP="008D78B9">
      <w:pPr>
        <w:shd w:val="clear" w:color="auto" w:fill="FFFFFF"/>
        <w:spacing w:after="0" w:line="276" w:lineRule="auto"/>
        <w:ind w:firstLine="709"/>
        <w:jc w:val="both"/>
        <w:rPr>
          <w:rFonts w:ascii="Verdana" w:eastAsia="Times New Roman" w:hAnsi="Verdana" w:cs="Arial"/>
          <w:lang w:eastAsia="x-none"/>
        </w:rPr>
      </w:pPr>
    </w:p>
    <w:p w14:paraId="7CC5A294" w14:textId="77777777" w:rsidR="008D78B9" w:rsidRDefault="008D78B9" w:rsidP="008D78B9">
      <w:pPr>
        <w:spacing w:after="120" w:line="276" w:lineRule="auto"/>
        <w:ind w:firstLine="708"/>
        <w:jc w:val="both"/>
        <w:rPr>
          <w:rFonts w:ascii="Verdana" w:eastAsia="Times New Roman" w:hAnsi="Verdana" w:cs="Arial"/>
          <w:bCs/>
          <w:lang w:eastAsia="x-none"/>
        </w:rPr>
      </w:pPr>
      <w:r>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Pr>
          <w:rFonts w:ascii="Verdana" w:eastAsia="Times New Roman" w:hAnsi="Verdana" w:cs="Arial"/>
          <w:lang w:val="es-ES_tradnl" w:eastAsia="x-none"/>
        </w:rPr>
        <w:t xml:space="preserve">y la mínima cuantía </w:t>
      </w:r>
      <w:r>
        <w:rPr>
          <w:rFonts w:ascii="Verdana" w:eastAsia="Times New Roman" w:hAnsi="Verdana" w:cs="Arial"/>
          <w:lang w:eastAsia="x-none"/>
        </w:rPr>
        <w:t xml:space="preserve">u otros previstos en normas especiales. Esta posición es </w:t>
      </w:r>
      <w:r>
        <w:rPr>
          <w:rFonts w:ascii="Verdana" w:eastAsia="Times New Roman" w:hAnsi="Verdana" w:cs="Arial"/>
          <w:lang w:eastAsia="x-none"/>
        </w:rPr>
        <w:lastRenderedPageBreak/>
        <w:t>congruente con la expedición de la Ley 1150 de 2007 que, entre otras reformas, introdujo la selección abreviada, rediseñó el concurso de méritos</w:t>
      </w:r>
      <w:r>
        <w:rPr>
          <w:rFonts w:ascii="Verdana" w:eastAsia="Times New Roman" w:hAnsi="Verdana" w:cs="Arial"/>
          <w:vertAlign w:val="superscript"/>
          <w:lang w:val="en-GB" w:eastAsia="x-none"/>
        </w:rPr>
        <w:footnoteReference w:id="14"/>
      </w:r>
      <w:r>
        <w:rPr>
          <w:rFonts w:ascii="Verdana" w:eastAsia="Times New Roman" w:hAnsi="Verdana" w:cs="Arial"/>
          <w:lang w:eastAsia="x-none"/>
        </w:rPr>
        <w:t xml:space="preserve"> y sistematizó las causales de contratación directa</w:t>
      </w:r>
      <w:r>
        <w:rPr>
          <w:rFonts w:ascii="Verdana" w:eastAsia="Times New Roman" w:hAnsi="Verdana" w:cs="Arial"/>
          <w:vertAlign w:val="superscript"/>
          <w:lang w:val="en-GB" w:eastAsia="x-none"/>
        </w:rPr>
        <w:footnoteReference w:id="15"/>
      </w:r>
      <w:r>
        <w:rPr>
          <w:rFonts w:ascii="Verdana" w:eastAsia="Times New Roman" w:hAnsi="Verdana" w:cs="Arial"/>
          <w:lang w:eastAsia="x-none"/>
        </w:rPr>
        <w:t xml:space="preserve">, </w:t>
      </w:r>
      <w:r>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4FB0A5E" w14:textId="77777777" w:rsidR="008D78B9" w:rsidRDefault="008D78B9" w:rsidP="008D78B9">
      <w:pPr>
        <w:spacing w:after="120" w:line="276" w:lineRule="auto"/>
        <w:ind w:firstLine="708"/>
        <w:jc w:val="both"/>
        <w:rPr>
          <w:rFonts w:ascii="Verdana" w:eastAsia="Times New Roman" w:hAnsi="Verdana" w:cs="Arial"/>
          <w:lang w:val="es-MX" w:eastAsia="x-none"/>
        </w:rPr>
      </w:pPr>
      <w:r>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Pr>
          <w:rFonts w:ascii="Verdana" w:eastAsia="Times New Roman" w:hAnsi="Verdana" w:cs="Arial"/>
          <w:lang w:eastAsia="x-none"/>
        </w:rPr>
        <w:t>contratación directa</w:t>
      </w:r>
      <w:r>
        <w:rPr>
          <w:rFonts w:ascii="Verdana" w:eastAsia="Times New Roman" w:hAnsi="Verdana" w:cs="Arial"/>
          <w:lang w:eastAsia="en-GB"/>
        </w:rPr>
        <w:t>”</w:t>
      </w:r>
      <w:r>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Pr>
          <w:rFonts w:ascii="Verdana" w:eastAsia="Times New Roman" w:hAnsi="Verdana" w:cs="Arial"/>
          <w:vertAlign w:val="superscript"/>
          <w:lang w:val="en-GB" w:eastAsia="x-none"/>
        </w:rPr>
        <w:footnoteReference w:id="16"/>
      </w:r>
      <w:r>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Pr>
          <w:rFonts w:ascii="Verdana" w:eastAsia="Times New Roman" w:hAnsi="Verdana" w:cs="Arial"/>
          <w:lang w:eastAsia="x-none"/>
        </w:rPr>
        <w:t xml:space="preserve">. </w:t>
      </w:r>
    </w:p>
    <w:p w14:paraId="6DC982B3" w14:textId="77777777" w:rsidR="008D78B9" w:rsidRDefault="008D78B9" w:rsidP="008D78B9">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E</w:t>
      </w:r>
      <w:r>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vertAlign w:val="superscript"/>
        </w:rPr>
        <w:footnoteReference w:id="17"/>
      </w:r>
      <w:r>
        <w:rPr>
          <w:rFonts w:ascii="Verdana" w:eastAsia="Times New Roman" w:hAnsi="Verdana" w:cs="Arial"/>
          <w:lang w:eastAsia="x-none"/>
        </w:rPr>
        <w:t xml:space="preserve">. </w:t>
      </w:r>
    </w:p>
    <w:p w14:paraId="66A802F6" w14:textId="77777777" w:rsidR="008D78B9" w:rsidRDefault="008D78B9" w:rsidP="008D78B9">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w:t>
      </w:r>
      <w:r>
        <w:rPr>
          <w:rFonts w:ascii="Verdana" w:eastAsia="Times New Roman" w:hAnsi="Verdana" w:cs="Arial"/>
          <w:bCs/>
          <w:lang w:val="es-MX" w:eastAsia="es-CO"/>
        </w:rPr>
        <w:lastRenderedPageBreak/>
        <w:t>régimen especial de contratación. No obstante, también se observa que luego de la expedición de Ley 1150 de 2007, el Consejo de Estado comenzó a delimitar con mayor precisión el término de “contratación directa”.</w:t>
      </w:r>
    </w:p>
    <w:p w14:paraId="568693D2" w14:textId="77777777" w:rsidR="008D78B9" w:rsidRDefault="008D78B9" w:rsidP="008D78B9">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vertAlign w:val="superscript"/>
          <w:lang w:eastAsia="x-none"/>
        </w:rPr>
        <w:footnoteReference w:id="18"/>
      </w:r>
      <w:r>
        <w:rPr>
          <w:rFonts w:ascii="Verdana" w:eastAsia="Times New Roman" w:hAnsi="Verdana" w:cs="Arial"/>
          <w:bCs/>
          <w:lang w:val="es-MX" w:eastAsia="x-none"/>
        </w:rPr>
        <w:t>.</w:t>
      </w:r>
      <w:r>
        <w:rPr>
          <w:rFonts w:ascii="Verdana" w:eastAsia="Times New Roman" w:hAnsi="Verdana" w:cs="Arial"/>
          <w:vertAlign w:val="superscript"/>
          <w:lang w:val="es-MX" w:eastAsia="x-none"/>
        </w:rPr>
        <w:t xml:space="preserve"> </w:t>
      </w:r>
    </w:p>
    <w:p w14:paraId="03E1D42E" w14:textId="77777777" w:rsidR="008D78B9" w:rsidRDefault="008D78B9" w:rsidP="008D78B9">
      <w:pPr>
        <w:spacing w:after="120" w:line="276" w:lineRule="auto"/>
        <w:ind w:firstLine="708"/>
        <w:jc w:val="both"/>
        <w:rPr>
          <w:rFonts w:ascii="Verdana" w:eastAsia="Times New Roman" w:hAnsi="Verdana" w:cs="Arial"/>
          <w:lang w:eastAsia="x-none"/>
        </w:rPr>
      </w:pPr>
      <w:r>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995A9FA" w14:textId="77777777" w:rsidR="008D78B9" w:rsidRDefault="008D78B9" w:rsidP="008D78B9">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Pr>
          <w:vertAlign w:val="superscript"/>
        </w:rPr>
        <w:footnoteReference w:id="19"/>
      </w:r>
      <w:r>
        <w:rPr>
          <w:rFonts w:ascii="Verdana" w:eastAsia="Times New Roman" w:hAnsi="Verdana" w:cs="Arial"/>
          <w:bCs/>
          <w:lang w:val="es-MX" w:eastAsia="es-CO"/>
        </w:rPr>
        <w:t xml:space="preserve">. Además, también es posible que contratos celebrados previamente se continúen ejecutando con normalidad. </w:t>
      </w:r>
    </w:p>
    <w:p w14:paraId="4DA69750" w14:textId="77777777" w:rsidR="008D78B9" w:rsidRDefault="008D78B9" w:rsidP="008D78B9">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w:t>
      </w:r>
      <w:r>
        <w:rPr>
          <w:rFonts w:ascii="Verdana" w:eastAsia="Times New Roman" w:hAnsi="Verdana" w:cs="Arial"/>
          <w:bCs/>
          <w:lang w:val="es-MX" w:eastAsia="x-none"/>
        </w:rPr>
        <w:lastRenderedPageBreak/>
        <w:t>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B07BA72" w14:textId="77777777" w:rsidR="008D78B9" w:rsidRDefault="008D78B9" w:rsidP="008D78B9">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Fonts w:ascii="Verdana" w:eastAsia="Calibri" w:hAnsi="Verdana" w:cs="Arial"/>
          <w:vertAlign w:val="superscript"/>
          <w:lang w:val="es-MX"/>
        </w:rPr>
        <w:footnoteReference w:id="20"/>
      </w:r>
      <w:r>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2886DD9" w14:textId="77777777" w:rsidR="008D78B9" w:rsidRDefault="008D78B9" w:rsidP="008D78B9">
      <w:pPr>
        <w:spacing w:after="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Pr>
          <w:rFonts w:ascii="Verdana" w:eastAsia="Calibri" w:hAnsi="Verdana" w:cs="Arial"/>
          <w:sz w:val="24"/>
          <w:lang w:val="es-MX"/>
        </w:rPr>
        <w:t xml:space="preserve"> </w:t>
      </w:r>
      <w:r>
        <w:rPr>
          <w:rFonts w:ascii="Verdana" w:eastAsia="Times New Roman" w:hAnsi="Verdana" w:cs="Arial"/>
          <w:bCs/>
          <w:lang w:val="es-MX" w:eastAsia="x-none"/>
        </w:rPr>
        <w:t>En efecto, tal como lo ha sostenido el Consejo de Estado, el vocablo “todos” utilizado por el legislador comprende</w:t>
      </w:r>
      <w:r>
        <w:rPr>
          <w:rFonts w:ascii="Verdana" w:eastAsia="Calibri" w:hAnsi="Verdana" w:cs="Arial"/>
          <w:sz w:val="24"/>
          <w:lang w:val="es-MX"/>
        </w:rPr>
        <w:t xml:space="preserve"> </w:t>
      </w:r>
      <w:r>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06EAEDC9" w14:textId="77777777" w:rsidR="008D78B9" w:rsidRDefault="008D78B9" w:rsidP="008D78B9">
      <w:pPr>
        <w:spacing w:after="0" w:line="276" w:lineRule="auto"/>
        <w:jc w:val="both"/>
        <w:rPr>
          <w:rFonts w:ascii="Verdana" w:eastAsia="Times New Roman" w:hAnsi="Verdana" w:cs="Arial"/>
          <w:bCs/>
          <w:lang w:val="es-MX" w:eastAsia="x-none"/>
        </w:rPr>
      </w:pPr>
    </w:p>
    <w:p w14:paraId="7DB0E439" w14:textId="77777777" w:rsidR="008D78B9" w:rsidRDefault="008D78B9" w:rsidP="008D78B9">
      <w:pPr>
        <w:spacing w:after="0" w:line="240" w:lineRule="auto"/>
        <w:ind w:left="708" w:right="709"/>
        <w:jc w:val="both"/>
        <w:rPr>
          <w:rFonts w:ascii="Verdana" w:eastAsia="Times New Roman" w:hAnsi="Verdana" w:cs="Arial"/>
          <w:bCs/>
          <w:sz w:val="20"/>
          <w:szCs w:val="20"/>
          <w:lang w:val="es-MX" w:eastAsia="es-CO"/>
        </w:rPr>
      </w:pPr>
      <w:r>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vertAlign w:val="superscript"/>
        </w:rPr>
        <w:footnoteReference w:id="21"/>
      </w:r>
      <w:r>
        <w:rPr>
          <w:rFonts w:ascii="Verdana" w:eastAsia="Times New Roman" w:hAnsi="Verdana" w:cs="Arial"/>
          <w:bCs/>
          <w:sz w:val="20"/>
          <w:szCs w:val="20"/>
          <w:lang w:val="es-MX" w:eastAsia="x-none"/>
        </w:rPr>
        <w:t>.</w:t>
      </w:r>
      <w:r>
        <w:rPr>
          <w:rFonts w:ascii="Verdana" w:eastAsia="Times New Roman" w:hAnsi="Verdana" w:cs="Arial"/>
          <w:bCs/>
          <w:sz w:val="20"/>
          <w:szCs w:val="20"/>
          <w:lang w:val="es-MX" w:eastAsia="es-CO"/>
        </w:rPr>
        <w:t xml:space="preserve"> </w:t>
      </w:r>
    </w:p>
    <w:p w14:paraId="0630655B" w14:textId="77777777" w:rsidR="008D78B9" w:rsidRDefault="008D78B9" w:rsidP="008D78B9">
      <w:pPr>
        <w:spacing w:after="0" w:line="276" w:lineRule="auto"/>
        <w:ind w:firstLine="708"/>
        <w:jc w:val="both"/>
        <w:rPr>
          <w:rFonts w:ascii="Verdana" w:eastAsia="Times New Roman" w:hAnsi="Verdana" w:cs="Arial"/>
          <w:bCs/>
          <w:lang w:val="es-MX" w:eastAsia="es-CO"/>
        </w:rPr>
      </w:pPr>
    </w:p>
    <w:p w14:paraId="09AD1746" w14:textId="77777777" w:rsidR="008D78B9" w:rsidRDefault="008D78B9" w:rsidP="008D78B9">
      <w:pPr>
        <w:spacing w:after="0" w:line="276" w:lineRule="auto"/>
        <w:ind w:firstLine="708"/>
        <w:jc w:val="both"/>
        <w:rPr>
          <w:rFonts w:ascii="Verdana" w:eastAsia="Calibri" w:hAnsi="Verdana" w:cs="Arial"/>
          <w:lang w:val="es-MX"/>
        </w:rPr>
      </w:pPr>
      <w:r>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Verdana" w:eastAsia="Calibri" w:hAnsi="Verdana" w:cs="Arial"/>
          <w:sz w:val="24"/>
          <w:vertAlign w:val="superscript"/>
          <w:lang w:val="es-MX"/>
        </w:rPr>
        <w:footnoteReference w:id="22"/>
      </w:r>
      <w:r>
        <w:rPr>
          <w:rFonts w:ascii="Verdana" w:eastAsia="Times New Roman" w:hAnsi="Verdana" w:cs="Arial"/>
          <w:bCs/>
          <w:lang w:val="es-MX" w:eastAsia="x-none"/>
        </w:rPr>
        <w:t>.</w:t>
      </w:r>
      <w:r>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50628948" w14:textId="77777777" w:rsidR="008D78B9" w:rsidRDefault="008D78B9" w:rsidP="008D78B9">
      <w:pPr>
        <w:spacing w:after="0" w:line="276" w:lineRule="auto"/>
        <w:jc w:val="both"/>
        <w:rPr>
          <w:rFonts w:ascii="Verdana" w:eastAsia="Calibri" w:hAnsi="Verdana" w:cs="Arial"/>
          <w:lang w:val="es-MX"/>
        </w:rPr>
      </w:pPr>
    </w:p>
    <w:p w14:paraId="6F39797A" w14:textId="77777777" w:rsidR="008D78B9" w:rsidRDefault="008D78B9" w:rsidP="008D78B9">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w:t>
      </w:r>
      <w:r>
        <w:rPr>
          <w:rFonts w:ascii="Verdana" w:eastAsia="Calibri"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p>
    <w:p w14:paraId="0AF633DC" w14:textId="77777777" w:rsidR="008D78B9" w:rsidRDefault="008D78B9" w:rsidP="008D78B9">
      <w:pPr>
        <w:spacing w:after="0" w:line="240" w:lineRule="auto"/>
        <w:ind w:right="709"/>
        <w:jc w:val="both"/>
        <w:rPr>
          <w:rFonts w:ascii="Verdana" w:eastAsia="Calibri" w:hAnsi="Verdana" w:cs="Arial"/>
          <w:sz w:val="12"/>
          <w:szCs w:val="12"/>
          <w:lang w:val="es-MX"/>
        </w:rPr>
      </w:pPr>
      <w:r>
        <w:rPr>
          <w:rFonts w:ascii="Verdana" w:eastAsia="Calibri" w:hAnsi="Verdana" w:cs="Arial"/>
          <w:sz w:val="20"/>
          <w:szCs w:val="20"/>
          <w:lang w:val="es-MX"/>
        </w:rPr>
        <w:tab/>
      </w:r>
    </w:p>
    <w:p w14:paraId="22304009" w14:textId="77777777" w:rsidR="008D78B9" w:rsidRDefault="008D78B9" w:rsidP="008D78B9">
      <w:pPr>
        <w:spacing w:after="0" w:line="240" w:lineRule="auto"/>
        <w:ind w:left="708" w:right="709"/>
        <w:jc w:val="both"/>
        <w:rPr>
          <w:rFonts w:ascii="Verdana" w:eastAsia="Calibri" w:hAnsi="Verdana" w:cs="Arial"/>
          <w:sz w:val="20"/>
          <w:szCs w:val="20"/>
          <w:lang w:val="es-MX"/>
        </w:rPr>
      </w:pPr>
      <w:r>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Calibri" w:hAnsi="Verdana" w:cs="Arial"/>
          <w:sz w:val="20"/>
          <w:szCs w:val="20"/>
          <w:vertAlign w:val="superscript"/>
          <w:lang w:val="es-MX"/>
        </w:rPr>
        <w:footnoteReference w:id="23"/>
      </w:r>
      <w:r>
        <w:rPr>
          <w:rFonts w:ascii="Verdana" w:eastAsia="Times New Roman" w:hAnsi="Verdana" w:cs="Arial"/>
          <w:bCs/>
          <w:sz w:val="20"/>
          <w:szCs w:val="20"/>
          <w:lang w:val="es-MX" w:eastAsia="x-none"/>
        </w:rPr>
        <w:t>.</w:t>
      </w:r>
    </w:p>
    <w:p w14:paraId="30156D31" w14:textId="77777777" w:rsidR="008D78B9" w:rsidRDefault="008D78B9" w:rsidP="008D78B9">
      <w:pPr>
        <w:spacing w:after="0" w:line="276" w:lineRule="auto"/>
        <w:jc w:val="both"/>
        <w:rPr>
          <w:rFonts w:ascii="Verdana" w:eastAsia="Calibri" w:hAnsi="Verdana" w:cs="Arial"/>
          <w:lang w:val="es-MX"/>
        </w:rPr>
      </w:pPr>
    </w:p>
    <w:p w14:paraId="410AB510" w14:textId="77777777" w:rsidR="008D78B9" w:rsidRDefault="008D78B9" w:rsidP="008D78B9">
      <w:pPr>
        <w:spacing w:after="120" w:line="276" w:lineRule="auto"/>
        <w:ind w:firstLine="709"/>
        <w:jc w:val="both"/>
        <w:rPr>
          <w:rFonts w:ascii="Verdana" w:eastAsia="Times New Roman" w:hAnsi="Verdana" w:cs="Arial"/>
          <w:lang w:eastAsia="es-CO"/>
        </w:rPr>
      </w:pPr>
      <w:r>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Pr>
          <w:rFonts w:ascii="Verdana" w:eastAsia="Times New Roman" w:hAnsi="Verdana" w:cs="Arial"/>
          <w:bCs/>
          <w:lang w:val="es-MX" w:eastAsia="x-none"/>
        </w:rPr>
        <w:t>establecimientos de crédito, las sociedades de servicios financieros y las entidades aseguradoras</w:t>
      </w:r>
      <w:r>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vertAlign w:val="superscript"/>
        </w:rPr>
        <w:footnoteReference w:id="24"/>
      </w:r>
      <w:r>
        <w:rPr>
          <w:rFonts w:ascii="Verdana" w:eastAsia="Calibri" w:hAnsi="Verdana" w:cs="Arial"/>
          <w:lang w:val="es-MX"/>
        </w:rPr>
        <w:t>.</w:t>
      </w:r>
      <w:r>
        <w:rPr>
          <w:rFonts w:ascii="Verdana" w:eastAsia="Times New Roman" w:hAnsi="Verdana" w:cs="Arial"/>
          <w:lang w:val="es-MX" w:eastAsia="es-CO"/>
        </w:rPr>
        <w:t xml:space="preserve"> </w:t>
      </w:r>
    </w:p>
    <w:p w14:paraId="52D0EC7F" w14:textId="77777777" w:rsidR="008D78B9" w:rsidRDefault="008D78B9" w:rsidP="008D78B9">
      <w:pPr>
        <w:spacing w:after="120" w:line="276" w:lineRule="auto"/>
        <w:ind w:firstLine="709"/>
        <w:jc w:val="both"/>
        <w:rPr>
          <w:rFonts w:ascii="Verdana" w:eastAsia="Times New Roman" w:hAnsi="Verdana" w:cs="Arial"/>
          <w:bCs/>
          <w:lang w:val="es-MX" w:eastAsia="x-none"/>
        </w:rPr>
      </w:pPr>
      <w:r>
        <w:rPr>
          <w:rFonts w:ascii="Verdana" w:eastAsia="Times New Roman" w:hAnsi="Verdana" w:cs="Arial"/>
          <w:lang w:eastAsia="es-CO"/>
        </w:rPr>
        <w:t>Sin perjuicio de estos pronunciamientos de la Sala de Consulta y Servicio Civil</w:t>
      </w:r>
      <w:r>
        <w:rPr>
          <w:rFonts w:ascii="Verdana" w:eastAsia="Calibri" w:hAnsi="Verdana" w:cs="Arial"/>
          <w:lang w:val="es-MX"/>
        </w:rPr>
        <w:t xml:space="preserve">, como la ha señalado esa misma Corporación, la restricción prevista en la Ley 996 de 2005 </w:t>
      </w:r>
      <w:r>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w:t>
      </w:r>
      <w:r>
        <w:rPr>
          <w:rFonts w:ascii="Verdana" w:eastAsia="Times New Roman" w:hAnsi="Verdana" w:cs="Arial"/>
          <w:bCs/>
          <w:lang w:val="es-MX" w:eastAsia="x-none"/>
        </w:rPr>
        <w:lastRenderedPageBreak/>
        <w:t>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340D9B21" w14:textId="77777777" w:rsidR="008D78B9" w:rsidRDefault="008D78B9" w:rsidP="008D78B9">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9051669" w14:textId="77777777" w:rsidR="008D78B9" w:rsidRDefault="008D78B9" w:rsidP="008D78B9">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Por tanto,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23397052" w14:textId="77777777" w:rsidR="008D78B9" w:rsidRDefault="008D78B9" w:rsidP="008D78B9">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Finalmente, se reitera, c</w:t>
      </w:r>
      <w:r>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w:t>
      </w:r>
      <w:r>
        <w:rPr>
          <w:rFonts w:ascii="Verdana" w:eastAsia="Times New Roman" w:hAnsi="Verdana" w:cs="Arial"/>
          <w:bCs/>
          <w:lang w:val="es-MX" w:eastAsia="es-CO"/>
        </w:rPr>
        <w:lastRenderedPageBreak/>
        <w:t>responsabilidad</w:t>
      </w:r>
      <w:r>
        <w:rPr>
          <w:vertAlign w:val="superscript"/>
        </w:rPr>
        <w:footnoteReference w:id="25"/>
      </w:r>
      <w:r>
        <w:rPr>
          <w:rFonts w:ascii="Verdana" w:eastAsia="Times New Roman" w:hAnsi="Verdana" w:cs="Arial"/>
          <w:bCs/>
          <w:lang w:val="es-MX" w:eastAsia="es-CO"/>
        </w:rPr>
        <w:t>. Además, también es posible que contratos celebrados previamente se continúen ejecutando con normalidad.</w:t>
      </w:r>
    </w:p>
    <w:p w14:paraId="6D96B9C6" w14:textId="77777777" w:rsidR="008D78B9" w:rsidRDefault="008D78B9" w:rsidP="008D78B9">
      <w:pPr>
        <w:spacing w:after="0" w:line="276" w:lineRule="auto"/>
        <w:ind w:firstLine="709"/>
        <w:jc w:val="both"/>
        <w:rPr>
          <w:rFonts w:ascii="Verdana" w:eastAsia="Times New Roman" w:hAnsi="Verdana" w:cs="Arial"/>
          <w:bCs/>
          <w:lang w:val="es-MX" w:eastAsia="x-none"/>
        </w:rPr>
      </w:pPr>
    </w:p>
    <w:p w14:paraId="4A61E5C7" w14:textId="77777777" w:rsidR="008D78B9" w:rsidRDefault="008D78B9" w:rsidP="008D78B9">
      <w:pPr>
        <w:pStyle w:val="paragraph"/>
        <w:shd w:val="clear" w:color="auto" w:fill="FFFFFF"/>
        <w:spacing w:before="0" w:beforeAutospacing="0" w:after="120" w:afterAutospacing="0" w:line="276" w:lineRule="auto"/>
        <w:jc w:val="both"/>
        <w:textAlignment w:val="baseline"/>
        <w:rPr>
          <w:rFonts w:ascii="Verdana" w:eastAsia="Verdana" w:hAnsi="Verdana" w:cs="Verdana"/>
          <w:sz w:val="22"/>
          <w:szCs w:val="22"/>
          <w:lang w:val="es-ES"/>
        </w:rPr>
      </w:pPr>
      <w:proofErr w:type="spellStart"/>
      <w:r>
        <w:rPr>
          <w:rFonts w:ascii="Verdana" w:eastAsia="Calibri" w:hAnsi="Verdana" w:cs="Arial"/>
          <w:sz w:val="22"/>
          <w:szCs w:val="22"/>
          <w:lang w:val="es-ES"/>
        </w:rPr>
        <w:t>iv</w:t>
      </w:r>
      <w:proofErr w:type="spellEnd"/>
      <w:r>
        <w:rPr>
          <w:rFonts w:ascii="Verdana" w:eastAsia="Calibri" w:hAnsi="Verdana" w:cs="Arial"/>
          <w:sz w:val="22"/>
          <w:szCs w:val="22"/>
          <w:lang w:val="es-ES"/>
        </w:rPr>
        <w:t xml:space="preserve">. </w:t>
      </w:r>
      <w:bookmarkStart w:id="13" w:name="_Hlk79760203"/>
      <w:r>
        <w:rPr>
          <w:rFonts w:ascii="Verdana" w:hAnsi="Verdana"/>
          <w:sz w:val="22"/>
          <w:szCs w:val="22"/>
          <w:lang w:val="es-ES"/>
        </w:rPr>
        <w:t>La expropiación es un procedimiento administrativo por medio del cual el Estado, por razones de utilidad pública o interés social, priva coactivamente de la titularidad de un bien a un particular, de acuerdo con un procedimiento específico, con intervención de la autoridad judicial –expropiación por vía judicial– o mediante la utilización de los poderes públicos propios del régimen administrativo –expropiación por vía administrativa–, y previo pago de una indemnización</w:t>
      </w:r>
      <w:r>
        <w:rPr>
          <w:rStyle w:val="Refdenotaalpie"/>
          <w:rFonts w:ascii="Verdana" w:hAnsi="Verdana"/>
          <w:sz w:val="22"/>
          <w:szCs w:val="22"/>
          <w:lang w:val="es-ES"/>
        </w:rPr>
        <w:footnoteReference w:id="26"/>
      </w:r>
      <w:r>
        <w:rPr>
          <w:rFonts w:ascii="Verdana" w:hAnsi="Verdana"/>
          <w:sz w:val="22"/>
          <w:szCs w:val="22"/>
          <w:lang w:val="es-ES"/>
        </w:rPr>
        <w:t>.</w:t>
      </w:r>
    </w:p>
    <w:p w14:paraId="28B8DF15" w14:textId="77777777" w:rsidR="008D78B9" w:rsidRDefault="008D78B9" w:rsidP="008D78B9">
      <w:pPr>
        <w:spacing w:after="12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t>El Legislador, por medio de la Ley 9 de 1989 reguló, entre otros aspectos, lo concerniente al procedimiento para la enajenación voluntaria y expropiación de bienes inmuebles con el fin de desarrollar las actividades que la misma ley –artículo 10– declaró como de utilidad pública</w:t>
      </w:r>
      <w:r>
        <w:rPr>
          <w:rStyle w:val="Refdenotaalpie"/>
          <w:rFonts w:ascii="Verdana" w:eastAsia="Times New Roman" w:hAnsi="Verdana" w:cs="Arial"/>
          <w:lang w:val="es-ES" w:eastAsia="es-ES_tradnl"/>
        </w:rPr>
        <w:footnoteReference w:id="27"/>
      </w:r>
      <w:r>
        <w:rPr>
          <w:rFonts w:ascii="Verdana" w:eastAsia="Times New Roman" w:hAnsi="Verdana" w:cs="Arial"/>
          <w:lang w:val="es-ES" w:eastAsia="es-ES_tradnl"/>
        </w:rPr>
        <w:t>. Dicha ley fue modificada por la Ley 388 de 1997</w:t>
      </w:r>
      <w:r>
        <w:rPr>
          <w:rStyle w:val="Refdenotaalpie"/>
          <w:rFonts w:ascii="Verdana" w:eastAsia="Times New Roman" w:hAnsi="Verdana" w:cs="Arial"/>
          <w:lang w:val="es-ES" w:eastAsia="es-ES_tradnl"/>
        </w:rPr>
        <w:footnoteReference w:id="28"/>
      </w:r>
      <w:r>
        <w:rPr>
          <w:rFonts w:ascii="Verdana" w:eastAsia="Times New Roman" w:hAnsi="Verdana" w:cs="Arial"/>
          <w:lang w:val="es-ES" w:eastAsia="es-ES_tradnl"/>
        </w:rPr>
        <w:t xml:space="preserve"> que tuvo entre sus objetivos armonizar la legislación con las nuevas normas de la Constitución Política de 1991</w:t>
      </w:r>
      <w:r>
        <w:rPr>
          <w:rStyle w:val="Refdenotaalpie"/>
          <w:rFonts w:ascii="Verdana" w:eastAsia="Times New Roman" w:hAnsi="Verdana" w:cs="Arial"/>
          <w:lang w:val="es-ES" w:eastAsia="es-ES_tradnl"/>
        </w:rPr>
        <w:footnoteReference w:id="29"/>
      </w:r>
      <w:r>
        <w:rPr>
          <w:rFonts w:ascii="Verdana" w:eastAsia="Times New Roman" w:hAnsi="Verdana" w:cs="Arial"/>
          <w:lang w:val="es-ES" w:eastAsia="es-ES_tradnl"/>
        </w:rPr>
        <w:t xml:space="preserve">, y en sus artículos 58 y siguientes desarrolló lo relativo a la “adquisición de inmuebles por enajenación voluntaria y expropiación judicial”. Estas normas constituyen, principalmente, el régimen general de la expropiación por vía judicial y por vía administrativa, y regulan también aspectos de la enajenación voluntaria y de la negociación directa, de manera que “contienen las directrices que deben seguir las </w:t>
      </w:r>
      <w:r>
        <w:rPr>
          <w:rFonts w:ascii="Verdana" w:eastAsia="Times New Roman" w:hAnsi="Verdana" w:cs="Arial"/>
          <w:lang w:val="es-ES" w:eastAsia="es-ES_tradnl"/>
        </w:rPr>
        <w:lastRenderedPageBreak/>
        <w:t>administraciones locales y los ciudadanos para cumplir con los fines sociales y de utilidad pública del ordenamiento urbano”</w:t>
      </w:r>
      <w:r>
        <w:rPr>
          <w:rStyle w:val="Refdenotaalpie"/>
          <w:rFonts w:ascii="Verdana" w:eastAsia="Times New Roman" w:hAnsi="Verdana" w:cs="Arial"/>
          <w:lang w:val="es-ES" w:eastAsia="es-ES_tradnl"/>
        </w:rPr>
        <w:footnoteReference w:id="30"/>
      </w:r>
      <w:r>
        <w:rPr>
          <w:rFonts w:ascii="Verdana" w:eastAsia="Times New Roman" w:hAnsi="Verdana" w:cs="Arial"/>
          <w:lang w:val="es-ES" w:eastAsia="es-ES_tradnl"/>
        </w:rPr>
        <w:t>.</w:t>
      </w:r>
    </w:p>
    <w:bookmarkEnd w:id="13"/>
    <w:p w14:paraId="5752EFA9" w14:textId="77777777" w:rsidR="008D78B9" w:rsidRDefault="008D78B9" w:rsidP="008D78B9">
      <w:pPr>
        <w:spacing w:after="120" w:line="276" w:lineRule="auto"/>
        <w:ind w:firstLine="708"/>
        <w:jc w:val="both"/>
        <w:rPr>
          <w:rFonts w:ascii="Verdana" w:hAnsi="Verdana" w:cs="Arial"/>
          <w:lang w:val="es-ES"/>
        </w:rPr>
      </w:pPr>
      <w:r>
        <w:rPr>
          <w:rFonts w:ascii="Verdana" w:hAnsi="Verdana" w:cs="Arial"/>
          <w:lang w:val="es-ES"/>
        </w:rPr>
        <w:t>El trámite de expropiación, como se dijo, puede realizarse por vía</w:t>
      </w:r>
      <w:bookmarkStart w:id="14" w:name="_Hlk78998965"/>
      <w:r>
        <w:rPr>
          <w:rFonts w:ascii="Verdana" w:hAnsi="Verdana" w:cs="Arial"/>
          <w:lang w:val="es-ES"/>
        </w:rPr>
        <w:t xml:space="preserve"> judicial o por vía administrativa. La jurisprudencia constitucional ha hecho énfasis</w:t>
      </w:r>
      <w:r>
        <w:rPr>
          <w:rFonts w:ascii="Verdana" w:hAnsi="Verdana" w:cs="Arial"/>
          <w:spacing w:val="19"/>
          <w:lang w:val="es-ES"/>
        </w:rPr>
        <w:t xml:space="preserve"> </w:t>
      </w:r>
      <w:r>
        <w:rPr>
          <w:rFonts w:ascii="Verdana" w:hAnsi="Verdana" w:cs="Arial"/>
          <w:lang w:val="es-ES"/>
        </w:rPr>
        <w:t>en que, sin importar la vía por la que se adelante la expropiación, este proceso debe ser garantista y respetar el debido proceso</w:t>
      </w:r>
      <w:r>
        <w:rPr>
          <w:rStyle w:val="Refdenotaalpie"/>
          <w:rFonts w:ascii="Verdana" w:hAnsi="Verdana" w:cs="Arial"/>
          <w:lang w:val="es-ES"/>
        </w:rPr>
        <w:footnoteReference w:id="31"/>
      </w:r>
      <w:r>
        <w:rPr>
          <w:rFonts w:ascii="Verdana" w:hAnsi="Verdana" w:cs="Arial"/>
          <w:lang w:val="es-ES"/>
        </w:rPr>
        <w:t xml:space="preserve">. De esta manera, la garantía del debido proceso en el marco de un proceso de expropiación implica el cumplimiento de una serie de etapas previas definidas por las leyes antes mencionadas, tales como: i) la oferta de compra, </w:t>
      </w:r>
      <w:proofErr w:type="spellStart"/>
      <w:r>
        <w:rPr>
          <w:rFonts w:ascii="Verdana" w:hAnsi="Verdana" w:cs="Arial"/>
          <w:lang w:val="es-ES"/>
        </w:rPr>
        <w:t>ii</w:t>
      </w:r>
      <w:proofErr w:type="spellEnd"/>
      <w:r>
        <w:rPr>
          <w:rFonts w:ascii="Verdana" w:hAnsi="Verdana" w:cs="Arial"/>
          <w:lang w:val="es-ES"/>
        </w:rPr>
        <w:t xml:space="preserve">) la negociación directa y </w:t>
      </w:r>
      <w:proofErr w:type="spellStart"/>
      <w:r>
        <w:rPr>
          <w:rFonts w:ascii="Verdana" w:hAnsi="Verdana" w:cs="Arial"/>
          <w:lang w:val="es-ES"/>
        </w:rPr>
        <w:t>iii</w:t>
      </w:r>
      <w:proofErr w:type="spellEnd"/>
      <w:r>
        <w:rPr>
          <w:rFonts w:ascii="Verdana" w:hAnsi="Verdana" w:cs="Arial"/>
          <w:lang w:val="es-ES"/>
        </w:rPr>
        <w:t>) el proceso expropiatorio.</w:t>
      </w:r>
    </w:p>
    <w:p w14:paraId="23C107BA" w14:textId="77777777" w:rsidR="008D78B9" w:rsidRDefault="008D78B9" w:rsidP="008D78B9">
      <w:pPr>
        <w:spacing w:after="120" w:line="276" w:lineRule="auto"/>
        <w:ind w:firstLine="708"/>
        <w:jc w:val="both"/>
        <w:rPr>
          <w:rFonts w:ascii="Verdana" w:hAnsi="Verdana" w:cs="Arial"/>
          <w:lang w:val="es-ES"/>
        </w:rPr>
      </w:pPr>
      <w:r>
        <w:rPr>
          <w:rFonts w:ascii="Verdana" w:hAnsi="Verdana" w:cs="Arial"/>
          <w:lang w:val="es-ES"/>
        </w:rPr>
        <w:t>La primera etapa, relativa a la oferta de compra, que aplica tanto en los procesos de expropiación judicial como administrativa, hace referencia a la oferta de compra que hace la autoridad al propietario del bien. La segunda etapa de negociación o de enajenación voluntaria es aquella en virtud de la cual el particular y la entidad llegan a un acuerdo a través de la celebración de un contrato de compraventa o de promesa de compraventa, pero si en esta etapa no se logra un acuerdo entre el propietario del bien y la Administración debe adelantarse el procedimiento expropiatorio. La tercera y última etapa es la expropiación, ya sea administrativa o judicial.</w:t>
      </w:r>
    </w:p>
    <w:bookmarkEnd w:id="14"/>
    <w:p w14:paraId="3F524289" w14:textId="77777777" w:rsidR="008D78B9" w:rsidRDefault="008D78B9" w:rsidP="008D78B9">
      <w:pPr>
        <w:spacing w:after="12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t>Por consiguiente, el procedimiento para la adquisición de bienes inmuebles destinados a actividades de utilidad pública e interés social contempla que la entidad pública adquirente efectúe previamente el trámite de adquisición a través de la enajenación voluntaria y negociada con el propietario del inmueble, antes de acudir a los procedimientos especiales para la expropiación judicial o administrativa.</w:t>
      </w:r>
      <w:r>
        <w:rPr>
          <w:rFonts w:ascii="Verdana" w:hAnsi="Verdana"/>
          <w:lang w:val="es-ES"/>
        </w:rPr>
        <w:t xml:space="preserve"> </w:t>
      </w:r>
      <w:r>
        <w:rPr>
          <w:rFonts w:ascii="Verdana" w:eastAsia="Times New Roman" w:hAnsi="Verdana" w:cs="Arial"/>
          <w:lang w:val="es-ES" w:eastAsia="es-ES_tradnl"/>
        </w:rPr>
        <w:t>Así, en los casos de enajenación voluntaria y negociación directa, la adquisición se realiza como resultado de un negocio jurídico autónomo, en el que la obligación de pago se determinará de común acuerdo entre el Estado y el vendedor, pues, en tales eventos no se trata de una expropiación</w:t>
      </w:r>
      <w:r>
        <w:rPr>
          <w:rStyle w:val="Refdenotaalpie"/>
          <w:rFonts w:ascii="Verdana" w:eastAsia="Times New Roman" w:hAnsi="Verdana" w:cs="Arial"/>
          <w:lang w:val="es-ES" w:eastAsia="es-ES_tradnl"/>
        </w:rPr>
        <w:footnoteReference w:id="32"/>
      </w:r>
      <w:r>
        <w:rPr>
          <w:rFonts w:ascii="Verdana" w:eastAsia="Times New Roman" w:hAnsi="Verdana" w:cs="Arial"/>
          <w:lang w:val="es-ES" w:eastAsia="es-ES_tradnl"/>
        </w:rPr>
        <w:t>.</w:t>
      </w:r>
    </w:p>
    <w:p w14:paraId="51CF650C" w14:textId="77777777" w:rsidR="008D78B9" w:rsidRDefault="008D78B9" w:rsidP="008D78B9">
      <w:pPr>
        <w:spacing w:after="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lastRenderedPageBreak/>
        <w:t xml:space="preserve">Una vez se ha efectuado la notificación del acto de oferta empieza a correr el término durante el cual se llevará a cabo la negociación con el propietario del inmueble. Si en este plazo se logra el acuerdo se celebrará un </w:t>
      </w:r>
      <w:r>
        <w:rPr>
          <w:rFonts w:ascii="Verdana" w:eastAsia="Times New Roman" w:hAnsi="Verdana" w:cs="Arial"/>
          <w:i/>
          <w:iCs/>
          <w:lang w:val="es-ES" w:eastAsia="es-ES_tradnl"/>
        </w:rPr>
        <w:t>contrato de compraventa</w:t>
      </w:r>
      <w:r>
        <w:rPr>
          <w:rFonts w:ascii="Verdana" w:eastAsia="Times New Roman" w:hAnsi="Verdana" w:cs="Arial"/>
          <w:lang w:val="es-ES" w:eastAsia="es-ES_tradnl"/>
        </w:rPr>
        <w:t xml:space="preserve"> o de promesa de compraventa</w:t>
      </w:r>
      <w:r>
        <w:rPr>
          <w:rStyle w:val="Refdenotaalpie"/>
          <w:rFonts w:ascii="Verdana" w:eastAsia="Times New Roman" w:hAnsi="Verdana" w:cs="Arial"/>
          <w:lang w:val="es-ES" w:eastAsia="es-ES_tradnl"/>
        </w:rPr>
        <w:footnoteReference w:id="33"/>
      </w:r>
      <w:r>
        <w:rPr>
          <w:rFonts w:ascii="Verdana" w:eastAsia="Times New Roman" w:hAnsi="Verdana" w:cs="Arial"/>
          <w:lang w:val="es-ES" w:eastAsia="es-ES_tradnl"/>
        </w:rPr>
        <w:t xml:space="preserve">. En caso contrario se deberá dar inicio al proceso de expropiación. Finalmente, en caso de acuerdo, realizada la entrega material del inmueble a favor de la entidad adquirente, el pago del precio se efectuará de conformidad con lo convenido dentro del respectivo contrato de compraventa. </w:t>
      </w:r>
    </w:p>
    <w:p w14:paraId="1C64710D" w14:textId="77777777" w:rsidR="008D78B9" w:rsidRDefault="008D78B9" w:rsidP="008D78B9">
      <w:pPr>
        <w:spacing w:before="120" w:after="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t>En efecto, en los procesos de expropiación judicial o expropiación administrativa existe una etapa previa de negociación, en la cual la 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expropiatoria, mediante los procesos judicial o administrativo, según el caso, hasta obtener el título traslaticio de dominio al Estado, la tradición del bien y realizar el pago de la indemnización al particular expropiado.</w:t>
      </w:r>
    </w:p>
    <w:p w14:paraId="5451C495" w14:textId="77777777" w:rsidR="008D78B9" w:rsidRDefault="008D78B9" w:rsidP="008D78B9">
      <w:pPr>
        <w:tabs>
          <w:tab w:val="left" w:pos="709"/>
        </w:tabs>
        <w:spacing w:before="120" w:after="120" w:line="276" w:lineRule="auto"/>
        <w:ind w:firstLine="708"/>
        <w:jc w:val="both"/>
        <w:rPr>
          <w:rFonts w:ascii="Verdana" w:eastAsia="Times New Roman" w:hAnsi="Verdana" w:cs="Arial"/>
          <w:lang w:val="es-ES" w:eastAsia="es-ES_tradnl"/>
        </w:rPr>
      </w:pPr>
      <w:bookmarkStart w:id="15" w:name="_Hlk79760762"/>
      <w:r>
        <w:rPr>
          <w:rFonts w:ascii="Verdana" w:eastAsia="Times New Roman" w:hAnsi="Verdana" w:cs="Arial"/>
          <w:lang w:val="es-ES" w:eastAsia="es-ES_tradnl"/>
        </w:rPr>
        <w:t xml:space="preserve">Dado que el procedimiento establecido podría culminar con la celebración de </w:t>
      </w:r>
      <w:bookmarkStart w:id="16" w:name="_Hlk79003065"/>
      <w:r>
        <w:rPr>
          <w:rFonts w:ascii="Verdana" w:eastAsia="Times New Roman" w:hAnsi="Verdana" w:cs="Arial"/>
          <w:lang w:val="es-ES" w:eastAsia="es-ES_tradnl"/>
        </w:rPr>
        <w:t xml:space="preserve">una promesa de compraventa o en un contrato de compraventa, </w:t>
      </w:r>
      <w:bookmarkEnd w:id="16"/>
      <w:r>
        <w:rPr>
          <w:rFonts w:ascii="Verdana" w:eastAsia="Times New Roman" w:hAnsi="Verdana" w:cs="Arial"/>
          <w:lang w:val="es-ES" w:eastAsia="es-ES_tradnl"/>
        </w:rPr>
        <w:t xml:space="preserve">en el que participan entidades estatales y se invierten recursos de naturaleza pública, bien puede afirmarse que estos actos jurídicos negociales son auténticos contratos estatales, según el criterio orgánico establecido en el artículo 32 de la Ley 80 de 1993, en concordancia el artículo 2 </w:t>
      </w:r>
      <w:r>
        <w:rPr>
          <w:rFonts w:ascii="Verdana" w:eastAsia="Times New Roman" w:hAnsi="Verdana" w:cs="Arial"/>
          <w:i/>
          <w:iCs/>
          <w:lang w:val="es-ES" w:eastAsia="es-ES_tradnl"/>
        </w:rPr>
        <w:t>ibidem</w:t>
      </w:r>
      <w:r>
        <w:rPr>
          <w:rFonts w:ascii="Verdana" w:eastAsia="Times New Roman" w:hAnsi="Verdana" w:cs="Arial"/>
          <w:lang w:val="es-ES" w:eastAsia="es-ES_tradnl"/>
        </w:rPr>
        <w:t xml:space="preserve"> y en armonía con lo dispuesto por el artículo 1 de la Ley 1150 de 2007.</w:t>
      </w:r>
    </w:p>
    <w:p w14:paraId="5FEF5F32" w14:textId="77777777" w:rsidR="008D78B9" w:rsidRDefault="008D78B9" w:rsidP="008D78B9">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val="es-ES" w:eastAsia="es-ES_tradnl"/>
        </w:rPr>
      </w:pPr>
      <w:r>
        <w:rPr>
          <w:rFonts w:ascii="Verdana" w:hAnsi="Verdana" w:cs="Arial"/>
          <w:sz w:val="22"/>
          <w:szCs w:val="22"/>
          <w:lang w:val="es-ES" w:eastAsia="es-ES_tradnl"/>
        </w:rPr>
        <w:t xml:space="preserve">Sin embargo, el procedimiento de adquisición de bienes inmuebles establecido en el Estatuto General de Contratación de la Administración Pública no resulta aplicable. Tal y como ha sido aclarado por esta Agencia, el procedimiento para la adquisición de bienes inmuebles con fines de utilidad </w:t>
      </w:r>
      <w:r>
        <w:rPr>
          <w:rFonts w:ascii="Verdana" w:hAnsi="Verdana" w:cs="Arial"/>
          <w:sz w:val="22"/>
          <w:szCs w:val="22"/>
          <w:lang w:val="es-ES" w:eastAsia="es-ES_tradnl"/>
        </w:rPr>
        <w:lastRenderedPageBreak/>
        <w:t>pública e interés social se encuentra excluido de la aplicación de tal estatuto, por cuanto es un procedimiento regulado en un régimen especial y exceptuado.</w:t>
      </w:r>
      <w:bookmarkEnd w:id="15"/>
      <w:r>
        <w:rPr>
          <w:rFonts w:ascii="Verdana" w:hAnsi="Verdana" w:cs="Arial"/>
          <w:sz w:val="22"/>
          <w:szCs w:val="22"/>
          <w:lang w:val="es-ES" w:eastAsia="es-ES_tradnl"/>
        </w:rPr>
        <w:t xml:space="preserve"> Al respecto, se reitera lo señalado por esta Agencia mediante Concepto C-159 de 2020, en los siguientes términos:</w:t>
      </w:r>
    </w:p>
    <w:p w14:paraId="7D23DD8C" w14:textId="77777777" w:rsidR="008D78B9" w:rsidRDefault="008D78B9" w:rsidP="008D78B9">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val="es-ES" w:eastAsia="es-ES_tradnl"/>
        </w:rPr>
      </w:pPr>
    </w:p>
    <w:p w14:paraId="63F742A3" w14:textId="77777777" w:rsidR="008D78B9" w:rsidRDefault="008D78B9" w:rsidP="008D78B9">
      <w:pPr>
        <w:spacing w:after="0" w:line="240" w:lineRule="auto"/>
        <w:ind w:left="708" w:right="709"/>
        <w:jc w:val="both"/>
        <w:rPr>
          <w:rFonts w:ascii="Verdana" w:eastAsia="Times New Roman" w:hAnsi="Verdana" w:cs="Arial"/>
          <w:sz w:val="20"/>
          <w:szCs w:val="20"/>
          <w:lang w:val="es-ES" w:eastAsia="es-ES_tradnl"/>
        </w:rPr>
      </w:pPr>
      <w:r>
        <w:rPr>
          <w:rFonts w:ascii="Verdana" w:eastAsia="Calibri" w:hAnsi="Verdana" w:cs="Arial"/>
          <w:color w:val="000000" w:themeColor="text1"/>
          <w:sz w:val="20"/>
          <w:szCs w:val="20"/>
          <w:lang w:val="es-ES"/>
        </w:rPr>
        <w:t>“Al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r>
        <w:rPr>
          <w:rStyle w:val="Refdenotaalpie"/>
          <w:rFonts w:ascii="Verdana" w:eastAsia="Calibri" w:hAnsi="Verdana" w:cs="Arial"/>
          <w:color w:val="000000" w:themeColor="text1"/>
          <w:sz w:val="20"/>
          <w:szCs w:val="20"/>
          <w:lang w:val="es-ES"/>
        </w:rPr>
        <w:footnoteReference w:id="34"/>
      </w:r>
      <w:r>
        <w:rPr>
          <w:rFonts w:ascii="Verdana" w:eastAsia="Calibri" w:hAnsi="Verdana" w:cs="Arial"/>
          <w:color w:val="000000" w:themeColor="text1"/>
          <w:sz w:val="20"/>
          <w:szCs w:val="20"/>
          <w:lang w:val="es-ES"/>
        </w:rPr>
        <w:t>.</w:t>
      </w:r>
    </w:p>
    <w:p w14:paraId="1FC44DF2" w14:textId="77777777" w:rsidR="008D78B9" w:rsidRDefault="008D78B9" w:rsidP="008D78B9">
      <w:pPr>
        <w:spacing w:after="0" w:line="276" w:lineRule="auto"/>
        <w:jc w:val="both"/>
        <w:rPr>
          <w:rFonts w:ascii="Verdana" w:eastAsia="Times New Roman" w:hAnsi="Verdana" w:cs="Arial"/>
          <w:lang w:val="es-ES" w:eastAsia="es-ES_tradnl"/>
        </w:rPr>
      </w:pPr>
    </w:p>
    <w:p w14:paraId="48EEF183" w14:textId="77777777" w:rsidR="008D78B9" w:rsidRDefault="008D78B9" w:rsidP="008D78B9">
      <w:pPr>
        <w:spacing w:after="12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t xml:space="preserve">En efecto, pese a que existe un régimen normativo aplicable de manera general a la contratación del Estado, el legislador ha establecido regímenes especiales para algunas entidades estatales en consideración a su actividad o para algunos contratos estatales </w:t>
      </w:r>
      <w:proofErr w:type="gramStart"/>
      <w:r>
        <w:rPr>
          <w:rFonts w:ascii="Verdana" w:eastAsia="Times New Roman" w:hAnsi="Verdana" w:cs="Arial"/>
          <w:lang w:val="es-ES" w:eastAsia="es-ES_tradnl"/>
        </w:rPr>
        <w:t>en razón de</w:t>
      </w:r>
      <w:proofErr w:type="gramEnd"/>
      <w:r>
        <w:rPr>
          <w:rFonts w:ascii="Verdana" w:eastAsia="Times New Roman" w:hAnsi="Verdana" w:cs="Arial"/>
          <w:lang w:val="es-ES" w:eastAsia="es-ES_tradnl"/>
        </w:rPr>
        <w:t xml:space="preserve"> su objeto, que contienen una serie de normas distintas o específicas que se aplican a la actividad contractual de tales entidades o en la celebración de dichos contratos, o simplemente remiten al Derecho privado. Por ende, no resultan aplicables aquellas materias reguladas por el citado Estatuto y las normas que lo modifiquen o adicionen, como, por ejemplo, los mecanismos de selección, las cláusulas excepcionales, la liquidación del contrato, entre otros, salvo que el régimen especial así lo autorice. </w:t>
      </w:r>
    </w:p>
    <w:p w14:paraId="11B41C10" w14:textId="77777777" w:rsidR="008D78B9" w:rsidRDefault="008D78B9" w:rsidP="008D78B9">
      <w:pPr>
        <w:spacing w:after="120" w:line="276" w:lineRule="auto"/>
        <w:ind w:firstLine="708"/>
        <w:jc w:val="both"/>
        <w:rPr>
          <w:rFonts w:ascii="Verdana" w:eastAsia="Times New Roman" w:hAnsi="Verdana" w:cs="Arial"/>
          <w:lang w:val="es-ES" w:eastAsia="es-ES_tradnl"/>
        </w:rPr>
      </w:pPr>
      <w:r>
        <w:rPr>
          <w:rFonts w:ascii="Verdana" w:eastAsia="Times New Roman" w:hAnsi="Verdana" w:cs="Arial"/>
          <w:lang w:val="es-ES" w:eastAsia="es-ES_tradnl"/>
        </w:rPr>
        <w:t xml:space="preserve">Sin embargo, no debe pasarse por alto que, al margen de su especialidad, el procedimiento administrativo </w:t>
      </w:r>
      <w:bookmarkStart w:id="17" w:name="_Hlk79133236"/>
      <w:r>
        <w:rPr>
          <w:rFonts w:ascii="Verdana" w:eastAsia="Times New Roman" w:hAnsi="Verdana" w:cs="Arial"/>
          <w:lang w:val="es-ES" w:eastAsia="es-ES_tradnl"/>
        </w:rPr>
        <w:t xml:space="preserve">para la adquisición de inmuebles por utilidad pública e interés social mediante enajenación voluntaria, </w:t>
      </w:r>
      <w:bookmarkEnd w:id="17"/>
      <w:r>
        <w:rPr>
          <w:rFonts w:ascii="Verdana" w:eastAsia="Times New Roman" w:hAnsi="Verdana" w:cs="Arial"/>
          <w:lang w:val="es-ES" w:eastAsia="es-ES_tradnl"/>
        </w:rPr>
        <w:t>implica el ejercicio de funciones administrativas, lo que, por ende, implica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w:t>
      </w:r>
      <w:bookmarkStart w:id="18" w:name="_Hlk79760844"/>
      <w:r>
        <w:rPr>
          <w:rFonts w:ascii="Verdana" w:eastAsia="Times New Roman" w:hAnsi="Verdana" w:cs="Arial"/>
          <w:lang w:val="es-ES" w:eastAsia="es-ES_tradnl"/>
        </w:rPr>
        <w:t xml:space="preserve"> Toda vez que a través de la adquisición de bienes inmuebles mediante enajenación directa se comprometen dineros </w:t>
      </w:r>
      <w:r>
        <w:rPr>
          <w:rFonts w:ascii="Verdana" w:eastAsia="Times New Roman" w:hAnsi="Verdana" w:cs="Arial"/>
          <w:lang w:val="es-ES" w:eastAsia="es-ES_tradnl"/>
        </w:rPr>
        <w:lastRenderedPageBreak/>
        <w:t>provenientes del erario, resultan también aplicables los principios propios del Estado Social de Derecho y de la Administración pública como los principios de transparencia, publicidad entre otros.</w:t>
      </w:r>
    </w:p>
    <w:p w14:paraId="45A553C0" w14:textId="77777777" w:rsidR="008D78B9" w:rsidRDefault="008D78B9" w:rsidP="008D78B9">
      <w:pPr>
        <w:tabs>
          <w:tab w:val="left" w:pos="426"/>
        </w:tabs>
        <w:spacing w:after="120" w:line="276" w:lineRule="auto"/>
        <w:jc w:val="both"/>
        <w:rPr>
          <w:rFonts w:ascii="Verdana" w:eastAsia="Times New Roman" w:hAnsi="Verdana" w:cs="Arial"/>
          <w:lang w:val="es-ES" w:eastAsia="es-ES_tradnl"/>
        </w:rPr>
      </w:pPr>
      <w:r>
        <w:rPr>
          <w:rFonts w:ascii="Verdana" w:eastAsia="Times New Roman" w:hAnsi="Verdana" w:cs="Arial"/>
          <w:lang w:val="es-ES" w:eastAsia="es-ES_tradnl"/>
        </w:rPr>
        <w:tab/>
      </w:r>
      <w:r>
        <w:rPr>
          <w:rFonts w:ascii="Verdana" w:eastAsia="Times New Roman" w:hAnsi="Verdana" w:cs="Arial"/>
          <w:lang w:val="es-ES" w:eastAsia="es-ES_tradnl"/>
        </w:rPr>
        <w:tab/>
        <w:t>En virtud de lo expuesto, la adquisición de los predios que se realice por enajenación voluntaria está sometida a un régimen especial de contratación. Sin embargo, como se explicó antes, esta culmina con la suscripción de un contrato de promesa de compraventa o de compraventa entre la entidad y la persona, con lo cual se trata de un procedimiento de contratación estatal no competitivo que está restringido por la prohibición establecida en el artículo 33 de la Ley 996 de 2005</w:t>
      </w:r>
      <w:bookmarkEnd w:id="18"/>
      <w:r>
        <w:rPr>
          <w:rFonts w:ascii="Verdana" w:eastAsia="Times New Roman" w:hAnsi="Verdana" w:cs="Arial"/>
          <w:lang w:val="es-ES" w:eastAsia="es-ES_tradnl"/>
        </w:rPr>
        <w:t xml:space="preserve">. En contraste, cuando la adquisición ocurra por el procedimiento expropiatorio no se materializa en la celebración de un contrato. </w:t>
      </w:r>
    </w:p>
    <w:bookmarkEnd w:id="12"/>
    <w:p w14:paraId="728AC098" w14:textId="77777777" w:rsidR="008D78B9" w:rsidRDefault="008D78B9" w:rsidP="008D78B9">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Esto, sin perjuicio de las excepciones a la prohibición establecidas en el inciso segundo del mismo artículo 33, como son: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00B6ADF" w14:textId="77777777" w:rsidR="008D78B9" w:rsidRDefault="008D78B9" w:rsidP="008D78B9">
      <w:pPr>
        <w:spacing w:after="0" w:line="276" w:lineRule="auto"/>
        <w:jc w:val="both"/>
        <w:rPr>
          <w:rFonts w:ascii="Verdana" w:eastAsia="Calibri" w:hAnsi="Verdana" w:cs="Arial"/>
          <w:lang w:val="es-ES"/>
        </w:rPr>
      </w:pPr>
    </w:p>
    <w:p w14:paraId="610FDD2D" w14:textId="77777777" w:rsidR="008D78B9" w:rsidRDefault="008D78B9" w:rsidP="008D78B9">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w:t>
      </w:r>
      <w:r>
        <w:rPr>
          <w:rFonts w:ascii="Verdana" w:eastAsia="Calibri" w:hAnsi="Verdana" w:cs="Arial"/>
          <w:bCs/>
          <w:color w:val="000000" w:themeColor="text1"/>
        </w:rPr>
        <w:lastRenderedPageBreak/>
        <w:t>motivan la consulta. Por lo anterior, previo concepto de sus asesores, la solución de situaciones particulares corresponde a los interesados adoptar la decisión correspondiente y, en caso de conflicto, a las autoridades judiciales, fiscales y disciplinarias.</w:t>
      </w:r>
    </w:p>
    <w:p w14:paraId="38A50454" w14:textId="77777777" w:rsidR="008D78B9" w:rsidRDefault="008D78B9" w:rsidP="008D78B9">
      <w:pPr>
        <w:spacing w:after="0" w:line="276" w:lineRule="auto"/>
        <w:ind w:firstLine="708"/>
        <w:jc w:val="both"/>
        <w:rPr>
          <w:rFonts w:ascii="Verdana" w:hAnsi="Verdana" w:cs="Arial"/>
          <w:color w:val="000000" w:themeColor="text1"/>
        </w:rPr>
      </w:pPr>
      <w:r>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DA3E375" w14:textId="77777777" w:rsidR="008D78B9" w:rsidRDefault="008D78B9" w:rsidP="008D78B9">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 </w:t>
      </w:r>
    </w:p>
    <w:p w14:paraId="0359CA49" w14:textId="77777777" w:rsidR="008D78B9" w:rsidRDefault="008D78B9" w:rsidP="008D78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Referencias normativas:</w:t>
      </w:r>
    </w:p>
    <w:p w14:paraId="26B210A3" w14:textId="77777777" w:rsidR="008D78B9" w:rsidRDefault="008D78B9" w:rsidP="008D78B9">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D78B9" w14:paraId="6F964767" w14:textId="77777777" w:rsidTr="008D78B9">
        <w:trPr>
          <w:trHeight w:val="870"/>
          <w:jc w:val="center"/>
        </w:trPr>
        <w:tc>
          <w:tcPr>
            <w:tcW w:w="8647" w:type="dxa"/>
            <w:tcBorders>
              <w:top w:val="dotted" w:sz="4" w:space="0" w:color="auto"/>
              <w:left w:val="dotted" w:sz="4" w:space="0" w:color="auto"/>
              <w:bottom w:val="dotted" w:sz="4" w:space="0" w:color="auto"/>
              <w:right w:val="dotted" w:sz="4" w:space="0" w:color="auto"/>
            </w:tcBorders>
            <w:hideMark/>
          </w:tcPr>
          <w:p w14:paraId="183506F2" w14:textId="77777777" w:rsidR="008D78B9" w:rsidRDefault="008D78B9" w:rsidP="008D78B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Constitución Política de 1991, artículos 127, 197 y 209.</w:t>
            </w:r>
          </w:p>
          <w:p w14:paraId="45584190" w14:textId="77777777" w:rsidR="008D78B9" w:rsidRDefault="008D78B9" w:rsidP="008D78B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80 de 1993, artículos 2, 32, 39 y 41.</w:t>
            </w:r>
          </w:p>
          <w:p w14:paraId="65D80E5F" w14:textId="77777777" w:rsidR="008D78B9" w:rsidRDefault="008D78B9" w:rsidP="008D78B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338 de 1997, artículos 58 y ss.</w:t>
            </w:r>
          </w:p>
          <w:p w14:paraId="2CAC4348" w14:textId="77777777" w:rsidR="008D78B9" w:rsidRDefault="008D78B9" w:rsidP="008D78B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996 de 2005, artículos 33 y 38.</w:t>
            </w:r>
          </w:p>
          <w:p w14:paraId="679DE2CB" w14:textId="77777777" w:rsidR="008D78B9" w:rsidRDefault="008D78B9" w:rsidP="008D78B9">
            <w:pPr>
              <w:pStyle w:val="Prrafodelista"/>
              <w:widowControl w:val="0"/>
              <w:numPr>
                <w:ilvl w:val="0"/>
                <w:numId w:val="17"/>
              </w:numPr>
              <w:autoSpaceDE w:val="0"/>
              <w:autoSpaceDN w:val="0"/>
              <w:spacing w:after="120" w:line="276" w:lineRule="auto"/>
              <w:ind w:left="714" w:hanging="357"/>
              <w:jc w:val="both"/>
              <w:rPr>
                <w:rFonts w:ascii="Verdana" w:hAnsi="Verdana" w:cs="Arial"/>
              </w:rPr>
            </w:pPr>
            <w:r>
              <w:rPr>
                <w:rFonts w:ascii="Verdana" w:hAnsi="Verdana" w:cs="Arial"/>
              </w:rPr>
              <w:t>Ley 1150 de 2007, artículos 1 y 2.</w:t>
            </w:r>
          </w:p>
          <w:p w14:paraId="2F126415" w14:textId="77777777" w:rsidR="008D78B9" w:rsidRDefault="008D78B9" w:rsidP="008D78B9">
            <w:pPr>
              <w:pStyle w:val="Prrafodelista"/>
              <w:widowControl w:val="0"/>
              <w:numPr>
                <w:ilvl w:val="0"/>
                <w:numId w:val="17"/>
              </w:numPr>
              <w:autoSpaceDE w:val="0"/>
              <w:autoSpaceDN w:val="0"/>
              <w:spacing w:line="276" w:lineRule="auto"/>
              <w:ind w:left="714" w:hanging="357"/>
              <w:jc w:val="both"/>
              <w:rPr>
                <w:rFonts w:ascii="Verdana" w:hAnsi="Verdana" w:cs="Arial"/>
              </w:rPr>
            </w:pPr>
            <w:r>
              <w:rPr>
                <w:rFonts w:ascii="Verdana" w:hAnsi="Verdana" w:cs="Arial"/>
              </w:rPr>
              <w:t>Código Civil, artículo 1501.</w:t>
            </w:r>
          </w:p>
        </w:tc>
      </w:tr>
    </w:tbl>
    <w:p w14:paraId="733E2916" w14:textId="77777777" w:rsidR="008D78B9" w:rsidRDefault="008D78B9" w:rsidP="008D78B9">
      <w:pPr>
        <w:widowControl w:val="0"/>
        <w:autoSpaceDE w:val="0"/>
        <w:autoSpaceDN w:val="0"/>
        <w:spacing w:after="0" w:line="276" w:lineRule="auto"/>
        <w:jc w:val="both"/>
        <w:rPr>
          <w:rFonts w:ascii="Verdana" w:hAnsi="Verdana" w:cs="Arial"/>
        </w:rPr>
      </w:pPr>
    </w:p>
    <w:p w14:paraId="32BB15C6" w14:textId="77777777" w:rsidR="008D78B9" w:rsidRDefault="008D78B9" w:rsidP="008D78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4E3F0C3E" w14:textId="77777777" w:rsidR="008D78B9" w:rsidRDefault="008D78B9" w:rsidP="008D78B9">
      <w:pPr>
        <w:widowControl w:val="0"/>
        <w:autoSpaceDE w:val="0"/>
        <w:autoSpaceDN w:val="0"/>
        <w:spacing w:after="0" w:line="276" w:lineRule="auto"/>
        <w:jc w:val="both"/>
        <w:rPr>
          <w:rFonts w:ascii="Verdana" w:hAnsi="Verdana" w:cs="Arial"/>
        </w:rPr>
      </w:pPr>
    </w:p>
    <w:p w14:paraId="63C59305" w14:textId="77777777" w:rsidR="008D78B9" w:rsidRDefault="008D78B9" w:rsidP="008D78B9">
      <w:pPr>
        <w:widowControl w:val="0"/>
        <w:autoSpaceDE w:val="0"/>
        <w:autoSpaceDN w:val="0"/>
        <w:spacing w:after="0" w:line="276" w:lineRule="auto"/>
        <w:jc w:val="both"/>
        <w:rPr>
          <w:rStyle w:val="normaltextrun"/>
          <w:shd w:val="clear" w:color="auto" w:fill="FFFFFF"/>
        </w:rPr>
      </w:pPr>
      <w:r>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w:t>
      </w:r>
      <w:r>
        <w:rPr>
          <w:rFonts w:ascii="Verdana" w:hAnsi="Verdana" w:cs="Arial"/>
          <w:shd w:val="clear" w:color="auto" w:fill="FFFFFF"/>
        </w:rPr>
        <w:lastRenderedPageBreak/>
        <w:t>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entre otros</w:t>
      </w:r>
      <w:r>
        <w:rPr>
          <w:rFonts w:ascii="Verdana" w:hAnsi="Verdana"/>
        </w:rPr>
        <w:t>.</w:t>
      </w:r>
      <w:r>
        <w:rPr>
          <w:rFonts w:ascii="Verdana" w:hAnsi="Verdana" w:cs="Arial"/>
          <w:shd w:val="clear" w:color="auto" w:fill="FFFFFF"/>
        </w:rPr>
        <w:t xml:space="preserve"> Estos y otros </w:t>
      </w:r>
      <w:r>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A60142" w14:textId="77777777" w:rsidR="008D78B9" w:rsidRDefault="008D78B9" w:rsidP="008D78B9">
      <w:pPr>
        <w:widowControl w:val="0"/>
        <w:autoSpaceDE w:val="0"/>
        <w:autoSpaceDN w:val="0"/>
        <w:spacing w:after="0" w:line="276" w:lineRule="auto"/>
        <w:jc w:val="both"/>
        <w:rPr>
          <w:color w:val="000000" w:themeColor="text1"/>
        </w:rPr>
      </w:pPr>
    </w:p>
    <w:p w14:paraId="548AFDAB" w14:textId="77777777" w:rsidR="008D78B9" w:rsidRDefault="008D78B9" w:rsidP="008D78B9">
      <w:pPr>
        <w:shd w:val="clear" w:color="auto" w:fill="FFFFFF"/>
        <w:spacing w:after="0" w:line="276" w:lineRule="auto"/>
        <w:jc w:val="both"/>
        <w:rPr>
          <w:rFonts w:ascii="Verdana" w:hAnsi="Verdana"/>
          <w:color w:val="467886"/>
          <w:u w:val="single"/>
        </w:rPr>
      </w:pPr>
      <w:r>
        <w:rPr>
          <w:rFonts w:ascii="Verdana" w:hAnsi="Verdana"/>
          <w:color w:val="000000"/>
        </w:rPr>
        <w:t>Te informamos que ya se encuentra disponible la </w:t>
      </w:r>
      <w:r>
        <w:rPr>
          <w:rFonts w:ascii="Verdana" w:hAnsi="Verdana"/>
          <w:b/>
          <w:bCs/>
          <w:color w:val="000000"/>
        </w:rPr>
        <w:t>Guía de lineamientos de transparencia y selección objetiva para el departamento de La Guajira – Objetivo sexto constitucional de la Sentencia T-302 del 2017. </w:t>
      </w:r>
      <w:r>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rPr>
        <w:t>Wayúu</w:t>
      </w:r>
      <w:proofErr w:type="spellEnd"/>
      <w:r>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733267E7" w14:textId="77777777" w:rsidR="008D78B9" w:rsidRDefault="008D78B9" w:rsidP="008D78B9">
      <w:pPr>
        <w:shd w:val="clear" w:color="auto" w:fill="FFFFFF"/>
        <w:spacing w:after="0" w:line="276" w:lineRule="auto"/>
        <w:jc w:val="both"/>
        <w:rPr>
          <w:rFonts w:ascii="Verdana" w:hAnsi="Verdana" w:cs="Arial"/>
          <w:color w:val="FF0000"/>
          <w:shd w:val="clear" w:color="auto" w:fill="FFFFFF"/>
          <w:lang w:val="es-ES_tradnl"/>
        </w:rPr>
      </w:pPr>
      <w:r>
        <w:rPr>
          <w:rFonts w:ascii="Verdana" w:hAnsi="Verdana" w:cs="Arial"/>
          <w:color w:val="000000" w:themeColor="text1"/>
          <w:shd w:val="clear" w:color="auto" w:fill="FFFFFF"/>
          <w:lang w:val="es-ES_tradnl"/>
        </w:rPr>
        <w:t xml:space="preserve"> </w:t>
      </w:r>
      <w:r>
        <w:rPr>
          <w:rStyle w:val="normaltextrun"/>
          <w:rFonts w:ascii="Verdana" w:hAnsi="Verdana" w:cs="Arial"/>
          <w:color w:val="FF0000"/>
          <w:shd w:val="clear" w:color="auto" w:fill="FFFFFF"/>
          <w:lang w:val="es-ES_tradnl"/>
        </w:rPr>
        <w:t xml:space="preserve">        </w:t>
      </w:r>
    </w:p>
    <w:p w14:paraId="6FC90080" w14:textId="77777777" w:rsidR="008D78B9" w:rsidRDefault="008D78B9" w:rsidP="008D78B9">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 xml:space="preserve">y las expresiones aquí utilizadas con mayúscula inicial deben ser entendidas con el significado que les otorga el artículo 2.2.1.1.1.3.1. del Decreto 1082 de 2015. </w:t>
      </w:r>
    </w:p>
    <w:p w14:paraId="0D252ACF" w14:textId="77777777" w:rsidR="008D78B9" w:rsidRDefault="008D78B9" w:rsidP="008D78B9">
      <w:pPr>
        <w:widowControl w:val="0"/>
        <w:autoSpaceDE w:val="0"/>
        <w:autoSpaceDN w:val="0"/>
        <w:spacing w:after="0" w:line="276" w:lineRule="auto"/>
        <w:jc w:val="both"/>
        <w:rPr>
          <w:rFonts w:ascii="Verdana" w:hAnsi="Verdana" w:cs="Arial"/>
        </w:rPr>
      </w:pPr>
    </w:p>
    <w:p w14:paraId="65E807DC" w14:textId="77777777" w:rsidR="008D78B9" w:rsidRDefault="008D78B9" w:rsidP="008D78B9">
      <w:pPr>
        <w:spacing w:after="0" w:line="240"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53EB326D" w14:textId="43F2BE39" w:rsidR="002961BE" w:rsidRDefault="00325F67" w:rsidP="002961BE">
      <w:pPr>
        <w:spacing w:line="276" w:lineRule="auto"/>
        <w:jc w:val="center"/>
        <w:rPr>
          <w:rFonts w:ascii="Verdana" w:hAnsi="Verdana" w:cs="Arial"/>
          <w:color w:val="000000"/>
          <w:lang w:val="es-ES_tradnl" w:eastAsia="es-CO"/>
        </w:rPr>
      </w:pPr>
      <w:r>
        <w:rPr>
          <w:noProof/>
        </w:rPr>
        <w:drawing>
          <wp:inline distT="0" distB="0" distL="0" distR="0" wp14:anchorId="7654F088" wp14:editId="339C8360">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619731D8" w14:textId="77777777" w:rsidR="002961BE" w:rsidRDefault="002961BE" w:rsidP="008D78B9">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D78B9" w14:paraId="261A12B3" w14:textId="77777777" w:rsidTr="008D78B9">
        <w:trPr>
          <w:trHeight w:val="315"/>
        </w:trPr>
        <w:tc>
          <w:tcPr>
            <w:tcW w:w="893" w:type="dxa"/>
            <w:vAlign w:val="center"/>
            <w:hideMark/>
          </w:tcPr>
          <w:p w14:paraId="5585E476" w14:textId="77777777" w:rsidR="008D78B9" w:rsidRDefault="008D78B9">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0C9A6CAB" w14:textId="77777777" w:rsidR="008D78B9" w:rsidRDefault="008D78B9">
            <w:pPr>
              <w:spacing w:after="255"/>
              <w:contextualSpacing/>
              <w:rPr>
                <w:rStyle w:val="normaltextrun"/>
              </w:rPr>
            </w:pPr>
            <w:r>
              <w:rPr>
                <w:rStyle w:val="normaltextrun"/>
                <w:rFonts w:ascii="Verdana" w:hAnsi="Verdana"/>
                <w:sz w:val="16"/>
                <w:szCs w:val="16"/>
              </w:rPr>
              <w:t>Juan David Montoya Penagos</w:t>
            </w:r>
          </w:p>
          <w:p w14:paraId="1B47A1E2" w14:textId="77777777" w:rsidR="008D78B9" w:rsidRDefault="008D78B9">
            <w:pPr>
              <w:spacing w:after="255"/>
              <w:contextualSpacing/>
              <w:rPr>
                <w:rFonts w:eastAsia="Arial" w:cs="Arial"/>
              </w:rPr>
            </w:pPr>
            <w:r>
              <w:rPr>
                <w:rStyle w:val="normaltextrun"/>
                <w:rFonts w:ascii="Verdana" w:hAnsi="Verdana"/>
                <w:sz w:val="16"/>
                <w:szCs w:val="16"/>
              </w:rPr>
              <w:t>Contratista de la Subdirección de Gestión Contractual</w:t>
            </w:r>
          </w:p>
        </w:tc>
      </w:tr>
      <w:tr w:rsidR="008D78B9" w14:paraId="208606E6" w14:textId="77777777" w:rsidTr="008D78B9">
        <w:trPr>
          <w:trHeight w:val="330"/>
        </w:trPr>
        <w:tc>
          <w:tcPr>
            <w:tcW w:w="893" w:type="dxa"/>
            <w:vAlign w:val="center"/>
            <w:hideMark/>
          </w:tcPr>
          <w:p w14:paraId="514C2E53" w14:textId="77777777" w:rsidR="008D78B9" w:rsidRDefault="008D78B9">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9A0310" w14:textId="77777777" w:rsidR="008D78B9" w:rsidRDefault="008D78B9" w:rsidP="002961BE">
            <w:pPr>
              <w:pStyle w:val="paragraph"/>
              <w:spacing w:after="0" w:afterAutospacing="0"/>
              <w:textAlignment w:val="baseline"/>
              <w:rPr>
                <w:rStyle w:val="normaltextrun"/>
                <w:lang w:val="es-ES_tradnl"/>
              </w:rPr>
            </w:pPr>
            <w:r>
              <w:rPr>
                <w:rStyle w:val="normaltextrun"/>
                <w:rFonts w:ascii="Verdana" w:hAnsi="Verdana" w:cs="Arial"/>
                <w:sz w:val="16"/>
                <w:szCs w:val="16"/>
                <w:lang w:val="es-ES_tradnl"/>
              </w:rPr>
              <w:t>Alejandro Sarmiento Cantillo</w:t>
            </w:r>
          </w:p>
          <w:p w14:paraId="19745FA5" w14:textId="77777777" w:rsidR="008D78B9" w:rsidRDefault="008D78B9">
            <w:pPr>
              <w:pStyle w:val="paragraph"/>
              <w:spacing w:before="0" w:beforeAutospacing="0" w:after="0" w:afterAutospacing="0"/>
              <w:contextualSpacing/>
              <w:textAlignment w:val="baseline"/>
              <w:rPr>
                <w:rFonts w:cs="Segoe UI"/>
              </w:rPr>
            </w:pPr>
            <w:r>
              <w:rPr>
                <w:rStyle w:val="normaltextrun"/>
                <w:rFonts w:ascii="Verdana" w:hAnsi="Verdana" w:cs="Arial"/>
                <w:sz w:val="16"/>
                <w:szCs w:val="16"/>
                <w:lang w:val="es-ES_tradnl"/>
              </w:rPr>
              <w:t>Gestor T1 ‒ 15 de la Subdirección de Gestión Contractual</w:t>
            </w:r>
          </w:p>
        </w:tc>
      </w:tr>
      <w:tr w:rsidR="008D78B9" w14:paraId="20C505C1" w14:textId="77777777" w:rsidTr="008D78B9">
        <w:trPr>
          <w:trHeight w:val="300"/>
        </w:trPr>
        <w:tc>
          <w:tcPr>
            <w:tcW w:w="893" w:type="dxa"/>
            <w:vAlign w:val="center"/>
            <w:hideMark/>
          </w:tcPr>
          <w:p w14:paraId="50C363BF" w14:textId="77777777" w:rsidR="008D78B9" w:rsidRDefault="008D78B9">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D66715" w14:textId="77777777" w:rsidR="008D78B9" w:rsidRDefault="008D78B9">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263D8286" w14:textId="77777777" w:rsidR="008D78B9" w:rsidRDefault="008D78B9">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417A83FF" w14:textId="77777777" w:rsidR="008D78B9" w:rsidRDefault="008D78B9" w:rsidP="008D78B9"/>
    <w:p w14:paraId="1426A109" w14:textId="77777777" w:rsidR="008D78B9" w:rsidRDefault="008D78B9" w:rsidP="008D78B9"/>
    <w:p w14:paraId="0F293BF4" w14:textId="7884B575" w:rsidR="00127233" w:rsidRPr="008D78B9" w:rsidRDefault="00127233" w:rsidP="008D78B9"/>
    <w:sectPr w:rsidR="00127233" w:rsidRPr="008D78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7E56" w14:textId="77777777" w:rsidR="00CA0862" w:rsidRDefault="00CA0862" w:rsidP="004A1847">
      <w:pPr>
        <w:spacing w:after="0" w:line="240" w:lineRule="auto"/>
      </w:pPr>
      <w:r>
        <w:separator/>
      </w:r>
    </w:p>
  </w:endnote>
  <w:endnote w:type="continuationSeparator" w:id="0">
    <w:p w14:paraId="2EB09AB8" w14:textId="77777777" w:rsidR="00CA0862" w:rsidRDefault="00CA086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6BD48" w14:textId="77777777" w:rsidR="00CA0862" w:rsidRDefault="00CA0862" w:rsidP="004A1847">
      <w:pPr>
        <w:spacing w:after="0" w:line="240" w:lineRule="auto"/>
      </w:pPr>
      <w:r>
        <w:separator/>
      </w:r>
    </w:p>
  </w:footnote>
  <w:footnote w:type="continuationSeparator" w:id="0">
    <w:p w14:paraId="09EF8307" w14:textId="77777777" w:rsidR="00CA0862" w:rsidRDefault="00CA0862" w:rsidP="004A1847">
      <w:pPr>
        <w:spacing w:after="0" w:line="240" w:lineRule="auto"/>
      </w:pPr>
      <w:r>
        <w:continuationSeparator/>
      </w:r>
    </w:p>
  </w:footnote>
  <w:footnote w:id="1">
    <w:p w14:paraId="28FC901E"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C318B10" w14:textId="77777777" w:rsidR="008D78B9" w:rsidRDefault="008D78B9" w:rsidP="008D78B9">
      <w:pPr>
        <w:pStyle w:val="Textonotapie"/>
        <w:ind w:firstLine="709"/>
        <w:jc w:val="both"/>
        <w:rPr>
          <w:rFonts w:ascii="Verdana" w:hAnsi="Verdana" w:cs="Arial"/>
          <w:sz w:val="16"/>
          <w:szCs w:val="16"/>
        </w:rPr>
      </w:pPr>
      <w:r>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13B0DF8C"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Gaceta del Congreso de la República No. 71 del 2005.</w:t>
      </w:r>
    </w:p>
  </w:footnote>
  <w:footnote w:id="3">
    <w:p w14:paraId="037CC592" w14:textId="77777777" w:rsidR="008D78B9" w:rsidRDefault="008D78B9" w:rsidP="008D78B9">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 C- 1153 de 2005, M.P. Marco Gerardo Monroy Cabra.</w:t>
      </w:r>
    </w:p>
  </w:footnote>
  <w:footnote w:id="4">
    <w:p w14:paraId="64B41EFE" w14:textId="77777777" w:rsidR="008D78B9" w:rsidRDefault="008D78B9" w:rsidP="008D78B9">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D15F5E0" w14:textId="77777777" w:rsidR="008D78B9" w:rsidRDefault="008D78B9" w:rsidP="008D78B9">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E867906"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de fecha 24 de julio de 2013, radicado 2166, C. P. Álvaro Namén Vargas.  </w:t>
      </w:r>
    </w:p>
  </w:footnote>
  <w:footnote w:id="7">
    <w:p w14:paraId="07DDD58B" w14:textId="77777777" w:rsidR="008D78B9" w:rsidRDefault="008D78B9" w:rsidP="008D78B9">
      <w:pPr>
        <w:spacing w:after="0" w:line="240" w:lineRule="auto"/>
        <w:ind w:firstLine="709"/>
        <w:jc w:val="both"/>
        <w:rPr>
          <w:rFonts w:ascii="Verdana" w:eastAsia="Times New Roman"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6" w:name="33"/>
      <w:r>
        <w:rPr>
          <w:rFonts w:ascii="Verdana" w:eastAsia="Times New Roman" w:hAnsi="Verdana" w:cs="Arial"/>
          <w:sz w:val="16"/>
          <w:szCs w:val="16"/>
        </w:rPr>
        <w:t>Artículo 33. Restricciones a la contratación pública.</w:t>
      </w:r>
      <w:bookmarkEnd w:id="6"/>
      <w:r>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455DA6F" w14:textId="77777777" w:rsidR="008D78B9" w:rsidRDefault="008D78B9" w:rsidP="008D78B9">
      <w:pPr>
        <w:spacing w:after="0" w:line="240" w:lineRule="auto"/>
        <w:ind w:firstLine="709"/>
        <w:jc w:val="both"/>
        <w:rPr>
          <w:rFonts w:ascii="Verdana" w:eastAsia="Times New Roman" w:hAnsi="Verdana" w:cs="Arial"/>
          <w:sz w:val="16"/>
          <w:szCs w:val="16"/>
        </w:rPr>
      </w:pPr>
      <w:r>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color w:val="000000"/>
          <w:sz w:val="16"/>
          <w:szCs w:val="16"/>
        </w:rPr>
        <w:t>”</w:t>
      </w:r>
      <w:r>
        <w:rPr>
          <w:rFonts w:ascii="Verdana" w:eastAsia="Times New Roman" w:hAnsi="Verdana" w:cs="Arial"/>
          <w:sz w:val="16"/>
          <w:szCs w:val="16"/>
        </w:rPr>
        <w:t>.</w:t>
      </w:r>
    </w:p>
  </w:footnote>
  <w:footnote w:id="8">
    <w:p w14:paraId="4CA9C338" w14:textId="77777777" w:rsidR="008D78B9" w:rsidRDefault="008D78B9" w:rsidP="008D78B9">
      <w:pPr>
        <w:pStyle w:val="NormalWeb"/>
        <w:spacing w:before="0" w:beforeAutospacing="0" w:after="0" w:afterAutospacing="0"/>
        <w:ind w:firstLine="709"/>
        <w:jc w:val="both"/>
        <w:rPr>
          <w:rFonts w:ascii="Verdana" w:hAnsi="Verdana" w:cs="Arial"/>
          <w:sz w:val="16"/>
          <w:szCs w:val="16"/>
          <w:lang w:val="es-MX"/>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7" w:name="38"/>
      <w:r>
        <w:rPr>
          <w:rFonts w:ascii="Verdana" w:hAnsi="Verdana" w:cs="Arial"/>
          <w:sz w:val="16"/>
          <w:szCs w:val="16"/>
          <w:lang w:val="es-MX"/>
        </w:rPr>
        <w:t>Artículo 38. Prohibiciones para los servidores públicos. A los empleados del Estado les está prohibido:</w:t>
      </w:r>
      <w:bookmarkEnd w:id="7"/>
      <w:r>
        <w:rPr>
          <w:rFonts w:ascii="Verdana" w:hAnsi="Verdana" w:cs="Arial"/>
          <w:sz w:val="16"/>
          <w:szCs w:val="16"/>
          <w:lang w:val="es-MX"/>
        </w:rPr>
        <w:t xml:space="preserve"> […]</w:t>
      </w:r>
    </w:p>
    <w:p w14:paraId="27B30E97" w14:textId="77777777" w:rsidR="008D78B9" w:rsidRDefault="008D78B9" w:rsidP="008D78B9">
      <w:pPr>
        <w:pStyle w:val="NormalWeb"/>
        <w:spacing w:before="0" w:beforeAutospacing="0" w:after="0" w:afterAutospacing="0"/>
        <w:ind w:firstLine="709"/>
        <w:jc w:val="both"/>
        <w:rPr>
          <w:rFonts w:ascii="Verdana" w:hAnsi="Verdana" w:cs="Arial"/>
          <w:sz w:val="16"/>
          <w:szCs w:val="16"/>
          <w:lang w:val="es-MX"/>
        </w:rPr>
      </w:pPr>
      <w:r>
        <w:rPr>
          <w:rStyle w:val="baj"/>
          <w:rFonts w:ascii="Verdana" w:hAnsi="Verdana" w:cs="Arial"/>
          <w:sz w:val="16"/>
          <w:szCs w:val="16"/>
          <w:lang w:val="es-MX"/>
        </w:rPr>
        <w:t>Parágrafo.</w:t>
      </w:r>
      <w:r>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color w:val="000000"/>
          <w:sz w:val="16"/>
          <w:szCs w:val="16"/>
        </w:rPr>
        <w:t>”</w:t>
      </w:r>
      <w:r>
        <w:rPr>
          <w:rFonts w:ascii="Verdana" w:hAnsi="Verdana" w:cs="Arial"/>
          <w:sz w:val="16"/>
          <w:szCs w:val="16"/>
          <w:lang w:val="es-MX"/>
        </w:rPr>
        <w:t>.</w:t>
      </w:r>
    </w:p>
  </w:footnote>
  <w:footnote w:id="9">
    <w:p w14:paraId="1B438921" w14:textId="77777777" w:rsidR="008D78B9" w:rsidRDefault="008D78B9" w:rsidP="008D78B9">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Colombia Compra Eficiente. Circular Externa Única. Numeral 16.5. </w:t>
      </w:r>
    </w:p>
  </w:footnote>
  <w:footnote w:id="10">
    <w:p w14:paraId="08F07B67" w14:textId="77777777" w:rsidR="008D78B9" w:rsidRDefault="008D78B9" w:rsidP="008D78B9">
      <w:pPr>
        <w:spacing w:after="0" w:line="240" w:lineRule="auto"/>
        <w:ind w:left="100" w:right="244" w:firstLine="608"/>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0CBACBAE" w14:textId="77777777" w:rsidR="008D78B9" w:rsidRDefault="008D78B9" w:rsidP="008D78B9">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[25] </w:t>
      </w:r>
      <w:r>
        <w:rPr>
          <w:rFonts w:ascii="Verdana" w:hAnsi="Verdana" w:cs="Arial"/>
          <w:sz w:val="16"/>
          <w:szCs w:val="16"/>
        </w:rPr>
        <w:t>Cfr. Consejo de Estado. Sección Tercera. Sentencia de 3 de diciembre de 2007. Radicados: 24.715, 25.206, 25.409, 24.524, 27.834, 25.410, 26.105, 28.244, 31.447 -acumulados-“.</w:t>
      </w:r>
    </w:p>
  </w:footnote>
  <w:footnote w:id="12">
    <w:p w14:paraId="75247A98" w14:textId="77777777" w:rsidR="008D78B9" w:rsidRDefault="008D78B9" w:rsidP="008D78B9">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[26] </w:t>
      </w:r>
      <w:r>
        <w:rPr>
          <w:rFonts w:ascii="Verdana" w:hAnsi="Verdana" w:cs="Arial"/>
          <w:sz w:val="16"/>
          <w:szCs w:val="16"/>
        </w:rPr>
        <w:t>Al respecto ver el concepto 1712 de 2 de febrero de 2006. Consejo de Estado Sala de Consulta y Servicio Civil”.</w:t>
      </w:r>
    </w:p>
  </w:footnote>
  <w:footnote w:id="13">
    <w:p w14:paraId="138015C1"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33CF3C3F" w14:textId="77777777" w:rsidR="008D78B9" w:rsidRDefault="008D78B9" w:rsidP="008D78B9">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Artículo 2. </w:t>
      </w:r>
    </w:p>
  </w:footnote>
  <w:footnote w:id="15">
    <w:p w14:paraId="3046FA08" w14:textId="77777777" w:rsidR="008D78B9" w:rsidRDefault="008D78B9" w:rsidP="008D78B9">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i/>
          <w:sz w:val="16"/>
          <w:szCs w:val="16"/>
          <w:lang w:val="es-ES"/>
        </w:rPr>
        <w:t>Ídem</w:t>
      </w:r>
      <w:r>
        <w:rPr>
          <w:rFonts w:ascii="Verdana" w:hAnsi="Verdana" w:cs="Arial"/>
          <w:sz w:val="16"/>
          <w:szCs w:val="16"/>
          <w:lang w:val="es-ES"/>
        </w:rPr>
        <w:t>.</w:t>
      </w:r>
    </w:p>
  </w:footnote>
  <w:footnote w:id="16">
    <w:p w14:paraId="2DF2C0C6" w14:textId="77777777" w:rsidR="008D78B9" w:rsidRDefault="008D78B9" w:rsidP="008D78B9">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Style w:val="Refdenotaalpie"/>
          <w:rFonts w:ascii="Verdana" w:hAnsi="Verdana" w:cs="Arial"/>
          <w:sz w:val="16"/>
          <w:szCs w:val="16"/>
        </w:rPr>
        <w:t xml:space="preserve"> </w:t>
      </w:r>
      <w:r>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54DA4ACA" w14:textId="77777777" w:rsidR="008D78B9" w:rsidRDefault="008D78B9" w:rsidP="008D78B9">
      <w:pPr>
        <w:shd w:val="clear" w:color="auto" w:fill="FFFFFF"/>
        <w:spacing w:after="0" w:line="240" w:lineRule="auto"/>
        <w:ind w:firstLine="709"/>
        <w:jc w:val="both"/>
        <w:rPr>
          <w:rFonts w:ascii="Verdana" w:hAnsi="Verdana" w:cs="Arial"/>
          <w:sz w:val="16"/>
          <w:szCs w:val="16"/>
          <w:lang w:val="es-ES"/>
        </w:rPr>
      </w:pPr>
      <w:r>
        <w:rPr>
          <w:rStyle w:val="Refdenotaalpie"/>
          <w:rFonts w:ascii="Verdana" w:hAnsi="Verdana" w:cs="Arial"/>
          <w:sz w:val="16"/>
          <w:szCs w:val="16"/>
        </w:rPr>
        <w:footnoteRef/>
      </w:r>
      <w:r>
        <w:rPr>
          <w:rStyle w:val="Refdenotaalpie"/>
          <w:rFonts w:ascii="Verdana" w:hAnsi="Verdana" w:cs="Arial"/>
          <w:sz w:val="16"/>
          <w:szCs w:val="16"/>
        </w:rPr>
        <w:t xml:space="preserve"> </w:t>
      </w:r>
      <w:r>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8">
    <w:p w14:paraId="5573FF93"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08 de mayo de 2018. Exp. 2.382. C.P. Álvaro Namén Vargas.</w:t>
      </w:r>
    </w:p>
  </w:footnote>
  <w:footnote w:id="19">
    <w:p w14:paraId="5E207C39" w14:textId="77777777" w:rsidR="008D78B9" w:rsidRDefault="008D78B9" w:rsidP="008D78B9">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0">
    <w:p w14:paraId="1F4A7E09" w14:textId="77777777" w:rsidR="008D78B9" w:rsidRDefault="008D78B9" w:rsidP="008D78B9">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07D1E542" w14:textId="77777777" w:rsidR="008D78B9" w:rsidRDefault="008D78B9" w:rsidP="008D78B9">
      <w:pPr>
        <w:spacing w:after="0" w:line="240" w:lineRule="auto"/>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1A54BB1E" w14:textId="77777777" w:rsidR="008D78B9" w:rsidRDefault="008D78B9" w:rsidP="008D78B9">
      <w:pPr>
        <w:pStyle w:val="Textonotapie"/>
        <w:ind w:right="51" w:firstLine="709"/>
        <w:jc w:val="both"/>
        <w:rPr>
          <w:rFonts w:ascii="Verdana" w:eastAsia="Times New Roman" w:hAnsi="Verdana" w:cs="Arial"/>
          <w:bCs/>
          <w:sz w:val="16"/>
          <w:szCs w:val="16"/>
          <w:lang w:eastAsia="x-none"/>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6 de abril de 2006. Radicación Número: 11001-03-06-000-2006-00038-00 (1738). C.P. Enrique José Arboleda Perdomo:</w:t>
      </w:r>
      <w:r>
        <w:rPr>
          <w:rFonts w:ascii="Verdana" w:eastAsia="Times New Roman" w:hAnsi="Verdana" w:cs="Arial"/>
          <w:bCs/>
          <w:sz w:val="16"/>
          <w:szCs w:val="16"/>
          <w:lang w:eastAsia="x-none"/>
        </w:rPr>
        <w:t xml:space="preserve"> “</w:t>
      </w:r>
      <w:r>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Pr>
          <w:rFonts w:ascii="Verdana" w:eastAsia="Times New Roman" w:hAnsi="Verdana" w:cs="Arial"/>
          <w:bCs/>
          <w:sz w:val="16"/>
          <w:szCs w:val="16"/>
          <w:lang w:eastAsia="x-none"/>
        </w:rPr>
        <w:t>”.</w:t>
      </w:r>
    </w:p>
  </w:footnote>
  <w:footnote w:id="23">
    <w:p w14:paraId="3F9B32D5" w14:textId="77777777" w:rsidR="008D78B9" w:rsidRDefault="008D78B9" w:rsidP="008D78B9">
      <w:pPr>
        <w:spacing w:after="0" w:line="240" w:lineRule="auto"/>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4">
    <w:p w14:paraId="3FF9F36A" w14:textId="77777777" w:rsidR="008D78B9" w:rsidRDefault="008D78B9" w:rsidP="008D78B9">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ídem.</w:t>
      </w:r>
    </w:p>
  </w:footnote>
  <w:footnote w:id="25">
    <w:p w14:paraId="72FC01C5" w14:textId="77777777" w:rsidR="008D78B9" w:rsidRDefault="008D78B9" w:rsidP="008D78B9">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Colombia Compra Eficiente. Circular Externa Única. Numeral 15.5.</w:t>
      </w:r>
    </w:p>
  </w:footnote>
  <w:footnote w:id="26">
    <w:p w14:paraId="48DCE1B8" w14:textId="77777777" w:rsidR="008D78B9" w:rsidRDefault="008D78B9" w:rsidP="008D78B9">
      <w:pPr>
        <w:snapToGrid w:val="0"/>
        <w:spacing w:line="240" w:lineRule="auto"/>
        <w:ind w:firstLine="709"/>
        <w:contextualSpacing/>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Corte Constitucional. Sentencia C- 474 de 2005, M.P. Humberto Antonio Sierra Porto. Sentencia C - 428 de 1994. M.P. Antonio Barrera Carbonell.</w:t>
      </w:r>
    </w:p>
  </w:footnote>
  <w:footnote w:id="27">
    <w:p w14:paraId="5CCC331F" w14:textId="77777777" w:rsidR="008D78B9" w:rsidRDefault="008D78B9" w:rsidP="008D78B9">
      <w:pPr>
        <w:snapToGrid w:val="0"/>
        <w:spacing w:line="240" w:lineRule="auto"/>
        <w:ind w:firstLine="709"/>
        <w:contextualSpacing/>
        <w:jc w:val="both"/>
        <w:rPr>
          <w:rFonts w:ascii="Verdana" w:eastAsia="Times New Roman" w:hAnsi="Verdana" w:cs="Arial"/>
          <w:color w:val="000000" w:themeColor="text1"/>
          <w:sz w:val="16"/>
          <w:szCs w:val="16"/>
          <w:shd w:val="clear" w:color="auto" w:fill="FFFFFF"/>
          <w:lang w:eastAsia="es-ES_tradnl"/>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eastAsia="Times New Roman" w:hAnsi="Verdana" w:cs="Arial"/>
          <w:color w:val="000000" w:themeColor="text1"/>
          <w:sz w:val="16"/>
          <w:szCs w:val="16"/>
          <w:shd w:val="clear" w:color="auto" w:fill="FFFFFF"/>
          <w:lang w:eastAsia="es-ES_tradnl"/>
        </w:rPr>
        <w:t>Por la cual se dictan normas sobre planes de desarrollo municipal, compraventa y expropiación de bienes y se dictan otras disposiciones”. En el Capítulo III se reguló específicamente la adquisición de bienes por enajenación voluntaria y por expropiación.</w:t>
      </w:r>
    </w:p>
    <w:p w14:paraId="20D21FF4" w14:textId="77777777" w:rsidR="008D78B9" w:rsidRDefault="008D78B9" w:rsidP="008D78B9">
      <w:pPr>
        <w:snapToGrid w:val="0"/>
        <w:spacing w:line="240" w:lineRule="auto"/>
        <w:ind w:firstLine="709"/>
        <w:contextualSpacing/>
        <w:jc w:val="both"/>
        <w:rPr>
          <w:rFonts w:ascii="Verdana" w:eastAsia="Times New Roman" w:hAnsi="Verdana" w:cs="Arial"/>
          <w:color w:val="000000" w:themeColor="text1"/>
          <w:sz w:val="16"/>
          <w:szCs w:val="16"/>
          <w:lang w:eastAsia="es-ES_tradnl"/>
        </w:rPr>
      </w:pPr>
      <w:r>
        <w:rPr>
          <w:rFonts w:ascii="Verdana" w:eastAsia="Times New Roman" w:hAnsi="Verdana" w:cs="Arial"/>
          <w:color w:val="000000" w:themeColor="text1"/>
          <w:sz w:val="16"/>
          <w:szCs w:val="16"/>
          <w:lang w:eastAsia="es-ES_tradnl"/>
        </w:rPr>
        <w:t>Esta normativa se expidió con fundamento el acto legislativo 1 de 1936, que había modificado el artículo 30 de la Constitución Política de 1886, a cuyo tenor: “Artículo 30. Se garantizan la propiedad privada y los demás derechos adquiridos con justo título, con arreglo a las leyes civiles, por personas naturales o jurídicas, los cuales no pueden ser desconocidos ni vulnerados por leyes posteriores. Cuando de la aplicación de una ley expedida por motivos de utilidad pública o interés social, resultaren en conflicto los derechos de particulares con la necesidad reconocida por la misma ley, el interés privado deberá ceder ante el interés público o social. // La propiedad es una función social que implica obligaciones. // Por motivos de utilidad pública o de interés social definidos por el legislador, podrá haber expropiación, mediante sentencia judicial e indemnización previa. // Con todo, el legislador, por razones de equidad, podrá determinar los casos en que no haya lugar a indemnización, mediante el voto favorable de la mayoría absoluta de los miembros de una y otra Cámara”.</w:t>
      </w:r>
    </w:p>
  </w:footnote>
  <w:footnote w:id="28">
    <w:p w14:paraId="38209880" w14:textId="77777777" w:rsidR="008D78B9" w:rsidRDefault="008D78B9" w:rsidP="008D78B9">
      <w:pPr>
        <w:snapToGrid w:val="0"/>
        <w:spacing w:line="240" w:lineRule="auto"/>
        <w:ind w:firstLine="709"/>
        <w:contextualSpacing/>
        <w:jc w:val="both"/>
        <w:rPr>
          <w:rFonts w:ascii="Verdana" w:eastAsia="Times New Roman" w:hAnsi="Verdana" w:cs="Arial"/>
          <w:color w:val="000000" w:themeColor="text1"/>
          <w:sz w:val="16"/>
          <w:szCs w:val="16"/>
          <w:lang w:eastAsia="es-ES_tradnl"/>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eastAsia="Times New Roman" w:hAnsi="Verdana" w:cs="Arial"/>
          <w:color w:val="000000" w:themeColor="text1"/>
          <w:sz w:val="16"/>
          <w:szCs w:val="16"/>
          <w:lang w:eastAsia="es-ES_tradnl"/>
        </w:rPr>
        <w:t>Por la cual se modifica la Ley 9 de 1989, y la Ley 2 de 1991 y se dictan otras disposiciones.</w:t>
      </w:r>
    </w:p>
  </w:footnote>
  <w:footnote w:id="29">
    <w:p w14:paraId="55873D91" w14:textId="77777777" w:rsidR="008D78B9" w:rsidRDefault="008D78B9" w:rsidP="008D78B9">
      <w:pPr>
        <w:snapToGrid w:val="0"/>
        <w:spacing w:line="240" w:lineRule="auto"/>
        <w:ind w:firstLine="709"/>
        <w:contextualSpacing/>
        <w:jc w:val="both"/>
        <w:rPr>
          <w:rFonts w:ascii="Verdana" w:eastAsia="Times New Roman" w:hAnsi="Verdana" w:cs="Arial"/>
          <w:b/>
          <w:bCs/>
          <w:color w:val="000000" w:themeColor="text1"/>
          <w:sz w:val="16"/>
          <w:szCs w:val="16"/>
          <w:shd w:val="clear" w:color="auto" w:fill="FFFFFF"/>
          <w:lang w:eastAsia="es-ES_tradnl"/>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Consejo de Estado. Sala de Consulta y Servicio Civil. Concepto del 10 de abril de 2008. Rad. </w:t>
      </w:r>
      <w:r>
        <w:rPr>
          <w:rFonts w:ascii="Verdana" w:eastAsia="Times New Roman" w:hAnsi="Verdana" w:cs="Arial"/>
          <w:color w:val="000000" w:themeColor="text1"/>
          <w:sz w:val="16"/>
          <w:szCs w:val="16"/>
          <w:shd w:val="clear" w:color="auto" w:fill="FFFFFF"/>
          <w:lang w:eastAsia="es-ES_tradnl"/>
        </w:rPr>
        <w:t>11001-03-06-000-2008-00017-00. C.P. Gustavo Aponte Santos.</w:t>
      </w:r>
      <w:r>
        <w:rPr>
          <w:rFonts w:ascii="Verdana" w:eastAsia="Times New Roman" w:hAnsi="Verdana" w:cs="Arial"/>
          <w:b/>
          <w:bCs/>
          <w:color w:val="000000" w:themeColor="text1"/>
          <w:sz w:val="16"/>
          <w:szCs w:val="16"/>
          <w:shd w:val="clear" w:color="auto" w:fill="FFFFFF"/>
          <w:lang w:eastAsia="es-ES_tradnl"/>
        </w:rPr>
        <w:t xml:space="preserve"> </w:t>
      </w:r>
    </w:p>
  </w:footnote>
  <w:footnote w:id="30">
    <w:p w14:paraId="4051C010" w14:textId="77777777" w:rsidR="008D78B9" w:rsidRDefault="008D78B9" w:rsidP="008D78B9">
      <w:pPr>
        <w:pStyle w:val="Textonotapie"/>
        <w:snapToGrid w:val="0"/>
        <w:ind w:firstLine="709"/>
        <w:jc w:val="both"/>
        <w:rPr>
          <w:rFonts w:ascii="Verdana" w:hAnsi="Verdana" w:cs="Arial"/>
          <w:color w:val="000000" w:themeColor="text1"/>
          <w:sz w:val="16"/>
          <w:szCs w:val="16"/>
          <w:lang w:val="es-CO"/>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CO"/>
        </w:rPr>
        <w:t>Corte Constitucional. Sentencia C - 1074 de 4 de diciembre de 2002. M.P. Manuel José Cepeda Espinoza.</w:t>
      </w:r>
    </w:p>
  </w:footnote>
  <w:footnote w:id="31">
    <w:p w14:paraId="1B41FE3B" w14:textId="77777777" w:rsidR="008D78B9" w:rsidRDefault="008D78B9" w:rsidP="008D78B9">
      <w:pPr>
        <w:snapToGrid w:val="0"/>
        <w:spacing w:line="240" w:lineRule="auto"/>
        <w:ind w:firstLine="708"/>
        <w:contextualSpacing/>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Corte Constitucional. Sentencia C - 669 de 28 de octubre de 2015. M.P. Luis Ernesto Vargas Silva.</w:t>
      </w:r>
    </w:p>
  </w:footnote>
  <w:footnote w:id="32">
    <w:p w14:paraId="4DC2DDCC" w14:textId="77777777" w:rsidR="008D78B9" w:rsidRDefault="008D78B9" w:rsidP="008D78B9">
      <w:pPr>
        <w:pStyle w:val="Textonotapie"/>
        <w:snapToGrid w:val="0"/>
        <w:ind w:firstLine="709"/>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“La expropiación no es un contrato, no es una venta, ni siquiera forzada, como la que se verifica en subasta pública en determinados casos; es una figura esencialmente distinta, de derecho público, enderezada al bien de la comunidad y en virtud de la cual, por motivos superiores, la Administración toma la propiedad particular, y como esta medida genera un daño, y no un precio, se satisface mediante una indemnización. Se indemniza el perjuicio en diferentes órdenes de la responsabilidad contractual y extracontractual, y se indemniza al expropiado el daño que para él implica esta forma de expropiación –que opera contra su voluntad- pero en provecho público”. (Corte Constitucional. Sentencia C - 153 de 1994. M.P. Alejandro Martínez Caballero).</w:t>
      </w:r>
    </w:p>
  </w:footnote>
  <w:footnote w:id="33">
    <w:p w14:paraId="47C3B612" w14:textId="77777777" w:rsidR="008D78B9" w:rsidRDefault="008D78B9" w:rsidP="008D78B9">
      <w:pPr>
        <w:snapToGrid w:val="0"/>
        <w:spacing w:line="240" w:lineRule="auto"/>
        <w:ind w:firstLine="709"/>
        <w:contextualSpacing/>
        <w:jc w:val="both"/>
        <w:rPr>
          <w:rFonts w:ascii="Verdana" w:eastAsia="Times New Roman" w:hAnsi="Verdana" w:cs="Arial"/>
          <w:color w:val="000000" w:themeColor="text1"/>
          <w:sz w:val="16"/>
          <w:szCs w:val="16"/>
          <w:lang w:eastAsia="es-ES_tradnl"/>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Una vez otorgada la correspondiente escritura pública de compraventa, esta deberá ser inscrita en la Oficina de Instrumentos Públicos respectiva, conforme a lo previsto en el artículo 14 de la Ley 9 de 1989, modificado por el artículo 34 de la Ley 3 de 1991</w:t>
      </w:r>
      <w:r>
        <w:rPr>
          <w:rFonts w:ascii="Verdana" w:eastAsia="Times New Roman" w:hAnsi="Verdana" w:cs="Arial"/>
          <w:color w:val="000000" w:themeColor="text1"/>
          <w:sz w:val="16"/>
          <w:szCs w:val="16"/>
          <w:lang w:eastAsia="es-ES_tradnl"/>
        </w:rPr>
        <w:t>.</w:t>
      </w:r>
    </w:p>
  </w:footnote>
  <w:footnote w:id="34">
    <w:p w14:paraId="3A2CBE03" w14:textId="77777777" w:rsidR="008D78B9" w:rsidRDefault="008D78B9" w:rsidP="008D78B9">
      <w:pPr>
        <w:pStyle w:val="Textonotapie"/>
        <w:snapToGrid w:val="0"/>
        <w:ind w:firstLine="708"/>
        <w:jc w:val="both"/>
        <w:rPr>
          <w:rFonts w:ascii="Verdana" w:hAnsi="Verdana" w:cs="Arial"/>
          <w:color w:val="000000" w:themeColor="text1"/>
          <w:sz w:val="16"/>
          <w:szCs w:val="16"/>
          <w:lang w:val="es-CO"/>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Postura que también fue desarrollada con mayor detalle en el concepto con radicado de salida No. 2201913000008597 del 19 de noviembre de 2019 –rad. De entrada 2201913000008597–, proferido por esta Agencia. (Disponible en: </w:t>
      </w:r>
      <w:hyperlink r:id="rId1" w:history="1">
        <w:r>
          <w:rPr>
            <w:rStyle w:val="Hipervnculo"/>
            <w:rFonts w:ascii="Verdana" w:hAnsi="Verdana" w:cs="Arial"/>
            <w:color w:val="000000" w:themeColor="text1"/>
            <w:sz w:val="16"/>
            <w:szCs w:val="16"/>
          </w:rPr>
          <w:t>https://relatoria.colombiacompra.gov.co/ficha/4201912000005718</w:t>
        </w:r>
      </w:hyperlink>
      <w:r>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95pt;height:10.9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0539703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8610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6B"/>
    <w:rsid w:val="00016F78"/>
    <w:rsid w:val="00031056"/>
    <w:rsid w:val="00046945"/>
    <w:rsid w:val="00061B2A"/>
    <w:rsid w:val="00082362"/>
    <w:rsid w:val="000A683E"/>
    <w:rsid w:val="000B19B9"/>
    <w:rsid w:val="000B36DF"/>
    <w:rsid w:val="000D0334"/>
    <w:rsid w:val="000E5735"/>
    <w:rsid w:val="000F6486"/>
    <w:rsid w:val="00125105"/>
    <w:rsid w:val="00127233"/>
    <w:rsid w:val="001337B8"/>
    <w:rsid w:val="001E4177"/>
    <w:rsid w:val="001F7DC6"/>
    <w:rsid w:val="002421BB"/>
    <w:rsid w:val="0025796E"/>
    <w:rsid w:val="002707A2"/>
    <w:rsid w:val="002951A0"/>
    <w:rsid w:val="002961BE"/>
    <w:rsid w:val="002962BC"/>
    <w:rsid w:val="002A093D"/>
    <w:rsid w:val="002A0DD0"/>
    <w:rsid w:val="002A49AC"/>
    <w:rsid w:val="002A64FD"/>
    <w:rsid w:val="002C7A84"/>
    <w:rsid w:val="002E4FD9"/>
    <w:rsid w:val="00322A85"/>
    <w:rsid w:val="00324168"/>
    <w:rsid w:val="00325F67"/>
    <w:rsid w:val="003448F4"/>
    <w:rsid w:val="00374F5E"/>
    <w:rsid w:val="00377E3E"/>
    <w:rsid w:val="0038135F"/>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66B83"/>
    <w:rsid w:val="00574867"/>
    <w:rsid w:val="00591460"/>
    <w:rsid w:val="005C3777"/>
    <w:rsid w:val="005C5CDC"/>
    <w:rsid w:val="005D1ABF"/>
    <w:rsid w:val="005D476C"/>
    <w:rsid w:val="005D4A0D"/>
    <w:rsid w:val="006219F8"/>
    <w:rsid w:val="006302F7"/>
    <w:rsid w:val="00632816"/>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D78B9"/>
    <w:rsid w:val="008F0EA7"/>
    <w:rsid w:val="00923EEF"/>
    <w:rsid w:val="009419F9"/>
    <w:rsid w:val="0095685E"/>
    <w:rsid w:val="00961B09"/>
    <w:rsid w:val="00965334"/>
    <w:rsid w:val="0097093E"/>
    <w:rsid w:val="009A0DFA"/>
    <w:rsid w:val="009B25A8"/>
    <w:rsid w:val="009B2D26"/>
    <w:rsid w:val="009C71FA"/>
    <w:rsid w:val="009C72E7"/>
    <w:rsid w:val="009D3058"/>
    <w:rsid w:val="009F250F"/>
    <w:rsid w:val="009F3A13"/>
    <w:rsid w:val="00A122D3"/>
    <w:rsid w:val="00A17F13"/>
    <w:rsid w:val="00A20739"/>
    <w:rsid w:val="00A33C78"/>
    <w:rsid w:val="00A3458D"/>
    <w:rsid w:val="00AA5206"/>
    <w:rsid w:val="00AB0ADB"/>
    <w:rsid w:val="00B00C0E"/>
    <w:rsid w:val="00B01B1A"/>
    <w:rsid w:val="00B44A47"/>
    <w:rsid w:val="00B504A0"/>
    <w:rsid w:val="00B72CD3"/>
    <w:rsid w:val="00B72FFF"/>
    <w:rsid w:val="00BC3D36"/>
    <w:rsid w:val="00BD7F72"/>
    <w:rsid w:val="00C04FB3"/>
    <w:rsid w:val="00C330EB"/>
    <w:rsid w:val="00C754BE"/>
    <w:rsid w:val="00C76B1C"/>
    <w:rsid w:val="00CA0862"/>
    <w:rsid w:val="00CB6357"/>
    <w:rsid w:val="00CC1B26"/>
    <w:rsid w:val="00D027D2"/>
    <w:rsid w:val="00D22704"/>
    <w:rsid w:val="00D423A2"/>
    <w:rsid w:val="00D520D8"/>
    <w:rsid w:val="00D63AC2"/>
    <w:rsid w:val="00D7383B"/>
    <w:rsid w:val="00D81FC9"/>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57D3"/>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uiPriority w:val="99"/>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NormalWebCar">
    <w:name w:val="Normal (Web) Car"/>
    <w:link w:val="NormalWeb"/>
    <w:uiPriority w:val="99"/>
    <w:semiHidden/>
    <w:locked/>
    <w:rsid w:val="008D78B9"/>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D78B9"/>
    <w:rPr>
      <w:rFonts w:ascii="Geomanist Light" w:hAnsi="Geomanist Light"/>
      <w:lang w:val="es-ES"/>
    </w:rPr>
  </w:style>
  <w:style w:type="paragraph" w:customStyle="1" w:styleId="Appelnotedebasde">
    <w:name w:val="Appel note de bas de..."/>
    <w:basedOn w:val="Normal"/>
    <w:link w:val="Refdenotaalpie"/>
    <w:uiPriority w:val="99"/>
    <w:rsid w:val="008D78B9"/>
    <w:pPr>
      <w:spacing w:line="240" w:lineRule="exact"/>
    </w:pPr>
    <w:rPr>
      <w:vertAlign w:val="superscript"/>
    </w:rPr>
  </w:style>
  <w:style w:type="character" w:customStyle="1" w:styleId="s15">
    <w:name w:val="s15"/>
    <w:basedOn w:val="Fuentedeprrafopredeter"/>
    <w:rsid w:val="008D78B9"/>
  </w:style>
  <w:style w:type="character" w:customStyle="1" w:styleId="baj">
    <w:name w:val="b_aj"/>
    <w:basedOn w:val="Fuentedeprrafopredeter"/>
    <w:rsid w:val="008D7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4935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namarcela.bedoya@antioqui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4201912000005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256DAA9-4B43-4FF0-944F-69A2D28AF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27</Pages>
  <Words>9622</Words>
  <Characters>50713</Characters>
  <Application>Microsoft Office Word</Application>
  <DocSecurity>0</DocSecurity>
  <Lines>994</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2025-10-27T15:28:00Z</dcterms:created>
  <dcterms:modified xsi:type="dcterms:W3CDTF">2025-10-27T18:06:00Z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