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E84A23"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E84A23">
        <w:rPr>
          <w:rFonts w:ascii="Arial" w:hAnsi="Arial" w:cs="Arial"/>
          <w:bCs/>
          <w:color w:val="000000" w:themeColor="text1"/>
          <w:sz w:val="16"/>
          <w:szCs w:val="16"/>
          <w:lang w:val="es-ES_tradnl" w:eastAsia="es-ES"/>
        </w:rPr>
        <w:t>CCE-DES-FM-17</w:t>
      </w:r>
      <w:bookmarkEnd w:id="0"/>
      <w:bookmarkEnd w:id="1"/>
    </w:p>
    <w:p w14:paraId="610AA6B1" w14:textId="77777777" w:rsidR="00AA6D0C" w:rsidRPr="00E84A23" w:rsidRDefault="00AA6D0C" w:rsidP="00357C44">
      <w:pPr>
        <w:jc w:val="both"/>
        <w:rPr>
          <w:rFonts w:ascii="Arial" w:eastAsia="Calibri" w:hAnsi="Arial" w:cs="Arial"/>
          <w:b/>
          <w:sz w:val="22"/>
          <w:lang w:val="es-ES_tradnl"/>
        </w:rPr>
      </w:pPr>
    </w:p>
    <w:p w14:paraId="39454458" w14:textId="77777777" w:rsidR="00AA6D0C" w:rsidRPr="00E84A23" w:rsidRDefault="00AA6D0C" w:rsidP="00357C44">
      <w:pPr>
        <w:jc w:val="both"/>
        <w:rPr>
          <w:rFonts w:ascii="Arial" w:eastAsia="Calibri" w:hAnsi="Arial" w:cs="Arial"/>
          <w:b/>
          <w:sz w:val="22"/>
          <w:lang w:val="es-ES_tradnl"/>
        </w:rPr>
      </w:pPr>
    </w:p>
    <w:p w14:paraId="47BC5195" w14:textId="70A9B302" w:rsidR="00357C44" w:rsidRPr="00E84A23" w:rsidRDefault="00357C44" w:rsidP="00357C44">
      <w:pPr>
        <w:jc w:val="both"/>
        <w:rPr>
          <w:rFonts w:ascii="Arial" w:eastAsia="Calibri" w:hAnsi="Arial" w:cs="Arial"/>
          <w:b/>
          <w:sz w:val="22"/>
          <w:lang w:val="es-ES_tradnl"/>
        </w:rPr>
      </w:pPr>
      <w:r w:rsidRPr="00E84A23">
        <w:rPr>
          <w:rFonts w:ascii="Arial" w:eastAsia="Calibri" w:hAnsi="Arial" w:cs="Arial"/>
          <w:b/>
          <w:sz w:val="22"/>
          <w:lang w:val="es-ES_tradnl"/>
        </w:rPr>
        <w:t xml:space="preserve">ADICIÓN </w:t>
      </w:r>
      <w:r w:rsidRPr="00E84A23">
        <w:rPr>
          <w:rFonts w:ascii="Arial" w:eastAsia="Calibri" w:hAnsi="Arial" w:cs="Arial"/>
          <w:b/>
          <w:color w:val="000000" w:themeColor="text1"/>
          <w:sz w:val="22"/>
          <w:lang w:val="es-ES_tradnl"/>
        </w:rPr>
        <w:t>–</w:t>
      </w:r>
      <w:r w:rsidRPr="00E84A23">
        <w:rPr>
          <w:rFonts w:ascii="Arial" w:eastAsia="Calibri" w:hAnsi="Arial" w:cs="Arial"/>
          <w:b/>
          <w:sz w:val="22"/>
          <w:lang w:val="es-ES_tradnl"/>
        </w:rPr>
        <w:t xml:space="preserve"> Concepto </w:t>
      </w:r>
      <w:r w:rsidRPr="00E84A23">
        <w:rPr>
          <w:rFonts w:ascii="Arial" w:eastAsia="Calibri" w:hAnsi="Arial" w:cs="Arial"/>
          <w:b/>
          <w:color w:val="000000" w:themeColor="text1"/>
          <w:sz w:val="22"/>
          <w:lang w:val="es-ES_tradnl"/>
        </w:rPr>
        <w:t>– Autonomía – Límites</w:t>
      </w:r>
    </w:p>
    <w:p w14:paraId="771A51AD" w14:textId="30C66202" w:rsidR="00357C44" w:rsidRPr="00E84A23" w:rsidRDefault="00357C44" w:rsidP="00B95C30">
      <w:pPr>
        <w:spacing w:line="276" w:lineRule="auto"/>
        <w:jc w:val="both"/>
        <w:rPr>
          <w:rFonts w:ascii="Arial" w:hAnsi="Arial" w:cs="Arial"/>
          <w:noProof/>
          <w:color w:val="000000" w:themeColor="text1"/>
          <w:sz w:val="22"/>
          <w:lang w:val="es-ES_tradnl"/>
        </w:rPr>
      </w:pPr>
    </w:p>
    <w:p w14:paraId="405FE6BB" w14:textId="015BB077" w:rsidR="00357C44" w:rsidRPr="00E84A23" w:rsidRDefault="003B0DF0" w:rsidP="00357C44">
      <w:pPr>
        <w:jc w:val="both"/>
        <w:rPr>
          <w:rFonts w:ascii="Arial" w:eastAsia="Calibri" w:hAnsi="Arial" w:cs="Arial"/>
          <w:sz w:val="20"/>
          <w:szCs w:val="20"/>
          <w:lang w:val="es-ES_tradnl"/>
        </w:rPr>
      </w:pPr>
      <w:r w:rsidRPr="00E84A23">
        <w:rPr>
          <w:rFonts w:ascii="Arial" w:hAnsi="Arial" w:cs="Arial"/>
          <w:color w:val="000000" w:themeColor="text1"/>
          <w:sz w:val="20"/>
          <w:szCs w:val="20"/>
          <w:lang w:eastAsia="es-ES"/>
        </w:rPr>
        <w:t xml:space="preserve">[…] </w:t>
      </w:r>
      <w:r w:rsidR="00357C44" w:rsidRPr="00E84A23">
        <w:rPr>
          <w:rFonts w:ascii="Arial" w:eastAsia="Calibri" w:hAnsi="Arial" w:cs="Arial"/>
          <w:sz w:val="20"/>
          <w:szCs w:val="20"/>
          <w:lang w:val="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1F3CF78E" w14:textId="77777777" w:rsidR="00357C44" w:rsidRPr="00E84A23" w:rsidRDefault="00357C44" w:rsidP="00357C44">
      <w:pPr>
        <w:jc w:val="both"/>
        <w:rPr>
          <w:rFonts w:ascii="Arial" w:eastAsia="Calibri" w:hAnsi="Arial" w:cs="Arial"/>
          <w:sz w:val="20"/>
          <w:szCs w:val="20"/>
          <w:lang w:val="es-ES_tradnl"/>
        </w:rPr>
      </w:pPr>
    </w:p>
    <w:p w14:paraId="3A236A07" w14:textId="596D5032" w:rsidR="00357C44" w:rsidRPr="00E84A23" w:rsidRDefault="00BE3585" w:rsidP="00357C44">
      <w:pPr>
        <w:jc w:val="both"/>
        <w:rPr>
          <w:rFonts w:ascii="Arial" w:hAnsi="Arial" w:cs="Arial"/>
          <w:bCs/>
          <w:sz w:val="20"/>
          <w:szCs w:val="20"/>
          <w:lang w:val="es-ES_tradnl"/>
        </w:rPr>
      </w:pPr>
      <w:r w:rsidRPr="00E84A23">
        <w:rPr>
          <w:rFonts w:ascii="Arial" w:hAnsi="Arial" w:cs="Arial"/>
          <w:color w:val="000000" w:themeColor="text1"/>
          <w:sz w:val="20"/>
          <w:szCs w:val="20"/>
          <w:lang w:eastAsia="es-ES"/>
        </w:rPr>
        <w:t>[…] Sin perjuicio de la distinción anterior, lo importante es que, frente a cualquier incremento del valor inicial del contrato, que es lo que implica una adición, por cualquiera de los dos (2) supuestos señalados previamente, e independiente del nombre que se le dé al acuerdo, aplica el límite previsto en el parágrafo del artículo 40 de la Ley 80 de 1993. Esta norma dispone que «Los contratos no podrán adicionarse en más del cincuenta por ciento (50%) de su valor inicial, expresado éste en salarios mínimos legales mensuales». De manera que, aunque es posible celebrar los tipos de acuerdos indicados, siempre se debe observar esta última disposición.</w:t>
      </w:r>
    </w:p>
    <w:p w14:paraId="45AAB148" w14:textId="58D5FC73" w:rsidR="00357C44" w:rsidRPr="00E84A23" w:rsidRDefault="00357C44" w:rsidP="00B95C30">
      <w:pPr>
        <w:spacing w:line="276" w:lineRule="auto"/>
        <w:jc w:val="both"/>
        <w:rPr>
          <w:rFonts w:ascii="Arial" w:hAnsi="Arial" w:cs="Arial"/>
          <w:noProof/>
          <w:color w:val="000000" w:themeColor="text1"/>
          <w:sz w:val="22"/>
          <w:lang w:val="es-ES_tradnl"/>
        </w:rPr>
      </w:pPr>
    </w:p>
    <w:p w14:paraId="33117EF0" w14:textId="77777777" w:rsidR="00621F68" w:rsidRPr="00E84A23" w:rsidRDefault="00621F68" w:rsidP="00621F68">
      <w:pPr>
        <w:jc w:val="both"/>
        <w:rPr>
          <w:rFonts w:ascii="Arial" w:eastAsia="Calibri" w:hAnsi="Arial" w:cs="Arial"/>
          <w:b/>
          <w:bCs/>
          <w:color w:val="000000" w:themeColor="text1"/>
          <w:sz w:val="22"/>
        </w:rPr>
      </w:pPr>
      <w:r w:rsidRPr="00E84A23">
        <w:rPr>
          <w:rFonts w:ascii="Arial" w:eastAsia="Calibri" w:hAnsi="Arial" w:cs="Arial"/>
          <w:b/>
          <w:bCs/>
          <w:color w:val="000000" w:themeColor="text1"/>
          <w:sz w:val="22"/>
        </w:rPr>
        <w:t xml:space="preserve">ADICIÓN – Prohibición – Monto – Cálculo – Parágrafo artículo 40 – Ley 80 de 1993 </w:t>
      </w:r>
    </w:p>
    <w:p w14:paraId="413F7A1B" w14:textId="77777777" w:rsidR="00621F68" w:rsidRPr="00E84A23" w:rsidRDefault="00621F68" w:rsidP="00621F68">
      <w:pPr>
        <w:jc w:val="both"/>
        <w:rPr>
          <w:rFonts w:ascii="Arial" w:eastAsia="Calibri" w:hAnsi="Arial" w:cs="Arial"/>
          <w:b/>
          <w:color w:val="000000" w:themeColor="text1"/>
          <w:sz w:val="20"/>
          <w:szCs w:val="20"/>
        </w:rPr>
      </w:pPr>
    </w:p>
    <w:p w14:paraId="3B3C2B23" w14:textId="3226099B" w:rsidR="00621F68" w:rsidRPr="00E84A23" w:rsidRDefault="005C5AE1" w:rsidP="00621F68">
      <w:pPr>
        <w:jc w:val="both"/>
        <w:rPr>
          <w:rFonts w:ascii="Arial" w:hAnsi="Arial" w:cs="Arial"/>
          <w:color w:val="000000" w:themeColor="text1"/>
          <w:sz w:val="20"/>
          <w:szCs w:val="20"/>
          <w:lang w:eastAsia="es-ES"/>
        </w:rPr>
      </w:pPr>
      <w:r w:rsidRPr="00E84A23">
        <w:rPr>
          <w:rFonts w:ascii="Arial" w:hAnsi="Arial" w:cs="Arial"/>
          <w:color w:val="000000" w:themeColor="text1"/>
          <w:sz w:val="20"/>
          <w:szCs w:val="20"/>
          <w:lang w:eastAsia="es-ES"/>
        </w:rPr>
        <w:t xml:space="preserve">[…] </w:t>
      </w:r>
      <w:r w:rsidR="00621F68" w:rsidRPr="00E84A23">
        <w:rPr>
          <w:rFonts w:ascii="Arial" w:hAnsi="Arial" w:cs="Arial"/>
          <w:color w:val="000000" w:themeColor="text1"/>
          <w:sz w:val="20"/>
          <w:szCs w:val="20"/>
          <w:lang w:eastAsia="es-ES"/>
        </w:rPr>
        <w:t xml:space="preserve">Dicha norma además de consagrar una prohibición trae implícita una autorización, consistente en la posibilidad de adicionar los contratos estatales, siempre que no se supere el tope establecido. Ahora bien, </w:t>
      </w:r>
      <w:r w:rsidR="00403281" w:rsidRPr="00E84A23">
        <w:rPr>
          <w:rFonts w:ascii="Arial" w:hAnsi="Arial" w:cs="Arial"/>
          <w:color w:val="000000" w:themeColor="text1"/>
          <w:sz w:val="20"/>
          <w:szCs w:val="20"/>
          <w:lang w:eastAsia="es-ES"/>
        </w:rPr>
        <w:t>para determinar</w:t>
      </w:r>
      <w:r w:rsidR="00621F68" w:rsidRPr="00E84A23">
        <w:rPr>
          <w:rFonts w:ascii="Arial" w:hAnsi="Arial" w:cs="Arial"/>
          <w:color w:val="000000" w:themeColor="text1"/>
          <w:sz w:val="20"/>
          <w:szCs w:val="20"/>
          <w:lang w:eastAsia="es-ES"/>
        </w:rPr>
        <w:t xml:space="preserve">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0E4FA294" w14:textId="77777777" w:rsidR="00621F68" w:rsidRPr="00E84A23" w:rsidRDefault="00621F68" w:rsidP="00621F68">
      <w:pPr>
        <w:jc w:val="both"/>
        <w:rPr>
          <w:rFonts w:ascii="Arial" w:hAnsi="Arial" w:cs="Arial"/>
          <w:color w:val="000000" w:themeColor="text1"/>
          <w:sz w:val="20"/>
          <w:szCs w:val="20"/>
          <w:lang w:eastAsia="es-ES"/>
        </w:rPr>
      </w:pPr>
    </w:p>
    <w:p w14:paraId="201CB879" w14:textId="77777777" w:rsidR="00621F68" w:rsidRPr="00E84A23" w:rsidRDefault="00621F68" w:rsidP="00621F68">
      <w:pPr>
        <w:jc w:val="both"/>
        <w:rPr>
          <w:rFonts w:ascii="Arial" w:hAnsi="Arial" w:cs="Arial"/>
          <w:color w:val="000000" w:themeColor="text1"/>
          <w:sz w:val="20"/>
          <w:szCs w:val="20"/>
          <w:lang w:eastAsia="es-ES"/>
        </w:rPr>
      </w:pPr>
      <w:r w:rsidRPr="00E84A23">
        <w:rPr>
          <w:rFonts w:ascii="Arial" w:hAnsi="Arial" w:cs="Arial"/>
          <w:color w:val="000000" w:themeColor="text1"/>
          <w:sz w:val="20"/>
          <w:szCs w:val="20"/>
          <w:lang w:eastAsia="es-ES"/>
        </w:rPr>
        <w:t>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p>
    <w:p w14:paraId="13C27EB7" w14:textId="315BBE1C" w:rsidR="00B167C8" w:rsidRPr="00E84A23" w:rsidRDefault="00B167C8" w:rsidP="00B95C30">
      <w:pPr>
        <w:spacing w:line="276" w:lineRule="auto"/>
        <w:jc w:val="both"/>
        <w:rPr>
          <w:rFonts w:ascii="Arial" w:hAnsi="Arial" w:cs="Arial"/>
          <w:noProof/>
          <w:color w:val="000000" w:themeColor="text1"/>
          <w:sz w:val="22"/>
          <w:lang w:val="es-ES_tradnl"/>
        </w:rPr>
      </w:pPr>
    </w:p>
    <w:p w14:paraId="2C0FE975" w14:textId="704E018C" w:rsidR="00AA6D0C" w:rsidRPr="00E84A23" w:rsidRDefault="006A6EF6" w:rsidP="00B95C30">
      <w:pPr>
        <w:spacing w:line="276" w:lineRule="auto"/>
        <w:jc w:val="both"/>
        <w:rPr>
          <w:rFonts w:ascii="Arial" w:hAnsi="Arial" w:cs="Arial"/>
          <w:noProof/>
          <w:color w:val="000000" w:themeColor="text1"/>
          <w:sz w:val="22"/>
          <w:lang w:val="es-ES_tradnl"/>
        </w:rPr>
      </w:pPr>
      <w:r w:rsidRPr="00E84A23">
        <w:rPr>
          <w:rFonts w:ascii="Arial" w:eastAsia="Calibri" w:hAnsi="Arial" w:cs="Arial"/>
          <w:b/>
          <w:bCs/>
          <w:color w:val="000000" w:themeColor="text1"/>
          <w:sz w:val="22"/>
        </w:rPr>
        <w:t xml:space="preserve">ADICIÓN – </w:t>
      </w:r>
      <w:r w:rsidR="00D813F5" w:rsidRPr="00E84A23">
        <w:rPr>
          <w:rFonts w:ascii="Arial" w:eastAsia="Calibri" w:hAnsi="Arial" w:cs="Arial"/>
          <w:b/>
          <w:bCs/>
          <w:color w:val="000000" w:themeColor="text1"/>
          <w:sz w:val="22"/>
        </w:rPr>
        <w:t xml:space="preserve">Límite </w:t>
      </w:r>
      <w:r w:rsidR="0069709F" w:rsidRPr="00E84A23">
        <w:rPr>
          <w:rFonts w:ascii="Arial" w:eastAsia="Calibri" w:hAnsi="Arial" w:cs="Arial"/>
          <w:b/>
          <w:bCs/>
          <w:color w:val="000000" w:themeColor="text1"/>
          <w:sz w:val="22"/>
        </w:rPr>
        <w:t>de valor –</w:t>
      </w:r>
      <w:r w:rsidR="00D813F5" w:rsidRPr="00E84A23">
        <w:rPr>
          <w:rFonts w:ascii="Arial" w:eastAsia="Calibri" w:hAnsi="Arial" w:cs="Arial"/>
          <w:b/>
          <w:bCs/>
          <w:color w:val="000000" w:themeColor="text1"/>
          <w:sz w:val="22"/>
        </w:rPr>
        <w:t xml:space="preserve"> </w:t>
      </w:r>
      <w:r w:rsidRPr="00E84A23">
        <w:rPr>
          <w:rFonts w:ascii="Arial" w:eastAsia="Calibri" w:hAnsi="Arial" w:cs="Arial"/>
          <w:b/>
          <w:bCs/>
          <w:color w:val="000000" w:themeColor="text1"/>
          <w:sz w:val="22"/>
        </w:rPr>
        <w:t>Excepciones</w:t>
      </w:r>
      <w:r w:rsidR="0069709F" w:rsidRPr="00E84A23">
        <w:rPr>
          <w:rFonts w:ascii="Arial" w:eastAsia="Calibri" w:hAnsi="Arial" w:cs="Arial"/>
          <w:b/>
          <w:bCs/>
          <w:color w:val="000000" w:themeColor="text1"/>
          <w:sz w:val="22"/>
        </w:rPr>
        <w:t xml:space="preserve"> a la regla</w:t>
      </w:r>
      <w:r w:rsidRPr="00E84A23">
        <w:rPr>
          <w:rFonts w:ascii="Arial" w:eastAsia="Calibri" w:hAnsi="Arial" w:cs="Arial"/>
          <w:b/>
          <w:bCs/>
          <w:color w:val="000000" w:themeColor="text1"/>
          <w:sz w:val="22"/>
        </w:rPr>
        <w:t xml:space="preserve"> </w:t>
      </w:r>
    </w:p>
    <w:p w14:paraId="21F9BD45" w14:textId="77777777" w:rsidR="00AA6D0C" w:rsidRPr="00E84A23" w:rsidRDefault="00AA6D0C" w:rsidP="00B95C30">
      <w:pPr>
        <w:spacing w:line="276" w:lineRule="auto"/>
        <w:jc w:val="both"/>
        <w:rPr>
          <w:rFonts w:ascii="Arial" w:hAnsi="Arial" w:cs="Arial"/>
          <w:noProof/>
          <w:color w:val="000000" w:themeColor="text1"/>
          <w:sz w:val="22"/>
          <w:lang w:val="es-ES_tradnl"/>
        </w:rPr>
      </w:pPr>
    </w:p>
    <w:p w14:paraId="05851DF7" w14:textId="395529CA" w:rsidR="00DB7336" w:rsidRPr="00E84A23" w:rsidRDefault="00DB7336" w:rsidP="005500B5">
      <w:pPr>
        <w:jc w:val="both"/>
        <w:rPr>
          <w:rFonts w:ascii="Arial" w:hAnsi="Arial" w:cs="Arial"/>
          <w:color w:val="000000" w:themeColor="text1"/>
          <w:sz w:val="20"/>
          <w:szCs w:val="20"/>
          <w:lang w:eastAsia="es-ES"/>
        </w:rPr>
      </w:pPr>
      <w:r w:rsidRPr="00E84A23">
        <w:rPr>
          <w:rFonts w:ascii="Arial" w:hAnsi="Arial" w:cs="Arial"/>
          <w:color w:val="000000" w:themeColor="text1"/>
          <w:sz w:val="20"/>
          <w:szCs w:val="20"/>
          <w:lang w:eastAsia="es-ES"/>
        </w:rPr>
        <w:t xml:space="preserve">Actualmente existe una posibilidad para adicionar contratos estatales en más del 50%, que es la contenida en el artículo 85 de la Ley 1474 de 2011 para los contratos de interventoría que, por su naturaleza de seguimiento técnico a otro contrato estatal, podrá prorrogarse por el plazo en que haya </w:t>
      </w:r>
      <w:r w:rsidRPr="00E84A23">
        <w:rPr>
          <w:rFonts w:ascii="Arial" w:hAnsi="Arial" w:cs="Arial"/>
          <w:color w:val="000000" w:themeColor="text1"/>
          <w:sz w:val="20"/>
          <w:szCs w:val="20"/>
          <w:lang w:eastAsia="es-ES"/>
        </w:rPr>
        <w:lastRenderedPageBreak/>
        <w:t>sido prorrogado el contrato objeto de vigilancia, sin que resulte aplicable el tope establecido en el parágrafo del artículo 40 de la Ley 80 de 1993, en relación con el monto de las eventuales adiciones. La disposición de la Ley 1474 de 2011 pretende fortalecer la figura de la interventoría, como una herramienta integral, para proteger los intereses públicos y evitar que se cause un eventual daño antijurídico al abandonar la vigilancia del contrato principal, por limitaciones en cuanto al monto de sus posibles adiciones.</w:t>
      </w:r>
    </w:p>
    <w:p w14:paraId="13310619" w14:textId="77777777" w:rsidR="005500B5" w:rsidRPr="00E84A23" w:rsidRDefault="005500B5" w:rsidP="005500B5">
      <w:pPr>
        <w:jc w:val="both"/>
        <w:rPr>
          <w:rFonts w:ascii="Arial" w:hAnsi="Arial" w:cs="Arial"/>
          <w:color w:val="000000" w:themeColor="text1"/>
          <w:sz w:val="20"/>
          <w:szCs w:val="20"/>
          <w:lang w:eastAsia="es-ES"/>
        </w:rPr>
      </w:pPr>
    </w:p>
    <w:p w14:paraId="78AC4FFA" w14:textId="5AC3AD25" w:rsidR="00DB7336" w:rsidRPr="00E84A23" w:rsidRDefault="00DB7336" w:rsidP="006A6EF6">
      <w:pPr>
        <w:jc w:val="both"/>
        <w:rPr>
          <w:rFonts w:ascii="Arial" w:hAnsi="Arial" w:cs="Arial"/>
          <w:color w:val="000000" w:themeColor="text1"/>
          <w:sz w:val="20"/>
          <w:szCs w:val="20"/>
          <w:lang w:eastAsia="es-ES"/>
        </w:rPr>
      </w:pPr>
      <w:r w:rsidRPr="00E84A23">
        <w:rPr>
          <w:rFonts w:ascii="Arial" w:hAnsi="Arial" w:cs="Arial"/>
          <w:color w:val="000000" w:themeColor="text1"/>
          <w:sz w:val="20"/>
          <w:szCs w:val="20"/>
          <w:lang w:eastAsia="es-ES"/>
        </w:rPr>
        <w:t>Por otra parte, existe una excepción temporal establecida por el Gobierno Nacional para hacer frente a las condiciones especiales generadas en virtud de la declaratoria de emergencia sanitaria generada por la pandemia Covid-19, con la expedición de los Decretos-Ley 440 y 537 de 2020, particularmente, el artículo 8 de este último, al determinar que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 igualmente, esta disposición se aplicará a los contratos que se celebren durante la vigencia de la Emergencia Sanitaria declarada por el Ministerio de Salud y Protección Social, con ocasión de la pandemia derivada del Coronavirus COVID-19, y durante el término que dicha emergencia sanitaria esté vigente.</w:t>
      </w:r>
    </w:p>
    <w:p w14:paraId="5B23BC21" w14:textId="77777777" w:rsidR="00B167C8" w:rsidRPr="00E84A23" w:rsidRDefault="00B167C8" w:rsidP="00B95C30">
      <w:pPr>
        <w:spacing w:line="276" w:lineRule="auto"/>
        <w:jc w:val="both"/>
        <w:rPr>
          <w:rFonts w:ascii="Arial" w:hAnsi="Arial" w:cs="Arial"/>
          <w:noProof/>
          <w:color w:val="000000" w:themeColor="text1"/>
          <w:sz w:val="22"/>
          <w:lang w:val="es-ES_tradnl"/>
        </w:rPr>
      </w:pPr>
    </w:p>
    <w:p w14:paraId="63511CC0" w14:textId="77777777" w:rsidR="006F0FA1" w:rsidRPr="00E84A23" w:rsidRDefault="006F0FA1" w:rsidP="006F0FA1">
      <w:pPr>
        <w:jc w:val="both"/>
        <w:rPr>
          <w:rFonts w:ascii="Arial" w:eastAsia="Calibri" w:hAnsi="Arial" w:cs="Arial"/>
          <w:b/>
          <w:sz w:val="22"/>
        </w:rPr>
      </w:pPr>
      <w:r w:rsidRPr="00E84A23">
        <w:rPr>
          <w:rFonts w:ascii="Arial" w:hAnsi="Arial" w:cs="Arial"/>
          <w:b/>
          <w:sz w:val="22"/>
        </w:rPr>
        <w:t xml:space="preserve">ADICIÓN </w:t>
      </w:r>
      <w:r w:rsidRPr="00E84A23">
        <w:rPr>
          <w:rFonts w:ascii="Arial" w:eastAsia="Calibri" w:hAnsi="Arial" w:cs="Arial"/>
          <w:b/>
          <w:sz w:val="22"/>
        </w:rPr>
        <w:t>– Contratos Celebrados con Anterioridad al Decreto 537 de 2020</w:t>
      </w:r>
    </w:p>
    <w:p w14:paraId="39C8DBC6" w14:textId="77777777" w:rsidR="006F0FA1" w:rsidRPr="00E84A23" w:rsidRDefault="006F0FA1" w:rsidP="006F0FA1">
      <w:pPr>
        <w:jc w:val="both"/>
        <w:rPr>
          <w:rFonts w:ascii="Arial" w:eastAsia="Calibri" w:hAnsi="Arial" w:cs="Arial"/>
          <w:b/>
          <w:sz w:val="22"/>
        </w:rPr>
      </w:pPr>
    </w:p>
    <w:p w14:paraId="4745EE37" w14:textId="5F20BBDD" w:rsidR="005500B5" w:rsidRPr="00E84A23" w:rsidRDefault="006F0FA1" w:rsidP="009507C3">
      <w:pPr>
        <w:spacing w:before="120" w:after="120"/>
        <w:jc w:val="both"/>
        <w:rPr>
          <w:rFonts w:ascii="Arial" w:eastAsia="Calibri" w:hAnsi="Arial" w:cs="Arial"/>
          <w:sz w:val="20"/>
          <w:szCs w:val="20"/>
        </w:rPr>
      </w:pPr>
      <w:r w:rsidRPr="00E84A23">
        <w:rPr>
          <w:rFonts w:ascii="Arial" w:eastAsia="Calibri" w:hAnsi="Arial" w:cs="Arial"/>
          <w:sz w:val="20"/>
          <w:szCs w:val="20"/>
        </w:rPr>
        <w:t>[…]</w:t>
      </w:r>
      <w:r w:rsidR="005500B5" w:rsidRPr="00E84A23">
        <w:rPr>
          <w:rFonts w:ascii="Arial" w:eastAsia="Calibri" w:hAnsi="Arial" w:cs="Arial"/>
          <w:sz w:val="20"/>
          <w:szCs w:val="20"/>
        </w:rPr>
        <w:t>es importante determinar la intención del Decreto Legislativo 537 de 2020 sobre los contratos a los que les aplica la adición sin límite de valor. En este sentido, el Decreto dispone que la adición aplica a los contratos suscritos antes y durante el estado de emergencia sanitaria. En efecto, de la lectura del artículo 8 del Decreto 537 de 2020, es posible establecer que el inciso primero contempla los contratos suscritos con anterioridad, pues utiliza la palabra «celebrados» para referirse a los que se perfeccionaron antes de la declaración de la emergencia. Por otro lado, el inciso segundo del artículo 8 del Decreto 537 de 2020 se refiere a los contratos que «se celebren» durante la vigencia de la emergencia sanitaria. En este sentido, el factor determinante para definir si un contrato puede ser sujeto o no de la adición sin límite de valor, radica en la conexidad de la adición para gestionar o mitigar los efectos generados por la pandemia, ello siempre y cuando la adición se realice en durante la vigencia de la emergencia sanitaria declarada por el Ministerio de Salud y Protección Social.</w:t>
      </w:r>
    </w:p>
    <w:p w14:paraId="47C05A37" w14:textId="2D3129FB" w:rsidR="009507C3" w:rsidRPr="00E84A23" w:rsidRDefault="009507C3">
      <w:pPr>
        <w:spacing w:after="200" w:line="276" w:lineRule="auto"/>
        <w:rPr>
          <w:rFonts w:ascii="Arial" w:hAnsi="Arial" w:cs="Arial"/>
          <w:noProof/>
          <w:color w:val="000000" w:themeColor="text1"/>
          <w:sz w:val="22"/>
          <w:lang w:val="es-ES_tradnl"/>
        </w:rPr>
      </w:pPr>
      <w:r w:rsidRPr="00E84A23">
        <w:rPr>
          <w:rFonts w:ascii="Arial" w:hAnsi="Arial" w:cs="Arial"/>
          <w:noProof/>
          <w:color w:val="000000" w:themeColor="text1"/>
          <w:sz w:val="22"/>
          <w:lang w:val="es-ES_tradnl"/>
        </w:rPr>
        <w:br w:type="page"/>
      </w:r>
    </w:p>
    <w:p w14:paraId="12A9C41A" w14:textId="77777777" w:rsidR="00F53F4F" w:rsidRPr="00E84A23" w:rsidRDefault="00F53F4F" w:rsidP="00B95C30">
      <w:pPr>
        <w:spacing w:line="276" w:lineRule="auto"/>
        <w:jc w:val="both"/>
        <w:rPr>
          <w:rFonts w:ascii="Arial" w:hAnsi="Arial" w:cs="Arial"/>
          <w:noProof/>
          <w:color w:val="000000" w:themeColor="text1"/>
          <w:sz w:val="22"/>
          <w:lang w:val="es-ES_tradnl"/>
        </w:rPr>
      </w:pPr>
    </w:p>
    <w:p w14:paraId="2A4FF5E1" w14:textId="77777777" w:rsidR="00402B33" w:rsidRPr="00E84A23" w:rsidRDefault="00402B33" w:rsidP="00B95C30">
      <w:pPr>
        <w:spacing w:line="276" w:lineRule="auto"/>
        <w:jc w:val="both"/>
        <w:rPr>
          <w:rFonts w:ascii="Arial" w:hAnsi="Arial" w:cs="Arial"/>
          <w:noProof/>
          <w:color w:val="000000" w:themeColor="text1"/>
          <w:sz w:val="22"/>
          <w:lang w:val="es-ES_tradnl"/>
        </w:rPr>
      </w:pPr>
    </w:p>
    <w:p w14:paraId="6A8A869B" w14:textId="19B7013B" w:rsidR="00B95C30" w:rsidRPr="00E84A23" w:rsidRDefault="00341152" w:rsidP="00B51437">
      <w:pPr>
        <w:jc w:val="right"/>
        <w:rPr>
          <w:rFonts w:ascii="Arial" w:hAnsi="Arial" w:cs="Arial"/>
          <w:b/>
          <w:color w:val="000000" w:themeColor="text1"/>
          <w:sz w:val="22"/>
          <w:lang w:val="es-ES_tradnl"/>
        </w:rPr>
      </w:pPr>
      <w:r>
        <w:rPr>
          <w:noProof/>
        </w:rPr>
        <w:drawing>
          <wp:inline distT="0" distB="0" distL="0" distR="0" wp14:anchorId="1CB6FF84" wp14:editId="2A545F07">
            <wp:extent cx="2375038" cy="590550"/>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977" t="58563" r="29226" b="13665"/>
                    <a:stretch/>
                  </pic:blipFill>
                  <pic:spPr bwMode="auto">
                    <a:xfrm>
                      <a:off x="0" y="0"/>
                      <a:ext cx="2380012" cy="591787"/>
                    </a:xfrm>
                    <a:prstGeom prst="rect">
                      <a:avLst/>
                    </a:prstGeom>
                    <a:ln>
                      <a:noFill/>
                    </a:ln>
                    <a:extLst>
                      <a:ext uri="{53640926-AAD7-44D8-BBD7-CCE9431645EC}">
                        <a14:shadowObscured xmlns:a14="http://schemas.microsoft.com/office/drawing/2010/main"/>
                      </a:ext>
                    </a:extLst>
                  </pic:spPr>
                </pic:pic>
              </a:graphicData>
            </a:graphic>
          </wp:inline>
        </w:drawing>
      </w:r>
    </w:p>
    <w:p w14:paraId="24A88D3F" w14:textId="0FEBA61F" w:rsidR="00F53F4F" w:rsidRDefault="00422986" w:rsidP="00B95C30">
      <w:pPr>
        <w:jc w:val="both"/>
        <w:rPr>
          <w:rFonts w:ascii="Arial" w:hAnsi="Arial" w:cs="Arial"/>
          <w:b/>
          <w:color w:val="000000" w:themeColor="text1"/>
          <w:sz w:val="22"/>
          <w:lang w:val="es-ES_tradnl"/>
        </w:rPr>
      </w:pPr>
      <w:r w:rsidRPr="00E84A23">
        <w:rPr>
          <w:rFonts w:ascii="Arial" w:hAnsi="Arial" w:cs="Arial"/>
          <w:noProof/>
          <w:color w:val="000000" w:themeColor="text1"/>
          <w:sz w:val="22"/>
          <w:lang w:val="es-ES_tradnl"/>
        </w:rPr>
        <w:t>Bogotá</w:t>
      </w:r>
      <w:r>
        <w:rPr>
          <w:rFonts w:ascii="Arial" w:hAnsi="Arial" w:cs="Arial"/>
          <w:noProof/>
          <w:color w:val="000000" w:themeColor="text1"/>
          <w:sz w:val="22"/>
          <w:lang w:val="es-ES_tradnl"/>
        </w:rPr>
        <w:t>,</w:t>
      </w:r>
      <w:r w:rsidRPr="00E84A23">
        <w:rPr>
          <w:rFonts w:ascii="Arial" w:hAnsi="Arial" w:cs="Arial"/>
          <w:noProof/>
          <w:color w:val="000000" w:themeColor="text1"/>
          <w:sz w:val="22"/>
          <w:lang w:val="es-ES_tradnl"/>
        </w:rPr>
        <w:t xml:space="preserve"> </w:t>
      </w:r>
      <w:r>
        <w:rPr>
          <w:rFonts w:ascii="Arial" w:hAnsi="Arial" w:cs="Arial"/>
          <w:noProof/>
          <w:color w:val="000000" w:themeColor="text1"/>
          <w:sz w:val="22"/>
          <w:lang w:val="es-ES_tradnl"/>
        </w:rPr>
        <w:t>1 abril 2022</w:t>
      </w:r>
    </w:p>
    <w:p w14:paraId="19BBA329" w14:textId="77777777" w:rsidR="00422986" w:rsidRPr="00E84A23" w:rsidRDefault="00422986" w:rsidP="00B95C30">
      <w:pPr>
        <w:jc w:val="both"/>
        <w:rPr>
          <w:rFonts w:ascii="Arial" w:hAnsi="Arial" w:cs="Arial"/>
          <w:b/>
          <w:color w:val="000000" w:themeColor="text1"/>
          <w:sz w:val="22"/>
          <w:lang w:val="es-ES_tradnl"/>
        </w:rPr>
      </w:pPr>
    </w:p>
    <w:p w14:paraId="5F5AE9EF" w14:textId="76C1C8CC" w:rsidR="00B95C30" w:rsidRPr="00E84A23" w:rsidRDefault="00BE4FBF" w:rsidP="00B95C30">
      <w:pPr>
        <w:jc w:val="both"/>
        <w:rPr>
          <w:rFonts w:ascii="Arial" w:eastAsia="Calibri" w:hAnsi="Arial" w:cs="Arial"/>
          <w:color w:val="000000" w:themeColor="text1"/>
          <w:sz w:val="22"/>
          <w:lang w:val="es-ES_tradnl"/>
        </w:rPr>
      </w:pPr>
      <w:r w:rsidRPr="00E84A23">
        <w:rPr>
          <w:rFonts w:ascii="Arial" w:eastAsia="Calibri" w:hAnsi="Arial" w:cs="Arial"/>
          <w:color w:val="000000" w:themeColor="text1"/>
          <w:sz w:val="22"/>
          <w:lang w:val="es-ES_tradnl"/>
        </w:rPr>
        <w:t>Señor</w:t>
      </w:r>
      <w:r w:rsidR="0069042D" w:rsidRPr="00E84A23">
        <w:rPr>
          <w:rFonts w:ascii="Arial" w:eastAsia="Calibri" w:hAnsi="Arial" w:cs="Arial"/>
          <w:color w:val="000000" w:themeColor="text1"/>
          <w:sz w:val="22"/>
          <w:lang w:val="es-ES_tradnl"/>
        </w:rPr>
        <w:t>a</w:t>
      </w:r>
    </w:p>
    <w:p w14:paraId="6987FB13" w14:textId="3113170F" w:rsidR="002311F0" w:rsidRPr="00E84A23" w:rsidRDefault="0069042D" w:rsidP="002311F0">
      <w:pPr>
        <w:jc w:val="both"/>
        <w:rPr>
          <w:rFonts w:ascii="Arial" w:eastAsia="Calibri" w:hAnsi="Arial" w:cs="Arial"/>
          <w:b/>
          <w:color w:val="000000" w:themeColor="text1"/>
          <w:sz w:val="22"/>
          <w:lang w:val="es-ES_tradnl"/>
        </w:rPr>
      </w:pPr>
      <w:r w:rsidRPr="00E84A23">
        <w:rPr>
          <w:rFonts w:ascii="Arial" w:eastAsia="Calibri" w:hAnsi="Arial" w:cs="Arial"/>
          <w:b/>
          <w:color w:val="000000" w:themeColor="text1"/>
          <w:sz w:val="22"/>
          <w:lang w:val="es-ES_tradnl"/>
        </w:rPr>
        <w:t>Yaneth Alarcón Camargo</w:t>
      </w:r>
      <w:r w:rsidRPr="00E84A23">
        <w:rPr>
          <w:rFonts w:ascii="Calibri" w:hAnsi="Calibri" w:cs="Calibri"/>
          <w:b/>
          <w:bCs/>
          <w:color w:val="000000"/>
          <w:sz w:val="22"/>
          <w:szCs w:val="22"/>
        </w:rPr>
        <w:t xml:space="preserve"> </w:t>
      </w:r>
    </w:p>
    <w:p w14:paraId="09D4AEA8" w14:textId="54D3FFAD" w:rsidR="00B95C30" w:rsidRPr="00E84A23" w:rsidRDefault="00421E7B" w:rsidP="00B95C30">
      <w:pPr>
        <w:jc w:val="both"/>
        <w:rPr>
          <w:rFonts w:ascii="Arial" w:eastAsia="Calibri" w:hAnsi="Arial" w:cs="Arial"/>
          <w:color w:val="000000" w:themeColor="text1"/>
          <w:sz w:val="22"/>
          <w:lang w:val="es-ES_tradnl"/>
        </w:rPr>
      </w:pPr>
      <w:r w:rsidRPr="00E84A23">
        <w:rPr>
          <w:rFonts w:ascii="Arial" w:eastAsia="Calibri" w:hAnsi="Arial" w:cs="Arial"/>
          <w:color w:val="000000" w:themeColor="text1"/>
          <w:sz w:val="22"/>
          <w:lang w:val="es-ES_tradnl"/>
        </w:rPr>
        <w:t>Tunja</w:t>
      </w:r>
    </w:p>
    <w:p w14:paraId="3B584A57" w14:textId="4528CA3D" w:rsidR="00F53F4F" w:rsidRPr="00E84A23" w:rsidRDefault="00F53F4F" w:rsidP="00B95C30">
      <w:pPr>
        <w:jc w:val="both"/>
        <w:rPr>
          <w:rFonts w:ascii="Arial" w:eastAsia="Calibri" w:hAnsi="Arial" w:cs="Arial"/>
          <w:color w:val="000000" w:themeColor="text1"/>
          <w:sz w:val="22"/>
          <w:lang w:val="es-ES_tradnl"/>
        </w:rPr>
      </w:pPr>
    </w:p>
    <w:p w14:paraId="48E36FCF" w14:textId="77777777" w:rsidR="00F53F4F" w:rsidRPr="00E84A23" w:rsidRDefault="00F53F4F" w:rsidP="00B95C30">
      <w:pPr>
        <w:jc w:val="both"/>
        <w:rPr>
          <w:rFonts w:ascii="Arial" w:eastAsia="Calibri" w:hAnsi="Arial" w:cs="Arial"/>
          <w:color w:val="000000" w:themeColor="text1"/>
          <w:sz w:val="22"/>
          <w:lang w:val="es-ES_tradnl"/>
        </w:rPr>
      </w:pPr>
    </w:p>
    <w:p w14:paraId="12E66182" w14:textId="332A3217" w:rsidR="00B95C30" w:rsidRPr="00E84A23" w:rsidRDefault="00F53F4F" w:rsidP="001D6CD2">
      <w:pPr>
        <w:rPr>
          <w:rFonts w:ascii="Arial" w:eastAsia="Calibri" w:hAnsi="Arial" w:cs="Arial"/>
          <w:b/>
          <w:bCs/>
          <w:color w:val="000000" w:themeColor="text1"/>
          <w:sz w:val="22"/>
          <w:lang w:val="es-ES_tradnl"/>
        </w:rPr>
      </w:pPr>
      <w:r w:rsidRPr="00E84A23">
        <w:rPr>
          <w:rFonts w:ascii="Arial" w:eastAsia="Calibri" w:hAnsi="Arial" w:cs="Arial"/>
          <w:b/>
          <w:bCs/>
          <w:color w:val="000000" w:themeColor="text1"/>
          <w:sz w:val="22"/>
          <w:lang w:val="es-ES_tradnl"/>
        </w:rPr>
        <w:t xml:space="preserve">                                            </w:t>
      </w:r>
      <w:r w:rsidR="00B95C30" w:rsidRPr="00E84A23">
        <w:rPr>
          <w:rFonts w:ascii="Arial" w:eastAsia="Calibri" w:hAnsi="Arial" w:cs="Arial"/>
          <w:b/>
          <w:bCs/>
          <w:color w:val="000000" w:themeColor="text1"/>
          <w:sz w:val="22"/>
          <w:lang w:val="es-ES_tradnl"/>
        </w:rPr>
        <w:t xml:space="preserve">Concepto C ‒ </w:t>
      </w:r>
      <w:r w:rsidR="006C4B3D" w:rsidRPr="00E84A23">
        <w:rPr>
          <w:rFonts w:ascii="Arial" w:eastAsia="Calibri" w:hAnsi="Arial" w:cs="Arial"/>
          <w:b/>
          <w:bCs/>
          <w:color w:val="000000" w:themeColor="text1"/>
          <w:sz w:val="22"/>
          <w:lang w:val="es-ES_tradnl"/>
        </w:rPr>
        <w:t>152</w:t>
      </w:r>
      <w:r w:rsidR="00B95C30" w:rsidRPr="00E84A23">
        <w:rPr>
          <w:rFonts w:ascii="Arial" w:eastAsia="Calibri" w:hAnsi="Arial" w:cs="Arial"/>
          <w:b/>
          <w:bCs/>
          <w:color w:val="000000" w:themeColor="text1"/>
          <w:sz w:val="22"/>
          <w:lang w:val="es-ES_tradnl"/>
        </w:rPr>
        <w:t xml:space="preserve"> de 202</w:t>
      </w:r>
      <w:r w:rsidR="006C4B3D" w:rsidRPr="00E84A23">
        <w:rPr>
          <w:rFonts w:ascii="Arial" w:eastAsia="Calibri" w:hAnsi="Arial" w:cs="Arial"/>
          <w:b/>
          <w:bCs/>
          <w:color w:val="000000" w:themeColor="text1"/>
          <w:sz w:val="22"/>
          <w:lang w:val="es-ES_tradnl"/>
        </w:rPr>
        <w:t>2</w:t>
      </w:r>
    </w:p>
    <w:p w14:paraId="1BD594F9" w14:textId="77777777" w:rsidR="00B95C30" w:rsidRPr="00E84A23"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84A23" w14:paraId="19DFC051" w14:textId="77777777" w:rsidTr="008F4163">
        <w:tc>
          <w:tcPr>
            <w:tcW w:w="2689" w:type="dxa"/>
          </w:tcPr>
          <w:p w14:paraId="3F8CBBF8" w14:textId="77777777" w:rsidR="006C4B5C" w:rsidRPr="00E84A23" w:rsidRDefault="006C4B5C" w:rsidP="008F4163">
            <w:pPr>
              <w:jc w:val="both"/>
              <w:rPr>
                <w:rFonts w:ascii="Arial" w:eastAsia="Calibri" w:hAnsi="Arial" w:cs="Arial"/>
                <w:b/>
                <w:color w:val="000000" w:themeColor="text1"/>
                <w:sz w:val="22"/>
                <w:lang w:val="es-ES_tradnl"/>
              </w:rPr>
            </w:pPr>
          </w:p>
          <w:p w14:paraId="6BC0D1AC" w14:textId="3FA53270" w:rsidR="00B95C30" w:rsidRPr="00E84A23" w:rsidRDefault="00B95C30" w:rsidP="008F4163">
            <w:pPr>
              <w:jc w:val="both"/>
              <w:rPr>
                <w:rFonts w:ascii="Arial" w:eastAsia="Calibri" w:hAnsi="Arial" w:cs="Arial"/>
                <w:color w:val="000000" w:themeColor="text1"/>
                <w:sz w:val="22"/>
                <w:lang w:val="es-ES_tradnl"/>
              </w:rPr>
            </w:pPr>
            <w:r w:rsidRPr="00E84A23">
              <w:rPr>
                <w:rFonts w:ascii="Arial" w:eastAsia="Calibri" w:hAnsi="Arial" w:cs="Arial"/>
                <w:b/>
                <w:color w:val="000000" w:themeColor="text1"/>
                <w:sz w:val="22"/>
                <w:lang w:val="es-ES_tradnl"/>
              </w:rPr>
              <w:t>Temas:</w:t>
            </w:r>
            <w:r w:rsidRPr="00E84A23">
              <w:rPr>
                <w:rFonts w:ascii="Arial" w:eastAsia="Calibri" w:hAnsi="Arial" w:cs="Arial"/>
                <w:color w:val="000000" w:themeColor="text1"/>
                <w:sz w:val="22"/>
                <w:lang w:val="es-ES_tradnl"/>
              </w:rPr>
              <w:t xml:space="preserve">                                      </w:t>
            </w:r>
          </w:p>
        </w:tc>
        <w:tc>
          <w:tcPr>
            <w:tcW w:w="6237" w:type="dxa"/>
          </w:tcPr>
          <w:p w14:paraId="37506409" w14:textId="77777777" w:rsidR="006C4B5C" w:rsidRPr="00E84A23" w:rsidRDefault="006C4B5C" w:rsidP="008F4163">
            <w:pPr>
              <w:jc w:val="both"/>
              <w:rPr>
                <w:rFonts w:ascii="Arial" w:eastAsia="Calibri" w:hAnsi="Arial" w:cs="Arial"/>
                <w:bCs/>
                <w:sz w:val="22"/>
                <w:lang w:val="es-ES_tradnl"/>
              </w:rPr>
            </w:pPr>
          </w:p>
          <w:p w14:paraId="5F389CAF" w14:textId="5461AC97" w:rsidR="006C4B3D" w:rsidRPr="00E84A23" w:rsidRDefault="006C4B3D" w:rsidP="008F4163">
            <w:pPr>
              <w:jc w:val="both"/>
              <w:rPr>
                <w:rFonts w:ascii="Arial" w:eastAsia="Calibri" w:hAnsi="Arial" w:cs="Arial"/>
                <w:color w:val="000000" w:themeColor="text1"/>
                <w:sz w:val="22"/>
                <w:lang w:val="es-ES_tradnl"/>
              </w:rPr>
            </w:pPr>
            <w:r w:rsidRPr="00E84A23">
              <w:rPr>
                <w:rFonts w:ascii="Arial" w:eastAsia="Calibri" w:hAnsi="Arial" w:cs="Arial"/>
                <w:bCs/>
                <w:sz w:val="22"/>
                <w:lang w:val="es-ES_tradnl"/>
              </w:rPr>
              <w:t xml:space="preserve">ADICIÓN – Concepto – Autonomía – Límites / ADICIÓN – Prohibición – Monto – Cálculo – Parágrafo artículo 40 – Ley 80 de 1993 / ADICIÓN – </w:t>
            </w:r>
            <w:r w:rsidR="00D813F5" w:rsidRPr="00E84A23">
              <w:rPr>
                <w:rFonts w:ascii="Arial" w:eastAsia="Calibri" w:hAnsi="Arial" w:cs="Arial"/>
                <w:bCs/>
                <w:sz w:val="22"/>
                <w:lang w:val="es-ES_tradnl"/>
              </w:rPr>
              <w:t xml:space="preserve">Límite – </w:t>
            </w:r>
            <w:r w:rsidRPr="00E84A23">
              <w:rPr>
                <w:rFonts w:ascii="Arial" w:eastAsia="Calibri" w:hAnsi="Arial" w:cs="Arial"/>
                <w:bCs/>
                <w:sz w:val="22"/>
                <w:lang w:val="es-ES_tradnl"/>
              </w:rPr>
              <w:t>Excepciones</w:t>
            </w:r>
            <w:r w:rsidR="006F0FA1" w:rsidRPr="00E84A23">
              <w:rPr>
                <w:rFonts w:ascii="Arial" w:eastAsia="Calibri" w:hAnsi="Arial" w:cs="Arial"/>
                <w:bCs/>
                <w:sz w:val="22"/>
                <w:lang w:val="es-ES_tradnl"/>
              </w:rPr>
              <w:t xml:space="preserve"> / ADICIÓN – Contratos Celebrados con Anterioridad al Decreto 537 de 2020</w:t>
            </w:r>
          </w:p>
        </w:tc>
      </w:tr>
      <w:tr w:rsidR="00B95C30" w:rsidRPr="00E84A23" w14:paraId="27CD52AB" w14:textId="77777777" w:rsidTr="008F4163">
        <w:tc>
          <w:tcPr>
            <w:tcW w:w="2689" w:type="dxa"/>
          </w:tcPr>
          <w:p w14:paraId="26B0442F" w14:textId="77777777" w:rsidR="006C4B5C" w:rsidRPr="00E84A23" w:rsidRDefault="006C4B5C" w:rsidP="008F4163">
            <w:pPr>
              <w:spacing w:before="120"/>
              <w:jc w:val="both"/>
              <w:rPr>
                <w:rFonts w:ascii="Arial" w:eastAsia="Calibri" w:hAnsi="Arial" w:cs="Arial"/>
                <w:b/>
                <w:color w:val="000000" w:themeColor="text1"/>
                <w:sz w:val="22"/>
                <w:lang w:val="es-ES_tradnl"/>
              </w:rPr>
            </w:pPr>
          </w:p>
          <w:p w14:paraId="37E195A1" w14:textId="3CAF2877" w:rsidR="00B95C30" w:rsidRPr="00E84A23" w:rsidRDefault="00B95C30" w:rsidP="008F4163">
            <w:pPr>
              <w:spacing w:before="120"/>
              <w:jc w:val="both"/>
              <w:rPr>
                <w:rFonts w:ascii="Arial" w:eastAsia="Calibri" w:hAnsi="Arial" w:cs="Arial"/>
                <w:b/>
                <w:color w:val="000000" w:themeColor="text1"/>
                <w:sz w:val="22"/>
                <w:lang w:val="es-ES_tradnl"/>
              </w:rPr>
            </w:pPr>
            <w:r w:rsidRPr="00E84A23">
              <w:rPr>
                <w:rFonts w:ascii="Arial" w:eastAsia="Calibri" w:hAnsi="Arial" w:cs="Arial"/>
                <w:b/>
                <w:color w:val="000000" w:themeColor="text1"/>
                <w:sz w:val="22"/>
                <w:lang w:val="es-ES_tradnl"/>
              </w:rPr>
              <w:t>Radicación:</w:t>
            </w:r>
            <w:r w:rsidRPr="00E84A23">
              <w:rPr>
                <w:rFonts w:ascii="Arial" w:eastAsia="Calibri" w:hAnsi="Arial" w:cs="Arial"/>
                <w:color w:val="000000" w:themeColor="text1"/>
                <w:sz w:val="22"/>
                <w:lang w:val="es-ES_tradnl"/>
              </w:rPr>
              <w:t xml:space="preserve">                              </w:t>
            </w:r>
          </w:p>
        </w:tc>
        <w:tc>
          <w:tcPr>
            <w:tcW w:w="6237" w:type="dxa"/>
          </w:tcPr>
          <w:p w14:paraId="216876E0" w14:textId="77777777" w:rsidR="006C4B5C" w:rsidRPr="00E84A23" w:rsidRDefault="006C4B5C" w:rsidP="008F4163">
            <w:pPr>
              <w:spacing w:before="120"/>
              <w:jc w:val="both"/>
              <w:rPr>
                <w:rFonts w:ascii="Arial" w:eastAsia="Calibri" w:hAnsi="Arial" w:cs="Arial"/>
                <w:color w:val="000000" w:themeColor="text1"/>
                <w:sz w:val="22"/>
                <w:lang w:val="es-ES_tradnl"/>
              </w:rPr>
            </w:pPr>
          </w:p>
          <w:p w14:paraId="09088B1B" w14:textId="4226F007" w:rsidR="00B95C30" w:rsidRPr="00E84A23" w:rsidRDefault="00B95C30" w:rsidP="008F4163">
            <w:pPr>
              <w:spacing w:before="120"/>
              <w:jc w:val="both"/>
              <w:rPr>
                <w:rFonts w:ascii="Arial" w:eastAsia="Calibri" w:hAnsi="Arial" w:cs="Arial"/>
                <w:color w:val="000000" w:themeColor="text1"/>
                <w:sz w:val="22"/>
                <w:lang w:val="es-ES_tradnl"/>
              </w:rPr>
            </w:pPr>
            <w:r w:rsidRPr="00E84A23">
              <w:rPr>
                <w:rFonts w:ascii="Arial" w:eastAsia="Calibri" w:hAnsi="Arial" w:cs="Arial"/>
                <w:color w:val="000000" w:themeColor="text1"/>
                <w:sz w:val="22"/>
                <w:lang w:val="es-ES_tradnl"/>
              </w:rPr>
              <w:t>Respuesta a consulta</w:t>
            </w:r>
            <w:r w:rsidR="002311F0" w:rsidRPr="00E84A23">
              <w:rPr>
                <w:rFonts w:ascii="Arial" w:eastAsia="Calibri" w:hAnsi="Arial" w:cs="Arial"/>
                <w:color w:val="000000" w:themeColor="text1"/>
                <w:sz w:val="22"/>
                <w:lang w:val="es-ES_tradnl"/>
              </w:rPr>
              <w:t xml:space="preserve"> </w:t>
            </w:r>
            <w:r w:rsidR="00407626" w:rsidRPr="00E84A23">
              <w:rPr>
                <w:rFonts w:ascii="Arial" w:eastAsia="Calibri" w:hAnsi="Arial" w:cs="Arial"/>
                <w:color w:val="000000" w:themeColor="text1"/>
                <w:sz w:val="22"/>
                <w:lang w:val="es-ES_tradnl"/>
              </w:rPr>
              <w:t>P20220217001597</w:t>
            </w:r>
          </w:p>
        </w:tc>
      </w:tr>
    </w:tbl>
    <w:p w14:paraId="61B55CA4" w14:textId="77777777" w:rsidR="00716BB0" w:rsidRPr="00E84A23" w:rsidRDefault="00716BB0" w:rsidP="003C3339">
      <w:pPr>
        <w:jc w:val="both"/>
        <w:rPr>
          <w:rFonts w:ascii="Arial" w:eastAsia="Calibri" w:hAnsi="Arial" w:cs="Arial"/>
          <w:color w:val="000000" w:themeColor="text1"/>
          <w:sz w:val="22"/>
          <w:lang w:val="es-ES_tradnl"/>
        </w:rPr>
      </w:pPr>
    </w:p>
    <w:p w14:paraId="4B9B5156" w14:textId="77777777" w:rsidR="00716BB0" w:rsidRPr="00E84A23" w:rsidRDefault="00716BB0" w:rsidP="003C3339">
      <w:pPr>
        <w:jc w:val="both"/>
        <w:rPr>
          <w:rFonts w:ascii="Arial" w:eastAsia="Calibri" w:hAnsi="Arial" w:cs="Arial"/>
          <w:color w:val="000000" w:themeColor="text1"/>
          <w:sz w:val="22"/>
          <w:lang w:val="es-ES_tradnl"/>
        </w:rPr>
      </w:pPr>
    </w:p>
    <w:p w14:paraId="1CF4AEA0" w14:textId="667E940B" w:rsidR="003C3339" w:rsidRPr="00E84A23" w:rsidRDefault="003C3339" w:rsidP="003C3339">
      <w:pPr>
        <w:jc w:val="both"/>
        <w:rPr>
          <w:rFonts w:ascii="Arial" w:eastAsia="Calibri" w:hAnsi="Arial" w:cs="Arial"/>
          <w:color w:val="000000" w:themeColor="text1"/>
          <w:sz w:val="22"/>
          <w:lang w:val="es-ES_tradnl"/>
        </w:rPr>
      </w:pPr>
      <w:r w:rsidRPr="00E84A23">
        <w:rPr>
          <w:rFonts w:ascii="Arial" w:eastAsia="Calibri" w:hAnsi="Arial" w:cs="Arial"/>
          <w:color w:val="000000" w:themeColor="text1"/>
          <w:sz w:val="22"/>
          <w:lang w:val="es-ES_tradnl"/>
        </w:rPr>
        <w:t>Estimad</w:t>
      </w:r>
      <w:r w:rsidR="006C4B5C" w:rsidRPr="00E84A23">
        <w:rPr>
          <w:rFonts w:ascii="Arial" w:eastAsia="Calibri" w:hAnsi="Arial" w:cs="Arial"/>
          <w:color w:val="000000" w:themeColor="text1"/>
          <w:sz w:val="22"/>
          <w:lang w:val="es-ES_tradnl"/>
        </w:rPr>
        <w:t>a</w:t>
      </w:r>
      <w:r w:rsidRPr="00E84A23">
        <w:rPr>
          <w:rFonts w:ascii="Arial" w:eastAsia="Calibri" w:hAnsi="Arial" w:cs="Arial"/>
          <w:color w:val="000000" w:themeColor="text1"/>
          <w:sz w:val="22"/>
          <w:lang w:val="es-ES_tradnl"/>
        </w:rPr>
        <w:t xml:space="preserve"> </w:t>
      </w:r>
      <w:r w:rsidR="0063732C" w:rsidRPr="00E84A23">
        <w:rPr>
          <w:rFonts w:ascii="Arial" w:eastAsia="Calibri" w:hAnsi="Arial" w:cs="Arial"/>
          <w:color w:val="000000" w:themeColor="text1"/>
          <w:sz w:val="22"/>
          <w:lang w:val="es-ES_tradnl"/>
        </w:rPr>
        <w:t>señor</w:t>
      </w:r>
      <w:r w:rsidR="006C4B5C" w:rsidRPr="00E84A23">
        <w:rPr>
          <w:rFonts w:ascii="Arial" w:eastAsia="Calibri" w:hAnsi="Arial" w:cs="Arial"/>
          <w:color w:val="000000" w:themeColor="text1"/>
          <w:sz w:val="22"/>
          <w:lang w:val="es-ES_tradnl"/>
        </w:rPr>
        <w:t>a</w:t>
      </w:r>
      <w:r w:rsidR="00BE4FBF" w:rsidRPr="00E84A23">
        <w:rPr>
          <w:rFonts w:ascii="Arial" w:eastAsia="Calibri" w:hAnsi="Arial" w:cs="Arial"/>
          <w:color w:val="000000" w:themeColor="text1"/>
          <w:sz w:val="22"/>
          <w:lang w:val="es-ES_tradnl"/>
        </w:rPr>
        <w:t xml:space="preserve"> </w:t>
      </w:r>
      <w:r w:rsidR="006C4B5C" w:rsidRPr="00E84A23">
        <w:rPr>
          <w:rFonts w:ascii="Arial" w:eastAsia="Calibri" w:hAnsi="Arial" w:cs="Arial"/>
          <w:bCs/>
          <w:color w:val="000000" w:themeColor="text1"/>
          <w:sz w:val="22"/>
          <w:lang w:val="es-ES_tradnl"/>
        </w:rPr>
        <w:t>Alarcón</w:t>
      </w:r>
      <w:r w:rsidRPr="00E84A23">
        <w:rPr>
          <w:rFonts w:ascii="Arial" w:eastAsia="Calibri" w:hAnsi="Arial" w:cs="Arial"/>
          <w:bCs/>
          <w:color w:val="000000" w:themeColor="text1"/>
          <w:sz w:val="22"/>
          <w:lang w:val="es-ES_tradnl"/>
        </w:rPr>
        <w:t>:</w:t>
      </w:r>
    </w:p>
    <w:p w14:paraId="1EAE5543" w14:textId="77777777" w:rsidR="00DD5B04" w:rsidRPr="00E84A23" w:rsidRDefault="00DD5B04" w:rsidP="00DF76A2">
      <w:pPr>
        <w:jc w:val="both"/>
        <w:rPr>
          <w:rFonts w:ascii="Arial" w:eastAsia="Calibri" w:hAnsi="Arial" w:cs="Arial"/>
          <w:color w:val="000000" w:themeColor="text1"/>
          <w:sz w:val="22"/>
          <w:lang w:val="es-ES_tradnl"/>
        </w:rPr>
      </w:pPr>
    </w:p>
    <w:p w14:paraId="2DC356ED" w14:textId="52D43804" w:rsidR="00CC1565" w:rsidRPr="00E84A23" w:rsidRDefault="00DD5B04" w:rsidP="009507C3">
      <w:pPr>
        <w:spacing w:line="276" w:lineRule="auto"/>
        <w:jc w:val="both"/>
        <w:rPr>
          <w:rFonts w:ascii="Arial" w:hAnsi="Arial" w:cs="Arial"/>
          <w:color w:val="161616" w:themeColor="background1" w:themeShade="1A"/>
          <w:sz w:val="22"/>
          <w:szCs w:val="22"/>
          <w:lang w:val="es-ES_tradnl"/>
        </w:rPr>
      </w:pPr>
      <w:r w:rsidRPr="00E84A23">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CC1565" w:rsidRPr="00E84A23">
        <w:rPr>
          <w:rFonts w:ascii="Arial" w:hAnsi="Arial" w:cs="Arial"/>
          <w:color w:val="161616" w:themeColor="background1" w:themeShade="1A"/>
          <w:sz w:val="22"/>
          <w:szCs w:val="22"/>
          <w:lang w:val="es-ES_tradnl"/>
        </w:rPr>
        <w:t>− Colombia Compra Eficiente responde su consulta del 1</w:t>
      </w:r>
      <w:r w:rsidR="00B3036E" w:rsidRPr="00E84A23">
        <w:rPr>
          <w:rFonts w:ascii="Arial" w:hAnsi="Arial" w:cs="Arial"/>
          <w:color w:val="161616" w:themeColor="background1" w:themeShade="1A"/>
          <w:sz w:val="22"/>
          <w:szCs w:val="22"/>
          <w:lang w:val="es-ES_tradnl"/>
        </w:rPr>
        <w:t>7</w:t>
      </w:r>
      <w:r w:rsidR="00CC1565" w:rsidRPr="00E84A23">
        <w:rPr>
          <w:rFonts w:ascii="Arial" w:hAnsi="Arial" w:cs="Arial"/>
          <w:color w:val="161616" w:themeColor="background1" w:themeShade="1A"/>
          <w:sz w:val="22"/>
          <w:szCs w:val="22"/>
          <w:lang w:val="es-ES_tradnl"/>
        </w:rPr>
        <w:t xml:space="preserve"> de febrero de 2022.</w:t>
      </w:r>
    </w:p>
    <w:p w14:paraId="0C1E0712" w14:textId="39EA8F59" w:rsidR="00DD5B04" w:rsidRPr="00E84A23"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84A23"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84A23">
        <w:rPr>
          <w:rFonts w:ascii="Arial" w:eastAsia="Calibri" w:hAnsi="Arial" w:cs="Arial"/>
          <w:b/>
          <w:color w:val="000000" w:themeColor="text1"/>
          <w:sz w:val="22"/>
          <w:lang w:val="es-ES_tradnl"/>
        </w:rPr>
        <w:t xml:space="preserve">Problema planteado </w:t>
      </w:r>
    </w:p>
    <w:p w14:paraId="224B43D3" w14:textId="77777777" w:rsidR="00DD5B04" w:rsidRPr="00E84A23"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D022C1F" w:rsidR="00443B55" w:rsidRPr="00E84A23" w:rsidRDefault="00DD5B04" w:rsidP="0099583D">
      <w:pPr>
        <w:spacing w:line="276" w:lineRule="auto"/>
        <w:jc w:val="both"/>
        <w:rPr>
          <w:rFonts w:ascii="Arial" w:hAnsi="Arial" w:cs="Arial"/>
          <w:color w:val="000000" w:themeColor="text1"/>
          <w:sz w:val="22"/>
          <w:lang w:val="es-ES_tradnl"/>
        </w:rPr>
      </w:pPr>
      <w:r w:rsidRPr="00E84A23">
        <w:rPr>
          <w:rFonts w:ascii="Arial" w:hAnsi="Arial" w:cs="Arial"/>
          <w:color w:val="000000" w:themeColor="text1"/>
          <w:sz w:val="22"/>
          <w:lang w:val="es-ES_tradnl"/>
        </w:rPr>
        <w:t xml:space="preserve">Usted </w:t>
      </w:r>
      <w:r w:rsidR="00B422C0" w:rsidRPr="00E84A23">
        <w:rPr>
          <w:rFonts w:ascii="Arial" w:hAnsi="Arial" w:cs="Arial"/>
          <w:color w:val="000000" w:themeColor="text1"/>
          <w:sz w:val="22"/>
          <w:lang w:val="es-ES_tradnl"/>
        </w:rPr>
        <w:t>formula</w:t>
      </w:r>
      <w:r w:rsidR="006D46A3" w:rsidRPr="00E84A23">
        <w:rPr>
          <w:rFonts w:ascii="Arial" w:hAnsi="Arial" w:cs="Arial"/>
          <w:color w:val="000000" w:themeColor="text1"/>
          <w:sz w:val="22"/>
          <w:lang w:val="es-ES_tradnl"/>
        </w:rPr>
        <w:t xml:space="preserve"> la siguiente</w:t>
      </w:r>
      <w:r w:rsidR="00C028F5" w:rsidRPr="00E84A23">
        <w:rPr>
          <w:rFonts w:ascii="Arial" w:hAnsi="Arial" w:cs="Arial"/>
          <w:color w:val="000000" w:themeColor="text1"/>
          <w:sz w:val="22"/>
          <w:lang w:val="es-ES_tradnl"/>
        </w:rPr>
        <w:t xml:space="preserve"> </w:t>
      </w:r>
      <w:r w:rsidR="00637A68" w:rsidRPr="00E84A23">
        <w:rPr>
          <w:rFonts w:ascii="Arial" w:hAnsi="Arial" w:cs="Arial"/>
          <w:color w:val="000000" w:themeColor="text1"/>
          <w:sz w:val="22"/>
          <w:lang w:val="es-ES_tradnl"/>
        </w:rPr>
        <w:t>consulta</w:t>
      </w:r>
      <w:r w:rsidR="00C23F23" w:rsidRPr="00E84A23">
        <w:rPr>
          <w:rFonts w:ascii="Arial" w:hAnsi="Arial" w:cs="Arial"/>
          <w:color w:val="000000" w:themeColor="text1"/>
          <w:sz w:val="22"/>
          <w:lang w:val="es-ES_tradnl"/>
        </w:rPr>
        <w:t xml:space="preserve">: </w:t>
      </w:r>
    </w:p>
    <w:p w14:paraId="559EE20C" w14:textId="77777777" w:rsidR="00443B55" w:rsidRPr="00E84A23" w:rsidRDefault="00443B55" w:rsidP="0099583D">
      <w:pPr>
        <w:spacing w:line="276" w:lineRule="auto"/>
        <w:jc w:val="both"/>
        <w:rPr>
          <w:rFonts w:ascii="Arial" w:hAnsi="Arial" w:cs="Arial"/>
          <w:color w:val="000000" w:themeColor="text1"/>
          <w:sz w:val="22"/>
          <w:lang w:val="es-ES_tradnl"/>
        </w:rPr>
      </w:pPr>
    </w:p>
    <w:p w14:paraId="6156DDF7" w14:textId="77777777" w:rsidR="00B3036E" w:rsidRPr="00E84A23" w:rsidRDefault="00EE77D4" w:rsidP="008625EC">
      <w:pPr>
        <w:ind w:left="709" w:right="709"/>
        <w:jc w:val="both"/>
        <w:rPr>
          <w:rFonts w:ascii="Arial" w:hAnsi="Arial" w:cs="Arial"/>
          <w:color w:val="000000" w:themeColor="text1"/>
          <w:sz w:val="21"/>
          <w:szCs w:val="21"/>
          <w:lang w:val="es-ES_tradnl"/>
        </w:rPr>
      </w:pPr>
      <w:r w:rsidRPr="00E84A23">
        <w:rPr>
          <w:rFonts w:ascii="Arial" w:hAnsi="Arial" w:cs="Arial"/>
          <w:color w:val="000000" w:themeColor="text1"/>
          <w:sz w:val="21"/>
          <w:szCs w:val="21"/>
          <w:lang w:val="es-ES_tradnl"/>
        </w:rPr>
        <w:t>«</w:t>
      </w:r>
      <w:r w:rsidR="00EA5A56" w:rsidRPr="00E84A23">
        <w:rPr>
          <w:rFonts w:ascii="Arial" w:hAnsi="Arial" w:cs="Arial"/>
          <w:color w:val="000000" w:themeColor="text1"/>
          <w:sz w:val="21"/>
          <w:szCs w:val="21"/>
          <w:lang w:val="es-ES_tradnl"/>
        </w:rPr>
        <w:t xml:space="preserve">[…] </w:t>
      </w:r>
      <w:r w:rsidR="00B3036E" w:rsidRPr="00E84A23">
        <w:rPr>
          <w:rFonts w:ascii="Arial" w:hAnsi="Arial" w:cs="Arial"/>
          <w:color w:val="000000" w:themeColor="text1"/>
          <w:sz w:val="21"/>
          <w:szCs w:val="21"/>
          <w:lang w:val="es-ES_tradnl"/>
        </w:rPr>
        <w:t xml:space="preserve">1. UN CONTRATO PRODUCTO DE UN PROCESO DE SELECCIÓN DE MÍNIMA CUANTÍA HASTA QUE MONTO PUEDE SER ADICIONADO. </w:t>
      </w:r>
    </w:p>
    <w:p w14:paraId="56560A98" w14:textId="77777777" w:rsidR="00B3036E" w:rsidRPr="00E84A23" w:rsidRDefault="00B3036E" w:rsidP="008625EC">
      <w:pPr>
        <w:ind w:left="709" w:right="709"/>
        <w:jc w:val="both"/>
        <w:rPr>
          <w:rFonts w:ascii="Arial" w:hAnsi="Arial" w:cs="Arial"/>
          <w:color w:val="000000" w:themeColor="text1"/>
          <w:sz w:val="21"/>
          <w:szCs w:val="21"/>
          <w:lang w:val="es-ES_tradnl"/>
        </w:rPr>
      </w:pPr>
    </w:p>
    <w:p w14:paraId="1DF8E73C" w14:textId="77777777" w:rsidR="00B3036E" w:rsidRPr="00E84A23" w:rsidRDefault="00B3036E" w:rsidP="008625EC">
      <w:pPr>
        <w:ind w:left="709" w:right="709"/>
        <w:jc w:val="both"/>
        <w:rPr>
          <w:rFonts w:ascii="Arial" w:hAnsi="Arial" w:cs="Arial"/>
          <w:color w:val="000000" w:themeColor="text1"/>
          <w:sz w:val="21"/>
          <w:szCs w:val="21"/>
          <w:lang w:val="es-ES_tradnl"/>
        </w:rPr>
      </w:pPr>
      <w:r w:rsidRPr="00E84A23">
        <w:rPr>
          <w:rFonts w:ascii="Arial" w:hAnsi="Arial" w:cs="Arial"/>
          <w:color w:val="000000" w:themeColor="text1"/>
          <w:sz w:val="21"/>
          <w:szCs w:val="21"/>
          <w:lang w:val="es-ES_tradnl"/>
        </w:rPr>
        <w:t xml:space="preserve">» 2. EL PARÁGRAFO DEL ARTÍCULO 40 DE LA LEY 80 DE 1993 QUE REZA: "LOS CONTRATOS NO PODRÁN ADICIONARSE EN MÁS DEL CINCUENTA POR CIENTO (50%) DE SU VALOR INICIAL, EXPRESADO ÉSTE EN SALARIOS MÍNIMOS LEGALES MENSUALES", ES APLICABLE A UN CONTRATO QUE RESULTE DE UN PROCESO DE SELECCIÓN DE MÍNIMA CUANTÍA. </w:t>
      </w:r>
    </w:p>
    <w:p w14:paraId="1336B7EB" w14:textId="67637195" w:rsidR="00DE3789" w:rsidRPr="00E84A23" w:rsidRDefault="00B3036E" w:rsidP="008625EC">
      <w:pPr>
        <w:ind w:left="709" w:right="709"/>
        <w:jc w:val="both"/>
        <w:rPr>
          <w:rFonts w:ascii="Arial" w:hAnsi="Arial" w:cs="Arial"/>
          <w:color w:val="000000" w:themeColor="text1"/>
          <w:sz w:val="21"/>
          <w:szCs w:val="21"/>
          <w:lang w:val="es-ES_tradnl"/>
        </w:rPr>
      </w:pPr>
      <w:r w:rsidRPr="00E84A23">
        <w:rPr>
          <w:rFonts w:ascii="Arial" w:hAnsi="Arial" w:cs="Arial"/>
          <w:color w:val="000000" w:themeColor="text1"/>
          <w:sz w:val="21"/>
          <w:szCs w:val="21"/>
          <w:lang w:val="es-ES_tradnl"/>
        </w:rPr>
        <w:lastRenderedPageBreak/>
        <w:t>» 3. UN CONTRATO PRODUCTO DE UN PROCESO DE SELECCIÓN DE MÍNIMA CUANTÍA PUEDE ADICIONARSE HASTA EL 50% DE SU VALOR INICIAL.</w:t>
      </w:r>
      <w:r w:rsidR="006D4A81" w:rsidRPr="00E84A23">
        <w:rPr>
          <w:rFonts w:ascii="Arial" w:hAnsi="Arial" w:cs="Arial"/>
          <w:color w:val="000000" w:themeColor="text1"/>
          <w:sz w:val="21"/>
          <w:szCs w:val="21"/>
          <w:lang w:val="es-ES_tradnl"/>
        </w:rPr>
        <w:t>»</w:t>
      </w:r>
      <w:r w:rsidR="00E2490F" w:rsidRPr="00E84A23">
        <w:rPr>
          <w:rFonts w:ascii="Arial" w:hAnsi="Arial" w:cs="Arial"/>
          <w:color w:val="000000" w:themeColor="text1"/>
          <w:sz w:val="21"/>
          <w:szCs w:val="21"/>
          <w:lang w:val="es-ES_tradnl"/>
        </w:rPr>
        <w:t xml:space="preserve"> </w:t>
      </w:r>
    </w:p>
    <w:p w14:paraId="6D09568A" w14:textId="1A49DE2D" w:rsidR="00C23F23" w:rsidRPr="00E84A23" w:rsidRDefault="00C23F23" w:rsidP="008625EC">
      <w:pPr>
        <w:ind w:left="709" w:right="709"/>
        <w:jc w:val="both"/>
        <w:rPr>
          <w:rFonts w:ascii="Arial" w:hAnsi="Arial" w:cs="Arial"/>
          <w:color w:val="000000" w:themeColor="text1"/>
          <w:sz w:val="21"/>
          <w:szCs w:val="21"/>
          <w:lang w:val="es-ES_tradnl"/>
        </w:rPr>
      </w:pPr>
    </w:p>
    <w:p w14:paraId="1EDD2982" w14:textId="77777777" w:rsidR="00C23F23" w:rsidRPr="00E84A23" w:rsidRDefault="00C23F23" w:rsidP="008625EC">
      <w:pPr>
        <w:ind w:left="709" w:right="709"/>
        <w:jc w:val="both"/>
        <w:rPr>
          <w:rFonts w:ascii="Arial" w:hAnsi="Arial" w:cs="Arial"/>
          <w:color w:val="000000" w:themeColor="text1"/>
          <w:sz w:val="21"/>
          <w:szCs w:val="21"/>
          <w:lang w:val="es-ES_tradnl"/>
        </w:rPr>
      </w:pPr>
    </w:p>
    <w:p w14:paraId="4D07550D" w14:textId="77777777" w:rsidR="002074C2" w:rsidRPr="00E84A23" w:rsidRDefault="002074C2" w:rsidP="002074C2">
      <w:pPr>
        <w:ind w:left="709" w:right="709"/>
        <w:jc w:val="both"/>
        <w:rPr>
          <w:rFonts w:ascii="Arial" w:hAnsi="Arial" w:cs="Arial"/>
          <w:color w:val="000000" w:themeColor="text1"/>
          <w:sz w:val="21"/>
          <w:szCs w:val="21"/>
          <w:lang w:val="es-ES_tradnl"/>
        </w:rPr>
      </w:pPr>
    </w:p>
    <w:p w14:paraId="124D2DCA" w14:textId="77777777" w:rsidR="00DD5B04" w:rsidRPr="00E84A23"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84A23">
        <w:rPr>
          <w:rFonts w:ascii="Arial" w:eastAsia="Calibri" w:hAnsi="Arial" w:cs="Arial"/>
          <w:b/>
          <w:color w:val="000000" w:themeColor="text1"/>
          <w:sz w:val="22"/>
          <w:lang w:val="es-ES_tradnl"/>
        </w:rPr>
        <w:t>Consideraciones</w:t>
      </w:r>
    </w:p>
    <w:p w14:paraId="7D050D2E" w14:textId="77777777" w:rsidR="00435703" w:rsidRPr="00E84A23" w:rsidRDefault="00435703" w:rsidP="00DF76A2">
      <w:pPr>
        <w:spacing w:line="276" w:lineRule="auto"/>
        <w:jc w:val="both"/>
        <w:rPr>
          <w:rFonts w:ascii="Arial" w:eastAsia="Calibri" w:hAnsi="Arial" w:cs="Arial"/>
          <w:color w:val="000000" w:themeColor="text1"/>
          <w:sz w:val="22"/>
          <w:szCs w:val="22"/>
          <w:lang w:val="es-ES_tradnl"/>
        </w:rPr>
      </w:pPr>
    </w:p>
    <w:p w14:paraId="7701F005" w14:textId="227212BF" w:rsidR="00B723BB" w:rsidRPr="00E84A23" w:rsidRDefault="00B723BB" w:rsidP="00B723BB">
      <w:pPr>
        <w:spacing w:after="120" w:line="276" w:lineRule="auto"/>
        <w:jc w:val="both"/>
        <w:rPr>
          <w:rFonts w:ascii="Arial" w:hAnsi="Arial" w:cs="Arial"/>
          <w:color w:val="000000" w:themeColor="text1"/>
          <w:sz w:val="22"/>
        </w:rPr>
      </w:pPr>
      <w:r w:rsidRPr="00E84A23">
        <w:rPr>
          <w:rFonts w:ascii="Arial" w:hAnsi="Arial" w:cs="Arial"/>
          <w:color w:val="000000" w:themeColor="text1"/>
          <w:sz w:val="22"/>
        </w:rPr>
        <w:t xml:space="preserve">La Agencia Nacional de Contratación Pública – Colombia Compra Eficiente, </w:t>
      </w:r>
      <w:r w:rsidRPr="00E84A23">
        <w:rPr>
          <w:rFonts w:ascii="Arial" w:eastAsia="Calibri" w:hAnsi="Arial" w:cs="Arial"/>
          <w:color w:val="000000" w:themeColor="text1"/>
          <w:sz w:val="22"/>
        </w:rPr>
        <w:t xml:space="preserve">en los conceptos con radicado Nos. 4201912000007298 de 23 de octubre de 2019, 4201913000006294 del 16 de septiembre de 2019, C-062 del 25 de marzo de 2020, </w:t>
      </w:r>
      <w:r w:rsidR="007B561E" w:rsidRPr="00E84A23">
        <w:rPr>
          <w:rFonts w:ascii="Arial" w:eastAsia="Calibri" w:hAnsi="Arial" w:cs="Arial"/>
          <w:color w:val="000000" w:themeColor="text1"/>
          <w:sz w:val="22"/>
        </w:rPr>
        <w:t xml:space="preserve">C-100 de 27 de marzo de 2020, </w:t>
      </w:r>
      <w:r w:rsidRPr="00E84A23">
        <w:rPr>
          <w:rFonts w:ascii="Arial" w:eastAsia="Calibri" w:hAnsi="Arial" w:cs="Arial"/>
          <w:color w:val="000000" w:themeColor="text1"/>
          <w:sz w:val="22"/>
        </w:rPr>
        <w:t xml:space="preserve">C-318 del 25 de mayo de 2020, </w:t>
      </w:r>
      <w:r w:rsidR="007F510D" w:rsidRPr="00E84A23">
        <w:rPr>
          <w:rFonts w:ascii="Arial" w:eastAsia="Calibri" w:hAnsi="Arial" w:cs="Arial"/>
          <w:color w:val="000000" w:themeColor="text1"/>
          <w:sz w:val="22"/>
        </w:rPr>
        <w:t xml:space="preserve">C-452 de 28 de julio de 2020, </w:t>
      </w:r>
      <w:r w:rsidRPr="00E84A23">
        <w:rPr>
          <w:rFonts w:ascii="Arial" w:eastAsia="Calibri" w:hAnsi="Arial" w:cs="Arial"/>
          <w:color w:val="000000" w:themeColor="text1"/>
          <w:sz w:val="22"/>
        </w:rPr>
        <w:t>C-560 del 24 de agosto de 2020, C-628 del 23 de septiembre del 2020, C-073 de 16 de marzo de 2021</w:t>
      </w:r>
      <w:r w:rsidR="003214F1" w:rsidRPr="00E84A23">
        <w:rPr>
          <w:rFonts w:ascii="Arial" w:eastAsia="Calibri" w:hAnsi="Arial" w:cs="Arial"/>
          <w:color w:val="000000" w:themeColor="text1"/>
          <w:sz w:val="22"/>
        </w:rPr>
        <w:t>, C-277 de 21 de junio de 2021,</w:t>
      </w:r>
      <w:r w:rsidRPr="00E84A23">
        <w:rPr>
          <w:rFonts w:ascii="Arial" w:eastAsia="Calibri" w:hAnsi="Arial" w:cs="Arial"/>
          <w:color w:val="000000" w:themeColor="text1"/>
          <w:sz w:val="22"/>
        </w:rPr>
        <w:t xml:space="preserve"> C-644 de 18 de noviembre de 2021</w:t>
      </w:r>
      <w:r w:rsidR="003214F1" w:rsidRPr="00E84A23">
        <w:rPr>
          <w:rFonts w:ascii="Arial" w:eastAsia="Calibri" w:hAnsi="Arial" w:cs="Arial"/>
          <w:color w:val="000000" w:themeColor="text1"/>
          <w:sz w:val="22"/>
        </w:rPr>
        <w:t xml:space="preserve"> y C-755 de 21 de enero de 2022</w:t>
      </w:r>
      <w:r w:rsidRPr="00E84A23">
        <w:rPr>
          <w:rFonts w:ascii="Arial" w:eastAsia="Calibri" w:hAnsi="Arial" w:cs="Arial"/>
          <w:color w:val="000000" w:themeColor="text1"/>
          <w:sz w:val="22"/>
        </w:rPr>
        <w:t xml:space="preserve"> estudió temas relacionados con la adición de los </w:t>
      </w:r>
      <w:r w:rsidRPr="00E84A23">
        <w:rPr>
          <w:rFonts w:ascii="Arial" w:hAnsi="Arial" w:cs="Arial"/>
          <w:color w:val="000000" w:themeColor="text1"/>
          <w:sz w:val="22"/>
        </w:rPr>
        <w:t>contratos estatales. La tesis expuesta en estos conceptos se reitera a continuación</w:t>
      </w:r>
      <w:r w:rsidR="0018375B" w:rsidRPr="00E84A23">
        <w:rPr>
          <w:rFonts w:ascii="Arial" w:hAnsi="Arial" w:cs="Arial"/>
          <w:color w:val="000000" w:themeColor="text1"/>
          <w:sz w:val="22"/>
        </w:rPr>
        <w:t xml:space="preserve"> </w:t>
      </w:r>
      <w:r w:rsidR="0018375B" w:rsidRPr="00E84A23">
        <w:rPr>
          <w:rFonts w:ascii="Arial" w:eastAsia="Arial" w:hAnsi="Arial" w:cs="Arial"/>
          <w:color w:val="161616" w:themeColor="background1" w:themeShade="1A"/>
          <w:sz w:val="22"/>
          <w:szCs w:val="22"/>
          <w:lang w:val="es-ES_tradnl"/>
        </w:rPr>
        <w:t>y complementa a continuación.</w:t>
      </w:r>
    </w:p>
    <w:p w14:paraId="331D0ECA" w14:textId="3305F48F" w:rsidR="003C4317" w:rsidRPr="00E84A23" w:rsidRDefault="003C4317" w:rsidP="00271230">
      <w:pPr>
        <w:spacing w:line="276" w:lineRule="auto"/>
        <w:jc w:val="both"/>
        <w:rPr>
          <w:rFonts w:ascii="Arial" w:eastAsia="Calibri" w:hAnsi="Arial" w:cs="Arial"/>
          <w:color w:val="000000" w:themeColor="text1"/>
          <w:sz w:val="22"/>
          <w:szCs w:val="22"/>
          <w:lang w:val="es-ES_tradnl"/>
        </w:rPr>
      </w:pPr>
    </w:p>
    <w:p w14:paraId="1F9D5A40" w14:textId="5D0E4CA2" w:rsidR="00CF1EB8" w:rsidRPr="00E84A23" w:rsidRDefault="00942641" w:rsidP="00E30BF0">
      <w:pPr>
        <w:spacing w:line="276" w:lineRule="auto"/>
        <w:jc w:val="both"/>
        <w:rPr>
          <w:rFonts w:ascii="Arial" w:eastAsia="Calibri" w:hAnsi="Arial" w:cs="Arial"/>
          <w:b/>
          <w:color w:val="000000" w:themeColor="text1"/>
          <w:sz w:val="22"/>
          <w:lang w:val="es-ES_tradnl"/>
        </w:rPr>
      </w:pPr>
      <w:r w:rsidRPr="00E84A23">
        <w:rPr>
          <w:rFonts w:ascii="Arial" w:eastAsia="Calibri" w:hAnsi="Arial" w:cs="Arial"/>
          <w:b/>
          <w:bCs/>
          <w:color w:val="000000" w:themeColor="text1"/>
          <w:sz w:val="22"/>
          <w:lang w:val="es-ES_tradnl"/>
        </w:rPr>
        <w:t xml:space="preserve">2.1. </w:t>
      </w:r>
      <w:r w:rsidR="00E30BF0" w:rsidRPr="00E84A23">
        <w:rPr>
          <w:rFonts w:ascii="Arial" w:hAnsi="Arial" w:cs="Arial"/>
          <w:b/>
          <w:sz w:val="22"/>
          <w:lang w:val="es-ES_tradnl"/>
        </w:rPr>
        <w:t>Concepto de adición en los contratos estatales y sus límites</w:t>
      </w:r>
      <w:r w:rsidR="00830655" w:rsidRPr="00E84A23">
        <w:rPr>
          <w:rFonts w:ascii="Arial" w:hAnsi="Arial" w:cs="Arial"/>
          <w:b/>
          <w:sz w:val="22"/>
          <w:lang w:val="es-ES_tradnl"/>
        </w:rPr>
        <w:t xml:space="preserve"> </w:t>
      </w:r>
      <w:r w:rsidR="00E66124" w:rsidRPr="00E84A23">
        <w:rPr>
          <w:rFonts w:ascii="Arial" w:hAnsi="Arial" w:cs="Arial"/>
          <w:b/>
          <w:sz w:val="22"/>
          <w:lang w:val="es-ES_tradnl"/>
        </w:rPr>
        <w:t>en el Estatuto General de Contratación de la Administración Pública</w:t>
      </w:r>
    </w:p>
    <w:p w14:paraId="0AC77B73" w14:textId="77777777" w:rsidR="002655EF" w:rsidRPr="00E84A23" w:rsidRDefault="002655EF" w:rsidP="002655EF">
      <w:pPr>
        <w:spacing w:line="276" w:lineRule="auto"/>
        <w:jc w:val="both"/>
        <w:rPr>
          <w:rFonts w:ascii="Arial" w:hAnsi="Arial" w:cs="Arial"/>
          <w:bCs/>
          <w:sz w:val="22"/>
          <w:lang w:val="es-ES_tradnl"/>
        </w:rPr>
      </w:pPr>
    </w:p>
    <w:p w14:paraId="21D7B0C3" w14:textId="77777777" w:rsidR="002655EF" w:rsidRPr="00E84A23" w:rsidRDefault="002655EF" w:rsidP="002655EF">
      <w:pPr>
        <w:spacing w:after="120" w:line="276" w:lineRule="auto"/>
        <w:jc w:val="both"/>
        <w:rPr>
          <w:rFonts w:ascii="Arial" w:hAnsi="Arial" w:cs="Arial"/>
          <w:bCs/>
          <w:sz w:val="22"/>
          <w:lang w:val="es-ES_tradnl"/>
        </w:rPr>
      </w:pPr>
      <w:r w:rsidRPr="00E84A23">
        <w:rPr>
          <w:rFonts w:ascii="Arial" w:hAnsi="Arial" w:cs="Arial"/>
          <w:bCs/>
          <w:sz w:val="22"/>
          <w:lang w:val="es-ES_tradnl"/>
        </w:rPr>
        <w:t xml:space="preserve">Como es sabido, uno de los elementos más comunes en los contratos estatales es el </w:t>
      </w:r>
      <w:r w:rsidRPr="00E84A23">
        <w:rPr>
          <w:rFonts w:ascii="Arial" w:hAnsi="Arial" w:cs="Arial"/>
          <w:bCs/>
          <w:i/>
          <w:iCs/>
          <w:sz w:val="22"/>
          <w:lang w:val="es-ES_tradnl"/>
        </w:rPr>
        <w:t>precio</w:t>
      </w:r>
      <w:r w:rsidRPr="00E84A23">
        <w:rPr>
          <w:rFonts w:ascii="Arial" w:hAnsi="Arial" w:cs="Arial"/>
          <w:bCs/>
          <w:sz w:val="22"/>
          <w:lang w:val="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BDB9F7C" w14:textId="636147E4" w:rsidR="00F72DD9" w:rsidRPr="00E84A23" w:rsidRDefault="002655EF" w:rsidP="002655EF">
      <w:pPr>
        <w:spacing w:before="120" w:after="120" w:line="276" w:lineRule="auto"/>
        <w:ind w:firstLine="709"/>
        <w:jc w:val="both"/>
        <w:rPr>
          <w:rFonts w:ascii="Arial" w:hAnsi="Arial" w:cs="Arial"/>
          <w:bCs/>
          <w:sz w:val="22"/>
          <w:lang w:val="es-ES_tradnl"/>
        </w:rPr>
      </w:pPr>
      <w:r w:rsidRPr="00E84A23">
        <w:rPr>
          <w:rFonts w:ascii="Arial" w:hAnsi="Arial" w:cs="Arial"/>
          <w:bCs/>
          <w:sz w:val="22"/>
          <w:lang w:val="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w:t>
      </w:r>
      <w:r w:rsidR="006A7B11" w:rsidRPr="00E84A23">
        <w:rPr>
          <w:rFonts w:ascii="Arial" w:hAnsi="Arial" w:cs="Arial"/>
          <w:bCs/>
          <w:sz w:val="22"/>
          <w:lang w:val="es-ES_tradnl"/>
        </w:rPr>
        <w:t xml:space="preserve">entidad </w:t>
      </w:r>
      <w:r w:rsidRPr="00E84A23">
        <w:rPr>
          <w:rFonts w:ascii="Arial" w:hAnsi="Arial" w:cs="Arial"/>
          <w:bCs/>
          <w:sz w:val="22"/>
          <w:lang w:val="es-ES_tradnl"/>
        </w:rPr>
        <w:t>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E84A23">
        <w:rPr>
          <w:rStyle w:val="Refdenotaalpie"/>
          <w:rFonts w:ascii="Arial" w:hAnsi="Arial" w:cs="Arial"/>
          <w:bCs/>
          <w:sz w:val="22"/>
          <w:lang w:val="es-ES_tradnl"/>
        </w:rPr>
        <w:footnoteReference w:id="2"/>
      </w:r>
      <w:r w:rsidRPr="00E84A23">
        <w:rPr>
          <w:rFonts w:ascii="Arial" w:hAnsi="Arial" w:cs="Arial"/>
          <w:bCs/>
          <w:sz w:val="22"/>
          <w:lang w:val="es-ES_tradnl"/>
        </w:rPr>
        <w:t>.</w:t>
      </w:r>
    </w:p>
    <w:p w14:paraId="6AA4F557" w14:textId="31DB79C7" w:rsidR="002655EF" w:rsidRPr="00E84A23" w:rsidRDefault="002655EF" w:rsidP="002655EF">
      <w:pPr>
        <w:spacing w:before="120" w:after="120" w:line="276" w:lineRule="auto"/>
        <w:ind w:firstLine="709"/>
        <w:jc w:val="both"/>
        <w:rPr>
          <w:rFonts w:ascii="Arial" w:hAnsi="Arial" w:cs="Arial"/>
          <w:bCs/>
          <w:sz w:val="22"/>
          <w:lang w:val="es-ES_tradnl"/>
        </w:rPr>
      </w:pPr>
      <w:r w:rsidRPr="00E84A23">
        <w:rPr>
          <w:rFonts w:ascii="Arial" w:hAnsi="Arial" w:cs="Arial"/>
          <w:bCs/>
          <w:sz w:val="22"/>
          <w:lang w:val="es-ES_tradnl"/>
        </w:rPr>
        <w:lastRenderedPageBreak/>
        <w:t>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76CBF741" w14:textId="6103B4FE" w:rsidR="002655EF" w:rsidRPr="00E84A23" w:rsidRDefault="00936517" w:rsidP="000D1101">
      <w:pPr>
        <w:spacing w:line="276" w:lineRule="auto"/>
        <w:ind w:firstLine="709"/>
        <w:jc w:val="both"/>
        <w:rPr>
          <w:rFonts w:ascii="Arial" w:hAnsi="Arial" w:cs="Arial"/>
          <w:bCs/>
          <w:sz w:val="22"/>
          <w:lang w:val="es-ES_tradnl"/>
        </w:rPr>
      </w:pPr>
      <w:r w:rsidRPr="00E84A23">
        <w:rPr>
          <w:rFonts w:ascii="Arial" w:hAnsi="Arial" w:cs="Arial"/>
          <w:bCs/>
          <w:sz w:val="22"/>
          <w:lang w:val="es-ES_tradnl"/>
        </w:rPr>
        <w:t>Por ejemplo</w:t>
      </w:r>
      <w:r w:rsidR="002655EF" w:rsidRPr="00E84A23">
        <w:rPr>
          <w:rFonts w:ascii="Arial" w:hAnsi="Arial" w:cs="Arial"/>
          <w:bCs/>
          <w:sz w:val="22"/>
          <w:lang w:val="es-ES_tradnl"/>
        </w:rPr>
        <w:t xml:space="preserve">,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002655EF" w:rsidRPr="00E84A23">
        <w:rPr>
          <w:rFonts w:ascii="Arial" w:hAnsi="Arial" w:cs="Arial"/>
          <w:bCs/>
          <w:i/>
          <w:iCs/>
          <w:sz w:val="22"/>
          <w:lang w:val="es-ES_tradnl"/>
        </w:rPr>
        <w:t>ítems</w:t>
      </w:r>
      <w:r w:rsidR="002655EF" w:rsidRPr="00E84A23">
        <w:rPr>
          <w:rFonts w:ascii="Arial" w:hAnsi="Arial" w:cs="Arial"/>
          <w:bCs/>
          <w:sz w:val="22"/>
          <w:lang w:val="es-ES_tradnl"/>
        </w:rPr>
        <w:t xml:space="preserve"> según su unidad de medida, los costos indirectos se suelen abreviar en las variables que integran el acrónimo AIU –Administración, Imprevistos y Utilidad–, que se calcula como un porcentaje aplicado a los costos indirectos</w:t>
      </w:r>
      <w:r w:rsidR="002655EF" w:rsidRPr="00E84A23">
        <w:rPr>
          <w:rStyle w:val="Refdenotaalpie"/>
          <w:rFonts w:ascii="Arial" w:hAnsi="Arial" w:cs="Arial"/>
          <w:sz w:val="21"/>
          <w:szCs w:val="21"/>
          <w:lang w:val="es-ES_tradnl"/>
        </w:rPr>
        <w:footnoteReference w:id="3"/>
      </w:r>
      <w:r w:rsidR="002655EF" w:rsidRPr="00E84A23">
        <w:rPr>
          <w:rFonts w:ascii="Arial" w:hAnsi="Arial" w:cs="Arial"/>
          <w:sz w:val="21"/>
          <w:szCs w:val="21"/>
          <w:lang w:val="es-ES_tradnl"/>
        </w:rPr>
        <w:t>.</w:t>
      </w:r>
    </w:p>
    <w:p w14:paraId="76FCA3B6" w14:textId="77777777" w:rsidR="00E02144" w:rsidRPr="00E84A23" w:rsidRDefault="00727799" w:rsidP="00E02144">
      <w:pPr>
        <w:spacing w:before="120" w:line="276" w:lineRule="auto"/>
        <w:ind w:firstLine="709"/>
        <w:jc w:val="both"/>
        <w:rPr>
          <w:rFonts w:ascii="Arial" w:hAnsi="Arial" w:cs="Arial"/>
          <w:bCs/>
          <w:sz w:val="22"/>
          <w:lang w:val="es-ES_tradnl"/>
        </w:rPr>
      </w:pPr>
      <w:r w:rsidRPr="00E84A23">
        <w:rPr>
          <w:rFonts w:ascii="Arial" w:hAnsi="Arial" w:cs="Arial"/>
          <w:bCs/>
          <w:sz w:val="22"/>
          <w:lang w:val="es-ES_tradnl"/>
        </w:rPr>
        <w:t>En este orden de ideas</w:t>
      </w:r>
      <w:r w:rsidR="002655EF" w:rsidRPr="00E84A23">
        <w:rPr>
          <w:rFonts w:ascii="Arial" w:hAnsi="Arial" w:cs="Arial"/>
          <w:bCs/>
          <w:sz w:val="22"/>
          <w:lang w:val="es-ES_tradnl"/>
        </w:rPr>
        <w:t>,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w:t>
      </w:r>
      <w:r w:rsidR="004826AE" w:rsidRPr="00E84A23">
        <w:rPr>
          <w:rFonts w:ascii="Arial" w:hAnsi="Arial" w:cs="Arial"/>
          <w:bCs/>
          <w:sz w:val="22"/>
          <w:lang w:val="es-ES_tradnl"/>
        </w:rPr>
        <w:t xml:space="preserve"> Para las entidades que se rigen por el Estatuto </w:t>
      </w:r>
      <w:r w:rsidR="004826AE" w:rsidRPr="00E84A23">
        <w:rPr>
          <w:rFonts w:ascii="Arial" w:hAnsi="Arial" w:cs="Arial"/>
          <w:bCs/>
          <w:sz w:val="22"/>
          <w:lang w:val="es-ES_tradnl"/>
        </w:rPr>
        <w:lastRenderedPageBreak/>
        <w:t xml:space="preserve">General de Contratación de la Administración Pública, tal autonomía está reconocida en </w:t>
      </w:r>
      <w:r w:rsidR="002655EF" w:rsidRPr="00E84A23">
        <w:rPr>
          <w:rFonts w:ascii="Arial" w:hAnsi="Arial" w:cs="Arial"/>
          <w:bCs/>
          <w:sz w:val="22"/>
          <w:lang w:val="es-ES_tradnl"/>
        </w:rPr>
        <w:t xml:space="preserve">los artículos 13, 32 y 40 </w:t>
      </w:r>
      <w:r w:rsidR="00CE68EF" w:rsidRPr="00E84A23">
        <w:rPr>
          <w:rFonts w:ascii="Arial" w:hAnsi="Arial" w:cs="Arial"/>
          <w:bCs/>
          <w:sz w:val="22"/>
          <w:lang w:val="es-ES_tradnl"/>
        </w:rPr>
        <w:t>de la Ley 80 de 1993.</w:t>
      </w:r>
    </w:p>
    <w:p w14:paraId="7D8D0A17" w14:textId="77777777" w:rsidR="00E02144" w:rsidRPr="00E84A23" w:rsidRDefault="00CE68EF" w:rsidP="00E02144">
      <w:pPr>
        <w:spacing w:before="120" w:line="276" w:lineRule="auto"/>
        <w:ind w:firstLine="709"/>
        <w:jc w:val="both"/>
        <w:rPr>
          <w:rFonts w:ascii="Arial" w:eastAsia="Calibri" w:hAnsi="Arial" w:cs="Arial"/>
          <w:sz w:val="22"/>
          <w:lang w:val="es-ES_tradnl"/>
        </w:rPr>
      </w:pPr>
      <w:r w:rsidRPr="00E84A23">
        <w:rPr>
          <w:rFonts w:ascii="Arial" w:eastAsia="Calibri" w:hAnsi="Arial" w:cs="Arial"/>
          <w:sz w:val="22"/>
          <w:lang w:val="es-ES_tradnl"/>
        </w:rPr>
        <w:t>Ahora bien, l</w:t>
      </w:r>
      <w:r w:rsidR="00D13FE4" w:rsidRPr="00E84A23">
        <w:rPr>
          <w:rFonts w:ascii="Arial" w:eastAsia="Calibri" w:hAnsi="Arial" w:cs="Arial"/>
          <w:sz w:val="22"/>
          <w:lang w:val="es-ES_tradnl"/>
        </w:rPr>
        <w:t xml:space="preserve">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5B64671E" w14:textId="031F239E" w:rsidR="0029745A" w:rsidRPr="00E84A23" w:rsidRDefault="00D13FE4" w:rsidP="00E02144">
      <w:pPr>
        <w:spacing w:before="120" w:line="276" w:lineRule="auto"/>
        <w:ind w:firstLine="709"/>
        <w:jc w:val="both"/>
        <w:rPr>
          <w:rFonts w:ascii="Arial" w:hAnsi="Arial" w:cs="Arial"/>
          <w:color w:val="000000" w:themeColor="text1"/>
          <w:sz w:val="22"/>
          <w:lang w:val="es-ES_tradnl"/>
        </w:rPr>
      </w:pPr>
      <w:r w:rsidRPr="00E84A23">
        <w:rPr>
          <w:rFonts w:ascii="Arial" w:eastAsia="Calibri" w:hAnsi="Arial" w:cs="Arial"/>
          <w:sz w:val="22"/>
          <w:lang w:val="es-ES_tradnl"/>
        </w:rPr>
        <w:t>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w:t>
      </w:r>
      <w:r w:rsidR="0029745A" w:rsidRPr="00E84A23">
        <w:rPr>
          <w:rFonts w:ascii="Arial" w:eastAsia="Calibri" w:hAnsi="Arial" w:cs="Arial"/>
          <w:sz w:val="22"/>
          <w:lang w:val="es-ES_tradnl"/>
        </w:rPr>
        <w:t xml:space="preserve"> </w:t>
      </w:r>
      <w:r w:rsidR="0029745A" w:rsidRPr="00E84A23">
        <w:rPr>
          <w:rFonts w:ascii="Arial" w:hAnsi="Arial" w:cs="Arial"/>
          <w:color w:val="000000" w:themeColor="text1"/>
          <w:sz w:val="22"/>
          <w:lang w:val="es-ES_tradnl"/>
        </w:rPr>
        <w:t>Lo importante es que</w:t>
      </w:r>
      <w:r w:rsidR="00AE3218" w:rsidRPr="00E84A23">
        <w:rPr>
          <w:rFonts w:ascii="Arial" w:hAnsi="Arial" w:cs="Arial"/>
          <w:color w:val="000000" w:themeColor="text1"/>
          <w:sz w:val="22"/>
          <w:lang w:val="es-ES_tradnl"/>
        </w:rPr>
        <w:t>,</w:t>
      </w:r>
      <w:r w:rsidR="0029745A" w:rsidRPr="00E84A23">
        <w:rPr>
          <w:rFonts w:ascii="Arial" w:hAnsi="Arial" w:cs="Arial"/>
          <w:color w:val="000000" w:themeColor="text1"/>
          <w:sz w:val="22"/>
          <w:lang w:val="es-ES_tradnl"/>
        </w:rPr>
        <w:t xml:space="preserve"> frente a cualquier incremento del valor inicial del contrato, que es lo que implica una </w:t>
      </w:r>
      <w:r w:rsidR="0029745A" w:rsidRPr="00E84A23">
        <w:rPr>
          <w:rFonts w:ascii="Arial" w:hAnsi="Arial" w:cs="Arial"/>
          <w:i/>
          <w:iCs/>
          <w:color w:val="000000" w:themeColor="text1"/>
          <w:sz w:val="22"/>
          <w:lang w:val="es-ES_tradnl"/>
        </w:rPr>
        <w:t xml:space="preserve">adición, </w:t>
      </w:r>
      <w:r w:rsidR="0029745A" w:rsidRPr="00E84A23">
        <w:rPr>
          <w:rFonts w:ascii="Arial" w:hAnsi="Arial" w:cs="Arial"/>
          <w:color w:val="000000" w:themeColor="text1"/>
          <w:sz w:val="22"/>
          <w:lang w:val="es-ES_tradnl"/>
        </w:rPr>
        <w:t>por cualquiera de los supuesto</w:t>
      </w:r>
      <w:r w:rsidR="00AE3218" w:rsidRPr="00E84A23">
        <w:rPr>
          <w:rFonts w:ascii="Arial" w:hAnsi="Arial" w:cs="Arial"/>
          <w:color w:val="000000" w:themeColor="text1"/>
          <w:sz w:val="22"/>
          <w:lang w:val="es-ES_tradnl"/>
        </w:rPr>
        <w:t>s</w:t>
      </w:r>
      <w:r w:rsidR="0029745A" w:rsidRPr="00E84A23">
        <w:rPr>
          <w:rFonts w:ascii="Arial" w:hAnsi="Arial" w:cs="Arial"/>
          <w:color w:val="000000" w:themeColor="text1"/>
          <w:sz w:val="22"/>
          <w:lang w:val="es-ES_tradnl"/>
        </w:rPr>
        <w:t xml:space="preserve">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w:t>
      </w:r>
      <w:r w:rsidR="00AE3218" w:rsidRPr="00E84A23">
        <w:rPr>
          <w:rFonts w:ascii="Arial" w:hAnsi="Arial" w:cs="Arial"/>
          <w:color w:val="000000" w:themeColor="text1"/>
          <w:sz w:val="22"/>
          <w:lang w:val="es-ES_tradnl"/>
        </w:rPr>
        <w:t>,</w:t>
      </w:r>
      <w:r w:rsidR="0029745A" w:rsidRPr="00E84A23">
        <w:rPr>
          <w:rFonts w:ascii="Arial" w:hAnsi="Arial" w:cs="Arial"/>
          <w:color w:val="000000" w:themeColor="text1"/>
          <w:sz w:val="22"/>
          <w:lang w:val="es-ES_tradnl"/>
        </w:rPr>
        <w:t xml:space="preserve"> aunque es posible celebrar todos los tipos de acuerdos indicados, siempre se debe observar esta última disposición</w:t>
      </w:r>
      <w:r w:rsidR="0029745A" w:rsidRPr="00E84A23">
        <w:rPr>
          <w:rStyle w:val="Refdenotaalpie"/>
          <w:rFonts w:ascii="Arial" w:hAnsi="Arial" w:cs="Arial"/>
          <w:color w:val="000000" w:themeColor="text1"/>
          <w:sz w:val="22"/>
          <w:lang w:val="es-ES_tradnl"/>
        </w:rPr>
        <w:footnoteReference w:id="4"/>
      </w:r>
      <w:r w:rsidR="0029745A" w:rsidRPr="00E84A23">
        <w:rPr>
          <w:rFonts w:ascii="Arial" w:hAnsi="Arial" w:cs="Arial"/>
          <w:color w:val="000000" w:themeColor="text1"/>
          <w:sz w:val="22"/>
          <w:lang w:val="es-ES_tradnl"/>
        </w:rPr>
        <w:t>.</w:t>
      </w:r>
    </w:p>
    <w:p w14:paraId="7B200037" w14:textId="77777777" w:rsidR="00477034" w:rsidRPr="00E84A23" w:rsidRDefault="0029745A" w:rsidP="00A23C69">
      <w:pPr>
        <w:spacing w:before="120" w:line="276" w:lineRule="auto"/>
        <w:ind w:firstLine="709"/>
        <w:jc w:val="both"/>
        <w:rPr>
          <w:rFonts w:ascii="Arial" w:hAnsi="Arial" w:cs="Arial"/>
          <w:color w:val="000000" w:themeColor="text1"/>
          <w:sz w:val="22"/>
          <w:lang w:val="es-ES_tradnl"/>
        </w:rPr>
      </w:pPr>
      <w:r w:rsidRPr="00E84A23">
        <w:rPr>
          <w:rFonts w:ascii="Arial" w:hAnsi="Arial" w:cs="Arial"/>
          <w:color w:val="000000" w:themeColor="text1"/>
          <w:sz w:val="22"/>
          <w:lang w:val="es-ES_tradnl"/>
        </w:rPr>
        <w:t xml:space="preserve">Dicha norma además de consagrar una prohibición trae implícita una autorización, consistente en la posibilidad de adicionar los contratos estatales, siempre que no se supere el tope establecido. Ahora bien, </w:t>
      </w:r>
      <w:r w:rsidR="007C7EDD" w:rsidRPr="00E84A23">
        <w:rPr>
          <w:rFonts w:ascii="Arial" w:hAnsi="Arial" w:cs="Arial"/>
          <w:color w:val="000000" w:themeColor="text1"/>
          <w:sz w:val="22"/>
          <w:lang w:val="es-ES_tradnl"/>
        </w:rPr>
        <w:t xml:space="preserve">para determinar </w:t>
      </w:r>
      <w:r w:rsidRPr="00E84A23">
        <w:rPr>
          <w:rFonts w:ascii="Arial" w:hAnsi="Arial" w:cs="Arial"/>
          <w:color w:val="000000" w:themeColor="text1"/>
          <w:sz w:val="22"/>
          <w:lang w:val="es-ES_tradnl"/>
        </w:rPr>
        <w:t>c</w:t>
      </w:r>
      <w:r w:rsidR="007C7EDD" w:rsidRPr="00E84A23">
        <w:rPr>
          <w:rFonts w:ascii="Arial" w:hAnsi="Arial" w:cs="Arial"/>
          <w:color w:val="000000" w:themeColor="text1"/>
          <w:sz w:val="22"/>
          <w:lang w:val="es-ES_tradnl"/>
        </w:rPr>
        <w:t>ó</w:t>
      </w:r>
      <w:r w:rsidRPr="00E84A23">
        <w:rPr>
          <w:rFonts w:ascii="Arial" w:hAnsi="Arial" w:cs="Arial"/>
          <w:color w:val="000000" w:themeColor="text1"/>
          <w:sz w:val="22"/>
          <w:lang w:val="es-ES_tradnl"/>
        </w:rPr>
        <w:t xml:space="preserve">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3EA89444" w14:textId="77777777" w:rsidR="00477034" w:rsidRPr="00E84A23" w:rsidRDefault="00477034" w:rsidP="00477034">
      <w:pPr>
        <w:spacing w:before="120" w:after="120" w:line="276" w:lineRule="auto"/>
        <w:ind w:firstLine="709"/>
        <w:jc w:val="both"/>
        <w:rPr>
          <w:rFonts w:ascii="Arial" w:hAnsi="Arial" w:cs="Arial"/>
          <w:color w:val="000000" w:themeColor="text1"/>
          <w:sz w:val="22"/>
        </w:rPr>
      </w:pPr>
      <w:r w:rsidRPr="00E84A23">
        <w:rPr>
          <w:rFonts w:ascii="Arial" w:hAnsi="Arial" w:cs="Arial"/>
          <w:color w:val="000000" w:themeColor="text1"/>
          <w:sz w:val="22"/>
        </w:rPr>
        <w:t xml:space="preserve">En consecuencia, al momento de adicionar debe tenerse en cuenta que el cálculo del límite debe realizarse en salarios mínimos para efectos de que el cálculo del tope sea preciso. De manera que para adicionar un contrato debe dividirse el valor inicial por el </w:t>
      </w:r>
      <w:r w:rsidRPr="00E84A23">
        <w:rPr>
          <w:rFonts w:ascii="Arial" w:hAnsi="Arial" w:cs="Arial"/>
          <w:color w:val="000000" w:themeColor="text1"/>
          <w:sz w:val="22"/>
        </w:rPr>
        <w:lastRenderedPageBreak/>
        <w:t xml:space="preserve">salario mínimo legal mensual vigente –SMLMV–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 </w:t>
      </w:r>
    </w:p>
    <w:p w14:paraId="565CCEF3" w14:textId="300A8470" w:rsidR="005E6447" w:rsidRPr="00E84A23" w:rsidRDefault="00477034" w:rsidP="009507C3">
      <w:pPr>
        <w:spacing w:after="120" w:line="276" w:lineRule="auto"/>
        <w:ind w:firstLine="709"/>
        <w:jc w:val="both"/>
        <w:rPr>
          <w:rFonts w:ascii="Arial" w:eastAsia="Calibri" w:hAnsi="Arial" w:cs="Arial"/>
          <w:sz w:val="22"/>
        </w:rPr>
      </w:pPr>
      <w:r w:rsidRPr="00E84A23">
        <w:rPr>
          <w:rFonts w:ascii="Arial" w:eastAsia="Calibri" w:hAnsi="Arial" w:cs="Arial"/>
          <w:sz w:val="22"/>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consecuencia, se considera que debido a que cuando el legislador fijó ese límite de la adición de los contratos estatales acudiendo al concepto o, si se quiere, a la fórmula de los SMLMV quedó prevista intrínsecamente una actualización del valor del dinero, en aras de corregir su depreciación, para efectos de establecer el tope por el cual se puede incrementar el valor de los contratos estatales.</w:t>
      </w:r>
    </w:p>
    <w:p w14:paraId="625D8336" w14:textId="37F49AFB" w:rsidR="00223DE4" w:rsidRPr="00E84A23" w:rsidRDefault="00223DE4" w:rsidP="00694DB0">
      <w:pPr>
        <w:spacing w:after="240" w:line="276" w:lineRule="auto"/>
        <w:ind w:firstLine="709"/>
        <w:jc w:val="both"/>
        <w:rPr>
          <w:rFonts w:ascii="Arial" w:eastAsia="Calibri" w:hAnsi="Arial" w:cs="Arial"/>
          <w:sz w:val="22"/>
        </w:rPr>
      </w:pPr>
      <w:r w:rsidRPr="00E84A23">
        <w:rPr>
          <w:rFonts w:ascii="Arial" w:eastAsia="Calibri" w:hAnsi="Arial" w:cs="Arial"/>
          <w:sz w:val="22"/>
        </w:rPr>
        <w:t>Ahora bien, la regla establecida en el parágrafo del artículo 40 de la Ley 80 de 1993 aplica a todos los contratos estatales regidos por el Estatuto General de Contratación de la Administración Pública, independientemente de la modalidad de selección o la tipología contractual del negocio jurídico que se considere necesario adicionar, sin perjuicio de las excepciones al límite de adición de los contratos estatales que se analizará en el siguiente numeral.</w:t>
      </w:r>
    </w:p>
    <w:p w14:paraId="03B950DE" w14:textId="2B3DBA34" w:rsidR="00F9471B" w:rsidRPr="00E84A23" w:rsidRDefault="00694DB0" w:rsidP="00404C78">
      <w:pPr>
        <w:spacing w:after="240" w:line="276" w:lineRule="auto"/>
        <w:jc w:val="both"/>
        <w:rPr>
          <w:rFonts w:ascii="Arial" w:eastAsia="Calibri" w:hAnsi="Arial" w:cs="Arial"/>
          <w:b/>
          <w:color w:val="000000" w:themeColor="text1"/>
          <w:sz w:val="22"/>
          <w:lang w:val="es-ES_tradnl"/>
        </w:rPr>
      </w:pPr>
      <w:r w:rsidRPr="00E84A23">
        <w:rPr>
          <w:rFonts w:ascii="Arial" w:eastAsia="Calibri" w:hAnsi="Arial" w:cs="Arial"/>
          <w:b/>
          <w:bCs/>
          <w:color w:val="000000" w:themeColor="text1"/>
          <w:sz w:val="22"/>
          <w:lang w:val="es-ES_tradnl"/>
        </w:rPr>
        <w:t>2.</w:t>
      </w:r>
      <w:r w:rsidR="00830655" w:rsidRPr="00E84A23">
        <w:rPr>
          <w:rFonts w:ascii="Arial" w:eastAsia="Calibri" w:hAnsi="Arial" w:cs="Arial"/>
          <w:b/>
          <w:bCs/>
          <w:color w:val="000000" w:themeColor="text1"/>
          <w:sz w:val="22"/>
          <w:lang w:val="es-ES_tradnl"/>
        </w:rPr>
        <w:t>2</w:t>
      </w:r>
      <w:r w:rsidRPr="00E84A23">
        <w:rPr>
          <w:rFonts w:ascii="Arial" w:eastAsia="Calibri" w:hAnsi="Arial" w:cs="Arial"/>
          <w:b/>
          <w:bCs/>
          <w:color w:val="000000" w:themeColor="text1"/>
          <w:sz w:val="22"/>
          <w:lang w:val="es-ES_tradnl"/>
        </w:rPr>
        <w:t xml:space="preserve">. </w:t>
      </w:r>
      <w:r w:rsidR="00F9471B" w:rsidRPr="00E84A23">
        <w:rPr>
          <w:rFonts w:ascii="Arial" w:hAnsi="Arial" w:cs="Arial"/>
          <w:b/>
          <w:sz w:val="22"/>
          <w:lang w:val="es-ES_tradnl"/>
        </w:rPr>
        <w:t xml:space="preserve">Excepciones </w:t>
      </w:r>
      <w:r w:rsidR="005B2040" w:rsidRPr="00E84A23">
        <w:rPr>
          <w:rFonts w:ascii="Arial" w:hAnsi="Arial" w:cs="Arial"/>
          <w:b/>
          <w:sz w:val="22"/>
          <w:lang w:val="es-ES_tradnl"/>
        </w:rPr>
        <w:t xml:space="preserve">al </w:t>
      </w:r>
      <w:r w:rsidR="00F9471B" w:rsidRPr="00E84A23">
        <w:rPr>
          <w:rFonts w:ascii="Arial" w:hAnsi="Arial" w:cs="Arial"/>
          <w:b/>
          <w:sz w:val="22"/>
          <w:lang w:val="es-ES_tradnl"/>
        </w:rPr>
        <w:t xml:space="preserve">límite de adición </w:t>
      </w:r>
      <w:r w:rsidR="00830655" w:rsidRPr="00E84A23">
        <w:rPr>
          <w:rFonts w:ascii="Arial" w:hAnsi="Arial" w:cs="Arial"/>
          <w:b/>
          <w:sz w:val="22"/>
          <w:lang w:val="es-ES_tradnl"/>
        </w:rPr>
        <w:t xml:space="preserve">de </w:t>
      </w:r>
      <w:r w:rsidR="00F9471B" w:rsidRPr="00E84A23">
        <w:rPr>
          <w:rFonts w:ascii="Arial" w:hAnsi="Arial" w:cs="Arial"/>
          <w:b/>
          <w:sz w:val="22"/>
          <w:lang w:val="es-ES_tradnl"/>
        </w:rPr>
        <w:t>los contratos estatales</w:t>
      </w:r>
    </w:p>
    <w:p w14:paraId="76459990" w14:textId="68AEE5C8" w:rsidR="00A54C00" w:rsidRPr="00E84A23" w:rsidRDefault="00F9471B" w:rsidP="00DB7336">
      <w:pPr>
        <w:spacing w:before="120" w:after="120" w:line="276" w:lineRule="auto"/>
        <w:jc w:val="both"/>
        <w:rPr>
          <w:rFonts w:ascii="Arial" w:eastAsia="Calibri" w:hAnsi="Arial" w:cs="Arial"/>
          <w:sz w:val="22"/>
        </w:rPr>
      </w:pPr>
      <w:r w:rsidRPr="00E84A23">
        <w:rPr>
          <w:rFonts w:ascii="Arial" w:eastAsia="Calibri" w:hAnsi="Arial" w:cs="Arial"/>
          <w:sz w:val="22"/>
        </w:rPr>
        <w:t>Actualmente</w:t>
      </w:r>
      <w:r w:rsidR="00830655" w:rsidRPr="00E84A23">
        <w:rPr>
          <w:rFonts w:ascii="Arial" w:eastAsia="Calibri" w:hAnsi="Arial" w:cs="Arial"/>
          <w:sz w:val="22"/>
        </w:rPr>
        <w:t xml:space="preserve"> </w:t>
      </w:r>
      <w:r w:rsidRPr="00E84A23">
        <w:rPr>
          <w:rFonts w:ascii="Arial" w:eastAsia="Calibri" w:hAnsi="Arial" w:cs="Arial"/>
          <w:sz w:val="22"/>
        </w:rPr>
        <w:t xml:space="preserve">existe una posibilidad para adicionar contratos </w:t>
      </w:r>
      <w:r w:rsidR="00E66124" w:rsidRPr="00E84A23">
        <w:rPr>
          <w:rFonts w:ascii="Arial" w:eastAsia="Calibri" w:hAnsi="Arial" w:cs="Arial"/>
          <w:sz w:val="22"/>
        </w:rPr>
        <w:t xml:space="preserve">estatales </w:t>
      </w:r>
      <w:r w:rsidRPr="00E84A23">
        <w:rPr>
          <w:rFonts w:ascii="Arial" w:eastAsia="Calibri" w:hAnsi="Arial" w:cs="Arial"/>
          <w:sz w:val="22"/>
        </w:rPr>
        <w:t>en más del 50%</w:t>
      </w:r>
      <w:r w:rsidR="00F20329" w:rsidRPr="00E84A23">
        <w:rPr>
          <w:rFonts w:ascii="Arial" w:eastAsia="Calibri" w:hAnsi="Arial" w:cs="Arial"/>
          <w:sz w:val="22"/>
        </w:rPr>
        <w:t>, que</w:t>
      </w:r>
      <w:r w:rsidRPr="00E84A23">
        <w:rPr>
          <w:rFonts w:ascii="Arial" w:eastAsia="Calibri" w:hAnsi="Arial" w:cs="Arial"/>
          <w:sz w:val="22"/>
        </w:rPr>
        <w:t xml:space="preserve"> es la contenida en el artículo 85 de la Ley 1474 de 2011 para los contratos de interventoría que, por su naturaleza de seguimiento técnico</w:t>
      </w:r>
      <w:r w:rsidR="009A7953" w:rsidRPr="00E84A23">
        <w:rPr>
          <w:rFonts w:ascii="Arial" w:eastAsia="Calibri" w:hAnsi="Arial" w:cs="Arial"/>
          <w:sz w:val="22"/>
        </w:rPr>
        <w:t xml:space="preserve"> a otro contrato estatal</w:t>
      </w:r>
      <w:r w:rsidRPr="00E84A23">
        <w:rPr>
          <w:rFonts w:ascii="Arial" w:eastAsia="Calibri" w:hAnsi="Arial" w:cs="Arial"/>
          <w:sz w:val="22"/>
        </w:rPr>
        <w:t xml:space="preserve">, </w:t>
      </w:r>
      <w:r w:rsidR="009A7953" w:rsidRPr="00E84A23">
        <w:rPr>
          <w:rFonts w:ascii="Arial" w:eastAsia="Calibri" w:hAnsi="Arial" w:cs="Arial"/>
          <w:sz w:val="22"/>
        </w:rPr>
        <w:t>podrá prorrogarse por el</w:t>
      </w:r>
      <w:r w:rsidRPr="00E84A23">
        <w:rPr>
          <w:rFonts w:ascii="Arial" w:eastAsia="Calibri" w:hAnsi="Arial" w:cs="Arial"/>
          <w:sz w:val="22"/>
        </w:rPr>
        <w:t xml:space="preserve"> plazo en que haya sido prorrogado el contrato objeto de vigilancia</w:t>
      </w:r>
      <w:r w:rsidR="00F20329" w:rsidRPr="00E84A23">
        <w:rPr>
          <w:rFonts w:ascii="Arial" w:eastAsia="Calibri" w:hAnsi="Arial" w:cs="Arial"/>
          <w:sz w:val="22"/>
        </w:rPr>
        <w:t xml:space="preserve">, sin que resulte aplicable el tope establecido en el parágrafo del artículo 40 de la </w:t>
      </w:r>
      <w:r w:rsidR="007E67A6" w:rsidRPr="00E84A23">
        <w:rPr>
          <w:rFonts w:ascii="Arial" w:eastAsia="Calibri" w:hAnsi="Arial" w:cs="Arial"/>
          <w:sz w:val="22"/>
        </w:rPr>
        <w:t>Le</w:t>
      </w:r>
      <w:r w:rsidR="00F20329" w:rsidRPr="00E84A23">
        <w:rPr>
          <w:rFonts w:ascii="Arial" w:eastAsia="Calibri" w:hAnsi="Arial" w:cs="Arial"/>
          <w:sz w:val="22"/>
        </w:rPr>
        <w:t>y 80 de 1993</w:t>
      </w:r>
      <w:r w:rsidR="009A7953" w:rsidRPr="00E84A23">
        <w:rPr>
          <w:rFonts w:ascii="Arial" w:eastAsia="Calibri" w:hAnsi="Arial" w:cs="Arial"/>
          <w:sz w:val="22"/>
        </w:rPr>
        <w:t>, en relación con el monto de las eventuales adiciones</w:t>
      </w:r>
      <w:r w:rsidR="00E66124" w:rsidRPr="00E84A23">
        <w:rPr>
          <w:rStyle w:val="Refdenotaalpie"/>
          <w:rFonts w:ascii="Arial" w:eastAsia="Calibri" w:hAnsi="Arial" w:cs="Arial"/>
          <w:sz w:val="22"/>
        </w:rPr>
        <w:footnoteReference w:id="5"/>
      </w:r>
      <w:r w:rsidRPr="00E84A23">
        <w:rPr>
          <w:rFonts w:ascii="Arial" w:eastAsia="Calibri" w:hAnsi="Arial" w:cs="Arial"/>
          <w:sz w:val="22"/>
        </w:rPr>
        <w:t xml:space="preserve">. </w:t>
      </w:r>
      <w:r w:rsidR="009A7953" w:rsidRPr="00E84A23">
        <w:rPr>
          <w:rFonts w:ascii="Arial" w:eastAsia="Calibri" w:hAnsi="Arial" w:cs="Arial"/>
          <w:sz w:val="22"/>
        </w:rPr>
        <w:t>La disposición de la Ley 1474 de 2011</w:t>
      </w:r>
      <w:r w:rsidRPr="00E84A23">
        <w:rPr>
          <w:rFonts w:ascii="Arial" w:eastAsia="Calibri" w:hAnsi="Arial" w:cs="Arial"/>
          <w:sz w:val="22"/>
        </w:rPr>
        <w:t xml:space="preserve"> </w:t>
      </w:r>
      <w:r w:rsidR="007E67A6" w:rsidRPr="00E84A23">
        <w:rPr>
          <w:rFonts w:ascii="Arial" w:eastAsia="Calibri" w:hAnsi="Arial" w:cs="Arial"/>
          <w:sz w:val="22"/>
        </w:rPr>
        <w:t>pretende</w:t>
      </w:r>
      <w:r w:rsidRPr="00E84A23">
        <w:rPr>
          <w:rFonts w:ascii="Arial" w:eastAsia="Calibri" w:hAnsi="Arial" w:cs="Arial"/>
          <w:sz w:val="22"/>
        </w:rPr>
        <w:t xml:space="preserve"> fortalecer la figura de la interventoría, como una herramienta integral, para proteger los intereses públicos y </w:t>
      </w:r>
      <w:r w:rsidR="007E67A6" w:rsidRPr="00E84A23">
        <w:rPr>
          <w:rFonts w:ascii="Arial" w:eastAsia="Calibri" w:hAnsi="Arial" w:cs="Arial"/>
          <w:sz w:val="22"/>
        </w:rPr>
        <w:t>evitar que se cause</w:t>
      </w:r>
      <w:r w:rsidRPr="00E84A23">
        <w:rPr>
          <w:rFonts w:ascii="Arial" w:eastAsia="Calibri" w:hAnsi="Arial" w:cs="Arial"/>
          <w:sz w:val="22"/>
        </w:rPr>
        <w:t xml:space="preserve"> un</w:t>
      </w:r>
      <w:r w:rsidR="00F20329" w:rsidRPr="00E84A23">
        <w:rPr>
          <w:rFonts w:ascii="Arial" w:eastAsia="Calibri" w:hAnsi="Arial" w:cs="Arial"/>
          <w:sz w:val="22"/>
        </w:rPr>
        <w:t xml:space="preserve"> eventual</w:t>
      </w:r>
      <w:r w:rsidRPr="00E84A23">
        <w:rPr>
          <w:rFonts w:ascii="Arial" w:eastAsia="Calibri" w:hAnsi="Arial" w:cs="Arial"/>
          <w:sz w:val="22"/>
        </w:rPr>
        <w:t xml:space="preserve"> daño antijurídico al abandonar la vigilancia del contrato principal, por limitaciones </w:t>
      </w:r>
      <w:r w:rsidR="00E66124" w:rsidRPr="00E84A23">
        <w:rPr>
          <w:rFonts w:ascii="Arial" w:eastAsia="Calibri" w:hAnsi="Arial" w:cs="Arial"/>
          <w:sz w:val="22"/>
        </w:rPr>
        <w:t>en cuanto al monto de sus posibles adiciones</w:t>
      </w:r>
      <w:r w:rsidR="00C35F59" w:rsidRPr="00E84A23">
        <w:rPr>
          <w:rFonts w:ascii="Arial" w:eastAsia="Calibri" w:hAnsi="Arial" w:cs="Arial"/>
          <w:sz w:val="22"/>
        </w:rPr>
        <w:t>.</w:t>
      </w:r>
    </w:p>
    <w:p w14:paraId="34EE49CB" w14:textId="4FF3F73A" w:rsidR="00A54C00" w:rsidRPr="00E84A23" w:rsidRDefault="00A54C00" w:rsidP="00DB7336">
      <w:pPr>
        <w:spacing w:after="120" w:line="276" w:lineRule="auto"/>
        <w:ind w:firstLine="709"/>
        <w:jc w:val="both"/>
        <w:rPr>
          <w:rFonts w:ascii="Arial" w:eastAsia="Calibri" w:hAnsi="Arial" w:cs="Arial"/>
          <w:sz w:val="22"/>
        </w:rPr>
      </w:pPr>
      <w:r w:rsidRPr="00E84A23">
        <w:rPr>
          <w:rFonts w:ascii="Arial" w:eastAsia="Calibri" w:hAnsi="Arial" w:cs="Arial"/>
          <w:sz w:val="22"/>
        </w:rPr>
        <w:lastRenderedPageBreak/>
        <w:t xml:space="preserve">Por otra parte, existe una excepción temporal </w:t>
      </w:r>
      <w:r w:rsidR="00EF410B" w:rsidRPr="00E84A23">
        <w:rPr>
          <w:rFonts w:ascii="Arial" w:eastAsia="Calibri" w:hAnsi="Arial" w:cs="Arial"/>
          <w:sz w:val="22"/>
        </w:rPr>
        <w:t xml:space="preserve">establecida </w:t>
      </w:r>
      <w:r w:rsidRPr="00E84A23">
        <w:rPr>
          <w:rFonts w:ascii="Arial" w:eastAsia="Calibri" w:hAnsi="Arial" w:cs="Arial"/>
          <w:sz w:val="22"/>
        </w:rPr>
        <w:t>por el Gobierno Nacional para hacer frente a las condiciones especiales generadas en virtud de la declaratoria de emergencia sanitaria generada por la pandemia Covid-19, con la expedición de los Decretos</w:t>
      </w:r>
      <w:r w:rsidR="00EF410B" w:rsidRPr="00E84A23">
        <w:rPr>
          <w:rFonts w:ascii="Arial" w:eastAsia="Calibri" w:hAnsi="Arial" w:cs="Arial"/>
          <w:sz w:val="22"/>
        </w:rPr>
        <w:t>-Ley</w:t>
      </w:r>
      <w:r w:rsidRPr="00E84A23">
        <w:rPr>
          <w:rFonts w:ascii="Arial" w:eastAsia="Calibri" w:hAnsi="Arial" w:cs="Arial"/>
          <w:sz w:val="22"/>
        </w:rPr>
        <w:t xml:space="preserve"> 440 y 537 de 2020</w:t>
      </w:r>
      <w:r w:rsidR="00EF410B" w:rsidRPr="00E84A23">
        <w:rPr>
          <w:rFonts w:ascii="Arial" w:eastAsia="Calibri" w:hAnsi="Arial" w:cs="Arial"/>
          <w:sz w:val="22"/>
        </w:rPr>
        <w:t>, particularmente, el artículo 8 de este último,</w:t>
      </w:r>
      <w:r w:rsidRPr="00E84A23">
        <w:rPr>
          <w:rFonts w:ascii="Arial" w:eastAsia="Calibri" w:hAnsi="Arial" w:cs="Arial"/>
          <w:sz w:val="22"/>
        </w:rPr>
        <w:t xml:space="preserve"> al determinar que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 igualmente, esta disposición se aplicará a los contratos que se celebren durante la vigencia de la Emergencia Sanitaria declarada por el Ministerio de Salud y Protección Social, con ocasión de la pandemia derivada del Coronavirus COVID-19, y durante el término que dich</w:t>
      </w:r>
      <w:r w:rsidR="002847F2" w:rsidRPr="00E84A23">
        <w:rPr>
          <w:rFonts w:ascii="Arial" w:eastAsia="Calibri" w:hAnsi="Arial" w:cs="Arial"/>
          <w:sz w:val="22"/>
        </w:rPr>
        <w:t>a</w:t>
      </w:r>
      <w:r w:rsidRPr="00E84A23">
        <w:rPr>
          <w:rFonts w:ascii="Arial" w:eastAsia="Calibri" w:hAnsi="Arial" w:cs="Arial"/>
          <w:sz w:val="22"/>
        </w:rPr>
        <w:t xml:space="preserve"> </w:t>
      </w:r>
      <w:r w:rsidR="002847F2" w:rsidRPr="00E84A23">
        <w:rPr>
          <w:rFonts w:ascii="Arial" w:eastAsia="Calibri" w:hAnsi="Arial" w:cs="Arial"/>
          <w:sz w:val="22"/>
        </w:rPr>
        <w:t>emergencia sanitaria</w:t>
      </w:r>
      <w:r w:rsidRPr="00E84A23">
        <w:rPr>
          <w:rFonts w:ascii="Arial" w:eastAsia="Calibri" w:hAnsi="Arial" w:cs="Arial"/>
          <w:sz w:val="22"/>
        </w:rPr>
        <w:t xml:space="preserve"> esté vigente.</w:t>
      </w:r>
    </w:p>
    <w:p w14:paraId="391012CD" w14:textId="7A457583" w:rsidR="009A02FF" w:rsidRPr="00E84A23" w:rsidRDefault="00A54C00" w:rsidP="00205631">
      <w:pPr>
        <w:spacing w:before="120" w:line="276" w:lineRule="auto"/>
        <w:ind w:firstLine="709"/>
        <w:jc w:val="both"/>
        <w:rPr>
          <w:rFonts w:ascii="Arial" w:hAnsi="Arial" w:cs="Arial"/>
          <w:color w:val="000000" w:themeColor="text1"/>
          <w:sz w:val="22"/>
          <w:lang w:val="es-ES_tradnl"/>
        </w:rPr>
      </w:pPr>
      <w:r w:rsidRPr="00E84A23">
        <w:rPr>
          <w:rFonts w:ascii="Arial" w:hAnsi="Arial" w:cs="Arial"/>
          <w:color w:val="000000" w:themeColor="text1"/>
          <w:sz w:val="22"/>
          <w:lang w:val="es-ES_tradnl"/>
        </w:rPr>
        <w:t>De este modo</w:t>
      </w:r>
      <w:r w:rsidR="009C521A" w:rsidRPr="00E84A23">
        <w:rPr>
          <w:rFonts w:ascii="Arial" w:hAnsi="Arial" w:cs="Arial"/>
          <w:color w:val="000000" w:themeColor="text1"/>
          <w:sz w:val="22"/>
          <w:lang w:val="es-ES_tradnl"/>
        </w:rPr>
        <w:t xml:space="preserve">, </w:t>
      </w:r>
      <w:r w:rsidR="009A02FF" w:rsidRPr="00E84A23">
        <w:rPr>
          <w:rFonts w:ascii="Arial" w:hAnsi="Arial" w:cs="Arial"/>
          <w:color w:val="000000" w:themeColor="text1"/>
          <w:sz w:val="22"/>
          <w:lang w:val="es-ES_tradnl"/>
        </w:rPr>
        <w:t>s</w:t>
      </w:r>
      <w:r w:rsidR="009A02FF" w:rsidRPr="00E84A23">
        <w:rPr>
          <w:rFonts w:ascii="Arial" w:eastAsia="Calibri" w:hAnsi="Arial" w:cs="Arial"/>
          <w:sz w:val="22"/>
        </w:rPr>
        <w:t xml:space="preserve">i bien </w:t>
      </w:r>
      <w:r w:rsidR="002847F2" w:rsidRPr="00E84A23">
        <w:rPr>
          <w:rFonts w:ascii="Arial" w:eastAsia="Calibri" w:hAnsi="Arial" w:cs="Arial"/>
          <w:sz w:val="22"/>
        </w:rPr>
        <w:t xml:space="preserve">es clara </w:t>
      </w:r>
      <w:r w:rsidR="009A02FF" w:rsidRPr="00E84A23">
        <w:rPr>
          <w:rFonts w:ascii="Arial" w:eastAsia="Calibri" w:hAnsi="Arial" w:cs="Arial"/>
          <w:sz w:val="22"/>
        </w:rPr>
        <w:t>la imposibilidad de adicionar los contratos estatales por más del 50% de su valor inicial</w:t>
      </w:r>
      <w:r w:rsidR="002847F2" w:rsidRPr="00E84A23">
        <w:rPr>
          <w:rFonts w:ascii="Arial" w:eastAsia="Calibri" w:hAnsi="Arial" w:cs="Arial"/>
          <w:sz w:val="22"/>
        </w:rPr>
        <w:t xml:space="preserve"> expresado en SMLMV</w:t>
      </w:r>
      <w:r w:rsidR="009A02FF" w:rsidRPr="00E84A23">
        <w:rPr>
          <w:rFonts w:ascii="Arial" w:eastAsia="Calibri" w:hAnsi="Arial" w:cs="Arial"/>
          <w:sz w:val="22"/>
        </w:rPr>
        <w:t xml:space="preserve"> </w:t>
      </w:r>
      <w:r w:rsidR="002847F2" w:rsidRPr="00E84A23">
        <w:rPr>
          <w:rFonts w:ascii="Arial" w:eastAsia="Calibri" w:hAnsi="Arial" w:cs="Arial"/>
          <w:sz w:val="22"/>
        </w:rPr>
        <w:t>–</w:t>
      </w:r>
      <w:r w:rsidR="009A02FF" w:rsidRPr="00E84A23">
        <w:rPr>
          <w:rFonts w:ascii="Arial" w:eastAsia="Calibri" w:hAnsi="Arial" w:cs="Arial"/>
          <w:sz w:val="22"/>
        </w:rPr>
        <w:t>exceptuados los de interventoría conforme lo dispuesto en el artículo 85 de la Ley 1474 de 2011</w:t>
      </w:r>
      <w:r w:rsidR="002847F2" w:rsidRPr="00E84A23">
        <w:rPr>
          <w:rFonts w:ascii="Arial" w:eastAsia="Calibri" w:hAnsi="Arial" w:cs="Arial"/>
          <w:sz w:val="22"/>
        </w:rPr>
        <w:t>–,</w:t>
      </w:r>
      <w:r w:rsidR="009A02FF" w:rsidRPr="00E84A23">
        <w:rPr>
          <w:rFonts w:ascii="Arial" w:eastAsia="Calibri" w:hAnsi="Arial" w:cs="Arial"/>
          <w:sz w:val="22"/>
        </w:rPr>
        <w:t xml:space="preserve"> </w:t>
      </w:r>
      <w:r w:rsidR="002847F2" w:rsidRPr="00E84A23">
        <w:rPr>
          <w:rFonts w:ascii="Arial" w:eastAsia="Calibri" w:hAnsi="Arial" w:cs="Arial"/>
          <w:sz w:val="22"/>
        </w:rPr>
        <w:t>el Decreto Ley 440 de 2020</w:t>
      </w:r>
      <w:r w:rsidR="009A02FF" w:rsidRPr="00E84A23">
        <w:rPr>
          <w:rFonts w:ascii="Arial" w:eastAsia="Calibri" w:hAnsi="Arial" w:cs="Arial"/>
          <w:sz w:val="22"/>
        </w:rPr>
        <w:t xml:space="preserve"> y</w:t>
      </w:r>
      <w:r w:rsidR="002847F2" w:rsidRPr="00E84A23">
        <w:rPr>
          <w:rFonts w:ascii="Arial" w:eastAsia="Calibri" w:hAnsi="Arial" w:cs="Arial"/>
          <w:sz w:val="22"/>
        </w:rPr>
        <w:t>, actualmente, el Decreto Ley</w:t>
      </w:r>
      <w:r w:rsidR="009A02FF" w:rsidRPr="00E84A23">
        <w:rPr>
          <w:rFonts w:ascii="Arial" w:eastAsia="Calibri" w:hAnsi="Arial" w:cs="Arial"/>
          <w:sz w:val="22"/>
        </w:rPr>
        <w:t xml:space="preserve"> 537 de 2020 </w:t>
      </w:r>
      <w:r w:rsidR="002847F2" w:rsidRPr="00E84A23">
        <w:rPr>
          <w:rFonts w:ascii="Arial" w:eastAsia="Calibri" w:hAnsi="Arial" w:cs="Arial"/>
          <w:sz w:val="22"/>
        </w:rPr>
        <w:t xml:space="preserve">también </w:t>
      </w:r>
      <w:r w:rsidR="009A02FF" w:rsidRPr="00E84A23">
        <w:rPr>
          <w:rFonts w:ascii="Arial" w:eastAsia="Calibri" w:hAnsi="Arial" w:cs="Arial"/>
          <w:sz w:val="22"/>
        </w:rPr>
        <w:t xml:space="preserve">excepcionan </w:t>
      </w:r>
      <w:r w:rsidR="002847F2" w:rsidRPr="00E84A23">
        <w:rPr>
          <w:rFonts w:ascii="Arial" w:eastAsia="Calibri" w:hAnsi="Arial" w:cs="Arial"/>
          <w:sz w:val="22"/>
        </w:rPr>
        <w:t>la regla general</w:t>
      </w:r>
      <w:r w:rsidR="009A02FF" w:rsidRPr="00E84A23">
        <w:rPr>
          <w:rFonts w:ascii="Arial" w:eastAsia="Calibri" w:hAnsi="Arial" w:cs="Arial"/>
          <w:sz w:val="22"/>
        </w:rPr>
        <w:t xml:space="preserve">. </w:t>
      </w:r>
      <w:r w:rsidR="002847F2" w:rsidRPr="00E84A23">
        <w:rPr>
          <w:rFonts w:ascii="Arial" w:eastAsia="Calibri" w:hAnsi="Arial" w:cs="Arial"/>
          <w:sz w:val="22"/>
        </w:rPr>
        <w:t>En este sentido, l</w:t>
      </w:r>
      <w:r w:rsidR="009A02FF" w:rsidRPr="00E84A23">
        <w:rPr>
          <w:rFonts w:ascii="Arial" w:eastAsia="Calibri" w:hAnsi="Arial" w:cs="Arial"/>
          <w:sz w:val="22"/>
        </w:rPr>
        <w:t xml:space="preserve">a actual emergencia presentada a nivel global a causa del coronavirus exige </w:t>
      </w:r>
      <w:r w:rsidR="00170E2B" w:rsidRPr="00E84A23">
        <w:rPr>
          <w:rFonts w:ascii="Arial" w:eastAsia="Calibri" w:hAnsi="Arial" w:cs="Arial"/>
          <w:sz w:val="22"/>
        </w:rPr>
        <w:t xml:space="preserve">del </w:t>
      </w:r>
      <w:r w:rsidR="009A02FF" w:rsidRPr="00E84A23">
        <w:rPr>
          <w:rFonts w:ascii="Arial" w:eastAsia="Calibri" w:hAnsi="Arial" w:cs="Arial"/>
          <w:sz w:val="22"/>
        </w:rPr>
        <w:t xml:space="preserve">Estado colombiano garantizar la salud de todos los habitantes del territorio nacional y a disminuir la propagación del virus, atendiendo a la inmediatez con que se debe obrar para conjurar la crisis. </w:t>
      </w:r>
      <w:r w:rsidR="00C35F59" w:rsidRPr="00E84A23">
        <w:rPr>
          <w:rFonts w:ascii="Arial" w:eastAsia="Calibri" w:hAnsi="Arial" w:cs="Arial"/>
          <w:sz w:val="22"/>
        </w:rPr>
        <w:t>Por lo anterior</w:t>
      </w:r>
      <w:r w:rsidR="009A02FF" w:rsidRPr="00E84A23">
        <w:rPr>
          <w:rFonts w:ascii="Arial" w:eastAsia="Calibri" w:hAnsi="Arial" w:cs="Arial"/>
          <w:sz w:val="22"/>
        </w:rPr>
        <w:t xml:space="preserve">, la excepción a la regla se configura en el marco del Estado de Emergencia Económica, Social y Ecológica, </w:t>
      </w:r>
      <w:r w:rsidR="005A5C7B" w:rsidRPr="00E84A23">
        <w:rPr>
          <w:rFonts w:ascii="Arial" w:eastAsia="Calibri" w:hAnsi="Arial" w:cs="Arial"/>
          <w:sz w:val="22"/>
        </w:rPr>
        <w:t>y despliega sus efectos durante la vigencia de</w:t>
      </w:r>
      <w:r w:rsidR="009A02FF" w:rsidRPr="00E84A23">
        <w:rPr>
          <w:rFonts w:ascii="Arial" w:eastAsia="Calibri" w:hAnsi="Arial" w:cs="Arial"/>
          <w:sz w:val="22"/>
        </w:rPr>
        <w:t xml:space="preserve"> la Emergencia Sanitaria, lo que implica delimitar las circunstancias en que puede ser adicionado un contrato por encima del 50% de su valor inicial. En esta medida </w:t>
      </w:r>
      <w:r w:rsidR="002847F2" w:rsidRPr="00E84A23">
        <w:rPr>
          <w:rFonts w:ascii="Arial" w:eastAsia="Calibri" w:hAnsi="Arial" w:cs="Arial"/>
          <w:sz w:val="22"/>
        </w:rPr>
        <w:t>el artículo 8 del Decreto Ley 537 de 2020 modifica transitoriamente el parágrafo del artículo 40 añadiendo los siguientes incisos</w:t>
      </w:r>
      <w:r w:rsidR="009A02FF" w:rsidRPr="00E84A23">
        <w:rPr>
          <w:rFonts w:ascii="Arial" w:eastAsia="Calibri" w:hAnsi="Arial" w:cs="Arial"/>
          <w:sz w:val="22"/>
        </w:rPr>
        <w:t>:</w:t>
      </w:r>
    </w:p>
    <w:p w14:paraId="38AE1FFC" w14:textId="77777777" w:rsidR="009A02FF" w:rsidRPr="00E84A23" w:rsidRDefault="009A02FF" w:rsidP="009A02FF">
      <w:pPr>
        <w:spacing w:line="276" w:lineRule="auto"/>
        <w:jc w:val="both"/>
        <w:rPr>
          <w:rFonts w:ascii="Arial" w:eastAsia="Calibri" w:hAnsi="Arial" w:cs="Arial"/>
          <w:sz w:val="22"/>
        </w:rPr>
      </w:pPr>
    </w:p>
    <w:p w14:paraId="0B0DD467" w14:textId="77777777" w:rsidR="009A02FF" w:rsidRPr="00E84A23" w:rsidRDefault="009A02FF" w:rsidP="009A02FF">
      <w:pPr>
        <w:spacing w:after="120"/>
        <w:ind w:left="709" w:right="709"/>
        <w:jc w:val="both"/>
        <w:rPr>
          <w:rFonts w:ascii="Arial" w:eastAsia="Calibri" w:hAnsi="Arial" w:cs="Arial"/>
          <w:sz w:val="21"/>
          <w:szCs w:val="21"/>
        </w:rPr>
      </w:pPr>
      <w:r w:rsidRPr="00E84A23">
        <w:rPr>
          <w:rFonts w:ascii="Arial" w:eastAsia="Calibri" w:hAnsi="Arial" w:cs="Arial"/>
          <w:sz w:val="21"/>
          <w:szCs w:val="21"/>
        </w:rPr>
        <w:t>Artículo 8. Adiciónese los siguientes incisos al parágrafo del artículo 40 de la Ley 80 de 1993, así:</w:t>
      </w:r>
    </w:p>
    <w:p w14:paraId="2C9A1C55" w14:textId="77777777" w:rsidR="009A02FF" w:rsidRPr="00E84A23" w:rsidRDefault="009A02FF" w:rsidP="009A02FF">
      <w:pPr>
        <w:spacing w:after="120"/>
        <w:ind w:left="709" w:right="709"/>
        <w:jc w:val="both"/>
        <w:rPr>
          <w:rFonts w:ascii="Arial" w:eastAsia="Calibri" w:hAnsi="Arial" w:cs="Arial"/>
          <w:sz w:val="21"/>
          <w:szCs w:val="21"/>
        </w:rPr>
      </w:pPr>
      <w:r w:rsidRPr="00E84A23">
        <w:rPr>
          <w:rFonts w:ascii="Arial" w:eastAsia="Calibri" w:hAnsi="Arial" w:cs="Arial"/>
          <w:sz w:val="21"/>
          <w:szCs w:val="21"/>
        </w:rPr>
        <w:t>Adición y modificación de contratos estatales.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2F3DA319" w14:textId="77777777" w:rsidR="009A02FF" w:rsidRPr="00E84A23" w:rsidRDefault="009A02FF" w:rsidP="009A02FF">
      <w:pPr>
        <w:ind w:left="709" w:right="709"/>
        <w:jc w:val="both"/>
        <w:rPr>
          <w:rFonts w:ascii="Arial" w:eastAsia="Calibri" w:hAnsi="Arial" w:cs="Arial"/>
          <w:sz w:val="21"/>
          <w:szCs w:val="21"/>
        </w:rPr>
      </w:pPr>
      <w:r w:rsidRPr="00E84A23">
        <w:rPr>
          <w:rFonts w:ascii="Arial" w:eastAsia="Calibri" w:hAnsi="Arial" w:cs="Arial"/>
          <w:sz w:val="21"/>
          <w:szCs w:val="21"/>
        </w:rPr>
        <w:lastRenderedPageBreak/>
        <w:t>Igualmente, esta disposición se aplicará a los contratos que se celebren durante la vigencia de la Emergencia Sanitaria declarada por el Ministerio de Salud y Protección Social, con ocasión de la pandemia derivada del Coronavirus COV1D-19, y durante el término que dicho estado esté vigente.</w:t>
      </w:r>
    </w:p>
    <w:p w14:paraId="6AA6D517" w14:textId="77777777" w:rsidR="009A02FF" w:rsidRPr="00E84A23" w:rsidRDefault="009A02FF" w:rsidP="009A02FF">
      <w:pPr>
        <w:spacing w:line="276" w:lineRule="auto"/>
        <w:jc w:val="both"/>
        <w:rPr>
          <w:rFonts w:ascii="Arial" w:eastAsia="Calibri" w:hAnsi="Arial" w:cs="Arial"/>
          <w:sz w:val="22"/>
        </w:rPr>
      </w:pPr>
    </w:p>
    <w:p w14:paraId="1D49B97C" w14:textId="496DD99D" w:rsidR="009A02FF" w:rsidRPr="00E84A23" w:rsidRDefault="00A54C00" w:rsidP="009507C3">
      <w:pPr>
        <w:spacing w:after="120" w:line="276" w:lineRule="auto"/>
        <w:ind w:firstLine="708"/>
        <w:jc w:val="both"/>
        <w:rPr>
          <w:rFonts w:ascii="Arial" w:eastAsia="Calibri" w:hAnsi="Arial" w:cs="Arial"/>
          <w:sz w:val="22"/>
        </w:rPr>
      </w:pPr>
      <w:r w:rsidRPr="00E84A23">
        <w:rPr>
          <w:rFonts w:ascii="Arial" w:eastAsia="Calibri" w:hAnsi="Arial" w:cs="Arial"/>
          <w:sz w:val="22"/>
        </w:rPr>
        <w:t xml:space="preserve">De lo anterior se colige que </w:t>
      </w:r>
      <w:r w:rsidR="00170E2B" w:rsidRPr="00E84A23">
        <w:rPr>
          <w:rFonts w:ascii="Arial" w:eastAsia="Calibri" w:hAnsi="Arial" w:cs="Arial"/>
          <w:sz w:val="22"/>
        </w:rPr>
        <w:t xml:space="preserve">el artículo 8 del Decreto Legislativo 537 del 2020 permite adicionar los contratos sin límite respecto a su valor frente a los bienes, obras o servicios que permitan una mejor gestión y mitigación de la situación de emergencia con ocasión de la pandemia derivada del Coronavirus COVID-19, frente a aquellas entidades sujetas a la Ley 80 de 1993, al establecer una modificación transitoria al parágrafo del artículo 40 de la precitada ley, condicionada su duración a que la adición se celebre durante la vigencia de la emergencia sanitaria. Esta medida impone a las entidades estatales el deber de justificar la conexidad que existe entre la adición y la situación de emergencia. Por tanto, las entidades deben argumentar suficientemente la adición de los contratos que se realicen con fundamento en el decreto-ley mencionado, atendiendo a las exigencias para su procedencia establecidas en la misma disposición, lo que implica justificar previamente la necesidad y la forma como dichos bienes y servicios contribuirán a gestionar o mitigar la situación de emergencia. </w:t>
      </w:r>
    </w:p>
    <w:p w14:paraId="0531E643" w14:textId="1B51F539" w:rsidR="009C521A" w:rsidRPr="00E84A23" w:rsidRDefault="009A02FF" w:rsidP="005500B5">
      <w:pPr>
        <w:spacing w:after="120" w:line="276" w:lineRule="auto"/>
        <w:ind w:firstLine="709"/>
        <w:jc w:val="both"/>
        <w:rPr>
          <w:rFonts w:ascii="Arial" w:eastAsia="Calibri" w:hAnsi="Arial" w:cs="Arial"/>
          <w:sz w:val="22"/>
        </w:rPr>
      </w:pPr>
      <w:r w:rsidRPr="00E84A23">
        <w:rPr>
          <w:rFonts w:ascii="Arial" w:eastAsia="Calibri" w:hAnsi="Arial" w:cs="Arial"/>
          <w:sz w:val="22"/>
        </w:rPr>
        <w:t xml:space="preserve">Ahora, es importante determinar la intención del Decreto Legislativo 537 de 2020 sobre los contratos a los que les aplica la adición sin límite de valor. En este sentido, el Decreto dispone que la adición aplica a los contratos suscritos antes y durante el estado de emergencia sanitaria. En efecto, de la lectura del artículo 8 del Decreto 537 de 2020, es posible establecer que el inciso primero contempla los contratos suscritos con anterioridad, pues </w:t>
      </w:r>
      <w:r w:rsidR="005A5C7B" w:rsidRPr="00E84A23">
        <w:rPr>
          <w:rFonts w:ascii="Arial" w:eastAsia="Calibri" w:hAnsi="Arial" w:cs="Arial"/>
          <w:sz w:val="22"/>
        </w:rPr>
        <w:t>utiliza</w:t>
      </w:r>
      <w:r w:rsidRPr="00E84A23">
        <w:rPr>
          <w:rFonts w:ascii="Arial" w:eastAsia="Calibri" w:hAnsi="Arial" w:cs="Arial"/>
          <w:sz w:val="22"/>
        </w:rPr>
        <w:t xml:space="preserve"> la palabra «celebrados» para referirse a los que se perfeccionaron antes de la declaración</w:t>
      </w:r>
      <w:r w:rsidR="00170E2B" w:rsidRPr="00E84A23">
        <w:rPr>
          <w:rFonts w:ascii="Arial" w:eastAsia="Calibri" w:hAnsi="Arial" w:cs="Arial"/>
          <w:sz w:val="22"/>
        </w:rPr>
        <w:t xml:space="preserve"> de la emergencia</w:t>
      </w:r>
      <w:r w:rsidRPr="00E84A23">
        <w:rPr>
          <w:rFonts w:ascii="Arial" w:eastAsia="Calibri" w:hAnsi="Arial" w:cs="Arial"/>
          <w:sz w:val="22"/>
        </w:rPr>
        <w:t xml:space="preserve">. Por otro lado, el inciso segundo del artículo 8 del Decreto 537 de 2020 se refiere a los contratos que «se celebren» durante la vigencia de la emergencia sanitaria. En este sentido, el factor determinante para definir si un contrato puede ser sujeto o no de la adición sin límite de valor, radica en la conexidad </w:t>
      </w:r>
      <w:r w:rsidR="00530862" w:rsidRPr="00E84A23">
        <w:rPr>
          <w:rFonts w:ascii="Arial" w:eastAsia="Calibri" w:hAnsi="Arial" w:cs="Arial"/>
          <w:sz w:val="22"/>
        </w:rPr>
        <w:t xml:space="preserve">de la adición </w:t>
      </w:r>
      <w:r w:rsidRPr="00E84A23">
        <w:rPr>
          <w:rFonts w:ascii="Arial" w:eastAsia="Calibri" w:hAnsi="Arial" w:cs="Arial"/>
          <w:sz w:val="22"/>
        </w:rPr>
        <w:t xml:space="preserve">para </w:t>
      </w:r>
      <w:r w:rsidR="00530862" w:rsidRPr="00E84A23">
        <w:rPr>
          <w:rFonts w:ascii="Arial" w:eastAsia="Calibri" w:hAnsi="Arial" w:cs="Arial"/>
          <w:sz w:val="22"/>
        </w:rPr>
        <w:t xml:space="preserve">gestionar o </w:t>
      </w:r>
      <w:r w:rsidRPr="00E84A23">
        <w:rPr>
          <w:rFonts w:ascii="Arial" w:eastAsia="Calibri" w:hAnsi="Arial" w:cs="Arial"/>
          <w:sz w:val="22"/>
        </w:rPr>
        <w:t xml:space="preserve">mitigar los efectos generados por la pandemia, ello siempre y cuando </w:t>
      </w:r>
      <w:r w:rsidR="00170E2B" w:rsidRPr="00E84A23">
        <w:rPr>
          <w:rFonts w:ascii="Arial" w:eastAsia="Calibri" w:hAnsi="Arial" w:cs="Arial"/>
          <w:sz w:val="22"/>
        </w:rPr>
        <w:t>la adición se realice</w:t>
      </w:r>
      <w:r w:rsidRPr="00E84A23">
        <w:rPr>
          <w:rFonts w:ascii="Arial" w:eastAsia="Calibri" w:hAnsi="Arial" w:cs="Arial"/>
          <w:sz w:val="22"/>
        </w:rPr>
        <w:t xml:space="preserve"> en </w:t>
      </w:r>
      <w:r w:rsidR="005A5C7B" w:rsidRPr="00E84A23">
        <w:rPr>
          <w:rFonts w:ascii="Arial" w:eastAsia="Calibri" w:hAnsi="Arial" w:cs="Arial"/>
          <w:sz w:val="22"/>
        </w:rPr>
        <w:t>durante</w:t>
      </w:r>
      <w:r w:rsidRPr="00E84A23">
        <w:rPr>
          <w:rFonts w:ascii="Arial" w:eastAsia="Calibri" w:hAnsi="Arial" w:cs="Arial"/>
          <w:sz w:val="22"/>
        </w:rPr>
        <w:t xml:space="preserve"> la vigencia de la emergencia sanitaria declarada por el Ministerio de Salud y Protección Social.</w:t>
      </w:r>
    </w:p>
    <w:p w14:paraId="665B50D5" w14:textId="127CF86A" w:rsidR="009C521A" w:rsidRPr="00E84A23" w:rsidRDefault="005E6447" w:rsidP="009507C3">
      <w:pPr>
        <w:spacing w:after="120" w:line="276" w:lineRule="auto"/>
        <w:ind w:firstLine="709"/>
        <w:jc w:val="both"/>
        <w:rPr>
          <w:rFonts w:ascii="Arial" w:hAnsi="Arial" w:cs="Arial"/>
          <w:color w:val="000000" w:themeColor="text1"/>
          <w:sz w:val="22"/>
          <w:lang w:val="es-ES_tradnl"/>
        </w:rPr>
      </w:pPr>
      <w:r w:rsidRPr="00E84A23">
        <w:rPr>
          <w:rFonts w:ascii="Arial" w:hAnsi="Arial" w:cs="Arial"/>
          <w:color w:val="000000" w:themeColor="text1"/>
          <w:sz w:val="22"/>
          <w:lang w:val="es-ES_tradnl"/>
        </w:rPr>
        <w:t>Por lo expuesto, p</w:t>
      </w:r>
      <w:r w:rsidR="009C521A" w:rsidRPr="00E84A23">
        <w:rPr>
          <w:rFonts w:ascii="Arial" w:hAnsi="Arial" w:cs="Arial"/>
          <w:color w:val="000000" w:themeColor="text1"/>
          <w:sz w:val="22"/>
          <w:lang w:val="es-ES_tradnl"/>
        </w:rPr>
        <w:t xml:space="preserve">ara adicionar contratos estatales sin límite </w:t>
      </w:r>
      <w:r w:rsidR="00530862" w:rsidRPr="00E84A23">
        <w:rPr>
          <w:rFonts w:ascii="Arial" w:hAnsi="Arial" w:cs="Arial"/>
          <w:color w:val="000000" w:themeColor="text1"/>
          <w:sz w:val="22"/>
          <w:lang w:val="es-ES_tradnl"/>
        </w:rPr>
        <w:t xml:space="preserve">en cuanto a su </w:t>
      </w:r>
      <w:r w:rsidR="009C521A" w:rsidRPr="00E84A23">
        <w:rPr>
          <w:rFonts w:ascii="Arial" w:hAnsi="Arial" w:cs="Arial"/>
          <w:color w:val="000000" w:themeColor="text1"/>
          <w:sz w:val="22"/>
          <w:lang w:val="es-ES_tradnl"/>
        </w:rPr>
        <w:t>valor, debe establecerse de forma clara la conexidad que existe entre los bienes, obras o servicios</w:t>
      </w:r>
      <w:r w:rsidR="00530862" w:rsidRPr="00E84A23">
        <w:rPr>
          <w:rFonts w:ascii="Arial" w:hAnsi="Arial" w:cs="Arial"/>
          <w:color w:val="000000" w:themeColor="text1"/>
          <w:sz w:val="22"/>
          <w:lang w:val="es-ES_tradnl"/>
        </w:rPr>
        <w:t xml:space="preserve"> a adicionar frente a la gestión o mitigación de los efectos de</w:t>
      </w:r>
      <w:r w:rsidR="009C521A" w:rsidRPr="00E84A23">
        <w:rPr>
          <w:rFonts w:ascii="Arial" w:hAnsi="Arial" w:cs="Arial"/>
          <w:color w:val="000000" w:themeColor="text1"/>
          <w:sz w:val="22"/>
          <w:lang w:val="es-ES_tradnl"/>
        </w:rPr>
        <w:t xml:space="preserve"> la emergencia </w:t>
      </w:r>
      <w:r w:rsidR="00C571F2" w:rsidRPr="00E84A23">
        <w:rPr>
          <w:rFonts w:ascii="Arial" w:hAnsi="Arial" w:cs="Arial"/>
          <w:color w:val="000000" w:themeColor="text1"/>
          <w:sz w:val="22"/>
          <w:lang w:val="es-ES_tradnl"/>
        </w:rPr>
        <w:t xml:space="preserve">generada </w:t>
      </w:r>
      <w:r w:rsidR="009C521A" w:rsidRPr="00E84A23">
        <w:rPr>
          <w:rFonts w:ascii="Arial" w:hAnsi="Arial" w:cs="Arial"/>
          <w:color w:val="000000" w:themeColor="text1"/>
          <w:sz w:val="22"/>
          <w:lang w:val="es-ES_tradnl"/>
        </w:rPr>
        <w:t>por la pandemia del coronavirus COVID-19. En lo que respecta al «tope prudencial» para las adiciones, este deberá sujetarse de forma estricta a criterios de razonabilidad y proporcionalidad que permitan conjurar la crisis, de tal forma que los valores adicionados estén plenamente justificados y obedezcan a un estudio estricto de su necesidad.</w:t>
      </w:r>
    </w:p>
    <w:p w14:paraId="5838F9EE" w14:textId="0FA32126" w:rsidR="009C521A" w:rsidRPr="00E84A23" w:rsidRDefault="005E6447" w:rsidP="009507C3">
      <w:pPr>
        <w:spacing w:line="276" w:lineRule="auto"/>
        <w:ind w:firstLine="709"/>
        <w:jc w:val="both"/>
        <w:rPr>
          <w:rFonts w:ascii="Arial" w:hAnsi="Arial" w:cs="Arial"/>
          <w:color w:val="000000" w:themeColor="text1"/>
          <w:sz w:val="22"/>
          <w:lang w:val="es-ES_tradnl"/>
        </w:rPr>
      </w:pPr>
      <w:r w:rsidRPr="00E84A23">
        <w:rPr>
          <w:rFonts w:ascii="Arial" w:hAnsi="Arial" w:cs="Arial"/>
          <w:color w:val="000000" w:themeColor="text1"/>
          <w:sz w:val="22"/>
          <w:lang w:val="es-ES_tradnl"/>
        </w:rPr>
        <w:t>Ahora bien, e</w:t>
      </w:r>
      <w:r w:rsidR="009C521A" w:rsidRPr="00E84A23">
        <w:rPr>
          <w:rFonts w:ascii="Arial" w:hAnsi="Arial" w:cs="Arial"/>
          <w:color w:val="000000" w:themeColor="text1"/>
          <w:sz w:val="22"/>
          <w:lang w:val="es-ES_tradnl"/>
        </w:rPr>
        <w:t xml:space="preserve">s oportuno </w:t>
      </w:r>
      <w:r w:rsidR="00C571F2" w:rsidRPr="00E84A23">
        <w:rPr>
          <w:rFonts w:ascii="Arial" w:hAnsi="Arial" w:cs="Arial"/>
          <w:color w:val="000000" w:themeColor="text1"/>
          <w:sz w:val="22"/>
          <w:lang w:val="es-ES_tradnl"/>
        </w:rPr>
        <w:t xml:space="preserve">reiterar </w:t>
      </w:r>
      <w:r w:rsidR="009C521A" w:rsidRPr="00E84A23">
        <w:rPr>
          <w:rFonts w:ascii="Arial" w:hAnsi="Arial" w:cs="Arial"/>
          <w:color w:val="000000" w:themeColor="text1"/>
          <w:sz w:val="22"/>
          <w:lang w:val="es-ES_tradnl"/>
        </w:rPr>
        <w:t xml:space="preserve">que la adición sin el límite fijado solo podrá realizarse hasta tanto se encuentre vigente la </w:t>
      </w:r>
      <w:r w:rsidR="00C571F2" w:rsidRPr="00E84A23">
        <w:rPr>
          <w:rFonts w:ascii="Arial" w:hAnsi="Arial" w:cs="Arial"/>
          <w:color w:val="000000" w:themeColor="text1"/>
          <w:sz w:val="22"/>
          <w:lang w:val="es-ES_tradnl"/>
        </w:rPr>
        <w:t>e</w:t>
      </w:r>
      <w:r w:rsidR="009C521A" w:rsidRPr="00E84A23">
        <w:rPr>
          <w:rFonts w:ascii="Arial" w:hAnsi="Arial" w:cs="Arial"/>
          <w:color w:val="000000" w:themeColor="text1"/>
          <w:sz w:val="22"/>
          <w:lang w:val="es-ES_tradnl"/>
        </w:rPr>
        <w:t xml:space="preserve">mergencia </w:t>
      </w:r>
      <w:r w:rsidR="00C571F2" w:rsidRPr="00E84A23">
        <w:rPr>
          <w:rFonts w:ascii="Arial" w:hAnsi="Arial" w:cs="Arial"/>
          <w:color w:val="000000" w:themeColor="text1"/>
          <w:sz w:val="22"/>
          <w:lang w:val="es-ES_tradnl"/>
        </w:rPr>
        <w:t>s</w:t>
      </w:r>
      <w:r w:rsidR="009C521A" w:rsidRPr="00E84A23">
        <w:rPr>
          <w:rFonts w:ascii="Arial" w:hAnsi="Arial" w:cs="Arial"/>
          <w:color w:val="000000" w:themeColor="text1"/>
          <w:sz w:val="22"/>
          <w:lang w:val="es-ES_tradnl"/>
        </w:rPr>
        <w:t xml:space="preserve">anitaria declarada por el </w:t>
      </w:r>
      <w:r w:rsidR="009C521A" w:rsidRPr="00E84A23">
        <w:rPr>
          <w:rFonts w:ascii="Arial" w:hAnsi="Arial" w:cs="Arial"/>
          <w:color w:val="000000" w:themeColor="text1"/>
          <w:sz w:val="22"/>
          <w:lang w:val="es-ES_tradnl"/>
        </w:rPr>
        <w:lastRenderedPageBreak/>
        <w:t xml:space="preserve">Ministerio de Salud y Protección Social, </w:t>
      </w:r>
      <w:r w:rsidR="00C571F2" w:rsidRPr="00E84A23">
        <w:rPr>
          <w:rFonts w:ascii="Arial" w:hAnsi="Arial" w:cs="Arial"/>
          <w:color w:val="000000" w:themeColor="text1"/>
          <w:sz w:val="22"/>
          <w:lang w:val="es-ES_tradnl"/>
        </w:rPr>
        <w:t>de acuerdo con lo establecido en el Decreto-Ley</w:t>
      </w:r>
      <w:r w:rsidR="009C521A" w:rsidRPr="00E84A23">
        <w:rPr>
          <w:rFonts w:ascii="Arial" w:hAnsi="Arial" w:cs="Arial"/>
          <w:color w:val="000000" w:themeColor="text1"/>
          <w:sz w:val="22"/>
          <w:lang w:val="es-ES_tradnl"/>
        </w:rPr>
        <w:t xml:space="preserve"> 537 del 2020. </w:t>
      </w:r>
      <w:r w:rsidR="00C571F2" w:rsidRPr="00E84A23">
        <w:rPr>
          <w:rFonts w:ascii="Arial" w:hAnsi="Arial" w:cs="Arial"/>
          <w:color w:val="000000" w:themeColor="text1"/>
          <w:sz w:val="22"/>
          <w:lang w:val="es-ES_tradnl"/>
        </w:rPr>
        <w:t>En tal sentido, u</w:t>
      </w:r>
      <w:r w:rsidR="009C521A" w:rsidRPr="00E84A23">
        <w:rPr>
          <w:rFonts w:ascii="Arial" w:hAnsi="Arial" w:cs="Arial"/>
          <w:color w:val="000000" w:themeColor="text1"/>
          <w:sz w:val="22"/>
          <w:lang w:val="es-ES_tradnl"/>
        </w:rPr>
        <w:t>na vez finalizad</w:t>
      </w:r>
      <w:r w:rsidR="00C571F2" w:rsidRPr="00E84A23">
        <w:rPr>
          <w:rFonts w:ascii="Arial" w:hAnsi="Arial" w:cs="Arial"/>
          <w:color w:val="000000" w:themeColor="text1"/>
          <w:sz w:val="22"/>
          <w:lang w:val="es-ES_tradnl"/>
        </w:rPr>
        <w:t>a</w:t>
      </w:r>
      <w:r w:rsidR="009C521A" w:rsidRPr="00E84A23">
        <w:rPr>
          <w:rFonts w:ascii="Arial" w:hAnsi="Arial" w:cs="Arial"/>
          <w:color w:val="000000" w:themeColor="text1"/>
          <w:sz w:val="22"/>
          <w:lang w:val="es-ES_tradnl"/>
        </w:rPr>
        <w:t xml:space="preserve"> </w:t>
      </w:r>
      <w:r w:rsidR="00C571F2" w:rsidRPr="00E84A23">
        <w:rPr>
          <w:rFonts w:ascii="Arial" w:hAnsi="Arial" w:cs="Arial"/>
          <w:color w:val="000000" w:themeColor="text1"/>
          <w:sz w:val="22"/>
          <w:lang w:val="es-ES_tradnl"/>
        </w:rPr>
        <w:t>la emergencia sanitaria,</w:t>
      </w:r>
      <w:r w:rsidR="009C521A" w:rsidRPr="00E84A23">
        <w:rPr>
          <w:rFonts w:ascii="Arial" w:hAnsi="Arial" w:cs="Arial"/>
          <w:color w:val="000000" w:themeColor="text1"/>
          <w:sz w:val="22"/>
          <w:lang w:val="es-ES_tradnl"/>
        </w:rPr>
        <w:t xml:space="preserve"> los contratos </w:t>
      </w:r>
      <w:r w:rsidR="005A5C7B" w:rsidRPr="00E84A23">
        <w:rPr>
          <w:rFonts w:ascii="Arial" w:hAnsi="Arial" w:cs="Arial"/>
          <w:color w:val="000000" w:themeColor="text1"/>
          <w:sz w:val="22"/>
          <w:lang w:val="es-ES_tradnl"/>
        </w:rPr>
        <w:t xml:space="preserve">solo </w:t>
      </w:r>
      <w:r w:rsidR="009C521A" w:rsidRPr="00E84A23">
        <w:rPr>
          <w:rFonts w:ascii="Arial" w:hAnsi="Arial" w:cs="Arial"/>
          <w:color w:val="000000" w:themeColor="text1"/>
          <w:sz w:val="22"/>
          <w:lang w:val="es-ES_tradnl"/>
        </w:rPr>
        <w:t>podrán adicionarse conforme el inciso final del parágrafo del artículo 40 de la Ley 80 de 1993.</w:t>
      </w:r>
    </w:p>
    <w:p w14:paraId="7CC36CE6" w14:textId="77777777" w:rsidR="00A23C69" w:rsidRPr="00E84A23" w:rsidRDefault="00A23C69" w:rsidP="006B5D71">
      <w:pPr>
        <w:spacing w:line="276" w:lineRule="auto"/>
        <w:ind w:firstLine="709"/>
        <w:jc w:val="both"/>
        <w:rPr>
          <w:rFonts w:ascii="Arial" w:hAnsi="Arial" w:cs="Arial"/>
          <w:color w:val="000000" w:themeColor="text1"/>
          <w:sz w:val="22"/>
          <w:lang w:val="es-ES_tradnl"/>
        </w:rPr>
      </w:pPr>
    </w:p>
    <w:p w14:paraId="37CA9805" w14:textId="4C51B578" w:rsidR="00DD5B04" w:rsidRPr="00E84A23" w:rsidRDefault="004177A6" w:rsidP="00510DE9">
      <w:pPr>
        <w:tabs>
          <w:tab w:val="left" w:pos="0"/>
        </w:tabs>
        <w:jc w:val="both"/>
        <w:rPr>
          <w:rFonts w:ascii="Arial" w:eastAsia="Calibri" w:hAnsi="Arial" w:cs="Arial"/>
          <w:b/>
          <w:color w:val="000000" w:themeColor="text1"/>
          <w:sz w:val="22"/>
          <w:lang w:val="es-ES_tradnl"/>
        </w:rPr>
      </w:pPr>
      <w:r w:rsidRPr="00E84A23">
        <w:rPr>
          <w:rFonts w:ascii="Arial" w:eastAsia="Calibri" w:hAnsi="Arial" w:cs="Arial"/>
          <w:b/>
          <w:color w:val="000000" w:themeColor="text1"/>
          <w:sz w:val="22"/>
          <w:lang w:val="es-ES_tradnl"/>
        </w:rPr>
        <w:t>3</w:t>
      </w:r>
      <w:r w:rsidR="00B011A9" w:rsidRPr="00E84A23">
        <w:rPr>
          <w:rFonts w:ascii="Arial" w:eastAsia="Calibri" w:hAnsi="Arial" w:cs="Arial"/>
          <w:b/>
          <w:color w:val="000000" w:themeColor="text1"/>
          <w:sz w:val="22"/>
          <w:lang w:val="es-ES_tradnl"/>
        </w:rPr>
        <w:t xml:space="preserve">. </w:t>
      </w:r>
      <w:r w:rsidR="00DD5B04" w:rsidRPr="00E84A23">
        <w:rPr>
          <w:rFonts w:ascii="Arial" w:eastAsia="Calibri" w:hAnsi="Arial" w:cs="Arial"/>
          <w:b/>
          <w:color w:val="000000" w:themeColor="text1"/>
          <w:sz w:val="22"/>
          <w:lang w:val="es-ES_tradnl"/>
        </w:rPr>
        <w:t>Respuesta</w:t>
      </w:r>
    </w:p>
    <w:p w14:paraId="0B74D5B8" w14:textId="571E2881" w:rsidR="00C4581D" w:rsidRPr="00E84A23" w:rsidRDefault="00C4581D" w:rsidP="00510DE9">
      <w:pPr>
        <w:tabs>
          <w:tab w:val="left" w:pos="0"/>
        </w:tabs>
        <w:jc w:val="both"/>
        <w:rPr>
          <w:rFonts w:ascii="Arial" w:eastAsia="Calibri" w:hAnsi="Arial" w:cs="Arial"/>
          <w:color w:val="000000" w:themeColor="text1"/>
          <w:sz w:val="22"/>
          <w:lang w:val="es-ES_tradnl"/>
        </w:rPr>
      </w:pPr>
    </w:p>
    <w:p w14:paraId="34D849FE" w14:textId="77777777" w:rsidR="009674E6" w:rsidRPr="00E84A23" w:rsidRDefault="009674E6" w:rsidP="009674E6">
      <w:pPr>
        <w:ind w:left="709" w:right="709"/>
        <w:jc w:val="both"/>
        <w:rPr>
          <w:rFonts w:ascii="Arial" w:hAnsi="Arial" w:cs="Arial"/>
          <w:color w:val="000000" w:themeColor="text1"/>
          <w:sz w:val="21"/>
          <w:szCs w:val="21"/>
          <w:lang w:val="es-ES_tradnl"/>
        </w:rPr>
      </w:pPr>
      <w:r w:rsidRPr="00E84A23">
        <w:rPr>
          <w:rFonts w:ascii="Arial" w:hAnsi="Arial" w:cs="Arial"/>
          <w:color w:val="000000" w:themeColor="text1"/>
          <w:sz w:val="21"/>
          <w:szCs w:val="21"/>
          <w:lang w:val="es-ES_tradnl"/>
        </w:rPr>
        <w:t xml:space="preserve">«[…] 1. UN CONTRATO PRODUCTO DE UN PROCESO DE SELECCIÓN DE MÍNIMA CUANTÍA HASTA QUE MONTO PUEDE SER ADICIONADO. </w:t>
      </w:r>
    </w:p>
    <w:p w14:paraId="689B745B" w14:textId="77777777" w:rsidR="009674E6" w:rsidRPr="00E84A23" w:rsidRDefault="009674E6" w:rsidP="009674E6">
      <w:pPr>
        <w:ind w:left="709" w:right="709"/>
        <w:jc w:val="both"/>
        <w:rPr>
          <w:rFonts w:ascii="Arial" w:hAnsi="Arial" w:cs="Arial"/>
          <w:color w:val="000000" w:themeColor="text1"/>
          <w:sz w:val="21"/>
          <w:szCs w:val="21"/>
          <w:lang w:val="es-ES_tradnl"/>
        </w:rPr>
      </w:pPr>
    </w:p>
    <w:p w14:paraId="2ECBB428" w14:textId="09493926" w:rsidR="009674E6" w:rsidRPr="00E84A23" w:rsidRDefault="009674E6" w:rsidP="009674E6">
      <w:pPr>
        <w:ind w:left="709" w:right="709"/>
        <w:jc w:val="both"/>
        <w:rPr>
          <w:rFonts w:ascii="Arial" w:hAnsi="Arial" w:cs="Arial"/>
          <w:color w:val="000000" w:themeColor="text1"/>
          <w:sz w:val="21"/>
          <w:szCs w:val="21"/>
          <w:lang w:val="es-ES_tradnl"/>
        </w:rPr>
      </w:pPr>
      <w:r w:rsidRPr="00E84A23">
        <w:rPr>
          <w:rFonts w:ascii="Arial" w:hAnsi="Arial" w:cs="Arial"/>
          <w:color w:val="000000" w:themeColor="text1"/>
          <w:sz w:val="21"/>
          <w:szCs w:val="21"/>
          <w:lang w:val="es-ES_tradnl"/>
        </w:rPr>
        <w:t xml:space="preserve">» 2. EL PARÁGRAFO DEL ARTÍCULO 40 DE LA LEY 80 DE 1993 QUE REZA: "LOS CONTRATOS NO PODRÁN ADICIONARSE EN MÁS DEL CINCUENTA POR CIENTO (50%) DE SU VALOR INICIAL, EXPRESADO ÉSTE EN SALARIOS MÍNIMOS LEGALES MENSUALES", ES APLICABLE A UN CONTRATO QUE RESULTE DE UN PROCESO DE SELECCIÓN DE MÍNIMA CUANTÍA. </w:t>
      </w:r>
    </w:p>
    <w:p w14:paraId="59221D0D" w14:textId="77777777" w:rsidR="00A03986" w:rsidRPr="00E84A23" w:rsidRDefault="00A03986" w:rsidP="009674E6">
      <w:pPr>
        <w:ind w:left="709" w:right="709"/>
        <w:jc w:val="both"/>
        <w:rPr>
          <w:rFonts w:ascii="Arial" w:hAnsi="Arial" w:cs="Arial"/>
          <w:color w:val="000000" w:themeColor="text1"/>
          <w:sz w:val="21"/>
          <w:szCs w:val="21"/>
          <w:lang w:val="es-ES_tradnl"/>
        </w:rPr>
      </w:pPr>
    </w:p>
    <w:p w14:paraId="0405D19E" w14:textId="57CB27FD" w:rsidR="00697010" w:rsidRPr="00E84A23" w:rsidRDefault="009674E6" w:rsidP="009674E6">
      <w:pPr>
        <w:ind w:left="709" w:right="709"/>
        <w:jc w:val="both"/>
        <w:rPr>
          <w:rFonts w:ascii="Arial" w:hAnsi="Arial" w:cs="Arial"/>
          <w:color w:val="000000" w:themeColor="text1"/>
          <w:sz w:val="21"/>
          <w:szCs w:val="21"/>
          <w:lang w:val="es-ES_tradnl"/>
        </w:rPr>
      </w:pPr>
      <w:r w:rsidRPr="00E84A23">
        <w:rPr>
          <w:rFonts w:ascii="Arial" w:hAnsi="Arial" w:cs="Arial"/>
          <w:color w:val="000000" w:themeColor="text1"/>
          <w:sz w:val="21"/>
          <w:szCs w:val="21"/>
          <w:lang w:val="es-ES_tradnl"/>
        </w:rPr>
        <w:t>» 3. UN CONTRATO PRODUCTO DE UN PROCESO DE SELECCIÓN DE MÍNIMA CUANTÍA PUEDE ADICIONARSE HASTA EL 50% DE SU VALOR INICIAL.»</w:t>
      </w:r>
    </w:p>
    <w:p w14:paraId="6E475211" w14:textId="0E7E7D23" w:rsidR="00697010" w:rsidRPr="00E84A23" w:rsidRDefault="00697010" w:rsidP="007F172C">
      <w:pPr>
        <w:ind w:right="709"/>
        <w:jc w:val="both"/>
        <w:rPr>
          <w:rFonts w:ascii="Arial" w:hAnsi="Arial" w:cs="Arial"/>
          <w:color w:val="000000" w:themeColor="text1"/>
          <w:sz w:val="21"/>
          <w:szCs w:val="21"/>
          <w:lang w:val="es-ES_tradnl"/>
        </w:rPr>
      </w:pPr>
    </w:p>
    <w:p w14:paraId="3868B3FA" w14:textId="1DD4C8A3" w:rsidR="00650DBD" w:rsidRPr="00E84A23" w:rsidRDefault="00253753" w:rsidP="009507C3">
      <w:pPr>
        <w:spacing w:line="276" w:lineRule="auto"/>
        <w:jc w:val="both"/>
        <w:rPr>
          <w:rFonts w:ascii="Arial" w:hAnsi="Arial" w:cs="Arial"/>
          <w:color w:val="000000" w:themeColor="text1"/>
          <w:sz w:val="22"/>
          <w:lang w:val="es-ES_tradnl"/>
        </w:rPr>
      </w:pPr>
      <w:r w:rsidRPr="00E84A23">
        <w:rPr>
          <w:rFonts w:ascii="Arial" w:hAnsi="Arial" w:cs="Arial"/>
          <w:sz w:val="22"/>
        </w:rPr>
        <w:t xml:space="preserve">Dado que las preguntas que se plantean en la solicitud </w:t>
      </w:r>
      <w:r w:rsidR="006F35F8" w:rsidRPr="00E84A23">
        <w:rPr>
          <w:rFonts w:ascii="Arial" w:hAnsi="Arial" w:cs="Arial"/>
          <w:sz w:val="22"/>
        </w:rPr>
        <w:t>guardan unidad temática, se responderán de forma unificada</w:t>
      </w:r>
      <w:r w:rsidRPr="00E84A23">
        <w:rPr>
          <w:rFonts w:ascii="Arial" w:hAnsi="Arial" w:cs="Arial"/>
          <w:sz w:val="22"/>
        </w:rPr>
        <w:t>.</w:t>
      </w:r>
      <w:r w:rsidR="006F35F8" w:rsidRPr="00E84A23">
        <w:rPr>
          <w:rFonts w:ascii="Arial" w:hAnsi="Arial" w:cs="Arial"/>
          <w:sz w:val="22"/>
        </w:rPr>
        <w:t xml:space="preserve"> </w:t>
      </w:r>
      <w:r w:rsidR="006F35F8" w:rsidRPr="00E84A23">
        <w:rPr>
          <w:rFonts w:ascii="Arial" w:hAnsi="Arial" w:cs="Arial"/>
          <w:color w:val="000000" w:themeColor="text1"/>
          <w:sz w:val="22"/>
          <w:lang w:val="es-ES_tradnl"/>
        </w:rPr>
        <w:t>En este sentido, conforme se explicó en las consideraciones, e</w:t>
      </w:r>
      <w:r w:rsidR="008B6DAE" w:rsidRPr="00E84A23">
        <w:rPr>
          <w:rFonts w:ascii="Arial" w:hAnsi="Arial" w:cs="Arial"/>
          <w:color w:val="000000" w:themeColor="text1"/>
          <w:sz w:val="22"/>
          <w:lang w:val="es-ES_tradnl"/>
        </w:rPr>
        <w:t xml:space="preserve">l parágrafo del artículo 40 de la Ley 80 de 1993, establece </w:t>
      </w:r>
      <w:r w:rsidR="00223DE4" w:rsidRPr="00E84A23">
        <w:rPr>
          <w:rFonts w:ascii="Arial" w:hAnsi="Arial" w:cs="Arial"/>
          <w:color w:val="000000" w:themeColor="text1"/>
          <w:sz w:val="22"/>
          <w:lang w:val="es-ES_tradnl"/>
        </w:rPr>
        <w:t xml:space="preserve">que </w:t>
      </w:r>
      <w:r w:rsidR="008B6DAE" w:rsidRPr="00E84A23">
        <w:rPr>
          <w:rFonts w:ascii="Arial" w:hAnsi="Arial" w:cs="Arial"/>
          <w:color w:val="000000" w:themeColor="text1"/>
          <w:sz w:val="22"/>
          <w:lang w:val="es-ES_tradnl"/>
        </w:rPr>
        <w:t xml:space="preserve">«Los contratos no podrán adicionarse en más del cincuenta por ciento (50%) de su valor inicial, expresado éste en salarios mínimos legales mensuales». </w:t>
      </w:r>
      <w:r w:rsidR="00650DBD" w:rsidRPr="00E84A23">
        <w:rPr>
          <w:rFonts w:ascii="Arial" w:hAnsi="Arial" w:cs="Arial"/>
          <w:color w:val="000000" w:themeColor="text1"/>
          <w:sz w:val="22"/>
          <w:lang w:val="es-ES_tradnl"/>
        </w:rPr>
        <w:t xml:space="preserve">Conforme a lo anterior, </w:t>
      </w:r>
      <w:r w:rsidR="006F35F8" w:rsidRPr="00E84A23">
        <w:rPr>
          <w:rFonts w:ascii="Arial" w:eastAsia="Calibri" w:hAnsi="Arial" w:cs="Arial"/>
          <w:sz w:val="22"/>
        </w:rPr>
        <w:t>la regla establecida en el parágrafo del artículo 40 de la Ley 80 de 1993 aplica a todos los contratos estatales regidos por el Estatuto General de Contratación de la Administración Pública, independientemente de la modalidad de selección o la tipología contractual del negocio jurídico que se considere necesario adicionar</w:t>
      </w:r>
      <w:r w:rsidR="00650DBD" w:rsidRPr="00E84A23">
        <w:rPr>
          <w:rFonts w:ascii="Arial" w:hAnsi="Arial" w:cs="Arial"/>
          <w:color w:val="000000" w:themeColor="text1"/>
          <w:sz w:val="22"/>
          <w:lang w:val="es-ES_tradnl"/>
        </w:rPr>
        <w:t xml:space="preserve">. Así las cosas, donde el legislador no distingue no le es dado hacerlo al intérprete. </w:t>
      </w:r>
    </w:p>
    <w:p w14:paraId="4933A87A" w14:textId="07D41E51" w:rsidR="002D457E" w:rsidRPr="00E84A23" w:rsidRDefault="002D6630" w:rsidP="002D457E">
      <w:pPr>
        <w:spacing w:before="120" w:after="240" w:line="276" w:lineRule="auto"/>
        <w:ind w:firstLine="709"/>
        <w:jc w:val="both"/>
        <w:rPr>
          <w:rFonts w:ascii="Arial" w:hAnsi="Arial" w:cs="Arial"/>
          <w:color w:val="000000" w:themeColor="text1"/>
          <w:sz w:val="22"/>
          <w:lang w:val="es-ES_tradnl"/>
        </w:rPr>
      </w:pPr>
      <w:r w:rsidRPr="00E84A23">
        <w:rPr>
          <w:rFonts w:ascii="Arial" w:hAnsi="Arial" w:cs="Arial"/>
          <w:color w:val="000000" w:themeColor="text1"/>
          <w:sz w:val="22"/>
          <w:lang w:val="es-ES_tradnl"/>
        </w:rPr>
        <w:t xml:space="preserve">Ahora bien, </w:t>
      </w:r>
      <w:r w:rsidR="002D457E" w:rsidRPr="00E84A23">
        <w:rPr>
          <w:rFonts w:ascii="Arial" w:eastAsia="Calibri" w:hAnsi="Arial" w:cs="Arial"/>
          <w:sz w:val="22"/>
        </w:rPr>
        <w:t>actualmente, solo existen dos posibilidades para adicionar contratos en más del 50%: i) la contenida en el artículo 85 de la Ley 1474 de 2011, para los contratos de interventoría; y ii) la excepción temporal contemplada por el Gobierno Nacional en los Decretos</w:t>
      </w:r>
      <w:r w:rsidR="00E5074F" w:rsidRPr="00E84A23">
        <w:rPr>
          <w:rFonts w:ascii="Arial" w:eastAsia="Calibri" w:hAnsi="Arial" w:cs="Arial"/>
          <w:sz w:val="22"/>
        </w:rPr>
        <w:t>-Ley</w:t>
      </w:r>
      <w:r w:rsidR="002D457E" w:rsidRPr="00E84A23">
        <w:rPr>
          <w:rFonts w:ascii="Arial" w:eastAsia="Calibri" w:hAnsi="Arial" w:cs="Arial"/>
          <w:sz w:val="22"/>
        </w:rPr>
        <w:t xml:space="preserve"> 440 y 537 de 2020</w:t>
      </w:r>
      <w:r w:rsidR="00E5074F" w:rsidRPr="00E84A23">
        <w:rPr>
          <w:rFonts w:ascii="Arial" w:eastAsia="Calibri" w:hAnsi="Arial" w:cs="Arial"/>
          <w:sz w:val="22"/>
        </w:rPr>
        <w:t xml:space="preserve">, </w:t>
      </w:r>
      <w:r w:rsidR="002D457E" w:rsidRPr="00E84A23">
        <w:rPr>
          <w:rFonts w:ascii="Arial" w:eastAsia="Calibri" w:hAnsi="Arial" w:cs="Arial"/>
          <w:sz w:val="22"/>
        </w:rPr>
        <w:t xml:space="preserve"> </w:t>
      </w:r>
      <w:r w:rsidR="00E5074F" w:rsidRPr="00E84A23">
        <w:rPr>
          <w:rFonts w:ascii="Arial" w:eastAsia="Calibri" w:hAnsi="Arial" w:cs="Arial"/>
          <w:sz w:val="22"/>
        </w:rPr>
        <w:t xml:space="preserve">particularmente, el artículo 8 de este último, </w:t>
      </w:r>
      <w:r w:rsidR="002D457E" w:rsidRPr="00E84A23">
        <w:rPr>
          <w:rFonts w:ascii="Arial" w:eastAsia="Calibri" w:hAnsi="Arial" w:cs="Arial"/>
          <w:sz w:val="22"/>
        </w:rPr>
        <w:t xml:space="preserve">al </w:t>
      </w:r>
      <w:r w:rsidR="00E5074F" w:rsidRPr="00E84A23">
        <w:rPr>
          <w:rFonts w:ascii="Arial" w:eastAsia="Calibri" w:hAnsi="Arial" w:cs="Arial"/>
          <w:sz w:val="22"/>
        </w:rPr>
        <w:t xml:space="preserve">establecer </w:t>
      </w:r>
      <w:r w:rsidR="002D457E" w:rsidRPr="00E84A23">
        <w:rPr>
          <w:rFonts w:ascii="Arial" w:eastAsia="Calibri" w:hAnsi="Arial" w:cs="Arial"/>
          <w:sz w:val="22"/>
        </w:rPr>
        <w:t xml:space="preserve">que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w:t>
      </w:r>
      <w:r w:rsidR="00E5074F" w:rsidRPr="00E84A23">
        <w:rPr>
          <w:rFonts w:ascii="Arial" w:eastAsia="Calibri" w:hAnsi="Arial" w:cs="Arial"/>
          <w:sz w:val="22"/>
        </w:rPr>
        <w:t>Lo anterior</w:t>
      </w:r>
      <w:r w:rsidR="002D457E" w:rsidRPr="00E84A23">
        <w:rPr>
          <w:rFonts w:ascii="Arial" w:eastAsia="Calibri" w:hAnsi="Arial" w:cs="Arial"/>
          <w:sz w:val="22"/>
        </w:rPr>
        <w:t xml:space="preserve">, bajo el entendido que </w:t>
      </w:r>
      <w:r w:rsidR="002D457E" w:rsidRPr="00E84A23">
        <w:rPr>
          <w:rFonts w:ascii="Arial" w:hAnsi="Arial" w:cs="Arial"/>
          <w:color w:val="000000" w:themeColor="text1"/>
          <w:sz w:val="22"/>
          <w:lang w:val="es-ES_tradnl"/>
        </w:rPr>
        <w:t xml:space="preserve">solo podrá realizarse hasta tanto se </w:t>
      </w:r>
      <w:r w:rsidR="002D457E" w:rsidRPr="00E84A23">
        <w:rPr>
          <w:rFonts w:ascii="Arial" w:hAnsi="Arial" w:cs="Arial"/>
          <w:color w:val="000000" w:themeColor="text1"/>
          <w:sz w:val="22"/>
          <w:lang w:val="es-ES_tradnl"/>
        </w:rPr>
        <w:lastRenderedPageBreak/>
        <w:t>encuentre vigente la Emergencia Sanitaria declarada por el Ministerio de Salud y Protección Social.</w:t>
      </w:r>
    </w:p>
    <w:p w14:paraId="7CC42CD1" w14:textId="4BD452B3" w:rsidR="002D457E" w:rsidRPr="00E84A23" w:rsidRDefault="002D457E" w:rsidP="002D457E">
      <w:pPr>
        <w:spacing w:before="120" w:after="240" w:line="276" w:lineRule="auto"/>
        <w:ind w:firstLine="709"/>
        <w:jc w:val="both"/>
        <w:rPr>
          <w:rFonts w:ascii="Arial" w:eastAsia="Arial" w:hAnsi="Arial" w:cs="Arial"/>
          <w:color w:val="161616" w:themeColor="background1" w:themeShade="1A"/>
          <w:sz w:val="22"/>
          <w:szCs w:val="22"/>
          <w:lang w:val="es-ES_tradnl"/>
        </w:rPr>
      </w:pPr>
      <w:r w:rsidRPr="00E84A23">
        <w:rPr>
          <w:rFonts w:ascii="Arial" w:eastAsia="Arial" w:hAnsi="Arial" w:cs="Arial"/>
          <w:color w:val="161616" w:themeColor="background1" w:themeShade="1A"/>
          <w:sz w:val="22"/>
          <w:szCs w:val="22"/>
          <w:lang w:val="es-ES_tradnl"/>
        </w:rPr>
        <w:t>A partir de las consideraciones anteriores</w:t>
      </w:r>
      <w:r w:rsidRPr="00E84A23">
        <w:rPr>
          <w:rFonts w:ascii="Arial" w:hAnsi="Arial" w:cs="Arial"/>
          <w:color w:val="161616" w:themeColor="background1" w:themeShade="1A"/>
          <w:sz w:val="22"/>
          <w:szCs w:val="22"/>
          <w:shd w:val="clear" w:color="auto" w:fill="FFFFFF"/>
          <w:lang w:val="es-ES_tradnl"/>
        </w:rPr>
        <w:t xml:space="preserve">, se concluye </w:t>
      </w:r>
      <w:r w:rsidR="007167E8" w:rsidRPr="00E84A23">
        <w:rPr>
          <w:rFonts w:ascii="Arial" w:hAnsi="Arial" w:cs="Arial"/>
          <w:color w:val="161616" w:themeColor="background1" w:themeShade="1A"/>
          <w:sz w:val="22"/>
          <w:szCs w:val="22"/>
          <w:shd w:val="clear" w:color="auto" w:fill="FFFFFF"/>
          <w:lang w:val="es-ES_tradnl"/>
        </w:rPr>
        <w:t>que</w:t>
      </w:r>
      <w:r w:rsidRPr="00E84A23">
        <w:rPr>
          <w:rFonts w:ascii="Arial" w:hAnsi="Arial" w:cs="Arial"/>
          <w:color w:val="161616" w:themeColor="background1" w:themeShade="1A"/>
          <w:sz w:val="22"/>
          <w:szCs w:val="22"/>
          <w:shd w:val="clear" w:color="auto" w:fill="FFFFFF"/>
          <w:lang w:val="es-ES_tradnl"/>
        </w:rPr>
        <w:t xml:space="preserve"> en la actualidad</w:t>
      </w:r>
      <w:r w:rsidR="007167E8" w:rsidRPr="00E84A23">
        <w:rPr>
          <w:rFonts w:ascii="Arial" w:hAnsi="Arial" w:cs="Arial"/>
          <w:color w:val="161616" w:themeColor="background1" w:themeShade="1A"/>
          <w:sz w:val="22"/>
          <w:szCs w:val="22"/>
          <w:shd w:val="clear" w:color="auto" w:fill="FFFFFF"/>
          <w:lang w:val="es-ES_tradnl"/>
        </w:rPr>
        <w:t xml:space="preserve"> los contratos estatales </w:t>
      </w:r>
      <w:r w:rsidR="00E5074F" w:rsidRPr="00E84A23">
        <w:rPr>
          <w:rFonts w:ascii="Arial" w:hAnsi="Arial" w:cs="Arial"/>
          <w:color w:val="161616" w:themeColor="background1" w:themeShade="1A"/>
          <w:sz w:val="22"/>
          <w:szCs w:val="22"/>
          <w:shd w:val="clear" w:color="auto" w:fill="FFFFFF"/>
          <w:lang w:val="es-ES_tradnl"/>
        </w:rPr>
        <w:t xml:space="preserve">sometidos al Estatuto General de Contratación de la Administración Pública </w:t>
      </w:r>
      <w:r w:rsidR="007167E8" w:rsidRPr="00E84A23">
        <w:rPr>
          <w:rFonts w:ascii="Arial" w:hAnsi="Arial" w:cs="Arial"/>
          <w:color w:val="161616" w:themeColor="background1" w:themeShade="1A"/>
          <w:sz w:val="22"/>
          <w:szCs w:val="22"/>
          <w:shd w:val="clear" w:color="auto" w:fill="FFFFFF"/>
          <w:lang w:val="es-ES_tradnl"/>
        </w:rPr>
        <w:t xml:space="preserve">no </w:t>
      </w:r>
      <w:r w:rsidRPr="00E84A23">
        <w:rPr>
          <w:rFonts w:ascii="Arial" w:hAnsi="Arial" w:cs="Arial"/>
          <w:color w:val="000000" w:themeColor="text1"/>
          <w:sz w:val="22"/>
          <w:lang w:val="es-ES_tradnl"/>
        </w:rPr>
        <w:t>podrán adicionarse en más del cincuenta por ciento (50%)</w:t>
      </w:r>
      <w:r w:rsidR="007167E8" w:rsidRPr="00E84A23">
        <w:rPr>
          <w:rFonts w:ascii="Arial" w:hAnsi="Arial" w:cs="Arial"/>
          <w:color w:val="000000" w:themeColor="text1"/>
          <w:sz w:val="22"/>
          <w:lang w:val="es-ES_tradnl"/>
        </w:rPr>
        <w:t xml:space="preserve"> de su valor inicial, expresado éste en salarios mínimos legales mensuales</w:t>
      </w:r>
      <w:r w:rsidRPr="00E84A23">
        <w:rPr>
          <w:rFonts w:ascii="Arial" w:hAnsi="Arial" w:cs="Arial"/>
          <w:color w:val="161616" w:themeColor="background1" w:themeShade="1A"/>
          <w:sz w:val="22"/>
          <w:szCs w:val="22"/>
          <w:shd w:val="clear" w:color="auto" w:fill="FFFFFF"/>
          <w:lang w:val="es-ES_tradnl"/>
        </w:rPr>
        <w:t xml:space="preserve">, salvo que se </w:t>
      </w:r>
      <w:r w:rsidR="007167E8" w:rsidRPr="00E84A23">
        <w:rPr>
          <w:rFonts w:ascii="Arial" w:hAnsi="Arial" w:cs="Arial"/>
          <w:color w:val="161616" w:themeColor="background1" w:themeShade="1A"/>
          <w:sz w:val="22"/>
          <w:szCs w:val="22"/>
          <w:shd w:val="clear" w:color="auto" w:fill="FFFFFF"/>
          <w:lang w:val="es-ES_tradnl"/>
        </w:rPr>
        <w:t>configure</w:t>
      </w:r>
      <w:r w:rsidRPr="00E84A23">
        <w:rPr>
          <w:rFonts w:ascii="Arial" w:hAnsi="Arial" w:cs="Arial"/>
          <w:color w:val="161616" w:themeColor="background1" w:themeShade="1A"/>
          <w:sz w:val="22"/>
          <w:szCs w:val="22"/>
          <w:shd w:val="clear" w:color="auto" w:fill="FFFFFF"/>
          <w:lang w:val="es-ES_tradnl"/>
        </w:rPr>
        <w:t xml:space="preserve"> alguna</w:t>
      </w:r>
      <w:r w:rsidR="007167E8" w:rsidRPr="00E84A23">
        <w:rPr>
          <w:rFonts w:ascii="Arial" w:hAnsi="Arial" w:cs="Arial"/>
          <w:color w:val="161616" w:themeColor="background1" w:themeShade="1A"/>
          <w:sz w:val="22"/>
          <w:szCs w:val="22"/>
          <w:shd w:val="clear" w:color="auto" w:fill="FFFFFF"/>
          <w:lang w:val="es-ES_tradnl"/>
        </w:rPr>
        <w:t>s</w:t>
      </w:r>
      <w:r w:rsidRPr="00E84A23">
        <w:rPr>
          <w:rFonts w:ascii="Arial" w:hAnsi="Arial" w:cs="Arial"/>
          <w:color w:val="161616" w:themeColor="background1" w:themeShade="1A"/>
          <w:sz w:val="22"/>
          <w:szCs w:val="22"/>
          <w:shd w:val="clear" w:color="auto" w:fill="FFFFFF"/>
          <w:lang w:val="es-ES_tradnl"/>
        </w:rPr>
        <w:t xml:space="preserve"> de las excepciones previstas en el </w:t>
      </w:r>
      <w:r w:rsidR="007167E8" w:rsidRPr="00E84A23">
        <w:rPr>
          <w:rFonts w:ascii="Arial" w:eastAsia="Calibri" w:hAnsi="Arial" w:cs="Arial"/>
          <w:sz w:val="22"/>
        </w:rPr>
        <w:t>artículo 85 de la Ley 1474 de 2011 o en los Decretos</w:t>
      </w:r>
      <w:r w:rsidR="00E5074F" w:rsidRPr="00E84A23">
        <w:rPr>
          <w:rFonts w:ascii="Arial" w:eastAsia="Calibri" w:hAnsi="Arial" w:cs="Arial"/>
          <w:sz w:val="22"/>
        </w:rPr>
        <w:t>-Ley</w:t>
      </w:r>
      <w:r w:rsidR="007167E8" w:rsidRPr="00E84A23">
        <w:rPr>
          <w:rFonts w:ascii="Arial" w:eastAsia="Calibri" w:hAnsi="Arial" w:cs="Arial"/>
          <w:sz w:val="22"/>
        </w:rPr>
        <w:t xml:space="preserve"> 440 y 537 de 2020</w:t>
      </w:r>
      <w:r w:rsidR="00E5074F" w:rsidRPr="00E84A23">
        <w:rPr>
          <w:rFonts w:ascii="Arial" w:eastAsia="Calibri" w:hAnsi="Arial" w:cs="Arial"/>
          <w:sz w:val="22"/>
        </w:rPr>
        <w:t xml:space="preserve"> –artículo 8–</w:t>
      </w:r>
      <w:r w:rsidRPr="00E84A23">
        <w:rPr>
          <w:rFonts w:ascii="Arial" w:hAnsi="Arial" w:cs="Arial"/>
          <w:color w:val="161616" w:themeColor="background1" w:themeShade="1A"/>
          <w:sz w:val="22"/>
          <w:szCs w:val="22"/>
          <w:shd w:val="clear" w:color="auto" w:fill="FFFFFF"/>
          <w:lang w:val="es-ES_tradnl"/>
        </w:rPr>
        <w:t xml:space="preserve">. El análisis de las excepciones debe ser </w:t>
      </w:r>
      <w:r w:rsidR="00E5074F" w:rsidRPr="00E84A23">
        <w:rPr>
          <w:rFonts w:ascii="Arial" w:hAnsi="Arial" w:cs="Arial"/>
          <w:color w:val="161616" w:themeColor="background1" w:themeShade="1A"/>
          <w:sz w:val="22"/>
          <w:szCs w:val="22"/>
          <w:shd w:val="clear" w:color="auto" w:fill="FFFFFF"/>
          <w:lang w:val="es-ES_tradnl"/>
        </w:rPr>
        <w:t xml:space="preserve">analizada </w:t>
      </w:r>
      <w:r w:rsidRPr="00E84A23">
        <w:rPr>
          <w:rFonts w:ascii="Arial" w:hAnsi="Arial" w:cs="Arial"/>
          <w:color w:val="161616" w:themeColor="background1" w:themeShade="1A"/>
          <w:sz w:val="22"/>
          <w:szCs w:val="22"/>
          <w:shd w:val="clear" w:color="auto" w:fill="FFFFFF"/>
          <w:lang w:val="es-ES_tradnl"/>
        </w:rPr>
        <w:t xml:space="preserve">por cada entidad estatal, </w:t>
      </w:r>
      <w:r w:rsidR="00E5074F" w:rsidRPr="00E84A23">
        <w:rPr>
          <w:rFonts w:ascii="Arial" w:hAnsi="Arial" w:cs="Arial"/>
          <w:color w:val="161616" w:themeColor="background1" w:themeShade="1A"/>
          <w:sz w:val="22"/>
          <w:szCs w:val="22"/>
          <w:shd w:val="clear" w:color="auto" w:fill="FFFFFF"/>
          <w:lang w:val="es-ES_tradnl"/>
        </w:rPr>
        <w:t>en cada caso en particular</w:t>
      </w:r>
      <w:r w:rsidRPr="00E84A23">
        <w:rPr>
          <w:rFonts w:ascii="Arial" w:hAnsi="Arial" w:cs="Arial"/>
          <w:color w:val="161616" w:themeColor="background1" w:themeShade="1A"/>
          <w:sz w:val="22"/>
          <w:szCs w:val="22"/>
          <w:shd w:val="clear" w:color="auto" w:fill="FFFFFF"/>
          <w:lang w:val="es-ES_tradnl"/>
        </w:rPr>
        <w:t>.</w:t>
      </w:r>
    </w:p>
    <w:p w14:paraId="7B2C921D" w14:textId="0F929B38" w:rsidR="00DD5B04" w:rsidRPr="00E84A23" w:rsidRDefault="00DD5B04" w:rsidP="00DF76A2">
      <w:pPr>
        <w:spacing w:line="276" w:lineRule="auto"/>
        <w:jc w:val="both"/>
        <w:rPr>
          <w:rFonts w:ascii="Arial" w:hAnsi="Arial" w:cs="Arial"/>
          <w:color w:val="000000" w:themeColor="text1"/>
          <w:sz w:val="22"/>
          <w:lang w:val="es-ES_tradnl"/>
        </w:rPr>
      </w:pPr>
      <w:r w:rsidRPr="00E84A23">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6C481189" w:rsidR="00DD5B04" w:rsidRPr="00E84A2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92FC307" w14:textId="724F28AE" w:rsidR="00921304" w:rsidRPr="00E84A2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84A23">
        <w:rPr>
          <w:rFonts w:ascii="Arial" w:hAnsi="Arial" w:cs="Arial"/>
          <w:color w:val="000000" w:themeColor="text1"/>
          <w:sz w:val="22"/>
          <w:szCs w:val="22"/>
          <w:lang w:val="es-ES_tradnl"/>
        </w:rPr>
        <w:t>Atentamente,</w:t>
      </w:r>
    </w:p>
    <w:p w14:paraId="0DD69D22" w14:textId="23D5A1CB" w:rsidR="004374A3" w:rsidRPr="00E84A23" w:rsidRDefault="008E5C3D" w:rsidP="004374A3">
      <w:pPr>
        <w:rPr>
          <w:rFonts w:ascii="Arial" w:hAnsi="Arial" w:cs="Arial"/>
          <w:sz w:val="22"/>
          <w:lang w:eastAsia="es-CO"/>
        </w:rPr>
      </w:pPr>
      <w:r w:rsidRPr="00570FD2">
        <w:rPr>
          <w:rFonts w:ascii="Arial" w:hAnsi="Arial" w:cs="Arial"/>
          <w:noProof/>
          <w:color w:val="000000" w:themeColor="text1"/>
          <w:sz w:val="22"/>
        </w:rPr>
        <w:drawing>
          <wp:anchor distT="0" distB="0" distL="114300" distR="114300" simplePos="0" relativeHeight="251659264" behindDoc="0" locked="0" layoutInCell="1" allowOverlap="1" wp14:anchorId="47F045EF" wp14:editId="2BF59F61">
            <wp:simplePos x="0" y="0"/>
            <wp:positionH relativeFrom="margin">
              <wp:posOffset>1571625</wp:posOffset>
            </wp:positionH>
            <wp:positionV relativeFrom="paragraph">
              <wp:posOffset>12065</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7D56DA85" w14:textId="4A26F1BE" w:rsidR="004374A3" w:rsidRDefault="004374A3" w:rsidP="004374A3">
      <w:pPr>
        <w:jc w:val="center"/>
        <w:rPr>
          <w:rFonts w:ascii="Arial" w:hAnsi="Arial" w:cs="Arial"/>
          <w:noProof/>
          <w:lang w:eastAsia="es-CO"/>
        </w:rPr>
      </w:pPr>
    </w:p>
    <w:p w14:paraId="13FCEF86" w14:textId="6799A738" w:rsidR="008E5C3D" w:rsidRDefault="008E5C3D" w:rsidP="004374A3">
      <w:pPr>
        <w:jc w:val="center"/>
        <w:rPr>
          <w:rFonts w:ascii="Arial" w:hAnsi="Arial" w:cs="Arial"/>
          <w:noProof/>
          <w:lang w:eastAsia="es-CO"/>
        </w:rPr>
      </w:pPr>
    </w:p>
    <w:p w14:paraId="38F32A47" w14:textId="7B4D405A" w:rsidR="008E5C3D" w:rsidRDefault="008E5C3D" w:rsidP="004374A3">
      <w:pPr>
        <w:jc w:val="center"/>
        <w:rPr>
          <w:rFonts w:ascii="Arial" w:hAnsi="Arial" w:cs="Arial"/>
          <w:sz w:val="18"/>
          <w:szCs w:val="20"/>
          <w:lang w:eastAsia="es-CO"/>
        </w:rPr>
      </w:pPr>
    </w:p>
    <w:p w14:paraId="5DAAB39B" w14:textId="37E2CEBC" w:rsidR="008E5C3D" w:rsidRDefault="008E5C3D" w:rsidP="004374A3">
      <w:pPr>
        <w:jc w:val="center"/>
        <w:rPr>
          <w:rFonts w:ascii="Arial" w:hAnsi="Arial" w:cs="Arial"/>
          <w:sz w:val="18"/>
          <w:szCs w:val="20"/>
          <w:lang w:eastAsia="es-CO"/>
        </w:rPr>
      </w:pPr>
    </w:p>
    <w:p w14:paraId="1321E08F" w14:textId="15B094C2" w:rsidR="008E5C3D" w:rsidRDefault="008E5C3D" w:rsidP="004374A3">
      <w:pPr>
        <w:jc w:val="center"/>
        <w:rPr>
          <w:rFonts w:ascii="Arial" w:hAnsi="Arial" w:cs="Arial"/>
          <w:sz w:val="18"/>
          <w:szCs w:val="20"/>
          <w:lang w:eastAsia="es-CO"/>
        </w:rPr>
      </w:pPr>
    </w:p>
    <w:p w14:paraId="3247A2E8" w14:textId="77777777" w:rsidR="008E5C3D" w:rsidRPr="00E84A23" w:rsidRDefault="008E5C3D" w:rsidP="004374A3">
      <w:pPr>
        <w:jc w:val="center"/>
        <w:rPr>
          <w:rFonts w:ascii="Arial" w:hAnsi="Arial" w:cs="Arial"/>
          <w:sz w:val="18"/>
          <w:szCs w:val="20"/>
          <w:lang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4374A3" w:rsidRPr="00E84A23" w14:paraId="1CA61F9A" w14:textId="77777777" w:rsidTr="00955035">
        <w:trPr>
          <w:trHeight w:val="286"/>
        </w:trPr>
        <w:tc>
          <w:tcPr>
            <w:tcW w:w="817" w:type="dxa"/>
            <w:vAlign w:val="center"/>
          </w:tcPr>
          <w:p w14:paraId="080A10DD" w14:textId="77777777" w:rsidR="004374A3" w:rsidRPr="00E84A23" w:rsidRDefault="004374A3" w:rsidP="00955035">
            <w:pPr>
              <w:rPr>
                <w:rFonts w:ascii="Arial" w:hAnsi="Arial" w:cs="Arial"/>
                <w:sz w:val="14"/>
                <w:szCs w:val="14"/>
                <w:lang w:eastAsia="es-ES"/>
              </w:rPr>
            </w:pPr>
            <w:r w:rsidRPr="00E84A23">
              <w:rPr>
                <w:rFonts w:ascii="Arial" w:hAnsi="Arial" w:cs="Arial"/>
                <w:sz w:val="14"/>
                <w:szCs w:val="14"/>
                <w:lang w:eastAsia="es-ES"/>
              </w:rPr>
              <w:t>Elaboró:</w:t>
            </w:r>
          </w:p>
        </w:tc>
        <w:tc>
          <w:tcPr>
            <w:tcW w:w="4445" w:type="dxa"/>
            <w:tcBorders>
              <w:bottom w:val="dotted" w:sz="4" w:space="0" w:color="7F7F7F"/>
            </w:tcBorders>
            <w:vAlign w:val="center"/>
          </w:tcPr>
          <w:p w14:paraId="05359B2C" w14:textId="77777777" w:rsidR="004374A3" w:rsidRPr="00E84A23" w:rsidRDefault="004374A3" w:rsidP="00955035">
            <w:pPr>
              <w:rPr>
                <w:rFonts w:ascii="Arial" w:hAnsi="Arial" w:cs="Arial"/>
                <w:sz w:val="14"/>
                <w:szCs w:val="14"/>
                <w:lang w:eastAsia="es-ES"/>
              </w:rPr>
            </w:pPr>
            <w:r w:rsidRPr="00E84A23">
              <w:rPr>
                <w:rFonts w:ascii="Arial" w:hAnsi="Arial" w:cs="Arial"/>
                <w:sz w:val="14"/>
                <w:szCs w:val="14"/>
                <w:lang w:eastAsia="es-ES"/>
              </w:rPr>
              <w:t xml:space="preserve">Diana Fabiola Herrera Hernández </w:t>
            </w:r>
          </w:p>
          <w:p w14:paraId="748E92E4" w14:textId="77777777" w:rsidR="004374A3" w:rsidRPr="00E84A23" w:rsidRDefault="004374A3" w:rsidP="00955035">
            <w:pPr>
              <w:rPr>
                <w:rFonts w:ascii="Arial" w:hAnsi="Arial" w:cs="Arial"/>
                <w:sz w:val="14"/>
                <w:szCs w:val="14"/>
                <w:lang w:eastAsia="es-ES"/>
              </w:rPr>
            </w:pPr>
            <w:r w:rsidRPr="00E84A23">
              <w:rPr>
                <w:rFonts w:ascii="Arial" w:hAnsi="Arial" w:cs="Arial"/>
                <w:sz w:val="14"/>
                <w:szCs w:val="14"/>
                <w:lang w:eastAsia="es-ES"/>
              </w:rPr>
              <w:t>Contratista de la Subdirección de Gestión Contractual</w:t>
            </w:r>
          </w:p>
        </w:tc>
      </w:tr>
      <w:tr w:rsidR="004374A3" w:rsidRPr="00E84A23" w14:paraId="63F786E6" w14:textId="77777777" w:rsidTr="00955035">
        <w:trPr>
          <w:trHeight w:val="299"/>
        </w:trPr>
        <w:tc>
          <w:tcPr>
            <w:tcW w:w="817" w:type="dxa"/>
            <w:vAlign w:val="center"/>
          </w:tcPr>
          <w:p w14:paraId="2C172AA4" w14:textId="77777777" w:rsidR="004374A3" w:rsidRPr="00E84A23" w:rsidRDefault="004374A3" w:rsidP="00955035">
            <w:pPr>
              <w:rPr>
                <w:rFonts w:ascii="Arial" w:hAnsi="Arial" w:cs="Arial"/>
                <w:sz w:val="14"/>
                <w:szCs w:val="14"/>
                <w:lang w:eastAsia="es-ES"/>
              </w:rPr>
            </w:pPr>
            <w:r w:rsidRPr="00E84A23">
              <w:rPr>
                <w:rFonts w:ascii="Arial" w:hAnsi="Arial" w:cs="Arial"/>
                <w:sz w:val="14"/>
                <w:szCs w:val="14"/>
                <w:lang w:eastAsia="es-ES"/>
              </w:rPr>
              <w:t>Revisó:</w:t>
            </w:r>
          </w:p>
        </w:tc>
        <w:tc>
          <w:tcPr>
            <w:tcW w:w="4445" w:type="dxa"/>
            <w:tcBorders>
              <w:top w:val="dotted" w:sz="4" w:space="0" w:color="7F7F7F"/>
              <w:bottom w:val="dotted" w:sz="4" w:space="0" w:color="7F7F7F"/>
            </w:tcBorders>
            <w:vAlign w:val="center"/>
          </w:tcPr>
          <w:p w14:paraId="0FCBAB4D" w14:textId="77777777" w:rsidR="004374A3" w:rsidRPr="00E84A23" w:rsidRDefault="004374A3" w:rsidP="00955035">
            <w:pPr>
              <w:rPr>
                <w:rFonts w:ascii="Arial" w:hAnsi="Arial" w:cs="Arial"/>
                <w:sz w:val="14"/>
                <w:szCs w:val="14"/>
                <w:lang w:eastAsia="es-ES"/>
              </w:rPr>
            </w:pPr>
            <w:r w:rsidRPr="00E84A23">
              <w:rPr>
                <w:rFonts w:ascii="Arial" w:hAnsi="Arial" w:cs="Arial"/>
                <w:sz w:val="14"/>
                <w:szCs w:val="14"/>
                <w:lang w:eastAsia="es-ES"/>
              </w:rPr>
              <w:t>Sebastián Ramírez Grisales</w:t>
            </w:r>
          </w:p>
          <w:p w14:paraId="137754A9" w14:textId="77777777" w:rsidR="004374A3" w:rsidRPr="00E84A23" w:rsidRDefault="004374A3" w:rsidP="00955035">
            <w:pPr>
              <w:rPr>
                <w:rFonts w:ascii="Arial" w:hAnsi="Arial" w:cs="Arial"/>
                <w:sz w:val="14"/>
                <w:szCs w:val="14"/>
                <w:lang w:eastAsia="es-ES"/>
              </w:rPr>
            </w:pPr>
            <w:r w:rsidRPr="00E84A23">
              <w:rPr>
                <w:rFonts w:ascii="Arial" w:hAnsi="Arial" w:cs="Arial"/>
                <w:sz w:val="14"/>
                <w:szCs w:val="14"/>
                <w:lang w:eastAsia="es-ES"/>
              </w:rPr>
              <w:t>Contratista de la Subdirección de Gestión Contractual</w:t>
            </w:r>
          </w:p>
        </w:tc>
      </w:tr>
      <w:tr w:rsidR="004374A3" w:rsidRPr="00E84A23" w14:paraId="2A5FD134" w14:textId="77777777" w:rsidTr="00955035">
        <w:trPr>
          <w:trHeight w:val="272"/>
        </w:trPr>
        <w:tc>
          <w:tcPr>
            <w:tcW w:w="817" w:type="dxa"/>
            <w:vAlign w:val="center"/>
          </w:tcPr>
          <w:p w14:paraId="29FF058A" w14:textId="77777777" w:rsidR="004374A3" w:rsidRPr="00E84A23" w:rsidRDefault="004374A3" w:rsidP="00955035">
            <w:pPr>
              <w:rPr>
                <w:rFonts w:ascii="Arial" w:hAnsi="Arial" w:cs="Arial"/>
                <w:sz w:val="14"/>
                <w:szCs w:val="14"/>
                <w:lang w:eastAsia="es-ES"/>
              </w:rPr>
            </w:pPr>
            <w:r w:rsidRPr="00E84A23">
              <w:rPr>
                <w:rFonts w:ascii="Arial" w:hAnsi="Arial" w:cs="Arial"/>
                <w:sz w:val="14"/>
                <w:szCs w:val="14"/>
                <w:lang w:eastAsia="es-ES"/>
              </w:rPr>
              <w:t>Aprobó:</w:t>
            </w:r>
          </w:p>
        </w:tc>
        <w:tc>
          <w:tcPr>
            <w:tcW w:w="4445" w:type="dxa"/>
            <w:tcBorders>
              <w:top w:val="dotted" w:sz="4" w:space="0" w:color="7F7F7F"/>
              <w:bottom w:val="dotted" w:sz="4" w:space="0" w:color="7F7F7F"/>
            </w:tcBorders>
            <w:vAlign w:val="center"/>
          </w:tcPr>
          <w:p w14:paraId="37844CC2" w14:textId="77777777" w:rsidR="004374A3" w:rsidRPr="00E84A23" w:rsidRDefault="004374A3" w:rsidP="00955035">
            <w:pPr>
              <w:rPr>
                <w:rFonts w:ascii="Arial" w:hAnsi="Arial" w:cs="Arial"/>
                <w:sz w:val="14"/>
                <w:szCs w:val="14"/>
                <w:lang w:eastAsia="es-ES"/>
              </w:rPr>
            </w:pPr>
            <w:r w:rsidRPr="00E84A23">
              <w:rPr>
                <w:rFonts w:ascii="Arial" w:hAnsi="Arial" w:cs="Arial"/>
                <w:sz w:val="14"/>
                <w:szCs w:val="14"/>
                <w:lang w:eastAsia="es-ES"/>
              </w:rPr>
              <w:t>Jorge Augusto Tirado Navarro</w:t>
            </w:r>
          </w:p>
          <w:p w14:paraId="69818F35" w14:textId="77777777" w:rsidR="004374A3" w:rsidRPr="00E84A23" w:rsidRDefault="004374A3" w:rsidP="00955035">
            <w:pPr>
              <w:rPr>
                <w:rFonts w:ascii="Arial" w:hAnsi="Arial" w:cs="Arial"/>
                <w:sz w:val="14"/>
                <w:szCs w:val="14"/>
                <w:lang w:eastAsia="es-ES"/>
              </w:rPr>
            </w:pPr>
            <w:r w:rsidRPr="00E84A23">
              <w:rPr>
                <w:rFonts w:ascii="Arial" w:hAnsi="Arial" w:cs="Arial"/>
                <w:sz w:val="14"/>
                <w:szCs w:val="14"/>
                <w:lang w:eastAsia="es-ES"/>
              </w:rPr>
              <w:t>Subdirector de Gestión Contractual ANCP – CCE</w:t>
            </w:r>
          </w:p>
        </w:tc>
      </w:tr>
      <w:tr w:rsidR="004374A3" w:rsidRPr="00AB0A77" w14:paraId="0D5A95C7" w14:textId="77777777" w:rsidTr="00955035">
        <w:trPr>
          <w:trHeight w:val="272"/>
        </w:trPr>
        <w:tc>
          <w:tcPr>
            <w:tcW w:w="817" w:type="dxa"/>
            <w:vAlign w:val="center"/>
          </w:tcPr>
          <w:p w14:paraId="38E96F6A" w14:textId="77777777" w:rsidR="004374A3" w:rsidRPr="006328BD" w:rsidRDefault="004374A3" w:rsidP="00955035">
            <w:pPr>
              <w:rPr>
                <w:rFonts w:ascii="Arial" w:hAnsi="Arial" w:cs="Arial"/>
                <w:sz w:val="14"/>
                <w:szCs w:val="14"/>
                <w:lang w:eastAsia="es-ES"/>
              </w:rPr>
            </w:pPr>
            <w:r w:rsidRPr="00E84A23">
              <w:rPr>
                <w:rFonts w:ascii="Arial" w:hAnsi="Arial" w:cs="Arial"/>
                <w:sz w:val="14"/>
                <w:szCs w:val="14"/>
                <w:lang w:eastAsia="es-ES"/>
              </w:rPr>
              <w:t>Anexo:</w:t>
            </w:r>
          </w:p>
        </w:tc>
        <w:tc>
          <w:tcPr>
            <w:tcW w:w="4445" w:type="dxa"/>
            <w:tcBorders>
              <w:top w:val="dotted" w:sz="4" w:space="0" w:color="7F7F7F"/>
              <w:bottom w:val="dotted" w:sz="4" w:space="0" w:color="7F7F7F"/>
            </w:tcBorders>
            <w:vAlign w:val="center"/>
          </w:tcPr>
          <w:p w14:paraId="6E63FFD6" w14:textId="77777777" w:rsidR="004374A3" w:rsidRPr="00AB0A77" w:rsidRDefault="004374A3" w:rsidP="00955035">
            <w:pPr>
              <w:rPr>
                <w:rFonts w:ascii="Arial" w:hAnsi="Arial" w:cs="Arial"/>
                <w:sz w:val="14"/>
                <w:szCs w:val="14"/>
                <w:lang w:eastAsia="es-ES"/>
              </w:rPr>
            </w:pPr>
          </w:p>
        </w:tc>
      </w:tr>
    </w:tbl>
    <w:p w14:paraId="6730AF75" w14:textId="77777777" w:rsidR="004374A3" w:rsidRPr="009A758C" w:rsidRDefault="004374A3" w:rsidP="004374A3">
      <w:pPr>
        <w:rPr>
          <w:rFonts w:ascii="Arial" w:hAnsi="Arial" w:cs="Arial"/>
        </w:rPr>
      </w:pPr>
    </w:p>
    <w:p w14:paraId="271FA271" w14:textId="50773E21" w:rsidR="00AB6BBF" w:rsidRPr="00AB6BBF" w:rsidRDefault="00AB6BBF" w:rsidP="004374A3">
      <w:pPr>
        <w:jc w:val="center"/>
        <w:rPr>
          <w:rFonts w:ascii="Arial" w:hAnsi="Arial" w:cs="Arial"/>
          <w:lang w:val="es-ES_tradnl"/>
        </w:rPr>
      </w:pPr>
    </w:p>
    <w:sectPr w:rsidR="00AB6BBF" w:rsidRPr="00AB6BB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F2AF4" w14:textId="77777777" w:rsidR="00E320F4" w:rsidRDefault="00E320F4">
      <w:r>
        <w:separator/>
      </w:r>
    </w:p>
  </w:endnote>
  <w:endnote w:type="continuationSeparator" w:id="0">
    <w:p w14:paraId="7B15F149" w14:textId="77777777" w:rsidR="00E320F4" w:rsidRDefault="00E320F4">
      <w:r>
        <w:continuationSeparator/>
      </w:r>
    </w:p>
  </w:endnote>
  <w:endnote w:type="continuationNotice" w:id="1">
    <w:p w14:paraId="27E105AD" w14:textId="77777777" w:rsidR="00E320F4" w:rsidRDefault="00E320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B496B">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B496B">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B356B" w14:textId="77777777" w:rsidR="00E320F4" w:rsidRDefault="00E320F4">
      <w:r>
        <w:separator/>
      </w:r>
    </w:p>
  </w:footnote>
  <w:footnote w:type="continuationSeparator" w:id="0">
    <w:p w14:paraId="108C663E" w14:textId="77777777" w:rsidR="00E320F4" w:rsidRDefault="00E320F4">
      <w:r>
        <w:continuationSeparator/>
      </w:r>
    </w:p>
  </w:footnote>
  <w:footnote w:type="continuationNotice" w:id="1">
    <w:p w14:paraId="73B2DFE7" w14:textId="77777777" w:rsidR="00E320F4" w:rsidRDefault="00E320F4"/>
  </w:footnote>
  <w:footnote w:id="2">
    <w:p w14:paraId="0A213A48" w14:textId="77777777" w:rsidR="002655EF" w:rsidRPr="00263EC5" w:rsidRDefault="002655EF"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37C5976D" w14:textId="77777777" w:rsidR="002655EF" w:rsidRPr="00263EC5" w:rsidRDefault="002655EF" w:rsidP="00263EC5">
      <w:pPr>
        <w:pStyle w:val="Textonotapie"/>
        <w:ind w:firstLine="709"/>
        <w:jc w:val="both"/>
        <w:rPr>
          <w:rFonts w:ascii="Arial" w:hAnsi="Arial" w:cs="Arial"/>
          <w:sz w:val="19"/>
          <w:szCs w:val="19"/>
          <w:lang w:val="es-ES"/>
        </w:rPr>
      </w:pPr>
      <w:r w:rsidRPr="00263EC5">
        <w:rPr>
          <w:rFonts w:ascii="Arial" w:hAnsi="Arial"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263EC5">
        <w:rPr>
          <w:rFonts w:ascii="Arial" w:hAnsi="Arial" w:cs="Arial"/>
          <w:i/>
          <w:iCs/>
          <w:sz w:val="19"/>
          <w:szCs w:val="19"/>
          <w:lang w:val="es-ES"/>
        </w:rPr>
        <w:t>costos directos</w:t>
      </w:r>
      <w:r w:rsidRPr="00263EC5">
        <w:rPr>
          <w:rFonts w:ascii="Arial" w:hAnsi="Arial" w:cs="Arial"/>
          <w:sz w:val="19"/>
          <w:szCs w:val="19"/>
          <w:lang w:val="es-ES"/>
        </w:rPr>
        <w:t xml:space="preserve"> y los</w:t>
      </w:r>
      <w:r w:rsidRPr="00263EC5">
        <w:rPr>
          <w:rFonts w:ascii="Arial" w:hAnsi="Arial" w:cs="Arial"/>
          <w:i/>
          <w:iCs/>
          <w:sz w:val="19"/>
          <w:szCs w:val="19"/>
          <w:lang w:val="es-ES"/>
        </w:rPr>
        <w:t xml:space="preserve"> costos indirectos</w:t>
      </w:r>
      <w:r w:rsidRPr="00263EC5">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263EC5">
        <w:rPr>
          <w:rFonts w:ascii="Arial" w:hAnsi="Arial" w:cs="Arial"/>
          <w:i/>
          <w:iCs/>
          <w:sz w:val="19"/>
          <w:szCs w:val="19"/>
          <w:lang w:val="es-ES"/>
        </w:rPr>
        <w:t>ítems</w:t>
      </w:r>
      <w:r w:rsidRPr="00263EC5">
        <w:rPr>
          <w:rFonts w:ascii="Arial" w:hAnsi="Arial" w:cs="Arial"/>
          <w:sz w:val="19"/>
          <w:szCs w:val="19"/>
          <w:lang w:val="es-ES"/>
        </w:rPr>
        <w:t xml:space="preserve"> que componen el contrato–. Los costos </w:t>
      </w:r>
      <w:r w:rsidRPr="00263EC5">
        <w:rPr>
          <w:rFonts w:ascii="Arial" w:hAnsi="Arial" w:cs="Arial"/>
          <w:i/>
          <w:iCs/>
          <w:sz w:val="19"/>
          <w:szCs w:val="19"/>
          <w:lang w:val="es-ES"/>
        </w:rPr>
        <w:t>indirectos</w:t>
      </w:r>
      <w:r w:rsidRPr="00263EC5">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324EFE13" w14:textId="77777777" w:rsidR="002655EF" w:rsidRPr="00263EC5" w:rsidRDefault="002655EF" w:rsidP="00263EC5">
      <w:pPr>
        <w:pStyle w:val="Textonotapie"/>
        <w:ind w:firstLine="709"/>
        <w:jc w:val="both"/>
        <w:rPr>
          <w:rFonts w:ascii="Arial" w:hAnsi="Arial" w:cs="Arial"/>
          <w:sz w:val="19"/>
          <w:szCs w:val="19"/>
        </w:rPr>
      </w:pPr>
      <w:r w:rsidRPr="00263EC5">
        <w:rPr>
          <w:rStyle w:val="Refdenotaalpie"/>
          <w:rFonts w:ascii="Arial" w:hAnsi="Arial" w:cs="Arial"/>
          <w:sz w:val="19"/>
          <w:szCs w:val="19"/>
        </w:rPr>
        <w:footnoteRef/>
      </w:r>
      <w:r w:rsidRPr="00263EC5">
        <w:rPr>
          <w:rFonts w:ascii="Arial" w:hAnsi="Arial" w:cs="Arial"/>
          <w:sz w:val="19"/>
          <w:szCs w:val="19"/>
        </w:rPr>
        <w:t xml:space="preserve"> Consejo de Estado. Sección Tercera. Subsección B. Sentencia del 14 de octubre de 2011. </w:t>
      </w:r>
      <w:proofErr w:type="spellStart"/>
      <w:r w:rsidRPr="00263EC5">
        <w:rPr>
          <w:rFonts w:ascii="Arial" w:hAnsi="Arial" w:cs="Arial"/>
          <w:sz w:val="19"/>
          <w:szCs w:val="19"/>
        </w:rPr>
        <w:t>Exp</w:t>
      </w:r>
      <w:proofErr w:type="spellEnd"/>
      <w:r w:rsidRPr="00263EC5">
        <w:rPr>
          <w:rFonts w:ascii="Arial" w:hAnsi="Arial" w:cs="Arial"/>
          <w:sz w:val="19"/>
          <w:szCs w:val="19"/>
        </w:rPr>
        <w:t>. 20811, C.P. Ruth Stella Correa Palacio.</w:t>
      </w:r>
    </w:p>
    <w:p w14:paraId="1B75F1B3" w14:textId="77777777" w:rsidR="002655EF" w:rsidRPr="00263EC5" w:rsidRDefault="002655EF" w:rsidP="00263EC5">
      <w:pPr>
        <w:pStyle w:val="Textonotapie"/>
        <w:ind w:firstLine="709"/>
        <w:jc w:val="both"/>
        <w:rPr>
          <w:rFonts w:ascii="Arial" w:hAnsi="Arial" w:cs="Arial"/>
          <w:sz w:val="19"/>
          <w:szCs w:val="19"/>
          <w:lang w:val="es-ES"/>
        </w:rPr>
      </w:pPr>
    </w:p>
  </w:footnote>
  <w:footnote w:id="4">
    <w:p w14:paraId="5AB08179" w14:textId="77777777" w:rsidR="0029745A" w:rsidRPr="005C1F67" w:rsidRDefault="0029745A" w:rsidP="0029745A">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5">
    <w:p w14:paraId="387F25FC" w14:textId="37F98F9E" w:rsidR="00E66124" w:rsidRPr="00DB7336" w:rsidRDefault="00E66124" w:rsidP="00DB7336">
      <w:pPr>
        <w:pStyle w:val="Textonotapie"/>
        <w:ind w:firstLine="708"/>
        <w:jc w:val="both"/>
        <w:rPr>
          <w:lang w:val="es-CO"/>
        </w:rPr>
      </w:pPr>
      <w:r w:rsidRPr="00DB7336">
        <w:rPr>
          <w:rStyle w:val="Refdenotaalpie"/>
          <w:rFonts w:ascii="Arial" w:hAnsi="Arial" w:cs="Arial"/>
          <w:sz w:val="19"/>
          <w:szCs w:val="19"/>
        </w:rPr>
        <w:footnoteRef/>
      </w:r>
      <w:r w:rsidRPr="00DB7336">
        <w:rPr>
          <w:rFonts w:ascii="Arial" w:hAnsi="Arial" w:cs="Arial"/>
          <w:sz w:val="19"/>
          <w:szCs w:val="19"/>
        </w:rPr>
        <w:t xml:space="preserve"> </w:t>
      </w:r>
      <w:r>
        <w:rPr>
          <w:rFonts w:ascii="Arial" w:hAnsi="Arial" w:cs="Arial"/>
          <w:sz w:val="19"/>
          <w:szCs w:val="19"/>
        </w:rPr>
        <w:t>«</w:t>
      </w:r>
      <w:r w:rsidRPr="00DB7336">
        <w:rPr>
          <w:rFonts w:ascii="Arial" w:hAnsi="Arial" w:cs="Arial"/>
          <w:sz w:val="19"/>
          <w:szCs w:val="19"/>
        </w:rPr>
        <w:t xml:space="preserve">ARTÍCULO 85. CONTINUIDAD DE LA INTERVENTORÍA. Los contratos de interventoría podrán prorrogarse por el mismo plazo que se haya prorrogado el contrato objeto de vigilancia. </w:t>
      </w:r>
      <w:r w:rsidRPr="00DB7336">
        <w:rPr>
          <w:rFonts w:ascii="Arial" w:hAnsi="Arial" w:cs="Arial"/>
          <w:i/>
          <w:iCs/>
          <w:sz w:val="19"/>
          <w:szCs w:val="19"/>
        </w:rPr>
        <w:t>En tal caso el valor podrá ajustarse en atención a las obligaciones del objeto de interventoría, sin que resulte aplicable lo dispuesto en el parágrafo del artículo 40 de la Ley 80 de 1993</w:t>
      </w:r>
      <w:r>
        <w:rPr>
          <w:rFonts w:ascii="Arial" w:hAnsi="Arial" w:cs="Arial"/>
          <w:sz w:val="19"/>
          <w:szCs w:val="19"/>
        </w:rPr>
        <w:t>» (Cursiva fuera del original)</w:t>
      </w:r>
      <w:r w:rsidRPr="00DB7336">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415021"/>
    <w:multiLevelType w:val="hybridMultilevel"/>
    <w:tmpl w:val="8816280A"/>
    <w:lvl w:ilvl="0" w:tplc="EE9434D0">
      <w:start w:val="1"/>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007782885">
    <w:abstractNumId w:val="10"/>
  </w:num>
  <w:num w:numId="2" w16cid:durableId="977803422">
    <w:abstractNumId w:val="7"/>
  </w:num>
  <w:num w:numId="3" w16cid:durableId="145513653">
    <w:abstractNumId w:val="13"/>
  </w:num>
  <w:num w:numId="4" w16cid:durableId="585892221">
    <w:abstractNumId w:val="16"/>
  </w:num>
  <w:num w:numId="5" w16cid:durableId="1272280101">
    <w:abstractNumId w:val="20"/>
  </w:num>
  <w:num w:numId="6" w16cid:durableId="134716861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8025537">
    <w:abstractNumId w:val="18"/>
  </w:num>
  <w:num w:numId="8" w16cid:durableId="312488413">
    <w:abstractNumId w:val="0"/>
  </w:num>
  <w:num w:numId="9" w16cid:durableId="1527937544">
    <w:abstractNumId w:val="3"/>
  </w:num>
  <w:num w:numId="10" w16cid:durableId="3105950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9436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1708438">
    <w:abstractNumId w:val="9"/>
  </w:num>
  <w:num w:numId="13" w16cid:durableId="1561944257">
    <w:abstractNumId w:val="12"/>
  </w:num>
  <w:num w:numId="14" w16cid:durableId="451754945">
    <w:abstractNumId w:val="6"/>
  </w:num>
  <w:num w:numId="15" w16cid:durableId="201683425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107266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3631011">
    <w:abstractNumId w:val="22"/>
  </w:num>
  <w:num w:numId="18" w16cid:durableId="1883134549">
    <w:abstractNumId w:val="14"/>
  </w:num>
  <w:num w:numId="19" w16cid:durableId="447547148">
    <w:abstractNumId w:val="2"/>
  </w:num>
  <w:num w:numId="20" w16cid:durableId="1347442746">
    <w:abstractNumId w:val="23"/>
  </w:num>
  <w:num w:numId="21" w16cid:durableId="1791511464">
    <w:abstractNumId w:val="15"/>
  </w:num>
  <w:num w:numId="22" w16cid:durableId="465008720">
    <w:abstractNumId w:val="5"/>
  </w:num>
  <w:num w:numId="23" w16cid:durableId="1474786540">
    <w:abstractNumId w:val="4"/>
  </w:num>
  <w:num w:numId="24" w16cid:durableId="1710449164">
    <w:abstractNumId w:val="21"/>
  </w:num>
  <w:num w:numId="25" w16cid:durableId="655452706">
    <w:abstractNumId w:val="17"/>
  </w:num>
  <w:num w:numId="26" w16cid:durableId="7763669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AE"/>
    <w:rsid w:val="00023FC9"/>
    <w:rsid w:val="00024896"/>
    <w:rsid w:val="000255FA"/>
    <w:rsid w:val="00025D0A"/>
    <w:rsid w:val="00025D7D"/>
    <w:rsid w:val="000263F0"/>
    <w:rsid w:val="00026407"/>
    <w:rsid w:val="00026608"/>
    <w:rsid w:val="0002702E"/>
    <w:rsid w:val="00027787"/>
    <w:rsid w:val="000278D2"/>
    <w:rsid w:val="00030DFB"/>
    <w:rsid w:val="00031011"/>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746"/>
    <w:rsid w:val="00042961"/>
    <w:rsid w:val="00042C25"/>
    <w:rsid w:val="00042D03"/>
    <w:rsid w:val="00043086"/>
    <w:rsid w:val="000430A0"/>
    <w:rsid w:val="00043D3B"/>
    <w:rsid w:val="0004418C"/>
    <w:rsid w:val="00044204"/>
    <w:rsid w:val="0004477A"/>
    <w:rsid w:val="000449D4"/>
    <w:rsid w:val="000450D0"/>
    <w:rsid w:val="0004600D"/>
    <w:rsid w:val="000463B5"/>
    <w:rsid w:val="00046717"/>
    <w:rsid w:val="00046A63"/>
    <w:rsid w:val="00046C09"/>
    <w:rsid w:val="00046C0A"/>
    <w:rsid w:val="0004716A"/>
    <w:rsid w:val="00047385"/>
    <w:rsid w:val="000473E8"/>
    <w:rsid w:val="000504DE"/>
    <w:rsid w:val="00050A89"/>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569"/>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D6D"/>
    <w:rsid w:val="00067AA8"/>
    <w:rsid w:val="00070AF1"/>
    <w:rsid w:val="000714DE"/>
    <w:rsid w:val="0007254F"/>
    <w:rsid w:val="000726C0"/>
    <w:rsid w:val="0007357C"/>
    <w:rsid w:val="00073C30"/>
    <w:rsid w:val="00074305"/>
    <w:rsid w:val="000744D0"/>
    <w:rsid w:val="00074B2A"/>
    <w:rsid w:val="00074EEE"/>
    <w:rsid w:val="000753D5"/>
    <w:rsid w:val="000758D8"/>
    <w:rsid w:val="00075B3E"/>
    <w:rsid w:val="00076456"/>
    <w:rsid w:val="00076817"/>
    <w:rsid w:val="00076BD9"/>
    <w:rsid w:val="0007779B"/>
    <w:rsid w:val="000777E7"/>
    <w:rsid w:val="0007790A"/>
    <w:rsid w:val="000779F2"/>
    <w:rsid w:val="0008017B"/>
    <w:rsid w:val="00080ACD"/>
    <w:rsid w:val="00080D30"/>
    <w:rsid w:val="000811ED"/>
    <w:rsid w:val="00081D62"/>
    <w:rsid w:val="0008283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5D1"/>
    <w:rsid w:val="000979CF"/>
    <w:rsid w:val="000A03C8"/>
    <w:rsid w:val="000A05F2"/>
    <w:rsid w:val="000A06C4"/>
    <w:rsid w:val="000A0861"/>
    <w:rsid w:val="000A0B6F"/>
    <w:rsid w:val="000A0EC4"/>
    <w:rsid w:val="000A0ED1"/>
    <w:rsid w:val="000A12DB"/>
    <w:rsid w:val="000A137E"/>
    <w:rsid w:val="000A171D"/>
    <w:rsid w:val="000A17C8"/>
    <w:rsid w:val="000A1B74"/>
    <w:rsid w:val="000A20D7"/>
    <w:rsid w:val="000A2128"/>
    <w:rsid w:val="000A362F"/>
    <w:rsid w:val="000A3B4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2D2"/>
    <w:rsid w:val="000B4861"/>
    <w:rsid w:val="000B5781"/>
    <w:rsid w:val="000B5CB1"/>
    <w:rsid w:val="000B5EE5"/>
    <w:rsid w:val="000B75F4"/>
    <w:rsid w:val="000C0185"/>
    <w:rsid w:val="000C0933"/>
    <w:rsid w:val="000C0F81"/>
    <w:rsid w:val="000C128D"/>
    <w:rsid w:val="000C17A3"/>
    <w:rsid w:val="000C1D4B"/>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94"/>
    <w:rsid w:val="000E4D50"/>
    <w:rsid w:val="000E5768"/>
    <w:rsid w:val="000E5843"/>
    <w:rsid w:val="000E6139"/>
    <w:rsid w:val="000E63B7"/>
    <w:rsid w:val="000E653C"/>
    <w:rsid w:val="000E6BE1"/>
    <w:rsid w:val="000E7E0B"/>
    <w:rsid w:val="000F0136"/>
    <w:rsid w:val="000F078A"/>
    <w:rsid w:val="000F0F27"/>
    <w:rsid w:val="000F122D"/>
    <w:rsid w:val="000F1450"/>
    <w:rsid w:val="000F14E8"/>
    <w:rsid w:val="000F1BBD"/>
    <w:rsid w:val="000F290F"/>
    <w:rsid w:val="000F4403"/>
    <w:rsid w:val="000F480B"/>
    <w:rsid w:val="000F4E17"/>
    <w:rsid w:val="000F5615"/>
    <w:rsid w:val="000F5CE5"/>
    <w:rsid w:val="000F6084"/>
    <w:rsid w:val="000F6578"/>
    <w:rsid w:val="000F6693"/>
    <w:rsid w:val="000F6F92"/>
    <w:rsid w:val="000F725D"/>
    <w:rsid w:val="000F7E8F"/>
    <w:rsid w:val="000F7FBB"/>
    <w:rsid w:val="001000FB"/>
    <w:rsid w:val="00100A9E"/>
    <w:rsid w:val="00100F6A"/>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5DA5"/>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A2E"/>
    <w:rsid w:val="00125BED"/>
    <w:rsid w:val="00125C59"/>
    <w:rsid w:val="00125D4F"/>
    <w:rsid w:val="00126B22"/>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D0B"/>
    <w:rsid w:val="00151DA8"/>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57B92"/>
    <w:rsid w:val="00157E66"/>
    <w:rsid w:val="00160401"/>
    <w:rsid w:val="00160C01"/>
    <w:rsid w:val="00160D4E"/>
    <w:rsid w:val="00161DDA"/>
    <w:rsid w:val="00161E62"/>
    <w:rsid w:val="00161F1C"/>
    <w:rsid w:val="0016200B"/>
    <w:rsid w:val="0016204B"/>
    <w:rsid w:val="001620B3"/>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67FD3"/>
    <w:rsid w:val="00170001"/>
    <w:rsid w:val="00170E2B"/>
    <w:rsid w:val="00172198"/>
    <w:rsid w:val="00172612"/>
    <w:rsid w:val="00172817"/>
    <w:rsid w:val="001734E3"/>
    <w:rsid w:val="001742BF"/>
    <w:rsid w:val="001742E1"/>
    <w:rsid w:val="00175E49"/>
    <w:rsid w:val="0017649F"/>
    <w:rsid w:val="0017655B"/>
    <w:rsid w:val="00177C21"/>
    <w:rsid w:val="00177EAA"/>
    <w:rsid w:val="001805C1"/>
    <w:rsid w:val="00180823"/>
    <w:rsid w:val="00180A2E"/>
    <w:rsid w:val="001813AF"/>
    <w:rsid w:val="001826C9"/>
    <w:rsid w:val="001829CD"/>
    <w:rsid w:val="00182F01"/>
    <w:rsid w:val="0018375B"/>
    <w:rsid w:val="00184219"/>
    <w:rsid w:val="00184F27"/>
    <w:rsid w:val="0018519B"/>
    <w:rsid w:val="00185966"/>
    <w:rsid w:val="00185A2D"/>
    <w:rsid w:val="00185AFE"/>
    <w:rsid w:val="00185E78"/>
    <w:rsid w:val="00187177"/>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5A56"/>
    <w:rsid w:val="001962EC"/>
    <w:rsid w:val="001963DD"/>
    <w:rsid w:val="001965DB"/>
    <w:rsid w:val="00196B5A"/>
    <w:rsid w:val="00196D01"/>
    <w:rsid w:val="00196DC9"/>
    <w:rsid w:val="00196E95"/>
    <w:rsid w:val="00196FDB"/>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34C3"/>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D6A"/>
    <w:rsid w:val="001E6A94"/>
    <w:rsid w:val="001E70FB"/>
    <w:rsid w:val="001E780A"/>
    <w:rsid w:val="001F0806"/>
    <w:rsid w:val="001F0D15"/>
    <w:rsid w:val="001F0FA0"/>
    <w:rsid w:val="001F1349"/>
    <w:rsid w:val="001F14C3"/>
    <w:rsid w:val="001F1863"/>
    <w:rsid w:val="001F2356"/>
    <w:rsid w:val="001F2A68"/>
    <w:rsid w:val="001F2C47"/>
    <w:rsid w:val="001F3221"/>
    <w:rsid w:val="001F3E62"/>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C45"/>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631"/>
    <w:rsid w:val="002058D4"/>
    <w:rsid w:val="002060D6"/>
    <w:rsid w:val="0020632A"/>
    <w:rsid w:val="0020697F"/>
    <w:rsid w:val="0020726E"/>
    <w:rsid w:val="00207389"/>
    <w:rsid w:val="002074C2"/>
    <w:rsid w:val="002110EB"/>
    <w:rsid w:val="00211338"/>
    <w:rsid w:val="00211387"/>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1D"/>
    <w:rsid w:val="00222BE8"/>
    <w:rsid w:val="00222DF6"/>
    <w:rsid w:val="00223102"/>
    <w:rsid w:val="002232CB"/>
    <w:rsid w:val="00223DE4"/>
    <w:rsid w:val="00224022"/>
    <w:rsid w:val="00224B1C"/>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4794C"/>
    <w:rsid w:val="00250A9E"/>
    <w:rsid w:val="00250EC6"/>
    <w:rsid w:val="002515C7"/>
    <w:rsid w:val="00251866"/>
    <w:rsid w:val="00251A9F"/>
    <w:rsid w:val="00251E66"/>
    <w:rsid w:val="00252492"/>
    <w:rsid w:val="00252B35"/>
    <w:rsid w:val="00253070"/>
    <w:rsid w:val="002530A0"/>
    <w:rsid w:val="0025316D"/>
    <w:rsid w:val="00253753"/>
    <w:rsid w:val="00253A02"/>
    <w:rsid w:val="00253B81"/>
    <w:rsid w:val="00254AE9"/>
    <w:rsid w:val="002554DE"/>
    <w:rsid w:val="00255575"/>
    <w:rsid w:val="00255E11"/>
    <w:rsid w:val="002564B7"/>
    <w:rsid w:val="00256835"/>
    <w:rsid w:val="002569F0"/>
    <w:rsid w:val="00256C01"/>
    <w:rsid w:val="00256E1A"/>
    <w:rsid w:val="00256ECF"/>
    <w:rsid w:val="00257730"/>
    <w:rsid w:val="0025782B"/>
    <w:rsid w:val="00257999"/>
    <w:rsid w:val="002604AA"/>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80D"/>
    <w:rsid w:val="002653A6"/>
    <w:rsid w:val="002654B1"/>
    <w:rsid w:val="002655EF"/>
    <w:rsid w:val="002661F1"/>
    <w:rsid w:val="00266316"/>
    <w:rsid w:val="00266DB6"/>
    <w:rsid w:val="0027111F"/>
    <w:rsid w:val="002711A4"/>
    <w:rsid w:val="00271230"/>
    <w:rsid w:val="00271F13"/>
    <w:rsid w:val="00272945"/>
    <w:rsid w:val="00272E89"/>
    <w:rsid w:val="00273A94"/>
    <w:rsid w:val="002742D0"/>
    <w:rsid w:val="0027482E"/>
    <w:rsid w:val="002748F1"/>
    <w:rsid w:val="00274DB5"/>
    <w:rsid w:val="00275BB1"/>
    <w:rsid w:val="00275CBF"/>
    <w:rsid w:val="002766F9"/>
    <w:rsid w:val="00276EF7"/>
    <w:rsid w:val="0027770B"/>
    <w:rsid w:val="00277933"/>
    <w:rsid w:val="00277EC1"/>
    <w:rsid w:val="00277F8D"/>
    <w:rsid w:val="00277FA7"/>
    <w:rsid w:val="00280046"/>
    <w:rsid w:val="0028068C"/>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7F2"/>
    <w:rsid w:val="00284CFC"/>
    <w:rsid w:val="0028552A"/>
    <w:rsid w:val="00285832"/>
    <w:rsid w:val="00285943"/>
    <w:rsid w:val="00285969"/>
    <w:rsid w:val="0028599C"/>
    <w:rsid w:val="00285DE7"/>
    <w:rsid w:val="0028663B"/>
    <w:rsid w:val="00286CEC"/>
    <w:rsid w:val="002870F9"/>
    <w:rsid w:val="002871A9"/>
    <w:rsid w:val="00287505"/>
    <w:rsid w:val="00287BDB"/>
    <w:rsid w:val="00290781"/>
    <w:rsid w:val="00291784"/>
    <w:rsid w:val="002920DF"/>
    <w:rsid w:val="00292139"/>
    <w:rsid w:val="002928A3"/>
    <w:rsid w:val="002929BB"/>
    <w:rsid w:val="0029371B"/>
    <w:rsid w:val="00294368"/>
    <w:rsid w:val="00294B78"/>
    <w:rsid w:val="0029534C"/>
    <w:rsid w:val="00295416"/>
    <w:rsid w:val="00295949"/>
    <w:rsid w:val="00295D7C"/>
    <w:rsid w:val="0029624A"/>
    <w:rsid w:val="00296922"/>
    <w:rsid w:val="00297098"/>
    <w:rsid w:val="0029745A"/>
    <w:rsid w:val="002A05D4"/>
    <w:rsid w:val="002A06DB"/>
    <w:rsid w:val="002A09FF"/>
    <w:rsid w:val="002A0E60"/>
    <w:rsid w:val="002A12F1"/>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57E"/>
    <w:rsid w:val="002D46A6"/>
    <w:rsid w:val="002D46B4"/>
    <w:rsid w:val="002D46CE"/>
    <w:rsid w:val="002D49C2"/>
    <w:rsid w:val="002D4A45"/>
    <w:rsid w:val="002D4B42"/>
    <w:rsid w:val="002D4B43"/>
    <w:rsid w:val="002D5A1B"/>
    <w:rsid w:val="002D6504"/>
    <w:rsid w:val="002D6558"/>
    <w:rsid w:val="002D65BC"/>
    <w:rsid w:val="002D6630"/>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6F4A"/>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747"/>
    <w:rsid w:val="002F7961"/>
    <w:rsid w:val="002F7B66"/>
    <w:rsid w:val="00300BA5"/>
    <w:rsid w:val="00300CB4"/>
    <w:rsid w:val="00300E24"/>
    <w:rsid w:val="00300F9A"/>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4F1"/>
    <w:rsid w:val="00321A70"/>
    <w:rsid w:val="00321BD6"/>
    <w:rsid w:val="00321EC8"/>
    <w:rsid w:val="00321FA3"/>
    <w:rsid w:val="003227D3"/>
    <w:rsid w:val="00322805"/>
    <w:rsid w:val="00322937"/>
    <w:rsid w:val="00323881"/>
    <w:rsid w:val="00324885"/>
    <w:rsid w:val="003251A8"/>
    <w:rsid w:val="003254B1"/>
    <w:rsid w:val="00325AD9"/>
    <w:rsid w:val="00325D98"/>
    <w:rsid w:val="00325DD0"/>
    <w:rsid w:val="0032682A"/>
    <w:rsid w:val="00327A5C"/>
    <w:rsid w:val="003305BD"/>
    <w:rsid w:val="0033092C"/>
    <w:rsid w:val="0033122A"/>
    <w:rsid w:val="003315AC"/>
    <w:rsid w:val="00331932"/>
    <w:rsid w:val="00331F74"/>
    <w:rsid w:val="00332382"/>
    <w:rsid w:val="00332386"/>
    <w:rsid w:val="00332453"/>
    <w:rsid w:val="0033251B"/>
    <w:rsid w:val="00333A88"/>
    <w:rsid w:val="00335B15"/>
    <w:rsid w:val="00335B21"/>
    <w:rsid w:val="00335D3F"/>
    <w:rsid w:val="00336104"/>
    <w:rsid w:val="00336729"/>
    <w:rsid w:val="00336CD9"/>
    <w:rsid w:val="0033726D"/>
    <w:rsid w:val="00337CA8"/>
    <w:rsid w:val="00340D3F"/>
    <w:rsid w:val="00341152"/>
    <w:rsid w:val="0034174B"/>
    <w:rsid w:val="0034177C"/>
    <w:rsid w:val="003420E9"/>
    <w:rsid w:val="00342345"/>
    <w:rsid w:val="00342C27"/>
    <w:rsid w:val="003430C8"/>
    <w:rsid w:val="003432C8"/>
    <w:rsid w:val="003434B3"/>
    <w:rsid w:val="00343536"/>
    <w:rsid w:val="00343EF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C44"/>
    <w:rsid w:val="00357E83"/>
    <w:rsid w:val="0036086B"/>
    <w:rsid w:val="00360CF3"/>
    <w:rsid w:val="00361A59"/>
    <w:rsid w:val="00363348"/>
    <w:rsid w:val="003634D4"/>
    <w:rsid w:val="00363857"/>
    <w:rsid w:val="00363D59"/>
    <w:rsid w:val="00363F08"/>
    <w:rsid w:val="003640F7"/>
    <w:rsid w:val="00364969"/>
    <w:rsid w:val="003651FD"/>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518F"/>
    <w:rsid w:val="00386456"/>
    <w:rsid w:val="003865A9"/>
    <w:rsid w:val="003872D3"/>
    <w:rsid w:val="0039092B"/>
    <w:rsid w:val="00390BD9"/>
    <w:rsid w:val="00390C0B"/>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72F5"/>
    <w:rsid w:val="003A78E5"/>
    <w:rsid w:val="003B0341"/>
    <w:rsid w:val="003B06DE"/>
    <w:rsid w:val="003B0DF0"/>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A15"/>
    <w:rsid w:val="003B6BD4"/>
    <w:rsid w:val="003B6F4D"/>
    <w:rsid w:val="003B6FE7"/>
    <w:rsid w:val="003B7257"/>
    <w:rsid w:val="003B74E8"/>
    <w:rsid w:val="003C0491"/>
    <w:rsid w:val="003C0C0F"/>
    <w:rsid w:val="003C0D1F"/>
    <w:rsid w:val="003C116A"/>
    <w:rsid w:val="003C1AF4"/>
    <w:rsid w:val="003C1CB8"/>
    <w:rsid w:val="003C22DA"/>
    <w:rsid w:val="003C2550"/>
    <w:rsid w:val="003C287F"/>
    <w:rsid w:val="003C2B2B"/>
    <w:rsid w:val="003C3339"/>
    <w:rsid w:val="003C375A"/>
    <w:rsid w:val="003C4317"/>
    <w:rsid w:val="003C4D9F"/>
    <w:rsid w:val="003C4EA9"/>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370F"/>
    <w:rsid w:val="003D3B15"/>
    <w:rsid w:val="003D3B2E"/>
    <w:rsid w:val="003D3F28"/>
    <w:rsid w:val="003D4101"/>
    <w:rsid w:val="003D484D"/>
    <w:rsid w:val="003D49CB"/>
    <w:rsid w:val="003D5F10"/>
    <w:rsid w:val="003D6B8F"/>
    <w:rsid w:val="003D7566"/>
    <w:rsid w:val="003E0224"/>
    <w:rsid w:val="003E04EA"/>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EB"/>
    <w:rsid w:val="00403281"/>
    <w:rsid w:val="004037C2"/>
    <w:rsid w:val="00403FDE"/>
    <w:rsid w:val="00404041"/>
    <w:rsid w:val="004040D4"/>
    <w:rsid w:val="0040475B"/>
    <w:rsid w:val="00404B43"/>
    <w:rsid w:val="00404C61"/>
    <w:rsid w:val="00404C78"/>
    <w:rsid w:val="00405487"/>
    <w:rsid w:val="00405B8A"/>
    <w:rsid w:val="0040602B"/>
    <w:rsid w:val="0040606C"/>
    <w:rsid w:val="004060DC"/>
    <w:rsid w:val="004068CD"/>
    <w:rsid w:val="00406DF5"/>
    <w:rsid w:val="00406F35"/>
    <w:rsid w:val="00407626"/>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E7B"/>
    <w:rsid w:val="00421FCB"/>
    <w:rsid w:val="004220E2"/>
    <w:rsid w:val="00422986"/>
    <w:rsid w:val="00422DCA"/>
    <w:rsid w:val="00423D04"/>
    <w:rsid w:val="00423E8D"/>
    <w:rsid w:val="00423F9F"/>
    <w:rsid w:val="00424C5B"/>
    <w:rsid w:val="00425C43"/>
    <w:rsid w:val="004273FA"/>
    <w:rsid w:val="004275A7"/>
    <w:rsid w:val="00427BDA"/>
    <w:rsid w:val="00430186"/>
    <w:rsid w:val="00430F17"/>
    <w:rsid w:val="00431CC7"/>
    <w:rsid w:val="0043218E"/>
    <w:rsid w:val="0043260C"/>
    <w:rsid w:val="0043269A"/>
    <w:rsid w:val="00432E92"/>
    <w:rsid w:val="004333C2"/>
    <w:rsid w:val="00434787"/>
    <w:rsid w:val="00434C13"/>
    <w:rsid w:val="00434D8B"/>
    <w:rsid w:val="00435294"/>
    <w:rsid w:val="00435530"/>
    <w:rsid w:val="00435703"/>
    <w:rsid w:val="00435BD5"/>
    <w:rsid w:val="00435C7F"/>
    <w:rsid w:val="00436323"/>
    <w:rsid w:val="004367DE"/>
    <w:rsid w:val="0043683F"/>
    <w:rsid w:val="00436C94"/>
    <w:rsid w:val="00436F40"/>
    <w:rsid w:val="004370FA"/>
    <w:rsid w:val="004374A3"/>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08A"/>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5DFA"/>
    <w:rsid w:val="00466616"/>
    <w:rsid w:val="00466A0C"/>
    <w:rsid w:val="00466A53"/>
    <w:rsid w:val="00467EE3"/>
    <w:rsid w:val="00470A6A"/>
    <w:rsid w:val="00470C12"/>
    <w:rsid w:val="00470D73"/>
    <w:rsid w:val="00470D92"/>
    <w:rsid w:val="00471DF7"/>
    <w:rsid w:val="004734CF"/>
    <w:rsid w:val="00473A5B"/>
    <w:rsid w:val="00473F33"/>
    <w:rsid w:val="0047586C"/>
    <w:rsid w:val="00475A31"/>
    <w:rsid w:val="00475C5A"/>
    <w:rsid w:val="00475C9C"/>
    <w:rsid w:val="0047676B"/>
    <w:rsid w:val="00477034"/>
    <w:rsid w:val="0047773C"/>
    <w:rsid w:val="00477C5F"/>
    <w:rsid w:val="00480050"/>
    <w:rsid w:val="0048011C"/>
    <w:rsid w:val="004808DE"/>
    <w:rsid w:val="00480F9A"/>
    <w:rsid w:val="00481912"/>
    <w:rsid w:val="00481AC4"/>
    <w:rsid w:val="00481DC1"/>
    <w:rsid w:val="00482194"/>
    <w:rsid w:val="00482507"/>
    <w:rsid w:val="0048268A"/>
    <w:rsid w:val="004826AE"/>
    <w:rsid w:val="00482A64"/>
    <w:rsid w:val="004835CA"/>
    <w:rsid w:val="004836D7"/>
    <w:rsid w:val="004836F8"/>
    <w:rsid w:val="004836FE"/>
    <w:rsid w:val="00483DF1"/>
    <w:rsid w:val="00484A39"/>
    <w:rsid w:val="00484F0F"/>
    <w:rsid w:val="00484F40"/>
    <w:rsid w:val="0048540C"/>
    <w:rsid w:val="004861B4"/>
    <w:rsid w:val="00486226"/>
    <w:rsid w:val="0048690F"/>
    <w:rsid w:val="00486BD0"/>
    <w:rsid w:val="00486D00"/>
    <w:rsid w:val="00486FF7"/>
    <w:rsid w:val="00487263"/>
    <w:rsid w:val="0048734F"/>
    <w:rsid w:val="0048757F"/>
    <w:rsid w:val="0049029D"/>
    <w:rsid w:val="0049030C"/>
    <w:rsid w:val="004903C0"/>
    <w:rsid w:val="0049114B"/>
    <w:rsid w:val="004912A8"/>
    <w:rsid w:val="00491577"/>
    <w:rsid w:val="004918E1"/>
    <w:rsid w:val="0049196A"/>
    <w:rsid w:val="0049196E"/>
    <w:rsid w:val="0049241A"/>
    <w:rsid w:val="00492844"/>
    <w:rsid w:val="00492C1F"/>
    <w:rsid w:val="00492E4C"/>
    <w:rsid w:val="00493521"/>
    <w:rsid w:val="00493664"/>
    <w:rsid w:val="004938FD"/>
    <w:rsid w:val="00493E04"/>
    <w:rsid w:val="004940E3"/>
    <w:rsid w:val="0049530F"/>
    <w:rsid w:val="004958F6"/>
    <w:rsid w:val="00496664"/>
    <w:rsid w:val="00496786"/>
    <w:rsid w:val="0049695B"/>
    <w:rsid w:val="00496D8F"/>
    <w:rsid w:val="00497463"/>
    <w:rsid w:val="004A054C"/>
    <w:rsid w:val="004A08D1"/>
    <w:rsid w:val="004A16C1"/>
    <w:rsid w:val="004A1CE2"/>
    <w:rsid w:val="004A34D2"/>
    <w:rsid w:val="004A3EEA"/>
    <w:rsid w:val="004A4301"/>
    <w:rsid w:val="004A4D93"/>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1A54"/>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255B"/>
    <w:rsid w:val="00512C4F"/>
    <w:rsid w:val="00513042"/>
    <w:rsid w:val="0051334F"/>
    <w:rsid w:val="00513399"/>
    <w:rsid w:val="00513AF2"/>
    <w:rsid w:val="00514575"/>
    <w:rsid w:val="00514C03"/>
    <w:rsid w:val="00514D67"/>
    <w:rsid w:val="0051522A"/>
    <w:rsid w:val="00515515"/>
    <w:rsid w:val="005155E3"/>
    <w:rsid w:val="00515625"/>
    <w:rsid w:val="0051635C"/>
    <w:rsid w:val="00516C5B"/>
    <w:rsid w:val="00516DB7"/>
    <w:rsid w:val="005172DA"/>
    <w:rsid w:val="00517612"/>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2"/>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61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00B5"/>
    <w:rsid w:val="00551098"/>
    <w:rsid w:val="00551598"/>
    <w:rsid w:val="0055162B"/>
    <w:rsid w:val="00551A56"/>
    <w:rsid w:val="00551BF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436"/>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6C4"/>
    <w:rsid w:val="00573BA3"/>
    <w:rsid w:val="00574708"/>
    <w:rsid w:val="00574D81"/>
    <w:rsid w:val="005756AA"/>
    <w:rsid w:val="00576814"/>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6412"/>
    <w:rsid w:val="005864B9"/>
    <w:rsid w:val="00586564"/>
    <w:rsid w:val="005866C4"/>
    <w:rsid w:val="005872A0"/>
    <w:rsid w:val="00590F1A"/>
    <w:rsid w:val="00591C03"/>
    <w:rsid w:val="00591E2A"/>
    <w:rsid w:val="00592240"/>
    <w:rsid w:val="005923C4"/>
    <w:rsid w:val="0059397D"/>
    <w:rsid w:val="00593EA2"/>
    <w:rsid w:val="00593F75"/>
    <w:rsid w:val="005940A0"/>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5C7B"/>
    <w:rsid w:val="005A6035"/>
    <w:rsid w:val="005A6B75"/>
    <w:rsid w:val="005A6E00"/>
    <w:rsid w:val="005A718A"/>
    <w:rsid w:val="005A72DD"/>
    <w:rsid w:val="005A7885"/>
    <w:rsid w:val="005B0293"/>
    <w:rsid w:val="005B12B2"/>
    <w:rsid w:val="005B143B"/>
    <w:rsid w:val="005B19BD"/>
    <w:rsid w:val="005B1E45"/>
    <w:rsid w:val="005B2040"/>
    <w:rsid w:val="005B21C4"/>
    <w:rsid w:val="005B2A28"/>
    <w:rsid w:val="005B35AB"/>
    <w:rsid w:val="005B3621"/>
    <w:rsid w:val="005B3EBE"/>
    <w:rsid w:val="005B43D0"/>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AE1"/>
    <w:rsid w:val="005C5C52"/>
    <w:rsid w:val="005C5D3D"/>
    <w:rsid w:val="005C5DB6"/>
    <w:rsid w:val="005C5F05"/>
    <w:rsid w:val="005C6186"/>
    <w:rsid w:val="005C6CF7"/>
    <w:rsid w:val="005C6D19"/>
    <w:rsid w:val="005C7E45"/>
    <w:rsid w:val="005C7F3E"/>
    <w:rsid w:val="005D06D3"/>
    <w:rsid w:val="005D0C3B"/>
    <w:rsid w:val="005D103E"/>
    <w:rsid w:val="005D1051"/>
    <w:rsid w:val="005D1511"/>
    <w:rsid w:val="005D1606"/>
    <w:rsid w:val="005D1D10"/>
    <w:rsid w:val="005D2044"/>
    <w:rsid w:val="005D209E"/>
    <w:rsid w:val="005D2917"/>
    <w:rsid w:val="005D2EB2"/>
    <w:rsid w:val="005D2F48"/>
    <w:rsid w:val="005D3902"/>
    <w:rsid w:val="005D3B32"/>
    <w:rsid w:val="005D4304"/>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6447"/>
    <w:rsid w:val="005E781C"/>
    <w:rsid w:val="005F2856"/>
    <w:rsid w:val="005F2D8B"/>
    <w:rsid w:val="005F305B"/>
    <w:rsid w:val="005F3361"/>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71"/>
    <w:rsid w:val="006129AB"/>
    <w:rsid w:val="00613191"/>
    <w:rsid w:val="006133F9"/>
    <w:rsid w:val="006134B3"/>
    <w:rsid w:val="00613746"/>
    <w:rsid w:val="00613DE1"/>
    <w:rsid w:val="0061401F"/>
    <w:rsid w:val="00614166"/>
    <w:rsid w:val="00614817"/>
    <w:rsid w:val="006149CC"/>
    <w:rsid w:val="00614E21"/>
    <w:rsid w:val="006157A9"/>
    <w:rsid w:val="0061591D"/>
    <w:rsid w:val="00615ED0"/>
    <w:rsid w:val="0061604C"/>
    <w:rsid w:val="00616C2B"/>
    <w:rsid w:val="00616D7F"/>
    <w:rsid w:val="006178D1"/>
    <w:rsid w:val="00617D72"/>
    <w:rsid w:val="00620719"/>
    <w:rsid w:val="006212C9"/>
    <w:rsid w:val="0062131B"/>
    <w:rsid w:val="00621D0C"/>
    <w:rsid w:val="00621F68"/>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968"/>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40E"/>
    <w:rsid w:val="00650DBD"/>
    <w:rsid w:val="00650E89"/>
    <w:rsid w:val="006516E6"/>
    <w:rsid w:val="00651B9C"/>
    <w:rsid w:val="00651C47"/>
    <w:rsid w:val="006525BD"/>
    <w:rsid w:val="00652E70"/>
    <w:rsid w:val="00652F4D"/>
    <w:rsid w:val="0065339A"/>
    <w:rsid w:val="00653469"/>
    <w:rsid w:val="0065443A"/>
    <w:rsid w:val="00654A38"/>
    <w:rsid w:val="00654DCE"/>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5C4"/>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26C1"/>
    <w:rsid w:val="00682C89"/>
    <w:rsid w:val="006832B8"/>
    <w:rsid w:val="00683329"/>
    <w:rsid w:val="006837B2"/>
    <w:rsid w:val="00683800"/>
    <w:rsid w:val="00684462"/>
    <w:rsid w:val="00684C0D"/>
    <w:rsid w:val="00684C8A"/>
    <w:rsid w:val="00684CF5"/>
    <w:rsid w:val="00685479"/>
    <w:rsid w:val="0068553E"/>
    <w:rsid w:val="00685D37"/>
    <w:rsid w:val="00685E7B"/>
    <w:rsid w:val="00686551"/>
    <w:rsid w:val="00686CAB"/>
    <w:rsid w:val="00686E5A"/>
    <w:rsid w:val="0068717F"/>
    <w:rsid w:val="0068730C"/>
    <w:rsid w:val="00687504"/>
    <w:rsid w:val="00687A14"/>
    <w:rsid w:val="00687A8C"/>
    <w:rsid w:val="0069042D"/>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DB0"/>
    <w:rsid w:val="00694E8B"/>
    <w:rsid w:val="006959A5"/>
    <w:rsid w:val="00695C0C"/>
    <w:rsid w:val="00696736"/>
    <w:rsid w:val="00696A05"/>
    <w:rsid w:val="00697010"/>
    <w:rsid w:val="0069709F"/>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6EF6"/>
    <w:rsid w:val="006A7AB8"/>
    <w:rsid w:val="006A7B11"/>
    <w:rsid w:val="006A7CB5"/>
    <w:rsid w:val="006A7FD0"/>
    <w:rsid w:val="006B025C"/>
    <w:rsid w:val="006B04DB"/>
    <w:rsid w:val="006B08ED"/>
    <w:rsid w:val="006B2170"/>
    <w:rsid w:val="006B2534"/>
    <w:rsid w:val="006B2CB2"/>
    <w:rsid w:val="006B347D"/>
    <w:rsid w:val="006B34B4"/>
    <w:rsid w:val="006B3E19"/>
    <w:rsid w:val="006B4488"/>
    <w:rsid w:val="006B4736"/>
    <w:rsid w:val="006B4D5D"/>
    <w:rsid w:val="006B50C4"/>
    <w:rsid w:val="006B53AE"/>
    <w:rsid w:val="006B58B4"/>
    <w:rsid w:val="006B5D71"/>
    <w:rsid w:val="006B67AC"/>
    <w:rsid w:val="006B6F2B"/>
    <w:rsid w:val="006B786A"/>
    <w:rsid w:val="006B7E4E"/>
    <w:rsid w:val="006C003A"/>
    <w:rsid w:val="006C0273"/>
    <w:rsid w:val="006C107C"/>
    <w:rsid w:val="006C189C"/>
    <w:rsid w:val="006C2454"/>
    <w:rsid w:val="006C2551"/>
    <w:rsid w:val="006C27B9"/>
    <w:rsid w:val="006C37CA"/>
    <w:rsid w:val="006C39AE"/>
    <w:rsid w:val="006C40D2"/>
    <w:rsid w:val="006C441D"/>
    <w:rsid w:val="006C4B3D"/>
    <w:rsid w:val="006C4B5C"/>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838"/>
    <w:rsid w:val="006F0F74"/>
    <w:rsid w:val="006F0FA1"/>
    <w:rsid w:val="006F13BA"/>
    <w:rsid w:val="006F15CC"/>
    <w:rsid w:val="006F15F6"/>
    <w:rsid w:val="006F1716"/>
    <w:rsid w:val="006F35F8"/>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5EF5"/>
    <w:rsid w:val="00716119"/>
    <w:rsid w:val="00716630"/>
    <w:rsid w:val="007167E8"/>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DD3"/>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4B3"/>
    <w:rsid w:val="00741626"/>
    <w:rsid w:val="00742332"/>
    <w:rsid w:val="00742886"/>
    <w:rsid w:val="00742A3A"/>
    <w:rsid w:val="00742BED"/>
    <w:rsid w:val="00742DD2"/>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3A"/>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3D5A"/>
    <w:rsid w:val="0076445F"/>
    <w:rsid w:val="00764EC5"/>
    <w:rsid w:val="007651EF"/>
    <w:rsid w:val="00766D49"/>
    <w:rsid w:val="00766ECC"/>
    <w:rsid w:val="007672F3"/>
    <w:rsid w:val="007673F2"/>
    <w:rsid w:val="007677B5"/>
    <w:rsid w:val="007678B1"/>
    <w:rsid w:val="007708A8"/>
    <w:rsid w:val="00772100"/>
    <w:rsid w:val="00772275"/>
    <w:rsid w:val="00772C9A"/>
    <w:rsid w:val="007734E4"/>
    <w:rsid w:val="0077380D"/>
    <w:rsid w:val="00773BC8"/>
    <w:rsid w:val="007742CB"/>
    <w:rsid w:val="00774549"/>
    <w:rsid w:val="0077466F"/>
    <w:rsid w:val="007752B7"/>
    <w:rsid w:val="007759A8"/>
    <w:rsid w:val="00775C27"/>
    <w:rsid w:val="00775D98"/>
    <w:rsid w:val="00776624"/>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61E"/>
    <w:rsid w:val="007B59B7"/>
    <w:rsid w:val="007B6C64"/>
    <w:rsid w:val="007B6EC8"/>
    <w:rsid w:val="007B6F81"/>
    <w:rsid w:val="007B7EA2"/>
    <w:rsid w:val="007C097D"/>
    <w:rsid w:val="007C0AF2"/>
    <w:rsid w:val="007C1672"/>
    <w:rsid w:val="007C17AE"/>
    <w:rsid w:val="007C1CFF"/>
    <w:rsid w:val="007C24EE"/>
    <w:rsid w:val="007C312A"/>
    <w:rsid w:val="007C3538"/>
    <w:rsid w:val="007C3570"/>
    <w:rsid w:val="007C3F3B"/>
    <w:rsid w:val="007C4097"/>
    <w:rsid w:val="007C4241"/>
    <w:rsid w:val="007C425E"/>
    <w:rsid w:val="007C55FF"/>
    <w:rsid w:val="007C6339"/>
    <w:rsid w:val="007C753F"/>
    <w:rsid w:val="007C796C"/>
    <w:rsid w:val="007C7C43"/>
    <w:rsid w:val="007C7E15"/>
    <w:rsid w:val="007C7EDD"/>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278"/>
    <w:rsid w:val="007D5648"/>
    <w:rsid w:val="007D58C5"/>
    <w:rsid w:val="007D5DE8"/>
    <w:rsid w:val="007D7CFC"/>
    <w:rsid w:val="007E0812"/>
    <w:rsid w:val="007E0825"/>
    <w:rsid w:val="007E18DF"/>
    <w:rsid w:val="007E1AE5"/>
    <w:rsid w:val="007E214A"/>
    <w:rsid w:val="007E238D"/>
    <w:rsid w:val="007E2C36"/>
    <w:rsid w:val="007E2FEB"/>
    <w:rsid w:val="007E350D"/>
    <w:rsid w:val="007E3ACA"/>
    <w:rsid w:val="007E3F27"/>
    <w:rsid w:val="007E3F4A"/>
    <w:rsid w:val="007E4F0D"/>
    <w:rsid w:val="007E564D"/>
    <w:rsid w:val="007E5C4A"/>
    <w:rsid w:val="007E6135"/>
    <w:rsid w:val="007E64D4"/>
    <w:rsid w:val="007E6566"/>
    <w:rsid w:val="007E66E9"/>
    <w:rsid w:val="007E67A6"/>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320"/>
    <w:rsid w:val="007F3AC1"/>
    <w:rsid w:val="007F4976"/>
    <w:rsid w:val="007F4B40"/>
    <w:rsid w:val="007F4C94"/>
    <w:rsid w:val="007F510D"/>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F71"/>
    <w:rsid w:val="00827CC0"/>
    <w:rsid w:val="00830655"/>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4C8"/>
    <w:rsid w:val="00837673"/>
    <w:rsid w:val="00837937"/>
    <w:rsid w:val="00837D82"/>
    <w:rsid w:val="0084008B"/>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5403"/>
    <w:rsid w:val="00875434"/>
    <w:rsid w:val="00875C1F"/>
    <w:rsid w:val="00876215"/>
    <w:rsid w:val="0087646C"/>
    <w:rsid w:val="00876815"/>
    <w:rsid w:val="00877932"/>
    <w:rsid w:val="00877D6C"/>
    <w:rsid w:val="008808C7"/>
    <w:rsid w:val="00880D7A"/>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265"/>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29A"/>
    <w:rsid w:val="008A2A23"/>
    <w:rsid w:val="008A2AF5"/>
    <w:rsid w:val="008A2B5A"/>
    <w:rsid w:val="008A38DE"/>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E9E"/>
    <w:rsid w:val="008B47A6"/>
    <w:rsid w:val="008B5C7C"/>
    <w:rsid w:val="008B63FE"/>
    <w:rsid w:val="008B672C"/>
    <w:rsid w:val="008B6DAE"/>
    <w:rsid w:val="008B7108"/>
    <w:rsid w:val="008B71E6"/>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62D4"/>
    <w:rsid w:val="008C67A2"/>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B59"/>
    <w:rsid w:val="008D7D66"/>
    <w:rsid w:val="008E0012"/>
    <w:rsid w:val="008E0A71"/>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1C2"/>
    <w:rsid w:val="008E57FE"/>
    <w:rsid w:val="008E5C3D"/>
    <w:rsid w:val="008E6598"/>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4DFD"/>
    <w:rsid w:val="008F538E"/>
    <w:rsid w:val="008F5A20"/>
    <w:rsid w:val="008F5ABA"/>
    <w:rsid w:val="008F6157"/>
    <w:rsid w:val="008F698E"/>
    <w:rsid w:val="008F71AB"/>
    <w:rsid w:val="008F7905"/>
    <w:rsid w:val="008F7989"/>
    <w:rsid w:val="00900912"/>
    <w:rsid w:val="00900FC5"/>
    <w:rsid w:val="00901F1D"/>
    <w:rsid w:val="00902142"/>
    <w:rsid w:val="009028E8"/>
    <w:rsid w:val="00902E5C"/>
    <w:rsid w:val="0090363E"/>
    <w:rsid w:val="00903788"/>
    <w:rsid w:val="009046E5"/>
    <w:rsid w:val="009047C5"/>
    <w:rsid w:val="00907E97"/>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2F8D"/>
    <w:rsid w:val="00923396"/>
    <w:rsid w:val="00923F56"/>
    <w:rsid w:val="009242A6"/>
    <w:rsid w:val="00924770"/>
    <w:rsid w:val="00924D7D"/>
    <w:rsid w:val="00925346"/>
    <w:rsid w:val="00925743"/>
    <w:rsid w:val="0092579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6517"/>
    <w:rsid w:val="00937401"/>
    <w:rsid w:val="009376FB"/>
    <w:rsid w:val="00937D6B"/>
    <w:rsid w:val="00940477"/>
    <w:rsid w:val="00940876"/>
    <w:rsid w:val="00940A53"/>
    <w:rsid w:val="00940F3C"/>
    <w:rsid w:val="009410E0"/>
    <w:rsid w:val="00941FA9"/>
    <w:rsid w:val="00942641"/>
    <w:rsid w:val="00942ED3"/>
    <w:rsid w:val="009439B6"/>
    <w:rsid w:val="009444B4"/>
    <w:rsid w:val="00944644"/>
    <w:rsid w:val="00944732"/>
    <w:rsid w:val="00946A24"/>
    <w:rsid w:val="009470D4"/>
    <w:rsid w:val="00947337"/>
    <w:rsid w:val="00947E6E"/>
    <w:rsid w:val="009507C3"/>
    <w:rsid w:val="009512FA"/>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595"/>
    <w:rsid w:val="00961C14"/>
    <w:rsid w:val="00961D53"/>
    <w:rsid w:val="00961E5F"/>
    <w:rsid w:val="009625C6"/>
    <w:rsid w:val="009629B5"/>
    <w:rsid w:val="00962A50"/>
    <w:rsid w:val="00963550"/>
    <w:rsid w:val="00964138"/>
    <w:rsid w:val="009648D6"/>
    <w:rsid w:val="00964B3F"/>
    <w:rsid w:val="00964C98"/>
    <w:rsid w:val="009674E6"/>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1DD3"/>
    <w:rsid w:val="0099211C"/>
    <w:rsid w:val="00993013"/>
    <w:rsid w:val="009930AB"/>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A88"/>
    <w:rsid w:val="009A01E4"/>
    <w:rsid w:val="009A02FF"/>
    <w:rsid w:val="009A0369"/>
    <w:rsid w:val="009A0917"/>
    <w:rsid w:val="009A0A33"/>
    <w:rsid w:val="009A0CC0"/>
    <w:rsid w:val="009A10B2"/>
    <w:rsid w:val="009A1351"/>
    <w:rsid w:val="009A1774"/>
    <w:rsid w:val="009A1AAB"/>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A7953"/>
    <w:rsid w:val="009A7970"/>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0B36"/>
    <w:rsid w:val="009C181C"/>
    <w:rsid w:val="009C1A44"/>
    <w:rsid w:val="009C1C7F"/>
    <w:rsid w:val="009C1EC7"/>
    <w:rsid w:val="009C2210"/>
    <w:rsid w:val="009C28A2"/>
    <w:rsid w:val="009C3239"/>
    <w:rsid w:val="009C3828"/>
    <w:rsid w:val="009C3AD3"/>
    <w:rsid w:val="009C3AF4"/>
    <w:rsid w:val="009C3D2C"/>
    <w:rsid w:val="009C4987"/>
    <w:rsid w:val="009C4FDE"/>
    <w:rsid w:val="009C521A"/>
    <w:rsid w:val="009C523F"/>
    <w:rsid w:val="009C59BF"/>
    <w:rsid w:val="009C5E4F"/>
    <w:rsid w:val="009C5F64"/>
    <w:rsid w:val="009C5F82"/>
    <w:rsid w:val="009C60EA"/>
    <w:rsid w:val="009C65EB"/>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B6"/>
    <w:rsid w:val="009E2A11"/>
    <w:rsid w:val="009E3553"/>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3971"/>
    <w:rsid w:val="009F3A42"/>
    <w:rsid w:val="009F4990"/>
    <w:rsid w:val="009F4F25"/>
    <w:rsid w:val="009F59C2"/>
    <w:rsid w:val="009F60AF"/>
    <w:rsid w:val="009F7263"/>
    <w:rsid w:val="009F73B6"/>
    <w:rsid w:val="009F76EA"/>
    <w:rsid w:val="009F78EB"/>
    <w:rsid w:val="009F7A81"/>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986"/>
    <w:rsid w:val="00A03C54"/>
    <w:rsid w:val="00A03DE5"/>
    <w:rsid w:val="00A041BC"/>
    <w:rsid w:val="00A0447F"/>
    <w:rsid w:val="00A046D2"/>
    <w:rsid w:val="00A0471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0E1"/>
    <w:rsid w:val="00A154D5"/>
    <w:rsid w:val="00A15621"/>
    <w:rsid w:val="00A15670"/>
    <w:rsid w:val="00A157A0"/>
    <w:rsid w:val="00A1585B"/>
    <w:rsid w:val="00A15C19"/>
    <w:rsid w:val="00A15FE9"/>
    <w:rsid w:val="00A16809"/>
    <w:rsid w:val="00A16864"/>
    <w:rsid w:val="00A169E2"/>
    <w:rsid w:val="00A16F53"/>
    <w:rsid w:val="00A17584"/>
    <w:rsid w:val="00A17769"/>
    <w:rsid w:val="00A17AF6"/>
    <w:rsid w:val="00A17EA2"/>
    <w:rsid w:val="00A201DB"/>
    <w:rsid w:val="00A20264"/>
    <w:rsid w:val="00A20997"/>
    <w:rsid w:val="00A210D4"/>
    <w:rsid w:val="00A213DD"/>
    <w:rsid w:val="00A21454"/>
    <w:rsid w:val="00A216CE"/>
    <w:rsid w:val="00A216F9"/>
    <w:rsid w:val="00A22025"/>
    <w:rsid w:val="00A22498"/>
    <w:rsid w:val="00A22571"/>
    <w:rsid w:val="00A2298D"/>
    <w:rsid w:val="00A235E1"/>
    <w:rsid w:val="00A23C69"/>
    <w:rsid w:val="00A24560"/>
    <w:rsid w:val="00A24B95"/>
    <w:rsid w:val="00A25B0F"/>
    <w:rsid w:val="00A25BBB"/>
    <w:rsid w:val="00A27FB6"/>
    <w:rsid w:val="00A30121"/>
    <w:rsid w:val="00A30368"/>
    <w:rsid w:val="00A3043A"/>
    <w:rsid w:val="00A30E02"/>
    <w:rsid w:val="00A30F6A"/>
    <w:rsid w:val="00A31060"/>
    <w:rsid w:val="00A314EE"/>
    <w:rsid w:val="00A31C3E"/>
    <w:rsid w:val="00A32B2D"/>
    <w:rsid w:val="00A34538"/>
    <w:rsid w:val="00A34677"/>
    <w:rsid w:val="00A3540F"/>
    <w:rsid w:val="00A35630"/>
    <w:rsid w:val="00A35914"/>
    <w:rsid w:val="00A36189"/>
    <w:rsid w:val="00A3677A"/>
    <w:rsid w:val="00A37094"/>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4FE3"/>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C00"/>
    <w:rsid w:val="00A54FC2"/>
    <w:rsid w:val="00A55122"/>
    <w:rsid w:val="00A55806"/>
    <w:rsid w:val="00A55CEA"/>
    <w:rsid w:val="00A55DB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6FA8"/>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15A"/>
    <w:rsid w:val="00AA5779"/>
    <w:rsid w:val="00AA58A1"/>
    <w:rsid w:val="00AA61C7"/>
    <w:rsid w:val="00AA669D"/>
    <w:rsid w:val="00AA66ED"/>
    <w:rsid w:val="00AA6B59"/>
    <w:rsid w:val="00AA6BE1"/>
    <w:rsid w:val="00AA6D0C"/>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6BBF"/>
    <w:rsid w:val="00AB724B"/>
    <w:rsid w:val="00AB726C"/>
    <w:rsid w:val="00AB72B4"/>
    <w:rsid w:val="00AB7549"/>
    <w:rsid w:val="00AB7A7A"/>
    <w:rsid w:val="00AC02AA"/>
    <w:rsid w:val="00AC0537"/>
    <w:rsid w:val="00AC0A84"/>
    <w:rsid w:val="00AC0F74"/>
    <w:rsid w:val="00AC1508"/>
    <w:rsid w:val="00AC2A0B"/>
    <w:rsid w:val="00AC2BEE"/>
    <w:rsid w:val="00AC2E53"/>
    <w:rsid w:val="00AC3152"/>
    <w:rsid w:val="00AC3208"/>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3218"/>
    <w:rsid w:val="00AE4A7D"/>
    <w:rsid w:val="00AE4C81"/>
    <w:rsid w:val="00AE4E63"/>
    <w:rsid w:val="00AE586F"/>
    <w:rsid w:val="00AE5964"/>
    <w:rsid w:val="00AE62FE"/>
    <w:rsid w:val="00AE6582"/>
    <w:rsid w:val="00AE6DC5"/>
    <w:rsid w:val="00AE7686"/>
    <w:rsid w:val="00AE799A"/>
    <w:rsid w:val="00AF0340"/>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4CE"/>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4DFA"/>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778"/>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1C6"/>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36E"/>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437"/>
    <w:rsid w:val="00B5196C"/>
    <w:rsid w:val="00B525CB"/>
    <w:rsid w:val="00B52697"/>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3BB"/>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D92"/>
    <w:rsid w:val="00BA665B"/>
    <w:rsid w:val="00BA6FE8"/>
    <w:rsid w:val="00BA732D"/>
    <w:rsid w:val="00BA7370"/>
    <w:rsid w:val="00BA778B"/>
    <w:rsid w:val="00BB0888"/>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0A1"/>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18B3"/>
    <w:rsid w:val="00BD2063"/>
    <w:rsid w:val="00BD28C4"/>
    <w:rsid w:val="00BD2950"/>
    <w:rsid w:val="00BD337A"/>
    <w:rsid w:val="00BD33D9"/>
    <w:rsid w:val="00BD38C5"/>
    <w:rsid w:val="00BD3A6D"/>
    <w:rsid w:val="00BD3AF1"/>
    <w:rsid w:val="00BD3DEA"/>
    <w:rsid w:val="00BD3E97"/>
    <w:rsid w:val="00BD40E4"/>
    <w:rsid w:val="00BD52FE"/>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585"/>
    <w:rsid w:val="00BE37CD"/>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EE8"/>
    <w:rsid w:val="00BF0F20"/>
    <w:rsid w:val="00BF10ED"/>
    <w:rsid w:val="00BF15F2"/>
    <w:rsid w:val="00BF1D48"/>
    <w:rsid w:val="00BF1DD2"/>
    <w:rsid w:val="00BF23A3"/>
    <w:rsid w:val="00BF2A7E"/>
    <w:rsid w:val="00BF2CD0"/>
    <w:rsid w:val="00BF3331"/>
    <w:rsid w:val="00BF3A45"/>
    <w:rsid w:val="00BF436F"/>
    <w:rsid w:val="00BF5C05"/>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F35"/>
    <w:rsid w:val="00C03305"/>
    <w:rsid w:val="00C033EC"/>
    <w:rsid w:val="00C03515"/>
    <w:rsid w:val="00C03738"/>
    <w:rsid w:val="00C037A6"/>
    <w:rsid w:val="00C04221"/>
    <w:rsid w:val="00C043F5"/>
    <w:rsid w:val="00C044E3"/>
    <w:rsid w:val="00C04607"/>
    <w:rsid w:val="00C04BDB"/>
    <w:rsid w:val="00C052C6"/>
    <w:rsid w:val="00C056DF"/>
    <w:rsid w:val="00C05775"/>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DE"/>
    <w:rsid w:val="00C2338B"/>
    <w:rsid w:val="00C233CE"/>
    <w:rsid w:val="00C237DD"/>
    <w:rsid w:val="00C238F4"/>
    <w:rsid w:val="00C2393A"/>
    <w:rsid w:val="00C23A99"/>
    <w:rsid w:val="00C23AB5"/>
    <w:rsid w:val="00C23F23"/>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B5F"/>
    <w:rsid w:val="00C358D4"/>
    <w:rsid w:val="00C35F59"/>
    <w:rsid w:val="00C365C6"/>
    <w:rsid w:val="00C366F4"/>
    <w:rsid w:val="00C36785"/>
    <w:rsid w:val="00C36FEA"/>
    <w:rsid w:val="00C3711C"/>
    <w:rsid w:val="00C37256"/>
    <w:rsid w:val="00C37A7B"/>
    <w:rsid w:val="00C37DC1"/>
    <w:rsid w:val="00C37FA6"/>
    <w:rsid w:val="00C37FFE"/>
    <w:rsid w:val="00C40B50"/>
    <w:rsid w:val="00C419E3"/>
    <w:rsid w:val="00C419F4"/>
    <w:rsid w:val="00C41E6A"/>
    <w:rsid w:val="00C42150"/>
    <w:rsid w:val="00C42247"/>
    <w:rsid w:val="00C428E7"/>
    <w:rsid w:val="00C438A2"/>
    <w:rsid w:val="00C439BE"/>
    <w:rsid w:val="00C43A17"/>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5C32"/>
    <w:rsid w:val="00C5602D"/>
    <w:rsid w:val="00C56A67"/>
    <w:rsid w:val="00C56CC2"/>
    <w:rsid w:val="00C56D8D"/>
    <w:rsid w:val="00C571F2"/>
    <w:rsid w:val="00C57498"/>
    <w:rsid w:val="00C5763C"/>
    <w:rsid w:val="00C5780C"/>
    <w:rsid w:val="00C5796B"/>
    <w:rsid w:val="00C57C64"/>
    <w:rsid w:val="00C612C4"/>
    <w:rsid w:val="00C619A1"/>
    <w:rsid w:val="00C62370"/>
    <w:rsid w:val="00C62BBB"/>
    <w:rsid w:val="00C6305F"/>
    <w:rsid w:val="00C6325B"/>
    <w:rsid w:val="00C63888"/>
    <w:rsid w:val="00C63DDD"/>
    <w:rsid w:val="00C63E99"/>
    <w:rsid w:val="00C644B1"/>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3F2A"/>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2697"/>
    <w:rsid w:val="00CA41E7"/>
    <w:rsid w:val="00CA4A99"/>
    <w:rsid w:val="00CA4CCC"/>
    <w:rsid w:val="00CA5173"/>
    <w:rsid w:val="00CA5520"/>
    <w:rsid w:val="00CA5812"/>
    <w:rsid w:val="00CA5984"/>
    <w:rsid w:val="00CA5BD4"/>
    <w:rsid w:val="00CA5C14"/>
    <w:rsid w:val="00CA6B2F"/>
    <w:rsid w:val="00CA7019"/>
    <w:rsid w:val="00CA76FC"/>
    <w:rsid w:val="00CA7E7B"/>
    <w:rsid w:val="00CB0067"/>
    <w:rsid w:val="00CB0236"/>
    <w:rsid w:val="00CB0C97"/>
    <w:rsid w:val="00CB0CB1"/>
    <w:rsid w:val="00CB137C"/>
    <w:rsid w:val="00CB1881"/>
    <w:rsid w:val="00CB1969"/>
    <w:rsid w:val="00CB19E3"/>
    <w:rsid w:val="00CB2C3A"/>
    <w:rsid w:val="00CB2D38"/>
    <w:rsid w:val="00CB2F5E"/>
    <w:rsid w:val="00CB4137"/>
    <w:rsid w:val="00CB50D0"/>
    <w:rsid w:val="00CB5284"/>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565"/>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4F87"/>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92E"/>
    <w:rsid w:val="00CD5982"/>
    <w:rsid w:val="00CD5A1A"/>
    <w:rsid w:val="00CD5C26"/>
    <w:rsid w:val="00CD6126"/>
    <w:rsid w:val="00CD6CAB"/>
    <w:rsid w:val="00CD7EFA"/>
    <w:rsid w:val="00CE020E"/>
    <w:rsid w:val="00CE026B"/>
    <w:rsid w:val="00CE0566"/>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5EC0"/>
    <w:rsid w:val="00CF629F"/>
    <w:rsid w:val="00CF73F8"/>
    <w:rsid w:val="00CF7675"/>
    <w:rsid w:val="00CF7928"/>
    <w:rsid w:val="00CF7CA2"/>
    <w:rsid w:val="00D00911"/>
    <w:rsid w:val="00D00A8E"/>
    <w:rsid w:val="00D00DE0"/>
    <w:rsid w:val="00D00F79"/>
    <w:rsid w:val="00D012BF"/>
    <w:rsid w:val="00D01760"/>
    <w:rsid w:val="00D01838"/>
    <w:rsid w:val="00D028B5"/>
    <w:rsid w:val="00D02BD6"/>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5C7"/>
    <w:rsid w:val="00D2104A"/>
    <w:rsid w:val="00D21A58"/>
    <w:rsid w:val="00D21BB5"/>
    <w:rsid w:val="00D21FFC"/>
    <w:rsid w:val="00D223B6"/>
    <w:rsid w:val="00D223E8"/>
    <w:rsid w:val="00D224E1"/>
    <w:rsid w:val="00D22DC8"/>
    <w:rsid w:val="00D23094"/>
    <w:rsid w:val="00D23732"/>
    <w:rsid w:val="00D2374F"/>
    <w:rsid w:val="00D2376E"/>
    <w:rsid w:val="00D2477B"/>
    <w:rsid w:val="00D24F93"/>
    <w:rsid w:val="00D25027"/>
    <w:rsid w:val="00D2522A"/>
    <w:rsid w:val="00D2531C"/>
    <w:rsid w:val="00D25428"/>
    <w:rsid w:val="00D2553E"/>
    <w:rsid w:val="00D2587F"/>
    <w:rsid w:val="00D2742F"/>
    <w:rsid w:val="00D2754F"/>
    <w:rsid w:val="00D277C5"/>
    <w:rsid w:val="00D279D9"/>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22DB"/>
    <w:rsid w:val="00D4289B"/>
    <w:rsid w:val="00D42AC2"/>
    <w:rsid w:val="00D4498E"/>
    <w:rsid w:val="00D4515F"/>
    <w:rsid w:val="00D451E8"/>
    <w:rsid w:val="00D45EE8"/>
    <w:rsid w:val="00D466C9"/>
    <w:rsid w:val="00D46B43"/>
    <w:rsid w:val="00D47275"/>
    <w:rsid w:val="00D517F6"/>
    <w:rsid w:val="00D51AB7"/>
    <w:rsid w:val="00D51E15"/>
    <w:rsid w:val="00D51FBC"/>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35E"/>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3F5"/>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3049"/>
    <w:rsid w:val="00D9310B"/>
    <w:rsid w:val="00D931F3"/>
    <w:rsid w:val="00D93726"/>
    <w:rsid w:val="00D93F3E"/>
    <w:rsid w:val="00D9405B"/>
    <w:rsid w:val="00D94942"/>
    <w:rsid w:val="00D9502A"/>
    <w:rsid w:val="00D95145"/>
    <w:rsid w:val="00D96594"/>
    <w:rsid w:val="00D96678"/>
    <w:rsid w:val="00D967CB"/>
    <w:rsid w:val="00D968D4"/>
    <w:rsid w:val="00D96EE0"/>
    <w:rsid w:val="00D96F14"/>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336"/>
    <w:rsid w:val="00DB7760"/>
    <w:rsid w:val="00DB7DD4"/>
    <w:rsid w:val="00DC00B4"/>
    <w:rsid w:val="00DC0954"/>
    <w:rsid w:val="00DC0DF8"/>
    <w:rsid w:val="00DC15BA"/>
    <w:rsid w:val="00DC18CD"/>
    <w:rsid w:val="00DC1A68"/>
    <w:rsid w:val="00DC2072"/>
    <w:rsid w:val="00DC30B8"/>
    <w:rsid w:val="00DC3B9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7D2"/>
    <w:rsid w:val="00DE7108"/>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7AA"/>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CC8"/>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27D1"/>
    <w:rsid w:val="00E13234"/>
    <w:rsid w:val="00E13867"/>
    <w:rsid w:val="00E1397F"/>
    <w:rsid w:val="00E13AB8"/>
    <w:rsid w:val="00E1482E"/>
    <w:rsid w:val="00E14C59"/>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CB8"/>
    <w:rsid w:val="00E26D16"/>
    <w:rsid w:val="00E26FCF"/>
    <w:rsid w:val="00E27165"/>
    <w:rsid w:val="00E275D9"/>
    <w:rsid w:val="00E3044A"/>
    <w:rsid w:val="00E30BF0"/>
    <w:rsid w:val="00E30E49"/>
    <w:rsid w:val="00E312B1"/>
    <w:rsid w:val="00E31A4A"/>
    <w:rsid w:val="00E320F4"/>
    <w:rsid w:val="00E3344A"/>
    <w:rsid w:val="00E337CC"/>
    <w:rsid w:val="00E33B29"/>
    <w:rsid w:val="00E33B62"/>
    <w:rsid w:val="00E3403D"/>
    <w:rsid w:val="00E340E4"/>
    <w:rsid w:val="00E34376"/>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5074F"/>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C6E"/>
    <w:rsid w:val="00E54F27"/>
    <w:rsid w:val="00E5501E"/>
    <w:rsid w:val="00E55CC9"/>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3A3"/>
    <w:rsid w:val="00E64700"/>
    <w:rsid w:val="00E65074"/>
    <w:rsid w:val="00E65857"/>
    <w:rsid w:val="00E65E70"/>
    <w:rsid w:val="00E66087"/>
    <w:rsid w:val="00E66124"/>
    <w:rsid w:val="00E66D79"/>
    <w:rsid w:val="00E66FF9"/>
    <w:rsid w:val="00E6706F"/>
    <w:rsid w:val="00E673A2"/>
    <w:rsid w:val="00E67856"/>
    <w:rsid w:val="00E679C8"/>
    <w:rsid w:val="00E70314"/>
    <w:rsid w:val="00E70412"/>
    <w:rsid w:val="00E724E7"/>
    <w:rsid w:val="00E72791"/>
    <w:rsid w:val="00E72B41"/>
    <w:rsid w:val="00E7347B"/>
    <w:rsid w:val="00E73792"/>
    <w:rsid w:val="00E73D03"/>
    <w:rsid w:val="00E7471C"/>
    <w:rsid w:val="00E7498A"/>
    <w:rsid w:val="00E7514E"/>
    <w:rsid w:val="00E76537"/>
    <w:rsid w:val="00E76A85"/>
    <w:rsid w:val="00E77784"/>
    <w:rsid w:val="00E77A46"/>
    <w:rsid w:val="00E77AF5"/>
    <w:rsid w:val="00E77DAC"/>
    <w:rsid w:val="00E8035B"/>
    <w:rsid w:val="00E806D9"/>
    <w:rsid w:val="00E80ADE"/>
    <w:rsid w:val="00E820F4"/>
    <w:rsid w:val="00E82263"/>
    <w:rsid w:val="00E823F9"/>
    <w:rsid w:val="00E82C1F"/>
    <w:rsid w:val="00E83671"/>
    <w:rsid w:val="00E83D1E"/>
    <w:rsid w:val="00E840EE"/>
    <w:rsid w:val="00E84314"/>
    <w:rsid w:val="00E849CA"/>
    <w:rsid w:val="00E84A23"/>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165"/>
    <w:rsid w:val="00EA434E"/>
    <w:rsid w:val="00EA4757"/>
    <w:rsid w:val="00EA560B"/>
    <w:rsid w:val="00EA5669"/>
    <w:rsid w:val="00EA5A56"/>
    <w:rsid w:val="00EA5CC6"/>
    <w:rsid w:val="00EA63EF"/>
    <w:rsid w:val="00EA7026"/>
    <w:rsid w:val="00EA7CBF"/>
    <w:rsid w:val="00EB0A89"/>
    <w:rsid w:val="00EB0BD8"/>
    <w:rsid w:val="00EB1573"/>
    <w:rsid w:val="00EB1910"/>
    <w:rsid w:val="00EB2564"/>
    <w:rsid w:val="00EB2943"/>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2AD"/>
    <w:rsid w:val="00EC26F1"/>
    <w:rsid w:val="00EC2E9D"/>
    <w:rsid w:val="00EC3BA2"/>
    <w:rsid w:val="00EC3C94"/>
    <w:rsid w:val="00EC44DF"/>
    <w:rsid w:val="00EC4FB9"/>
    <w:rsid w:val="00EC5393"/>
    <w:rsid w:val="00EC5741"/>
    <w:rsid w:val="00EC5DA3"/>
    <w:rsid w:val="00EC6014"/>
    <w:rsid w:val="00EC6170"/>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0B"/>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329"/>
    <w:rsid w:val="00F20931"/>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0FF"/>
    <w:rsid w:val="00F31289"/>
    <w:rsid w:val="00F3232D"/>
    <w:rsid w:val="00F32D60"/>
    <w:rsid w:val="00F3399B"/>
    <w:rsid w:val="00F33F4B"/>
    <w:rsid w:val="00F346ED"/>
    <w:rsid w:val="00F34945"/>
    <w:rsid w:val="00F34E1E"/>
    <w:rsid w:val="00F354D0"/>
    <w:rsid w:val="00F3570C"/>
    <w:rsid w:val="00F363A4"/>
    <w:rsid w:val="00F36765"/>
    <w:rsid w:val="00F368FF"/>
    <w:rsid w:val="00F37068"/>
    <w:rsid w:val="00F37E5F"/>
    <w:rsid w:val="00F37F3F"/>
    <w:rsid w:val="00F40992"/>
    <w:rsid w:val="00F40F72"/>
    <w:rsid w:val="00F41596"/>
    <w:rsid w:val="00F41D8B"/>
    <w:rsid w:val="00F42121"/>
    <w:rsid w:val="00F421F2"/>
    <w:rsid w:val="00F424B3"/>
    <w:rsid w:val="00F428B1"/>
    <w:rsid w:val="00F428B4"/>
    <w:rsid w:val="00F4345D"/>
    <w:rsid w:val="00F4387B"/>
    <w:rsid w:val="00F45756"/>
    <w:rsid w:val="00F45921"/>
    <w:rsid w:val="00F45B91"/>
    <w:rsid w:val="00F46639"/>
    <w:rsid w:val="00F476FD"/>
    <w:rsid w:val="00F50183"/>
    <w:rsid w:val="00F50D92"/>
    <w:rsid w:val="00F51765"/>
    <w:rsid w:val="00F51991"/>
    <w:rsid w:val="00F51A51"/>
    <w:rsid w:val="00F51BC6"/>
    <w:rsid w:val="00F51CB4"/>
    <w:rsid w:val="00F51CC1"/>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57FB7"/>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96D"/>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644"/>
    <w:rsid w:val="00F9471B"/>
    <w:rsid w:val="00F952E4"/>
    <w:rsid w:val="00F9537B"/>
    <w:rsid w:val="00F96079"/>
    <w:rsid w:val="00F963FC"/>
    <w:rsid w:val="00F97459"/>
    <w:rsid w:val="00F97CF1"/>
    <w:rsid w:val="00FA015F"/>
    <w:rsid w:val="00FA0FAC"/>
    <w:rsid w:val="00FA10F7"/>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12E3"/>
    <w:rsid w:val="00FB1570"/>
    <w:rsid w:val="00FB193B"/>
    <w:rsid w:val="00FB1FBC"/>
    <w:rsid w:val="00FB27B7"/>
    <w:rsid w:val="00FB2E0B"/>
    <w:rsid w:val="00FB35E3"/>
    <w:rsid w:val="00FB40BA"/>
    <w:rsid w:val="00FB496B"/>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3508"/>
    <w:rsid w:val="00FD393C"/>
    <w:rsid w:val="00FD3AFF"/>
    <w:rsid w:val="00FD43BB"/>
    <w:rsid w:val="00FD4AF3"/>
    <w:rsid w:val="00FD5443"/>
    <w:rsid w:val="00FD6675"/>
    <w:rsid w:val="00FD6DC5"/>
    <w:rsid w:val="00FD72B1"/>
    <w:rsid w:val="00FD798D"/>
    <w:rsid w:val="00FE0FB8"/>
    <w:rsid w:val="00FE141E"/>
    <w:rsid w:val="00FE144E"/>
    <w:rsid w:val="00FE1768"/>
    <w:rsid w:val="00FE1DD5"/>
    <w:rsid w:val="00FE1FCD"/>
    <w:rsid w:val="00FE24ED"/>
    <w:rsid w:val="00FE24F4"/>
    <w:rsid w:val="00FE2560"/>
    <w:rsid w:val="00FE35D0"/>
    <w:rsid w:val="00FE42ED"/>
    <w:rsid w:val="00FE4E06"/>
    <w:rsid w:val="00FE55A7"/>
    <w:rsid w:val="00FE5C5A"/>
    <w:rsid w:val="00FE601E"/>
    <w:rsid w:val="00FE6432"/>
    <w:rsid w:val="00FE72A0"/>
    <w:rsid w:val="00FF0050"/>
    <w:rsid w:val="00FF045F"/>
    <w:rsid w:val="00FF05D7"/>
    <w:rsid w:val="00FF0816"/>
    <w:rsid w:val="00FF0EC4"/>
    <w:rsid w:val="00FF13D4"/>
    <w:rsid w:val="00FF1CF7"/>
    <w:rsid w:val="00FF2053"/>
    <w:rsid w:val="00FF22E8"/>
    <w:rsid w:val="00FF25D7"/>
    <w:rsid w:val="00FF26FB"/>
    <w:rsid w:val="00FF3B37"/>
    <w:rsid w:val="00FF3CC7"/>
    <w:rsid w:val="00FF3D6F"/>
    <w:rsid w:val="00FF441A"/>
    <w:rsid w:val="00FF48C9"/>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paragraph" w:customStyle="1" w:styleId="default0">
    <w:name w:val="default"/>
    <w:basedOn w:val="Normal"/>
    <w:rsid w:val="009C521A"/>
    <w:pPr>
      <w:spacing w:before="100" w:beforeAutospacing="1" w:after="100" w:afterAutospacing="1"/>
    </w:pPr>
    <w:rPr>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8510686">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8163578">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4C956-5E27-4931-B142-9755492426B3}">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B821723-319E-4517-B6A2-BC96C2B62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4254</Words>
  <Characters>23397</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2022-05-25T16:28:00Z</dcterms:created>
  <dcterms:modified xsi:type="dcterms:W3CDTF">2022-05-25T16:28:00Z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