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5D4F6" w14:textId="77777777" w:rsidR="009F2CD0" w:rsidRDefault="009F2CD0" w:rsidP="00FF31AB">
      <w:pPr>
        <w:spacing w:after="0" w:line="240" w:lineRule="auto"/>
        <w:jc w:val="both"/>
        <w:rPr>
          <w:rFonts w:ascii="Arial" w:eastAsia="Times New Roman" w:hAnsi="Arial" w:cs="Arial"/>
          <w:b/>
          <w:bCs/>
          <w:color w:val="000000"/>
          <w:shd w:val="clear" w:color="auto" w:fill="FFFFFF"/>
          <w:lang w:val="es-MX" w:eastAsia="es-MX"/>
        </w:rPr>
      </w:pPr>
    </w:p>
    <w:p w14:paraId="42139505" w14:textId="77777777" w:rsidR="005E4420" w:rsidRPr="00BD18A1" w:rsidRDefault="005E4420" w:rsidP="00FF31AB">
      <w:pPr>
        <w:tabs>
          <w:tab w:val="left" w:pos="426"/>
        </w:tabs>
        <w:spacing w:line="240" w:lineRule="auto"/>
        <w:jc w:val="both"/>
        <w:rPr>
          <w:rFonts w:ascii="Arial" w:eastAsia="Calibri" w:hAnsi="Arial" w:cs="Arial"/>
          <w:b/>
          <w:bCs/>
          <w:color w:val="000000" w:themeColor="text1"/>
          <w:sz w:val="20"/>
          <w:szCs w:val="20"/>
          <w:lang w:val="es-ES" w:eastAsia="es-CO"/>
        </w:rPr>
      </w:pPr>
      <w:r w:rsidRPr="00BD18A1">
        <w:rPr>
          <w:rFonts w:ascii="Arial" w:eastAsia="Calibri" w:hAnsi="Arial" w:cs="Arial"/>
          <w:b/>
          <w:bCs/>
          <w:color w:val="000000" w:themeColor="text1"/>
          <w:sz w:val="20"/>
          <w:szCs w:val="20"/>
          <w:lang w:val="es-ES" w:eastAsia="es-CO"/>
        </w:rPr>
        <w:t>PERSONAS EN CONDICIÓN DE DISCAPACIDAD – Decreto 392 de 2018 – Desarrollo normativo</w:t>
      </w:r>
    </w:p>
    <w:p w14:paraId="0448C9B8" w14:textId="77777777" w:rsidR="005E4420" w:rsidRPr="00BD18A1" w:rsidRDefault="005E4420" w:rsidP="00FF31AB">
      <w:pPr>
        <w:tabs>
          <w:tab w:val="left" w:pos="426"/>
        </w:tabs>
        <w:spacing w:line="240" w:lineRule="auto"/>
        <w:jc w:val="both"/>
        <w:rPr>
          <w:rFonts w:ascii="Arial" w:eastAsia="Calibri" w:hAnsi="Arial" w:cs="Arial"/>
          <w:b/>
          <w:bCs/>
          <w:color w:val="000000" w:themeColor="text1"/>
          <w:sz w:val="20"/>
          <w:szCs w:val="20"/>
          <w:lang w:val="es-ES" w:eastAsia="es-CO"/>
        </w:rPr>
      </w:pPr>
      <w:r w:rsidRPr="00BD18A1">
        <w:rPr>
          <w:rFonts w:ascii="Arial" w:eastAsia="Times New Roman" w:hAnsi="Arial" w:cs="Arial"/>
          <w:color w:val="000000" w:themeColor="text1"/>
          <w:sz w:val="20"/>
          <w:szCs w:val="20"/>
          <w:lang w:val="es-MX" w:eastAsia="es-ES_tradnl"/>
        </w:rPr>
        <w:t>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w:t>
      </w:r>
    </w:p>
    <w:p w14:paraId="776F56B5" w14:textId="77777777" w:rsidR="005E4420" w:rsidRPr="00BD18A1" w:rsidRDefault="005E4420" w:rsidP="00FF31AB">
      <w:pPr>
        <w:tabs>
          <w:tab w:val="left" w:pos="426"/>
        </w:tabs>
        <w:spacing w:line="240" w:lineRule="auto"/>
        <w:jc w:val="both"/>
        <w:rPr>
          <w:rFonts w:ascii="Arial" w:eastAsia="Times New Roman" w:hAnsi="Arial" w:cs="Arial"/>
          <w:b/>
          <w:bCs/>
          <w:color w:val="000000"/>
          <w:sz w:val="20"/>
          <w:szCs w:val="20"/>
          <w:shd w:val="clear" w:color="auto" w:fill="FFFFFF"/>
          <w:lang w:val="es-MX" w:eastAsia="es-MX"/>
        </w:rPr>
      </w:pPr>
      <w:r w:rsidRPr="00BD18A1">
        <w:rPr>
          <w:rFonts w:ascii="Arial" w:eastAsia="Times New Roman" w:hAnsi="Arial" w:cs="Arial"/>
          <w:b/>
          <w:bCs/>
          <w:color w:val="000000"/>
          <w:sz w:val="20"/>
          <w:szCs w:val="20"/>
          <w:shd w:val="clear" w:color="auto" w:fill="FFFFFF"/>
          <w:lang w:val="es-MX" w:eastAsia="es-MX"/>
        </w:rPr>
        <w:t>PERSONAS EN CONDICIÓN DE DISCAPACIDAD – Puntaje adicional – Fundamento normativo</w:t>
      </w:r>
    </w:p>
    <w:p w14:paraId="055E46CF" w14:textId="77777777" w:rsidR="005E4420" w:rsidRPr="00BD18A1" w:rsidRDefault="005E4420" w:rsidP="00FF31AB">
      <w:pPr>
        <w:spacing w:after="120" w:line="240" w:lineRule="auto"/>
        <w:jc w:val="both"/>
        <w:rPr>
          <w:rFonts w:ascii="Arial" w:eastAsia="Calibri" w:hAnsi="Arial" w:cs="Arial"/>
          <w:color w:val="000000" w:themeColor="text1"/>
          <w:sz w:val="20"/>
          <w:szCs w:val="20"/>
          <w:lang w:val="es-ES_tradnl" w:eastAsia="es-CO"/>
        </w:rPr>
      </w:pPr>
      <w:r w:rsidRPr="00BD18A1">
        <w:rPr>
          <w:rFonts w:ascii="Arial" w:eastAsia="Calibri" w:hAnsi="Arial" w:cs="Arial"/>
          <w:color w:val="000000" w:themeColor="text1"/>
          <w:sz w:val="20"/>
          <w:szCs w:val="20"/>
          <w:lang w:val="es-ES_tradnl" w:eastAsia="es-CO"/>
        </w:rPr>
        <w:t xml:space="preserve">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w:t>
      </w:r>
      <w:r w:rsidRPr="00BD18A1">
        <w:rPr>
          <w:rFonts w:ascii="Arial" w:eastAsia="Times New Roman" w:hAnsi="Arial" w:cs="Arial"/>
          <w:color w:val="000000"/>
          <w:sz w:val="20"/>
          <w:szCs w:val="20"/>
          <w:lang w:eastAsia="es-MX"/>
        </w:rPr>
        <w:t xml:space="preserve">Por su parte, cuando se trate de </w:t>
      </w:r>
      <w:r w:rsidRPr="00BD18A1">
        <w:rPr>
          <w:rFonts w:ascii="Arial" w:eastAsia="Times New Roman" w:hAnsi="Arial" w:cs="Arial"/>
          <w:i/>
          <w:iCs/>
          <w:color w:val="000000"/>
          <w:sz w:val="20"/>
          <w:szCs w:val="20"/>
          <w:lang w:eastAsia="es-MX"/>
        </w:rPr>
        <w:t>proponentes plurales</w:t>
      </w:r>
      <w:r w:rsidRPr="00BD18A1">
        <w:rPr>
          <w:rFonts w:ascii="Arial" w:eastAsia="Times New Roman" w:hAnsi="Arial" w:cs="Arial"/>
          <w:color w:val="000000"/>
          <w:sz w:val="20"/>
          <w:szCs w:val="20"/>
          <w:lang w:eastAsia="es-MX"/>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r w:rsidRPr="00BD18A1">
        <w:rPr>
          <w:rFonts w:ascii="Arial" w:eastAsia="Calibri" w:hAnsi="Arial" w:cs="Arial"/>
          <w:color w:val="000000" w:themeColor="text1"/>
          <w:sz w:val="20"/>
          <w:szCs w:val="20"/>
          <w:lang w:val="es-ES_tradnl" w:eastAsia="es-CO"/>
        </w:rPr>
        <w:t>En segundo lugar, para acreditar que se cumple con el número mínimo de trabajadores con discapacidad exigido, se empleará un certificado expedido por el Ministerio de Trabajo, el cual debe estar vigente al cierre del respectivo proceso.</w:t>
      </w:r>
    </w:p>
    <w:p w14:paraId="0CCF19CA" w14:textId="77777777" w:rsidR="005E4420" w:rsidRPr="00BD18A1" w:rsidRDefault="005E4420" w:rsidP="00FF31AB">
      <w:pPr>
        <w:spacing w:after="120" w:line="240" w:lineRule="auto"/>
        <w:jc w:val="both"/>
        <w:rPr>
          <w:rFonts w:ascii="Arial" w:eastAsia="Calibri" w:hAnsi="Arial" w:cs="Arial"/>
          <w:color w:val="000000" w:themeColor="text1"/>
          <w:sz w:val="20"/>
          <w:szCs w:val="20"/>
          <w:lang w:val="es-ES_tradnl" w:eastAsia="es-CO"/>
        </w:rPr>
      </w:pPr>
      <w:r w:rsidRPr="00BD18A1">
        <w:rPr>
          <w:rFonts w:ascii="Arial" w:eastAsia="Calibri" w:hAnsi="Arial" w:cs="Arial"/>
          <w:color w:val="000000" w:themeColor="text1"/>
          <w:sz w:val="20"/>
          <w:szCs w:val="20"/>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14:paraId="58967DB2" w14:textId="5A86586E" w:rsidR="00DD09C7" w:rsidRPr="00BD18A1" w:rsidRDefault="00DD09C7" w:rsidP="00DD09C7">
      <w:pPr>
        <w:jc w:val="both"/>
        <w:textAlignment w:val="baseline"/>
        <w:rPr>
          <w:rFonts w:ascii="Arial" w:hAnsi="Arial" w:cs="Arial"/>
          <w:b/>
          <w:lang w:eastAsia="es-CO"/>
        </w:rPr>
      </w:pPr>
      <w:r w:rsidRPr="00BD18A1">
        <w:rPr>
          <w:rFonts w:ascii="Arial" w:hAnsi="Arial" w:cs="Arial"/>
          <w:b/>
          <w:bCs/>
          <w:lang w:eastAsia="es-CO"/>
        </w:rPr>
        <w:t xml:space="preserve">INCENTIVO CONTRACTUAL – Licitación pública – Ley 1920 de 2018 – Artículo 6 – </w:t>
      </w:r>
      <w:r w:rsidRPr="00BD18A1">
        <w:rPr>
          <w:rFonts w:ascii="Arial" w:eastAsia="Calibri" w:hAnsi="Arial" w:cs="Arial"/>
          <w:b/>
          <w:lang w:val="es-ES_tradnl"/>
        </w:rPr>
        <w:t>Empresas de vigilancia y seguridad privada y/o las cooperativas especializadas de vigilancia y de seguridad privada</w:t>
      </w:r>
    </w:p>
    <w:p w14:paraId="7108C5BF" w14:textId="77777777" w:rsidR="00925582" w:rsidRPr="00BD18A1" w:rsidRDefault="00DD09C7" w:rsidP="00DD09C7">
      <w:pPr>
        <w:jc w:val="both"/>
        <w:rPr>
          <w:rFonts w:ascii="Arial" w:eastAsia="Calibri" w:hAnsi="Arial" w:cs="Arial"/>
          <w:color w:val="000000"/>
          <w:sz w:val="20"/>
          <w:szCs w:val="20"/>
          <w:lang w:val="es-ES_tradnl"/>
        </w:rPr>
      </w:pPr>
      <w:r w:rsidRPr="00BD18A1">
        <w:rPr>
          <w:rFonts w:ascii="Arial" w:eastAsia="Calibri" w:hAnsi="Arial" w:cs="Arial"/>
          <w:color w:val="000000"/>
          <w:sz w:val="20"/>
          <w:szCs w:val="20"/>
          <w:lang w:val="es-ES_tradnl"/>
        </w:rPr>
        <w:t>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ejecución de esta ley.</w:t>
      </w:r>
    </w:p>
    <w:p w14:paraId="3F69F046" w14:textId="13D5180F" w:rsidR="00DD09C7" w:rsidRPr="00BD18A1" w:rsidRDefault="00DD09C7" w:rsidP="00DD09C7">
      <w:pPr>
        <w:jc w:val="both"/>
        <w:rPr>
          <w:rFonts w:ascii="Arial" w:eastAsia="Calibri" w:hAnsi="Arial" w:cs="Arial"/>
          <w:color w:val="000000"/>
          <w:sz w:val="20"/>
          <w:szCs w:val="20"/>
          <w:lang w:val="es-ES_tradnl"/>
        </w:rPr>
      </w:pPr>
      <w:r w:rsidRPr="00BD18A1">
        <w:rPr>
          <w:rFonts w:ascii="Arial" w:eastAsia="Calibri" w:hAnsi="Arial" w:cs="Arial"/>
          <w:color w:val="000000"/>
          <w:sz w:val="20"/>
          <w:szCs w:val="20"/>
          <w:lang w:val="es-ES_tradnl"/>
        </w:rPr>
        <w:t xml:space="preserve">En cuanto a su contenido, es importante señalar que, como dispone el artículo 1, esta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14:paraId="75731FF5" w14:textId="77777777" w:rsidR="00703FD0" w:rsidRPr="00BD18A1" w:rsidRDefault="00703FD0" w:rsidP="00703FD0">
      <w:pPr>
        <w:shd w:val="clear" w:color="auto" w:fill="FFFFFF"/>
        <w:ind w:right="51"/>
        <w:jc w:val="both"/>
        <w:rPr>
          <w:rFonts w:ascii="Arial" w:hAnsi="Arial" w:cs="Arial"/>
          <w:b/>
          <w:bCs/>
          <w:shd w:val="clear" w:color="auto" w:fill="FFFFFF"/>
        </w:rPr>
      </w:pPr>
      <w:r w:rsidRPr="00BD18A1">
        <w:rPr>
          <w:rFonts w:ascii="Arial" w:hAnsi="Arial" w:cs="Arial"/>
          <w:b/>
          <w:bCs/>
          <w:shd w:val="clear" w:color="auto" w:fill="FFFFFF"/>
        </w:rPr>
        <w:t xml:space="preserve">INCENTIVO CONTRACTUAL – Puntaje adicional – Licitación pública - Empresas de vigilancia y seguridad privada o cooperativas de vigilancia y seguridad privada – Criterios </w:t>
      </w:r>
    </w:p>
    <w:p w14:paraId="5C9DE680" w14:textId="77777777" w:rsidR="00703FD0" w:rsidRPr="00BD18A1" w:rsidRDefault="00703FD0" w:rsidP="00703FD0">
      <w:pPr>
        <w:shd w:val="clear" w:color="auto" w:fill="FFFFFF"/>
        <w:ind w:right="51"/>
        <w:jc w:val="both"/>
        <w:rPr>
          <w:rFonts w:ascii="Arial" w:hAnsi="Arial" w:cs="Arial"/>
          <w:b/>
          <w:bCs/>
          <w:shd w:val="clear" w:color="auto" w:fill="FFFFFF"/>
        </w:rPr>
      </w:pPr>
    </w:p>
    <w:p w14:paraId="5811765B" w14:textId="77777777" w:rsidR="009A0504" w:rsidRPr="00BD18A1" w:rsidRDefault="00703FD0" w:rsidP="009A0504">
      <w:pPr>
        <w:shd w:val="clear" w:color="auto" w:fill="FFFFFF"/>
        <w:ind w:right="51"/>
        <w:jc w:val="both"/>
        <w:rPr>
          <w:rFonts w:ascii="Arial" w:hAnsi="Arial" w:cs="Arial"/>
          <w:bCs/>
          <w:sz w:val="20"/>
          <w:szCs w:val="20"/>
          <w:shd w:val="clear" w:color="auto" w:fill="FFFFFF"/>
        </w:rPr>
      </w:pPr>
      <w:r w:rsidRPr="00BD18A1">
        <w:rPr>
          <w:rFonts w:ascii="Arial" w:hAnsi="Arial" w:cs="Arial"/>
          <w:sz w:val="20"/>
          <w:szCs w:val="20"/>
          <w:shd w:val="clear" w:color="auto" w:fill="FFFFFF"/>
        </w:rPr>
        <w:t>En este sentido, el artículo</w:t>
      </w:r>
      <w:r w:rsidRPr="00BD18A1">
        <w:rPr>
          <w:rFonts w:ascii="Arial" w:hAnsi="Arial" w:cs="Arial"/>
          <w:bCs/>
          <w:sz w:val="20"/>
          <w:szCs w:val="20"/>
          <w:shd w:val="clear" w:color="auto" w:fill="FFFFFF"/>
        </w:rPr>
        <w:t xml:space="preserve"> 2.2.1.2.4.2.10 que fue adicionado en el Decreto 1082 de 2015 dispone que se otorga hasta el tres por ciento (3%) del total de los puntos establecidos en el pliego de condiciones, de acuerdo con los siguientes criterios: </w:t>
      </w:r>
    </w:p>
    <w:p w14:paraId="41023C33" w14:textId="77777777" w:rsidR="009A0504" w:rsidRPr="00BD18A1" w:rsidRDefault="00703FD0" w:rsidP="009A0504">
      <w:pPr>
        <w:shd w:val="clear" w:color="auto" w:fill="FFFFFF"/>
        <w:ind w:right="51"/>
        <w:jc w:val="both"/>
        <w:rPr>
          <w:rFonts w:ascii="Arial" w:hAnsi="Arial" w:cs="Arial"/>
          <w:sz w:val="20"/>
          <w:szCs w:val="20"/>
        </w:rPr>
      </w:pPr>
      <w:r w:rsidRPr="00BD18A1">
        <w:rPr>
          <w:rFonts w:ascii="Arial" w:hAnsi="Arial" w:cs="Arial"/>
          <w:sz w:val="20"/>
          <w:szCs w:val="20"/>
        </w:rPr>
        <w:t xml:space="preserve">i) Se otorga hasta un uno por ciento (1%) al proponente o los proponentes que acrediten tener dentro de su personal operativo mujeres vinculadas, de la siguiente forma: a) El cero punto cinco por ciento (0,5%) se le brinda al proponente o proponentes que acrediten el mayor </w:t>
      </w:r>
      <w:r w:rsidRPr="00BD18A1">
        <w:rPr>
          <w:rFonts w:ascii="Arial" w:hAnsi="Arial" w:cs="Arial"/>
          <w:i/>
          <w:iCs/>
          <w:sz w:val="20"/>
          <w:szCs w:val="20"/>
        </w:rPr>
        <w:t>porcentaje de mujeres vinculadas</w:t>
      </w:r>
      <w:r w:rsidRPr="00BD18A1">
        <w:rPr>
          <w:rFonts w:ascii="Arial" w:hAnsi="Arial" w:cs="Arial"/>
          <w:sz w:val="20"/>
          <w:szCs w:val="20"/>
        </w:rPr>
        <w:t xml:space="preserve"> dentro de su personal operativo. A los demás proponentes se les otorgará un puntaje proporcional de acuerdo con la siguiente fórmula: Puntaje = 0,5 % de los puntos (Porcentaje (%) acreditado de mujeres del proponente) Mayor porcentaje (%) de mujeres acreditado. b) El cero punto cinco por ciento (0,5%) se le otorga al proponente o los proponentes que acrediten el mayor </w:t>
      </w:r>
      <w:r w:rsidRPr="00BD18A1">
        <w:rPr>
          <w:rFonts w:ascii="Arial" w:hAnsi="Arial" w:cs="Arial"/>
          <w:i/>
          <w:iCs/>
          <w:sz w:val="20"/>
          <w:szCs w:val="20"/>
        </w:rPr>
        <w:t>número de mujeres vinculadas</w:t>
      </w:r>
      <w:r w:rsidRPr="00BD18A1">
        <w:rPr>
          <w:rFonts w:ascii="Arial" w:hAnsi="Arial" w:cs="Arial"/>
          <w:sz w:val="20"/>
          <w:szCs w:val="20"/>
        </w:rPr>
        <w:t xml:space="preserve"> dentro de su personal operativo. A los demás proponentes se les brinda un puntaje proporcional de acuerdo con la siguiente fórmula: Puntaje = 0,5 % de los puntos (Numero (#) acreditado de mujeres del proponente) Mayor número (#) de mujeres acreditado.</w:t>
      </w:r>
    </w:p>
    <w:p w14:paraId="59C31ECC" w14:textId="50FDC392" w:rsidR="00703FD0" w:rsidRPr="00BD18A1" w:rsidRDefault="00703FD0" w:rsidP="009A0504">
      <w:pPr>
        <w:shd w:val="clear" w:color="auto" w:fill="FFFFFF"/>
        <w:ind w:right="51"/>
        <w:jc w:val="both"/>
        <w:rPr>
          <w:rFonts w:ascii="Arial" w:hAnsi="Arial" w:cs="Arial"/>
          <w:bCs/>
          <w:sz w:val="20"/>
          <w:szCs w:val="20"/>
          <w:shd w:val="clear" w:color="auto" w:fill="FFFFFF"/>
        </w:rPr>
      </w:pPr>
      <w:r w:rsidRPr="00BD18A1">
        <w:rPr>
          <w:rFonts w:ascii="Arial" w:hAnsi="Arial" w:cs="Arial"/>
          <w:sz w:val="20"/>
          <w:szCs w:val="20"/>
        </w:rPr>
        <w:t xml:space="preserve">ii) Se otorga hasta un uno por ciento (1%) al proponente o proponentes que acrediten tener dentro de su personal operativo personas con discapacidad vinculadas, de la siguiente manera: a) El cero punto cinco por ciento (0,5%) se le brinda al proponente o proponentes que acrediten el mayor </w:t>
      </w:r>
      <w:r w:rsidRPr="00BD18A1">
        <w:rPr>
          <w:rFonts w:ascii="Arial" w:hAnsi="Arial" w:cs="Arial"/>
          <w:i/>
          <w:iCs/>
          <w:sz w:val="20"/>
          <w:szCs w:val="20"/>
        </w:rPr>
        <w:t>porcentaje de personas con discapacidad vinculadas</w:t>
      </w:r>
      <w:r w:rsidRPr="00BD18A1">
        <w:rPr>
          <w:rFonts w:ascii="Arial" w:hAnsi="Arial" w:cs="Arial"/>
          <w:sz w:val="20"/>
          <w:szCs w:val="20"/>
        </w:rPr>
        <w:t xml:space="preserve"> dentro de su personal operativo. A los demás proponentes se les otorga un puntaje proporcional de acuerdo con la siguiente fórmula: Puntaje = 0,5 % de los puntos (Porcentaje (%) acreditado de personas con discapacidad del proponente) Mayor porcentaje (%) de personas con discapacidad acreditado. b) El cero punto cinco por ciento (0,5%) se brinda al proponente o proponentes que acrediten mayor </w:t>
      </w:r>
      <w:r w:rsidRPr="00BD18A1">
        <w:rPr>
          <w:rFonts w:ascii="Arial" w:hAnsi="Arial" w:cs="Arial"/>
          <w:i/>
          <w:iCs/>
          <w:sz w:val="20"/>
          <w:szCs w:val="20"/>
        </w:rPr>
        <w:t>número de personas con discapacidad vinculadas</w:t>
      </w:r>
      <w:r w:rsidRPr="00BD18A1">
        <w:rPr>
          <w:rFonts w:ascii="Arial" w:hAnsi="Arial" w:cs="Arial"/>
          <w:sz w:val="20"/>
          <w:szCs w:val="20"/>
        </w:rPr>
        <w:t xml:space="preserve"> dentro de su personal operativo. A los demás proponentes se les otorga un puntaje proporcional de acuerdo con la siguiente fórmula: Puntaje = 0,5 % de los puntos (Numero (#) acreditado de personas con discapacidad del proponente) Mayor número (#) de personas con discapacidad acreditado. </w:t>
      </w:r>
    </w:p>
    <w:p w14:paraId="5E337E80" w14:textId="3CDBA25A" w:rsidR="00DD09C7" w:rsidRPr="00BD18A1" w:rsidRDefault="00703FD0" w:rsidP="009A0504">
      <w:pPr>
        <w:pStyle w:val="NormalWeb"/>
        <w:shd w:val="clear" w:color="auto" w:fill="FFFFFF"/>
        <w:spacing w:before="0" w:beforeAutospacing="0" w:after="0" w:afterAutospacing="0"/>
        <w:jc w:val="both"/>
        <w:rPr>
          <w:rFonts w:ascii="Arial" w:hAnsi="Arial" w:cs="Arial"/>
          <w:sz w:val="20"/>
          <w:szCs w:val="20"/>
        </w:rPr>
      </w:pPr>
      <w:r w:rsidRPr="00BD18A1">
        <w:rPr>
          <w:rFonts w:ascii="Arial" w:hAnsi="Arial" w:cs="Arial"/>
          <w:sz w:val="20"/>
          <w:szCs w:val="20"/>
        </w:rPr>
        <w:t xml:space="preserve">iii) Se otorga hasta un uno por ciento (1%) al proponente o los proponentes que acrediten tener dentro de su personal operativo personas que al momento de presentar oferta sean mayores de 45 años vinculadas, de la siguiente manera: a) El cero punto cinco por ciento (0,5%) se le brinda al proponente o los proponentes que acrediten el mayor </w:t>
      </w:r>
      <w:r w:rsidRPr="00BD18A1">
        <w:rPr>
          <w:rFonts w:ascii="Arial" w:hAnsi="Arial" w:cs="Arial"/>
          <w:i/>
          <w:iCs/>
          <w:sz w:val="20"/>
          <w:szCs w:val="20"/>
        </w:rPr>
        <w:t>porcentaje de personas mayores de 45 años vinculadas</w:t>
      </w:r>
      <w:r w:rsidRPr="00BD18A1">
        <w:rPr>
          <w:rFonts w:ascii="Arial" w:hAnsi="Arial" w:cs="Arial"/>
          <w:sz w:val="20"/>
          <w:szCs w:val="20"/>
        </w:rPr>
        <w:t xml:space="preserve"> dentro de su personal operativo. A los demás proponentes se les otorga un puntaje proporcional de acuerdo con la siguiente fórmula: Puntaje = 0,5 % de los puntos (Porcentaje (%) acreditado de personas mayores de 45 años del proponente) Mayor porcentaje (%) de personas mayores de 45 años acreditado. b)  El cero punto cinco por ciento (0,5%) se otorga al proponente o proponentes que acrediten mayor </w:t>
      </w:r>
      <w:r w:rsidRPr="00BD18A1">
        <w:rPr>
          <w:rFonts w:ascii="Arial" w:hAnsi="Arial" w:cs="Arial"/>
          <w:i/>
          <w:iCs/>
          <w:sz w:val="20"/>
          <w:szCs w:val="20"/>
        </w:rPr>
        <w:t>número de personas mayores de 45 años vinculadas</w:t>
      </w:r>
      <w:r w:rsidRPr="00BD18A1">
        <w:rPr>
          <w:rFonts w:ascii="Arial" w:hAnsi="Arial" w:cs="Arial"/>
          <w:sz w:val="20"/>
          <w:szCs w:val="20"/>
        </w:rPr>
        <w:t xml:space="preserve"> dentro de su personal operativo. A los demás proponentes se les brinda un puntaje proporcional de acuerdo con la siguiente fórmula: Puntaje = 0,5 % de los puntos (Numero (#) acreditado de personas mayores de 45 años del proponente) Mayor número (#) de personas mayores de 45 años acreditado.</w:t>
      </w:r>
    </w:p>
    <w:p w14:paraId="2718DC40" w14:textId="77777777" w:rsidR="009A0504" w:rsidRPr="00BD18A1" w:rsidRDefault="009A0504" w:rsidP="009A0504">
      <w:pPr>
        <w:pStyle w:val="NormalWeb"/>
        <w:shd w:val="clear" w:color="auto" w:fill="FFFFFF"/>
        <w:spacing w:before="0" w:beforeAutospacing="0" w:after="0" w:afterAutospacing="0"/>
        <w:jc w:val="both"/>
        <w:rPr>
          <w:rFonts w:ascii="Arial" w:hAnsi="Arial" w:cs="Arial"/>
          <w:sz w:val="20"/>
          <w:szCs w:val="20"/>
        </w:rPr>
      </w:pPr>
    </w:p>
    <w:p w14:paraId="7888E2DE" w14:textId="77777777" w:rsidR="00DD09C7" w:rsidRPr="00BD18A1" w:rsidRDefault="00DD09C7" w:rsidP="00DD09C7">
      <w:pPr>
        <w:jc w:val="both"/>
        <w:rPr>
          <w:rFonts w:ascii="Arial" w:eastAsia="Calibri" w:hAnsi="Arial" w:cs="Arial"/>
          <w:color w:val="000000"/>
          <w:sz w:val="20"/>
          <w:szCs w:val="20"/>
          <w:lang w:val="es-ES_tradnl"/>
        </w:rPr>
      </w:pPr>
      <w:r w:rsidRPr="00BD18A1">
        <w:rPr>
          <w:rFonts w:ascii="Arial" w:eastAsia="Calibri" w:hAnsi="Arial" w:cs="Arial"/>
          <w:color w:val="000000"/>
          <w:sz w:val="20"/>
          <w:szCs w:val="20"/>
          <w:lang w:val="es-ES_tradnl"/>
        </w:rPr>
        <w:t xml:space="preserve">El artículo 6 de la Ley ibidem creó un incentivo contractual para prestadores de servicios de vigilancia y seguridad privada basado en la vinculación de mujeres, personas mayores de 45 años o en condición de discapacidad. En el inciso primero, la norma dispone: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w:t>
      </w:r>
      <w:r w:rsidRPr="00BD18A1">
        <w:rPr>
          <w:rFonts w:ascii="Arial" w:eastAsia="Calibri" w:hAnsi="Arial" w:cs="Arial"/>
          <w:color w:val="000000"/>
          <w:sz w:val="20"/>
          <w:szCs w:val="20"/>
          <w:lang w:val="es-ES_tradnl"/>
        </w:rPr>
        <w:lastRenderedPageBreak/>
        <w:t>tengan a mujeres, a personas con discapacidad y/o personas mayores de 45 años, contratadas con todas las exigencias y garantías legalmente establecidas».</w:t>
      </w:r>
    </w:p>
    <w:p w14:paraId="7D54A0D3" w14:textId="77777777" w:rsidR="00833452" w:rsidRPr="00BD18A1" w:rsidRDefault="00833452" w:rsidP="00526E9D">
      <w:pPr>
        <w:rPr>
          <w:rFonts w:ascii="Arial" w:eastAsia="Times New Roman" w:hAnsi="Arial" w:cs="Arial"/>
          <w:b/>
          <w:bCs/>
          <w:lang w:val="es-MX" w:eastAsia="es-CO"/>
        </w:rPr>
      </w:pPr>
    </w:p>
    <w:p w14:paraId="466958E5" w14:textId="77777777" w:rsidR="009F2CD0" w:rsidRPr="00BD18A1" w:rsidRDefault="009F2CD0" w:rsidP="00526E9D">
      <w:pPr>
        <w:rPr>
          <w:rFonts w:ascii="Arial" w:eastAsia="Times New Roman" w:hAnsi="Arial" w:cs="Arial"/>
          <w:b/>
          <w:bCs/>
          <w:lang w:val="es-MX" w:eastAsia="es-CO"/>
        </w:rPr>
      </w:pPr>
    </w:p>
    <w:p w14:paraId="300D54ED" w14:textId="77777777" w:rsidR="009F2CD0" w:rsidRPr="00BD18A1" w:rsidRDefault="009F2CD0" w:rsidP="00526E9D">
      <w:pPr>
        <w:rPr>
          <w:rFonts w:ascii="Arial" w:eastAsia="Times New Roman" w:hAnsi="Arial" w:cs="Arial"/>
          <w:b/>
          <w:bCs/>
          <w:lang w:val="es-MX" w:eastAsia="es-CO"/>
        </w:rPr>
      </w:pPr>
    </w:p>
    <w:p w14:paraId="33D0B3FC" w14:textId="77777777" w:rsidR="009F2CD0" w:rsidRPr="00BD18A1" w:rsidRDefault="009F2CD0" w:rsidP="00526E9D">
      <w:pPr>
        <w:rPr>
          <w:rFonts w:ascii="Arial" w:eastAsia="Times New Roman" w:hAnsi="Arial" w:cs="Arial"/>
          <w:b/>
          <w:bCs/>
          <w:lang w:val="es-MX" w:eastAsia="es-CO"/>
        </w:rPr>
      </w:pPr>
    </w:p>
    <w:p w14:paraId="0C44B8E1" w14:textId="77777777" w:rsidR="009F2CD0" w:rsidRPr="00BD18A1" w:rsidRDefault="009F2CD0" w:rsidP="00526E9D">
      <w:pPr>
        <w:rPr>
          <w:rFonts w:ascii="Arial" w:eastAsia="Times New Roman" w:hAnsi="Arial" w:cs="Arial"/>
          <w:b/>
          <w:bCs/>
          <w:lang w:val="es-MX" w:eastAsia="es-CO"/>
        </w:rPr>
      </w:pPr>
    </w:p>
    <w:p w14:paraId="7ADB9D5A" w14:textId="77777777" w:rsidR="009F2CD0" w:rsidRPr="00BD18A1" w:rsidRDefault="009F2CD0" w:rsidP="00526E9D">
      <w:pPr>
        <w:rPr>
          <w:rFonts w:ascii="Arial" w:eastAsia="Times New Roman" w:hAnsi="Arial" w:cs="Arial"/>
          <w:b/>
          <w:bCs/>
          <w:lang w:val="es-MX" w:eastAsia="es-CO"/>
        </w:rPr>
      </w:pPr>
    </w:p>
    <w:p w14:paraId="154A6A6A" w14:textId="77777777" w:rsidR="00E54ED9" w:rsidRPr="00BD18A1" w:rsidRDefault="00E54ED9" w:rsidP="00526E9D">
      <w:pPr>
        <w:rPr>
          <w:rFonts w:ascii="Arial" w:eastAsia="Times New Roman" w:hAnsi="Arial" w:cs="Arial"/>
          <w:b/>
          <w:bCs/>
          <w:lang w:val="es-MX" w:eastAsia="es-CO"/>
        </w:rPr>
      </w:pPr>
    </w:p>
    <w:p w14:paraId="702B52AC" w14:textId="77777777" w:rsidR="00E54ED9" w:rsidRPr="00BD18A1" w:rsidRDefault="00E54ED9" w:rsidP="00526E9D">
      <w:pPr>
        <w:rPr>
          <w:rFonts w:ascii="Arial" w:eastAsia="Times New Roman" w:hAnsi="Arial" w:cs="Arial"/>
          <w:b/>
          <w:bCs/>
          <w:lang w:val="es-MX" w:eastAsia="es-CO"/>
        </w:rPr>
      </w:pPr>
    </w:p>
    <w:p w14:paraId="75599FD1" w14:textId="77777777" w:rsidR="00E54ED9" w:rsidRPr="00BD18A1" w:rsidRDefault="00E54ED9" w:rsidP="00526E9D">
      <w:pPr>
        <w:rPr>
          <w:rFonts w:ascii="Arial" w:eastAsia="Times New Roman" w:hAnsi="Arial" w:cs="Arial"/>
          <w:b/>
          <w:bCs/>
          <w:lang w:val="es-MX" w:eastAsia="es-CO"/>
        </w:rPr>
      </w:pPr>
    </w:p>
    <w:p w14:paraId="7B9A1602" w14:textId="77777777" w:rsidR="00E54ED9" w:rsidRPr="00BD18A1" w:rsidRDefault="00E54ED9" w:rsidP="00526E9D">
      <w:pPr>
        <w:rPr>
          <w:rFonts w:ascii="Arial" w:eastAsia="Times New Roman" w:hAnsi="Arial" w:cs="Arial"/>
          <w:b/>
          <w:bCs/>
          <w:lang w:val="es-MX" w:eastAsia="es-CO"/>
        </w:rPr>
      </w:pPr>
    </w:p>
    <w:p w14:paraId="1E729636" w14:textId="77777777" w:rsidR="00E54ED9" w:rsidRPr="00BD18A1" w:rsidRDefault="00E54ED9" w:rsidP="00526E9D">
      <w:pPr>
        <w:rPr>
          <w:rFonts w:ascii="Arial" w:eastAsia="Times New Roman" w:hAnsi="Arial" w:cs="Arial"/>
          <w:b/>
          <w:bCs/>
          <w:lang w:val="es-MX" w:eastAsia="es-CO"/>
        </w:rPr>
      </w:pPr>
    </w:p>
    <w:p w14:paraId="78AA5A69" w14:textId="77777777" w:rsidR="009F2CD0" w:rsidRPr="00BD18A1" w:rsidRDefault="009F2CD0" w:rsidP="00526E9D">
      <w:pPr>
        <w:rPr>
          <w:rFonts w:ascii="Arial" w:eastAsia="Times New Roman" w:hAnsi="Arial" w:cs="Arial"/>
          <w:b/>
          <w:bCs/>
          <w:lang w:val="es-MX" w:eastAsia="es-CO"/>
        </w:rPr>
      </w:pPr>
    </w:p>
    <w:p w14:paraId="030300C4" w14:textId="77777777" w:rsidR="009F2CD0" w:rsidRPr="00BD18A1" w:rsidRDefault="009F2CD0" w:rsidP="00526E9D">
      <w:pPr>
        <w:rPr>
          <w:rFonts w:ascii="Arial" w:eastAsia="Times New Roman" w:hAnsi="Arial" w:cs="Arial"/>
          <w:b/>
          <w:bCs/>
          <w:lang w:val="es-MX" w:eastAsia="es-CO"/>
        </w:rPr>
      </w:pPr>
    </w:p>
    <w:p w14:paraId="0F71C104" w14:textId="77777777" w:rsidR="00944422" w:rsidRPr="00BD18A1" w:rsidRDefault="00944422" w:rsidP="00526E9D">
      <w:pPr>
        <w:rPr>
          <w:rFonts w:ascii="Arial" w:eastAsia="Times New Roman" w:hAnsi="Arial" w:cs="Arial"/>
          <w:b/>
          <w:bCs/>
          <w:lang w:val="es-MX" w:eastAsia="es-CO"/>
        </w:rPr>
      </w:pPr>
    </w:p>
    <w:p w14:paraId="06CC5697" w14:textId="77777777" w:rsidR="00944422" w:rsidRPr="00BD18A1" w:rsidRDefault="00944422" w:rsidP="00526E9D">
      <w:pPr>
        <w:rPr>
          <w:rFonts w:ascii="Arial" w:eastAsia="Times New Roman" w:hAnsi="Arial" w:cs="Arial"/>
          <w:b/>
          <w:bCs/>
          <w:lang w:val="es-MX" w:eastAsia="es-CO"/>
        </w:rPr>
      </w:pPr>
    </w:p>
    <w:p w14:paraId="1B115D06" w14:textId="77777777" w:rsidR="00944422" w:rsidRPr="00BD18A1" w:rsidRDefault="00944422" w:rsidP="00526E9D">
      <w:pPr>
        <w:rPr>
          <w:rFonts w:ascii="Arial" w:eastAsia="Times New Roman" w:hAnsi="Arial" w:cs="Arial"/>
          <w:b/>
          <w:bCs/>
          <w:lang w:val="es-MX" w:eastAsia="es-CO"/>
        </w:rPr>
      </w:pPr>
    </w:p>
    <w:p w14:paraId="62BCA8C4" w14:textId="77777777" w:rsidR="00944422" w:rsidRPr="00BD18A1" w:rsidRDefault="00944422" w:rsidP="00526E9D">
      <w:pPr>
        <w:rPr>
          <w:rFonts w:ascii="Arial" w:eastAsia="Times New Roman" w:hAnsi="Arial" w:cs="Arial"/>
          <w:b/>
          <w:bCs/>
          <w:lang w:val="es-MX" w:eastAsia="es-CO"/>
        </w:rPr>
      </w:pPr>
    </w:p>
    <w:p w14:paraId="32CFD6F7" w14:textId="77777777" w:rsidR="00944422" w:rsidRPr="00BD18A1" w:rsidRDefault="00944422" w:rsidP="00526E9D">
      <w:pPr>
        <w:rPr>
          <w:rFonts w:ascii="Arial" w:eastAsia="Times New Roman" w:hAnsi="Arial" w:cs="Arial"/>
          <w:b/>
          <w:bCs/>
          <w:lang w:val="es-MX" w:eastAsia="es-CO"/>
        </w:rPr>
      </w:pPr>
    </w:p>
    <w:p w14:paraId="1AB39F52" w14:textId="77777777" w:rsidR="00944422" w:rsidRPr="00BD18A1" w:rsidRDefault="00944422" w:rsidP="00526E9D">
      <w:pPr>
        <w:rPr>
          <w:rFonts w:ascii="Arial" w:eastAsia="Times New Roman" w:hAnsi="Arial" w:cs="Arial"/>
          <w:b/>
          <w:bCs/>
          <w:lang w:val="es-MX" w:eastAsia="es-CO"/>
        </w:rPr>
      </w:pPr>
    </w:p>
    <w:p w14:paraId="780C0066" w14:textId="77777777" w:rsidR="00944422" w:rsidRPr="00BD18A1" w:rsidRDefault="00944422" w:rsidP="00526E9D">
      <w:pPr>
        <w:rPr>
          <w:rFonts w:ascii="Arial" w:eastAsia="Times New Roman" w:hAnsi="Arial" w:cs="Arial"/>
          <w:b/>
          <w:bCs/>
          <w:lang w:val="es-MX" w:eastAsia="es-CO"/>
        </w:rPr>
      </w:pPr>
    </w:p>
    <w:p w14:paraId="2618E6EF" w14:textId="77777777" w:rsidR="00944422" w:rsidRPr="00BD18A1" w:rsidRDefault="00944422" w:rsidP="00526E9D">
      <w:pPr>
        <w:rPr>
          <w:rFonts w:ascii="Arial" w:eastAsia="Times New Roman" w:hAnsi="Arial" w:cs="Arial"/>
          <w:b/>
          <w:bCs/>
          <w:lang w:val="es-MX" w:eastAsia="es-CO"/>
        </w:rPr>
      </w:pPr>
    </w:p>
    <w:p w14:paraId="501D0E7C" w14:textId="77777777" w:rsidR="00011A7B" w:rsidRPr="00BD18A1" w:rsidRDefault="00011A7B" w:rsidP="00526E9D">
      <w:pPr>
        <w:rPr>
          <w:rFonts w:ascii="Arial" w:eastAsia="Times New Roman" w:hAnsi="Arial" w:cs="Arial"/>
          <w:b/>
          <w:bCs/>
          <w:lang w:val="es-MX" w:eastAsia="es-CO"/>
        </w:rPr>
      </w:pPr>
    </w:p>
    <w:p w14:paraId="6E4A10A8" w14:textId="77777777" w:rsidR="00011A7B" w:rsidRPr="00BD18A1" w:rsidRDefault="00011A7B" w:rsidP="00526E9D">
      <w:pPr>
        <w:rPr>
          <w:rFonts w:ascii="Arial" w:eastAsia="Times New Roman" w:hAnsi="Arial" w:cs="Arial"/>
          <w:b/>
          <w:bCs/>
          <w:lang w:val="es-MX" w:eastAsia="es-CO"/>
        </w:rPr>
      </w:pPr>
    </w:p>
    <w:p w14:paraId="7BDF4D34" w14:textId="77777777" w:rsidR="00011A7B" w:rsidRPr="00BD18A1" w:rsidRDefault="00011A7B" w:rsidP="00526E9D">
      <w:pPr>
        <w:rPr>
          <w:rFonts w:ascii="Arial" w:eastAsia="Times New Roman" w:hAnsi="Arial" w:cs="Arial"/>
          <w:b/>
          <w:bCs/>
          <w:lang w:val="es-MX" w:eastAsia="es-CO"/>
        </w:rPr>
      </w:pPr>
    </w:p>
    <w:p w14:paraId="169B19FC" w14:textId="77777777" w:rsidR="00011A7B" w:rsidRPr="00BD18A1" w:rsidRDefault="00011A7B" w:rsidP="00526E9D">
      <w:pPr>
        <w:rPr>
          <w:rFonts w:ascii="Arial" w:eastAsia="Times New Roman" w:hAnsi="Arial" w:cs="Arial"/>
          <w:b/>
          <w:bCs/>
          <w:lang w:val="es-MX" w:eastAsia="es-CO"/>
        </w:rPr>
      </w:pPr>
    </w:p>
    <w:p w14:paraId="4BAF90B1" w14:textId="77777777" w:rsidR="00011A7B" w:rsidRPr="00BD18A1" w:rsidRDefault="00011A7B" w:rsidP="00526E9D">
      <w:pPr>
        <w:rPr>
          <w:rFonts w:ascii="Arial" w:eastAsia="Times New Roman" w:hAnsi="Arial" w:cs="Arial"/>
          <w:b/>
          <w:bCs/>
          <w:lang w:val="es-MX" w:eastAsia="es-CO"/>
        </w:rPr>
      </w:pPr>
    </w:p>
    <w:p w14:paraId="3A1D155B" w14:textId="139A35E3" w:rsidR="00D86DDB" w:rsidRPr="00BD18A1" w:rsidRDefault="001F6214" w:rsidP="00D86DDB">
      <w:pPr>
        <w:spacing w:after="0" w:line="276" w:lineRule="auto"/>
        <w:rPr>
          <w:rFonts w:ascii="Arial" w:hAnsi="Arial" w:cs="Arial"/>
          <w:lang w:val="es-MX"/>
        </w:rPr>
      </w:pPr>
      <w:bookmarkStart w:id="0" w:name="_Hlk34951122"/>
      <w:r w:rsidRPr="001F6214">
        <w:rPr>
          <w:rFonts w:ascii="Arial" w:eastAsia="Geomanist Light" w:hAnsi="Arial" w:cs="Arial"/>
          <w:lang w:val="es-MX"/>
        </w:rPr>
        <w:t>Bogotá D.C., </w:t>
      </w:r>
      <w:r w:rsidR="00AE76B1">
        <w:rPr>
          <w:rFonts w:ascii="Arial" w:eastAsia="Geomanist Light" w:hAnsi="Arial" w:cs="Arial"/>
          <w:lang w:val="es-MX"/>
        </w:rPr>
        <w:t>02 de junio del 2023</w:t>
      </w:r>
    </w:p>
    <w:p w14:paraId="08C9198E" w14:textId="77777777" w:rsidR="00D86DDB" w:rsidRDefault="00D86DDB" w:rsidP="00D86DDB">
      <w:pPr>
        <w:spacing w:after="0" w:line="276" w:lineRule="auto"/>
        <w:rPr>
          <w:rFonts w:ascii="Arial" w:hAnsi="Arial" w:cs="Arial"/>
          <w:lang w:val="es-MX"/>
        </w:rPr>
      </w:pPr>
    </w:p>
    <w:p w14:paraId="27809AB5" w14:textId="3EA9AD2C" w:rsidR="00AE76B1" w:rsidRDefault="00AE76B1" w:rsidP="00AE76B1">
      <w:pPr>
        <w:spacing w:after="0" w:line="276" w:lineRule="auto"/>
        <w:jc w:val="right"/>
        <w:rPr>
          <w:rFonts w:ascii="Arial" w:hAnsi="Arial" w:cs="Arial"/>
          <w:lang w:val="es-MX"/>
        </w:rPr>
      </w:pPr>
      <w:r>
        <w:rPr>
          <w:rFonts w:ascii="Arial" w:hAnsi="Arial" w:cs="Arial"/>
          <w:noProof/>
          <w:lang w:val="es-MX"/>
        </w:rPr>
        <w:drawing>
          <wp:inline distT="0" distB="0" distL="0" distR="0" wp14:anchorId="0E655445" wp14:editId="2670EB5B">
            <wp:extent cx="3365736" cy="829258"/>
            <wp:effectExtent l="0" t="0" r="6350" b="9525"/>
            <wp:docPr id="112684240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42403"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386848" cy="834460"/>
                    </a:xfrm>
                    <a:prstGeom prst="rect">
                      <a:avLst/>
                    </a:prstGeom>
                  </pic:spPr>
                </pic:pic>
              </a:graphicData>
            </a:graphic>
          </wp:inline>
        </w:drawing>
      </w:r>
    </w:p>
    <w:p w14:paraId="25E619BB" w14:textId="3DBC8898" w:rsidR="00D86DDB" w:rsidRPr="00BD18A1" w:rsidRDefault="00D86DDB" w:rsidP="00D86DDB">
      <w:pPr>
        <w:spacing w:after="0" w:line="276" w:lineRule="auto"/>
        <w:rPr>
          <w:rFonts w:ascii="Arial" w:hAnsi="Arial" w:cs="Arial"/>
          <w:lang w:val="es-MX"/>
        </w:rPr>
      </w:pPr>
      <w:r w:rsidRPr="00BD18A1">
        <w:rPr>
          <w:rFonts w:ascii="Arial" w:hAnsi="Arial" w:cs="Arial"/>
          <w:lang w:val="es-MX"/>
        </w:rPr>
        <w:t>Señor</w:t>
      </w:r>
      <w:r w:rsidR="00927094" w:rsidRPr="00BD18A1">
        <w:rPr>
          <w:rFonts w:ascii="Arial" w:hAnsi="Arial" w:cs="Arial"/>
          <w:lang w:val="es-MX"/>
        </w:rPr>
        <w:t>a:</w:t>
      </w:r>
    </w:p>
    <w:p w14:paraId="0775D6CE" w14:textId="54662EF3" w:rsidR="00D86DDB" w:rsidRPr="00BD18A1" w:rsidRDefault="00927094" w:rsidP="00D86DDB">
      <w:pPr>
        <w:spacing w:after="0" w:line="276" w:lineRule="auto"/>
        <w:rPr>
          <w:rFonts w:ascii="Arial" w:hAnsi="Arial" w:cs="Arial"/>
          <w:b/>
          <w:bCs/>
          <w:lang w:val="es-MX"/>
        </w:rPr>
      </w:pPr>
      <w:r w:rsidRPr="00BD18A1">
        <w:rPr>
          <w:rFonts w:ascii="Arial" w:hAnsi="Arial" w:cs="Arial"/>
          <w:b/>
          <w:bCs/>
          <w:lang w:val="es-MX"/>
        </w:rPr>
        <w:t xml:space="preserve">Yina </w:t>
      </w:r>
      <w:bookmarkStart w:id="1" w:name="_Hlk136520951"/>
      <w:r w:rsidRPr="00BD18A1">
        <w:rPr>
          <w:rFonts w:ascii="Arial" w:hAnsi="Arial" w:cs="Arial"/>
          <w:b/>
          <w:bCs/>
          <w:lang w:val="es-MX"/>
        </w:rPr>
        <w:t>Cárdenas Baravo</w:t>
      </w:r>
      <w:bookmarkEnd w:id="1"/>
    </w:p>
    <w:p w14:paraId="4EBE5555" w14:textId="5EF3CB09" w:rsidR="00D86DDB" w:rsidRPr="00BD18A1" w:rsidRDefault="00927094" w:rsidP="00D86DDB">
      <w:pPr>
        <w:spacing w:after="0" w:line="276" w:lineRule="auto"/>
        <w:rPr>
          <w:rFonts w:ascii="Arial" w:hAnsi="Arial" w:cs="Arial"/>
          <w:lang w:val="es-MX"/>
        </w:rPr>
      </w:pPr>
      <w:r w:rsidRPr="00BD18A1">
        <w:rPr>
          <w:rFonts w:ascii="Arial" w:hAnsi="Arial" w:cs="Arial"/>
          <w:lang w:val="es-MX"/>
        </w:rPr>
        <w:t>Bogotá D.C.</w:t>
      </w:r>
    </w:p>
    <w:p w14:paraId="76DC7611" w14:textId="77777777" w:rsidR="00D86DDB" w:rsidRPr="00BD18A1" w:rsidRDefault="00D86DDB" w:rsidP="00D86DDB">
      <w:pPr>
        <w:spacing w:after="0" w:line="276" w:lineRule="auto"/>
        <w:rPr>
          <w:rFonts w:ascii="Arial" w:hAnsi="Arial" w:cs="Arial"/>
          <w:lang w:val="es-MX"/>
        </w:rPr>
      </w:pPr>
    </w:p>
    <w:p w14:paraId="02AA625D" w14:textId="77C62051" w:rsidR="00D86DDB" w:rsidRPr="00BD18A1" w:rsidRDefault="00D86DDB" w:rsidP="00D86DDB">
      <w:pPr>
        <w:spacing w:after="0" w:line="276" w:lineRule="auto"/>
        <w:ind w:left="2832"/>
        <w:rPr>
          <w:rFonts w:ascii="Arial" w:eastAsia="Calibri" w:hAnsi="Arial" w:cs="Arial"/>
          <w:b/>
          <w:bCs/>
          <w:lang w:val="es-ES"/>
        </w:rPr>
      </w:pPr>
      <w:r w:rsidRPr="00BD18A1">
        <w:rPr>
          <w:rFonts w:ascii="Arial" w:eastAsia="Calibri" w:hAnsi="Arial" w:cs="Arial"/>
          <w:b/>
          <w:bCs/>
          <w:lang w:val="es-ES"/>
        </w:rPr>
        <w:t>Concepto C</w:t>
      </w:r>
      <w:r w:rsidR="00295324" w:rsidRPr="00BD18A1">
        <w:rPr>
          <w:rFonts w:ascii="Arial" w:eastAsia="Calibri" w:hAnsi="Arial" w:cs="Arial"/>
          <w:b/>
          <w:bCs/>
          <w:lang w:val="es-ES"/>
        </w:rPr>
        <w:t xml:space="preserve">-153 </w:t>
      </w:r>
      <w:r w:rsidRPr="00BD18A1">
        <w:rPr>
          <w:rFonts w:ascii="Arial" w:eastAsia="Calibri" w:hAnsi="Arial" w:cs="Arial"/>
          <w:b/>
          <w:bCs/>
          <w:lang w:val="es-ES"/>
        </w:rPr>
        <w:t>del 2023</w:t>
      </w:r>
    </w:p>
    <w:p w14:paraId="5D8C4ABF" w14:textId="77777777" w:rsidR="00D86DDB" w:rsidRPr="00BD18A1" w:rsidRDefault="00D86DDB" w:rsidP="00D86DDB">
      <w:pPr>
        <w:spacing w:after="0" w:line="276" w:lineRule="auto"/>
        <w:jc w:val="both"/>
        <w:rPr>
          <w:rFonts w:ascii="Arial" w:eastAsia="Calibri" w:hAnsi="Arial" w:cs="Arial"/>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D86DDB" w:rsidRPr="00BD18A1" w14:paraId="311AA2B4" w14:textId="77777777" w:rsidTr="00EC17B1">
        <w:trPr>
          <w:jc w:val="right"/>
        </w:trPr>
        <w:tc>
          <w:tcPr>
            <w:tcW w:w="1838" w:type="dxa"/>
          </w:tcPr>
          <w:p w14:paraId="6A1C6DBC" w14:textId="77777777" w:rsidR="00D86DDB" w:rsidRPr="00BD18A1" w:rsidRDefault="00D86DDB" w:rsidP="00EC17B1">
            <w:pPr>
              <w:spacing w:line="276" w:lineRule="auto"/>
              <w:jc w:val="center"/>
              <w:rPr>
                <w:rFonts w:ascii="Arial" w:eastAsia="Calibri" w:hAnsi="Arial" w:cs="Arial"/>
                <w:lang w:val="es-ES_tradnl"/>
              </w:rPr>
            </w:pPr>
            <w:r w:rsidRPr="00BD18A1">
              <w:rPr>
                <w:rFonts w:ascii="Arial" w:eastAsia="Calibri" w:hAnsi="Arial" w:cs="Arial"/>
                <w:b/>
                <w:lang w:val="es-ES_tradnl"/>
              </w:rPr>
              <w:t>Temas:</w:t>
            </w:r>
          </w:p>
        </w:tc>
        <w:tc>
          <w:tcPr>
            <w:tcW w:w="6237" w:type="dxa"/>
          </w:tcPr>
          <w:p w14:paraId="5FAAA8CD" w14:textId="10F7D605" w:rsidR="00D86DDB" w:rsidRPr="00BD18A1" w:rsidRDefault="00E54ED9" w:rsidP="00EC17B1">
            <w:pPr>
              <w:spacing w:line="276" w:lineRule="auto"/>
              <w:jc w:val="both"/>
              <w:rPr>
                <w:rFonts w:ascii="Arial" w:hAnsi="Arial" w:cs="Arial"/>
                <w:lang w:val="es-ES"/>
              </w:rPr>
            </w:pPr>
            <w:r w:rsidRPr="00BD18A1">
              <w:rPr>
                <w:rFonts w:ascii="Arial" w:eastAsia="Calibri" w:hAnsi="Arial" w:cs="Arial"/>
                <w:color w:val="000000" w:themeColor="text1"/>
                <w:lang w:val="es-ES" w:eastAsia="es-CO"/>
              </w:rPr>
              <w:t xml:space="preserve">PERSONAS EN CONDICIÓN DE DISCAPACIDAD – Decreto 392 de 2018 – Desarrollo normativo/ </w:t>
            </w:r>
            <w:r w:rsidRPr="00BD18A1">
              <w:rPr>
                <w:rFonts w:ascii="Arial" w:eastAsia="Times New Roman" w:hAnsi="Arial" w:cs="Arial"/>
                <w:color w:val="000000"/>
                <w:shd w:val="clear" w:color="auto" w:fill="FFFFFF"/>
                <w:lang w:val="es-MX" w:eastAsia="es-MX"/>
              </w:rPr>
              <w:t>PERSONAS EN CONDICIÓN DE DISCAPACIDAD – Puntaje adicional – Fundamento normativo/</w:t>
            </w:r>
            <w:r w:rsidR="00B55D24" w:rsidRPr="00BD18A1">
              <w:rPr>
                <w:rFonts w:ascii="Arial" w:eastAsia="Times New Roman" w:hAnsi="Arial" w:cs="Arial"/>
                <w:bCs/>
                <w:shd w:val="clear" w:color="auto" w:fill="FFFFFF"/>
              </w:rPr>
              <w:t xml:space="preserve"> </w:t>
            </w:r>
            <w:r w:rsidR="00530EF2" w:rsidRPr="00BD18A1">
              <w:rPr>
                <w:rFonts w:ascii="Arial" w:hAnsi="Arial" w:cs="Arial"/>
                <w:lang w:eastAsia="es-CO"/>
              </w:rPr>
              <w:t xml:space="preserve">INCENTIVO CONTRACTUAL – Licitación pública – Ley 1920 de 2018 – Artículo 6 – </w:t>
            </w:r>
            <w:r w:rsidR="00530EF2" w:rsidRPr="00BD18A1">
              <w:rPr>
                <w:rFonts w:ascii="Arial" w:eastAsia="Calibri" w:hAnsi="Arial" w:cs="Arial"/>
                <w:lang w:val="es-ES_tradnl"/>
              </w:rPr>
              <w:t>Empresas de vigilancia y seguridad privada y/o las cooperativas especializadas de vigilancia y de seguridad privada</w:t>
            </w:r>
            <w:r w:rsidR="00530EF2" w:rsidRPr="00BD18A1">
              <w:rPr>
                <w:rFonts w:ascii="Arial" w:hAnsi="Arial" w:cs="Arial"/>
                <w:lang w:eastAsia="es-CO"/>
              </w:rPr>
              <w:t xml:space="preserve"> / DECRETO 1279 DE 2021 – Objeto – Reglamentación de incentivo contractual – Vigencia – </w:t>
            </w:r>
            <w:r w:rsidR="00530EF2" w:rsidRPr="00BD18A1">
              <w:rPr>
                <w:rFonts w:ascii="Arial" w:eastAsia="Calibri" w:hAnsi="Arial" w:cs="Arial"/>
                <w:lang w:val="es-ES_tradnl"/>
              </w:rPr>
              <w:t xml:space="preserve">Mujeres </w:t>
            </w:r>
            <w:r w:rsidR="00530EF2" w:rsidRPr="00BD18A1">
              <w:rPr>
                <w:rFonts w:ascii="Arial" w:hAnsi="Arial" w:cs="Arial"/>
                <w:lang w:eastAsia="es-CO"/>
              </w:rPr>
              <w:t>–</w:t>
            </w:r>
            <w:r w:rsidR="00530EF2" w:rsidRPr="00BD18A1">
              <w:rPr>
                <w:rFonts w:ascii="Arial" w:eastAsia="Calibri" w:hAnsi="Arial" w:cs="Arial"/>
                <w:lang w:val="es-ES_tradnl"/>
              </w:rPr>
              <w:t xml:space="preserve"> Personas con discapacidad.</w:t>
            </w:r>
          </w:p>
        </w:tc>
      </w:tr>
      <w:tr w:rsidR="00D86DDB" w:rsidRPr="00BD18A1" w14:paraId="7593D5DF" w14:textId="77777777" w:rsidTr="00EC17B1">
        <w:trPr>
          <w:jc w:val="right"/>
        </w:trPr>
        <w:tc>
          <w:tcPr>
            <w:tcW w:w="1838" w:type="dxa"/>
          </w:tcPr>
          <w:p w14:paraId="052FA610" w14:textId="77777777" w:rsidR="005618E1" w:rsidRDefault="005618E1" w:rsidP="00EC17B1">
            <w:pPr>
              <w:spacing w:line="276" w:lineRule="auto"/>
              <w:jc w:val="center"/>
              <w:rPr>
                <w:rFonts w:ascii="Arial" w:eastAsia="Calibri" w:hAnsi="Arial" w:cs="Arial"/>
                <w:b/>
                <w:lang w:val="es-ES"/>
              </w:rPr>
            </w:pPr>
          </w:p>
          <w:p w14:paraId="65E0B23F" w14:textId="2B0BF7D6" w:rsidR="00D86DDB" w:rsidRPr="00BD18A1" w:rsidRDefault="00D86DDB" w:rsidP="00EC17B1">
            <w:pPr>
              <w:spacing w:line="276" w:lineRule="auto"/>
              <w:jc w:val="center"/>
              <w:rPr>
                <w:rFonts w:ascii="Arial" w:eastAsia="Calibri" w:hAnsi="Arial" w:cs="Arial"/>
                <w:b/>
                <w:lang w:val="es-ES"/>
              </w:rPr>
            </w:pPr>
            <w:r w:rsidRPr="00BD18A1">
              <w:rPr>
                <w:rFonts w:ascii="Arial" w:eastAsia="Calibri" w:hAnsi="Arial" w:cs="Arial"/>
                <w:b/>
                <w:lang w:val="es-ES"/>
              </w:rPr>
              <w:t>Radicación:</w:t>
            </w:r>
          </w:p>
        </w:tc>
        <w:tc>
          <w:tcPr>
            <w:tcW w:w="6237" w:type="dxa"/>
          </w:tcPr>
          <w:p w14:paraId="3E42EF92" w14:textId="77777777" w:rsidR="005618E1" w:rsidRDefault="005618E1" w:rsidP="00EC17B1">
            <w:pPr>
              <w:spacing w:line="276" w:lineRule="auto"/>
              <w:jc w:val="both"/>
              <w:rPr>
                <w:rFonts w:ascii="Arial" w:eastAsia="Calibri" w:hAnsi="Arial" w:cs="Arial"/>
                <w:lang w:val="es-ES"/>
              </w:rPr>
            </w:pPr>
          </w:p>
          <w:p w14:paraId="78231970" w14:textId="17FF7547" w:rsidR="00D86DDB" w:rsidRPr="00BD18A1" w:rsidRDefault="00D86DDB" w:rsidP="00EC17B1">
            <w:pPr>
              <w:spacing w:line="276" w:lineRule="auto"/>
              <w:jc w:val="both"/>
              <w:rPr>
                <w:rFonts w:ascii="Arial" w:eastAsia="Calibri" w:hAnsi="Arial" w:cs="Arial"/>
                <w:lang w:val="es-ES"/>
              </w:rPr>
            </w:pPr>
            <w:r w:rsidRPr="00BD18A1">
              <w:rPr>
                <w:rFonts w:ascii="Arial" w:eastAsia="Calibri" w:hAnsi="Arial" w:cs="Arial"/>
                <w:lang w:val="es-ES"/>
              </w:rPr>
              <w:t xml:space="preserve">Respuesta a consulta </w:t>
            </w:r>
            <w:r w:rsidR="00FA16C5" w:rsidRPr="00BD18A1">
              <w:rPr>
                <w:rFonts w:ascii="Arial" w:eastAsia="Calibri" w:hAnsi="Arial" w:cs="Arial"/>
                <w:lang w:val="es-ES"/>
              </w:rPr>
              <w:t>P20230419003461.</w:t>
            </w:r>
          </w:p>
        </w:tc>
      </w:tr>
    </w:tbl>
    <w:p w14:paraId="4380B357" w14:textId="77777777" w:rsidR="00D86DDB" w:rsidRPr="00BD18A1" w:rsidRDefault="00D86DDB" w:rsidP="00D86DDB">
      <w:pPr>
        <w:spacing w:after="0" w:line="276" w:lineRule="auto"/>
        <w:rPr>
          <w:rFonts w:ascii="Arial" w:hAnsi="Arial" w:cs="Arial"/>
          <w:lang w:val="es-MX"/>
        </w:rPr>
      </w:pPr>
    </w:p>
    <w:p w14:paraId="3B6CD6AA" w14:textId="77777777" w:rsidR="00D86DDB" w:rsidRPr="00BD18A1" w:rsidRDefault="00D86DDB" w:rsidP="00D86DDB">
      <w:pPr>
        <w:spacing w:after="0" w:line="276" w:lineRule="auto"/>
        <w:jc w:val="both"/>
        <w:rPr>
          <w:rFonts w:ascii="Arial" w:eastAsia="Calibri" w:hAnsi="Arial" w:cs="Arial"/>
          <w:lang w:val="es-ES_tradnl"/>
        </w:rPr>
      </w:pPr>
    </w:p>
    <w:p w14:paraId="59740B3A" w14:textId="2E0457EB" w:rsidR="00D86DDB" w:rsidRPr="00BD18A1" w:rsidRDefault="00D86DDB" w:rsidP="00D86DDB">
      <w:pPr>
        <w:spacing w:after="0" w:line="276" w:lineRule="auto"/>
        <w:jc w:val="both"/>
        <w:rPr>
          <w:rFonts w:ascii="Arial" w:eastAsia="Calibri" w:hAnsi="Arial" w:cs="Arial"/>
          <w:bCs/>
          <w:lang w:val="es-ES_tradnl"/>
        </w:rPr>
      </w:pPr>
      <w:r w:rsidRPr="00BD18A1">
        <w:rPr>
          <w:rFonts w:ascii="Arial" w:eastAsia="Calibri" w:hAnsi="Arial" w:cs="Arial"/>
          <w:lang w:val="es-ES_tradnl"/>
        </w:rPr>
        <w:t>Estimad</w:t>
      </w:r>
      <w:r w:rsidR="00927094" w:rsidRPr="00BD18A1">
        <w:rPr>
          <w:rFonts w:ascii="Arial" w:eastAsia="Calibri" w:hAnsi="Arial" w:cs="Arial"/>
          <w:lang w:val="es-ES_tradnl"/>
        </w:rPr>
        <w:t xml:space="preserve">a </w:t>
      </w:r>
      <w:r w:rsidRPr="00BD18A1">
        <w:rPr>
          <w:rFonts w:ascii="Arial" w:eastAsia="Calibri" w:hAnsi="Arial" w:cs="Arial"/>
          <w:lang w:val="es-ES_tradnl"/>
        </w:rPr>
        <w:t>señor</w:t>
      </w:r>
      <w:r w:rsidR="00927094" w:rsidRPr="00BD18A1">
        <w:rPr>
          <w:rFonts w:ascii="Arial" w:eastAsia="Calibri" w:hAnsi="Arial" w:cs="Arial"/>
          <w:lang w:val="es-ES_tradnl"/>
        </w:rPr>
        <w:t>a</w:t>
      </w:r>
      <w:r w:rsidRPr="00BD18A1">
        <w:rPr>
          <w:rFonts w:ascii="Arial" w:eastAsia="Calibri" w:hAnsi="Arial" w:cs="Arial"/>
          <w:lang w:val="es-ES_tradnl"/>
        </w:rPr>
        <w:t xml:space="preserve"> </w:t>
      </w:r>
      <w:r w:rsidR="00927094" w:rsidRPr="00BD18A1">
        <w:rPr>
          <w:rFonts w:ascii="Arial" w:hAnsi="Arial" w:cs="Arial"/>
          <w:lang w:val="es-MX"/>
        </w:rPr>
        <w:t>Cárdenas Baravo</w:t>
      </w:r>
      <w:r w:rsidRPr="00BD18A1">
        <w:rPr>
          <w:rFonts w:ascii="Arial" w:eastAsia="Calibri" w:hAnsi="Arial" w:cs="Arial"/>
          <w:bCs/>
          <w:lang w:val="es-ES_tradnl"/>
        </w:rPr>
        <w:t>:</w:t>
      </w:r>
    </w:p>
    <w:p w14:paraId="53DF973F" w14:textId="77777777" w:rsidR="00D86DDB" w:rsidRPr="00BD18A1" w:rsidRDefault="00D86DDB" w:rsidP="00D86DDB">
      <w:pPr>
        <w:spacing w:after="0" w:line="276" w:lineRule="auto"/>
        <w:jc w:val="both"/>
        <w:rPr>
          <w:rFonts w:ascii="Arial" w:eastAsia="Calibri" w:hAnsi="Arial" w:cs="Arial"/>
          <w:bCs/>
          <w:lang w:val="es-ES_tradnl"/>
        </w:rPr>
      </w:pPr>
    </w:p>
    <w:p w14:paraId="43BA2A4C" w14:textId="4F5E5EAC" w:rsidR="00D86DDB" w:rsidRPr="00BD18A1" w:rsidRDefault="00D86DDB" w:rsidP="00D86DDB">
      <w:pPr>
        <w:spacing w:after="0" w:line="276" w:lineRule="auto"/>
        <w:jc w:val="both"/>
        <w:rPr>
          <w:rFonts w:ascii="Arial" w:eastAsia="Calibri" w:hAnsi="Arial" w:cs="Arial"/>
          <w:lang w:val="es-ES"/>
        </w:rPr>
      </w:pPr>
      <w:r w:rsidRPr="00BD18A1">
        <w:rPr>
          <w:rFonts w:ascii="Arial" w:eastAsia="Calibri" w:hAnsi="Arial"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10643B" w:rsidRPr="00BD18A1">
        <w:rPr>
          <w:rFonts w:ascii="Arial" w:eastAsia="Calibri" w:hAnsi="Arial" w:cs="Arial"/>
          <w:lang w:val="es-ES"/>
        </w:rPr>
        <w:t>19 de abril del 2023.</w:t>
      </w:r>
    </w:p>
    <w:p w14:paraId="57F57A5A" w14:textId="77777777" w:rsidR="00D86DDB" w:rsidRPr="00BD18A1" w:rsidRDefault="00D86DDB" w:rsidP="00D86DDB">
      <w:pPr>
        <w:spacing w:after="0" w:line="276" w:lineRule="auto"/>
        <w:jc w:val="both"/>
        <w:rPr>
          <w:rFonts w:ascii="Arial" w:eastAsia="Calibri" w:hAnsi="Arial" w:cs="Arial"/>
          <w:lang w:val="es-ES"/>
        </w:rPr>
      </w:pPr>
    </w:p>
    <w:p w14:paraId="7F63B93D" w14:textId="77777777" w:rsidR="00D86DDB" w:rsidRPr="00BD18A1" w:rsidRDefault="00D86DDB" w:rsidP="00D86DDB">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lang w:val="es-ES_tradnl"/>
        </w:rPr>
      </w:pPr>
      <w:r w:rsidRPr="00BD18A1">
        <w:rPr>
          <w:rFonts w:ascii="Arial" w:eastAsia="Calibri" w:hAnsi="Arial" w:cs="Arial"/>
          <w:b/>
          <w:lang w:val="es-ES_tradnl"/>
        </w:rPr>
        <w:t xml:space="preserve">Problema planteado </w:t>
      </w:r>
    </w:p>
    <w:p w14:paraId="2FC6649A" w14:textId="77777777" w:rsidR="00D86DDB" w:rsidRPr="00BD18A1" w:rsidRDefault="00D86DDB" w:rsidP="00D86DDB">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690E4322" w14:textId="532D4D45" w:rsidR="00D86DDB" w:rsidRPr="00BD18A1" w:rsidRDefault="00D86DDB" w:rsidP="00D86DDB">
      <w:pPr>
        <w:spacing w:after="0" w:line="276" w:lineRule="auto"/>
        <w:jc w:val="both"/>
        <w:rPr>
          <w:rFonts w:ascii="Arial" w:hAnsi="Arial" w:cs="Arial"/>
          <w:lang w:val="es-ES_tradnl"/>
        </w:rPr>
      </w:pPr>
      <w:r w:rsidRPr="00BD18A1">
        <w:rPr>
          <w:rFonts w:ascii="Arial" w:hAnsi="Arial" w:cs="Arial"/>
          <w:lang w:val="es-ES_tradnl"/>
        </w:rPr>
        <w:t xml:space="preserve">Respecto </w:t>
      </w:r>
      <w:r w:rsidR="00EF4E56" w:rsidRPr="00BD18A1">
        <w:rPr>
          <w:rFonts w:ascii="Arial" w:hAnsi="Arial" w:cs="Arial"/>
          <w:lang w:val="es-ES_tradnl"/>
        </w:rPr>
        <w:t xml:space="preserve">al porcentaje adicional </w:t>
      </w:r>
      <w:r w:rsidR="00B5078B" w:rsidRPr="00BD18A1">
        <w:rPr>
          <w:rFonts w:ascii="Arial" w:hAnsi="Arial" w:cs="Arial"/>
          <w:lang w:val="es-ES_tradnl"/>
        </w:rPr>
        <w:t>con relación a</w:t>
      </w:r>
      <w:r w:rsidR="00A85BF6" w:rsidRPr="00BD18A1">
        <w:rPr>
          <w:rFonts w:ascii="Arial" w:hAnsi="Arial" w:cs="Arial"/>
          <w:lang w:val="es-ES_tradnl"/>
        </w:rPr>
        <w:t xml:space="preserve"> las</w:t>
      </w:r>
      <w:r w:rsidR="00EF4E56" w:rsidRPr="00BD18A1">
        <w:rPr>
          <w:rFonts w:ascii="Arial" w:hAnsi="Arial" w:cs="Arial"/>
          <w:lang w:val="es-ES_tradnl"/>
        </w:rPr>
        <w:t xml:space="preserve"> personas </w:t>
      </w:r>
      <w:r w:rsidR="002919BC" w:rsidRPr="00BD18A1">
        <w:rPr>
          <w:rFonts w:ascii="Arial" w:hAnsi="Arial" w:cs="Arial"/>
          <w:lang w:val="es-ES_tradnl"/>
        </w:rPr>
        <w:t xml:space="preserve">en estado de discapacidad, </w:t>
      </w:r>
      <w:r w:rsidR="00EF4E56" w:rsidRPr="00BD18A1">
        <w:rPr>
          <w:rFonts w:ascii="Arial" w:hAnsi="Arial" w:cs="Arial"/>
          <w:lang w:val="es-ES_tradnl"/>
        </w:rPr>
        <w:t xml:space="preserve">establecido en los artículos número </w:t>
      </w:r>
      <w:r w:rsidR="00801CDB" w:rsidRPr="00BD18A1">
        <w:rPr>
          <w:rFonts w:ascii="Arial" w:hAnsi="Arial" w:cs="Arial"/>
          <w:lang w:val="es-ES_tradnl"/>
        </w:rPr>
        <w:t xml:space="preserve">2.2.1.2.4.2.6 y </w:t>
      </w:r>
      <w:r w:rsidR="008931FC" w:rsidRPr="00BD18A1">
        <w:rPr>
          <w:rFonts w:ascii="Arial" w:hAnsi="Arial" w:cs="Arial"/>
          <w:lang w:val="es-ES_tradnl"/>
        </w:rPr>
        <w:t>2.2.1.2.4.2.10 del Decreto 1082 de 2015</w:t>
      </w:r>
      <w:r w:rsidRPr="00BD18A1">
        <w:rPr>
          <w:rFonts w:ascii="Arial" w:hAnsi="Arial" w:cs="Arial"/>
          <w:lang w:val="es-ES_tradnl"/>
        </w:rPr>
        <w:t xml:space="preserve">, usted realiza la siguiente consulta: </w:t>
      </w:r>
    </w:p>
    <w:p w14:paraId="63324B5D" w14:textId="77777777" w:rsidR="00D86DDB" w:rsidRPr="00BD18A1" w:rsidRDefault="00D86DDB" w:rsidP="00D86DDB">
      <w:pPr>
        <w:spacing w:after="0" w:line="240" w:lineRule="auto"/>
        <w:ind w:right="709"/>
        <w:jc w:val="both"/>
        <w:rPr>
          <w:rFonts w:ascii="Arial" w:hAnsi="Arial" w:cs="Arial"/>
          <w:sz w:val="21"/>
          <w:szCs w:val="21"/>
          <w:lang w:val="es-ES_tradnl"/>
        </w:rPr>
      </w:pPr>
    </w:p>
    <w:p w14:paraId="0E5F0771" w14:textId="0D6398EF" w:rsidR="00D86DDB" w:rsidRPr="00BD18A1" w:rsidRDefault="00D86DDB" w:rsidP="00322740">
      <w:pPr>
        <w:spacing w:after="0" w:line="240" w:lineRule="auto"/>
        <w:ind w:left="708" w:right="709"/>
        <w:jc w:val="both"/>
        <w:rPr>
          <w:rFonts w:ascii="Arial" w:hAnsi="Arial" w:cs="Arial"/>
          <w:sz w:val="21"/>
          <w:szCs w:val="21"/>
          <w:lang w:val="es-ES_tradnl"/>
        </w:rPr>
      </w:pPr>
      <w:r w:rsidRPr="00BD18A1">
        <w:rPr>
          <w:rFonts w:ascii="Arial" w:hAnsi="Arial" w:cs="Arial"/>
          <w:sz w:val="21"/>
          <w:szCs w:val="21"/>
          <w:lang w:val="es-ES_tradnl"/>
        </w:rPr>
        <w:lastRenderedPageBreak/>
        <w:t>“</w:t>
      </w:r>
      <w:r w:rsidR="00322740" w:rsidRPr="00BD18A1">
        <w:rPr>
          <w:rFonts w:ascii="Arial" w:hAnsi="Arial" w:cs="Arial"/>
          <w:sz w:val="21"/>
          <w:szCs w:val="21"/>
          <w:lang w:val="es-ES_tradnl"/>
        </w:rPr>
        <w:t>La consulta está dirigida a determinar para un proceso específico de prestación del servicio de vigilancia se deben otorgar los 2 puntajes establecidos en los 2 artículos, o solo se debe aplicar el contenido en el ARTÍCULO 2.2.1.2.4.2.10. que hace referencia especialmente al proceso de vigilancia</w:t>
      </w:r>
      <w:r w:rsidRPr="00BD18A1">
        <w:rPr>
          <w:rFonts w:ascii="Arial" w:hAnsi="Arial" w:cs="Arial"/>
          <w:sz w:val="21"/>
          <w:szCs w:val="21"/>
          <w:lang w:val="es-ES_tradnl"/>
        </w:rPr>
        <w:t>.”</w:t>
      </w:r>
    </w:p>
    <w:p w14:paraId="6EAD2C66" w14:textId="77777777" w:rsidR="00D86DDB" w:rsidRPr="00BD18A1" w:rsidRDefault="00D86DDB" w:rsidP="00D86DDB">
      <w:pPr>
        <w:spacing w:after="0" w:line="240" w:lineRule="auto"/>
        <w:ind w:left="708" w:right="709"/>
        <w:jc w:val="both"/>
        <w:rPr>
          <w:rFonts w:ascii="Arial" w:hAnsi="Arial" w:cs="Arial"/>
          <w:sz w:val="21"/>
          <w:szCs w:val="21"/>
        </w:rPr>
      </w:pPr>
    </w:p>
    <w:p w14:paraId="048D47A9" w14:textId="77777777" w:rsidR="00D86DDB" w:rsidRPr="00BD18A1" w:rsidRDefault="00D86DDB" w:rsidP="00D86DDB">
      <w:pPr>
        <w:pStyle w:val="Prrafodelista"/>
        <w:numPr>
          <w:ilvl w:val="0"/>
          <w:numId w:val="4"/>
        </w:numPr>
        <w:tabs>
          <w:tab w:val="left" w:pos="0"/>
          <w:tab w:val="left" w:pos="284"/>
        </w:tabs>
        <w:spacing w:after="0" w:line="276" w:lineRule="auto"/>
        <w:ind w:left="0" w:firstLine="0"/>
        <w:contextualSpacing w:val="0"/>
        <w:jc w:val="both"/>
        <w:rPr>
          <w:rFonts w:ascii="Arial" w:eastAsia="Calibri" w:hAnsi="Arial" w:cs="Arial"/>
          <w:b/>
          <w:lang w:val="es-ES_tradnl"/>
        </w:rPr>
      </w:pPr>
      <w:r w:rsidRPr="00BD18A1">
        <w:rPr>
          <w:rFonts w:ascii="Arial" w:eastAsia="Calibri" w:hAnsi="Arial" w:cs="Arial"/>
          <w:b/>
          <w:lang w:val="es-ES_tradnl"/>
        </w:rPr>
        <w:t>Consideraciones</w:t>
      </w:r>
    </w:p>
    <w:p w14:paraId="3B02C296" w14:textId="77777777" w:rsidR="00D86DDB" w:rsidRPr="00BD18A1" w:rsidRDefault="00D86DDB" w:rsidP="00D86DDB">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597F3B14" w14:textId="77777777" w:rsidR="00664A54" w:rsidRDefault="00D86DDB" w:rsidP="00D86DDB">
      <w:pPr>
        <w:spacing w:after="120" w:line="276" w:lineRule="auto"/>
        <w:jc w:val="both"/>
        <w:rPr>
          <w:rFonts w:ascii="Arial" w:hAnsi="Arial" w:cs="Arial"/>
          <w:lang w:val="es-ES"/>
        </w:rPr>
      </w:pPr>
      <w:r w:rsidRPr="00BD18A1">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BD18A1">
        <w:rPr>
          <w:rFonts w:ascii="Arial" w:hAnsi="Arial" w:cs="Arial"/>
        </w:rPr>
        <w:t xml:space="preserve">. </w:t>
      </w:r>
      <w:r w:rsidRPr="00BD18A1">
        <w:rPr>
          <w:rFonts w:ascii="Arial" w:hAnsi="Arial" w:cs="Arial"/>
          <w:lang w:val="es-ES"/>
        </w:rPr>
        <w:t xml:space="preserve">Es necesario tener en cuenta que </w:t>
      </w:r>
      <w:bookmarkStart w:id="4" w:name="_Hlk61026958"/>
      <w:r w:rsidRPr="00BD18A1">
        <w:rPr>
          <w:rFonts w:ascii="Arial" w:hAnsi="Arial" w:cs="Arial"/>
          <w:lang w:val="es-ES"/>
        </w:rPr>
        <w:t>esta entidad solo tiene competencia para responder solicitudes sobre la aplicación de normas de carácter general en materia de compras y contratación pública.</w:t>
      </w:r>
    </w:p>
    <w:p w14:paraId="73EFC410" w14:textId="3BC6EE95" w:rsidR="00D86DDB" w:rsidRPr="00BD18A1" w:rsidRDefault="00D86DDB" w:rsidP="002E70C3">
      <w:pPr>
        <w:spacing w:after="120" w:line="276" w:lineRule="auto"/>
        <w:ind w:firstLine="708"/>
        <w:jc w:val="both"/>
        <w:rPr>
          <w:rFonts w:ascii="Arial" w:hAnsi="Arial" w:cs="Arial"/>
          <w:lang w:val="es-ES"/>
        </w:rPr>
      </w:pPr>
      <w:r w:rsidRPr="00BD18A1">
        <w:rPr>
          <w:rFonts w:ascii="Arial" w:hAnsi="Arial" w:cs="Arial"/>
          <w:lang w:val="es-ES"/>
        </w:rPr>
        <w:t>En ese sentido, resolver casos particulares desborda las atribuciones asignadas por el legislador extraordinario, que no concibió a Colombia Compra Eficiente como una autoridad para solucionar problemas jurídicos particulares</w:t>
      </w:r>
      <w:r w:rsidRPr="00BD18A1">
        <w:rPr>
          <w:rFonts w:ascii="Arial" w:hAnsi="Arial" w:cs="Arial"/>
        </w:rPr>
        <w:t xml:space="preserve"> de todos los partícipes de la contratación estatal.</w:t>
      </w:r>
      <w:r w:rsidRPr="00BD18A1">
        <w:rPr>
          <w:rFonts w:ascii="Arial" w:hAnsi="Arial" w:cs="Arial"/>
          <w:lang w:val="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D18A1">
        <w:rPr>
          <w:rStyle w:val="Refdenotaalpie"/>
          <w:rFonts w:ascii="Arial" w:hAnsi="Arial" w:cs="Arial"/>
          <w:lang w:val="es-ES"/>
        </w:rPr>
        <w:footnoteReference w:id="2"/>
      </w:r>
      <w:r w:rsidRPr="00BD18A1">
        <w:rPr>
          <w:rFonts w:ascii="Arial" w:hAnsi="Arial" w:cs="Arial"/>
          <w:lang w:val="es-ES"/>
        </w:rPr>
        <w:t xml:space="preserve">. Esta competencia de interpretación de normas generales, por definición, no puede extenderse a la resolución de controversias, ni a brindar asesorías sobre casos puntuales. </w:t>
      </w:r>
      <w:bookmarkEnd w:id="4"/>
      <w:r w:rsidRPr="00BD18A1">
        <w:rPr>
          <w:rFonts w:ascii="Arial" w:hAnsi="Arial" w:cs="Arial"/>
          <w:lang w:val="es-ES"/>
        </w:rPr>
        <w:t xml:space="preserve"> </w:t>
      </w:r>
      <w:bookmarkEnd w:id="2"/>
      <w:bookmarkEnd w:id="3"/>
    </w:p>
    <w:p w14:paraId="50419645" w14:textId="4CE2DA85" w:rsidR="00D86DDB" w:rsidRPr="00BD18A1" w:rsidRDefault="00D86DDB" w:rsidP="00D16CB9">
      <w:pPr>
        <w:tabs>
          <w:tab w:val="left" w:pos="426"/>
        </w:tabs>
        <w:spacing w:after="120" w:line="276" w:lineRule="auto"/>
        <w:jc w:val="both"/>
        <w:rPr>
          <w:rFonts w:ascii="Arial" w:eastAsia="Calibri" w:hAnsi="Arial" w:cs="Arial"/>
          <w:bCs/>
          <w:color w:val="000000" w:themeColor="text1"/>
          <w:lang w:val="es-ES_tradnl" w:eastAsia="en-GB"/>
        </w:rPr>
      </w:pPr>
      <w:r w:rsidRPr="00BD18A1">
        <w:rPr>
          <w:rFonts w:ascii="Arial" w:hAnsi="Arial" w:cs="Arial"/>
        </w:rPr>
        <w:t xml:space="preserve">Conforme lo anterior, la Subdirección –dentro de los límites de sus atribuciones resolverá la consulta conforme a las normas generales en materia de contratación estatal. Con este objetivo se analizarán </w:t>
      </w:r>
      <w:r w:rsidRPr="00BD18A1">
        <w:rPr>
          <w:rFonts w:ascii="Arial" w:eastAsia="Calibri" w:hAnsi="Arial" w:cs="Arial"/>
          <w:lang w:val="es-ES"/>
        </w:rPr>
        <w:t>los siguientes temas</w:t>
      </w:r>
      <w:r w:rsidR="00D16CB9" w:rsidRPr="00BD18A1">
        <w:rPr>
          <w:rFonts w:ascii="Arial" w:eastAsia="Times New Roman" w:hAnsi="Arial" w:cs="Arial"/>
          <w:color w:val="000000" w:themeColor="text1"/>
          <w:lang w:val="es-MX" w:eastAsia="es-ES_tradnl"/>
        </w:rPr>
        <w:t xml:space="preserve">: i) </w:t>
      </w:r>
      <w:r w:rsidR="009A3278" w:rsidRPr="00BD18A1">
        <w:rPr>
          <w:rFonts w:ascii="Arial" w:eastAsia="Times New Roman" w:hAnsi="Arial" w:cs="Arial"/>
          <w:color w:val="000000" w:themeColor="text1"/>
          <w:lang w:val="es-MX" w:eastAsia="es-ES_tradnl"/>
        </w:rPr>
        <w:t xml:space="preserve">Desarrollo normativo de los incentivos en procesos de contratación estatal para favorecer a personas con discapacidad; ii) </w:t>
      </w:r>
      <w:r w:rsidR="00760198" w:rsidRPr="00BD18A1">
        <w:rPr>
          <w:rFonts w:ascii="Arial" w:eastAsia="Times New Roman" w:hAnsi="Arial" w:cs="Arial"/>
          <w:color w:val="000000" w:themeColor="text1"/>
          <w:lang w:val="es-MX" w:eastAsia="es-ES_tradnl"/>
        </w:rPr>
        <w:t xml:space="preserve">Acreditación para obtener el puntaje de vinculación de trabajadores con discapacidad; iii) </w:t>
      </w:r>
      <w:r w:rsidR="00AC26EC" w:rsidRPr="00BD18A1">
        <w:rPr>
          <w:rFonts w:ascii="Arial" w:eastAsia="Times New Roman" w:hAnsi="Arial" w:cs="Arial"/>
          <w:color w:val="000000" w:themeColor="text1"/>
          <w:lang w:val="es-MX" w:eastAsia="es-ES_tradnl"/>
        </w:rPr>
        <w:t xml:space="preserve">Vigencia y ámbito de aplicación de la Ley 1920 de 2018: impacto sobre la contratación estatal; iv) </w:t>
      </w:r>
      <w:r w:rsidR="00F351EB" w:rsidRPr="00BD18A1">
        <w:rPr>
          <w:rFonts w:ascii="Arial" w:eastAsia="Times New Roman" w:hAnsi="Arial" w:cs="Arial"/>
          <w:color w:val="000000" w:themeColor="text1"/>
          <w:lang w:val="es-MX" w:eastAsia="es-ES_tradnl"/>
        </w:rPr>
        <w:t xml:space="preserve">Decreto 1279 de 2021 como reglamento que permite utilizar el incentivo creado en el artículo 6 de la Ley 1920 de 2018 en la contratación estatal y v) </w:t>
      </w:r>
      <w:r w:rsidR="00CD27CE" w:rsidRPr="00BD18A1">
        <w:rPr>
          <w:rFonts w:ascii="Arial" w:eastAsia="Times New Roman" w:hAnsi="Arial" w:cs="Arial"/>
          <w:color w:val="000000" w:themeColor="text1"/>
          <w:lang w:val="es-MX" w:eastAsia="es-ES_tradnl"/>
        </w:rPr>
        <w:t>Criterios y condiciones para la acreditación de los incentivos dispuestos en el Decreto 1279 de 2021.</w:t>
      </w:r>
    </w:p>
    <w:p w14:paraId="70639100" w14:textId="44B60A0B" w:rsidR="001A48D0" w:rsidRPr="00BD18A1" w:rsidRDefault="00D86DDB" w:rsidP="00743C02">
      <w:pPr>
        <w:spacing w:after="0" w:line="276" w:lineRule="auto"/>
        <w:ind w:firstLine="708"/>
        <w:jc w:val="both"/>
        <w:rPr>
          <w:rFonts w:ascii="Arial" w:eastAsia="Times New Roman" w:hAnsi="Arial" w:cs="Arial"/>
          <w:color w:val="000000"/>
          <w:szCs w:val="24"/>
          <w:bdr w:val="none" w:sz="0" w:space="0" w:color="auto" w:frame="1"/>
          <w:lang w:val="es-MX" w:eastAsia="es-MX"/>
        </w:rPr>
      </w:pPr>
      <w:r w:rsidRPr="00BD18A1">
        <w:rPr>
          <w:rFonts w:ascii="Arial" w:hAnsi="Arial" w:cs="Arial"/>
          <w:lang w:val="es-ES"/>
        </w:rPr>
        <w:t xml:space="preserve">La Agencia Nacional de Contratación Pública − Colombia Compra Eficiente </w:t>
      </w:r>
      <w:r w:rsidR="00042418" w:rsidRPr="00BD18A1">
        <w:rPr>
          <w:rFonts w:ascii="Arial" w:eastAsia="Times New Roman" w:hAnsi="Arial" w:cs="Arial"/>
          <w:color w:val="000000"/>
          <w:szCs w:val="24"/>
          <w:bdr w:val="none" w:sz="0" w:space="0" w:color="auto" w:frame="1"/>
          <w:lang w:val="es-MX" w:eastAsia="es-MX"/>
        </w:rPr>
        <w:t>estudió los requisitos pa</w:t>
      </w:r>
      <w:r w:rsidR="00042418" w:rsidRPr="00BD18A1">
        <w:rPr>
          <w:rFonts w:ascii="Arial" w:hAnsi="Arial" w:cs="Arial"/>
          <w:color w:val="000000" w:themeColor="text1"/>
          <w:lang w:val="es-MX" w:eastAsia="es-CO"/>
        </w:rPr>
        <w:t xml:space="preserve">ra acreditar el personal en situación de discapacidad </w:t>
      </w:r>
      <w:r w:rsidR="00844499" w:rsidRPr="00BD18A1">
        <w:rPr>
          <w:rFonts w:ascii="Arial" w:hAnsi="Arial" w:cs="Arial"/>
          <w:color w:val="000000" w:themeColor="text1"/>
          <w:lang w:val="es-MX" w:eastAsia="es-CO"/>
        </w:rPr>
        <w:t xml:space="preserve">y </w:t>
      </w:r>
      <w:r w:rsidR="00FA528F" w:rsidRPr="00BD18A1">
        <w:rPr>
          <w:rFonts w:ascii="Arial" w:hAnsi="Arial" w:cs="Arial"/>
          <w:color w:val="000000" w:themeColor="text1"/>
          <w:lang w:val="es-MX" w:eastAsia="es-CO"/>
        </w:rPr>
        <w:t xml:space="preserve">la </w:t>
      </w:r>
      <w:r w:rsidR="00844499" w:rsidRPr="00BD18A1">
        <w:rPr>
          <w:rFonts w:ascii="Arial" w:eastAsia="Calibri" w:hAnsi="Arial" w:cs="Arial"/>
          <w:bCs/>
          <w:lang w:val="es-ES_tradnl"/>
        </w:rPr>
        <w:t xml:space="preserve">aplicación de incentivos </w:t>
      </w:r>
      <w:r w:rsidR="00844499" w:rsidRPr="00BD18A1">
        <w:rPr>
          <w:rFonts w:ascii="Arial" w:eastAsia="Calibri" w:hAnsi="Arial" w:cs="Arial"/>
          <w:bCs/>
          <w:lang w:val="es-ES_tradnl"/>
        </w:rPr>
        <w:lastRenderedPageBreak/>
        <w:t xml:space="preserve">contractuales </w:t>
      </w:r>
      <w:r w:rsidR="00042418" w:rsidRPr="00BD18A1">
        <w:rPr>
          <w:rFonts w:ascii="Arial" w:hAnsi="Arial" w:cs="Arial"/>
          <w:color w:val="000000" w:themeColor="text1"/>
          <w:lang w:val="es-MX" w:eastAsia="es-CO"/>
        </w:rPr>
        <w:t xml:space="preserve">en los conceptos </w:t>
      </w:r>
      <w:r w:rsidR="00C1312B" w:rsidRPr="008B1B15">
        <w:rPr>
          <w:rFonts w:ascii="Arial" w:eastAsia="Calibri" w:hAnsi="Arial" w:cs="Arial"/>
          <w:bCs/>
          <w:lang w:val="es-ES_tradnl"/>
        </w:rPr>
        <w:t xml:space="preserve">en los Conceptos C-377 de 9 de junio de 2020 y C-567 de 10 de septiembre de 2020 trató el tema de la aplicación de incentivos contractuales en la contratación estatal. Asimismo, en los conceptos C-602 del 7 de diciembre de 2021, C-240 del 27 de abril de 2022, C-308 del 20 de mayo 2022 </w:t>
      </w:r>
      <w:r w:rsidR="0063582E">
        <w:rPr>
          <w:rFonts w:ascii="Arial" w:eastAsia="Calibri" w:hAnsi="Arial" w:cs="Arial"/>
          <w:bCs/>
          <w:lang w:val="es-ES_tradnl"/>
        </w:rPr>
        <w:t xml:space="preserve">, </w:t>
      </w:r>
      <w:r w:rsidR="00C1312B" w:rsidRPr="008B1B15">
        <w:rPr>
          <w:rFonts w:ascii="Arial" w:eastAsia="Calibri" w:hAnsi="Arial" w:cs="Arial"/>
          <w:bCs/>
          <w:lang w:val="es-ES_tradnl"/>
        </w:rPr>
        <w:t>C-418 del 7 de julio de 2022</w:t>
      </w:r>
      <w:r w:rsidR="0063582E">
        <w:rPr>
          <w:rFonts w:ascii="Arial" w:eastAsia="Calibri" w:hAnsi="Arial" w:cs="Arial"/>
          <w:bCs/>
          <w:lang w:val="es-ES_tradnl"/>
        </w:rPr>
        <w:t xml:space="preserve"> y C-665 del 2022</w:t>
      </w:r>
      <w:r w:rsidR="00C1312B" w:rsidRPr="008B1B15">
        <w:rPr>
          <w:rFonts w:ascii="Arial" w:eastAsia="Calibri" w:hAnsi="Arial" w:cs="Arial"/>
          <w:bCs/>
          <w:lang w:val="es-ES_tradnl"/>
        </w:rPr>
        <w:t xml:space="preserve"> se analiza el alcance de la Ley 1920 de 2018 y del Decreto 1279 de 2021. En lo pertinente, las tesis desarrolladas en estos conceptos se reiteran a continuación y se complementa con algunas ideas relativas a la consulta realizada</w:t>
      </w:r>
      <w:r w:rsidR="002C791F" w:rsidRPr="00BD18A1">
        <w:rPr>
          <w:rFonts w:ascii="Arial" w:eastAsia="Times New Roman" w:hAnsi="Arial" w:cs="Arial"/>
          <w:color w:val="000000"/>
          <w:szCs w:val="24"/>
          <w:bdr w:val="none" w:sz="0" w:space="0" w:color="auto" w:frame="1"/>
          <w:lang w:val="es-MX" w:eastAsia="es-MX"/>
        </w:rPr>
        <w:t>.</w:t>
      </w:r>
      <w:r w:rsidR="002C791F" w:rsidRPr="00BD18A1">
        <w:rPr>
          <w:rFonts w:ascii="Arial" w:hAnsi="Arial" w:cs="Arial"/>
          <w:lang w:val="es-ES"/>
        </w:rPr>
        <w:t xml:space="preserve"> Las tesis desarrolladas en estos conceptos se reiteran a continuación.</w:t>
      </w:r>
    </w:p>
    <w:p w14:paraId="31D419DD" w14:textId="30F0F96B" w:rsidR="001A1011" w:rsidRPr="00BD18A1" w:rsidRDefault="001A1011" w:rsidP="006219F8">
      <w:pPr>
        <w:spacing w:after="0" w:line="240" w:lineRule="auto"/>
        <w:rPr>
          <w:rFonts w:ascii="Arial" w:hAnsi="Arial" w:cs="Arial"/>
          <w:b/>
          <w:color w:val="404040" w:themeColor="text1" w:themeTint="BF"/>
          <w:lang w:val="es-ES"/>
        </w:rPr>
      </w:pPr>
    </w:p>
    <w:p w14:paraId="42D1D2B2" w14:textId="77777777" w:rsidR="00F73C2E" w:rsidRPr="00BD18A1" w:rsidRDefault="00F73C2E" w:rsidP="00F73C2E">
      <w:pPr>
        <w:spacing w:after="0" w:line="276" w:lineRule="auto"/>
        <w:jc w:val="both"/>
        <w:rPr>
          <w:rFonts w:ascii="Arial" w:eastAsia="Calibri" w:hAnsi="Arial" w:cs="Arial"/>
          <w:lang w:val="es-ES_tradnl" w:eastAsia="es-CO"/>
        </w:rPr>
      </w:pPr>
      <w:r w:rsidRPr="00BD18A1">
        <w:rPr>
          <w:rFonts w:ascii="Arial" w:eastAsia="Arial" w:hAnsi="Arial" w:cs="Arial"/>
          <w:b/>
          <w:bCs/>
          <w:color w:val="000000"/>
          <w:lang w:val="es-ES_tradnl" w:eastAsia="es-CO"/>
        </w:rPr>
        <w:t xml:space="preserve">2.1. </w:t>
      </w:r>
      <w:r w:rsidRPr="00BD18A1">
        <w:rPr>
          <w:rFonts w:ascii="Arial" w:eastAsia="Calibri" w:hAnsi="Arial" w:cs="Arial"/>
          <w:b/>
          <w:color w:val="000000" w:themeColor="text1"/>
          <w:lang w:val="es-MX" w:eastAsia="en-GB"/>
        </w:rPr>
        <w:t>Desarrollo normativo de los incentivos en procesos de contratación estatal para favorecer a personas con discapacidad</w:t>
      </w:r>
      <w:r w:rsidRPr="00BD18A1">
        <w:rPr>
          <w:rFonts w:ascii="Arial" w:eastAsia="Calibri" w:hAnsi="Arial" w:cs="Arial"/>
          <w:b/>
          <w:color w:val="000000" w:themeColor="text1"/>
          <w:lang w:val="es-ES_tradnl" w:eastAsia="en-GB"/>
        </w:rPr>
        <w:t xml:space="preserve"> </w:t>
      </w:r>
    </w:p>
    <w:p w14:paraId="279D5850" w14:textId="5A51B1C1" w:rsidR="001A1011" w:rsidRPr="00BD18A1" w:rsidRDefault="001A1011" w:rsidP="006219F8">
      <w:pPr>
        <w:spacing w:after="0" w:line="240" w:lineRule="auto"/>
        <w:rPr>
          <w:rFonts w:ascii="Arial" w:hAnsi="Arial" w:cs="Arial"/>
          <w:b/>
          <w:color w:val="404040" w:themeColor="text1" w:themeTint="BF"/>
          <w:lang w:val="es-ES"/>
        </w:rPr>
      </w:pPr>
    </w:p>
    <w:p w14:paraId="2A94431C" w14:textId="77777777" w:rsidR="006F0958" w:rsidRPr="00BD18A1" w:rsidRDefault="006F0958" w:rsidP="006F0958">
      <w:pPr>
        <w:spacing w:after="0" w:line="276" w:lineRule="auto"/>
        <w:jc w:val="both"/>
        <w:rPr>
          <w:rFonts w:ascii="Arial" w:eastAsia="Times New Roman" w:hAnsi="Arial" w:cs="Arial"/>
          <w:color w:val="000000" w:themeColor="text1"/>
          <w:lang w:val="es-MX" w:eastAsia="es-ES_tradnl"/>
        </w:rPr>
      </w:pPr>
      <w:r w:rsidRPr="00BD18A1">
        <w:rPr>
          <w:rFonts w:ascii="Arial" w:eastAsia="Times New Roman" w:hAnsi="Arial" w:cs="Arial"/>
          <w:color w:val="000000" w:themeColor="text1"/>
          <w:lang w:val="es-MX" w:eastAsia="es-ES_tradnl"/>
        </w:rPr>
        <w:t xml:space="preserve">Con el propósito de hacer posible la igualdad real y efectiva de las personas en condición de discapacidad, el legislador expidió la Ley 1618 de 2013. Esta norma establece disposiciones para garantizar el pleno ejercicio de los derechos de las mencionadas personas, mediante la adopción de medidas de equidad y de acciones afirmativas que promuevan su inclusión en diferentes ámbitos de la economía y la sociedad. </w:t>
      </w:r>
    </w:p>
    <w:p w14:paraId="14DF5B5F" w14:textId="77777777" w:rsidR="006F0958" w:rsidRPr="00BD18A1" w:rsidRDefault="006F0958" w:rsidP="006F0958">
      <w:pPr>
        <w:spacing w:before="120" w:after="0" w:line="276" w:lineRule="auto"/>
        <w:ind w:firstLine="709"/>
        <w:jc w:val="both"/>
        <w:rPr>
          <w:rFonts w:ascii="Arial" w:hAnsi="Arial" w:cs="Arial"/>
          <w:color w:val="000000" w:themeColor="text1"/>
          <w:lang w:val="es-MX" w:eastAsia="es-CO"/>
        </w:rPr>
      </w:pPr>
      <w:r w:rsidRPr="00BD18A1">
        <w:rPr>
          <w:rFonts w:ascii="Arial" w:eastAsia="Times New Roman" w:hAnsi="Arial" w:cs="Arial"/>
          <w:color w:val="000000" w:themeColor="text1"/>
          <w:lang w:val="es-MX" w:eastAsia="es-ES_tradnl"/>
        </w:rPr>
        <w:t>Como expresión de la finalidad antes enunciada y en aras de garantizar el derecho al trabajo en términos de igualdad material de oportunidades para las personas en condición de discapacidad, el artículo 13 de Ley 1618 de 2013 estableció acciones afirmativas en el marco del sistema de compras públicas. Adicionalmente, ordenó al Gobierno Nacional expedir el decreto reglamentario que determinara una puntuación adicional y un sistema</w:t>
      </w:r>
      <w:r w:rsidRPr="00BD18A1">
        <w:rPr>
          <w:rFonts w:ascii="Arial" w:hAnsi="Arial" w:cs="Arial"/>
          <w:color w:val="000000" w:themeColor="text1"/>
          <w:lang w:val="es-MX" w:eastAsia="es-CO"/>
        </w:rPr>
        <w:t xml:space="preserve"> de preferencias en los procesos de contratación estatal. El artículo en mención prescribe lo siguiente: </w:t>
      </w:r>
    </w:p>
    <w:p w14:paraId="57C108F4" w14:textId="77777777" w:rsidR="006F0958" w:rsidRPr="00BD18A1" w:rsidRDefault="006F0958" w:rsidP="006F0958">
      <w:pPr>
        <w:tabs>
          <w:tab w:val="left" w:pos="426"/>
        </w:tabs>
        <w:spacing w:after="0" w:line="276" w:lineRule="auto"/>
        <w:jc w:val="both"/>
        <w:rPr>
          <w:rFonts w:ascii="Arial" w:hAnsi="Arial" w:cs="Arial"/>
          <w:color w:val="000000" w:themeColor="text1"/>
          <w:lang w:val="es-MX" w:eastAsia="es-CO"/>
        </w:rPr>
      </w:pPr>
    </w:p>
    <w:p w14:paraId="23815062" w14:textId="77777777" w:rsidR="006F0958" w:rsidRPr="00BD18A1" w:rsidRDefault="006F0958" w:rsidP="006F0958">
      <w:pPr>
        <w:spacing w:after="120" w:line="240" w:lineRule="auto"/>
        <w:ind w:left="709" w:right="709"/>
        <w:jc w:val="both"/>
        <w:rPr>
          <w:rFonts w:ascii="Arial" w:eastAsia="Calibri" w:hAnsi="Arial" w:cs="Arial"/>
          <w:color w:val="000000" w:themeColor="text1"/>
          <w:sz w:val="21"/>
          <w:szCs w:val="21"/>
          <w:lang w:val="es-MX" w:eastAsia="es-CO"/>
        </w:rPr>
      </w:pPr>
      <w:r w:rsidRPr="00BD18A1">
        <w:rPr>
          <w:rFonts w:ascii="Arial" w:eastAsia="Calibri" w:hAnsi="Arial" w:cs="Arial"/>
          <w:color w:val="000000" w:themeColor="text1"/>
          <w:sz w:val="21"/>
          <w:szCs w:val="21"/>
          <w:lang w:val="es-MX" w:eastAsia="es-CO"/>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32F58DFA" w14:textId="77777777" w:rsidR="006F0958" w:rsidRPr="00BD18A1" w:rsidRDefault="006F0958" w:rsidP="006F0958">
      <w:pPr>
        <w:spacing w:after="120" w:line="240" w:lineRule="auto"/>
        <w:ind w:left="709" w:right="709"/>
        <w:jc w:val="both"/>
        <w:rPr>
          <w:rFonts w:ascii="Arial" w:eastAsia="Calibri" w:hAnsi="Arial" w:cs="Arial"/>
          <w:color w:val="000000" w:themeColor="text1"/>
          <w:sz w:val="21"/>
          <w:szCs w:val="21"/>
          <w:lang w:val="es-MX" w:eastAsia="es-CO"/>
        </w:rPr>
      </w:pPr>
      <w:r w:rsidRPr="00BD18A1">
        <w:rPr>
          <w:rFonts w:ascii="Arial" w:eastAsia="Calibri" w:hAnsi="Arial" w:cs="Arial"/>
          <w:color w:val="000000" w:themeColor="text1"/>
          <w:sz w:val="21"/>
          <w:szCs w:val="21"/>
          <w:lang w:val="es-MX" w:eastAsia="es-CO"/>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11548983" w14:textId="77777777" w:rsidR="006F0958" w:rsidRPr="00BD18A1" w:rsidRDefault="006F0958" w:rsidP="006F0958">
      <w:pPr>
        <w:spacing w:after="120" w:line="240" w:lineRule="auto"/>
        <w:ind w:left="709" w:right="709"/>
        <w:jc w:val="both"/>
        <w:rPr>
          <w:rFonts w:ascii="Arial" w:eastAsia="Calibri" w:hAnsi="Arial" w:cs="Arial"/>
          <w:color w:val="000000" w:themeColor="text1"/>
          <w:sz w:val="21"/>
          <w:szCs w:val="21"/>
          <w:lang w:val="es-MX" w:eastAsia="es-CO"/>
        </w:rPr>
      </w:pPr>
      <w:r w:rsidRPr="00BD18A1">
        <w:rPr>
          <w:rFonts w:ascii="Arial" w:eastAsia="Calibri" w:hAnsi="Arial" w:cs="Arial"/>
          <w:color w:val="000000" w:themeColor="text1"/>
          <w:sz w:val="21"/>
          <w:szCs w:val="21"/>
          <w:lang w:val="es-MX" w:eastAsia="es-CO"/>
        </w:rPr>
        <w:t>[…]</w:t>
      </w:r>
    </w:p>
    <w:p w14:paraId="732C2A52" w14:textId="77777777" w:rsidR="006F0958" w:rsidRPr="00BD18A1" w:rsidRDefault="006F0958" w:rsidP="006F0958">
      <w:pPr>
        <w:spacing w:after="0" w:line="240" w:lineRule="auto"/>
        <w:ind w:left="708" w:right="709"/>
        <w:jc w:val="both"/>
        <w:rPr>
          <w:rFonts w:ascii="Arial" w:eastAsia="Calibri" w:hAnsi="Arial" w:cs="Arial"/>
          <w:color w:val="000000" w:themeColor="text1"/>
          <w:sz w:val="21"/>
          <w:szCs w:val="21"/>
          <w:lang w:val="es-MX" w:eastAsia="es-CO"/>
        </w:rPr>
      </w:pPr>
      <w:r w:rsidRPr="00BD18A1">
        <w:rPr>
          <w:rFonts w:ascii="Arial" w:eastAsia="Calibri" w:hAnsi="Arial" w:cs="Arial"/>
          <w:color w:val="000000" w:themeColor="text1"/>
          <w:sz w:val="21"/>
          <w:szCs w:val="21"/>
          <w:lang w:val="es-MX" w:eastAsia="es-CO"/>
        </w:rPr>
        <w:t>8. Los gobiernos nacional, departamentales, distritales y municipales, deberán fijar mediante decreto reglamentario, en los procesos de selección de los contratistas y proveedores, un sistema de preferencias a favor de las personas con discapacidad”.</w:t>
      </w:r>
    </w:p>
    <w:p w14:paraId="006093CA" w14:textId="77777777" w:rsidR="006F0958" w:rsidRPr="00BD18A1" w:rsidRDefault="006F0958" w:rsidP="006F0958">
      <w:pPr>
        <w:tabs>
          <w:tab w:val="left" w:pos="426"/>
        </w:tabs>
        <w:spacing w:after="0" w:line="240" w:lineRule="auto"/>
        <w:jc w:val="both"/>
        <w:rPr>
          <w:rFonts w:ascii="ArialMT" w:eastAsia="Times New Roman" w:hAnsi="ArialMT" w:cs="Times New Roman"/>
          <w:color w:val="000000" w:themeColor="text1"/>
          <w:sz w:val="19"/>
          <w:szCs w:val="19"/>
          <w:lang w:val="es-MX" w:eastAsia="es-ES_tradnl"/>
        </w:rPr>
      </w:pPr>
    </w:p>
    <w:p w14:paraId="14125393" w14:textId="77777777" w:rsidR="006F0958" w:rsidRPr="00BD18A1" w:rsidRDefault="006F0958" w:rsidP="006F0958">
      <w:pPr>
        <w:tabs>
          <w:tab w:val="left" w:pos="426"/>
        </w:tabs>
        <w:spacing w:after="0" w:line="276" w:lineRule="auto"/>
        <w:ind w:firstLine="709"/>
        <w:jc w:val="both"/>
        <w:rPr>
          <w:rFonts w:ascii="Arial" w:eastAsia="Times New Roman" w:hAnsi="Arial" w:cs="Arial"/>
          <w:color w:val="000000" w:themeColor="text1"/>
          <w:lang w:val="es-MX" w:eastAsia="es-ES_tradnl"/>
        </w:rPr>
      </w:pPr>
      <w:r w:rsidRPr="00BD18A1">
        <w:rPr>
          <w:rFonts w:ascii="Arial" w:eastAsia="Times New Roman" w:hAnsi="Arial" w:cs="Arial"/>
          <w:color w:val="000000" w:themeColor="text1"/>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14:paraId="1E1CE1CF" w14:textId="77777777" w:rsidR="006F0958" w:rsidRPr="00BD18A1" w:rsidRDefault="006F0958" w:rsidP="006F0958">
      <w:pPr>
        <w:tabs>
          <w:tab w:val="left" w:pos="426"/>
        </w:tabs>
        <w:spacing w:after="0" w:line="276" w:lineRule="auto"/>
        <w:ind w:firstLine="709"/>
        <w:jc w:val="both"/>
        <w:rPr>
          <w:rFonts w:ascii="Arial" w:eastAsia="Times New Roman" w:hAnsi="Arial" w:cs="Arial"/>
          <w:color w:val="000000" w:themeColor="text1"/>
          <w:lang w:val="es-MX" w:eastAsia="es-ES_tradnl"/>
        </w:rPr>
      </w:pPr>
    </w:p>
    <w:p w14:paraId="550F74E8" w14:textId="77777777" w:rsidR="006F0958" w:rsidRPr="00BD18A1" w:rsidRDefault="006F0958" w:rsidP="006F0958">
      <w:pPr>
        <w:spacing w:after="120" w:line="240" w:lineRule="auto"/>
        <w:ind w:left="709" w:right="709"/>
        <w:jc w:val="both"/>
        <w:rPr>
          <w:rFonts w:ascii="Arial" w:eastAsia="Calibri" w:hAnsi="Arial" w:cs="Arial"/>
          <w:i/>
          <w:iCs/>
          <w:color w:val="000000" w:themeColor="text1"/>
          <w:sz w:val="21"/>
          <w:szCs w:val="21"/>
          <w:lang w:val="es-MX" w:eastAsia="es-CO"/>
        </w:rPr>
      </w:pPr>
      <w:r w:rsidRPr="00BD18A1">
        <w:rPr>
          <w:rFonts w:ascii="Arial" w:eastAsia="Times New Roman" w:hAnsi="Arial" w:cs="Arial"/>
          <w:bCs/>
          <w:color w:val="000000" w:themeColor="text1"/>
          <w:sz w:val="21"/>
          <w:szCs w:val="21"/>
          <w:lang w:val="es-MX" w:eastAsia="es-CO"/>
        </w:rPr>
        <w:t>“Artículo 2.2.1.2.4.2.6. Puntaje adicional para proponentes con trabajadores con discapacidad</w:t>
      </w:r>
      <w:r w:rsidRPr="00BD18A1">
        <w:rPr>
          <w:rFonts w:ascii="Arial" w:eastAsia="Times New Roman" w:hAnsi="Arial" w:cs="Arial"/>
          <w:color w:val="000000" w:themeColor="text1"/>
          <w:sz w:val="21"/>
          <w:szCs w:val="21"/>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4D04C8DD" w14:textId="77777777" w:rsidR="006F0958" w:rsidRPr="00BD18A1" w:rsidRDefault="006F0958" w:rsidP="006F0958">
      <w:pPr>
        <w:spacing w:after="120" w:line="240" w:lineRule="auto"/>
        <w:ind w:left="709" w:right="709"/>
        <w:jc w:val="both"/>
        <w:rPr>
          <w:rFonts w:ascii="Arial" w:eastAsia="Times New Roman" w:hAnsi="Arial" w:cs="Arial"/>
          <w:color w:val="000000" w:themeColor="text1"/>
          <w:sz w:val="21"/>
          <w:szCs w:val="21"/>
          <w:lang w:val="es-MX" w:eastAsia="es-CO"/>
        </w:rPr>
      </w:pPr>
      <w:r w:rsidRPr="00BD18A1">
        <w:rPr>
          <w:rFonts w:ascii="Arial" w:eastAsia="Times New Roman" w:hAnsi="Arial" w:cs="Arial"/>
          <w:color w:val="000000" w:themeColor="text1"/>
          <w:sz w:val="21"/>
          <w:szCs w:val="21"/>
          <w:lang w:val="es-MX"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4B9AA54B" w14:textId="77777777" w:rsidR="006F0958" w:rsidRPr="00BD18A1" w:rsidRDefault="006F0958" w:rsidP="006F0958">
      <w:pPr>
        <w:spacing w:after="120" w:line="240" w:lineRule="auto"/>
        <w:ind w:left="709" w:right="709"/>
        <w:jc w:val="both"/>
        <w:rPr>
          <w:rFonts w:ascii="Arial" w:eastAsia="Times New Roman" w:hAnsi="Arial" w:cs="Arial"/>
          <w:color w:val="000000" w:themeColor="text1"/>
          <w:sz w:val="21"/>
          <w:szCs w:val="21"/>
          <w:lang w:val="es-MX" w:eastAsia="es-CO"/>
        </w:rPr>
      </w:pPr>
      <w:r w:rsidRPr="00BD18A1">
        <w:rPr>
          <w:rFonts w:ascii="Arial" w:eastAsia="Times New Roman" w:hAnsi="Arial" w:cs="Arial"/>
          <w:color w:val="000000" w:themeColor="text1"/>
          <w:sz w:val="21"/>
          <w:szCs w:val="21"/>
          <w:lang w:val="es-MX"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6F0958" w:rsidRPr="00BD18A1" w14:paraId="7B3CFA36" w14:textId="77777777" w:rsidTr="00EC17B1">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6C41461" w14:textId="77777777" w:rsidR="006F0958" w:rsidRPr="00BD18A1" w:rsidRDefault="006F0958" w:rsidP="00EC17B1">
            <w:pPr>
              <w:spacing w:after="0" w:line="240" w:lineRule="auto"/>
              <w:jc w:val="center"/>
              <w:rPr>
                <w:rFonts w:ascii="Arial" w:eastAsia="Times New Roman" w:hAnsi="Arial" w:cs="Arial"/>
                <w:b/>
                <w:bCs/>
                <w:color w:val="000000" w:themeColor="text1"/>
                <w:sz w:val="19"/>
                <w:szCs w:val="19"/>
                <w:lang w:val="es-MX" w:eastAsia="es-CO"/>
              </w:rPr>
            </w:pPr>
            <w:r w:rsidRPr="00BD18A1">
              <w:rPr>
                <w:rFonts w:ascii="Arial" w:eastAsia="Times New Roman" w:hAnsi="Arial" w:cs="Arial"/>
                <w:b/>
                <w:bCs/>
                <w:color w:val="000000" w:themeColor="text1"/>
                <w:sz w:val="19"/>
                <w:szCs w:val="19"/>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B4E7075" w14:textId="77777777" w:rsidR="006F0958" w:rsidRPr="00BD18A1" w:rsidRDefault="006F0958" w:rsidP="00EC17B1">
            <w:pPr>
              <w:spacing w:after="0" w:line="240" w:lineRule="auto"/>
              <w:jc w:val="center"/>
              <w:rPr>
                <w:rFonts w:ascii="Arial" w:eastAsia="Times New Roman" w:hAnsi="Arial" w:cs="Arial"/>
                <w:b/>
                <w:bCs/>
                <w:color w:val="000000" w:themeColor="text1"/>
                <w:sz w:val="19"/>
                <w:szCs w:val="19"/>
                <w:lang w:val="es-MX" w:eastAsia="es-CO"/>
              </w:rPr>
            </w:pPr>
            <w:r w:rsidRPr="00BD18A1">
              <w:rPr>
                <w:rFonts w:ascii="Arial" w:eastAsia="Times New Roman" w:hAnsi="Arial" w:cs="Arial"/>
                <w:b/>
                <w:bCs/>
                <w:color w:val="000000" w:themeColor="text1"/>
                <w:sz w:val="19"/>
                <w:szCs w:val="19"/>
                <w:lang w:val="es-MX" w:eastAsia="es-CO"/>
              </w:rPr>
              <w:t>Número mínimo de trabajadores con discapacidad exigido </w:t>
            </w:r>
          </w:p>
        </w:tc>
      </w:tr>
      <w:tr w:rsidR="006F0958" w:rsidRPr="00BD18A1" w14:paraId="0D3E761B" w14:textId="77777777" w:rsidTr="00EC17B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D57F548" w14:textId="77777777" w:rsidR="006F0958" w:rsidRPr="00BD18A1" w:rsidRDefault="006F0958" w:rsidP="00EC17B1">
            <w:pPr>
              <w:spacing w:after="0" w:line="240" w:lineRule="auto"/>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269BB2C" w14:textId="77777777" w:rsidR="006F0958" w:rsidRPr="00BD18A1" w:rsidRDefault="006F0958" w:rsidP="00EC17B1">
            <w:pPr>
              <w:spacing w:after="0" w:line="240" w:lineRule="auto"/>
              <w:jc w:val="center"/>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1 </w:t>
            </w:r>
          </w:p>
        </w:tc>
      </w:tr>
      <w:tr w:rsidR="006F0958" w:rsidRPr="00BD18A1" w14:paraId="2E9BF14F" w14:textId="77777777" w:rsidTr="00EC17B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045AB99" w14:textId="77777777" w:rsidR="006F0958" w:rsidRPr="00BD18A1" w:rsidRDefault="006F0958" w:rsidP="00EC17B1">
            <w:pPr>
              <w:spacing w:after="0" w:line="240" w:lineRule="auto"/>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BD4D27D" w14:textId="77777777" w:rsidR="006F0958" w:rsidRPr="00BD18A1" w:rsidRDefault="006F0958" w:rsidP="00EC17B1">
            <w:pPr>
              <w:spacing w:after="0" w:line="240" w:lineRule="auto"/>
              <w:jc w:val="center"/>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2 </w:t>
            </w:r>
          </w:p>
        </w:tc>
      </w:tr>
      <w:tr w:rsidR="006F0958" w:rsidRPr="00BD18A1" w14:paraId="223A18B8" w14:textId="77777777" w:rsidTr="00EC17B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F852CC1" w14:textId="77777777" w:rsidR="006F0958" w:rsidRPr="00BD18A1" w:rsidRDefault="006F0958" w:rsidP="00EC17B1">
            <w:pPr>
              <w:spacing w:after="0" w:line="240" w:lineRule="auto"/>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312C5C7" w14:textId="77777777" w:rsidR="006F0958" w:rsidRPr="00BD18A1" w:rsidRDefault="006F0958" w:rsidP="00EC17B1">
            <w:pPr>
              <w:spacing w:after="0" w:line="240" w:lineRule="auto"/>
              <w:jc w:val="center"/>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3 </w:t>
            </w:r>
          </w:p>
        </w:tc>
      </w:tr>
      <w:tr w:rsidR="006F0958" w:rsidRPr="00BD18A1" w14:paraId="3938BAB8" w14:textId="77777777" w:rsidTr="00EC17B1">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9D311E1" w14:textId="77777777" w:rsidR="006F0958" w:rsidRPr="00BD18A1" w:rsidRDefault="006F0958" w:rsidP="00EC17B1">
            <w:pPr>
              <w:spacing w:after="0" w:line="240" w:lineRule="auto"/>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1619FB6" w14:textId="77777777" w:rsidR="006F0958" w:rsidRPr="00BD18A1" w:rsidRDefault="006F0958" w:rsidP="00EC17B1">
            <w:pPr>
              <w:spacing w:after="0" w:line="240" w:lineRule="auto"/>
              <w:jc w:val="center"/>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4 </w:t>
            </w:r>
          </w:p>
        </w:tc>
      </w:tr>
      <w:tr w:rsidR="006F0958" w:rsidRPr="00BD18A1" w14:paraId="0673D581" w14:textId="77777777" w:rsidTr="00EC17B1">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0600820" w14:textId="77777777" w:rsidR="006F0958" w:rsidRPr="00BD18A1" w:rsidRDefault="006F0958" w:rsidP="00EC17B1">
            <w:pPr>
              <w:spacing w:after="0" w:line="240" w:lineRule="auto"/>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F2480F4" w14:textId="77777777" w:rsidR="006F0958" w:rsidRPr="00BD18A1" w:rsidRDefault="006F0958" w:rsidP="00EC17B1">
            <w:pPr>
              <w:spacing w:after="0" w:line="240" w:lineRule="auto"/>
              <w:jc w:val="center"/>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5 </w:t>
            </w:r>
          </w:p>
        </w:tc>
      </w:tr>
    </w:tbl>
    <w:p w14:paraId="24D26692" w14:textId="77777777" w:rsidR="006F0958" w:rsidRPr="00BD18A1" w:rsidRDefault="006F0958" w:rsidP="006F0958">
      <w:pPr>
        <w:tabs>
          <w:tab w:val="left" w:pos="426"/>
        </w:tabs>
        <w:spacing w:after="0" w:line="240" w:lineRule="auto"/>
        <w:ind w:left="697" w:right="709"/>
        <w:jc w:val="both"/>
        <w:rPr>
          <w:rFonts w:ascii="Arial" w:eastAsia="Times New Roman" w:hAnsi="Arial" w:cs="Arial"/>
          <w:color w:val="000000" w:themeColor="text1"/>
          <w:sz w:val="19"/>
          <w:szCs w:val="19"/>
          <w:lang w:val="es-MX" w:eastAsia="es-CO"/>
        </w:rPr>
      </w:pPr>
    </w:p>
    <w:p w14:paraId="36B5A510" w14:textId="77777777" w:rsidR="006F0958" w:rsidRPr="00BD18A1" w:rsidRDefault="006F0958" w:rsidP="006F0958">
      <w:pPr>
        <w:tabs>
          <w:tab w:val="left" w:pos="426"/>
        </w:tabs>
        <w:spacing w:after="0" w:line="240" w:lineRule="auto"/>
        <w:ind w:left="697" w:right="709"/>
        <w:jc w:val="both"/>
        <w:rPr>
          <w:rFonts w:ascii="Arial" w:eastAsia="Times New Roman" w:hAnsi="Arial" w:cs="Arial"/>
          <w:color w:val="000000" w:themeColor="text1"/>
          <w:sz w:val="21"/>
          <w:szCs w:val="21"/>
          <w:lang w:val="es-MX" w:eastAsia="es-CO"/>
        </w:rPr>
      </w:pPr>
      <w:r w:rsidRPr="00BD18A1">
        <w:rPr>
          <w:rFonts w:ascii="Arial" w:eastAsia="Times New Roman" w:hAnsi="Arial" w:cs="Arial"/>
          <w:color w:val="000000" w:themeColor="text1"/>
          <w:sz w:val="21"/>
          <w:szCs w:val="21"/>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718A2F3A" w14:textId="77777777" w:rsidR="006F0958" w:rsidRPr="00BD18A1" w:rsidRDefault="006F0958" w:rsidP="006F0958">
      <w:pPr>
        <w:tabs>
          <w:tab w:val="left" w:pos="426"/>
        </w:tabs>
        <w:spacing w:after="0" w:line="276" w:lineRule="auto"/>
        <w:jc w:val="both"/>
        <w:rPr>
          <w:rFonts w:ascii="ArialMT" w:eastAsia="Times New Roman" w:hAnsi="ArialMT" w:cs="Times New Roman"/>
          <w:color w:val="000000" w:themeColor="text1"/>
          <w:lang w:val="es-MX" w:eastAsia="es-ES_tradnl"/>
        </w:rPr>
      </w:pPr>
    </w:p>
    <w:p w14:paraId="550993A4" w14:textId="77777777" w:rsidR="0028427A" w:rsidRDefault="006F0958" w:rsidP="006F0958">
      <w:pPr>
        <w:spacing w:after="0" w:line="276" w:lineRule="auto"/>
        <w:ind w:firstLine="567"/>
        <w:jc w:val="both"/>
        <w:rPr>
          <w:rFonts w:ascii="Arial" w:eastAsia="Times New Roman" w:hAnsi="Arial" w:cs="Arial"/>
          <w:color w:val="000000" w:themeColor="text1"/>
          <w:lang w:val="es-ES" w:eastAsia="es-ES_tradnl"/>
        </w:rPr>
      </w:pPr>
      <w:r w:rsidRPr="00BD18A1">
        <w:rPr>
          <w:rFonts w:ascii="Arial" w:eastAsia="Times New Roman" w:hAnsi="Arial" w:cs="Arial"/>
          <w:color w:val="000000" w:themeColor="text1"/>
          <w:lang w:val="es-MX" w:eastAsia="es-ES_tradnl"/>
        </w:rPr>
        <w:t xml:space="preserve">La normativa antes mencionada determinó que en los referidos procesos se otorgaría el uno por ciento (1%) de los puntos establecidos en el pliego de condiciones a aquellos </w:t>
      </w:r>
      <w:r w:rsidRPr="00BD18A1">
        <w:rPr>
          <w:rFonts w:ascii="Arial" w:eastAsia="Times New Roman" w:hAnsi="Arial" w:cs="Arial"/>
          <w:color w:val="000000" w:themeColor="text1"/>
          <w:lang w:val="es-MX" w:eastAsia="es-ES_tradnl"/>
        </w:rPr>
        <w:lastRenderedPageBreak/>
        <w:t>proponentes que acreditaran: i) el número total de trabajadores vinculados a la planta de personal; y, ii) la vinculación de, por lo menos, el número mínimo exigido de trabajadores con discapacidad</w:t>
      </w:r>
      <w:r w:rsidRPr="00BD18A1">
        <w:rPr>
          <w:rFonts w:ascii="Arial" w:eastAsia="Times New Roman" w:hAnsi="Arial" w:cs="Arial"/>
          <w:color w:val="000000" w:themeColor="text1"/>
          <w:lang w:val="es-ES" w:eastAsia="es-ES_tradnl"/>
        </w:rPr>
        <w:t xml:space="preserve">. </w:t>
      </w:r>
    </w:p>
    <w:p w14:paraId="5D42AACC" w14:textId="568F81D7" w:rsidR="006F0958" w:rsidRPr="00BD18A1" w:rsidRDefault="006F0958" w:rsidP="006F0958">
      <w:pPr>
        <w:spacing w:after="0" w:line="276" w:lineRule="auto"/>
        <w:ind w:firstLine="567"/>
        <w:jc w:val="both"/>
        <w:rPr>
          <w:rFonts w:ascii="Arial" w:eastAsia="Times New Roman" w:hAnsi="Arial" w:cs="Arial"/>
          <w:color w:val="000000" w:themeColor="text1"/>
          <w:lang w:val="es-ES" w:eastAsia="es-ES_tradnl"/>
        </w:rPr>
      </w:pPr>
    </w:p>
    <w:p w14:paraId="32E092E2" w14:textId="77777777" w:rsidR="006F0958" w:rsidRPr="00BD18A1" w:rsidRDefault="006F0958" w:rsidP="006F0958">
      <w:pPr>
        <w:tabs>
          <w:tab w:val="left" w:pos="426"/>
        </w:tabs>
        <w:spacing w:after="0" w:line="276" w:lineRule="auto"/>
        <w:jc w:val="both"/>
        <w:rPr>
          <w:rFonts w:ascii="Arial" w:eastAsia="Calibri" w:hAnsi="Arial" w:cs="Arial"/>
          <w:b/>
          <w:color w:val="000000" w:themeColor="text1"/>
          <w:lang w:val="es-ES" w:eastAsia="en-GB"/>
        </w:rPr>
      </w:pPr>
      <w:r w:rsidRPr="00BD18A1">
        <w:rPr>
          <w:rFonts w:ascii="Arial" w:eastAsia="Calibri" w:hAnsi="Arial" w:cs="Arial"/>
          <w:b/>
          <w:color w:val="000000" w:themeColor="text1"/>
          <w:lang w:val="es-ES" w:eastAsia="en-GB"/>
        </w:rPr>
        <w:t>2.</w:t>
      </w:r>
      <w:r w:rsidRPr="00BD18A1">
        <w:rPr>
          <w:rFonts w:ascii="Arial" w:eastAsia="Calibri" w:hAnsi="Arial" w:cs="Arial"/>
          <w:b/>
          <w:bCs/>
          <w:color w:val="000000" w:themeColor="text1"/>
          <w:lang w:val="es-ES" w:eastAsia="en-GB"/>
        </w:rPr>
        <w:t>2</w:t>
      </w:r>
      <w:r w:rsidRPr="00BD18A1">
        <w:rPr>
          <w:rFonts w:ascii="Arial" w:eastAsia="Calibri" w:hAnsi="Arial" w:cs="Arial"/>
          <w:b/>
          <w:color w:val="000000" w:themeColor="text1"/>
          <w:lang w:val="es-ES" w:eastAsia="en-GB"/>
        </w:rPr>
        <w:t xml:space="preserve">. Acreditación </w:t>
      </w:r>
      <w:r w:rsidRPr="00BD18A1">
        <w:rPr>
          <w:rFonts w:ascii="Arial" w:eastAsia="Times New Roman" w:hAnsi="Arial" w:cs="Arial"/>
          <w:b/>
          <w:color w:val="000000"/>
          <w:bdr w:val="none" w:sz="0" w:space="0" w:color="auto" w:frame="1"/>
          <w:lang w:eastAsia="es-MX"/>
        </w:rPr>
        <w:t xml:space="preserve">para obtener el puntaje de vinculación de trabajadores con discapacidad </w:t>
      </w:r>
    </w:p>
    <w:p w14:paraId="6C6FA5EA" w14:textId="77777777" w:rsidR="006F0958" w:rsidRPr="00BD18A1" w:rsidRDefault="006F0958" w:rsidP="006F0958">
      <w:pPr>
        <w:tabs>
          <w:tab w:val="left" w:pos="426"/>
        </w:tabs>
        <w:spacing w:after="0" w:line="276" w:lineRule="auto"/>
        <w:jc w:val="both"/>
        <w:rPr>
          <w:rFonts w:ascii="Arial" w:eastAsia="Times New Roman" w:hAnsi="Arial" w:cs="Arial"/>
          <w:color w:val="000000" w:themeColor="text1"/>
          <w:lang w:val="es-ES" w:eastAsia="es-ES_tradnl"/>
        </w:rPr>
      </w:pPr>
    </w:p>
    <w:p w14:paraId="123CFC98" w14:textId="77777777" w:rsidR="006F0958" w:rsidRPr="00BD18A1" w:rsidRDefault="006F0958" w:rsidP="006F0958">
      <w:pPr>
        <w:spacing w:after="120" w:line="276" w:lineRule="auto"/>
        <w:jc w:val="both"/>
        <w:rPr>
          <w:rFonts w:ascii="Arial" w:eastAsia="Calibri" w:hAnsi="Arial" w:cs="Arial"/>
          <w:color w:val="000000" w:themeColor="text1"/>
          <w:lang w:val="es-ES_tradnl" w:eastAsia="es-CO"/>
        </w:rPr>
      </w:pPr>
      <w:r w:rsidRPr="00BD18A1">
        <w:rPr>
          <w:rFonts w:ascii="Arial" w:eastAsia="Calibri" w:hAnsi="Arial" w:cs="Arial"/>
          <w:color w:val="000000" w:themeColor="text1"/>
          <w:lang w:val="es-ES" w:eastAsia="en-GB"/>
        </w:rPr>
        <w:t xml:space="preserve">Delimitado el marco normativo que regula el incentivo contractual otorgable a los oferentes que emplean en su planta de trabajadores a personas con discapacidad, es necesario </w:t>
      </w:r>
      <w:r w:rsidRPr="00BD18A1">
        <w:rPr>
          <w:rFonts w:ascii="Arial" w:eastAsia="Calibri" w:hAnsi="Arial" w:cs="Arial"/>
          <w:color w:val="000000" w:themeColor="text1"/>
          <w:lang w:val="es-ES_tradnl" w:eastAsia="es-CO"/>
        </w:rPr>
        <w:t>examinar cuáles son las condiciones que los proponentes u oferentes deben cumplir para acceder a los estímulos estudiados.</w:t>
      </w:r>
    </w:p>
    <w:p w14:paraId="48B30CFD" w14:textId="77777777" w:rsidR="006F0958" w:rsidRPr="00BD18A1" w:rsidRDefault="006F0958" w:rsidP="006F0958">
      <w:pPr>
        <w:spacing w:after="120" w:line="276" w:lineRule="auto"/>
        <w:ind w:firstLine="709"/>
        <w:jc w:val="both"/>
        <w:rPr>
          <w:rFonts w:ascii="Arial" w:eastAsia="Calibri" w:hAnsi="Arial" w:cs="Arial"/>
          <w:color w:val="000000" w:themeColor="text1"/>
          <w:lang w:val="es-ES_tradnl" w:eastAsia="es-CO"/>
        </w:rPr>
      </w:pPr>
      <w:r w:rsidRPr="00BD18A1">
        <w:rPr>
          <w:rFonts w:ascii="Arial" w:eastAsia="Calibri" w:hAnsi="Arial" w:cs="Arial"/>
          <w:color w:val="000000" w:themeColor="text1"/>
          <w:lang w:val="es-ES_tradnl" w:eastAsia="es-CO"/>
        </w:rPr>
        <w:t xml:space="preserve">Como se mencionó en el acápite anterior,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las características de cada participante para determinar los mecanismos para acreditación de estos requisitos. </w:t>
      </w:r>
    </w:p>
    <w:p w14:paraId="1806217A" w14:textId="77777777" w:rsidR="006F0958" w:rsidRPr="00BD18A1" w:rsidRDefault="006F0958" w:rsidP="006F0958">
      <w:pPr>
        <w:spacing w:after="120" w:line="276" w:lineRule="auto"/>
        <w:ind w:firstLine="709"/>
        <w:jc w:val="both"/>
        <w:rPr>
          <w:rFonts w:ascii="Arial" w:eastAsia="Calibri" w:hAnsi="Arial" w:cs="Arial"/>
          <w:color w:val="000000" w:themeColor="text1"/>
          <w:lang w:val="es-ES_tradnl" w:eastAsia="es-CO"/>
        </w:rPr>
      </w:pPr>
      <w:r w:rsidRPr="00BD18A1">
        <w:rPr>
          <w:rFonts w:ascii="Arial" w:eastAsia="Calibri" w:hAnsi="Arial" w:cs="Arial"/>
          <w:color w:val="000000" w:themeColor="text1"/>
          <w:lang w:val="es-ES_tradnl" w:eastAsia="es-CO"/>
        </w:rPr>
        <w:t xml:space="preserve">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w:t>
      </w:r>
      <w:r w:rsidRPr="00BD18A1">
        <w:rPr>
          <w:rFonts w:ascii="Arial" w:eastAsia="Times New Roman" w:hAnsi="Arial" w:cs="Arial"/>
          <w:color w:val="000000"/>
          <w:szCs w:val="24"/>
          <w:lang w:eastAsia="es-MX"/>
        </w:rPr>
        <w:t xml:space="preserve">Por su parte, cuando se trate de </w:t>
      </w:r>
      <w:r w:rsidRPr="00BD18A1">
        <w:rPr>
          <w:rFonts w:ascii="Arial" w:eastAsia="Times New Roman" w:hAnsi="Arial" w:cs="Arial"/>
          <w:i/>
          <w:iCs/>
          <w:color w:val="000000"/>
          <w:szCs w:val="24"/>
          <w:lang w:eastAsia="es-MX"/>
        </w:rPr>
        <w:t>proponentes plurales</w:t>
      </w:r>
      <w:r w:rsidRPr="00BD18A1">
        <w:rPr>
          <w:rFonts w:ascii="Arial" w:eastAsia="Times New Roman" w:hAnsi="Arial" w:cs="Arial"/>
          <w:color w:val="000000"/>
          <w:szCs w:val="24"/>
          <w:lang w:eastAsia="es-MX"/>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r w:rsidRPr="00BD18A1">
        <w:rPr>
          <w:rFonts w:ascii="Arial" w:eastAsia="Calibri" w:hAnsi="Arial" w:cs="Arial"/>
          <w:color w:val="000000" w:themeColor="text1"/>
          <w:lang w:val="es-ES_tradnl" w:eastAsia="es-CO"/>
        </w:rPr>
        <w:t>En segundo lugar, para acreditar que se cumple con el número mínimo de trabajadores con discapacidad exigido, se empleará un certificado expedido por el Ministerio de Trabajo, el cual debe estar vigente al cierre del respectivo proceso.</w:t>
      </w:r>
    </w:p>
    <w:p w14:paraId="3E3EF773" w14:textId="77777777" w:rsidR="006F0958" w:rsidRPr="00BD18A1" w:rsidRDefault="006F0958" w:rsidP="006F0958">
      <w:pPr>
        <w:spacing w:after="120" w:line="276" w:lineRule="auto"/>
        <w:ind w:firstLine="709"/>
        <w:jc w:val="both"/>
        <w:rPr>
          <w:rFonts w:ascii="Arial" w:eastAsia="Calibri" w:hAnsi="Arial" w:cs="Arial"/>
          <w:color w:val="000000" w:themeColor="text1"/>
          <w:lang w:val="es-ES_tradnl" w:eastAsia="es-CO"/>
        </w:rPr>
      </w:pPr>
      <w:r w:rsidRPr="00BD18A1">
        <w:rPr>
          <w:rFonts w:ascii="Arial" w:eastAsia="Calibri" w:hAnsi="Arial" w:cs="Arial"/>
          <w:color w:val="000000" w:themeColor="text1"/>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14:paraId="10A7BE1D" w14:textId="77777777" w:rsidR="006F0958" w:rsidRPr="00BD18A1" w:rsidRDefault="006F0958" w:rsidP="006F0958">
      <w:pPr>
        <w:spacing w:after="0" w:line="276" w:lineRule="auto"/>
        <w:ind w:firstLine="709"/>
        <w:jc w:val="both"/>
        <w:rPr>
          <w:rFonts w:ascii="Arial" w:hAnsi="Arial" w:cs="Arial"/>
          <w:color w:val="000000" w:themeColor="text1"/>
          <w:lang w:val="es-ES" w:eastAsia="es-CO"/>
        </w:rPr>
      </w:pPr>
      <w:r w:rsidRPr="00BD18A1">
        <w:rPr>
          <w:rFonts w:ascii="Arial" w:eastAsia="Calibri" w:hAnsi="Arial" w:cs="Arial"/>
          <w:color w:val="000000" w:themeColor="text1"/>
          <w:lang w:val="es-ES" w:eastAsia="en-GB"/>
        </w:rPr>
        <w:t>Ahora bien, el parágrafo del artículo 2.2.1.2.4.6 del Decreto 1082 de 2015, adicionado por el artículo primero del Decreto 392</w:t>
      </w:r>
      <w:r w:rsidRPr="00BD18A1">
        <w:rPr>
          <w:rFonts w:ascii="Arial" w:hAnsi="Arial" w:cs="Arial"/>
          <w:color w:val="000000" w:themeColor="text1"/>
          <w:lang w:val="es-ES" w:eastAsia="es-CO"/>
        </w:rPr>
        <w:t xml:space="preserve">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experiencia requerida en el proceso de contratación. Para tal efecto, esta Subdirección ya ha mencionado en anteriores oportunidades que: </w:t>
      </w:r>
    </w:p>
    <w:p w14:paraId="0E350F04" w14:textId="77777777" w:rsidR="006F0958" w:rsidRPr="00BD18A1" w:rsidRDefault="006F0958" w:rsidP="006F0958">
      <w:pPr>
        <w:spacing w:after="0" w:line="276" w:lineRule="auto"/>
        <w:ind w:firstLine="709"/>
        <w:jc w:val="both"/>
        <w:rPr>
          <w:rFonts w:ascii="Arial" w:eastAsia="Calibri" w:hAnsi="Arial" w:cs="Arial"/>
          <w:color w:val="000000" w:themeColor="text1"/>
          <w:lang w:val="es-ES" w:eastAsia="en-GB"/>
        </w:rPr>
      </w:pPr>
    </w:p>
    <w:p w14:paraId="248DD3F0" w14:textId="77777777" w:rsidR="006F0958" w:rsidRPr="00BD18A1" w:rsidRDefault="006F0958" w:rsidP="006F0958">
      <w:pPr>
        <w:shd w:val="clear" w:color="auto" w:fill="FFFFFF"/>
        <w:spacing w:after="0" w:line="240" w:lineRule="auto"/>
        <w:ind w:left="709" w:right="709"/>
        <w:jc w:val="both"/>
        <w:rPr>
          <w:rFonts w:ascii="Arial" w:eastAsia="Calibri" w:hAnsi="Arial" w:cs="Arial"/>
          <w:color w:val="000000" w:themeColor="text1"/>
          <w:sz w:val="21"/>
          <w:szCs w:val="21"/>
          <w:lang w:val="es-ES" w:eastAsia="es-CO"/>
        </w:rPr>
      </w:pPr>
      <w:r w:rsidRPr="00BD18A1">
        <w:rPr>
          <w:rFonts w:ascii="Arial" w:eastAsia="Calibri" w:hAnsi="Arial" w:cs="Arial"/>
          <w:color w:val="000000" w:themeColor="text1"/>
          <w:sz w:val="21"/>
          <w:szCs w:val="21"/>
          <w:lang w:val="es-ES" w:eastAsia="es-CO"/>
        </w:rPr>
        <w:lastRenderedPageBreak/>
        <w:t>“[…] cuando el numeral 1 señala “la planta de personal del proponente o sus integrantes”, esta debe ser entendida de acuerdo con el tipo de 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sidRPr="00BD18A1">
        <w:rPr>
          <w:rFonts w:ascii="Arial" w:eastAsia="Calibri" w:hAnsi="Arial" w:cs="Arial"/>
          <w:color w:val="000000" w:themeColor="text1"/>
          <w:sz w:val="21"/>
          <w:szCs w:val="21"/>
          <w:vertAlign w:val="superscript"/>
          <w:lang w:val="es-ES" w:eastAsia="es-CO"/>
        </w:rPr>
        <w:footnoteReference w:id="3"/>
      </w:r>
    </w:p>
    <w:p w14:paraId="70085C9A" w14:textId="77777777" w:rsidR="006F0958" w:rsidRPr="00BD18A1" w:rsidRDefault="006F0958" w:rsidP="006F0958">
      <w:pPr>
        <w:shd w:val="clear" w:color="auto" w:fill="FFFFFF"/>
        <w:spacing w:after="0" w:line="240" w:lineRule="auto"/>
        <w:ind w:left="709" w:right="709"/>
        <w:jc w:val="both"/>
        <w:rPr>
          <w:rFonts w:ascii="Arial" w:eastAsia="Calibri" w:hAnsi="Arial" w:cs="Arial"/>
          <w:color w:val="000000" w:themeColor="text1"/>
          <w:sz w:val="21"/>
          <w:szCs w:val="21"/>
          <w:lang w:val="es-ES" w:eastAsia="es-CO"/>
        </w:rPr>
      </w:pPr>
    </w:p>
    <w:p w14:paraId="0BD5658D" w14:textId="77777777" w:rsidR="006F0958" w:rsidRPr="00BD18A1" w:rsidRDefault="006F0958" w:rsidP="006F0958">
      <w:pPr>
        <w:spacing w:after="120" w:line="276" w:lineRule="auto"/>
        <w:ind w:firstLine="709"/>
        <w:jc w:val="both"/>
        <w:rPr>
          <w:rFonts w:ascii="Arial" w:eastAsia="Times New Roman" w:hAnsi="Arial" w:cs="Arial"/>
          <w:color w:val="000000"/>
          <w:szCs w:val="24"/>
          <w:lang w:eastAsia="es-MX"/>
        </w:rPr>
      </w:pPr>
      <w:r w:rsidRPr="00BD18A1">
        <w:rPr>
          <w:rFonts w:ascii="Arial" w:eastAsia="Times New Roman" w:hAnsi="Arial" w:cs="Arial"/>
          <w:color w:val="000000"/>
          <w:szCs w:val="24"/>
          <w:lang w:eastAsia="es-MX"/>
        </w:rPr>
        <w:t xml:space="preserve">Por lo anterior es necesario tener en cuenta que esta condición es propia de la persona que pretende acreditar la obtención del puntaje de acuerdo con su naturaleza jurídica. En efecto, cuando el numeral 1 del artículo </w:t>
      </w:r>
      <w:r w:rsidRPr="00BD18A1">
        <w:rPr>
          <w:rFonts w:ascii="Arial" w:eastAsia="Calibri" w:hAnsi="Arial" w:cs="Arial"/>
          <w:color w:val="000000"/>
          <w:szCs w:val="24"/>
          <w:lang w:val="es-ES" w:eastAsia="es-MX"/>
        </w:rPr>
        <w:t>2.2.1.2.4.2.6 del Decreto 1082 de 2015 se refiere a</w:t>
      </w:r>
      <w:r w:rsidRPr="00BD18A1">
        <w:rPr>
          <w:rFonts w:ascii="Arial" w:eastAsia="Times New Roman" w:hAnsi="Arial" w:cs="Arial"/>
          <w:color w:val="000000"/>
          <w:szCs w:val="24"/>
          <w:lang w:eastAsia="es-MX"/>
        </w:rPr>
        <w:t xml:space="preserve"> “la planta de personal del proponente o sus integrantes”, esta expresión debe entenderse de acuerdo con el tipo de oferente. Así, la expresión “proponente” se refiere a las personas naturales o jurídicas que se presentan individual o colectivamente, en este último caso con independencia de que formen un consorcio, una unión temporal o suscriban una promesa de sociedad futura. De allí que la expresión “o sus integrantes”, califica el oferente y se refiere también a los integrantes de las estructuras plurales mencionadas.</w:t>
      </w:r>
    </w:p>
    <w:p w14:paraId="14A59164" w14:textId="77777777" w:rsidR="006F0958" w:rsidRPr="00BD18A1" w:rsidRDefault="006F0958" w:rsidP="006F0958">
      <w:pPr>
        <w:spacing w:after="120" w:line="276" w:lineRule="auto"/>
        <w:ind w:firstLine="708"/>
        <w:jc w:val="both"/>
        <w:rPr>
          <w:rFonts w:ascii="Arial" w:eastAsia="Times New Roman" w:hAnsi="Arial" w:cs="Arial"/>
          <w:color w:val="000000"/>
          <w:szCs w:val="24"/>
          <w:lang w:eastAsia="es-MX"/>
        </w:rPr>
      </w:pPr>
      <w:r w:rsidRPr="00BD18A1">
        <w:rPr>
          <w:rFonts w:ascii="Arial" w:eastAsia="Times New Roman" w:hAnsi="Arial" w:cs="Arial"/>
          <w:color w:val="000000"/>
          <w:szCs w:val="24"/>
          <w:lang w:eastAsia="es-MX"/>
        </w:rPr>
        <w:t>La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14:paraId="33063B2A" w14:textId="77777777" w:rsidR="00CC080E" w:rsidRPr="00BD18A1" w:rsidRDefault="00CC080E" w:rsidP="00CC080E">
      <w:pPr>
        <w:spacing w:after="0" w:line="276" w:lineRule="auto"/>
        <w:ind w:firstLine="709"/>
        <w:jc w:val="both"/>
        <w:rPr>
          <w:rFonts w:ascii="Arial" w:eastAsia="Calibri" w:hAnsi="Arial" w:cs="Arial"/>
          <w:lang w:eastAsia="es-MX"/>
        </w:rPr>
      </w:pPr>
    </w:p>
    <w:p w14:paraId="07AB582E" w14:textId="1AB16B75" w:rsidR="00064A93" w:rsidRPr="00BD18A1" w:rsidRDefault="008160C5" w:rsidP="00CC080E">
      <w:pPr>
        <w:spacing w:after="0" w:line="276" w:lineRule="auto"/>
        <w:jc w:val="both"/>
        <w:rPr>
          <w:rFonts w:ascii="Arial" w:eastAsia="Calibri" w:hAnsi="Arial" w:cs="Arial"/>
          <w:b/>
          <w:bCs/>
          <w:color w:val="000000"/>
          <w:lang w:val="es-ES_tradnl"/>
        </w:rPr>
      </w:pPr>
      <w:r w:rsidRPr="00BD18A1">
        <w:rPr>
          <w:rFonts w:ascii="Arial" w:eastAsia="Calibri" w:hAnsi="Arial" w:cs="Arial"/>
          <w:b/>
          <w:bCs/>
          <w:color w:val="000000"/>
          <w:lang w:val="es-ES_tradnl"/>
        </w:rPr>
        <w:t>2</w:t>
      </w:r>
      <w:r w:rsidR="00064A93" w:rsidRPr="00BD18A1">
        <w:rPr>
          <w:rFonts w:ascii="Arial" w:eastAsia="Calibri" w:hAnsi="Arial" w:cs="Arial"/>
          <w:b/>
          <w:bCs/>
          <w:color w:val="000000"/>
          <w:lang w:val="es-ES_tradnl"/>
        </w:rPr>
        <w:t>.</w:t>
      </w:r>
      <w:r w:rsidRPr="00BD18A1">
        <w:rPr>
          <w:rFonts w:ascii="Arial" w:eastAsia="Calibri" w:hAnsi="Arial" w:cs="Arial"/>
          <w:b/>
          <w:bCs/>
          <w:color w:val="000000"/>
          <w:lang w:val="es-ES_tradnl"/>
        </w:rPr>
        <w:t>3</w:t>
      </w:r>
      <w:r w:rsidR="00064A93" w:rsidRPr="00BD18A1">
        <w:rPr>
          <w:rFonts w:ascii="Arial" w:eastAsia="Calibri" w:hAnsi="Arial" w:cs="Arial"/>
          <w:b/>
          <w:bCs/>
          <w:color w:val="000000"/>
          <w:lang w:val="es-ES_tradnl"/>
        </w:rPr>
        <w:t>. Vigencia y ámbito de aplicación de la Ley 1920 de 2018: impacto sobre la contratación estatal</w:t>
      </w:r>
    </w:p>
    <w:p w14:paraId="7774CF0F" w14:textId="77777777" w:rsidR="00CC080E" w:rsidRPr="00BD18A1" w:rsidRDefault="00CC080E" w:rsidP="00CC080E">
      <w:pPr>
        <w:spacing w:after="0" w:line="276" w:lineRule="auto"/>
        <w:jc w:val="both"/>
        <w:rPr>
          <w:rFonts w:ascii="Arial" w:eastAsia="Calibri" w:hAnsi="Arial" w:cs="Arial"/>
          <w:b/>
          <w:bCs/>
          <w:color w:val="000000"/>
          <w:lang w:val="es-ES_tradnl"/>
        </w:rPr>
      </w:pPr>
    </w:p>
    <w:p w14:paraId="53628DDD" w14:textId="6FE4BF4C" w:rsidR="00064A93" w:rsidRPr="00BD18A1" w:rsidRDefault="00064A93" w:rsidP="00064A93">
      <w:pPr>
        <w:spacing w:after="120" w:line="276" w:lineRule="auto"/>
        <w:jc w:val="both"/>
        <w:rPr>
          <w:rFonts w:ascii="Arial" w:eastAsia="Calibri" w:hAnsi="Arial" w:cs="Arial"/>
          <w:color w:val="000000"/>
          <w:lang w:val="es-ES_tradnl"/>
        </w:rPr>
      </w:pPr>
      <w:r w:rsidRPr="00BD18A1">
        <w:rPr>
          <w:rFonts w:ascii="Arial" w:eastAsia="Calibri" w:hAnsi="Arial" w:cs="Arial"/>
          <w:color w:val="000000"/>
          <w:lang w:val="es-ES_tradnl"/>
        </w:rPr>
        <w:t xml:space="preserve">El 12 de julio de 2018 se expidió la Ley 1920, </w:t>
      </w:r>
      <w:r w:rsidR="00824946" w:rsidRPr="00BD18A1">
        <w:rPr>
          <w:rFonts w:ascii="Arial" w:eastAsia="Calibri" w:hAnsi="Arial" w:cs="Arial"/>
          <w:color w:val="000000"/>
          <w:lang w:val="es-ES_tradnl"/>
        </w:rPr>
        <w:t>“</w:t>
      </w:r>
      <w:r w:rsidRPr="00BD18A1">
        <w:rPr>
          <w:rFonts w:ascii="Arial" w:eastAsia="Calibri" w:hAnsi="Arial" w:cs="Arial"/>
          <w:color w:val="000000"/>
          <w:lang w:val="es-ES_tradnl"/>
        </w:rPr>
        <w:t>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w:t>
      </w:r>
      <w:r w:rsidR="00824946" w:rsidRPr="00BD18A1">
        <w:rPr>
          <w:rFonts w:ascii="Arial" w:eastAsia="Calibri" w:hAnsi="Arial" w:cs="Arial"/>
          <w:color w:val="000000"/>
          <w:lang w:val="es-ES_tradnl"/>
        </w:rPr>
        <w:t>”</w:t>
      </w:r>
      <w:r w:rsidRPr="00BD18A1">
        <w:rPr>
          <w:rFonts w:ascii="Arial" w:eastAsia="Calibri" w:hAnsi="Arial" w:cs="Arial"/>
          <w:color w:val="000000"/>
          <w:lang w:val="es-ES_tradnl"/>
        </w:rPr>
        <w:t xml:space="preserve">. De acuerdo con el artículo 12, </w:t>
      </w:r>
      <w:r w:rsidR="00824946" w:rsidRPr="00BD18A1">
        <w:rPr>
          <w:rFonts w:ascii="Arial" w:eastAsia="Calibri" w:hAnsi="Arial" w:cs="Arial"/>
          <w:color w:val="000000"/>
          <w:lang w:val="es-ES_tradnl"/>
        </w:rPr>
        <w:t>“</w:t>
      </w:r>
      <w:r w:rsidRPr="00BD18A1">
        <w:rPr>
          <w:rFonts w:ascii="Arial" w:eastAsia="Calibri" w:hAnsi="Arial" w:cs="Arial"/>
          <w:color w:val="000000"/>
          <w:lang w:val="es-ES_tradnl"/>
        </w:rPr>
        <w:t>La presente Ley rige a partir del momento de su promulgación […]</w:t>
      </w:r>
      <w:r w:rsidR="00824946" w:rsidRPr="00BD18A1">
        <w:rPr>
          <w:rFonts w:ascii="Arial" w:eastAsia="Calibri" w:hAnsi="Arial" w:cs="Arial"/>
          <w:color w:val="000000"/>
          <w:lang w:val="es-ES_tradnl"/>
        </w:rPr>
        <w:t>”</w:t>
      </w:r>
      <w:r w:rsidRPr="00BD18A1">
        <w:rPr>
          <w:rFonts w:ascii="Arial" w:eastAsia="Calibri" w:hAnsi="Arial" w:cs="Arial"/>
          <w:color w:val="000000"/>
          <w:lang w:val="es-ES_tradnl"/>
        </w:rPr>
        <w:t>. Esto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ejecución de esta Ley.</w:t>
      </w:r>
    </w:p>
    <w:p w14:paraId="06E9371F" w14:textId="4140DEF3" w:rsidR="00064A93" w:rsidRPr="00BD18A1" w:rsidRDefault="00064A93" w:rsidP="00064A93">
      <w:pPr>
        <w:spacing w:after="120" w:line="276" w:lineRule="auto"/>
        <w:ind w:firstLine="709"/>
        <w:jc w:val="both"/>
        <w:rPr>
          <w:rFonts w:ascii="Arial" w:eastAsia="Calibri" w:hAnsi="Arial" w:cs="Arial"/>
          <w:color w:val="000000"/>
          <w:lang w:val="es-ES_tradnl"/>
        </w:rPr>
      </w:pPr>
      <w:r w:rsidRPr="00BD18A1">
        <w:rPr>
          <w:rFonts w:ascii="Arial" w:eastAsia="Calibri" w:hAnsi="Arial" w:cs="Arial"/>
          <w:color w:val="000000"/>
          <w:lang w:val="es-ES_tradnl"/>
        </w:rPr>
        <w:lastRenderedPageBreak/>
        <w:t xml:space="preserve">En cuanto a su contenido, es importante señalar que, como dispone el artículo 1, esta tiene por objeto crear </w:t>
      </w:r>
      <w:r w:rsidR="00044C6C" w:rsidRPr="00BD18A1">
        <w:rPr>
          <w:rFonts w:ascii="Arial" w:eastAsia="Calibri" w:hAnsi="Arial" w:cs="Arial"/>
          <w:color w:val="000000"/>
          <w:lang w:val="es-ES_tradnl"/>
        </w:rPr>
        <w:t>“</w:t>
      </w:r>
      <w:r w:rsidRPr="00BD18A1">
        <w:rPr>
          <w:rFonts w:ascii="Arial" w:eastAsia="Calibri" w:hAnsi="Arial" w:cs="Arial"/>
          <w:color w:val="000000"/>
          <w:lang w:val="es-ES_tradnl"/>
        </w:rPr>
        <w:t>[…] un marco jurídico para el ejercicio de la inspección, control y vigilancia sobre las cooperativas especializadas de vigilancia y seguridad privada; además, establece un marco regulatorio para el adecuado desempeño de la labor del personal operativo de vigilancia</w:t>
      </w:r>
      <w:r w:rsidR="00044C6C" w:rsidRPr="00BD18A1">
        <w:rPr>
          <w:rFonts w:ascii="Arial" w:eastAsia="Calibri" w:hAnsi="Arial" w:cs="Arial"/>
          <w:color w:val="000000"/>
          <w:lang w:val="es-ES_tradnl"/>
        </w:rPr>
        <w:t>”</w:t>
      </w:r>
      <w:r w:rsidRPr="00BD18A1">
        <w:rPr>
          <w:rFonts w:ascii="Arial" w:eastAsia="Calibri" w:hAnsi="Arial" w:cs="Arial"/>
          <w:color w:val="000000"/>
          <w:lang w:val="es-ES_tradnl"/>
        </w:rPr>
        <w:t xml:space="preserve">.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14:paraId="3BF45FF4" w14:textId="080A8B85" w:rsidR="00064A93" w:rsidRPr="00BD18A1" w:rsidRDefault="00064A93" w:rsidP="00064A93">
      <w:pPr>
        <w:spacing w:after="120" w:line="276" w:lineRule="auto"/>
        <w:ind w:firstLine="709"/>
        <w:jc w:val="both"/>
        <w:rPr>
          <w:rFonts w:ascii="Arial" w:eastAsia="Calibri" w:hAnsi="Arial" w:cs="Arial"/>
          <w:color w:val="000000"/>
          <w:lang w:val="es-ES_tradnl"/>
        </w:rPr>
      </w:pPr>
      <w:r w:rsidRPr="00BD18A1">
        <w:rPr>
          <w:rFonts w:ascii="Arial" w:eastAsia="Calibri" w:hAnsi="Arial" w:cs="Arial"/>
          <w:color w:val="000000"/>
          <w:lang w:val="es-ES_tradnl"/>
        </w:rPr>
        <w:t xml:space="preserve">El artículo 6 de la Ley </w:t>
      </w:r>
      <w:r w:rsidRPr="00BD18A1">
        <w:rPr>
          <w:rFonts w:ascii="Arial" w:eastAsia="Calibri" w:hAnsi="Arial" w:cs="Arial"/>
          <w:i/>
          <w:iCs/>
          <w:color w:val="000000"/>
          <w:lang w:val="es-ES_tradnl"/>
        </w:rPr>
        <w:t xml:space="preserve">ibidem </w:t>
      </w:r>
      <w:r w:rsidRPr="00BD18A1">
        <w:rPr>
          <w:rFonts w:ascii="Arial" w:eastAsia="Calibri" w:hAnsi="Arial" w:cs="Arial"/>
          <w:color w:val="000000"/>
          <w:lang w:val="es-ES_tradnl"/>
        </w:rPr>
        <w:t xml:space="preserve">creó un incentivo contractual para prestadores de servicios de vigilancia y seguridad privada basado en la vinculación de mujeres, personas mayores de 45 años o en condición de discapacidad. En el inciso primero, la norma dispone: </w:t>
      </w:r>
      <w:r w:rsidR="00246E39" w:rsidRPr="00BD18A1">
        <w:rPr>
          <w:rFonts w:ascii="Arial" w:eastAsia="Calibri" w:hAnsi="Arial" w:cs="Arial"/>
          <w:color w:val="000000"/>
          <w:lang w:val="es-ES_tradnl"/>
        </w:rPr>
        <w:t>“</w:t>
      </w:r>
      <w:r w:rsidRPr="00BD18A1">
        <w:rPr>
          <w:rFonts w:ascii="Arial" w:eastAsia="Calibri" w:hAnsi="Arial" w:cs="Arial"/>
          <w:color w:val="000000"/>
          <w:lang w:val="es-ES_tradnl"/>
        </w:rPr>
        <w:t>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r w:rsidR="00246E39" w:rsidRPr="00BD18A1">
        <w:rPr>
          <w:rFonts w:ascii="Arial" w:eastAsia="Calibri" w:hAnsi="Arial" w:cs="Arial"/>
          <w:color w:val="000000"/>
          <w:lang w:val="es-ES_tradnl"/>
        </w:rPr>
        <w:t>”</w:t>
      </w:r>
      <w:r w:rsidRPr="00BD18A1">
        <w:rPr>
          <w:rFonts w:ascii="Arial" w:eastAsia="Calibri" w:hAnsi="Arial" w:cs="Arial"/>
          <w:color w:val="000000"/>
          <w:lang w:val="es-ES_tradnl"/>
        </w:rPr>
        <w:t>.</w:t>
      </w:r>
    </w:p>
    <w:p w14:paraId="2911D641" w14:textId="77777777" w:rsidR="00064A93" w:rsidRPr="00BD18A1" w:rsidRDefault="00064A93" w:rsidP="00064A93">
      <w:pPr>
        <w:tabs>
          <w:tab w:val="left" w:pos="426"/>
        </w:tabs>
        <w:spacing w:after="120" w:line="276" w:lineRule="auto"/>
        <w:jc w:val="both"/>
        <w:rPr>
          <w:rFonts w:ascii="Arial" w:eastAsia="Calibri" w:hAnsi="Arial" w:cs="Arial"/>
          <w:color w:val="000000"/>
          <w:lang w:val="es-ES"/>
        </w:rPr>
      </w:pPr>
      <w:r w:rsidRPr="00BD18A1">
        <w:rPr>
          <w:rFonts w:ascii="Arial" w:eastAsia="Calibri" w:hAnsi="Arial" w:cs="Arial"/>
          <w:color w:val="000000"/>
          <w:sz w:val="21"/>
          <w:szCs w:val="21"/>
          <w:lang w:val="es-ES_tradnl"/>
        </w:rPr>
        <w:tab/>
      </w:r>
      <w:r w:rsidRPr="00BD18A1">
        <w:rPr>
          <w:rFonts w:ascii="Arial" w:eastAsia="Calibri" w:hAnsi="Arial" w:cs="Arial"/>
          <w:color w:val="000000"/>
          <w:sz w:val="21"/>
          <w:szCs w:val="21"/>
          <w:lang w:val="es-ES_tradnl"/>
        </w:rPr>
        <w:tab/>
      </w:r>
      <w:r w:rsidRPr="00BD18A1">
        <w:rPr>
          <w:rFonts w:ascii="Arial" w:eastAsia="Calibri" w:hAnsi="Arial" w:cs="Arial"/>
          <w:color w:val="000000"/>
          <w:lang w:val="es-ES_tradnl"/>
        </w:rPr>
        <w:t xml:space="preserve">Este incentivo </w:t>
      </w:r>
      <w:r w:rsidRPr="00BD18A1">
        <w:rPr>
          <w:rFonts w:ascii="Arial" w:eastAsia="Calibri" w:hAnsi="Arial" w:cs="Arial"/>
          <w:bCs/>
          <w:color w:val="000000"/>
          <w:lang w:val="es-ES_tradnl"/>
        </w:rPr>
        <w:t xml:space="preserve">impulsa la vinculación laboral de este tipo de población circunscrito a mujeres, personas con discapacidad y personas mayores de 45 años, mediante la creación de un puntaje adicional en los procesos contractuales para la adquisición del servicio de vigilancia y seguridad privada de los proveedores del mercado. En este sentido, la </w:t>
      </w:r>
      <w:r w:rsidRPr="00BD18A1">
        <w:rPr>
          <w:rFonts w:ascii="Arial" w:eastAsia="Calibri" w:hAnsi="Arial" w:cs="Arial"/>
          <w:color w:val="000000"/>
          <w:lang w:val="es-ES"/>
        </w:rPr>
        <w:t>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sidRPr="00BD18A1">
        <w:rPr>
          <w:rStyle w:val="Refdenotaalpie"/>
          <w:rFonts w:ascii="Arial" w:eastAsia="Calibri" w:hAnsi="Arial" w:cs="Arial"/>
        </w:rPr>
        <w:footnoteReference w:id="4"/>
      </w:r>
      <w:r w:rsidRPr="00BD18A1">
        <w:rPr>
          <w:rFonts w:ascii="Arial" w:eastAsia="Calibri" w:hAnsi="Arial" w:cs="Arial"/>
          <w:color w:val="000000"/>
          <w:lang w:val="es-ES"/>
        </w:rPr>
        <w:t>.</w:t>
      </w:r>
    </w:p>
    <w:p w14:paraId="2C554173" w14:textId="77777777" w:rsidR="00064A93" w:rsidRPr="00BD18A1" w:rsidRDefault="00064A93" w:rsidP="00064A93">
      <w:pPr>
        <w:tabs>
          <w:tab w:val="left" w:pos="426"/>
        </w:tabs>
        <w:spacing w:after="120" w:line="276" w:lineRule="auto"/>
        <w:ind w:firstLine="709"/>
        <w:jc w:val="both"/>
        <w:rPr>
          <w:rFonts w:ascii="Arial" w:eastAsia="Calibri" w:hAnsi="Arial" w:cs="Arial"/>
          <w:color w:val="000000"/>
          <w:lang w:val="es-ES"/>
        </w:rPr>
      </w:pPr>
      <w:r w:rsidRPr="00BD18A1">
        <w:rPr>
          <w:rFonts w:ascii="Arial" w:eastAsia="Calibri" w:hAnsi="Arial" w:cs="Arial"/>
          <w:color w:val="000000"/>
          <w:lang w:val="es-ES"/>
        </w:rPr>
        <w:t>Estas finalidades reciben diferentes nombres en los diversos contextos en los que se utilizan, algunos recurren al nombre de políticas secundarias, finalidades paralelas, o políticas colaterales u horizontales en materia de contratación</w:t>
      </w:r>
      <w:r w:rsidRPr="00BD18A1">
        <w:rPr>
          <w:rStyle w:val="Refdenotaalpie"/>
          <w:rFonts w:ascii="Arial" w:eastAsia="Calibri" w:hAnsi="Arial" w:cs="Arial"/>
        </w:rPr>
        <w:footnoteReference w:id="5"/>
      </w:r>
      <w:r w:rsidRPr="00BD18A1">
        <w:rPr>
          <w:rFonts w:ascii="Arial" w:eastAsia="Calibri" w:hAnsi="Arial" w:cs="Arial"/>
          <w:color w:val="000000"/>
          <w:lang w:val="es-ES"/>
        </w:rPr>
        <w:t xml:space="preserve">. El concepto de política o finalidad horizontal o colateral pretende subrayar que se trata de políticas no subordinadas o inferiores, sino que acompañan la finalidad principal de la contratación estatal, la cual –de conformidad con el artículo 3º de la Ley 80 de 1993– consiste en «el cumplimiento de los fines estatales, la continua y eficiente prestación de los servicios públicos y la efectividad de los derechos e intereses de los administrados que colaboran con ellas en la consecución de dichos fines». </w:t>
      </w:r>
    </w:p>
    <w:p w14:paraId="5DBC9757" w14:textId="77777777" w:rsidR="00064A93" w:rsidRPr="00BD18A1" w:rsidRDefault="00064A93" w:rsidP="00064A93">
      <w:pPr>
        <w:tabs>
          <w:tab w:val="left" w:pos="426"/>
        </w:tabs>
        <w:spacing w:after="120" w:line="276" w:lineRule="auto"/>
        <w:ind w:firstLine="709"/>
        <w:jc w:val="both"/>
        <w:rPr>
          <w:rFonts w:ascii="Arial" w:eastAsia="Calibri" w:hAnsi="Arial" w:cs="Arial"/>
          <w:color w:val="000000"/>
          <w:lang w:val="es-ES"/>
        </w:rPr>
      </w:pPr>
      <w:r w:rsidRPr="00BD18A1">
        <w:rPr>
          <w:rFonts w:ascii="Arial" w:eastAsia="Calibri" w:hAnsi="Arial" w:cs="Arial"/>
          <w:color w:val="000000"/>
          <w:lang w:val="es-ES"/>
        </w:rPr>
        <w:lastRenderedPageBreak/>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BD18A1">
        <w:rPr>
          <w:rStyle w:val="Refdenotaalpie"/>
          <w:rFonts w:ascii="Arial" w:eastAsia="Calibri" w:hAnsi="Arial" w:cs="Arial"/>
        </w:rPr>
        <w:footnoteReference w:id="6"/>
      </w:r>
      <w:r w:rsidRPr="00BD18A1">
        <w:rPr>
          <w:rFonts w:ascii="Arial" w:eastAsia="Calibri" w:hAnsi="Arial" w:cs="Arial"/>
          <w:color w:val="000000"/>
          <w:lang w:val="es-ES"/>
        </w:rPr>
        <w:t xml:space="preserve">. </w:t>
      </w:r>
    </w:p>
    <w:p w14:paraId="4C9EE0BA" w14:textId="3D99C58E" w:rsidR="00064A93" w:rsidRPr="00BD18A1" w:rsidRDefault="00064A93" w:rsidP="00431FB7">
      <w:pPr>
        <w:spacing w:after="0" w:line="276" w:lineRule="auto"/>
        <w:ind w:firstLine="709"/>
        <w:jc w:val="both"/>
        <w:rPr>
          <w:rFonts w:ascii="Arial" w:eastAsia="Calibri" w:hAnsi="Arial" w:cs="Arial"/>
          <w:bCs/>
          <w:color w:val="000000"/>
          <w:lang w:val="es-ES_tradnl"/>
        </w:rPr>
      </w:pPr>
      <w:r w:rsidRPr="00BD18A1">
        <w:rPr>
          <w:rFonts w:ascii="Arial" w:eastAsia="Calibri" w:hAnsi="Arial" w:cs="Arial"/>
          <w:color w:val="000000"/>
          <w:lang w:val="es-ES"/>
        </w:rPr>
        <w:t>Para comprender este tema, es necesario distinguir entre «política horizontal» e «incentivo». La política horizontal consiste en el fin constitucional o legal legítimamente perseguido por el Estado, para cuya consecución se apoya en la contratación estatal como instrumento. Por su parte, el incentivo corresponde a la herramienta utilizada para garantizar aquellos fines</w:t>
      </w:r>
      <w:r w:rsidRPr="00BD18A1">
        <w:rPr>
          <w:rStyle w:val="Refdenotaalpie"/>
          <w:rFonts w:ascii="Arial" w:eastAsia="Calibri" w:hAnsi="Arial" w:cs="Arial"/>
        </w:rPr>
        <w:footnoteReference w:id="7"/>
      </w:r>
      <w:r w:rsidRPr="00BD18A1">
        <w:rPr>
          <w:rFonts w:ascii="Arial" w:eastAsia="Calibri" w:hAnsi="Arial" w:cs="Arial"/>
          <w:color w:val="000000"/>
          <w:lang w:val="es-ES"/>
        </w:rPr>
        <w:t xml:space="preserve">, como es el caso, se reitera, de los criterios de desempate, puntaje adicional, convocatorias reservadas u obligaciones contractuales. </w:t>
      </w:r>
      <w:r w:rsidRPr="00BD18A1">
        <w:rPr>
          <w:rFonts w:ascii="Arial" w:eastAsia="Calibri" w:hAnsi="Arial" w:cs="Arial"/>
          <w:bCs/>
          <w:color w:val="000000"/>
          <w:lang w:val="es-ES_tradnl"/>
        </w:rPr>
        <w:t>Sin perjuicio de lo anterior, en el caso del incentivo previsto en el artículo 6 de la Ley 1920 de 2018, se observa que esta norma lo creó sometiendo su aplicación a la expedición de un reglamento que detallara las condiciones de su empleo</w:t>
      </w:r>
      <w:r w:rsidRPr="00BD18A1" w:rsidDel="005D5806">
        <w:rPr>
          <w:rFonts w:ascii="Arial" w:eastAsia="Calibri" w:hAnsi="Arial" w:cs="Arial"/>
          <w:bCs/>
          <w:color w:val="000000"/>
          <w:lang w:val="es-ES_tradnl"/>
        </w:rPr>
        <w:t xml:space="preserve"> </w:t>
      </w:r>
      <w:r w:rsidRPr="00BD18A1">
        <w:rPr>
          <w:rFonts w:ascii="Arial" w:eastAsia="Calibri" w:hAnsi="Arial" w:cs="Arial"/>
          <w:bCs/>
          <w:color w:val="000000"/>
          <w:lang w:val="es-ES_tradnl"/>
        </w:rPr>
        <w:t xml:space="preserve">efectivo en los procesos contractuales. </w:t>
      </w:r>
    </w:p>
    <w:p w14:paraId="517A9A71" w14:textId="77777777" w:rsidR="00431FB7" w:rsidRPr="00BD18A1" w:rsidRDefault="00431FB7" w:rsidP="00431FB7">
      <w:pPr>
        <w:spacing w:after="0" w:line="276" w:lineRule="auto"/>
        <w:ind w:firstLine="709"/>
        <w:jc w:val="both"/>
        <w:rPr>
          <w:rFonts w:ascii="Arial" w:eastAsia="Calibri" w:hAnsi="Arial" w:cs="Arial"/>
          <w:bCs/>
          <w:color w:val="000000"/>
          <w:lang w:val="es-ES_tradnl"/>
        </w:rPr>
      </w:pPr>
    </w:p>
    <w:p w14:paraId="194D7961" w14:textId="27585CAC" w:rsidR="00064A93" w:rsidRPr="00BD18A1" w:rsidRDefault="00064A93" w:rsidP="00431FB7">
      <w:pPr>
        <w:tabs>
          <w:tab w:val="left" w:pos="709"/>
        </w:tabs>
        <w:spacing w:after="0" w:line="276" w:lineRule="auto"/>
        <w:jc w:val="both"/>
        <w:rPr>
          <w:rFonts w:ascii="Arial" w:eastAsia="Calibri" w:hAnsi="Arial" w:cs="Arial"/>
          <w:b/>
          <w:color w:val="000000"/>
          <w:lang w:val="es-ES_tradnl"/>
        </w:rPr>
      </w:pPr>
      <w:r w:rsidRPr="00BD18A1">
        <w:rPr>
          <w:rFonts w:ascii="Arial" w:eastAsia="Calibri" w:hAnsi="Arial" w:cs="Arial"/>
          <w:b/>
          <w:color w:val="000000"/>
          <w:lang w:val="es-ES_tradnl"/>
        </w:rPr>
        <w:t>2.</w:t>
      </w:r>
      <w:r w:rsidR="00806B5B" w:rsidRPr="00BD18A1">
        <w:rPr>
          <w:rFonts w:ascii="Arial" w:eastAsia="Calibri" w:hAnsi="Arial" w:cs="Arial"/>
          <w:b/>
          <w:color w:val="000000"/>
          <w:lang w:val="es-ES_tradnl"/>
        </w:rPr>
        <w:t>4</w:t>
      </w:r>
      <w:r w:rsidRPr="00BD18A1">
        <w:rPr>
          <w:rFonts w:ascii="Arial" w:eastAsia="Calibri" w:hAnsi="Arial" w:cs="Arial"/>
          <w:b/>
          <w:color w:val="000000"/>
          <w:lang w:val="es-ES_tradnl"/>
        </w:rPr>
        <w:t>. Decreto 1279 de 2021 como reglamento que permite utilizar el incentivo creado en el artículo 6 de la Ley 1920 de 2018 en la contratación estatal</w:t>
      </w:r>
    </w:p>
    <w:p w14:paraId="44BC61F5" w14:textId="77777777" w:rsidR="00431FB7" w:rsidRPr="00BD18A1" w:rsidRDefault="00431FB7" w:rsidP="00431FB7">
      <w:pPr>
        <w:tabs>
          <w:tab w:val="left" w:pos="709"/>
        </w:tabs>
        <w:spacing w:after="0" w:line="276" w:lineRule="auto"/>
        <w:jc w:val="both"/>
        <w:rPr>
          <w:rFonts w:ascii="Arial" w:eastAsia="Calibri" w:hAnsi="Arial" w:cs="Arial"/>
          <w:b/>
          <w:color w:val="000000"/>
          <w:lang w:val="es-ES_tradnl"/>
        </w:rPr>
      </w:pPr>
    </w:p>
    <w:p w14:paraId="4C363755" w14:textId="77777777" w:rsidR="00064A93" w:rsidRPr="00BD18A1" w:rsidRDefault="00064A93" w:rsidP="00064A93">
      <w:pPr>
        <w:tabs>
          <w:tab w:val="left" w:pos="709"/>
        </w:tabs>
        <w:spacing w:after="120" w:line="276" w:lineRule="auto"/>
        <w:jc w:val="both"/>
        <w:rPr>
          <w:rFonts w:ascii="Arial" w:eastAsia="Calibri" w:hAnsi="Arial" w:cs="Arial"/>
          <w:bCs/>
          <w:color w:val="000000"/>
          <w:lang w:val="es-ES_tradnl"/>
        </w:rPr>
      </w:pPr>
      <w:r w:rsidRPr="00BD18A1">
        <w:rPr>
          <w:rFonts w:ascii="Arial" w:eastAsia="Calibri" w:hAnsi="Arial" w:cs="Arial"/>
          <w:color w:val="000000"/>
          <w:lang w:val="es-ES_tradnl"/>
        </w:rPr>
        <w:t>El incentivo creado en el artículo 6 de la Ley 1920 de 2018 requiere la existencia de una reglamentación como condición de eficacia</w:t>
      </w:r>
      <w:r w:rsidRPr="00BD18A1">
        <w:rPr>
          <w:rFonts w:ascii="Arial" w:eastAsia="Calibri" w:hAnsi="Arial" w:cs="Arial"/>
          <w:bCs/>
          <w:color w:val="000000"/>
          <w:lang w:val="es-ES_tradnl"/>
        </w:rPr>
        <w:t xml:space="preserve">. Para estos efectos, si bien el Congreso de la República conserva la cláusula general de competencia normativa para la expedición de las leyes, en ocasiones puede sujetar su aplicación a una norma de menor jerarquía que regule aspectos de detalle, por lo que exige la expedición del decreto reglamentario correspondiente. Dicha reglamentación quedó contenida en el Decreto 1279 expedido por el gobierno nacional el 13 de octubre de 2021, en ejercicio de la facultad prevista en el numeral 11 del artículo 189 de la Constitución Política.  </w:t>
      </w:r>
    </w:p>
    <w:p w14:paraId="56F5A174" w14:textId="2165FFDE" w:rsidR="00064A93" w:rsidRPr="00BD18A1" w:rsidRDefault="00064A93" w:rsidP="00064A93">
      <w:pPr>
        <w:tabs>
          <w:tab w:val="left" w:pos="709"/>
        </w:tabs>
        <w:spacing w:after="120" w:line="276" w:lineRule="auto"/>
        <w:jc w:val="both"/>
        <w:rPr>
          <w:rFonts w:ascii="Arial" w:eastAsia="Calibri" w:hAnsi="Arial" w:cs="Arial"/>
          <w:bCs/>
          <w:color w:val="000000"/>
          <w:lang w:val="es-ES_tradnl"/>
        </w:rPr>
      </w:pPr>
      <w:r w:rsidRPr="00BD18A1">
        <w:rPr>
          <w:rFonts w:ascii="Arial" w:eastAsia="Calibri" w:hAnsi="Arial" w:cs="Arial"/>
          <w:bCs/>
          <w:color w:val="000000"/>
          <w:lang w:val="es-ES_tradnl"/>
        </w:rPr>
        <w:tab/>
        <w:t>Es así como el referido artículo de la ley contiene un mandato de reglamentación que debe acatar el Gobierno Nacional</w:t>
      </w:r>
      <w:r w:rsidRPr="00BD18A1">
        <w:rPr>
          <w:rStyle w:val="Refdenotaalpie"/>
          <w:rFonts w:ascii="Arial" w:eastAsia="Calibri" w:hAnsi="Arial" w:cs="Arial"/>
        </w:rPr>
        <w:footnoteReference w:id="8"/>
      </w:r>
      <w:r w:rsidRPr="00BD18A1">
        <w:rPr>
          <w:rFonts w:ascii="Arial" w:eastAsia="Calibri" w:hAnsi="Arial" w:cs="Arial"/>
          <w:bCs/>
          <w:color w:val="000000"/>
          <w:lang w:val="es-ES_tradnl"/>
        </w:rPr>
        <w:t xml:space="preserve">. </w:t>
      </w:r>
      <w:r w:rsidRPr="00BD18A1">
        <w:rPr>
          <w:rFonts w:ascii="Arial" w:hAnsi="Arial" w:cs="Arial"/>
          <w:bCs/>
          <w:color w:val="000000"/>
          <w:lang w:val="es-ES_tradnl"/>
        </w:rPr>
        <w:t xml:space="preserve">Bajo supuestos como el indicado, </w:t>
      </w:r>
      <w:r w:rsidRPr="00BD18A1">
        <w:rPr>
          <w:rFonts w:ascii="Arial" w:eastAsia="Calibri" w:hAnsi="Arial" w:cs="Arial"/>
          <w:bCs/>
          <w:color w:val="000000"/>
          <w:lang w:val="es-ES_tradnl"/>
        </w:rPr>
        <w:t xml:space="preserve">antes de que el decreto </w:t>
      </w:r>
      <w:r w:rsidRPr="00BD18A1">
        <w:rPr>
          <w:rFonts w:ascii="Arial" w:eastAsia="Calibri" w:hAnsi="Arial" w:cs="Arial"/>
          <w:bCs/>
          <w:color w:val="000000"/>
          <w:lang w:val="es-ES_tradnl"/>
        </w:rPr>
        <w:lastRenderedPageBreak/>
        <w:t xml:space="preserve">reglamentario se expida la ley es inaplicable, porque delega en el poder ejecutivo la definición de los aspectos relevantes para la efectividad de los mandatos contenidos en la misma mediante la expedición de un acto administrativo de carácter general. En estos casos, la omisión reglamentaria genera una </w:t>
      </w:r>
      <w:r w:rsidRPr="00BD18A1">
        <w:rPr>
          <w:rFonts w:ascii="Arial" w:eastAsia="Calibri" w:hAnsi="Arial" w:cs="Arial"/>
          <w:bCs/>
          <w:i/>
          <w:iCs/>
          <w:color w:val="000000"/>
          <w:lang w:val="es-ES_tradnl"/>
        </w:rPr>
        <w:t>laguna técnica</w:t>
      </w:r>
      <w:r w:rsidRPr="00BD18A1">
        <w:rPr>
          <w:rFonts w:ascii="Arial" w:eastAsia="Calibri" w:hAnsi="Arial" w:cs="Arial"/>
          <w:bCs/>
          <w:color w:val="000000"/>
          <w:lang w:val="es-ES_tradnl"/>
        </w:rPr>
        <w:t xml:space="preserve">, la cual se produce </w:t>
      </w:r>
      <w:r w:rsidR="00D45E0C" w:rsidRPr="00BD18A1">
        <w:rPr>
          <w:rFonts w:ascii="Arial" w:eastAsia="Calibri" w:hAnsi="Arial" w:cs="Arial"/>
          <w:bCs/>
          <w:color w:val="000000"/>
          <w:lang w:val="es-ES_tradnl"/>
        </w:rPr>
        <w:t>“</w:t>
      </w:r>
      <w:r w:rsidRPr="00BD18A1">
        <w:rPr>
          <w:rFonts w:ascii="Arial" w:eastAsia="Calibri" w:hAnsi="Arial" w:cs="Arial"/>
          <w:bCs/>
          <w:color w:val="000000"/>
          <w:lang w:val="es-ES_tradnl"/>
        </w:rPr>
        <w:t>[…]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w:t>
      </w:r>
      <w:r w:rsidR="00D45E0C" w:rsidRPr="00BD18A1">
        <w:rPr>
          <w:rFonts w:ascii="Arial" w:eastAsia="Calibri" w:hAnsi="Arial" w:cs="Arial"/>
          <w:bCs/>
          <w:color w:val="000000"/>
          <w:lang w:val="es-ES_tradnl"/>
        </w:rPr>
        <w:t>”</w:t>
      </w:r>
      <w:r w:rsidRPr="00BD18A1">
        <w:rPr>
          <w:rFonts w:ascii="Arial" w:eastAsia="Calibri" w:hAnsi="Arial" w:cs="Arial"/>
          <w:bCs/>
          <w:color w:val="000000"/>
          <w:lang w:val="es-ES_tradnl"/>
        </w:rPr>
        <w:t xml:space="preserve"> (Corchetes fuera de texto)</w:t>
      </w:r>
      <w:r w:rsidRPr="00BD18A1">
        <w:rPr>
          <w:rStyle w:val="Refdenotaalpie"/>
          <w:rFonts w:ascii="Arial" w:eastAsia="Calibri" w:hAnsi="Arial" w:cs="Arial"/>
        </w:rPr>
        <w:footnoteReference w:id="9"/>
      </w:r>
      <w:r w:rsidRPr="00BD18A1">
        <w:rPr>
          <w:rFonts w:ascii="Arial" w:eastAsia="Calibri" w:hAnsi="Arial" w:cs="Arial"/>
          <w:bCs/>
          <w:color w:val="000000"/>
          <w:lang w:val="es-ES_tradnl"/>
        </w:rPr>
        <w:t>.</w:t>
      </w:r>
    </w:p>
    <w:p w14:paraId="283FB65C" w14:textId="77777777" w:rsidR="00064A93" w:rsidRPr="00BD18A1" w:rsidRDefault="00064A93" w:rsidP="00064A93">
      <w:pPr>
        <w:tabs>
          <w:tab w:val="left" w:pos="709"/>
        </w:tabs>
        <w:spacing w:after="120" w:line="276" w:lineRule="auto"/>
        <w:jc w:val="both"/>
        <w:rPr>
          <w:rFonts w:ascii="Arial" w:eastAsia="Calibri" w:hAnsi="Arial" w:cs="Arial"/>
          <w:color w:val="000000"/>
          <w:lang w:val="es-ES_tradnl"/>
        </w:rPr>
      </w:pPr>
      <w:r w:rsidRPr="00BD18A1">
        <w:rPr>
          <w:rFonts w:ascii="Arial" w:eastAsia="Calibri" w:hAnsi="Arial" w:cs="Arial"/>
          <w:bCs/>
          <w:color w:val="000000"/>
          <w:lang w:val="es-ES_tradnl"/>
        </w:rPr>
        <w:tab/>
        <w:t>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BD18A1">
        <w:rPr>
          <w:rStyle w:val="Refdenotaalpie"/>
          <w:rFonts w:ascii="Arial" w:eastAsia="Calibri" w:hAnsi="Arial" w:cs="Arial"/>
        </w:rPr>
        <w:footnoteReference w:id="10"/>
      </w:r>
      <w:r w:rsidRPr="00BD18A1">
        <w:rPr>
          <w:rFonts w:ascii="Arial" w:eastAsia="Calibri" w:hAnsi="Arial" w:cs="Arial"/>
          <w:bCs/>
          <w:color w:val="000000"/>
          <w:lang w:val="es-ES_tradnl"/>
        </w:rPr>
        <w:t xml:space="preserve">. </w:t>
      </w:r>
      <w:r w:rsidRPr="00BD18A1">
        <w:rPr>
          <w:rFonts w:ascii="Arial" w:eastAsia="Calibri" w:hAnsi="Arial" w:cs="Arial"/>
          <w:color w:val="000000"/>
          <w:lang w:val="es-ES_tradnl"/>
        </w:rPr>
        <w:t xml:space="preserve">Sin embargo, las leyes pueden modular sus efectos en el tiempo y establecer para el inicio de su entrada en vigencia un plazo o una condición. Cuando la entrada en vigencia está sometida a un plazo, el mero transcurso del periodo previsto en la norma activa sus efectos jurídicos. No obstante, las leyes pueden establecer no un plazo sino una condición para modular sus efectos en el tiempo. La condición más usual es someter la vigencia a la expedición de un reglamento. </w:t>
      </w:r>
    </w:p>
    <w:p w14:paraId="50A1E821" w14:textId="77777777" w:rsidR="007B2265" w:rsidRDefault="00064A93" w:rsidP="0013362D">
      <w:pPr>
        <w:tabs>
          <w:tab w:val="left" w:pos="709"/>
        </w:tabs>
        <w:spacing w:line="276" w:lineRule="auto"/>
        <w:jc w:val="both"/>
        <w:rPr>
          <w:rFonts w:ascii="Arial" w:eastAsia="Calibri" w:hAnsi="Arial" w:cs="Arial"/>
          <w:color w:val="000000"/>
          <w:lang w:val="es-ES_tradnl"/>
        </w:rPr>
      </w:pPr>
      <w:r w:rsidRPr="00BD18A1">
        <w:rPr>
          <w:rFonts w:ascii="Arial" w:eastAsia="Calibri" w:hAnsi="Arial" w:cs="Arial"/>
          <w:color w:val="000000"/>
          <w:lang w:val="es-ES_tradnl"/>
        </w:rPr>
        <w:tab/>
        <w:t xml:space="preserve">En este sentido, </w:t>
      </w:r>
      <w:bookmarkStart w:id="5" w:name="_Hlk101942903"/>
      <w:r w:rsidRPr="00BD18A1">
        <w:rPr>
          <w:rFonts w:ascii="Arial" w:eastAsia="Calibri" w:hAnsi="Arial" w:cs="Arial"/>
          <w:color w:val="000000"/>
          <w:lang w:val="es-ES_tradnl"/>
        </w:rPr>
        <w:t xml:space="preserve">el artículo 6 de la Ley 1920 de 2018 dispuso que el incentivo debía reglamentarse previamente para que el decreto definiera la </w:t>
      </w:r>
      <w:r w:rsidR="00C425FF" w:rsidRPr="00BD18A1">
        <w:rPr>
          <w:rFonts w:ascii="Arial" w:eastAsia="Calibri" w:hAnsi="Arial" w:cs="Arial"/>
          <w:color w:val="000000"/>
          <w:lang w:val="es-ES_tradnl"/>
        </w:rPr>
        <w:t>“</w:t>
      </w:r>
      <w:r w:rsidRPr="00BD18A1">
        <w:rPr>
          <w:rFonts w:ascii="Arial" w:eastAsia="Calibri" w:hAnsi="Arial" w:cs="Arial"/>
          <w:color w:val="000000"/>
          <w:lang w:val="es-ES_tradnl"/>
        </w:rPr>
        <w:t>[…]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r w:rsidR="00C425FF" w:rsidRPr="00BD18A1">
        <w:rPr>
          <w:rFonts w:ascii="Arial" w:eastAsia="Calibri" w:hAnsi="Arial" w:cs="Arial"/>
          <w:color w:val="000000"/>
          <w:lang w:val="es-ES_tradnl"/>
        </w:rPr>
        <w:t>”</w:t>
      </w:r>
      <w:r w:rsidRPr="00BD18A1">
        <w:rPr>
          <w:rFonts w:ascii="Arial" w:eastAsia="Calibri" w:hAnsi="Arial" w:cs="Arial"/>
          <w:color w:val="000000"/>
          <w:lang w:val="es-ES_tradnl"/>
        </w:rPr>
        <w:t xml:space="preserve">. </w:t>
      </w:r>
    </w:p>
    <w:p w14:paraId="52129EC6" w14:textId="38B69C96" w:rsidR="00064A93" w:rsidRPr="00BD18A1" w:rsidRDefault="00064A93" w:rsidP="0013362D">
      <w:pPr>
        <w:tabs>
          <w:tab w:val="left" w:pos="709"/>
        </w:tabs>
        <w:spacing w:line="276" w:lineRule="auto"/>
        <w:jc w:val="both"/>
        <w:rPr>
          <w:rFonts w:ascii="Arial" w:eastAsia="Calibri" w:hAnsi="Arial" w:cs="Arial"/>
          <w:color w:val="000000"/>
          <w:lang w:val="es-ES_tradnl"/>
        </w:rPr>
      </w:pPr>
      <w:r w:rsidRPr="00BD18A1">
        <w:rPr>
          <w:rFonts w:ascii="Arial" w:eastAsia="Calibri" w:hAnsi="Arial" w:cs="Arial"/>
          <w:color w:val="000000"/>
          <w:lang w:val="es-ES_tradnl"/>
        </w:rPr>
        <w:lastRenderedPageBreak/>
        <w:t xml:space="preserve">Así, la ley creó un incentivo, pero éste no podía aplicarse hasta tanto que no se cumpliera la condición deferida a la existencia del reglamento. Sobre este asunto, el Consejo de Estado considera: </w:t>
      </w:r>
    </w:p>
    <w:p w14:paraId="5CA9DEB3" w14:textId="6CAD1A4D" w:rsidR="00064A93" w:rsidRPr="00BD18A1" w:rsidRDefault="00064A93" w:rsidP="0013362D">
      <w:pPr>
        <w:shd w:val="clear" w:color="auto" w:fill="FFFFFF"/>
        <w:ind w:left="709" w:right="760"/>
        <w:jc w:val="both"/>
        <w:rPr>
          <w:rFonts w:ascii="Arial" w:eastAsia="Calibri" w:hAnsi="Arial" w:cs="Arial"/>
          <w:color w:val="000000"/>
          <w:sz w:val="21"/>
          <w:szCs w:val="21"/>
          <w:lang w:val="es-ES_tradnl"/>
        </w:rPr>
      </w:pPr>
      <w:r w:rsidRPr="00BD18A1">
        <w:rPr>
          <w:rFonts w:ascii="Arial" w:eastAsia="Calibri" w:hAnsi="Arial" w:cs="Arial"/>
          <w:color w:val="000000"/>
          <w:sz w:val="21"/>
          <w:szCs w:val="21"/>
          <w:lang w:val="es-ES_tradnl"/>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BD18A1">
        <w:rPr>
          <w:rStyle w:val="Refdenotaalpie"/>
          <w:rFonts w:ascii="Arial" w:eastAsia="Calibri" w:hAnsi="Arial" w:cs="Arial"/>
        </w:rPr>
        <w:footnoteReference w:id="11"/>
      </w:r>
      <w:r w:rsidRPr="00BD18A1">
        <w:rPr>
          <w:rFonts w:ascii="Arial" w:eastAsia="Calibri" w:hAnsi="Arial" w:cs="Arial"/>
          <w:color w:val="000000"/>
          <w:sz w:val="21"/>
          <w:szCs w:val="21"/>
          <w:lang w:val="es-ES_tradnl"/>
        </w:rPr>
        <w:t>.</w:t>
      </w:r>
    </w:p>
    <w:p w14:paraId="7BD163A6" w14:textId="77777777" w:rsidR="00064A93" w:rsidRPr="00BD18A1" w:rsidRDefault="00064A93" w:rsidP="00064A93">
      <w:pPr>
        <w:shd w:val="clear" w:color="auto" w:fill="FFFFFF"/>
        <w:spacing w:after="120" w:line="276" w:lineRule="auto"/>
        <w:ind w:right="51" w:firstLine="709"/>
        <w:jc w:val="both"/>
        <w:rPr>
          <w:rFonts w:ascii="Arial" w:eastAsia="Calibri" w:hAnsi="Arial" w:cs="Arial"/>
          <w:color w:val="000000"/>
          <w:lang w:val="es-ES_tradnl"/>
        </w:rPr>
      </w:pPr>
      <w:r w:rsidRPr="00BD18A1">
        <w:rPr>
          <w:rFonts w:ascii="Arial" w:eastAsia="Calibri" w:hAnsi="Arial" w:cs="Arial"/>
          <w:color w:val="000000"/>
          <w:lang w:val="es-ES_tradnl"/>
        </w:rPr>
        <w:t>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se analiza con otros elementos que obran en este sentido, como los antecedentes legislativos, es posible utilizar la referencia al reglamento como una prueba de que la ley moduló sus efectos en el tiempo y se encuentra sometida a condición.</w:t>
      </w:r>
    </w:p>
    <w:p w14:paraId="2AE8C35A" w14:textId="77777777" w:rsidR="00064A93" w:rsidRPr="00BD18A1" w:rsidRDefault="00064A93" w:rsidP="00064A93">
      <w:pPr>
        <w:shd w:val="clear" w:color="auto" w:fill="FFFFFF"/>
        <w:spacing w:after="120" w:line="276" w:lineRule="auto"/>
        <w:ind w:right="51" w:firstLine="709"/>
        <w:jc w:val="both"/>
        <w:rPr>
          <w:rFonts w:ascii="Arial" w:eastAsia="Calibri" w:hAnsi="Arial" w:cs="Arial"/>
          <w:bCs/>
          <w:color w:val="000000"/>
          <w:lang w:val="es-ES_tradnl"/>
        </w:rPr>
      </w:pPr>
      <w:r w:rsidRPr="00BD18A1">
        <w:rPr>
          <w:rFonts w:ascii="Arial" w:eastAsia="Calibri" w:hAnsi="Arial" w:cs="Arial"/>
          <w:color w:val="000000"/>
          <w:lang w:val="es-ES_tradnl"/>
        </w:rPr>
        <w:t xml:space="preserve">En tal sentido, el Congreso de la República dispuso la expedición de un decreto reglamentario para detallar el contenido del artículo 6 de la Ley 1920 de 2018. </w:t>
      </w:r>
      <w:r w:rsidRPr="00BD18A1">
        <w:rPr>
          <w:rFonts w:ascii="Arial" w:hAnsi="Arial" w:cs="Arial"/>
          <w:color w:val="000000"/>
          <w:lang w:val="es-ES_tradnl"/>
        </w:rPr>
        <w:t xml:space="preserve">En armonía con lo anterior, el Gobierno Nacional expidió la reglamentación respectiva mediante el Decreto 1279 de 2021, que inició su vigencia desde su publicación el 13 de octubre de dicho año. Por ello, mientras estuvo ausente el referido decreto existió una </w:t>
      </w:r>
      <w:r w:rsidRPr="00BD18A1">
        <w:rPr>
          <w:rFonts w:ascii="Arial" w:hAnsi="Arial" w:cs="Arial"/>
          <w:i/>
          <w:iCs/>
          <w:color w:val="000000"/>
          <w:lang w:val="es-ES_tradnl"/>
        </w:rPr>
        <w:t>laguna técnica</w:t>
      </w:r>
      <w:r w:rsidRPr="00BD18A1">
        <w:rPr>
          <w:rFonts w:ascii="Arial" w:hAnsi="Arial" w:cs="Arial"/>
          <w:color w:val="000000"/>
          <w:lang w:val="es-ES_tradnl"/>
        </w:rPr>
        <w:t xml:space="preserve"> que impedía aplicar el incentivo previsto en la ley</w:t>
      </w:r>
      <w:r w:rsidRPr="00BD18A1">
        <w:rPr>
          <w:rFonts w:ascii="Arial" w:hAnsi="Arial" w:cs="Arial"/>
          <w:bCs/>
          <w:color w:val="000000"/>
          <w:lang w:val="es-ES_tradnl"/>
        </w:rPr>
        <w:t xml:space="preserve">. </w:t>
      </w:r>
    </w:p>
    <w:bookmarkEnd w:id="5"/>
    <w:p w14:paraId="3E9B2AD6" w14:textId="77777777" w:rsidR="00064A93" w:rsidRPr="00BD18A1" w:rsidRDefault="00064A93" w:rsidP="00064A93">
      <w:pPr>
        <w:shd w:val="clear" w:color="auto" w:fill="FFFFFF"/>
        <w:spacing w:line="276" w:lineRule="auto"/>
        <w:ind w:right="51" w:firstLine="709"/>
        <w:jc w:val="both"/>
        <w:rPr>
          <w:rFonts w:ascii="Arial" w:eastAsia="Calibri" w:hAnsi="Arial" w:cs="Arial"/>
          <w:bCs/>
          <w:color w:val="000000"/>
          <w:lang w:val="es-ES_tradnl"/>
        </w:rPr>
      </w:pPr>
      <w:r w:rsidRPr="00BD18A1">
        <w:rPr>
          <w:rFonts w:ascii="Arial" w:eastAsia="Calibri" w:hAnsi="Arial" w:cs="Arial"/>
          <w:bCs/>
          <w:color w:val="000000"/>
          <w:lang w:val="es-ES_tradnl"/>
        </w:rPr>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establezcan puntajes adicionales en los procesos de licitación pública que se inicien para la contratación de los servicios que prestan las empresas  y cooperativas de vigilancia y seguridad privada, cuando estos proveedores acrediten que dentro de su personal operativo cuentan con mujeres, personas con discapacidad y personas mayores de 45 años vinculadas con todas las garantías que establece la ley</w:t>
      </w:r>
      <w:r w:rsidRPr="00BD18A1">
        <w:rPr>
          <w:rStyle w:val="Refdenotaalpie"/>
          <w:rFonts w:ascii="Arial" w:hAnsi="Arial" w:cs="Arial"/>
        </w:rPr>
        <w:footnoteReference w:id="12"/>
      </w:r>
      <w:r w:rsidRPr="00BD18A1">
        <w:rPr>
          <w:rFonts w:ascii="Arial" w:eastAsia="Calibri" w:hAnsi="Arial" w:cs="Arial"/>
          <w:bCs/>
          <w:color w:val="000000"/>
          <w:lang w:val="es-ES_tradnl"/>
        </w:rPr>
        <w:t xml:space="preserve">.  </w:t>
      </w:r>
    </w:p>
    <w:p w14:paraId="61C73718" w14:textId="77777777" w:rsidR="00064A93" w:rsidRPr="00BD18A1" w:rsidRDefault="00064A93" w:rsidP="00064A93">
      <w:pPr>
        <w:shd w:val="clear" w:color="auto" w:fill="FFFFFF"/>
        <w:spacing w:line="276" w:lineRule="auto"/>
        <w:ind w:right="51" w:firstLine="709"/>
        <w:jc w:val="both"/>
        <w:rPr>
          <w:rFonts w:ascii="Arial" w:eastAsia="Calibri" w:hAnsi="Arial" w:cs="Arial"/>
          <w:bCs/>
          <w:color w:val="000000"/>
          <w:lang w:val="es-ES_tradnl"/>
        </w:rPr>
      </w:pPr>
      <w:r w:rsidRPr="00BD18A1">
        <w:rPr>
          <w:rFonts w:ascii="Arial" w:eastAsia="Calibri" w:hAnsi="Arial" w:cs="Arial"/>
          <w:bCs/>
          <w:color w:val="000000"/>
          <w:lang w:val="es-ES_tradnl"/>
        </w:rPr>
        <w:lastRenderedPageBreak/>
        <w:t xml:space="preserve">Aunque </w:t>
      </w:r>
      <w:r w:rsidRPr="00BD18A1">
        <w:rPr>
          <w:rFonts w:ascii="Arial" w:eastAsia="Calibri" w:hAnsi="Arial" w:cs="Arial"/>
          <w:color w:val="000000"/>
          <w:lang w:val="es-ES_tradnl"/>
        </w:rPr>
        <w:t>el artículo 6 de la Ley 1920 de 2018 también se refiere a la regulación de un puntaje adicional en los procesos de concurso de méritos y contratación directa, es necesario tener en cuenta que –de acuerdo con la memoria justificativa del decreto reglamentario– este se limita a la licitación pública. Lo anterior en la medida que, por un lado, los servicios de vigilancia no hacen parte del objeto de los contratos de consultoría y, por tanto, no se contratan a través del concurso de méritos y que, por otro, en la contratación directa no existe ponderación ni comparación entre diferentes propuestas, ya que es un proceso con un único oferente, pero no significa que se garantice un estudio del sector o del mercado</w:t>
      </w:r>
      <w:r w:rsidRPr="00BD18A1">
        <w:rPr>
          <w:rStyle w:val="Refdenotaalpie"/>
          <w:rFonts w:ascii="Arial" w:eastAsia="Calibri" w:hAnsi="Arial" w:cs="Arial"/>
        </w:rPr>
        <w:footnoteReference w:id="13"/>
      </w:r>
      <w:r w:rsidRPr="00BD18A1">
        <w:rPr>
          <w:rFonts w:ascii="Arial" w:eastAsia="Calibri" w:hAnsi="Arial" w:cs="Arial"/>
          <w:color w:val="000000"/>
          <w:lang w:val="es-ES_tradnl"/>
        </w:rPr>
        <w:t xml:space="preserve">.  </w:t>
      </w:r>
      <w:bookmarkStart w:id="6" w:name="_Hlk69580333"/>
    </w:p>
    <w:p w14:paraId="32998E61" w14:textId="4B2846FB" w:rsidR="00064A93" w:rsidRPr="00BD18A1" w:rsidRDefault="00600136" w:rsidP="0021618B">
      <w:pPr>
        <w:shd w:val="clear" w:color="auto" w:fill="FFFFFF"/>
        <w:spacing w:line="276" w:lineRule="auto"/>
        <w:ind w:right="51" w:firstLine="708"/>
        <w:jc w:val="both"/>
        <w:rPr>
          <w:rFonts w:ascii="Arial" w:eastAsia="Calibri" w:hAnsi="Arial" w:cs="Arial"/>
          <w:b/>
          <w:lang w:val="es-ES_tradnl"/>
        </w:rPr>
      </w:pPr>
      <w:r w:rsidRPr="008B1B15">
        <w:rPr>
          <w:rFonts w:ascii="Arial" w:eastAsia="Calibri" w:hAnsi="Arial" w:cs="Arial"/>
          <w:bCs/>
          <w:color w:val="000000"/>
          <w:lang w:val="es-ES_tradnl"/>
        </w:rPr>
        <w:t xml:space="preserve">Aunque </w:t>
      </w:r>
      <w:r w:rsidRPr="008B1B15">
        <w:rPr>
          <w:rFonts w:ascii="Arial" w:eastAsia="Calibri" w:hAnsi="Arial" w:cs="Arial"/>
          <w:color w:val="000000"/>
          <w:lang w:val="es-ES_tradnl"/>
        </w:rPr>
        <w:t>el artículo 6 de la Ley 1920 de 2018 también se refiere a la regulación de un puntaje adicional en los procesos de concurso de méritos y contratación directa, es necesario tener en cuenta que –de acuerdo con la memoria justificativa del decreto reglamentario– este se limita a la licitación pública. Lo anterior en la medida que, por un lado, los servicios de vigilancia no hacen parte del objeto de los contratos de consultoría y, por tanto, no se contratan a través del concurso de méritos y que, por otro, en la contratación directa no existe ponderación ni comparación entre diferentes propuestas, ya que es un proceso con un único oferente, pero no significa que se garantice un estudio del sector o del mercado</w:t>
      </w:r>
    </w:p>
    <w:p w14:paraId="388DD34B" w14:textId="77777777" w:rsidR="00FD6BC5" w:rsidRDefault="00FD6BC5" w:rsidP="00B1197B">
      <w:pPr>
        <w:shd w:val="clear" w:color="auto" w:fill="FFFFFF"/>
        <w:spacing w:after="0" w:line="276" w:lineRule="auto"/>
        <w:ind w:right="51"/>
        <w:jc w:val="both"/>
        <w:rPr>
          <w:rFonts w:ascii="Arial" w:eastAsia="Calibri" w:hAnsi="Arial" w:cs="Arial"/>
          <w:b/>
          <w:lang w:val="es-ES_tradnl"/>
        </w:rPr>
      </w:pPr>
    </w:p>
    <w:p w14:paraId="58EFBFEB" w14:textId="7E5FB41E" w:rsidR="00B1197B" w:rsidRPr="00BD18A1" w:rsidRDefault="00064A93" w:rsidP="00B1197B">
      <w:pPr>
        <w:shd w:val="clear" w:color="auto" w:fill="FFFFFF"/>
        <w:spacing w:after="0" w:line="276" w:lineRule="auto"/>
        <w:ind w:right="51"/>
        <w:jc w:val="both"/>
        <w:rPr>
          <w:rFonts w:ascii="Arial" w:eastAsia="Calibri" w:hAnsi="Arial" w:cs="Arial"/>
          <w:b/>
          <w:lang w:val="es-ES_tradnl"/>
        </w:rPr>
      </w:pPr>
      <w:r w:rsidRPr="00BD18A1">
        <w:rPr>
          <w:rFonts w:ascii="Arial" w:eastAsia="Calibri" w:hAnsi="Arial" w:cs="Arial"/>
          <w:b/>
          <w:lang w:val="es-ES_tradnl"/>
        </w:rPr>
        <w:t>2.</w:t>
      </w:r>
      <w:r w:rsidR="0013362D" w:rsidRPr="00BD18A1">
        <w:rPr>
          <w:rFonts w:ascii="Arial" w:eastAsia="Calibri" w:hAnsi="Arial" w:cs="Arial"/>
          <w:b/>
          <w:lang w:val="es-ES_tradnl"/>
        </w:rPr>
        <w:t>5</w:t>
      </w:r>
      <w:r w:rsidRPr="00BD18A1">
        <w:rPr>
          <w:rFonts w:ascii="Arial" w:eastAsia="Calibri" w:hAnsi="Arial" w:cs="Arial"/>
          <w:b/>
          <w:lang w:val="es-ES_tradnl"/>
        </w:rPr>
        <w:t>. Criterios y condiciones para la acreditación de los incentivos dispuestos en el Decreto 1279 de 2021</w:t>
      </w:r>
    </w:p>
    <w:p w14:paraId="75F76EC4" w14:textId="77777777" w:rsidR="00B1197B" w:rsidRPr="00BD18A1" w:rsidRDefault="00B1197B" w:rsidP="00B1197B">
      <w:pPr>
        <w:shd w:val="clear" w:color="auto" w:fill="FFFFFF"/>
        <w:spacing w:after="0" w:line="276" w:lineRule="auto"/>
        <w:ind w:right="51"/>
        <w:jc w:val="both"/>
        <w:rPr>
          <w:rFonts w:ascii="Arial" w:eastAsia="Calibri" w:hAnsi="Arial" w:cs="Arial"/>
          <w:b/>
          <w:lang w:val="es-ES_tradnl"/>
        </w:rPr>
      </w:pPr>
    </w:p>
    <w:p w14:paraId="56325034" w14:textId="30D79421" w:rsidR="00064A93" w:rsidRPr="00BD18A1" w:rsidRDefault="00064A93" w:rsidP="00B1197B">
      <w:pPr>
        <w:shd w:val="clear" w:color="auto" w:fill="FFFFFF"/>
        <w:spacing w:after="0" w:line="276" w:lineRule="auto"/>
        <w:ind w:right="51"/>
        <w:jc w:val="both"/>
        <w:rPr>
          <w:rFonts w:ascii="Arial" w:hAnsi="Arial" w:cs="Arial"/>
          <w:bCs/>
          <w:shd w:val="clear" w:color="auto" w:fill="FFFFFF"/>
        </w:rPr>
      </w:pPr>
      <w:r w:rsidRPr="00BD18A1">
        <w:rPr>
          <w:rFonts w:ascii="Arial" w:eastAsia="Calibri" w:hAnsi="Arial" w:cs="Arial"/>
          <w:lang w:val="es-ES_tradnl"/>
        </w:rPr>
        <w:t xml:space="preserve">El Decreto 1279 de 2021, </w:t>
      </w:r>
      <w:r w:rsidR="00B1197B" w:rsidRPr="00BD18A1">
        <w:rPr>
          <w:rFonts w:ascii="Arial" w:eastAsia="Arial" w:hAnsi="Arial" w:cs="Arial"/>
          <w:lang w:val="es-ES_tradnl"/>
        </w:rPr>
        <w:t>“</w:t>
      </w:r>
      <w:r w:rsidRPr="00BD18A1">
        <w:rPr>
          <w:rFonts w:ascii="Arial" w:hAnsi="Arial" w:cs="Arial"/>
          <w:bCs/>
          <w:shd w:val="clear" w:color="auto" w:fill="FFFFFF"/>
        </w:rPr>
        <w:t>Por el cual se reglamenta el artículo 6° de la Ley 1920 de 2018 y se adicionan unos artículos a la Subsección 2 de la Sección 4 del Capítulo 2 del Título 1 de la Parte 2 del Libro 2 del Decreto 1082 de 2015, Único Reglamentario del Sector Administrativo de Planeación Nacional</w:t>
      </w:r>
      <w:r w:rsidR="00B1197B" w:rsidRPr="00BD18A1">
        <w:rPr>
          <w:rFonts w:ascii="Arial" w:hAnsi="Arial" w:cs="Arial"/>
          <w:bCs/>
          <w:sz w:val="21"/>
          <w:szCs w:val="21"/>
          <w:lang w:val="es-ES_tradnl"/>
        </w:rPr>
        <w:t>”</w:t>
      </w:r>
      <w:r w:rsidRPr="00BD18A1">
        <w:rPr>
          <w:rFonts w:ascii="Arial" w:hAnsi="Arial" w:cs="Arial"/>
          <w:bCs/>
          <w:shd w:val="clear" w:color="auto" w:fill="FFFFFF"/>
        </w:rPr>
        <w:t xml:space="preserve">, establece la regulación de un puntaje adicional </w:t>
      </w:r>
      <w:r w:rsidRPr="00BD18A1">
        <w:rPr>
          <w:rFonts w:ascii="Arial" w:hAnsi="Arial" w:cs="Arial"/>
          <w:shd w:val="clear" w:color="auto" w:fill="FFFFFF"/>
        </w:rPr>
        <w:t xml:space="preserve">para los procesos de licitación pública para las empresas y las cooperativas de vigilancia y seguridad privada, que, en su personal operativo, tengan contratados con todas las exigencias y garantías legalmente establecidas a mujeres, personas con discapacidad y personas mayores de 45 años. En este </w:t>
      </w:r>
      <w:r w:rsidRPr="00BD18A1">
        <w:rPr>
          <w:rFonts w:ascii="Arial" w:hAnsi="Arial" w:cs="Arial"/>
          <w:shd w:val="clear" w:color="auto" w:fill="FFFFFF"/>
        </w:rPr>
        <w:lastRenderedPageBreak/>
        <w:t>sentido, el artículo</w:t>
      </w:r>
      <w:r w:rsidRPr="00BD18A1">
        <w:rPr>
          <w:rFonts w:ascii="Arial" w:hAnsi="Arial" w:cs="Arial"/>
          <w:bCs/>
          <w:shd w:val="clear" w:color="auto" w:fill="FFFFFF"/>
        </w:rPr>
        <w:t xml:space="preserve"> 2.2.1.2.4.2.10, que fue adicionado en el Decreto 1082 de 2015, dispone que se otorga hasta el tres por ciento (3%) del total de los puntos establecidos en el pliego de condiciones, de acuerdo con los siguientes criterios: </w:t>
      </w:r>
    </w:p>
    <w:p w14:paraId="40DF00B6" w14:textId="77777777" w:rsidR="00E5481F" w:rsidRPr="00BD18A1" w:rsidRDefault="00E5481F" w:rsidP="00B1197B">
      <w:pPr>
        <w:shd w:val="clear" w:color="auto" w:fill="FFFFFF"/>
        <w:spacing w:after="0" w:line="276" w:lineRule="auto"/>
        <w:ind w:right="51"/>
        <w:jc w:val="both"/>
        <w:rPr>
          <w:rFonts w:ascii="Arial" w:eastAsia="Calibri" w:hAnsi="Arial" w:cs="Arial"/>
          <w:b/>
          <w:lang w:val="es-ES_tradnl"/>
        </w:rPr>
      </w:pPr>
    </w:p>
    <w:p w14:paraId="0216262F" w14:textId="77777777" w:rsidR="00805698" w:rsidRDefault="00064A93" w:rsidP="00064A93">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D18A1">
        <w:rPr>
          <w:rFonts w:ascii="Arial" w:hAnsi="Arial" w:cs="Arial"/>
          <w:sz w:val="22"/>
          <w:szCs w:val="22"/>
        </w:rPr>
        <w:t xml:space="preserve">Se otorga hasta un uno por ciento (1%) al proponente o proponentes que acrediten tener dentro de su personal operativo </w:t>
      </w:r>
      <w:r w:rsidRPr="00BD18A1">
        <w:rPr>
          <w:rFonts w:ascii="Arial" w:hAnsi="Arial" w:cs="Arial"/>
          <w:b/>
          <w:bCs/>
          <w:sz w:val="22"/>
          <w:szCs w:val="22"/>
        </w:rPr>
        <w:t>personas con discapacidad vinculadas</w:t>
      </w:r>
      <w:r w:rsidRPr="00BD18A1">
        <w:rPr>
          <w:rFonts w:ascii="Arial" w:hAnsi="Arial" w:cs="Arial"/>
          <w:sz w:val="22"/>
          <w:szCs w:val="22"/>
        </w:rPr>
        <w:t xml:space="preserve">, de la siguiente manera: </w:t>
      </w:r>
    </w:p>
    <w:p w14:paraId="14BB60E0" w14:textId="719F29DE" w:rsidR="00064A93" w:rsidRPr="00BD18A1" w:rsidRDefault="00064A93" w:rsidP="00064A93">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BD18A1">
        <w:rPr>
          <w:rFonts w:ascii="Arial" w:hAnsi="Arial" w:cs="Arial"/>
          <w:sz w:val="22"/>
          <w:szCs w:val="22"/>
        </w:rPr>
        <w:t xml:space="preserve">a) El cero punto cinco por ciento (0,5%) se le brinda al proponente o proponentes que acrediten el mayor </w:t>
      </w:r>
      <w:r w:rsidRPr="00BD18A1">
        <w:rPr>
          <w:rFonts w:ascii="Arial" w:hAnsi="Arial" w:cs="Arial"/>
          <w:i/>
          <w:iCs/>
          <w:sz w:val="22"/>
          <w:szCs w:val="22"/>
        </w:rPr>
        <w:t>porcentaje de personas con discapacidad vinculadas</w:t>
      </w:r>
      <w:r w:rsidRPr="00BD18A1">
        <w:rPr>
          <w:rFonts w:ascii="Arial" w:hAnsi="Arial" w:cs="Arial"/>
          <w:sz w:val="22"/>
          <w:szCs w:val="22"/>
        </w:rPr>
        <w:t xml:space="preserve"> dentro de su personal operativo. A los demás proponentes se les otorga un puntaje proporcional de acuerdo con la siguiente fórmula:</w:t>
      </w:r>
      <w:r w:rsidRPr="00BD18A1">
        <w:rPr>
          <w:rFonts w:ascii="Arial" w:hAnsi="Arial" w:cs="Arial"/>
          <w:sz w:val="22"/>
          <w:szCs w:val="22"/>
          <w:lang w:eastAsia="en-US"/>
        </w:rPr>
        <w:t xml:space="preserve"> </w:t>
      </w:r>
    </w:p>
    <w:p w14:paraId="73803628" w14:textId="77777777" w:rsidR="00064A93" w:rsidRPr="00BD18A1" w:rsidRDefault="00064A93" w:rsidP="00064A93">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BD18A1">
        <w:rPr>
          <w:rFonts w:ascii="Arial" w:hAnsi="Arial" w:cs="Arial"/>
          <w:noProof/>
        </w:rPr>
        <w:drawing>
          <wp:inline distT="0" distB="0" distL="0" distR="0" wp14:anchorId="6AA8B329" wp14:editId="64EE243A">
            <wp:extent cx="4085492" cy="441000"/>
            <wp:effectExtent l="0" t="0" r="0" b="0"/>
            <wp:docPr id="14" name="Imagen 1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exto&#10;&#10;Descripción generada automáticamente con confianza m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03125" cy="442903"/>
                    </a:xfrm>
                    <a:prstGeom prst="rect">
                      <a:avLst/>
                    </a:prstGeom>
                    <a:noFill/>
                    <a:ln>
                      <a:noFill/>
                    </a:ln>
                  </pic:spPr>
                </pic:pic>
              </a:graphicData>
            </a:graphic>
          </wp:inline>
        </w:drawing>
      </w:r>
    </w:p>
    <w:p w14:paraId="18AA92FF" w14:textId="77777777" w:rsidR="00064A93" w:rsidRPr="00BD18A1" w:rsidRDefault="00064A93" w:rsidP="00064A93">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BD18A1">
        <w:rPr>
          <w:rFonts w:ascii="Arial" w:hAnsi="Arial" w:cs="Arial"/>
          <w:sz w:val="22"/>
          <w:szCs w:val="22"/>
          <w:lang w:eastAsia="en-US"/>
        </w:rPr>
        <w:t>B)</w:t>
      </w:r>
      <w:r w:rsidRPr="00BD18A1">
        <w:rPr>
          <w:rFonts w:ascii="Arial" w:hAnsi="Arial" w:cs="Arial"/>
          <w:sz w:val="22"/>
          <w:szCs w:val="22"/>
        </w:rPr>
        <w:t xml:space="preserve"> El cero punto cinco por ciento (0,5%) se brinda al proponente o proponentes que acrediten mayor </w:t>
      </w:r>
      <w:r w:rsidRPr="00BD18A1">
        <w:rPr>
          <w:rFonts w:ascii="Arial" w:hAnsi="Arial" w:cs="Arial"/>
          <w:i/>
          <w:iCs/>
          <w:sz w:val="22"/>
          <w:szCs w:val="22"/>
        </w:rPr>
        <w:t>número de personas con discapacidad vinculadas</w:t>
      </w:r>
      <w:r w:rsidRPr="00BD18A1">
        <w:rPr>
          <w:rFonts w:ascii="Arial" w:hAnsi="Arial" w:cs="Arial"/>
          <w:sz w:val="22"/>
          <w:szCs w:val="22"/>
        </w:rPr>
        <w:t xml:space="preserve"> dentro de su personal operativo. A los demás proponentes se les otorga un puntaje proporcional de acuerdo con la siguiente fórmula:</w:t>
      </w:r>
      <w:r w:rsidRPr="00BD18A1">
        <w:rPr>
          <w:rFonts w:ascii="Arial" w:hAnsi="Arial" w:cs="Arial"/>
          <w:sz w:val="22"/>
          <w:szCs w:val="22"/>
          <w:lang w:eastAsia="en-US"/>
        </w:rPr>
        <w:t xml:space="preserve"> </w:t>
      </w:r>
    </w:p>
    <w:p w14:paraId="62D5FADB" w14:textId="77777777" w:rsidR="00064A93" w:rsidRDefault="00064A93" w:rsidP="00064A93">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BD18A1">
        <w:rPr>
          <w:rFonts w:ascii="Arial" w:hAnsi="Arial" w:cs="Arial"/>
          <w:noProof/>
        </w:rPr>
        <w:drawing>
          <wp:inline distT="0" distB="0" distL="0" distR="0" wp14:anchorId="1EF0BA56" wp14:editId="142932FC">
            <wp:extent cx="4032738" cy="459033"/>
            <wp:effectExtent l="0" t="0" r="0" b="0"/>
            <wp:docPr id="15" name="Imagen 15"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abla&#10;&#10;Descripción generada automáticamente con confianza m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71925" cy="463493"/>
                    </a:xfrm>
                    <a:prstGeom prst="rect">
                      <a:avLst/>
                    </a:prstGeom>
                    <a:noFill/>
                    <a:ln>
                      <a:noFill/>
                    </a:ln>
                  </pic:spPr>
                </pic:pic>
              </a:graphicData>
            </a:graphic>
          </wp:inline>
        </w:drawing>
      </w:r>
    </w:p>
    <w:p w14:paraId="19BC44A1" w14:textId="77777777" w:rsidR="00027BB2" w:rsidRDefault="00001C3C" w:rsidP="00001C3C">
      <w:pPr>
        <w:pStyle w:val="NormalWeb"/>
        <w:shd w:val="clear" w:color="auto" w:fill="FFFFFF"/>
        <w:spacing w:before="0" w:beforeAutospacing="0" w:after="120" w:afterAutospacing="0" w:line="276" w:lineRule="auto"/>
        <w:jc w:val="both"/>
        <w:rPr>
          <w:rFonts w:ascii="Arial" w:hAnsi="Arial" w:cs="Arial"/>
          <w:sz w:val="22"/>
          <w:szCs w:val="22"/>
        </w:rPr>
      </w:pPr>
      <w:r w:rsidRPr="008B1B15">
        <w:rPr>
          <w:rFonts w:ascii="Arial" w:hAnsi="Arial" w:cs="Arial"/>
          <w:sz w:val="22"/>
          <w:szCs w:val="22"/>
        </w:rPr>
        <w:t xml:space="preserve">Como se nota, el Decreto 1279 de 2021 determina dos supuestos de hecho que deben ser valorados por la entidad contratante para determinar a cuál o cuáles de los proponentes debe beneficiar con el otorgamiento de los puntajes adicionales. Así, por una parte, determinará cuál o cuáles de las empresas proponentes cuenta con el mayor </w:t>
      </w:r>
      <w:r w:rsidRPr="008B1B15">
        <w:rPr>
          <w:rFonts w:ascii="Arial" w:hAnsi="Arial" w:cs="Arial"/>
          <w:i/>
          <w:iCs/>
          <w:sz w:val="22"/>
          <w:szCs w:val="22"/>
        </w:rPr>
        <w:t>porcentaje</w:t>
      </w:r>
      <w:r w:rsidRPr="008B1B15">
        <w:rPr>
          <w:rFonts w:ascii="Arial" w:hAnsi="Arial" w:cs="Arial"/>
          <w:sz w:val="22"/>
          <w:szCs w:val="22"/>
        </w:rPr>
        <w:t xml:space="preserve"> de mujeres vinculadas a su personal operativo. En este caso, lo que se analiza es la proporción porcentual entre el total de trabajadores operativos y la cantidad de mujeres, lo cual permita deducir un determinado porcentaje que luego será comparado con el porcentaje de cada uno de los demás proponentes. </w:t>
      </w:r>
    </w:p>
    <w:p w14:paraId="283512CE" w14:textId="6371A463" w:rsidR="00001C3C" w:rsidRPr="008B1B15" w:rsidRDefault="00001C3C" w:rsidP="00001C3C">
      <w:pPr>
        <w:pStyle w:val="NormalWeb"/>
        <w:shd w:val="clear" w:color="auto" w:fill="FFFFFF"/>
        <w:spacing w:before="0" w:beforeAutospacing="0" w:after="120" w:afterAutospacing="0" w:line="276" w:lineRule="auto"/>
        <w:jc w:val="both"/>
        <w:rPr>
          <w:rFonts w:ascii="Arial" w:hAnsi="Arial" w:cs="Arial"/>
          <w:sz w:val="22"/>
          <w:szCs w:val="22"/>
        </w:rPr>
      </w:pPr>
      <w:r w:rsidRPr="008B1B15">
        <w:rPr>
          <w:rFonts w:ascii="Arial" w:hAnsi="Arial" w:cs="Arial"/>
          <w:sz w:val="22"/>
          <w:szCs w:val="22"/>
        </w:rPr>
        <w:t xml:space="preserve">De esta manera, el beneficio del otorgamiento del puntaje máximo adicional será otorgado a la empresa que cuente con el mayor porcentaje. Pero no solo accede a dicho beneficio la empresa que cuente con el mayor porcentaje de mujeres vinculadas al personal operativo, sino que, además, les será otorgado al proponente que cuente con el mayor </w:t>
      </w:r>
      <w:r w:rsidRPr="008B1B15">
        <w:rPr>
          <w:rFonts w:ascii="Arial" w:hAnsi="Arial" w:cs="Arial"/>
          <w:i/>
          <w:iCs/>
          <w:sz w:val="22"/>
          <w:szCs w:val="22"/>
        </w:rPr>
        <w:t>número</w:t>
      </w:r>
      <w:r w:rsidRPr="008B1B15">
        <w:rPr>
          <w:rFonts w:ascii="Arial" w:hAnsi="Arial" w:cs="Arial"/>
          <w:sz w:val="22"/>
          <w:szCs w:val="22"/>
        </w:rPr>
        <w:t xml:space="preserve"> de mujeres vinculadas al personal operativo. </w:t>
      </w:r>
    </w:p>
    <w:p w14:paraId="171F296D" w14:textId="77777777" w:rsidR="00001C3C" w:rsidRPr="008B1B15"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t xml:space="preserve">Nótese como los criterios para asignar el puntaje adicional son distintos en uno y otro caso, ya que mientras en el primero, lo determinante a efectos de otorgar el beneficio será el porcentaje, en el segundo evento no importa el valor porcentual o la proporción sino el total de mujeres vinculadas. De tal manera que el análisis que la entidad contratante debe realizar es doble, ya que por un lado deberá revisar el porcentaje que en cada empresa está conformado </w:t>
      </w:r>
      <w:r w:rsidRPr="008B1B15">
        <w:rPr>
          <w:rFonts w:ascii="Arial" w:hAnsi="Arial" w:cs="Arial"/>
          <w:sz w:val="22"/>
          <w:szCs w:val="22"/>
        </w:rPr>
        <w:lastRenderedPageBreak/>
        <w:t xml:space="preserve">por mujeres en el personal operativo y, por otro, el número total de mujeres vinculadas a dicho personal. </w:t>
      </w:r>
    </w:p>
    <w:p w14:paraId="2185041B" w14:textId="77777777" w:rsidR="00001C3C" w:rsidRPr="008B1B15"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t>En ese sentido, podría suceder que la misma empresa proponente cumpla con los dos requisitos y, por ende, acceda al 1% total de puntos adicionales, por cuanto, por un lado, cuenta con el mayor porcentaje de mujeres en su planta operativa y, además, la cantidad de mujeres vinculadas al personal operativo es mayor que las cantidades acreditadas por los demás proponentes. Pero también podría pasar que los beneficios por la proporción o porcentaje, por un lado, y por el número total de mujeres vinculadas, por el otro, sean otorgados a distintos proponentes, porque, por ejemplo, pese a que cierta  empresa cuenta con mayor número total de mujeres viculadas al personal operativo, la comparación con el número total de sus trabajadores arroje un porcentaje menor al que sea acreditado por una empresa con un número total de mujeres menor, pero con una proporción mayor. Lo anterior, sin perjuicio de que a los demás proponentes que no obtengan el máximo puntaje se les asignen los puntos respectivos, de acuerdo con las fórmulas establecidas en el artículo 2.2.1.2.4.2.10. del Decreto 1082 de 2015.</w:t>
      </w:r>
    </w:p>
    <w:p w14:paraId="4533180F" w14:textId="77777777" w:rsidR="00BE030C"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b/>
          <w:bCs/>
          <w:sz w:val="22"/>
          <w:szCs w:val="22"/>
        </w:rPr>
        <w:t>ii)</w:t>
      </w:r>
      <w:r w:rsidRPr="008B1B15">
        <w:rPr>
          <w:rFonts w:ascii="Arial" w:hAnsi="Arial" w:cs="Arial"/>
          <w:sz w:val="22"/>
          <w:szCs w:val="22"/>
        </w:rPr>
        <w:t xml:space="preserve"> Se otorga hasta un uno por ciento (1%) al proponente o proponentes que acrediten tener dentro de su personal operativo personas con discapacidad vinculadas, de la siguiente manera:</w:t>
      </w:r>
    </w:p>
    <w:p w14:paraId="06FB3A8E" w14:textId="14275D4D" w:rsidR="00001C3C" w:rsidRPr="008B1B15"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8B1B15">
        <w:rPr>
          <w:rFonts w:ascii="Arial" w:hAnsi="Arial" w:cs="Arial"/>
          <w:sz w:val="22"/>
          <w:szCs w:val="22"/>
        </w:rPr>
        <w:t xml:space="preserve"> a) El cero punto cinco por ciento (0,5%) se le brinda al proponente o proponentes que acrediten el mayor </w:t>
      </w:r>
      <w:r w:rsidRPr="008B1B15">
        <w:rPr>
          <w:rFonts w:ascii="Arial" w:hAnsi="Arial" w:cs="Arial"/>
          <w:i/>
          <w:iCs/>
          <w:sz w:val="22"/>
          <w:szCs w:val="22"/>
        </w:rPr>
        <w:t>porcentaje de personas con discapacidad vinculadas</w:t>
      </w:r>
      <w:r w:rsidRPr="008B1B15">
        <w:rPr>
          <w:rFonts w:ascii="Arial" w:hAnsi="Arial" w:cs="Arial"/>
          <w:sz w:val="22"/>
          <w:szCs w:val="22"/>
        </w:rPr>
        <w:t xml:space="preserve"> dentro de su personal operativo. A los demás proponentes se les otorga un puntaje proporcional de acuerdo con la siguiente fórmula:</w:t>
      </w:r>
      <w:r w:rsidRPr="008B1B15">
        <w:rPr>
          <w:rFonts w:ascii="Arial" w:hAnsi="Arial" w:cs="Arial"/>
          <w:sz w:val="22"/>
          <w:szCs w:val="22"/>
          <w:lang w:eastAsia="en-US"/>
        </w:rPr>
        <w:t xml:space="preserve"> </w:t>
      </w:r>
    </w:p>
    <w:p w14:paraId="6F021CA5" w14:textId="77777777" w:rsidR="00001C3C" w:rsidRPr="008B1B15"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3833EA">
        <w:rPr>
          <w:rFonts w:ascii="Arial" w:hAnsi="Arial" w:cs="Arial"/>
          <w:noProof/>
        </w:rPr>
        <w:drawing>
          <wp:inline distT="0" distB="0" distL="0" distR="0" wp14:anchorId="3CAC359D" wp14:editId="3591919E">
            <wp:extent cx="4085492" cy="441000"/>
            <wp:effectExtent l="0" t="0" r="0" b="0"/>
            <wp:docPr id="817164712" name="Imagen 81716471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exto&#10;&#10;Descripción generada automáticamente con confianza m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03125" cy="442903"/>
                    </a:xfrm>
                    <a:prstGeom prst="rect">
                      <a:avLst/>
                    </a:prstGeom>
                    <a:noFill/>
                    <a:ln>
                      <a:noFill/>
                    </a:ln>
                  </pic:spPr>
                </pic:pic>
              </a:graphicData>
            </a:graphic>
          </wp:inline>
        </w:drawing>
      </w:r>
    </w:p>
    <w:p w14:paraId="3F11D596" w14:textId="77777777" w:rsidR="00001C3C" w:rsidRPr="008B1B15"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8B1B15">
        <w:rPr>
          <w:rFonts w:ascii="Arial" w:hAnsi="Arial" w:cs="Arial"/>
          <w:sz w:val="22"/>
          <w:szCs w:val="22"/>
          <w:lang w:eastAsia="en-US"/>
        </w:rPr>
        <w:t>B)</w:t>
      </w:r>
      <w:r w:rsidRPr="008B1B15">
        <w:rPr>
          <w:rFonts w:ascii="Arial" w:hAnsi="Arial" w:cs="Arial"/>
          <w:sz w:val="22"/>
          <w:szCs w:val="22"/>
        </w:rPr>
        <w:t xml:space="preserve"> El cero punto cinco por ciento (0,5%) se brinda al proponente o proponentes que acrediten mayor </w:t>
      </w:r>
      <w:r w:rsidRPr="008B1B15">
        <w:rPr>
          <w:rFonts w:ascii="Arial" w:hAnsi="Arial" w:cs="Arial"/>
          <w:i/>
          <w:iCs/>
          <w:sz w:val="22"/>
          <w:szCs w:val="22"/>
        </w:rPr>
        <w:t>número de personas con discapacidad vinculadas</w:t>
      </w:r>
      <w:r w:rsidRPr="008B1B15">
        <w:rPr>
          <w:rFonts w:ascii="Arial" w:hAnsi="Arial" w:cs="Arial"/>
          <w:sz w:val="22"/>
          <w:szCs w:val="22"/>
        </w:rPr>
        <w:t xml:space="preserve"> dentro de su personal operativo. A los demás proponentes se les otorga un puntaje proporcional de acuerdo con la siguiente fórmula:</w:t>
      </w:r>
      <w:r w:rsidRPr="008B1B15">
        <w:rPr>
          <w:rFonts w:ascii="Arial" w:hAnsi="Arial" w:cs="Arial"/>
          <w:sz w:val="22"/>
          <w:szCs w:val="22"/>
          <w:lang w:eastAsia="en-US"/>
        </w:rPr>
        <w:t xml:space="preserve"> </w:t>
      </w:r>
    </w:p>
    <w:p w14:paraId="2A3BA7D9" w14:textId="77777777" w:rsidR="00001C3C" w:rsidRPr="008B1B15"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3833EA">
        <w:rPr>
          <w:rFonts w:ascii="Arial" w:hAnsi="Arial" w:cs="Arial"/>
          <w:noProof/>
        </w:rPr>
        <w:drawing>
          <wp:inline distT="0" distB="0" distL="0" distR="0" wp14:anchorId="2C8C1C1D" wp14:editId="161F437A">
            <wp:extent cx="4032738" cy="459033"/>
            <wp:effectExtent l="0" t="0" r="0" b="0"/>
            <wp:docPr id="1900383525" name="Imagen 1900383525"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abla&#10;&#10;Descripción generada automáticamente con confianza m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71925" cy="463493"/>
                    </a:xfrm>
                    <a:prstGeom prst="rect">
                      <a:avLst/>
                    </a:prstGeom>
                    <a:noFill/>
                    <a:ln>
                      <a:noFill/>
                    </a:ln>
                  </pic:spPr>
                </pic:pic>
              </a:graphicData>
            </a:graphic>
          </wp:inline>
        </w:drawing>
      </w:r>
    </w:p>
    <w:p w14:paraId="7B0C4D53" w14:textId="77777777" w:rsidR="00BE030C"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b/>
          <w:bCs/>
          <w:sz w:val="22"/>
          <w:szCs w:val="22"/>
        </w:rPr>
        <w:t>iii)</w:t>
      </w:r>
      <w:r w:rsidRPr="008B1B15">
        <w:rPr>
          <w:rFonts w:ascii="Arial" w:hAnsi="Arial" w:cs="Arial"/>
          <w:sz w:val="22"/>
          <w:szCs w:val="22"/>
        </w:rPr>
        <w:t xml:space="preserve"> Se otorga hasta un uno por ciento (1%) al proponente o los proponentes que acrediten tener dentro de su personal operativo personas que al momento de presentar oferta sean mayores de 45 años vinculadas, de la siguiente manera:</w:t>
      </w:r>
    </w:p>
    <w:p w14:paraId="4DA2E6D4" w14:textId="75167ED3" w:rsidR="00001C3C" w:rsidRPr="008B1B15"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t xml:space="preserve"> a) El cero punto cinco por ciento (0,5%) se le brinda al proponente o los proponentes que acrediten el mayor </w:t>
      </w:r>
      <w:r w:rsidRPr="008B1B15">
        <w:rPr>
          <w:rFonts w:ascii="Arial" w:hAnsi="Arial" w:cs="Arial"/>
          <w:i/>
          <w:iCs/>
          <w:sz w:val="22"/>
          <w:szCs w:val="22"/>
        </w:rPr>
        <w:t>porcentaje de personas mayores de 45 años vinculadas</w:t>
      </w:r>
      <w:r w:rsidRPr="008B1B15">
        <w:rPr>
          <w:rFonts w:ascii="Arial" w:hAnsi="Arial" w:cs="Arial"/>
          <w:sz w:val="22"/>
          <w:szCs w:val="22"/>
        </w:rPr>
        <w:t xml:space="preserve"> dentro de su personal </w:t>
      </w:r>
      <w:r w:rsidRPr="008B1B15">
        <w:rPr>
          <w:rFonts w:ascii="Arial" w:hAnsi="Arial" w:cs="Arial"/>
          <w:sz w:val="22"/>
          <w:szCs w:val="22"/>
        </w:rPr>
        <w:lastRenderedPageBreak/>
        <w:t xml:space="preserve">operativo. A los demás proponentes se les otorga un puntaje proporcional de acuerdo con la siguiente fórmula: </w:t>
      </w:r>
    </w:p>
    <w:p w14:paraId="7D7E394A" w14:textId="77777777" w:rsidR="00001C3C" w:rsidRPr="008B1B15"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3833EA">
        <w:rPr>
          <w:rFonts w:ascii="Arial" w:hAnsi="Arial" w:cs="Arial"/>
          <w:noProof/>
        </w:rPr>
        <w:drawing>
          <wp:inline distT="0" distB="0" distL="0" distR="0" wp14:anchorId="486C68FA" wp14:editId="02040781">
            <wp:extent cx="4003430" cy="408587"/>
            <wp:effectExtent l="0" t="0" r="0" b="0"/>
            <wp:docPr id="16" name="Imagen 16" descr="Texto, Cart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Texto, Carta&#10;&#10;Descripción generada automáticamente con confianza med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31413" cy="411443"/>
                    </a:xfrm>
                    <a:prstGeom prst="rect">
                      <a:avLst/>
                    </a:prstGeom>
                    <a:noFill/>
                    <a:ln>
                      <a:noFill/>
                    </a:ln>
                  </pic:spPr>
                </pic:pic>
              </a:graphicData>
            </a:graphic>
          </wp:inline>
        </w:drawing>
      </w:r>
    </w:p>
    <w:p w14:paraId="6E68C9C3" w14:textId="77777777" w:rsidR="00001C3C" w:rsidRPr="008B1B15"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8B1B15">
        <w:rPr>
          <w:rFonts w:ascii="Arial" w:hAnsi="Arial" w:cs="Arial"/>
          <w:sz w:val="22"/>
          <w:szCs w:val="22"/>
        </w:rPr>
        <w:t xml:space="preserve">B)  El cero punto cinco por ciento (0,5%) se otorga al proponente o proponentes que acrediten mayor </w:t>
      </w:r>
      <w:r w:rsidRPr="008B1B15">
        <w:rPr>
          <w:rFonts w:ascii="Arial" w:hAnsi="Arial" w:cs="Arial"/>
          <w:i/>
          <w:iCs/>
          <w:sz w:val="22"/>
          <w:szCs w:val="22"/>
        </w:rPr>
        <w:t>número de personas mayores de 45 años vinculadas</w:t>
      </w:r>
      <w:r w:rsidRPr="008B1B15">
        <w:rPr>
          <w:rFonts w:ascii="Arial" w:hAnsi="Arial" w:cs="Arial"/>
          <w:sz w:val="22"/>
          <w:szCs w:val="22"/>
        </w:rPr>
        <w:t xml:space="preserve"> dentro de su personal operativo. A los demás proponentes se les brinda un puntaje proporcional de acuerdo con la siguiente fórmula: </w:t>
      </w:r>
    </w:p>
    <w:p w14:paraId="45111DAC" w14:textId="77777777" w:rsidR="00001C3C" w:rsidRPr="008B1B15" w:rsidRDefault="00001C3C" w:rsidP="00001C3C">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3833EA">
        <w:rPr>
          <w:rFonts w:ascii="Arial" w:hAnsi="Arial" w:cs="Arial"/>
          <w:noProof/>
        </w:rPr>
        <w:drawing>
          <wp:inline distT="0" distB="0" distL="0" distR="0" wp14:anchorId="6FA09AAE" wp14:editId="7F5AF59A">
            <wp:extent cx="4003040" cy="465164"/>
            <wp:effectExtent l="0" t="0" r="0" b="0"/>
            <wp:docPr id="17" name="Imagen 17"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Texto&#10;&#10;Descripción generada automáticamente con confianza baj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22925" cy="467475"/>
                    </a:xfrm>
                    <a:prstGeom prst="rect">
                      <a:avLst/>
                    </a:prstGeom>
                    <a:noFill/>
                    <a:ln>
                      <a:noFill/>
                    </a:ln>
                  </pic:spPr>
                </pic:pic>
              </a:graphicData>
            </a:graphic>
          </wp:inline>
        </w:drawing>
      </w:r>
    </w:p>
    <w:p w14:paraId="2F1AB4D9" w14:textId="77777777" w:rsidR="00AC3331" w:rsidRPr="00BD18A1" w:rsidRDefault="00AC3331" w:rsidP="00064A93">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p>
    <w:p w14:paraId="395DC56F" w14:textId="77777777" w:rsidR="00064A93" w:rsidRPr="00BD18A1" w:rsidRDefault="00064A93" w:rsidP="00064A93">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D18A1">
        <w:rPr>
          <w:rFonts w:ascii="Arial" w:hAnsi="Arial" w:cs="Arial"/>
          <w:sz w:val="22"/>
          <w:szCs w:val="22"/>
        </w:rPr>
        <w:t>Ahora bien, el parágrafo segundo del artículo 2.2.1.2.4.2.10. regula específicamente lo relacionado frente a ofertas presentadas por un consorcio o unión temporal, estableciendo que se tendrá en cuenta la sumatoria ponderada del personal operativo del proponente plural para cada uno de los criterios, de acuerdo con el porcentaje de participación de sus integrantes.</w:t>
      </w:r>
    </w:p>
    <w:p w14:paraId="5D6BFCFA" w14:textId="77777777" w:rsidR="00064A93" w:rsidRPr="00BD18A1" w:rsidRDefault="00064A93" w:rsidP="00064A93">
      <w:pPr>
        <w:pStyle w:val="NormalWeb"/>
        <w:shd w:val="clear" w:color="auto" w:fill="FFFFFF"/>
        <w:spacing w:before="0" w:beforeAutospacing="0" w:after="120" w:afterAutospacing="0" w:line="276" w:lineRule="auto"/>
        <w:jc w:val="both"/>
        <w:rPr>
          <w:rFonts w:ascii="Arial" w:hAnsi="Arial" w:cs="Arial"/>
          <w:sz w:val="22"/>
          <w:szCs w:val="22"/>
          <w:shd w:val="clear" w:color="auto" w:fill="FFFFFF"/>
        </w:rPr>
      </w:pPr>
      <w:r w:rsidRPr="00BD18A1">
        <w:rPr>
          <w:rFonts w:ascii="Arial" w:hAnsi="Arial" w:cs="Arial"/>
          <w:sz w:val="22"/>
          <w:szCs w:val="22"/>
        </w:rPr>
        <w:tab/>
        <w:t xml:space="preserve">De otro lado, el parágrafo primero del artículo </w:t>
      </w:r>
      <w:r w:rsidRPr="00BD18A1">
        <w:rPr>
          <w:rFonts w:ascii="Arial" w:hAnsi="Arial" w:cs="Arial"/>
          <w:bCs/>
          <w:sz w:val="22"/>
          <w:szCs w:val="22"/>
          <w:shd w:val="clear" w:color="auto" w:fill="FFFFFF"/>
        </w:rPr>
        <w:t>2.2.1.2.4.2.10 que fue adicionado en el Decreto 1082 de 2015 regula las condiciones para acreditar el puntaje adicional para estos procesos de licitación pública</w:t>
      </w:r>
      <w:r w:rsidRPr="00BD18A1">
        <w:rPr>
          <w:rFonts w:ascii="Arial" w:hAnsi="Arial" w:cs="Arial"/>
          <w:sz w:val="22"/>
          <w:szCs w:val="22"/>
          <w:shd w:val="clear" w:color="auto" w:fill="FFFFFF"/>
        </w:rPr>
        <w:t xml:space="preserve">. </w:t>
      </w:r>
      <w:r w:rsidRPr="00BD18A1">
        <w:rPr>
          <w:rFonts w:ascii="Arial" w:hAnsi="Arial" w:cs="Arial"/>
          <w:sz w:val="22"/>
          <w:szCs w:val="22"/>
        </w:rPr>
        <w:t xml:space="preserve">Al respecto, existen dos (2) elementos que deben ser acreditados por el oferente y verificados por la entidad contratante para asignar el puntaje adicional. </w:t>
      </w:r>
      <w:r w:rsidRPr="00BD18A1">
        <w:rPr>
          <w:rFonts w:ascii="Arial" w:hAnsi="Arial" w:cs="Arial"/>
          <w:i/>
          <w:iCs/>
          <w:sz w:val="22"/>
          <w:szCs w:val="22"/>
        </w:rPr>
        <w:t>Por un lado</w:t>
      </w:r>
      <w:r w:rsidRPr="00BD18A1">
        <w:rPr>
          <w:rFonts w:ascii="Arial" w:hAnsi="Arial" w:cs="Arial"/>
          <w:sz w:val="22"/>
          <w:szCs w:val="22"/>
        </w:rPr>
        <w:t xml:space="preserve">, las condiciones subjetivas de las personas vinculadas a la empresa de vigilancia y seguridad privada –esto es, que se trate de mujeres, personas con discapacidad y/o mayores de 45 años– y, </w:t>
      </w:r>
      <w:r w:rsidRPr="00BD18A1">
        <w:rPr>
          <w:rFonts w:ascii="Arial" w:hAnsi="Arial" w:cs="Arial"/>
          <w:i/>
          <w:iCs/>
          <w:sz w:val="22"/>
          <w:szCs w:val="22"/>
        </w:rPr>
        <w:t>por otro</w:t>
      </w:r>
      <w:r w:rsidRPr="00BD18A1">
        <w:rPr>
          <w:rFonts w:ascii="Arial" w:hAnsi="Arial" w:cs="Arial"/>
          <w:sz w:val="22"/>
          <w:szCs w:val="22"/>
        </w:rPr>
        <w:t>, su inclusión en la planta de personal operativo de la empresa.</w:t>
      </w:r>
      <w:r w:rsidRPr="00BD18A1">
        <w:rPr>
          <w:rFonts w:ascii="Arial" w:hAnsi="Arial" w:cs="Arial"/>
          <w:sz w:val="22"/>
          <w:szCs w:val="22"/>
          <w:shd w:val="clear" w:color="auto" w:fill="FFFFFF"/>
        </w:rPr>
        <w:t xml:space="preserve"> Por ello, </w:t>
      </w:r>
      <w:r w:rsidRPr="00BD18A1">
        <w:rPr>
          <w:rFonts w:ascii="Arial" w:hAnsi="Arial" w:cs="Arial"/>
          <w:sz w:val="22"/>
          <w:szCs w:val="22"/>
        </w:rPr>
        <w:t xml:space="preserve">las condiciones para otorgar el puntaje son constatadas por la entidad contratante mediante los siguientes documentos aportados por el proponente con su oferta de manera física o digital: </w:t>
      </w:r>
    </w:p>
    <w:p w14:paraId="12D4F1DE" w14:textId="77777777" w:rsidR="00064A93" w:rsidRPr="00BD18A1" w:rsidRDefault="00064A93" w:rsidP="00064A93">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D18A1">
        <w:rPr>
          <w:rFonts w:ascii="Arial" w:hAnsi="Arial" w:cs="Arial"/>
          <w:sz w:val="22"/>
          <w:szCs w:val="22"/>
        </w:rPr>
        <w:t>i)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r w:rsidRPr="00BD18A1">
        <w:rPr>
          <w:rStyle w:val="Refdenotaalpie"/>
          <w:rFonts w:ascii="Arial" w:hAnsi="Arial" w:cs="Arial"/>
        </w:rPr>
        <w:footnoteReference w:id="14"/>
      </w:r>
      <w:r w:rsidRPr="00BD18A1">
        <w:rPr>
          <w:rFonts w:ascii="Arial" w:hAnsi="Arial" w:cs="Arial"/>
          <w:sz w:val="22"/>
          <w:szCs w:val="22"/>
        </w:rPr>
        <w:t>.</w:t>
      </w:r>
    </w:p>
    <w:p w14:paraId="0E4F8C78" w14:textId="77777777" w:rsidR="00064A93" w:rsidRPr="00BD18A1" w:rsidRDefault="00064A93" w:rsidP="00064A93">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D18A1">
        <w:rPr>
          <w:rFonts w:ascii="Arial" w:hAnsi="Arial" w:cs="Arial"/>
          <w:sz w:val="22"/>
          <w:szCs w:val="22"/>
        </w:rPr>
        <w:lastRenderedPageBreak/>
        <w:t>ii) Certificado con una fecha no superior a treinta (30) días calendario anteriores a la presentación de la oferta, suscrito por el representante legal de la empresa o cooperativa de vigilancia y seguridad privada, que debe señalar el número de mujeres, de personas mayores de cuarenta y cinco (45) años cumplidos máximo a la fecha de presentación de la oferta y de personas con discapacidad que conforman su personal operativo. Para tal efecto, debe relacionarse junto con la certificación, el nombre completo, el número de documento de identidad, género, fecha de nacimiento y condición de discapacidad del personal operativo.</w:t>
      </w:r>
    </w:p>
    <w:p w14:paraId="1CCCA1A0" w14:textId="77777777" w:rsidR="00064A93" w:rsidRPr="00BD18A1" w:rsidRDefault="00064A93" w:rsidP="00064A93">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D18A1">
        <w:rPr>
          <w:rFonts w:ascii="Arial" w:hAnsi="Arial" w:cs="Arial"/>
          <w:sz w:val="22"/>
          <w:szCs w:val="22"/>
        </w:rPr>
        <w:t xml:space="preserve">iii) La certificación del representante legal debe estar acompañada de la copia de los respectivos documentos de identidad y, para acreditar la condición de discapacidad, del certificado de discapacidad de cada uno de los trabajadores, de conformidad con la Resolución No. 113 de 2020 del Ministerio de Salud y Protección Social o aquellas normas que la complementen, desarrollen, modifiquen o sustituyan. De este modo, en el evento que sean personas en condición de discapacidad, se requiere que el proponente </w:t>
      </w:r>
      <w:r w:rsidRPr="00BD18A1">
        <w:rPr>
          <w:rFonts w:ascii="Arial" w:hAnsi="Arial" w:cs="Arial"/>
          <w:i/>
          <w:iCs/>
          <w:sz w:val="22"/>
          <w:szCs w:val="22"/>
        </w:rPr>
        <w:t>anexe</w:t>
      </w:r>
      <w:r w:rsidRPr="00BD18A1">
        <w:rPr>
          <w:rFonts w:ascii="Arial" w:hAnsi="Arial" w:cs="Arial"/>
          <w:sz w:val="22"/>
          <w:szCs w:val="22"/>
        </w:rPr>
        <w:t xml:space="preserve"> los documentos de identidad así como los certificados que acreditan la condición de discapacidad, según la Resolución No. 113 del Ministerio de Salud y Protección Social. </w:t>
      </w:r>
    </w:p>
    <w:p w14:paraId="71613C48" w14:textId="77777777" w:rsidR="00064A93" w:rsidRPr="00BD18A1" w:rsidRDefault="00064A93" w:rsidP="00064A93">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BD18A1">
        <w:rPr>
          <w:rFonts w:ascii="Arial" w:hAnsi="Arial" w:cs="Arial"/>
          <w:sz w:val="22"/>
          <w:szCs w:val="22"/>
        </w:rPr>
        <w:t xml:space="preserve">De acuerdo con el parágrafo primero del artículo </w:t>
      </w:r>
      <w:r w:rsidRPr="00BD18A1">
        <w:rPr>
          <w:rFonts w:ascii="Arial" w:hAnsi="Arial" w:cs="Arial"/>
          <w:bCs/>
          <w:sz w:val="22"/>
          <w:szCs w:val="22"/>
          <w:shd w:val="clear" w:color="auto" w:fill="FFFFFF"/>
        </w:rPr>
        <w:t>2.1.2.4.2.10 del Decreto 1082 de 2015, el otorgamiento del incentivo</w:t>
      </w:r>
      <w:r w:rsidRPr="00BD18A1">
        <w:rPr>
          <w:rFonts w:ascii="Arial" w:hAnsi="Arial" w:cs="Arial"/>
          <w:bCs/>
          <w:sz w:val="22"/>
          <w:szCs w:val="22"/>
          <w:shd w:val="clear" w:color="auto" w:fill="FFFFFF"/>
          <w:lang w:val="es-MX"/>
        </w:rPr>
        <w:t xml:space="preserve"> requiere la concurrencia de los documentos descritos. Es decir, conforme al tenor literal de la norma, no podrá asignarse puntaje en relación con personas respecto de las cuales no se pruebe el cumplimiento de todos los requisitos exigidos la disposición y </w:t>
      </w:r>
      <w:r w:rsidRPr="00BD18A1">
        <w:rPr>
          <w:rFonts w:ascii="Arial" w:hAnsi="Arial" w:cs="Arial"/>
          <w:bCs/>
          <w:i/>
          <w:iCs/>
          <w:sz w:val="22"/>
          <w:szCs w:val="22"/>
          <w:shd w:val="clear" w:color="auto" w:fill="FFFFFF"/>
          <w:lang w:val="es-MX"/>
        </w:rPr>
        <w:t>la entidad tampoco podrá solicitar la acreditación de documentos diferentes a los dispuestos por el Decreto para el otorgamiento del puntaje</w:t>
      </w:r>
      <w:r w:rsidRPr="00BD18A1">
        <w:rPr>
          <w:rFonts w:ascii="Arial" w:hAnsi="Arial" w:cs="Arial"/>
          <w:bCs/>
          <w:sz w:val="22"/>
          <w:szCs w:val="22"/>
          <w:shd w:val="clear" w:color="auto" w:fill="FFFFFF"/>
          <w:lang w:val="es-MX"/>
        </w:rPr>
        <w:t xml:space="preserve">. De esta manera, </w:t>
      </w:r>
      <w:r w:rsidRPr="00BD18A1">
        <w:rPr>
          <w:rFonts w:ascii="Arial" w:hAnsi="Arial" w:cs="Arial"/>
          <w:bCs/>
          <w:sz w:val="22"/>
          <w:szCs w:val="22"/>
          <w:shd w:val="clear" w:color="auto" w:fill="FFFFFF"/>
        </w:rPr>
        <w:t xml:space="preserve">el representante legal de la empresa o cooperativa de vigilancia y seguridad privada indicará el número de mujeres, de personas mayores de cuarenta y cinco (45) años cumplidos máximo a la fecha de presentación de la oferta y de personas con discapacidad que conforman su personal operativo. Junto con la certificación, también relacionará el nombre completo, el número de documento de identidad, género, fecha de nacimiento y condición de discapacidad del personal operativo. </w:t>
      </w:r>
    </w:p>
    <w:p w14:paraId="3A528919" w14:textId="77777777" w:rsidR="00064A93" w:rsidRPr="00BD18A1" w:rsidRDefault="00064A93" w:rsidP="00064A93">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BD18A1">
        <w:rPr>
          <w:rFonts w:ascii="Arial" w:hAnsi="Arial" w:cs="Arial"/>
          <w:bCs/>
          <w:sz w:val="22"/>
          <w:szCs w:val="22"/>
          <w:shd w:val="clear" w:color="auto" w:fill="FFFFFF"/>
        </w:rPr>
        <w:t xml:space="preserve">Ahora bien, respecto a los documentos anexos, si no están los soportes que acreditan la calidad de </w:t>
      </w:r>
      <w:r w:rsidRPr="00BD18A1">
        <w:rPr>
          <w:rFonts w:ascii="Arial" w:hAnsi="Arial" w:cs="Arial"/>
          <w:bCs/>
          <w:i/>
          <w:iCs/>
          <w:sz w:val="22"/>
          <w:szCs w:val="22"/>
          <w:shd w:val="clear" w:color="auto" w:fill="FFFFFF"/>
        </w:rPr>
        <w:t>algunas</w:t>
      </w:r>
      <w:r w:rsidRPr="00BD18A1">
        <w:rPr>
          <w:rFonts w:ascii="Arial" w:hAnsi="Arial" w:cs="Arial"/>
          <w:bCs/>
          <w:sz w:val="22"/>
          <w:szCs w:val="22"/>
          <w:shd w:val="clear" w:color="auto" w:fill="FFFFFF"/>
        </w:rPr>
        <w:t xml:space="preserve"> de las personas relacionadas en la certificación, la asignación del puntaje se realizará únicamente con aquellos que cumplan las condiciones explicadas anteriormente. Por ejemplo, si el proponente certifica que tiene diez (10) personas con discapacidad, pero solo aporta la cédula y el certificado de discapacidad de seis (6) de ellas, la asignación del puntaje se realizará excluyendo el número de personas cuya calidad no se acreditó a través de los anexos correspondientes. </w:t>
      </w:r>
      <w:bookmarkEnd w:id="6"/>
      <w:r w:rsidRPr="00BD18A1">
        <w:rPr>
          <w:rFonts w:ascii="Arial" w:hAnsi="Arial" w:cs="Arial"/>
          <w:bCs/>
          <w:sz w:val="22"/>
          <w:szCs w:val="22"/>
          <w:shd w:val="clear" w:color="auto" w:fill="FFFFFF"/>
        </w:rPr>
        <w:t xml:space="preserve">Lo anterior considerando que la norma analizada no dispone expresamente que el derecho a obtener puntaje adicional por la vinculación de estos grupos poblacionales se pierda totalmente cuando los documentos referidos a una o varias de las personas, cuya vinculación quiere demostrarse, no se anexen a la certificación del representante legal. </w:t>
      </w:r>
    </w:p>
    <w:p w14:paraId="0B625023" w14:textId="77777777" w:rsidR="00064A93" w:rsidRPr="00BD18A1" w:rsidRDefault="00064A93" w:rsidP="00064A93">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BD18A1">
        <w:rPr>
          <w:rFonts w:ascii="Arial" w:hAnsi="Arial" w:cs="Arial"/>
          <w:bCs/>
          <w:sz w:val="22"/>
          <w:szCs w:val="22"/>
          <w:shd w:val="clear" w:color="auto" w:fill="FFFFFF"/>
        </w:rPr>
        <w:t xml:space="preserve">Conforme al parágrafo 1 del artículo 5 de la Ley 1150 de 2007, los requisitos de la oferta que afecten la asignación de puntaje son insubsanables, por lo que la documentación faltante no </w:t>
      </w:r>
      <w:r w:rsidRPr="00BD18A1">
        <w:rPr>
          <w:rFonts w:ascii="Arial" w:hAnsi="Arial" w:cs="Arial"/>
          <w:bCs/>
          <w:sz w:val="22"/>
          <w:szCs w:val="22"/>
          <w:shd w:val="clear" w:color="auto" w:fill="FFFFFF"/>
        </w:rPr>
        <w:lastRenderedPageBreak/>
        <w:t>podría entregarse posteriormente</w:t>
      </w:r>
      <w:r w:rsidRPr="00BD18A1">
        <w:rPr>
          <w:rStyle w:val="Refdenotaalpie"/>
          <w:rFonts w:ascii="Arial" w:hAnsi="Arial" w:cs="Arial"/>
        </w:rPr>
        <w:footnoteReference w:id="15"/>
      </w:r>
      <w:r w:rsidRPr="00BD18A1">
        <w:rPr>
          <w:rFonts w:ascii="Arial" w:hAnsi="Arial" w:cs="Arial"/>
          <w:bCs/>
          <w:sz w:val="22"/>
          <w:szCs w:val="22"/>
          <w:shd w:val="clear" w:color="auto" w:fill="FFFFFF"/>
        </w:rPr>
        <w:t xml:space="preserve">. Por ello, teniendo en cuenta que los incentivos contractuales a los que se ha hecho referencia se expresan en puntos en el procedimiento de selección, la ausencia de los documentos que los soportan es insubsanable. No obstante, es necesario distinguir entre la ausencia del anexo correspondiente y los defectos del documento que, en función de las particularidades de cada caso concreto, impidan comprender el alcance de su contenido. Así las cosas, es necesario distinguir entre el régimen de </w:t>
      </w:r>
      <w:r w:rsidRPr="00BD18A1">
        <w:rPr>
          <w:rFonts w:ascii="Arial" w:hAnsi="Arial" w:cs="Arial"/>
          <w:bCs/>
          <w:i/>
          <w:iCs/>
          <w:sz w:val="22"/>
          <w:szCs w:val="22"/>
          <w:shd w:val="clear" w:color="auto" w:fill="FFFFFF"/>
        </w:rPr>
        <w:t>subsanación</w:t>
      </w:r>
      <w:r w:rsidRPr="00BD18A1">
        <w:rPr>
          <w:rFonts w:ascii="Arial" w:hAnsi="Arial" w:cs="Arial"/>
          <w:bCs/>
          <w:sz w:val="22"/>
          <w:szCs w:val="22"/>
          <w:shd w:val="clear" w:color="auto" w:fill="FFFFFF"/>
        </w:rPr>
        <w:t xml:space="preserve"> y </w:t>
      </w:r>
      <w:r w:rsidRPr="00BD18A1">
        <w:rPr>
          <w:rFonts w:ascii="Arial" w:hAnsi="Arial" w:cs="Arial"/>
          <w:bCs/>
          <w:i/>
          <w:iCs/>
          <w:sz w:val="22"/>
          <w:szCs w:val="22"/>
          <w:shd w:val="clear" w:color="auto" w:fill="FFFFFF"/>
        </w:rPr>
        <w:t>aclaración</w:t>
      </w:r>
      <w:r w:rsidRPr="00BD18A1">
        <w:rPr>
          <w:rFonts w:ascii="Arial" w:hAnsi="Arial" w:cs="Arial"/>
          <w:bCs/>
          <w:sz w:val="22"/>
          <w:szCs w:val="22"/>
          <w:shd w:val="clear" w:color="auto" w:fill="FFFFFF"/>
        </w:rPr>
        <w:t xml:space="preserve"> de las ofertas.</w:t>
      </w:r>
    </w:p>
    <w:p w14:paraId="55A91034" w14:textId="0988618A" w:rsidR="00064A93" w:rsidRPr="00BD18A1" w:rsidRDefault="00064A93" w:rsidP="005534EB">
      <w:pPr>
        <w:pStyle w:val="NormalWeb"/>
        <w:shd w:val="clear" w:color="auto" w:fill="FFFFFF"/>
        <w:spacing w:before="0" w:beforeAutospacing="0" w:after="0" w:afterAutospacing="0" w:line="276" w:lineRule="auto"/>
        <w:ind w:firstLine="708"/>
        <w:jc w:val="both"/>
        <w:rPr>
          <w:rFonts w:ascii="Arial" w:hAnsi="Arial" w:cs="Arial"/>
          <w:bCs/>
          <w:sz w:val="22"/>
          <w:szCs w:val="22"/>
          <w:shd w:val="clear" w:color="auto" w:fill="FFFFFF"/>
        </w:rPr>
      </w:pPr>
      <w:r w:rsidRPr="00BD18A1">
        <w:rPr>
          <w:rFonts w:ascii="Arial" w:hAnsi="Arial" w:cs="Arial"/>
          <w:bCs/>
          <w:sz w:val="22"/>
          <w:szCs w:val="22"/>
          <w:shd w:val="clear" w:color="auto" w:fill="FFFFFF"/>
        </w:rPr>
        <w:t xml:space="preserve">Respecto a este último, en aras de que la entidad pueda evaluar la oferta adecuadamente y contar con los elementos de juicio suficientes y necesarios para la comprensión integral de cada documento contenido en ella, esta puede acudir a la facultad del artículo 30.7 de la Ley 80 de 1993. Dicha norma dispone que los pliegos de condiciones deben hacer referencia al «plazo razonable dentro del cual la entidad deberá elaborar los estudios técnicos, económicos y jurídicos necesarios para la evaluación de las propuestas y </w:t>
      </w:r>
      <w:r w:rsidRPr="00BD18A1">
        <w:rPr>
          <w:rFonts w:ascii="Arial" w:hAnsi="Arial" w:cs="Arial"/>
          <w:bCs/>
          <w:i/>
          <w:iCs/>
          <w:sz w:val="22"/>
          <w:szCs w:val="22"/>
          <w:shd w:val="clear" w:color="auto" w:fill="FFFFFF"/>
        </w:rPr>
        <w:t>para solicitar a los proponentes las aclaraciones y explicaciones que se estimen indispensables</w:t>
      </w:r>
      <w:r w:rsidRPr="00BD18A1">
        <w:rPr>
          <w:rFonts w:ascii="Arial" w:hAnsi="Arial" w:cs="Arial"/>
          <w:bCs/>
          <w:sz w:val="22"/>
          <w:szCs w:val="22"/>
          <w:shd w:val="clear" w:color="auto" w:fill="FFFFFF"/>
        </w:rPr>
        <w:t>» No obstante</w:t>
      </w:r>
      <w:r w:rsidRPr="00BD18A1">
        <w:rPr>
          <w:rFonts w:ascii="Arial" w:eastAsia="Arial" w:hAnsi="Arial" w:cs="Arial"/>
          <w:color w:val="000000"/>
          <w:sz w:val="22"/>
          <w:szCs w:val="22"/>
        </w:rPr>
        <w:t xml:space="preserve">, la facultad de solicitar aclaraciones debe comprenderse bajo el entendido </w:t>
      </w:r>
      <w:r w:rsidRPr="00BD18A1">
        <w:rPr>
          <w:rFonts w:ascii="Arial" w:eastAsia="Arial" w:hAnsi="Arial" w:cs="Arial"/>
          <w:sz w:val="22"/>
          <w:szCs w:val="22"/>
        </w:rPr>
        <w:t>de</w:t>
      </w:r>
      <w:r w:rsidRPr="00BD18A1">
        <w:rPr>
          <w:rFonts w:ascii="Arial" w:eastAsia="Arial" w:hAnsi="Arial" w:cs="Arial"/>
          <w:color w:val="000000"/>
          <w:sz w:val="22"/>
          <w:szCs w:val="22"/>
        </w:rPr>
        <w:t xml:space="preserve"> que el oferente, so pretexto de atender el requerimiento realizado por la entidad, no puede realizar modificaciones que impliquen una mejora o alteración sustancial de la oferta. Como explica el Consejo de Estado:</w:t>
      </w:r>
    </w:p>
    <w:p w14:paraId="51DF6B4A" w14:textId="77777777" w:rsidR="00064A93" w:rsidRPr="00BD18A1" w:rsidRDefault="00064A93" w:rsidP="005534EB">
      <w:pPr>
        <w:spacing w:after="0" w:line="276" w:lineRule="auto"/>
        <w:ind w:firstLine="708"/>
        <w:jc w:val="both"/>
        <w:rPr>
          <w:rFonts w:ascii="Arial" w:eastAsia="Arial" w:hAnsi="Arial" w:cs="Arial"/>
          <w:color w:val="000000"/>
        </w:rPr>
      </w:pPr>
    </w:p>
    <w:p w14:paraId="0323CBE8" w14:textId="082B59B2" w:rsidR="00064A93" w:rsidRPr="00BD18A1" w:rsidRDefault="00064A93" w:rsidP="005534EB">
      <w:pPr>
        <w:spacing w:after="0"/>
        <w:ind w:left="709" w:right="709"/>
        <w:jc w:val="both"/>
        <w:rPr>
          <w:rFonts w:ascii="Arial" w:eastAsia="Arial" w:hAnsi="Arial" w:cs="Arial"/>
          <w:color w:val="000000"/>
          <w:sz w:val="21"/>
          <w:szCs w:val="21"/>
        </w:rPr>
      </w:pPr>
      <w:r w:rsidRPr="00BD18A1">
        <w:rPr>
          <w:rFonts w:ascii="Arial" w:eastAsia="Arial" w:hAnsi="Arial" w:cs="Arial"/>
          <w:color w:val="000000"/>
          <w:sz w:val="21"/>
          <w:szCs w:val="21"/>
        </w:rPr>
        <w:t>[…] lo anterior no impide que se puedan hacer aclaraciones a las propuestas bien porque la administración las solicite en la etapa de evaluación de las mismas, o</w:t>
      </w:r>
      <w:r w:rsidR="0083061F">
        <w:rPr>
          <w:rFonts w:ascii="Arial" w:eastAsia="Arial" w:hAnsi="Arial" w:cs="Arial"/>
          <w:color w:val="000000"/>
          <w:sz w:val="21"/>
          <w:szCs w:val="21"/>
        </w:rPr>
        <w:t>t</w:t>
      </w:r>
      <w:r w:rsidRPr="00BD18A1">
        <w:rPr>
          <w:rFonts w:ascii="Arial" w:eastAsia="Arial" w:hAnsi="Arial" w:cs="Arial"/>
          <w:color w:val="000000"/>
          <w:sz w:val="21"/>
          <w:szCs w:val="21"/>
        </w:rPr>
        <w:t xml:space="preserve">ra porque las realicen los oferentes en la etapa dispuesta para las observaciones a los informes de </w:t>
      </w:r>
      <w:r w:rsidR="00ED27EA" w:rsidRPr="00BD18A1">
        <w:rPr>
          <w:rFonts w:ascii="Arial" w:eastAsia="Arial" w:hAnsi="Arial" w:cs="Arial"/>
          <w:color w:val="000000"/>
          <w:sz w:val="21"/>
          <w:szCs w:val="21"/>
        </w:rPr>
        <w:t>evaluación</w:t>
      </w:r>
      <w:r w:rsidRPr="00BD18A1">
        <w:rPr>
          <w:rFonts w:ascii="Arial" w:eastAsia="Arial" w:hAnsi="Arial" w:cs="Arial"/>
          <w:color w:val="000000"/>
          <w:sz w:val="21"/>
          <w:szCs w:val="21"/>
        </w:rPr>
        <w:t xml:space="preserve">, pero siempre y cuando verse sobre aspectos meramente formales o adjetivos o que en todo caso no comporten una variación o corrección del fondo de la propuesta a favor de quien las presenta y en detrimento de la posición de los demás proponentes en la </w:t>
      </w:r>
      <w:r w:rsidR="00ED27EA" w:rsidRPr="00BD18A1">
        <w:rPr>
          <w:rFonts w:ascii="Arial" w:eastAsia="Arial" w:hAnsi="Arial" w:cs="Arial"/>
          <w:color w:val="000000"/>
          <w:sz w:val="21"/>
          <w:szCs w:val="21"/>
        </w:rPr>
        <w:t>evaluación</w:t>
      </w:r>
      <w:r w:rsidRPr="00BD18A1">
        <w:rPr>
          <w:rFonts w:ascii="Arial" w:eastAsia="Arial" w:hAnsi="Arial" w:cs="Arial"/>
          <w:color w:val="000000"/>
          <w:sz w:val="21"/>
          <w:szCs w:val="21"/>
        </w:rPr>
        <w:t xml:space="preserve">, esto es, sujetas a condición de que con las mismas no se altere de manera sustancial la información inicialmente suministrada y la situación de los oferentes en el proceso de licitación. </w:t>
      </w:r>
    </w:p>
    <w:p w14:paraId="57996DD6" w14:textId="77777777" w:rsidR="005534EB" w:rsidRPr="00BD18A1" w:rsidRDefault="005534EB" w:rsidP="005534EB">
      <w:pPr>
        <w:spacing w:after="0"/>
        <w:ind w:left="709" w:right="709"/>
        <w:jc w:val="both"/>
        <w:rPr>
          <w:rFonts w:ascii="Arial" w:hAnsi="Arial" w:cs="Arial"/>
        </w:rPr>
      </w:pPr>
    </w:p>
    <w:p w14:paraId="0F52247A" w14:textId="65DB9600" w:rsidR="00064A93" w:rsidRPr="00BD18A1" w:rsidRDefault="00064A93" w:rsidP="005534EB">
      <w:pPr>
        <w:spacing w:after="0"/>
        <w:ind w:left="709" w:right="709"/>
        <w:jc w:val="both"/>
        <w:rPr>
          <w:rFonts w:ascii="Arial" w:hAnsi="Arial" w:cs="Arial"/>
        </w:rPr>
      </w:pPr>
      <w:r w:rsidRPr="00BD18A1">
        <w:rPr>
          <w:rFonts w:ascii="Arial" w:eastAsia="Arial" w:hAnsi="Arial" w:cs="Arial"/>
          <w:color w:val="000000"/>
          <w:sz w:val="21"/>
          <w:szCs w:val="21"/>
        </w:rPr>
        <w:t xml:space="preserve">Por eso, como es posible que por vía aclaratoria los proponentes intenten modificar o mejorar sus ofertas, hay que distinguir entre las simples aclaraciones de las propuestas y las modificaciones a </w:t>
      </w:r>
      <w:r w:rsidR="00ED27EA" w:rsidRPr="00BD18A1">
        <w:rPr>
          <w:rFonts w:ascii="Arial" w:eastAsia="Arial" w:hAnsi="Arial" w:cs="Arial"/>
          <w:color w:val="000000"/>
          <w:sz w:val="21"/>
          <w:szCs w:val="21"/>
        </w:rPr>
        <w:t>estas</w:t>
      </w:r>
      <w:r w:rsidRPr="00BD18A1">
        <w:rPr>
          <w:rFonts w:ascii="Arial" w:eastAsia="Arial" w:hAnsi="Arial" w:cs="Arial"/>
          <w:color w:val="000000"/>
          <w:sz w:val="21"/>
          <w:szCs w:val="21"/>
        </w:rPr>
        <w:t xml:space="preserve">; las primeras son los medios para que se pueda hacer perceptible, manifiesto, </w:t>
      </w:r>
      <w:r w:rsidR="00ED27EA" w:rsidRPr="00BD18A1">
        <w:rPr>
          <w:rFonts w:ascii="Arial" w:eastAsia="Arial" w:hAnsi="Arial" w:cs="Arial"/>
          <w:color w:val="000000"/>
          <w:sz w:val="21"/>
          <w:szCs w:val="21"/>
        </w:rPr>
        <w:t>explicito</w:t>
      </w:r>
      <w:r w:rsidRPr="00BD18A1">
        <w:rPr>
          <w:rFonts w:ascii="Arial" w:eastAsia="Arial" w:hAnsi="Arial" w:cs="Arial"/>
          <w:color w:val="000000"/>
          <w:sz w:val="21"/>
          <w:szCs w:val="21"/>
        </w:rPr>
        <w:t xml:space="preserve"> o inteligible algún aspecto confuso de la propuesta, </w:t>
      </w:r>
      <w:r w:rsidRPr="00BD18A1">
        <w:rPr>
          <w:rFonts w:ascii="Arial" w:eastAsia="Arial" w:hAnsi="Arial" w:cs="Arial"/>
          <w:color w:val="000000"/>
          <w:sz w:val="21"/>
          <w:szCs w:val="21"/>
        </w:rPr>
        <w:lastRenderedPageBreak/>
        <w:t>sin implicar una complementación, adición, modificación o mejora de dicho aspecto, que es precisamente en lo que consisten las segundas</w:t>
      </w:r>
      <w:r w:rsidRPr="00BD18A1">
        <w:rPr>
          <w:rStyle w:val="Refdenotaalpie"/>
          <w:rFonts w:ascii="Arial" w:eastAsia="Arial" w:hAnsi="Arial" w:cs="Arial"/>
        </w:rPr>
        <w:footnoteReference w:id="16"/>
      </w:r>
      <w:r w:rsidRPr="00BD18A1">
        <w:rPr>
          <w:rFonts w:ascii="Arial" w:eastAsia="Arial" w:hAnsi="Arial" w:cs="Arial"/>
          <w:color w:val="000000"/>
          <w:sz w:val="21"/>
          <w:szCs w:val="21"/>
        </w:rPr>
        <w:t>.</w:t>
      </w:r>
    </w:p>
    <w:p w14:paraId="5D4E21B4" w14:textId="77777777" w:rsidR="00064A93" w:rsidRPr="00BD18A1" w:rsidRDefault="00064A93" w:rsidP="005534EB">
      <w:pPr>
        <w:spacing w:after="0" w:line="276" w:lineRule="auto"/>
        <w:ind w:left="708"/>
        <w:jc w:val="both"/>
        <w:rPr>
          <w:rFonts w:ascii="Arial" w:hAnsi="Arial" w:cs="Arial"/>
        </w:rPr>
      </w:pPr>
      <w:r w:rsidRPr="00BD18A1">
        <w:rPr>
          <w:rFonts w:ascii="Arial" w:eastAsia="Arial" w:hAnsi="Arial" w:cs="Arial"/>
          <w:color w:val="000000"/>
          <w:sz w:val="21"/>
          <w:szCs w:val="21"/>
        </w:rPr>
        <w:t xml:space="preserve"> </w:t>
      </w:r>
    </w:p>
    <w:p w14:paraId="196FEEE1" w14:textId="77777777" w:rsidR="00064A93" w:rsidRPr="00BD18A1" w:rsidRDefault="00064A93" w:rsidP="005534EB">
      <w:pPr>
        <w:spacing w:after="0" w:line="276" w:lineRule="auto"/>
        <w:ind w:firstLine="709"/>
        <w:jc w:val="both"/>
        <w:rPr>
          <w:rFonts w:ascii="Arial" w:hAnsi="Arial" w:cs="Arial"/>
        </w:rPr>
      </w:pPr>
      <w:r w:rsidRPr="00BD18A1">
        <w:rPr>
          <w:rFonts w:ascii="Arial" w:eastAsia="Arial" w:hAnsi="Arial" w:cs="Arial"/>
        </w:rPr>
        <w:t>Asimismo, la solicitud de aclaraciones permite que las entidades requieran a los proponentes esclarecer aspectos de su propuesta que en principio resultan confusos para efectos de la evaluación, diferenciándose de la subsanabilidad, pues no parte del supuesto de la ausencia de requisitos de la oferta sino de la existencia de inconsistencias o falta de claridad en la misma, cuya explicación se requiere para la evaluar la propuesta. Esta diferencia es importante, pues es posible aclarar los requisitos que asignan puntaje, como lo ha explicado la jurisprudencia en los siguientes términos:</w:t>
      </w:r>
    </w:p>
    <w:p w14:paraId="762BE435" w14:textId="77777777" w:rsidR="00064A93" w:rsidRPr="00BD18A1" w:rsidRDefault="00064A93" w:rsidP="005534EB">
      <w:pPr>
        <w:spacing w:after="0" w:line="276" w:lineRule="auto"/>
        <w:ind w:left="567" w:right="616"/>
        <w:jc w:val="both"/>
        <w:rPr>
          <w:rFonts w:ascii="Arial" w:eastAsia="Arial" w:hAnsi="Arial" w:cs="Arial"/>
        </w:rPr>
      </w:pPr>
    </w:p>
    <w:p w14:paraId="599787D5" w14:textId="67721623" w:rsidR="00064A93" w:rsidRPr="00BD18A1" w:rsidRDefault="00064A93" w:rsidP="00E3490B">
      <w:pPr>
        <w:spacing w:after="0"/>
        <w:ind w:left="709" w:right="709"/>
        <w:jc w:val="both"/>
        <w:rPr>
          <w:rFonts w:ascii="Arial" w:eastAsia="Arial" w:hAnsi="Arial" w:cs="Arial"/>
          <w:sz w:val="21"/>
          <w:szCs w:val="21"/>
        </w:rPr>
      </w:pPr>
      <w:bookmarkStart w:id="7" w:name="_3znysh7" w:colFirst="0" w:colLast="0"/>
      <w:bookmarkEnd w:id="7"/>
      <w:r w:rsidRPr="00BD18A1">
        <w:rPr>
          <w:rFonts w:ascii="Arial" w:eastAsia="Arial" w:hAnsi="Arial" w:cs="Arial"/>
          <w:sz w:val="21"/>
          <w:szCs w:val="21"/>
        </w:rPr>
        <w:t>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BD18A1">
        <w:rPr>
          <w:rStyle w:val="Refdenotaalpie"/>
          <w:rFonts w:ascii="Arial" w:eastAsia="Arial" w:hAnsi="Arial" w:cs="Arial"/>
        </w:rPr>
        <w:footnoteReference w:id="17"/>
      </w:r>
    </w:p>
    <w:p w14:paraId="7F8B9AEF" w14:textId="77777777" w:rsidR="00E3490B" w:rsidRPr="00BD18A1" w:rsidRDefault="00E3490B" w:rsidP="00E3490B">
      <w:pPr>
        <w:spacing w:after="0"/>
        <w:ind w:left="709" w:right="709"/>
        <w:jc w:val="both"/>
        <w:rPr>
          <w:rFonts w:ascii="Arial" w:eastAsia="Arial" w:hAnsi="Arial" w:cs="Arial"/>
          <w:sz w:val="21"/>
          <w:szCs w:val="21"/>
        </w:rPr>
      </w:pPr>
    </w:p>
    <w:p w14:paraId="2542E187" w14:textId="77777777" w:rsidR="00064A93" w:rsidRPr="00BD18A1" w:rsidRDefault="00064A93" w:rsidP="00064A93">
      <w:pPr>
        <w:spacing w:after="120" w:line="276" w:lineRule="auto"/>
        <w:ind w:firstLine="709"/>
        <w:jc w:val="both"/>
        <w:rPr>
          <w:rFonts w:ascii="Arial" w:eastAsia="Arial" w:hAnsi="Arial" w:cs="Arial"/>
          <w:color w:val="000000"/>
        </w:rPr>
      </w:pPr>
      <w:r w:rsidRPr="00BD18A1">
        <w:rPr>
          <w:rFonts w:ascii="Arial" w:eastAsia="Arial" w:hAnsi="Arial" w:cs="Arial"/>
          <w:color w:val="000000"/>
        </w:rPr>
        <w:t xml:space="preserve">Conforme a la explicación precedente, aclarar una oferta no puede implicar su alteración sustancial o la mejora de sus componentes, sino que debe limitarse a disipar lo que resulta confuso u otorgar claridad a lo que resulta oscuro o ininteligible. En este punto, se concluye que es distinto aclarar y subsanar una oferta: mientras este último instituto procura que el oferente presente, dentro del plazo y bajo las condiciones dispuestas por la norma aplicable, los documentos que acrediten el cumplimiento de los requisitos exigidos como habilitantes para participar en el respectivo procedimiento de selección, la aclaración permite el mejor </w:t>
      </w:r>
      <w:r w:rsidRPr="00BD18A1">
        <w:rPr>
          <w:rFonts w:ascii="Arial" w:eastAsia="Arial" w:hAnsi="Arial" w:cs="Arial"/>
          <w:color w:val="000000"/>
        </w:rPr>
        <w:lastRenderedPageBreak/>
        <w:t xml:space="preserve">entendimiento de los elementos de la oferta, sean o no subsanables, para la correcta verificación y evaluación de los mismos por parte de la entidad pública. </w:t>
      </w:r>
    </w:p>
    <w:p w14:paraId="11D2C825" w14:textId="0EF50667" w:rsidR="00064A93" w:rsidRPr="00BD18A1" w:rsidRDefault="00064A93" w:rsidP="00064A93">
      <w:pPr>
        <w:spacing w:after="120" w:line="276" w:lineRule="auto"/>
        <w:ind w:firstLine="709"/>
        <w:jc w:val="both"/>
        <w:rPr>
          <w:rFonts w:ascii="Arial" w:hAnsi="Arial" w:cs="Arial"/>
          <w:bCs/>
          <w:shd w:val="clear" w:color="auto" w:fill="FFFFFF"/>
        </w:rPr>
      </w:pPr>
      <w:r w:rsidRPr="00BD18A1">
        <w:rPr>
          <w:rFonts w:ascii="Arial" w:eastAsia="Arial" w:hAnsi="Arial" w:cs="Arial"/>
          <w:color w:val="000000"/>
        </w:rPr>
        <w:t xml:space="preserve">Regresando al ejemplo planteado, </w:t>
      </w:r>
      <w:r w:rsidRPr="00BD18A1">
        <w:rPr>
          <w:rFonts w:ascii="Arial" w:hAnsi="Arial" w:cs="Arial"/>
          <w:bCs/>
          <w:shd w:val="clear" w:color="auto" w:fill="FFFFFF"/>
        </w:rPr>
        <w:t xml:space="preserve">también es posible que el proponente certifique que tiene diez (10) personas con discapacidad, pero la cédula o el certificado de discapacidad de cuatro de (4) de ellas ofrezcan dudas sobre la acreditación de la calidad exigida. En este tipo de situaciones, frente a los defectos de la documentación anexa que impidan comprender el alcance de su contenido, la entidad –de cara a las circunstancias particulares de cada caso concreto– definirá tanto la necesidad o no de solicitar aclaraciones conforme al artículo 30.7 de la Ley 80 de 1993 como si la aclaración del proponente satisface o no los criterios jurisprudenciales explicados con anterioridad. Lo anterior previo concepto de su equipo jurídico y sin perjuicio de la responsabilidad por la decisión adoptada, por lo cual deberá tenerse en cuenta que el régimen de aclaración no puede conducir al mejoramiento o alteración sustancial de las </w:t>
      </w:r>
      <w:r w:rsidR="00CC1010" w:rsidRPr="00BD18A1">
        <w:rPr>
          <w:rFonts w:ascii="Arial" w:hAnsi="Arial" w:cs="Arial"/>
          <w:bCs/>
          <w:shd w:val="clear" w:color="auto" w:fill="FFFFFF"/>
        </w:rPr>
        <w:t>propuestas,</w:t>
      </w:r>
      <w:r w:rsidRPr="00BD18A1">
        <w:rPr>
          <w:rFonts w:ascii="Arial" w:hAnsi="Arial" w:cs="Arial"/>
          <w:bCs/>
          <w:shd w:val="clear" w:color="auto" w:fill="FFFFFF"/>
        </w:rPr>
        <w:t xml:space="preserve"> sino que está dirigido a </w:t>
      </w:r>
      <w:r w:rsidRPr="00BD18A1">
        <w:rPr>
          <w:rFonts w:ascii="Arial" w:eastAsia="Arial" w:hAnsi="Arial" w:cs="Arial"/>
        </w:rPr>
        <w:t>esclarecer aspectos de estas que en principio resultan confusos para efectos de la evaluación</w:t>
      </w:r>
      <w:r w:rsidRPr="00BD18A1">
        <w:rPr>
          <w:rFonts w:ascii="Arial" w:hAnsi="Arial" w:cs="Arial"/>
          <w:bCs/>
          <w:shd w:val="clear" w:color="auto" w:fill="FFFFFF"/>
        </w:rPr>
        <w:t>, pero que estén presentes en ella.</w:t>
      </w:r>
    </w:p>
    <w:p w14:paraId="5E54ED96" w14:textId="77777777" w:rsidR="00064A93" w:rsidRPr="00BD18A1" w:rsidRDefault="00064A93" w:rsidP="00064A93">
      <w:pPr>
        <w:spacing w:after="120" w:line="276" w:lineRule="auto"/>
        <w:ind w:firstLine="709"/>
        <w:jc w:val="both"/>
        <w:rPr>
          <w:rFonts w:ascii="Arial" w:hAnsi="Arial" w:cs="Arial"/>
          <w:bCs/>
          <w:shd w:val="clear" w:color="auto" w:fill="FFFFFF"/>
        </w:rPr>
      </w:pPr>
      <w:r w:rsidRPr="00BD18A1">
        <w:rPr>
          <w:rFonts w:ascii="Arial" w:hAnsi="Arial" w:cs="Arial"/>
          <w:bCs/>
          <w:shd w:val="clear" w:color="auto" w:fill="FFFFFF"/>
        </w:rPr>
        <w:t xml:space="preserve">En este contexto, procederá la asignación de puntaje respecto al personal cuya calidad se acredite efectivamente en la oferta o como resultado de la aclaración que la entidad estime satisfactoria en cada caso particular. Por el contrario, cuando alguno de los anexos ofrezca dudas sobre la acreditación de la calidad exigida y la entidad no considere válida la aclaración ofrecida sobre la documentación aportada, dicho personal tampoco podrá tenerse en cuenta para el incentivo. En este caso, la norma analizada no dispone expresamente que el derecho a obtener el puntaje adicional por la vinculación de estos grupos poblacionales se pierda totalmente cuando los documentos referidos a una o varias de las personas, cuya vinculación quiere demostrarse, se anexen a la certificación del representante legal con defectos que impidan comprender el alcance de su contenido. </w:t>
      </w:r>
    </w:p>
    <w:p w14:paraId="383535C1" w14:textId="4BB4988A" w:rsidR="00416107" w:rsidRPr="00BD18A1" w:rsidRDefault="00064A93" w:rsidP="00416107">
      <w:pPr>
        <w:spacing w:line="276" w:lineRule="auto"/>
        <w:ind w:firstLine="709"/>
        <w:jc w:val="both"/>
        <w:rPr>
          <w:rFonts w:ascii="Arial" w:hAnsi="Arial" w:cs="Arial"/>
          <w:bCs/>
          <w:shd w:val="clear" w:color="auto" w:fill="FFFFFF"/>
          <w:lang w:val="es-MX"/>
        </w:rPr>
      </w:pPr>
      <w:r w:rsidRPr="00BD18A1">
        <w:rPr>
          <w:rFonts w:ascii="Arial" w:hAnsi="Arial" w:cs="Arial"/>
          <w:bCs/>
          <w:shd w:val="clear" w:color="auto" w:fill="FFFFFF"/>
        </w:rPr>
        <w:t xml:space="preserve">En conclusión, sobre la base del criterio hermenéutico de acuerdo con el cual </w:t>
      </w:r>
      <w:r w:rsidR="00416107" w:rsidRPr="00BD18A1">
        <w:rPr>
          <w:rFonts w:ascii="Arial" w:hAnsi="Arial" w:cs="Arial"/>
          <w:bCs/>
          <w:shd w:val="clear" w:color="auto" w:fill="FFFFFF"/>
        </w:rPr>
        <w:t>“</w:t>
      </w:r>
      <w:r w:rsidRPr="00BD18A1">
        <w:rPr>
          <w:rFonts w:ascii="Arial" w:hAnsi="Arial" w:cs="Arial"/>
          <w:bCs/>
          <w:shd w:val="clear" w:color="auto" w:fill="FFFFFF"/>
        </w:rPr>
        <w:t>el sentido en que una norma produce algún efecto se prefiere sobre aquel en que no produzca efecto alguno</w:t>
      </w:r>
      <w:r w:rsidR="00416107" w:rsidRPr="00BD18A1">
        <w:rPr>
          <w:rFonts w:ascii="Arial" w:hAnsi="Arial" w:cs="Arial"/>
          <w:bCs/>
          <w:shd w:val="clear" w:color="auto" w:fill="FFFFFF"/>
        </w:rPr>
        <w:t>”</w:t>
      </w:r>
      <w:r w:rsidRPr="00BD18A1">
        <w:rPr>
          <w:rFonts w:ascii="Arial" w:hAnsi="Arial" w:cs="Arial"/>
          <w:bCs/>
          <w:shd w:val="clear" w:color="auto" w:fill="FFFFFF"/>
        </w:rPr>
        <w:t xml:space="preserve">, el decreto reglamentario exige una simetría entre el número de personas certificadas y la relación del personal operativo, por un lado, y los anexos que acreditan las condiciones dispuestas en la norma, por otro. </w:t>
      </w:r>
      <w:r w:rsidRPr="00BD18A1">
        <w:rPr>
          <w:rFonts w:ascii="Arial" w:hAnsi="Arial" w:cs="Arial"/>
        </w:rPr>
        <w:t xml:space="preserve">De acuerdo con el parágrafo primero del artículo </w:t>
      </w:r>
      <w:r w:rsidRPr="00BD18A1">
        <w:rPr>
          <w:rFonts w:ascii="Arial" w:hAnsi="Arial" w:cs="Arial"/>
          <w:bCs/>
          <w:shd w:val="clear" w:color="auto" w:fill="FFFFFF"/>
        </w:rPr>
        <w:t>2.1.2.4.2.10 del Decreto 1082 de 2015, el otorgamiento del incentivo</w:t>
      </w:r>
      <w:r w:rsidRPr="00BD18A1">
        <w:rPr>
          <w:rFonts w:ascii="Arial" w:hAnsi="Arial" w:cs="Arial"/>
          <w:bCs/>
          <w:shd w:val="clear" w:color="auto" w:fill="FFFFFF"/>
          <w:lang w:val="es-MX"/>
        </w:rPr>
        <w:t xml:space="preserve"> requiere la concurrencia de los documentos descritos. Es decir, conforme al tenor de la norma, no podrá asignarse puntaje en relación con personas respecto de las cuales no se pruebe el cumplimiento de todos los requisitos exigidos en la disposición. De lo anterior se desprende que solo es posible validar los anexos en la cantidad y respecto a las personas que se relacionaron en la certificación del representante legal. Lo anterior, sin perjuicio de las reglas sobre aclaración de ofertas que han sido explicadas en este concepto. </w:t>
      </w:r>
    </w:p>
    <w:p w14:paraId="1BD8375E" w14:textId="6B1C3197" w:rsidR="00416107" w:rsidRPr="00BD18A1" w:rsidRDefault="00416107" w:rsidP="00416107">
      <w:pPr>
        <w:spacing w:line="276" w:lineRule="auto"/>
        <w:jc w:val="both"/>
        <w:rPr>
          <w:rFonts w:ascii="Arial" w:hAnsi="Arial" w:cs="Arial"/>
          <w:b/>
          <w:shd w:val="clear" w:color="auto" w:fill="FFFFFF"/>
          <w:lang w:val="es-MX"/>
        </w:rPr>
      </w:pPr>
      <w:r w:rsidRPr="00BD18A1">
        <w:rPr>
          <w:rFonts w:ascii="Arial" w:hAnsi="Arial" w:cs="Arial"/>
          <w:b/>
          <w:shd w:val="clear" w:color="auto" w:fill="FFFFFF"/>
          <w:lang w:val="es-MX"/>
        </w:rPr>
        <w:t>03. Respuesta</w:t>
      </w:r>
    </w:p>
    <w:p w14:paraId="6F53BAE8" w14:textId="77777777" w:rsidR="00191F28" w:rsidRPr="00BD18A1" w:rsidRDefault="00191F28" w:rsidP="00191F28">
      <w:pPr>
        <w:spacing w:after="0" w:line="240" w:lineRule="auto"/>
        <w:ind w:left="708" w:right="709"/>
        <w:jc w:val="both"/>
        <w:rPr>
          <w:rFonts w:ascii="Arial" w:hAnsi="Arial" w:cs="Arial"/>
          <w:sz w:val="21"/>
          <w:szCs w:val="21"/>
          <w:lang w:val="es-ES_tradnl"/>
        </w:rPr>
      </w:pPr>
      <w:r w:rsidRPr="00BD18A1">
        <w:rPr>
          <w:rFonts w:ascii="Arial" w:hAnsi="Arial" w:cs="Arial"/>
          <w:sz w:val="21"/>
          <w:szCs w:val="21"/>
          <w:lang w:val="es-ES_tradnl"/>
        </w:rPr>
        <w:lastRenderedPageBreak/>
        <w:t>“La consulta está dirigida a determinar para un proceso específico de prestación del servicio de vigilancia se deben otorgar los 2 puntajes establecidos en los 2 artículos, o solo se debe aplicar el contenido en el ARTÍCULO 2.2.1.2.4.2.10. que hace referencia especialmente al proceso de vigilancia.”</w:t>
      </w:r>
    </w:p>
    <w:p w14:paraId="5F7FA0EC" w14:textId="77777777" w:rsidR="005769E6" w:rsidRPr="00BD18A1" w:rsidRDefault="005769E6" w:rsidP="005769E6">
      <w:pPr>
        <w:shd w:val="clear" w:color="auto" w:fill="FFFFFF"/>
        <w:spacing w:after="0" w:line="276" w:lineRule="auto"/>
        <w:ind w:right="709"/>
        <w:jc w:val="both"/>
        <w:rPr>
          <w:rFonts w:ascii="Arial" w:eastAsia="Calibri" w:hAnsi="Arial" w:cs="Arial"/>
          <w:color w:val="000000" w:themeColor="text1"/>
          <w:sz w:val="21"/>
          <w:szCs w:val="21"/>
          <w:lang w:val="es-ES" w:eastAsia="es-CO"/>
        </w:rPr>
      </w:pPr>
    </w:p>
    <w:p w14:paraId="4E46CA3A" w14:textId="77777777" w:rsidR="00642DB1" w:rsidRPr="00BD18A1" w:rsidRDefault="005769E6" w:rsidP="00642DB1">
      <w:pPr>
        <w:shd w:val="clear" w:color="auto" w:fill="FFFFFF"/>
        <w:spacing w:after="120" w:line="276" w:lineRule="auto"/>
        <w:jc w:val="both"/>
        <w:rPr>
          <w:rFonts w:ascii="Arial" w:eastAsia="Times New Roman" w:hAnsi="Arial" w:cs="Arial"/>
          <w:color w:val="000000" w:themeColor="text1"/>
          <w:lang w:val="es-ES" w:eastAsia="es-ES_tradnl"/>
        </w:rPr>
      </w:pPr>
      <w:r w:rsidRPr="009E6692">
        <w:rPr>
          <w:rFonts w:ascii="Arial" w:eastAsia="Calibri" w:hAnsi="Arial" w:cs="Arial"/>
          <w:color w:val="000000" w:themeColor="text1"/>
          <w:lang w:val="es-ES" w:eastAsia="es-CO"/>
        </w:rPr>
        <w:t xml:space="preserve">Conforme a lo indicado en precedencia se observa que el </w:t>
      </w:r>
      <w:r w:rsidRPr="009E6692">
        <w:rPr>
          <w:rFonts w:ascii="Arial" w:eastAsia="Times New Roman" w:hAnsi="Arial" w:cs="Arial"/>
          <w:color w:val="000000" w:themeColor="text1"/>
          <w:lang w:val="es-MX" w:eastAsia="es-ES_tradnl"/>
        </w:rPr>
        <w:t xml:space="preserve"> Decreto 392 de 2018, en desarrollo del artículo 13 de la Ley 1618 de 2013, determinó que en los procesos de selección de licitación pública y concurso de méritos se otorgaría el uno por ciento (1%) de los puntos establecidos en el pliego de condiciones a aquellos proponentes que acreditaran: i) el número total de trabajadores vinculados a la planta de personal; y, ii) la vinculación de, por lo menos, el número mínimo exigido de trabajadores con discapacidad</w:t>
      </w:r>
      <w:r w:rsidRPr="009E6692">
        <w:rPr>
          <w:rFonts w:ascii="Arial" w:eastAsia="Times New Roman" w:hAnsi="Arial" w:cs="Arial"/>
          <w:color w:val="000000" w:themeColor="text1"/>
          <w:lang w:val="es-ES" w:eastAsia="es-ES_tradnl"/>
        </w:rPr>
        <w:t>. Para ello el 2.2.1.2.4.2.6. del Decreto 1082 de 2015 (adicionado por el Decreto 392 de 2018) dispuso que la forma para acreditar lo anterior sería aportando certificaciones, si es</w:t>
      </w:r>
      <w:r w:rsidRPr="009E6692">
        <w:rPr>
          <w:rFonts w:ascii="Arial" w:eastAsia="Calibri" w:hAnsi="Arial" w:cs="Arial"/>
          <w:color w:val="000000" w:themeColor="text1"/>
          <w:lang w:val="es-ES_tradnl" w:eastAsia="es-CO"/>
        </w:rPr>
        <w:t xml:space="preserve"> persona natural o el representante legal de la persona jurídica o su revisor fiscal, según el caso, en el que</w:t>
      </w:r>
      <w:r w:rsidRPr="00BD18A1">
        <w:rPr>
          <w:rFonts w:ascii="Arial" w:eastAsia="Calibri" w:hAnsi="Arial" w:cs="Arial"/>
          <w:color w:val="000000" w:themeColor="text1"/>
          <w:lang w:val="es-ES_tradnl" w:eastAsia="es-CO"/>
        </w:rPr>
        <w:t xml:space="preserve"> conste el número de trabajadores vinculados a la planta de personal al momento en que cierre el proceso de selección, lo anterior debe ir acompañado de un certificado expedido por el Ministerio de Trabajo, el cual debe estar vigente al cierre del respectivo proceso que certifique el </w:t>
      </w:r>
      <w:r w:rsidRPr="00BD18A1">
        <w:rPr>
          <w:rFonts w:ascii="Arial" w:eastAsia="Times New Roman" w:hAnsi="Arial" w:cs="Arial"/>
          <w:color w:val="000000" w:themeColor="text1"/>
          <w:lang w:val="es-ES" w:eastAsia="es-ES_tradnl"/>
        </w:rPr>
        <w:t>número de personas con discapacidad en su planta de personal.</w:t>
      </w:r>
    </w:p>
    <w:p w14:paraId="2A617FC8" w14:textId="77777777" w:rsidR="00642DB1" w:rsidRPr="00BD18A1" w:rsidRDefault="005769E6" w:rsidP="00642DB1">
      <w:pPr>
        <w:shd w:val="clear" w:color="auto" w:fill="FFFFFF"/>
        <w:spacing w:after="120" w:line="276" w:lineRule="auto"/>
        <w:ind w:firstLine="708"/>
        <w:jc w:val="both"/>
        <w:rPr>
          <w:rFonts w:ascii="Arial" w:eastAsia="Times New Roman" w:hAnsi="Arial" w:cs="Arial"/>
          <w:color w:val="000000" w:themeColor="text1"/>
          <w:lang w:val="es-ES" w:eastAsia="es-ES_tradnl"/>
        </w:rPr>
      </w:pPr>
      <w:r w:rsidRPr="00BD18A1">
        <w:rPr>
          <w:rFonts w:ascii="Arial" w:eastAsia="Times New Roman" w:hAnsi="Arial" w:cs="Arial"/>
          <w:color w:val="000000" w:themeColor="text1"/>
          <w:lang w:val="es-ES" w:eastAsia="es-ES_tradnl"/>
        </w:rPr>
        <w:t xml:space="preserve">Por otro lado, </w:t>
      </w:r>
      <w:r w:rsidRPr="00BD18A1">
        <w:rPr>
          <w:rFonts w:ascii="Arial" w:eastAsia="Calibri" w:hAnsi="Arial" w:cs="Arial"/>
          <w:bCs/>
          <w:color w:val="000000"/>
          <w:lang w:val="es-ES_tradnl"/>
        </w:rPr>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Así las cosas, se observa que con este reglamento se posibilita a las Entidades Estatales sometidas al Estatuto General de Contratación de la Administración Pública a establecer puntajes adicionales en los procesos de licitación pública que se inicien para la contratación de los servicios que prestan las empresas  y cooperativas de vigilancia y seguridad privada, cuando estos proveedores acrediten que dentro de su personal operativo cuentan con mujeres, personas con discapacidad y personas mayores de 45 años vinculadas con todas las garantías que establece la ley.</w:t>
      </w:r>
    </w:p>
    <w:p w14:paraId="6CE88040" w14:textId="77777777" w:rsidR="00BF7077" w:rsidRDefault="005769E6" w:rsidP="009F2066">
      <w:pPr>
        <w:shd w:val="clear" w:color="auto" w:fill="FFFFFF"/>
        <w:spacing w:after="120" w:line="276" w:lineRule="auto"/>
        <w:ind w:firstLine="708"/>
        <w:jc w:val="both"/>
        <w:rPr>
          <w:rFonts w:ascii="Arial" w:eastAsia="Calibri" w:hAnsi="Arial" w:cs="Arial"/>
          <w:bCs/>
          <w:color w:val="000000"/>
          <w:lang w:val="es-ES_tradnl"/>
        </w:rPr>
      </w:pPr>
      <w:r w:rsidRPr="00BD18A1">
        <w:rPr>
          <w:rFonts w:ascii="Arial" w:eastAsia="Calibri" w:hAnsi="Arial" w:cs="Arial"/>
          <w:bCs/>
          <w:color w:val="000000"/>
          <w:lang w:val="es-ES_tradnl"/>
        </w:rPr>
        <w:t xml:space="preserve">Así las cosas, se tiene que el Decreto 1082 de 2015 cuenta con dos disposiciones que permiten a las Entidades Estatales otorgar porcentajes adicionales cuando los proponentes acreditan </w:t>
      </w:r>
      <w:r w:rsidR="00B766F2" w:rsidRPr="00BD18A1">
        <w:rPr>
          <w:rFonts w:ascii="Arial" w:eastAsia="Calibri" w:hAnsi="Arial" w:cs="Arial"/>
          <w:bCs/>
          <w:color w:val="000000"/>
          <w:lang w:val="es-ES_tradnl"/>
        </w:rPr>
        <w:t xml:space="preserve">en </w:t>
      </w:r>
      <w:r w:rsidR="00FF2322" w:rsidRPr="00BD18A1">
        <w:rPr>
          <w:rFonts w:ascii="Arial" w:eastAsia="Calibri" w:hAnsi="Arial" w:cs="Arial"/>
          <w:bCs/>
          <w:color w:val="000000"/>
          <w:lang w:val="es-ES_tradnl"/>
        </w:rPr>
        <w:t xml:space="preserve">su </w:t>
      </w:r>
      <w:r w:rsidR="00B766F2" w:rsidRPr="00BD18A1">
        <w:rPr>
          <w:rFonts w:ascii="Arial" w:eastAsia="Calibri" w:hAnsi="Arial" w:cs="Arial"/>
          <w:bCs/>
          <w:color w:val="000000"/>
          <w:lang w:val="es-ES_tradnl"/>
        </w:rPr>
        <w:t xml:space="preserve">planta </w:t>
      </w:r>
      <w:r w:rsidRPr="00BD18A1">
        <w:rPr>
          <w:rFonts w:ascii="Arial" w:eastAsia="Calibri" w:hAnsi="Arial" w:cs="Arial"/>
          <w:bCs/>
          <w:color w:val="000000"/>
          <w:lang w:val="es-ES_tradnl"/>
        </w:rPr>
        <w:t xml:space="preserve">la vinculación de personal en estado de discapacidad, estas </w:t>
      </w:r>
      <w:r w:rsidR="00834C86" w:rsidRPr="00BD18A1">
        <w:rPr>
          <w:rFonts w:ascii="Arial" w:eastAsia="Calibri" w:hAnsi="Arial" w:cs="Arial"/>
          <w:bCs/>
          <w:color w:val="000000"/>
          <w:lang w:val="es-ES_tradnl"/>
        </w:rPr>
        <w:t>están</w:t>
      </w:r>
      <w:r w:rsidRPr="00BD18A1">
        <w:rPr>
          <w:rFonts w:ascii="Arial" w:eastAsia="Calibri" w:hAnsi="Arial" w:cs="Arial"/>
          <w:bCs/>
          <w:color w:val="000000"/>
          <w:lang w:val="es-ES_tradnl"/>
        </w:rPr>
        <w:t xml:space="preserve"> contenidas en los artículos </w:t>
      </w:r>
      <w:r w:rsidRPr="00BD18A1">
        <w:rPr>
          <w:rFonts w:ascii="Arial" w:eastAsia="Times New Roman" w:hAnsi="Arial" w:cs="Arial"/>
          <w:color w:val="000000" w:themeColor="text1"/>
          <w:lang w:val="es-ES" w:eastAsia="es-ES_tradnl"/>
        </w:rPr>
        <w:t xml:space="preserve">2.2.1.2.4.2.6, y </w:t>
      </w:r>
      <w:r w:rsidRPr="00BD18A1">
        <w:rPr>
          <w:rFonts w:ascii="Arial" w:eastAsia="Calibri" w:hAnsi="Arial" w:cs="Arial"/>
          <w:bCs/>
          <w:color w:val="000000"/>
          <w:lang w:val="es-ES_tradnl"/>
        </w:rPr>
        <w:t xml:space="preserve">2.2.1.2.4.2.10, siendo el primero de ellos una norma </w:t>
      </w:r>
      <w:r w:rsidR="00BF152D" w:rsidRPr="00BD18A1">
        <w:rPr>
          <w:rFonts w:ascii="Arial" w:eastAsia="Calibri" w:hAnsi="Arial" w:cs="Arial"/>
          <w:bCs/>
          <w:color w:val="000000"/>
          <w:lang w:val="es-ES_tradnl"/>
        </w:rPr>
        <w:t xml:space="preserve">de </w:t>
      </w:r>
      <w:r w:rsidR="00A8174B" w:rsidRPr="00BD18A1">
        <w:rPr>
          <w:rFonts w:ascii="Arial" w:eastAsia="Calibri" w:hAnsi="Arial" w:cs="Arial"/>
          <w:bCs/>
          <w:color w:val="000000"/>
          <w:lang w:val="es-ES_tradnl"/>
        </w:rPr>
        <w:t xml:space="preserve">carácter </w:t>
      </w:r>
      <w:r w:rsidRPr="00BD18A1">
        <w:rPr>
          <w:rFonts w:ascii="Arial" w:eastAsia="Calibri" w:hAnsi="Arial" w:cs="Arial"/>
          <w:bCs/>
          <w:color w:val="000000"/>
          <w:lang w:val="es-ES_tradnl"/>
        </w:rPr>
        <w:t>transversal, esto quiere decir</w:t>
      </w:r>
      <w:r w:rsidR="007C106F" w:rsidRPr="00BD18A1">
        <w:rPr>
          <w:rFonts w:ascii="Arial" w:eastAsia="Calibri" w:hAnsi="Arial" w:cs="Arial"/>
          <w:bCs/>
          <w:color w:val="000000"/>
          <w:lang w:val="es-ES_tradnl"/>
        </w:rPr>
        <w:t xml:space="preserve">, </w:t>
      </w:r>
      <w:r w:rsidRPr="00BD18A1">
        <w:rPr>
          <w:rFonts w:ascii="Arial" w:eastAsia="Calibri" w:hAnsi="Arial" w:cs="Arial"/>
          <w:bCs/>
          <w:color w:val="000000"/>
          <w:lang w:val="es-ES_tradnl"/>
        </w:rPr>
        <w:t xml:space="preserve">que es aplicable a todos los procesos </w:t>
      </w:r>
      <w:r w:rsidRPr="00BD18A1">
        <w:rPr>
          <w:rFonts w:ascii="Arial" w:eastAsia="Times New Roman" w:hAnsi="Arial" w:cs="Arial"/>
          <w:color w:val="000000" w:themeColor="text1"/>
          <w:lang w:val="es-MX" w:eastAsia="es-ES_tradnl"/>
        </w:rPr>
        <w:t>de licitación pública y concurso de méritos, mientras que la segunda es una norma que regula un proceso en específico, este es</w:t>
      </w:r>
      <w:r w:rsidR="008471E4" w:rsidRPr="00BD18A1">
        <w:rPr>
          <w:rFonts w:ascii="Arial" w:eastAsia="Times New Roman" w:hAnsi="Arial" w:cs="Arial"/>
          <w:color w:val="000000" w:themeColor="text1"/>
          <w:lang w:val="es-MX" w:eastAsia="es-ES_tradnl"/>
        </w:rPr>
        <w:t>,</w:t>
      </w:r>
      <w:r w:rsidRPr="00BD18A1">
        <w:rPr>
          <w:rFonts w:ascii="Arial" w:eastAsia="Times New Roman" w:hAnsi="Arial" w:cs="Arial"/>
          <w:color w:val="000000" w:themeColor="text1"/>
          <w:lang w:val="es-MX" w:eastAsia="es-ES_tradnl"/>
        </w:rPr>
        <w:t xml:space="preserve"> el </w:t>
      </w:r>
      <w:r w:rsidRPr="00BD18A1">
        <w:rPr>
          <w:rFonts w:ascii="Arial" w:eastAsia="Calibri" w:hAnsi="Arial" w:cs="Arial"/>
          <w:bCs/>
          <w:color w:val="000000"/>
          <w:lang w:val="es-ES_tradnl"/>
        </w:rPr>
        <w:t xml:space="preserve">de licitación pública para la contratación de los servicios que prestan las empresas  y cooperativas de vigilancia y seguridad privada. </w:t>
      </w:r>
    </w:p>
    <w:p w14:paraId="0E329683" w14:textId="6D995179" w:rsidR="00642DB1" w:rsidRPr="00BD18A1" w:rsidRDefault="00A8174B" w:rsidP="009F2066">
      <w:pPr>
        <w:shd w:val="clear" w:color="auto" w:fill="FFFFFF"/>
        <w:spacing w:after="120" w:line="276" w:lineRule="auto"/>
        <w:ind w:firstLine="708"/>
        <w:jc w:val="both"/>
        <w:rPr>
          <w:rFonts w:ascii="Arial" w:eastAsia="Calibri" w:hAnsi="Arial" w:cs="Arial"/>
          <w:bCs/>
          <w:color w:val="000000"/>
          <w:lang w:val="es-ES_tradnl"/>
        </w:rPr>
      </w:pPr>
      <w:r w:rsidRPr="00BD18A1">
        <w:rPr>
          <w:rFonts w:ascii="Arial" w:eastAsia="Calibri" w:hAnsi="Arial" w:cs="Arial"/>
          <w:bCs/>
          <w:color w:val="000000"/>
          <w:lang w:val="es-ES_tradnl"/>
        </w:rPr>
        <w:t xml:space="preserve">Ahora bien, </w:t>
      </w:r>
      <w:r w:rsidR="00D55F4A" w:rsidRPr="00BD18A1">
        <w:rPr>
          <w:rFonts w:ascii="Arial" w:eastAsia="Calibri" w:hAnsi="Arial" w:cs="Arial"/>
          <w:bCs/>
          <w:color w:val="000000"/>
          <w:lang w:val="es-ES_tradnl"/>
        </w:rPr>
        <w:t xml:space="preserve">frente </w:t>
      </w:r>
      <w:r w:rsidR="00A56ACE" w:rsidRPr="00BD18A1">
        <w:rPr>
          <w:rFonts w:ascii="Arial" w:eastAsia="Calibri" w:hAnsi="Arial" w:cs="Arial"/>
          <w:bCs/>
          <w:color w:val="000000"/>
          <w:lang w:val="es-ES_tradnl"/>
        </w:rPr>
        <w:t>al puntaje</w:t>
      </w:r>
      <w:r w:rsidR="007C2F2A" w:rsidRPr="00BD18A1">
        <w:rPr>
          <w:rFonts w:ascii="Arial" w:eastAsia="Calibri" w:hAnsi="Arial" w:cs="Arial"/>
          <w:bCs/>
          <w:color w:val="000000"/>
          <w:lang w:val="es-ES_tradnl"/>
        </w:rPr>
        <w:t xml:space="preserve"> adicional</w:t>
      </w:r>
      <w:r w:rsidR="009F2066" w:rsidRPr="00BD18A1">
        <w:rPr>
          <w:rFonts w:ascii="Arial" w:eastAsia="Calibri" w:hAnsi="Arial" w:cs="Arial"/>
          <w:bCs/>
          <w:color w:val="000000"/>
          <w:lang w:val="es-ES_tradnl"/>
        </w:rPr>
        <w:t xml:space="preserve"> establecido en los artículos previamente mencionados</w:t>
      </w:r>
      <w:r w:rsidR="00BE1514" w:rsidRPr="00BD18A1">
        <w:rPr>
          <w:rFonts w:ascii="Arial" w:eastAsia="Calibri" w:hAnsi="Arial" w:cs="Arial"/>
          <w:bCs/>
          <w:color w:val="000000"/>
          <w:lang w:val="es-ES_tradnl"/>
        </w:rPr>
        <w:t>,</w:t>
      </w:r>
      <w:r w:rsidR="0018145A" w:rsidRPr="00BD18A1">
        <w:rPr>
          <w:rFonts w:ascii="Arial" w:eastAsia="Calibri" w:hAnsi="Arial" w:cs="Arial"/>
          <w:bCs/>
          <w:color w:val="000000"/>
          <w:lang w:val="es-ES_tradnl"/>
        </w:rPr>
        <w:t xml:space="preserve"> es importante señalar que cada Entidad </w:t>
      </w:r>
      <w:r w:rsidR="00BF7077">
        <w:rPr>
          <w:rFonts w:ascii="Arial" w:eastAsia="Calibri" w:hAnsi="Arial" w:cs="Arial"/>
          <w:bCs/>
          <w:color w:val="000000"/>
          <w:lang w:val="es-ES_tradnl"/>
        </w:rPr>
        <w:t xml:space="preserve">bajo la facultad discrecional </w:t>
      </w:r>
      <w:r w:rsidR="003A409C">
        <w:rPr>
          <w:rFonts w:ascii="Arial" w:eastAsia="Calibri" w:hAnsi="Arial" w:cs="Arial"/>
          <w:bCs/>
          <w:color w:val="000000"/>
          <w:lang w:val="es-ES_tradnl"/>
        </w:rPr>
        <w:t>de la</w:t>
      </w:r>
      <w:r w:rsidR="00BF7077">
        <w:rPr>
          <w:rFonts w:ascii="Arial" w:eastAsia="Calibri" w:hAnsi="Arial" w:cs="Arial"/>
          <w:bCs/>
          <w:color w:val="000000"/>
          <w:lang w:val="es-ES_tradnl"/>
        </w:rPr>
        <w:t xml:space="preserve"> que goza </w:t>
      </w:r>
      <w:r w:rsidR="0018145A" w:rsidRPr="00BD18A1">
        <w:rPr>
          <w:rFonts w:ascii="Arial" w:eastAsia="Calibri" w:hAnsi="Arial" w:cs="Arial"/>
          <w:bCs/>
          <w:color w:val="000000"/>
          <w:lang w:val="es-ES_tradnl"/>
        </w:rPr>
        <w:t>al momento de estructurar el proceso de contratación</w:t>
      </w:r>
      <w:r w:rsidR="00E41A51" w:rsidRPr="00BD18A1">
        <w:rPr>
          <w:rFonts w:ascii="Arial" w:eastAsia="Calibri" w:hAnsi="Arial" w:cs="Arial"/>
          <w:bCs/>
          <w:color w:val="000000"/>
          <w:lang w:val="es-ES_tradnl"/>
        </w:rPr>
        <w:t xml:space="preserve">, </w:t>
      </w:r>
      <w:r w:rsidR="00C307B0" w:rsidRPr="00BD18A1">
        <w:rPr>
          <w:rFonts w:ascii="Arial" w:eastAsia="Calibri" w:hAnsi="Arial" w:cs="Arial"/>
          <w:bCs/>
          <w:color w:val="000000"/>
          <w:lang w:val="es-ES_tradnl"/>
        </w:rPr>
        <w:t>es la encargada</w:t>
      </w:r>
      <w:r w:rsidR="007A0500" w:rsidRPr="00BD18A1">
        <w:rPr>
          <w:rFonts w:ascii="Arial" w:eastAsia="Calibri" w:hAnsi="Arial" w:cs="Arial"/>
          <w:bCs/>
          <w:color w:val="000000"/>
          <w:lang w:val="es-ES_tradnl"/>
        </w:rPr>
        <w:t xml:space="preserve"> dentro de su autonomía</w:t>
      </w:r>
      <w:r w:rsidR="00C307B0" w:rsidRPr="00BD18A1">
        <w:rPr>
          <w:rFonts w:ascii="Arial" w:eastAsia="Calibri" w:hAnsi="Arial" w:cs="Arial"/>
          <w:bCs/>
          <w:color w:val="000000"/>
          <w:lang w:val="es-ES_tradnl"/>
        </w:rPr>
        <w:t xml:space="preserve"> </w:t>
      </w:r>
      <w:r w:rsidR="00C307B0" w:rsidRPr="00BD18A1">
        <w:rPr>
          <w:rFonts w:ascii="Arial" w:eastAsia="Calibri" w:hAnsi="Arial" w:cs="Arial"/>
          <w:bCs/>
          <w:color w:val="000000"/>
          <w:lang w:val="es-ES_tradnl"/>
        </w:rPr>
        <w:lastRenderedPageBreak/>
        <w:t xml:space="preserve">de establecer la forma en la que se </w:t>
      </w:r>
      <w:r w:rsidR="00646EC7" w:rsidRPr="00BD18A1">
        <w:rPr>
          <w:rFonts w:ascii="Arial" w:eastAsia="Calibri" w:hAnsi="Arial" w:cs="Arial"/>
          <w:bCs/>
          <w:color w:val="000000"/>
          <w:lang w:val="es-ES_tradnl"/>
        </w:rPr>
        <w:t>va</w:t>
      </w:r>
      <w:r w:rsidR="00C307B0" w:rsidRPr="00BD18A1">
        <w:rPr>
          <w:rFonts w:ascii="Arial" w:eastAsia="Calibri" w:hAnsi="Arial" w:cs="Arial"/>
          <w:bCs/>
          <w:color w:val="000000"/>
          <w:lang w:val="es-ES_tradnl"/>
        </w:rPr>
        <w:t xml:space="preserve"> a </w:t>
      </w:r>
      <w:r w:rsidR="009D4167" w:rsidRPr="00BD18A1">
        <w:rPr>
          <w:rFonts w:ascii="Arial" w:eastAsia="Calibri" w:hAnsi="Arial" w:cs="Arial"/>
          <w:bCs/>
          <w:color w:val="000000"/>
          <w:lang w:val="es-ES_tradnl"/>
        </w:rPr>
        <w:t>efectuar</w:t>
      </w:r>
      <w:r w:rsidR="009C2841" w:rsidRPr="00BD18A1">
        <w:rPr>
          <w:rFonts w:ascii="Arial" w:eastAsia="Calibri" w:hAnsi="Arial" w:cs="Arial"/>
          <w:bCs/>
          <w:color w:val="000000"/>
          <w:lang w:val="es-ES_tradnl"/>
        </w:rPr>
        <w:t xml:space="preserve"> la</w:t>
      </w:r>
      <w:r w:rsidR="00A56ACE" w:rsidRPr="00BD18A1">
        <w:rPr>
          <w:rFonts w:ascii="Arial" w:eastAsia="Calibri" w:hAnsi="Arial" w:cs="Arial"/>
          <w:bCs/>
          <w:color w:val="000000"/>
          <w:lang w:val="es-ES_tradnl"/>
        </w:rPr>
        <w:t xml:space="preserve"> ponderación</w:t>
      </w:r>
      <w:r w:rsidR="00011E6D" w:rsidRPr="00BD18A1">
        <w:rPr>
          <w:rFonts w:ascii="Arial" w:eastAsia="Calibri" w:hAnsi="Arial" w:cs="Arial"/>
          <w:bCs/>
          <w:color w:val="000000"/>
          <w:lang w:val="es-ES_tradnl"/>
        </w:rPr>
        <w:t xml:space="preserve"> </w:t>
      </w:r>
      <w:r w:rsidR="00646EC7" w:rsidRPr="00BD18A1">
        <w:rPr>
          <w:rFonts w:ascii="Arial" w:eastAsia="Calibri" w:hAnsi="Arial" w:cs="Arial"/>
          <w:bCs/>
          <w:color w:val="000000"/>
          <w:lang w:val="es-ES_tradnl"/>
        </w:rPr>
        <w:t xml:space="preserve">de los porcentajes </w:t>
      </w:r>
      <w:r w:rsidR="009D4167" w:rsidRPr="00BD18A1">
        <w:rPr>
          <w:rFonts w:ascii="Arial" w:eastAsia="Calibri" w:hAnsi="Arial" w:cs="Arial"/>
          <w:bCs/>
          <w:color w:val="000000"/>
          <w:lang w:val="es-ES_tradnl"/>
        </w:rPr>
        <w:t xml:space="preserve">cuando los proponentes cumplan con los requisitos establecidos en la norma para </w:t>
      </w:r>
      <w:r w:rsidR="00011E6D" w:rsidRPr="00BD18A1">
        <w:rPr>
          <w:rFonts w:ascii="Arial" w:eastAsia="Calibri" w:hAnsi="Arial" w:cs="Arial"/>
          <w:bCs/>
          <w:color w:val="000000"/>
          <w:lang w:val="es-ES_tradnl"/>
        </w:rPr>
        <w:t>tal efecto.</w:t>
      </w:r>
    </w:p>
    <w:p w14:paraId="48AC538F" w14:textId="7960B5FD" w:rsidR="00185FB7" w:rsidRPr="00BD18A1" w:rsidRDefault="00185FB7" w:rsidP="00642DB1">
      <w:pPr>
        <w:shd w:val="clear" w:color="auto" w:fill="FFFFFF"/>
        <w:spacing w:after="120" w:line="276" w:lineRule="auto"/>
        <w:jc w:val="both"/>
        <w:rPr>
          <w:rFonts w:ascii="Arial" w:eastAsia="Times New Roman" w:hAnsi="Arial" w:cs="Arial"/>
          <w:color w:val="000000" w:themeColor="text1"/>
          <w:lang w:val="es-ES" w:eastAsia="es-ES_tradnl"/>
        </w:rPr>
      </w:pPr>
      <w:r w:rsidRPr="00BD18A1">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60E63BD" w14:textId="77777777" w:rsidR="00185FB7" w:rsidRPr="00BD18A1" w:rsidRDefault="00185FB7" w:rsidP="00185FB7">
      <w:pPr>
        <w:spacing w:after="120" w:line="276" w:lineRule="auto"/>
        <w:jc w:val="both"/>
        <w:rPr>
          <w:rFonts w:ascii="Arial" w:hAnsi="Arial" w:cs="Arial"/>
          <w:lang w:val="es-ES_tradnl"/>
        </w:rPr>
      </w:pPr>
      <w:r w:rsidRPr="00BD18A1">
        <w:rPr>
          <w:rFonts w:ascii="Arial" w:hAnsi="Arial" w:cs="Arial"/>
          <w:lang w:val="es-ES_tradnl"/>
        </w:rPr>
        <w:t>Atentamente,</w:t>
      </w:r>
    </w:p>
    <w:p w14:paraId="41151018" w14:textId="17800EE7" w:rsidR="00185FB7" w:rsidRPr="00BD18A1" w:rsidRDefault="008238BD" w:rsidP="00185FB7">
      <w:pPr>
        <w:spacing w:line="276" w:lineRule="auto"/>
        <w:jc w:val="center"/>
        <w:rPr>
          <w:rFonts w:ascii="Arial" w:hAnsi="Arial" w:cs="Arial"/>
          <w:lang w:val="es-ES_tradnl"/>
        </w:rPr>
      </w:pPr>
      <w:r>
        <w:rPr>
          <w:rFonts w:ascii="Arial" w:hAnsi="Arial" w:cs="Arial"/>
          <w:noProof/>
          <w:color w:val="000000"/>
          <w:shd w:val="clear" w:color="auto" w:fill="FFFFFF"/>
          <w:lang w:val="es-ES"/>
        </w:rPr>
        <w:drawing>
          <wp:inline distT="0" distB="0" distL="0" distR="0" wp14:anchorId="26C87A5A" wp14:editId="740A9EA4">
            <wp:extent cx="3157220" cy="1207770"/>
            <wp:effectExtent l="0" t="0" r="508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7220" cy="120777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185FB7" w:rsidRPr="00BD18A1" w14:paraId="3F24E5B4" w14:textId="77777777" w:rsidTr="00EC17B1">
        <w:trPr>
          <w:trHeight w:val="315"/>
        </w:trPr>
        <w:tc>
          <w:tcPr>
            <w:tcW w:w="812" w:type="dxa"/>
            <w:vAlign w:val="center"/>
            <w:hideMark/>
          </w:tcPr>
          <w:p w14:paraId="601738AA" w14:textId="77777777" w:rsidR="00185FB7" w:rsidRPr="00BD18A1" w:rsidRDefault="00185FB7" w:rsidP="00EC17B1">
            <w:pPr>
              <w:spacing w:line="276" w:lineRule="auto"/>
              <w:rPr>
                <w:rFonts w:ascii="Arial" w:eastAsia="Times New Roman" w:hAnsi="Arial" w:cs="Arial"/>
                <w:sz w:val="16"/>
                <w:szCs w:val="16"/>
                <w:lang w:val="es-ES" w:eastAsia="es-ES"/>
              </w:rPr>
            </w:pPr>
            <w:r w:rsidRPr="00BD18A1">
              <w:rPr>
                <w:rFonts w:ascii="Arial" w:eastAsia="Times New Roman" w:hAnsi="Arial" w:cs="Arial"/>
                <w:sz w:val="16"/>
                <w:szCs w:val="16"/>
                <w:lang w:val="es-ES" w:eastAsia="es-ES"/>
              </w:rPr>
              <w:t>Elaboró:</w:t>
            </w:r>
          </w:p>
        </w:tc>
        <w:tc>
          <w:tcPr>
            <w:tcW w:w="5284" w:type="dxa"/>
            <w:tcBorders>
              <w:top w:val="nil"/>
              <w:left w:val="nil"/>
              <w:bottom w:val="dotted" w:sz="4" w:space="0" w:color="7F7F7F" w:themeColor="text1" w:themeTint="80"/>
              <w:right w:val="nil"/>
            </w:tcBorders>
            <w:vAlign w:val="center"/>
            <w:hideMark/>
          </w:tcPr>
          <w:p w14:paraId="75E5CAB0" w14:textId="77777777" w:rsidR="00185FB7" w:rsidRPr="00BD18A1" w:rsidRDefault="00185FB7" w:rsidP="00EC17B1">
            <w:pPr>
              <w:jc w:val="both"/>
              <w:rPr>
                <w:rFonts w:ascii="Arial" w:eastAsia="Times New Roman" w:hAnsi="Arial" w:cs="Arial"/>
                <w:sz w:val="16"/>
                <w:szCs w:val="16"/>
                <w:lang w:val="es-ES" w:eastAsia="es-ES"/>
              </w:rPr>
            </w:pPr>
            <w:r w:rsidRPr="00BD18A1">
              <w:rPr>
                <w:rFonts w:ascii="Arial" w:eastAsia="Times New Roman" w:hAnsi="Arial" w:cs="Arial"/>
                <w:sz w:val="16"/>
                <w:szCs w:val="16"/>
                <w:lang w:val="es-ES" w:eastAsia="es-ES"/>
              </w:rPr>
              <w:t>Ana María Ortiz Ballesteros</w:t>
            </w:r>
          </w:p>
          <w:p w14:paraId="0B9DC896" w14:textId="77777777" w:rsidR="00185FB7" w:rsidRPr="00BD18A1" w:rsidRDefault="00185FB7" w:rsidP="00EC17B1">
            <w:pPr>
              <w:jc w:val="both"/>
              <w:rPr>
                <w:rFonts w:ascii="Arial" w:eastAsia="Times New Roman" w:hAnsi="Arial" w:cs="Arial"/>
                <w:sz w:val="16"/>
                <w:szCs w:val="16"/>
                <w:lang w:val="es-ES" w:eastAsia="es-ES"/>
              </w:rPr>
            </w:pPr>
            <w:r w:rsidRPr="00BD18A1">
              <w:rPr>
                <w:rFonts w:ascii="Arial" w:eastAsia="Times New Roman" w:hAnsi="Arial" w:cs="Arial"/>
                <w:sz w:val="16"/>
                <w:szCs w:val="16"/>
                <w:lang w:val="es-ES" w:eastAsia="es-ES"/>
              </w:rPr>
              <w:t>Contratista de la Subdirección de Gestión Contractual</w:t>
            </w:r>
          </w:p>
        </w:tc>
      </w:tr>
      <w:tr w:rsidR="00185FB7" w:rsidRPr="00BD18A1" w14:paraId="6A6E71A7" w14:textId="77777777" w:rsidTr="00EC17B1">
        <w:trPr>
          <w:trHeight w:val="330"/>
        </w:trPr>
        <w:tc>
          <w:tcPr>
            <w:tcW w:w="812" w:type="dxa"/>
            <w:vAlign w:val="center"/>
            <w:hideMark/>
          </w:tcPr>
          <w:p w14:paraId="058D019C" w14:textId="77777777" w:rsidR="00185FB7" w:rsidRPr="00BD18A1" w:rsidRDefault="00185FB7" w:rsidP="00EC17B1">
            <w:pPr>
              <w:spacing w:line="276" w:lineRule="auto"/>
              <w:rPr>
                <w:rFonts w:ascii="Arial" w:eastAsia="Times New Roman" w:hAnsi="Arial" w:cs="Arial"/>
                <w:sz w:val="16"/>
                <w:szCs w:val="16"/>
                <w:lang w:val="es-ES" w:eastAsia="es-ES"/>
              </w:rPr>
            </w:pPr>
            <w:r w:rsidRPr="00BD18A1">
              <w:rPr>
                <w:rFonts w:ascii="Arial" w:eastAsia="Times New Roman" w:hAnsi="Arial" w:cs="Arial"/>
                <w:sz w:val="16"/>
                <w:szCs w:val="16"/>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0D8381A3" w14:textId="0F41A4BE" w:rsidR="00185FB7" w:rsidRPr="00BD18A1" w:rsidRDefault="00D2552C" w:rsidP="00EC17B1">
            <w:pPr>
              <w:jc w:val="both"/>
              <w:rPr>
                <w:rFonts w:ascii="Arial" w:hAnsi="Arial" w:cs="Arial"/>
                <w:sz w:val="16"/>
                <w:szCs w:val="16"/>
              </w:rPr>
            </w:pPr>
            <w:r w:rsidRPr="00BD18A1">
              <w:rPr>
                <w:rFonts w:ascii="Arial" w:hAnsi="Arial" w:cs="Arial"/>
                <w:sz w:val="16"/>
                <w:szCs w:val="16"/>
              </w:rPr>
              <w:t>Diana Carolina Armenta Celis</w:t>
            </w:r>
          </w:p>
          <w:p w14:paraId="0910F407" w14:textId="2636557E" w:rsidR="00185FB7" w:rsidRPr="00BD18A1" w:rsidRDefault="00185FB7" w:rsidP="00EC17B1">
            <w:pPr>
              <w:rPr>
                <w:rFonts w:ascii="Arial" w:eastAsia="Times New Roman" w:hAnsi="Arial" w:cs="Arial"/>
                <w:sz w:val="16"/>
                <w:szCs w:val="16"/>
                <w:lang w:eastAsia="es-ES"/>
              </w:rPr>
            </w:pPr>
            <w:r w:rsidRPr="00BD18A1">
              <w:rPr>
                <w:rFonts w:ascii="Arial" w:eastAsia="Times New Roman" w:hAnsi="Arial" w:cs="Arial"/>
                <w:sz w:val="16"/>
                <w:szCs w:val="16"/>
                <w:lang w:val="es-ES" w:eastAsia="es-ES"/>
              </w:rPr>
              <w:t>Contratista de la Subdirección de Gestión Contractual</w:t>
            </w:r>
          </w:p>
        </w:tc>
      </w:tr>
      <w:tr w:rsidR="00185FB7" w:rsidRPr="000A2366" w14:paraId="202B16F0" w14:textId="77777777" w:rsidTr="00EC17B1">
        <w:trPr>
          <w:trHeight w:val="178"/>
        </w:trPr>
        <w:tc>
          <w:tcPr>
            <w:tcW w:w="812" w:type="dxa"/>
            <w:vAlign w:val="center"/>
            <w:hideMark/>
          </w:tcPr>
          <w:p w14:paraId="2A0B0DF4" w14:textId="77777777" w:rsidR="00185FB7" w:rsidRPr="00BD18A1" w:rsidRDefault="00185FB7" w:rsidP="00EC17B1">
            <w:pPr>
              <w:spacing w:line="276" w:lineRule="auto"/>
              <w:rPr>
                <w:rFonts w:ascii="Arial" w:eastAsia="Times New Roman" w:hAnsi="Arial" w:cs="Arial"/>
                <w:sz w:val="16"/>
                <w:szCs w:val="16"/>
                <w:lang w:val="es-ES" w:eastAsia="es-ES"/>
              </w:rPr>
            </w:pPr>
            <w:r w:rsidRPr="00BD18A1">
              <w:rPr>
                <w:rFonts w:ascii="Arial" w:eastAsia="Times New Roman" w:hAnsi="Arial" w:cs="Arial"/>
                <w:sz w:val="16"/>
                <w:szCs w:val="16"/>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05230DE7" w14:textId="77777777" w:rsidR="00185FB7" w:rsidRPr="00BD18A1" w:rsidRDefault="00185FB7" w:rsidP="00EC17B1">
            <w:pPr>
              <w:textAlignment w:val="baseline"/>
              <w:rPr>
                <w:rFonts w:ascii="Arial" w:eastAsia="Times New Roman" w:hAnsi="Arial" w:cs="Arial"/>
                <w:sz w:val="16"/>
                <w:szCs w:val="16"/>
                <w:lang w:val="es-ES" w:eastAsia="es-CO"/>
              </w:rPr>
            </w:pPr>
            <w:bookmarkStart w:id="8" w:name="_Hlk116036152"/>
            <w:r w:rsidRPr="00BD18A1">
              <w:rPr>
                <w:rFonts w:ascii="Arial" w:eastAsia="Times New Roman" w:hAnsi="Arial" w:cs="Arial"/>
                <w:sz w:val="16"/>
                <w:szCs w:val="16"/>
                <w:lang w:val="es-ES" w:eastAsia="es-CO"/>
              </w:rPr>
              <w:t>Nohelia del Carmen Zawady Palacio</w:t>
            </w:r>
          </w:p>
          <w:p w14:paraId="2CD91C9A" w14:textId="77777777" w:rsidR="00185FB7" w:rsidRPr="000A2366" w:rsidRDefault="00185FB7" w:rsidP="00EC17B1">
            <w:pPr>
              <w:rPr>
                <w:rFonts w:ascii="Arial" w:eastAsia="Times New Roman" w:hAnsi="Arial" w:cs="Arial"/>
                <w:sz w:val="16"/>
                <w:szCs w:val="16"/>
                <w:lang w:val="es-ES" w:eastAsia="es-ES"/>
              </w:rPr>
            </w:pPr>
            <w:r w:rsidRPr="00BD18A1">
              <w:rPr>
                <w:rFonts w:ascii="Arial" w:eastAsia="Times New Roman" w:hAnsi="Arial" w:cs="Arial"/>
                <w:sz w:val="16"/>
                <w:szCs w:val="16"/>
                <w:lang w:val="es-ES" w:eastAsia="es-ES"/>
              </w:rPr>
              <w:t xml:space="preserve">Subdirectora de Gestión Contractual </w:t>
            </w:r>
            <w:bookmarkEnd w:id="8"/>
            <w:r w:rsidRPr="00BD18A1">
              <w:rPr>
                <w:rFonts w:ascii="Arial" w:eastAsia="Times New Roman" w:hAnsi="Arial" w:cs="Arial"/>
                <w:sz w:val="16"/>
                <w:szCs w:val="16"/>
                <w:lang w:val="es-ES" w:eastAsia="es-ES"/>
              </w:rPr>
              <w:t>ANCP – CCE</w:t>
            </w:r>
          </w:p>
        </w:tc>
      </w:tr>
      <w:bookmarkEnd w:id="0"/>
    </w:tbl>
    <w:p w14:paraId="0F293BF4" w14:textId="0F6FB6C1" w:rsidR="00127233" w:rsidRPr="00A8246B" w:rsidRDefault="00127233">
      <w:pPr>
        <w:rPr>
          <w:rFonts w:ascii="Arial" w:hAnsi="Arial" w:cs="Arial"/>
          <w:lang w:val="es-MX"/>
        </w:rPr>
      </w:pPr>
    </w:p>
    <w:sectPr w:rsidR="00127233" w:rsidRPr="00A8246B" w:rsidSect="0039439C">
      <w:headerReference w:type="default" r:id="rId17"/>
      <w:footerReference w:type="default" r:id="rId18"/>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075D4" w14:textId="77777777" w:rsidR="00E0714D" w:rsidRDefault="00E0714D" w:rsidP="004A1847">
      <w:pPr>
        <w:spacing w:after="0" w:line="240" w:lineRule="auto"/>
      </w:pPr>
      <w:r>
        <w:separator/>
      </w:r>
    </w:p>
  </w:endnote>
  <w:endnote w:type="continuationSeparator" w:id="0">
    <w:p w14:paraId="5CC34EE5" w14:textId="77777777" w:rsidR="00E0714D" w:rsidRDefault="00E0714D" w:rsidP="004A1847">
      <w:pPr>
        <w:spacing w:after="0" w:line="240" w:lineRule="auto"/>
      </w:pPr>
      <w:r>
        <w:continuationSeparator/>
      </w:r>
    </w:p>
  </w:endnote>
  <w:endnote w:type="continuationNotice" w:id="1">
    <w:p w14:paraId="3491F54B" w14:textId="77777777" w:rsidR="00E0714D" w:rsidRDefault="00E071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MT">
    <w:altName w:val="Arial"/>
    <w:panose1 w:val="00000000000000000000"/>
    <w:charset w:val="00"/>
    <w:family w:val="roman"/>
    <w:notTrueType/>
    <w:pitch w:val="default"/>
    <w:sig w:usb0="00000003" w:usb1="08070000" w:usb2="00000010" w:usb3="00000000" w:csb0="00020001"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8B112" w14:textId="77777777" w:rsidR="00E0714D" w:rsidRDefault="00E0714D" w:rsidP="004A1847">
      <w:pPr>
        <w:spacing w:after="0" w:line="240" w:lineRule="auto"/>
      </w:pPr>
      <w:r>
        <w:separator/>
      </w:r>
    </w:p>
  </w:footnote>
  <w:footnote w:type="continuationSeparator" w:id="0">
    <w:p w14:paraId="6E39C117" w14:textId="77777777" w:rsidR="00E0714D" w:rsidRDefault="00E0714D" w:rsidP="004A1847">
      <w:pPr>
        <w:spacing w:after="0" w:line="240" w:lineRule="auto"/>
      </w:pPr>
      <w:r>
        <w:continuationSeparator/>
      </w:r>
    </w:p>
  </w:footnote>
  <w:footnote w:type="continuationNotice" w:id="1">
    <w:p w14:paraId="0F72ABF9" w14:textId="77777777" w:rsidR="00E0714D" w:rsidRDefault="00E0714D">
      <w:pPr>
        <w:spacing w:after="0" w:line="240" w:lineRule="auto"/>
      </w:pPr>
    </w:p>
  </w:footnote>
  <w:footnote w:id="2">
    <w:p w14:paraId="653CE7B7" w14:textId="77777777" w:rsidR="00D86DDB" w:rsidRPr="0065549A" w:rsidRDefault="00D86DDB" w:rsidP="00D86DDB">
      <w:pPr>
        <w:spacing w:after="0" w:line="240" w:lineRule="auto"/>
        <w:ind w:firstLine="720"/>
        <w:jc w:val="both"/>
        <w:rPr>
          <w:rFonts w:ascii="Arial" w:hAnsi="Arial" w:cs="Arial"/>
          <w:sz w:val="18"/>
          <w:szCs w:val="18"/>
          <w:lang w:val="es-ES"/>
        </w:rPr>
      </w:pPr>
      <w:r w:rsidRPr="0065549A">
        <w:rPr>
          <w:rStyle w:val="Refdenotaalpie"/>
          <w:rFonts w:ascii="Arial" w:hAnsi="Arial" w:cs="Arial"/>
          <w:sz w:val="18"/>
          <w:szCs w:val="18"/>
        </w:rPr>
        <w:footnoteRef/>
      </w:r>
      <w:r w:rsidRPr="0065549A">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12F9DC7" w14:textId="77777777" w:rsidR="006F0958" w:rsidRPr="001C1D8E" w:rsidRDefault="006F0958" w:rsidP="006F0958">
      <w:pPr>
        <w:pStyle w:val="Textonotapie"/>
        <w:spacing w:after="120"/>
        <w:ind w:firstLine="709"/>
        <w:jc w:val="both"/>
        <w:rPr>
          <w:rFonts w:ascii="Arial" w:hAnsi="Arial" w:cs="Arial"/>
          <w:sz w:val="18"/>
          <w:szCs w:val="18"/>
          <w:lang w:val="es-ES"/>
        </w:rPr>
      </w:pPr>
      <w:r w:rsidRPr="001C1D8E">
        <w:rPr>
          <w:rStyle w:val="Refdenotaalpie"/>
          <w:rFonts w:ascii="Arial" w:hAnsi="Arial" w:cs="Arial"/>
          <w:sz w:val="18"/>
          <w:szCs w:val="18"/>
        </w:rPr>
        <w:footnoteRef/>
      </w:r>
      <w:r w:rsidRPr="001C1D8E">
        <w:rPr>
          <w:rFonts w:ascii="Arial" w:hAnsi="Arial" w:cs="Arial"/>
          <w:sz w:val="18"/>
          <w:szCs w:val="18"/>
        </w:rPr>
        <w:t xml:space="preserve"> </w:t>
      </w:r>
      <w:r w:rsidRPr="001C1D8E">
        <w:rPr>
          <w:rFonts w:ascii="Arial" w:hAnsi="Arial" w:cs="Arial"/>
          <w:sz w:val="18"/>
          <w:szCs w:val="18"/>
          <w:lang w:val="es-ES"/>
        </w:rPr>
        <w:t xml:space="preserve">Agencia Nacional de Contratación Pública – Colombia Compra Eficiente, </w:t>
      </w:r>
      <w:r w:rsidRPr="001C1D8E">
        <w:rPr>
          <w:rFonts w:ascii="Arial" w:hAnsi="Arial" w:cs="Arial"/>
          <w:sz w:val="18"/>
          <w:szCs w:val="18"/>
        </w:rPr>
        <w:t>Concepto C – 629 de 2020.</w:t>
      </w:r>
      <w:r w:rsidRPr="001C1D8E">
        <w:rPr>
          <w:rFonts w:ascii="Arial" w:hAnsi="Arial" w:cs="Arial"/>
          <w:sz w:val="18"/>
          <w:szCs w:val="18"/>
          <w:lang w:val="es-ES"/>
        </w:rPr>
        <w:t xml:space="preserve"> </w:t>
      </w:r>
    </w:p>
  </w:footnote>
  <w:footnote w:id="4">
    <w:p w14:paraId="65279587" w14:textId="77777777" w:rsidR="00064A93" w:rsidRPr="002123BA" w:rsidRDefault="00064A93" w:rsidP="00064A93">
      <w:pPr>
        <w:pStyle w:val="Textonotapie"/>
        <w:ind w:firstLine="708"/>
        <w:jc w:val="both"/>
        <w:rPr>
          <w:rFonts w:ascii="Arial" w:hAnsi="Arial" w:cs="Arial"/>
          <w:color w:val="000000"/>
          <w:sz w:val="19"/>
          <w:szCs w:val="19"/>
          <w:lang w:val="en-US"/>
        </w:rPr>
      </w:pPr>
      <w:r w:rsidRPr="002123BA">
        <w:rPr>
          <w:rStyle w:val="Refdenotaalpie"/>
        </w:rPr>
        <w:footnoteRef/>
      </w:r>
      <w:r w:rsidRPr="002123BA">
        <w:rPr>
          <w:rFonts w:ascii="Arial" w:hAnsi="Arial" w:cs="Arial"/>
          <w:color w:val="000000"/>
          <w:sz w:val="19"/>
          <w:szCs w:val="19"/>
          <w:lang w:val="en-US"/>
        </w:rPr>
        <w:t xml:space="preserve"> EUROPEAN COMMISSION. Buying Green – A handbook on green procurement, 2016, disponible en: </w:t>
      </w:r>
      <w:hyperlink r:id="rId1" w:history="1">
        <w:r w:rsidRPr="003833EA">
          <w:rPr>
            <w:rStyle w:val="Hipervnculo"/>
            <w:rFonts w:ascii="Arial" w:hAnsi="Arial" w:cs="Arial"/>
            <w:color w:val="000000" w:themeColor="text1"/>
            <w:sz w:val="19"/>
            <w:szCs w:val="19"/>
            <w:lang w:val="en-US"/>
          </w:rPr>
          <w:t>https://ec.europa.eu/environment/gpp/pdf/Buying-Green-Handbook-3rd-Edition.pdf</w:t>
        </w:r>
      </w:hyperlink>
      <w:r w:rsidRPr="003833EA">
        <w:rPr>
          <w:rFonts w:ascii="Arial" w:hAnsi="Arial" w:cs="Arial"/>
          <w:color w:val="000000" w:themeColor="text1"/>
          <w:sz w:val="19"/>
          <w:szCs w:val="19"/>
          <w:lang w:val="en-US"/>
        </w:rPr>
        <w:t>.</w:t>
      </w:r>
    </w:p>
    <w:p w14:paraId="3AA05760" w14:textId="77777777" w:rsidR="00064A93" w:rsidRPr="002123BA" w:rsidRDefault="00064A93" w:rsidP="00064A93">
      <w:pPr>
        <w:pStyle w:val="Textonotapie"/>
        <w:ind w:firstLine="708"/>
        <w:jc w:val="center"/>
        <w:rPr>
          <w:rFonts w:ascii="Arial" w:hAnsi="Arial" w:cs="Arial"/>
          <w:color w:val="000000"/>
          <w:sz w:val="19"/>
          <w:szCs w:val="19"/>
          <w:lang w:val="en-US"/>
        </w:rPr>
      </w:pPr>
    </w:p>
  </w:footnote>
  <w:footnote w:id="5">
    <w:p w14:paraId="3444D6F7" w14:textId="77777777" w:rsidR="00064A93" w:rsidRPr="002123BA" w:rsidRDefault="00064A93" w:rsidP="00064A93">
      <w:pPr>
        <w:pStyle w:val="Textonotapie"/>
        <w:ind w:firstLine="708"/>
        <w:jc w:val="both"/>
        <w:rPr>
          <w:rFonts w:ascii="Arial" w:hAnsi="Arial" w:cs="Arial"/>
          <w:color w:val="000000"/>
          <w:sz w:val="19"/>
          <w:szCs w:val="19"/>
          <w:lang w:val="es-CO"/>
        </w:rPr>
      </w:pPr>
      <w:r w:rsidRPr="002123BA">
        <w:rPr>
          <w:rStyle w:val="Refdenotaalpie"/>
        </w:rPr>
        <w:footnoteRef/>
      </w:r>
      <w:r w:rsidRPr="002123BA">
        <w:rPr>
          <w:rFonts w:ascii="Arial" w:hAnsi="Arial" w:cs="Arial"/>
          <w:color w:val="000000"/>
          <w:sz w:val="19"/>
          <w:szCs w:val="19"/>
          <w:lang w:val="es-ES"/>
        </w:rPr>
        <w:t xml:space="preserve"> ARROWSMITH, SUE. </w:t>
      </w:r>
      <w:r w:rsidRPr="002123BA">
        <w:rPr>
          <w:rFonts w:ascii="Arial" w:hAnsi="Arial" w:cs="Arial"/>
          <w:color w:val="000000"/>
          <w:sz w:val="19"/>
          <w:szCs w:val="19"/>
          <w:lang w:val="es-CO"/>
        </w:rPr>
        <w:t>Políticas horizontales en la contratación pública: una taxonomía, Revista Digital de Derecho Administrativo. Bogotá: Universidad Externado de Colombia, 2019, pp. 224-226.</w:t>
      </w:r>
    </w:p>
  </w:footnote>
  <w:footnote w:id="6">
    <w:p w14:paraId="4FF79A72" w14:textId="77777777" w:rsidR="00064A93" w:rsidRPr="002123BA" w:rsidRDefault="00064A93" w:rsidP="00064A93">
      <w:pPr>
        <w:pStyle w:val="Textonotapie"/>
        <w:ind w:firstLine="708"/>
        <w:jc w:val="both"/>
        <w:rPr>
          <w:rFonts w:ascii="Arial" w:hAnsi="Arial" w:cs="Arial"/>
          <w:color w:val="000000"/>
          <w:sz w:val="19"/>
          <w:szCs w:val="19"/>
          <w:lang w:val="es-CO"/>
        </w:rPr>
      </w:pPr>
      <w:r w:rsidRPr="002123BA">
        <w:rPr>
          <w:rStyle w:val="Refdenotaalpie"/>
        </w:rPr>
        <w:footnoteRef/>
      </w:r>
      <w:r w:rsidRPr="002123BA">
        <w:rPr>
          <w:rFonts w:ascii="Arial" w:hAnsi="Arial" w:cs="Arial"/>
          <w:color w:val="000000"/>
          <w:sz w:val="19"/>
          <w:szCs w:val="19"/>
        </w:rPr>
        <w:t xml:space="preserve"> </w:t>
      </w:r>
      <w:r w:rsidRPr="002123BA">
        <w:rPr>
          <w:rFonts w:ascii="Arial" w:hAnsi="Arial" w:cs="Arial"/>
          <w:color w:val="000000"/>
          <w:sz w:val="19"/>
          <w:szCs w:val="19"/>
          <w:lang w:val="es-CO"/>
        </w:rPr>
        <w:t xml:space="preserve">Ibídem, p. 227. </w:t>
      </w:r>
    </w:p>
    <w:p w14:paraId="68ECE3A6" w14:textId="77777777" w:rsidR="00064A93" w:rsidRPr="002123BA" w:rsidRDefault="00064A93" w:rsidP="00064A93">
      <w:pPr>
        <w:pStyle w:val="Textonotapie"/>
        <w:ind w:firstLine="708"/>
        <w:jc w:val="both"/>
        <w:rPr>
          <w:rFonts w:ascii="Arial" w:hAnsi="Arial" w:cs="Arial"/>
          <w:color w:val="000000"/>
          <w:sz w:val="19"/>
          <w:szCs w:val="19"/>
          <w:lang w:val="es-CO"/>
        </w:rPr>
      </w:pPr>
    </w:p>
  </w:footnote>
  <w:footnote w:id="7">
    <w:p w14:paraId="62E64825" w14:textId="77777777" w:rsidR="00064A93" w:rsidRPr="002123BA" w:rsidRDefault="00064A93" w:rsidP="00064A93">
      <w:pPr>
        <w:pStyle w:val="Textonotapie"/>
        <w:ind w:firstLine="708"/>
        <w:jc w:val="both"/>
        <w:rPr>
          <w:rFonts w:ascii="Arial" w:hAnsi="Arial" w:cs="Arial"/>
          <w:color w:val="000000"/>
          <w:sz w:val="19"/>
          <w:szCs w:val="19"/>
        </w:rPr>
      </w:pPr>
      <w:r w:rsidRPr="002123BA">
        <w:rPr>
          <w:rStyle w:val="Refdenotaalpie"/>
        </w:rPr>
        <w:footnoteRef/>
      </w:r>
      <w:r w:rsidRPr="002123BA">
        <w:rPr>
          <w:rFonts w:ascii="Arial" w:hAnsi="Arial" w:cs="Arial"/>
          <w:color w:val="000000"/>
          <w:sz w:val="19"/>
          <w:szCs w:val="19"/>
        </w:rPr>
        <w:t xml:space="preserve"> </w:t>
      </w:r>
      <w:r w:rsidRPr="002123BA">
        <w:rPr>
          <w:rFonts w:ascii="Arial" w:hAnsi="Arial" w:cs="Arial"/>
          <w:color w:val="000000"/>
          <w:sz w:val="19"/>
          <w:szCs w:val="19"/>
          <w:lang w:val="es-CO"/>
        </w:rPr>
        <w:t xml:space="preserve">CONSEJO DE ESTADO, SALA DE CONSULTA Y SERVICIO CIVIL. Concepto del 8 de marzo de 2017, rad. </w:t>
      </w:r>
      <w:r w:rsidRPr="002123BA">
        <w:rPr>
          <w:rFonts w:ascii="Arial" w:hAnsi="Arial" w:cs="Arial"/>
          <w:color w:val="000000"/>
          <w:sz w:val="19"/>
          <w:szCs w:val="19"/>
        </w:rPr>
        <w:t xml:space="preserve">11001-03-06-000-2016-00102-00(2298). CP. Édgar González López. </w:t>
      </w:r>
    </w:p>
    <w:p w14:paraId="376AA269" w14:textId="77777777" w:rsidR="00064A93" w:rsidRPr="002123BA" w:rsidRDefault="00064A93" w:rsidP="00064A93">
      <w:pPr>
        <w:pStyle w:val="Textonotapie"/>
        <w:ind w:firstLine="708"/>
        <w:jc w:val="both"/>
        <w:rPr>
          <w:rFonts w:ascii="Arial" w:hAnsi="Arial" w:cs="Arial"/>
          <w:color w:val="000000"/>
          <w:sz w:val="19"/>
          <w:szCs w:val="19"/>
        </w:rPr>
      </w:pPr>
    </w:p>
  </w:footnote>
  <w:footnote w:id="8">
    <w:p w14:paraId="10E5705D" w14:textId="77777777" w:rsidR="00064A93" w:rsidRPr="002123BA" w:rsidRDefault="00064A93" w:rsidP="00064A93">
      <w:pPr>
        <w:pStyle w:val="Textonotapie"/>
        <w:ind w:firstLine="709"/>
        <w:jc w:val="both"/>
        <w:rPr>
          <w:rFonts w:ascii="Arial" w:hAnsi="Arial" w:cs="Arial"/>
          <w:color w:val="000000"/>
          <w:sz w:val="19"/>
          <w:szCs w:val="19"/>
        </w:rPr>
      </w:pPr>
      <w:r w:rsidRPr="002123BA">
        <w:rPr>
          <w:rStyle w:val="Refdenotaalpie"/>
        </w:rPr>
        <w:footnoteRef/>
      </w:r>
      <w:r w:rsidRPr="002123BA">
        <w:rPr>
          <w:rFonts w:ascii="Arial" w:hAnsi="Arial" w:cs="Arial"/>
          <w:color w:val="000000"/>
          <w:sz w:val="19"/>
          <w:szCs w:val="19"/>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2123BA">
        <w:rPr>
          <w:rFonts w:ascii="Arial" w:hAnsi="Arial" w:cs="Arial"/>
          <w:i/>
          <w:iCs/>
          <w:color w:val="000000"/>
          <w:sz w:val="19"/>
          <w:szCs w:val="19"/>
        </w:rPr>
        <w:t>La única consecuencia normativa del término establecido por el legislador es la de imponerle al Presidente de la República el deber de reglamentar la ley dentro de dicho plazo</w:t>
      </w:r>
      <w:r w:rsidRPr="002123BA">
        <w:rPr>
          <w:rFonts w:ascii="Arial" w:hAnsi="Arial" w:cs="Arial"/>
          <w:color w:val="000000"/>
          <w:sz w:val="19"/>
          <w:szCs w:val="19"/>
        </w:rPr>
        <w:t xml:space="preserve">» (CORTE CONSTITUCIONAL. Sentencia C-805 de 2001. M.P. Rodrigo Escobar Gil. Corchetes y énfasis fuera de texto).  </w:t>
      </w:r>
    </w:p>
    <w:p w14:paraId="4D144792" w14:textId="77777777" w:rsidR="00064A93" w:rsidRPr="002123BA" w:rsidRDefault="00064A93" w:rsidP="00064A93">
      <w:pPr>
        <w:pStyle w:val="Textonotapie"/>
        <w:ind w:firstLine="709"/>
        <w:jc w:val="both"/>
        <w:rPr>
          <w:rFonts w:ascii="Arial" w:hAnsi="Arial" w:cs="Arial"/>
          <w:color w:val="000000"/>
          <w:sz w:val="19"/>
          <w:szCs w:val="19"/>
          <w:lang w:val="es-ES"/>
        </w:rPr>
      </w:pPr>
    </w:p>
  </w:footnote>
  <w:footnote w:id="9">
    <w:p w14:paraId="1E0A9730" w14:textId="77777777" w:rsidR="00064A93" w:rsidRPr="002123BA" w:rsidRDefault="00064A93" w:rsidP="00064A93">
      <w:pPr>
        <w:pStyle w:val="Textonotapie"/>
        <w:ind w:firstLine="709"/>
        <w:jc w:val="both"/>
        <w:rPr>
          <w:rFonts w:ascii="Arial" w:hAnsi="Arial" w:cs="Arial"/>
          <w:color w:val="000000"/>
          <w:sz w:val="19"/>
          <w:szCs w:val="19"/>
        </w:rPr>
      </w:pPr>
      <w:r w:rsidRPr="002123BA">
        <w:rPr>
          <w:rStyle w:val="Refdenotaalpie"/>
        </w:rPr>
        <w:footnoteRef/>
      </w:r>
      <w:r w:rsidRPr="002123BA">
        <w:rPr>
          <w:rFonts w:ascii="Arial" w:hAnsi="Arial" w:cs="Arial"/>
          <w:color w:val="000000"/>
          <w:sz w:val="19"/>
          <w:szCs w:val="19"/>
        </w:rPr>
        <w:t xml:space="preserve"> GUASTINI, Riccardo. Interpretar y argumentar. Madrid: Centro de Estudios Políticos y Constitucionales, 2014. p. 145. El autor también propone los siguientes ejemplos de </w:t>
      </w:r>
      <w:r w:rsidRPr="002123BA">
        <w:rPr>
          <w:rFonts w:ascii="Arial" w:hAnsi="Arial" w:cs="Arial"/>
          <w:i/>
          <w:iCs/>
          <w:color w:val="000000"/>
          <w:sz w:val="19"/>
          <w:szCs w:val="19"/>
        </w:rPr>
        <w:t>lagunas técnicas</w:t>
      </w:r>
      <w:r w:rsidRPr="002123BA">
        <w:rPr>
          <w:rFonts w:ascii="Arial" w:hAnsi="Arial" w:cs="Arial"/>
          <w:color w:val="000000"/>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2123BA">
        <w:rPr>
          <w:rFonts w:ascii="Arial" w:hAnsi="Arial" w:cs="Arial"/>
          <w:i/>
          <w:iCs/>
          <w:color w:val="000000"/>
          <w:sz w:val="19"/>
          <w:szCs w:val="19"/>
        </w:rPr>
        <w:t>Ibidem</w:t>
      </w:r>
      <w:r w:rsidRPr="002123BA">
        <w:rPr>
          <w:rFonts w:ascii="Arial" w:hAnsi="Arial" w:cs="Arial"/>
          <w:color w:val="000000"/>
          <w:sz w:val="19"/>
          <w:szCs w:val="19"/>
        </w:rPr>
        <w:t xml:space="preserve">).  </w:t>
      </w:r>
    </w:p>
    <w:p w14:paraId="1756DC8A" w14:textId="77777777" w:rsidR="00064A93" w:rsidRPr="002123BA" w:rsidRDefault="00064A93" w:rsidP="00064A93">
      <w:pPr>
        <w:pStyle w:val="Textonotapie"/>
        <w:ind w:firstLine="709"/>
        <w:jc w:val="both"/>
        <w:rPr>
          <w:rFonts w:ascii="Arial" w:hAnsi="Arial" w:cs="Arial"/>
          <w:color w:val="000000"/>
          <w:sz w:val="19"/>
          <w:szCs w:val="19"/>
        </w:rPr>
      </w:pPr>
    </w:p>
  </w:footnote>
  <w:footnote w:id="10">
    <w:p w14:paraId="7A575446" w14:textId="77777777" w:rsidR="00064A93" w:rsidRPr="002123BA" w:rsidRDefault="00064A93" w:rsidP="00064A93">
      <w:pPr>
        <w:pStyle w:val="Textonotapie"/>
        <w:ind w:firstLine="709"/>
        <w:jc w:val="both"/>
        <w:rPr>
          <w:rFonts w:ascii="Arial" w:hAnsi="Arial" w:cs="Arial"/>
          <w:color w:val="000000"/>
          <w:sz w:val="19"/>
          <w:szCs w:val="19"/>
        </w:rPr>
      </w:pPr>
      <w:r w:rsidRPr="002123BA">
        <w:rPr>
          <w:rStyle w:val="Refdenotaalpie"/>
        </w:rPr>
        <w:footnoteRef/>
      </w:r>
      <w:r w:rsidRPr="002123BA">
        <w:rPr>
          <w:rFonts w:ascii="Arial" w:hAnsi="Arial" w:cs="Arial"/>
          <w:color w:val="000000"/>
          <w:sz w:val="19"/>
          <w:szCs w:val="19"/>
        </w:rPr>
        <w:t xml:space="preserve"> Cfr. CORTE CONSTITUCIONAL. Sentencia C-619 del 14 de junio de 2001. M.P. Marco Gerardo Monroy Cabra. </w:t>
      </w:r>
    </w:p>
    <w:p w14:paraId="0348FFD6" w14:textId="77777777" w:rsidR="00064A93" w:rsidRPr="002123BA" w:rsidRDefault="00064A93" w:rsidP="00064A93">
      <w:pPr>
        <w:pStyle w:val="Textonotapie"/>
        <w:ind w:firstLine="709"/>
        <w:jc w:val="both"/>
        <w:rPr>
          <w:rFonts w:ascii="Arial" w:hAnsi="Arial" w:cs="Arial"/>
          <w:color w:val="000000"/>
          <w:sz w:val="19"/>
          <w:szCs w:val="19"/>
          <w:lang w:val="es-ES"/>
        </w:rPr>
      </w:pPr>
    </w:p>
  </w:footnote>
  <w:footnote w:id="11">
    <w:p w14:paraId="228B78B4" w14:textId="77777777" w:rsidR="00064A93" w:rsidRPr="002123BA" w:rsidRDefault="00064A93" w:rsidP="00064A93">
      <w:pPr>
        <w:pStyle w:val="Textonotapie"/>
        <w:ind w:firstLine="709"/>
        <w:jc w:val="both"/>
        <w:rPr>
          <w:rFonts w:ascii="Arial" w:hAnsi="Arial" w:cs="Arial"/>
          <w:color w:val="000000"/>
          <w:sz w:val="19"/>
          <w:szCs w:val="19"/>
        </w:rPr>
      </w:pPr>
      <w:r w:rsidRPr="002123BA">
        <w:rPr>
          <w:rStyle w:val="Refdenotaalpie"/>
        </w:rPr>
        <w:footnoteRef/>
      </w:r>
      <w:r w:rsidRPr="002123BA">
        <w:rPr>
          <w:rFonts w:ascii="Arial" w:hAnsi="Arial" w:cs="Arial"/>
          <w:color w:val="000000"/>
          <w:sz w:val="19"/>
          <w:szCs w:val="19"/>
        </w:rPr>
        <w:t xml:space="preserve"> CONSEJO DE ESTADO. Sección Tercera. Auto de 1 de abril de 2009. Exp. 36476. M.P. Ruth Stella Correa Palacio.  </w:t>
      </w:r>
    </w:p>
    <w:p w14:paraId="5BA26191" w14:textId="77777777" w:rsidR="00064A93" w:rsidRPr="002123BA" w:rsidRDefault="00064A93" w:rsidP="00064A93">
      <w:pPr>
        <w:pStyle w:val="Textonotapie"/>
        <w:ind w:firstLine="709"/>
        <w:jc w:val="both"/>
        <w:rPr>
          <w:rFonts w:ascii="Arial" w:hAnsi="Arial" w:cs="Arial"/>
          <w:color w:val="000000"/>
          <w:sz w:val="19"/>
          <w:szCs w:val="19"/>
        </w:rPr>
      </w:pPr>
    </w:p>
  </w:footnote>
  <w:footnote w:id="12">
    <w:p w14:paraId="7F85CFCA" w14:textId="77777777" w:rsidR="00064A93" w:rsidRPr="00C50E94" w:rsidRDefault="00064A93" w:rsidP="00064A93">
      <w:pPr>
        <w:pStyle w:val="NormalWeb"/>
        <w:shd w:val="clear" w:color="auto" w:fill="FFFFFF"/>
        <w:spacing w:before="0" w:beforeAutospacing="0" w:after="0" w:afterAutospacing="0"/>
        <w:ind w:firstLine="709"/>
        <w:jc w:val="both"/>
        <w:rPr>
          <w:rFonts w:ascii="Arial" w:hAnsi="Arial" w:cs="Arial"/>
          <w:color w:val="000000" w:themeColor="text1"/>
          <w:sz w:val="16"/>
          <w:szCs w:val="16"/>
        </w:rPr>
      </w:pPr>
      <w:r w:rsidRPr="002123BA">
        <w:rPr>
          <w:rStyle w:val="Refdenotaalpie"/>
        </w:rPr>
        <w:footnoteRef/>
      </w:r>
      <w:r w:rsidRPr="002123BA">
        <w:rPr>
          <w:rFonts w:ascii="Arial" w:hAnsi="Arial" w:cs="Arial"/>
          <w:sz w:val="19"/>
          <w:szCs w:val="19"/>
        </w:rPr>
        <w:t xml:space="preserve"> </w:t>
      </w:r>
      <w:r w:rsidRPr="003833EA">
        <w:rPr>
          <w:rFonts w:ascii="Arial" w:hAnsi="Arial" w:cs="Arial"/>
          <w:color w:val="333333"/>
          <w:sz w:val="19"/>
          <w:szCs w:val="19"/>
        </w:rPr>
        <w:t xml:space="preserve"> </w:t>
      </w:r>
      <w:r w:rsidRPr="00C50E94">
        <w:rPr>
          <w:rFonts w:ascii="Arial" w:hAnsi="Arial" w:cs="Arial"/>
          <w:color w:val="000000" w:themeColor="text1"/>
          <w:sz w:val="16"/>
          <w:szCs w:val="16"/>
        </w:rPr>
        <w:t>«</w:t>
      </w:r>
      <w:r w:rsidRPr="00C50E94">
        <w:rPr>
          <w:rStyle w:val="nfasis"/>
          <w:rFonts w:ascii="Arial" w:hAnsi="Arial" w:cs="Arial"/>
          <w:color w:val="000000" w:themeColor="text1"/>
          <w:sz w:val="16"/>
          <w:szCs w:val="16"/>
        </w:rPr>
        <w:t>Artículo 2.2.1.2.4.2.10. Puntaje adicional para proponentes que sean empresas de vigilancia y seguridad privada o cooperativas de vigilancia y seguridad privada.</w:t>
      </w:r>
      <w:r w:rsidRPr="00C50E94">
        <w:rPr>
          <w:rFonts w:ascii="Arial" w:hAnsi="Arial" w:cs="Arial"/>
          <w:color w:val="000000" w:themeColor="text1"/>
          <w:sz w:val="16"/>
          <w:szCs w:val="16"/>
        </w:rPr>
        <w:t> En los procesos de licitación pública las Entidades Estatales otorgarán hasta el tres por ciento (3%) del total de los puntos establecidos en el pliego de condiciones a las empresas y cooperativas de vigilancia y seguridad privada que tengan dentro de su personal operativo mujeres, personas con discapacidad y personas mayores de cuarenta y cinco (45) años vinculados a la planta de personal, con todas las exigencias y garantías legalmente establecidas, de acuerdo con los siguientes criterios:  </w:t>
      </w:r>
    </w:p>
    <w:p w14:paraId="4B816999" w14:textId="77777777" w:rsidR="00064A93" w:rsidRPr="00C50E94" w:rsidRDefault="00064A93" w:rsidP="00064A93">
      <w:pPr>
        <w:pStyle w:val="NormalWeb"/>
        <w:shd w:val="clear" w:color="auto" w:fill="FFFFFF"/>
        <w:spacing w:before="0" w:beforeAutospacing="0" w:after="0" w:afterAutospacing="0"/>
        <w:ind w:firstLine="709"/>
        <w:jc w:val="both"/>
        <w:rPr>
          <w:rFonts w:ascii="Arial" w:hAnsi="Arial" w:cs="Arial"/>
          <w:color w:val="000000" w:themeColor="text1"/>
          <w:sz w:val="16"/>
          <w:szCs w:val="16"/>
        </w:rPr>
      </w:pPr>
      <w:r w:rsidRPr="00C50E94">
        <w:rPr>
          <w:rFonts w:ascii="Arial" w:hAnsi="Arial" w:cs="Arial"/>
          <w:color w:val="000000" w:themeColor="text1"/>
          <w:sz w:val="16"/>
          <w:szCs w:val="16"/>
        </w:rPr>
        <w:t>1. Se otorgará hasta un uno por ciento (1%) al proponente o los proponentes que acrediten tener dentro de su personal operativo mujeres vinculadas, de la siguiente manera:</w:t>
      </w:r>
    </w:p>
    <w:p w14:paraId="3EBCFE1B" w14:textId="77777777" w:rsidR="00064A93" w:rsidRPr="00C50E94" w:rsidRDefault="00064A93" w:rsidP="00064A93">
      <w:pPr>
        <w:pStyle w:val="NormalWeb"/>
        <w:shd w:val="clear" w:color="auto" w:fill="FFFFFF"/>
        <w:spacing w:before="0" w:beforeAutospacing="0" w:after="0" w:afterAutospacing="0"/>
        <w:ind w:firstLine="709"/>
        <w:jc w:val="both"/>
        <w:rPr>
          <w:rFonts w:ascii="Arial" w:hAnsi="Arial" w:cs="Arial"/>
          <w:color w:val="000000" w:themeColor="text1"/>
          <w:sz w:val="16"/>
          <w:szCs w:val="16"/>
        </w:rPr>
      </w:pPr>
      <w:r w:rsidRPr="00C50E94">
        <w:rPr>
          <w:rFonts w:ascii="Arial" w:hAnsi="Arial" w:cs="Arial"/>
          <w:color w:val="000000" w:themeColor="text1"/>
          <w:sz w:val="16"/>
          <w:szCs w:val="16"/>
        </w:rPr>
        <w:t>1.1 El cero punto cinco por ciento (0,5%) se le otorgará al proponente o los proponentes que acrediten el mayor porcentaje de mujeres vinculadas dentro de su personal operativo. A los demás proponentes se les otorgará un puntaje proporcional de acuerdo con la siguiente fórmula:</w:t>
      </w:r>
    </w:p>
    <w:p w14:paraId="736D1E62" w14:textId="77777777" w:rsidR="00064A93" w:rsidRPr="00C50E94" w:rsidRDefault="00064A93" w:rsidP="00064A93">
      <w:pPr>
        <w:pStyle w:val="NormalWeb"/>
        <w:shd w:val="clear" w:color="auto" w:fill="FFFFFF"/>
        <w:spacing w:before="0" w:beforeAutospacing="0" w:after="0" w:afterAutospacing="0"/>
        <w:jc w:val="both"/>
        <w:rPr>
          <w:rFonts w:ascii="Arial" w:hAnsi="Arial" w:cs="Arial"/>
          <w:color w:val="000000" w:themeColor="text1"/>
          <w:sz w:val="16"/>
          <w:szCs w:val="16"/>
        </w:rPr>
      </w:pPr>
      <w:r w:rsidRPr="00C50E94">
        <w:rPr>
          <w:rFonts w:ascii="Arial" w:hAnsi="Arial" w:cs="Arial"/>
          <w:noProof/>
          <w:color w:val="000000" w:themeColor="text1"/>
          <w:sz w:val="16"/>
          <w:szCs w:val="16"/>
        </w:rPr>
        <w:drawing>
          <wp:inline distT="0" distB="0" distL="0" distR="0" wp14:anchorId="7430A336" wp14:editId="08F23D4A">
            <wp:extent cx="5612130" cy="59817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2130" cy="598170"/>
                    </a:xfrm>
                    <a:prstGeom prst="rect">
                      <a:avLst/>
                    </a:prstGeom>
                    <a:noFill/>
                    <a:ln>
                      <a:noFill/>
                    </a:ln>
                  </pic:spPr>
                </pic:pic>
              </a:graphicData>
            </a:graphic>
          </wp:inline>
        </w:drawing>
      </w:r>
    </w:p>
    <w:p w14:paraId="3C3387DE"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1.2 El cero punto cinco por ciento (0,5%) se le otorgará al proponente o los proponentes que acrediten el mayor número de mujeres vinculadas dentro de su personal operativo. A los demás proponentes se les otorgará un puntaje proporcional de acuerdo con la siguiente fórmula:</w:t>
      </w:r>
    </w:p>
    <w:p w14:paraId="1FF029A4" w14:textId="77777777" w:rsidR="00064A93" w:rsidRPr="00C50E94" w:rsidRDefault="00064A93" w:rsidP="00064A93">
      <w:pPr>
        <w:pStyle w:val="NormalWeb"/>
        <w:shd w:val="clear" w:color="auto" w:fill="FFFFFF"/>
        <w:spacing w:before="0" w:beforeAutospacing="0" w:after="0" w:afterAutospacing="0"/>
        <w:jc w:val="both"/>
        <w:rPr>
          <w:rFonts w:ascii="Arial" w:hAnsi="Arial" w:cs="Arial"/>
          <w:color w:val="000000" w:themeColor="text1"/>
          <w:sz w:val="16"/>
          <w:szCs w:val="16"/>
        </w:rPr>
      </w:pPr>
      <w:r w:rsidRPr="00C50E94">
        <w:rPr>
          <w:rFonts w:ascii="Arial" w:hAnsi="Arial" w:cs="Arial"/>
          <w:noProof/>
          <w:color w:val="000000" w:themeColor="text1"/>
          <w:sz w:val="16"/>
          <w:szCs w:val="16"/>
        </w:rPr>
        <w:drawing>
          <wp:inline distT="0" distB="0" distL="0" distR="0" wp14:anchorId="5025FE4C" wp14:editId="5C998F36">
            <wp:extent cx="5612130" cy="565785"/>
            <wp:effectExtent l="0" t="0" r="7620"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12130" cy="565785"/>
                    </a:xfrm>
                    <a:prstGeom prst="rect">
                      <a:avLst/>
                    </a:prstGeom>
                    <a:noFill/>
                    <a:ln>
                      <a:noFill/>
                    </a:ln>
                  </pic:spPr>
                </pic:pic>
              </a:graphicData>
            </a:graphic>
          </wp:inline>
        </w:drawing>
      </w:r>
    </w:p>
    <w:p w14:paraId="5B7A31D2"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2. Se otorgará hasta un uno por ciento (1 %) al proponente o los proponentes que acrediten tener dentro de su personal operativo personas con discapacidad vinculadas, de la siguiente manera:</w:t>
      </w:r>
    </w:p>
    <w:p w14:paraId="79D63CCC"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2.1 El cero punto cinco por ciento (0,5%) se le otorgará al proponente o los proponentes que acrediten el mayor porcentaje de personas con discapacidad vinculadas dentro de su personal operativo. A los demás proponentes se les otorgará un puntaje proporcional de acuerdo con la siguiente fórmula:</w:t>
      </w:r>
    </w:p>
    <w:p w14:paraId="2AE75373" w14:textId="77777777" w:rsidR="00064A93" w:rsidRPr="00C50E94" w:rsidRDefault="00064A93" w:rsidP="00064A93">
      <w:pPr>
        <w:pStyle w:val="NormalWeb"/>
        <w:shd w:val="clear" w:color="auto" w:fill="FFFFFF"/>
        <w:spacing w:before="0" w:beforeAutospacing="0" w:after="0" w:afterAutospacing="0"/>
        <w:jc w:val="both"/>
        <w:rPr>
          <w:rFonts w:ascii="Arial" w:hAnsi="Arial" w:cs="Arial"/>
          <w:color w:val="000000" w:themeColor="text1"/>
          <w:sz w:val="16"/>
          <w:szCs w:val="16"/>
        </w:rPr>
      </w:pPr>
      <w:r w:rsidRPr="00C50E94">
        <w:rPr>
          <w:rFonts w:ascii="Arial" w:hAnsi="Arial" w:cs="Arial"/>
          <w:noProof/>
          <w:color w:val="000000" w:themeColor="text1"/>
          <w:sz w:val="16"/>
          <w:szCs w:val="16"/>
        </w:rPr>
        <w:drawing>
          <wp:inline distT="0" distB="0" distL="0" distR="0" wp14:anchorId="0A17F026" wp14:editId="53649A00">
            <wp:extent cx="5612130" cy="605790"/>
            <wp:effectExtent l="0" t="0" r="7620" b="381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2130" cy="605790"/>
                    </a:xfrm>
                    <a:prstGeom prst="rect">
                      <a:avLst/>
                    </a:prstGeom>
                    <a:noFill/>
                    <a:ln>
                      <a:noFill/>
                    </a:ln>
                  </pic:spPr>
                </pic:pic>
              </a:graphicData>
            </a:graphic>
          </wp:inline>
        </w:drawing>
      </w:r>
    </w:p>
    <w:p w14:paraId="077927A4"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2.2 El cero punto cinco por ciento (0,5%) se le otorgará al proponente o los proponentes que acrediten mayor número de personas con discapacidad vinculadas dentro de su personal operativo, A los demás proponentes se les otorgará un puntaje proporcional de acuerdo con la siguiente fórmula:</w:t>
      </w:r>
    </w:p>
    <w:p w14:paraId="4DF26F48" w14:textId="77777777" w:rsidR="00064A93" w:rsidRPr="00C50E94" w:rsidRDefault="00064A93" w:rsidP="00064A93">
      <w:pPr>
        <w:pStyle w:val="NormalWeb"/>
        <w:shd w:val="clear" w:color="auto" w:fill="FFFFFF"/>
        <w:spacing w:before="0" w:beforeAutospacing="0" w:after="0" w:afterAutospacing="0"/>
        <w:jc w:val="both"/>
        <w:rPr>
          <w:rFonts w:ascii="Arial" w:hAnsi="Arial" w:cs="Arial"/>
          <w:color w:val="000000" w:themeColor="text1"/>
          <w:sz w:val="16"/>
          <w:szCs w:val="16"/>
        </w:rPr>
      </w:pPr>
      <w:r w:rsidRPr="00C50E94">
        <w:rPr>
          <w:rFonts w:ascii="Arial" w:hAnsi="Arial" w:cs="Arial"/>
          <w:noProof/>
          <w:color w:val="000000" w:themeColor="text1"/>
          <w:sz w:val="16"/>
          <w:szCs w:val="16"/>
        </w:rPr>
        <w:drawing>
          <wp:inline distT="0" distB="0" distL="0" distR="0" wp14:anchorId="5574D4AE" wp14:editId="393A867D">
            <wp:extent cx="5612130" cy="414670"/>
            <wp:effectExtent l="0" t="0" r="762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5367" cy="415648"/>
                    </a:xfrm>
                    <a:prstGeom prst="rect">
                      <a:avLst/>
                    </a:prstGeom>
                    <a:noFill/>
                    <a:ln>
                      <a:noFill/>
                    </a:ln>
                  </pic:spPr>
                </pic:pic>
              </a:graphicData>
            </a:graphic>
          </wp:inline>
        </w:drawing>
      </w:r>
    </w:p>
    <w:p w14:paraId="68A3F98A"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3. Se otorgará hasta un uno por ciento (1 %) al proponente o los proponentes que acrediten tener dentro de su personal operativo personas que al momento de presentar oferta sean mayores de 45 años vinculadas, de la siguiente manera:</w:t>
      </w:r>
    </w:p>
    <w:p w14:paraId="75A921E9"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3.1 El cero punto cinco por ciento (0,5%) se le otorgará al proponente o los proponentes que acrediten el mayor porcentaje de personas mayores de 45 años vinculadas dentro de su personal operativo. A los demás proponentes se les otorgará un puntaje proporcional de acuerdo con la siguiente fórmula:​</w:t>
      </w:r>
    </w:p>
    <w:p w14:paraId="7486CE5E" w14:textId="77777777" w:rsidR="00064A93" w:rsidRPr="00C50E94" w:rsidRDefault="00064A93" w:rsidP="00064A93">
      <w:pPr>
        <w:pStyle w:val="NormalWeb"/>
        <w:shd w:val="clear" w:color="auto" w:fill="FFFFFF"/>
        <w:spacing w:before="0" w:beforeAutospacing="0" w:after="0" w:afterAutospacing="0"/>
        <w:jc w:val="both"/>
        <w:rPr>
          <w:rFonts w:ascii="Arial" w:hAnsi="Arial" w:cs="Arial"/>
          <w:color w:val="000000" w:themeColor="text1"/>
          <w:sz w:val="16"/>
          <w:szCs w:val="16"/>
        </w:rPr>
      </w:pPr>
      <w:r w:rsidRPr="00C50E94">
        <w:rPr>
          <w:rFonts w:ascii="Arial" w:hAnsi="Arial" w:cs="Arial"/>
          <w:noProof/>
          <w:color w:val="000000" w:themeColor="text1"/>
          <w:sz w:val="16"/>
          <w:szCs w:val="16"/>
        </w:rPr>
        <w:drawing>
          <wp:inline distT="0" distB="0" distL="0" distR="0" wp14:anchorId="45E422C8" wp14:editId="44E519FE">
            <wp:extent cx="5612130" cy="435935"/>
            <wp:effectExtent l="0" t="0" r="0" b="254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27216" cy="437107"/>
                    </a:xfrm>
                    <a:prstGeom prst="rect">
                      <a:avLst/>
                    </a:prstGeom>
                    <a:noFill/>
                    <a:ln>
                      <a:noFill/>
                    </a:ln>
                  </pic:spPr>
                </pic:pic>
              </a:graphicData>
            </a:graphic>
          </wp:inline>
        </w:drawing>
      </w:r>
    </w:p>
    <w:p w14:paraId="72A7ED8C"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3.2 El cero punto cinco por ciento (0,5%) se le otorgará al proponente o los proponentes que acrediten mayor número de personas mayores de 45 años vinculadas dentro de su personal operativo. A los demás proponentes se les otorgará un puntaje proporcional de acuerdo con la siguiente fórmula:</w:t>
      </w:r>
    </w:p>
    <w:p w14:paraId="2F510860" w14:textId="77777777" w:rsidR="00064A93" w:rsidRPr="00C50E94" w:rsidRDefault="00064A93" w:rsidP="00064A93">
      <w:pPr>
        <w:pStyle w:val="NormalWeb"/>
        <w:shd w:val="clear" w:color="auto" w:fill="FFFFFF"/>
        <w:spacing w:before="0" w:beforeAutospacing="0" w:after="0" w:afterAutospacing="0"/>
        <w:jc w:val="both"/>
        <w:rPr>
          <w:rFonts w:ascii="Arial" w:hAnsi="Arial" w:cs="Arial"/>
          <w:color w:val="000000" w:themeColor="text1"/>
          <w:sz w:val="16"/>
          <w:szCs w:val="16"/>
        </w:rPr>
      </w:pPr>
      <w:r w:rsidRPr="00C50E94">
        <w:rPr>
          <w:rFonts w:ascii="Arial" w:hAnsi="Arial" w:cs="Arial"/>
          <w:noProof/>
          <w:color w:val="000000" w:themeColor="text1"/>
          <w:sz w:val="16"/>
          <w:szCs w:val="16"/>
        </w:rPr>
        <w:drawing>
          <wp:inline distT="0" distB="0" distL="0" distR="0" wp14:anchorId="7F385FA2" wp14:editId="014ADCCB">
            <wp:extent cx="5612130" cy="47846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25358" cy="479593"/>
                    </a:xfrm>
                    <a:prstGeom prst="rect">
                      <a:avLst/>
                    </a:prstGeom>
                    <a:noFill/>
                    <a:ln>
                      <a:noFill/>
                    </a:ln>
                  </pic:spPr>
                </pic:pic>
              </a:graphicData>
            </a:graphic>
          </wp:inline>
        </w:drawing>
      </w:r>
    </w:p>
    <w:p w14:paraId="52BB0FBC"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Style w:val="Textoennegrita"/>
          <w:rFonts w:ascii="Arial" w:hAnsi="Arial" w:cs="Arial"/>
          <w:color w:val="000000" w:themeColor="text1"/>
          <w:sz w:val="16"/>
          <w:szCs w:val="16"/>
        </w:rPr>
        <w:t>Parágrafo Primero.</w:t>
      </w:r>
      <w:r w:rsidRPr="00C50E94">
        <w:rPr>
          <w:rFonts w:ascii="Arial" w:hAnsi="Arial" w:cs="Arial"/>
          <w:color w:val="000000" w:themeColor="text1"/>
          <w:sz w:val="16"/>
          <w:szCs w:val="16"/>
        </w:rPr>
        <w:t> Las condiciones para otorgar el puntaje descrito serán verificadas por. la entidad contratante mediante los siguientes documentos aportados por el proponente con su oferta de manera física o digital:</w:t>
      </w:r>
    </w:p>
    <w:p w14:paraId="6D57765C"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1.Constancia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14:paraId="4F64AA2C"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2.Certificado con una fecha no superior a treinta (30) días calendario anteriores a la presentación de la oferta, suscrito por el representante legal de la empresa o cooperativa de vigilancia y seguridad privada en el cual se deberá señalar el número de mujeres, de personas mayores de cuarenta y cinco (45) años cumplidos máximo a la fecha de presentación de la oferta y de personas con discapacidad que conforman su personal operativo.</w:t>
      </w:r>
    </w:p>
    <w:p w14:paraId="63E13279"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Para el efecto, se deberá relacionar junto con la certificación, el nombre completo, el número de documento de identidad, género, fecha de nacimiento y condición de discapacidad del personal operativo.</w:t>
      </w:r>
    </w:p>
    <w:p w14:paraId="515A39A7" w14:textId="77777777" w:rsidR="00064A93" w:rsidRPr="00C50E94" w:rsidRDefault="00064A93" w:rsidP="00064A93">
      <w:pPr>
        <w:pStyle w:val="NormalWeb"/>
        <w:shd w:val="clear" w:color="auto" w:fill="FFFFFF"/>
        <w:spacing w:before="0" w:beforeAutospacing="0" w:after="0" w:afterAutospacing="0"/>
        <w:ind w:firstLine="720"/>
        <w:jc w:val="both"/>
        <w:rPr>
          <w:rFonts w:ascii="Arial" w:hAnsi="Arial" w:cs="Arial"/>
          <w:color w:val="000000" w:themeColor="text1"/>
          <w:sz w:val="16"/>
          <w:szCs w:val="16"/>
        </w:rPr>
      </w:pPr>
      <w:r w:rsidRPr="00C50E94">
        <w:rPr>
          <w:rFonts w:ascii="Arial" w:hAnsi="Arial" w:cs="Arial"/>
          <w:color w:val="000000" w:themeColor="text1"/>
          <w:sz w:val="16"/>
          <w:szCs w:val="16"/>
        </w:rPr>
        <w:t>Adicionalmente, se anexará copia de los respectivos documentos de identidad y para acreditar la condición de discapacidad, el Certificado de Discapacidad de cada uno de los trabajadores de conformidad con la Resolución No. 113 de 2020 del Ministerio de Salud y Protección Social o aquellas normas que la complementen, desarrollen, modifiquen o sustituyan.</w:t>
      </w:r>
    </w:p>
    <w:p w14:paraId="0D629283" w14:textId="77777777" w:rsidR="00064A93" w:rsidRPr="00C50E94" w:rsidRDefault="00064A93" w:rsidP="00064A93">
      <w:pPr>
        <w:pStyle w:val="NormalWeb"/>
        <w:shd w:val="clear" w:color="auto" w:fill="FFFFFF"/>
        <w:spacing w:before="0" w:beforeAutospacing="0" w:after="0" w:afterAutospacing="0"/>
        <w:ind w:firstLine="708"/>
        <w:jc w:val="both"/>
        <w:rPr>
          <w:rFonts w:ascii="Arial" w:hAnsi="Arial" w:cs="Arial"/>
          <w:color w:val="000000" w:themeColor="text1"/>
          <w:sz w:val="16"/>
          <w:szCs w:val="16"/>
        </w:rPr>
      </w:pPr>
      <w:r w:rsidRPr="00C50E94">
        <w:rPr>
          <w:rStyle w:val="Textoennegrita"/>
          <w:rFonts w:ascii="Arial" w:hAnsi="Arial" w:cs="Arial"/>
          <w:color w:val="000000" w:themeColor="text1"/>
          <w:sz w:val="16"/>
          <w:szCs w:val="16"/>
        </w:rPr>
        <w:t>Parágrafo Segundo.</w:t>
      </w:r>
      <w:r w:rsidRPr="00C50E94">
        <w:rPr>
          <w:rFonts w:ascii="Arial" w:hAnsi="Arial" w:cs="Arial"/>
          <w:color w:val="000000" w:themeColor="text1"/>
          <w:sz w:val="16"/>
          <w:szCs w:val="16"/>
        </w:rPr>
        <w:t> Si la oferta es presentada por un consorcio o unión temporal, se tendrá en cuenta la sumatoria ponderada del personal operativo del proponente plural para cada uno de los criterios, de acuerdo con el porcentaje de participación de sus integrantes».​​</w:t>
      </w:r>
    </w:p>
    <w:p w14:paraId="199B7313" w14:textId="77777777" w:rsidR="00064A93" w:rsidRPr="00C50E94" w:rsidRDefault="00064A93" w:rsidP="00064A93">
      <w:pPr>
        <w:pStyle w:val="Textonotapie"/>
        <w:ind w:firstLine="709"/>
        <w:jc w:val="both"/>
        <w:rPr>
          <w:rFonts w:ascii="Arial" w:hAnsi="Arial" w:cs="Arial"/>
          <w:sz w:val="16"/>
          <w:szCs w:val="16"/>
        </w:rPr>
      </w:pPr>
    </w:p>
  </w:footnote>
  <w:footnote w:id="13">
    <w:p w14:paraId="7B9A5E50" w14:textId="77777777" w:rsidR="00064A93" w:rsidRPr="002123BA" w:rsidRDefault="00064A93" w:rsidP="00064A93">
      <w:pPr>
        <w:pStyle w:val="Textonotapie"/>
        <w:ind w:firstLine="708"/>
        <w:jc w:val="both"/>
        <w:rPr>
          <w:rFonts w:ascii="Arial" w:hAnsi="Arial" w:cs="Arial"/>
          <w:sz w:val="19"/>
          <w:szCs w:val="19"/>
        </w:rPr>
      </w:pPr>
      <w:r w:rsidRPr="002123BA">
        <w:rPr>
          <w:rStyle w:val="Refdenotaalpie"/>
        </w:rPr>
        <w:footnoteRef/>
      </w:r>
      <w:r w:rsidRPr="002123BA">
        <w:rPr>
          <w:rFonts w:ascii="Arial" w:hAnsi="Arial" w:cs="Arial"/>
          <w:sz w:val="19"/>
          <w:szCs w:val="19"/>
        </w:rPr>
        <w:t xml:space="preserve"> Cfr. </w:t>
      </w:r>
      <w:hyperlink r:id="rId8" w:history="1">
        <w:r w:rsidRPr="002123BA">
          <w:rPr>
            <w:rStyle w:val="Hipervnculo"/>
            <w:rFonts w:ascii="Arial" w:hAnsi="Arial" w:cs="Arial"/>
            <w:sz w:val="19"/>
            <w:szCs w:val="19"/>
          </w:rPr>
          <w:t>https://colaboracion.dnp.gov.co/CDT/DNP/Soporte%20t%c3%a9cnico%20Ley%20del%20Vigilante.pdf</w:t>
        </w:r>
      </w:hyperlink>
      <w:r w:rsidRPr="002123BA">
        <w:rPr>
          <w:rFonts w:ascii="Arial" w:hAnsi="Arial" w:cs="Arial"/>
          <w:sz w:val="19"/>
          <w:szCs w:val="19"/>
        </w:rPr>
        <w:t>. Consultado el 6 de diciembre de 2021.</w:t>
      </w:r>
    </w:p>
  </w:footnote>
  <w:footnote w:id="14">
    <w:p w14:paraId="6C212F07" w14:textId="77777777" w:rsidR="00064A93" w:rsidRPr="002123BA" w:rsidRDefault="00064A93" w:rsidP="00064A93">
      <w:pPr>
        <w:pStyle w:val="Textonotapie"/>
        <w:ind w:firstLine="708"/>
        <w:jc w:val="both"/>
        <w:rPr>
          <w:rFonts w:ascii="Arial" w:hAnsi="Arial" w:cs="Arial"/>
          <w:sz w:val="19"/>
          <w:szCs w:val="19"/>
          <w:lang w:val="es-ES_tradnl"/>
        </w:rPr>
      </w:pPr>
      <w:r w:rsidRPr="002123BA">
        <w:rPr>
          <w:rStyle w:val="Refdenotaalpie"/>
        </w:rPr>
        <w:footnoteRef/>
      </w:r>
      <w:r w:rsidRPr="002123BA">
        <w:rPr>
          <w:rFonts w:ascii="Arial" w:hAnsi="Arial" w:cs="Arial"/>
          <w:sz w:val="19"/>
          <w:szCs w:val="19"/>
        </w:rPr>
        <w:t xml:space="preserve"> </w:t>
      </w:r>
      <w:r w:rsidRPr="002123BA">
        <w:rPr>
          <w:rFonts w:ascii="Arial" w:hAnsi="Arial" w:cs="Arial"/>
          <w:sz w:val="19"/>
          <w:szCs w:val="19"/>
          <w:lang w:val="es-ES_tradnl"/>
        </w:rPr>
        <w:t xml:space="preserve">Este documento debe comprenderse en concordancia con el parágrafo 1 del artículo 87 de la Ley 356 de 1994, modificado por el artículo 103 del Decreto 019 de 2012, en el sentido que las empresas de seguridad y vigilancia privada «[…] estarán en la obligación de hacer el registro de todo su personal, </w:t>
      </w:r>
      <w:r w:rsidRPr="002123BA">
        <w:rPr>
          <w:rFonts w:ascii="Arial" w:hAnsi="Arial" w:cs="Arial"/>
          <w:sz w:val="19"/>
          <w:szCs w:val="19"/>
          <w:lang w:val="es-CO"/>
        </w:rPr>
        <w:t>para lo cual se utilizarán las herramientas tecnológicas que permitan la verificación de dicha información en cualquier tiempo que incluya el registro fotográfico y reseña dactiloscópica,</w:t>
      </w:r>
      <w:r w:rsidRPr="002123BA">
        <w:rPr>
          <w:rFonts w:ascii="Arial" w:hAnsi="Arial" w:cs="Arial"/>
          <w:sz w:val="19"/>
          <w:szCs w:val="19"/>
          <w:lang w:val="es-ES_tradnl"/>
        </w:rPr>
        <w:t xml:space="preserve"> el cual estará a disposición de la Superintendencia de Vigilancia y Seguridad Privada. Con el objeto de hacer dicha verificación, con base en la información suministrada por parte de las empresas, la Superintendencia de Vigilancia y Seguridad Privada mantendrá un registro actualizado del personal operativo de los servicios de vigilancia y seguridad privada».</w:t>
      </w:r>
    </w:p>
  </w:footnote>
  <w:footnote w:id="15">
    <w:p w14:paraId="50160512" w14:textId="77777777" w:rsidR="00064A93" w:rsidRPr="002123BA" w:rsidRDefault="00064A93" w:rsidP="00064A93">
      <w:pPr>
        <w:pStyle w:val="Textonotapie"/>
        <w:ind w:firstLine="708"/>
        <w:jc w:val="both"/>
        <w:rPr>
          <w:rFonts w:ascii="Arial" w:hAnsi="Arial" w:cs="Arial"/>
          <w:sz w:val="19"/>
          <w:szCs w:val="19"/>
        </w:rPr>
      </w:pPr>
      <w:r w:rsidRPr="002123BA">
        <w:rPr>
          <w:rStyle w:val="Refdenotaalpie"/>
        </w:rPr>
        <w:footnoteRef/>
      </w:r>
      <w:r w:rsidRPr="002123BA">
        <w:rPr>
          <w:rFonts w:ascii="Arial" w:hAnsi="Arial" w:cs="Arial"/>
          <w:sz w:val="19"/>
          <w:szCs w:val="19"/>
        </w:rPr>
        <w:t xml:space="preserve"> En lo pertinente, la norma citada dispone que «</w:t>
      </w:r>
      <w:r w:rsidRPr="002123BA">
        <w:rPr>
          <w:rFonts w:ascii="Arial" w:hAnsi="Arial" w:cs="Arial"/>
          <w:sz w:val="19"/>
          <w:szCs w:val="19"/>
          <w:lang w:val="es-CO"/>
        </w:rPr>
        <w:t xml:space="preserve">La ausencia de requisitos o la falta de documentos referentes a la futura contratación o al proponente, no necesarios para la comparación de las propuestas no servirán de título suficiente para el rechazo de los ofrecimientos hechos. En consecuencia, </w:t>
      </w:r>
      <w:r w:rsidRPr="002123BA">
        <w:rPr>
          <w:rFonts w:ascii="Arial" w:hAnsi="Arial" w:cs="Arial"/>
          <w:i/>
          <w:iCs/>
          <w:sz w:val="19"/>
          <w:szCs w:val="19"/>
          <w:lang w:val="es-CO"/>
        </w:rPr>
        <w:t>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2123BA">
        <w:rPr>
          <w:rFonts w:ascii="Arial" w:hAnsi="Arial" w:cs="Arial"/>
          <w:sz w:val="19"/>
          <w:szCs w:val="19"/>
          <w:lang w:val="es-CO"/>
        </w:rPr>
        <w:t>,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(Énfasis fuera de texto).</w:t>
      </w:r>
    </w:p>
  </w:footnote>
  <w:footnote w:id="16">
    <w:p w14:paraId="77CD622C" w14:textId="77777777" w:rsidR="00064A93" w:rsidRPr="002123BA" w:rsidRDefault="00064A93" w:rsidP="00064A93">
      <w:pPr>
        <w:pStyle w:val="Textonotapie"/>
        <w:ind w:firstLine="708"/>
        <w:jc w:val="both"/>
        <w:rPr>
          <w:rFonts w:ascii="Arial" w:hAnsi="Arial" w:cs="Arial"/>
          <w:sz w:val="19"/>
          <w:szCs w:val="19"/>
          <w:lang w:val="es-ES"/>
        </w:rPr>
      </w:pPr>
      <w:r w:rsidRPr="002123BA">
        <w:rPr>
          <w:rStyle w:val="Refdenotaalpie"/>
        </w:rPr>
        <w:footnoteRef/>
      </w:r>
      <w:r w:rsidRPr="002123BA">
        <w:rPr>
          <w:rFonts w:ascii="Arial" w:hAnsi="Arial" w:cs="Arial"/>
          <w:sz w:val="19"/>
          <w:szCs w:val="19"/>
        </w:rPr>
        <w:t xml:space="preserve"> </w:t>
      </w:r>
      <w:r w:rsidRPr="002123BA">
        <w:rPr>
          <w:rFonts w:ascii="Arial" w:hAnsi="Arial" w:cs="Arial"/>
          <w:sz w:val="19"/>
          <w:szCs w:val="19"/>
          <w:lang w:val="es-ES"/>
        </w:rPr>
        <w:t>Consejo de Estado. Sección Tercera, Subsección B. Sentencia del 28 de mayo de 2012. C.P. Ruth Stella Correa, Rad. 1996-01886-01 (22.089).</w:t>
      </w:r>
    </w:p>
  </w:footnote>
  <w:footnote w:id="17">
    <w:p w14:paraId="1D3C1BA3" w14:textId="77777777" w:rsidR="00064A93" w:rsidRPr="002123BA" w:rsidRDefault="00064A93" w:rsidP="00064A93">
      <w:pPr>
        <w:pBdr>
          <w:top w:val="nil"/>
          <w:left w:val="nil"/>
          <w:bottom w:val="nil"/>
          <w:right w:val="nil"/>
          <w:between w:val="nil"/>
        </w:pBdr>
        <w:ind w:firstLine="708"/>
        <w:jc w:val="both"/>
        <w:rPr>
          <w:rFonts w:ascii="Arial" w:eastAsia="Arial" w:hAnsi="Arial" w:cs="Arial"/>
          <w:color w:val="000000"/>
          <w:sz w:val="19"/>
          <w:szCs w:val="19"/>
        </w:rPr>
      </w:pPr>
      <w:r w:rsidRPr="002123BA">
        <w:rPr>
          <w:rStyle w:val="Refdenotaalpie"/>
        </w:rPr>
        <w:footnoteRef/>
      </w:r>
      <w:r w:rsidRPr="002123BA">
        <w:rPr>
          <w:rFonts w:ascii="Arial" w:eastAsia="Arial" w:hAnsi="Arial" w:cs="Arial"/>
          <w:color w:val="000000"/>
          <w:sz w:val="19"/>
          <w:szCs w:val="19"/>
        </w:rPr>
        <w:t xml:space="preserve"> CONSEJO DE ESTADO. Sección Tercera. Subsección C. Sentencia del 12 de noviembre de 2014. Exp. 27.986. C.P. Enrique Gil Botero.</w:t>
      </w:r>
    </w:p>
    <w:p w14:paraId="25FCF430" w14:textId="77777777" w:rsidR="00064A93" w:rsidRPr="002123BA" w:rsidRDefault="00064A93" w:rsidP="00064A93">
      <w:pPr>
        <w:pBdr>
          <w:top w:val="nil"/>
          <w:left w:val="nil"/>
          <w:bottom w:val="nil"/>
          <w:right w:val="nil"/>
          <w:between w:val="nil"/>
        </w:pBdr>
        <w:ind w:firstLine="708"/>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9760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C3C"/>
    <w:rsid w:val="0000497F"/>
    <w:rsid w:val="00011A7B"/>
    <w:rsid w:val="00011E6D"/>
    <w:rsid w:val="00027BB2"/>
    <w:rsid w:val="00042418"/>
    <w:rsid w:val="00044C6C"/>
    <w:rsid w:val="00064A93"/>
    <w:rsid w:val="00083334"/>
    <w:rsid w:val="0009264F"/>
    <w:rsid w:val="000956CF"/>
    <w:rsid w:val="000A683E"/>
    <w:rsid w:val="000D68D0"/>
    <w:rsid w:val="0010643B"/>
    <w:rsid w:val="0011595A"/>
    <w:rsid w:val="001220C5"/>
    <w:rsid w:val="00124913"/>
    <w:rsid w:val="001267F7"/>
    <w:rsid w:val="00127233"/>
    <w:rsid w:val="00130999"/>
    <w:rsid w:val="0013362D"/>
    <w:rsid w:val="0015021B"/>
    <w:rsid w:val="00164D81"/>
    <w:rsid w:val="001757F2"/>
    <w:rsid w:val="0018145A"/>
    <w:rsid w:val="00185FB7"/>
    <w:rsid w:val="00191F28"/>
    <w:rsid w:val="001A1011"/>
    <w:rsid w:val="001A48D0"/>
    <w:rsid w:val="001B74D2"/>
    <w:rsid w:val="001D2D61"/>
    <w:rsid w:val="001F6214"/>
    <w:rsid w:val="002121CB"/>
    <w:rsid w:val="0021618B"/>
    <w:rsid w:val="00233641"/>
    <w:rsid w:val="00246E39"/>
    <w:rsid w:val="00263794"/>
    <w:rsid w:val="002653C1"/>
    <w:rsid w:val="0026611D"/>
    <w:rsid w:val="00267984"/>
    <w:rsid w:val="00273DC9"/>
    <w:rsid w:val="0028427A"/>
    <w:rsid w:val="002919BC"/>
    <w:rsid w:val="00294F28"/>
    <w:rsid w:val="002951A0"/>
    <w:rsid w:val="00295324"/>
    <w:rsid w:val="002A3AE7"/>
    <w:rsid w:val="002A64FD"/>
    <w:rsid w:val="002C791F"/>
    <w:rsid w:val="002E0085"/>
    <w:rsid w:val="002E70C3"/>
    <w:rsid w:val="002F0839"/>
    <w:rsid w:val="002F26FC"/>
    <w:rsid w:val="00301469"/>
    <w:rsid w:val="00301A24"/>
    <w:rsid w:val="00306EE1"/>
    <w:rsid w:val="00310633"/>
    <w:rsid w:val="00310B9B"/>
    <w:rsid w:val="00322740"/>
    <w:rsid w:val="00324E4E"/>
    <w:rsid w:val="00345F20"/>
    <w:rsid w:val="0036461C"/>
    <w:rsid w:val="00367884"/>
    <w:rsid w:val="003830C5"/>
    <w:rsid w:val="0039439C"/>
    <w:rsid w:val="003A409C"/>
    <w:rsid w:val="003B69E7"/>
    <w:rsid w:val="003C013B"/>
    <w:rsid w:val="003D0F4D"/>
    <w:rsid w:val="003D4156"/>
    <w:rsid w:val="003F58A1"/>
    <w:rsid w:val="00410DD6"/>
    <w:rsid w:val="004134C9"/>
    <w:rsid w:val="00416107"/>
    <w:rsid w:val="0043130C"/>
    <w:rsid w:val="0043138C"/>
    <w:rsid w:val="004319B9"/>
    <w:rsid w:val="00431FB7"/>
    <w:rsid w:val="00444AE3"/>
    <w:rsid w:val="00462A59"/>
    <w:rsid w:val="004A1847"/>
    <w:rsid w:val="004B6B0E"/>
    <w:rsid w:val="004D25B3"/>
    <w:rsid w:val="004E527F"/>
    <w:rsid w:val="00511405"/>
    <w:rsid w:val="00526E9D"/>
    <w:rsid w:val="00530EF2"/>
    <w:rsid w:val="00547856"/>
    <w:rsid w:val="00547A74"/>
    <w:rsid w:val="005534EB"/>
    <w:rsid w:val="005566E8"/>
    <w:rsid w:val="005618E1"/>
    <w:rsid w:val="005746AB"/>
    <w:rsid w:val="005769E6"/>
    <w:rsid w:val="0059357F"/>
    <w:rsid w:val="005A1130"/>
    <w:rsid w:val="005D65C8"/>
    <w:rsid w:val="005E4420"/>
    <w:rsid w:val="005E6639"/>
    <w:rsid w:val="00600136"/>
    <w:rsid w:val="006219F8"/>
    <w:rsid w:val="0063582E"/>
    <w:rsid w:val="00642DB1"/>
    <w:rsid w:val="00646EC7"/>
    <w:rsid w:val="0065615F"/>
    <w:rsid w:val="00664A54"/>
    <w:rsid w:val="00681FDB"/>
    <w:rsid w:val="006A7DAD"/>
    <w:rsid w:val="006C6B06"/>
    <w:rsid w:val="006D70BA"/>
    <w:rsid w:val="006F0958"/>
    <w:rsid w:val="00703FD0"/>
    <w:rsid w:val="00706EBB"/>
    <w:rsid w:val="00733317"/>
    <w:rsid w:val="00743C02"/>
    <w:rsid w:val="007566FE"/>
    <w:rsid w:val="00760198"/>
    <w:rsid w:val="0076726F"/>
    <w:rsid w:val="0077144B"/>
    <w:rsid w:val="00793403"/>
    <w:rsid w:val="007A0500"/>
    <w:rsid w:val="007B2265"/>
    <w:rsid w:val="007C0CDF"/>
    <w:rsid w:val="007C106F"/>
    <w:rsid w:val="007C2F2A"/>
    <w:rsid w:val="007E2A2F"/>
    <w:rsid w:val="007F2B7C"/>
    <w:rsid w:val="007F43EC"/>
    <w:rsid w:val="00801CDB"/>
    <w:rsid w:val="00805698"/>
    <w:rsid w:val="00806B5B"/>
    <w:rsid w:val="00811651"/>
    <w:rsid w:val="008160C5"/>
    <w:rsid w:val="00820F5B"/>
    <w:rsid w:val="008238BD"/>
    <w:rsid w:val="00824946"/>
    <w:rsid w:val="0083061F"/>
    <w:rsid w:val="00833452"/>
    <w:rsid w:val="00834C86"/>
    <w:rsid w:val="00844499"/>
    <w:rsid w:val="008471E4"/>
    <w:rsid w:val="008614E5"/>
    <w:rsid w:val="008678EB"/>
    <w:rsid w:val="00875894"/>
    <w:rsid w:val="00881C10"/>
    <w:rsid w:val="00890411"/>
    <w:rsid w:val="008931FC"/>
    <w:rsid w:val="008C3B0D"/>
    <w:rsid w:val="008D5C70"/>
    <w:rsid w:val="008F3166"/>
    <w:rsid w:val="009025AF"/>
    <w:rsid w:val="00904F23"/>
    <w:rsid w:val="00906B3C"/>
    <w:rsid w:val="00925582"/>
    <w:rsid w:val="00927094"/>
    <w:rsid w:val="00941732"/>
    <w:rsid w:val="00944422"/>
    <w:rsid w:val="0095342C"/>
    <w:rsid w:val="00962CDF"/>
    <w:rsid w:val="009A0504"/>
    <w:rsid w:val="009A3278"/>
    <w:rsid w:val="009C2841"/>
    <w:rsid w:val="009D4167"/>
    <w:rsid w:val="009E6692"/>
    <w:rsid w:val="009F2066"/>
    <w:rsid w:val="009F2CD0"/>
    <w:rsid w:val="009F33F2"/>
    <w:rsid w:val="009F6C77"/>
    <w:rsid w:val="00A07532"/>
    <w:rsid w:val="00A1085C"/>
    <w:rsid w:val="00A309E2"/>
    <w:rsid w:val="00A56ACE"/>
    <w:rsid w:val="00A8066E"/>
    <w:rsid w:val="00A8174B"/>
    <w:rsid w:val="00A8246B"/>
    <w:rsid w:val="00A85BF6"/>
    <w:rsid w:val="00A97B88"/>
    <w:rsid w:val="00AA4B8A"/>
    <w:rsid w:val="00AA6BF7"/>
    <w:rsid w:val="00AC26EC"/>
    <w:rsid w:val="00AC3331"/>
    <w:rsid w:val="00AD042D"/>
    <w:rsid w:val="00AE76B1"/>
    <w:rsid w:val="00B01ED6"/>
    <w:rsid w:val="00B06D09"/>
    <w:rsid w:val="00B1197B"/>
    <w:rsid w:val="00B25F08"/>
    <w:rsid w:val="00B5078B"/>
    <w:rsid w:val="00B55D24"/>
    <w:rsid w:val="00B75100"/>
    <w:rsid w:val="00B75BFF"/>
    <w:rsid w:val="00B766F2"/>
    <w:rsid w:val="00B771A9"/>
    <w:rsid w:val="00B809BB"/>
    <w:rsid w:val="00B8248A"/>
    <w:rsid w:val="00B940D0"/>
    <w:rsid w:val="00BB7726"/>
    <w:rsid w:val="00BD18A1"/>
    <w:rsid w:val="00BE030C"/>
    <w:rsid w:val="00BE1514"/>
    <w:rsid w:val="00BF152D"/>
    <w:rsid w:val="00BF7077"/>
    <w:rsid w:val="00C1312B"/>
    <w:rsid w:val="00C14C26"/>
    <w:rsid w:val="00C2329E"/>
    <w:rsid w:val="00C30461"/>
    <w:rsid w:val="00C307B0"/>
    <w:rsid w:val="00C425FF"/>
    <w:rsid w:val="00C50E94"/>
    <w:rsid w:val="00C53393"/>
    <w:rsid w:val="00C754BE"/>
    <w:rsid w:val="00C87572"/>
    <w:rsid w:val="00C9405D"/>
    <w:rsid w:val="00CB36E0"/>
    <w:rsid w:val="00CC080E"/>
    <w:rsid w:val="00CC1010"/>
    <w:rsid w:val="00CC1B26"/>
    <w:rsid w:val="00CC7210"/>
    <w:rsid w:val="00CD27CE"/>
    <w:rsid w:val="00CD284F"/>
    <w:rsid w:val="00CF23AA"/>
    <w:rsid w:val="00D01921"/>
    <w:rsid w:val="00D16CB9"/>
    <w:rsid w:val="00D2552C"/>
    <w:rsid w:val="00D45E0C"/>
    <w:rsid w:val="00D527DC"/>
    <w:rsid w:val="00D55F4A"/>
    <w:rsid w:val="00D60350"/>
    <w:rsid w:val="00D70791"/>
    <w:rsid w:val="00D752B7"/>
    <w:rsid w:val="00D86DDB"/>
    <w:rsid w:val="00D91003"/>
    <w:rsid w:val="00DA1854"/>
    <w:rsid w:val="00DB0887"/>
    <w:rsid w:val="00DC1401"/>
    <w:rsid w:val="00DD09C7"/>
    <w:rsid w:val="00DE5B9B"/>
    <w:rsid w:val="00DF1E43"/>
    <w:rsid w:val="00DF3263"/>
    <w:rsid w:val="00E0668E"/>
    <w:rsid w:val="00E0714D"/>
    <w:rsid w:val="00E20894"/>
    <w:rsid w:val="00E26B7C"/>
    <w:rsid w:val="00E3490B"/>
    <w:rsid w:val="00E41A51"/>
    <w:rsid w:val="00E45BC6"/>
    <w:rsid w:val="00E5481F"/>
    <w:rsid w:val="00E54ED9"/>
    <w:rsid w:val="00EA3003"/>
    <w:rsid w:val="00EB3C91"/>
    <w:rsid w:val="00EB66DA"/>
    <w:rsid w:val="00ED27EA"/>
    <w:rsid w:val="00EF4E56"/>
    <w:rsid w:val="00F351EB"/>
    <w:rsid w:val="00F605F2"/>
    <w:rsid w:val="00F73C2E"/>
    <w:rsid w:val="00F76AFC"/>
    <w:rsid w:val="00F8319B"/>
    <w:rsid w:val="00FA16C5"/>
    <w:rsid w:val="00FA528F"/>
    <w:rsid w:val="00FA5516"/>
    <w:rsid w:val="00FD6BC5"/>
    <w:rsid w:val="00FD6F73"/>
    <w:rsid w:val="00FE16C2"/>
    <w:rsid w:val="00FF2322"/>
    <w:rsid w:val="00FF31AB"/>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86DDB"/>
    <w:rPr>
      <w:rFonts w:ascii="Geomanist Light" w:hAnsi="Geomanist Light"/>
      <w:lang w:val="es-ES"/>
    </w:rPr>
  </w:style>
  <w:style w:type="paragraph" w:customStyle="1" w:styleId="Appelnotedebasde">
    <w:name w:val="Appel note de bas de..."/>
    <w:basedOn w:val="Normal"/>
    <w:link w:val="Refdenotaalpie"/>
    <w:uiPriority w:val="99"/>
    <w:rsid w:val="00D86DDB"/>
    <w:pPr>
      <w:spacing w:line="240" w:lineRule="exact"/>
    </w:pPr>
    <w:rPr>
      <w:vertAlign w:val="superscript"/>
    </w:rPr>
  </w:style>
  <w:style w:type="paragraph" w:styleId="NormalWeb">
    <w:name w:val="Normal (Web)"/>
    <w:basedOn w:val="Normal"/>
    <w:link w:val="NormalWebCar"/>
    <w:uiPriority w:val="99"/>
    <w:unhideWhenUsed/>
    <w:rsid w:val="00703FD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703FD0"/>
    <w:rPr>
      <w:rFonts w:ascii="Times New Roman" w:eastAsia="Times New Roman" w:hAnsi="Times New Roman" w:cs="Times New Roman"/>
      <w:sz w:val="24"/>
      <w:szCs w:val="24"/>
      <w:lang w:eastAsia="es-CO"/>
    </w:rPr>
  </w:style>
  <w:style w:type="character" w:styleId="Hipervnculo">
    <w:name w:val="Hyperlink"/>
    <w:basedOn w:val="Fuentedeprrafopredeter"/>
    <w:uiPriority w:val="99"/>
    <w:unhideWhenUsed/>
    <w:rsid w:val="00064A93"/>
    <w:rPr>
      <w:color w:val="0563C1" w:themeColor="hyperlink"/>
      <w:u w:val="single"/>
    </w:rPr>
  </w:style>
  <w:style w:type="character" w:styleId="Textoennegrita">
    <w:name w:val="Strong"/>
    <w:basedOn w:val="Fuentedeprrafopredeter"/>
    <w:uiPriority w:val="22"/>
    <w:qFormat/>
    <w:rsid w:val="00064A93"/>
    <w:rPr>
      <w:b/>
      <w:bCs/>
    </w:rPr>
  </w:style>
  <w:style w:type="character" w:styleId="nfasis">
    <w:name w:val="Emphasis"/>
    <w:basedOn w:val="Fuentedeprrafopredeter"/>
    <w:uiPriority w:val="20"/>
    <w:qFormat/>
    <w:rsid w:val="00064A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72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9.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5" Type="http://schemas.openxmlformats.org/officeDocument/2006/relationships/numbering" Target="numbering.xml"/><Relationship Id="rId15"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0.png"/></Relationships>
</file>

<file path=word/_rels/footer1.xml.rels><?xml version="1.0" encoding="UTF-8" standalone="yes"?>
<Relationships xmlns="http://schemas.openxmlformats.org/package/2006/relationships"><Relationship Id="rId1" Type="http://schemas.openxmlformats.org/officeDocument/2006/relationships/image" Target="media/image15.jpg"/></Relationships>
</file>

<file path=word/_rels/footnotes.xml.rels><?xml version="1.0" encoding="UTF-8" standalone="yes"?>
<Relationships xmlns="http://schemas.openxmlformats.org/package/2006/relationships"><Relationship Id="rId8" Type="http://schemas.openxmlformats.org/officeDocument/2006/relationships/hyperlink" Target="https://colaboracion.dnp.gov.co/CDT/DNP/Soporte%20t%c3%a9cnico%20Ley%20del%20Vigilante.pdf" TargetMode="External"/><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hyperlink" Target="https://ec.europa.eu/environment/gpp/pdf/Buying-Green-Handbook-3rd-Edition.pdf" TargetMode="External"/><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693405B-EEA4-4993-9679-7BC864DCE22B}"/>
</file>

<file path=customXml/itemProps4.xml><?xml version="1.0" encoding="utf-8"?>
<ds:datastoreItem xmlns:ds="http://schemas.openxmlformats.org/officeDocument/2006/customXml" ds:itemID="{163618BE-28CB-4D69-955E-CDA788483BED}">
  <ds:schemaRefs>
    <ds:schemaRef ds:uri="8ae15d26-076e-464e-81a7-6f76a0fb3917"/>
    <ds:schemaRef ds:uri="http://www.w3.org/XML/1998/namespace"/>
    <ds:schemaRef ds:uri="http://purl.org/dc/terms/"/>
    <ds:schemaRef ds:uri="http://schemas.microsoft.com/office/2006/metadata/properties"/>
    <ds:schemaRef ds:uri="http://purl.org/dc/dcmityp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8966</Words>
  <Characters>49317</Characters>
  <Application>Microsoft Office Word</Application>
  <DocSecurity>0</DocSecurity>
  <Lines>410</Lines>
  <Paragraphs>116</Paragraphs>
  <ScaleCrop>false</ScaleCrop>
  <Company/>
  <LinksUpToDate>false</LinksUpToDate>
  <CharactersWithSpaces>58167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9</cp:revision>
  <dcterms:created xsi:type="dcterms:W3CDTF">2023-06-02T19:22:00Z</dcterms:created>
  <dcterms:modified xsi:type="dcterms:W3CDTF">2023-06-02T19:45:00Z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