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C89C41F" w14:textId="77777777" w:rsidR="00D72658" w:rsidRDefault="00D72658" w:rsidP="001B7A6D">
      <w:pPr>
        <w:spacing w:before="120" w:after="0" w:line="276" w:lineRule="auto"/>
        <w:jc w:val="both"/>
        <w:textAlignment w:val="baseline"/>
        <w:rPr>
          <w:rFonts w:ascii="Verdana" w:hAnsi="Verdana"/>
          <w:b/>
          <w:bCs/>
        </w:rPr>
      </w:pPr>
    </w:p>
    <w:p w14:paraId="784CF4ED" w14:textId="27B31718" w:rsidR="00225683" w:rsidRPr="00574CF1" w:rsidRDefault="00225683" w:rsidP="001B7A6D">
      <w:pPr>
        <w:spacing w:before="120" w:after="0" w:line="276" w:lineRule="auto"/>
        <w:jc w:val="both"/>
        <w:textAlignment w:val="baseline"/>
        <w:rPr>
          <w:rFonts w:ascii="Verdana" w:hAnsi="Verdana"/>
          <w:b/>
          <w:bCs/>
        </w:rPr>
      </w:pPr>
      <w:r w:rsidRPr="00574CF1">
        <w:rPr>
          <w:rFonts w:ascii="Verdana" w:hAnsi="Verdana"/>
          <w:b/>
          <w:bCs/>
        </w:rPr>
        <w:t xml:space="preserve">DOCUMENTOS TIPO VERSIÓN 3 – Licitación pública para obra de infraestructura de transporte – Definición de experiencia exigible </w:t>
      </w:r>
    </w:p>
    <w:p w14:paraId="2BE2B4DB" w14:textId="77777777" w:rsidR="001B7A6D" w:rsidRPr="00574CF1" w:rsidRDefault="001B7A6D" w:rsidP="001B7A6D">
      <w:pPr>
        <w:spacing w:after="20" w:line="276" w:lineRule="auto"/>
        <w:jc w:val="both"/>
        <w:rPr>
          <w:rFonts w:ascii="Verdana" w:hAnsi="Verdana" w:cs="Arial"/>
          <w:color w:val="000000" w:themeColor="text1"/>
          <w:sz w:val="20"/>
          <w:szCs w:val="20"/>
          <w:highlight w:val="yellow"/>
          <w:lang w:val="es-ES"/>
        </w:rPr>
      </w:pPr>
    </w:p>
    <w:p w14:paraId="25305FAA" w14:textId="77777777" w:rsidR="00D03F98" w:rsidRPr="00574CF1" w:rsidRDefault="00D03F98" w:rsidP="00D03F98">
      <w:pPr>
        <w:spacing w:after="0" w:line="240" w:lineRule="auto"/>
        <w:jc w:val="both"/>
        <w:textAlignment w:val="baseline"/>
        <w:rPr>
          <w:rFonts w:ascii="Verdana" w:eastAsia="Calibri" w:hAnsi="Verdana" w:cs="Arial"/>
          <w:color w:val="000000" w:themeColor="text1"/>
          <w:sz w:val="20"/>
          <w:szCs w:val="20"/>
          <w:lang w:val="es-ES"/>
        </w:rPr>
      </w:pPr>
      <w:r w:rsidRPr="00574CF1">
        <w:rPr>
          <w:rFonts w:ascii="Verdana" w:eastAsia="Calibri" w:hAnsi="Verdana" w:cs="Arial"/>
          <w:color w:val="000000" w:themeColor="text1"/>
          <w:sz w:val="20"/>
          <w:szCs w:val="20"/>
          <w:lang w:val="es-ES"/>
        </w:rPr>
        <w:t>De acuerdo con lo anterior precisión, se acude a las condiciones fijadas en el «Documento Base» de la Resolución 275 de 2022 - versión vigente a partir del 29/08/2022, la acreditación del requisito habilitante de experiencia se aborda desde distintos criterios. En primer lugar, los contratos presentados por los proponentes deben corresponder a la actividad o actividades de experiencia general y específica que la entidad exija en el pliego de condiciones de acuerdo con los parámetros señalados en la Matriz 1. En segundo lugar, los proponentes deben acreditar el cumplimiento de las condiciones fijadas de acuerdo con las características de cada proponente, que debieron terminar antes de la fecha de cierre del proceso de contratación. Por último, el número de contratos aportados por el proponente debe certificar un valor mínimo correspondiente a un porcentaje del presupuesto oficial del proceso de obra expresado en SMMLV, cuya verificación se hará de acuerdo con la sumatoria de los valores totales ejecutados de los contratos que cumplan con los requisitos establecidos en el pliego de condiciones.  </w:t>
      </w:r>
    </w:p>
    <w:p w14:paraId="4BD2CF7A" w14:textId="77777777" w:rsidR="00D03F98" w:rsidRPr="00574CF1" w:rsidRDefault="00D03F98" w:rsidP="00D03F98">
      <w:pPr>
        <w:spacing w:after="0" w:line="240" w:lineRule="auto"/>
        <w:jc w:val="both"/>
        <w:textAlignment w:val="baseline"/>
        <w:rPr>
          <w:rFonts w:ascii="Verdana" w:eastAsia="Times New Roman" w:hAnsi="Verdana" w:cs="Segoe UI"/>
          <w:sz w:val="18"/>
          <w:szCs w:val="18"/>
          <w:lang w:eastAsia="es-CO"/>
        </w:rPr>
      </w:pPr>
    </w:p>
    <w:p w14:paraId="2F6C492C" w14:textId="4D0B0348" w:rsidR="00922F8A" w:rsidRPr="00574CF1" w:rsidRDefault="00922F8A" w:rsidP="00922F8A">
      <w:pPr>
        <w:jc w:val="both"/>
        <w:rPr>
          <w:rFonts w:ascii="Verdana" w:hAnsi="Verdana"/>
          <w:b/>
          <w:bCs/>
        </w:rPr>
      </w:pPr>
      <w:r w:rsidRPr="00574CF1">
        <w:rPr>
          <w:rFonts w:ascii="Verdana" w:hAnsi="Verdana"/>
          <w:b/>
          <w:bCs/>
        </w:rPr>
        <w:t xml:space="preserve">PROYECTOS DE SEÑALIZACIÓN (HORIZONTAL O VERTICAL) Y/O DEMARCACIÓN DE VÍAS </w:t>
      </w:r>
      <w:r w:rsidR="00F9380D" w:rsidRPr="00574CF1">
        <w:rPr>
          <w:rFonts w:ascii="Verdana" w:hAnsi="Verdana"/>
          <w:b/>
          <w:bCs/>
        </w:rPr>
        <w:t>TERCIARIAS –</w:t>
      </w:r>
      <w:r w:rsidRPr="00574CF1">
        <w:rPr>
          <w:rFonts w:ascii="Verdana" w:hAnsi="Verdana"/>
          <w:b/>
          <w:bCs/>
        </w:rPr>
        <w:t xml:space="preserve"> Experiencia – Acreditación</w:t>
      </w:r>
    </w:p>
    <w:p w14:paraId="61E13FB8" w14:textId="77777777" w:rsidR="00525F00" w:rsidRPr="00574CF1" w:rsidRDefault="00525F00" w:rsidP="009337F3">
      <w:pPr>
        <w:spacing w:after="0" w:line="240" w:lineRule="auto"/>
        <w:jc w:val="both"/>
        <w:textAlignment w:val="baseline"/>
        <w:rPr>
          <w:rFonts w:ascii="Verdana" w:eastAsia="Calibri" w:hAnsi="Verdana" w:cs="Arial"/>
          <w:color w:val="000000" w:themeColor="text1"/>
          <w:sz w:val="20"/>
          <w:szCs w:val="20"/>
          <w:lang w:val="es-ES"/>
        </w:rPr>
      </w:pPr>
      <w:r w:rsidRPr="00574CF1">
        <w:rPr>
          <w:rFonts w:ascii="Verdana" w:eastAsia="Calibri" w:hAnsi="Verdana" w:cs="Arial"/>
          <w:color w:val="000000" w:themeColor="text1"/>
          <w:sz w:val="20"/>
          <w:szCs w:val="20"/>
          <w:lang w:val="es-ES"/>
        </w:rPr>
        <w:t xml:space="preserve">De esta forma, cuando la entidad estatal –de acuerdo con el alcance del objeto contractual– identifique el tipo de infraestructura, la actividad a contratar y la cuantía del proceso de contratación, debe determinar la “experiencia general” y la “experiencia específica” con fundamento en la Matriz 1, conforme a la metodología previamente expuesta. Esta experiencia debe solicitarse en las condiciones allí previstas, con la descripción completa que corresponda a la experiencia general y específica. </w:t>
      </w:r>
    </w:p>
    <w:p w14:paraId="19565BC0" w14:textId="77777777" w:rsidR="00525F00" w:rsidRPr="00574CF1" w:rsidRDefault="00525F00" w:rsidP="009337F3">
      <w:pPr>
        <w:spacing w:after="0" w:line="240" w:lineRule="auto"/>
        <w:jc w:val="both"/>
        <w:textAlignment w:val="baseline"/>
        <w:rPr>
          <w:rFonts w:ascii="Verdana" w:eastAsia="Calibri" w:hAnsi="Verdana" w:cs="Arial"/>
          <w:color w:val="000000" w:themeColor="text1"/>
          <w:sz w:val="20"/>
          <w:szCs w:val="20"/>
          <w:lang w:val="es-ES"/>
        </w:rPr>
      </w:pPr>
    </w:p>
    <w:p w14:paraId="210A896D" w14:textId="77777777" w:rsidR="00525F00" w:rsidRPr="00574CF1" w:rsidRDefault="00525F00" w:rsidP="009337F3">
      <w:pPr>
        <w:spacing w:after="0" w:line="240" w:lineRule="auto"/>
        <w:jc w:val="both"/>
        <w:textAlignment w:val="baseline"/>
        <w:rPr>
          <w:rFonts w:ascii="Verdana" w:eastAsia="Calibri" w:hAnsi="Verdana" w:cs="Arial"/>
          <w:color w:val="000000" w:themeColor="text1"/>
          <w:sz w:val="20"/>
          <w:szCs w:val="20"/>
          <w:lang w:val="es-ES"/>
        </w:rPr>
      </w:pPr>
      <w:r w:rsidRPr="00574CF1">
        <w:rPr>
          <w:rFonts w:ascii="Verdana" w:eastAsia="Calibri" w:hAnsi="Verdana" w:cs="Arial"/>
          <w:color w:val="000000" w:themeColor="text1"/>
          <w:sz w:val="20"/>
          <w:szCs w:val="20"/>
          <w:lang w:val="es-ES"/>
        </w:rPr>
        <w:t>Teniendo en cuenta los anteriores elementos y retomando la precisión realizada al inicio de la disertación, la experiencia a la cual se hace referencia en la consulta, podría enmarcarse en la actividad “2.5 PROYECTOS DE SEÑALIZACIÓN (HORIZONTAL O VERTICAL) Y/O DEMARCACIÓN DE VÍAS TERCIARIAS” del sector Transporte que solicita la siguiente experiencia específica lo siguiente:</w:t>
      </w:r>
    </w:p>
    <w:p w14:paraId="662EC9B0" w14:textId="77777777" w:rsidR="00525F00" w:rsidRPr="00574CF1" w:rsidRDefault="00525F00" w:rsidP="009337F3">
      <w:pPr>
        <w:spacing w:after="0" w:line="240" w:lineRule="auto"/>
        <w:jc w:val="both"/>
        <w:textAlignment w:val="baseline"/>
        <w:rPr>
          <w:rFonts w:ascii="Verdana" w:eastAsia="Calibri" w:hAnsi="Verdana" w:cs="Arial"/>
          <w:color w:val="000000" w:themeColor="text1"/>
          <w:sz w:val="20"/>
          <w:szCs w:val="20"/>
          <w:lang w:val="es-ES"/>
        </w:rPr>
      </w:pPr>
    </w:p>
    <w:p w14:paraId="42067AFD" w14:textId="2C46E8AD" w:rsidR="001B7A6D" w:rsidRPr="00574CF1" w:rsidRDefault="00525F00" w:rsidP="009337F3">
      <w:pPr>
        <w:spacing w:after="0" w:line="240" w:lineRule="auto"/>
        <w:jc w:val="both"/>
        <w:textAlignment w:val="baseline"/>
        <w:rPr>
          <w:rFonts w:ascii="Verdana" w:eastAsia="Calibri" w:hAnsi="Verdana" w:cs="Arial"/>
          <w:color w:val="000000" w:themeColor="text1"/>
          <w:sz w:val="20"/>
          <w:szCs w:val="20"/>
          <w:lang w:val="es-ES"/>
        </w:rPr>
      </w:pPr>
      <w:r w:rsidRPr="00574CF1">
        <w:rPr>
          <w:rFonts w:ascii="Verdana" w:eastAsia="Calibri" w:hAnsi="Verdana" w:cs="Arial"/>
          <w:color w:val="000000" w:themeColor="text1"/>
          <w:sz w:val="20"/>
          <w:szCs w:val="20"/>
          <w:lang w:val="es-ES"/>
        </w:rPr>
        <w:t>“Por lo menos uno (1) de los contratos válidos aportados como experiencia general debe acreditar en el componente de señalización o demarcación un valor igual o superior al 40% del Presupuesto de esta actividad o componente</w:t>
      </w:r>
    </w:p>
    <w:p w14:paraId="73887887" w14:textId="77777777" w:rsidR="005A3A8D" w:rsidRPr="00574CF1" w:rsidRDefault="005A3A8D" w:rsidP="001B7A6D">
      <w:pPr>
        <w:rPr>
          <w:rFonts w:ascii="Verdana" w:eastAsia="Calibri" w:hAnsi="Verdana" w:cs="Arial"/>
          <w:color w:val="000000" w:themeColor="text1"/>
          <w:sz w:val="20"/>
          <w:szCs w:val="20"/>
          <w:lang w:val="es-ES"/>
        </w:rPr>
      </w:pPr>
    </w:p>
    <w:p w14:paraId="6996D378" w14:textId="0763E559" w:rsidR="005A3A8D" w:rsidRPr="00574CF1" w:rsidRDefault="005A3A8D" w:rsidP="001B7A6D">
      <w:pPr>
        <w:rPr>
          <w:rFonts w:ascii="Verdana" w:hAnsi="Verdana"/>
          <w:b/>
          <w:bCs/>
        </w:rPr>
      </w:pPr>
      <w:r w:rsidRPr="00574CF1">
        <w:rPr>
          <w:rFonts w:ascii="Verdana" w:hAnsi="Verdana"/>
          <w:b/>
          <w:bCs/>
        </w:rPr>
        <w:t>AIU – Costos indirecto</w:t>
      </w:r>
      <w:r w:rsidR="00574CF1" w:rsidRPr="00574CF1">
        <w:rPr>
          <w:rFonts w:ascii="Verdana" w:hAnsi="Verdana"/>
          <w:b/>
          <w:bCs/>
        </w:rPr>
        <w:t>s</w:t>
      </w:r>
    </w:p>
    <w:p w14:paraId="42EA108F" w14:textId="77777777" w:rsidR="00337042" w:rsidRPr="00574CF1" w:rsidRDefault="00337042" w:rsidP="009337F3">
      <w:pPr>
        <w:spacing w:after="0" w:line="240" w:lineRule="auto"/>
        <w:jc w:val="both"/>
        <w:textAlignment w:val="baseline"/>
        <w:rPr>
          <w:rFonts w:ascii="Verdana" w:eastAsia="Calibri" w:hAnsi="Verdana" w:cs="Arial"/>
          <w:color w:val="000000" w:themeColor="text1"/>
          <w:sz w:val="20"/>
          <w:szCs w:val="20"/>
          <w:lang w:val="es-ES"/>
        </w:rPr>
      </w:pPr>
      <w:r w:rsidRPr="00574CF1">
        <w:rPr>
          <w:rFonts w:ascii="Verdana" w:eastAsia="Calibri" w:hAnsi="Verdana" w:cs="Arial"/>
          <w:color w:val="000000" w:themeColor="text1"/>
          <w:sz w:val="20"/>
          <w:szCs w:val="20"/>
          <w:lang w:val="es-ES"/>
        </w:rPr>
        <w:t xml:space="preserve">Por otro lado, el porcentaje de AIU puede variar según la naturaleza del proyecto, su complejidad y otros factores relevantes, como la administración, que incluye la cantidad del recurso humano, las instalaciones, los impuestos y los gastos generales, entre otros aspectos. Adicionalmente se consideran unos imprevistos y las ganancias o utilidad del Contratista. </w:t>
      </w:r>
    </w:p>
    <w:p w14:paraId="288A0415" w14:textId="77777777" w:rsidR="00337042" w:rsidRPr="00574CF1" w:rsidRDefault="00337042" w:rsidP="009337F3">
      <w:pPr>
        <w:spacing w:after="0" w:line="240" w:lineRule="auto"/>
        <w:jc w:val="both"/>
        <w:textAlignment w:val="baseline"/>
        <w:rPr>
          <w:rFonts w:ascii="Verdana" w:eastAsia="Calibri" w:hAnsi="Verdana" w:cs="Arial"/>
          <w:color w:val="000000" w:themeColor="text1"/>
          <w:sz w:val="20"/>
          <w:szCs w:val="20"/>
          <w:lang w:val="es-ES"/>
        </w:rPr>
      </w:pPr>
      <w:r w:rsidRPr="00574CF1">
        <w:rPr>
          <w:rFonts w:ascii="Verdana" w:eastAsia="Calibri" w:hAnsi="Verdana" w:cs="Arial"/>
          <w:color w:val="000000" w:themeColor="text1"/>
          <w:sz w:val="20"/>
          <w:szCs w:val="20"/>
          <w:lang w:val="es-ES"/>
        </w:rPr>
        <w:lastRenderedPageBreak/>
        <w:t>En este sentido, se puede indicar que el cálculo del AIU, obedece exclusivamente a un análisis detallado que hacen tanto entidades, como contratistas y proveedores, de acuerdo con las condiciones particulares del proyecto o negocio, así como basados en la experiencia que tienen y en términos de administración pública, adicionalmente en los principios de economía y transparencia.</w:t>
      </w:r>
    </w:p>
    <w:p w14:paraId="3BCA6A54" w14:textId="77777777" w:rsidR="005A3A8D" w:rsidRPr="00574CF1" w:rsidRDefault="005A3A8D" w:rsidP="009337F3">
      <w:pPr>
        <w:spacing w:after="0" w:line="240" w:lineRule="auto"/>
        <w:jc w:val="both"/>
        <w:textAlignment w:val="baseline"/>
        <w:rPr>
          <w:rFonts w:ascii="Verdana" w:eastAsia="Calibri" w:hAnsi="Verdana" w:cs="Arial"/>
          <w:color w:val="000000" w:themeColor="text1"/>
          <w:sz w:val="20"/>
          <w:szCs w:val="20"/>
          <w:lang w:val="es-ES"/>
        </w:rPr>
      </w:pPr>
    </w:p>
    <w:p w14:paraId="0DA9171A" w14:textId="5A3B9B87" w:rsidR="001B7A6D" w:rsidRPr="00574CF1" w:rsidRDefault="001B7A6D" w:rsidP="001B7A6D">
      <w:pPr>
        <w:rPr>
          <w:rFonts w:ascii="Verdana" w:eastAsia="Calibri" w:hAnsi="Verdana" w:cs="Arial"/>
          <w:color w:val="000000" w:themeColor="text1"/>
          <w:sz w:val="20"/>
          <w:szCs w:val="20"/>
          <w:lang w:val="es-ES"/>
        </w:rPr>
      </w:pPr>
      <w:r w:rsidRPr="00574CF1">
        <w:rPr>
          <w:rFonts w:ascii="Verdana" w:eastAsia="Calibri" w:hAnsi="Verdana" w:cs="Arial"/>
          <w:color w:val="000000" w:themeColor="text1"/>
          <w:sz w:val="20"/>
          <w:szCs w:val="20"/>
          <w:lang w:val="es-ES"/>
        </w:rPr>
        <w:br w:type="page"/>
      </w:r>
    </w:p>
    <w:p w14:paraId="5C164C00" w14:textId="745B658E" w:rsidR="001B7A6D" w:rsidRPr="00574CF1" w:rsidRDefault="001B7A6D" w:rsidP="001B7A6D">
      <w:pPr>
        <w:rPr>
          <w:rFonts w:ascii="Verdana" w:eastAsia="Geomanist Light" w:hAnsi="Verdana" w:cs="Arial"/>
          <w:lang w:val="es-MX"/>
        </w:rPr>
      </w:pPr>
      <w:r w:rsidRPr="00574CF1">
        <w:rPr>
          <w:rFonts w:ascii="Verdana" w:eastAsia="Geomanist Light" w:hAnsi="Verdana" w:cs="Arial"/>
          <w:lang w:val="es-MX"/>
        </w:rPr>
        <w:lastRenderedPageBreak/>
        <w:t>Bogotá D.C., </w:t>
      </w:r>
      <w:r w:rsidR="00010621">
        <w:rPr>
          <w:rFonts w:ascii="Verdana" w:eastAsia="Geomanist Light" w:hAnsi="Verdana" w:cs="Arial"/>
          <w:lang w:val="es-MX"/>
        </w:rPr>
        <w:t>12 de julio de 2024</w:t>
      </w:r>
    </w:p>
    <w:p w14:paraId="5E6E7517" w14:textId="3D6307E7" w:rsidR="001B7A6D" w:rsidRPr="00574CF1" w:rsidRDefault="00010621" w:rsidP="00010621">
      <w:pPr>
        <w:tabs>
          <w:tab w:val="left" w:pos="757"/>
        </w:tabs>
        <w:spacing w:after="0" w:line="276" w:lineRule="auto"/>
        <w:jc w:val="right"/>
        <w:rPr>
          <w:rFonts w:ascii="Verdana" w:eastAsia="Calibri" w:hAnsi="Verdana" w:cs="Arial"/>
          <w:lang w:val="es-ES"/>
        </w:rPr>
      </w:pPr>
      <w:r>
        <w:rPr>
          <w:rFonts w:ascii="Verdana" w:eastAsia="Calibri" w:hAnsi="Verdana" w:cs="Arial"/>
          <w:lang w:val="es-ES"/>
        </w:rPr>
        <w:tab/>
      </w:r>
      <w:r w:rsidRPr="00010621">
        <w:rPr>
          <w:rFonts w:ascii="Verdana" w:eastAsia="Calibri" w:hAnsi="Verdana" w:cs="Arial"/>
          <w:noProof/>
          <w:lang w:val="es-ES"/>
        </w:rPr>
        <w:drawing>
          <wp:anchor distT="0" distB="0" distL="114300" distR="114300" simplePos="0" relativeHeight="251658240" behindDoc="0" locked="0" layoutInCell="1" allowOverlap="1" wp14:anchorId="05171416" wp14:editId="004CDA89">
            <wp:simplePos x="0" y="0"/>
            <wp:positionH relativeFrom="column">
              <wp:posOffset>3547745</wp:posOffset>
            </wp:positionH>
            <wp:positionV relativeFrom="paragraph">
              <wp:posOffset>3810</wp:posOffset>
            </wp:positionV>
            <wp:extent cx="2423160" cy="671195"/>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23160" cy="671195"/>
                    </a:xfrm>
                    <a:prstGeom prst="rect">
                      <a:avLst/>
                    </a:prstGeom>
                    <a:noFill/>
                    <a:ln>
                      <a:noFill/>
                    </a:ln>
                  </pic:spPr>
                </pic:pic>
              </a:graphicData>
            </a:graphic>
          </wp:anchor>
        </w:drawing>
      </w:r>
    </w:p>
    <w:p w14:paraId="4E8ECC12" w14:textId="062A3F27" w:rsidR="001B7A6D" w:rsidRPr="00574CF1" w:rsidRDefault="001B7A6D" w:rsidP="001B7A6D">
      <w:pPr>
        <w:spacing w:after="0" w:line="240" w:lineRule="auto"/>
        <w:jc w:val="both"/>
        <w:rPr>
          <w:rFonts w:ascii="Verdana" w:eastAsia="Calibri" w:hAnsi="Verdana" w:cs="Arial"/>
          <w:lang w:val="es-ES" w:eastAsia="es-ES"/>
        </w:rPr>
      </w:pPr>
      <w:r w:rsidRPr="00574CF1">
        <w:rPr>
          <w:rFonts w:ascii="Verdana" w:eastAsia="Calibri" w:hAnsi="Verdana" w:cs="Arial"/>
          <w:lang w:val="es-ES" w:eastAsia="es-ES"/>
        </w:rPr>
        <w:t>Señor</w:t>
      </w:r>
      <w:r w:rsidR="00404955" w:rsidRPr="00574CF1">
        <w:rPr>
          <w:rFonts w:ascii="Verdana" w:eastAsia="Calibri" w:hAnsi="Verdana" w:cs="Arial"/>
          <w:lang w:val="es-ES" w:eastAsia="es-ES"/>
        </w:rPr>
        <w:t>(a)</w:t>
      </w:r>
    </w:p>
    <w:p w14:paraId="5737AAC6" w14:textId="666A8286" w:rsidR="001B7A6D" w:rsidRPr="00574CF1" w:rsidRDefault="00F81935" w:rsidP="001B7A6D">
      <w:pPr>
        <w:spacing w:after="0" w:line="240" w:lineRule="auto"/>
        <w:jc w:val="both"/>
        <w:rPr>
          <w:rFonts w:ascii="Verdana" w:eastAsia="Calibri" w:hAnsi="Verdana" w:cs="Arial"/>
          <w:b/>
          <w:bCs/>
          <w:lang w:val="es-ES" w:eastAsia="es-ES"/>
        </w:rPr>
      </w:pPr>
      <w:r w:rsidRPr="00574CF1">
        <w:rPr>
          <w:rFonts w:ascii="Verdana" w:eastAsia="Calibri" w:hAnsi="Verdana" w:cs="Arial"/>
          <w:b/>
          <w:bCs/>
          <w:lang w:val="es-ES" w:eastAsia="es-ES"/>
        </w:rPr>
        <w:t>Anónimo</w:t>
      </w:r>
    </w:p>
    <w:p w14:paraId="0D9F5EC6" w14:textId="267E2DEC" w:rsidR="001B7A6D" w:rsidRPr="00574CF1" w:rsidRDefault="001B7A6D" w:rsidP="001B7A6D">
      <w:pPr>
        <w:spacing w:after="0" w:line="240" w:lineRule="auto"/>
        <w:jc w:val="both"/>
        <w:rPr>
          <w:rFonts w:ascii="Verdana" w:hAnsi="Verdana"/>
        </w:rPr>
      </w:pPr>
      <w:r w:rsidRPr="00574CF1">
        <w:rPr>
          <w:rFonts w:ascii="Verdana" w:hAnsi="Verdana"/>
        </w:rPr>
        <w:t>nathalia.reyes@correounivalle.edu.co</w:t>
      </w:r>
    </w:p>
    <w:p w14:paraId="36039A89" w14:textId="77777777" w:rsidR="001B7A6D" w:rsidRPr="00574CF1" w:rsidRDefault="001B7A6D" w:rsidP="001B7A6D">
      <w:pPr>
        <w:spacing w:after="0" w:line="240" w:lineRule="auto"/>
        <w:jc w:val="both"/>
        <w:rPr>
          <w:rFonts w:ascii="Verdana" w:eastAsia="Calibri" w:hAnsi="Verdana" w:cs="Arial"/>
          <w:szCs w:val="24"/>
          <w:lang w:val="es-ES_tradnl" w:eastAsia="es-ES_tradnl"/>
        </w:rPr>
      </w:pPr>
      <w:r w:rsidRPr="00574CF1">
        <w:rPr>
          <w:rFonts w:ascii="Verdana" w:eastAsia="Calibri" w:hAnsi="Verdana" w:cs="Arial"/>
          <w:szCs w:val="24"/>
          <w:lang w:val="es-ES_tradnl" w:eastAsia="es-ES_tradnl"/>
        </w:rPr>
        <w:t>Bogotá D.C</w:t>
      </w:r>
    </w:p>
    <w:p w14:paraId="434C53FC" w14:textId="77777777" w:rsidR="001B7A6D" w:rsidRPr="00574CF1" w:rsidRDefault="001B7A6D" w:rsidP="001B7A6D">
      <w:pPr>
        <w:spacing w:after="0" w:line="240" w:lineRule="auto"/>
        <w:jc w:val="both"/>
        <w:rPr>
          <w:rFonts w:ascii="Verdana" w:eastAsia="Calibri" w:hAnsi="Verdana" w:cs="Arial"/>
          <w:szCs w:val="24"/>
          <w:lang w:val="es-ES_tradnl" w:eastAsia="es-ES_tradnl"/>
        </w:rPr>
      </w:pPr>
    </w:p>
    <w:p w14:paraId="623EB8B2" w14:textId="31EDDD84" w:rsidR="001B7A6D" w:rsidRPr="00574CF1" w:rsidRDefault="001B7A6D" w:rsidP="001B7A6D">
      <w:pPr>
        <w:spacing w:after="0" w:line="240" w:lineRule="auto"/>
        <w:ind w:left="2694"/>
        <w:jc w:val="both"/>
        <w:rPr>
          <w:rFonts w:ascii="Verdana" w:eastAsia="Calibri" w:hAnsi="Verdana" w:cs="Arial"/>
          <w:szCs w:val="24"/>
          <w:lang w:val="es-ES_tradnl" w:eastAsia="es-ES_tradnl"/>
        </w:rPr>
      </w:pPr>
      <w:r w:rsidRPr="00574CF1">
        <w:rPr>
          <w:rFonts w:ascii="Verdana" w:eastAsia="Calibri" w:hAnsi="Verdana" w:cs="Arial"/>
          <w:szCs w:val="24"/>
          <w:lang w:val="es-ES_tradnl" w:eastAsia="es-ES_tradnl"/>
        </w:rPr>
        <w:t>Concepto C –153 de 2024</w:t>
      </w:r>
    </w:p>
    <w:p w14:paraId="1B406FD0" w14:textId="77777777" w:rsidR="001B7A6D" w:rsidRPr="00574CF1" w:rsidRDefault="001B7A6D" w:rsidP="001B7A6D">
      <w:pPr>
        <w:spacing w:after="0" w:line="240" w:lineRule="auto"/>
        <w:rPr>
          <w:rFonts w:ascii="Verdana" w:eastAsia="Calibri" w:hAnsi="Verdana" w:cs="Arial"/>
          <w:szCs w:val="24"/>
          <w:lang w:val="es-ES_tradnl" w:eastAsia="es-ES_tradnl"/>
        </w:rPr>
      </w:pPr>
    </w:p>
    <w:p w14:paraId="120E4EAA" w14:textId="77777777" w:rsidR="001B7A6D" w:rsidRPr="00574CF1" w:rsidRDefault="001B7A6D" w:rsidP="001B7A6D">
      <w:pPr>
        <w:spacing w:after="0" w:line="240" w:lineRule="auto"/>
        <w:rPr>
          <w:rFonts w:ascii="Verdana" w:eastAsia="Calibri" w:hAnsi="Verdana" w:cs="Arial"/>
          <w:szCs w:val="24"/>
          <w:lang w:val="es-ES_tradnl" w:eastAsia="es-ES_tradnl"/>
        </w:rPr>
      </w:pPr>
    </w:p>
    <w:tbl>
      <w:tblPr>
        <w:tblStyle w:val="Tablaconcuadrcula"/>
        <w:tblW w:w="1516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gridCol w:w="6237"/>
      </w:tblGrid>
      <w:tr w:rsidR="001B7A6D" w:rsidRPr="00574CF1" w14:paraId="2E4E8DD2" w14:textId="77777777" w:rsidTr="003E68A8">
        <w:trPr>
          <w:trHeight w:val="884"/>
        </w:trPr>
        <w:tc>
          <w:tcPr>
            <w:tcW w:w="2689" w:type="dxa"/>
          </w:tcPr>
          <w:p w14:paraId="49EC89E7" w14:textId="77777777" w:rsidR="001B7A6D" w:rsidRPr="00574CF1" w:rsidRDefault="001B7A6D" w:rsidP="003E68A8">
            <w:pPr>
              <w:jc w:val="both"/>
              <w:rPr>
                <w:rFonts w:ascii="Verdana" w:eastAsia="Calibri" w:hAnsi="Verdana" w:cs="Arial"/>
                <w:szCs w:val="24"/>
                <w:lang w:val="es-ES_tradnl" w:eastAsia="es-ES_tradnl"/>
              </w:rPr>
            </w:pPr>
            <w:r w:rsidRPr="00574CF1">
              <w:rPr>
                <w:rFonts w:ascii="Verdana" w:eastAsia="Calibri" w:hAnsi="Verdana" w:cs="Arial"/>
                <w:szCs w:val="24"/>
                <w:lang w:val="es-ES_tradnl" w:eastAsia="es-ES_tradnl"/>
              </w:rPr>
              <w:t xml:space="preserve">Temas:                   </w:t>
            </w:r>
          </w:p>
        </w:tc>
        <w:tc>
          <w:tcPr>
            <w:tcW w:w="6237" w:type="dxa"/>
          </w:tcPr>
          <w:p w14:paraId="12733AF6" w14:textId="32C9BF4F" w:rsidR="001B7A6D" w:rsidRPr="00574CF1" w:rsidRDefault="00574CF1" w:rsidP="003E68A8">
            <w:pPr>
              <w:jc w:val="both"/>
              <w:rPr>
                <w:rFonts w:ascii="Verdana" w:eastAsia="Calibri" w:hAnsi="Verdana" w:cs="Arial"/>
                <w:highlight w:val="yellow"/>
                <w:lang w:val="es-ES" w:eastAsia="es-ES"/>
              </w:rPr>
            </w:pPr>
            <w:r w:rsidRPr="00574CF1">
              <w:rPr>
                <w:rFonts w:ascii="Verdana" w:eastAsia="Calibri" w:hAnsi="Verdana" w:cs="Arial"/>
                <w:lang w:val="es-ES" w:eastAsia="es-ES"/>
              </w:rPr>
              <w:t xml:space="preserve">DOCUMENTOS TIPO VERSIÓN 3 – Licitación pública para obra de infraestructura de transporte – Definición de experiencia exigible </w:t>
            </w:r>
            <w:r w:rsidR="001B7A6D" w:rsidRPr="00574CF1">
              <w:rPr>
                <w:rFonts w:ascii="Verdana" w:eastAsia="Calibri" w:hAnsi="Verdana" w:cs="Arial"/>
                <w:lang w:val="es-ES" w:eastAsia="es-ES"/>
              </w:rPr>
              <w:t>/</w:t>
            </w:r>
            <w:r w:rsidRPr="00574CF1">
              <w:rPr>
                <w:rFonts w:ascii="Verdana" w:hAnsi="Verdana"/>
              </w:rPr>
              <w:t xml:space="preserve"> </w:t>
            </w:r>
            <w:r w:rsidRPr="00574CF1">
              <w:rPr>
                <w:rFonts w:ascii="Verdana" w:eastAsia="Calibri" w:hAnsi="Verdana" w:cs="Arial"/>
                <w:lang w:val="es-ES" w:eastAsia="es-ES"/>
              </w:rPr>
              <w:t>PROYECTOS DE SEÑALIZACIÓN (HORIZONTAL O VERTICAL) Y/O DEMARCACIÓN DE VÍAS TERCIARIAS – Experiencia – Acreditación/ AIU – Costos indirectos</w:t>
            </w:r>
          </w:p>
        </w:tc>
        <w:tc>
          <w:tcPr>
            <w:tcW w:w="6237" w:type="dxa"/>
          </w:tcPr>
          <w:p w14:paraId="69A9B340" w14:textId="77777777" w:rsidR="001B7A6D" w:rsidRPr="00574CF1" w:rsidRDefault="001B7A6D" w:rsidP="003E68A8">
            <w:pPr>
              <w:jc w:val="both"/>
              <w:rPr>
                <w:rFonts w:ascii="Verdana" w:hAnsi="Verdana" w:cs="Arial"/>
                <w:highlight w:val="yellow"/>
                <w:lang w:val="es-ES"/>
              </w:rPr>
            </w:pPr>
          </w:p>
        </w:tc>
      </w:tr>
      <w:tr w:rsidR="001B7A6D" w:rsidRPr="00574CF1" w14:paraId="3949937C" w14:textId="77777777" w:rsidTr="003E68A8">
        <w:tc>
          <w:tcPr>
            <w:tcW w:w="2689" w:type="dxa"/>
          </w:tcPr>
          <w:p w14:paraId="16A37687" w14:textId="77777777" w:rsidR="001B7A6D" w:rsidRPr="00574CF1" w:rsidRDefault="001B7A6D" w:rsidP="003E68A8">
            <w:pPr>
              <w:spacing w:before="120"/>
              <w:jc w:val="both"/>
              <w:rPr>
                <w:rFonts w:ascii="Verdana" w:eastAsia="Calibri" w:hAnsi="Verdana" w:cs="Arial"/>
                <w:szCs w:val="24"/>
                <w:lang w:val="es-ES_tradnl" w:eastAsia="es-ES_tradnl"/>
              </w:rPr>
            </w:pPr>
            <w:r w:rsidRPr="00574CF1">
              <w:rPr>
                <w:rFonts w:ascii="Verdana" w:eastAsia="Calibri" w:hAnsi="Verdana" w:cs="Arial"/>
                <w:szCs w:val="24"/>
                <w:lang w:val="es-ES_tradnl" w:eastAsia="es-ES_tradnl"/>
              </w:rPr>
              <w:t xml:space="preserve">Radicación:               </w:t>
            </w:r>
          </w:p>
        </w:tc>
        <w:tc>
          <w:tcPr>
            <w:tcW w:w="6237" w:type="dxa"/>
          </w:tcPr>
          <w:p w14:paraId="1806C63A" w14:textId="5B3CD6E0" w:rsidR="001B7A6D" w:rsidRPr="00574CF1" w:rsidRDefault="001B7A6D" w:rsidP="003E68A8">
            <w:pPr>
              <w:spacing w:before="120"/>
              <w:jc w:val="both"/>
              <w:rPr>
                <w:rFonts w:ascii="Verdana" w:eastAsia="Calibri" w:hAnsi="Verdana" w:cs="Arial"/>
                <w:szCs w:val="24"/>
                <w:lang w:val="es-ES_tradnl" w:eastAsia="es-ES_tradnl"/>
              </w:rPr>
            </w:pPr>
            <w:r w:rsidRPr="00574CF1">
              <w:rPr>
                <w:rFonts w:ascii="Verdana" w:eastAsia="Calibri" w:hAnsi="Verdana" w:cs="Arial"/>
                <w:szCs w:val="24"/>
                <w:lang w:val="es-ES_tradnl" w:eastAsia="es-ES_tradnl"/>
              </w:rPr>
              <w:t>Respuesta a consulta con radicado No. P20240605005803</w:t>
            </w:r>
          </w:p>
        </w:tc>
        <w:tc>
          <w:tcPr>
            <w:tcW w:w="6237" w:type="dxa"/>
          </w:tcPr>
          <w:p w14:paraId="56EF66DA" w14:textId="77777777" w:rsidR="001B7A6D" w:rsidRPr="00574CF1" w:rsidRDefault="001B7A6D" w:rsidP="003E68A8">
            <w:pPr>
              <w:spacing w:before="120"/>
              <w:jc w:val="both"/>
              <w:rPr>
                <w:rFonts w:ascii="Verdana" w:eastAsia="Calibri" w:hAnsi="Verdana" w:cs="Arial"/>
                <w:szCs w:val="24"/>
                <w:lang w:val="es-ES_tradnl" w:eastAsia="es-ES_tradnl"/>
              </w:rPr>
            </w:pPr>
          </w:p>
        </w:tc>
      </w:tr>
    </w:tbl>
    <w:p w14:paraId="56ABD12A" w14:textId="77777777" w:rsidR="001B7A6D" w:rsidRPr="00574CF1" w:rsidRDefault="001B7A6D" w:rsidP="001B7A6D">
      <w:pPr>
        <w:spacing w:after="0" w:line="240" w:lineRule="auto"/>
        <w:jc w:val="both"/>
        <w:rPr>
          <w:rFonts w:ascii="Verdana" w:eastAsia="Calibri" w:hAnsi="Verdana" w:cs="Arial"/>
          <w:szCs w:val="24"/>
          <w:lang w:val="es-ES_tradnl" w:eastAsia="es-ES_tradnl"/>
        </w:rPr>
      </w:pPr>
    </w:p>
    <w:p w14:paraId="18841F49" w14:textId="77777777" w:rsidR="001B7A6D" w:rsidRPr="00574CF1" w:rsidRDefault="001B7A6D" w:rsidP="001B7A6D">
      <w:pPr>
        <w:spacing w:after="0" w:line="240" w:lineRule="auto"/>
        <w:jc w:val="both"/>
        <w:rPr>
          <w:rFonts w:ascii="Verdana" w:eastAsia="Calibri" w:hAnsi="Verdana" w:cs="Arial"/>
          <w:szCs w:val="24"/>
          <w:lang w:val="es-ES_tradnl" w:eastAsia="es-ES_tradnl"/>
        </w:rPr>
      </w:pPr>
    </w:p>
    <w:p w14:paraId="1FB103FF" w14:textId="151A4959" w:rsidR="001B7A6D" w:rsidRPr="00574CF1" w:rsidRDefault="001B7A6D" w:rsidP="001B7A6D">
      <w:pPr>
        <w:spacing w:after="0" w:line="240" w:lineRule="auto"/>
        <w:jc w:val="both"/>
        <w:rPr>
          <w:rFonts w:ascii="Verdana" w:eastAsia="Calibri" w:hAnsi="Verdana" w:cs="Arial"/>
          <w:lang w:val="es-ES" w:eastAsia="es-ES"/>
        </w:rPr>
      </w:pPr>
      <w:r w:rsidRPr="00574CF1">
        <w:rPr>
          <w:rFonts w:ascii="Verdana" w:eastAsia="Calibri" w:hAnsi="Verdana" w:cs="Arial"/>
          <w:lang w:val="es-ES" w:eastAsia="es-ES"/>
        </w:rPr>
        <w:t>Estimad</w:t>
      </w:r>
      <w:r w:rsidR="00574CF1" w:rsidRPr="00574CF1">
        <w:rPr>
          <w:rFonts w:ascii="Verdana" w:eastAsia="Calibri" w:hAnsi="Verdana" w:cs="Arial"/>
          <w:lang w:val="es-ES" w:eastAsia="es-ES"/>
        </w:rPr>
        <w:t>o ciudadano(a)</w:t>
      </w:r>
      <w:r w:rsidRPr="00574CF1">
        <w:rPr>
          <w:rFonts w:ascii="Verdana" w:eastAsia="Calibri" w:hAnsi="Verdana" w:cs="Arial"/>
          <w:lang w:val="es-ES" w:eastAsia="es-ES"/>
        </w:rPr>
        <w:t xml:space="preserve">: </w:t>
      </w:r>
    </w:p>
    <w:p w14:paraId="64F30442" w14:textId="77777777" w:rsidR="001B7A6D" w:rsidRPr="00574CF1" w:rsidRDefault="001B7A6D" w:rsidP="001B7A6D">
      <w:pPr>
        <w:spacing w:after="0" w:line="240" w:lineRule="auto"/>
        <w:jc w:val="both"/>
        <w:rPr>
          <w:rFonts w:ascii="Verdana" w:eastAsia="Calibri" w:hAnsi="Verdana" w:cs="Arial"/>
          <w:lang w:val="es-ES" w:eastAsia="es-ES"/>
        </w:rPr>
      </w:pPr>
    </w:p>
    <w:p w14:paraId="59F741C6" w14:textId="1A7179AD" w:rsidR="001B7A6D" w:rsidRPr="00574CF1" w:rsidRDefault="001B7A6D" w:rsidP="001B7A6D">
      <w:pPr>
        <w:spacing w:after="120" w:line="276" w:lineRule="auto"/>
        <w:jc w:val="both"/>
        <w:rPr>
          <w:rFonts w:ascii="Verdana" w:eastAsia="Calibri" w:hAnsi="Verdana" w:cs="Arial"/>
          <w:lang w:val="es-ES" w:eastAsia="es-ES"/>
        </w:rPr>
      </w:pPr>
      <w:r w:rsidRPr="00574CF1">
        <w:rPr>
          <w:rFonts w:ascii="Verdana" w:eastAsia="Calibri" w:hAnsi="Verdana" w:cs="Arial"/>
          <w:lang w:val="es-ES" w:eastAsia="es-ES"/>
        </w:rPr>
        <w:t>En ejercicio de la competencia otorgada por los artículos 3, numeral 5º, y 11, numeral 8º, del Decreto Ley 4170 de 2011,</w:t>
      </w:r>
      <w:r w:rsidRPr="00574CF1">
        <w:rPr>
          <w:rFonts w:ascii="Verdana" w:eastAsia="Arial MT" w:hAnsi="Verdana" w:cs="Arial MT"/>
          <w:lang w:val="es-ES" w:eastAsia="es-ES"/>
        </w:rPr>
        <w:t xml:space="preserve"> </w:t>
      </w:r>
      <w:r w:rsidRPr="00574CF1">
        <w:rPr>
          <w:rFonts w:ascii="Verdana" w:eastAsia="Calibri" w:hAnsi="Verdana" w:cs="Arial"/>
          <w:lang w:val="es-ES" w:eastAsia="es-ES"/>
        </w:rPr>
        <w:t>la Agencia Nacional de Contratación Pública – Colombia Compra Eficiente– responde su solicitud de consulta del 05 de junio de 2024. En la cual manifiesta lo siguiente:</w:t>
      </w:r>
    </w:p>
    <w:p w14:paraId="793711AE" w14:textId="0208B0BD" w:rsidR="001B7A6D" w:rsidRPr="00574CF1" w:rsidRDefault="001B7A6D" w:rsidP="001B7A6D">
      <w:pPr>
        <w:spacing w:after="0" w:line="240" w:lineRule="auto"/>
        <w:ind w:left="709" w:right="709"/>
        <w:jc w:val="both"/>
        <w:rPr>
          <w:rFonts w:ascii="Verdana" w:eastAsia="Calibri" w:hAnsi="Verdana" w:cs="Arial"/>
          <w:sz w:val="20"/>
          <w:szCs w:val="20"/>
          <w:lang w:val="es-ES" w:eastAsia="es-ES"/>
        </w:rPr>
      </w:pPr>
      <w:r w:rsidRPr="00574CF1">
        <w:rPr>
          <w:rFonts w:ascii="Verdana" w:eastAsia="Calibri" w:hAnsi="Verdana" w:cs="Arial"/>
          <w:sz w:val="20"/>
          <w:szCs w:val="20"/>
          <w:lang w:val="es-ES" w:eastAsia="es-ES"/>
        </w:rPr>
        <w:t>“Si la entidad requiere como experiencia específica demostrar el 40% del valor de la actividad de señalización, para pliego tipo, tomando en ese 40% los costos directos con el aiu incluido… yo puedo acreditarlo con la sumatoria de esa actividad de mi contrato, pero le debo sumar también el AIU o solo lo demuestro con los costos directos?:</w:t>
      </w:r>
    </w:p>
    <w:p w14:paraId="50AE3805" w14:textId="77777777" w:rsidR="001B7A6D" w:rsidRPr="00574CF1" w:rsidRDefault="001B7A6D" w:rsidP="001B7A6D">
      <w:pPr>
        <w:spacing w:after="0" w:line="240" w:lineRule="auto"/>
        <w:ind w:left="709" w:right="709"/>
        <w:jc w:val="both"/>
        <w:rPr>
          <w:rFonts w:ascii="Verdana" w:eastAsia="Calibri" w:hAnsi="Verdana" w:cs="Arial"/>
          <w:sz w:val="20"/>
          <w:szCs w:val="20"/>
          <w:lang w:val="es-ES" w:eastAsia="es-ES"/>
        </w:rPr>
      </w:pPr>
    </w:p>
    <w:p w14:paraId="367DEE38" w14:textId="77777777" w:rsidR="001B7A6D" w:rsidRPr="00574CF1" w:rsidRDefault="001B7A6D" w:rsidP="001B7A6D">
      <w:pPr>
        <w:spacing w:after="120" w:line="276" w:lineRule="auto"/>
        <w:jc w:val="both"/>
        <w:rPr>
          <w:rFonts w:ascii="Verdana" w:eastAsia="Calibri" w:hAnsi="Verdana" w:cs="Arial"/>
          <w:lang w:val="es-ES" w:eastAsia="es-ES"/>
        </w:rPr>
      </w:pPr>
      <w:r w:rsidRPr="00574CF1">
        <w:rPr>
          <w:rFonts w:ascii="Verdana" w:eastAsia="Calibri" w:hAnsi="Verdana" w:cs="Arial"/>
          <w:lang w:val="es-ES_tradnl" w:eastAsia="es-ES_tradnl"/>
        </w:rPr>
        <w:tab/>
      </w:r>
      <w:r w:rsidRPr="00574CF1">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w:t>
      </w:r>
      <w:r w:rsidRPr="00574CF1">
        <w:rPr>
          <w:rFonts w:ascii="Verdana" w:eastAsia="Calibri" w:hAnsi="Verdana" w:cs="Arial"/>
          <w:lang w:val="es-ES" w:eastAsia="es-ES"/>
        </w:rPr>
        <w:lastRenderedPageBreak/>
        <w:t>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w:t>
      </w:r>
    </w:p>
    <w:p w14:paraId="1828A0DB" w14:textId="77777777" w:rsidR="001B7A6D" w:rsidRPr="00574CF1" w:rsidRDefault="001B7A6D" w:rsidP="001B7A6D">
      <w:pPr>
        <w:spacing w:after="120" w:line="276" w:lineRule="auto"/>
        <w:jc w:val="both"/>
        <w:rPr>
          <w:rFonts w:ascii="Verdana" w:eastAsia="Calibri" w:hAnsi="Verdana" w:cs="Arial"/>
          <w:lang w:val="es-ES" w:eastAsia="es-ES"/>
        </w:rPr>
      </w:pPr>
      <w:r w:rsidRPr="00574CF1">
        <w:rPr>
          <w:rFonts w:ascii="Verdana" w:eastAsia="Calibri" w:hAnsi="Verdana" w:cs="Arial"/>
          <w:lang w:val="es-ES" w:eastAsia="es-ES"/>
        </w:rPr>
        <w:tab/>
        <w:t>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p>
    <w:p w14:paraId="11EB00FD" w14:textId="77777777" w:rsidR="001B7A6D" w:rsidRPr="00574CF1" w:rsidRDefault="001B7A6D" w:rsidP="001B7A6D">
      <w:pPr>
        <w:pStyle w:val="Prrafodelista"/>
        <w:numPr>
          <w:ilvl w:val="0"/>
          <w:numId w:val="6"/>
        </w:numPr>
        <w:tabs>
          <w:tab w:val="left" w:pos="142"/>
          <w:tab w:val="left" w:pos="284"/>
        </w:tabs>
        <w:spacing w:after="0" w:line="276" w:lineRule="auto"/>
        <w:ind w:left="0" w:firstLine="0"/>
        <w:jc w:val="both"/>
        <w:rPr>
          <w:rFonts w:ascii="Verdana" w:eastAsia="Century Gothic" w:hAnsi="Verdana" w:cs="Century Gothic"/>
          <w:b/>
          <w:bCs/>
        </w:rPr>
      </w:pPr>
      <w:r w:rsidRPr="00574CF1">
        <w:rPr>
          <w:rFonts w:ascii="Verdana" w:eastAsia="Century Gothic" w:hAnsi="Verdana" w:cs="Century Gothic"/>
          <w:b/>
          <w:bCs/>
        </w:rPr>
        <w:t>Problema planteado:</w:t>
      </w:r>
    </w:p>
    <w:p w14:paraId="73F76480" w14:textId="77777777" w:rsidR="00574CF1" w:rsidRDefault="00574CF1" w:rsidP="00642189">
      <w:pPr>
        <w:spacing w:line="276" w:lineRule="auto"/>
        <w:jc w:val="both"/>
        <w:rPr>
          <w:rFonts w:ascii="Verdana" w:eastAsia="Century Gothic" w:hAnsi="Verdana" w:cs="Century Gothic"/>
        </w:rPr>
      </w:pPr>
    </w:p>
    <w:p w14:paraId="36056120" w14:textId="68E6373C" w:rsidR="00642189" w:rsidRPr="006967C5" w:rsidRDefault="001B7A6D" w:rsidP="00642189">
      <w:pPr>
        <w:spacing w:line="276" w:lineRule="auto"/>
        <w:jc w:val="both"/>
        <w:rPr>
          <w:rFonts w:ascii="Verdana" w:eastAsia="Century Gothic" w:hAnsi="Verdana" w:cs="Century Gothic"/>
        </w:rPr>
      </w:pPr>
      <w:r w:rsidRPr="00574CF1">
        <w:rPr>
          <w:rFonts w:ascii="Verdana" w:eastAsia="Century Gothic" w:hAnsi="Verdana" w:cs="Century Gothic"/>
        </w:rPr>
        <w:t xml:space="preserve">De acuerdo con el contenido de su solicitud, esta Agencia resolverá </w:t>
      </w:r>
      <w:r w:rsidR="000F1DAC" w:rsidRPr="00574CF1">
        <w:rPr>
          <w:rFonts w:ascii="Verdana" w:eastAsia="Century Gothic" w:hAnsi="Verdana" w:cs="Century Gothic"/>
        </w:rPr>
        <w:t>el siguiente problema jurídico</w:t>
      </w:r>
      <w:r w:rsidRPr="00574CF1">
        <w:rPr>
          <w:rFonts w:ascii="Verdana" w:eastAsia="Century Gothic" w:hAnsi="Verdana" w:cs="Century Gothic"/>
        </w:rPr>
        <w:t xml:space="preserve">: </w:t>
      </w:r>
      <w:r w:rsidR="000F1DAC" w:rsidRPr="006967C5">
        <w:rPr>
          <w:rFonts w:ascii="Verdana" w:eastAsia="Century Gothic" w:hAnsi="Verdana" w:cs="Century Gothic"/>
        </w:rPr>
        <w:t>(…)…</w:t>
      </w:r>
      <w:r w:rsidR="006967C5" w:rsidRPr="006967C5">
        <w:rPr>
          <w:rFonts w:ascii="Verdana" w:eastAsia="Century Gothic" w:hAnsi="Verdana" w:cs="Century Gothic"/>
        </w:rPr>
        <w:t>¿Para acreditar la experiencia especifica</w:t>
      </w:r>
      <w:r w:rsidR="000F1DAC" w:rsidRPr="006967C5">
        <w:rPr>
          <w:rFonts w:ascii="Verdana" w:eastAsia="Century Gothic" w:hAnsi="Verdana" w:cs="Century Gothic"/>
        </w:rPr>
        <w:t xml:space="preserve"> </w:t>
      </w:r>
      <w:r w:rsidR="00775F8B" w:rsidRPr="006967C5">
        <w:rPr>
          <w:rFonts w:ascii="Verdana" w:eastAsia="Century Gothic" w:hAnsi="Verdana" w:cs="Century Gothic"/>
        </w:rPr>
        <w:t xml:space="preserve"> </w:t>
      </w:r>
      <w:r w:rsidR="004C6C6D" w:rsidRPr="006967C5">
        <w:rPr>
          <w:rFonts w:ascii="Verdana" w:eastAsia="Century Gothic" w:hAnsi="Verdana" w:cs="Century Gothic"/>
        </w:rPr>
        <w:t>se deben incluir los costos</w:t>
      </w:r>
      <w:r w:rsidR="001572AE" w:rsidRPr="006967C5">
        <w:rPr>
          <w:rFonts w:ascii="Verdana" w:eastAsia="Century Gothic" w:hAnsi="Verdana" w:cs="Century Gothic"/>
        </w:rPr>
        <w:t xml:space="preserve"> directos</w:t>
      </w:r>
      <w:r w:rsidR="004C6C6D" w:rsidRPr="006967C5">
        <w:rPr>
          <w:rFonts w:ascii="Verdana" w:eastAsia="Century Gothic" w:hAnsi="Verdana" w:cs="Century Gothic"/>
        </w:rPr>
        <w:t xml:space="preserve"> </w:t>
      </w:r>
      <w:r w:rsidR="00DA5B3C" w:rsidRPr="006967C5">
        <w:rPr>
          <w:rFonts w:ascii="Verdana" w:eastAsia="Century Gothic" w:hAnsi="Verdana" w:cs="Century Gothic"/>
        </w:rPr>
        <w:t>más el AIU?</w:t>
      </w:r>
    </w:p>
    <w:p w14:paraId="1FB708DC" w14:textId="3EFA5035" w:rsidR="001B7A6D" w:rsidRPr="006967C5" w:rsidRDefault="001B7A6D" w:rsidP="00610694">
      <w:pPr>
        <w:spacing w:line="276" w:lineRule="auto"/>
        <w:jc w:val="both"/>
        <w:rPr>
          <w:rFonts w:ascii="Verdana" w:eastAsia="Century Gothic" w:hAnsi="Verdana" w:cs="Century Gothic"/>
          <w:b/>
          <w:bCs/>
        </w:rPr>
      </w:pPr>
      <w:r w:rsidRPr="00574CF1">
        <w:rPr>
          <w:rFonts w:ascii="Verdana" w:eastAsia="Century Gothic" w:hAnsi="Verdana" w:cs="Century Gothic"/>
        </w:rPr>
        <w:t xml:space="preserve"> </w:t>
      </w:r>
      <w:r w:rsidRPr="006967C5">
        <w:rPr>
          <w:rFonts w:ascii="Verdana" w:eastAsia="Century Gothic" w:hAnsi="Verdana" w:cs="Century Gothic"/>
          <w:b/>
          <w:bCs/>
        </w:rPr>
        <w:t>Respuesta:</w:t>
      </w:r>
    </w:p>
    <w:p w14:paraId="505D5233" w14:textId="0DF0A7FC" w:rsidR="001B7A6D" w:rsidRPr="00574CF1" w:rsidRDefault="001B7A6D" w:rsidP="001B7A6D">
      <w:pPr>
        <w:spacing w:after="0" w:line="276" w:lineRule="auto"/>
        <w:jc w:val="both"/>
        <w:rPr>
          <w:rFonts w:ascii="Verdana" w:eastAsia="Calibri" w:hAnsi="Verdana" w:cs="Arial"/>
          <w:lang w:val="es-ES" w:eastAsia="es-ES"/>
        </w:rPr>
      </w:pPr>
    </w:p>
    <w:p w14:paraId="6B9976B6" w14:textId="10EFF116" w:rsidR="00A32C6C" w:rsidRPr="0022797F" w:rsidRDefault="00FF3EA3" w:rsidP="00CB41A8">
      <w:pPr>
        <w:spacing w:after="0" w:line="276" w:lineRule="auto"/>
        <w:jc w:val="both"/>
        <w:rPr>
          <w:rFonts w:ascii="Verdana" w:hAnsi="Verdana" w:cstheme="majorHAnsi"/>
        </w:rPr>
      </w:pPr>
      <w:r w:rsidRPr="0022797F">
        <w:rPr>
          <w:rFonts w:ascii="Verdana" w:hAnsi="Verdana"/>
          <w:color w:val="000000"/>
        </w:rPr>
        <w:t xml:space="preserve">Respecto al interrogante, es pertinente indicar </w:t>
      </w:r>
      <w:r w:rsidR="00E40C54" w:rsidRPr="0022797F">
        <w:rPr>
          <w:rFonts w:ascii="Verdana" w:hAnsi="Verdana"/>
          <w:color w:val="000000"/>
        </w:rPr>
        <w:t>que,</w:t>
      </w:r>
      <w:r w:rsidR="00CB41A8" w:rsidRPr="0022797F">
        <w:rPr>
          <w:rFonts w:ascii="Verdana" w:hAnsi="Verdana"/>
          <w:color w:val="000000"/>
        </w:rPr>
        <w:t xml:space="preserve"> para la acreditación de </w:t>
      </w:r>
      <w:r w:rsidR="00CB41A8" w:rsidRPr="0022797F">
        <w:rPr>
          <w:rFonts w:ascii="Verdana" w:hAnsi="Verdana" w:cstheme="majorHAnsi"/>
        </w:rPr>
        <w:t>la experiencia</w:t>
      </w:r>
      <w:r w:rsidR="00E40C54" w:rsidRPr="0022797F">
        <w:rPr>
          <w:rFonts w:ascii="Verdana" w:hAnsi="Verdana" w:cstheme="majorHAnsi"/>
        </w:rPr>
        <w:t>,</w:t>
      </w:r>
      <w:r w:rsidR="00CB41A8" w:rsidRPr="0022797F">
        <w:rPr>
          <w:rFonts w:ascii="Verdana" w:hAnsi="Verdana" w:cstheme="majorHAnsi"/>
        </w:rPr>
        <w:t xml:space="preserve"> a la cual se hace referencia en la consulta, que se podría enmarcar en la actividad “2.5 </w:t>
      </w:r>
      <w:r w:rsidR="00CB41A8" w:rsidRPr="0022797F">
        <w:rPr>
          <w:rFonts w:ascii="Verdana" w:hAnsi="Verdana" w:cstheme="majorHAnsi"/>
          <w:i/>
          <w:iCs/>
        </w:rPr>
        <w:t>PROYECTOS DE SEÑALIZACIÓN (HORIZONTAL O VERTICAL) Y/O DEMARCACIÓN DE VÍAS TERCIARIAS</w:t>
      </w:r>
      <w:r w:rsidR="00CB41A8" w:rsidRPr="0022797F">
        <w:rPr>
          <w:rFonts w:ascii="Verdana" w:hAnsi="Verdana" w:cstheme="majorHAnsi"/>
        </w:rPr>
        <w:t>”</w:t>
      </w:r>
      <w:r w:rsidR="00CD110F" w:rsidRPr="0022797F">
        <w:rPr>
          <w:rFonts w:ascii="Verdana" w:hAnsi="Verdana" w:cstheme="majorHAnsi"/>
        </w:rPr>
        <w:t xml:space="preserve">, </w:t>
      </w:r>
      <w:r w:rsidR="00A32C6C" w:rsidRPr="0022797F">
        <w:rPr>
          <w:rFonts w:ascii="Verdana" w:hAnsi="Verdana" w:cstheme="majorHAnsi"/>
        </w:rPr>
        <w:t>se debe tener en cuenta el valor de</w:t>
      </w:r>
      <w:r w:rsidR="00E40C54" w:rsidRPr="0022797F">
        <w:rPr>
          <w:rFonts w:ascii="Verdana" w:hAnsi="Verdana" w:cstheme="majorHAnsi"/>
        </w:rPr>
        <w:t>l costo directo de la actividad</w:t>
      </w:r>
      <w:r w:rsidR="0022797F">
        <w:rPr>
          <w:rFonts w:ascii="Verdana" w:hAnsi="Verdana" w:cstheme="majorHAnsi"/>
        </w:rPr>
        <w:t xml:space="preserve"> ejecutada</w:t>
      </w:r>
      <w:r w:rsidR="00876D48">
        <w:rPr>
          <w:rFonts w:ascii="Verdana" w:hAnsi="Verdana" w:cstheme="majorHAnsi"/>
        </w:rPr>
        <w:t xml:space="preserve"> en el contrato</w:t>
      </w:r>
      <w:r w:rsidR="00E40C54" w:rsidRPr="0022797F">
        <w:rPr>
          <w:rFonts w:ascii="Verdana" w:hAnsi="Verdana" w:cstheme="majorHAnsi"/>
        </w:rPr>
        <w:t xml:space="preserve">, </w:t>
      </w:r>
      <w:r w:rsidR="00876D48" w:rsidRPr="0022797F">
        <w:rPr>
          <w:rFonts w:ascii="Verdana" w:hAnsi="Verdana" w:cstheme="majorHAnsi"/>
        </w:rPr>
        <w:t>más</w:t>
      </w:r>
      <w:r w:rsidR="00E40C54" w:rsidRPr="0022797F">
        <w:rPr>
          <w:rFonts w:ascii="Verdana" w:hAnsi="Verdana" w:cstheme="majorHAnsi"/>
        </w:rPr>
        <w:t xml:space="preserve"> el componente de AIU (costo indirecto).</w:t>
      </w:r>
    </w:p>
    <w:p w14:paraId="430B02EF" w14:textId="77777777" w:rsidR="00A32C6C" w:rsidRPr="00574CF1" w:rsidRDefault="00A32C6C" w:rsidP="00CB41A8">
      <w:pPr>
        <w:spacing w:after="0" w:line="276" w:lineRule="auto"/>
        <w:jc w:val="both"/>
        <w:rPr>
          <w:rFonts w:ascii="Verdana" w:hAnsi="Verdana" w:cstheme="majorHAnsi"/>
        </w:rPr>
      </w:pPr>
    </w:p>
    <w:p w14:paraId="3EDD7C98" w14:textId="77777777" w:rsidR="00DC2867" w:rsidRPr="00574CF1" w:rsidRDefault="00DC2867" w:rsidP="00DC2867">
      <w:pPr>
        <w:pStyle w:val="Prrafodelista"/>
        <w:numPr>
          <w:ilvl w:val="0"/>
          <w:numId w:val="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74CF1">
        <w:rPr>
          <w:rFonts w:ascii="Verdana" w:eastAsia="Century Gothic" w:hAnsi="Verdana" w:cs="Century Gothic"/>
          <w:b/>
          <w:bCs/>
        </w:rPr>
        <w:t>Razones de la respuesta:</w:t>
      </w:r>
    </w:p>
    <w:p w14:paraId="5201B034" w14:textId="77777777" w:rsidR="00DC2867" w:rsidRPr="00574CF1" w:rsidRDefault="00DC2867" w:rsidP="00DC2867">
      <w:pPr>
        <w:spacing w:after="0" w:line="276" w:lineRule="auto"/>
        <w:jc w:val="both"/>
        <w:rPr>
          <w:rFonts w:ascii="Verdana" w:eastAsia="Calibri" w:hAnsi="Verdana" w:cs="Arial"/>
          <w:lang w:val="es-ES" w:eastAsia="es-ES"/>
        </w:rPr>
      </w:pPr>
    </w:p>
    <w:p w14:paraId="25D1A4B1" w14:textId="2B9A20E7" w:rsidR="00DC2867" w:rsidRPr="00574CF1" w:rsidRDefault="00DC2867" w:rsidP="00DC2867">
      <w:pPr>
        <w:spacing w:after="0" w:line="276" w:lineRule="auto"/>
        <w:jc w:val="both"/>
        <w:rPr>
          <w:rFonts w:ascii="Verdana" w:eastAsia="Calibri" w:hAnsi="Verdana" w:cs="Arial"/>
          <w:lang w:val="es-ES"/>
        </w:rPr>
      </w:pPr>
      <w:r w:rsidRPr="00574CF1">
        <w:rPr>
          <w:rFonts w:ascii="Verdana" w:eastAsia="Calibri" w:hAnsi="Verdana" w:cs="Arial"/>
          <w:lang w:val="es-ES"/>
        </w:rPr>
        <w:t xml:space="preserve">Lo anterior se sustenta en las siguientes consideraciones: </w:t>
      </w:r>
    </w:p>
    <w:p w14:paraId="52ED1416" w14:textId="77777777" w:rsidR="00DC2867" w:rsidRPr="00574CF1" w:rsidRDefault="00DC2867" w:rsidP="00DC2867">
      <w:pPr>
        <w:spacing w:after="0" w:line="276" w:lineRule="auto"/>
        <w:jc w:val="both"/>
        <w:rPr>
          <w:rFonts w:ascii="Verdana" w:eastAsia="Calibri" w:hAnsi="Verdana" w:cs="Arial"/>
          <w:lang w:val="es-ES"/>
        </w:rPr>
      </w:pPr>
    </w:p>
    <w:p w14:paraId="5B178ED2" w14:textId="644CF93E" w:rsidR="00BB4698" w:rsidRPr="00574CF1" w:rsidRDefault="00BB4698" w:rsidP="00BB4698">
      <w:pPr>
        <w:ind w:firstLine="708"/>
        <w:jc w:val="both"/>
        <w:rPr>
          <w:rFonts w:ascii="Verdana" w:hAnsi="Verdana" w:cstheme="majorHAnsi"/>
        </w:rPr>
      </w:pPr>
      <w:r w:rsidRPr="00574CF1">
        <w:rPr>
          <w:rFonts w:ascii="Verdana" w:hAnsi="Verdana" w:cstheme="majorHAnsi"/>
        </w:rPr>
        <w:t xml:space="preserve">Tratando de generalizar, sea lo primero resaltar que la Agencia Nacional de Contratación </w:t>
      </w:r>
      <w:r w:rsidR="00F81935" w:rsidRPr="00574CF1">
        <w:rPr>
          <w:rFonts w:ascii="Verdana" w:hAnsi="Verdana" w:cstheme="majorHAnsi"/>
        </w:rPr>
        <w:t>Pública</w:t>
      </w:r>
      <w:r w:rsidR="00E6118E" w:rsidRPr="00574CF1">
        <w:rPr>
          <w:rFonts w:ascii="Verdana" w:hAnsi="Verdana" w:cstheme="majorHAnsi"/>
        </w:rPr>
        <w:t xml:space="preserve"> Colombia Compra Eficiente,</w:t>
      </w:r>
      <w:r w:rsidRPr="00574CF1">
        <w:rPr>
          <w:rFonts w:ascii="Verdana" w:hAnsi="Verdana" w:cstheme="majorHAnsi"/>
        </w:rPr>
        <w:t xml:space="preserve"> ha adoptado documentos tipo para </w:t>
      </w:r>
      <w:r w:rsidRPr="00574CF1">
        <w:rPr>
          <w:rFonts w:ascii="Verdana" w:hAnsi="Verdana" w:cstheme="majorHAnsi"/>
        </w:rPr>
        <w:lastRenderedPageBreak/>
        <w:t>diferentes sectores: 1) Transporte</w:t>
      </w:r>
      <w:r w:rsidR="00533084" w:rsidRPr="00574CF1">
        <w:rPr>
          <w:rStyle w:val="Refdenotaalpie"/>
          <w:rFonts w:ascii="Verdana" w:hAnsi="Verdana" w:cstheme="majorHAnsi"/>
        </w:rPr>
        <w:footnoteReference w:id="2"/>
      </w:r>
      <w:r w:rsidRPr="00574CF1">
        <w:rPr>
          <w:rFonts w:ascii="Verdana" w:hAnsi="Verdana" w:cstheme="majorHAnsi"/>
        </w:rPr>
        <w:t>, 2) Agua Potable y Saneamiento Básico</w:t>
      </w:r>
      <w:r w:rsidR="007D4303" w:rsidRPr="00574CF1">
        <w:rPr>
          <w:rStyle w:val="Refdenotaalpie"/>
          <w:rFonts w:ascii="Verdana" w:hAnsi="Verdana" w:cstheme="majorHAnsi"/>
        </w:rPr>
        <w:footnoteReference w:id="3"/>
      </w:r>
      <w:r w:rsidRPr="00574CF1">
        <w:rPr>
          <w:rFonts w:ascii="Verdana" w:hAnsi="Verdana" w:cstheme="majorHAnsi"/>
        </w:rPr>
        <w:t xml:space="preserve"> y 3) Sector Social (Educación, Salud y Cultura y Recreación y Deporte)</w:t>
      </w:r>
      <w:r w:rsidR="001F1B0B" w:rsidRPr="00574CF1">
        <w:rPr>
          <w:rStyle w:val="Refdenotaalpie"/>
          <w:rFonts w:ascii="Verdana" w:hAnsi="Verdana" w:cstheme="majorHAnsi"/>
        </w:rPr>
        <w:footnoteReference w:id="4"/>
      </w:r>
      <w:r w:rsidRPr="00574CF1">
        <w:rPr>
          <w:rFonts w:ascii="Verdana" w:hAnsi="Verdana" w:cstheme="majorHAnsi"/>
        </w:rPr>
        <w:t xml:space="preserve"> (…), cada uno de estos sectores considera una </w:t>
      </w:r>
      <w:r w:rsidR="001F1B0B" w:rsidRPr="00574CF1">
        <w:rPr>
          <w:rFonts w:ascii="Verdana" w:hAnsi="Verdana" w:cstheme="majorHAnsi"/>
        </w:rPr>
        <w:t>M</w:t>
      </w:r>
      <w:r w:rsidRPr="00574CF1">
        <w:rPr>
          <w:rFonts w:ascii="Verdana" w:hAnsi="Verdana" w:cstheme="majorHAnsi"/>
        </w:rPr>
        <w:t xml:space="preserve">atriz de Experiencia, sobre lo que la consulta no es clara en precisar al sector al que pertenece dicha matriz, sin embargo, la experiencia </w:t>
      </w:r>
      <w:r w:rsidR="001F1B0B" w:rsidRPr="00574CF1">
        <w:rPr>
          <w:rFonts w:ascii="Verdana" w:hAnsi="Verdana" w:cstheme="majorHAnsi"/>
        </w:rPr>
        <w:t xml:space="preserve">a la cual hace referencia, </w:t>
      </w:r>
      <w:r w:rsidRPr="00574CF1">
        <w:rPr>
          <w:rFonts w:ascii="Verdana" w:hAnsi="Verdana" w:cstheme="majorHAnsi"/>
        </w:rPr>
        <w:t xml:space="preserve">podría enmarcarse en la actividad “2.5 </w:t>
      </w:r>
      <w:r w:rsidRPr="00574CF1">
        <w:rPr>
          <w:rFonts w:ascii="Verdana" w:hAnsi="Verdana" w:cstheme="majorHAnsi"/>
          <w:i/>
          <w:iCs/>
        </w:rPr>
        <w:t>PROYECTOS DE SEÑALIZACIÓN (HORIZONTAL O VERTICAL) Y/O DEMARCACIÓN DE VÍAS TERCIARIAS</w:t>
      </w:r>
      <w:r w:rsidRPr="00574CF1">
        <w:rPr>
          <w:rFonts w:ascii="Verdana" w:hAnsi="Verdana" w:cstheme="majorHAnsi"/>
        </w:rPr>
        <w:t>” del sector Transporte que solicita la siguiente experiencia específica</w:t>
      </w:r>
      <w:r w:rsidR="00801E6D" w:rsidRPr="00574CF1">
        <w:rPr>
          <w:rFonts w:ascii="Verdana" w:hAnsi="Verdana" w:cstheme="majorHAnsi"/>
        </w:rPr>
        <w:t xml:space="preserve"> lo siguiente</w:t>
      </w:r>
      <w:r w:rsidRPr="00574CF1">
        <w:rPr>
          <w:rFonts w:ascii="Verdana" w:hAnsi="Verdana" w:cstheme="majorHAnsi"/>
        </w:rPr>
        <w:t>:</w:t>
      </w:r>
    </w:p>
    <w:p w14:paraId="6B107B9F" w14:textId="5CABE533" w:rsidR="00BB4698" w:rsidRPr="00574CF1" w:rsidRDefault="00BB4698" w:rsidP="00801E6D">
      <w:pPr>
        <w:ind w:left="708" w:right="1182"/>
        <w:jc w:val="both"/>
        <w:rPr>
          <w:rFonts w:ascii="Verdana" w:hAnsi="Verdana" w:cstheme="majorHAnsi"/>
          <w:i/>
          <w:iCs/>
        </w:rPr>
      </w:pPr>
      <w:r w:rsidRPr="00574CF1">
        <w:rPr>
          <w:rFonts w:ascii="Verdana" w:hAnsi="Verdana" w:cstheme="majorHAnsi"/>
          <w:sz w:val="20"/>
          <w:szCs w:val="20"/>
        </w:rPr>
        <w:t xml:space="preserve">“Por lo menos </w:t>
      </w:r>
      <w:r w:rsidRPr="00574CF1">
        <w:rPr>
          <w:rFonts w:ascii="Verdana" w:hAnsi="Verdana" w:cstheme="majorHAnsi"/>
          <w:i/>
          <w:iCs/>
          <w:sz w:val="20"/>
          <w:szCs w:val="20"/>
        </w:rPr>
        <w:t>uno (1) de los contratos válidos aportados como experiencia general debe acreditar en el componente de señalización o demarcación un valor igual o superior al 40% del Presupuesto de esta actividad o componente</w:t>
      </w:r>
      <w:r w:rsidRPr="00574CF1">
        <w:rPr>
          <w:rFonts w:ascii="Verdana" w:hAnsi="Verdana" w:cstheme="majorHAnsi"/>
          <w:i/>
          <w:iCs/>
        </w:rPr>
        <w:t>.”</w:t>
      </w:r>
      <w:r w:rsidR="00CD5E92" w:rsidRPr="00574CF1">
        <w:rPr>
          <w:rStyle w:val="Refdenotaalpie"/>
          <w:rFonts w:ascii="Verdana" w:hAnsi="Verdana" w:cstheme="majorHAnsi"/>
          <w:i/>
          <w:iCs/>
        </w:rPr>
        <w:footnoteReference w:id="5"/>
      </w:r>
    </w:p>
    <w:p w14:paraId="432E7BFB" w14:textId="1B2F28B8" w:rsidR="00DC2867" w:rsidRPr="00574CF1" w:rsidRDefault="009841E1" w:rsidP="006663E4">
      <w:pPr>
        <w:spacing w:after="0" w:line="240" w:lineRule="auto"/>
        <w:ind w:firstLine="705"/>
        <w:jc w:val="both"/>
        <w:textAlignment w:val="baseline"/>
        <w:rPr>
          <w:rFonts w:ascii="Verdana" w:eastAsia="Times New Roman" w:hAnsi="Verdana" w:cs="Arial"/>
          <w:lang w:eastAsia="es-CO"/>
        </w:rPr>
      </w:pPr>
      <w:r w:rsidRPr="00574CF1">
        <w:rPr>
          <w:rFonts w:ascii="Verdana" w:eastAsia="Times New Roman" w:hAnsi="Verdana" w:cs="Arial"/>
          <w:lang w:val="es-MX" w:eastAsia="es-CO"/>
        </w:rPr>
        <w:t>De acuerdo con</w:t>
      </w:r>
      <w:r w:rsidR="006663E4" w:rsidRPr="00574CF1">
        <w:rPr>
          <w:rFonts w:ascii="Verdana" w:eastAsia="Times New Roman" w:hAnsi="Verdana" w:cs="Arial"/>
          <w:lang w:val="es-MX" w:eastAsia="es-CO"/>
        </w:rPr>
        <w:t xml:space="preserve"> lo </w:t>
      </w:r>
      <w:r w:rsidR="007263B2" w:rsidRPr="00574CF1">
        <w:rPr>
          <w:rFonts w:ascii="Verdana" w:eastAsia="Times New Roman" w:hAnsi="Verdana" w:cs="Arial"/>
          <w:lang w:val="es-MX" w:eastAsia="es-CO"/>
        </w:rPr>
        <w:t xml:space="preserve">anterior precisión, se acude a </w:t>
      </w:r>
      <w:r w:rsidR="00DC2867" w:rsidRPr="00574CF1">
        <w:rPr>
          <w:rFonts w:ascii="Verdana" w:eastAsia="Times New Roman" w:hAnsi="Verdana" w:cs="Arial"/>
          <w:lang w:val="es-MX" w:eastAsia="es-CO"/>
        </w:rPr>
        <w:t xml:space="preserve">las condiciones fijadas en el «Documento Base» de la </w:t>
      </w:r>
      <w:r w:rsidR="00FD2BA7" w:rsidRPr="00574CF1">
        <w:rPr>
          <w:rFonts w:ascii="Verdana" w:eastAsia="Times New Roman" w:hAnsi="Verdana" w:cs="Arial"/>
          <w:lang w:val="es-MX" w:eastAsia="es-CO"/>
        </w:rPr>
        <w:t>Resolución 275 de 2022 - versión vigente a partir del 29/08/2022</w:t>
      </w:r>
      <w:r w:rsidR="00DC2867" w:rsidRPr="00574CF1">
        <w:rPr>
          <w:rFonts w:ascii="Verdana" w:eastAsia="Times New Roman" w:hAnsi="Verdana" w:cs="Arial"/>
          <w:lang w:val="es-MX" w:eastAsia="es-CO"/>
        </w:rPr>
        <w:t>, la acreditación del requisito habilitante de experiencia se aborda desde distintos criterios. En primer lugar, los contratos presentados por los proponentes deben corresponder a la actividad o actividades de experiencia general y específica que la entidad exija en el pliego de condiciones de acuerdo con los parámetros señalados en la Matriz 1. En segundo lugar, los proponentes deben acreditar el cumplimiento de las condiciones fijad</w:t>
      </w:r>
      <w:r w:rsidR="0053703B" w:rsidRPr="00574CF1">
        <w:rPr>
          <w:rFonts w:ascii="Verdana" w:eastAsia="Times New Roman" w:hAnsi="Verdana" w:cs="Arial"/>
          <w:lang w:val="es-MX" w:eastAsia="es-CO"/>
        </w:rPr>
        <w:t xml:space="preserve">as </w:t>
      </w:r>
      <w:r w:rsidR="007E08DE" w:rsidRPr="00574CF1">
        <w:rPr>
          <w:rFonts w:ascii="Verdana" w:eastAsia="Times New Roman" w:hAnsi="Verdana" w:cs="Arial"/>
          <w:lang w:val="es-MX" w:eastAsia="es-CO"/>
        </w:rPr>
        <w:t>de acuerdo con</w:t>
      </w:r>
      <w:r w:rsidR="0053703B" w:rsidRPr="00574CF1">
        <w:rPr>
          <w:rFonts w:ascii="Verdana" w:eastAsia="Times New Roman" w:hAnsi="Verdana" w:cs="Arial"/>
          <w:lang w:val="es-MX" w:eastAsia="es-CO"/>
        </w:rPr>
        <w:t xml:space="preserve"> las características de cada proponente</w:t>
      </w:r>
      <w:r w:rsidR="00DC2867" w:rsidRPr="00574CF1">
        <w:rPr>
          <w:rFonts w:ascii="Verdana" w:eastAsia="Times New Roman" w:hAnsi="Verdana" w:cs="Arial"/>
          <w:lang w:val="es-MX" w:eastAsia="es-CO"/>
        </w:rPr>
        <w:t xml:space="preserve">, que debieron terminar antes de la fecha de cierre del proceso de contratación. Por último, el número de contratos aportados por el proponente debe certificar un valor mínimo correspondiente a un porcentaje del presupuesto oficial del proceso de obra expresado en SMMLV, cuya verificación se hará de acuerdo </w:t>
      </w:r>
      <w:r w:rsidR="00115E89" w:rsidRPr="00574CF1">
        <w:rPr>
          <w:rFonts w:ascii="Verdana" w:eastAsia="Times New Roman" w:hAnsi="Verdana" w:cs="Arial"/>
          <w:lang w:val="es-MX" w:eastAsia="es-CO"/>
        </w:rPr>
        <w:t xml:space="preserve">con </w:t>
      </w:r>
      <w:r w:rsidR="00DC2867" w:rsidRPr="00574CF1">
        <w:rPr>
          <w:rFonts w:ascii="Verdana" w:eastAsia="Times New Roman" w:hAnsi="Verdana" w:cs="Arial"/>
          <w:lang w:val="es-MX" w:eastAsia="es-CO"/>
        </w:rPr>
        <w:t>la sumatoria de los valores totales ejecutados de los contratos que cumplan con los requisitos establecidos en el pliego de condiciones. </w:t>
      </w:r>
      <w:r w:rsidR="00DC2867" w:rsidRPr="00574CF1">
        <w:rPr>
          <w:rFonts w:ascii="Verdana" w:eastAsia="Times New Roman" w:hAnsi="Verdana" w:cs="Arial"/>
          <w:lang w:eastAsia="es-CO"/>
        </w:rPr>
        <w:t> </w:t>
      </w:r>
    </w:p>
    <w:p w14:paraId="33C1E1AF" w14:textId="77777777" w:rsidR="00FE2C6F" w:rsidRPr="00574CF1" w:rsidRDefault="00FE2C6F" w:rsidP="00DC2867">
      <w:pPr>
        <w:spacing w:after="0" w:line="240" w:lineRule="auto"/>
        <w:jc w:val="both"/>
        <w:textAlignment w:val="baseline"/>
        <w:rPr>
          <w:rFonts w:ascii="Verdana" w:eastAsia="Times New Roman" w:hAnsi="Verdana" w:cs="Segoe UI"/>
          <w:sz w:val="18"/>
          <w:szCs w:val="18"/>
          <w:lang w:eastAsia="es-CO"/>
        </w:rPr>
      </w:pPr>
    </w:p>
    <w:p w14:paraId="69571B3B" w14:textId="77777777" w:rsidR="00DC2867" w:rsidRPr="00574CF1" w:rsidRDefault="00DC2867" w:rsidP="00DC2867">
      <w:pPr>
        <w:spacing w:after="0" w:line="240" w:lineRule="auto"/>
        <w:ind w:firstLine="705"/>
        <w:jc w:val="both"/>
        <w:textAlignment w:val="baseline"/>
        <w:rPr>
          <w:rFonts w:ascii="Verdana" w:eastAsia="Times New Roman" w:hAnsi="Verdana" w:cs="Arial"/>
          <w:lang w:eastAsia="es-CO"/>
        </w:rPr>
      </w:pPr>
      <w:r w:rsidRPr="00574CF1">
        <w:rPr>
          <w:rFonts w:ascii="Verdana" w:eastAsia="Times New Roman" w:hAnsi="Verdana" w:cs="Arial"/>
          <w:lang w:val="es-MX" w:eastAsia="es-CO"/>
        </w:rPr>
        <w:t xml:space="preserve">Para fijar las condiciones que deben cumplir los contratos aportados, en términos de actividades ejecutadas, las entidades deberán emplear la Matriz 1, documento que estandariza las condiciones de experiencia general y/o experiencia específica que deben requerir las entidades estatales de acuerdo con: i) el tipo de </w:t>
      </w:r>
      <w:r w:rsidRPr="00574CF1">
        <w:rPr>
          <w:rFonts w:ascii="Verdana" w:eastAsia="Times New Roman" w:hAnsi="Verdana" w:cs="Arial"/>
          <w:lang w:val="es-MX" w:eastAsia="es-CO"/>
        </w:rPr>
        <w:lastRenderedPageBreak/>
        <w:t>obra de infraestructura de transporte, ii) la actividad a contratar y iii) la cuantía del proceso de contratación.</w:t>
      </w:r>
      <w:r w:rsidRPr="00574CF1">
        <w:rPr>
          <w:rFonts w:ascii="Verdana" w:eastAsia="Times New Roman" w:hAnsi="Verdana" w:cs="Arial"/>
          <w:lang w:eastAsia="es-CO"/>
        </w:rPr>
        <w:t> </w:t>
      </w:r>
    </w:p>
    <w:p w14:paraId="24E13EC2" w14:textId="77777777" w:rsidR="00FE2C6F" w:rsidRPr="00574CF1" w:rsidRDefault="00FE2C6F" w:rsidP="00DC2867">
      <w:pPr>
        <w:spacing w:after="0" w:line="240" w:lineRule="auto"/>
        <w:ind w:firstLine="705"/>
        <w:jc w:val="both"/>
        <w:textAlignment w:val="baseline"/>
        <w:rPr>
          <w:rFonts w:ascii="Verdana" w:eastAsia="Times New Roman" w:hAnsi="Verdana" w:cs="Segoe UI"/>
          <w:sz w:val="18"/>
          <w:szCs w:val="18"/>
          <w:lang w:eastAsia="es-CO"/>
        </w:rPr>
      </w:pPr>
    </w:p>
    <w:p w14:paraId="2A7CF279" w14:textId="77777777" w:rsidR="001F4913" w:rsidRPr="00574CF1" w:rsidRDefault="00DC2867" w:rsidP="00DC2867">
      <w:pPr>
        <w:spacing w:after="0" w:line="240" w:lineRule="auto"/>
        <w:ind w:firstLine="705"/>
        <w:jc w:val="both"/>
        <w:textAlignment w:val="baseline"/>
        <w:rPr>
          <w:rFonts w:ascii="Verdana" w:eastAsia="Times New Roman" w:hAnsi="Verdana" w:cs="Arial"/>
          <w:lang w:val="es-MX" w:eastAsia="es-CO"/>
        </w:rPr>
      </w:pPr>
      <w:r w:rsidRPr="00574CF1">
        <w:rPr>
          <w:rFonts w:ascii="Verdana" w:eastAsia="Times New Roman" w:hAnsi="Verdana" w:cs="Arial"/>
          <w:lang w:val="es-MX" w:eastAsia="es-CO"/>
        </w:rPr>
        <w:t xml:space="preserve">En relación con el primer aspecto, la Matriz 1 está constituida por ocho (8) tipos de obras de infraestructura de transporte, identificadas con un número y su descripción, los cuales son: 1) obras en vías primarias o secundarias, 2) obras en vías terciarias, 3) obras marítimas y fluviales, 4) obras en vías primarias o secundarias o terciarias para atención, prevención o mitigación de emergencias diferentes a contratación directa, 5) obras férreas, 6) obras de infraestructura vial urbana, 7) obras en puentes y 8) obras aeroportuarias. </w:t>
      </w:r>
    </w:p>
    <w:p w14:paraId="33E35DC7" w14:textId="77777777" w:rsidR="001F4913" w:rsidRPr="00574CF1" w:rsidRDefault="001F4913" w:rsidP="00DC2867">
      <w:pPr>
        <w:spacing w:after="0" w:line="240" w:lineRule="auto"/>
        <w:ind w:firstLine="705"/>
        <w:jc w:val="both"/>
        <w:textAlignment w:val="baseline"/>
        <w:rPr>
          <w:rFonts w:ascii="Verdana" w:eastAsia="Times New Roman" w:hAnsi="Verdana" w:cs="Arial"/>
          <w:lang w:val="es-MX" w:eastAsia="es-CO"/>
        </w:rPr>
      </w:pPr>
    </w:p>
    <w:p w14:paraId="4DBC9879" w14:textId="19A84E47" w:rsidR="00DC2867" w:rsidRPr="00574CF1" w:rsidRDefault="00DC2867" w:rsidP="00DC2867">
      <w:pPr>
        <w:spacing w:after="0" w:line="240" w:lineRule="auto"/>
        <w:ind w:firstLine="705"/>
        <w:jc w:val="both"/>
        <w:textAlignment w:val="baseline"/>
        <w:rPr>
          <w:rFonts w:ascii="Verdana" w:eastAsia="Times New Roman" w:hAnsi="Verdana" w:cs="Arial"/>
          <w:lang w:eastAsia="es-CO"/>
        </w:rPr>
      </w:pPr>
      <w:r w:rsidRPr="00574CF1">
        <w:rPr>
          <w:rFonts w:ascii="Verdana" w:eastAsia="Times New Roman" w:hAnsi="Verdana" w:cs="Arial"/>
          <w:lang w:val="es-MX" w:eastAsia="es-CO"/>
        </w:rPr>
        <w:t>Estas determinan el marco para la aplicación de los documentos tipo, dado que comprenden todas aquellas actividades que constituyen obra pública de infraestructura de transporte y que han sido objeto de estandarización para los procesos de licitación pública.</w:t>
      </w:r>
      <w:r w:rsidRPr="00574CF1">
        <w:rPr>
          <w:rFonts w:ascii="Verdana" w:eastAsia="Times New Roman" w:hAnsi="Verdana" w:cs="Arial"/>
          <w:lang w:eastAsia="es-CO"/>
        </w:rPr>
        <w:t> </w:t>
      </w:r>
    </w:p>
    <w:p w14:paraId="01A74835" w14:textId="77777777" w:rsidR="001F4913" w:rsidRPr="00574CF1" w:rsidRDefault="001F4913" w:rsidP="00DC2867">
      <w:pPr>
        <w:spacing w:after="0" w:line="240" w:lineRule="auto"/>
        <w:ind w:firstLine="705"/>
        <w:jc w:val="both"/>
        <w:textAlignment w:val="baseline"/>
        <w:rPr>
          <w:rFonts w:ascii="Verdana" w:eastAsia="Times New Roman" w:hAnsi="Verdana" w:cs="Segoe UI"/>
          <w:sz w:val="18"/>
          <w:szCs w:val="18"/>
          <w:lang w:eastAsia="es-CO"/>
        </w:rPr>
      </w:pPr>
    </w:p>
    <w:p w14:paraId="6A59B4AC" w14:textId="77777777" w:rsidR="00E67380" w:rsidRPr="00574CF1" w:rsidRDefault="001F4913" w:rsidP="00DC2867">
      <w:pPr>
        <w:spacing w:after="0" w:line="240" w:lineRule="auto"/>
        <w:ind w:firstLine="705"/>
        <w:jc w:val="both"/>
        <w:textAlignment w:val="baseline"/>
        <w:rPr>
          <w:rFonts w:ascii="Verdana" w:eastAsia="Times New Roman" w:hAnsi="Verdana" w:cs="Arial"/>
          <w:lang w:val="es-MX" w:eastAsia="es-CO"/>
        </w:rPr>
      </w:pPr>
      <w:r w:rsidRPr="00574CF1">
        <w:rPr>
          <w:rFonts w:ascii="Verdana" w:eastAsia="Times New Roman" w:hAnsi="Verdana" w:cs="Arial"/>
          <w:lang w:val="es-MX" w:eastAsia="es-CO"/>
        </w:rPr>
        <w:t>Ahora bien</w:t>
      </w:r>
      <w:r w:rsidR="00DC2867" w:rsidRPr="00574CF1">
        <w:rPr>
          <w:rFonts w:ascii="Verdana" w:eastAsia="Times New Roman" w:hAnsi="Verdana" w:cs="Arial"/>
          <w:lang w:val="es-MX" w:eastAsia="es-CO"/>
        </w:rPr>
        <w:t>, el documento establece los rangos dentro de los cuales se debe identificar el presupuesto del proceso de contratación. Estos abarcan las cuantías mínimas y máximas que son frecuentes en los procesos de contratación de obra pública de infraestructura de transporte, y son resultado de las exigencias señaladas en el inciso 3 del parágrafo 7 del artículo 2 de la Ley 1150 de 2007 –modificado por el artículo 1 de la Ley 2022 de 2020, conforme al cual las condiciones habilitantes fijadas en los documentos tipo deben tener en cuenta la cuantía, la naturaleza y especialidad de la contratación. </w:t>
      </w:r>
    </w:p>
    <w:p w14:paraId="3E9A8C85" w14:textId="4F96E19A" w:rsidR="00DC2867" w:rsidRPr="00574CF1" w:rsidRDefault="00DC2867" w:rsidP="00DC2867">
      <w:pPr>
        <w:spacing w:after="0" w:line="240" w:lineRule="auto"/>
        <w:ind w:firstLine="705"/>
        <w:jc w:val="both"/>
        <w:textAlignment w:val="baseline"/>
        <w:rPr>
          <w:rFonts w:ascii="Verdana" w:eastAsia="Times New Roman" w:hAnsi="Verdana" w:cs="Segoe UI"/>
          <w:sz w:val="18"/>
          <w:szCs w:val="18"/>
          <w:lang w:eastAsia="es-CO"/>
        </w:rPr>
      </w:pPr>
      <w:r w:rsidRPr="00574CF1">
        <w:rPr>
          <w:rFonts w:ascii="Verdana" w:eastAsia="Times New Roman" w:hAnsi="Verdana" w:cs="Arial"/>
          <w:lang w:eastAsia="es-CO"/>
        </w:rPr>
        <w:t> </w:t>
      </w:r>
    </w:p>
    <w:p w14:paraId="4A0D9E76" w14:textId="7543C3AF" w:rsidR="00DC2867" w:rsidRPr="00574CF1" w:rsidRDefault="00DC2867" w:rsidP="00DC2867">
      <w:pPr>
        <w:spacing w:after="0" w:line="240" w:lineRule="auto"/>
        <w:ind w:firstLine="705"/>
        <w:jc w:val="both"/>
        <w:textAlignment w:val="baseline"/>
        <w:rPr>
          <w:rFonts w:ascii="Verdana" w:eastAsia="Times New Roman" w:hAnsi="Verdana" w:cs="Arial"/>
          <w:lang w:eastAsia="es-CO"/>
        </w:rPr>
      </w:pPr>
      <w:r w:rsidRPr="00574CF1">
        <w:rPr>
          <w:rFonts w:ascii="Verdana" w:eastAsia="Times New Roman" w:hAnsi="Verdana" w:cs="Arial"/>
          <w:lang w:val="es-MX" w:eastAsia="es-CO"/>
        </w:rPr>
        <w:t>Estos tres factores determinan el requisito de experiencia establecido en los documentos desarrollados por la Agencia Nacional de Contratación Pública – Colombia Compra Eficiente, e incluido</w:t>
      </w:r>
      <w:r w:rsidR="00E67380" w:rsidRPr="00574CF1">
        <w:rPr>
          <w:rFonts w:ascii="Verdana" w:eastAsia="Times New Roman" w:hAnsi="Verdana" w:cs="Arial"/>
          <w:lang w:val="es-MX" w:eastAsia="es-CO"/>
        </w:rPr>
        <w:t>s</w:t>
      </w:r>
      <w:r w:rsidRPr="00574CF1">
        <w:rPr>
          <w:rFonts w:ascii="Verdana" w:eastAsia="Times New Roman" w:hAnsi="Verdana" w:cs="Arial"/>
          <w:lang w:val="es-MX" w:eastAsia="es-CO"/>
        </w:rPr>
        <w:t xml:space="preserve"> en la Matriz 1, que </w:t>
      </w:r>
      <w:r w:rsidR="00E67380" w:rsidRPr="00574CF1">
        <w:rPr>
          <w:rFonts w:ascii="Verdana" w:eastAsia="Times New Roman" w:hAnsi="Verdana" w:cs="Arial"/>
          <w:lang w:val="es-MX" w:eastAsia="es-CO"/>
        </w:rPr>
        <w:t>son el</w:t>
      </w:r>
      <w:r w:rsidRPr="00574CF1">
        <w:rPr>
          <w:rFonts w:ascii="Verdana" w:eastAsia="Times New Roman" w:hAnsi="Verdana" w:cs="Arial"/>
          <w:lang w:val="es-MX" w:eastAsia="es-CO"/>
        </w:rPr>
        <w:t xml:space="preserve"> resultado del mandato en la Ley 2022 de 2020, por lo que son de obligatorio cumplimiento. Igualmente, se encuentran sometidos a la regulación </w:t>
      </w:r>
      <w:r w:rsidR="00ED05A9" w:rsidRPr="00574CF1">
        <w:rPr>
          <w:rFonts w:ascii="Verdana" w:eastAsia="Times New Roman" w:hAnsi="Verdana" w:cs="Arial"/>
          <w:lang w:val="es-MX" w:eastAsia="es-CO"/>
        </w:rPr>
        <w:t xml:space="preserve">vigente </w:t>
      </w:r>
      <w:r w:rsidRPr="00574CF1">
        <w:rPr>
          <w:rFonts w:ascii="Verdana" w:eastAsia="Times New Roman" w:hAnsi="Verdana" w:cs="Arial"/>
          <w:lang w:val="es-MX" w:eastAsia="es-CO"/>
        </w:rPr>
        <w:t>y, por tanto, la regla general es que no pueden ser alterados, modificados o adicionados en su contenido. </w:t>
      </w:r>
      <w:r w:rsidRPr="00574CF1">
        <w:rPr>
          <w:rFonts w:ascii="Verdana" w:eastAsia="Times New Roman" w:hAnsi="Verdana" w:cs="Arial"/>
          <w:lang w:eastAsia="es-CO"/>
        </w:rPr>
        <w:t> </w:t>
      </w:r>
    </w:p>
    <w:p w14:paraId="5F793F35" w14:textId="77777777" w:rsidR="007F000B" w:rsidRPr="00574CF1" w:rsidRDefault="007F000B" w:rsidP="00DC2867">
      <w:pPr>
        <w:spacing w:after="0" w:line="240" w:lineRule="auto"/>
        <w:ind w:firstLine="705"/>
        <w:jc w:val="both"/>
        <w:textAlignment w:val="baseline"/>
        <w:rPr>
          <w:rFonts w:ascii="Verdana" w:eastAsia="Times New Roman" w:hAnsi="Verdana" w:cs="Segoe UI"/>
          <w:sz w:val="18"/>
          <w:szCs w:val="18"/>
          <w:lang w:eastAsia="es-CO"/>
        </w:rPr>
      </w:pPr>
    </w:p>
    <w:p w14:paraId="0784EE09" w14:textId="07452B21" w:rsidR="00DC2867" w:rsidRPr="00574CF1" w:rsidRDefault="00DC2867" w:rsidP="00DC2867">
      <w:pPr>
        <w:spacing w:after="0" w:line="240" w:lineRule="auto"/>
        <w:ind w:firstLine="705"/>
        <w:jc w:val="both"/>
        <w:textAlignment w:val="baseline"/>
        <w:rPr>
          <w:rFonts w:ascii="Verdana" w:eastAsia="Times New Roman" w:hAnsi="Verdana" w:cs="Arial"/>
          <w:lang w:eastAsia="es-CO"/>
        </w:rPr>
      </w:pPr>
      <w:r w:rsidRPr="00574CF1">
        <w:rPr>
          <w:rFonts w:ascii="Verdana" w:eastAsia="Times New Roman" w:hAnsi="Verdana" w:cs="Arial"/>
          <w:lang w:val="es-MX" w:eastAsia="es-CO"/>
        </w:rPr>
        <w:t xml:space="preserve">Ahora bien, el </w:t>
      </w:r>
      <w:r w:rsidR="00406073" w:rsidRPr="00574CF1">
        <w:rPr>
          <w:rFonts w:ascii="Verdana" w:eastAsia="Times New Roman" w:hAnsi="Verdana" w:cs="Arial"/>
          <w:lang w:val="es-MX" w:eastAsia="es-CO"/>
        </w:rPr>
        <w:t>“</w:t>
      </w:r>
      <w:r w:rsidR="00837476" w:rsidRPr="00574CF1">
        <w:rPr>
          <w:rFonts w:ascii="Verdana" w:eastAsia="Times New Roman" w:hAnsi="Verdana" w:cs="Arial"/>
          <w:lang w:val="es-MX" w:eastAsia="es-CO"/>
        </w:rPr>
        <w:t>D</w:t>
      </w:r>
      <w:r w:rsidRPr="00574CF1">
        <w:rPr>
          <w:rFonts w:ascii="Verdana" w:eastAsia="Times New Roman" w:hAnsi="Verdana" w:cs="Arial"/>
          <w:lang w:val="es-MX" w:eastAsia="es-CO"/>
        </w:rPr>
        <w:t>ocumento base</w:t>
      </w:r>
      <w:r w:rsidR="00406073" w:rsidRPr="00574CF1">
        <w:rPr>
          <w:rFonts w:ascii="Verdana" w:eastAsia="Times New Roman" w:hAnsi="Verdana" w:cs="Arial"/>
          <w:lang w:val="es-MX" w:eastAsia="es-CO"/>
        </w:rPr>
        <w:t>”</w:t>
      </w:r>
      <w:r w:rsidRPr="00574CF1">
        <w:rPr>
          <w:rFonts w:ascii="Verdana" w:eastAsia="Times New Roman" w:hAnsi="Verdana" w:cs="Arial"/>
          <w:lang w:val="es-MX" w:eastAsia="es-CO"/>
        </w:rPr>
        <w:t xml:space="preserve"> o pliego tipo adoptado </w:t>
      </w:r>
      <w:r w:rsidR="005A3313" w:rsidRPr="00574CF1">
        <w:rPr>
          <w:rFonts w:ascii="Verdana" w:eastAsia="Times New Roman" w:hAnsi="Verdana" w:cs="Arial"/>
          <w:lang w:val="es-MX" w:eastAsia="es-CO"/>
        </w:rPr>
        <w:t>estableció</w:t>
      </w:r>
      <w:r w:rsidRPr="00574CF1">
        <w:rPr>
          <w:rFonts w:ascii="Verdana" w:eastAsia="Times New Roman" w:hAnsi="Verdana" w:cs="Arial"/>
          <w:lang w:val="es-MX" w:eastAsia="es-CO"/>
        </w:rPr>
        <w:t xml:space="preserve"> el numeral </w:t>
      </w:r>
      <w:r w:rsidR="00677801" w:rsidRPr="00574CF1">
        <w:rPr>
          <w:rFonts w:ascii="Verdana" w:eastAsia="Times New Roman" w:hAnsi="Verdana" w:cs="Arial"/>
          <w:lang w:val="es-MX" w:eastAsia="es-CO"/>
        </w:rPr>
        <w:t>“</w:t>
      </w:r>
      <w:r w:rsidRPr="00574CF1">
        <w:rPr>
          <w:rFonts w:ascii="Verdana" w:eastAsia="Times New Roman" w:hAnsi="Verdana" w:cs="Arial"/>
          <w:lang w:val="es-MX" w:eastAsia="es-CO"/>
        </w:rPr>
        <w:t>3.5.1 Determinación de los requisitos mínimos de experiencia según la Matriz 1 – Experiencia</w:t>
      </w:r>
      <w:r w:rsidR="00E51DFF" w:rsidRPr="00574CF1">
        <w:rPr>
          <w:rFonts w:ascii="Verdana" w:eastAsia="Times New Roman" w:hAnsi="Verdana" w:cs="Arial"/>
          <w:lang w:val="es-MX" w:eastAsia="es-CO"/>
        </w:rPr>
        <w:t>”</w:t>
      </w:r>
      <w:r w:rsidRPr="00574CF1">
        <w:rPr>
          <w:rFonts w:ascii="Verdana" w:eastAsia="Times New Roman" w:hAnsi="Verdana" w:cs="Arial"/>
          <w:lang w:val="es-MX" w:eastAsia="es-CO"/>
        </w:rPr>
        <w:t>, en el cual la entidad debe justificar</w:t>
      </w:r>
      <w:r w:rsidR="00E51DFF" w:rsidRPr="00574CF1">
        <w:rPr>
          <w:rFonts w:ascii="Verdana" w:eastAsia="Times New Roman" w:hAnsi="Verdana" w:cs="Arial"/>
          <w:lang w:val="es-MX" w:eastAsia="es-CO"/>
        </w:rPr>
        <w:t xml:space="preserve"> </w:t>
      </w:r>
      <w:r w:rsidRPr="00574CF1">
        <w:rPr>
          <w:rFonts w:ascii="Verdana" w:eastAsia="Times New Roman" w:hAnsi="Verdana" w:cs="Arial"/>
          <w:lang w:val="es-MX" w:eastAsia="es-CO"/>
        </w:rPr>
        <w:t xml:space="preserve">la complejidad del proyecto, determinando si es de baja, media o alta complejidad, y en función de ello implementar alguna de las variantes de la </w:t>
      </w:r>
      <w:r w:rsidR="0020514C" w:rsidRPr="00574CF1">
        <w:rPr>
          <w:rFonts w:ascii="Verdana" w:eastAsia="Times New Roman" w:hAnsi="Verdana" w:cs="Arial"/>
          <w:lang w:val="es-MX" w:eastAsia="es-CO"/>
        </w:rPr>
        <w:t>“</w:t>
      </w:r>
      <w:r w:rsidRPr="00574CF1">
        <w:rPr>
          <w:rFonts w:ascii="Verdana" w:eastAsia="Times New Roman" w:hAnsi="Verdana" w:cs="Arial"/>
          <w:lang w:val="es-MX" w:eastAsia="es-CO"/>
        </w:rPr>
        <w:t>Matriz 1 – Experiencia</w:t>
      </w:r>
      <w:r w:rsidR="0020514C" w:rsidRPr="00574CF1">
        <w:rPr>
          <w:rFonts w:ascii="Verdana" w:eastAsia="Times New Roman" w:hAnsi="Verdana" w:cs="Arial"/>
          <w:lang w:val="es-MX" w:eastAsia="es-CO"/>
        </w:rPr>
        <w:t>”</w:t>
      </w:r>
      <w:r w:rsidRPr="00574CF1">
        <w:rPr>
          <w:rFonts w:ascii="Verdana" w:eastAsia="Times New Roman" w:hAnsi="Verdana" w:cs="Arial"/>
          <w:lang w:val="es-MX" w:eastAsia="es-CO"/>
        </w:rPr>
        <w:t xml:space="preserve">, ya sea la de proyectos de baja–media, o la elaborada para proyectos de alta complejidad técnica. En otras palabras, a partir de la actualización de los </w:t>
      </w:r>
      <w:r w:rsidR="00601CD1" w:rsidRPr="00574CF1">
        <w:rPr>
          <w:rFonts w:ascii="Verdana" w:eastAsia="Times New Roman" w:hAnsi="Verdana" w:cs="Arial"/>
          <w:lang w:val="es-MX" w:eastAsia="es-CO"/>
        </w:rPr>
        <w:t>“</w:t>
      </w:r>
      <w:r w:rsidRPr="00574CF1">
        <w:rPr>
          <w:rFonts w:ascii="Verdana" w:eastAsia="Times New Roman" w:hAnsi="Verdana" w:cs="Arial"/>
          <w:lang w:val="es-MX" w:eastAsia="es-CO"/>
        </w:rPr>
        <w:t>Documentos Tipo – Versión 3</w:t>
      </w:r>
      <w:r w:rsidR="00601CD1" w:rsidRPr="00574CF1">
        <w:rPr>
          <w:rFonts w:ascii="Verdana" w:eastAsia="Times New Roman" w:hAnsi="Verdana" w:cs="Arial"/>
          <w:lang w:val="es-MX" w:eastAsia="es-CO"/>
        </w:rPr>
        <w:t xml:space="preserve">”, que se encuentra vigente a la fecha, de </w:t>
      </w:r>
      <w:r w:rsidRPr="00574CF1">
        <w:rPr>
          <w:rFonts w:ascii="Verdana" w:eastAsia="Times New Roman" w:hAnsi="Verdana" w:cs="Arial"/>
          <w:lang w:val="es-MX" w:eastAsia="es-CO"/>
        </w:rPr>
        <w:t>licitación de obra pública de infraestructura de transporte se crean dos Matrices de experiencia: i) para proyectos de baja</w:t>
      </w:r>
      <w:r w:rsidR="007F2FC3" w:rsidRPr="00574CF1">
        <w:rPr>
          <w:rFonts w:ascii="Verdana" w:eastAsia="Times New Roman" w:hAnsi="Verdana" w:cs="Arial"/>
          <w:lang w:val="es-MX" w:eastAsia="es-CO"/>
        </w:rPr>
        <w:t>-</w:t>
      </w:r>
      <w:r w:rsidRPr="00574CF1">
        <w:rPr>
          <w:rFonts w:ascii="Verdana" w:eastAsia="Times New Roman" w:hAnsi="Verdana" w:cs="Arial"/>
          <w:lang w:val="es-MX" w:eastAsia="es-CO"/>
        </w:rPr>
        <w:t>media complejidad y ii) para proyectos de alta complejidad.</w:t>
      </w:r>
      <w:r w:rsidRPr="00574CF1">
        <w:rPr>
          <w:rFonts w:ascii="Verdana" w:eastAsia="Times New Roman" w:hAnsi="Verdana" w:cs="Arial"/>
          <w:lang w:eastAsia="es-CO"/>
        </w:rPr>
        <w:t> </w:t>
      </w:r>
    </w:p>
    <w:p w14:paraId="54C6D7EA" w14:textId="77777777" w:rsidR="000F1DAC" w:rsidRPr="00574CF1" w:rsidRDefault="000F1DAC" w:rsidP="00DC2867">
      <w:pPr>
        <w:spacing w:after="0" w:line="240" w:lineRule="auto"/>
        <w:ind w:firstLine="705"/>
        <w:jc w:val="both"/>
        <w:textAlignment w:val="baseline"/>
        <w:rPr>
          <w:rFonts w:ascii="Verdana" w:eastAsia="Times New Roman" w:hAnsi="Verdana" w:cs="Segoe UI"/>
          <w:sz w:val="18"/>
          <w:szCs w:val="18"/>
          <w:lang w:eastAsia="es-CO"/>
        </w:rPr>
      </w:pPr>
    </w:p>
    <w:p w14:paraId="5A04ABCF" w14:textId="77777777" w:rsidR="00FC2A71" w:rsidRPr="00574CF1" w:rsidRDefault="003A5A94" w:rsidP="00DC2867">
      <w:pPr>
        <w:spacing w:after="0" w:line="240" w:lineRule="auto"/>
        <w:ind w:right="45" w:firstLine="705"/>
        <w:jc w:val="both"/>
        <w:textAlignment w:val="baseline"/>
        <w:rPr>
          <w:rFonts w:ascii="Verdana" w:eastAsia="Times New Roman" w:hAnsi="Verdana" w:cs="Arial"/>
          <w:lang w:val="es-MX" w:eastAsia="es-CO"/>
        </w:rPr>
      </w:pPr>
      <w:r w:rsidRPr="00574CF1">
        <w:rPr>
          <w:rFonts w:ascii="Verdana" w:eastAsia="Times New Roman" w:hAnsi="Verdana" w:cs="Arial"/>
          <w:lang w:val="es-MX" w:eastAsia="es-CO"/>
        </w:rPr>
        <w:lastRenderedPageBreak/>
        <w:t xml:space="preserve">Teniendo en cuenta la </w:t>
      </w:r>
      <w:r w:rsidR="00957F6B" w:rsidRPr="00574CF1">
        <w:rPr>
          <w:rFonts w:ascii="Verdana" w:eastAsia="Times New Roman" w:hAnsi="Verdana" w:cs="Arial"/>
          <w:lang w:val="es-MX" w:eastAsia="es-CO"/>
        </w:rPr>
        <w:t>complejidad, la entidad</w:t>
      </w:r>
      <w:r w:rsidR="00DC2867" w:rsidRPr="00574CF1">
        <w:rPr>
          <w:rFonts w:ascii="Verdana" w:eastAsia="Times New Roman" w:hAnsi="Verdana" w:cs="Arial"/>
          <w:lang w:val="es-MX" w:eastAsia="es-CO"/>
        </w:rPr>
        <w:t xml:space="preserve"> debe determinar y justificar si el proyecto es de baja</w:t>
      </w:r>
      <w:r w:rsidR="00C222D0" w:rsidRPr="00574CF1">
        <w:rPr>
          <w:rFonts w:ascii="Verdana" w:eastAsia="Times New Roman" w:hAnsi="Verdana" w:cs="Arial"/>
          <w:lang w:val="es-MX" w:eastAsia="es-CO"/>
        </w:rPr>
        <w:t>-media</w:t>
      </w:r>
      <w:r w:rsidR="00DC2867" w:rsidRPr="00574CF1">
        <w:rPr>
          <w:rFonts w:ascii="Verdana" w:eastAsia="Times New Roman" w:hAnsi="Verdana" w:cs="Arial"/>
          <w:lang w:val="es-MX" w:eastAsia="es-CO"/>
        </w:rPr>
        <w:t xml:space="preserve"> o alta complejidad y en función de ello aplicar la matriz correspondiente. En ese orden, la entidad deberá establecer si aplica la </w:t>
      </w:r>
      <w:r w:rsidR="00572785" w:rsidRPr="00574CF1">
        <w:rPr>
          <w:rFonts w:ascii="Verdana" w:eastAsia="Times New Roman" w:hAnsi="Verdana" w:cs="Arial"/>
          <w:lang w:val="es-MX" w:eastAsia="es-CO"/>
        </w:rPr>
        <w:t>M</w:t>
      </w:r>
      <w:r w:rsidR="00DC2867" w:rsidRPr="00574CF1">
        <w:rPr>
          <w:rFonts w:ascii="Verdana" w:eastAsia="Times New Roman" w:hAnsi="Verdana" w:cs="Arial"/>
          <w:lang w:val="es-MX" w:eastAsia="es-CO"/>
        </w:rPr>
        <w:t xml:space="preserve">atriz 1 de proyectos de </w:t>
      </w:r>
      <w:r w:rsidR="00572785" w:rsidRPr="00574CF1">
        <w:rPr>
          <w:rFonts w:ascii="Verdana" w:eastAsia="Times New Roman" w:hAnsi="Verdana" w:cs="Arial"/>
          <w:lang w:val="es-MX" w:eastAsia="es-CO"/>
        </w:rPr>
        <w:t>b</w:t>
      </w:r>
      <w:r w:rsidR="00DC2867" w:rsidRPr="00574CF1">
        <w:rPr>
          <w:rFonts w:ascii="Verdana" w:eastAsia="Times New Roman" w:hAnsi="Verdana" w:cs="Arial"/>
          <w:lang w:val="es-MX" w:eastAsia="es-CO"/>
        </w:rPr>
        <w:t>aja</w:t>
      </w:r>
      <w:r w:rsidR="00572785" w:rsidRPr="00574CF1">
        <w:rPr>
          <w:rFonts w:ascii="Verdana" w:eastAsia="Times New Roman" w:hAnsi="Verdana" w:cs="Arial"/>
          <w:lang w:val="es-MX" w:eastAsia="es-CO"/>
        </w:rPr>
        <w:t>-media</w:t>
      </w:r>
      <w:r w:rsidR="00DC2867" w:rsidRPr="00574CF1">
        <w:rPr>
          <w:rFonts w:ascii="Verdana" w:eastAsia="Times New Roman" w:hAnsi="Verdana" w:cs="Arial"/>
          <w:lang w:val="es-MX" w:eastAsia="es-CO"/>
        </w:rPr>
        <w:t xml:space="preserve"> </w:t>
      </w:r>
      <w:r w:rsidR="00FC2A71" w:rsidRPr="00574CF1">
        <w:rPr>
          <w:rFonts w:ascii="Verdana" w:eastAsia="Times New Roman" w:hAnsi="Verdana" w:cs="Arial"/>
          <w:lang w:val="es-MX" w:eastAsia="es-CO"/>
        </w:rPr>
        <w:t xml:space="preserve">complejidad </w:t>
      </w:r>
      <w:r w:rsidR="00DC2867" w:rsidRPr="00574CF1">
        <w:rPr>
          <w:rFonts w:ascii="Verdana" w:eastAsia="Times New Roman" w:hAnsi="Verdana" w:cs="Arial"/>
          <w:lang w:val="es-MX" w:eastAsia="es-CO"/>
        </w:rPr>
        <w:t xml:space="preserve">o la de proyectos de </w:t>
      </w:r>
      <w:r w:rsidR="001B1D59" w:rsidRPr="00574CF1">
        <w:rPr>
          <w:rFonts w:ascii="Verdana" w:eastAsia="Times New Roman" w:hAnsi="Verdana" w:cs="Arial"/>
          <w:lang w:val="es-MX" w:eastAsia="es-CO"/>
        </w:rPr>
        <w:t>alta</w:t>
      </w:r>
      <w:r w:rsidR="00FC2A71" w:rsidRPr="00574CF1">
        <w:rPr>
          <w:rFonts w:ascii="Verdana" w:eastAsia="Times New Roman" w:hAnsi="Verdana" w:cs="Arial"/>
          <w:lang w:val="es-MX" w:eastAsia="es-CO"/>
        </w:rPr>
        <w:t xml:space="preserve"> </w:t>
      </w:r>
      <w:r w:rsidR="00DC2867" w:rsidRPr="00574CF1">
        <w:rPr>
          <w:rFonts w:ascii="Verdana" w:eastAsia="Times New Roman" w:hAnsi="Verdana" w:cs="Arial"/>
          <w:lang w:val="es-MX" w:eastAsia="es-CO"/>
        </w:rPr>
        <w:t>complejidad, para luego subsumir el objeto contractual en alguno de los tipos de obra y actividades incluidos en la matriz, estableciendo los requisitos de experiencia exigibles según la cantidad de SMMLV del presupuesto oficial del respectivo proceso de contratación. </w:t>
      </w:r>
    </w:p>
    <w:p w14:paraId="11AC8898" w14:textId="47EFEA84" w:rsidR="00DC2867" w:rsidRPr="00574CF1" w:rsidRDefault="00DC2867" w:rsidP="00DC2867">
      <w:pPr>
        <w:spacing w:after="0" w:line="240" w:lineRule="auto"/>
        <w:ind w:right="45" w:firstLine="705"/>
        <w:jc w:val="both"/>
        <w:textAlignment w:val="baseline"/>
        <w:rPr>
          <w:rFonts w:ascii="Verdana" w:eastAsia="Times New Roman" w:hAnsi="Verdana" w:cs="Segoe UI"/>
          <w:sz w:val="18"/>
          <w:szCs w:val="18"/>
          <w:lang w:eastAsia="es-CO"/>
        </w:rPr>
      </w:pPr>
      <w:r w:rsidRPr="00574CF1">
        <w:rPr>
          <w:rFonts w:ascii="Verdana" w:eastAsia="Times New Roman" w:hAnsi="Verdana" w:cs="Arial"/>
          <w:lang w:eastAsia="es-CO"/>
        </w:rPr>
        <w:t> </w:t>
      </w:r>
    </w:p>
    <w:p w14:paraId="2300E0F9" w14:textId="77777777" w:rsidR="00DC2867" w:rsidRPr="00574CF1" w:rsidRDefault="00DC2867" w:rsidP="00DC2867">
      <w:pPr>
        <w:spacing w:after="0" w:line="240" w:lineRule="auto"/>
        <w:ind w:firstLine="705"/>
        <w:jc w:val="both"/>
        <w:textAlignment w:val="baseline"/>
        <w:rPr>
          <w:rFonts w:ascii="Verdana" w:eastAsia="Times New Roman" w:hAnsi="Verdana" w:cs="Arial"/>
          <w:lang w:eastAsia="es-CO"/>
        </w:rPr>
      </w:pPr>
      <w:r w:rsidRPr="00574CF1">
        <w:rPr>
          <w:rFonts w:ascii="Verdana" w:eastAsia="Times New Roman" w:hAnsi="Verdana" w:cs="Arial"/>
          <w:lang w:val="es-MX" w:eastAsia="es-CO"/>
        </w:rPr>
        <w:t>De esta manera, la entidad estatal que adelanta un proceso de contratación de licitación de obra pública de infraestructura de transporte debe definir la experiencia exigible teniendo en cuenta las condiciones fijadas en la Matriz 1, de acuerdo con los siguientes pasos:</w:t>
      </w:r>
      <w:r w:rsidRPr="00574CF1">
        <w:rPr>
          <w:rFonts w:ascii="Verdana" w:eastAsia="Times New Roman" w:hAnsi="Verdana" w:cs="Arial"/>
          <w:lang w:eastAsia="es-CO"/>
        </w:rPr>
        <w:t> </w:t>
      </w:r>
    </w:p>
    <w:p w14:paraId="33494890" w14:textId="77777777" w:rsidR="00FC2A71" w:rsidRPr="00574CF1" w:rsidRDefault="00FC2A71" w:rsidP="00DC2867">
      <w:pPr>
        <w:spacing w:after="0" w:line="240" w:lineRule="auto"/>
        <w:ind w:firstLine="705"/>
        <w:jc w:val="both"/>
        <w:textAlignment w:val="baseline"/>
        <w:rPr>
          <w:rFonts w:ascii="Verdana" w:eastAsia="Times New Roman" w:hAnsi="Verdana" w:cs="Segoe UI"/>
          <w:sz w:val="18"/>
          <w:szCs w:val="18"/>
          <w:lang w:eastAsia="es-CO"/>
        </w:rPr>
      </w:pPr>
    </w:p>
    <w:p w14:paraId="73C37B4F" w14:textId="77777777" w:rsidR="00DC2867" w:rsidRPr="00574CF1" w:rsidRDefault="00DC2867" w:rsidP="00DC2867">
      <w:pPr>
        <w:spacing w:after="0" w:line="240" w:lineRule="auto"/>
        <w:ind w:firstLine="705"/>
        <w:jc w:val="both"/>
        <w:textAlignment w:val="baseline"/>
        <w:rPr>
          <w:rFonts w:ascii="Verdana" w:eastAsia="Times New Roman" w:hAnsi="Verdana" w:cs="Segoe UI"/>
          <w:sz w:val="18"/>
          <w:szCs w:val="18"/>
          <w:lang w:eastAsia="es-CO"/>
        </w:rPr>
      </w:pPr>
      <w:r w:rsidRPr="00574CF1">
        <w:rPr>
          <w:rFonts w:ascii="Verdana" w:eastAsia="Times New Roman" w:hAnsi="Verdana" w:cs="Arial"/>
          <w:lang w:val="es-MX" w:eastAsia="es-CO"/>
        </w:rPr>
        <w:t>a) Establecer si se trata de un proyecto de complejidad baja-media o alta, y en función de ello establecer la Matriz 1 aplicable.</w:t>
      </w:r>
      <w:r w:rsidRPr="00574CF1">
        <w:rPr>
          <w:rFonts w:ascii="Verdana" w:eastAsia="Times New Roman" w:hAnsi="Verdana" w:cs="Arial"/>
          <w:lang w:eastAsia="es-CO"/>
        </w:rPr>
        <w:t> </w:t>
      </w:r>
    </w:p>
    <w:p w14:paraId="2D5E7126" w14:textId="38114D26" w:rsidR="00DC2867" w:rsidRPr="00574CF1" w:rsidRDefault="00DC2867" w:rsidP="00DC2867">
      <w:pPr>
        <w:spacing w:after="0" w:line="240" w:lineRule="auto"/>
        <w:ind w:firstLine="705"/>
        <w:jc w:val="both"/>
        <w:textAlignment w:val="baseline"/>
        <w:rPr>
          <w:rFonts w:ascii="Verdana" w:eastAsia="Times New Roman" w:hAnsi="Verdana" w:cs="Segoe UI"/>
          <w:sz w:val="18"/>
          <w:szCs w:val="18"/>
          <w:lang w:eastAsia="es-CO"/>
        </w:rPr>
      </w:pPr>
      <w:r w:rsidRPr="00574CF1">
        <w:rPr>
          <w:rFonts w:ascii="Verdana" w:eastAsia="Times New Roman" w:hAnsi="Verdana" w:cs="Arial"/>
          <w:lang w:val="es-MX" w:eastAsia="es-CO"/>
        </w:rPr>
        <w:t> b) Identificada la respectiva Matriz 1, la entidad deberá determinar el tipo de infraestructura sobre el cual recae la obra a ejecutar. Al respecto esta matriz contiene ocho (8) secciones</w:t>
      </w:r>
      <w:r w:rsidR="00627508" w:rsidRPr="00574CF1">
        <w:rPr>
          <w:rFonts w:ascii="Verdana" w:eastAsia="Times New Roman" w:hAnsi="Verdana" w:cs="Arial"/>
          <w:lang w:val="es-MX" w:eastAsia="es-CO"/>
        </w:rPr>
        <w:t>, mencionados anteriormente,</w:t>
      </w:r>
      <w:r w:rsidRPr="00574CF1">
        <w:rPr>
          <w:rFonts w:ascii="Verdana" w:eastAsia="Times New Roman" w:hAnsi="Verdana" w:cs="Arial"/>
          <w:lang w:val="es-MX" w:eastAsia="es-CO"/>
        </w:rPr>
        <w:t xml:space="preserve"> que corresponden a los tipos de infraestructura estandarizados.</w:t>
      </w:r>
      <w:r w:rsidRPr="00574CF1">
        <w:rPr>
          <w:rFonts w:ascii="Verdana" w:eastAsia="Times New Roman" w:hAnsi="Verdana" w:cs="Arial"/>
          <w:lang w:eastAsia="es-CO"/>
        </w:rPr>
        <w:t> </w:t>
      </w:r>
    </w:p>
    <w:p w14:paraId="1B278491" w14:textId="7000DEF7" w:rsidR="00DC2867" w:rsidRPr="00574CF1" w:rsidRDefault="00DC2867" w:rsidP="00DC2867">
      <w:pPr>
        <w:spacing w:after="0" w:line="240" w:lineRule="auto"/>
        <w:ind w:firstLine="705"/>
        <w:jc w:val="both"/>
        <w:textAlignment w:val="baseline"/>
        <w:rPr>
          <w:rFonts w:ascii="Verdana" w:eastAsia="Times New Roman" w:hAnsi="Verdana" w:cs="Segoe UI"/>
          <w:sz w:val="18"/>
          <w:szCs w:val="18"/>
          <w:lang w:eastAsia="es-CO"/>
        </w:rPr>
      </w:pPr>
      <w:r w:rsidRPr="00574CF1">
        <w:rPr>
          <w:rFonts w:ascii="Verdana" w:eastAsia="Times New Roman" w:hAnsi="Verdana" w:cs="Arial"/>
          <w:lang w:val="es-MX" w:eastAsia="es-CO"/>
        </w:rPr>
        <w:t xml:space="preserve">c) Definido el tipo de infraestructura, identificar la «ACTIVIDAD A CONTRATAR» acorde con la </w:t>
      </w:r>
      <w:r w:rsidR="00627508" w:rsidRPr="00574CF1">
        <w:rPr>
          <w:rFonts w:ascii="Verdana" w:eastAsia="Times New Roman" w:hAnsi="Verdana" w:cs="Arial"/>
          <w:lang w:val="es-MX" w:eastAsia="es-CO"/>
        </w:rPr>
        <w:t>M</w:t>
      </w:r>
      <w:r w:rsidRPr="00574CF1">
        <w:rPr>
          <w:rFonts w:ascii="Verdana" w:eastAsia="Times New Roman" w:hAnsi="Verdana" w:cs="Arial"/>
          <w:lang w:val="es-MX" w:eastAsia="es-CO"/>
        </w:rPr>
        <w:t>atriz 1. </w:t>
      </w:r>
      <w:r w:rsidRPr="00574CF1">
        <w:rPr>
          <w:rFonts w:ascii="Verdana" w:eastAsia="Times New Roman" w:hAnsi="Verdana" w:cs="Arial"/>
          <w:lang w:eastAsia="es-CO"/>
        </w:rPr>
        <w:t> </w:t>
      </w:r>
    </w:p>
    <w:p w14:paraId="56156646" w14:textId="77777777" w:rsidR="00DC2867" w:rsidRPr="00574CF1" w:rsidRDefault="00DC2867" w:rsidP="00DC2867">
      <w:pPr>
        <w:spacing w:after="0" w:line="240" w:lineRule="auto"/>
        <w:ind w:firstLine="705"/>
        <w:jc w:val="both"/>
        <w:textAlignment w:val="baseline"/>
        <w:rPr>
          <w:rFonts w:ascii="Verdana" w:eastAsia="Times New Roman" w:hAnsi="Verdana" w:cs="Segoe UI"/>
          <w:sz w:val="18"/>
          <w:szCs w:val="18"/>
          <w:lang w:eastAsia="es-CO"/>
        </w:rPr>
      </w:pPr>
      <w:r w:rsidRPr="00574CF1">
        <w:rPr>
          <w:rFonts w:ascii="Verdana" w:eastAsia="Times New Roman" w:hAnsi="Verdana" w:cs="Arial"/>
          <w:lang w:val="es-MX" w:eastAsia="es-CO"/>
        </w:rPr>
        <w:t>d) Identificar el rango en el cual se encuentra el proceso de contratación de acuerdo con el presupuesto oficial. </w:t>
      </w:r>
      <w:r w:rsidRPr="00574CF1">
        <w:rPr>
          <w:rFonts w:ascii="Verdana" w:eastAsia="Times New Roman" w:hAnsi="Verdana" w:cs="Arial"/>
          <w:lang w:eastAsia="es-CO"/>
        </w:rPr>
        <w:t> </w:t>
      </w:r>
    </w:p>
    <w:p w14:paraId="0E015CBB" w14:textId="77777777" w:rsidR="00DC2867" w:rsidRPr="00574CF1" w:rsidRDefault="00DC2867" w:rsidP="00DC2867">
      <w:pPr>
        <w:spacing w:after="0" w:line="240" w:lineRule="auto"/>
        <w:ind w:firstLine="705"/>
        <w:jc w:val="both"/>
        <w:textAlignment w:val="baseline"/>
        <w:rPr>
          <w:rFonts w:ascii="Verdana" w:eastAsia="Times New Roman" w:hAnsi="Verdana" w:cs="Segoe UI"/>
          <w:sz w:val="18"/>
          <w:szCs w:val="18"/>
          <w:lang w:eastAsia="es-CO"/>
        </w:rPr>
      </w:pPr>
      <w:r w:rsidRPr="00574CF1">
        <w:rPr>
          <w:rFonts w:ascii="Verdana" w:eastAsia="Times New Roman" w:hAnsi="Verdana" w:cs="Arial"/>
          <w:lang w:val="es-MX" w:eastAsia="es-CO"/>
        </w:rPr>
        <w:t>e) Identificar la «experiencia general» exigible acorde con la Matriz 1 teniendo en cuenta la actividad a contratar y el rango de la cuantía del Proceso de Contratación. </w:t>
      </w:r>
      <w:r w:rsidRPr="00574CF1">
        <w:rPr>
          <w:rFonts w:ascii="Verdana" w:eastAsia="Times New Roman" w:hAnsi="Verdana" w:cs="Arial"/>
          <w:lang w:eastAsia="es-CO"/>
        </w:rPr>
        <w:t> </w:t>
      </w:r>
    </w:p>
    <w:p w14:paraId="654F287B" w14:textId="77777777" w:rsidR="00DC2867" w:rsidRPr="00574CF1" w:rsidRDefault="00DC2867" w:rsidP="00DC2867">
      <w:pPr>
        <w:spacing w:after="0" w:line="240" w:lineRule="auto"/>
        <w:ind w:firstLine="705"/>
        <w:jc w:val="both"/>
        <w:textAlignment w:val="baseline"/>
        <w:rPr>
          <w:rFonts w:ascii="Verdana" w:eastAsia="Times New Roman" w:hAnsi="Verdana" w:cs="Segoe UI"/>
          <w:sz w:val="18"/>
          <w:szCs w:val="18"/>
          <w:lang w:eastAsia="es-CO"/>
        </w:rPr>
      </w:pPr>
      <w:r w:rsidRPr="00574CF1">
        <w:rPr>
          <w:rFonts w:ascii="Verdana" w:eastAsia="Times New Roman" w:hAnsi="Verdana" w:cs="Arial"/>
          <w:lang w:val="es-MX" w:eastAsia="es-CO"/>
        </w:rPr>
        <w:t xml:space="preserve">f) Identificar la «experiencia específica» exigible y el porcentaje de dimensionamiento que se puede solicitar acorde con la longitud a ejecutar, de acuerdo con la cuantía del proceso de contratación. Cuando en la «experiencia específica» se indiquen las siglas </w:t>
      </w:r>
      <w:r w:rsidRPr="00574CF1">
        <w:rPr>
          <w:rFonts w:ascii="Verdana" w:eastAsia="Times New Roman" w:hAnsi="Verdana" w:cs="Arial"/>
          <w:i/>
          <w:iCs/>
          <w:lang w:val="es-MX" w:eastAsia="es-CO"/>
        </w:rPr>
        <w:t>N.A</w:t>
      </w:r>
      <w:r w:rsidRPr="00574CF1">
        <w:rPr>
          <w:rFonts w:ascii="Verdana" w:eastAsia="Times New Roman" w:hAnsi="Verdana" w:cs="Arial"/>
          <w:lang w:val="es-MX" w:eastAsia="es-CO"/>
        </w:rPr>
        <w:t xml:space="preserve"> significa que la entidad estatal no puede exigir a los proponentes experiencia específica en los procesos de contratación. </w:t>
      </w:r>
      <w:r w:rsidRPr="00574CF1">
        <w:rPr>
          <w:rFonts w:ascii="Verdana" w:eastAsia="Times New Roman" w:hAnsi="Verdana" w:cs="Arial"/>
          <w:lang w:eastAsia="es-CO"/>
        </w:rPr>
        <w:t> </w:t>
      </w:r>
    </w:p>
    <w:p w14:paraId="28D0D984" w14:textId="77777777" w:rsidR="00DC2867" w:rsidRPr="00574CF1" w:rsidRDefault="00DC2867" w:rsidP="00DC2867">
      <w:pPr>
        <w:spacing w:after="0" w:line="240" w:lineRule="auto"/>
        <w:ind w:firstLine="705"/>
        <w:jc w:val="both"/>
        <w:textAlignment w:val="baseline"/>
        <w:rPr>
          <w:rFonts w:ascii="Verdana" w:eastAsia="Times New Roman" w:hAnsi="Verdana" w:cs="Arial"/>
          <w:lang w:eastAsia="es-CO"/>
        </w:rPr>
      </w:pPr>
      <w:r w:rsidRPr="00574CF1">
        <w:rPr>
          <w:rFonts w:ascii="Verdana" w:eastAsia="Times New Roman" w:hAnsi="Verdana" w:cs="Arial"/>
          <w:lang w:val="es-MX" w:eastAsia="es-CO"/>
        </w:rPr>
        <w:t>g) Establecidos los requisitos de experiencia exigibles, la entidad deberá consignarlos en los apartados grises entre corchetes del literal A del numeral 3.5.2 del documento base, para que los oferentes puedan conocer los requisitos de experiencia general y específica exigidos por la entidad.</w:t>
      </w:r>
      <w:r w:rsidRPr="00574CF1">
        <w:rPr>
          <w:rFonts w:ascii="Verdana" w:eastAsia="Times New Roman" w:hAnsi="Verdana" w:cs="Arial"/>
          <w:lang w:eastAsia="es-CO"/>
        </w:rPr>
        <w:t> </w:t>
      </w:r>
    </w:p>
    <w:p w14:paraId="520674F5" w14:textId="77777777" w:rsidR="00F32994" w:rsidRPr="00574CF1" w:rsidRDefault="00F32994" w:rsidP="00DC2867">
      <w:pPr>
        <w:spacing w:after="0" w:line="240" w:lineRule="auto"/>
        <w:ind w:firstLine="705"/>
        <w:jc w:val="both"/>
        <w:textAlignment w:val="baseline"/>
        <w:rPr>
          <w:rFonts w:ascii="Verdana" w:eastAsia="Times New Roman" w:hAnsi="Verdana" w:cs="Segoe UI"/>
          <w:sz w:val="18"/>
          <w:szCs w:val="18"/>
          <w:lang w:eastAsia="es-CO"/>
        </w:rPr>
      </w:pPr>
    </w:p>
    <w:p w14:paraId="03FA2282" w14:textId="07ECF7EF" w:rsidR="00DC2867" w:rsidRPr="00574CF1" w:rsidRDefault="00DC2867" w:rsidP="00DC2867">
      <w:pPr>
        <w:spacing w:after="0" w:line="240" w:lineRule="auto"/>
        <w:ind w:firstLine="705"/>
        <w:jc w:val="both"/>
        <w:textAlignment w:val="baseline"/>
        <w:rPr>
          <w:rFonts w:ascii="Verdana" w:eastAsia="Times New Roman" w:hAnsi="Verdana" w:cs="Arial"/>
          <w:color w:val="000000"/>
          <w:lang w:eastAsia="es-CO"/>
        </w:rPr>
      </w:pPr>
      <w:r w:rsidRPr="00574CF1">
        <w:rPr>
          <w:rFonts w:ascii="Verdana" w:eastAsia="Times New Roman" w:hAnsi="Verdana" w:cs="Arial"/>
          <w:color w:val="000000"/>
          <w:lang w:eastAsia="es-CO"/>
        </w:rPr>
        <w:t>De esta forma</w:t>
      </w:r>
      <w:r w:rsidRPr="00574CF1">
        <w:rPr>
          <w:rFonts w:ascii="Verdana" w:eastAsia="Times New Roman" w:hAnsi="Verdana" w:cs="Arial"/>
          <w:color w:val="000000"/>
          <w:shd w:val="clear" w:color="auto" w:fill="FFFFFF"/>
          <w:lang w:val="es-ES" w:eastAsia="es-CO"/>
        </w:rPr>
        <w:t xml:space="preserve">, cuando la entidad estatal –de acuerdo con el alcance del objeto contractual– identifique el tipo de infraestructura, la actividad a contratar y la cuantía del proceso de contratación, debe determinar la </w:t>
      </w:r>
      <w:r w:rsidR="00525F00" w:rsidRPr="00574CF1">
        <w:rPr>
          <w:rFonts w:ascii="Verdana" w:eastAsia="Times New Roman" w:hAnsi="Verdana" w:cs="Arial"/>
          <w:color w:val="000000"/>
          <w:shd w:val="clear" w:color="auto" w:fill="FFFFFF"/>
          <w:lang w:val="es-ES" w:eastAsia="es-CO"/>
        </w:rPr>
        <w:t>“</w:t>
      </w:r>
      <w:r w:rsidRPr="00574CF1">
        <w:rPr>
          <w:rFonts w:ascii="Verdana" w:eastAsia="Times New Roman" w:hAnsi="Verdana" w:cs="Arial"/>
          <w:color w:val="000000"/>
          <w:shd w:val="clear" w:color="auto" w:fill="FFFFFF"/>
          <w:lang w:val="es-ES" w:eastAsia="es-CO"/>
        </w:rPr>
        <w:t>experiencia general</w:t>
      </w:r>
      <w:r w:rsidR="00525F00" w:rsidRPr="00574CF1">
        <w:rPr>
          <w:rFonts w:ascii="Verdana" w:eastAsia="Times New Roman" w:hAnsi="Verdana" w:cs="Arial"/>
          <w:color w:val="000000"/>
          <w:shd w:val="clear" w:color="auto" w:fill="FFFFFF"/>
          <w:lang w:val="es-ES" w:eastAsia="es-CO"/>
        </w:rPr>
        <w:t>”</w:t>
      </w:r>
      <w:r w:rsidRPr="00574CF1">
        <w:rPr>
          <w:rFonts w:ascii="Verdana" w:eastAsia="Times New Roman" w:hAnsi="Verdana" w:cs="Arial"/>
          <w:color w:val="000000"/>
          <w:shd w:val="clear" w:color="auto" w:fill="FFFFFF"/>
          <w:lang w:val="es-ES" w:eastAsia="es-CO"/>
        </w:rPr>
        <w:t xml:space="preserve"> y la </w:t>
      </w:r>
      <w:r w:rsidR="00525F00" w:rsidRPr="00574CF1">
        <w:rPr>
          <w:rFonts w:ascii="Verdana" w:eastAsia="Times New Roman" w:hAnsi="Verdana" w:cs="Arial"/>
          <w:color w:val="000000"/>
          <w:shd w:val="clear" w:color="auto" w:fill="FFFFFF"/>
          <w:lang w:val="es-ES" w:eastAsia="es-CO"/>
        </w:rPr>
        <w:t>“</w:t>
      </w:r>
      <w:r w:rsidRPr="00574CF1">
        <w:rPr>
          <w:rFonts w:ascii="Verdana" w:eastAsia="Times New Roman" w:hAnsi="Verdana" w:cs="Arial"/>
          <w:color w:val="000000"/>
          <w:shd w:val="clear" w:color="auto" w:fill="FFFFFF"/>
          <w:lang w:val="es-ES" w:eastAsia="es-CO"/>
        </w:rPr>
        <w:t>experiencia específica</w:t>
      </w:r>
      <w:r w:rsidR="00525F00" w:rsidRPr="00574CF1">
        <w:rPr>
          <w:rFonts w:ascii="Verdana" w:eastAsia="Times New Roman" w:hAnsi="Verdana" w:cs="Arial"/>
          <w:color w:val="000000"/>
          <w:shd w:val="clear" w:color="auto" w:fill="FFFFFF"/>
          <w:lang w:val="es-ES" w:eastAsia="es-CO"/>
        </w:rPr>
        <w:t>”</w:t>
      </w:r>
      <w:r w:rsidRPr="00574CF1">
        <w:rPr>
          <w:rFonts w:ascii="Verdana" w:eastAsia="Times New Roman" w:hAnsi="Verdana" w:cs="Arial"/>
          <w:color w:val="000000"/>
          <w:shd w:val="clear" w:color="auto" w:fill="FFFFFF"/>
          <w:lang w:val="es-ES" w:eastAsia="es-CO"/>
        </w:rPr>
        <w:t xml:space="preserve"> con fundamento en la Matriz 1, conforme a la metodología previamente expuesta. Esta experiencia debe solicitarse en las condiciones allí previstas, con la descripción completa que corresponda a la experiencia general y específica.</w:t>
      </w:r>
      <w:r w:rsidRPr="00574CF1">
        <w:rPr>
          <w:rFonts w:ascii="Verdana" w:eastAsia="Times New Roman" w:hAnsi="Verdana" w:cs="Arial"/>
          <w:color w:val="000000"/>
          <w:lang w:eastAsia="es-CO"/>
        </w:rPr>
        <w:t> </w:t>
      </w:r>
    </w:p>
    <w:p w14:paraId="09D19C34" w14:textId="77777777" w:rsidR="000F1DAC" w:rsidRPr="00574CF1" w:rsidRDefault="000F1DAC" w:rsidP="00DC2867">
      <w:pPr>
        <w:spacing w:after="0" w:line="240" w:lineRule="auto"/>
        <w:ind w:firstLine="705"/>
        <w:jc w:val="both"/>
        <w:textAlignment w:val="baseline"/>
        <w:rPr>
          <w:rFonts w:ascii="Verdana" w:eastAsia="Times New Roman" w:hAnsi="Verdana" w:cs="Arial"/>
          <w:color w:val="000000"/>
          <w:lang w:eastAsia="es-CO"/>
        </w:rPr>
      </w:pPr>
    </w:p>
    <w:p w14:paraId="586FC109" w14:textId="76294571" w:rsidR="009841E1" w:rsidRPr="00574CF1" w:rsidRDefault="009841E1" w:rsidP="009841E1">
      <w:pPr>
        <w:ind w:firstLine="708"/>
        <w:jc w:val="both"/>
        <w:rPr>
          <w:rFonts w:ascii="Verdana" w:hAnsi="Verdana" w:cstheme="majorHAnsi"/>
        </w:rPr>
      </w:pPr>
      <w:r w:rsidRPr="00574CF1">
        <w:rPr>
          <w:rFonts w:ascii="Verdana" w:eastAsia="Times New Roman" w:hAnsi="Verdana" w:cs="Arial"/>
          <w:color w:val="000000"/>
          <w:lang w:eastAsia="es-CO"/>
        </w:rPr>
        <w:t xml:space="preserve">Teniendo en cuenta los anteriores elementos y retomando la precisión realizada al inicio de la disertación, </w:t>
      </w:r>
      <w:r w:rsidRPr="00574CF1">
        <w:rPr>
          <w:rFonts w:ascii="Verdana" w:hAnsi="Verdana" w:cstheme="majorHAnsi"/>
        </w:rPr>
        <w:t xml:space="preserve">la experiencia a la cual se hace referencia en la consulta, podría enmarcarse en la actividad “2.5 </w:t>
      </w:r>
      <w:r w:rsidRPr="00574CF1">
        <w:rPr>
          <w:rFonts w:ascii="Verdana" w:hAnsi="Verdana" w:cstheme="majorHAnsi"/>
          <w:i/>
          <w:iCs/>
        </w:rPr>
        <w:t>PROYECTOS DE SEÑALIZACIÓN (HORIZONTAL O VERTICAL) Y/O DEMARCACIÓN DE VÍAS TERCIARIAS</w:t>
      </w:r>
      <w:r w:rsidRPr="00574CF1">
        <w:rPr>
          <w:rFonts w:ascii="Verdana" w:hAnsi="Verdana" w:cstheme="majorHAnsi"/>
        </w:rPr>
        <w:t>” del sector Transporte que solicita la siguiente experiencia específica lo siguiente:</w:t>
      </w:r>
    </w:p>
    <w:p w14:paraId="524D4DDC" w14:textId="77777777" w:rsidR="009841E1" w:rsidRPr="00574CF1" w:rsidRDefault="009841E1" w:rsidP="009841E1">
      <w:pPr>
        <w:ind w:left="708" w:right="1182"/>
        <w:jc w:val="both"/>
        <w:rPr>
          <w:rFonts w:ascii="Verdana" w:hAnsi="Verdana" w:cstheme="majorHAnsi"/>
          <w:i/>
          <w:iCs/>
        </w:rPr>
      </w:pPr>
      <w:r w:rsidRPr="00574CF1">
        <w:rPr>
          <w:rFonts w:ascii="Verdana" w:hAnsi="Verdana" w:cstheme="majorHAnsi"/>
          <w:sz w:val="20"/>
          <w:szCs w:val="20"/>
        </w:rPr>
        <w:t xml:space="preserve">“Por lo menos </w:t>
      </w:r>
      <w:r w:rsidRPr="00574CF1">
        <w:rPr>
          <w:rFonts w:ascii="Verdana" w:hAnsi="Verdana" w:cstheme="majorHAnsi"/>
          <w:i/>
          <w:iCs/>
          <w:sz w:val="20"/>
          <w:szCs w:val="20"/>
        </w:rPr>
        <w:t>uno (1) de los contratos válidos aportados como experiencia general debe acreditar en el componente de señalización o demarcación un valor igual o superior al 40% del Presupuesto de esta actividad o componente</w:t>
      </w:r>
      <w:r w:rsidRPr="00574CF1">
        <w:rPr>
          <w:rFonts w:ascii="Verdana" w:hAnsi="Verdana" w:cstheme="majorHAnsi"/>
          <w:i/>
          <w:iCs/>
        </w:rPr>
        <w:t>.”</w:t>
      </w:r>
      <w:r w:rsidRPr="00574CF1">
        <w:rPr>
          <w:rStyle w:val="Refdenotaalpie"/>
          <w:rFonts w:ascii="Verdana" w:hAnsi="Verdana" w:cstheme="majorHAnsi"/>
          <w:i/>
          <w:iCs/>
        </w:rPr>
        <w:footnoteReference w:id="6"/>
      </w:r>
    </w:p>
    <w:p w14:paraId="44F25660" w14:textId="76701500" w:rsidR="00BB4698" w:rsidRPr="00574CF1" w:rsidRDefault="00BB4698" w:rsidP="00874CCC">
      <w:pPr>
        <w:autoSpaceDE w:val="0"/>
        <w:autoSpaceDN w:val="0"/>
        <w:adjustRightInd w:val="0"/>
        <w:ind w:firstLine="708"/>
        <w:jc w:val="both"/>
        <w:rPr>
          <w:rFonts w:ascii="Verdana" w:hAnsi="Verdana" w:cstheme="majorHAnsi"/>
          <w:lang w:val="es-MX"/>
        </w:rPr>
      </w:pPr>
      <w:r w:rsidRPr="00574CF1">
        <w:rPr>
          <w:rFonts w:ascii="Verdana" w:hAnsi="Verdana" w:cstheme="majorHAnsi"/>
        </w:rPr>
        <w:t xml:space="preserve">En este aspecto, la petición señala: “(…) </w:t>
      </w:r>
      <w:r w:rsidRPr="00574CF1">
        <w:rPr>
          <w:rFonts w:ascii="Verdana" w:hAnsi="Verdana" w:cstheme="majorHAnsi"/>
          <w:i/>
          <w:iCs/>
          <w:lang w:val="es-MX"/>
        </w:rPr>
        <w:t>tomando en ese 40% los costos directos con el aiu incluido … yo puedo acreditarlo con la sumatoria de esa actividad de mi contrato, pero le debo sumar también el AIU o solo lo demuestro con los costos directos?”</w:t>
      </w:r>
    </w:p>
    <w:p w14:paraId="347C32DF" w14:textId="275F3424" w:rsidR="00BB4698" w:rsidRPr="00574CF1" w:rsidRDefault="00BB4698" w:rsidP="00874CCC">
      <w:pPr>
        <w:ind w:firstLine="708"/>
        <w:jc w:val="both"/>
        <w:rPr>
          <w:rFonts w:ascii="Verdana" w:hAnsi="Verdana" w:cstheme="majorHAnsi"/>
        </w:rPr>
      </w:pPr>
      <w:r w:rsidRPr="00574CF1">
        <w:rPr>
          <w:rFonts w:ascii="Verdana" w:hAnsi="Verdana" w:cstheme="majorHAnsi"/>
        </w:rPr>
        <w:t>Para responder la pregunta, hay que identificar que en Colombia, los contratos que se ejecuten por la modalidad de Precios Unitarios, están divididos en los siguientes componentes: a) Costo directo</w:t>
      </w:r>
      <w:r w:rsidR="00EA04EA" w:rsidRPr="00574CF1">
        <w:rPr>
          <w:rFonts w:ascii="Verdana" w:hAnsi="Verdana" w:cstheme="majorHAnsi"/>
        </w:rPr>
        <w:t>s</w:t>
      </w:r>
      <w:r w:rsidRPr="00574CF1">
        <w:rPr>
          <w:rFonts w:ascii="Verdana" w:hAnsi="Verdana" w:cstheme="majorHAnsi"/>
        </w:rPr>
        <w:t>, el cual se refiere a todos aquellos costos que están relacionados directamente con el objeto del contrato y b) Costos Indirectos</w:t>
      </w:r>
      <w:r w:rsidR="0092090C" w:rsidRPr="00574CF1">
        <w:rPr>
          <w:rStyle w:val="Refdenotaalpie"/>
          <w:rFonts w:ascii="Verdana" w:hAnsi="Verdana" w:cstheme="majorHAnsi"/>
        </w:rPr>
        <w:footnoteReference w:id="7"/>
      </w:r>
      <w:r w:rsidRPr="00574CF1">
        <w:rPr>
          <w:rFonts w:ascii="Verdana" w:hAnsi="Verdana" w:cstheme="majorHAnsi"/>
        </w:rPr>
        <w:t xml:space="preserve">, esto incluye el AIU que corresponde a la Administración, los Imprevistos y la Utilidad del proyecto, este concepto, generalmente se establece como un porcentaje del costo directo de la obra. </w:t>
      </w:r>
    </w:p>
    <w:p w14:paraId="092904EC" w14:textId="77777777" w:rsidR="00BB4698" w:rsidRPr="00574CF1" w:rsidRDefault="00BB4698" w:rsidP="00EA04EA">
      <w:pPr>
        <w:ind w:firstLine="708"/>
        <w:jc w:val="both"/>
        <w:rPr>
          <w:rFonts w:ascii="Verdana" w:hAnsi="Verdana" w:cstheme="majorHAnsi"/>
        </w:rPr>
      </w:pPr>
      <w:r w:rsidRPr="00574CF1">
        <w:rPr>
          <w:rFonts w:ascii="Verdana" w:hAnsi="Verdana" w:cstheme="majorHAnsi"/>
        </w:rPr>
        <w:t>Los costos directos, son configurados a partir de los Análisis de Precios Unitarios (APU), que se elaboran sobre cada ítem del presupuesto del proyecto, por las cantidades o magnitudes de obra, que generalmente salen de los planos, especificaciones y documentos técnicos del proyecto y su por su correspondiente unidad de medida. En consecuencia, su valor total será la sumatoria de cada uno de estos ítems.</w:t>
      </w:r>
    </w:p>
    <w:p w14:paraId="299AF0E0" w14:textId="1B88B6D5" w:rsidR="00BB4698" w:rsidRPr="00574CF1" w:rsidRDefault="007F5768" w:rsidP="000F1DAC">
      <w:pPr>
        <w:ind w:firstLine="708"/>
        <w:jc w:val="both"/>
        <w:rPr>
          <w:rFonts w:ascii="Verdana" w:hAnsi="Verdana" w:cstheme="majorHAnsi"/>
          <w:i/>
        </w:rPr>
      </w:pPr>
      <w:r w:rsidRPr="00574CF1">
        <w:rPr>
          <w:rFonts w:ascii="Verdana" w:hAnsi="Verdana" w:cstheme="majorHAnsi"/>
        </w:rPr>
        <w:t>Por otro lado, e</w:t>
      </w:r>
      <w:r w:rsidR="00BB4698" w:rsidRPr="00574CF1">
        <w:rPr>
          <w:rFonts w:ascii="Verdana" w:hAnsi="Verdana" w:cstheme="majorHAnsi"/>
        </w:rPr>
        <w:t xml:space="preserve">l porcentaje de AIU puede variar según la naturaleza del proyecto, su complejidad y otros factores relevantes, como la administración, que incluye la cantidad del recurso humano, las instalaciones, los impuestos y los gastos generales, entre otros aspectos. Adicionalmente se consideran </w:t>
      </w:r>
      <w:r w:rsidRPr="00574CF1">
        <w:rPr>
          <w:rFonts w:ascii="Verdana" w:hAnsi="Verdana" w:cstheme="majorHAnsi"/>
        </w:rPr>
        <w:t>unos imprevistos</w:t>
      </w:r>
      <w:r w:rsidR="00BB4698" w:rsidRPr="00574CF1">
        <w:rPr>
          <w:rFonts w:ascii="Verdana" w:hAnsi="Verdana" w:cstheme="majorHAnsi"/>
        </w:rPr>
        <w:t xml:space="preserve"> y las ganancias o utilidad del Contratista.</w:t>
      </w:r>
      <w:r w:rsidR="00BB4698" w:rsidRPr="00574CF1">
        <w:rPr>
          <w:rFonts w:ascii="Verdana" w:hAnsi="Verdana" w:cstheme="majorHAnsi"/>
          <w:i/>
        </w:rPr>
        <w:t xml:space="preserve"> </w:t>
      </w:r>
    </w:p>
    <w:p w14:paraId="38178808" w14:textId="03727E69" w:rsidR="00BB4698" w:rsidRPr="00574CF1" w:rsidRDefault="00BB4698" w:rsidP="007F5768">
      <w:pPr>
        <w:ind w:firstLine="708"/>
        <w:jc w:val="both"/>
        <w:rPr>
          <w:rFonts w:ascii="Verdana" w:hAnsi="Verdana" w:cstheme="majorHAnsi"/>
        </w:rPr>
      </w:pPr>
      <w:r w:rsidRPr="00574CF1">
        <w:rPr>
          <w:rFonts w:ascii="Verdana" w:hAnsi="Verdana" w:cstheme="majorHAnsi"/>
        </w:rPr>
        <w:lastRenderedPageBreak/>
        <w:t xml:space="preserve">En este sentido, </w:t>
      </w:r>
      <w:r w:rsidR="00D035ED" w:rsidRPr="00574CF1">
        <w:rPr>
          <w:rFonts w:ascii="Verdana" w:hAnsi="Verdana" w:cstheme="majorHAnsi"/>
        </w:rPr>
        <w:t xml:space="preserve">se puede indicar que </w:t>
      </w:r>
      <w:r w:rsidRPr="00574CF1">
        <w:rPr>
          <w:rFonts w:ascii="Verdana" w:hAnsi="Verdana" w:cstheme="majorHAnsi"/>
        </w:rPr>
        <w:t>el cálculo del AIU, obedece exclusivamente a un análisis detallado que hacen tanto entidades, como contratistas y proveedores, de acuerdo con las condiciones particulares del proyecto o negocio, así como basados en la experiencia que tienen y en términos de administración pública, adicionalmente en los principios de economía y transparencia.</w:t>
      </w:r>
    </w:p>
    <w:p w14:paraId="6894220C" w14:textId="171404BA" w:rsidR="00BB4698" w:rsidRPr="00574CF1" w:rsidRDefault="00BB4698" w:rsidP="00D035ED">
      <w:pPr>
        <w:ind w:firstLine="708"/>
        <w:jc w:val="both"/>
        <w:rPr>
          <w:rFonts w:ascii="Verdana" w:hAnsi="Verdana" w:cstheme="majorHAnsi"/>
        </w:rPr>
      </w:pPr>
      <w:r w:rsidRPr="00574CF1">
        <w:rPr>
          <w:rFonts w:ascii="Verdana" w:hAnsi="Verdana" w:cstheme="majorHAnsi"/>
        </w:rPr>
        <w:t xml:space="preserve">De otro lado y a la luz de los Documentos </w:t>
      </w:r>
      <w:r w:rsidR="00455042" w:rsidRPr="00574CF1">
        <w:rPr>
          <w:rFonts w:ascii="Verdana" w:hAnsi="Verdana" w:cstheme="majorHAnsi"/>
        </w:rPr>
        <w:t>T</w:t>
      </w:r>
      <w:r w:rsidRPr="00574CF1">
        <w:rPr>
          <w:rFonts w:ascii="Verdana" w:hAnsi="Verdana" w:cstheme="majorHAnsi"/>
        </w:rPr>
        <w:t xml:space="preserve">ipo, es importante tener en consideración que el numeral 4.1.1. del </w:t>
      </w:r>
      <w:r w:rsidR="00D77059" w:rsidRPr="00574CF1">
        <w:rPr>
          <w:rFonts w:ascii="Verdana" w:hAnsi="Verdana" w:cstheme="majorHAnsi"/>
        </w:rPr>
        <w:t>D</w:t>
      </w:r>
      <w:r w:rsidRPr="00574CF1">
        <w:rPr>
          <w:rFonts w:ascii="Verdana" w:hAnsi="Verdana" w:cstheme="majorHAnsi"/>
        </w:rPr>
        <w:t>ocumento base señala sobre el AIU:</w:t>
      </w:r>
    </w:p>
    <w:p w14:paraId="7498A901" w14:textId="77777777" w:rsidR="00BB4698" w:rsidRPr="00574CF1" w:rsidRDefault="00BB4698" w:rsidP="00172F22">
      <w:pPr>
        <w:ind w:left="708" w:right="1182"/>
        <w:jc w:val="both"/>
        <w:rPr>
          <w:rFonts w:ascii="Verdana" w:eastAsia="Times New Roman" w:hAnsi="Verdana" w:cstheme="majorHAnsi"/>
          <w:i/>
          <w:sz w:val="20"/>
          <w:szCs w:val="20"/>
          <w:lang w:val="es-MX" w:eastAsia="es-ES_tradnl"/>
        </w:rPr>
      </w:pPr>
      <w:r w:rsidRPr="00574CF1">
        <w:rPr>
          <w:rFonts w:ascii="Verdana" w:hAnsi="Verdana" w:cstheme="majorHAnsi"/>
          <w:i/>
          <w:sz w:val="20"/>
          <w:szCs w:val="20"/>
          <w:highlight w:val="lightGray"/>
          <w:lang w:val="es-MX"/>
        </w:rPr>
        <w:t>“[Esta sección se debe incluir en el evento en el que el proceso de contratación sea por precios unitarios]</w:t>
      </w:r>
    </w:p>
    <w:p w14:paraId="3A5D095B" w14:textId="77777777" w:rsidR="00BB4698" w:rsidRPr="00574CF1" w:rsidRDefault="00BB4698" w:rsidP="00172F22">
      <w:pPr>
        <w:ind w:left="708" w:right="1182"/>
        <w:jc w:val="both"/>
        <w:rPr>
          <w:rFonts w:ascii="Verdana" w:hAnsi="Verdana" w:cstheme="majorHAnsi"/>
          <w:i/>
          <w:sz w:val="20"/>
          <w:szCs w:val="20"/>
          <w:lang w:val="es-MX"/>
        </w:rPr>
      </w:pPr>
      <w:r w:rsidRPr="00574CF1">
        <w:rPr>
          <w:rFonts w:ascii="Verdana" w:hAnsi="Verdana" w:cstheme="majorHAnsi"/>
          <w:i/>
          <w:sz w:val="20"/>
          <w:szCs w:val="20"/>
          <w:lang w:val="es-MX"/>
        </w:rPr>
        <w:t>El proponente debe calcular un AIU que contenga todos los costos en los que incurre la organización del constructor para poder desarrollar la administración, los imprevistos y la utilidad o beneficio económico que pretende percibir por la ejecución del contrato.</w:t>
      </w:r>
    </w:p>
    <w:p w14:paraId="18BFAA92" w14:textId="77777777" w:rsidR="00BB4698" w:rsidRPr="00574CF1" w:rsidRDefault="00BB4698" w:rsidP="00172F22">
      <w:pPr>
        <w:ind w:left="708" w:right="1182"/>
        <w:jc w:val="both"/>
        <w:rPr>
          <w:rFonts w:ascii="Verdana" w:hAnsi="Verdana" w:cstheme="majorHAnsi"/>
          <w:i/>
          <w:sz w:val="20"/>
          <w:szCs w:val="20"/>
          <w:lang w:val="es-MX"/>
        </w:rPr>
      </w:pPr>
      <w:r w:rsidRPr="00574CF1">
        <w:rPr>
          <w:rFonts w:ascii="Verdana" w:hAnsi="Verdana" w:cstheme="majorHAnsi"/>
          <w:i/>
          <w:sz w:val="20"/>
          <w:szCs w:val="20"/>
          <w:lang w:val="es-MX"/>
        </w:rPr>
        <w:t xml:space="preserve">El valor del AIU debe expresarse en un porcentaje (%) y debe consignarlo y discriminarlo en la propuesta económica. </w:t>
      </w:r>
      <w:r w:rsidRPr="00574CF1">
        <w:rPr>
          <w:rFonts w:ascii="Verdana" w:hAnsi="Verdana" w:cstheme="majorHAnsi"/>
          <w:i/>
          <w:sz w:val="20"/>
          <w:szCs w:val="20"/>
          <w:highlight w:val="lightGray"/>
          <w:lang w:val="es-MX"/>
        </w:rPr>
        <w:t>[La entidad no podrá exigir al proponente el desglose del AIU o componentes internos de la administración (A) en la propuesta económica, sino solo la discriminación de su valor en porcentaje (%). Para el proponente que resulte adjudicatario se podrá solicitar el desglose del A.I.U. ofertado.]</w:t>
      </w:r>
    </w:p>
    <w:p w14:paraId="5EA6AC1D" w14:textId="77777777" w:rsidR="00BB4698" w:rsidRPr="00574CF1" w:rsidRDefault="00BB4698" w:rsidP="00172F22">
      <w:pPr>
        <w:ind w:left="708" w:right="1182"/>
        <w:jc w:val="both"/>
        <w:rPr>
          <w:rFonts w:ascii="Verdana" w:hAnsi="Verdana" w:cstheme="majorHAnsi"/>
          <w:i/>
          <w:sz w:val="20"/>
          <w:szCs w:val="20"/>
          <w:lang w:val="es-MX"/>
        </w:rPr>
      </w:pPr>
      <w:r w:rsidRPr="00574CF1">
        <w:rPr>
          <w:rFonts w:ascii="Verdana" w:hAnsi="Verdana" w:cstheme="majorHAnsi"/>
          <w:i/>
          <w:sz w:val="20"/>
          <w:szCs w:val="20"/>
          <w:lang w:val="es-MX"/>
        </w:rPr>
        <w:t xml:space="preserve">Cuando el proponente exprese el AIU en porcentaje (%) y en pesos, prevalece el valor expresado en porcentaje (%). El porcentaje del A.I.U. que presenten los Proponentes no debe ser superior al porcentaje total del A.I.U establecido en el </w:t>
      </w:r>
      <w:r w:rsidRPr="00574CF1">
        <w:rPr>
          <w:rFonts w:ascii="Verdana" w:hAnsi="Verdana" w:cstheme="majorHAnsi"/>
          <w:i/>
          <w:sz w:val="20"/>
          <w:szCs w:val="20"/>
          <w:lang w:val="es-MX"/>
        </w:rPr>
        <w:fldChar w:fldCharType="begin"/>
      </w:r>
      <w:r w:rsidRPr="00574CF1">
        <w:rPr>
          <w:rFonts w:ascii="Verdana" w:hAnsi="Verdana" w:cstheme="majorHAnsi"/>
          <w:i/>
          <w:sz w:val="20"/>
          <w:szCs w:val="20"/>
          <w:lang w:val="es-MX"/>
        </w:rPr>
        <w:instrText xml:space="preserve"> REF _Ref57725061 \h  \* MERGEFORMAT </w:instrText>
      </w:r>
      <w:r w:rsidRPr="00574CF1">
        <w:rPr>
          <w:rFonts w:ascii="Verdana" w:hAnsi="Verdana" w:cstheme="majorHAnsi"/>
          <w:i/>
          <w:sz w:val="20"/>
          <w:szCs w:val="20"/>
          <w:lang w:val="es-MX"/>
        </w:rPr>
      </w:r>
      <w:r w:rsidRPr="00574CF1">
        <w:rPr>
          <w:rFonts w:ascii="Verdana" w:hAnsi="Verdana" w:cstheme="majorHAnsi"/>
          <w:i/>
          <w:sz w:val="20"/>
          <w:szCs w:val="20"/>
          <w:lang w:val="es-MX"/>
        </w:rPr>
        <w:fldChar w:fldCharType="separate"/>
      </w:r>
      <w:r w:rsidRPr="00574CF1">
        <w:rPr>
          <w:rFonts w:ascii="Verdana" w:hAnsi="Verdana" w:cstheme="majorHAnsi"/>
          <w:i/>
          <w:sz w:val="20"/>
          <w:szCs w:val="20"/>
          <w:lang w:val="es-MX"/>
        </w:rPr>
        <w:t>Formulario 1– Formulario de Presupuesto Oficial</w:t>
      </w:r>
      <w:r w:rsidRPr="00574CF1">
        <w:rPr>
          <w:rFonts w:ascii="Verdana" w:hAnsi="Verdana" w:cstheme="majorHAnsi"/>
          <w:i/>
          <w:sz w:val="20"/>
          <w:szCs w:val="20"/>
          <w:lang w:val="es-MX"/>
        </w:rPr>
        <w:fldChar w:fldCharType="end"/>
      </w:r>
      <w:r w:rsidRPr="00574CF1">
        <w:rPr>
          <w:rFonts w:ascii="Verdana" w:hAnsi="Verdana" w:cstheme="majorHAnsi"/>
          <w:i/>
          <w:sz w:val="20"/>
          <w:szCs w:val="20"/>
          <w:lang w:val="es-MX"/>
        </w:rPr>
        <w:t xml:space="preserve">. En consecuencia, el Proponente puede configurar libremente el porcentaje individual de la A, de la I y de la U, siempre que la sumatoria de ellos no exceda el porcentaje total definido por la Entidad en el </w:t>
      </w:r>
      <w:r w:rsidRPr="00574CF1">
        <w:rPr>
          <w:rFonts w:ascii="Verdana" w:hAnsi="Verdana" w:cstheme="majorHAnsi"/>
          <w:i/>
          <w:sz w:val="20"/>
          <w:szCs w:val="20"/>
          <w:lang w:val="es-MX"/>
        </w:rPr>
        <w:fldChar w:fldCharType="begin"/>
      </w:r>
      <w:r w:rsidRPr="00574CF1">
        <w:rPr>
          <w:rFonts w:ascii="Verdana" w:hAnsi="Verdana" w:cstheme="majorHAnsi"/>
          <w:i/>
          <w:sz w:val="20"/>
          <w:szCs w:val="20"/>
          <w:lang w:val="es-MX"/>
        </w:rPr>
        <w:instrText xml:space="preserve"> REF _Ref57725061 \h  \* MERGEFORMAT </w:instrText>
      </w:r>
      <w:r w:rsidRPr="00574CF1">
        <w:rPr>
          <w:rFonts w:ascii="Verdana" w:hAnsi="Verdana" w:cstheme="majorHAnsi"/>
          <w:i/>
          <w:sz w:val="20"/>
          <w:szCs w:val="20"/>
          <w:lang w:val="es-MX"/>
        </w:rPr>
      </w:r>
      <w:r w:rsidRPr="00574CF1">
        <w:rPr>
          <w:rFonts w:ascii="Verdana" w:hAnsi="Verdana" w:cstheme="majorHAnsi"/>
          <w:i/>
          <w:sz w:val="20"/>
          <w:szCs w:val="20"/>
          <w:lang w:val="es-MX"/>
        </w:rPr>
        <w:fldChar w:fldCharType="separate"/>
      </w:r>
      <w:r w:rsidRPr="00574CF1">
        <w:rPr>
          <w:rFonts w:ascii="Verdana" w:hAnsi="Verdana" w:cstheme="majorHAnsi"/>
          <w:i/>
          <w:sz w:val="20"/>
          <w:szCs w:val="20"/>
          <w:lang w:val="es-MX"/>
        </w:rPr>
        <w:t>Formulario 1– Formulario de Presupuesto Oficial</w:t>
      </w:r>
      <w:r w:rsidRPr="00574CF1">
        <w:rPr>
          <w:rFonts w:ascii="Verdana" w:hAnsi="Verdana" w:cstheme="majorHAnsi"/>
          <w:i/>
          <w:sz w:val="20"/>
          <w:szCs w:val="20"/>
          <w:lang w:val="es-MX"/>
        </w:rPr>
        <w:fldChar w:fldCharType="end"/>
      </w:r>
      <w:r w:rsidRPr="00574CF1">
        <w:rPr>
          <w:rFonts w:ascii="Verdana" w:hAnsi="Verdana" w:cstheme="majorHAnsi"/>
          <w:i/>
          <w:sz w:val="20"/>
          <w:szCs w:val="20"/>
          <w:lang w:val="es-MX"/>
        </w:rPr>
        <w:t>.</w:t>
      </w:r>
    </w:p>
    <w:p w14:paraId="6803EC4D" w14:textId="091DAF68" w:rsidR="00BB4698" w:rsidRPr="00574CF1" w:rsidRDefault="00BB4698" w:rsidP="002A0738">
      <w:pPr>
        <w:ind w:left="708" w:right="1182"/>
        <w:jc w:val="both"/>
        <w:rPr>
          <w:rFonts w:ascii="Verdana" w:hAnsi="Verdana" w:cstheme="majorHAnsi"/>
          <w:lang w:val="es-MX"/>
        </w:rPr>
      </w:pPr>
      <w:r w:rsidRPr="00574CF1">
        <w:rPr>
          <w:rFonts w:ascii="Verdana" w:hAnsi="Verdana" w:cstheme="majorHAnsi"/>
          <w:i/>
          <w:sz w:val="20"/>
          <w:szCs w:val="20"/>
          <w:lang w:val="es-MX"/>
        </w:rPr>
        <w:t>Los componentes internos de la administración (A) deberán ser presentados por el adjudicatario del presente proceso de contratación en la oportunidad establecida en el numeral 8.1.”</w:t>
      </w:r>
    </w:p>
    <w:p w14:paraId="798D3FE1" w14:textId="77777777" w:rsidR="00BB4698" w:rsidRPr="00574CF1" w:rsidRDefault="00BB4698" w:rsidP="009F3A6C">
      <w:pPr>
        <w:ind w:firstLine="708"/>
        <w:jc w:val="both"/>
        <w:rPr>
          <w:rFonts w:ascii="Verdana" w:hAnsi="Verdana" w:cstheme="majorHAnsi"/>
        </w:rPr>
      </w:pPr>
      <w:r w:rsidRPr="00574CF1">
        <w:rPr>
          <w:rFonts w:ascii="Verdana" w:hAnsi="Verdana" w:cstheme="majorHAnsi"/>
        </w:rPr>
        <w:t>Igualmente, es importante considerar lo indicado en el Formulario No. 1 de Oferta Económica, para efectos de aclarar y precisar la consulta del ciudadano:</w:t>
      </w:r>
    </w:p>
    <w:p w14:paraId="2008208B" w14:textId="5EFEAF35" w:rsidR="00BB4698" w:rsidRPr="00574CF1" w:rsidRDefault="00BB4698" w:rsidP="009F3A6C">
      <w:pPr>
        <w:ind w:left="708" w:right="1182"/>
        <w:jc w:val="both"/>
        <w:rPr>
          <w:rFonts w:ascii="Verdana" w:hAnsi="Verdana" w:cstheme="majorHAnsi"/>
          <w:i/>
        </w:rPr>
      </w:pPr>
      <w:r w:rsidRPr="00574CF1">
        <w:rPr>
          <w:rFonts w:ascii="Verdana" w:hAnsi="Verdana" w:cstheme="majorHAnsi"/>
          <w:i/>
        </w:rPr>
        <w:t>“</w:t>
      </w:r>
      <w:r w:rsidRPr="00574CF1">
        <w:rPr>
          <w:rFonts w:ascii="Verdana" w:hAnsi="Verdana" w:cstheme="majorHAnsi"/>
          <w:i/>
          <w:sz w:val="20"/>
          <w:szCs w:val="20"/>
        </w:rPr>
        <w:t xml:space="preserve">Cuando el proceso de contratación es estructurado por precios unitarios, la Entidad debe aplicar las notas 1, 2 y 3 del presente formato y las casillas de "Descripción", "Porcentaje" de la Administración, Imprevisto, Utilidad y </w:t>
      </w:r>
      <w:r w:rsidR="00F81935" w:rsidRPr="00574CF1">
        <w:rPr>
          <w:rFonts w:ascii="Verdana" w:hAnsi="Verdana" w:cstheme="majorHAnsi"/>
          <w:i/>
          <w:sz w:val="20"/>
          <w:szCs w:val="20"/>
        </w:rPr>
        <w:t>total A.I.U.</w:t>
      </w:r>
      <w:r w:rsidRPr="00574CF1">
        <w:rPr>
          <w:rFonts w:ascii="Verdana" w:hAnsi="Verdana" w:cstheme="majorHAnsi"/>
          <w:i/>
          <w:sz w:val="20"/>
          <w:szCs w:val="20"/>
        </w:rPr>
        <w:t xml:space="preserve"> resaltadas en color amarillo</w:t>
      </w:r>
      <w:r w:rsidRPr="00574CF1">
        <w:rPr>
          <w:rFonts w:ascii="Verdana" w:hAnsi="Verdana" w:cstheme="majorHAnsi"/>
          <w:i/>
        </w:rPr>
        <w:t>.”</w:t>
      </w:r>
    </w:p>
    <w:p w14:paraId="72D5312F" w14:textId="77777777" w:rsidR="00BB4698" w:rsidRPr="00574CF1" w:rsidRDefault="00BB4698" w:rsidP="00BB4698">
      <w:pPr>
        <w:ind w:left="708"/>
        <w:jc w:val="both"/>
        <w:rPr>
          <w:rFonts w:ascii="Verdana" w:hAnsi="Verdana" w:cstheme="majorHAnsi"/>
          <w:i/>
        </w:rPr>
      </w:pPr>
    </w:p>
    <w:p w14:paraId="77CCDD38" w14:textId="77777777" w:rsidR="00BB4698" w:rsidRPr="00574CF1" w:rsidRDefault="00BB4698" w:rsidP="00BB4698">
      <w:pPr>
        <w:jc w:val="both"/>
        <w:rPr>
          <w:rFonts w:ascii="Verdana" w:hAnsi="Verdana" w:cstheme="majorHAnsi"/>
        </w:rPr>
      </w:pPr>
      <w:r w:rsidRPr="00574CF1">
        <w:rPr>
          <w:rFonts w:ascii="Verdana" w:hAnsi="Verdana" w:cstheme="majorHAnsi"/>
          <w:noProof/>
        </w:rPr>
        <w:drawing>
          <wp:inline distT="0" distB="0" distL="0" distR="0" wp14:anchorId="149FE422" wp14:editId="54FFB21C">
            <wp:extent cx="5613400" cy="1621790"/>
            <wp:effectExtent l="19050" t="19050" r="25400" b="16510"/>
            <wp:docPr id="854321414" name="Imagen 1" descr="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321414" name="Imagen 1" descr="Interfaz de usuario gráfica&#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13400" cy="1621790"/>
                    </a:xfrm>
                    <a:prstGeom prst="rect">
                      <a:avLst/>
                    </a:prstGeom>
                    <a:noFill/>
                    <a:ln w="9525" cmpd="sng">
                      <a:solidFill>
                        <a:srgbClr val="000000"/>
                      </a:solidFill>
                      <a:miter lim="800000"/>
                      <a:headEnd/>
                      <a:tailEnd/>
                    </a:ln>
                    <a:effectLst/>
                  </pic:spPr>
                </pic:pic>
              </a:graphicData>
            </a:graphic>
          </wp:inline>
        </w:drawing>
      </w:r>
    </w:p>
    <w:p w14:paraId="4F79F459" w14:textId="266F87BA" w:rsidR="00BB4698" w:rsidRPr="00574CF1" w:rsidRDefault="00BB4698" w:rsidP="009F3A6C">
      <w:pPr>
        <w:ind w:firstLine="708"/>
        <w:jc w:val="both"/>
        <w:rPr>
          <w:rFonts w:ascii="Verdana" w:hAnsi="Verdana" w:cstheme="majorHAnsi"/>
        </w:rPr>
      </w:pPr>
      <w:r w:rsidRPr="00574CF1">
        <w:rPr>
          <w:rFonts w:ascii="Verdana" w:hAnsi="Verdana" w:cstheme="majorHAnsi"/>
        </w:rPr>
        <w:t xml:space="preserve">En </w:t>
      </w:r>
      <w:r w:rsidR="00DF3F91" w:rsidRPr="00574CF1">
        <w:rPr>
          <w:rFonts w:ascii="Verdana" w:hAnsi="Verdana" w:cstheme="majorHAnsi"/>
        </w:rPr>
        <w:t>consecuencia</w:t>
      </w:r>
      <w:r w:rsidRPr="00574CF1">
        <w:rPr>
          <w:rFonts w:ascii="Verdana" w:hAnsi="Verdana" w:cstheme="majorHAnsi"/>
        </w:rPr>
        <w:t xml:space="preserve"> de lo anterior</w:t>
      </w:r>
      <w:r w:rsidR="00DF3F91" w:rsidRPr="00574CF1">
        <w:rPr>
          <w:rFonts w:ascii="Verdana" w:hAnsi="Verdana" w:cstheme="majorHAnsi"/>
        </w:rPr>
        <w:t>,</w:t>
      </w:r>
      <w:r w:rsidRPr="00574CF1">
        <w:rPr>
          <w:rFonts w:ascii="Verdana" w:hAnsi="Verdana" w:cstheme="majorHAnsi"/>
        </w:rPr>
        <w:t xml:space="preserve"> </w:t>
      </w:r>
      <w:r w:rsidR="00DF3F91" w:rsidRPr="00574CF1">
        <w:rPr>
          <w:rFonts w:ascii="Verdana" w:hAnsi="Verdana" w:cstheme="majorHAnsi"/>
        </w:rPr>
        <w:t>se puede precisar</w:t>
      </w:r>
      <w:r w:rsidRPr="00574CF1">
        <w:rPr>
          <w:rFonts w:ascii="Verdana" w:hAnsi="Verdana" w:cstheme="majorHAnsi"/>
        </w:rPr>
        <w:t xml:space="preserve"> que el valor total o presupuesto de un proyecto corresponde a la sumatoria de su costo directo, más el componente de AIU (costo Indirecto) y esto se extiende a cada uno de los capítulos y/o actividades, ya que este presupuesto se configura por la sumatoria de actividades contenidas en cada uno de los capítulos del mismo</w:t>
      </w:r>
      <w:r w:rsidR="00B56E9D" w:rsidRPr="00574CF1">
        <w:rPr>
          <w:rFonts w:ascii="Verdana" w:hAnsi="Verdana" w:cstheme="majorHAnsi"/>
        </w:rPr>
        <w:t xml:space="preserve">; lo cual permitirá </w:t>
      </w:r>
      <w:r w:rsidR="009B1ACC" w:rsidRPr="00574CF1">
        <w:rPr>
          <w:rFonts w:ascii="Verdana" w:hAnsi="Verdana" w:cstheme="majorHAnsi"/>
        </w:rPr>
        <w:t xml:space="preserve">determinar </w:t>
      </w:r>
      <w:r w:rsidR="00261258" w:rsidRPr="00574CF1">
        <w:rPr>
          <w:rFonts w:ascii="Verdana" w:hAnsi="Verdana" w:cstheme="majorHAnsi"/>
        </w:rPr>
        <w:t xml:space="preserve">la forma en la que se debe acreditar </w:t>
      </w:r>
      <w:r w:rsidR="00AB5498" w:rsidRPr="00574CF1">
        <w:rPr>
          <w:rFonts w:ascii="Verdana" w:hAnsi="Verdana" w:cstheme="majorHAnsi"/>
        </w:rPr>
        <w:t>la experiencia para el</w:t>
      </w:r>
      <w:r w:rsidR="00261258" w:rsidRPr="00574CF1">
        <w:rPr>
          <w:rFonts w:ascii="Verdana" w:hAnsi="Verdana" w:cstheme="majorHAnsi"/>
        </w:rPr>
        <w:t xml:space="preserve"> componente de señalización o demarcación </w:t>
      </w:r>
      <w:r w:rsidR="00D84D52" w:rsidRPr="00574CF1">
        <w:rPr>
          <w:rFonts w:ascii="Verdana" w:hAnsi="Verdana" w:cstheme="majorHAnsi"/>
        </w:rPr>
        <w:t>para un</w:t>
      </w:r>
      <w:r w:rsidR="00261258" w:rsidRPr="00574CF1">
        <w:rPr>
          <w:rFonts w:ascii="Verdana" w:hAnsi="Verdana" w:cstheme="majorHAnsi"/>
        </w:rPr>
        <w:t xml:space="preserve"> valor igual o superior al 40% del Presupuesto</w:t>
      </w:r>
      <w:r w:rsidR="00D84D52" w:rsidRPr="00574CF1">
        <w:rPr>
          <w:rFonts w:ascii="Verdana" w:hAnsi="Verdana" w:cstheme="majorHAnsi"/>
        </w:rPr>
        <w:t xml:space="preserve"> del proceso de selección. </w:t>
      </w:r>
    </w:p>
    <w:p w14:paraId="5226186A" w14:textId="77777777" w:rsidR="001B7A6D" w:rsidRPr="00574CF1" w:rsidRDefault="001B7A6D" w:rsidP="001B7A6D">
      <w:pPr>
        <w:pStyle w:val="Prrafodelista"/>
        <w:numPr>
          <w:ilvl w:val="0"/>
          <w:numId w:val="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74CF1">
        <w:rPr>
          <w:rFonts w:ascii="Verdana" w:eastAsia="Century Gothic" w:hAnsi="Verdana" w:cs="Century Gothic"/>
          <w:b/>
          <w:bCs/>
        </w:rPr>
        <w:t>Referencias normativas, jurisprudenciales y otras fuentes:</w:t>
      </w:r>
    </w:p>
    <w:p w14:paraId="429FCEA6" w14:textId="0578F29F" w:rsidR="001B7A6D" w:rsidRPr="00574CF1" w:rsidRDefault="001B7A6D" w:rsidP="001B7A6D">
      <w:pPr>
        <w:pStyle w:val="Prrafodelista"/>
        <w:numPr>
          <w:ilvl w:val="0"/>
          <w:numId w:val="7"/>
        </w:numPr>
        <w:spacing w:line="276" w:lineRule="auto"/>
        <w:ind w:right="709"/>
        <w:jc w:val="both"/>
        <w:rPr>
          <w:rFonts w:ascii="Verdana" w:hAnsi="Verdana" w:cs="Arial"/>
          <w:color w:val="000000" w:themeColor="text1"/>
          <w:lang w:val="es-ES_tradnl"/>
        </w:rPr>
      </w:pPr>
      <w:r w:rsidRPr="00574CF1">
        <w:rPr>
          <w:rFonts w:ascii="Verdana" w:hAnsi="Verdana" w:cs="Arial"/>
          <w:color w:val="000000" w:themeColor="text1"/>
          <w:lang w:val="es-ES_tradnl"/>
        </w:rPr>
        <w:t xml:space="preserve">Artículo </w:t>
      </w:r>
      <w:r w:rsidR="001B0267" w:rsidRPr="00574CF1">
        <w:rPr>
          <w:rFonts w:ascii="Verdana" w:hAnsi="Verdana" w:cs="Arial"/>
          <w:color w:val="000000" w:themeColor="text1"/>
          <w:lang w:val="es-ES_tradnl"/>
        </w:rPr>
        <w:t>2</w:t>
      </w:r>
      <w:r w:rsidRPr="00574CF1">
        <w:rPr>
          <w:rFonts w:ascii="Verdana" w:hAnsi="Verdana" w:cs="Arial"/>
          <w:color w:val="000000" w:themeColor="text1"/>
          <w:lang w:val="es-ES_tradnl"/>
        </w:rPr>
        <w:t xml:space="preserve"> de la Ley </w:t>
      </w:r>
      <w:r w:rsidR="001B0267" w:rsidRPr="00574CF1">
        <w:rPr>
          <w:rFonts w:ascii="Verdana" w:hAnsi="Verdana" w:cs="Arial"/>
          <w:color w:val="000000" w:themeColor="text1"/>
          <w:lang w:val="es-ES_tradnl"/>
        </w:rPr>
        <w:t>1150 de 2007</w:t>
      </w:r>
      <w:r w:rsidRPr="00574CF1">
        <w:rPr>
          <w:rFonts w:ascii="Verdana" w:hAnsi="Verdana" w:cs="Arial"/>
          <w:color w:val="000000" w:themeColor="text1"/>
          <w:lang w:val="es-ES_tradnl"/>
        </w:rPr>
        <w:t xml:space="preserve"> </w:t>
      </w:r>
    </w:p>
    <w:p w14:paraId="05BD7D17" w14:textId="44A043C2" w:rsidR="001B0267" w:rsidRPr="00574CF1" w:rsidRDefault="006051A3" w:rsidP="001B0267">
      <w:pPr>
        <w:pStyle w:val="Prrafodelista"/>
        <w:spacing w:line="276" w:lineRule="auto"/>
        <w:ind w:right="709"/>
        <w:jc w:val="both"/>
        <w:rPr>
          <w:rFonts w:ascii="Verdana" w:hAnsi="Verdana" w:cs="Arial"/>
          <w:color w:val="000000" w:themeColor="text1"/>
          <w:lang w:val="es-ES_tradnl"/>
        </w:rPr>
      </w:pPr>
      <w:hyperlink r:id="rId13" w:history="1">
        <w:r w:rsidR="001B0267" w:rsidRPr="00574CF1">
          <w:rPr>
            <w:rStyle w:val="Hipervnculo"/>
            <w:rFonts w:ascii="Verdana" w:hAnsi="Verdana" w:cs="Arial"/>
            <w:lang w:val="es-ES_tradnl"/>
          </w:rPr>
          <w:t>https://relatoria.colombiacompra.gov.co/normativa/ley-1150-de-2007/</w:t>
        </w:r>
      </w:hyperlink>
    </w:p>
    <w:p w14:paraId="584C8878" w14:textId="77777777" w:rsidR="001B0267" w:rsidRPr="00574CF1" w:rsidRDefault="001B0267" w:rsidP="001B0267">
      <w:pPr>
        <w:pStyle w:val="Prrafodelista"/>
        <w:spacing w:line="276" w:lineRule="auto"/>
        <w:ind w:right="709"/>
        <w:jc w:val="both"/>
        <w:rPr>
          <w:rFonts w:ascii="Verdana" w:hAnsi="Verdana" w:cs="Arial"/>
          <w:color w:val="000000" w:themeColor="text1"/>
          <w:lang w:val="es-ES_tradnl"/>
        </w:rPr>
      </w:pPr>
    </w:p>
    <w:p w14:paraId="307B3794" w14:textId="63CA6786" w:rsidR="00BE28B3" w:rsidRPr="00574CF1" w:rsidRDefault="00220DEA" w:rsidP="001B7A6D">
      <w:pPr>
        <w:pStyle w:val="Prrafodelista"/>
        <w:numPr>
          <w:ilvl w:val="0"/>
          <w:numId w:val="7"/>
        </w:numPr>
        <w:spacing w:before="120" w:after="0" w:line="276" w:lineRule="auto"/>
        <w:ind w:right="709"/>
        <w:jc w:val="both"/>
        <w:textAlignment w:val="baseline"/>
        <w:rPr>
          <w:rFonts w:ascii="Verdana" w:eastAsia="Times New Roman" w:hAnsi="Verdana" w:cs="Arial"/>
          <w:bCs/>
          <w:lang w:val="es-ES_tradnl" w:eastAsia="es-CO"/>
        </w:rPr>
      </w:pPr>
      <w:r w:rsidRPr="00574CF1">
        <w:rPr>
          <w:rFonts w:ascii="Verdana" w:eastAsia="Times New Roman" w:hAnsi="Verdana" w:cs="Arial"/>
          <w:bCs/>
          <w:lang w:val="es-ES_tradnl" w:eastAsia="es-CO"/>
        </w:rPr>
        <w:t xml:space="preserve">Artículo 4 </w:t>
      </w:r>
      <w:r w:rsidR="00BE28B3" w:rsidRPr="00574CF1">
        <w:rPr>
          <w:rFonts w:ascii="Verdana" w:eastAsia="Times New Roman" w:hAnsi="Verdana" w:cs="Arial"/>
          <w:bCs/>
          <w:lang w:val="es-ES_tradnl" w:eastAsia="es-CO"/>
        </w:rPr>
        <w:t xml:space="preserve">Ley </w:t>
      </w:r>
      <w:r w:rsidR="006822F5" w:rsidRPr="00574CF1">
        <w:rPr>
          <w:rFonts w:ascii="Verdana" w:eastAsia="Times New Roman" w:hAnsi="Verdana" w:cs="Arial"/>
          <w:bCs/>
          <w:lang w:val="es-ES_tradnl" w:eastAsia="es-CO"/>
        </w:rPr>
        <w:t>2022 de 2020</w:t>
      </w:r>
    </w:p>
    <w:p w14:paraId="7A725436" w14:textId="7E33922B" w:rsidR="00220DEA" w:rsidRPr="00574CF1" w:rsidRDefault="006051A3" w:rsidP="00220DEA">
      <w:pPr>
        <w:pStyle w:val="Prrafodelista"/>
        <w:spacing w:before="120" w:after="0" w:line="276" w:lineRule="auto"/>
        <w:ind w:right="709"/>
        <w:jc w:val="both"/>
        <w:textAlignment w:val="baseline"/>
        <w:rPr>
          <w:rFonts w:ascii="Verdana" w:eastAsia="Times New Roman" w:hAnsi="Verdana" w:cs="Arial"/>
          <w:bCs/>
          <w:lang w:val="es-ES_tradnl" w:eastAsia="es-CO"/>
        </w:rPr>
      </w:pPr>
      <w:hyperlink r:id="rId14" w:history="1">
        <w:r w:rsidR="00DC0A9F" w:rsidRPr="00574CF1">
          <w:rPr>
            <w:rStyle w:val="Hipervnculo"/>
            <w:rFonts w:ascii="Verdana" w:eastAsia="Times New Roman" w:hAnsi="Verdana" w:cs="Arial"/>
            <w:bCs/>
            <w:lang w:val="es-ES_tradnl" w:eastAsia="es-CO"/>
          </w:rPr>
          <w:t>https://relatoria.colombiacompra.gov.co/normativa/ley-2022-de-2020/</w:t>
        </w:r>
      </w:hyperlink>
    </w:p>
    <w:p w14:paraId="03BF7F7A" w14:textId="77777777" w:rsidR="00DC0A9F" w:rsidRPr="00574CF1" w:rsidRDefault="00DC0A9F" w:rsidP="00220DEA">
      <w:pPr>
        <w:pStyle w:val="Prrafodelista"/>
        <w:spacing w:before="120" w:after="0" w:line="276" w:lineRule="auto"/>
        <w:ind w:right="709"/>
        <w:jc w:val="both"/>
        <w:textAlignment w:val="baseline"/>
        <w:rPr>
          <w:rFonts w:ascii="Verdana" w:eastAsia="Times New Roman" w:hAnsi="Verdana" w:cs="Arial"/>
          <w:bCs/>
          <w:lang w:val="es-ES_tradnl" w:eastAsia="es-CO"/>
        </w:rPr>
      </w:pPr>
    </w:p>
    <w:p w14:paraId="1F1788F3" w14:textId="7E7BE9B9" w:rsidR="00DC0A9F" w:rsidRPr="00574CF1" w:rsidRDefault="00F30D95" w:rsidP="003E68A8">
      <w:pPr>
        <w:pStyle w:val="Prrafodelista"/>
        <w:numPr>
          <w:ilvl w:val="0"/>
          <w:numId w:val="7"/>
        </w:numPr>
        <w:spacing w:before="120" w:after="0" w:line="276" w:lineRule="auto"/>
        <w:ind w:right="709"/>
        <w:jc w:val="both"/>
        <w:textAlignment w:val="baseline"/>
        <w:rPr>
          <w:rFonts w:ascii="Verdana" w:eastAsia="Times New Roman" w:hAnsi="Verdana" w:cs="Arial"/>
          <w:bCs/>
          <w:lang w:val="es-ES_tradnl" w:eastAsia="es-CO"/>
        </w:rPr>
      </w:pPr>
      <w:r w:rsidRPr="00574CF1">
        <w:rPr>
          <w:rFonts w:ascii="Verdana" w:eastAsia="Times New Roman" w:hAnsi="Verdana" w:cs="Arial"/>
          <w:bCs/>
          <w:lang w:val="es-ES_tradnl" w:eastAsia="es-CO"/>
        </w:rPr>
        <w:t>DOCUMENTO BASE LICITACIÓN DE INFRAESTRUCTURA DE TRANSPORTE (VERSIÓN 3)</w:t>
      </w:r>
      <w:r w:rsidR="000828B1" w:rsidRPr="00574CF1">
        <w:rPr>
          <w:rFonts w:ascii="Verdana" w:eastAsia="Times New Roman" w:hAnsi="Verdana" w:cs="Arial"/>
          <w:bCs/>
          <w:lang w:val="es-ES_tradnl" w:eastAsia="es-CO"/>
        </w:rPr>
        <w:t xml:space="preserve">. </w:t>
      </w:r>
    </w:p>
    <w:p w14:paraId="6D6D4995" w14:textId="4A181789" w:rsidR="00273696" w:rsidRPr="00574CF1" w:rsidRDefault="006051A3" w:rsidP="00273696">
      <w:pPr>
        <w:pStyle w:val="Prrafodelista"/>
        <w:spacing w:before="120" w:after="0" w:line="276" w:lineRule="auto"/>
        <w:ind w:right="709"/>
        <w:jc w:val="both"/>
        <w:textAlignment w:val="baseline"/>
        <w:rPr>
          <w:rFonts w:ascii="Verdana" w:eastAsia="Times New Roman" w:hAnsi="Verdana" w:cs="Arial"/>
          <w:bCs/>
          <w:lang w:val="es-ES_tradnl" w:eastAsia="es-CO"/>
        </w:rPr>
      </w:pPr>
      <w:hyperlink r:id="rId15" w:history="1">
        <w:r w:rsidR="00273696" w:rsidRPr="00574CF1">
          <w:rPr>
            <w:rStyle w:val="Hipervnculo"/>
            <w:rFonts w:ascii="Verdana" w:eastAsia="Times New Roman" w:hAnsi="Verdana" w:cs="Arial"/>
            <w:bCs/>
            <w:lang w:val="es-ES_tradnl" w:eastAsia="es-CO"/>
          </w:rPr>
          <w:t>https://www.colombiacompra.gov.co/content/04-documentos-tipo-para-licitacion-de-obra-publica-de-infraestructura-de-transporte-version</w:t>
        </w:r>
      </w:hyperlink>
    </w:p>
    <w:p w14:paraId="56F04596" w14:textId="77777777" w:rsidR="00273696" w:rsidRPr="00574CF1" w:rsidRDefault="00273696" w:rsidP="00273696">
      <w:pPr>
        <w:pStyle w:val="Prrafodelista"/>
        <w:spacing w:before="120" w:after="0" w:line="276" w:lineRule="auto"/>
        <w:ind w:right="709"/>
        <w:jc w:val="both"/>
        <w:textAlignment w:val="baseline"/>
        <w:rPr>
          <w:rFonts w:ascii="Verdana" w:eastAsia="Times New Roman" w:hAnsi="Verdana" w:cs="Arial"/>
          <w:bCs/>
          <w:lang w:val="es-ES_tradnl" w:eastAsia="es-CO"/>
        </w:rPr>
      </w:pPr>
    </w:p>
    <w:p w14:paraId="5932CC81" w14:textId="77777777" w:rsidR="001B7A6D" w:rsidRPr="00574CF1" w:rsidRDefault="001B7A6D" w:rsidP="001B7A6D">
      <w:pPr>
        <w:pStyle w:val="Prrafodelista"/>
        <w:numPr>
          <w:ilvl w:val="0"/>
          <w:numId w:val="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74CF1">
        <w:rPr>
          <w:rFonts w:ascii="Verdana" w:eastAsia="Century Gothic" w:hAnsi="Verdana" w:cs="Century Gothic"/>
          <w:b/>
          <w:bCs/>
        </w:rPr>
        <w:t>Doctrina de la Agencia Nacional de Contratación Pública:</w:t>
      </w:r>
    </w:p>
    <w:p w14:paraId="0CDC4C0E" w14:textId="77777777" w:rsidR="001B7A6D" w:rsidRPr="00574CF1" w:rsidRDefault="001B7A6D" w:rsidP="001B7A6D">
      <w:pPr>
        <w:widowControl w:val="0"/>
        <w:autoSpaceDE w:val="0"/>
        <w:autoSpaceDN w:val="0"/>
        <w:spacing w:after="0" w:line="276" w:lineRule="auto"/>
        <w:jc w:val="both"/>
        <w:rPr>
          <w:rFonts w:ascii="Verdana" w:eastAsia="Calibri" w:hAnsi="Verdana" w:cs="Arial"/>
          <w:lang w:val="es-ES" w:eastAsia="es-ES"/>
        </w:rPr>
      </w:pPr>
    </w:p>
    <w:p w14:paraId="7A5E6ABB" w14:textId="363544EE" w:rsidR="001B7A6D" w:rsidRPr="00574CF1" w:rsidRDefault="001B7A6D" w:rsidP="001B7A6D">
      <w:pPr>
        <w:widowControl w:val="0"/>
        <w:autoSpaceDE w:val="0"/>
        <w:autoSpaceDN w:val="0"/>
        <w:spacing w:after="0" w:line="276" w:lineRule="auto"/>
        <w:jc w:val="both"/>
        <w:rPr>
          <w:rFonts w:ascii="Verdana" w:eastAsia="Calibri" w:hAnsi="Verdana" w:cs="Arial"/>
          <w:lang w:val="es-ES" w:eastAsia="es-ES"/>
        </w:rPr>
      </w:pPr>
      <w:r w:rsidRPr="00574CF1">
        <w:rPr>
          <w:rFonts w:ascii="Verdana" w:eastAsia="Calibri" w:hAnsi="Verdana" w:cs="Arial"/>
          <w:lang w:val="es-ES" w:eastAsia="es-ES"/>
        </w:rPr>
        <w:t xml:space="preserve">Sobre </w:t>
      </w:r>
      <w:r w:rsidR="007B2E3E" w:rsidRPr="00574CF1">
        <w:rPr>
          <w:rFonts w:ascii="Verdana" w:eastAsia="Calibri" w:hAnsi="Verdana" w:cs="Arial"/>
          <w:lang w:val="es-ES" w:eastAsia="es-ES"/>
        </w:rPr>
        <w:t>la</w:t>
      </w:r>
      <w:r w:rsidRPr="00574CF1">
        <w:rPr>
          <w:rFonts w:ascii="Verdana" w:eastAsia="Calibri" w:hAnsi="Verdana" w:cs="Arial"/>
          <w:lang w:val="es-ES" w:eastAsia="es-ES"/>
        </w:rPr>
        <w:t xml:space="preserve"> </w:t>
      </w:r>
      <w:r w:rsidR="007B2E3E" w:rsidRPr="00574CF1">
        <w:rPr>
          <w:rFonts w:ascii="Verdana" w:eastAsia="Calibri" w:hAnsi="Verdana" w:cs="Arial"/>
          <w:lang w:val="es-ES" w:eastAsia="es-ES"/>
        </w:rPr>
        <w:t>forma de establecer y acreditar la experiencia exigible en procesos de contratación adelantados con Documentos tipo</w:t>
      </w:r>
      <w:r w:rsidRPr="00574CF1">
        <w:rPr>
          <w:rFonts w:ascii="Verdana" w:eastAsia="Calibri" w:hAnsi="Verdana" w:cs="Arial"/>
          <w:lang w:val="es-ES" w:eastAsia="es-ES"/>
        </w:rPr>
        <w:t>, se pronunció esta Subdirección</w:t>
      </w:r>
      <w:r w:rsidR="007B2E3E" w:rsidRPr="00574CF1">
        <w:rPr>
          <w:rFonts w:ascii="Verdana" w:eastAsia="Calibri" w:hAnsi="Verdana" w:cs="Arial"/>
          <w:lang w:val="es-ES" w:eastAsia="es-ES"/>
        </w:rPr>
        <w:t xml:space="preserve">, en los Conceptos C-056  del 8 de enero de 2020, C-069 del 24 de enero de 2020, C-097 </w:t>
      </w:r>
      <w:r w:rsidR="007B2E3E" w:rsidRPr="00574CF1">
        <w:rPr>
          <w:rFonts w:ascii="Verdana" w:eastAsia="Calibri" w:hAnsi="Verdana" w:cs="Arial"/>
          <w:lang w:val="es-ES" w:eastAsia="es-ES"/>
        </w:rPr>
        <w:lastRenderedPageBreak/>
        <w:t>del 5 de febrero de 2020, C-198 del 17 de abril de 2020, C 325 del 26 de mayo de 2020, C-444 del 13 de julio de 2020, C-466 del 24 de julio de 2020, C-485 del 29 de julio de 2020, C-501 del 29 de julio de 2020, C-478 del 30 de julio de 2020, C-450 de 3 de agosto de 2020, C-497 del 6 de agosto de 2020, C-528 del 18 de agosto de 2020, C-531 del 21 de agosto de 2020, C-546 del 26 de agosto de 2020, C-597 del 14 de septiembre de 2020, C-618 del 17 de septiembre de 2020, C-630 del 21 de octubre de 2020, C-633 del 2 de octubre de 2020, C-643 del 26 de octubre de 2020, C-635 del 29 de octubre de 2020, C-716 del 30 de octubre de 2020, C-653 del 9 de noviembre de 2020, C-665 del 11 de noviembre de 2020, C-698 del 19 de noviembre de 2020, C-713 del 2 de diciembre de 2020, C-105 del 26 de marzo de 2021, C-152 del 12 de abril de 2021, C-361 del 10 de agosto de 2021</w:t>
      </w:r>
      <w:r w:rsidR="00BD2651" w:rsidRPr="00574CF1">
        <w:rPr>
          <w:rFonts w:ascii="Verdana" w:eastAsia="Calibri" w:hAnsi="Verdana" w:cs="Arial"/>
          <w:lang w:val="es-ES" w:eastAsia="es-ES"/>
        </w:rPr>
        <w:t>,</w:t>
      </w:r>
      <w:r w:rsidR="007B2E3E" w:rsidRPr="00574CF1">
        <w:rPr>
          <w:rFonts w:ascii="Verdana" w:eastAsia="Calibri" w:hAnsi="Verdana" w:cs="Arial"/>
          <w:lang w:val="es-ES" w:eastAsia="es-ES"/>
        </w:rPr>
        <w:t xml:space="preserve"> C-464 de</w:t>
      </w:r>
      <w:r w:rsidR="00B66B80" w:rsidRPr="00574CF1">
        <w:rPr>
          <w:rFonts w:ascii="Verdana" w:eastAsia="Calibri" w:hAnsi="Verdana" w:cs="Arial"/>
          <w:lang w:val="es-ES" w:eastAsia="es-ES"/>
        </w:rPr>
        <w:t>l</w:t>
      </w:r>
      <w:r w:rsidR="007B2E3E" w:rsidRPr="00574CF1">
        <w:rPr>
          <w:rFonts w:ascii="Verdana" w:eastAsia="Calibri" w:hAnsi="Verdana" w:cs="Arial"/>
          <w:lang w:val="es-ES" w:eastAsia="es-ES"/>
        </w:rPr>
        <w:t xml:space="preserve"> 13 de septiembre de 2021</w:t>
      </w:r>
      <w:r w:rsidR="003521C4" w:rsidRPr="00574CF1">
        <w:rPr>
          <w:rFonts w:ascii="Verdana" w:eastAsia="Calibri" w:hAnsi="Verdana" w:cs="Arial"/>
          <w:lang w:val="es-ES" w:eastAsia="es-ES"/>
        </w:rPr>
        <w:t xml:space="preserve">, </w:t>
      </w:r>
      <w:r w:rsidR="00F923BC" w:rsidRPr="00574CF1">
        <w:rPr>
          <w:rFonts w:ascii="Verdana" w:eastAsia="Calibri" w:hAnsi="Verdana" w:cs="Arial"/>
          <w:lang w:val="es-ES" w:eastAsia="es-ES"/>
        </w:rPr>
        <w:t>C-</w:t>
      </w:r>
      <w:r w:rsidR="006963A7" w:rsidRPr="00574CF1">
        <w:rPr>
          <w:rFonts w:ascii="Verdana" w:eastAsia="Calibri" w:hAnsi="Verdana" w:cs="Arial"/>
          <w:lang w:val="es-ES" w:eastAsia="es-ES"/>
        </w:rPr>
        <w:t>602 d</w:t>
      </w:r>
      <w:r w:rsidR="00B66B80" w:rsidRPr="00574CF1">
        <w:rPr>
          <w:rFonts w:ascii="Verdana" w:eastAsia="Calibri" w:hAnsi="Verdana" w:cs="Arial"/>
          <w:lang w:val="es-ES" w:eastAsia="es-ES"/>
        </w:rPr>
        <w:t xml:space="preserve">el </w:t>
      </w:r>
      <w:r w:rsidR="00324CE0" w:rsidRPr="00574CF1">
        <w:rPr>
          <w:rFonts w:ascii="Verdana" w:eastAsia="Calibri" w:hAnsi="Verdana" w:cs="Arial"/>
          <w:lang w:val="es-ES" w:eastAsia="es-ES"/>
        </w:rPr>
        <w:t>21 de septiembre de 20</w:t>
      </w:r>
      <w:r w:rsidR="0026309D" w:rsidRPr="00574CF1">
        <w:rPr>
          <w:rFonts w:ascii="Verdana" w:eastAsia="Calibri" w:hAnsi="Verdana" w:cs="Arial"/>
          <w:lang w:val="es-ES" w:eastAsia="es-ES"/>
        </w:rPr>
        <w:t xml:space="preserve">22 y </w:t>
      </w:r>
      <w:r w:rsidR="00966995" w:rsidRPr="00574CF1">
        <w:rPr>
          <w:rFonts w:ascii="Verdana" w:eastAsia="Calibri" w:hAnsi="Verdana" w:cs="Arial"/>
          <w:lang w:val="es-ES" w:eastAsia="es-ES"/>
        </w:rPr>
        <w:t xml:space="preserve">C-649 </w:t>
      </w:r>
      <w:r w:rsidR="00F37912" w:rsidRPr="00574CF1">
        <w:rPr>
          <w:rFonts w:ascii="Verdana" w:eastAsia="Calibri" w:hAnsi="Verdana" w:cs="Arial"/>
          <w:lang w:val="es-ES" w:eastAsia="es-ES"/>
        </w:rPr>
        <w:t xml:space="preserve">del 17 de noviembre </w:t>
      </w:r>
      <w:r w:rsidR="005F7283" w:rsidRPr="00574CF1">
        <w:rPr>
          <w:rFonts w:ascii="Verdana" w:eastAsia="Calibri" w:hAnsi="Verdana" w:cs="Arial"/>
          <w:lang w:val="es-ES" w:eastAsia="es-ES"/>
        </w:rPr>
        <w:t>de 2021; y Concepto C-401 del 27 de septiembre de 2023.</w:t>
      </w:r>
      <w:r w:rsidRPr="00574CF1">
        <w:rPr>
          <w:rFonts w:ascii="Verdana" w:eastAsia="Calibri" w:hAnsi="Verdana" w:cs="Arial"/>
          <w:lang w:val="es-ES" w:eastAsia="es-ES"/>
        </w:rPr>
        <w:t xml:space="preserve">, se pronunció sobre </w:t>
      </w:r>
      <w:r w:rsidR="003040FF" w:rsidRPr="00574CF1">
        <w:rPr>
          <w:rFonts w:ascii="Verdana" w:eastAsia="Calibri" w:hAnsi="Verdana" w:cs="Arial"/>
          <w:lang w:val="es-ES" w:eastAsia="es-ES"/>
        </w:rPr>
        <w:t xml:space="preserve">el concepto </w:t>
      </w:r>
      <w:r w:rsidR="00285125" w:rsidRPr="00574CF1">
        <w:rPr>
          <w:rFonts w:ascii="Verdana" w:eastAsia="Calibri" w:hAnsi="Verdana" w:cs="Arial"/>
          <w:lang w:val="es-ES" w:eastAsia="es-ES"/>
        </w:rPr>
        <w:t xml:space="preserve">de costos indirectos. </w:t>
      </w:r>
    </w:p>
    <w:p w14:paraId="0EF9F0BA" w14:textId="77777777" w:rsidR="00F81935" w:rsidRDefault="00F81935" w:rsidP="001B7A6D">
      <w:pPr>
        <w:widowControl w:val="0"/>
        <w:autoSpaceDE w:val="0"/>
        <w:autoSpaceDN w:val="0"/>
        <w:spacing w:after="0" w:line="276" w:lineRule="auto"/>
        <w:ind w:firstLine="708"/>
        <w:jc w:val="both"/>
        <w:rPr>
          <w:rStyle w:val="normaltextrun"/>
          <w:rFonts w:ascii="Verdana" w:hAnsi="Verdana" w:cs="Arial"/>
          <w:shd w:val="clear" w:color="auto" w:fill="FFFFFF"/>
        </w:rPr>
      </w:pPr>
    </w:p>
    <w:p w14:paraId="6E90F4D7" w14:textId="669F7936" w:rsidR="001B7A6D" w:rsidRPr="00574CF1" w:rsidRDefault="001B7A6D" w:rsidP="001B7A6D">
      <w:pPr>
        <w:widowControl w:val="0"/>
        <w:autoSpaceDE w:val="0"/>
        <w:autoSpaceDN w:val="0"/>
        <w:spacing w:after="0" w:line="276" w:lineRule="auto"/>
        <w:ind w:firstLine="708"/>
        <w:jc w:val="both"/>
        <w:rPr>
          <w:rStyle w:val="normaltextrun"/>
          <w:rFonts w:ascii="Verdana" w:hAnsi="Verdana" w:cs="Arial"/>
          <w:color w:val="FF0000"/>
          <w:shd w:val="clear" w:color="auto" w:fill="FFFFFF"/>
        </w:rPr>
      </w:pPr>
      <w:r w:rsidRPr="00574CF1">
        <w:rPr>
          <w:rStyle w:val="normaltextrun"/>
          <w:rFonts w:ascii="Verdana" w:hAnsi="Verdana" w:cs="Arial"/>
          <w:shd w:val="clear" w:color="auto" w:fill="FFFFFF"/>
        </w:rPr>
        <w:t>Es</w:t>
      </w:r>
      <w:r w:rsidRPr="00574CF1">
        <w:rPr>
          <w:rFonts w:ascii="Verdana" w:hAnsi="Verdana"/>
        </w:rPr>
        <w:t>tos y otros conceptos se encuentran disponibles para consulta en el Sistema de relatoría de la Agencia, al cual se puede acceder a través del siguiente enlace:</w:t>
      </w:r>
      <w:hyperlink r:id="rId16" w:history="1">
        <w:r w:rsidRPr="00574CF1">
          <w:rPr>
            <w:rStyle w:val="Hipervnculo"/>
            <w:rFonts w:ascii="Verdana" w:hAnsi="Verdana" w:cs="Arial"/>
            <w:shd w:val="clear" w:color="auto" w:fill="FFFFFF"/>
            <w:lang w:val="es-ES"/>
          </w:rPr>
          <w:t>https://relatoria.colombiacompra.gov.co/busqueda/conceptos</w:t>
        </w:r>
      </w:hyperlink>
      <w:r w:rsidRPr="00574CF1">
        <w:rPr>
          <w:rStyle w:val="normaltextrun"/>
          <w:rFonts w:ascii="Verdana" w:hAnsi="Verdana" w:cs="Arial"/>
          <w:color w:val="FF0000"/>
          <w:shd w:val="clear" w:color="auto" w:fill="FFFFFF"/>
        </w:rPr>
        <w:t xml:space="preserve">. </w:t>
      </w:r>
    </w:p>
    <w:p w14:paraId="0BF86C01" w14:textId="77777777" w:rsidR="001B7A6D" w:rsidRPr="00574CF1" w:rsidRDefault="001B7A6D" w:rsidP="001B7A6D">
      <w:pPr>
        <w:spacing w:before="120" w:after="0" w:line="276" w:lineRule="auto"/>
        <w:jc w:val="both"/>
        <w:textAlignment w:val="baseline"/>
        <w:rPr>
          <w:rFonts w:ascii="Verdana" w:eastAsia="Times New Roman" w:hAnsi="Verdana" w:cs="Arial"/>
          <w:bCs/>
          <w:lang w:val="es-ES_tradnl" w:eastAsia="es-CO"/>
        </w:rPr>
      </w:pPr>
      <w:r w:rsidRPr="00574CF1">
        <w:rPr>
          <w:rFonts w:ascii="Verdana" w:hAnsi="Verdana" w:cs="Arial"/>
          <w:color w:val="000000" w:themeColor="text1"/>
          <w:lang w:val="es-ES_tradnl"/>
        </w:rPr>
        <w:t>Este concepto tiene el alcance previsto en el artículo 28 del Código de Procedimiento Administrativo y de lo Contencioso Administrativo y las expresiones utilizadas con mayúscula inicial deben ser entendidas con el significado que les otorga el artículo 2.2.1.1.1.3.1 del Decreto 1082 de 2015.</w:t>
      </w:r>
    </w:p>
    <w:p w14:paraId="5454268C" w14:textId="77777777" w:rsidR="001B7A6D" w:rsidRPr="00574CF1" w:rsidRDefault="001B7A6D" w:rsidP="001B7A6D">
      <w:pPr>
        <w:spacing w:after="0" w:line="240" w:lineRule="auto"/>
        <w:rPr>
          <w:rFonts w:ascii="Verdana" w:eastAsia="Calibri" w:hAnsi="Verdana"/>
        </w:rPr>
      </w:pPr>
    </w:p>
    <w:p w14:paraId="3B57ADF0" w14:textId="77777777" w:rsidR="001B7A6D" w:rsidRPr="00574CF1" w:rsidRDefault="001B7A6D" w:rsidP="001B7A6D">
      <w:pPr>
        <w:spacing w:after="0" w:line="240" w:lineRule="auto"/>
        <w:rPr>
          <w:rFonts w:ascii="Verdana" w:eastAsia="Times New Roman" w:hAnsi="Verdana" w:cs="Arial"/>
          <w:lang w:eastAsia="es-CO"/>
        </w:rPr>
      </w:pPr>
      <w:r w:rsidRPr="00574CF1">
        <w:rPr>
          <w:rFonts w:ascii="Verdana" w:eastAsia="Times New Roman" w:hAnsi="Verdana" w:cs="Arial"/>
          <w:lang w:eastAsia="es-CO"/>
        </w:rPr>
        <w:t>Atentamente,</w:t>
      </w:r>
    </w:p>
    <w:p w14:paraId="2DB8AB4D" w14:textId="77777777" w:rsidR="001B7A6D" w:rsidRPr="00574CF1" w:rsidRDefault="001B7A6D" w:rsidP="001B7A6D">
      <w:pPr>
        <w:spacing w:after="0" w:line="276" w:lineRule="auto"/>
        <w:jc w:val="center"/>
        <w:rPr>
          <w:rFonts w:ascii="Verdana" w:eastAsia="Times New Roman" w:hAnsi="Verdana" w:cs="Arial"/>
          <w:color w:val="000000"/>
          <w:lang w:val="es-ES_tradnl" w:eastAsia="es-CO"/>
        </w:rPr>
      </w:pPr>
    </w:p>
    <w:p w14:paraId="20907E05" w14:textId="05A5F1E8" w:rsidR="001B7A6D" w:rsidRPr="00574CF1" w:rsidRDefault="006051A3" w:rsidP="001B7A6D">
      <w:pPr>
        <w:spacing w:after="0" w:line="276" w:lineRule="auto"/>
        <w:jc w:val="center"/>
        <w:rPr>
          <w:rFonts w:ascii="Verdana" w:eastAsia="Times New Roman" w:hAnsi="Verdana" w:cs="Arial"/>
          <w:color w:val="000000"/>
          <w:lang w:val="es-ES_tradnl" w:eastAsia="es-CO"/>
        </w:rPr>
      </w:pPr>
      <w:r>
        <w:rPr>
          <w:noProof/>
        </w:rPr>
        <w:drawing>
          <wp:inline distT="0" distB="0" distL="0" distR="0" wp14:anchorId="09B85809" wp14:editId="22006EC3">
            <wp:extent cx="3771429" cy="1400000"/>
            <wp:effectExtent l="0" t="0" r="635" b="0"/>
            <wp:docPr id="1393808765"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3808765" name="Imagen 1" descr="Texto&#10;&#10;Descripción generada automáticamente"/>
                    <pic:cNvPicPr/>
                  </pic:nvPicPr>
                  <pic:blipFill>
                    <a:blip r:embed="rId17"/>
                    <a:stretch>
                      <a:fillRect/>
                    </a:stretch>
                  </pic:blipFill>
                  <pic:spPr>
                    <a:xfrm>
                      <a:off x="0" y="0"/>
                      <a:ext cx="3771429" cy="1400000"/>
                    </a:xfrm>
                    <a:prstGeom prst="rect">
                      <a:avLst/>
                    </a:prstGeom>
                  </pic:spPr>
                </pic:pic>
              </a:graphicData>
            </a:graphic>
          </wp:inline>
        </w:drawing>
      </w: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1B7A6D" w:rsidRPr="00574CF1" w14:paraId="4305158E" w14:textId="77777777" w:rsidTr="003E68A8">
        <w:trPr>
          <w:trHeight w:val="409"/>
        </w:trPr>
        <w:tc>
          <w:tcPr>
            <w:tcW w:w="817" w:type="dxa"/>
            <w:tcBorders>
              <w:top w:val="nil"/>
              <w:left w:val="nil"/>
              <w:bottom w:val="nil"/>
              <w:right w:val="nil"/>
            </w:tcBorders>
            <w:vAlign w:val="center"/>
            <w:hideMark/>
          </w:tcPr>
          <w:p w14:paraId="2F74592F" w14:textId="77777777" w:rsidR="001B7A6D" w:rsidRPr="00574CF1" w:rsidRDefault="001B7A6D" w:rsidP="003E68A8">
            <w:pPr>
              <w:spacing w:after="0" w:line="240" w:lineRule="auto"/>
              <w:jc w:val="both"/>
              <w:rPr>
                <w:rFonts w:ascii="Verdana" w:hAnsi="Verdana" w:cs="Arial"/>
                <w:sz w:val="16"/>
                <w:szCs w:val="16"/>
              </w:rPr>
            </w:pPr>
            <w:r w:rsidRPr="00574CF1">
              <w:rPr>
                <w:rFonts w:ascii="Verdana" w:hAnsi="Verdana" w:cs="Arial"/>
                <w:sz w:val="16"/>
                <w:szCs w:val="16"/>
              </w:rPr>
              <w:t>Elaboró: </w:t>
            </w:r>
          </w:p>
        </w:tc>
        <w:tc>
          <w:tcPr>
            <w:tcW w:w="4937" w:type="dxa"/>
            <w:tcBorders>
              <w:top w:val="nil"/>
              <w:left w:val="nil"/>
              <w:bottom w:val="dotted" w:sz="6" w:space="0" w:color="7F7F7F" w:themeColor="text1" w:themeTint="80"/>
              <w:right w:val="nil"/>
            </w:tcBorders>
            <w:vAlign w:val="center"/>
            <w:hideMark/>
          </w:tcPr>
          <w:p w14:paraId="1D8E3CB0" w14:textId="77777777" w:rsidR="001B7A6D" w:rsidRPr="00574CF1" w:rsidRDefault="001B7A6D" w:rsidP="003E68A8">
            <w:pPr>
              <w:spacing w:after="0" w:line="240" w:lineRule="auto"/>
              <w:jc w:val="both"/>
              <w:rPr>
                <w:rFonts w:ascii="Verdana" w:hAnsi="Verdana" w:cs="Arial"/>
                <w:sz w:val="16"/>
                <w:szCs w:val="16"/>
              </w:rPr>
            </w:pPr>
            <w:r w:rsidRPr="00574CF1">
              <w:rPr>
                <w:rFonts w:ascii="Verdana" w:hAnsi="Verdana" w:cs="Arial"/>
                <w:sz w:val="16"/>
                <w:szCs w:val="16"/>
              </w:rPr>
              <w:t>Gustavo Hinestroza Martínez</w:t>
            </w:r>
          </w:p>
          <w:p w14:paraId="74BAF2E4" w14:textId="77777777" w:rsidR="001B7A6D" w:rsidRPr="00574CF1" w:rsidRDefault="001B7A6D" w:rsidP="003E68A8">
            <w:pPr>
              <w:spacing w:after="0" w:line="240" w:lineRule="auto"/>
              <w:jc w:val="both"/>
              <w:rPr>
                <w:rFonts w:ascii="Verdana" w:hAnsi="Verdana" w:cs="Arial"/>
                <w:sz w:val="16"/>
                <w:szCs w:val="16"/>
              </w:rPr>
            </w:pPr>
            <w:r w:rsidRPr="00574CF1">
              <w:rPr>
                <w:rFonts w:ascii="Verdana" w:hAnsi="Verdana" w:cs="Arial"/>
                <w:sz w:val="16"/>
                <w:szCs w:val="16"/>
              </w:rPr>
              <w:t>Contratista de la Subdirección de Gestión Contractual</w:t>
            </w:r>
          </w:p>
        </w:tc>
      </w:tr>
      <w:tr w:rsidR="001B7A6D" w:rsidRPr="00574CF1" w14:paraId="7CEF3637" w14:textId="77777777" w:rsidTr="003E68A8">
        <w:trPr>
          <w:trHeight w:val="409"/>
        </w:trPr>
        <w:tc>
          <w:tcPr>
            <w:tcW w:w="817" w:type="dxa"/>
            <w:tcBorders>
              <w:top w:val="nil"/>
              <w:left w:val="nil"/>
              <w:right w:val="nil"/>
            </w:tcBorders>
            <w:vAlign w:val="center"/>
          </w:tcPr>
          <w:p w14:paraId="3518C4D3" w14:textId="77777777" w:rsidR="001B7A6D" w:rsidRPr="00574CF1" w:rsidRDefault="001B7A6D" w:rsidP="003E68A8">
            <w:pPr>
              <w:spacing w:after="0"/>
              <w:jc w:val="both"/>
              <w:rPr>
                <w:rFonts w:ascii="Verdana" w:hAnsi="Verdana" w:cs="Arial"/>
                <w:sz w:val="16"/>
                <w:szCs w:val="16"/>
              </w:rPr>
            </w:pPr>
            <w:r w:rsidRPr="00574CF1">
              <w:rPr>
                <w:rFonts w:ascii="Verdana" w:hAnsi="Verdana" w:cs="Arial"/>
                <w:sz w:val="16"/>
                <w:szCs w:val="16"/>
              </w:rPr>
              <w:t>Revisó</w:t>
            </w:r>
          </w:p>
        </w:tc>
        <w:tc>
          <w:tcPr>
            <w:tcW w:w="4937" w:type="dxa"/>
            <w:tcBorders>
              <w:top w:val="dotted" w:sz="6" w:space="0" w:color="7F7F7F" w:themeColor="text1" w:themeTint="80"/>
              <w:left w:val="nil"/>
              <w:bottom w:val="dotted" w:sz="6" w:space="0" w:color="7F7F7F" w:themeColor="text1" w:themeTint="80"/>
              <w:right w:val="nil"/>
            </w:tcBorders>
            <w:vAlign w:val="center"/>
          </w:tcPr>
          <w:p w14:paraId="12439D22" w14:textId="024AC003" w:rsidR="001B7A6D" w:rsidRPr="00574CF1" w:rsidRDefault="008245E7" w:rsidP="003E68A8">
            <w:pPr>
              <w:spacing w:after="0" w:line="276" w:lineRule="auto"/>
              <w:textAlignment w:val="baseline"/>
              <w:rPr>
                <w:rFonts w:ascii="Verdana" w:eastAsia="Times New Roman" w:hAnsi="Verdana" w:cstheme="minorHAnsi"/>
                <w:sz w:val="16"/>
                <w:szCs w:val="16"/>
                <w:lang w:eastAsia="es-CO"/>
              </w:rPr>
            </w:pPr>
            <w:r w:rsidRPr="00574CF1">
              <w:rPr>
                <w:rFonts w:ascii="Verdana" w:eastAsia="Times New Roman" w:hAnsi="Verdana" w:cstheme="minorHAnsi"/>
                <w:sz w:val="16"/>
                <w:szCs w:val="16"/>
                <w:lang w:eastAsia="es-CO"/>
              </w:rPr>
              <w:t xml:space="preserve">Adriana Katerine </w:t>
            </w:r>
            <w:r w:rsidR="00DA3261" w:rsidRPr="00574CF1">
              <w:rPr>
                <w:rFonts w:ascii="Verdana" w:eastAsia="Times New Roman" w:hAnsi="Verdana" w:cstheme="minorHAnsi"/>
                <w:sz w:val="16"/>
                <w:szCs w:val="16"/>
                <w:lang w:eastAsia="es-CO"/>
              </w:rPr>
              <w:t>López</w:t>
            </w:r>
            <w:r w:rsidRPr="00574CF1">
              <w:rPr>
                <w:rFonts w:ascii="Verdana" w:eastAsia="Times New Roman" w:hAnsi="Verdana" w:cstheme="minorHAnsi"/>
                <w:sz w:val="16"/>
                <w:szCs w:val="16"/>
                <w:lang w:eastAsia="es-CO"/>
              </w:rPr>
              <w:t xml:space="preserve"> </w:t>
            </w:r>
            <w:r w:rsidR="00DA3261" w:rsidRPr="00574CF1">
              <w:rPr>
                <w:rFonts w:ascii="Verdana" w:eastAsia="Times New Roman" w:hAnsi="Verdana" w:cstheme="minorHAnsi"/>
                <w:sz w:val="16"/>
                <w:szCs w:val="16"/>
                <w:lang w:eastAsia="es-CO"/>
              </w:rPr>
              <w:t>Rodríguez</w:t>
            </w:r>
            <w:r w:rsidRPr="00574CF1">
              <w:rPr>
                <w:rFonts w:ascii="Verdana" w:eastAsia="Times New Roman" w:hAnsi="Verdana" w:cstheme="minorHAnsi"/>
                <w:sz w:val="16"/>
                <w:szCs w:val="16"/>
                <w:lang w:eastAsia="es-CO"/>
              </w:rPr>
              <w:t xml:space="preserve"> </w:t>
            </w:r>
          </w:p>
          <w:p w14:paraId="5723B62F" w14:textId="77777777" w:rsidR="001B7A6D" w:rsidRDefault="001B7A6D" w:rsidP="003E68A8">
            <w:pPr>
              <w:spacing w:after="0" w:line="240" w:lineRule="auto"/>
              <w:jc w:val="both"/>
              <w:rPr>
                <w:rFonts w:ascii="Verdana" w:eastAsia="Times New Roman" w:hAnsi="Verdana" w:cstheme="minorHAnsi"/>
                <w:sz w:val="16"/>
                <w:szCs w:val="16"/>
                <w:lang w:val="es-ES" w:eastAsia="es-ES"/>
              </w:rPr>
            </w:pPr>
            <w:r w:rsidRPr="00574CF1">
              <w:rPr>
                <w:rFonts w:ascii="Verdana" w:eastAsia="Times New Roman" w:hAnsi="Verdana" w:cstheme="minorHAnsi"/>
                <w:sz w:val="16"/>
                <w:szCs w:val="16"/>
                <w:lang w:val="es-ES" w:eastAsia="es-ES"/>
              </w:rPr>
              <w:t>Contratista de la Subdirección de Gestión Contractual</w:t>
            </w:r>
          </w:p>
          <w:p w14:paraId="6982A89C" w14:textId="77777777" w:rsidR="00B808F9" w:rsidRDefault="00100AC1" w:rsidP="003E68A8">
            <w:pPr>
              <w:spacing w:after="0" w:line="240" w:lineRule="auto"/>
              <w:jc w:val="both"/>
              <w:rPr>
                <w:rFonts w:ascii="Verdana" w:eastAsia="Times New Roman" w:hAnsi="Verdana" w:cstheme="minorHAnsi"/>
                <w:sz w:val="16"/>
                <w:szCs w:val="16"/>
                <w:lang w:val="es-ES" w:eastAsia="es-ES"/>
              </w:rPr>
            </w:pPr>
            <w:r>
              <w:rPr>
                <w:rFonts w:ascii="Verdana" w:eastAsia="Times New Roman" w:hAnsi="Verdana" w:cstheme="minorHAnsi"/>
                <w:sz w:val="16"/>
                <w:szCs w:val="16"/>
                <w:lang w:val="es-ES" w:eastAsia="es-ES"/>
              </w:rPr>
              <w:t xml:space="preserve">Lida Milena </w:t>
            </w:r>
            <w:r w:rsidR="00B808F9">
              <w:rPr>
                <w:rFonts w:ascii="Verdana" w:eastAsia="Times New Roman" w:hAnsi="Verdana" w:cstheme="minorHAnsi"/>
                <w:sz w:val="16"/>
                <w:szCs w:val="16"/>
                <w:lang w:val="es-ES" w:eastAsia="es-ES"/>
              </w:rPr>
              <w:t>Guanumen Pacheco</w:t>
            </w:r>
          </w:p>
          <w:p w14:paraId="435825D4" w14:textId="77777777" w:rsidR="00B808F9" w:rsidRDefault="00B808F9" w:rsidP="00B808F9">
            <w:pPr>
              <w:spacing w:after="0" w:line="240" w:lineRule="auto"/>
              <w:jc w:val="both"/>
              <w:rPr>
                <w:rFonts w:ascii="Verdana" w:eastAsia="Times New Roman" w:hAnsi="Verdana" w:cstheme="minorHAnsi"/>
                <w:sz w:val="16"/>
                <w:szCs w:val="16"/>
                <w:lang w:val="es-ES" w:eastAsia="es-ES"/>
              </w:rPr>
            </w:pPr>
            <w:r w:rsidRPr="00574CF1">
              <w:rPr>
                <w:rFonts w:ascii="Verdana" w:eastAsia="Times New Roman" w:hAnsi="Verdana" w:cstheme="minorHAnsi"/>
                <w:sz w:val="16"/>
                <w:szCs w:val="16"/>
                <w:lang w:val="es-ES" w:eastAsia="es-ES"/>
              </w:rPr>
              <w:t>Contratista de la Subdirección de Gestión Contractual</w:t>
            </w:r>
          </w:p>
          <w:p w14:paraId="46EFE9F5" w14:textId="4EB0A3A4" w:rsidR="00100AC1" w:rsidRPr="00574CF1" w:rsidRDefault="00B808F9" w:rsidP="003E68A8">
            <w:pPr>
              <w:spacing w:after="0" w:line="240" w:lineRule="auto"/>
              <w:jc w:val="both"/>
              <w:rPr>
                <w:rFonts w:ascii="Verdana" w:hAnsi="Verdana" w:cs="Arial"/>
                <w:sz w:val="16"/>
                <w:szCs w:val="16"/>
              </w:rPr>
            </w:pPr>
            <w:r>
              <w:rPr>
                <w:rFonts w:ascii="Verdana" w:eastAsia="Times New Roman" w:hAnsi="Verdana" w:cstheme="minorHAnsi"/>
                <w:sz w:val="16"/>
                <w:szCs w:val="16"/>
                <w:lang w:val="es-ES" w:eastAsia="es-ES"/>
              </w:rPr>
              <w:t xml:space="preserve"> </w:t>
            </w:r>
          </w:p>
        </w:tc>
      </w:tr>
      <w:tr w:rsidR="001B7A6D" w:rsidRPr="00574CF1" w14:paraId="54B6AAA6" w14:textId="77777777" w:rsidTr="003E68A8">
        <w:trPr>
          <w:trHeight w:val="389"/>
        </w:trPr>
        <w:tc>
          <w:tcPr>
            <w:tcW w:w="817" w:type="dxa"/>
            <w:tcBorders>
              <w:top w:val="nil"/>
              <w:left w:val="nil"/>
              <w:bottom w:val="nil"/>
              <w:right w:val="nil"/>
            </w:tcBorders>
            <w:vAlign w:val="center"/>
            <w:hideMark/>
          </w:tcPr>
          <w:p w14:paraId="7FFFD07E" w14:textId="77777777" w:rsidR="001B7A6D" w:rsidRPr="00574CF1" w:rsidRDefault="001B7A6D" w:rsidP="003E68A8">
            <w:pPr>
              <w:spacing w:after="0" w:line="240" w:lineRule="auto"/>
              <w:jc w:val="both"/>
              <w:rPr>
                <w:rFonts w:ascii="Verdana" w:hAnsi="Verdana" w:cs="Arial"/>
                <w:sz w:val="16"/>
                <w:szCs w:val="16"/>
              </w:rPr>
            </w:pPr>
            <w:r w:rsidRPr="00574CF1">
              <w:rPr>
                <w:rFonts w:ascii="Verdana" w:hAnsi="Verdana" w:cs="Arial"/>
                <w:sz w:val="16"/>
                <w:szCs w:val="16"/>
              </w:rPr>
              <w:lastRenderedPageBreak/>
              <w:t>Aprobó: </w:t>
            </w:r>
          </w:p>
        </w:tc>
        <w:tc>
          <w:tcPr>
            <w:tcW w:w="4937" w:type="dxa"/>
            <w:tcBorders>
              <w:top w:val="dotted" w:sz="6" w:space="0" w:color="7F7F7F" w:themeColor="text1" w:themeTint="80"/>
              <w:left w:val="nil"/>
              <w:bottom w:val="dotted" w:sz="6" w:space="0" w:color="7F7F7F" w:themeColor="text1" w:themeTint="80"/>
              <w:right w:val="nil"/>
            </w:tcBorders>
            <w:vAlign w:val="center"/>
            <w:hideMark/>
          </w:tcPr>
          <w:p w14:paraId="13EE5D00" w14:textId="77777777" w:rsidR="001B7A6D" w:rsidRPr="00574CF1" w:rsidRDefault="001B7A6D" w:rsidP="003E68A8">
            <w:pPr>
              <w:spacing w:after="0"/>
              <w:rPr>
                <w:rFonts w:ascii="Verdana" w:eastAsia="Calibri" w:hAnsi="Verdana" w:cs="Arial"/>
                <w:sz w:val="16"/>
                <w:szCs w:val="16"/>
                <w:lang w:val="pt-BR" w:eastAsia="es-ES"/>
              </w:rPr>
            </w:pPr>
            <w:r w:rsidRPr="00574CF1">
              <w:rPr>
                <w:rFonts w:ascii="Verdana" w:eastAsia="Calibri" w:hAnsi="Verdana" w:cs="Arial"/>
                <w:sz w:val="16"/>
                <w:szCs w:val="16"/>
                <w:lang w:val="pt-BR" w:eastAsia="es-ES"/>
              </w:rPr>
              <w:t>Carolina Quintero Gacharná</w:t>
            </w:r>
          </w:p>
          <w:p w14:paraId="3A7279C7" w14:textId="77777777" w:rsidR="001B7A6D" w:rsidRPr="00574CF1" w:rsidRDefault="001B7A6D" w:rsidP="003E68A8">
            <w:pPr>
              <w:spacing w:after="0" w:line="240" w:lineRule="auto"/>
              <w:jc w:val="both"/>
              <w:rPr>
                <w:rFonts w:ascii="Verdana" w:hAnsi="Verdana" w:cs="Arial"/>
                <w:sz w:val="16"/>
                <w:szCs w:val="16"/>
              </w:rPr>
            </w:pPr>
            <w:r w:rsidRPr="00574CF1">
              <w:rPr>
                <w:rFonts w:ascii="Verdana" w:hAnsi="Verdana" w:cs="Arial"/>
                <w:sz w:val="16"/>
                <w:szCs w:val="16"/>
              </w:rPr>
              <w:t>Subdirectora de Gestión Contractual ANCP – CCE</w:t>
            </w:r>
          </w:p>
        </w:tc>
      </w:tr>
    </w:tbl>
    <w:p w14:paraId="0F293BF4" w14:textId="4367D1EA" w:rsidR="00127233" w:rsidRPr="00574CF1" w:rsidRDefault="00127233" w:rsidP="00F81935">
      <w:pPr>
        <w:rPr>
          <w:rFonts w:ascii="Verdana" w:hAnsi="Verdana"/>
        </w:rPr>
      </w:pPr>
    </w:p>
    <w:sectPr w:rsidR="00127233" w:rsidRPr="00574CF1" w:rsidSect="00A211EE">
      <w:headerReference w:type="default" r:id="rId18"/>
      <w:footerReference w:type="default" r:id="rId19"/>
      <w:pgSz w:w="12240" w:h="15840" w:code="1"/>
      <w:pgMar w:top="1418" w:right="1418" w:bottom="1418" w:left="1418"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4069374" w14:textId="77777777" w:rsidR="003E5C4E" w:rsidRDefault="003E5C4E" w:rsidP="004A1847">
      <w:pPr>
        <w:spacing w:after="0" w:line="240" w:lineRule="auto"/>
      </w:pPr>
      <w:r>
        <w:separator/>
      </w:r>
    </w:p>
  </w:endnote>
  <w:endnote w:type="continuationSeparator" w:id="0">
    <w:p w14:paraId="1E72F8F8" w14:textId="77777777" w:rsidR="003E5C4E" w:rsidRDefault="003E5C4E" w:rsidP="004A1847">
      <w:pPr>
        <w:spacing w:after="0" w:line="240" w:lineRule="auto"/>
      </w:pPr>
      <w:r>
        <w:continuationSeparator/>
      </w:r>
    </w:p>
  </w:endnote>
  <w:endnote w:type="continuationNotice" w:id="1">
    <w:p w14:paraId="341FF713" w14:textId="77777777" w:rsidR="003E5C4E" w:rsidRDefault="003E5C4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Yu Mincho">
    <w:altName w:val="游明朝"/>
    <w:charset w:val="80"/>
    <w:family w:val="roman"/>
    <w:pitch w:val="variable"/>
    <w:sig w:usb0="800002E7" w:usb1="2AC7FCFF" w:usb2="00000012" w:usb3="00000000" w:csb0="0002009F"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ADAF56" w14:textId="77777777" w:rsidR="00A211EE" w:rsidRDefault="00A211EE" w:rsidP="00A211EE">
    <w:pPr>
      <w:spacing w:after="0"/>
      <w:rPr>
        <w:rFonts w:ascii="Verdana" w:hAnsi="Verdana"/>
        <w:b/>
        <w:bCs/>
        <w:sz w:val="20"/>
        <w:szCs w:val="20"/>
      </w:rPr>
    </w:pPr>
  </w:p>
  <w:p w14:paraId="4DAEE7DC" w14:textId="43FD1F7C" w:rsidR="00A211EE" w:rsidRPr="00174B77" w:rsidRDefault="00A211EE" w:rsidP="00A211EE">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4A01C741" w14:textId="77777777" w:rsidR="00A211EE" w:rsidRDefault="00A211EE" w:rsidP="00A211EE">
    <w:pPr>
      <w:spacing w:after="0"/>
      <w:jc w:val="both"/>
      <w:rPr>
        <w:rFonts w:ascii="Verdana" w:hAnsi="Verdana"/>
        <w:sz w:val="18"/>
        <w:szCs w:val="18"/>
      </w:rPr>
    </w:pPr>
    <w:r w:rsidRPr="00E41027">
      <w:rPr>
        <w:rFonts w:ascii="Verdana" w:hAnsi="Verdana"/>
        <w:sz w:val="18"/>
        <w:szCs w:val="18"/>
      </w:rPr>
      <w:t>Dirección: Carrera 7 # 26 – 20 - Bogotá, Colombia</w:t>
    </w:r>
  </w:p>
  <w:p w14:paraId="4145D2CB" w14:textId="77777777" w:rsidR="00A211EE" w:rsidRPr="00E41027" w:rsidRDefault="00A211EE" w:rsidP="00A211EE">
    <w:pPr>
      <w:spacing w:after="0"/>
      <w:jc w:val="both"/>
      <w:rPr>
        <w:rFonts w:ascii="Verdana" w:hAnsi="Verdana"/>
        <w:sz w:val="18"/>
        <w:szCs w:val="18"/>
      </w:rPr>
    </w:pPr>
    <w:r w:rsidRPr="00E41027">
      <w:rPr>
        <w:rFonts w:ascii="Verdana" w:hAnsi="Verdana"/>
        <w:sz w:val="18"/>
        <w:szCs w:val="18"/>
      </w:rPr>
      <w:t>Mesa de servicio: (+57) 601 7456788</w:t>
    </w:r>
  </w:p>
  <w:p w14:paraId="73EB2D37" w14:textId="3BAD4CB6" w:rsidR="00A211EE" w:rsidRPr="00A211EE" w:rsidRDefault="00A211EE" w:rsidP="00A211EE">
    <w:pPr>
      <w:pBdr>
        <w:top w:val="nil"/>
        <w:left w:val="nil"/>
        <w:bottom w:val="nil"/>
        <w:right w:val="nil"/>
        <w:between w:val="nil"/>
      </w:pBdr>
      <w:tabs>
        <w:tab w:val="center" w:pos="4419"/>
        <w:tab w:val="right" w:pos="8838"/>
        <w:tab w:val="center" w:pos="5400"/>
      </w:tabs>
      <w:spacing w:after="0"/>
      <w:rPr>
        <w:rFonts w:ascii="Century Gothic" w:eastAsia="Geo" w:hAnsi="Century Gothic" w:cs="Geo"/>
        <w:b/>
        <w:color w:val="002060"/>
        <w:sz w:val="16"/>
        <w:szCs w:val="16"/>
        <w:lang w:eastAsia="es-CO"/>
      </w:rPr>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20"/>
        <w:szCs w:val="20"/>
      </w:rPr>
      <w:t xml:space="preserve">          </w:t>
    </w:r>
    <w:r w:rsidRPr="00A211EE">
      <w:rPr>
        <w:rFonts w:ascii="Verdana" w:eastAsia="Geo" w:hAnsi="Verdana" w:cs="Geo"/>
        <w:bCs/>
        <w:color w:val="000000"/>
        <w:sz w:val="16"/>
        <w:szCs w:val="16"/>
        <w:lang w:eastAsia="es-CO"/>
      </w:rPr>
      <w:t>Código: CCE-REC-FM-13 Versión</w:t>
    </w:r>
    <w:r w:rsidRPr="00A211EE">
      <w:rPr>
        <w:rFonts w:ascii="Verdana" w:eastAsia="Arial Nova" w:hAnsi="Verdana" w:cs="Arial Nova"/>
        <w:bCs/>
        <w:color w:val="000000"/>
        <w:sz w:val="16"/>
        <w:szCs w:val="16"/>
        <w:lang w:eastAsia="es-CO"/>
      </w:rPr>
      <w:t>:</w:t>
    </w:r>
    <w:r w:rsidRPr="00A211EE">
      <w:rPr>
        <w:rFonts w:ascii="Verdana" w:eastAsia="Arial Nova" w:hAnsi="Verdana" w:cs="Arial Nova"/>
        <w:b/>
        <w:color w:val="000000"/>
        <w:sz w:val="16"/>
        <w:szCs w:val="16"/>
        <w:lang w:eastAsia="es-CO"/>
      </w:rPr>
      <w:t xml:space="preserve"> </w:t>
    </w:r>
    <w:r w:rsidRPr="00A211EE">
      <w:rPr>
        <w:rFonts w:ascii="Verdana" w:eastAsia="Geo" w:hAnsi="Verdana" w:cs="Geo"/>
        <w:sz w:val="16"/>
        <w:szCs w:val="16"/>
        <w:lang w:eastAsia="es-CO"/>
      </w:rPr>
      <w:t>01 Fecha:15-06-2023</w:t>
    </w:r>
  </w:p>
  <w:p w14:paraId="744661F5" w14:textId="20328581" w:rsidR="006219F8" w:rsidRDefault="006219F8" w:rsidP="00A211E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790B30D" w14:textId="77777777" w:rsidR="003E5C4E" w:rsidRDefault="003E5C4E" w:rsidP="004A1847">
      <w:pPr>
        <w:spacing w:after="0" w:line="240" w:lineRule="auto"/>
      </w:pPr>
      <w:r>
        <w:separator/>
      </w:r>
    </w:p>
  </w:footnote>
  <w:footnote w:type="continuationSeparator" w:id="0">
    <w:p w14:paraId="45B31448" w14:textId="77777777" w:rsidR="003E5C4E" w:rsidRDefault="003E5C4E" w:rsidP="004A1847">
      <w:pPr>
        <w:spacing w:after="0" w:line="240" w:lineRule="auto"/>
      </w:pPr>
      <w:r>
        <w:continuationSeparator/>
      </w:r>
    </w:p>
  </w:footnote>
  <w:footnote w:type="continuationNotice" w:id="1">
    <w:p w14:paraId="530EB424" w14:textId="77777777" w:rsidR="003E5C4E" w:rsidRDefault="003E5C4E">
      <w:pPr>
        <w:spacing w:after="0" w:line="240" w:lineRule="auto"/>
      </w:pPr>
    </w:p>
  </w:footnote>
  <w:footnote w:id="2">
    <w:p w14:paraId="1716018C" w14:textId="41EBBC44" w:rsidR="00533084" w:rsidRPr="009A35B4" w:rsidRDefault="00533084" w:rsidP="00533084">
      <w:pPr>
        <w:pStyle w:val="Textonotapie"/>
        <w:ind w:firstLine="707"/>
        <w:rPr>
          <w:rFonts w:ascii="Verdana" w:hAnsi="Verdana"/>
          <w:sz w:val="16"/>
          <w:szCs w:val="16"/>
        </w:rPr>
      </w:pPr>
      <w:r w:rsidRPr="009A35B4">
        <w:rPr>
          <w:rStyle w:val="Refdenotaalpie"/>
          <w:rFonts w:ascii="Verdana" w:hAnsi="Verdana"/>
          <w:sz w:val="16"/>
          <w:szCs w:val="16"/>
        </w:rPr>
        <w:footnoteRef/>
      </w:r>
      <w:r w:rsidRPr="009A35B4">
        <w:rPr>
          <w:rFonts w:ascii="Verdana" w:hAnsi="Verdana"/>
          <w:sz w:val="16"/>
          <w:szCs w:val="16"/>
        </w:rPr>
        <w:t xml:space="preserve"> Consultar en el siguiente enlace</w:t>
      </w:r>
      <w:r w:rsidR="00682536" w:rsidRPr="009A35B4">
        <w:rPr>
          <w:rFonts w:ascii="Verdana" w:hAnsi="Verdana"/>
          <w:sz w:val="16"/>
          <w:szCs w:val="16"/>
        </w:rPr>
        <w:t>:</w:t>
      </w:r>
      <w:r w:rsidRPr="009A35B4">
        <w:rPr>
          <w:rFonts w:ascii="Verdana" w:hAnsi="Verdana"/>
          <w:sz w:val="16"/>
          <w:szCs w:val="16"/>
        </w:rPr>
        <w:t xml:space="preserve"> </w:t>
      </w:r>
      <w:hyperlink r:id="rId1" w:history="1">
        <w:r w:rsidR="003123C0" w:rsidRPr="009A35B4">
          <w:rPr>
            <w:rStyle w:val="Hipervnculo"/>
            <w:rFonts w:ascii="Verdana" w:hAnsi="Verdana"/>
            <w:sz w:val="16"/>
            <w:szCs w:val="16"/>
          </w:rPr>
          <w:t>https://www.colombiacompra.gov.co/content/documentos-tipo-de-infraestructura-de-transporte</w:t>
        </w:r>
      </w:hyperlink>
    </w:p>
    <w:p w14:paraId="422A9927" w14:textId="77777777" w:rsidR="003123C0" w:rsidRPr="009A35B4" w:rsidRDefault="003123C0" w:rsidP="00533084">
      <w:pPr>
        <w:pStyle w:val="Textonotapie"/>
        <w:ind w:firstLine="707"/>
        <w:rPr>
          <w:rFonts w:ascii="Verdana" w:hAnsi="Verdana"/>
          <w:sz w:val="16"/>
          <w:szCs w:val="16"/>
        </w:rPr>
      </w:pPr>
    </w:p>
  </w:footnote>
  <w:footnote w:id="3">
    <w:p w14:paraId="233DA44B" w14:textId="0AC67331" w:rsidR="007D4303" w:rsidRPr="009A35B4" w:rsidRDefault="007D4303" w:rsidP="007D4303">
      <w:pPr>
        <w:pStyle w:val="Textonotapie"/>
        <w:ind w:firstLine="707"/>
        <w:rPr>
          <w:rFonts w:ascii="Verdana" w:hAnsi="Verdana"/>
          <w:sz w:val="16"/>
          <w:szCs w:val="16"/>
        </w:rPr>
      </w:pPr>
      <w:r w:rsidRPr="009A35B4">
        <w:rPr>
          <w:rStyle w:val="Refdenotaalpie"/>
          <w:rFonts w:ascii="Verdana" w:hAnsi="Verdana"/>
          <w:sz w:val="16"/>
          <w:szCs w:val="16"/>
        </w:rPr>
        <w:footnoteRef/>
      </w:r>
      <w:r w:rsidRPr="009A35B4">
        <w:rPr>
          <w:rFonts w:ascii="Verdana" w:hAnsi="Verdana"/>
          <w:sz w:val="16"/>
          <w:szCs w:val="16"/>
        </w:rPr>
        <w:t xml:space="preserve"> Consultar en el siguiente enlace: </w:t>
      </w:r>
      <w:hyperlink r:id="rId2" w:history="1">
        <w:r w:rsidR="00682536" w:rsidRPr="009A35B4">
          <w:rPr>
            <w:rStyle w:val="Hipervnculo"/>
            <w:rFonts w:ascii="Verdana" w:hAnsi="Verdana"/>
            <w:sz w:val="16"/>
            <w:szCs w:val="16"/>
          </w:rPr>
          <w:t>https://www.colombiacompra.gov.co/content/documentos-tipo-infraestructura-de-agua-potable-y-saneamiento-basico</w:t>
        </w:r>
      </w:hyperlink>
    </w:p>
    <w:p w14:paraId="6EBF1A14" w14:textId="77777777" w:rsidR="00682536" w:rsidRPr="009A35B4" w:rsidRDefault="00682536" w:rsidP="007D4303">
      <w:pPr>
        <w:pStyle w:val="Textonotapie"/>
        <w:ind w:firstLine="707"/>
        <w:rPr>
          <w:rFonts w:ascii="Verdana" w:hAnsi="Verdana"/>
          <w:sz w:val="16"/>
          <w:szCs w:val="16"/>
        </w:rPr>
      </w:pPr>
    </w:p>
  </w:footnote>
  <w:footnote w:id="4">
    <w:p w14:paraId="18801113" w14:textId="0AEF5B0B" w:rsidR="001F1B0B" w:rsidRPr="009A35B4" w:rsidRDefault="001F1B0B" w:rsidP="001F1B0B">
      <w:pPr>
        <w:pStyle w:val="Textonotapie"/>
        <w:ind w:firstLine="707"/>
        <w:rPr>
          <w:rFonts w:ascii="Verdana" w:hAnsi="Verdana"/>
          <w:sz w:val="16"/>
          <w:szCs w:val="16"/>
        </w:rPr>
      </w:pPr>
      <w:r w:rsidRPr="009A35B4">
        <w:rPr>
          <w:rStyle w:val="Refdenotaalpie"/>
          <w:rFonts w:ascii="Verdana" w:hAnsi="Verdana"/>
          <w:sz w:val="16"/>
          <w:szCs w:val="16"/>
        </w:rPr>
        <w:footnoteRef/>
      </w:r>
      <w:r w:rsidRPr="009A35B4">
        <w:rPr>
          <w:rFonts w:ascii="Verdana" w:hAnsi="Verdana"/>
          <w:sz w:val="16"/>
          <w:szCs w:val="16"/>
        </w:rPr>
        <w:t xml:space="preserve"> Consultar en el siguiente enlace: </w:t>
      </w:r>
      <w:hyperlink r:id="rId3" w:history="1">
        <w:r w:rsidRPr="009A35B4">
          <w:rPr>
            <w:rStyle w:val="Hipervnculo"/>
            <w:rFonts w:ascii="Verdana" w:hAnsi="Verdana"/>
            <w:sz w:val="16"/>
            <w:szCs w:val="16"/>
          </w:rPr>
          <w:t>https://www.colombiacompra.gov.co/content/04-documentos-tipo-de-licitacion-de-obra-publica-para-proyectos-de-infraestructura-social</w:t>
        </w:r>
      </w:hyperlink>
    </w:p>
    <w:p w14:paraId="6C9A4CEC" w14:textId="77777777" w:rsidR="001F1B0B" w:rsidRPr="009A35B4" w:rsidRDefault="001F1B0B" w:rsidP="001F1B0B">
      <w:pPr>
        <w:pStyle w:val="Textonotapie"/>
        <w:ind w:firstLine="707"/>
        <w:rPr>
          <w:rFonts w:ascii="Verdana" w:hAnsi="Verdana"/>
          <w:sz w:val="16"/>
          <w:szCs w:val="16"/>
        </w:rPr>
      </w:pPr>
    </w:p>
  </w:footnote>
  <w:footnote w:id="5">
    <w:p w14:paraId="4984AAB8" w14:textId="6A8383BB" w:rsidR="00CD5E92" w:rsidRPr="009A35B4" w:rsidRDefault="00CD5E92" w:rsidP="00CD5E92">
      <w:pPr>
        <w:pStyle w:val="Textonotapie"/>
        <w:ind w:firstLine="707"/>
        <w:rPr>
          <w:rFonts w:ascii="Verdana" w:hAnsi="Verdana"/>
          <w:sz w:val="16"/>
          <w:szCs w:val="16"/>
        </w:rPr>
      </w:pPr>
      <w:r w:rsidRPr="009A35B4">
        <w:rPr>
          <w:rStyle w:val="Refdenotaalpie"/>
          <w:rFonts w:ascii="Verdana" w:hAnsi="Verdana"/>
          <w:sz w:val="16"/>
          <w:szCs w:val="16"/>
        </w:rPr>
        <w:footnoteRef/>
      </w:r>
      <w:r w:rsidRPr="009A35B4">
        <w:rPr>
          <w:rFonts w:ascii="Verdana" w:hAnsi="Verdana"/>
          <w:sz w:val="16"/>
          <w:szCs w:val="16"/>
        </w:rPr>
        <w:t xml:space="preserve"> </w:t>
      </w:r>
      <w:r w:rsidR="00672686" w:rsidRPr="009A35B4">
        <w:rPr>
          <w:rFonts w:ascii="Verdana" w:hAnsi="Verdana"/>
          <w:sz w:val="16"/>
          <w:szCs w:val="16"/>
        </w:rPr>
        <w:t>Matriz 1 - Experiencia - Documento tipo de licitación de obra pública de infraestructura de transporte - versión 3.</w:t>
      </w:r>
    </w:p>
  </w:footnote>
  <w:footnote w:id="6">
    <w:p w14:paraId="6D50B623" w14:textId="77777777" w:rsidR="009841E1" w:rsidRPr="009A35B4" w:rsidRDefault="009841E1" w:rsidP="009841E1">
      <w:pPr>
        <w:pStyle w:val="Textonotapie"/>
        <w:ind w:firstLine="707"/>
        <w:rPr>
          <w:rFonts w:ascii="Verdana" w:hAnsi="Verdana"/>
          <w:sz w:val="16"/>
          <w:szCs w:val="16"/>
        </w:rPr>
      </w:pPr>
      <w:r w:rsidRPr="009A35B4">
        <w:rPr>
          <w:rStyle w:val="Refdenotaalpie"/>
          <w:rFonts w:ascii="Verdana" w:hAnsi="Verdana"/>
          <w:sz w:val="16"/>
          <w:szCs w:val="16"/>
        </w:rPr>
        <w:footnoteRef/>
      </w:r>
      <w:r w:rsidRPr="009A35B4">
        <w:rPr>
          <w:rFonts w:ascii="Verdana" w:hAnsi="Verdana"/>
          <w:sz w:val="16"/>
          <w:szCs w:val="16"/>
        </w:rPr>
        <w:t xml:space="preserve"> Matriz 1 - Experiencia - Documento tipo de licitación de obra pública de infraestructura de transporte - versión 3.</w:t>
      </w:r>
    </w:p>
  </w:footnote>
  <w:footnote w:id="7">
    <w:p w14:paraId="447B9024" w14:textId="77777777" w:rsidR="0092090C" w:rsidRPr="009A35B4" w:rsidRDefault="0092090C" w:rsidP="0092090C">
      <w:pPr>
        <w:pStyle w:val="Textonotapie"/>
        <w:ind w:firstLine="707"/>
        <w:rPr>
          <w:rFonts w:ascii="Verdana" w:hAnsi="Verdana"/>
          <w:sz w:val="16"/>
          <w:szCs w:val="16"/>
        </w:rPr>
      </w:pPr>
    </w:p>
    <w:p w14:paraId="02253C4C" w14:textId="1348EAC7" w:rsidR="0092090C" w:rsidRPr="009A35B4" w:rsidRDefault="0092090C" w:rsidP="0092090C">
      <w:pPr>
        <w:pStyle w:val="Textonotapie"/>
        <w:ind w:firstLine="707"/>
        <w:rPr>
          <w:rFonts w:ascii="Verdana" w:hAnsi="Verdana"/>
          <w:sz w:val="16"/>
          <w:szCs w:val="16"/>
        </w:rPr>
      </w:pPr>
      <w:r w:rsidRPr="009A35B4">
        <w:rPr>
          <w:rStyle w:val="Refdenotaalpie"/>
          <w:rFonts w:ascii="Verdana" w:hAnsi="Verdana"/>
          <w:sz w:val="16"/>
          <w:szCs w:val="16"/>
        </w:rPr>
        <w:footnoteRef/>
      </w:r>
      <w:r w:rsidRPr="009A35B4">
        <w:rPr>
          <w:rFonts w:ascii="Verdana" w:hAnsi="Verdana"/>
          <w:sz w:val="16"/>
          <w:szCs w:val="16"/>
        </w:rPr>
        <w:t xml:space="preserve"> </w:t>
      </w:r>
      <w:r w:rsidR="00482165" w:rsidRPr="009A35B4">
        <w:rPr>
          <w:rFonts w:ascii="Verdana" w:hAnsi="Verdana"/>
          <w:sz w:val="16"/>
          <w:szCs w:val="16"/>
        </w:rPr>
        <w:t>Para ampliar la definición, se</w:t>
      </w:r>
      <w:r w:rsidR="00A4027F" w:rsidRPr="009A35B4">
        <w:rPr>
          <w:rFonts w:ascii="Verdana" w:hAnsi="Verdana"/>
          <w:sz w:val="16"/>
          <w:szCs w:val="16"/>
        </w:rPr>
        <w:t xml:space="preserve"> puede consultar </w:t>
      </w:r>
      <w:r w:rsidR="00104998" w:rsidRPr="009A35B4">
        <w:rPr>
          <w:rFonts w:ascii="Verdana" w:hAnsi="Verdana"/>
          <w:sz w:val="16"/>
          <w:szCs w:val="16"/>
        </w:rPr>
        <w:t>Concepto C-</w:t>
      </w:r>
      <w:r w:rsidR="00DB65E7" w:rsidRPr="009A35B4">
        <w:rPr>
          <w:rFonts w:ascii="Verdana" w:hAnsi="Verdana"/>
          <w:sz w:val="16"/>
          <w:szCs w:val="16"/>
        </w:rPr>
        <w:t>401 de</w:t>
      </w:r>
      <w:r w:rsidR="006B609B" w:rsidRPr="009A35B4">
        <w:rPr>
          <w:rFonts w:ascii="Verdana" w:hAnsi="Verdana"/>
          <w:sz w:val="16"/>
          <w:szCs w:val="16"/>
        </w:rPr>
        <w:t xml:space="preserve">l </w:t>
      </w:r>
      <w:r w:rsidR="00A91A61" w:rsidRPr="009A35B4">
        <w:rPr>
          <w:rFonts w:ascii="Verdana" w:hAnsi="Verdana"/>
          <w:sz w:val="16"/>
          <w:szCs w:val="16"/>
        </w:rPr>
        <w:t>27 de septiembre de 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D12154" w14:textId="26E0CE9D" w:rsidR="00756841" w:rsidRDefault="00A211EE">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1963371B" wp14:editId="240CF296">
          <wp:simplePos x="0" y="0"/>
          <wp:positionH relativeFrom="margin">
            <wp:align>center</wp:align>
          </wp:positionH>
          <wp:positionV relativeFrom="paragraph">
            <wp:posOffset>-250190</wp:posOffset>
          </wp:positionV>
          <wp:extent cx="1924050" cy="856004"/>
          <wp:effectExtent l="0" t="0" r="0" b="1270"/>
          <wp:wrapNone/>
          <wp:docPr id="130908990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309089902"/>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6AB0A4A3">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435F4D03" w14:textId="67DABC48" w:rsidR="00756841" w:rsidRDefault="00756841" w:rsidP="00A211EE">
    <w:pPr>
      <w:pStyle w:val="Encabezado"/>
      <w:jc w:val="center"/>
    </w:pPr>
  </w:p>
  <w:p w14:paraId="1BE2B9AE" w14:textId="4B94DB3B" w:rsidR="00756841" w:rsidRDefault="00756841">
    <w:pPr>
      <w:pStyle w:val="Encabezado"/>
    </w:pPr>
  </w:p>
  <w:p w14:paraId="66537681" w14:textId="77777777" w:rsidR="00A211EE" w:rsidRDefault="00A211EE" w:rsidP="00A211EE">
    <w:pPr>
      <w:spacing w:after="0"/>
      <w:rPr>
        <w:rFonts w:ascii="Verdana" w:hAnsi="Verdana"/>
        <w:b/>
        <w:bCs/>
        <w:sz w:val="24"/>
        <w:szCs w:val="24"/>
      </w:rPr>
    </w:pPr>
  </w:p>
  <w:p w14:paraId="1FD1C243" w14:textId="10E3EDD9" w:rsidR="008A446D" w:rsidRDefault="004A305D" w:rsidP="00A211EE">
    <w:pPr>
      <w:spacing w:after="0"/>
      <w:rPr>
        <w:rFonts w:ascii="Verdana" w:hAnsi="Verdana"/>
        <w:b/>
        <w:bCs/>
        <w:sz w:val="24"/>
        <w:szCs w:val="24"/>
      </w:rPr>
    </w:pPr>
    <w:r w:rsidRPr="00A211EE">
      <w:rPr>
        <w:rFonts w:ascii="Verdana" w:hAnsi="Verdana"/>
        <w:b/>
        <w:bCs/>
        <w:sz w:val="24"/>
        <w:szCs w:val="24"/>
      </w:rPr>
      <w:t>FORMATO PQRSD</w:t>
    </w:r>
  </w:p>
  <w:p w14:paraId="56E67371" w14:textId="77777777" w:rsidR="00A211EE" w:rsidRPr="00A211EE" w:rsidRDefault="00A211EE" w:rsidP="00A211EE">
    <w:pPr>
      <w:spacing w:after="0" w:line="120" w:lineRule="auto"/>
      <w:rPr>
        <w:rFonts w:ascii="Verdana" w:hAnsi="Verdana"/>
        <w:b/>
        <w:bCs/>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17A1800"/>
    <w:multiLevelType w:val="hybridMultilevel"/>
    <w:tmpl w:val="9C3292AA"/>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476068091">
    <w:abstractNumId w:val="4"/>
  </w:num>
  <w:num w:numId="2" w16cid:durableId="746994575">
    <w:abstractNumId w:val="1"/>
  </w:num>
  <w:num w:numId="3" w16cid:durableId="1504389924">
    <w:abstractNumId w:val="3"/>
  </w:num>
  <w:num w:numId="4" w16cid:durableId="167438275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02216309">
    <w:abstractNumId w:val="1"/>
  </w:num>
  <w:num w:numId="6" w16cid:durableId="545069053">
    <w:abstractNumId w:val="0"/>
  </w:num>
  <w:num w:numId="7" w16cid:durableId="719701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0621"/>
    <w:rsid w:val="000828B1"/>
    <w:rsid w:val="00095CA1"/>
    <w:rsid w:val="000A683E"/>
    <w:rsid w:val="000B19B9"/>
    <w:rsid w:val="000B3D6E"/>
    <w:rsid w:val="000D0334"/>
    <w:rsid w:val="000F1DAC"/>
    <w:rsid w:val="000F6486"/>
    <w:rsid w:val="00100AC1"/>
    <w:rsid w:val="00104998"/>
    <w:rsid w:val="00115E89"/>
    <w:rsid w:val="00127233"/>
    <w:rsid w:val="001407B3"/>
    <w:rsid w:val="001572AE"/>
    <w:rsid w:val="00172F22"/>
    <w:rsid w:val="001B0267"/>
    <w:rsid w:val="001B1D59"/>
    <w:rsid w:val="001B52B0"/>
    <w:rsid w:val="001B7A6D"/>
    <w:rsid w:val="001E4177"/>
    <w:rsid w:val="001F1B0B"/>
    <w:rsid w:val="001F4913"/>
    <w:rsid w:val="0020514C"/>
    <w:rsid w:val="002161D3"/>
    <w:rsid w:val="00220DEA"/>
    <w:rsid w:val="00225683"/>
    <w:rsid w:val="0022797F"/>
    <w:rsid w:val="00251179"/>
    <w:rsid w:val="00261258"/>
    <w:rsid w:val="0026309D"/>
    <w:rsid w:val="0026720A"/>
    <w:rsid w:val="00273696"/>
    <w:rsid w:val="00280BA5"/>
    <w:rsid w:val="00285125"/>
    <w:rsid w:val="00291CFC"/>
    <w:rsid w:val="002951A0"/>
    <w:rsid w:val="002962BC"/>
    <w:rsid w:val="002A0738"/>
    <w:rsid w:val="002A49AC"/>
    <w:rsid w:val="002A64FD"/>
    <w:rsid w:val="002C7430"/>
    <w:rsid w:val="002C7A84"/>
    <w:rsid w:val="002F3FC8"/>
    <w:rsid w:val="002F4432"/>
    <w:rsid w:val="003040FF"/>
    <w:rsid w:val="00306EEA"/>
    <w:rsid w:val="003123C0"/>
    <w:rsid w:val="00324CE0"/>
    <w:rsid w:val="003269D2"/>
    <w:rsid w:val="00337042"/>
    <w:rsid w:val="003521C4"/>
    <w:rsid w:val="0037447F"/>
    <w:rsid w:val="003A5A94"/>
    <w:rsid w:val="003A779E"/>
    <w:rsid w:val="003B2426"/>
    <w:rsid w:val="003D0F4D"/>
    <w:rsid w:val="003E0499"/>
    <w:rsid w:val="003E5C4E"/>
    <w:rsid w:val="003E68A8"/>
    <w:rsid w:val="003F3941"/>
    <w:rsid w:val="00404955"/>
    <w:rsid w:val="00406073"/>
    <w:rsid w:val="00410231"/>
    <w:rsid w:val="00455042"/>
    <w:rsid w:val="00455BA2"/>
    <w:rsid w:val="00482165"/>
    <w:rsid w:val="004A1847"/>
    <w:rsid w:val="004A305D"/>
    <w:rsid w:val="004C51CE"/>
    <w:rsid w:val="004C6C6D"/>
    <w:rsid w:val="004F21C4"/>
    <w:rsid w:val="004F685F"/>
    <w:rsid w:val="00516F79"/>
    <w:rsid w:val="00525F00"/>
    <w:rsid w:val="00531758"/>
    <w:rsid w:val="00533084"/>
    <w:rsid w:val="0053703B"/>
    <w:rsid w:val="005566E8"/>
    <w:rsid w:val="00572785"/>
    <w:rsid w:val="00574867"/>
    <w:rsid w:val="00574CF1"/>
    <w:rsid w:val="00594DCF"/>
    <w:rsid w:val="005A1F0F"/>
    <w:rsid w:val="005A3313"/>
    <w:rsid w:val="005A3A8D"/>
    <w:rsid w:val="005B0698"/>
    <w:rsid w:val="005C5CDC"/>
    <w:rsid w:val="005D05C3"/>
    <w:rsid w:val="005D476C"/>
    <w:rsid w:val="005E5DA4"/>
    <w:rsid w:val="005F7283"/>
    <w:rsid w:val="00601CD1"/>
    <w:rsid w:val="006051A3"/>
    <w:rsid w:val="00610694"/>
    <w:rsid w:val="006219F8"/>
    <w:rsid w:val="00627508"/>
    <w:rsid w:val="006339EB"/>
    <w:rsid w:val="00642189"/>
    <w:rsid w:val="00665D70"/>
    <w:rsid w:val="006663E4"/>
    <w:rsid w:val="00672686"/>
    <w:rsid w:val="00677801"/>
    <w:rsid w:val="006822F5"/>
    <w:rsid w:val="00682536"/>
    <w:rsid w:val="006872D1"/>
    <w:rsid w:val="006963A7"/>
    <w:rsid w:val="006967C5"/>
    <w:rsid w:val="006B3BD2"/>
    <w:rsid w:val="006B609B"/>
    <w:rsid w:val="006F1A1E"/>
    <w:rsid w:val="00706C16"/>
    <w:rsid w:val="007263B2"/>
    <w:rsid w:val="00726925"/>
    <w:rsid w:val="00754E8C"/>
    <w:rsid w:val="00756841"/>
    <w:rsid w:val="007649AB"/>
    <w:rsid w:val="00775F8B"/>
    <w:rsid w:val="007833AC"/>
    <w:rsid w:val="007B2E3E"/>
    <w:rsid w:val="007C3DC2"/>
    <w:rsid w:val="007D2F75"/>
    <w:rsid w:val="007D375C"/>
    <w:rsid w:val="007D4303"/>
    <w:rsid w:val="007E08DE"/>
    <w:rsid w:val="007E5497"/>
    <w:rsid w:val="007F000B"/>
    <w:rsid w:val="007F2FC3"/>
    <w:rsid w:val="007F4498"/>
    <w:rsid w:val="007F5768"/>
    <w:rsid w:val="00801E6D"/>
    <w:rsid w:val="00806F5F"/>
    <w:rsid w:val="00820278"/>
    <w:rsid w:val="008245E7"/>
    <w:rsid w:val="00837476"/>
    <w:rsid w:val="00874CCC"/>
    <w:rsid w:val="00876D48"/>
    <w:rsid w:val="008843B6"/>
    <w:rsid w:val="00891928"/>
    <w:rsid w:val="008A446D"/>
    <w:rsid w:val="008B5C99"/>
    <w:rsid w:val="008F0EA7"/>
    <w:rsid w:val="0092090C"/>
    <w:rsid w:val="00922F8A"/>
    <w:rsid w:val="00923EEF"/>
    <w:rsid w:val="009337F3"/>
    <w:rsid w:val="009419F9"/>
    <w:rsid w:val="00957F6B"/>
    <w:rsid w:val="00961B09"/>
    <w:rsid w:val="0096274A"/>
    <w:rsid w:val="00965334"/>
    <w:rsid w:val="00966995"/>
    <w:rsid w:val="0097093E"/>
    <w:rsid w:val="009841E1"/>
    <w:rsid w:val="009A35B4"/>
    <w:rsid w:val="009B1ACC"/>
    <w:rsid w:val="009C71FA"/>
    <w:rsid w:val="009C72E7"/>
    <w:rsid w:val="009F319B"/>
    <w:rsid w:val="009F3A6C"/>
    <w:rsid w:val="00A17F13"/>
    <w:rsid w:val="00A20739"/>
    <w:rsid w:val="00A211EE"/>
    <w:rsid w:val="00A32C6C"/>
    <w:rsid w:val="00A33B39"/>
    <w:rsid w:val="00A33C78"/>
    <w:rsid w:val="00A4027F"/>
    <w:rsid w:val="00A91A61"/>
    <w:rsid w:val="00AB0ADB"/>
    <w:rsid w:val="00AB5498"/>
    <w:rsid w:val="00B44D0A"/>
    <w:rsid w:val="00B56E9D"/>
    <w:rsid w:val="00B66B80"/>
    <w:rsid w:val="00B72CD3"/>
    <w:rsid w:val="00B72FFF"/>
    <w:rsid w:val="00B808F9"/>
    <w:rsid w:val="00B91976"/>
    <w:rsid w:val="00BB4698"/>
    <w:rsid w:val="00BD2651"/>
    <w:rsid w:val="00BD7F72"/>
    <w:rsid w:val="00BE05EC"/>
    <w:rsid w:val="00BE28B3"/>
    <w:rsid w:val="00C0178D"/>
    <w:rsid w:val="00C15AD5"/>
    <w:rsid w:val="00C222D0"/>
    <w:rsid w:val="00C27A66"/>
    <w:rsid w:val="00C330EB"/>
    <w:rsid w:val="00C659E3"/>
    <w:rsid w:val="00C754BE"/>
    <w:rsid w:val="00CB41A8"/>
    <w:rsid w:val="00CB6357"/>
    <w:rsid w:val="00CC1B26"/>
    <w:rsid w:val="00CD110F"/>
    <w:rsid w:val="00CD5E92"/>
    <w:rsid w:val="00CF6E1D"/>
    <w:rsid w:val="00D035ED"/>
    <w:rsid w:val="00D03F98"/>
    <w:rsid w:val="00D204FE"/>
    <w:rsid w:val="00D423A2"/>
    <w:rsid w:val="00D52F45"/>
    <w:rsid w:val="00D63AC2"/>
    <w:rsid w:val="00D72658"/>
    <w:rsid w:val="00D7383B"/>
    <w:rsid w:val="00D77059"/>
    <w:rsid w:val="00D84D52"/>
    <w:rsid w:val="00DA3261"/>
    <w:rsid w:val="00DA440C"/>
    <w:rsid w:val="00DA5B3C"/>
    <w:rsid w:val="00DB65E7"/>
    <w:rsid w:val="00DC0A9F"/>
    <w:rsid w:val="00DC2867"/>
    <w:rsid w:val="00DD28D8"/>
    <w:rsid w:val="00DF3F91"/>
    <w:rsid w:val="00DF5A16"/>
    <w:rsid w:val="00E02B49"/>
    <w:rsid w:val="00E10726"/>
    <w:rsid w:val="00E16408"/>
    <w:rsid w:val="00E20894"/>
    <w:rsid w:val="00E245AB"/>
    <w:rsid w:val="00E40C54"/>
    <w:rsid w:val="00E50AFE"/>
    <w:rsid w:val="00E51DFF"/>
    <w:rsid w:val="00E6118E"/>
    <w:rsid w:val="00E67380"/>
    <w:rsid w:val="00E771DC"/>
    <w:rsid w:val="00E8772A"/>
    <w:rsid w:val="00E90F6B"/>
    <w:rsid w:val="00E92C27"/>
    <w:rsid w:val="00EA04EA"/>
    <w:rsid w:val="00EA0E3D"/>
    <w:rsid w:val="00ED05A9"/>
    <w:rsid w:val="00ED3ADC"/>
    <w:rsid w:val="00EE1AA8"/>
    <w:rsid w:val="00EF4AAB"/>
    <w:rsid w:val="00F30D95"/>
    <w:rsid w:val="00F31EDC"/>
    <w:rsid w:val="00F32994"/>
    <w:rsid w:val="00F37912"/>
    <w:rsid w:val="00F46CB3"/>
    <w:rsid w:val="00F5664F"/>
    <w:rsid w:val="00F75557"/>
    <w:rsid w:val="00F76AFC"/>
    <w:rsid w:val="00F76FB5"/>
    <w:rsid w:val="00F81935"/>
    <w:rsid w:val="00F923BC"/>
    <w:rsid w:val="00F9380D"/>
    <w:rsid w:val="00FB5DD1"/>
    <w:rsid w:val="00FC2A71"/>
    <w:rsid w:val="00FC2B5D"/>
    <w:rsid w:val="00FD2BA7"/>
    <w:rsid w:val="00FE2C6F"/>
    <w:rsid w:val="00FF1449"/>
    <w:rsid w:val="00FF3BE8"/>
    <w:rsid w:val="00FF3EA3"/>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57D00D1D-B8BF-490F-B693-502AB0E4C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08F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paragraph" w:customStyle="1" w:styleId="Appelnotedebasde">
    <w:name w:val="Appel note de bas de..."/>
    <w:basedOn w:val="Normal"/>
    <w:link w:val="Refdenotaalpie"/>
    <w:uiPriority w:val="99"/>
    <w:rsid w:val="001B7A6D"/>
    <w:pPr>
      <w:spacing w:line="240" w:lineRule="exact"/>
    </w:pPr>
    <w:rPr>
      <w:vertAlign w:val="superscript"/>
    </w:rPr>
  </w:style>
  <w:style w:type="character" w:styleId="Hipervnculo">
    <w:name w:val="Hyperlink"/>
    <w:basedOn w:val="Fuentedeprrafopredeter"/>
    <w:uiPriority w:val="99"/>
    <w:unhideWhenUsed/>
    <w:rsid w:val="001B7A6D"/>
    <w:rPr>
      <w:color w:val="0563C1" w:themeColor="hyperlink"/>
      <w:u w:val="single"/>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1B7A6D"/>
    <w:rPr>
      <w:rFonts w:ascii="Geomanist Light" w:hAnsi="Geomanist Light"/>
      <w:lang w:val="es-ES"/>
    </w:rPr>
  </w:style>
  <w:style w:type="character" w:styleId="Mencinsinresolver">
    <w:name w:val="Unresolved Mention"/>
    <w:basedOn w:val="Fuentedeprrafopredeter"/>
    <w:uiPriority w:val="99"/>
    <w:semiHidden/>
    <w:unhideWhenUsed/>
    <w:rsid w:val="001B7A6D"/>
    <w:rPr>
      <w:color w:val="605E5C"/>
      <w:shd w:val="clear" w:color="auto" w:fill="E1DFDD"/>
    </w:rPr>
  </w:style>
  <w:style w:type="paragraph" w:customStyle="1" w:styleId="paragraph">
    <w:name w:val="paragraph"/>
    <w:basedOn w:val="Normal"/>
    <w:rsid w:val="00DC2867"/>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eop">
    <w:name w:val="eop"/>
    <w:basedOn w:val="Fuentedeprrafopredeter"/>
    <w:rsid w:val="00DC2867"/>
  </w:style>
  <w:style w:type="character" w:customStyle="1" w:styleId="tabchar">
    <w:name w:val="tabchar"/>
    <w:basedOn w:val="Fuentedeprrafopredeter"/>
    <w:rsid w:val="00DC2867"/>
  </w:style>
  <w:style w:type="paragraph" w:styleId="Revisin">
    <w:name w:val="Revision"/>
    <w:hidden/>
    <w:uiPriority w:val="99"/>
    <w:semiHidden/>
    <w:rsid w:val="0026720A"/>
    <w:pPr>
      <w:spacing w:after="0" w:line="240" w:lineRule="auto"/>
    </w:pPr>
  </w:style>
  <w:style w:type="paragraph" w:styleId="Textodeglobo">
    <w:name w:val="Balloon Text"/>
    <w:basedOn w:val="Normal"/>
    <w:link w:val="TextodegloboCar"/>
    <w:uiPriority w:val="99"/>
    <w:semiHidden/>
    <w:unhideWhenUsed/>
    <w:rsid w:val="00C659E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659E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5450657">
      <w:bodyDiv w:val="1"/>
      <w:marLeft w:val="0"/>
      <w:marRight w:val="0"/>
      <w:marTop w:val="0"/>
      <w:marBottom w:val="0"/>
      <w:divBdr>
        <w:top w:val="none" w:sz="0" w:space="0" w:color="auto"/>
        <w:left w:val="none" w:sz="0" w:space="0" w:color="auto"/>
        <w:bottom w:val="none" w:sz="0" w:space="0" w:color="auto"/>
        <w:right w:val="none" w:sz="0" w:space="0" w:color="auto"/>
      </w:divBdr>
    </w:div>
    <w:div w:id="350880718">
      <w:bodyDiv w:val="1"/>
      <w:marLeft w:val="0"/>
      <w:marRight w:val="0"/>
      <w:marTop w:val="0"/>
      <w:marBottom w:val="0"/>
      <w:divBdr>
        <w:top w:val="none" w:sz="0" w:space="0" w:color="auto"/>
        <w:left w:val="none" w:sz="0" w:space="0" w:color="auto"/>
        <w:bottom w:val="none" w:sz="0" w:space="0" w:color="auto"/>
        <w:right w:val="none" w:sz="0" w:space="0" w:color="auto"/>
      </w:divBdr>
    </w:div>
    <w:div w:id="544220673">
      <w:bodyDiv w:val="1"/>
      <w:marLeft w:val="0"/>
      <w:marRight w:val="0"/>
      <w:marTop w:val="0"/>
      <w:marBottom w:val="0"/>
      <w:divBdr>
        <w:top w:val="none" w:sz="0" w:space="0" w:color="auto"/>
        <w:left w:val="none" w:sz="0" w:space="0" w:color="auto"/>
        <w:bottom w:val="none" w:sz="0" w:space="0" w:color="auto"/>
        <w:right w:val="none" w:sz="0" w:space="0" w:color="auto"/>
      </w:divBdr>
    </w:div>
    <w:div w:id="837841387">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447582299">
      <w:bodyDiv w:val="1"/>
      <w:marLeft w:val="0"/>
      <w:marRight w:val="0"/>
      <w:marTop w:val="0"/>
      <w:marBottom w:val="0"/>
      <w:divBdr>
        <w:top w:val="none" w:sz="0" w:space="0" w:color="auto"/>
        <w:left w:val="none" w:sz="0" w:space="0" w:color="auto"/>
        <w:bottom w:val="none" w:sz="0" w:space="0" w:color="auto"/>
        <w:right w:val="none" w:sz="0" w:space="0" w:color="auto"/>
      </w:divBdr>
    </w:div>
    <w:div w:id="1714698380">
      <w:bodyDiv w:val="1"/>
      <w:marLeft w:val="0"/>
      <w:marRight w:val="0"/>
      <w:marTop w:val="0"/>
      <w:marBottom w:val="0"/>
      <w:divBdr>
        <w:top w:val="none" w:sz="0" w:space="0" w:color="auto"/>
        <w:left w:val="none" w:sz="0" w:space="0" w:color="auto"/>
        <w:bottom w:val="none" w:sz="0" w:space="0" w:color="auto"/>
        <w:right w:val="none" w:sz="0" w:space="0" w:color="auto"/>
      </w:divBdr>
      <w:divsChild>
        <w:div w:id="787553">
          <w:marLeft w:val="0"/>
          <w:marRight w:val="0"/>
          <w:marTop w:val="0"/>
          <w:marBottom w:val="0"/>
          <w:divBdr>
            <w:top w:val="none" w:sz="0" w:space="0" w:color="auto"/>
            <w:left w:val="none" w:sz="0" w:space="0" w:color="auto"/>
            <w:bottom w:val="none" w:sz="0" w:space="0" w:color="auto"/>
            <w:right w:val="none" w:sz="0" w:space="0" w:color="auto"/>
          </w:divBdr>
        </w:div>
        <w:div w:id="4794772">
          <w:marLeft w:val="0"/>
          <w:marRight w:val="0"/>
          <w:marTop w:val="0"/>
          <w:marBottom w:val="0"/>
          <w:divBdr>
            <w:top w:val="none" w:sz="0" w:space="0" w:color="auto"/>
            <w:left w:val="none" w:sz="0" w:space="0" w:color="auto"/>
            <w:bottom w:val="none" w:sz="0" w:space="0" w:color="auto"/>
            <w:right w:val="none" w:sz="0" w:space="0" w:color="auto"/>
          </w:divBdr>
        </w:div>
        <w:div w:id="41948989">
          <w:marLeft w:val="0"/>
          <w:marRight w:val="0"/>
          <w:marTop w:val="0"/>
          <w:marBottom w:val="0"/>
          <w:divBdr>
            <w:top w:val="none" w:sz="0" w:space="0" w:color="auto"/>
            <w:left w:val="none" w:sz="0" w:space="0" w:color="auto"/>
            <w:bottom w:val="none" w:sz="0" w:space="0" w:color="auto"/>
            <w:right w:val="none" w:sz="0" w:space="0" w:color="auto"/>
          </w:divBdr>
        </w:div>
        <w:div w:id="161627363">
          <w:marLeft w:val="0"/>
          <w:marRight w:val="0"/>
          <w:marTop w:val="0"/>
          <w:marBottom w:val="0"/>
          <w:divBdr>
            <w:top w:val="none" w:sz="0" w:space="0" w:color="auto"/>
            <w:left w:val="none" w:sz="0" w:space="0" w:color="auto"/>
            <w:bottom w:val="none" w:sz="0" w:space="0" w:color="auto"/>
            <w:right w:val="none" w:sz="0" w:space="0" w:color="auto"/>
          </w:divBdr>
        </w:div>
        <w:div w:id="190649891">
          <w:marLeft w:val="0"/>
          <w:marRight w:val="0"/>
          <w:marTop w:val="0"/>
          <w:marBottom w:val="0"/>
          <w:divBdr>
            <w:top w:val="none" w:sz="0" w:space="0" w:color="auto"/>
            <w:left w:val="none" w:sz="0" w:space="0" w:color="auto"/>
            <w:bottom w:val="none" w:sz="0" w:space="0" w:color="auto"/>
            <w:right w:val="none" w:sz="0" w:space="0" w:color="auto"/>
          </w:divBdr>
        </w:div>
        <w:div w:id="194930456">
          <w:marLeft w:val="0"/>
          <w:marRight w:val="0"/>
          <w:marTop w:val="0"/>
          <w:marBottom w:val="0"/>
          <w:divBdr>
            <w:top w:val="none" w:sz="0" w:space="0" w:color="auto"/>
            <w:left w:val="none" w:sz="0" w:space="0" w:color="auto"/>
            <w:bottom w:val="none" w:sz="0" w:space="0" w:color="auto"/>
            <w:right w:val="none" w:sz="0" w:space="0" w:color="auto"/>
          </w:divBdr>
        </w:div>
        <w:div w:id="215704510">
          <w:marLeft w:val="0"/>
          <w:marRight w:val="0"/>
          <w:marTop w:val="0"/>
          <w:marBottom w:val="0"/>
          <w:divBdr>
            <w:top w:val="none" w:sz="0" w:space="0" w:color="auto"/>
            <w:left w:val="none" w:sz="0" w:space="0" w:color="auto"/>
            <w:bottom w:val="none" w:sz="0" w:space="0" w:color="auto"/>
            <w:right w:val="none" w:sz="0" w:space="0" w:color="auto"/>
          </w:divBdr>
        </w:div>
        <w:div w:id="246768375">
          <w:marLeft w:val="0"/>
          <w:marRight w:val="0"/>
          <w:marTop w:val="0"/>
          <w:marBottom w:val="0"/>
          <w:divBdr>
            <w:top w:val="none" w:sz="0" w:space="0" w:color="auto"/>
            <w:left w:val="none" w:sz="0" w:space="0" w:color="auto"/>
            <w:bottom w:val="none" w:sz="0" w:space="0" w:color="auto"/>
            <w:right w:val="none" w:sz="0" w:space="0" w:color="auto"/>
          </w:divBdr>
        </w:div>
        <w:div w:id="269358330">
          <w:marLeft w:val="0"/>
          <w:marRight w:val="0"/>
          <w:marTop w:val="0"/>
          <w:marBottom w:val="0"/>
          <w:divBdr>
            <w:top w:val="none" w:sz="0" w:space="0" w:color="auto"/>
            <w:left w:val="none" w:sz="0" w:space="0" w:color="auto"/>
            <w:bottom w:val="none" w:sz="0" w:space="0" w:color="auto"/>
            <w:right w:val="none" w:sz="0" w:space="0" w:color="auto"/>
          </w:divBdr>
        </w:div>
        <w:div w:id="278532143">
          <w:marLeft w:val="0"/>
          <w:marRight w:val="0"/>
          <w:marTop w:val="0"/>
          <w:marBottom w:val="0"/>
          <w:divBdr>
            <w:top w:val="none" w:sz="0" w:space="0" w:color="auto"/>
            <w:left w:val="none" w:sz="0" w:space="0" w:color="auto"/>
            <w:bottom w:val="none" w:sz="0" w:space="0" w:color="auto"/>
            <w:right w:val="none" w:sz="0" w:space="0" w:color="auto"/>
          </w:divBdr>
        </w:div>
        <w:div w:id="280887507">
          <w:marLeft w:val="0"/>
          <w:marRight w:val="0"/>
          <w:marTop w:val="0"/>
          <w:marBottom w:val="0"/>
          <w:divBdr>
            <w:top w:val="none" w:sz="0" w:space="0" w:color="auto"/>
            <w:left w:val="none" w:sz="0" w:space="0" w:color="auto"/>
            <w:bottom w:val="none" w:sz="0" w:space="0" w:color="auto"/>
            <w:right w:val="none" w:sz="0" w:space="0" w:color="auto"/>
          </w:divBdr>
          <w:divsChild>
            <w:div w:id="1667316644">
              <w:marLeft w:val="-75"/>
              <w:marRight w:val="0"/>
              <w:marTop w:val="30"/>
              <w:marBottom w:val="30"/>
              <w:divBdr>
                <w:top w:val="none" w:sz="0" w:space="0" w:color="auto"/>
                <w:left w:val="none" w:sz="0" w:space="0" w:color="auto"/>
                <w:bottom w:val="none" w:sz="0" w:space="0" w:color="auto"/>
                <w:right w:val="none" w:sz="0" w:space="0" w:color="auto"/>
              </w:divBdr>
              <w:divsChild>
                <w:div w:id="438841240">
                  <w:marLeft w:val="0"/>
                  <w:marRight w:val="0"/>
                  <w:marTop w:val="0"/>
                  <w:marBottom w:val="0"/>
                  <w:divBdr>
                    <w:top w:val="none" w:sz="0" w:space="0" w:color="auto"/>
                    <w:left w:val="none" w:sz="0" w:space="0" w:color="auto"/>
                    <w:bottom w:val="none" w:sz="0" w:space="0" w:color="auto"/>
                    <w:right w:val="none" w:sz="0" w:space="0" w:color="auto"/>
                  </w:divBdr>
                  <w:divsChild>
                    <w:div w:id="980422634">
                      <w:marLeft w:val="0"/>
                      <w:marRight w:val="0"/>
                      <w:marTop w:val="0"/>
                      <w:marBottom w:val="0"/>
                      <w:divBdr>
                        <w:top w:val="none" w:sz="0" w:space="0" w:color="auto"/>
                        <w:left w:val="none" w:sz="0" w:space="0" w:color="auto"/>
                        <w:bottom w:val="none" w:sz="0" w:space="0" w:color="auto"/>
                        <w:right w:val="none" w:sz="0" w:space="0" w:color="auto"/>
                      </w:divBdr>
                    </w:div>
                  </w:divsChild>
                </w:div>
                <w:div w:id="849103872">
                  <w:marLeft w:val="0"/>
                  <w:marRight w:val="0"/>
                  <w:marTop w:val="0"/>
                  <w:marBottom w:val="0"/>
                  <w:divBdr>
                    <w:top w:val="none" w:sz="0" w:space="0" w:color="auto"/>
                    <w:left w:val="none" w:sz="0" w:space="0" w:color="auto"/>
                    <w:bottom w:val="none" w:sz="0" w:space="0" w:color="auto"/>
                    <w:right w:val="none" w:sz="0" w:space="0" w:color="auto"/>
                  </w:divBdr>
                  <w:divsChild>
                    <w:div w:id="1963490564">
                      <w:marLeft w:val="0"/>
                      <w:marRight w:val="0"/>
                      <w:marTop w:val="0"/>
                      <w:marBottom w:val="0"/>
                      <w:divBdr>
                        <w:top w:val="none" w:sz="0" w:space="0" w:color="auto"/>
                        <w:left w:val="none" w:sz="0" w:space="0" w:color="auto"/>
                        <w:bottom w:val="none" w:sz="0" w:space="0" w:color="auto"/>
                        <w:right w:val="none" w:sz="0" w:space="0" w:color="auto"/>
                      </w:divBdr>
                    </w:div>
                  </w:divsChild>
                </w:div>
                <w:div w:id="884876233">
                  <w:marLeft w:val="0"/>
                  <w:marRight w:val="0"/>
                  <w:marTop w:val="0"/>
                  <w:marBottom w:val="0"/>
                  <w:divBdr>
                    <w:top w:val="none" w:sz="0" w:space="0" w:color="auto"/>
                    <w:left w:val="none" w:sz="0" w:space="0" w:color="auto"/>
                    <w:bottom w:val="none" w:sz="0" w:space="0" w:color="auto"/>
                    <w:right w:val="none" w:sz="0" w:space="0" w:color="auto"/>
                  </w:divBdr>
                  <w:divsChild>
                    <w:div w:id="1001784859">
                      <w:marLeft w:val="0"/>
                      <w:marRight w:val="0"/>
                      <w:marTop w:val="0"/>
                      <w:marBottom w:val="0"/>
                      <w:divBdr>
                        <w:top w:val="none" w:sz="0" w:space="0" w:color="auto"/>
                        <w:left w:val="none" w:sz="0" w:space="0" w:color="auto"/>
                        <w:bottom w:val="none" w:sz="0" w:space="0" w:color="auto"/>
                        <w:right w:val="none" w:sz="0" w:space="0" w:color="auto"/>
                      </w:divBdr>
                    </w:div>
                  </w:divsChild>
                </w:div>
                <w:div w:id="972947749">
                  <w:marLeft w:val="0"/>
                  <w:marRight w:val="0"/>
                  <w:marTop w:val="0"/>
                  <w:marBottom w:val="0"/>
                  <w:divBdr>
                    <w:top w:val="none" w:sz="0" w:space="0" w:color="auto"/>
                    <w:left w:val="none" w:sz="0" w:space="0" w:color="auto"/>
                    <w:bottom w:val="none" w:sz="0" w:space="0" w:color="auto"/>
                    <w:right w:val="none" w:sz="0" w:space="0" w:color="auto"/>
                  </w:divBdr>
                  <w:divsChild>
                    <w:div w:id="1594389487">
                      <w:marLeft w:val="0"/>
                      <w:marRight w:val="0"/>
                      <w:marTop w:val="0"/>
                      <w:marBottom w:val="0"/>
                      <w:divBdr>
                        <w:top w:val="none" w:sz="0" w:space="0" w:color="auto"/>
                        <w:left w:val="none" w:sz="0" w:space="0" w:color="auto"/>
                        <w:bottom w:val="none" w:sz="0" w:space="0" w:color="auto"/>
                        <w:right w:val="none" w:sz="0" w:space="0" w:color="auto"/>
                      </w:divBdr>
                    </w:div>
                  </w:divsChild>
                </w:div>
                <w:div w:id="1870485273">
                  <w:marLeft w:val="0"/>
                  <w:marRight w:val="0"/>
                  <w:marTop w:val="0"/>
                  <w:marBottom w:val="0"/>
                  <w:divBdr>
                    <w:top w:val="none" w:sz="0" w:space="0" w:color="auto"/>
                    <w:left w:val="none" w:sz="0" w:space="0" w:color="auto"/>
                    <w:bottom w:val="none" w:sz="0" w:space="0" w:color="auto"/>
                    <w:right w:val="none" w:sz="0" w:space="0" w:color="auto"/>
                  </w:divBdr>
                  <w:divsChild>
                    <w:div w:id="1559589652">
                      <w:marLeft w:val="0"/>
                      <w:marRight w:val="0"/>
                      <w:marTop w:val="0"/>
                      <w:marBottom w:val="0"/>
                      <w:divBdr>
                        <w:top w:val="none" w:sz="0" w:space="0" w:color="auto"/>
                        <w:left w:val="none" w:sz="0" w:space="0" w:color="auto"/>
                        <w:bottom w:val="none" w:sz="0" w:space="0" w:color="auto"/>
                        <w:right w:val="none" w:sz="0" w:space="0" w:color="auto"/>
                      </w:divBdr>
                    </w:div>
                    <w:div w:id="1593009408">
                      <w:marLeft w:val="0"/>
                      <w:marRight w:val="0"/>
                      <w:marTop w:val="0"/>
                      <w:marBottom w:val="0"/>
                      <w:divBdr>
                        <w:top w:val="none" w:sz="0" w:space="0" w:color="auto"/>
                        <w:left w:val="none" w:sz="0" w:space="0" w:color="auto"/>
                        <w:bottom w:val="none" w:sz="0" w:space="0" w:color="auto"/>
                        <w:right w:val="none" w:sz="0" w:space="0" w:color="auto"/>
                      </w:divBdr>
                    </w:div>
                  </w:divsChild>
                </w:div>
                <w:div w:id="1986271472">
                  <w:marLeft w:val="0"/>
                  <w:marRight w:val="0"/>
                  <w:marTop w:val="0"/>
                  <w:marBottom w:val="0"/>
                  <w:divBdr>
                    <w:top w:val="none" w:sz="0" w:space="0" w:color="auto"/>
                    <w:left w:val="none" w:sz="0" w:space="0" w:color="auto"/>
                    <w:bottom w:val="none" w:sz="0" w:space="0" w:color="auto"/>
                    <w:right w:val="none" w:sz="0" w:space="0" w:color="auto"/>
                  </w:divBdr>
                  <w:divsChild>
                    <w:div w:id="1623807969">
                      <w:marLeft w:val="0"/>
                      <w:marRight w:val="0"/>
                      <w:marTop w:val="0"/>
                      <w:marBottom w:val="0"/>
                      <w:divBdr>
                        <w:top w:val="none" w:sz="0" w:space="0" w:color="auto"/>
                        <w:left w:val="none" w:sz="0" w:space="0" w:color="auto"/>
                        <w:bottom w:val="none" w:sz="0" w:space="0" w:color="auto"/>
                        <w:right w:val="none" w:sz="0" w:space="0" w:color="auto"/>
                      </w:divBdr>
                    </w:div>
                  </w:divsChild>
                </w:div>
                <w:div w:id="2012372000">
                  <w:marLeft w:val="0"/>
                  <w:marRight w:val="0"/>
                  <w:marTop w:val="0"/>
                  <w:marBottom w:val="0"/>
                  <w:divBdr>
                    <w:top w:val="none" w:sz="0" w:space="0" w:color="auto"/>
                    <w:left w:val="none" w:sz="0" w:space="0" w:color="auto"/>
                    <w:bottom w:val="none" w:sz="0" w:space="0" w:color="auto"/>
                    <w:right w:val="none" w:sz="0" w:space="0" w:color="auto"/>
                  </w:divBdr>
                  <w:divsChild>
                    <w:div w:id="1996641659">
                      <w:marLeft w:val="0"/>
                      <w:marRight w:val="0"/>
                      <w:marTop w:val="0"/>
                      <w:marBottom w:val="0"/>
                      <w:divBdr>
                        <w:top w:val="none" w:sz="0" w:space="0" w:color="auto"/>
                        <w:left w:val="none" w:sz="0" w:space="0" w:color="auto"/>
                        <w:bottom w:val="none" w:sz="0" w:space="0" w:color="auto"/>
                        <w:right w:val="none" w:sz="0" w:space="0" w:color="auto"/>
                      </w:divBdr>
                    </w:div>
                  </w:divsChild>
                </w:div>
                <w:div w:id="2024622731">
                  <w:marLeft w:val="0"/>
                  <w:marRight w:val="0"/>
                  <w:marTop w:val="0"/>
                  <w:marBottom w:val="0"/>
                  <w:divBdr>
                    <w:top w:val="none" w:sz="0" w:space="0" w:color="auto"/>
                    <w:left w:val="none" w:sz="0" w:space="0" w:color="auto"/>
                    <w:bottom w:val="none" w:sz="0" w:space="0" w:color="auto"/>
                    <w:right w:val="none" w:sz="0" w:space="0" w:color="auto"/>
                  </w:divBdr>
                  <w:divsChild>
                    <w:div w:id="235282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8046792">
          <w:marLeft w:val="0"/>
          <w:marRight w:val="0"/>
          <w:marTop w:val="0"/>
          <w:marBottom w:val="0"/>
          <w:divBdr>
            <w:top w:val="none" w:sz="0" w:space="0" w:color="auto"/>
            <w:left w:val="none" w:sz="0" w:space="0" w:color="auto"/>
            <w:bottom w:val="none" w:sz="0" w:space="0" w:color="auto"/>
            <w:right w:val="none" w:sz="0" w:space="0" w:color="auto"/>
          </w:divBdr>
        </w:div>
        <w:div w:id="397898072">
          <w:marLeft w:val="0"/>
          <w:marRight w:val="0"/>
          <w:marTop w:val="0"/>
          <w:marBottom w:val="0"/>
          <w:divBdr>
            <w:top w:val="none" w:sz="0" w:space="0" w:color="auto"/>
            <w:left w:val="none" w:sz="0" w:space="0" w:color="auto"/>
            <w:bottom w:val="none" w:sz="0" w:space="0" w:color="auto"/>
            <w:right w:val="none" w:sz="0" w:space="0" w:color="auto"/>
          </w:divBdr>
        </w:div>
        <w:div w:id="401290680">
          <w:marLeft w:val="0"/>
          <w:marRight w:val="0"/>
          <w:marTop w:val="0"/>
          <w:marBottom w:val="0"/>
          <w:divBdr>
            <w:top w:val="none" w:sz="0" w:space="0" w:color="auto"/>
            <w:left w:val="none" w:sz="0" w:space="0" w:color="auto"/>
            <w:bottom w:val="none" w:sz="0" w:space="0" w:color="auto"/>
            <w:right w:val="none" w:sz="0" w:space="0" w:color="auto"/>
          </w:divBdr>
        </w:div>
        <w:div w:id="405810956">
          <w:marLeft w:val="0"/>
          <w:marRight w:val="0"/>
          <w:marTop w:val="0"/>
          <w:marBottom w:val="0"/>
          <w:divBdr>
            <w:top w:val="none" w:sz="0" w:space="0" w:color="auto"/>
            <w:left w:val="none" w:sz="0" w:space="0" w:color="auto"/>
            <w:bottom w:val="none" w:sz="0" w:space="0" w:color="auto"/>
            <w:right w:val="none" w:sz="0" w:space="0" w:color="auto"/>
          </w:divBdr>
        </w:div>
        <w:div w:id="452401720">
          <w:marLeft w:val="0"/>
          <w:marRight w:val="0"/>
          <w:marTop w:val="0"/>
          <w:marBottom w:val="0"/>
          <w:divBdr>
            <w:top w:val="none" w:sz="0" w:space="0" w:color="auto"/>
            <w:left w:val="none" w:sz="0" w:space="0" w:color="auto"/>
            <w:bottom w:val="none" w:sz="0" w:space="0" w:color="auto"/>
            <w:right w:val="none" w:sz="0" w:space="0" w:color="auto"/>
          </w:divBdr>
        </w:div>
        <w:div w:id="487327368">
          <w:marLeft w:val="0"/>
          <w:marRight w:val="0"/>
          <w:marTop w:val="0"/>
          <w:marBottom w:val="0"/>
          <w:divBdr>
            <w:top w:val="none" w:sz="0" w:space="0" w:color="auto"/>
            <w:left w:val="none" w:sz="0" w:space="0" w:color="auto"/>
            <w:bottom w:val="none" w:sz="0" w:space="0" w:color="auto"/>
            <w:right w:val="none" w:sz="0" w:space="0" w:color="auto"/>
          </w:divBdr>
        </w:div>
        <w:div w:id="624193086">
          <w:marLeft w:val="0"/>
          <w:marRight w:val="0"/>
          <w:marTop w:val="0"/>
          <w:marBottom w:val="0"/>
          <w:divBdr>
            <w:top w:val="none" w:sz="0" w:space="0" w:color="auto"/>
            <w:left w:val="none" w:sz="0" w:space="0" w:color="auto"/>
            <w:bottom w:val="none" w:sz="0" w:space="0" w:color="auto"/>
            <w:right w:val="none" w:sz="0" w:space="0" w:color="auto"/>
          </w:divBdr>
        </w:div>
        <w:div w:id="735056862">
          <w:marLeft w:val="0"/>
          <w:marRight w:val="0"/>
          <w:marTop w:val="0"/>
          <w:marBottom w:val="0"/>
          <w:divBdr>
            <w:top w:val="none" w:sz="0" w:space="0" w:color="auto"/>
            <w:left w:val="none" w:sz="0" w:space="0" w:color="auto"/>
            <w:bottom w:val="none" w:sz="0" w:space="0" w:color="auto"/>
            <w:right w:val="none" w:sz="0" w:space="0" w:color="auto"/>
          </w:divBdr>
        </w:div>
        <w:div w:id="751925854">
          <w:marLeft w:val="0"/>
          <w:marRight w:val="0"/>
          <w:marTop w:val="0"/>
          <w:marBottom w:val="0"/>
          <w:divBdr>
            <w:top w:val="none" w:sz="0" w:space="0" w:color="auto"/>
            <w:left w:val="none" w:sz="0" w:space="0" w:color="auto"/>
            <w:bottom w:val="none" w:sz="0" w:space="0" w:color="auto"/>
            <w:right w:val="none" w:sz="0" w:space="0" w:color="auto"/>
          </w:divBdr>
        </w:div>
        <w:div w:id="764688671">
          <w:marLeft w:val="0"/>
          <w:marRight w:val="0"/>
          <w:marTop w:val="0"/>
          <w:marBottom w:val="0"/>
          <w:divBdr>
            <w:top w:val="none" w:sz="0" w:space="0" w:color="auto"/>
            <w:left w:val="none" w:sz="0" w:space="0" w:color="auto"/>
            <w:bottom w:val="none" w:sz="0" w:space="0" w:color="auto"/>
            <w:right w:val="none" w:sz="0" w:space="0" w:color="auto"/>
          </w:divBdr>
        </w:div>
        <w:div w:id="859318498">
          <w:marLeft w:val="0"/>
          <w:marRight w:val="0"/>
          <w:marTop w:val="0"/>
          <w:marBottom w:val="0"/>
          <w:divBdr>
            <w:top w:val="none" w:sz="0" w:space="0" w:color="auto"/>
            <w:left w:val="none" w:sz="0" w:space="0" w:color="auto"/>
            <w:bottom w:val="none" w:sz="0" w:space="0" w:color="auto"/>
            <w:right w:val="none" w:sz="0" w:space="0" w:color="auto"/>
          </w:divBdr>
        </w:div>
        <w:div w:id="880674354">
          <w:marLeft w:val="0"/>
          <w:marRight w:val="0"/>
          <w:marTop w:val="0"/>
          <w:marBottom w:val="0"/>
          <w:divBdr>
            <w:top w:val="none" w:sz="0" w:space="0" w:color="auto"/>
            <w:left w:val="none" w:sz="0" w:space="0" w:color="auto"/>
            <w:bottom w:val="none" w:sz="0" w:space="0" w:color="auto"/>
            <w:right w:val="none" w:sz="0" w:space="0" w:color="auto"/>
          </w:divBdr>
        </w:div>
        <w:div w:id="891115053">
          <w:marLeft w:val="0"/>
          <w:marRight w:val="0"/>
          <w:marTop w:val="0"/>
          <w:marBottom w:val="0"/>
          <w:divBdr>
            <w:top w:val="none" w:sz="0" w:space="0" w:color="auto"/>
            <w:left w:val="none" w:sz="0" w:space="0" w:color="auto"/>
            <w:bottom w:val="none" w:sz="0" w:space="0" w:color="auto"/>
            <w:right w:val="none" w:sz="0" w:space="0" w:color="auto"/>
          </w:divBdr>
        </w:div>
        <w:div w:id="904953580">
          <w:marLeft w:val="0"/>
          <w:marRight w:val="0"/>
          <w:marTop w:val="0"/>
          <w:marBottom w:val="0"/>
          <w:divBdr>
            <w:top w:val="none" w:sz="0" w:space="0" w:color="auto"/>
            <w:left w:val="none" w:sz="0" w:space="0" w:color="auto"/>
            <w:bottom w:val="none" w:sz="0" w:space="0" w:color="auto"/>
            <w:right w:val="none" w:sz="0" w:space="0" w:color="auto"/>
          </w:divBdr>
        </w:div>
        <w:div w:id="939071167">
          <w:marLeft w:val="0"/>
          <w:marRight w:val="0"/>
          <w:marTop w:val="0"/>
          <w:marBottom w:val="0"/>
          <w:divBdr>
            <w:top w:val="none" w:sz="0" w:space="0" w:color="auto"/>
            <w:left w:val="none" w:sz="0" w:space="0" w:color="auto"/>
            <w:bottom w:val="none" w:sz="0" w:space="0" w:color="auto"/>
            <w:right w:val="none" w:sz="0" w:space="0" w:color="auto"/>
          </w:divBdr>
        </w:div>
        <w:div w:id="999193371">
          <w:marLeft w:val="0"/>
          <w:marRight w:val="0"/>
          <w:marTop w:val="0"/>
          <w:marBottom w:val="0"/>
          <w:divBdr>
            <w:top w:val="none" w:sz="0" w:space="0" w:color="auto"/>
            <w:left w:val="none" w:sz="0" w:space="0" w:color="auto"/>
            <w:bottom w:val="none" w:sz="0" w:space="0" w:color="auto"/>
            <w:right w:val="none" w:sz="0" w:space="0" w:color="auto"/>
          </w:divBdr>
        </w:div>
        <w:div w:id="1077628660">
          <w:marLeft w:val="0"/>
          <w:marRight w:val="0"/>
          <w:marTop w:val="0"/>
          <w:marBottom w:val="0"/>
          <w:divBdr>
            <w:top w:val="none" w:sz="0" w:space="0" w:color="auto"/>
            <w:left w:val="none" w:sz="0" w:space="0" w:color="auto"/>
            <w:bottom w:val="none" w:sz="0" w:space="0" w:color="auto"/>
            <w:right w:val="none" w:sz="0" w:space="0" w:color="auto"/>
          </w:divBdr>
        </w:div>
        <w:div w:id="1135220303">
          <w:marLeft w:val="0"/>
          <w:marRight w:val="0"/>
          <w:marTop w:val="0"/>
          <w:marBottom w:val="0"/>
          <w:divBdr>
            <w:top w:val="none" w:sz="0" w:space="0" w:color="auto"/>
            <w:left w:val="none" w:sz="0" w:space="0" w:color="auto"/>
            <w:bottom w:val="none" w:sz="0" w:space="0" w:color="auto"/>
            <w:right w:val="none" w:sz="0" w:space="0" w:color="auto"/>
          </w:divBdr>
        </w:div>
        <w:div w:id="1318194750">
          <w:marLeft w:val="0"/>
          <w:marRight w:val="0"/>
          <w:marTop w:val="0"/>
          <w:marBottom w:val="0"/>
          <w:divBdr>
            <w:top w:val="none" w:sz="0" w:space="0" w:color="auto"/>
            <w:left w:val="none" w:sz="0" w:space="0" w:color="auto"/>
            <w:bottom w:val="none" w:sz="0" w:space="0" w:color="auto"/>
            <w:right w:val="none" w:sz="0" w:space="0" w:color="auto"/>
          </w:divBdr>
        </w:div>
        <w:div w:id="1349016671">
          <w:marLeft w:val="0"/>
          <w:marRight w:val="0"/>
          <w:marTop w:val="0"/>
          <w:marBottom w:val="0"/>
          <w:divBdr>
            <w:top w:val="none" w:sz="0" w:space="0" w:color="auto"/>
            <w:left w:val="none" w:sz="0" w:space="0" w:color="auto"/>
            <w:bottom w:val="none" w:sz="0" w:space="0" w:color="auto"/>
            <w:right w:val="none" w:sz="0" w:space="0" w:color="auto"/>
          </w:divBdr>
        </w:div>
        <w:div w:id="1429891143">
          <w:marLeft w:val="0"/>
          <w:marRight w:val="0"/>
          <w:marTop w:val="0"/>
          <w:marBottom w:val="0"/>
          <w:divBdr>
            <w:top w:val="none" w:sz="0" w:space="0" w:color="auto"/>
            <w:left w:val="none" w:sz="0" w:space="0" w:color="auto"/>
            <w:bottom w:val="none" w:sz="0" w:space="0" w:color="auto"/>
            <w:right w:val="none" w:sz="0" w:space="0" w:color="auto"/>
          </w:divBdr>
        </w:div>
        <w:div w:id="1593778195">
          <w:marLeft w:val="0"/>
          <w:marRight w:val="0"/>
          <w:marTop w:val="0"/>
          <w:marBottom w:val="0"/>
          <w:divBdr>
            <w:top w:val="none" w:sz="0" w:space="0" w:color="auto"/>
            <w:left w:val="none" w:sz="0" w:space="0" w:color="auto"/>
            <w:bottom w:val="none" w:sz="0" w:space="0" w:color="auto"/>
            <w:right w:val="none" w:sz="0" w:space="0" w:color="auto"/>
          </w:divBdr>
        </w:div>
        <w:div w:id="1669210533">
          <w:marLeft w:val="0"/>
          <w:marRight w:val="0"/>
          <w:marTop w:val="0"/>
          <w:marBottom w:val="0"/>
          <w:divBdr>
            <w:top w:val="none" w:sz="0" w:space="0" w:color="auto"/>
            <w:left w:val="none" w:sz="0" w:space="0" w:color="auto"/>
            <w:bottom w:val="none" w:sz="0" w:space="0" w:color="auto"/>
            <w:right w:val="none" w:sz="0" w:space="0" w:color="auto"/>
          </w:divBdr>
        </w:div>
        <w:div w:id="1684555232">
          <w:marLeft w:val="0"/>
          <w:marRight w:val="0"/>
          <w:marTop w:val="0"/>
          <w:marBottom w:val="0"/>
          <w:divBdr>
            <w:top w:val="none" w:sz="0" w:space="0" w:color="auto"/>
            <w:left w:val="none" w:sz="0" w:space="0" w:color="auto"/>
            <w:bottom w:val="none" w:sz="0" w:space="0" w:color="auto"/>
            <w:right w:val="none" w:sz="0" w:space="0" w:color="auto"/>
          </w:divBdr>
        </w:div>
        <w:div w:id="1698197481">
          <w:marLeft w:val="0"/>
          <w:marRight w:val="0"/>
          <w:marTop w:val="0"/>
          <w:marBottom w:val="0"/>
          <w:divBdr>
            <w:top w:val="none" w:sz="0" w:space="0" w:color="auto"/>
            <w:left w:val="none" w:sz="0" w:space="0" w:color="auto"/>
            <w:bottom w:val="none" w:sz="0" w:space="0" w:color="auto"/>
            <w:right w:val="none" w:sz="0" w:space="0" w:color="auto"/>
          </w:divBdr>
        </w:div>
        <w:div w:id="1707176694">
          <w:marLeft w:val="0"/>
          <w:marRight w:val="0"/>
          <w:marTop w:val="0"/>
          <w:marBottom w:val="0"/>
          <w:divBdr>
            <w:top w:val="none" w:sz="0" w:space="0" w:color="auto"/>
            <w:left w:val="none" w:sz="0" w:space="0" w:color="auto"/>
            <w:bottom w:val="none" w:sz="0" w:space="0" w:color="auto"/>
            <w:right w:val="none" w:sz="0" w:space="0" w:color="auto"/>
          </w:divBdr>
        </w:div>
        <w:div w:id="1709182179">
          <w:marLeft w:val="0"/>
          <w:marRight w:val="0"/>
          <w:marTop w:val="0"/>
          <w:marBottom w:val="0"/>
          <w:divBdr>
            <w:top w:val="none" w:sz="0" w:space="0" w:color="auto"/>
            <w:left w:val="none" w:sz="0" w:space="0" w:color="auto"/>
            <w:bottom w:val="none" w:sz="0" w:space="0" w:color="auto"/>
            <w:right w:val="none" w:sz="0" w:space="0" w:color="auto"/>
          </w:divBdr>
        </w:div>
        <w:div w:id="1786347026">
          <w:marLeft w:val="0"/>
          <w:marRight w:val="0"/>
          <w:marTop w:val="0"/>
          <w:marBottom w:val="0"/>
          <w:divBdr>
            <w:top w:val="none" w:sz="0" w:space="0" w:color="auto"/>
            <w:left w:val="none" w:sz="0" w:space="0" w:color="auto"/>
            <w:bottom w:val="none" w:sz="0" w:space="0" w:color="auto"/>
            <w:right w:val="none" w:sz="0" w:space="0" w:color="auto"/>
          </w:divBdr>
        </w:div>
        <w:div w:id="1830974060">
          <w:marLeft w:val="0"/>
          <w:marRight w:val="0"/>
          <w:marTop w:val="0"/>
          <w:marBottom w:val="0"/>
          <w:divBdr>
            <w:top w:val="none" w:sz="0" w:space="0" w:color="auto"/>
            <w:left w:val="none" w:sz="0" w:space="0" w:color="auto"/>
            <w:bottom w:val="none" w:sz="0" w:space="0" w:color="auto"/>
            <w:right w:val="none" w:sz="0" w:space="0" w:color="auto"/>
          </w:divBdr>
        </w:div>
        <w:div w:id="1900943162">
          <w:marLeft w:val="0"/>
          <w:marRight w:val="0"/>
          <w:marTop w:val="0"/>
          <w:marBottom w:val="0"/>
          <w:divBdr>
            <w:top w:val="none" w:sz="0" w:space="0" w:color="auto"/>
            <w:left w:val="none" w:sz="0" w:space="0" w:color="auto"/>
            <w:bottom w:val="none" w:sz="0" w:space="0" w:color="auto"/>
            <w:right w:val="none" w:sz="0" w:space="0" w:color="auto"/>
          </w:divBdr>
        </w:div>
        <w:div w:id="1905483148">
          <w:marLeft w:val="0"/>
          <w:marRight w:val="0"/>
          <w:marTop w:val="0"/>
          <w:marBottom w:val="0"/>
          <w:divBdr>
            <w:top w:val="none" w:sz="0" w:space="0" w:color="auto"/>
            <w:left w:val="none" w:sz="0" w:space="0" w:color="auto"/>
            <w:bottom w:val="none" w:sz="0" w:space="0" w:color="auto"/>
            <w:right w:val="none" w:sz="0" w:space="0" w:color="auto"/>
          </w:divBdr>
        </w:div>
        <w:div w:id="1916932755">
          <w:marLeft w:val="0"/>
          <w:marRight w:val="0"/>
          <w:marTop w:val="0"/>
          <w:marBottom w:val="0"/>
          <w:divBdr>
            <w:top w:val="none" w:sz="0" w:space="0" w:color="auto"/>
            <w:left w:val="none" w:sz="0" w:space="0" w:color="auto"/>
            <w:bottom w:val="none" w:sz="0" w:space="0" w:color="auto"/>
            <w:right w:val="none" w:sz="0" w:space="0" w:color="auto"/>
          </w:divBdr>
        </w:div>
        <w:div w:id="1929656084">
          <w:marLeft w:val="0"/>
          <w:marRight w:val="0"/>
          <w:marTop w:val="0"/>
          <w:marBottom w:val="0"/>
          <w:divBdr>
            <w:top w:val="none" w:sz="0" w:space="0" w:color="auto"/>
            <w:left w:val="none" w:sz="0" w:space="0" w:color="auto"/>
            <w:bottom w:val="none" w:sz="0" w:space="0" w:color="auto"/>
            <w:right w:val="none" w:sz="0" w:space="0" w:color="auto"/>
          </w:divBdr>
        </w:div>
        <w:div w:id="1994017840">
          <w:marLeft w:val="0"/>
          <w:marRight w:val="0"/>
          <w:marTop w:val="0"/>
          <w:marBottom w:val="0"/>
          <w:divBdr>
            <w:top w:val="none" w:sz="0" w:space="0" w:color="auto"/>
            <w:left w:val="none" w:sz="0" w:space="0" w:color="auto"/>
            <w:bottom w:val="none" w:sz="0" w:space="0" w:color="auto"/>
            <w:right w:val="none" w:sz="0" w:space="0" w:color="auto"/>
          </w:divBdr>
        </w:div>
        <w:div w:id="2007710377">
          <w:marLeft w:val="0"/>
          <w:marRight w:val="0"/>
          <w:marTop w:val="0"/>
          <w:marBottom w:val="0"/>
          <w:divBdr>
            <w:top w:val="none" w:sz="0" w:space="0" w:color="auto"/>
            <w:left w:val="none" w:sz="0" w:space="0" w:color="auto"/>
            <w:bottom w:val="none" w:sz="0" w:space="0" w:color="auto"/>
            <w:right w:val="none" w:sz="0" w:space="0" w:color="auto"/>
          </w:divBdr>
        </w:div>
        <w:div w:id="2020422819">
          <w:marLeft w:val="0"/>
          <w:marRight w:val="0"/>
          <w:marTop w:val="0"/>
          <w:marBottom w:val="0"/>
          <w:divBdr>
            <w:top w:val="none" w:sz="0" w:space="0" w:color="auto"/>
            <w:left w:val="none" w:sz="0" w:space="0" w:color="auto"/>
            <w:bottom w:val="none" w:sz="0" w:space="0" w:color="auto"/>
            <w:right w:val="none" w:sz="0" w:space="0" w:color="auto"/>
          </w:divBdr>
        </w:div>
        <w:div w:id="2058045395">
          <w:marLeft w:val="0"/>
          <w:marRight w:val="0"/>
          <w:marTop w:val="0"/>
          <w:marBottom w:val="0"/>
          <w:divBdr>
            <w:top w:val="none" w:sz="0" w:space="0" w:color="auto"/>
            <w:left w:val="none" w:sz="0" w:space="0" w:color="auto"/>
            <w:bottom w:val="none" w:sz="0" w:space="0" w:color="auto"/>
            <w:right w:val="none" w:sz="0" w:space="0" w:color="auto"/>
          </w:divBdr>
        </w:div>
        <w:div w:id="2076080784">
          <w:marLeft w:val="0"/>
          <w:marRight w:val="0"/>
          <w:marTop w:val="0"/>
          <w:marBottom w:val="0"/>
          <w:divBdr>
            <w:top w:val="none" w:sz="0" w:space="0" w:color="auto"/>
            <w:left w:val="none" w:sz="0" w:space="0" w:color="auto"/>
            <w:bottom w:val="none" w:sz="0" w:space="0" w:color="auto"/>
            <w:right w:val="none" w:sz="0" w:space="0" w:color="auto"/>
          </w:divBdr>
        </w:div>
        <w:div w:id="2132504785">
          <w:marLeft w:val="0"/>
          <w:marRight w:val="0"/>
          <w:marTop w:val="0"/>
          <w:marBottom w:val="0"/>
          <w:divBdr>
            <w:top w:val="none" w:sz="0" w:space="0" w:color="auto"/>
            <w:left w:val="none" w:sz="0" w:space="0" w:color="auto"/>
            <w:bottom w:val="none" w:sz="0" w:space="0" w:color="auto"/>
            <w:right w:val="none" w:sz="0" w:space="0" w:color="auto"/>
          </w:divBdr>
        </w:div>
        <w:div w:id="2140488662">
          <w:marLeft w:val="0"/>
          <w:marRight w:val="0"/>
          <w:marTop w:val="0"/>
          <w:marBottom w:val="0"/>
          <w:divBdr>
            <w:top w:val="none" w:sz="0" w:space="0" w:color="auto"/>
            <w:left w:val="none" w:sz="0" w:space="0" w:color="auto"/>
            <w:bottom w:val="none" w:sz="0" w:space="0" w:color="auto"/>
            <w:right w:val="none" w:sz="0" w:space="0" w:color="auto"/>
          </w:divBdr>
        </w:div>
        <w:div w:id="21433029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normativa/ley-1150-de-2007/"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3.png"/><Relationship Id="rId2" Type="http://schemas.openxmlformats.org/officeDocument/2006/relationships/customXml" Target="../customXml/item2.xml"/><Relationship Id="rId16" Type="http://schemas.openxmlformats.org/officeDocument/2006/relationships/hyperlink" Target="https://relatoria.colombiacompra.gov.co/busqueda/concepto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olombiacompra.gov.co/content/04-documentos-tipo-para-licitacion-de-obra-publica-de-infraestructura-de-transporte-version"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latoria.colombiacompra.gov.co/normativa/ley-2022-de-2020/"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s://www.colombiacompra.gov.co/content/04-documentos-tipo-de-licitacion-de-obra-publica-para-proyectos-de-infraestructura-social" TargetMode="External"/><Relationship Id="rId2" Type="http://schemas.openxmlformats.org/officeDocument/2006/relationships/hyperlink" Target="https://www.colombiacompra.gov.co/content/documentos-tipo-infraestructura-de-agua-potable-y-saneamiento-basico" TargetMode="External"/><Relationship Id="rId1" Type="http://schemas.openxmlformats.org/officeDocument/2006/relationships/hyperlink" Target="https://www.colombiacompra.gov.co/content/documentos-tipo-de-infraestructura-de-transport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SharedWithUsers xmlns="a6cb9e4b-f1d1-4245-83ec-6cad768d538a">
      <UserInfo>
        <DisplayName>Gustavo Hinestroza Martinez</DisplayName>
        <AccountId>7801</AccountId>
        <AccountType/>
      </UserInfo>
      <UserInfo>
        <DisplayName>Adriana Katerine Lopez Rodriguez</DisplayName>
        <AccountId>807</AccountId>
        <AccountType/>
      </UserInfo>
    </SharedWithUsers>
    <No xmlns="9d85dbaf-23eb-4e57-a637-93dcacc8b1a1" xsi:nil="true"/>
    <_Flow_SignoffStatus xmlns="9d85dbaf-23eb-4e57-a637-93dcacc8b1a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2B2D8E-37AC-462C-9D23-B289ECA122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AAE0B2CE-DE93-41FE-A9BD-00ABBCFDF3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TotalTime>
  <Pages>12</Pages>
  <Words>3520</Words>
  <Characters>19364</Characters>
  <Application>Microsoft Office Word</Application>
  <DocSecurity>0</DocSecurity>
  <Lines>161</Lines>
  <Paragraphs>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Santiago Alberto Herrera Morillo</cp:lastModifiedBy>
  <cp:revision>148</cp:revision>
  <cp:lastPrinted>2023-01-10T18:18:00Z</cp:lastPrinted>
  <dcterms:created xsi:type="dcterms:W3CDTF">2024-06-28T15:21:00Z</dcterms:created>
  <dcterms:modified xsi:type="dcterms:W3CDTF">2024-08-01T23:06:00Z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