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9494" w14:textId="77777777" w:rsidR="00027CA9" w:rsidRPr="007F716C" w:rsidRDefault="00027CA9" w:rsidP="00027CA9">
      <w:pPr>
        <w:spacing w:after="0" w:line="240" w:lineRule="auto"/>
        <w:jc w:val="both"/>
        <w:rPr>
          <w:rFonts w:ascii="Verdana" w:eastAsia="Calibri" w:hAnsi="Verdana" w:cs="Arial"/>
          <w:b/>
          <w:bCs/>
          <w:lang w:val="es-ES_tradnl" w:eastAsia="es-ES_tradnl"/>
        </w:rPr>
      </w:pPr>
      <w:bookmarkStart w:id="0" w:name="_Hlk186494164"/>
      <w:r w:rsidRPr="007F716C">
        <w:rPr>
          <w:rFonts w:ascii="Verdana" w:eastAsia="Calibri" w:hAnsi="Verdana" w:cs="Arial"/>
          <w:b/>
          <w:bCs/>
          <w:lang w:val="es-ES_tradnl" w:eastAsia="es-ES_tradnl"/>
        </w:rPr>
        <w:t>PLANEACIÓN CONTRACTUAL – Noción – Obligación de las entidades – Ley 80 de 1993</w:t>
      </w:r>
    </w:p>
    <w:p w14:paraId="101AB1E8" w14:textId="77777777" w:rsidR="00027CA9" w:rsidRPr="00C15FFD" w:rsidRDefault="00027CA9" w:rsidP="00027CA9">
      <w:pPr>
        <w:spacing w:after="0" w:line="240" w:lineRule="auto"/>
        <w:jc w:val="both"/>
        <w:rPr>
          <w:rFonts w:ascii="Verdana" w:eastAsia="Calibri" w:hAnsi="Verdana" w:cs="Arial"/>
          <w:b/>
          <w:bCs/>
          <w:sz w:val="20"/>
          <w:szCs w:val="20"/>
          <w:highlight w:val="yellow"/>
          <w:lang w:val="es-ES_tradnl" w:eastAsia="es-ES_tradnl"/>
        </w:rPr>
      </w:pPr>
    </w:p>
    <w:p w14:paraId="6B27D756" w14:textId="77777777" w:rsidR="00027CA9" w:rsidRDefault="00027CA9" w:rsidP="00027CA9">
      <w:pPr>
        <w:spacing w:after="0" w:line="240" w:lineRule="auto"/>
        <w:jc w:val="both"/>
        <w:rPr>
          <w:rFonts w:ascii="Verdana" w:eastAsia="Aptos" w:hAnsi="Verdana" w:cs="Times New Roman"/>
          <w:sz w:val="20"/>
          <w:szCs w:val="20"/>
        </w:rPr>
      </w:pPr>
      <w:r w:rsidRPr="00024394">
        <w:rPr>
          <w:rFonts w:ascii="Verdana" w:eastAsia="Aptos" w:hAnsi="Verdana" w:cs="Times New Roman"/>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727CF813" w14:textId="77777777" w:rsidR="00027CA9" w:rsidRDefault="00027CA9" w:rsidP="00027CA9">
      <w:pPr>
        <w:spacing w:after="0" w:line="240" w:lineRule="auto"/>
        <w:jc w:val="both"/>
        <w:rPr>
          <w:rFonts w:ascii="Verdana" w:eastAsia="Aptos" w:hAnsi="Verdana" w:cs="Times New Roman"/>
          <w:sz w:val="20"/>
          <w:szCs w:val="20"/>
        </w:rPr>
      </w:pPr>
    </w:p>
    <w:p w14:paraId="3F45D83B"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17369">
        <w:rPr>
          <w:rFonts w:ascii="Verdana" w:eastAsia="Aptos" w:hAnsi="Verdana" w:cs="Times New Roman"/>
          <w:sz w:val="20"/>
          <w:szCs w:val="20"/>
        </w:rPr>
        <w:t>el Estatuto General de Contratación de la Administración Pública, en adelante EGCAP, 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w:t>
      </w:r>
    </w:p>
    <w:p w14:paraId="7585157D" w14:textId="77777777" w:rsidR="00027CA9" w:rsidRPr="00C15FFD" w:rsidRDefault="00027CA9" w:rsidP="00027CA9">
      <w:pPr>
        <w:spacing w:after="0" w:line="240" w:lineRule="auto"/>
        <w:jc w:val="both"/>
        <w:rPr>
          <w:rFonts w:ascii="Verdana" w:eastAsia="Aptos" w:hAnsi="Verdana" w:cs="Times New Roman"/>
          <w:sz w:val="20"/>
          <w:szCs w:val="20"/>
          <w:highlight w:val="yellow"/>
        </w:rPr>
      </w:pPr>
    </w:p>
    <w:p w14:paraId="0D96563F" w14:textId="77777777" w:rsidR="00027CA9" w:rsidRPr="002B393F" w:rsidRDefault="00027CA9" w:rsidP="00027CA9">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PREVIOS </w:t>
      </w:r>
      <w:r>
        <w:rPr>
          <w:rFonts w:ascii="Verdana" w:eastAsia="Calibri" w:hAnsi="Verdana" w:cs="Arial"/>
          <w:b/>
          <w:bCs/>
          <w:lang w:val="es-ES" w:eastAsia="es-ES"/>
        </w:rPr>
        <w:t>–</w:t>
      </w:r>
      <w:r w:rsidRPr="002B393F">
        <w:rPr>
          <w:rFonts w:ascii="Verdana" w:eastAsia="Calibri" w:hAnsi="Verdana" w:cs="Arial"/>
          <w:b/>
          <w:bCs/>
          <w:lang w:val="es-ES" w:eastAsia="es-ES"/>
        </w:rPr>
        <w:t xml:space="preserve"> Finalidad</w:t>
      </w:r>
    </w:p>
    <w:p w14:paraId="5B776FD9" w14:textId="77777777" w:rsidR="00027CA9" w:rsidRPr="00C15FFD" w:rsidRDefault="00027CA9" w:rsidP="00027CA9">
      <w:pPr>
        <w:spacing w:after="0" w:line="240" w:lineRule="auto"/>
        <w:jc w:val="both"/>
        <w:rPr>
          <w:rFonts w:ascii="Verdana" w:eastAsia="Calibri" w:hAnsi="Verdana" w:cs="Arial"/>
          <w:b/>
          <w:bCs/>
          <w:sz w:val="20"/>
          <w:szCs w:val="20"/>
          <w:highlight w:val="yellow"/>
          <w:lang w:val="es-ES_tradnl" w:eastAsia="es-ES_tradnl"/>
        </w:rPr>
      </w:pPr>
    </w:p>
    <w:p w14:paraId="100AC42E"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2B393F">
        <w:rPr>
          <w:rFonts w:ascii="Verdana" w:eastAsia="Aptos" w:hAnsi="Verdana" w:cs="Times New Roman"/>
          <w:sz w:val="20"/>
          <w:szCs w:val="20"/>
        </w:rPr>
        <w:t>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0814E537" w14:textId="77777777" w:rsidR="00027CA9" w:rsidRDefault="00027CA9" w:rsidP="00027CA9">
      <w:pPr>
        <w:spacing w:after="0" w:line="240" w:lineRule="auto"/>
        <w:rPr>
          <w:rFonts w:ascii="Verdana" w:eastAsia="Aptos" w:hAnsi="Verdana" w:cs="Times New Roman"/>
          <w:sz w:val="20"/>
          <w:szCs w:val="20"/>
        </w:rPr>
      </w:pPr>
    </w:p>
    <w:p w14:paraId="24AA33EB" w14:textId="77777777" w:rsidR="00027CA9" w:rsidRPr="002B393F" w:rsidRDefault="00027CA9" w:rsidP="00027CA9">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w:t>
      </w:r>
      <w:r>
        <w:rPr>
          <w:rFonts w:ascii="Verdana" w:eastAsia="Calibri" w:hAnsi="Verdana" w:cs="Arial"/>
          <w:b/>
          <w:bCs/>
          <w:lang w:val="es-ES" w:eastAsia="es-ES"/>
        </w:rPr>
        <w:t>DE MERCADO</w:t>
      </w:r>
      <w:r w:rsidRPr="002B393F">
        <w:rPr>
          <w:rFonts w:ascii="Verdana" w:eastAsia="Calibri" w:hAnsi="Verdana" w:cs="Arial"/>
          <w:b/>
          <w:bCs/>
          <w:lang w:val="es-ES" w:eastAsia="es-ES"/>
        </w:rPr>
        <w:t xml:space="preserve"> </w:t>
      </w:r>
      <w:r>
        <w:rPr>
          <w:rFonts w:ascii="Verdana" w:eastAsia="Calibri" w:hAnsi="Verdana" w:cs="Arial"/>
          <w:b/>
          <w:bCs/>
          <w:lang w:val="es-ES" w:eastAsia="es-ES"/>
        </w:rPr>
        <w:t>–</w:t>
      </w:r>
      <w:r w:rsidRPr="002B393F">
        <w:rPr>
          <w:rFonts w:ascii="Verdana" w:eastAsia="Calibri" w:hAnsi="Verdana" w:cs="Arial"/>
          <w:b/>
          <w:bCs/>
          <w:lang w:val="es-ES" w:eastAsia="es-ES"/>
        </w:rPr>
        <w:t xml:space="preserve"> </w:t>
      </w:r>
      <w:r>
        <w:rPr>
          <w:rFonts w:ascii="Verdana" w:eastAsia="Calibri" w:hAnsi="Verdana" w:cs="Arial"/>
          <w:b/>
          <w:bCs/>
          <w:lang w:val="es-ES" w:eastAsia="es-ES"/>
        </w:rPr>
        <w:t>Finalidad – Recomendaciones – Colombia compra eficiente – Guía de elaboración de estudios del sector</w:t>
      </w:r>
    </w:p>
    <w:p w14:paraId="3096760B" w14:textId="77777777" w:rsidR="00027CA9" w:rsidRDefault="00027CA9" w:rsidP="00027CA9">
      <w:pPr>
        <w:spacing w:after="0" w:line="240" w:lineRule="auto"/>
        <w:rPr>
          <w:rFonts w:ascii="Verdana" w:eastAsia="Aptos" w:hAnsi="Verdana" w:cs="Times New Roman"/>
          <w:sz w:val="20"/>
          <w:szCs w:val="20"/>
        </w:rPr>
      </w:pPr>
    </w:p>
    <w:p w14:paraId="173B5C44" w14:textId="77777777" w:rsidR="00027CA9" w:rsidRDefault="00027CA9" w:rsidP="00027CA9">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4A1D12">
        <w:rPr>
          <w:rFonts w:ascii="Verdana" w:eastAsia="Aptos" w:hAnsi="Verdana" w:cs="Times New Roman"/>
          <w:sz w:val="20"/>
          <w:szCs w:val="20"/>
        </w:rPr>
        <w:t xml:space="preserve">este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w:t>
      </w:r>
      <w:r w:rsidRPr="004A1D12">
        <w:rPr>
          <w:rFonts w:ascii="Verdana" w:eastAsia="Aptos" w:hAnsi="Verdana" w:cs="Times New Roman"/>
          <w:sz w:val="20"/>
          <w:szCs w:val="20"/>
        </w:rPr>
        <w:lastRenderedPageBreak/>
        <w:t>de bases de datos especializadas y el análisis de precios históricos. Este estudio de mercado debe responder claramente a las dinámicas de precio y, de esta manera, establecer el presupuesto oficial del proceso de contratación.</w:t>
      </w:r>
      <w:r w:rsidRPr="00A562DF">
        <w:t xml:space="preserve"> </w:t>
      </w:r>
      <w:r w:rsidRPr="00A562DF">
        <w:rPr>
          <w:rFonts w:ascii="Verdana" w:eastAsia="Aptos" w:hAnsi="Verdana" w:cs="Times New Roman"/>
          <w:sz w:val="20"/>
          <w:szCs w:val="20"/>
        </w:rPr>
        <w:t>De esta forma, se tiene que, la Guía de Elaboración de Estudios del Sector en el numeral 1.3.4, propone a las Entidades Estatales los siguientes mecanismos para elaborar el estudio de precios de mercado:</w:t>
      </w:r>
      <w:r>
        <w:rPr>
          <w:rFonts w:ascii="Verdana" w:eastAsia="Aptos" w:hAnsi="Verdana" w:cs="Times New Roman"/>
          <w:sz w:val="20"/>
          <w:szCs w:val="20"/>
        </w:rPr>
        <w:t xml:space="preserve"> i</w:t>
      </w:r>
      <w:r w:rsidRPr="00A562DF">
        <w:rPr>
          <w:rFonts w:ascii="Verdana" w:eastAsia="Aptos" w:hAnsi="Verdana" w:cs="Times New Roman"/>
          <w:sz w:val="20"/>
          <w:szCs w:val="20"/>
        </w:rPr>
        <w:t>) Revisión de precios por solicitud de cotizaciones</w:t>
      </w:r>
      <w:r>
        <w:rPr>
          <w:rFonts w:ascii="Verdana" w:eastAsia="Aptos" w:hAnsi="Verdana" w:cs="Times New Roman"/>
          <w:sz w:val="20"/>
          <w:szCs w:val="20"/>
        </w:rPr>
        <w:t xml:space="preserve"> […]. ii) </w:t>
      </w:r>
      <w:r w:rsidRPr="00A562DF">
        <w:rPr>
          <w:rFonts w:ascii="Verdana" w:eastAsia="Aptos" w:hAnsi="Verdana" w:cs="Times New Roman"/>
          <w:sz w:val="20"/>
          <w:szCs w:val="20"/>
        </w:rPr>
        <w:t>verificarse la ocurrencia de circunstancias que eventualmente pueden distorsionar los precios del mercado</w:t>
      </w:r>
      <w:r>
        <w:rPr>
          <w:rFonts w:ascii="Verdana" w:eastAsia="Aptos" w:hAnsi="Verdana" w:cs="Times New Roman"/>
          <w:sz w:val="20"/>
          <w:szCs w:val="20"/>
        </w:rPr>
        <w:t xml:space="preserve"> […]. iii)</w:t>
      </w:r>
      <w:r w:rsidRPr="00A562DF">
        <w:t xml:space="preserve"> </w:t>
      </w:r>
      <w:r w:rsidRPr="00A562DF">
        <w:rPr>
          <w:rFonts w:ascii="Verdana" w:eastAsia="Aptos" w:hAnsi="Verdana" w:cs="Times New Roman"/>
          <w:sz w:val="20"/>
          <w:szCs w:val="20"/>
        </w:rPr>
        <w:t>Revisión de bases de datos especializadas</w:t>
      </w:r>
      <w:r>
        <w:rPr>
          <w:rFonts w:ascii="Verdana" w:eastAsia="Aptos" w:hAnsi="Verdana" w:cs="Times New Roman"/>
          <w:sz w:val="20"/>
          <w:szCs w:val="20"/>
        </w:rPr>
        <w:t>. iv)</w:t>
      </w:r>
      <w:r w:rsidRPr="0039462C">
        <w:t xml:space="preserve"> </w:t>
      </w:r>
      <w:r w:rsidRPr="0039462C">
        <w:rPr>
          <w:rFonts w:ascii="Verdana" w:eastAsia="Aptos" w:hAnsi="Verdana" w:cs="Times New Roman"/>
          <w:sz w:val="20"/>
          <w:szCs w:val="20"/>
        </w:rPr>
        <w:t>Revisión de precios históricos</w:t>
      </w:r>
      <w:r>
        <w:rPr>
          <w:rFonts w:ascii="Verdana" w:eastAsia="Aptos" w:hAnsi="Verdana" w:cs="Times New Roman"/>
          <w:sz w:val="20"/>
          <w:szCs w:val="20"/>
        </w:rPr>
        <w:t xml:space="preserve"> […]</w:t>
      </w:r>
    </w:p>
    <w:p w14:paraId="5B4F4F21" w14:textId="77777777" w:rsidR="00027CA9" w:rsidRDefault="00027CA9" w:rsidP="00027CA9">
      <w:pPr>
        <w:spacing w:after="0" w:line="240" w:lineRule="auto"/>
        <w:rPr>
          <w:rFonts w:ascii="Verdana" w:eastAsia="Aptos" w:hAnsi="Verdana" w:cs="Times New Roman"/>
          <w:sz w:val="20"/>
          <w:szCs w:val="20"/>
        </w:rPr>
      </w:pPr>
    </w:p>
    <w:p w14:paraId="0C9B8832" w14:textId="77777777" w:rsidR="00027CA9" w:rsidRDefault="00027CA9" w:rsidP="00027CA9">
      <w:pPr>
        <w:spacing w:after="0" w:line="240" w:lineRule="auto"/>
        <w:rPr>
          <w:rFonts w:ascii="Verdana" w:eastAsia="Aptos" w:hAnsi="Verdana" w:cs="Times New Roman"/>
          <w:sz w:val="20"/>
          <w:szCs w:val="20"/>
        </w:rPr>
      </w:pPr>
    </w:p>
    <w:p w14:paraId="45C4AC86" w14:textId="77777777" w:rsidR="00027CA9" w:rsidRDefault="00027CA9" w:rsidP="00027CA9">
      <w:pPr>
        <w:spacing w:after="0" w:line="240" w:lineRule="auto"/>
        <w:rPr>
          <w:rFonts w:ascii="Verdana" w:eastAsia="Aptos" w:hAnsi="Verdana" w:cs="Times New Roman"/>
          <w:sz w:val="20"/>
          <w:szCs w:val="20"/>
        </w:rPr>
      </w:pPr>
    </w:p>
    <w:p w14:paraId="251B59A9" w14:textId="77777777" w:rsidR="00027CA9" w:rsidRDefault="00027CA9" w:rsidP="00027CA9">
      <w:pPr>
        <w:spacing w:after="0" w:line="240" w:lineRule="auto"/>
        <w:rPr>
          <w:rFonts w:ascii="Verdana" w:eastAsia="Aptos" w:hAnsi="Verdana" w:cs="Times New Roman"/>
          <w:sz w:val="20"/>
          <w:szCs w:val="20"/>
        </w:rPr>
      </w:pPr>
    </w:p>
    <w:p w14:paraId="43B81806" w14:textId="77777777" w:rsidR="00975AEF" w:rsidRDefault="00975AEF" w:rsidP="00D32067">
      <w:pPr>
        <w:spacing w:after="0" w:line="240" w:lineRule="auto"/>
        <w:rPr>
          <w:rFonts w:ascii="Verdana" w:eastAsia="Geomanist Light" w:hAnsi="Verdana" w:cs="Arial"/>
          <w:color w:val="000000" w:themeColor="text1"/>
        </w:rPr>
      </w:pPr>
    </w:p>
    <w:p w14:paraId="76E62873" w14:textId="77777777" w:rsidR="00975AEF" w:rsidRDefault="00975AEF" w:rsidP="00D32067">
      <w:pPr>
        <w:spacing w:after="0" w:line="240" w:lineRule="auto"/>
        <w:rPr>
          <w:rFonts w:ascii="Verdana" w:eastAsia="Geomanist Light" w:hAnsi="Verdana" w:cs="Arial"/>
          <w:color w:val="000000" w:themeColor="text1"/>
        </w:rPr>
      </w:pPr>
    </w:p>
    <w:p w14:paraId="10EAFD66" w14:textId="77777777" w:rsidR="00975AEF" w:rsidRDefault="00975AEF" w:rsidP="00D32067">
      <w:pPr>
        <w:spacing w:after="0" w:line="240" w:lineRule="auto"/>
        <w:rPr>
          <w:rFonts w:ascii="Verdana" w:eastAsia="Geomanist Light" w:hAnsi="Verdana" w:cs="Arial"/>
          <w:color w:val="000000" w:themeColor="text1"/>
        </w:rPr>
      </w:pPr>
    </w:p>
    <w:p w14:paraId="24761EA6" w14:textId="77777777" w:rsidR="00975AEF" w:rsidRDefault="00975AEF" w:rsidP="00D32067">
      <w:pPr>
        <w:spacing w:after="0" w:line="240" w:lineRule="auto"/>
        <w:rPr>
          <w:rFonts w:ascii="Verdana" w:eastAsia="Geomanist Light" w:hAnsi="Verdana" w:cs="Arial"/>
          <w:color w:val="000000" w:themeColor="text1"/>
        </w:rPr>
      </w:pPr>
    </w:p>
    <w:p w14:paraId="45441FC6" w14:textId="77777777" w:rsidR="00975AEF" w:rsidRDefault="00975AEF" w:rsidP="00D32067">
      <w:pPr>
        <w:spacing w:after="0" w:line="240" w:lineRule="auto"/>
        <w:rPr>
          <w:rFonts w:ascii="Verdana" w:eastAsia="Geomanist Light" w:hAnsi="Verdana" w:cs="Arial"/>
          <w:color w:val="000000" w:themeColor="text1"/>
        </w:rPr>
      </w:pPr>
    </w:p>
    <w:p w14:paraId="16724DFC" w14:textId="77777777" w:rsidR="00975AEF" w:rsidRDefault="00975AEF" w:rsidP="00D32067">
      <w:pPr>
        <w:spacing w:after="0" w:line="240" w:lineRule="auto"/>
        <w:rPr>
          <w:rFonts w:ascii="Verdana" w:eastAsia="Geomanist Light" w:hAnsi="Verdana" w:cs="Arial"/>
          <w:color w:val="000000" w:themeColor="text1"/>
        </w:rPr>
      </w:pPr>
    </w:p>
    <w:p w14:paraId="70FD5854" w14:textId="77777777" w:rsidR="00975AEF" w:rsidRDefault="00975AEF" w:rsidP="00D32067">
      <w:pPr>
        <w:spacing w:after="0" w:line="240" w:lineRule="auto"/>
        <w:rPr>
          <w:rFonts w:ascii="Verdana" w:eastAsia="Geomanist Light" w:hAnsi="Verdana" w:cs="Arial"/>
          <w:color w:val="000000" w:themeColor="text1"/>
        </w:rPr>
      </w:pPr>
    </w:p>
    <w:p w14:paraId="2929B420" w14:textId="77777777" w:rsidR="00975AEF" w:rsidRDefault="00975AEF" w:rsidP="00D32067">
      <w:pPr>
        <w:spacing w:after="0" w:line="240" w:lineRule="auto"/>
        <w:rPr>
          <w:rFonts w:ascii="Verdana" w:eastAsia="Geomanist Light" w:hAnsi="Verdana" w:cs="Arial"/>
          <w:color w:val="000000" w:themeColor="text1"/>
        </w:rPr>
      </w:pPr>
    </w:p>
    <w:p w14:paraId="757FD938" w14:textId="77777777" w:rsidR="00975AEF" w:rsidRDefault="00975AEF" w:rsidP="00D32067">
      <w:pPr>
        <w:spacing w:after="0" w:line="240" w:lineRule="auto"/>
        <w:rPr>
          <w:rFonts w:ascii="Verdana" w:eastAsia="Geomanist Light" w:hAnsi="Verdana" w:cs="Arial"/>
          <w:color w:val="000000" w:themeColor="text1"/>
        </w:rPr>
      </w:pPr>
    </w:p>
    <w:p w14:paraId="2AA31E31" w14:textId="77777777" w:rsidR="00975AEF" w:rsidRDefault="00975AEF" w:rsidP="00D32067">
      <w:pPr>
        <w:spacing w:after="0" w:line="240" w:lineRule="auto"/>
        <w:rPr>
          <w:rFonts w:ascii="Verdana" w:eastAsia="Geomanist Light" w:hAnsi="Verdana" w:cs="Arial"/>
          <w:color w:val="000000" w:themeColor="text1"/>
        </w:rPr>
      </w:pPr>
    </w:p>
    <w:p w14:paraId="36D20497" w14:textId="77777777" w:rsidR="00975AEF" w:rsidRDefault="00975AEF" w:rsidP="00D32067">
      <w:pPr>
        <w:spacing w:after="0" w:line="240" w:lineRule="auto"/>
        <w:rPr>
          <w:rFonts w:ascii="Verdana" w:eastAsia="Geomanist Light" w:hAnsi="Verdana" w:cs="Arial"/>
          <w:color w:val="000000" w:themeColor="text1"/>
        </w:rPr>
      </w:pPr>
    </w:p>
    <w:p w14:paraId="4FFFC8D3" w14:textId="77777777" w:rsidR="00975AEF" w:rsidRDefault="00975AEF" w:rsidP="00D32067">
      <w:pPr>
        <w:spacing w:after="0" w:line="240" w:lineRule="auto"/>
        <w:rPr>
          <w:rFonts w:ascii="Verdana" w:eastAsia="Geomanist Light" w:hAnsi="Verdana" w:cs="Arial"/>
          <w:color w:val="000000" w:themeColor="text1"/>
        </w:rPr>
      </w:pPr>
    </w:p>
    <w:p w14:paraId="7508D71F" w14:textId="77777777" w:rsidR="00975AEF" w:rsidRDefault="00975AEF" w:rsidP="00D32067">
      <w:pPr>
        <w:spacing w:after="0" w:line="240" w:lineRule="auto"/>
        <w:rPr>
          <w:rFonts w:ascii="Verdana" w:eastAsia="Geomanist Light" w:hAnsi="Verdana" w:cs="Arial"/>
          <w:color w:val="000000" w:themeColor="text1"/>
        </w:rPr>
      </w:pPr>
    </w:p>
    <w:p w14:paraId="5F9AEA77" w14:textId="77777777" w:rsidR="00975AEF" w:rsidRDefault="00975AEF" w:rsidP="00D32067">
      <w:pPr>
        <w:spacing w:after="0" w:line="240" w:lineRule="auto"/>
        <w:rPr>
          <w:rFonts w:ascii="Verdana" w:eastAsia="Geomanist Light" w:hAnsi="Verdana" w:cs="Arial"/>
          <w:color w:val="000000" w:themeColor="text1"/>
        </w:rPr>
      </w:pPr>
    </w:p>
    <w:p w14:paraId="0BA0AE0A" w14:textId="77777777" w:rsidR="00975AEF" w:rsidRDefault="00975AEF" w:rsidP="00D32067">
      <w:pPr>
        <w:spacing w:after="0" w:line="240" w:lineRule="auto"/>
        <w:rPr>
          <w:rFonts w:ascii="Verdana" w:eastAsia="Geomanist Light" w:hAnsi="Verdana" w:cs="Arial"/>
          <w:color w:val="000000" w:themeColor="text1"/>
        </w:rPr>
      </w:pPr>
    </w:p>
    <w:p w14:paraId="1D16F81B" w14:textId="77777777" w:rsidR="00975AEF" w:rsidRDefault="00975AEF" w:rsidP="00D32067">
      <w:pPr>
        <w:spacing w:after="0" w:line="240" w:lineRule="auto"/>
        <w:rPr>
          <w:rFonts w:ascii="Verdana" w:eastAsia="Geomanist Light" w:hAnsi="Verdana" w:cs="Arial"/>
          <w:color w:val="000000" w:themeColor="text1"/>
        </w:rPr>
      </w:pPr>
    </w:p>
    <w:p w14:paraId="44793138" w14:textId="77777777" w:rsidR="00975AEF" w:rsidRDefault="00975AEF" w:rsidP="00D32067">
      <w:pPr>
        <w:spacing w:after="0" w:line="240" w:lineRule="auto"/>
        <w:rPr>
          <w:rFonts w:ascii="Verdana" w:eastAsia="Geomanist Light" w:hAnsi="Verdana" w:cs="Arial"/>
          <w:color w:val="000000" w:themeColor="text1"/>
        </w:rPr>
      </w:pPr>
    </w:p>
    <w:p w14:paraId="66FFFCF7" w14:textId="77777777" w:rsidR="00975AEF" w:rsidRDefault="00975AEF" w:rsidP="00D32067">
      <w:pPr>
        <w:spacing w:after="0" w:line="240" w:lineRule="auto"/>
        <w:rPr>
          <w:rFonts w:ascii="Verdana" w:eastAsia="Geomanist Light" w:hAnsi="Verdana" w:cs="Arial"/>
          <w:color w:val="000000" w:themeColor="text1"/>
        </w:rPr>
      </w:pPr>
    </w:p>
    <w:p w14:paraId="4583BBC7" w14:textId="77777777" w:rsidR="00975AEF" w:rsidRDefault="00975AEF" w:rsidP="00D32067">
      <w:pPr>
        <w:spacing w:after="0" w:line="240" w:lineRule="auto"/>
        <w:rPr>
          <w:rFonts w:ascii="Verdana" w:eastAsia="Geomanist Light" w:hAnsi="Verdana" w:cs="Arial"/>
          <w:color w:val="000000" w:themeColor="text1"/>
        </w:rPr>
      </w:pPr>
    </w:p>
    <w:p w14:paraId="285B0740" w14:textId="77777777" w:rsidR="00975AEF" w:rsidRDefault="00975AEF" w:rsidP="00D32067">
      <w:pPr>
        <w:spacing w:after="0" w:line="240" w:lineRule="auto"/>
        <w:rPr>
          <w:rFonts w:ascii="Verdana" w:eastAsia="Geomanist Light" w:hAnsi="Verdana" w:cs="Arial"/>
          <w:color w:val="000000" w:themeColor="text1"/>
        </w:rPr>
      </w:pPr>
    </w:p>
    <w:p w14:paraId="62815CF5" w14:textId="77777777" w:rsidR="00975AEF" w:rsidRDefault="00975AEF" w:rsidP="00D32067">
      <w:pPr>
        <w:spacing w:after="0" w:line="240" w:lineRule="auto"/>
        <w:rPr>
          <w:rFonts w:ascii="Verdana" w:eastAsia="Geomanist Light" w:hAnsi="Verdana" w:cs="Arial"/>
          <w:color w:val="000000" w:themeColor="text1"/>
        </w:rPr>
      </w:pPr>
    </w:p>
    <w:p w14:paraId="583ECBC6" w14:textId="77777777" w:rsidR="00975AEF" w:rsidRDefault="00975AEF" w:rsidP="00D32067">
      <w:pPr>
        <w:spacing w:after="0" w:line="240" w:lineRule="auto"/>
        <w:rPr>
          <w:rFonts w:ascii="Verdana" w:eastAsia="Geomanist Light" w:hAnsi="Verdana" w:cs="Arial"/>
          <w:color w:val="000000" w:themeColor="text1"/>
        </w:rPr>
      </w:pPr>
    </w:p>
    <w:p w14:paraId="627317A7" w14:textId="77777777" w:rsidR="00975AEF" w:rsidRDefault="00975AEF" w:rsidP="00D32067">
      <w:pPr>
        <w:spacing w:after="0" w:line="240" w:lineRule="auto"/>
        <w:rPr>
          <w:rFonts w:ascii="Verdana" w:eastAsia="Geomanist Light" w:hAnsi="Verdana" w:cs="Arial"/>
          <w:color w:val="000000" w:themeColor="text1"/>
        </w:rPr>
      </w:pPr>
    </w:p>
    <w:p w14:paraId="063B27BA" w14:textId="77777777" w:rsidR="00975AEF" w:rsidRDefault="00975AEF" w:rsidP="00D32067">
      <w:pPr>
        <w:spacing w:after="0" w:line="240" w:lineRule="auto"/>
        <w:rPr>
          <w:rFonts w:ascii="Verdana" w:eastAsia="Geomanist Light" w:hAnsi="Verdana" w:cs="Arial"/>
          <w:color w:val="000000" w:themeColor="text1"/>
        </w:rPr>
      </w:pPr>
    </w:p>
    <w:p w14:paraId="29339484" w14:textId="77777777" w:rsidR="00975AEF" w:rsidRDefault="00975AEF" w:rsidP="00D32067">
      <w:pPr>
        <w:spacing w:after="0" w:line="240" w:lineRule="auto"/>
        <w:rPr>
          <w:rFonts w:ascii="Verdana" w:eastAsia="Geomanist Light" w:hAnsi="Verdana" w:cs="Arial"/>
          <w:color w:val="000000" w:themeColor="text1"/>
        </w:rPr>
      </w:pPr>
    </w:p>
    <w:p w14:paraId="227EEA2B" w14:textId="77777777" w:rsidR="00975AEF" w:rsidRDefault="00975AEF" w:rsidP="00D32067">
      <w:pPr>
        <w:spacing w:after="0" w:line="240" w:lineRule="auto"/>
        <w:rPr>
          <w:rFonts w:ascii="Verdana" w:eastAsia="Geomanist Light" w:hAnsi="Verdana" w:cs="Arial"/>
          <w:color w:val="000000" w:themeColor="text1"/>
        </w:rPr>
      </w:pPr>
    </w:p>
    <w:p w14:paraId="2A7712E3" w14:textId="77777777" w:rsidR="00975AEF" w:rsidRDefault="00975AEF" w:rsidP="00D32067">
      <w:pPr>
        <w:spacing w:after="0" w:line="240" w:lineRule="auto"/>
        <w:rPr>
          <w:rFonts w:ascii="Verdana" w:eastAsia="Geomanist Light" w:hAnsi="Verdana" w:cs="Arial"/>
          <w:color w:val="000000" w:themeColor="text1"/>
        </w:rPr>
      </w:pPr>
    </w:p>
    <w:p w14:paraId="1E1F46E8" w14:textId="77777777" w:rsidR="00975AEF" w:rsidRDefault="00975AEF" w:rsidP="00D32067">
      <w:pPr>
        <w:spacing w:after="0" w:line="240" w:lineRule="auto"/>
        <w:rPr>
          <w:rFonts w:ascii="Verdana" w:eastAsia="Geomanist Light" w:hAnsi="Verdana" w:cs="Arial"/>
          <w:color w:val="000000" w:themeColor="text1"/>
        </w:rPr>
      </w:pPr>
    </w:p>
    <w:p w14:paraId="00A9B9FF" w14:textId="77777777" w:rsidR="00975AEF" w:rsidRDefault="00975AEF" w:rsidP="00D32067">
      <w:pPr>
        <w:spacing w:after="0" w:line="240" w:lineRule="auto"/>
        <w:rPr>
          <w:rFonts w:ascii="Verdana" w:eastAsia="Geomanist Light" w:hAnsi="Verdana" w:cs="Arial"/>
          <w:color w:val="000000" w:themeColor="text1"/>
        </w:rPr>
      </w:pPr>
    </w:p>
    <w:p w14:paraId="61DC12F8" w14:textId="77777777" w:rsidR="00975AEF" w:rsidRDefault="00975AEF" w:rsidP="00D32067">
      <w:pPr>
        <w:spacing w:after="0" w:line="240" w:lineRule="auto"/>
        <w:rPr>
          <w:rFonts w:ascii="Verdana" w:eastAsia="Geomanist Light" w:hAnsi="Verdana" w:cs="Arial"/>
          <w:color w:val="000000" w:themeColor="text1"/>
        </w:rPr>
      </w:pPr>
    </w:p>
    <w:p w14:paraId="416605FF" w14:textId="5BE7C9BA" w:rsidR="00D32067" w:rsidRDefault="00D32067" w:rsidP="00D32067">
      <w:pPr>
        <w:spacing w:after="0" w:line="240" w:lineRule="auto"/>
        <w:rPr>
          <w:rFonts w:ascii="Verdana" w:eastAsia="Geomanist Light" w:hAnsi="Verdana" w:cs="Arial"/>
          <w:color w:val="201F1E"/>
        </w:rPr>
      </w:pPr>
      <w:r w:rsidRPr="00D32067">
        <w:rPr>
          <w:rFonts w:ascii="Verdana" w:eastAsia="Geomanist Light" w:hAnsi="Verdana" w:cs="Arial"/>
          <w:color w:val="000000" w:themeColor="text1"/>
        </w:rPr>
        <w:lastRenderedPageBreak/>
        <w:t>Bogotá D.C., </w:t>
      </w:r>
      <w:r w:rsidR="00096B0C">
        <w:rPr>
          <w:rFonts w:ascii="Verdana" w:eastAsia="Geomanist Light" w:hAnsi="Verdana" w:cs="Arial"/>
          <w:color w:val="201F1E"/>
        </w:rPr>
        <w:t>18 de marzo de 2025</w:t>
      </w:r>
    </w:p>
    <w:p w14:paraId="2E5BCAC6" w14:textId="77777777" w:rsidR="00096B0C" w:rsidRPr="00D32067" w:rsidRDefault="00096B0C" w:rsidP="00D32067">
      <w:pPr>
        <w:spacing w:after="0" w:line="240" w:lineRule="auto"/>
        <w:rPr>
          <w:rFonts w:ascii="Verdana" w:eastAsia="Geomanist Light" w:hAnsi="Verdana" w:cs="Arial"/>
          <w:color w:val="201F1E"/>
        </w:rPr>
      </w:pPr>
    </w:p>
    <w:p w14:paraId="0200F20A" w14:textId="2C027013" w:rsidR="00D32067" w:rsidRPr="00D32067" w:rsidRDefault="00096B0C" w:rsidP="00096B0C">
      <w:pPr>
        <w:spacing w:after="0" w:line="240" w:lineRule="auto"/>
        <w:jc w:val="right"/>
        <w:rPr>
          <w:rFonts w:ascii="Verdana" w:eastAsia="Calibri" w:hAnsi="Verdana" w:cs="Arial"/>
          <w:color w:val="000000"/>
        </w:rPr>
      </w:pPr>
      <w:r w:rsidRPr="00096B0C">
        <w:rPr>
          <w:rFonts w:ascii="Verdana" w:eastAsia="Calibri" w:hAnsi="Verdana" w:cs="Arial"/>
          <w:noProof/>
          <w:color w:val="000000"/>
        </w:rPr>
        <w:drawing>
          <wp:inline distT="0" distB="0" distL="0" distR="0" wp14:anchorId="5DA84785" wp14:editId="08460156">
            <wp:extent cx="2743200" cy="929640"/>
            <wp:effectExtent l="0" t="0" r="0" b="3810"/>
            <wp:docPr id="5317210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929640"/>
                    </a:xfrm>
                    <a:prstGeom prst="rect">
                      <a:avLst/>
                    </a:prstGeom>
                    <a:noFill/>
                    <a:ln>
                      <a:noFill/>
                    </a:ln>
                  </pic:spPr>
                </pic:pic>
              </a:graphicData>
            </a:graphic>
          </wp:inline>
        </w:drawing>
      </w:r>
    </w:p>
    <w:p w14:paraId="79521A68" w14:textId="77777777" w:rsidR="00D32067" w:rsidRPr="00D32067" w:rsidRDefault="00D32067" w:rsidP="00D32067">
      <w:pPr>
        <w:spacing w:after="0" w:line="240" w:lineRule="auto"/>
        <w:jc w:val="both"/>
        <w:rPr>
          <w:rFonts w:ascii="Verdana" w:eastAsia="Calibri" w:hAnsi="Verdana" w:cs="Arial"/>
          <w:color w:val="000000"/>
        </w:rPr>
      </w:pPr>
    </w:p>
    <w:p w14:paraId="5DCC1180" w14:textId="77777777" w:rsidR="00D32067" w:rsidRPr="00D32067" w:rsidRDefault="00D32067" w:rsidP="00D32067">
      <w:pPr>
        <w:spacing w:after="0" w:line="240" w:lineRule="auto"/>
        <w:jc w:val="both"/>
        <w:rPr>
          <w:rFonts w:ascii="Verdana" w:eastAsia="Calibri" w:hAnsi="Verdana" w:cs="Arial"/>
          <w:lang w:eastAsia="es-ES"/>
        </w:rPr>
      </w:pPr>
      <w:r w:rsidRPr="00D32067">
        <w:rPr>
          <w:rFonts w:ascii="Verdana" w:eastAsia="Calibri" w:hAnsi="Verdana" w:cs="Arial"/>
          <w:lang w:eastAsia="es-ES"/>
        </w:rPr>
        <w:t>Señor</w:t>
      </w:r>
    </w:p>
    <w:p w14:paraId="78C846DE" w14:textId="77777777" w:rsidR="00D32067" w:rsidRPr="00D32067" w:rsidRDefault="00D32067" w:rsidP="00D32067">
      <w:pPr>
        <w:spacing w:after="0" w:line="240" w:lineRule="auto"/>
        <w:rPr>
          <w:rFonts w:ascii="Verdana" w:eastAsia="Calibri" w:hAnsi="Verdana" w:cs="Arial"/>
          <w:b/>
          <w:lang w:eastAsia="es-ES"/>
        </w:rPr>
      </w:pPr>
      <w:r w:rsidRPr="00D32067">
        <w:rPr>
          <w:rFonts w:ascii="Verdana" w:eastAsia="Calibri" w:hAnsi="Verdana" w:cs="Arial"/>
          <w:b/>
          <w:lang w:eastAsia="es-ES"/>
        </w:rPr>
        <w:t>Javier Gonzalo Fernández Bolañoz</w:t>
      </w:r>
    </w:p>
    <w:p w14:paraId="3653BE04" w14:textId="77777777" w:rsidR="00D32067" w:rsidRPr="00D32067" w:rsidRDefault="00D32067" w:rsidP="00D32067">
      <w:pPr>
        <w:spacing w:after="0" w:line="240" w:lineRule="auto"/>
        <w:rPr>
          <w:rFonts w:ascii="Verdana" w:eastAsia="Calibri" w:hAnsi="Verdana" w:cs="Arial"/>
          <w:bCs/>
          <w:lang w:eastAsia="es-ES"/>
        </w:rPr>
      </w:pPr>
      <w:r w:rsidRPr="00D32067">
        <w:rPr>
          <w:rFonts w:ascii="Verdana" w:eastAsia="Calibri" w:hAnsi="Verdana" w:cs="Arial"/>
          <w:bCs/>
          <w:lang w:eastAsia="es-ES"/>
        </w:rPr>
        <w:t>Subdirección de Servicios Administrativos</w:t>
      </w:r>
    </w:p>
    <w:p w14:paraId="45AD7399" w14:textId="77777777" w:rsidR="00D32067" w:rsidRPr="00D32067" w:rsidRDefault="00D32067" w:rsidP="00D32067">
      <w:pPr>
        <w:spacing w:after="0" w:line="240" w:lineRule="auto"/>
        <w:rPr>
          <w:rFonts w:ascii="Verdana" w:eastAsia="Calibri" w:hAnsi="Verdana" w:cs="Arial"/>
          <w:b/>
          <w:lang w:eastAsia="es-ES"/>
        </w:rPr>
      </w:pPr>
      <w:r w:rsidRPr="00D32067">
        <w:rPr>
          <w:rFonts w:ascii="Verdana" w:eastAsia="Calibri" w:hAnsi="Verdana" w:cs="Arial"/>
          <w:b/>
          <w:lang w:eastAsia="es-ES"/>
        </w:rPr>
        <w:t>Secretaría General de la Alcaldía Mayor de Bogotá</w:t>
      </w:r>
    </w:p>
    <w:p w14:paraId="2A388DC0" w14:textId="77777777" w:rsidR="00D32067" w:rsidRPr="00D32067" w:rsidRDefault="00D32067" w:rsidP="00D32067">
      <w:pPr>
        <w:spacing w:after="0" w:line="240" w:lineRule="auto"/>
        <w:rPr>
          <w:rFonts w:ascii="Verdana" w:eastAsia="Calibri" w:hAnsi="Verdana" w:cs="Arial"/>
          <w:bCs/>
          <w:lang w:eastAsia="es-ES"/>
        </w:rPr>
      </w:pPr>
      <w:hyperlink r:id="rId12" w:history="1">
        <w:r w:rsidRPr="00D32067">
          <w:rPr>
            <w:rFonts w:ascii="Verdana" w:eastAsia="Calibri" w:hAnsi="Verdana" w:cs="Arial"/>
            <w:bCs/>
            <w:color w:val="0563C1" w:themeColor="hyperlink"/>
            <w:u w:val="single"/>
            <w:lang w:eastAsia="es-ES"/>
          </w:rPr>
          <w:t>jgfernandez@alcaldiabogota.gov.co</w:t>
        </w:r>
      </w:hyperlink>
      <w:r w:rsidRPr="00D32067">
        <w:rPr>
          <w:rFonts w:ascii="Verdana" w:eastAsia="Calibri" w:hAnsi="Verdana" w:cs="Arial"/>
          <w:bCs/>
          <w:lang w:eastAsia="es-ES"/>
        </w:rPr>
        <w:t xml:space="preserve"> </w:t>
      </w:r>
    </w:p>
    <w:p w14:paraId="56A2B812" w14:textId="77777777" w:rsidR="00D32067" w:rsidRPr="00D32067" w:rsidRDefault="00D32067" w:rsidP="00D32067">
      <w:pPr>
        <w:spacing w:after="0" w:line="240" w:lineRule="auto"/>
        <w:rPr>
          <w:rFonts w:ascii="Verdana" w:eastAsia="Calibri" w:hAnsi="Verdana" w:cs="Arial"/>
          <w:lang w:eastAsia="es-ES"/>
        </w:rPr>
      </w:pPr>
      <w:r w:rsidRPr="00D32067">
        <w:rPr>
          <w:rFonts w:ascii="Verdana" w:hAnsi="Verdana"/>
        </w:rPr>
        <w:t xml:space="preserve">Bogotá D.C </w:t>
      </w:r>
    </w:p>
    <w:p w14:paraId="3B7C62A8" w14:textId="77777777" w:rsidR="00D32067" w:rsidRPr="00D32067" w:rsidRDefault="00D32067" w:rsidP="00D32067">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32067" w:rsidRPr="00D32067" w14:paraId="2A1EC4D5" w14:textId="77777777" w:rsidTr="00ED423A">
        <w:trPr>
          <w:trHeight w:val="630"/>
        </w:trPr>
        <w:tc>
          <w:tcPr>
            <w:tcW w:w="2689" w:type="dxa"/>
          </w:tcPr>
          <w:p w14:paraId="2DE191E3" w14:textId="77777777" w:rsidR="00D32067" w:rsidRPr="00D32067" w:rsidRDefault="00D32067" w:rsidP="00D32067">
            <w:pPr>
              <w:jc w:val="both"/>
              <w:rPr>
                <w:rFonts w:ascii="Verdana" w:eastAsia="Calibri" w:hAnsi="Verdana" w:cs="Arial"/>
                <w:b/>
                <w:bCs/>
                <w:color w:val="7030A0"/>
                <w:lang w:eastAsia="es-ES_tradnl"/>
              </w:rPr>
            </w:pPr>
          </w:p>
        </w:tc>
        <w:tc>
          <w:tcPr>
            <w:tcW w:w="6100" w:type="dxa"/>
          </w:tcPr>
          <w:p w14:paraId="41A6768D" w14:textId="77777777" w:rsidR="00D32067" w:rsidRPr="00D32067" w:rsidRDefault="00D32067" w:rsidP="00D32067">
            <w:pPr>
              <w:jc w:val="both"/>
              <w:rPr>
                <w:rFonts w:ascii="Verdana" w:eastAsia="Calibri" w:hAnsi="Verdana" w:cs="Arial"/>
                <w:b/>
                <w:bCs/>
                <w:lang w:eastAsia="es-ES"/>
              </w:rPr>
            </w:pPr>
            <w:r w:rsidRPr="00D32067">
              <w:rPr>
                <w:rFonts w:ascii="Verdana" w:eastAsia="Calibri" w:hAnsi="Verdana" w:cs="Arial"/>
                <w:b/>
                <w:bCs/>
                <w:lang w:eastAsia="es-ES"/>
              </w:rPr>
              <w:t>Concepto C – 154 de 2025</w:t>
            </w:r>
          </w:p>
        </w:tc>
      </w:tr>
      <w:tr w:rsidR="00D32067" w:rsidRPr="00D32067" w14:paraId="1938AF01" w14:textId="77777777" w:rsidTr="00ED423A">
        <w:trPr>
          <w:trHeight w:val="884"/>
        </w:trPr>
        <w:tc>
          <w:tcPr>
            <w:tcW w:w="2689" w:type="dxa"/>
          </w:tcPr>
          <w:p w14:paraId="7971EF66" w14:textId="77777777" w:rsidR="00D32067" w:rsidRPr="00D32067" w:rsidRDefault="00D32067" w:rsidP="00D32067">
            <w:pPr>
              <w:jc w:val="both"/>
              <w:rPr>
                <w:rFonts w:ascii="Verdana" w:eastAsia="Calibri" w:hAnsi="Verdana" w:cs="Arial"/>
                <w:color w:val="000000"/>
                <w:lang w:eastAsia="es-ES_tradnl"/>
              </w:rPr>
            </w:pPr>
            <w:r w:rsidRPr="00D32067">
              <w:rPr>
                <w:rFonts w:ascii="Verdana" w:eastAsia="Calibri" w:hAnsi="Verdana" w:cs="Arial"/>
                <w:b/>
                <w:color w:val="000000"/>
                <w:lang w:eastAsia="es-ES_tradnl"/>
              </w:rPr>
              <w:t>Temas:</w:t>
            </w:r>
            <w:r w:rsidRPr="00D32067">
              <w:rPr>
                <w:rFonts w:ascii="Verdana" w:eastAsia="Calibri" w:hAnsi="Verdana" w:cs="Arial"/>
                <w:color w:val="000000"/>
                <w:lang w:eastAsia="es-ES_tradnl"/>
              </w:rPr>
              <w:t xml:space="preserve">                   </w:t>
            </w:r>
          </w:p>
        </w:tc>
        <w:tc>
          <w:tcPr>
            <w:tcW w:w="6100" w:type="dxa"/>
          </w:tcPr>
          <w:p w14:paraId="700F623D" w14:textId="4BBB8E4B" w:rsidR="00D32067" w:rsidRPr="00664753" w:rsidRDefault="00D32067" w:rsidP="00D32067">
            <w:pPr>
              <w:spacing w:line="276" w:lineRule="auto"/>
              <w:jc w:val="both"/>
              <w:rPr>
                <w:rFonts w:ascii="Verdana" w:eastAsia="Calibri" w:hAnsi="Verdana" w:cs="Arial"/>
                <w:lang w:val="es-ES" w:eastAsia="es-ES"/>
              </w:rPr>
            </w:pPr>
            <w:r w:rsidRPr="00D32067">
              <w:rPr>
                <w:rFonts w:ascii="Verdana" w:eastAsia="Calibri" w:hAnsi="Verdana" w:cs="Arial"/>
                <w:lang w:val="es-ES" w:eastAsia="es-ES"/>
              </w:rPr>
              <w:t>PLANEACIÓN CONTRACTUAL – Noción – Obligación de las entidades – Ley 80 de 1993 / ESTUDIOS PREVIOS – Finalidad / ESTUDIOS DE MERCADO – Finalidad – Recomendaciones – Colombia compra eficiente – Guía de elaboración de estudios del sector</w:t>
            </w:r>
          </w:p>
        </w:tc>
      </w:tr>
      <w:tr w:rsidR="00D32067" w:rsidRPr="00D32067" w14:paraId="241935A2" w14:textId="77777777" w:rsidTr="00ED423A">
        <w:tc>
          <w:tcPr>
            <w:tcW w:w="2689" w:type="dxa"/>
          </w:tcPr>
          <w:p w14:paraId="2E9E821F" w14:textId="77777777" w:rsidR="00D32067" w:rsidRPr="00D32067" w:rsidRDefault="00D32067" w:rsidP="00D32067">
            <w:pPr>
              <w:jc w:val="both"/>
              <w:rPr>
                <w:rFonts w:ascii="Verdana" w:eastAsia="Calibri" w:hAnsi="Verdana" w:cs="Arial"/>
                <w:b/>
                <w:lang w:eastAsia="es-ES_tradnl"/>
              </w:rPr>
            </w:pPr>
            <w:r w:rsidRPr="00D32067">
              <w:rPr>
                <w:rFonts w:ascii="Verdana" w:eastAsia="Calibri" w:hAnsi="Verdana" w:cs="Arial"/>
                <w:b/>
                <w:lang w:eastAsia="es-ES_tradnl"/>
              </w:rPr>
              <w:t>Radicación:</w:t>
            </w:r>
            <w:r w:rsidRPr="00D32067">
              <w:rPr>
                <w:rFonts w:ascii="Verdana" w:eastAsia="Calibri" w:hAnsi="Verdana" w:cs="Arial"/>
                <w:lang w:eastAsia="es-ES_tradnl"/>
              </w:rPr>
              <w:t xml:space="preserve">               </w:t>
            </w:r>
          </w:p>
        </w:tc>
        <w:tc>
          <w:tcPr>
            <w:tcW w:w="6100" w:type="dxa"/>
          </w:tcPr>
          <w:p w14:paraId="11F2A10D" w14:textId="77777777" w:rsidR="00D32067" w:rsidRPr="00D32067" w:rsidRDefault="00D32067" w:rsidP="00D32067">
            <w:pPr>
              <w:jc w:val="both"/>
              <w:rPr>
                <w:rFonts w:ascii="Verdana" w:eastAsia="Calibri" w:hAnsi="Verdana" w:cs="Arial"/>
                <w:lang w:eastAsia="es-ES_tradnl"/>
              </w:rPr>
            </w:pPr>
            <w:r w:rsidRPr="00D32067">
              <w:rPr>
                <w:rFonts w:ascii="Verdana" w:eastAsia="Calibri" w:hAnsi="Verdana" w:cs="Arial"/>
                <w:lang w:eastAsia="es-ES_tradnl"/>
              </w:rPr>
              <w:t xml:space="preserve">Respuesta a la consulta con radicado No.  P20250210001209                                 </w:t>
            </w:r>
          </w:p>
        </w:tc>
      </w:tr>
    </w:tbl>
    <w:p w14:paraId="762B4D62" w14:textId="77777777" w:rsidR="00D32067" w:rsidRPr="00D32067" w:rsidRDefault="00D32067" w:rsidP="00D32067">
      <w:pPr>
        <w:spacing w:after="0" w:line="240" w:lineRule="auto"/>
        <w:jc w:val="both"/>
        <w:rPr>
          <w:rFonts w:ascii="Verdana" w:eastAsia="Calibri" w:hAnsi="Verdana" w:cs="Arial"/>
          <w:color w:val="000000"/>
          <w:lang w:eastAsia="es-ES_tradnl"/>
        </w:rPr>
      </w:pPr>
    </w:p>
    <w:p w14:paraId="76449804" w14:textId="77777777" w:rsidR="00D32067" w:rsidRPr="00D32067" w:rsidRDefault="00D32067" w:rsidP="00D32067">
      <w:pPr>
        <w:spacing w:after="0" w:line="240" w:lineRule="auto"/>
        <w:jc w:val="both"/>
        <w:rPr>
          <w:rFonts w:ascii="Verdana" w:eastAsia="Calibri" w:hAnsi="Verdana" w:cs="Arial"/>
          <w:color w:val="000000"/>
          <w:lang w:eastAsia="es-ES_tradnl"/>
        </w:rPr>
      </w:pPr>
    </w:p>
    <w:p w14:paraId="4088D58D" w14:textId="77777777" w:rsidR="00D32067" w:rsidRPr="00D32067" w:rsidRDefault="00D32067" w:rsidP="00D32067">
      <w:pPr>
        <w:spacing w:after="0" w:line="276" w:lineRule="auto"/>
        <w:jc w:val="both"/>
        <w:rPr>
          <w:rFonts w:ascii="Verdana" w:eastAsia="Calibri" w:hAnsi="Verdana" w:cs="Arial"/>
          <w:lang w:eastAsia="es-ES"/>
        </w:rPr>
      </w:pPr>
      <w:r w:rsidRPr="00D32067">
        <w:rPr>
          <w:rFonts w:ascii="Verdana" w:eastAsia="Calibri" w:hAnsi="Verdana" w:cs="Arial"/>
          <w:lang w:eastAsia="es-ES"/>
        </w:rPr>
        <w:t xml:space="preserve">Estimado señor Fernández Bolañoz: </w:t>
      </w:r>
    </w:p>
    <w:p w14:paraId="5C75650D" w14:textId="77777777" w:rsidR="00D32067" w:rsidRPr="00D32067" w:rsidRDefault="00D32067" w:rsidP="00D32067">
      <w:pPr>
        <w:tabs>
          <w:tab w:val="left" w:pos="3768"/>
        </w:tabs>
        <w:spacing w:after="0" w:line="276" w:lineRule="auto"/>
        <w:jc w:val="both"/>
        <w:rPr>
          <w:rFonts w:ascii="Verdana" w:eastAsia="Calibri" w:hAnsi="Verdana" w:cs="Arial"/>
          <w:color w:val="000000" w:themeColor="text1"/>
          <w:lang w:eastAsia="es-ES"/>
        </w:rPr>
      </w:pPr>
      <w:r w:rsidRPr="00D32067">
        <w:rPr>
          <w:rFonts w:ascii="Verdana" w:eastAsia="Calibri" w:hAnsi="Verdana" w:cs="Arial"/>
          <w:color w:val="000000" w:themeColor="text1"/>
          <w:lang w:eastAsia="es-ES"/>
        </w:rPr>
        <w:tab/>
      </w:r>
    </w:p>
    <w:p w14:paraId="1EB293F8" w14:textId="77777777" w:rsidR="00D32067" w:rsidRPr="00D32067" w:rsidRDefault="00D32067" w:rsidP="00D32067">
      <w:pPr>
        <w:spacing w:after="120" w:line="276" w:lineRule="auto"/>
        <w:jc w:val="both"/>
        <w:rPr>
          <w:rFonts w:ascii="Verdana" w:eastAsia="Calibri" w:hAnsi="Verdana" w:cs="Arial"/>
          <w:lang w:eastAsia="es-ES"/>
        </w:rPr>
      </w:pPr>
      <w:r w:rsidRPr="00D32067">
        <w:rPr>
          <w:rFonts w:ascii="Verdana" w:eastAsia="Calibri" w:hAnsi="Verdana" w:cs="Arial"/>
          <w:color w:val="000000" w:themeColor="text1"/>
          <w:lang w:eastAsia="es-ES"/>
        </w:rPr>
        <w:t>En ejercicio de la competencia otorgada por los artículos 3, numeral 5º, y 11, numeral 8º, del Decreto Ley 4170 de 2011,</w:t>
      </w:r>
      <w:r w:rsidRPr="00D32067">
        <w:rPr>
          <w:rFonts w:ascii="Verdana" w:eastAsia="Arial MT" w:hAnsi="Verdana" w:cs="Arial MT"/>
          <w:lang w:eastAsia="es-ES"/>
        </w:rPr>
        <w:t xml:space="preserve"> </w:t>
      </w:r>
      <w:r w:rsidRPr="00D32067">
        <w:rPr>
          <w:rFonts w:ascii="Verdana" w:hAnsi="Verdana" w:cs="Arial"/>
        </w:rPr>
        <w:t xml:space="preserve">así como lo establecido en el artículo 4 de la Resolución 1707 de 2018 expedida por esta Entidad, </w:t>
      </w:r>
      <w:r w:rsidRPr="00D32067">
        <w:rPr>
          <w:rFonts w:ascii="Verdana" w:eastAsia="Calibri" w:hAnsi="Verdana" w:cs="Arial"/>
          <w:color w:val="000000" w:themeColor="text1"/>
          <w:lang w:eastAsia="es-ES"/>
        </w:rPr>
        <w:t>la Agencia Nacional de Contratación Pública – Colombia Compra Eficiente responde su solicitud del 10</w:t>
      </w:r>
      <w:r w:rsidRPr="00D32067">
        <w:rPr>
          <w:rFonts w:ascii="Verdana" w:eastAsia="Calibri" w:hAnsi="Verdana" w:cs="Arial"/>
          <w:lang w:eastAsia="es-ES"/>
        </w:rPr>
        <w:t xml:space="preserve"> de febrero de 2025, en la cual consulta sobre lo siguiente:</w:t>
      </w:r>
      <w:r w:rsidRPr="00D32067">
        <w:rPr>
          <w:rFonts w:ascii="Verdana" w:eastAsia="Calibri" w:hAnsi="Verdana" w:cs="Arial"/>
          <w:i/>
          <w:iCs/>
          <w:lang w:eastAsia="es-ES"/>
        </w:rPr>
        <w:t xml:space="preserve"> </w:t>
      </w:r>
      <w:bookmarkStart w:id="1" w:name="_Hlk95313578"/>
      <w:r w:rsidRPr="00D32067">
        <w:rPr>
          <w:rFonts w:ascii="Verdana" w:eastAsia="Arial" w:hAnsi="Verdana" w:cs="Arial"/>
          <w:i/>
          <w:iCs/>
          <w:color w:val="000000"/>
        </w:rPr>
        <w:t>“</w:t>
      </w:r>
      <w:bookmarkEnd w:id="1"/>
      <w:r w:rsidRPr="00D32067">
        <w:rPr>
          <w:rFonts w:ascii="Verdana" w:eastAsia="Arial" w:hAnsi="Verdana" w:cs="Arial"/>
          <w:i/>
          <w:iCs/>
          <w:color w:val="000000"/>
        </w:rPr>
        <w:t>La entidad puede utilizar las estructuras de costos aprobadas para cada proceso de contratación en cada vigencia antes de adjudicar el proceso contractual o la entidad está obligada a proyectar los precios históricos con los valores contratados en cada vigencia?, la pregunta busca contar con lineamientos para los diferentes procesos contractuales a realizarse en la vigencia 2025”.</w:t>
      </w:r>
    </w:p>
    <w:p w14:paraId="43E34851" w14:textId="77777777" w:rsidR="00D32067" w:rsidRPr="00D32067" w:rsidRDefault="00D32067" w:rsidP="00D32067">
      <w:pPr>
        <w:spacing w:after="120" w:line="276" w:lineRule="auto"/>
        <w:ind w:firstLine="709"/>
        <w:jc w:val="both"/>
        <w:rPr>
          <w:rFonts w:ascii="Verdana" w:eastAsia="Calibri" w:hAnsi="Verdana" w:cs="Arial"/>
          <w:color w:val="000000"/>
          <w:lang w:eastAsia="es-ES"/>
        </w:rPr>
      </w:pPr>
      <w:r w:rsidRPr="00D32067">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2067">
        <w:rPr>
          <w:rFonts w:ascii="Verdana" w:eastAsia="Calibri" w:hAnsi="Verdana" w:cs="Arial"/>
          <w:color w:val="000000"/>
          <w:szCs w:val="24"/>
          <w:lang w:eastAsia="es-ES_tradnl"/>
        </w:rPr>
        <w:tab/>
      </w:r>
    </w:p>
    <w:p w14:paraId="015A2040" w14:textId="77777777" w:rsidR="00D32067" w:rsidRPr="00D32067" w:rsidRDefault="00D32067" w:rsidP="00D32067">
      <w:pPr>
        <w:spacing w:after="0" w:line="276" w:lineRule="auto"/>
        <w:ind w:firstLine="709"/>
        <w:jc w:val="both"/>
        <w:rPr>
          <w:rFonts w:ascii="Verdana" w:eastAsia="Calibri" w:hAnsi="Verdana" w:cs="Arial"/>
          <w:color w:val="000000"/>
          <w:lang w:eastAsia="es-ES"/>
        </w:rPr>
      </w:pPr>
      <w:r w:rsidRPr="00D3206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D32067">
        <w:rPr>
          <w:rFonts w:ascii="Verdana" w:eastAsia="Calibri" w:hAnsi="Verdana" w:cs="Arial"/>
          <w:color w:val="7030A0"/>
          <w:lang w:eastAsia="es-ES"/>
        </w:rPr>
        <w:t xml:space="preserve"> </w:t>
      </w:r>
      <w:r w:rsidRPr="00D32067">
        <w:rPr>
          <w:rFonts w:ascii="Verdana" w:eastAsia="Calibri" w:hAnsi="Verdana" w:cs="Arial"/>
          <w:color w:val="000000"/>
          <w:lang w:eastAsia="es-ES"/>
        </w:rPr>
        <w:t>problema</w:t>
      </w:r>
      <w:r w:rsidRPr="00D32067">
        <w:rPr>
          <w:rFonts w:ascii="Verdana" w:eastAsia="Calibri" w:hAnsi="Verdana" w:cs="Arial"/>
          <w:color w:val="7030A0"/>
          <w:lang w:eastAsia="es-ES"/>
        </w:rPr>
        <w:t xml:space="preserve"> </w:t>
      </w:r>
      <w:r w:rsidRPr="00D32067">
        <w:rPr>
          <w:rFonts w:ascii="Verdana" w:eastAsia="Calibri" w:hAnsi="Verdana" w:cs="Arial"/>
          <w:color w:val="000000"/>
          <w:lang w:eastAsia="es-ES"/>
        </w:rPr>
        <w:t>jurídico</w:t>
      </w:r>
      <w:r w:rsidRPr="00D32067">
        <w:rPr>
          <w:rFonts w:ascii="Verdana" w:eastAsia="Calibri" w:hAnsi="Verdana" w:cs="Arial"/>
          <w:color w:val="7030A0"/>
          <w:lang w:eastAsia="es-ES"/>
        </w:rPr>
        <w:t xml:space="preserve"> </w:t>
      </w:r>
      <w:r w:rsidRPr="00D32067">
        <w:rPr>
          <w:rFonts w:ascii="Verdana" w:eastAsia="Calibri" w:hAnsi="Verdana" w:cs="Arial"/>
          <w:color w:val="000000"/>
          <w:lang w:eastAsia="es-ES"/>
        </w:rPr>
        <w:t xml:space="preserve">de su consulta. </w:t>
      </w:r>
    </w:p>
    <w:p w14:paraId="7993DC09" w14:textId="77777777" w:rsidR="00D32067" w:rsidRPr="00D32067" w:rsidRDefault="00D32067" w:rsidP="00D32067">
      <w:pPr>
        <w:spacing w:after="0" w:line="276" w:lineRule="auto"/>
        <w:ind w:firstLine="709"/>
        <w:jc w:val="both"/>
        <w:rPr>
          <w:rFonts w:ascii="Verdana" w:eastAsia="Calibri" w:hAnsi="Verdana" w:cs="Arial"/>
          <w:color w:val="000000"/>
          <w:lang w:eastAsia="es-ES"/>
        </w:rPr>
      </w:pPr>
    </w:p>
    <w:p w14:paraId="386D4C98" w14:textId="77777777" w:rsidR="00D32067" w:rsidRPr="00D32067" w:rsidRDefault="00D32067" w:rsidP="00D32067">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D32067">
        <w:rPr>
          <w:rFonts w:ascii="Verdana" w:eastAsia="Century Gothic" w:hAnsi="Verdana" w:cs="Century Gothic"/>
          <w:b/>
          <w:bCs/>
        </w:rPr>
        <w:t>Problemas planteados:</w:t>
      </w:r>
    </w:p>
    <w:p w14:paraId="542023E2" w14:textId="77777777" w:rsidR="00D32067" w:rsidRPr="00D32067" w:rsidRDefault="00D32067" w:rsidP="00D32067">
      <w:pPr>
        <w:tabs>
          <w:tab w:val="left" w:pos="426"/>
        </w:tabs>
        <w:spacing w:after="0" w:line="276" w:lineRule="auto"/>
        <w:jc w:val="both"/>
        <w:rPr>
          <w:rFonts w:ascii="Verdana" w:eastAsia="Century Gothic" w:hAnsi="Verdana" w:cs="Century Gothic"/>
        </w:rPr>
      </w:pPr>
    </w:p>
    <w:p w14:paraId="700D6592" w14:textId="77777777" w:rsidR="00D32067" w:rsidRPr="00D32067" w:rsidRDefault="00D32067" w:rsidP="00D32067">
      <w:pPr>
        <w:spacing w:after="0" w:line="276" w:lineRule="auto"/>
        <w:jc w:val="both"/>
        <w:rPr>
          <w:rFonts w:ascii="Verdana" w:eastAsia="Century Gothic" w:hAnsi="Verdana" w:cs="Arial"/>
        </w:rPr>
      </w:pPr>
      <w:r w:rsidRPr="00D32067">
        <w:rPr>
          <w:rFonts w:ascii="Verdana" w:eastAsia="Century Gothic" w:hAnsi="Verdana" w:cs="Century Gothic"/>
        </w:rPr>
        <w:t>De acuerdo con el contenido de su solicitud, esta Agencia resolverá el siguiente problema jurídico: “¿Cómo debe estructurarse el presupuesto oficial del proceso de contratación?”</w:t>
      </w:r>
    </w:p>
    <w:p w14:paraId="4CFE9563" w14:textId="77777777" w:rsidR="00D32067" w:rsidRPr="00D32067" w:rsidRDefault="00D32067" w:rsidP="00D32067">
      <w:pPr>
        <w:spacing w:after="0" w:line="276" w:lineRule="auto"/>
        <w:jc w:val="both"/>
        <w:rPr>
          <w:rFonts w:ascii="Verdana" w:eastAsia="Calibri" w:hAnsi="Verdana" w:cs="Arial"/>
          <w:color w:val="7030A0"/>
        </w:rPr>
      </w:pPr>
    </w:p>
    <w:p w14:paraId="5DB5E0D6" w14:textId="77777777" w:rsidR="00D32067" w:rsidRPr="00D32067" w:rsidRDefault="00D32067" w:rsidP="00D32067">
      <w:pPr>
        <w:numPr>
          <w:ilvl w:val="0"/>
          <w:numId w:val="1"/>
        </w:numPr>
        <w:tabs>
          <w:tab w:val="left" w:pos="142"/>
          <w:tab w:val="left" w:pos="284"/>
        </w:tabs>
        <w:spacing w:after="0" w:line="276" w:lineRule="auto"/>
        <w:jc w:val="both"/>
        <w:rPr>
          <w:rFonts w:ascii="Verdana" w:eastAsia="Century Gothic" w:hAnsi="Verdana" w:cs="Century Gothic"/>
          <w:b/>
          <w:bCs/>
        </w:rPr>
      </w:pPr>
      <w:r w:rsidRPr="00D32067">
        <w:rPr>
          <w:rFonts w:ascii="Verdana" w:eastAsia="Century Gothic" w:hAnsi="Verdana" w:cs="Century Gothic"/>
          <w:b/>
          <w:bCs/>
        </w:rPr>
        <w:t>Respuestas:</w:t>
      </w:r>
    </w:p>
    <w:p w14:paraId="257F64D6" w14:textId="77777777" w:rsidR="00D32067" w:rsidRPr="00D32067" w:rsidRDefault="00D32067" w:rsidP="00D3206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2067" w:rsidRPr="00D32067" w14:paraId="49646DD9" w14:textId="77777777" w:rsidTr="00ED423A">
        <w:trPr>
          <w:jc w:val="center"/>
        </w:trPr>
        <w:tc>
          <w:tcPr>
            <w:tcW w:w="8828" w:type="dxa"/>
            <w:shd w:val="clear" w:color="auto" w:fill="auto"/>
          </w:tcPr>
          <w:p w14:paraId="234C1938" w14:textId="77777777" w:rsidR="00D32067" w:rsidRPr="00D32067" w:rsidRDefault="00D32067" w:rsidP="00D32067">
            <w:pPr>
              <w:spacing w:line="276" w:lineRule="auto"/>
              <w:jc w:val="both"/>
              <w:rPr>
                <w:rFonts w:ascii="Verdana" w:eastAsia="Calibri" w:hAnsi="Verdana" w:cs="Arial"/>
                <w:bCs/>
                <w:lang w:val="es-ES_tradnl"/>
              </w:rPr>
            </w:pPr>
            <w:bookmarkStart w:id="2" w:name="_Hlk171694685"/>
            <w:r w:rsidRPr="00D32067">
              <w:rPr>
                <w:rFonts w:ascii="Verdana" w:hAnsi="Verdana" w:cs="Arial"/>
              </w:rPr>
              <w:t>Los numerales 2 y 4 del artículo 2.2.1.1.2.1.1 del Decreto 1082 de 2015 exigen que en los estudios previos se determine el objeto a contratar con sus especificaciones, y se señale el valor estimado del contrato y la justificación del mismo. En concordancia, e</w:t>
            </w:r>
            <w:r w:rsidRPr="00D32067">
              <w:rPr>
                <w:rFonts w:ascii="Verdana" w:eastAsia="Calibri" w:hAnsi="Verdana" w:cs="Arial"/>
                <w:bCs/>
                <w:lang w:val="es-ES_tradnl"/>
              </w:rPr>
              <w:t xml:space="preserve">l artículo 2.2.1.1.1.6.1 del Decreto 1082 de 2015 establece el deber de las entidades de realizar, durante la etapa de planeación, el análisis necesario para conocer el sector relativo al objeto del Proceso de Contratación desde la perspectiva legal, comercial, financiera, organizacional, técnica, y de análisis de Riesgo. La entidad debe dejar constancia de este análisis en los Documentos del Proceso. </w:t>
            </w:r>
          </w:p>
          <w:p w14:paraId="39704B04" w14:textId="77777777" w:rsidR="00D32067" w:rsidRPr="00D32067" w:rsidRDefault="00D32067" w:rsidP="00D32067">
            <w:pPr>
              <w:spacing w:before="120" w:line="276" w:lineRule="auto"/>
              <w:ind w:firstLine="709"/>
              <w:jc w:val="both"/>
              <w:rPr>
                <w:rFonts w:ascii="Verdana" w:hAnsi="Verdana" w:cs="Arial"/>
                <w:bCs/>
                <w:lang w:val="es-ES_tradnl"/>
              </w:rPr>
            </w:pPr>
            <w:r w:rsidRPr="00D32067">
              <w:rPr>
                <w:rFonts w:ascii="Verdana" w:eastAsia="Calibri" w:hAnsi="Verdana" w:cs="Arial"/>
                <w:bCs/>
                <w:lang w:val="es-ES_tradnl"/>
              </w:rPr>
              <w:lastRenderedPageBreak/>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D32067">
              <w:rPr>
                <w:rFonts w:ascii="Verdana" w:hAnsi="Verdana" w:cs="Arial"/>
                <w:lang w:eastAsia="es-CO"/>
              </w:rPr>
              <w:t xml:space="preserve">son autónomas para estructurarlo, para lo cual deberán cumplir lo establecido en el artículo </w:t>
            </w:r>
            <w:r w:rsidRPr="00D32067">
              <w:rPr>
                <w:rFonts w:ascii="Verdana" w:eastAsia="Calibri" w:hAnsi="Verdana" w:cs="Arial"/>
                <w:bCs/>
                <w:lang w:val="es-ES_tradnl"/>
              </w:rPr>
              <w:t xml:space="preserve">2.2.1.1.1.6.1 del Decreto 1082 de 2015 y realizar un análisis integral de planeación que </w:t>
            </w:r>
            <w:r w:rsidRPr="00D32067">
              <w:rPr>
                <w:rFonts w:ascii="Verdana" w:hAnsi="Verdana" w:cs="Arial"/>
              </w:rPr>
              <w:t xml:space="preserve">sirva de sustento a la decisión de </w:t>
            </w:r>
            <w:r w:rsidRPr="00D32067">
              <w:rPr>
                <w:rFonts w:ascii="Verdana" w:hAnsi="Verdana" w:cs="Arial"/>
                <w:bCs/>
                <w:lang w:val="es-ES_tradnl"/>
              </w:rPr>
              <w:t>realizar un proceso de contratación.</w:t>
            </w:r>
          </w:p>
          <w:p w14:paraId="23FAB1D8" w14:textId="77777777" w:rsidR="00D32067" w:rsidRPr="00D32067" w:rsidRDefault="00D32067" w:rsidP="00D32067">
            <w:pPr>
              <w:spacing w:before="120" w:line="276" w:lineRule="auto"/>
              <w:ind w:firstLine="709"/>
              <w:jc w:val="both"/>
              <w:rPr>
                <w:rFonts w:ascii="Verdana" w:eastAsia="Calibri" w:hAnsi="Verdana" w:cs="Arial"/>
                <w:bCs/>
                <w:lang w:val="es-ES_tradnl"/>
              </w:rPr>
            </w:pPr>
            <w:r w:rsidRPr="00D32067">
              <w:rPr>
                <w:rFonts w:ascii="Verdana" w:eastAsia="Calibri" w:hAnsi="Verdana" w:cs="Arial"/>
                <w:bCs/>
                <w:lang w:val="es-ES_tradnl"/>
              </w:rPr>
              <w:t xml:space="preserve">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 En esta Guía se indica que, como parte de la estructura del estudio del sector, se debe realizar un análisis del comportamiento del gasto histórico, el estudio de la oferta y el estudio del mercado. Este último </w:t>
            </w:r>
            <w:r w:rsidRPr="00D32067">
              <w:rPr>
                <w:rFonts w:ascii="Verdana" w:eastAsia="Calibri" w:hAnsi="Verdana" w:cs="Arial"/>
                <w:color w:val="000000" w:themeColor="text1"/>
                <w:lang w:val="es-ES"/>
              </w:rPr>
              <w:t xml:space="preserve">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w:t>
            </w:r>
          </w:p>
          <w:p w14:paraId="638579B1" w14:textId="77777777" w:rsidR="00D32067" w:rsidRPr="00D32067" w:rsidRDefault="00D32067" w:rsidP="00D32067">
            <w:pPr>
              <w:spacing w:before="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En relación con el mecanismo de revisión de precios históricos, se </w:t>
            </w:r>
            <w:r w:rsidRPr="00D32067">
              <w:rPr>
                <w:rFonts w:ascii="Verdana" w:eastAsia="Calibri" w:hAnsi="Verdana" w:cs="Arial"/>
                <w:color w:val="000000" w:themeColor="text1"/>
              </w:rPr>
              <w:t>sugiere verificar la variación de los precios históricos derivados del Índice de Precios al Consumidor (IPC) en cada año, analizando de manera detallada las fluctuaciones económicas que hayan influido en la evolución de los precios, tales como cambios en la oferta y demanda, factores externos (como crisis económicas o alteraciones en la cadena de suministro) y políticas monetarias que hayan afectado la inflación</w:t>
            </w:r>
          </w:p>
          <w:p w14:paraId="129A6D6B" w14:textId="77777777" w:rsidR="00D32067" w:rsidRPr="00D32067" w:rsidRDefault="00D32067" w:rsidP="00D32067">
            <w:pPr>
              <w:spacing w:before="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Sin embargo, se precisa que los mecanismos señalados para realizar el estudio del mercado no están determinados por la ley o el reglamento, por lo que no existen lineamientos obligatorios para su estructuración. De esta manera, </w:t>
            </w:r>
            <w:r w:rsidRPr="00D32067">
              <w:rPr>
                <w:rFonts w:ascii="Verdana" w:eastAsia="Calibri" w:hAnsi="Verdana" w:cs="Arial"/>
                <w:bCs/>
                <w:lang w:val="es-ES_tradnl"/>
              </w:rPr>
              <w:t xml:space="preserve">las entidades </w:t>
            </w:r>
            <w:r w:rsidRPr="00D32067">
              <w:rPr>
                <w:rFonts w:ascii="Verdana" w:hAnsi="Verdana" w:cs="Arial"/>
                <w:lang w:eastAsia="es-CO"/>
              </w:rPr>
              <w:t xml:space="preserve">son autónomas para establecer la forma en la cual se recopilará la información que sustente el estudio de mercado, y la decisión de </w:t>
            </w:r>
            <w:r w:rsidRPr="00D32067">
              <w:rPr>
                <w:rFonts w:ascii="Verdana" w:hAnsi="Verdana" w:cs="Arial"/>
                <w:lang w:eastAsia="es-CO"/>
              </w:rPr>
              <w:lastRenderedPageBreak/>
              <w:t xml:space="preserve">utilizar estructuras de costos aprobadas para cada proceso de contratación en cada periodo o de emplear los precios históricos basados en los valores contratados en cada vigencia para estimar el valor del contrato, dependerá del análisis de planeación que realice la entidad en esta </w:t>
            </w:r>
            <w:r w:rsidRPr="00D32067">
              <w:rPr>
                <w:rFonts w:ascii="Verdana" w:hAnsi="Verdana"/>
              </w:rPr>
              <w:t>etapa.</w:t>
            </w:r>
          </w:p>
        </w:tc>
      </w:tr>
    </w:tbl>
    <w:p w14:paraId="2CD6FEB7" w14:textId="77777777" w:rsidR="00D32067" w:rsidRPr="00D32067" w:rsidRDefault="00D32067" w:rsidP="00D32067">
      <w:pPr>
        <w:tabs>
          <w:tab w:val="left" w:pos="142"/>
          <w:tab w:val="left" w:pos="284"/>
        </w:tabs>
        <w:spacing w:after="0" w:line="276" w:lineRule="auto"/>
        <w:jc w:val="both"/>
        <w:rPr>
          <w:rFonts w:ascii="Verdana" w:eastAsia="Century Gothic" w:hAnsi="Verdana" w:cs="Century Gothic"/>
          <w:b/>
          <w:bCs/>
        </w:rPr>
      </w:pPr>
    </w:p>
    <w:bookmarkEnd w:id="2"/>
    <w:p w14:paraId="4EF68700" w14:textId="77777777" w:rsidR="00D32067" w:rsidRPr="00D32067" w:rsidRDefault="00D32067" w:rsidP="00D32067">
      <w:pPr>
        <w:numPr>
          <w:ilvl w:val="0"/>
          <w:numId w:val="1"/>
        </w:numPr>
        <w:tabs>
          <w:tab w:val="left" w:pos="142"/>
          <w:tab w:val="left" w:pos="284"/>
        </w:tabs>
        <w:spacing w:after="0" w:line="276" w:lineRule="auto"/>
        <w:jc w:val="both"/>
        <w:rPr>
          <w:rFonts w:ascii="Verdana" w:eastAsia="Century Gothic" w:hAnsi="Verdana" w:cs="Century Gothic"/>
          <w:b/>
          <w:bCs/>
        </w:rPr>
      </w:pPr>
      <w:r w:rsidRPr="00D32067">
        <w:rPr>
          <w:rFonts w:ascii="Verdana" w:eastAsia="Century Gothic" w:hAnsi="Verdana" w:cs="Century Gothic"/>
          <w:b/>
          <w:bCs/>
        </w:rPr>
        <w:t>Razones de las respuestas:</w:t>
      </w:r>
    </w:p>
    <w:p w14:paraId="62A5E0A4" w14:textId="77777777" w:rsidR="00D32067" w:rsidRPr="00D32067" w:rsidRDefault="00D32067" w:rsidP="00D32067">
      <w:pPr>
        <w:spacing w:after="0" w:line="276" w:lineRule="auto"/>
        <w:jc w:val="both"/>
        <w:rPr>
          <w:rFonts w:ascii="Verdana" w:eastAsia="Calibri" w:hAnsi="Verdana" w:cs="Arial"/>
          <w:color w:val="7030A0"/>
        </w:rPr>
      </w:pPr>
    </w:p>
    <w:p w14:paraId="10A7E506" w14:textId="77777777" w:rsidR="00D32067" w:rsidRPr="00D32067" w:rsidRDefault="00D32067" w:rsidP="00D32067">
      <w:pPr>
        <w:spacing w:after="0" w:line="276" w:lineRule="auto"/>
        <w:jc w:val="both"/>
        <w:rPr>
          <w:rFonts w:ascii="Verdana" w:eastAsia="Calibri" w:hAnsi="Verdana" w:cs="Arial"/>
        </w:rPr>
      </w:pPr>
      <w:r w:rsidRPr="00D32067">
        <w:rPr>
          <w:rFonts w:ascii="Verdana" w:eastAsia="Calibri" w:hAnsi="Verdana" w:cs="Arial"/>
        </w:rPr>
        <w:t>Lo anterior se sustenta en las siguientes consideraciones:</w:t>
      </w:r>
    </w:p>
    <w:p w14:paraId="1409CACF" w14:textId="77777777" w:rsidR="00D32067" w:rsidRPr="00D32067" w:rsidRDefault="00D32067" w:rsidP="00D32067">
      <w:pPr>
        <w:spacing w:after="0" w:line="276" w:lineRule="auto"/>
        <w:jc w:val="both"/>
        <w:rPr>
          <w:rFonts w:ascii="Verdana" w:eastAsia="Calibri" w:hAnsi="Verdana" w:cs="Arial"/>
          <w:color w:val="000000" w:themeColor="text1"/>
        </w:rPr>
      </w:pPr>
    </w:p>
    <w:p w14:paraId="56B62072" w14:textId="77777777" w:rsidR="00D32067" w:rsidRPr="00D32067" w:rsidRDefault="00D32067" w:rsidP="00D32067">
      <w:pPr>
        <w:spacing w:after="120" w:line="276" w:lineRule="auto"/>
        <w:jc w:val="both"/>
        <w:rPr>
          <w:rFonts w:ascii="Verdana" w:hAnsi="Verdana"/>
        </w:rPr>
      </w:pPr>
      <w:r w:rsidRPr="00D32067">
        <w:rPr>
          <w:rFonts w:ascii="Verdana" w:eastAsia="Calibri" w:hAnsi="Verdana" w:cs="Arial"/>
          <w:bCs/>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24078690" w14:textId="77777777" w:rsidR="00D32067" w:rsidRPr="00D32067" w:rsidRDefault="00D32067" w:rsidP="00D32067">
      <w:pPr>
        <w:spacing w:after="0" w:line="276" w:lineRule="auto"/>
        <w:ind w:firstLine="708"/>
        <w:jc w:val="both"/>
        <w:rPr>
          <w:rFonts w:ascii="Verdana" w:eastAsia="Calibri" w:hAnsi="Verdana" w:cs="Arial"/>
          <w:lang w:val="es-MX"/>
        </w:rPr>
      </w:pPr>
      <w:r w:rsidRPr="00D32067">
        <w:rPr>
          <w:rFonts w:ascii="Verdana" w:eastAsia="Calibri" w:hAnsi="Verdana" w:cs="Arial"/>
          <w:bCs/>
          <w:lang w:val="es-MX"/>
        </w:rPr>
        <w:t xml:space="preserve">El Estatuto General de Contratación de la Administración Pública – en adelante EGCAP –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4FC21149" w14:textId="77777777" w:rsidR="00D32067" w:rsidRPr="00D32067" w:rsidRDefault="00D32067" w:rsidP="00D32067">
      <w:pPr>
        <w:spacing w:after="0" w:line="276" w:lineRule="auto"/>
        <w:ind w:firstLine="709"/>
        <w:jc w:val="both"/>
        <w:rPr>
          <w:rFonts w:ascii="Verdana" w:eastAsia="Calibri" w:hAnsi="Verdana" w:cs="Arial"/>
          <w:bCs/>
          <w:lang w:val="es-ES"/>
        </w:rPr>
      </w:pPr>
    </w:p>
    <w:p w14:paraId="631E0897" w14:textId="77777777" w:rsidR="00D32067" w:rsidRPr="00D32067" w:rsidRDefault="00D32067" w:rsidP="00D32067">
      <w:pPr>
        <w:spacing w:after="0" w:line="240" w:lineRule="auto"/>
        <w:ind w:left="709" w:right="709"/>
        <w:jc w:val="both"/>
        <w:rPr>
          <w:rFonts w:ascii="Verdana" w:eastAsia="Calibri" w:hAnsi="Verdana" w:cs="Arial"/>
          <w:sz w:val="20"/>
          <w:szCs w:val="20"/>
          <w:lang w:val="es-MX"/>
        </w:rPr>
      </w:pPr>
      <w:r w:rsidRPr="00D32067">
        <w:rPr>
          <w:rFonts w:ascii="Verdana" w:eastAsia="Calibri"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123C785A" w14:textId="77777777" w:rsidR="00D32067" w:rsidRPr="00D32067" w:rsidRDefault="00D32067" w:rsidP="00D32067">
      <w:pPr>
        <w:spacing w:after="0" w:line="240" w:lineRule="auto"/>
        <w:ind w:left="709" w:right="709"/>
        <w:jc w:val="both"/>
        <w:rPr>
          <w:rFonts w:ascii="Verdana" w:eastAsia="Calibri" w:hAnsi="Verdana" w:cs="Arial"/>
          <w:sz w:val="20"/>
          <w:szCs w:val="20"/>
          <w:lang w:val="es-MX"/>
        </w:rPr>
      </w:pPr>
      <w:r w:rsidRPr="00D32067">
        <w:rPr>
          <w:rFonts w:ascii="Verdana" w:eastAsia="Calibri" w:hAnsi="Verdana" w:cs="Arial"/>
          <w:sz w:val="20"/>
          <w:szCs w:val="20"/>
          <w:lang w:val="es-MX"/>
        </w:rPr>
        <w:t>[…]</w:t>
      </w:r>
    </w:p>
    <w:p w14:paraId="34E1D2F6" w14:textId="77777777" w:rsidR="00D32067" w:rsidRPr="00D32067" w:rsidRDefault="00D32067" w:rsidP="00D32067">
      <w:pPr>
        <w:spacing w:after="0" w:line="240" w:lineRule="auto"/>
        <w:ind w:left="709" w:right="709"/>
        <w:jc w:val="both"/>
        <w:rPr>
          <w:rFonts w:ascii="Verdana" w:eastAsia="Calibri" w:hAnsi="Verdana" w:cs="Arial"/>
          <w:sz w:val="20"/>
          <w:szCs w:val="20"/>
          <w:lang w:val="es-MX"/>
        </w:rPr>
      </w:pPr>
      <w:r w:rsidRPr="00D32067">
        <w:rPr>
          <w:rFonts w:ascii="Verdana" w:eastAsia="Calibri"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666FF08" w14:textId="77777777" w:rsidR="00D32067" w:rsidRPr="00D32067" w:rsidRDefault="00D32067" w:rsidP="00D32067">
      <w:pPr>
        <w:spacing w:after="0" w:line="240" w:lineRule="auto"/>
        <w:ind w:left="709" w:right="709"/>
        <w:jc w:val="both"/>
        <w:rPr>
          <w:rFonts w:ascii="Verdana" w:eastAsia="Calibri" w:hAnsi="Verdana" w:cs="Arial"/>
          <w:sz w:val="20"/>
          <w:szCs w:val="20"/>
          <w:lang w:val="es-MX"/>
        </w:rPr>
      </w:pPr>
      <w:r w:rsidRPr="00D32067">
        <w:rPr>
          <w:rFonts w:ascii="Verdana" w:eastAsia="Calibri" w:hAnsi="Verdana" w:cs="Arial"/>
          <w:sz w:val="20"/>
          <w:szCs w:val="20"/>
          <w:lang w:val="es-MX"/>
        </w:rPr>
        <w:lastRenderedPageBreak/>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852C3AD"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2A29A1A9"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1A2B93C2" w14:textId="77777777" w:rsidR="00D32067" w:rsidRPr="00D32067" w:rsidRDefault="00D32067" w:rsidP="00D32067">
      <w:pPr>
        <w:spacing w:after="0" w:line="276" w:lineRule="auto"/>
        <w:ind w:left="709" w:right="709"/>
        <w:jc w:val="both"/>
        <w:rPr>
          <w:rFonts w:ascii="Verdana" w:hAnsi="Verdana" w:cs="Arial"/>
          <w:sz w:val="20"/>
          <w:szCs w:val="20"/>
        </w:rPr>
      </w:pPr>
    </w:p>
    <w:p w14:paraId="14D03845" w14:textId="77777777" w:rsidR="00D32067" w:rsidRPr="00D32067" w:rsidRDefault="00D32067" w:rsidP="00D32067">
      <w:pPr>
        <w:spacing w:after="120" w:line="276" w:lineRule="auto"/>
        <w:ind w:firstLine="709"/>
        <w:jc w:val="both"/>
        <w:rPr>
          <w:rFonts w:ascii="Verdana" w:hAnsi="Verdana" w:cs="Arial"/>
        </w:rPr>
      </w:pPr>
      <w:r w:rsidRPr="00D32067">
        <w:rPr>
          <w:rFonts w:ascii="Verdana" w:hAnsi="Verdana" w:cs="Arial"/>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D32067">
        <w:rPr>
          <w:rFonts w:ascii="Verdana" w:hAnsi="Verdana" w:cs="Arial"/>
          <w:vertAlign w:val="superscript"/>
        </w:rPr>
        <w:footnoteReference w:id="2"/>
      </w:r>
      <w:r w:rsidRPr="00D32067">
        <w:rPr>
          <w:rFonts w:ascii="Verdana" w:hAnsi="Verdana" w:cs="Arial"/>
        </w:rPr>
        <w:t xml:space="preserve">. </w:t>
      </w:r>
    </w:p>
    <w:p w14:paraId="130B6ACA" w14:textId="77777777" w:rsidR="00D32067" w:rsidRPr="00D32067" w:rsidRDefault="00D32067" w:rsidP="00D32067">
      <w:pPr>
        <w:spacing w:after="0" w:line="276" w:lineRule="auto"/>
        <w:ind w:firstLine="709"/>
        <w:jc w:val="both"/>
        <w:rPr>
          <w:rFonts w:ascii="Verdana" w:hAnsi="Verdana" w:cs="Arial"/>
        </w:rPr>
      </w:pPr>
      <w:r w:rsidRPr="00D32067">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380C71F1" w14:textId="77777777" w:rsidR="00D32067" w:rsidRPr="00D32067" w:rsidRDefault="00D32067" w:rsidP="00D32067">
      <w:pPr>
        <w:spacing w:after="0" w:line="276" w:lineRule="auto"/>
        <w:ind w:firstLine="709"/>
        <w:jc w:val="both"/>
        <w:rPr>
          <w:rFonts w:ascii="Verdana" w:hAnsi="Verdana" w:cs="Arial"/>
        </w:rPr>
      </w:pPr>
    </w:p>
    <w:p w14:paraId="507C0AFC"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1BE369F" w14:textId="77777777" w:rsidR="00D32067" w:rsidRPr="00D32067" w:rsidRDefault="00D32067" w:rsidP="00D32067">
      <w:pPr>
        <w:spacing w:after="0" w:line="240" w:lineRule="auto"/>
        <w:ind w:left="709" w:right="709"/>
        <w:jc w:val="both"/>
        <w:rPr>
          <w:rFonts w:ascii="Verdana" w:hAnsi="Verdana" w:cs="Arial"/>
          <w:sz w:val="20"/>
          <w:szCs w:val="20"/>
        </w:rPr>
      </w:pPr>
    </w:p>
    <w:p w14:paraId="394239C5"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lastRenderedPageBreak/>
        <w:t xml:space="preserve">1. La descripción de la necesidad que la Entidad Estatal pretende satisfacer con el Proceso de Contratación. </w:t>
      </w:r>
      <w:r w:rsidRPr="00D32067">
        <w:rPr>
          <w:rFonts w:ascii="Arial" w:hAnsi="Arial" w:cs="Arial"/>
          <w:sz w:val="20"/>
          <w:szCs w:val="20"/>
        </w:rPr>
        <w:t>​</w:t>
      </w:r>
    </w:p>
    <w:p w14:paraId="3CAF0366" w14:textId="77777777" w:rsidR="00D32067" w:rsidRPr="00D32067" w:rsidRDefault="00D32067" w:rsidP="00D32067">
      <w:pPr>
        <w:spacing w:after="0" w:line="240" w:lineRule="auto"/>
        <w:ind w:left="709" w:right="709"/>
        <w:jc w:val="both"/>
        <w:rPr>
          <w:rFonts w:ascii="Verdana" w:hAnsi="Verdana" w:cs="Arial"/>
          <w:sz w:val="20"/>
          <w:szCs w:val="20"/>
        </w:rPr>
      </w:pPr>
    </w:p>
    <w:p w14:paraId="212228D0"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3684755A" w14:textId="77777777" w:rsidR="00D32067" w:rsidRPr="00D32067" w:rsidRDefault="00D32067" w:rsidP="00D32067">
      <w:pPr>
        <w:spacing w:after="0" w:line="240" w:lineRule="auto"/>
        <w:ind w:left="709" w:right="709"/>
        <w:jc w:val="both"/>
        <w:rPr>
          <w:rFonts w:ascii="Verdana" w:hAnsi="Verdana" w:cs="Arial"/>
          <w:sz w:val="20"/>
          <w:szCs w:val="20"/>
        </w:rPr>
      </w:pPr>
    </w:p>
    <w:p w14:paraId="1296C39B"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3. La modalidad de selección del contratista y su justificación, incluyendo los fundamentos jurídicos. </w:t>
      </w:r>
    </w:p>
    <w:p w14:paraId="3CDAD6D8" w14:textId="77777777" w:rsidR="00D32067" w:rsidRPr="00D32067" w:rsidRDefault="00D32067" w:rsidP="00D32067">
      <w:pPr>
        <w:spacing w:after="0" w:line="240" w:lineRule="auto"/>
        <w:ind w:left="709" w:right="709"/>
        <w:jc w:val="both"/>
        <w:rPr>
          <w:rFonts w:ascii="Verdana" w:hAnsi="Verdana" w:cs="Arial"/>
          <w:sz w:val="20"/>
          <w:szCs w:val="20"/>
        </w:rPr>
      </w:pPr>
    </w:p>
    <w:p w14:paraId="3270E586"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4. </w:t>
      </w:r>
      <w:r w:rsidRPr="00D32067">
        <w:rPr>
          <w:rFonts w:ascii="Verdana" w:hAnsi="Verdana" w:cs="Arial"/>
          <w:i/>
          <w:iCs/>
          <w:sz w:val="20"/>
          <w:szCs w:val="20"/>
        </w:rPr>
        <w:t>El valor estimado del contrato y la justificación del mismo</w:t>
      </w:r>
      <w:r w:rsidRPr="00D32067">
        <w:rPr>
          <w:rFonts w:ascii="Verdana" w:hAnsi="Verdana" w:cs="Arial"/>
          <w:sz w:val="20"/>
          <w:szCs w:val="20"/>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0222357" w14:textId="77777777" w:rsidR="00D32067" w:rsidRPr="00D32067" w:rsidRDefault="00D32067" w:rsidP="00D32067">
      <w:pPr>
        <w:spacing w:after="0" w:line="240" w:lineRule="auto"/>
        <w:ind w:left="709" w:right="709"/>
        <w:jc w:val="both"/>
        <w:rPr>
          <w:rFonts w:ascii="Verdana" w:hAnsi="Verdana" w:cs="Arial"/>
          <w:sz w:val="20"/>
          <w:szCs w:val="20"/>
        </w:rPr>
      </w:pPr>
    </w:p>
    <w:p w14:paraId="28B29C65"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5. Los criterios para seleccionar la oferta más favorable. </w:t>
      </w:r>
    </w:p>
    <w:p w14:paraId="672695B9" w14:textId="77777777" w:rsidR="00D32067" w:rsidRPr="00D32067" w:rsidRDefault="00D32067" w:rsidP="00D32067">
      <w:pPr>
        <w:spacing w:after="0" w:line="240" w:lineRule="auto"/>
        <w:ind w:left="709" w:right="709"/>
        <w:jc w:val="both"/>
        <w:rPr>
          <w:rFonts w:ascii="Verdana" w:hAnsi="Verdana" w:cs="Arial"/>
          <w:sz w:val="20"/>
          <w:szCs w:val="20"/>
        </w:rPr>
      </w:pPr>
    </w:p>
    <w:p w14:paraId="4E4ABB8A"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6. El análisis de Riesgo y la forma de mitigarlo. </w:t>
      </w:r>
    </w:p>
    <w:p w14:paraId="2409751A" w14:textId="77777777" w:rsidR="00D32067" w:rsidRPr="00D32067" w:rsidRDefault="00D32067" w:rsidP="00D32067">
      <w:pPr>
        <w:spacing w:after="0" w:line="240" w:lineRule="auto"/>
        <w:ind w:left="709" w:right="709"/>
        <w:jc w:val="both"/>
        <w:rPr>
          <w:rFonts w:ascii="Verdana" w:hAnsi="Verdana" w:cs="Arial"/>
          <w:sz w:val="20"/>
          <w:szCs w:val="20"/>
        </w:rPr>
      </w:pPr>
    </w:p>
    <w:p w14:paraId="19DE235D"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7. Las garantías que la Entidad Estatal contempla exigir en el proceso de contratación. </w:t>
      </w:r>
    </w:p>
    <w:p w14:paraId="79FF741C" w14:textId="77777777" w:rsidR="00D32067" w:rsidRPr="00D32067" w:rsidRDefault="00D32067" w:rsidP="00D32067">
      <w:pPr>
        <w:spacing w:after="0" w:line="240" w:lineRule="auto"/>
        <w:ind w:left="709" w:right="709"/>
        <w:jc w:val="both"/>
        <w:rPr>
          <w:rFonts w:ascii="Verdana" w:hAnsi="Verdana" w:cs="Arial"/>
          <w:sz w:val="20"/>
          <w:szCs w:val="20"/>
        </w:rPr>
      </w:pPr>
    </w:p>
    <w:p w14:paraId="58164165"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 xml:space="preserve">8. La indicación de si el proceso de contratación está cobijado por un acuerdo comercial. </w:t>
      </w:r>
    </w:p>
    <w:p w14:paraId="68D796D5" w14:textId="77777777" w:rsidR="00D32067" w:rsidRPr="00D32067" w:rsidRDefault="00D32067" w:rsidP="00D32067">
      <w:pPr>
        <w:spacing w:after="0" w:line="240" w:lineRule="auto"/>
        <w:ind w:left="709" w:right="709"/>
        <w:jc w:val="both"/>
        <w:rPr>
          <w:rFonts w:ascii="Verdana" w:hAnsi="Verdana" w:cs="Arial"/>
          <w:sz w:val="20"/>
          <w:szCs w:val="20"/>
        </w:rPr>
      </w:pPr>
    </w:p>
    <w:p w14:paraId="31C24CBC" w14:textId="77777777" w:rsidR="00D32067" w:rsidRPr="00D32067" w:rsidRDefault="00D32067" w:rsidP="00D32067">
      <w:pPr>
        <w:spacing w:after="0" w:line="240" w:lineRule="auto"/>
        <w:ind w:left="709" w:right="709"/>
        <w:jc w:val="both"/>
        <w:rPr>
          <w:rFonts w:ascii="Verdana" w:hAnsi="Verdana" w:cs="Arial"/>
          <w:sz w:val="20"/>
          <w:szCs w:val="20"/>
        </w:rPr>
      </w:pPr>
      <w:r w:rsidRPr="00D32067">
        <w:rPr>
          <w:rFonts w:ascii="Verdana" w:hAnsi="Verdana" w:cs="Arial"/>
          <w:sz w:val="20"/>
          <w:szCs w:val="20"/>
        </w:rPr>
        <w:t>El presente artículo no es aplicable a la contratación por mínima cuantía. (Énfasis por fuera de texto)</w:t>
      </w:r>
    </w:p>
    <w:p w14:paraId="06069C98" w14:textId="77777777" w:rsidR="00D32067" w:rsidRPr="00D32067" w:rsidRDefault="00D32067" w:rsidP="00D32067">
      <w:pPr>
        <w:widowControl w:val="0"/>
        <w:tabs>
          <w:tab w:val="left" w:pos="1305"/>
        </w:tabs>
        <w:autoSpaceDE w:val="0"/>
        <w:autoSpaceDN w:val="0"/>
        <w:spacing w:after="0" w:line="276" w:lineRule="auto"/>
        <w:ind w:left="828" w:right="822"/>
        <w:rPr>
          <w:rFonts w:ascii="Verdana" w:eastAsia="Calibri" w:hAnsi="Verdana" w:cs="Arial"/>
          <w:lang w:val="es-MX"/>
        </w:rPr>
      </w:pPr>
    </w:p>
    <w:p w14:paraId="46B233F5" w14:textId="77777777" w:rsidR="00D32067" w:rsidRPr="00D32067" w:rsidRDefault="00D32067" w:rsidP="00D32067">
      <w:pPr>
        <w:spacing w:after="120" w:line="276" w:lineRule="auto"/>
        <w:ind w:firstLine="709"/>
        <w:jc w:val="both"/>
        <w:rPr>
          <w:rFonts w:ascii="Verdana" w:hAnsi="Verdana" w:cs="Arial"/>
        </w:rPr>
      </w:pPr>
      <w:bookmarkStart w:id="3" w:name="_Hlk54011351"/>
      <w:r w:rsidRPr="00D32067">
        <w:rPr>
          <w:rFonts w:ascii="Verdana" w:hAnsi="Verdana" w:cs="Arial"/>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w:t>
      </w:r>
      <w:r w:rsidRPr="00D32067">
        <w:rPr>
          <w:rFonts w:ascii="Verdana" w:hAnsi="Verdana" w:cs="Arial"/>
        </w:rPr>
        <w:lastRenderedPageBreak/>
        <w:t>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3"/>
    <w:p w14:paraId="3D801572" w14:textId="77777777" w:rsidR="00D32067" w:rsidRPr="00D32067" w:rsidRDefault="00D32067" w:rsidP="00D32067">
      <w:pPr>
        <w:spacing w:after="120" w:line="276" w:lineRule="auto"/>
        <w:ind w:firstLine="709"/>
        <w:jc w:val="both"/>
        <w:rPr>
          <w:rFonts w:ascii="Verdana" w:hAnsi="Verdana" w:cs="Arial"/>
        </w:rPr>
      </w:pPr>
      <w:r w:rsidRPr="00D32067">
        <w:rPr>
          <w:rFonts w:ascii="Verdana" w:hAnsi="Verdana" w:cs="Arial"/>
        </w:rPr>
        <w:t xml:space="preserve">Por ello, el hecho que las entidades cumplan con los elementos mínimos establecidos en la norma y aquellos adicionales que identifiquen en la etapa de planeación de los </w:t>
      </w:r>
      <w:r w:rsidRPr="00D32067">
        <w:rPr>
          <w:rFonts w:ascii="Verdana" w:eastAsia="Calibri" w:hAnsi="Verdana" w:cs="Arial"/>
          <w:bCs/>
          <w:lang w:val="es-ES_tradnl"/>
        </w:rPr>
        <w:t xml:space="preserve">procedimientos de contratación, permite que los contratos resultantes cuenten con el sustento técnico, económico y jurídico que incidirá </w:t>
      </w:r>
      <w:r w:rsidRPr="00D32067">
        <w:rPr>
          <w:rFonts w:ascii="Verdana" w:hAnsi="Verdana" w:cs="Arial"/>
        </w:rPr>
        <w:t>en una adecuada ejecución.</w:t>
      </w:r>
    </w:p>
    <w:p w14:paraId="75C38F47" w14:textId="77777777" w:rsidR="00D32067" w:rsidRPr="00D32067" w:rsidRDefault="00D32067" w:rsidP="00D32067">
      <w:pPr>
        <w:spacing w:after="120" w:line="276" w:lineRule="auto"/>
        <w:ind w:right="103" w:firstLine="708"/>
        <w:jc w:val="both"/>
        <w:rPr>
          <w:rFonts w:ascii="Verdana" w:hAnsi="Verdana" w:cs="Arial"/>
        </w:rPr>
      </w:pPr>
      <w:r w:rsidRPr="00D32067">
        <w:rPr>
          <w:rFonts w:ascii="Verdana" w:hAnsi="Verdana" w:cs="Arial"/>
        </w:rPr>
        <w:t>Mas allá del cumplimiento de la normativa, “los estudios y documentos previos son el soporte para elaborar el proyecto de pliegos, los pliegos de condiciones, y el contrato”</w:t>
      </w:r>
      <w:r w:rsidRPr="00D32067">
        <w:rPr>
          <w:rFonts w:ascii="Verdana" w:hAnsi="Verdana" w:cs="Arial"/>
          <w:vertAlign w:val="superscript"/>
        </w:rPr>
        <w:footnoteReference w:id="3"/>
      </w:r>
      <w:r w:rsidRPr="00D32067">
        <w:rPr>
          <w:rFonts w:ascii="Verdana" w:hAnsi="Verdana" w:cs="Aria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6A5C80F7" w14:textId="77777777" w:rsidR="00D32067" w:rsidRPr="00D32067" w:rsidRDefault="00D32067" w:rsidP="00D32067">
      <w:pPr>
        <w:spacing w:after="120" w:line="276" w:lineRule="auto"/>
        <w:ind w:right="105" w:firstLine="709"/>
        <w:jc w:val="both"/>
        <w:rPr>
          <w:rFonts w:ascii="Verdana" w:hAnsi="Verdana" w:cs="Arial"/>
        </w:rPr>
      </w:pPr>
      <w:bookmarkStart w:id="5" w:name="_Hlk54011438"/>
      <w:r w:rsidRPr="00D32067">
        <w:rPr>
          <w:rFonts w:ascii="Verdana" w:hAnsi="Verdana" w:cs="Aria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5"/>
      <w:r w:rsidRPr="00D32067">
        <w:rPr>
          <w:rFonts w:ascii="Verdana" w:hAnsi="Verdana" w:cs="Arial"/>
          <w:vertAlign w:val="superscript"/>
        </w:rPr>
        <w:footnoteReference w:id="4"/>
      </w:r>
      <w:r w:rsidRPr="00D32067">
        <w:rPr>
          <w:rFonts w:ascii="Verdana" w:hAnsi="Verdana" w:cs="Arial"/>
        </w:rPr>
        <w:t xml:space="preserve">. </w:t>
      </w:r>
    </w:p>
    <w:p w14:paraId="79CC6C67" w14:textId="77777777" w:rsidR="00D32067" w:rsidRPr="00D32067" w:rsidRDefault="00D32067" w:rsidP="00D32067">
      <w:pPr>
        <w:spacing w:after="120" w:line="276" w:lineRule="auto"/>
        <w:ind w:firstLine="708"/>
        <w:jc w:val="both"/>
        <w:rPr>
          <w:rFonts w:ascii="Verdana" w:eastAsia="Calibri" w:hAnsi="Verdana" w:cs="Arial"/>
          <w:bCs/>
          <w:lang w:val="es-ES_tradnl"/>
        </w:rPr>
      </w:pPr>
      <w:r w:rsidRPr="00D32067">
        <w:rPr>
          <w:rFonts w:ascii="Verdana" w:hAnsi="Verdana" w:cs="Arial"/>
        </w:rPr>
        <w:t xml:space="preserve">Por otra parte, los numerales 2 y 4 del artículo 2.2.1.1.2.1.1 del Decreto 1082 de 2015 exigen que en los estudios previos se determine el objeto a contratar con sus especificaciones, y se señale el valor estimado del contrato y </w:t>
      </w:r>
      <w:r w:rsidRPr="00D32067">
        <w:rPr>
          <w:rFonts w:ascii="Verdana" w:hAnsi="Verdana" w:cs="Arial"/>
        </w:rPr>
        <w:lastRenderedPageBreak/>
        <w:t xml:space="preserve">la justificación del mismo. </w:t>
      </w:r>
      <w:r w:rsidRPr="00D32067">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p>
    <w:p w14:paraId="3267A21B" w14:textId="77777777" w:rsidR="00D32067" w:rsidRPr="00D32067" w:rsidRDefault="00D32067" w:rsidP="00D32067">
      <w:pPr>
        <w:spacing w:after="120" w:line="276" w:lineRule="auto"/>
        <w:ind w:firstLine="708"/>
        <w:jc w:val="both"/>
        <w:rPr>
          <w:rFonts w:ascii="Verdana" w:eastAsia="Calibri" w:hAnsi="Verdana" w:cs="Arial"/>
          <w:bCs/>
          <w:lang w:val="es-ES_tradnl"/>
        </w:rPr>
      </w:pPr>
      <w:r w:rsidRPr="00D32067">
        <w:rPr>
          <w:rFonts w:ascii="Verdana" w:eastAsia="Calibri" w:hAnsi="Verdana" w:cs="Arial"/>
          <w:bCs/>
          <w:lang w:val="es-ES_tradnl"/>
        </w:rPr>
        <w:t xml:space="preserve">En este sentido, el artículo </w:t>
      </w:r>
      <w:bookmarkStart w:id="6" w:name="_Hlk36117416"/>
      <w:r w:rsidRPr="00D32067">
        <w:rPr>
          <w:rFonts w:ascii="Verdana" w:eastAsia="Calibri" w:hAnsi="Verdana" w:cs="Arial"/>
          <w:bCs/>
          <w:lang w:val="es-ES_tradnl"/>
        </w:rPr>
        <w:t>2.2.1.1.1.6.1 del Decreto 1082 de 2015</w:t>
      </w:r>
      <w:bookmarkEnd w:id="6"/>
      <w:r w:rsidRPr="00D32067">
        <w:rPr>
          <w:rFonts w:ascii="Verdana" w:eastAsia="Calibri" w:hAnsi="Verdana"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CC2B4DC" w14:textId="77777777" w:rsidR="00D32067" w:rsidRPr="00D32067" w:rsidRDefault="00D32067" w:rsidP="00D32067">
      <w:pPr>
        <w:spacing w:after="120" w:line="276" w:lineRule="auto"/>
        <w:ind w:firstLine="709"/>
        <w:jc w:val="both"/>
        <w:rPr>
          <w:rFonts w:ascii="Verdana" w:eastAsia="Calibri" w:hAnsi="Verdana" w:cs="Arial"/>
          <w:lang w:val="es-ES"/>
        </w:rPr>
      </w:pPr>
      <w:r w:rsidRPr="00D32067">
        <w:rPr>
          <w:rFonts w:ascii="Verdana" w:eastAsia="Calibri" w:hAnsi="Verdana" w:cs="Arial"/>
          <w:lang w:val="es-ES"/>
        </w:rPr>
        <w:t xml:space="preserve">De acuerdo con la norma citada, </w:t>
      </w:r>
      <w:bookmarkStart w:id="7" w:name="_Hlk36140682"/>
      <w:r w:rsidRPr="00D32067">
        <w:rPr>
          <w:rFonts w:ascii="Verdana" w:eastAsia="Calibri" w:hAnsi="Verdana" w:cs="Arial"/>
          <w:lang w:val="es-ES"/>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4A12799" w14:textId="77777777" w:rsidR="00D32067" w:rsidRPr="00D32067" w:rsidRDefault="00D32067" w:rsidP="00D32067">
      <w:pPr>
        <w:spacing w:after="120" w:line="276" w:lineRule="auto"/>
        <w:ind w:firstLine="709"/>
        <w:jc w:val="both"/>
        <w:rPr>
          <w:rFonts w:ascii="Verdana" w:eastAsia="Calibri" w:hAnsi="Verdana" w:cs="Arial"/>
          <w:bCs/>
          <w:lang w:val="es-ES_tradnl"/>
        </w:rPr>
      </w:pPr>
      <w:r w:rsidRPr="00D32067">
        <w:rPr>
          <w:rFonts w:ascii="Verdana" w:eastAsia="Calibri" w:hAnsi="Verdana" w:cs="Arial"/>
          <w:bCs/>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57903F5" w14:textId="77777777" w:rsidR="00D32067" w:rsidRPr="00D32067" w:rsidRDefault="00D32067" w:rsidP="00D32067">
      <w:pPr>
        <w:spacing w:after="120" w:line="276" w:lineRule="auto"/>
        <w:ind w:firstLine="709"/>
        <w:jc w:val="both"/>
        <w:rPr>
          <w:rFonts w:ascii="Verdana" w:eastAsia="Calibri" w:hAnsi="Verdana" w:cs="Arial"/>
          <w:lang w:val="es-ES"/>
        </w:rPr>
      </w:pPr>
      <w:r w:rsidRPr="00D32067">
        <w:rPr>
          <w:rFonts w:ascii="Verdana" w:eastAsia="Calibri" w:hAnsi="Verdana" w:cs="Arial"/>
          <w:lang w:val="es-ES"/>
        </w:rPr>
        <w:t xml:space="preserve">Dicho análisis facilita tanto el conocimiento del sector, desde una perspectiva multidisciplinaria, como de los proveedores disponibles en el </w:t>
      </w:r>
      <w:r w:rsidRPr="00D32067">
        <w:rPr>
          <w:rFonts w:ascii="Verdana" w:eastAsia="Calibri" w:hAnsi="Verdana" w:cs="Arial"/>
          <w:lang w:val="es-ES"/>
        </w:rPr>
        <w:lastRenderedPageBreak/>
        <w:t xml:space="preserve">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E998CA4" w14:textId="77777777" w:rsidR="00D32067" w:rsidRPr="00D32067" w:rsidRDefault="00D32067" w:rsidP="00D32067">
      <w:pPr>
        <w:spacing w:after="120" w:line="276" w:lineRule="auto"/>
        <w:ind w:firstLine="709"/>
        <w:jc w:val="both"/>
        <w:rPr>
          <w:rFonts w:ascii="Verdana" w:eastAsia="Calibri" w:hAnsi="Verdana" w:cs="Arial"/>
          <w:bCs/>
          <w:lang w:val="es-ES_tradnl"/>
        </w:rPr>
      </w:pPr>
      <w:r w:rsidRPr="00D32067">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D32067">
        <w:rPr>
          <w:rFonts w:ascii="Verdana" w:hAnsi="Verdana" w:cs="Arial"/>
          <w:lang w:eastAsia="es-CO"/>
        </w:rPr>
        <w:t xml:space="preserve">son autónomas para estructurarlo, para lo cual deberán cumplir lo dispuesto en el artículo </w:t>
      </w:r>
      <w:r w:rsidRPr="00D32067">
        <w:rPr>
          <w:rFonts w:ascii="Verdana" w:eastAsia="Calibri" w:hAnsi="Verdana" w:cs="Arial"/>
          <w:bCs/>
          <w:lang w:val="es-ES_tradnl"/>
        </w:rPr>
        <w:t xml:space="preserve">2.2.1.1.1.6.1 del Decreto 1082 de 2015 y realizar un análisis integral de planeación que </w:t>
      </w:r>
      <w:r w:rsidRPr="00D32067">
        <w:rPr>
          <w:rFonts w:ascii="Verdana" w:hAnsi="Verdana" w:cs="Arial"/>
        </w:rPr>
        <w:t xml:space="preserve">sirva de sustento a la decisión de </w:t>
      </w:r>
      <w:r w:rsidRPr="00D32067">
        <w:rPr>
          <w:rFonts w:ascii="Verdana" w:hAnsi="Verdana" w:cs="Arial"/>
          <w:bCs/>
          <w:lang w:val="es-ES_tradnl"/>
        </w:rPr>
        <w:t>realizar un proceso de contratación.</w:t>
      </w:r>
    </w:p>
    <w:bookmarkEnd w:id="7"/>
    <w:p w14:paraId="43B56A16" w14:textId="77777777" w:rsidR="00D32067" w:rsidRPr="00D32067" w:rsidRDefault="00D32067" w:rsidP="00D32067">
      <w:pPr>
        <w:spacing w:after="120" w:line="276" w:lineRule="auto"/>
        <w:ind w:firstLine="709"/>
        <w:jc w:val="both"/>
        <w:rPr>
          <w:rFonts w:ascii="Verdana" w:eastAsia="Calibri" w:hAnsi="Verdana" w:cs="Arial"/>
          <w:bCs/>
          <w:lang w:val="es-ES"/>
        </w:rPr>
      </w:pPr>
      <w:r w:rsidRPr="00D32067">
        <w:rPr>
          <w:rFonts w:ascii="Verdana" w:eastAsia="Calibri" w:hAnsi="Verdana" w:cs="Arial"/>
          <w:bCs/>
          <w:lang w:val="es-ES_tradnl"/>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D32067">
        <w:rPr>
          <w:rFonts w:ascii="Verdana" w:eastAsia="Calibri" w:hAnsi="Verdana" w:cs="Arial"/>
          <w:bCs/>
          <w:vertAlign w:val="superscript"/>
          <w:lang w:val="es-ES_tradnl"/>
        </w:rPr>
        <w:footnoteReference w:id="5"/>
      </w:r>
      <w:r w:rsidRPr="00D32067">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D32067">
        <w:rPr>
          <w:rFonts w:ascii="Verdana" w:eastAsia="Calibri" w:hAnsi="Verdana" w:cs="Arial"/>
          <w:bCs/>
          <w:lang w:val="es-ES"/>
        </w:rPr>
        <w:t xml:space="preserve"> recomendaciones generales por lo que no debe aplicarse de manera mecánica, pues la profundidad del </w:t>
      </w:r>
      <w:r w:rsidRPr="00D32067">
        <w:rPr>
          <w:rFonts w:ascii="Verdana" w:eastAsia="Calibri" w:hAnsi="Verdana" w:cs="Arial"/>
          <w:bCs/>
          <w:lang w:val="es-ES"/>
        </w:rPr>
        <w:lastRenderedPageBreak/>
        <w:t xml:space="preserve">estudio del sector depende de la complejidad y particularidades de cada proceso de contratación. </w:t>
      </w:r>
    </w:p>
    <w:p w14:paraId="21B3A729" w14:textId="77777777" w:rsidR="00D32067" w:rsidRPr="00D32067" w:rsidRDefault="00D32067" w:rsidP="00D32067">
      <w:pPr>
        <w:spacing w:after="120" w:line="276" w:lineRule="auto"/>
        <w:ind w:firstLine="709"/>
        <w:jc w:val="both"/>
        <w:rPr>
          <w:rFonts w:ascii="Verdana" w:eastAsia="Calibri" w:hAnsi="Verdana" w:cs="Arial"/>
          <w:bCs/>
          <w:lang w:val="es-ES_tradnl"/>
        </w:rPr>
      </w:pPr>
      <w:r w:rsidRPr="00D32067">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4208938" w14:textId="77777777" w:rsidR="00D32067" w:rsidRPr="00D32067" w:rsidRDefault="00D32067" w:rsidP="00D32067">
      <w:pPr>
        <w:spacing w:after="120" w:line="276" w:lineRule="auto"/>
        <w:ind w:firstLine="709"/>
        <w:jc w:val="both"/>
        <w:rPr>
          <w:rFonts w:ascii="Verdana" w:eastAsia="Calibri" w:hAnsi="Verdana" w:cs="Arial"/>
          <w:bCs/>
          <w:lang w:val="es-ES_tradnl"/>
        </w:rPr>
      </w:pPr>
      <w:r w:rsidRPr="00D32067">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D32067">
        <w:rPr>
          <w:rFonts w:ascii="Verdana" w:eastAsia="Calibri" w:hAnsi="Verdana"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D32067">
        <w:rPr>
          <w:rFonts w:ascii="Verdana" w:eastAsia="Arial MT" w:hAnsi="Verdana" w:cs="Arial"/>
          <w:lang w:val="es-ES"/>
        </w:rPr>
        <w:t>desarrolladas por esta Agencia en el marco del modelo de abastecimiento estratégico</w:t>
      </w:r>
      <w:r w:rsidRPr="00D32067">
        <w:rPr>
          <w:rFonts w:ascii="Verdana" w:eastAsia="Arial MT" w:hAnsi="Verdana" w:cs="Arial"/>
          <w:vertAlign w:val="superscript"/>
          <w:lang w:val="es-ES"/>
        </w:rPr>
        <w:footnoteReference w:id="6"/>
      </w:r>
      <w:r w:rsidRPr="00D32067">
        <w:rPr>
          <w:rFonts w:ascii="Verdana" w:eastAsia="Arial MT" w:hAnsi="Verdana" w:cs="Arial"/>
          <w:lang w:val="es-ES"/>
        </w:rPr>
        <w:t xml:space="preserve">. </w:t>
      </w:r>
    </w:p>
    <w:p w14:paraId="6F3CDB18" w14:textId="77777777" w:rsidR="00D32067" w:rsidRPr="00D32067" w:rsidRDefault="00D32067" w:rsidP="00D32067">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Por su parte, según la Guía, el </w:t>
      </w:r>
      <w:r w:rsidRPr="00D32067">
        <w:rPr>
          <w:rFonts w:ascii="Verdana" w:eastAsia="Calibri" w:hAnsi="Verdana" w:cs="Arial"/>
          <w:i/>
          <w:iCs/>
          <w:color w:val="000000" w:themeColor="text1"/>
          <w:lang w:val="es-ES"/>
        </w:rPr>
        <w:t>estudio de la oferta</w:t>
      </w:r>
      <w:r w:rsidRPr="00D32067">
        <w:rPr>
          <w:rFonts w:ascii="Verdana" w:eastAsia="Calibri" w:hAnsi="Verdana" w:cs="Arial"/>
          <w:color w:val="000000" w:themeColor="text1"/>
          <w:lang w:val="es-ES"/>
        </w:rPr>
        <w:t xml:space="preserve"> tiene como objetivo </w:t>
      </w:r>
      <w:r w:rsidRPr="00D32067">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D32067">
        <w:rPr>
          <w:rFonts w:ascii="Verdana" w:eastAsia="Calibri" w:hAnsi="Verdana" w:cs="Arial"/>
          <w:color w:val="000000" w:themeColor="text1"/>
          <w:lang w:val="es-ES"/>
        </w:rPr>
        <w:t xml:space="preserve">. En 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ii) “¿A quién se va a comprar?”. En relación con la primera pregunta, la Guía señala que “para la Entidad Estatal es importante conocer, entre otras, el proceso de producción, distribución y entrega de los bienes o servicios que pretende adquirir, así como los costos </w:t>
      </w:r>
      <w:r w:rsidRPr="00D32067">
        <w:rPr>
          <w:rFonts w:ascii="Verdana" w:eastAsia="Calibri" w:hAnsi="Verdana" w:cs="Arial"/>
          <w:color w:val="000000" w:themeColor="text1"/>
          <w:lang w:val="es-ES"/>
        </w:rPr>
        <w:lastRenderedPageBreak/>
        <w:t xml:space="preserve">asociados a tales procesos, cuáles son las formas de distribución y entrega de los bienes o suministros del servicio, y demás criterios que apliquen”. </w:t>
      </w:r>
    </w:p>
    <w:p w14:paraId="0CAE18F0" w14:textId="77777777" w:rsidR="00D32067" w:rsidRPr="00D32067" w:rsidRDefault="00D32067" w:rsidP="00D32067">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Para estos efectos, se recomienda a la entidad diseñar e implementar escenarios y procedimientos de consulta de información abiertos e incluyentes con el mercado, en los cuales se defina qué información, cuándo, por qué medio y a quienes se solicitará.</w:t>
      </w:r>
      <w:bookmarkStart w:id="8" w:name="_Hlk78204338"/>
      <w:r w:rsidRPr="00D32067">
        <w:rPr>
          <w:rFonts w:ascii="Verdana" w:eastAsia="Calibri" w:hAnsi="Verdana" w:cs="Arial"/>
          <w:color w:val="000000" w:themeColor="text1"/>
          <w:lang w:val="es-ES"/>
        </w:rPr>
        <w:t xml:space="preserve"> La Guía</w:t>
      </w:r>
      <w:r w:rsidRPr="00D32067">
        <w:rPr>
          <w:rFonts w:ascii="Verdana" w:eastAsia="Calibri" w:hAnsi="Verdana" w:cs="Arial"/>
          <w:color w:val="000000" w:themeColor="text1"/>
        </w:rPr>
        <w:t xml:space="preserve"> indica que </w:t>
      </w:r>
      <w:r w:rsidRPr="00D32067">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Pr="00D32067">
        <w:rPr>
          <w:rFonts w:ascii="Verdana" w:eastAsia="Calibri" w:hAnsi="Verdana" w:cs="Arial"/>
          <w:color w:val="000000" w:themeColor="text1"/>
        </w:rPr>
        <w:t>.</w:t>
      </w:r>
      <w:bookmarkEnd w:id="8"/>
      <w:r w:rsidRPr="00D32067">
        <w:rPr>
          <w:rFonts w:ascii="Verdana" w:eastAsia="Calibri" w:hAnsi="Verdana" w:cs="Arial"/>
          <w:color w:val="000000" w:themeColor="text1"/>
        </w:rPr>
        <w:t xml:space="preserve">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0DFF745A" w14:textId="77777777" w:rsidR="00D32067" w:rsidRPr="00D32067" w:rsidRDefault="00D32067" w:rsidP="00D32067">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Por último, el estudio del mercado permite comprender la dinámica de los precios y establecer el presupuesto oficial de la contratación.  </w:t>
      </w:r>
      <w:r w:rsidRPr="00D32067">
        <w:rPr>
          <w:rFonts w:ascii="Verdana" w:eastAsia="Calibri" w:hAnsi="Verdana" w:cs="Arial"/>
          <w:lang w:val="es-ES"/>
        </w:rPr>
        <w:t xml:space="preserve">De esta forma, se tiene que, la Guía de Elaboración de Estudios del Sector en el numeral 1.3.4, propone a las Entidades Estatales los siguientes mecanismos para elaborar el estudio de precios de mercado: </w:t>
      </w:r>
    </w:p>
    <w:p w14:paraId="1C1F46E9" w14:textId="77777777" w:rsidR="00D32067" w:rsidRPr="00D32067" w:rsidRDefault="00D32067" w:rsidP="00D32067">
      <w:pPr>
        <w:spacing w:after="0" w:line="240" w:lineRule="auto"/>
        <w:ind w:left="720"/>
        <w:contextualSpacing/>
        <w:rPr>
          <w:rFonts w:ascii="Verdana" w:eastAsia="Calibri" w:hAnsi="Verdana" w:cs="Arial"/>
          <w:lang w:val="es-ES"/>
        </w:rPr>
      </w:pPr>
    </w:p>
    <w:p w14:paraId="76F0248B" w14:textId="77777777" w:rsidR="00D32067" w:rsidRPr="00D32067" w:rsidRDefault="00D32067" w:rsidP="00D32067">
      <w:pPr>
        <w:numPr>
          <w:ilvl w:val="0"/>
          <w:numId w:val="16"/>
        </w:numPr>
        <w:spacing w:after="0" w:line="240" w:lineRule="auto"/>
        <w:ind w:left="1072" w:right="618"/>
        <w:contextualSpacing/>
        <w:jc w:val="both"/>
        <w:rPr>
          <w:rFonts w:ascii="Verdana" w:eastAsia="Calibri" w:hAnsi="Verdana" w:cs="Arial"/>
          <w:sz w:val="20"/>
          <w:szCs w:val="20"/>
          <w:lang w:val="es-ES"/>
        </w:rPr>
      </w:pPr>
      <w:bookmarkStart w:id="9" w:name="_Hlk176860475"/>
      <w:r w:rsidRPr="00D32067">
        <w:rPr>
          <w:rFonts w:ascii="Verdana" w:eastAsia="Calibri" w:hAnsi="Verdana" w:cs="Arial"/>
          <w:sz w:val="20"/>
          <w:szCs w:val="20"/>
          <w:lang w:val="es-ES"/>
        </w:rPr>
        <w:t>Revisión de precios por solicitud de cotizaciones</w:t>
      </w:r>
      <w:bookmarkEnd w:id="9"/>
      <w:r w:rsidRPr="00D32067">
        <w:rPr>
          <w:rFonts w:ascii="Verdana" w:eastAsia="Calibri" w:hAnsi="Verdana" w:cs="Arial"/>
          <w:sz w:val="20"/>
          <w:szCs w:val="20"/>
          <w:lang w:val="es-ES"/>
        </w:rPr>
        <w:t>: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w:t>
      </w:r>
    </w:p>
    <w:p w14:paraId="75B6E8C5" w14:textId="77777777" w:rsidR="00D32067" w:rsidRPr="00D32067" w:rsidRDefault="00D32067" w:rsidP="00D32067">
      <w:pPr>
        <w:spacing w:after="0" w:line="240" w:lineRule="auto"/>
        <w:ind w:left="1072" w:right="618"/>
        <w:contextualSpacing/>
        <w:jc w:val="both"/>
        <w:rPr>
          <w:rFonts w:ascii="Verdana" w:eastAsia="Calibri" w:hAnsi="Verdana" w:cs="Arial"/>
          <w:sz w:val="20"/>
          <w:szCs w:val="20"/>
          <w:lang w:val="es-ES"/>
        </w:rPr>
      </w:pPr>
    </w:p>
    <w:p w14:paraId="050CCC93" w14:textId="77777777" w:rsidR="00D32067" w:rsidRPr="00D32067" w:rsidRDefault="00D32067" w:rsidP="00D32067">
      <w:pPr>
        <w:numPr>
          <w:ilvl w:val="0"/>
          <w:numId w:val="16"/>
        </w:numPr>
        <w:spacing w:after="0" w:line="240" w:lineRule="auto"/>
        <w:ind w:left="1072" w:right="618"/>
        <w:contextualSpacing/>
        <w:jc w:val="both"/>
        <w:rPr>
          <w:rFonts w:ascii="Verdana" w:eastAsia="Calibri" w:hAnsi="Verdana" w:cs="Arial"/>
          <w:sz w:val="20"/>
          <w:szCs w:val="20"/>
          <w:lang w:val="es-ES"/>
        </w:rPr>
      </w:pPr>
      <w:r w:rsidRPr="00D32067">
        <w:rPr>
          <w:rFonts w:ascii="Verdana" w:eastAsia="Calibri" w:hAnsi="Verdana" w:cs="Arial"/>
          <w:sz w:val="20"/>
          <w:szCs w:val="20"/>
          <w:lang w:val="es-ES"/>
        </w:rPr>
        <w:t>Al recibir las cotizaciones, debe verificarse la ocurrencia de circunstancias que eventualmente pueden distorsionar los precios del mercado, como ofertas especiales de almacenes de cadena, fenómenos de escasez o abundancia del producto, entre otros aspectos.</w:t>
      </w:r>
    </w:p>
    <w:p w14:paraId="5710D262" w14:textId="77777777" w:rsidR="00D32067" w:rsidRPr="00D32067" w:rsidRDefault="00D32067" w:rsidP="00D32067">
      <w:pPr>
        <w:spacing w:after="0" w:line="240" w:lineRule="auto"/>
        <w:ind w:left="1072" w:right="618"/>
        <w:contextualSpacing/>
        <w:jc w:val="both"/>
        <w:rPr>
          <w:rFonts w:ascii="Verdana" w:eastAsia="Calibri" w:hAnsi="Verdana" w:cs="Arial"/>
          <w:sz w:val="20"/>
          <w:szCs w:val="20"/>
          <w:lang w:val="es-ES"/>
        </w:rPr>
      </w:pPr>
    </w:p>
    <w:p w14:paraId="3B63CF2C" w14:textId="77777777" w:rsidR="00D32067" w:rsidRPr="00D32067" w:rsidRDefault="00D32067" w:rsidP="00D32067">
      <w:pPr>
        <w:numPr>
          <w:ilvl w:val="0"/>
          <w:numId w:val="16"/>
        </w:numPr>
        <w:spacing w:after="0" w:line="240" w:lineRule="auto"/>
        <w:ind w:left="1072" w:right="618"/>
        <w:contextualSpacing/>
        <w:jc w:val="both"/>
        <w:rPr>
          <w:rFonts w:ascii="Verdana" w:eastAsia="Calibri" w:hAnsi="Verdana" w:cs="Arial"/>
          <w:sz w:val="20"/>
          <w:szCs w:val="20"/>
          <w:lang w:val="es-ES"/>
        </w:rPr>
      </w:pPr>
      <w:r w:rsidRPr="00D32067">
        <w:rPr>
          <w:rFonts w:ascii="Verdana" w:eastAsia="Calibri" w:hAnsi="Verdana" w:cs="Arial"/>
          <w:sz w:val="20"/>
          <w:szCs w:val="20"/>
          <w:lang w:val="es-ES"/>
        </w:rPr>
        <w:t>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7F0F8F17" w14:textId="77777777" w:rsidR="00D32067" w:rsidRPr="00D32067" w:rsidRDefault="00D32067" w:rsidP="00D32067">
      <w:pPr>
        <w:spacing w:after="0" w:line="240" w:lineRule="auto"/>
        <w:ind w:left="1072" w:right="618"/>
        <w:contextualSpacing/>
        <w:jc w:val="both"/>
        <w:rPr>
          <w:rFonts w:ascii="Verdana" w:eastAsia="Calibri" w:hAnsi="Verdana" w:cs="Arial"/>
          <w:sz w:val="20"/>
          <w:szCs w:val="20"/>
          <w:lang w:val="es-ES"/>
        </w:rPr>
      </w:pPr>
    </w:p>
    <w:p w14:paraId="12F169D5" w14:textId="77777777" w:rsidR="00D32067" w:rsidRPr="00D32067" w:rsidRDefault="00D32067" w:rsidP="00D32067">
      <w:pPr>
        <w:numPr>
          <w:ilvl w:val="0"/>
          <w:numId w:val="16"/>
        </w:numPr>
        <w:spacing w:after="0" w:line="240" w:lineRule="auto"/>
        <w:ind w:left="1072" w:right="618"/>
        <w:contextualSpacing/>
        <w:jc w:val="both"/>
        <w:rPr>
          <w:rFonts w:ascii="Verdana" w:eastAsia="Calibri" w:hAnsi="Verdana" w:cs="Arial"/>
          <w:sz w:val="20"/>
          <w:szCs w:val="20"/>
          <w:lang w:val="es-ES"/>
        </w:rPr>
      </w:pPr>
      <w:r w:rsidRPr="00D32067">
        <w:rPr>
          <w:rFonts w:ascii="Verdana" w:eastAsia="Calibri" w:hAnsi="Verdana" w:cs="Arial"/>
          <w:sz w:val="20"/>
          <w:szCs w:val="20"/>
          <w:lang w:val="es-ES"/>
        </w:rPr>
        <w:t>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5275C940" w14:textId="77777777" w:rsidR="00D32067" w:rsidRPr="00D32067" w:rsidRDefault="00D32067" w:rsidP="00D32067">
      <w:pPr>
        <w:spacing w:after="0" w:line="276" w:lineRule="auto"/>
        <w:ind w:firstLine="709"/>
        <w:jc w:val="both"/>
        <w:rPr>
          <w:rFonts w:ascii="Verdana" w:eastAsia="Calibri" w:hAnsi="Verdana" w:cs="Arial"/>
          <w:color w:val="000000" w:themeColor="text1"/>
          <w:lang w:val="es-ES"/>
        </w:rPr>
      </w:pPr>
    </w:p>
    <w:p w14:paraId="0BB670EC" w14:textId="77777777" w:rsidR="00D32067" w:rsidRPr="00D32067" w:rsidRDefault="00D32067" w:rsidP="00D32067">
      <w:pPr>
        <w:spacing w:after="120" w:line="276" w:lineRule="auto"/>
        <w:ind w:firstLine="709"/>
        <w:jc w:val="both"/>
        <w:rPr>
          <w:rFonts w:ascii="Verdana" w:eastAsia="Calibri" w:hAnsi="Verdana" w:cs="Arial"/>
          <w:color w:val="000000" w:themeColor="text1"/>
          <w:lang w:val="es-ES"/>
        </w:rPr>
      </w:pPr>
      <w:bookmarkStart w:id="10" w:name="_Hlk139466471"/>
      <w:r w:rsidRPr="00D32067">
        <w:rPr>
          <w:rFonts w:ascii="Verdana" w:eastAsia="Calibri" w:hAnsi="Verdana" w:cs="Arial"/>
          <w:color w:val="000000" w:themeColor="text1"/>
          <w:lang w:val="es-ES"/>
        </w:rPr>
        <w:t xml:space="preserve">Como se observa, la “Guía de Elaboración de Estudios del Sector” recomienda como mecanismo para la elaboración de </w:t>
      </w:r>
      <w:r w:rsidRPr="00D32067">
        <w:rPr>
          <w:rFonts w:ascii="Verdana" w:eastAsia="Calibri" w:hAnsi="Verdana" w:cs="Arial"/>
          <w:i/>
          <w:iCs/>
          <w:color w:val="000000" w:themeColor="text1"/>
          <w:lang w:val="es-ES"/>
        </w:rPr>
        <w:t>estudios del mercado</w:t>
      </w:r>
      <w:r w:rsidRPr="00D32067">
        <w:rPr>
          <w:rFonts w:ascii="Verdana" w:eastAsia="Calibri" w:hAnsi="Verdana" w:cs="Arial"/>
          <w:color w:val="000000" w:themeColor="text1"/>
          <w:lang w:val="es-ES"/>
        </w:rPr>
        <w:t xml:space="preserve">, que sirvan para entender la dinámica de los precios y establecer el presupuesto oficial de la contratación, </w:t>
      </w:r>
      <w:r w:rsidRPr="00D32067">
        <w:rPr>
          <w:rFonts w:ascii="Verdana" w:eastAsia="Calibri" w:hAnsi="Verdana" w:cs="Arial"/>
          <w:i/>
          <w:color w:val="000000" w:themeColor="text1"/>
          <w:lang w:val="es-ES"/>
        </w:rPr>
        <w:t>requerir a los potenciales proveedores</w:t>
      </w:r>
      <w:r w:rsidRPr="00D32067">
        <w:rPr>
          <w:rFonts w:ascii="Verdana" w:eastAsia="Calibri" w:hAnsi="Verdana" w:cs="Arial"/>
          <w:color w:val="000000" w:themeColor="text1"/>
          <w:lang w:val="es-ES"/>
        </w:rPr>
        <w:t xml:space="preserve"> a fin de que remitan la información necesaria para determinar diversos aspectos de los bienes o servicios a contratar, entre ellos su valor, especificaciones técnicas, el plazo, entre otra información relevante. </w:t>
      </w:r>
      <w:bookmarkEnd w:id="10"/>
    </w:p>
    <w:p w14:paraId="7116CAF3" w14:textId="77777777" w:rsidR="00D32067" w:rsidRPr="00D32067" w:rsidRDefault="00D32067" w:rsidP="00D32067">
      <w:pPr>
        <w:spacing w:after="120" w:line="276" w:lineRule="auto"/>
        <w:ind w:firstLine="709"/>
        <w:jc w:val="both"/>
        <w:rPr>
          <w:rFonts w:ascii="Verdana" w:eastAsia="Calibri" w:hAnsi="Verdana" w:cs="Arial"/>
          <w:color w:val="000000" w:themeColor="text1"/>
          <w:lang w:val="es-ES"/>
        </w:rPr>
      </w:pPr>
      <w:r w:rsidRPr="00D32067">
        <w:rPr>
          <w:rFonts w:ascii="Verdana" w:eastAsia="Calibri" w:hAnsi="Verdana" w:cs="Arial"/>
          <w:color w:val="000000" w:themeColor="text1"/>
          <w:lang w:val="es-ES"/>
        </w:rPr>
        <w:t xml:space="preserve">Así mismo, establece como mecanismo la </w:t>
      </w:r>
      <w:r w:rsidRPr="00D32067">
        <w:rPr>
          <w:rFonts w:ascii="Verdana" w:eastAsia="Calibri" w:hAnsi="Verdana" w:cs="Arial"/>
          <w:i/>
          <w:color w:val="000000" w:themeColor="text1"/>
          <w:lang w:val="es-ES"/>
        </w:rPr>
        <w:t>revisión de precios históricos</w:t>
      </w:r>
      <w:r w:rsidRPr="00D32067">
        <w:rPr>
          <w:rFonts w:ascii="Verdana" w:eastAsia="Calibri" w:hAnsi="Verdana" w:cs="Arial"/>
          <w:color w:val="000000" w:themeColor="text1"/>
          <w:lang w:val="es-ES"/>
        </w:rPr>
        <w:t>, al que hace referencia en su consulta, en la cual</w:t>
      </w:r>
      <w:r w:rsidRPr="00D32067">
        <w:rPr>
          <w:rFonts w:ascii="Verdana" w:eastAsia="Calibri" w:hAnsi="Verdana" w:cs="Arial"/>
          <w:color w:val="000000" w:themeColor="text1"/>
        </w:rPr>
        <w:t xml:space="preserve"> se sugiere verificar la variación de los precios históricos derivados del Índice de Precios al Consumidor (IPC) en cada año, analizando de manera detallada las fluctuaciones económicas que hayan influido en la evolución de los precios, tales como cambios en la oferta y demanda, factores externos (como crisis económicas o alteraciones en la cadena de suministro) y políticas monetarias que hayan afectado la inflación. Además, se debe examinar si estos cambios han tenido un impacto significativo en el comercio del bien o servicio a contratar, para asegurar que la revisión sea adecuada y pertinente. Es fundamental que las características del bien o servicio sean equivalentes en cada contratación, garantizando que no existan alteraciones en las especificaciones, calidad o cantidad que pudieran distorsionar la comparación de precios. </w:t>
      </w:r>
    </w:p>
    <w:p w14:paraId="1274B57B" w14:textId="77777777" w:rsidR="00D32067" w:rsidRPr="00D32067" w:rsidRDefault="00D32067" w:rsidP="00D32067">
      <w:pPr>
        <w:spacing w:after="120" w:line="276" w:lineRule="auto"/>
        <w:ind w:firstLine="709"/>
        <w:jc w:val="both"/>
        <w:rPr>
          <w:rFonts w:ascii="Verdana" w:hAnsi="Verdana" w:cs="Arial"/>
          <w:lang w:eastAsia="es-CO"/>
        </w:rPr>
      </w:pPr>
      <w:r w:rsidRPr="00D32067">
        <w:rPr>
          <w:rFonts w:ascii="Verdana" w:eastAsia="Calibri" w:hAnsi="Verdana" w:cs="Arial"/>
          <w:color w:val="000000" w:themeColor="text1"/>
          <w:lang w:val="es-ES"/>
        </w:rPr>
        <w:t xml:space="preserve">En este contexto, es pertinente precisar que los mecanismos señalados para realizar el estudio del mercado no están determinados por la ley o el reglamento, por lo que no existen lineamientos obligatorios para su estructuración. </w:t>
      </w:r>
      <w:r w:rsidRPr="00D32067">
        <w:rPr>
          <w:rFonts w:ascii="Verdana" w:hAnsi="Verdana" w:cs="Arial"/>
          <w:lang w:eastAsia="es-CO"/>
        </w:rPr>
        <w:t xml:space="preserve">Como se mencionó, la </w:t>
      </w:r>
      <w:r w:rsidRPr="00D32067">
        <w:rPr>
          <w:rFonts w:ascii="Verdana" w:eastAsia="Calibri" w:hAnsi="Verdana" w:cs="Arial"/>
          <w:bCs/>
          <w:lang w:val="es-ES_tradnl"/>
        </w:rPr>
        <w:t>“Guía de Elaboración del Estudio del Sector” desarrolla recomendaciones y buenas prácticas que servirán a las entidades para entender el mercado del bien o servicio a contratar</w:t>
      </w:r>
      <w:r w:rsidRPr="00D32067">
        <w:rPr>
          <w:rFonts w:ascii="Verdana" w:eastAsia="Calibri" w:hAnsi="Verdana" w:cs="Arial"/>
          <w:color w:val="000000" w:themeColor="text1"/>
          <w:lang w:val="es-ES"/>
        </w:rPr>
        <w:t xml:space="preserve">, por tanto, </w:t>
      </w:r>
      <w:r w:rsidRPr="00D32067">
        <w:rPr>
          <w:rFonts w:ascii="Verdana" w:eastAsia="Calibri" w:hAnsi="Verdana" w:cs="Arial"/>
          <w:bCs/>
          <w:lang w:val="es-ES_tradnl"/>
        </w:rPr>
        <w:t xml:space="preserve">las entidades </w:t>
      </w:r>
      <w:r w:rsidRPr="00D32067">
        <w:rPr>
          <w:rFonts w:ascii="Verdana" w:hAnsi="Verdana" w:cs="Arial"/>
          <w:lang w:eastAsia="es-CO"/>
        </w:rPr>
        <w:t xml:space="preserve">son autónomas para establecer la forma en la cual se recopilará la información que sustente el análisis del sector y de determinar el mecanismo para la estructuración del presupuesto oficial. </w:t>
      </w:r>
    </w:p>
    <w:p w14:paraId="2262E410" w14:textId="77777777" w:rsidR="00D32067" w:rsidRPr="00D32067" w:rsidRDefault="00D32067" w:rsidP="00D32067">
      <w:pPr>
        <w:spacing w:after="120" w:line="276" w:lineRule="auto"/>
        <w:ind w:firstLine="709"/>
        <w:jc w:val="both"/>
        <w:rPr>
          <w:rFonts w:ascii="Verdana" w:hAnsi="Verdana"/>
        </w:rPr>
      </w:pPr>
      <w:r w:rsidRPr="00D32067">
        <w:rPr>
          <w:rFonts w:ascii="Verdana" w:hAnsi="Verdana" w:cs="Arial"/>
          <w:lang w:eastAsia="es-CO"/>
        </w:rPr>
        <w:lastRenderedPageBreak/>
        <w:t xml:space="preserve">En este sentido, la decisión de utilizar estructuras de costos aprobadas para cada proceso de contratación en cada periodo o de emplear los precios históricos basados en los valores contratados en cada vigencia para estimar el valor del contrato, dependerá del análisis de planeación que realice la entidad en esta </w:t>
      </w:r>
      <w:r w:rsidRPr="00D32067">
        <w:rPr>
          <w:rFonts w:ascii="Verdana" w:hAnsi="Verdana"/>
        </w:rPr>
        <w:t xml:space="preserve">etapa. Para tales efectos, es importante considerar todos los factores relevantes relacionados con la contratación, tales como la modalidad de selección, las fluctuaciones económicas que puedan afectar el precio del bien o servicio a contratar, y los factores externos que impacten la economía tanto a nivel local como nacional, crisis económicas, variaciones en los costos de los insumos, alteraciones en la oferta y demanda, y cualquier otro factor que pueda incidir de manera significativa en la determinación del valor del bien o servicio. </w:t>
      </w:r>
    </w:p>
    <w:p w14:paraId="46D3EC04" w14:textId="77777777" w:rsidR="00D32067" w:rsidRPr="00D32067" w:rsidRDefault="00D32067" w:rsidP="00D32067">
      <w:pPr>
        <w:spacing w:after="120" w:line="276" w:lineRule="auto"/>
        <w:ind w:firstLine="709"/>
        <w:jc w:val="both"/>
        <w:rPr>
          <w:rFonts w:ascii="Verdana" w:hAnsi="Verdana"/>
        </w:rPr>
      </w:pPr>
      <w:r w:rsidRPr="00D32067">
        <w:rPr>
          <w:rFonts w:ascii="Verdana" w:hAnsi="Verdana"/>
        </w:rPr>
        <w:t xml:space="preserve">Así mismo, se podría tener en cuenta la información relacionada en el numeral 4.2 de la “Guía </w:t>
      </w:r>
      <w:r w:rsidRPr="00D32067">
        <w:rPr>
          <w:rFonts w:ascii="Verdana" w:eastAsia="Calibri" w:hAnsi="Verdana" w:cs="Arial"/>
          <w:bCs/>
          <w:lang w:val="es-ES_tradnl"/>
        </w:rPr>
        <w:t>de Elaboración del Estudio del Sector”</w:t>
      </w:r>
      <w:r w:rsidRPr="00D32067">
        <w:rPr>
          <w:rFonts w:ascii="Verdana" w:hAnsi="Verdana"/>
        </w:rPr>
        <w:t xml:space="preserve">, sobre el manejo de datos y análisis estadísticos en el cual se señalan recomendaciones para la elaboración del sector utilizando valores monetarios históricos. Esta información permitirá identificar el mecanismo más apropiado para establecer de manera adecuada y razonable el valor estimado del contrato. </w:t>
      </w:r>
    </w:p>
    <w:p w14:paraId="4B1223C1" w14:textId="77777777" w:rsidR="00D32067" w:rsidRPr="00D32067" w:rsidRDefault="00D32067" w:rsidP="00D32067">
      <w:pPr>
        <w:spacing w:after="120" w:line="276" w:lineRule="auto"/>
        <w:ind w:firstLine="709"/>
        <w:jc w:val="both"/>
        <w:rPr>
          <w:rFonts w:ascii="Verdana" w:hAnsi="Verdana"/>
        </w:rPr>
      </w:pPr>
      <w:r w:rsidRPr="00D32067">
        <w:rPr>
          <w:rFonts w:ascii="Verdana" w:hAnsi="Verdana" w:cs="Arial"/>
          <w:lang w:val="es-ES"/>
        </w:rPr>
        <w:t>Al respecto, es pertinente señalar que, el Consejo de Estado se pronunció sobre la relación existente entre el estudio del sector y la estimación del valor del contrato, indicando que se deben tener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D32067">
        <w:rPr>
          <w:rFonts w:ascii="Verdana" w:hAnsi="Verdana" w:cs="Arial"/>
          <w:vertAlign w:val="superscript"/>
          <w:lang w:val="es-ES"/>
        </w:rPr>
        <w:footnoteReference w:id="7"/>
      </w:r>
      <w:r w:rsidRPr="00D32067">
        <w:rPr>
          <w:rFonts w:ascii="Verdana" w:hAnsi="Verdana" w:cs="Arial"/>
          <w:lang w:val="es-ES"/>
        </w:rPr>
        <w:t>.</w:t>
      </w:r>
    </w:p>
    <w:p w14:paraId="11F275D6" w14:textId="77777777" w:rsidR="00D32067" w:rsidRPr="00D32067" w:rsidRDefault="00D32067" w:rsidP="00D32067">
      <w:pPr>
        <w:spacing w:after="120" w:line="276" w:lineRule="auto"/>
        <w:ind w:firstLine="708"/>
        <w:jc w:val="both"/>
        <w:rPr>
          <w:rFonts w:ascii="Verdana" w:hAnsi="Verdana" w:cs="Arial"/>
          <w:lang w:val="es-MX"/>
        </w:rPr>
      </w:pPr>
      <w:bookmarkStart w:id="11" w:name="_Hlk91231640"/>
      <w:r w:rsidRPr="00D32067">
        <w:rPr>
          <w:rFonts w:ascii="Verdana" w:hAnsi="Verdana" w:cs="Arial"/>
        </w:rPr>
        <w:t xml:space="preserve">En conclusión, el análisis del sector debe ser visto desde una perspectiva funcional, como una labor enfocada a situar la adquisición de bienes y servicios por parte de entidades estatales dentro de las condiciones del mercado o del sector en el que serán adquiridos, el cual constituye una manifestación de los principios de planeación y economía. Dicha labor debe evidenciarse de manera palpable en los </w:t>
      </w:r>
      <w:r w:rsidRPr="00D32067">
        <w:rPr>
          <w:rFonts w:ascii="Verdana" w:hAnsi="Verdana" w:cs="Arial"/>
          <w:i/>
          <w:iCs/>
        </w:rPr>
        <w:t>Documentos del Proceso</w:t>
      </w:r>
      <w:r w:rsidRPr="00D32067">
        <w:rPr>
          <w:rFonts w:ascii="Verdana" w:hAnsi="Verdana" w:cs="Arial"/>
        </w:rPr>
        <w:t xml:space="preserve">, ya sea dentro de los estudios previos, como documento autónomo o dentro de alguno de los soportes del proceso de </w:t>
      </w:r>
      <w:r w:rsidRPr="00D32067">
        <w:rPr>
          <w:rFonts w:ascii="Verdana" w:hAnsi="Verdana" w:cs="Arial"/>
        </w:rPr>
        <w:lastRenderedPageBreak/>
        <w:t xml:space="preserve">contratación, abarcando los campos legal, comercial, financiero, organizacional, técnico y de riesgos, de conformidad con el artículo </w:t>
      </w:r>
      <w:r w:rsidRPr="00D32067">
        <w:rPr>
          <w:rFonts w:ascii="Verdana" w:hAnsi="Verdana" w:cs="Arial"/>
          <w:lang w:val="es-MX"/>
        </w:rPr>
        <w:t>2.2.1.1.1.6.1 del Decreto 1082 del 2015.</w:t>
      </w:r>
    </w:p>
    <w:p w14:paraId="1D9F5A9A" w14:textId="77777777" w:rsidR="00D32067" w:rsidRPr="00D32067" w:rsidRDefault="00D32067" w:rsidP="00D32067">
      <w:pPr>
        <w:spacing w:after="0" w:line="276" w:lineRule="auto"/>
        <w:ind w:firstLine="708"/>
        <w:jc w:val="both"/>
        <w:rPr>
          <w:rFonts w:ascii="Verdana" w:eastAsia="Calibri" w:hAnsi="Verdana" w:cs="Times New Roman"/>
          <w:lang w:val="es-ES"/>
        </w:rPr>
      </w:pPr>
      <w:r w:rsidRPr="00D32067">
        <w:rPr>
          <w:rFonts w:ascii="Verdana" w:eastAsia="Calibri" w:hAnsi="Verdana" w:cs="Times New Roman"/>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bookmarkEnd w:id="11"/>
    <w:p w14:paraId="056380D8" w14:textId="77777777" w:rsidR="00D32067" w:rsidRPr="00D32067" w:rsidRDefault="00D32067" w:rsidP="00D32067">
      <w:pPr>
        <w:spacing w:after="0" w:line="276" w:lineRule="auto"/>
        <w:jc w:val="both"/>
        <w:rPr>
          <w:rFonts w:ascii="Verdana" w:eastAsia="Calibri" w:hAnsi="Verdana" w:cs="Arial"/>
          <w:lang w:eastAsia="es-MX"/>
        </w:rPr>
      </w:pPr>
    </w:p>
    <w:p w14:paraId="5552891A" w14:textId="77777777" w:rsidR="00D32067" w:rsidRPr="00D32067" w:rsidRDefault="00D32067" w:rsidP="00D32067">
      <w:pPr>
        <w:numPr>
          <w:ilvl w:val="0"/>
          <w:numId w:val="1"/>
        </w:numPr>
        <w:tabs>
          <w:tab w:val="left" w:pos="142"/>
          <w:tab w:val="left" w:pos="284"/>
        </w:tabs>
        <w:spacing w:after="0" w:line="276" w:lineRule="auto"/>
        <w:jc w:val="both"/>
        <w:rPr>
          <w:rFonts w:ascii="Verdana" w:eastAsia="Century Gothic" w:hAnsi="Verdana" w:cs="Century Gothic"/>
          <w:b/>
          <w:bCs/>
        </w:rPr>
      </w:pPr>
      <w:r w:rsidRPr="00D32067">
        <w:rPr>
          <w:rFonts w:ascii="Verdana" w:eastAsia="Century Gothic" w:hAnsi="Verdana" w:cs="Century Gothic"/>
          <w:b/>
          <w:bCs/>
        </w:rPr>
        <w:t>Referencias normativas y jurisprudenciales:</w:t>
      </w:r>
    </w:p>
    <w:p w14:paraId="5A6291D8" w14:textId="77777777" w:rsidR="00D32067" w:rsidRPr="00D32067" w:rsidRDefault="00D32067" w:rsidP="00D3206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32067" w:rsidRPr="00D32067" w14:paraId="76861F54" w14:textId="77777777" w:rsidTr="00ED423A">
        <w:trPr>
          <w:trHeight w:val="856"/>
          <w:jc w:val="center"/>
        </w:trPr>
        <w:tc>
          <w:tcPr>
            <w:tcW w:w="8647" w:type="dxa"/>
          </w:tcPr>
          <w:p w14:paraId="1281FEC9" w14:textId="77777777" w:rsidR="00D32067" w:rsidRPr="00D32067" w:rsidRDefault="00D32067" w:rsidP="00D32067">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D32067">
              <w:rPr>
                <w:rFonts w:ascii="Verdana" w:eastAsia="Arial MT" w:hAnsi="Verdana" w:cs="Arial"/>
                <w:lang w:eastAsia="es-ES" w:bidi="es-ES"/>
              </w:rPr>
              <w:t xml:space="preserve"> </w:t>
            </w:r>
            <w:r w:rsidRPr="00D32067">
              <w:rPr>
                <w:rFonts w:ascii="Verdana" w:eastAsia="Calibri" w:hAnsi="Verdana" w:cs="Arial"/>
                <w:lang w:val="es-ES"/>
              </w:rPr>
              <w:t xml:space="preserve">Ley 80 de 1993. Artículo 25 </w:t>
            </w:r>
          </w:p>
          <w:p w14:paraId="20182D67" w14:textId="77777777" w:rsidR="00D32067" w:rsidRPr="00D32067" w:rsidRDefault="00D32067" w:rsidP="00D32067">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D32067">
              <w:rPr>
                <w:rFonts w:ascii="Verdana" w:eastAsia="Calibri" w:hAnsi="Verdana" w:cs="Arial"/>
                <w:lang w:val="es-ES"/>
              </w:rPr>
              <w:t>Decreto 1082 de 2015. Artículos 2.2.1.1.2.1.1. y 2.2.1.1.1.6.1.</w:t>
            </w:r>
          </w:p>
          <w:p w14:paraId="5A928DBA" w14:textId="77777777" w:rsidR="00D32067" w:rsidRPr="00D32067" w:rsidRDefault="00D32067" w:rsidP="00D32067">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D32067">
              <w:rPr>
                <w:rFonts w:ascii="Verdana" w:eastAsia="Calibri" w:hAnsi="Verdana" w:cs="Arial"/>
                <w:lang w:val="es-ES"/>
              </w:rPr>
              <w:t>Consejo de Estado. Sección Tercera. Subsección B. Sentencia del 31 de agosto de 2011. Exp. 18.080.</w:t>
            </w:r>
          </w:p>
          <w:p w14:paraId="4353F315" w14:textId="77777777" w:rsidR="00D32067" w:rsidRPr="00D32067" w:rsidRDefault="00D32067" w:rsidP="00D32067">
            <w:pPr>
              <w:widowControl w:val="0"/>
              <w:numPr>
                <w:ilvl w:val="0"/>
                <w:numId w:val="3"/>
              </w:numPr>
              <w:autoSpaceDE w:val="0"/>
              <w:autoSpaceDN w:val="0"/>
              <w:spacing w:after="120" w:line="276" w:lineRule="auto"/>
              <w:contextualSpacing/>
              <w:jc w:val="both"/>
              <w:rPr>
                <w:rFonts w:ascii="Verdana" w:eastAsia="Calibri" w:hAnsi="Verdana" w:cs="Arial"/>
                <w:lang w:val="es-ES"/>
              </w:rPr>
            </w:pPr>
            <w:r w:rsidRPr="00D32067">
              <w:rPr>
                <w:rFonts w:ascii="Verdana" w:eastAsia="Calibri" w:hAnsi="Verdana" w:cs="Arial"/>
                <w:lang w:val="es-ES"/>
              </w:rPr>
              <w:t>Guía de Elaboración de Estudios de Sector:</w:t>
            </w:r>
          </w:p>
          <w:p w14:paraId="06A156A8" w14:textId="77777777" w:rsidR="00D32067" w:rsidRPr="00D32067" w:rsidRDefault="00D32067" w:rsidP="00D32067">
            <w:pPr>
              <w:widowControl w:val="0"/>
              <w:autoSpaceDE w:val="0"/>
              <w:autoSpaceDN w:val="0"/>
              <w:spacing w:after="120" w:line="276" w:lineRule="auto"/>
              <w:ind w:left="720"/>
              <w:contextualSpacing/>
              <w:jc w:val="both"/>
              <w:rPr>
                <w:rFonts w:ascii="Verdana" w:eastAsia="Calibri" w:hAnsi="Verdana" w:cs="Arial"/>
                <w:lang w:val="es-ES"/>
              </w:rPr>
            </w:pPr>
            <w:hyperlink r:id="rId13" w:history="1">
              <w:r w:rsidRPr="00D32067">
                <w:rPr>
                  <w:rFonts w:ascii="Verdana" w:eastAsia="Calibri" w:hAnsi="Verdana" w:cs="Arial"/>
                  <w:color w:val="0000FF"/>
                  <w:u w:val="single"/>
                  <w:lang w:val="es-ES"/>
                </w:rPr>
                <w:t>https://www.colombiacompra.gov.co/sites/cce_public/files/cce_documentos/cce-eicp-gi-18._gees_v.2_2.pdf</w:t>
              </w:r>
            </w:hyperlink>
            <w:r w:rsidRPr="00D32067">
              <w:rPr>
                <w:rFonts w:ascii="Verdana" w:eastAsia="Calibri" w:hAnsi="Verdana" w:cs="Arial"/>
                <w:lang w:val="es-ES"/>
              </w:rPr>
              <w:t xml:space="preserve"> </w:t>
            </w:r>
          </w:p>
        </w:tc>
      </w:tr>
    </w:tbl>
    <w:p w14:paraId="126CD17B" w14:textId="77777777" w:rsidR="00D32067" w:rsidRPr="00D32067" w:rsidRDefault="00D32067" w:rsidP="00D32067">
      <w:pPr>
        <w:widowControl w:val="0"/>
        <w:autoSpaceDE w:val="0"/>
        <w:autoSpaceDN w:val="0"/>
        <w:spacing w:after="0" w:line="276" w:lineRule="auto"/>
        <w:jc w:val="both"/>
        <w:rPr>
          <w:rFonts w:ascii="Verdana" w:hAnsi="Verdana" w:cs="Arial"/>
        </w:rPr>
      </w:pPr>
    </w:p>
    <w:p w14:paraId="73AD07D0" w14:textId="77777777" w:rsidR="00D32067" w:rsidRPr="00D32067" w:rsidRDefault="00D32067" w:rsidP="00D32067">
      <w:pPr>
        <w:numPr>
          <w:ilvl w:val="0"/>
          <w:numId w:val="1"/>
        </w:numPr>
        <w:tabs>
          <w:tab w:val="left" w:pos="142"/>
          <w:tab w:val="left" w:pos="284"/>
        </w:tabs>
        <w:spacing w:after="0" w:line="276" w:lineRule="auto"/>
        <w:jc w:val="both"/>
        <w:rPr>
          <w:rFonts w:ascii="Verdana" w:eastAsia="Century Gothic" w:hAnsi="Verdana" w:cs="Century Gothic"/>
          <w:b/>
          <w:bCs/>
        </w:rPr>
      </w:pPr>
      <w:r w:rsidRPr="00D32067">
        <w:rPr>
          <w:rFonts w:ascii="Verdana" w:eastAsia="Century Gothic" w:hAnsi="Verdana" w:cs="Century Gothic"/>
          <w:b/>
          <w:bCs/>
        </w:rPr>
        <w:t>Doctrina de la Agencia Nacional de Contratación Pública:</w:t>
      </w:r>
    </w:p>
    <w:p w14:paraId="5011B63D" w14:textId="77777777" w:rsidR="00D32067" w:rsidRPr="00D32067" w:rsidRDefault="00D32067" w:rsidP="00D32067">
      <w:pPr>
        <w:widowControl w:val="0"/>
        <w:autoSpaceDE w:val="0"/>
        <w:autoSpaceDN w:val="0"/>
        <w:spacing w:after="0" w:line="276" w:lineRule="auto"/>
        <w:jc w:val="both"/>
        <w:rPr>
          <w:rFonts w:ascii="Verdana" w:hAnsi="Verdana" w:cs="Arial"/>
        </w:rPr>
      </w:pPr>
    </w:p>
    <w:p w14:paraId="52892FC8" w14:textId="77777777" w:rsidR="00D32067" w:rsidRPr="00D32067" w:rsidRDefault="00D32067" w:rsidP="00D32067">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D32067">
        <w:rPr>
          <w:rFonts w:ascii="Verdana" w:eastAsia="Aptos" w:hAnsi="Verdana" w:cs="Arial"/>
          <w:shd w:val="clear" w:color="auto" w:fill="FFFFFF"/>
          <w:lang w:val="es-ES"/>
        </w:rPr>
        <w:t>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del 5 de marzo de 2025. entre otros</w:t>
      </w:r>
      <w:r w:rsidRPr="00D32067">
        <w:rPr>
          <w:rFonts w:ascii="Verdana" w:eastAsia="Calibri" w:hAnsi="Verdana" w:cs="Arial"/>
          <w:color w:val="000000" w:themeColor="text1"/>
          <w:lang w:val="es-ES_tradnl" w:eastAsia="es-ES_tradnl"/>
        </w:rPr>
        <w:t xml:space="preserve">. </w:t>
      </w:r>
      <w:r w:rsidRPr="00D32067">
        <w:rPr>
          <w:rFonts w:ascii="Verdana" w:hAnsi="Verdana" w:cs="Arial"/>
          <w:shd w:val="clear" w:color="auto" w:fill="FFFFFF"/>
        </w:rPr>
        <w:t>Es</w:t>
      </w:r>
      <w:r w:rsidRPr="00D32067">
        <w:rPr>
          <w:rFonts w:ascii="Verdana" w:hAnsi="Verdana"/>
        </w:rPr>
        <w:t>tos y otros conceptos se encuentran disponibles para consulta en el Sistema de relatoría de la Agencia, al cual se puede acceder a través del siguiente enlace:</w:t>
      </w:r>
      <w:r w:rsidRPr="00D32067">
        <w:rPr>
          <w:rFonts w:ascii="Verdana" w:hAnsi="Verdana" w:cs="Arial"/>
          <w:shd w:val="clear" w:color="auto" w:fill="FFFFFF"/>
        </w:rPr>
        <w:t xml:space="preserve"> </w:t>
      </w:r>
      <w:hyperlink r:id="rId14" w:history="1">
        <w:r w:rsidRPr="00D32067">
          <w:rPr>
            <w:rFonts w:ascii="Verdana" w:hAnsi="Verdana" w:cs="Arial"/>
            <w:color w:val="0563C1" w:themeColor="hyperlink"/>
            <w:u w:val="single"/>
            <w:shd w:val="clear" w:color="auto" w:fill="FFFFFF"/>
          </w:rPr>
          <w:t>https://relatoria.colombiacompra.gov.co/busqueda/conceptos</w:t>
        </w:r>
      </w:hyperlink>
      <w:r w:rsidRPr="00D32067">
        <w:rPr>
          <w:rFonts w:ascii="Verdana" w:hAnsi="Verdana" w:cs="Arial"/>
          <w:shd w:val="clear" w:color="auto" w:fill="FFFFFF"/>
        </w:rPr>
        <w:t>.</w:t>
      </w:r>
      <w:r w:rsidRPr="00D32067">
        <w:rPr>
          <w:rFonts w:ascii="Verdana" w:hAnsi="Verdana" w:cs="Arial"/>
          <w:color w:val="FF0000"/>
          <w:shd w:val="clear" w:color="auto" w:fill="FFFFFF"/>
        </w:rPr>
        <w:t xml:space="preserve"> </w:t>
      </w:r>
      <w:r w:rsidRPr="00D32067">
        <w:rPr>
          <w:rFonts w:ascii="Verdana" w:hAnsi="Verdana" w:cs="Arial"/>
          <w:color w:val="000000" w:themeColor="text1"/>
          <w:shd w:val="clear" w:color="auto" w:fill="FFFFFF"/>
        </w:rPr>
        <w:t>  </w:t>
      </w:r>
    </w:p>
    <w:p w14:paraId="73FADB87" w14:textId="77777777" w:rsidR="00D32067" w:rsidRPr="00D32067" w:rsidRDefault="00D32067" w:rsidP="00D32067">
      <w:pPr>
        <w:shd w:val="clear" w:color="auto" w:fill="FFFFFF"/>
        <w:spacing w:after="120" w:line="276" w:lineRule="auto"/>
        <w:ind w:firstLine="709"/>
        <w:jc w:val="both"/>
        <w:textAlignment w:val="baseline"/>
        <w:rPr>
          <w:rFonts w:ascii="Verdana" w:eastAsia="Times New Roman" w:hAnsi="Verdana" w:cs="Times New Roman"/>
          <w:lang w:eastAsia="es-CO"/>
        </w:rPr>
      </w:pPr>
      <w:r w:rsidRPr="00D32067">
        <w:rPr>
          <w:rFonts w:ascii="Verdana" w:eastAsia="Times New Roman" w:hAnsi="Verdana" w:cs="Times New Roman"/>
          <w:color w:val="000000"/>
          <w:bdr w:val="none" w:sz="0" w:space="0" w:color="auto" w:frame="1"/>
          <w:lang w:eastAsia="es-CO"/>
        </w:rPr>
        <w:t>Te informamos que ya se encuentra disponible la </w:t>
      </w:r>
      <w:r w:rsidRPr="00D32067">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D32067">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D32067">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79C4BC01" w14:textId="77777777" w:rsidR="00D32067" w:rsidRPr="00D32067" w:rsidRDefault="00D32067" w:rsidP="00D32067">
      <w:pPr>
        <w:spacing w:after="120" w:line="276" w:lineRule="auto"/>
        <w:ind w:firstLine="709"/>
        <w:jc w:val="both"/>
        <w:textAlignment w:val="baseline"/>
        <w:rPr>
          <w:rFonts w:ascii="Verdana" w:eastAsia="Times New Roman" w:hAnsi="Verdana" w:cs="Times New Roman"/>
          <w:lang w:eastAsia="es-CO"/>
        </w:rPr>
      </w:pPr>
      <w:r w:rsidRPr="00D32067">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D32067">
        <w:rPr>
          <w:rFonts w:ascii="Verdana" w:eastAsia="Times New Roman" w:hAnsi="Verdana" w:cs="Times New Roman"/>
          <w:b/>
          <w:bCs/>
          <w:color w:val="000000"/>
          <w:bdr w:val="none" w:sz="0" w:space="0" w:color="auto" w:frame="1"/>
          <w:lang w:eastAsia="es-CO"/>
        </w:rPr>
        <w:t>modificaciones y/o actualizaciones realizadas a los Documentos Tipo</w:t>
      </w:r>
      <w:r w:rsidRPr="00D32067">
        <w:rPr>
          <w:rFonts w:ascii="Verdana" w:eastAsia="Times New Roman" w:hAnsi="Verdana" w:cs="Times New Roman"/>
          <w:color w:val="000000"/>
          <w:bdr w:val="none" w:sz="0" w:space="0" w:color="auto" w:frame="1"/>
          <w:lang w:eastAsia="es-CO"/>
        </w:rPr>
        <w:t>, hemos programado una serie de </w:t>
      </w:r>
      <w:r w:rsidRPr="00D32067">
        <w:rPr>
          <w:rFonts w:ascii="Verdana" w:eastAsia="Times New Roman" w:hAnsi="Verdana" w:cs="Times New Roman"/>
          <w:b/>
          <w:bCs/>
          <w:color w:val="000000"/>
          <w:bdr w:val="none" w:sz="0" w:space="0" w:color="auto" w:frame="1"/>
          <w:lang w:eastAsia="es-CO"/>
        </w:rPr>
        <w:t>capacitaciones </w:t>
      </w:r>
      <w:r w:rsidRPr="00D32067">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D32067">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0B6D7D35" w14:textId="77777777" w:rsidR="00D32067" w:rsidRPr="00D32067" w:rsidRDefault="00D32067" w:rsidP="00D32067">
      <w:pPr>
        <w:spacing w:after="120" w:line="276" w:lineRule="auto"/>
        <w:ind w:firstLine="709"/>
        <w:jc w:val="both"/>
        <w:textAlignment w:val="baseline"/>
        <w:rPr>
          <w:rFonts w:ascii="Verdana" w:eastAsia="Times New Roman" w:hAnsi="Verdana" w:cs="Times New Roman"/>
          <w:lang w:eastAsia="es-CO"/>
        </w:rPr>
      </w:pPr>
      <w:r w:rsidRPr="00D32067">
        <w:rPr>
          <w:rFonts w:ascii="Verdana" w:eastAsia="Times New Roman" w:hAnsi="Verdana" w:cs="Times New Roman"/>
          <w:color w:val="000000"/>
          <w:bdr w:val="none" w:sz="0" w:space="0" w:color="auto" w:frame="1"/>
          <w:lang w:eastAsia="es-CO"/>
        </w:rPr>
        <w:t>También, te contamos que ya publicamos </w:t>
      </w:r>
      <w:r w:rsidRPr="00D32067">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D32067">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D32067">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02692410" w14:textId="77777777" w:rsidR="00D32067" w:rsidRPr="00D32067" w:rsidRDefault="00D32067" w:rsidP="00D32067">
      <w:pPr>
        <w:widowControl w:val="0"/>
        <w:autoSpaceDE w:val="0"/>
        <w:autoSpaceDN w:val="0"/>
        <w:spacing w:after="0" w:line="276" w:lineRule="auto"/>
        <w:jc w:val="both"/>
        <w:rPr>
          <w:rFonts w:ascii="Verdana" w:eastAsia="Calibri" w:hAnsi="Verdana" w:cs="Arial"/>
          <w:color w:val="000000" w:themeColor="text1"/>
        </w:rPr>
      </w:pPr>
    </w:p>
    <w:p w14:paraId="16992A12" w14:textId="77777777" w:rsidR="00D32067" w:rsidRPr="00D32067" w:rsidRDefault="00D32067" w:rsidP="00D32067">
      <w:pPr>
        <w:widowControl w:val="0"/>
        <w:autoSpaceDE w:val="0"/>
        <w:autoSpaceDN w:val="0"/>
        <w:spacing w:after="0" w:line="276" w:lineRule="auto"/>
        <w:jc w:val="both"/>
        <w:rPr>
          <w:rFonts w:ascii="Verdana" w:hAnsi="Verdana" w:cs="Arial"/>
        </w:rPr>
      </w:pPr>
      <w:r w:rsidRPr="00D3206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CEFA71F" w14:textId="77777777" w:rsidR="00D32067" w:rsidRPr="00D32067" w:rsidRDefault="00D32067" w:rsidP="00D32067">
      <w:pPr>
        <w:widowControl w:val="0"/>
        <w:autoSpaceDE w:val="0"/>
        <w:autoSpaceDN w:val="0"/>
        <w:spacing w:after="0" w:line="276" w:lineRule="auto"/>
        <w:jc w:val="both"/>
        <w:rPr>
          <w:rFonts w:ascii="Verdana" w:hAnsi="Verdana" w:cs="Arial"/>
        </w:rPr>
      </w:pPr>
    </w:p>
    <w:p w14:paraId="60EB0BAE" w14:textId="77777777" w:rsidR="00D32067" w:rsidRPr="00D32067" w:rsidRDefault="00D32067" w:rsidP="00D32067">
      <w:pPr>
        <w:spacing w:after="0" w:line="240" w:lineRule="auto"/>
        <w:rPr>
          <w:rFonts w:ascii="Verdana" w:hAnsi="Verdana" w:cs="Arial"/>
          <w:lang w:eastAsia="es-CO"/>
        </w:rPr>
      </w:pPr>
      <w:r w:rsidRPr="00D32067">
        <w:rPr>
          <w:rFonts w:ascii="Verdana" w:eastAsia="Times New Roman" w:hAnsi="Verdana" w:cs="Arial"/>
          <w:lang w:eastAsia="es-CO"/>
        </w:rPr>
        <w:t>Atentamente,</w:t>
      </w:r>
      <w:r w:rsidRPr="00D32067">
        <w:rPr>
          <w:rFonts w:ascii="Verdana" w:hAnsi="Verdana" w:cs="Arial"/>
          <w:lang w:eastAsia="es-CO"/>
        </w:rPr>
        <w:t xml:space="preserve"> </w:t>
      </w:r>
    </w:p>
    <w:p w14:paraId="342BEDA0" w14:textId="542BE294" w:rsidR="00D32067" w:rsidRPr="00D32067" w:rsidRDefault="00AD0F9F" w:rsidP="00D32067">
      <w:pPr>
        <w:spacing w:line="276" w:lineRule="auto"/>
        <w:jc w:val="center"/>
        <w:rPr>
          <w:rFonts w:ascii="Verdana" w:hAnsi="Verdana" w:cs="Arial"/>
          <w:color w:val="000000"/>
          <w:lang w:eastAsia="es-CO"/>
        </w:rPr>
      </w:pPr>
      <w:r>
        <w:rPr>
          <w:noProof/>
        </w:rPr>
        <w:lastRenderedPageBreak/>
        <w:drawing>
          <wp:inline distT="0" distB="0" distL="0" distR="0" wp14:anchorId="32A02547" wp14:editId="44C2E2A5">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32067" w:rsidRPr="00D32067" w14:paraId="2F7AEB10" w14:textId="77777777" w:rsidTr="00ED423A">
        <w:trPr>
          <w:trHeight w:val="315"/>
        </w:trPr>
        <w:tc>
          <w:tcPr>
            <w:tcW w:w="893" w:type="dxa"/>
            <w:vAlign w:val="center"/>
            <w:hideMark/>
          </w:tcPr>
          <w:p w14:paraId="1447DDAF" w14:textId="77777777" w:rsidR="00D32067" w:rsidRPr="00D32067" w:rsidRDefault="00D32067" w:rsidP="00D32067">
            <w:pPr>
              <w:contextualSpacing/>
              <w:rPr>
                <w:rFonts w:ascii="Verdana" w:hAnsi="Verdana" w:cs="Arial"/>
                <w:sz w:val="16"/>
                <w:szCs w:val="16"/>
                <w:lang w:eastAsia="es-ES"/>
              </w:rPr>
            </w:pPr>
            <w:r w:rsidRPr="00D3206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4102BC9" w14:textId="77777777" w:rsidR="00D32067" w:rsidRPr="00D32067" w:rsidRDefault="00D32067" w:rsidP="00D32067">
            <w:pPr>
              <w:contextualSpacing/>
              <w:rPr>
                <w:rFonts w:ascii="Verdana" w:hAnsi="Verdana"/>
                <w:sz w:val="16"/>
                <w:szCs w:val="16"/>
              </w:rPr>
            </w:pPr>
            <w:r w:rsidRPr="00D32067">
              <w:rPr>
                <w:rFonts w:ascii="Verdana" w:hAnsi="Verdana"/>
                <w:sz w:val="16"/>
                <w:szCs w:val="16"/>
              </w:rPr>
              <w:t>Tatiana Baquero Iguarán</w:t>
            </w:r>
          </w:p>
          <w:p w14:paraId="1B6C941D" w14:textId="77777777" w:rsidR="00D32067" w:rsidRPr="00D32067" w:rsidRDefault="00D32067" w:rsidP="00D32067">
            <w:pPr>
              <w:contextualSpacing/>
              <w:rPr>
                <w:rFonts w:ascii="Verdana" w:eastAsia="Arial" w:hAnsi="Verdana" w:cs="Arial"/>
                <w:sz w:val="16"/>
                <w:szCs w:val="16"/>
              </w:rPr>
            </w:pPr>
            <w:r w:rsidRPr="00D32067">
              <w:rPr>
                <w:rFonts w:ascii="Verdana" w:hAnsi="Verdana"/>
                <w:sz w:val="16"/>
                <w:szCs w:val="16"/>
              </w:rPr>
              <w:t>Contratista de la Subdirección de Gestión Contractual</w:t>
            </w:r>
          </w:p>
        </w:tc>
      </w:tr>
      <w:tr w:rsidR="00D32067" w:rsidRPr="00D32067" w14:paraId="6FF90A5A" w14:textId="77777777" w:rsidTr="00ED423A">
        <w:trPr>
          <w:trHeight w:val="330"/>
        </w:trPr>
        <w:tc>
          <w:tcPr>
            <w:tcW w:w="893" w:type="dxa"/>
            <w:vAlign w:val="center"/>
            <w:hideMark/>
          </w:tcPr>
          <w:p w14:paraId="19988614" w14:textId="77777777" w:rsidR="00D32067" w:rsidRPr="00D32067" w:rsidRDefault="00D32067" w:rsidP="00D32067">
            <w:pPr>
              <w:contextualSpacing/>
              <w:rPr>
                <w:rFonts w:ascii="Verdana" w:hAnsi="Verdana" w:cs="Arial"/>
                <w:sz w:val="16"/>
                <w:szCs w:val="16"/>
                <w:lang w:eastAsia="es-ES"/>
              </w:rPr>
            </w:pPr>
            <w:r w:rsidRPr="00D3206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5C68C3" w14:textId="77777777" w:rsidR="00D32067" w:rsidRPr="00D32067" w:rsidRDefault="00D32067" w:rsidP="00D32067">
            <w:pPr>
              <w:spacing w:before="100" w:beforeAutospacing="1" w:after="100" w:afterAutospacing="1"/>
              <w:contextualSpacing/>
              <w:textAlignment w:val="baseline"/>
              <w:rPr>
                <w:rFonts w:ascii="Verdana" w:eastAsia="Times New Roman" w:hAnsi="Verdana" w:cs="Arial"/>
                <w:sz w:val="16"/>
                <w:szCs w:val="16"/>
                <w:lang w:eastAsia="es-ES_tradnl"/>
              </w:rPr>
            </w:pPr>
            <w:r w:rsidRPr="00D32067">
              <w:rPr>
                <w:rFonts w:ascii="Verdana" w:eastAsia="Times New Roman" w:hAnsi="Verdana" w:cs="Arial"/>
                <w:sz w:val="16"/>
                <w:szCs w:val="16"/>
                <w:lang w:eastAsia="es-ES_tradnl"/>
              </w:rPr>
              <w:t>Diana Lucía Saavedra Castañeda</w:t>
            </w:r>
          </w:p>
          <w:p w14:paraId="732BBCDB" w14:textId="77777777" w:rsidR="00D32067" w:rsidRPr="00D32067" w:rsidRDefault="00D32067" w:rsidP="00D32067">
            <w:pPr>
              <w:contextualSpacing/>
              <w:textAlignment w:val="baseline"/>
              <w:rPr>
                <w:rFonts w:ascii="Verdana" w:eastAsia="Times New Roman" w:hAnsi="Verdana" w:cs="Segoe UI"/>
                <w:sz w:val="16"/>
                <w:szCs w:val="16"/>
                <w:lang w:eastAsia="es-ES_tradnl"/>
              </w:rPr>
            </w:pPr>
            <w:r w:rsidRPr="00D32067">
              <w:rPr>
                <w:rFonts w:ascii="Verdana" w:hAnsi="Verdana"/>
                <w:sz w:val="16"/>
                <w:szCs w:val="16"/>
              </w:rPr>
              <w:t>Contratista de la Subdirección de Gestión Contractual</w:t>
            </w:r>
          </w:p>
        </w:tc>
      </w:tr>
      <w:tr w:rsidR="00D32067" w:rsidRPr="00D32067" w14:paraId="611B9537" w14:textId="77777777" w:rsidTr="00ED423A">
        <w:trPr>
          <w:trHeight w:val="300"/>
        </w:trPr>
        <w:tc>
          <w:tcPr>
            <w:tcW w:w="893" w:type="dxa"/>
            <w:vAlign w:val="center"/>
          </w:tcPr>
          <w:p w14:paraId="400F1502" w14:textId="77777777" w:rsidR="00D32067" w:rsidRPr="00D32067" w:rsidRDefault="00D32067" w:rsidP="00D32067">
            <w:pPr>
              <w:contextualSpacing/>
              <w:rPr>
                <w:rFonts w:ascii="Verdana" w:hAnsi="Verdana" w:cs="Arial"/>
                <w:sz w:val="16"/>
                <w:szCs w:val="16"/>
                <w:lang w:eastAsia="es-ES"/>
              </w:rPr>
            </w:pPr>
            <w:r w:rsidRPr="00D3206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A5C060" w14:textId="77777777" w:rsidR="00D32067" w:rsidRPr="00D32067" w:rsidRDefault="00D32067" w:rsidP="00D32067">
            <w:pPr>
              <w:contextualSpacing/>
              <w:rPr>
                <w:rFonts w:ascii="Verdana" w:eastAsia="Calibri" w:hAnsi="Verdana" w:cs="Arial"/>
                <w:sz w:val="16"/>
                <w:szCs w:val="16"/>
                <w:lang w:eastAsia="es-ES"/>
              </w:rPr>
            </w:pPr>
            <w:r w:rsidRPr="00D32067">
              <w:rPr>
                <w:rFonts w:ascii="Verdana" w:eastAsia="Calibri" w:hAnsi="Verdana" w:cs="Arial"/>
                <w:sz w:val="16"/>
                <w:szCs w:val="16"/>
                <w:lang w:eastAsia="es-ES"/>
              </w:rPr>
              <w:t>Carolina Quintero Gacharná</w:t>
            </w:r>
          </w:p>
          <w:p w14:paraId="7AD1E3C2" w14:textId="77777777" w:rsidR="00D32067" w:rsidRPr="00D32067" w:rsidRDefault="00D32067" w:rsidP="00D32067">
            <w:pPr>
              <w:contextualSpacing/>
              <w:rPr>
                <w:rFonts w:ascii="Verdana" w:eastAsia="Calibri" w:hAnsi="Verdana" w:cs="Arial"/>
                <w:sz w:val="16"/>
                <w:szCs w:val="16"/>
                <w:lang w:eastAsia="es-ES"/>
              </w:rPr>
            </w:pPr>
            <w:r w:rsidRPr="00D32067">
              <w:rPr>
                <w:rFonts w:ascii="Verdana" w:eastAsia="Calibri" w:hAnsi="Verdana" w:cs="Arial"/>
                <w:sz w:val="16"/>
                <w:szCs w:val="16"/>
                <w:lang w:eastAsia="es-ES"/>
              </w:rPr>
              <w:t>Subdirectora de Gestión Contractual ANCP – CCE</w:t>
            </w:r>
          </w:p>
        </w:tc>
      </w:tr>
    </w:tbl>
    <w:p w14:paraId="7A38560A" w14:textId="77777777" w:rsidR="00D32067" w:rsidRPr="00D32067" w:rsidRDefault="00D32067" w:rsidP="00D32067">
      <w:pPr>
        <w:spacing w:after="0" w:line="240" w:lineRule="auto"/>
        <w:rPr>
          <w:rFonts w:ascii="Verdana" w:eastAsia="Times New Roman" w:hAnsi="Verdana" w:cs="Arial"/>
          <w:sz w:val="24"/>
          <w:szCs w:val="24"/>
          <w:lang w:eastAsia="es-ES"/>
        </w:rPr>
      </w:pPr>
    </w:p>
    <w:p w14:paraId="5E49AF86" w14:textId="77777777" w:rsidR="00D32067" w:rsidRPr="00D32067" w:rsidRDefault="00D32067" w:rsidP="00D32067"/>
    <w:p w14:paraId="4BDF851D" w14:textId="77777777" w:rsidR="00D32067" w:rsidRPr="00D32067" w:rsidRDefault="00D32067" w:rsidP="00D32067"/>
    <w:p w14:paraId="254B7F17" w14:textId="77777777" w:rsidR="00027CA9" w:rsidRDefault="00027CA9" w:rsidP="00027CA9">
      <w:pPr>
        <w:spacing w:after="0" w:line="240" w:lineRule="auto"/>
        <w:rPr>
          <w:rFonts w:ascii="Verdana" w:eastAsia="Aptos" w:hAnsi="Verdana" w:cs="Times New Roman"/>
          <w:sz w:val="20"/>
          <w:szCs w:val="20"/>
        </w:rPr>
      </w:pPr>
    </w:p>
    <w:p w14:paraId="5C574EE6" w14:textId="77777777" w:rsidR="00027CA9" w:rsidRDefault="00027CA9" w:rsidP="00027CA9">
      <w:pPr>
        <w:spacing w:after="0" w:line="240" w:lineRule="auto"/>
        <w:rPr>
          <w:rFonts w:ascii="Verdana" w:eastAsia="Aptos" w:hAnsi="Verdana" w:cs="Times New Roman"/>
          <w:sz w:val="20"/>
          <w:szCs w:val="20"/>
        </w:rPr>
      </w:pPr>
    </w:p>
    <w:p w14:paraId="1C7ABA94" w14:textId="77777777" w:rsidR="00027CA9" w:rsidRDefault="00027CA9" w:rsidP="00027CA9">
      <w:pPr>
        <w:spacing w:after="0" w:line="240" w:lineRule="auto"/>
        <w:rPr>
          <w:rFonts w:ascii="Verdana" w:eastAsia="Aptos" w:hAnsi="Verdana" w:cs="Times New Roman"/>
          <w:sz w:val="20"/>
          <w:szCs w:val="20"/>
        </w:rPr>
      </w:pPr>
    </w:p>
    <w:p w14:paraId="2B547E42" w14:textId="77777777" w:rsidR="00027CA9" w:rsidRDefault="00027CA9" w:rsidP="00027CA9">
      <w:pPr>
        <w:spacing w:after="0" w:line="240" w:lineRule="auto"/>
        <w:rPr>
          <w:rFonts w:ascii="Verdana" w:eastAsia="Aptos" w:hAnsi="Verdana" w:cs="Times New Roman"/>
          <w:sz w:val="20"/>
          <w:szCs w:val="20"/>
        </w:rPr>
      </w:pPr>
    </w:p>
    <w:p w14:paraId="637C702F" w14:textId="77777777" w:rsidR="00027CA9" w:rsidRDefault="00027CA9" w:rsidP="00027CA9">
      <w:pPr>
        <w:spacing w:after="0" w:line="240" w:lineRule="auto"/>
        <w:rPr>
          <w:rFonts w:ascii="Verdana" w:eastAsia="Aptos" w:hAnsi="Verdana" w:cs="Times New Roman"/>
          <w:sz w:val="20"/>
          <w:szCs w:val="20"/>
        </w:rPr>
      </w:pPr>
    </w:p>
    <w:p w14:paraId="37E89C7B" w14:textId="77777777" w:rsidR="00027CA9" w:rsidRDefault="00027CA9" w:rsidP="00027CA9">
      <w:pPr>
        <w:spacing w:after="0" w:line="240" w:lineRule="auto"/>
        <w:rPr>
          <w:rFonts w:ascii="Verdana" w:eastAsia="Aptos" w:hAnsi="Verdana" w:cs="Times New Roman"/>
          <w:sz w:val="20"/>
          <w:szCs w:val="20"/>
        </w:rPr>
      </w:pPr>
    </w:p>
    <w:p w14:paraId="71C7F99D" w14:textId="77777777" w:rsidR="00027CA9" w:rsidRDefault="00027CA9" w:rsidP="00027CA9">
      <w:pPr>
        <w:spacing w:after="0" w:line="240" w:lineRule="auto"/>
        <w:rPr>
          <w:rFonts w:ascii="Verdana" w:eastAsia="Aptos" w:hAnsi="Verdana" w:cs="Times New Roman"/>
          <w:sz w:val="20"/>
          <w:szCs w:val="20"/>
        </w:rPr>
      </w:pPr>
    </w:p>
    <w:p w14:paraId="1FC0018F" w14:textId="77777777" w:rsidR="00027CA9" w:rsidRDefault="00027CA9" w:rsidP="00027CA9">
      <w:pPr>
        <w:spacing w:after="0" w:line="240" w:lineRule="auto"/>
        <w:rPr>
          <w:rFonts w:ascii="Verdana" w:eastAsia="Aptos" w:hAnsi="Verdana" w:cs="Times New Roman"/>
          <w:sz w:val="20"/>
          <w:szCs w:val="20"/>
        </w:rPr>
      </w:pPr>
    </w:p>
    <w:p w14:paraId="240898CD" w14:textId="77777777" w:rsidR="00027CA9" w:rsidRDefault="00027CA9" w:rsidP="00027CA9">
      <w:pPr>
        <w:spacing w:after="0" w:line="240" w:lineRule="auto"/>
        <w:rPr>
          <w:rFonts w:ascii="Verdana" w:eastAsia="Aptos" w:hAnsi="Verdana" w:cs="Times New Roman"/>
          <w:sz w:val="20"/>
          <w:szCs w:val="20"/>
        </w:rPr>
      </w:pPr>
    </w:p>
    <w:p w14:paraId="78DABFBE" w14:textId="77777777" w:rsidR="00027CA9" w:rsidRDefault="00027CA9" w:rsidP="00027CA9">
      <w:pPr>
        <w:spacing w:after="0" w:line="240" w:lineRule="auto"/>
        <w:rPr>
          <w:rFonts w:ascii="Verdana" w:eastAsia="Aptos" w:hAnsi="Verdana" w:cs="Times New Roman"/>
          <w:sz w:val="20"/>
          <w:szCs w:val="20"/>
        </w:rPr>
      </w:pPr>
    </w:p>
    <w:bookmarkEnd w:id="0"/>
    <w:p w14:paraId="7A3FD2DA" w14:textId="77777777" w:rsidR="00027CA9" w:rsidRDefault="00027CA9" w:rsidP="00337DF3">
      <w:pPr>
        <w:spacing w:after="0" w:line="240" w:lineRule="auto"/>
        <w:rPr>
          <w:rFonts w:ascii="Verdana" w:eastAsia="Geomanist Light" w:hAnsi="Verdana" w:cs="Arial"/>
          <w:color w:val="000000" w:themeColor="text1"/>
        </w:rPr>
      </w:pPr>
    </w:p>
    <w:sectPr w:rsidR="00027CA9"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6333" w14:textId="77777777" w:rsidR="00D441C4" w:rsidRPr="009B7987" w:rsidRDefault="00D441C4" w:rsidP="00B30448">
      <w:pPr>
        <w:spacing w:after="0" w:line="240" w:lineRule="auto"/>
      </w:pPr>
      <w:r w:rsidRPr="009B7987">
        <w:separator/>
      </w:r>
    </w:p>
  </w:endnote>
  <w:endnote w:type="continuationSeparator" w:id="0">
    <w:p w14:paraId="6F84E507" w14:textId="77777777" w:rsidR="00D441C4" w:rsidRPr="009B7987" w:rsidRDefault="00D441C4" w:rsidP="00B30448">
      <w:pPr>
        <w:spacing w:after="0" w:line="240" w:lineRule="auto"/>
      </w:pPr>
      <w:r w:rsidRPr="009B7987">
        <w:continuationSeparator/>
      </w:r>
    </w:p>
  </w:endnote>
  <w:endnote w:type="continuationNotice" w:id="1">
    <w:p w14:paraId="0A0A95DE" w14:textId="77777777" w:rsidR="00D441C4" w:rsidRPr="009B7987" w:rsidRDefault="00D441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4ED55" w14:textId="77777777" w:rsidR="00D441C4" w:rsidRPr="009B7987" w:rsidRDefault="00D441C4" w:rsidP="00B30448">
      <w:pPr>
        <w:spacing w:after="0" w:line="240" w:lineRule="auto"/>
      </w:pPr>
      <w:r w:rsidRPr="009B7987">
        <w:separator/>
      </w:r>
    </w:p>
  </w:footnote>
  <w:footnote w:type="continuationSeparator" w:id="0">
    <w:p w14:paraId="5AEA00C5" w14:textId="77777777" w:rsidR="00D441C4" w:rsidRPr="009B7987" w:rsidRDefault="00D441C4" w:rsidP="00B30448">
      <w:pPr>
        <w:spacing w:after="0" w:line="240" w:lineRule="auto"/>
      </w:pPr>
      <w:r w:rsidRPr="009B7987">
        <w:continuationSeparator/>
      </w:r>
    </w:p>
  </w:footnote>
  <w:footnote w:type="continuationNotice" w:id="1">
    <w:p w14:paraId="68CD7982" w14:textId="77777777" w:rsidR="00D441C4" w:rsidRPr="009B7987" w:rsidRDefault="00D441C4">
      <w:pPr>
        <w:spacing w:after="0" w:line="240" w:lineRule="auto"/>
      </w:pPr>
    </w:p>
  </w:footnote>
  <w:footnote w:id="2">
    <w:p w14:paraId="09A8B4EF" w14:textId="77777777" w:rsidR="00D32067" w:rsidRPr="00797430" w:rsidRDefault="00D32067" w:rsidP="00D32067">
      <w:pPr>
        <w:spacing w:after="0" w:line="240" w:lineRule="auto"/>
        <w:ind w:firstLine="707"/>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position w:val="6"/>
          <w:sz w:val="14"/>
          <w:szCs w:val="14"/>
        </w:rPr>
        <w:t xml:space="preserve"> </w:t>
      </w:r>
      <w:r w:rsidRPr="00797430">
        <w:rPr>
          <w:rFonts w:ascii="Verdana" w:hAnsi="Verdana" w:cs="Arial"/>
          <w:sz w:val="14"/>
          <w:szCs w:val="14"/>
        </w:rPr>
        <w:t>DEIK ACOSTAMADIEDO, Carolina, Guía de Contratación Estatal: Deber de planeación y modalidades de selección, Buenos Aires, 2015, p. 59.</w:t>
      </w:r>
    </w:p>
    <w:p w14:paraId="2831F0FE" w14:textId="77777777" w:rsidR="00D32067" w:rsidRPr="00797430" w:rsidRDefault="00D32067" w:rsidP="00D32067">
      <w:pPr>
        <w:pStyle w:val="Textonotapie"/>
        <w:jc w:val="both"/>
        <w:rPr>
          <w:rFonts w:ascii="Verdana" w:hAnsi="Verdana" w:cs="Arial"/>
          <w:sz w:val="14"/>
          <w:szCs w:val="14"/>
        </w:rPr>
      </w:pPr>
    </w:p>
  </w:footnote>
  <w:footnote w:id="3">
    <w:p w14:paraId="1EF714A5" w14:textId="77777777" w:rsidR="00D32067" w:rsidRDefault="00D32067" w:rsidP="00D32067">
      <w:pPr>
        <w:pStyle w:val="Textoindependiente"/>
        <w:spacing w:after="0"/>
        <w:ind w:firstLine="709"/>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position w:val="6"/>
          <w:sz w:val="14"/>
          <w:szCs w:val="14"/>
        </w:rPr>
        <w:t xml:space="preserve"> </w:t>
      </w:r>
      <w:r>
        <w:rPr>
          <w:rFonts w:ascii="Verdana" w:hAnsi="Verdana" w:cs="Arial"/>
          <w:sz w:val="14"/>
          <w:szCs w:val="14"/>
        </w:rPr>
        <w:t>“</w:t>
      </w:r>
      <w:r w:rsidRPr="00797430">
        <w:rPr>
          <w:rFonts w:ascii="Verdana" w:hAnsi="Verdana" w:cs="Arial"/>
          <w:sz w:val="14"/>
          <w:szCs w:val="14"/>
        </w:rPr>
        <w:t xml:space="preserve">Artículo </w:t>
      </w:r>
      <w:bookmarkStart w:id="4" w:name="_Hlk54173885"/>
      <w:r w:rsidRPr="00797430">
        <w:rPr>
          <w:rFonts w:ascii="Verdana" w:hAnsi="Verdana" w:cs="Arial"/>
          <w:sz w:val="14"/>
          <w:szCs w:val="14"/>
        </w:rPr>
        <w:t>2.2.1.1.2.1.1</w:t>
      </w:r>
      <w:bookmarkEnd w:id="4"/>
      <w:r w:rsidRPr="00797430">
        <w:rPr>
          <w:rFonts w:ascii="Verdana" w:hAnsi="Verdana" w:cs="Arial"/>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Pr>
          <w:rFonts w:ascii="Verdana" w:hAnsi="Verdana" w:cs="Arial"/>
          <w:sz w:val="14"/>
          <w:szCs w:val="14"/>
        </w:rPr>
        <w:t>”</w:t>
      </w:r>
      <w:r w:rsidRPr="00797430">
        <w:rPr>
          <w:rFonts w:ascii="Verdana" w:hAnsi="Verdana" w:cs="Arial"/>
          <w:sz w:val="14"/>
          <w:szCs w:val="14"/>
        </w:rPr>
        <w:t>.</w:t>
      </w:r>
    </w:p>
    <w:p w14:paraId="07DFC5A7" w14:textId="77777777" w:rsidR="00D32067" w:rsidRPr="00797430" w:rsidRDefault="00D32067" w:rsidP="00D32067">
      <w:pPr>
        <w:pStyle w:val="Textoindependiente"/>
        <w:spacing w:after="0"/>
        <w:ind w:firstLine="709"/>
        <w:jc w:val="both"/>
        <w:rPr>
          <w:rFonts w:ascii="Verdana" w:hAnsi="Verdana" w:cs="Arial"/>
          <w:sz w:val="14"/>
          <w:szCs w:val="14"/>
        </w:rPr>
      </w:pPr>
    </w:p>
  </w:footnote>
  <w:footnote w:id="4">
    <w:p w14:paraId="2EAE44A0" w14:textId="77777777" w:rsidR="00D32067" w:rsidRPr="00797430" w:rsidRDefault="00D32067" w:rsidP="00D32067">
      <w:pPr>
        <w:pStyle w:val="Textoindependiente"/>
        <w:spacing w:after="0"/>
        <w:ind w:firstLine="709"/>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Consejo de Estado. Sección Tercera. Subsección B. Sentencia del 31 de agosto de 2011. Exp. 18.080. C.P. Ruth Stella Correa Palacio: </w:t>
      </w:r>
      <w:r>
        <w:rPr>
          <w:rFonts w:ascii="Verdana" w:hAnsi="Verdana" w:cs="Arial"/>
          <w:sz w:val="14"/>
          <w:szCs w:val="14"/>
        </w:rPr>
        <w:t>“</w:t>
      </w:r>
      <w:r w:rsidRPr="00797430">
        <w:rPr>
          <w:rFonts w:ascii="Verdana" w:hAnsi="Verdana" w:cs="Arial"/>
          <w:sz w:val="14"/>
          <w:szCs w:val="14"/>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Pr>
          <w:rFonts w:ascii="Verdana" w:hAnsi="Verdana" w:cs="Arial"/>
          <w:sz w:val="14"/>
          <w:szCs w:val="14"/>
        </w:rPr>
        <w:t>”.</w:t>
      </w:r>
    </w:p>
  </w:footnote>
  <w:footnote w:id="5">
    <w:p w14:paraId="6E8B875D" w14:textId="77777777" w:rsidR="00D32067" w:rsidRPr="00797430" w:rsidRDefault="00D32067" w:rsidP="00D32067">
      <w:pPr>
        <w:pStyle w:val="Textonotapie"/>
        <w:ind w:firstLine="709"/>
        <w:jc w:val="both"/>
        <w:rPr>
          <w:rFonts w:ascii="Verdana" w:hAnsi="Verdana" w:cs="Arial"/>
          <w:color w:val="000000" w:themeColor="text1"/>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w:t>
      </w:r>
      <w:r w:rsidRPr="00797430">
        <w:rPr>
          <w:rFonts w:ascii="Verdana" w:hAnsi="Verdana" w:cs="Arial"/>
          <w:sz w:val="14"/>
          <w:szCs w:val="14"/>
          <w:lang w:val="es-CO"/>
        </w:rPr>
        <w:t xml:space="preserve">La Versión 02 de esta Guía fue adoptada el 24 de junio de 2022. Disponible en </w:t>
      </w:r>
      <w:hyperlink r:id="rId1" w:history="1">
        <w:r w:rsidRPr="00797430">
          <w:rPr>
            <w:rStyle w:val="Hipervnculo"/>
            <w:rFonts w:ascii="Verdana" w:hAnsi="Verdana" w:cs="Arial"/>
            <w:color w:val="000000" w:themeColor="text1"/>
            <w:sz w:val="14"/>
            <w:szCs w:val="14"/>
          </w:rPr>
          <w:t>https://colombiacompra.gov.co/sites/cce_public/files/cce_documentos/cce-eicp-gi-18._gees_v.2_2.pdf</w:t>
        </w:r>
      </w:hyperlink>
      <w:r w:rsidRPr="00797430">
        <w:rPr>
          <w:rFonts w:ascii="Verdana" w:hAnsi="Verdana" w:cs="Arial"/>
          <w:color w:val="000000" w:themeColor="text1"/>
          <w:sz w:val="14"/>
          <w:szCs w:val="14"/>
        </w:rPr>
        <w:t xml:space="preserve">  </w:t>
      </w:r>
    </w:p>
    <w:p w14:paraId="79D4E16F" w14:textId="77777777" w:rsidR="00D32067" w:rsidRPr="00797430" w:rsidRDefault="00D32067" w:rsidP="00D32067">
      <w:pPr>
        <w:pStyle w:val="Textonotapie"/>
        <w:ind w:firstLine="709"/>
        <w:jc w:val="both"/>
        <w:rPr>
          <w:rFonts w:ascii="Verdana" w:hAnsi="Verdana" w:cs="Arial"/>
          <w:sz w:val="14"/>
          <w:szCs w:val="14"/>
          <w:lang w:val="es-CO"/>
        </w:rPr>
      </w:pPr>
    </w:p>
  </w:footnote>
  <w:footnote w:id="6">
    <w:p w14:paraId="76D959D4" w14:textId="77777777" w:rsidR="00D32067" w:rsidRPr="00797430" w:rsidRDefault="00D32067" w:rsidP="00D32067">
      <w:pPr>
        <w:pStyle w:val="Textonotapie"/>
        <w:ind w:firstLine="709"/>
        <w:jc w:val="both"/>
        <w:rPr>
          <w:rFonts w:ascii="Verdana" w:hAnsi="Verdana" w:cs="Arial"/>
          <w:sz w:val="14"/>
          <w:szCs w:val="14"/>
          <w:lang w:val="es-ES"/>
        </w:rPr>
      </w:pPr>
      <w:r w:rsidRPr="00797430">
        <w:rPr>
          <w:rStyle w:val="Refdenotaalpie"/>
          <w:rFonts w:ascii="Verdana" w:hAnsi="Verdana" w:cs="Arial"/>
          <w:sz w:val="14"/>
          <w:szCs w:val="14"/>
        </w:rPr>
        <w:footnoteRef/>
      </w:r>
      <w:r w:rsidRPr="00797430">
        <w:rPr>
          <w:rFonts w:ascii="Verdana" w:hAnsi="Verdana" w:cs="Arial"/>
          <w:sz w:val="14"/>
          <w:szCs w:val="14"/>
        </w:rPr>
        <w:t xml:space="preserve"> De conformidad con lo indicado en la Guía, e</w:t>
      </w:r>
      <w:r w:rsidRPr="00797430">
        <w:rPr>
          <w:rFonts w:ascii="Verdana" w:hAnsi="Verdana" w:cs="Arial"/>
          <w:sz w:val="14"/>
          <w:szCs w:val="14"/>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7">
    <w:p w14:paraId="0B58199F" w14:textId="77777777" w:rsidR="00D32067" w:rsidRPr="00797430" w:rsidRDefault="00D32067" w:rsidP="00D32067">
      <w:pPr>
        <w:pStyle w:val="Textonotapie"/>
        <w:ind w:firstLine="708"/>
        <w:jc w:val="both"/>
        <w:rPr>
          <w:rFonts w:ascii="Verdana" w:hAnsi="Verdana" w:cs="Arial"/>
          <w:sz w:val="14"/>
          <w:szCs w:val="14"/>
        </w:rPr>
      </w:pPr>
      <w:r w:rsidRPr="00797430">
        <w:rPr>
          <w:rStyle w:val="Refdenotaalpie"/>
          <w:rFonts w:ascii="Verdana" w:hAnsi="Verdana" w:cs="Arial"/>
          <w:sz w:val="14"/>
          <w:szCs w:val="14"/>
        </w:rPr>
        <w:footnoteRef/>
      </w:r>
      <w:r w:rsidRPr="00797430">
        <w:rPr>
          <w:rFonts w:ascii="Verdana" w:hAnsi="Verdana" w:cs="Arial"/>
          <w:sz w:val="14"/>
          <w:szCs w:val="14"/>
        </w:rPr>
        <w:t xml:space="preserve"> Consejo de Estado. Sección Tercera. Sentencia del 27 de abril de 2011. Exp.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15"/>
  </w:num>
  <w:num w:numId="6" w16cid:durableId="130758360">
    <w:abstractNumId w:val="10"/>
  </w:num>
  <w:num w:numId="7" w16cid:durableId="262541512">
    <w:abstractNumId w:val="14"/>
  </w:num>
  <w:num w:numId="8" w16cid:durableId="1947226218">
    <w:abstractNumId w:val="7"/>
  </w:num>
  <w:num w:numId="9" w16cid:durableId="1180706126">
    <w:abstractNumId w:val="9"/>
  </w:num>
  <w:num w:numId="10" w16cid:durableId="2097506960">
    <w:abstractNumId w:val="13"/>
  </w:num>
  <w:num w:numId="11" w16cid:durableId="1977490869">
    <w:abstractNumId w:val="12"/>
  </w:num>
  <w:num w:numId="12" w16cid:durableId="158663248">
    <w:abstractNumId w:val="11"/>
  </w:num>
  <w:num w:numId="13" w16cid:durableId="2024085788">
    <w:abstractNumId w:val="1"/>
  </w:num>
  <w:num w:numId="14" w16cid:durableId="1885099950">
    <w:abstractNumId w:val="6"/>
  </w:num>
  <w:num w:numId="15" w16cid:durableId="32047459">
    <w:abstractNumId w:val="3"/>
  </w:num>
  <w:num w:numId="16" w16cid:durableId="1192261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1025F"/>
    <w:rsid w:val="0001155E"/>
    <w:rsid w:val="00011613"/>
    <w:rsid w:val="00011D3C"/>
    <w:rsid w:val="0001222D"/>
    <w:rsid w:val="00012EDA"/>
    <w:rsid w:val="00013B3F"/>
    <w:rsid w:val="00014981"/>
    <w:rsid w:val="00014B0D"/>
    <w:rsid w:val="00016280"/>
    <w:rsid w:val="0001672C"/>
    <w:rsid w:val="00016F04"/>
    <w:rsid w:val="00017870"/>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A8B"/>
    <w:rsid w:val="00040372"/>
    <w:rsid w:val="000408AD"/>
    <w:rsid w:val="00041469"/>
    <w:rsid w:val="000419D7"/>
    <w:rsid w:val="00042DD7"/>
    <w:rsid w:val="000442CC"/>
    <w:rsid w:val="000442DE"/>
    <w:rsid w:val="00044B24"/>
    <w:rsid w:val="0004508D"/>
    <w:rsid w:val="0004709D"/>
    <w:rsid w:val="000504AA"/>
    <w:rsid w:val="0005086B"/>
    <w:rsid w:val="00050C95"/>
    <w:rsid w:val="00050CAD"/>
    <w:rsid w:val="0005142D"/>
    <w:rsid w:val="00051A3C"/>
    <w:rsid w:val="00051BE4"/>
    <w:rsid w:val="000526A8"/>
    <w:rsid w:val="0005420B"/>
    <w:rsid w:val="000551CB"/>
    <w:rsid w:val="0005620B"/>
    <w:rsid w:val="00057392"/>
    <w:rsid w:val="000577A2"/>
    <w:rsid w:val="000577D3"/>
    <w:rsid w:val="00057963"/>
    <w:rsid w:val="000579AB"/>
    <w:rsid w:val="00060AE4"/>
    <w:rsid w:val="000622B9"/>
    <w:rsid w:val="00064721"/>
    <w:rsid w:val="00065973"/>
    <w:rsid w:val="00065C6D"/>
    <w:rsid w:val="000665D3"/>
    <w:rsid w:val="00066646"/>
    <w:rsid w:val="00066C7A"/>
    <w:rsid w:val="0007144A"/>
    <w:rsid w:val="000716AB"/>
    <w:rsid w:val="00071AB8"/>
    <w:rsid w:val="0007243A"/>
    <w:rsid w:val="000762C0"/>
    <w:rsid w:val="00076C2B"/>
    <w:rsid w:val="00076C73"/>
    <w:rsid w:val="00076F81"/>
    <w:rsid w:val="000779DE"/>
    <w:rsid w:val="000800B6"/>
    <w:rsid w:val="000847A0"/>
    <w:rsid w:val="00084BFD"/>
    <w:rsid w:val="00087073"/>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6B0C"/>
    <w:rsid w:val="00097285"/>
    <w:rsid w:val="000975EA"/>
    <w:rsid w:val="000A021A"/>
    <w:rsid w:val="000A1828"/>
    <w:rsid w:val="000A1D06"/>
    <w:rsid w:val="000A1F38"/>
    <w:rsid w:val="000A2030"/>
    <w:rsid w:val="000A413A"/>
    <w:rsid w:val="000A4F1E"/>
    <w:rsid w:val="000A5881"/>
    <w:rsid w:val="000A66A1"/>
    <w:rsid w:val="000A69FB"/>
    <w:rsid w:val="000B1087"/>
    <w:rsid w:val="000B199A"/>
    <w:rsid w:val="000B1FF7"/>
    <w:rsid w:val="000B2529"/>
    <w:rsid w:val="000B2B7C"/>
    <w:rsid w:val="000B381D"/>
    <w:rsid w:val="000B3DD4"/>
    <w:rsid w:val="000B4024"/>
    <w:rsid w:val="000B44BA"/>
    <w:rsid w:val="000B5313"/>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0ADE"/>
    <w:rsid w:val="000D1A8F"/>
    <w:rsid w:val="000D2914"/>
    <w:rsid w:val="000D2E60"/>
    <w:rsid w:val="000D2F5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81D"/>
    <w:rsid w:val="000E4DBF"/>
    <w:rsid w:val="000E4DF2"/>
    <w:rsid w:val="000F0144"/>
    <w:rsid w:val="000F0807"/>
    <w:rsid w:val="000F0B3C"/>
    <w:rsid w:val="000F13D5"/>
    <w:rsid w:val="000F1AD8"/>
    <w:rsid w:val="000F2F4C"/>
    <w:rsid w:val="000F38D9"/>
    <w:rsid w:val="000F3CED"/>
    <w:rsid w:val="000F414C"/>
    <w:rsid w:val="000F64FC"/>
    <w:rsid w:val="000F696E"/>
    <w:rsid w:val="000F718E"/>
    <w:rsid w:val="001001F2"/>
    <w:rsid w:val="00100207"/>
    <w:rsid w:val="001003C6"/>
    <w:rsid w:val="00100682"/>
    <w:rsid w:val="001010D3"/>
    <w:rsid w:val="00101C11"/>
    <w:rsid w:val="00102F4F"/>
    <w:rsid w:val="001034DD"/>
    <w:rsid w:val="00104425"/>
    <w:rsid w:val="00104B4C"/>
    <w:rsid w:val="001055A2"/>
    <w:rsid w:val="0010682A"/>
    <w:rsid w:val="00106C4C"/>
    <w:rsid w:val="00107DEF"/>
    <w:rsid w:val="0011037E"/>
    <w:rsid w:val="00110404"/>
    <w:rsid w:val="00110F73"/>
    <w:rsid w:val="00111E35"/>
    <w:rsid w:val="001128B4"/>
    <w:rsid w:val="00112EBD"/>
    <w:rsid w:val="001132C2"/>
    <w:rsid w:val="0011382D"/>
    <w:rsid w:val="00113AF2"/>
    <w:rsid w:val="00113C17"/>
    <w:rsid w:val="00114051"/>
    <w:rsid w:val="00114FDF"/>
    <w:rsid w:val="0011650B"/>
    <w:rsid w:val="00116616"/>
    <w:rsid w:val="00116FC5"/>
    <w:rsid w:val="00117BBD"/>
    <w:rsid w:val="001213E7"/>
    <w:rsid w:val="001224BA"/>
    <w:rsid w:val="001238BC"/>
    <w:rsid w:val="00124518"/>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46E7C"/>
    <w:rsid w:val="001513CE"/>
    <w:rsid w:val="00151465"/>
    <w:rsid w:val="00151AD8"/>
    <w:rsid w:val="00151E77"/>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2F9F"/>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AE4"/>
    <w:rsid w:val="00186D14"/>
    <w:rsid w:val="001876D8"/>
    <w:rsid w:val="00190325"/>
    <w:rsid w:val="00190391"/>
    <w:rsid w:val="001908AD"/>
    <w:rsid w:val="0019151E"/>
    <w:rsid w:val="00191593"/>
    <w:rsid w:val="001918F1"/>
    <w:rsid w:val="0019196E"/>
    <w:rsid w:val="00191FF5"/>
    <w:rsid w:val="001926D7"/>
    <w:rsid w:val="00192CCE"/>
    <w:rsid w:val="0019385B"/>
    <w:rsid w:val="00193F1C"/>
    <w:rsid w:val="001948F5"/>
    <w:rsid w:val="00194958"/>
    <w:rsid w:val="00197205"/>
    <w:rsid w:val="0019793F"/>
    <w:rsid w:val="00197A9D"/>
    <w:rsid w:val="001A08E7"/>
    <w:rsid w:val="001A17D7"/>
    <w:rsid w:val="001A1FDD"/>
    <w:rsid w:val="001A2D8F"/>
    <w:rsid w:val="001A3D89"/>
    <w:rsid w:val="001A545B"/>
    <w:rsid w:val="001A54DA"/>
    <w:rsid w:val="001A6861"/>
    <w:rsid w:val="001A6FEC"/>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E89"/>
    <w:rsid w:val="001C0125"/>
    <w:rsid w:val="001C1074"/>
    <w:rsid w:val="001C25F5"/>
    <w:rsid w:val="001C34D0"/>
    <w:rsid w:val="001C4249"/>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819"/>
    <w:rsid w:val="001F61DE"/>
    <w:rsid w:val="001F7054"/>
    <w:rsid w:val="002000AA"/>
    <w:rsid w:val="00201502"/>
    <w:rsid w:val="0020302A"/>
    <w:rsid w:val="002032A0"/>
    <w:rsid w:val="00203532"/>
    <w:rsid w:val="00203AE0"/>
    <w:rsid w:val="00204106"/>
    <w:rsid w:val="00204109"/>
    <w:rsid w:val="00205041"/>
    <w:rsid w:val="0020524C"/>
    <w:rsid w:val="002059E3"/>
    <w:rsid w:val="002100FF"/>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5AB"/>
    <w:rsid w:val="002231B0"/>
    <w:rsid w:val="002250D1"/>
    <w:rsid w:val="002267D2"/>
    <w:rsid w:val="00230839"/>
    <w:rsid w:val="00231ADB"/>
    <w:rsid w:val="00232178"/>
    <w:rsid w:val="00232248"/>
    <w:rsid w:val="00232D12"/>
    <w:rsid w:val="00233975"/>
    <w:rsid w:val="002353E3"/>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4C7C"/>
    <w:rsid w:val="0026650F"/>
    <w:rsid w:val="00266DC3"/>
    <w:rsid w:val="0027029D"/>
    <w:rsid w:val="00270443"/>
    <w:rsid w:val="00270EE2"/>
    <w:rsid w:val="0027138C"/>
    <w:rsid w:val="00272787"/>
    <w:rsid w:val="00272826"/>
    <w:rsid w:val="00272A7B"/>
    <w:rsid w:val="00272C44"/>
    <w:rsid w:val="00273527"/>
    <w:rsid w:val="00273F6B"/>
    <w:rsid w:val="002747EF"/>
    <w:rsid w:val="00274B06"/>
    <w:rsid w:val="002751D6"/>
    <w:rsid w:val="002754D3"/>
    <w:rsid w:val="00276944"/>
    <w:rsid w:val="002769AE"/>
    <w:rsid w:val="002817A6"/>
    <w:rsid w:val="002821E8"/>
    <w:rsid w:val="00282F1D"/>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B64"/>
    <w:rsid w:val="00291CB7"/>
    <w:rsid w:val="00292E91"/>
    <w:rsid w:val="002930AD"/>
    <w:rsid w:val="00293254"/>
    <w:rsid w:val="00295002"/>
    <w:rsid w:val="0029568E"/>
    <w:rsid w:val="002971C7"/>
    <w:rsid w:val="002971F2"/>
    <w:rsid w:val="00297785"/>
    <w:rsid w:val="00297E05"/>
    <w:rsid w:val="002A0444"/>
    <w:rsid w:val="002A0F8D"/>
    <w:rsid w:val="002A1311"/>
    <w:rsid w:val="002A1377"/>
    <w:rsid w:val="002A211A"/>
    <w:rsid w:val="002A264B"/>
    <w:rsid w:val="002A4A82"/>
    <w:rsid w:val="002A4B33"/>
    <w:rsid w:val="002A5311"/>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532B"/>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317F"/>
    <w:rsid w:val="002F51A2"/>
    <w:rsid w:val="002F5E95"/>
    <w:rsid w:val="002F63CA"/>
    <w:rsid w:val="002F67B4"/>
    <w:rsid w:val="002F6F73"/>
    <w:rsid w:val="002F7AA9"/>
    <w:rsid w:val="003004E3"/>
    <w:rsid w:val="00301C0D"/>
    <w:rsid w:val="00301D7B"/>
    <w:rsid w:val="00301E19"/>
    <w:rsid w:val="003023DE"/>
    <w:rsid w:val="00303DC4"/>
    <w:rsid w:val="00304676"/>
    <w:rsid w:val="00306BE7"/>
    <w:rsid w:val="00311B66"/>
    <w:rsid w:val="00311F29"/>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643D"/>
    <w:rsid w:val="00326D02"/>
    <w:rsid w:val="00327069"/>
    <w:rsid w:val="00327812"/>
    <w:rsid w:val="00327AFB"/>
    <w:rsid w:val="00327BAF"/>
    <w:rsid w:val="00327D10"/>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3B47"/>
    <w:rsid w:val="0034404F"/>
    <w:rsid w:val="00344ACC"/>
    <w:rsid w:val="00345F01"/>
    <w:rsid w:val="0034654F"/>
    <w:rsid w:val="00346B28"/>
    <w:rsid w:val="00347685"/>
    <w:rsid w:val="003509A5"/>
    <w:rsid w:val="00351E21"/>
    <w:rsid w:val="00352327"/>
    <w:rsid w:val="00354062"/>
    <w:rsid w:val="00354405"/>
    <w:rsid w:val="00355A76"/>
    <w:rsid w:val="0035635F"/>
    <w:rsid w:val="00356E0F"/>
    <w:rsid w:val="003607EE"/>
    <w:rsid w:val="00360BC8"/>
    <w:rsid w:val="00360E35"/>
    <w:rsid w:val="003617AE"/>
    <w:rsid w:val="0036215C"/>
    <w:rsid w:val="003630F7"/>
    <w:rsid w:val="00363589"/>
    <w:rsid w:val="00363636"/>
    <w:rsid w:val="003651AC"/>
    <w:rsid w:val="003653AA"/>
    <w:rsid w:val="00366120"/>
    <w:rsid w:val="003661FF"/>
    <w:rsid w:val="00366A0C"/>
    <w:rsid w:val="00367462"/>
    <w:rsid w:val="003677D5"/>
    <w:rsid w:val="0037034B"/>
    <w:rsid w:val="00370507"/>
    <w:rsid w:val="00370682"/>
    <w:rsid w:val="003718D8"/>
    <w:rsid w:val="00372A01"/>
    <w:rsid w:val="003733DF"/>
    <w:rsid w:val="00373865"/>
    <w:rsid w:val="00373CE8"/>
    <w:rsid w:val="00374DB0"/>
    <w:rsid w:val="003751C7"/>
    <w:rsid w:val="00375C84"/>
    <w:rsid w:val="00376524"/>
    <w:rsid w:val="00376E3B"/>
    <w:rsid w:val="003776FE"/>
    <w:rsid w:val="00380424"/>
    <w:rsid w:val="00380868"/>
    <w:rsid w:val="00380B9B"/>
    <w:rsid w:val="003818B3"/>
    <w:rsid w:val="003819F5"/>
    <w:rsid w:val="00381B57"/>
    <w:rsid w:val="00381D47"/>
    <w:rsid w:val="003821CC"/>
    <w:rsid w:val="003835F0"/>
    <w:rsid w:val="003853B1"/>
    <w:rsid w:val="003853ED"/>
    <w:rsid w:val="00386421"/>
    <w:rsid w:val="00387AA1"/>
    <w:rsid w:val="0039082A"/>
    <w:rsid w:val="0039101F"/>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D2E"/>
    <w:rsid w:val="003A3FF7"/>
    <w:rsid w:val="003A43D1"/>
    <w:rsid w:val="003A6E29"/>
    <w:rsid w:val="003B0BDB"/>
    <w:rsid w:val="003B0E88"/>
    <w:rsid w:val="003B153F"/>
    <w:rsid w:val="003B17B0"/>
    <w:rsid w:val="003B1844"/>
    <w:rsid w:val="003B211E"/>
    <w:rsid w:val="003B24EA"/>
    <w:rsid w:val="003B2DA7"/>
    <w:rsid w:val="003B3AB7"/>
    <w:rsid w:val="003B3ABC"/>
    <w:rsid w:val="003B3D8E"/>
    <w:rsid w:val="003B3FED"/>
    <w:rsid w:val="003B3FF1"/>
    <w:rsid w:val="003B4217"/>
    <w:rsid w:val="003B59A1"/>
    <w:rsid w:val="003B74F1"/>
    <w:rsid w:val="003B7541"/>
    <w:rsid w:val="003B7F07"/>
    <w:rsid w:val="003B7FCE"/>
    <w:rsid w:val="003C0F87"/>
    <w:rsid w:val="003C141E"/>
    <w:rsid w:val="003C1B83"/>
    <w:rsid w:val="003C210E"/>
    <w:rsid w:val="003C21B3"/>
    <w:rsid w:val="003C3503"/>
    <w:rsid w:val="003C40DE"/>
    <w:rsid w:val="003C4851"/>
    <w:rsid w:val="003C4C96"/>
    <w:rsid w:val="003C55E0"/>
    <w:rsid w:val="003C5E39"/>
    <w:rsid w:val="003C683A"/>
    <w:rsid w:val="003D0079"/>
    <w:rsid w:val="003D04D6"/>
    <w:rsid w:val="003D10EC"/>
    <w:rsid w:val="003D29B9"/>
    <w:rsid w:val="003D3500"/>
    <w:rsid w:val="003D37B6"/>
    <w:rsid w:val="003D503A"/>
    <w:rsid w:val="003D71A6"/>
    <w:rsid w:val="003D7709"/>
    <w:rsid w:val="003E0BAF"/>
    <w:rsid w:val="003E0E25"/>
    <w:rsid w:val="003E1409"/>
    <w:rsid w:val="003E16F2"/>
    <w:rsid w:val="003E4A52"/>
    <w:rsid w:val="003E78A9"/>
    <w:rsid w:val="003E7912"/>
    <w:rsid w:val="003F04E6"/>
    <w:rsid w:val="003F2CDD"/>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544F"/>
    <w:rsid w:val="0040625C"/>
    <w:rsid w:val="004069D2"/>
    <w:rsid w:val="004076FF"/>
    <w:rsid w:val="00411B17"/>
    <w:rsid w:val="0041222D"/>
    <w:rsid w:val="004124F2"/>
    <w:rsid w:val="00412E6F"/>
    <w:rsid w:val="00413C5C"/>
    <w:rsid w:val="0041413F"/>
    <w:rsid w:val="0041567A"/>
    <w:rsid w:val="00415BCF"/>
    <w:rsid w:val="00416297"/>
    <w:rsid w:val="00417083"/>
    <w:rsid w:val="0042057C"/>
    <w:rsid w:val="00420BDF"/>
    <w:rsid w:val="00421608"/>
    <w:rsid w:val="00421C23"/>
    <w:rsid w:val="0042261E"/>
    <w:rsid w:val="00422749"/>
    <w:rsid w:val="004233DC"/>
    <w:rsid w:val="00424888"/>
    <w:rsid w:val="004255D9"/>
    <w:rsid w:val="00425763"/>
    <w:rsid w:val="00425C3C"/>
    <w:rsid w:val="00427D1B"/>
    <w:rsid w:val="004306AB"/>
    <w:rsid w:val="0043159D"/>
    <w:rsid w:val="0043171D"/>
    <w:rsid w:val="00432F78"/>
    <w:rsid w:val="004334A2"/>
    <w:rsid w:val="004335BC"/>
    <w:rsid w:val="00434723"/>
    <w:rsid w:val="00434729"/>
    <w:rsid w:val="0043617B"/>
    <w:rsid w:val="00437D17"/>
    <w:rsid w:val="00437D2F"/>
    <w:rsid w:val="00437DFA"/>
    <w:rsid w:val="0044046D"/>
    <w:rsid w:val="004410D3"/>
    <w:rsid w:val="00441DAF"/>
    <w:rsid w:val="0044270D"/>
    <w:rsid w:val="00442E8C"/>
    <w:rsid w:val="00443310"/>
    <w:rsid w:val="004435D5"/>
    <w:rsid w:val="00443A34"/>
    <w:rsid w:val="00443D38"/>
    <w:rsid w:val="00444140"/>
    <w:rsid w:val="00444BF5"/>
    <w:rsid w:val="00444F43"/>
    <w:rsid w:val="00450744"/>
    <w:rsid w:val="00450BE7"/>
    <w:rsid w:val="00450FE8"/>
    <w:rsid w:val="0045213A"/>
    <w:rsid w:val="0045230E"/>
    <w:rsid w:val="004528FA"/>
    <w:rsid w:val="00452D67"/>
    <w:rsid w:val="00452E53"/>
    <w:rsid w:val="00454EDC"/>
    <w:rsid w:val="00455B00"/>
    <w:rsid w:val="00455B97"/>
    <w:rsid w:val="00456635"/>
    <w:rsid w:val="00456BFD"/>
    <w:rsid w:val="004575D5"/>
    <w:rsid w:val="004607D0"/>
    <w:rsid w:val="00460CE3"/>
    <w:rsid w:val="004612A4"/>
    <w:rsid w:val="004624D2"/>
    <w:rsid w:val="004625C8"/>
    <w:rsid w:val="0046442A"/>
    <w:rsid w:val="00464BF1"/>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7459"/>
    <w:rsid w:val="00477CC9"/>
    <w:rsid w:val="0048026E"/>
    <w:rsid w:val="00480303"/>
    <w:rsid w:val="004807A9"/>
    <w:rsid w:val="00480A8A"/>
    <w:rsid w:val="004810E0"/>
    <w:rsid w:val="00481318"/>
    <w:rsid w:val="004813EE"/>
    <w:rsid w:val="00481835"/>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2DE3"/>
    <w:rsid w:val="004B53F1"/>
    <w:rsid w:val="004B5D6E"/>
    <w:rsid w:val="004B60BA"/>
    <w:rsid w:val="004B6946"/>
    <w:rsid w:val="004B6E81"/>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41A2"/>
    <w:rsid w:val="004D502C"/>
    <w:rsid w:val="004D60A3"/>
    <w:rsid w:val="004D71CA"/>
    <w:rsid w:val="004E016A"/>
    <w:rsid w:val="004E0461"/>
    <w:rsid w:val="004E29B1"/>
    <w:rsid w:val="004E3F87"/>
    <w:rsid w:val="004E461B"/>
    <w:rsid w:val="004E477D"/>
    <w:rsid w:val="004E5890"/>
    <w:rsid w:val="004E79EF"/>
    <w:rsid w:val="004E7B33"/>
    <w:rsid w:val="004F0368"/>
    <w:rsid w:val="004F0D19"/>
    <w:rsid w:val="004F121B"/>
    <w:rsid w:val="004F2811"/>
    <w:rsid w:val="004F3326"/>
    <w:rsid w:val="004F590E"/>
    <w:rsid w:val="004F5966"/>
    <w:rsid w:val="004F60F4"/>
    <w:rsid w:val="004F62E8"/>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9B2"/>
    <w:rsid w:val="00510452"/>
    <w:rsid w:val="005108EC"/>
    <w:rsid w:val="00511F8F"/>
    <w:rsid w:val="00513291"/>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29DA"/>
    <w:rsid w:val="0053322F"/>
    <w:rsid w:val="00533DBF"/>
    <w:rsid w:val="00534940"/>
    <w:rsid w:val="00535673"/>
    <w:rsid w:val="00535D6B"/>
    <w:rsid w:val="00536442"/>
    <w:rsid w:val="005374FE"/>
    <w:rsid w:val="0054053D"/>
    <w:rsid w:val="0054126C"/>
    <w:rsid w:val="005415DD"/>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52D5"/>
    <w:rsid w:val="00567227"/>
    <w:rsid w:val="00570C7B"/>
    <w:rsid w:val="00571C77"/>
    <w:rsid w:val="00574614"/>
    <w:rsid w:val="00574A70"/>
    <w:rsid w:val="00574D35"/>
    <w:rsid w:val="00575C75"/>
    <w:rsid w:val="005770CF"/>
    <w:rsid w:val="00577904"/>
    <w:rsid w:val="00577922"/>
    <w:rsid w:val="00577AC3"/>
    <w:rsid w:val="005815A8"/>
    <w:rsid w:val="00581915"/>
    <w:rsid w:val="00583431"/>
    <w:rsid w:val="005846C0"/>
    <w:rsid w:val="00584D04"/>
    <w:rsid w:val="0058567E"/>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A6F"/>
    <w:rsid w:val="005C0FA7"/>
    <w:rsid w:val="005C1C0E"/>
    <w:rsid w:val="005C36E2"/>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0681"/>
    <w:rsid w:val="005E1218"/>
    <w:rsid w:val="005E1B6B"/>
    <w:rsid w:val="005E1F61"/>
    <w:rsid w:val="005E2281"/>
    <w:rsid w:val="005E236C"/>
    <w:rsid w:val="005E351B"/>
    <w:rsid w:val="005E38A8"/>
    <w:rsid w:val="005E39F9"/>
    <w:rsid w:val="005E4828"/>
    <w:rsid w:val="005E5016"/>
    <w:rsid w:val="005E5231"/>
    <w:rsid w:val="005E55BB"/>
    <w:rsid w:val="005E5D11"/>
    <w:rsid w:val="005E667C"/>
    <w:rsid w:val="005E6A1D"/>
    <w:rsid w:val="005E6F12"/>
    <w:rsid w:val="005E733E"/>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A3B"/>
    <w:rsid w:val="00612389"/>
    <w:rsid w:val="00612570"/>
    <w:rsid w:val="00612871"/>
    <w:rsid w:val="00612929"/>
    <w:rsid w:val="00612A44"/>
    <w:rsid w:val="00612A8E"/>
    <w:rsid w:val="00613098"/>
    <w:rsid w:val="006134D9"/>
    <w:rsid w:val="006135DA"/>
    <w:rsid w:val="00613BDC"/>
    <w:rsid w:val="00615564"/>
    <w:rsid w:val="006155E2"/>
    <w:rsid w:val="00615F26"/>
    <w:rsid w:val="00617A81"/>
    <w:rsid w:val="00617DEC"/>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0EAE"/>
    <w:rsid w:val="006312D0"/>
    <w:rsid w:val="006318A4"/>
    <w:rsid w:val="00631D4F"/>
    <w:rsid w:val="00633496"/>
    <w:rsid w:val="006338D2"/>
    <w:rsid w:val="00633F92"/>
    <w:rsid w:val="0063435E"/>
    <w:rsid w:val="00634CB2"/>
    <w:rsid w:val="006357E2"/>
    <w:rsid w:val="00635FD8"/>
    <w:rsid w:val="00636651"/>
    <w:rsid w:val="00636F7B"/>
    <w:rsid w:val="0064019C"/>
    <w:rsid w:val="00640288"/>
    <w:rsid w:val="006405AC"/>
    <w:rsid w:val="0064099D"/>
    <w:rsid w:val="006412CD"/>
    <w:rsid w:val="006413D8"/>
    <w:rsid w:val="00641B7B"/>
    <w:rsid w:val="00641C55"/>
    <w:rsid w:val="00642405"/>
    <w:rsid w:val="00642645"/>
    <w:rsid w:val="006437E8"/>
    <w:rsid w:val="006438E0"/>
    <w:rsid w:val="00644BED"/>
    <w:rsid w:val="006455CB"/>
    <w:rsid w:val="00646FD5"/>
    <w:rsid w:val="00647680"/>
    <w:rsid w:val="00647743"/>
    <w:rsid w:val="006510C0"/>
    <w:rsid w:val="00652092"/>
    <w:rsid w:val="00652472"/>
    <w:rsid w:val="0065394E"/>
    <w:rsid w:val="00653B38"/>
    <w:rsid w:val="00656385"/>
    <w:rsid w:val="00656F19"/>
    <w:rsid w:val="00657BB7"/>
    <w:rsid w:val="00660552"/>
    <w:rsid w:val="00660DBE"/>
    <w:rsid w:val="00661113"/>
    <w:rsid w:val="0066127D"/>
    <w:rsid w:val="00661AB0"/>
    <w:rsid w:val="006623A4"/>
    <w:rsid w:val="0066351C"/>
    <w:rsid w:val="006635BF"/>
    <w:rsid w:val="00664693"/>
    <w:rsid w:val="0066475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537F"/>
    <w:rsid w:val="00686104"/>
    <w:rsid w:val="00686334"/>
    <w:rsid w:val="00686C3A"/>
    <w:rsid w:val="00687628"/>
    <w:rsid w:val="00687CFE"/>
    <w:rsid w:val="0069035A"/>
    <w:rsid w:val="00690EB8"/>
    <w:rsid w:val="006915E5"/>
    <w:rsid w:val="00692401"/>
    <w:rsid w:val="006941CC"/>
    <w:rsid w:val="006945D4"/>
    <w:rsid w:val="00694EC0"/>
    <w:rsid w:val="00695F56"/>
    <w:rsid w:val="0069758B"/>
    <w:rsid w:val="006A0A70"/>
    <w:rsid w:val="006A0B6C"/>
    <w:rsid w:val="006A1692"/>
    <w:rsid w:val="006A16E1"/>
    <w:rsid w:val="006A3293"/>
    <w:rsid w:val="006A3C8A"/>
    <w:rsid w:val="006A3E61"/>
    <w:rsid w:val="006A5213"/>
    <w:rsid w:val="006A6003"/>
    <w:rsid w:val="006A6737"/>
    <w:rsid w:val="006B1E08"/>
    <w:rsid w:val="006B26B1"/>
    <w:rsid w:val="006B2E45"/>
    <w:rsid w:val="006B3875"/>
    <w:rsid w:val="006B425B"/>
    <w:rsid w:val="006B545C"/>
    <w:rsid w:val="006B5AC8"/>
    <w:rsid w:val="006B5D32"/>
    <w:rsid w:val="006B758B"/>
    <w:rsid w:val="006B7BF8"/>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2F09"/>
    <w:rsid w:val="006D2FD2"/>
    <w:rsid w:val="006D33E6"/>
    <w:rsid w:val="006D3DC0"/>
    <w:rsid w:val="006D40C4"/>
    <w:rsid w:val="006D4162"/>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29F"/>
    <w:rsid w:val="006E47E0"/>
    <w:rsid w:val="006E6F30"/>
    <w:rsid w:val="006E6FE9"/>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2AC"/>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55CE"/>
    <w:rsid w:val="007168A0"/>
    <w:rsid w:val="00716BC6"/>
    <w:rsid w:val="00716C95"/>
    <w:rsid w:val="00717762"/>
    <w:rsid w:val="007204DA"/>
    <w:rsid w:val="00721A63"/>
    <w:rsid w:val="00721DED"/>
    <w:rsid w:val="00721FF9"/>
    <w:rsid w:val="0072229E"/>
    <w:rsid w:val="0072337E"/>
    <w:rsid w:val="00723696"/>
    <w:rsid w:val="0072442F"/>
    <w:rsid w:val="0072541E"/>
    <w:rsid w:val="00725735"/>
    <w:rsid w:val="0072630D"/>
    <w:rsid w:val="00726A2A"/>
    <w:rsid w:val="007271E9"/>
    <w:rsid w:val="007273BC"/>
    <w:rsid w:val="007275FD"/>
    <w:rsid w:val="007276E5"/>
    <w:rsid w:val="00730943"/>
    <w:rsid w:val="00733E5A"/>
    <w:rsid w:val="00733F25"/>
    <w:rsid w:val="00736395"/>
    <w:rsid w:val="00736459"/>
    <w:rsid w:val="0073685F"/>
    <w:rsid w:val="00737821"/>
    <w:rsid w:val="0074058F"/>
    <w:rsid w:val="00740E86"/>
    <w:rsid w:val="00741175"/>
    <w:rsid w:val="007419FB"/>
    <w:rsid w:val="00742606"/>
    <w:rsid w:val="007441FF"/>
    <w:rsid w:val="00744EE8"/>
    <w:rsid w:val="007459F5"/>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70C54"/>
    <w:rsid w:val="00771344"/>
    <w:rsid w:val="00772613"/>
    <w:rsid w:val="00772B41"/>
    <w:rsid w:val="00772CED"/>
    <w:rsid w:val="00773EA1"/>
    <w:rsid w:val="00775215"/>
    <w:rsid w:val="00776ACC"/>
    <w:rsid w:val="00777C71"/>
    <w:rsid w:val="00777D6B"/>
    <w:rsid w:val="00777F20"/>
    <w:rsid w:val="0078080B"/>
    <w:rsid w:val="00781148"/>
    <w:rsid w:val="00781F98"/>
    <w:rsid w:val="0078265B"/>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257D"/>
    <w:rsid w:val="007A2CB0"/>
    <w:rsid w:val="007A343D"/>
    <w:rsid w:val="007A38CE"/>
    <w:rsid w:val="007A3F1C"/>
    <w:rsid w:val="007A5ACE"/>
    <w:rsid w:val="007A5C5C"/>
    <w:rsid w:val="007A6528"/>
    <w:rsid w:val="007A7B48"/>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B24"/>
    <w:rsid w:val="007D267F"/>
    <w:rsid w:val="007D3A3E"/>
    <w:rsid w:val="007D400A"/>
    <w:rsid w:val="007D4B0E"/>
    <w:rsid w:val="007D4DD2"/>
    <w:rsid w:val="007D5D0F"/>
    <w:rsid w:val="007D6EA8"/>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7C"/>
    <w:rsid w:val="00834BE2"/>
    <w:rsid w:val="00834EA4"/>
    <w:rsid w:val="008354B9"/>
    <w:rsid w:val="00835DCB"/>
    <w:rsid w:val="00836090"/>
    <w:rsid w:val="00836921"/>
    <w:rsid w:val="00837237"/>
    <w:rsid w:val="008376C0"/>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862"/>
    <w:rsid w:val="00863AAD"/>
    <w:rsid w:val="00864644"/>
    <w:rsid w:val="00866296"/>
    <w:rsid w:val="008665C7"/>
    <w:rsid w:val="008707A3"/>
    <w:rsid w:val="00870A36"/>
    <w:rsid w:val="008711AE"/>
    <w:rsid w:val="00872F21"/>
    <w:rsid w:val="00873736"/>
    <w:rsid w:val="0087378E"/>
    <w:rsid w:val="008737DF"/>
    <w:rsid w:val="008755E7"/>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59FC"/>
    <w:rsid w:val="0089605E"/>
    <w:rsid w:val="00896668"/>
    <w:rsid w:val="00896E9A"/>
    <w:rsid w:val="008A1D0E"/>
    <w:rsid w:val="008A25EA"/>
    <w:rsid w:val="008A31C7"/>
    <w:rsid w:val="008A3215"/>
    <w:rsid w:val="008A3E8B"/>
    <w:rsid w:val="008A47BE"/>
    <w:rsid w:val="008A4AEC"/>
    <w:rsid w:val="008A5609"/>
    <w:rsid w:val="008A6DD5"/>
    <w:rsid w:val="008A6DF0"/>
    <w:rsid w:val="008A6FA0"/>
    <w:rsid w:val="008B15CE"/>
    <w:rsid w:val="008B1C8F"/>
    <w:rsid w:val="008B2570"/>
    <w:rsid w:val="008B2B19"/>
    <w:rsid w:val="008B2F40"/>
    <w:rsid w:val="008B2FCD"/>
    <w:rsid w:val="008B3627"/>
    <w:rsid w:val="008B3EAD"/>
    <w:rsid w:val="008B49B6"/>
    <w:rsid w:val="008B56A0"/>
    <w:rsid w:val="008B5AA1"/>
    <w:rsid w:val="008B5E61"/>
    <w:rsid w:val="008B64CE"/>
    <w:rsid w:val="008B7914"/>
    <w:rsid w:val="008C127A"/>
    <w:rsid w:val="008C18BD"/>
    <w:rsid w:val="008C1932"/>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66D2"/>
    <w:rsid w:val="00927D4E"/>
    <w:rsid w:val="00930AC2"/>
    <w:rsid w:val="00930D2A"/>
    <w:rsid w:val="009312BF"/>
    <w:rsid w:val="00931680"/>
    <w:rsid w:val="00931B84"/>
    <w:rsid w:val="009322B2"/>
    <w:rsid w:val="00932E7E"/>
    <w:rsid w:val="0093442D"/>
    <w:rsid w:val="00934CD2"/>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EAF"/>
    <w:rsid w:val="0095426C"/>
    <w:rsid w:val="00955EE9"/>
    <w:rsid w:val="00956BF5"/>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8CD"/>
    <w:rsid w:val="00975AEF"/>
    <w:rsid w:val="00975BF2"/>
    <w:rsid w:val="0097616C"/>
    <w:rsid w:val="009763E4"/>
    <w:rsid w:val="0097649D"/>
    <w:rsid w:val="0097654D"/>
    <w:rsid w:val="009766B7"/>
    <w:rsid w:val="00980A22"/>
    <w:rsid w:val="00980D85"/>
    <w:rsid w:val="00981E09"/>
    <w:rsid w:val="00983094"/>
    <w:rsid w:val="00983599"/>
    <w:rsid w:val="009843DE"/>
    <w:rsid w:val="0098544F"/>
    <w:rsid w:val="00985B04"/>
    <w:rsid w:val="00986A6D"/>
    <w:rsid w:val="00986BEF"/>
    <w:rsid w:val="00987298"/>
    <w:rsid w:val="00987B34"/>
    <w:rsid w:val="00991DF8"/>
    <w:rsid w:val="00992499"/>
    <w:rsid w:val="00992986"/>
    <w:rsid w:val="009936E2"/>
    <w:rsid w:val="00994B55"/>
    <w:rsid w:val="00995D86"/>
    <w:rsid w:val="00995FB2"/>
    <w:rsid w:val="0099781E"/>
    <w:rsid w:val="00997A68"/>
    <w:rsid w:val="009A00EA"/>
    <w:rsid w:val="009A0587"/>
    <w:rsid w:val="009A0DA2"/>
    <w:rsid w:val="009A1F6B"/>
    <w:rsid w:val="009A2C4C"/>
    <w:rsid w:val="009A2DD8"/>
    <w:rsid w:val="009A30DE"/>
    <w:rsid w:val="009A3D29"/>
    <w:rsid w:val="009A509F"/>
    <w:rsid w:val="009A5453"/>
    <w:rsid w:val="009A6A7B"/>
    <w:rsid w:val="009A7532"/>
    <w:rsid w:val="009A7883"/>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375C"/>
    <w:rsid w:val="009C4E0D"/>
    <w:rsid w:val="009C4F1B"/>
    <w:rsid w:val="009C503B"/>
    <w:rsid w:val="009C5816"/>
    <w:rsid w:val="009C61EA"/>
    <w:rsid w:val="009C63EC"/>
    <w:rsid w:val="009C7DAC"/>
    <w:rsid w:val="009D08A6"/>
    <w:rsid w:val="009D1B69"/>
    <w:rsid w:val="009D1EB3"/>
    <w:rsid w:val="009D2ABF"/>
    <w:rsid w:val="009D3AD2"/>
    <w:rsid w:val="009D3E06"/>
    <w:rsid w:val="009D5843"/>
    <w:rsid w:val="009D638D"/>
    <w:rsid w:val="009D6393"/>
    <w:rsid w:val="009E0885"/>
    <w:rsid w:val="009E1CC8"/>
    <w:rsid w:val="009E2827"/>
    <w:rsid w:val="009E30D2"/>
    <w:rsid w:val="009E4885"/>
    <w:rsid w:val="009E508B"/>
    <w:rsid w:val="009E6A00"/>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46BF"/>
    <w:rsid w:val="00A05B25"/>
    <w:rsid w:val="00A05C04"/>
    <w:rsid w:val="00A06254"/>
    <w:rsid w:val="00A06842"/>
    <w:rsid w:val="00A07459"/>
    <w:rsid w:val="00A07DB6"/>
    <w:rsid w:val="00A10972"/>
    <w:rsid w:val="00A11406"/>
    <w:rsid w:val="00A13205"/>
    <w:rsid w:val="00A132A1"/>
    <w:rsid w:val="00A15132"/>
    <w:rsid w:val="00A1554D"/>
    <w:rsid w:val="00A15792"/>
    <w:rsid w:val="00A158E3"/>
    <w:rsid w:val="00A1591A"/>
    <w:rsid w:val="00A172E0"/>
    <w:rsid w:val="00A211C5"/>
    <w:rsid w:val="00A221A3"/>
    <w:rsid w:val="00A223D5"/>
    <w:rsid w:val="00A23F41"/>
    <w:rsid w:val="00A25547"/>
    <w:rsid w:val="00A3003E"/>
    <w:rsid w:val="00A31E14"/>
    <w:rsid w:val="00A3325E"/>
    <w:rsid w:val="00A34276"/>
    <w:rsid w:val="00A34524"/>
    <w:rsid w:val="00A345B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46E"/>
    <w:rsid w:val="00A468FD"/>
    <w:rsid w:val="00A46921"/>
    <w:rsid w:val="00A47249"/>
    <w:rsid w:val="00A47E3B"/>
    <w:rsid w:val="00A501C7"/>
    <w:rsid w:val="00A5058A"/>
    <w:rsid w:val="00A50905"/>
    <w:rsid w:val="00A513FD"/>
    <w:rsid w:val="00A5254B"/>
    <w:rsid w:val="00A52BC1"/>
    <w:rsid w:val="00A534A0"/>
    <w:rsid w:val="00A537EA"/>
    <w:rsid w:val="00A539AD"/>
    <w:rsid w:val="00A53E3E"/>
    <w:rsid w:val="00A540B2"/>
    <w:rsid w:val="00A5414D"/>
    <w:rsid w:val="00A54A3E"/>
    <w:rsid w:val="00A556B7"/>
    <w:rsid w:val="00A56819"/>
    <w:rsid w:val="00A568AC"/>
    <w:rsid w:val="00A6025F"/>
    <w:rsid w:val="00A60E9C"/>
    <w:rsid w:val="00A6131E"/>
    <w:rsid w:val="00A616AF"/>
    <w:rsid w:val="00A61879"/>
    <w:rsid w:val="00A628B4"/>
    <w:rsid w:val="00A62E6A"/>
    <w:rsid w:val="00A63E4E"/>
    <w:rsid w:val="00A6444F"/>
    <w:rsid w:val="00A652FF"/>
    <w:rsid w:val="00A65A0D"/>
    <w:rsid w:val="00A65C27"/>
    <w:rsid w:val="00A65F3C"/>
    <w:rsid w:val="00A66FB3"/>
    <w:rsid w:val="00A71216"/>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5186"/>
    <w:rsid w:val="00A951AD"/>
    <w:rsid w:val="00A961BD"/>
    <w:rsid w:val="00AA027E"/>
    <w:rsid w:val="00AA1224"/>
    <w:rsid w:val="00AA14F2"/>
    <w:rsid w:val="00AA180B"/>
    <w:rsid w:val="00AA1D43"/>
    <w:rsid w:val="00AA2469"/>
    <w:rsid w:val="00AA2CD7"/>
    <w:rsid w:val="00AA2FA4"/>
    <w:rsid w:val="00AA3301"/>
    <w:rsid w:val="00AA3360"/>
    <w:rsid w:val="00AA386B"/>
    <w:rsid w:val="00AA6384"/>
    <w:rsid w:val="00AA6B93"/>
    <w:rsid w:val="00AA7A06"/>
    <w:rsid w:val="00AA7A7F"/>
    <w:rsid w:val="00AB13A6"/>
    <w:rsid w:val="00AB1984"/>
    <w:rsid w:val="00AB1CBB"/>
    <w:rsid w:val="00AB215B"/>
    <w:rsid w:val="00AB333E"/>
    <w:rsid w:val="00AB37DB"/>
    <w:rsid w:val="00AB3ECC"/>
    <w:rsid w:val="00AB5A73"/>
    <w:rsid w:val="00AB5F48"/>
    <w:rsid w:val="00AB716D"/>
    <w:rsid w:val="00AB72BB"/>
    <w:rsid w:val="00AB7BF3"/>
    <w:rsid w:val="00AC09D5"/>
    <w:rsid w:val="00AC0D8E"/>
    <w:rsid w:val="00AC175B"/>
    <w:rsid w:val="00AC1AA3"/>
    <w:rsid w:val="00AC1F8E"/>
    <w:rsid w:val="00AC22C1"/>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0F9F"/>
    <w:rsid w:val="00AD1B79"/>
    <w:rsid w:val="00AD3208"/>
    <w:rsid w:val="00AD3C00"/>
    <w:rsid w:val="00AD50F8"/>
    <w:rsid w:val="00AD719F"/>
    <w:rsid w:val="00AD7447"/>
    <w:rsid w:val="00AD7D36"/>
    <w:rsid w:val="00AE0DED"/>
    <w:rsid w:val="00AE284A"/>
    <w:rsid w:val="00AE307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F7B"/>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A54"/>
    <w:rsid w:val="00B15ECF"/>
    <w:rsid w:val="00B169CD"/>
    <w:rsid w:val="00B16C0A"/>
    <w:rsid w:val="00B17F60"/>
    <w:rsid w:val="00B2039A"/>
    <w:rsid w:val="00B20AC8"/>
    <w:rsid w:val="00B215D5"/>
    <w:rsid w:val="00B225CB"/>
    <w:rsid w:val="00B22870"/>
    <w:rsid w:val="00B22A22"/>
    <w:rsid w:val="00B22AA6"/>
    <w:rsid w:val="00B23F4C"/>
    <w:rsid w:val="00B24233"/>
    <w:rsid w:val="00B246DD"/>
    <w:rsid w:val="00B248D8"/>
    <w:rsid w:val="00B24BA7"/>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3CE6"/>
    <w:rsid w:val="00B45528"/>
    <w:rsid w:val="00B478FA"/>
    <w:rsid w:val="00B50156"/>
    <w:rsid w:val="00B501E8"/>
    <w:rsid w:val="00B502A3"/>
    <w:rsid w:val="00B50953"/>
    <w:rsid w:val="00B509AE"/>
    <w:rsid w:val="00B50E13"/>
    <w:rsid w:val="00B51581"/>
    <w:rsid w:val="00B518AD"/>
    <w:rsid w:val="00B51BB6"/>
    <w:rsid w:val="00B52056"/>
    <w:rsid w:val="00B52B0E"/>
    <w:rsid w:val="00B52D81"/>
    <w:rsid w:val="00B5355B"/>
    <w:rsid w:val="00B5402E"/>
    <w:rsid w:val="00B540E8"/>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5D9B"/>
    <w:rsid w:val="00B66E51"/>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90351"/>
    <w:rsid w:val="00B906F2"/>
    <w:rsid w:val="00B90D9B"/>
    <w:rsid w:val="00B91259"/>
    <w:rsid w:val="00B91B81"/>
    <w:rsid w:val="00B91FF0"/>
    <w:rsid w:val="00B92FFF"/>
    <w:rsid w:val="00B936F8"/>
    <w:rsid w:val="00B9492E"/>
    <w:rsid w:val="00B96799"/>
    <w:rsid w:val="00B96DE5"/>
    <w:rsid w:val="00B97A76"/>
    <w:rsid w:val="00BA0166"/>
    <w:rsid w:val="00BA0584"/>
    <w:rsid w:val="00BA0755"/>
    <w:rsid w:val="00BA1E9D"/>
    <w:rsid w:val="00BA249D"/>
    <w:rsid w:val="00BA4D00"/>
    <w:rsid w:val="00BA5665"/>
    <w:rsid w:val="00BB0AB5"/>
    <w:rsid w:val="00BB195B"/>
    <w:rsid w:val="00BB1BBA"/>
    <w:rsid w:val="00BB204A"/>
    <w:rsid w:val="00BB33E9"/>
    <w:rsid w:val="00BB34B7"/>
    <w:rsid w:val="00BB3BE4"/>
    <w:rsid w:val="00BB44DB"/>
    <w:rsid w:val="00BB57D3"/>
    <w:rsid w:val="00BB58EE"/>
    <w:rsid w:val="00BB64EC"/>
    <w:rsid w:val="00BB7589"/>
    <w:rsid w:val="00BC077E"/>
    <w:rsid w:val="00BC0E57"/>
    <w:rsid w:val="00BC1F5F"/>
    <w:rsid w:val="00BC21BE"/>
    <w:rsid w:val="00BC2465"/>
    <w:rsid w:val="00BC3E36"/>
    <w:rsid w:val="00BC4CE8"/>
    <w:rsid w:val="00BC4D54"/>
    <w:rsid w:val="00BC7632"/>
    <w:rsid w:val="00BC7C9E"/>
    <w:rsid w:val="00BD1E79"/>
    <w:rsid w:val="00BD23A5"/>
    <w:rsid w:val="00BD2937"/>
    <w:rsid w:val="00BD2AFC"/>
    <w:rsid w:val="00BD2CD4"/>
    <w:rsid w:val="00BD330C"/>
    <w:rsid w:val="00BD359B"/>
    <w:rsid w:val="00BD3663"/>
    <w:rsid w:val="00BD367F"/>
    <w:rsid w:val="00BD4871"/>
    <w:rsid w:val="00BD48A9"/>
    <w:rsid w:val="00BD5712"/>
    <w:rsid w:val="00BD581A"/>
    <w:rsid w:val="00BD5C02"/>
    <w:rsid w:val="00BD658C"/>
    <w:rsid w:val="00BD6819"/>
    <w:rsid w:val="00BD7EC6"/>
    <w:rsid w:val="00BE0FF2"/>
    <w:rsid w:val="00BE1345"/>
    <w:rsid w:val="00BE18BC"/>
    <w:rsid w:val="00BE2147"/>
    <w:rsid w:val="00BE239E"/>
    <w:rsid w:val="00BE3B83"/>
    <w:rsid w:val="00BE3C67"/>
    <w:rsid w:val="00BE3CF7"/>
    <w:rsid w:val="00BE42FC"/>
    <w:rsid w:val="00BE66FC"/>
    <w:rsid w:val="00BE73FA"/>
    <w:rsid w:val="00BF00D1"/>
    <w:rsid w:val="00BF0353"/>
    <w:rsid w:val="00BF090A"/>
    <w:rsid w:val="00BF2001"/>
    <w:rsid w:val="00BF2575"/>
    <w:rsid w:val="00BF31A0"/>
    <w:rsid w:val="00BF323A"/>
    <w:rsid w:val="00BF36C0"/>
    <w:rsid w:val="00BF3F0A"/>
    <w:rsid w:val="00BF4E35"/>
    <w:rsid w:val="00BF6F82"/>
    <w:rsid w:val="00BF7B9B"/>
    <w:rsid w:val="00C0083F"/>
    <w:rsid w:val="00C00976"/>
    <w:rsid w:val="00C020CD"/>
    <w:rsid w:val="00C02DDE"/>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3607"/>
    <w:rsid w:val="00C137B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DC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830"/>
    <w:rsid w:val="00C45C56"/>
    <w:rsid w:val="00C45CCD"/>
    <w:rsid w:val="00C46734"/>
    <w:rsid w:val="00C5105D"/>
    <w:rsid w:val="00C511F0"/>
    <w:rsid w:val="00C513C7"/>
    <w:rsid w:val="00C51639"/>
    <w:rsid w:val="00C53220"/>
    <w:rsid w:val="00C533A0"/>
    <w:rsid w:val="00C537E7"/>
    <w:rsid w:val="00C53E9D"/>
    <w:rsid w:val="00C5426B"/>
    <w:rsid w:val="00C54C18"/>
    <w:rsid w:val="00C573DA"/>
    <w:rsid w:val="00C5772E"/>
    <w:rsid w:val="00C5781B"/>
    <w:rsid w:val="00C616B4"/>
    <w:rsid w:val="00C621A7"/>
    <w:rsid w:val="00C62AA0"/>
    <w:rsid w:val="00C62BF2"/>
    <w:rsid w:val="00C62D1B"/>
    <w:rsid w:val="00C638A6"/>
    <w:rsid w:val="00C63FB9"/>
    <w:rsid w:val="00C64266"/>
    <w:rsid w:val="00C647DF"/>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910F8"/>
    <w:rsid w:val="00C91106"/>
    <w:rsid w:val="00C9117B"/>
    <w:rsid w:val="00C91D19"/>
    <w:rsid w:val="00C93B58"/>
    <w:rsid w:val="00C93C2F"/>
    <w:rsid w:val="00C9437C"/>
    <w:rsid w:val="00C946FF"/>
    <w:rsid w:val="00C94A14"/>
    <w:rsid w:val="00C94CDA"/>
    <w:rsid w:val="00C95BED"/>
    <w:rsid w:val="00C96725"/>
    <w:rsid w:val="00C97A66"/>
    <w:rsid w:val="00CA007B"/>
    <w:rsid w:val="00CA0AA4"/>
    <w:rsid w:val="00CA15B0"/>
    <w:rsid w:val="00CA1D4C"/>
    <w:rsid w:val="00CA1D50"/>
    <w:rsid w:val="00CA1DAB"/>
    <w:rsid w:val="00CA20E0"/>
    <w:rsid w:val="00CA2598"/>
    <w:rsid w:val="00CA3347"/>
    <w:rsid w:val="00CA523D"/>
    <w:rsid w:val="00CA6FDA"/>
    <w:rsid w:val="00CA77CF"/>
    <w:rsid w:val="00CA7B58"/>
    <w:rsid w:val="00CB1413"/>
    <w:rsid w:val="00CB2518"/>
    <w:rsid w:val="00CB3920"/>
    <w:rsid w:val="00CB4C4C"/>
    <w:rsid w:val="00CB6413"/>
    <w:rsid w:val="00CB696F"/>
    <w:rsid w:val="00CB6A00"/>
    <w:rsid w:val="00CB77F4"/>
    <w:rsid w:val="00CC0F1C"/>
    <w:rsid w:val="00CC299A"/>
    <w:rsid w:val="00CC3039"/>
    <w:rsid w:val="00CC32B7"/>
    <w:rsid w:val="00CC36DE"/>
    <w:rsid w:val="00CC4F99"/>
    <w:rsid w:val="00CC5FC3"/>
    <w:rsid w:val="00CC6369"/>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70A"/>
    <w:rsid w:val="00CF02A6"/>
    <w:rsid w:val="00CF05A6"/>
    <w:rsid w:val="00CF06CF"/>
    <w:rsid w:val="00CF101C"/>
    <w:rsid w:val="00CF2DC1"/>
    <w:rsid w:val="00CF2EE2"/>
    <w:rsid w:val="00CF3948"/>
    <w:rsid w:val="00CF3ACF"/>
    <w:rsid w:val="00CF441D"/>
    <w:rsid w:val="00CF4FCF"/>
    <w:rsid w:val="00CF4FDC"/>
    <w:rsid w:val="00CF56AF"/>
    <w:rsid w:val="00CF5BE0"/>
    <w:rsid w:val="00CF5BF1"/>
    <w:rsid w:val="00CF61CB"/>
    <w:rsid w:val="00CF666F"/>
    <w:rsid w:val="00CF686F"/>
    <w:rsid w:val="00CF6CA7"/>
    <w:rsid w:val="00CF6E7D"/>
    <w:rsid w:val="00D00175"/>
    <w:rsid w:val="00D00223"/>
    <w:rsid w:val="00D00DBF"/>
    <w:rsid w:val="00D0149B"/>
    <w:rsid w:val="00D01F5D"/>
    <w:rsid w:val="00D01FA9"/>
    <w:rsid w:val="00D03DBE"/>
    <w:rsid w:val="00D03EED"/>
    <w:rsid w:val="00D0597D"/>
    <w:rsid w:val="00D06274"/>
    <w:rsid w:val="00D066D8"/>
    <w:rsid w:val="00D11949"/>
    <w:rsid w:val="00D11A69"/>
    <w:rsid w:val="00D12C98"/>
    <w:rsid w:val="00D12FFC"/>
    <w:rsid w:val="00D1484F"/>
    <w:rsid w:val="00D14BA0"/>
    <w:rsid w:val="00D14D7B"/>
    <w:rsid w:val="00D1516D"/>
    <w:rsid w:val="00D158B0"/>
    <w:rsid w:val="00D1707A"/>
    <w:rsid w:val="00D21435"/>
    <w:rsid w:val="00D2242C"/>
    <w:rsid w:val="00D224FA"/>
    <w:rsid w:val="00D23033"/>
    <w:rsid w:val="00D2402F"/>
    <w:rsid w:val="00D245C2"/>
    <w:rsid w:val="00D25660"/>
    <w:rsid w:val="00D258EB"/>
    <w:rsid w:val="00D271CD"/>
    <w:rsid w:val="00D315CC"/>
    <w:rsid w:val="00D32067"/>
    <w:rsid w:val="00D327A3"/>
    <w:rsid w:val="00D34C82"/>
    <w:rsid w:val="00D36550"/>
    <w:rsid w:val="00D379EC"/>
    <w:rsid w:val="00D41E42"/>
    <w:rsid w:val="00D41F6B"/>
    <w:rsid w:val="00D42380"/>
    <w:rsid w:val="00D42C9B"/>
    <w:rsid w:val="00D4348D"/>
    <w:rsid w:val="00D436D7"/>
    <w:rsid w:val="00D441C4"/>
    <w:rsid w:val="00D44E42"/>
    <w:rsid w:val="00D44FC3"/>
    <w:rsid w:val="00D450E2"/>
    <w:rsid w:val="00D453D7"/>
    <w:rsid w:val="00D462D6"/>
    <w:rsid w:val="00D474AB"/>
    <w:rsid w:val="00D4754E"/>
    <w:rsid w:val="00D50961"/>
    <w:rsid w:val="00D50A02"/>
    <w:rsid w:val="00D512A1"/>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B58"/>
    <w:rsid w:val="00D6307D"/>
    <w:rsid w:val="00D63632"/>
    <w:rsid w:val="00D63732"/>
    <w:rsid w:val="00D6405D"/>
    <w:rsid w:val="00D6568E"/>
    <w:rsid w:val="00D65893"/>
    <w:rsid w:val="00D658EC"/>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082F"/>
    <w:rsid w:val="00D914EB"/>
    <w:rsid w:val="00D94085"/>
    <w:rsid w:val="00D96D4F"/>
    <w:rsid w:val="00DA1806"/>
    <w:rsid w:val="00DA1BD1"/>
    <w:rsid w:val="00DA212B"/>
    <w:rsid w:val="00DA3A76"/>
    <w:rsid w:val="00DA6D6D"/>
    <w:rsid w:val="00DA73C1"/>
    <w:rsid w:val="00DA770D"/>
    <w:rsid w:val="00DA7851"/>
    <w:rsid w:val="00DA7DC1"/>
    <w:rsid w:val="00DB00EE"/>
    <w:rsid w:val="00DB0132"/>
    <w:rsid w:val="00DB2754"/>
    <w:rsid w:val="00DB2D88"/>
    <w:rsid w:val="00DB3687"/>
    <w:rsid w:val="00DB38D1"/>
    <w:rsid w:val="00DB41CB"/>
    <w:rsid w:val="00DB681B"/>
    <w:rsid w:val="00DB7E24"/>
    <w:rsid w:val="00DC0445"/>
    <w:rsid w:val="00DC2082"/>
    <w:rsid w:val="00DC225F"/>
    <w:rsid w:val="00DC2883"/>
    <w:rsid w:val="00DC2C48"/>
    <w:rsid w:val="00DC46B5"/>
    <w:rsid w:val="00DC4B28"/>
    <w:rsid w:val="00DC4B5D"/>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2F9E"/>
    <w:rsid w:val="00DE31B1"/>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22A"/>
    <w:rsid w:val="00DF764C"/>
    <w:rsid w:val="00DF7FBF"/>
    <w:rsid w:val="00E00BB4"/>
    <w:rsid w:val="00E00CAA"/>
    <w:rsid w:val="00E01441"/>
    <w:rsid w:val="00E01682"/>
    <w:rsid w:val="00E01D4A"/>
    <w:rsid w:val="00E02F4B"/>
    <w:rsid w:val="00E03D04"/>
    <w:rsid w:val="00E04332"/>
    <w:rsid w:val="00E043BB"/>
    <w:rsid w:val="00E04ECF"/>
    <w:rsid w:val="00E0502A"/>
    <w:rsid w:val="00E05902"/>
    <w:rsid w:val="00E067C4"/>
    <w:rsid w:val="00E06A36"/>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C65"/>
    <w:rsid w:val="00E2307E"/>
    <w:rsid w:val="00E2352B"/>
    <w:rsid w:val="00E23E84"/>
    <w:rsid w:val="00E23F9B"/>
    <w:rsid w:val="00E24D23"/>
    <w:rsid w:val="00E26285"/>
    <w:rsid w:val="00E26649"/>
    <w:rsid w:val="00E2703D"/>
    <w:rsid w:val="00E271F9"/>
    <w:rsid w:val="00E27F0A"/>
    <w:rsid w:val="00E309B0"/>
    <w:rsid w:val="00E326E9"/>
    <w:rsid w:val="00E345C2"/>
    <w:rsid w:val="00E352C3"/>
    <w:rsid w:val="00E35476"/>
    <w:rsid w:val="00E355C0"/>
    <w:rsid w:val="00E359A5"/>
    <w:rsid w:val="00E35C28"/>
    <w:rsid w:val="00E372F7"/>
    <w:rsid w:val="00E37DC0"/>
    <w:rsid w:val="00E37EC6"/>
    <w:rsid w:val="00E40432"/>
    <w:rsid w:val="00E40850"/>
    <w:rsid w:val="00E40D52"/>
    <w:rsid w:val="00E41187"/>
    <w:rsid w:val="00E411B3"/>
    <w:rsid w:val="00E41585"/>
    <w:rsid w:val="00E4220D"/>
    <w:rsid w:val="00E4231E"/>
    <w:rsid w:val="00E4279A"/>
    <w:rsid w:val="00E44AC7"/>
    <w:rsid w:val="00E45B2D"/>
    <w:rsid w:val="00E468F2"/>
    <w:rsid w:val="00E47A20"/>
    <w:rsid w:val="00E5084C"/>
    <w:rsid w:val="00E50871"/>
    <w:rsid w:val="00E50B4C"/>
    <w:rsid w:val="00E53533"/>
    <w:rsid w:val="00E537ED"/>
    <w:rsid w:val="00E5384D"/>
    <w:rsid w:val="00E53F2E"/>
    <w:rsid w:val="00E54004"/>
    <w:rsid w:val="00E546C9"/>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30AC"/>
    <w:rsid w:val="00E734CE"/>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612E"/>
    <w:rsid w:val="00EA761C"/>
    <w:rsid w:val="00EA7D7F"/>
    <w:rsid w:val="00EB0810"/>
    <w:rsid w:val="00EB0B5F"/>
    <w:rsid w:val="00EB1CF7"/>
    <w:rsid w:val="00EB25C2"/>
    <w:rsid w:val="00EB2B6F"/>
    <w:rsid w:val="00EB2CAD"/>
    <w:rsid w:val="00EB2FA2"/>
    <w:rsid w:val="00EB3272"/>
    <w:rsid w:val="00EB37B2"/>
    <w:rsid w:val="00EB3FF9"/>
    <w:rsid w:val="00EB7352"/>
    <w:rsid w:val="00EB769A"/>
    <w:rsid w:val="00EC11E4"/>
    <w:rsid w:val="00EC14E1"/>
    <w:rsid w:val="00EC2A3F"/>
    <w:rsid w:val="00EC2E64"/>
    <w:rsid w:val="00EC3A35"/>
    <w:rsid w:val="00EC3C52"/>
    <w:rsid w:val="00EC3E69"/>
    <w:rsid w:val="00EC5554"/>
    <w:rsid w:val="00EC572B"/>
    <w:rsid w:val="00EC5B8E"/>
    <w:rsid w:val="00EC7356"/>
    <w:rsid w:val="00EC75F6"/>
    <w:rsid w:val="00ED0065"/>
    <w:rsid w:val="00ED17B5"/>
    <w:rsid w:val="00ED353D"/>
    <w:rsid w:val="00ED588C"/>
    <w:rsid w:val="00ED6E7A"/>
    <w:rsid w:val="00ED6EA1"/>
    <w:rsid w:val="00ED7A7F"/>
    <w:rsid w:val="00EE07AC"/>
    <w:rsid w:val="00EE0891"/>
    <w:rsid w:val="00EE1062"/>
    <w:rsid w:val="00EE17F2"/>
    <w:rsid w:val="00EE188A"/>
    <w:rsid w:val="00EE1B01"/>
    <w:rsid w:val="00EE1DB8"/>
    <w:rsid w:val="00EE2746"/>
    <w:rsid w:val="00EE4759"/>
    <w:rsid w:val="00EE4C20"/>
    <w:rsid w:val="00EE4F2D"/>
    <w:rsid w:val="00EE6755"/>
    <w:rsid w:val="00EF03DC"/>
    <w:rsid w:val="00EF0437"/>
    <w:rsid w:val="00EF0BFE"/>
    <w:rsid w:val="00EF2AC7"/>
    <w:rsid w:val="00EF3397"/>
    <w:rsid w:val="00EF40BF"/>
    <w:rsid w:val="00EF4557"/>
    <w:rsid w:val="00EF493F"/>
    <w:rsid w:val="00EF5947"/>
    <w:rsid w:val="00EF5E22"/>
    <w:rsid w:val="00EF60CA"/>
    <w:rsid w:val="00EF63C1"/>
    <w:rsid w:val="00EF6C2B"/>
    <w:rsid w:val="00F008BD"/>
    <w:rsid w:val="00F021A9"/>
    <w:rsid w:val="00F02C54"/>
    <w:rsid w:val="00F02D03"/>
    <w:rsid w:val="00F0448C"/>
    <w:rsid w:val="00F0553C"/>
    <w:rsid w:val="00F06BA7"/>
    <w:rsid w:val="00F071BA"/>
    <w:rsid w:val="00F1284F"/>
    <w:rsid w:val="00F136A4"/>
    <w:rsid w:val="00F1377B"/>
    <w:rsid w:val="00F13C5E"/>
    <w:rsid w:val="00F148D5"/>
    <w:rsid w:val="00F1601A"/>
    <w:rsid w:val="00F160BF"/>
    <w:rsid w:val="00F1675C"/>
    <w:rsid w:val="00F16A3C"/>
    <w:rsid w:val="00F17428"/>
    <w:rsid w:val="00F20046"/>
    <w:rsid w:val="00F20D22"/>
    <w:rsid w:val="00F21A58"/>
    <w:rsid w:val="00F2302A"/>
    <w:rsid w:val="00F23048"/>
    <w:rsid w:val="00F239CD"/>
    <w:rsid w:val="00F23DCC"/>
    <w:rsid w:val="00F24294"/>
    <w:rsid w:val="00F2477C"/>
    <w:rsid w:val="00F24EBB"/>
    <w:rsid w:val="00F27F06"/>
    <w:rsid w:val="00F314E8"/>
    <w:rsid w:val="00F316A2"/>
    <w:rsid w:val="00F323A2"/>
    <w:rsid w:val="00F332D4"/>
    <w:rsid w:val="00F33B57"/>
    <w:rsid w:val="00F33CA8"/>
    <w:rsid w:val="00F33D5C"/>
    <w:rsid w:val="00F356D6"/>
    <w:rsid w:val="00F37D37"/>
    <w:rsid w:val="00F400E3"/>
    <w:rsid w:val="00F4021A"/>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4EB"/>
    <w:rsid w:val="00F5562D"/>
    <w:rsid w:val="00F566EA"/>
    <w:rsid w:val="00F567A4"/>
    <w:rsid w:val="00F578EB"/>
    <w:rsid w:val="00F605BE"/>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5B"/>
    <w:rsid w:val="00F87FEA"/>
    <w:rsid w:val="00F90613"/>
    <w:rsid w:val="00F906F4"/>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F71"/>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F72"/>
    <w:rsid w:val="00FC62B5"/>
    <w:rsid w:val="00FC6D4E"/>
    <w:rsid w:val="00FC7073"/>
    <w:rsid w:val="00FC736F"/>
    <w:rsid w:val="00FD0CDB"/>
    <w:rsid w:val="00FD1FA7"/>
    <w:rsid w:val="00FD2D42"/>
    <w:rsid w:val="00FD30B5"/>
    <w:rsid w:val="00FD3453"/>
    <w:rsid w:val="00FD39CF"/>
    <w:rsid w:val="00FD4D84"/>
    <w:rsid w:val="00FD5468"/>
    <w:rsid w:val="00FD58F5"/>
    <w:rsid w:val="00FD754C"/>
    <w:rsid w:val="00FE0DAE"/>
    <w:rsid w:val="00FE1370"/>
    <w:rsid w:val="00FE1510"/>
    <w:rsid w:val="00FE2121"/>
    <w:rsid w:val="00FE254A"/>
    <w:rsid w:val="00FE321B"/>
    <w:rsid w:val="00FE3D07"/>
    <w:rsid w:val="00FE4B6F"/>
    <w:rsid w:val="00FE6818"/>
    <w:rsid w:val="00FF0CF5"/>
    <w:rsid w:val="00FF0D6F"/>
    <w:rsid w:val="00FF0E9E"/>
    <w:rsid w:val="00FF1103"/>
    <w:rsid w:val="00FF1712"/>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gfernandez@alcaldiabogota.gov.c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6181</Words>
  <Characters>34000</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40101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6</cp:revision>
  <dcterms:created xsi:type="dcterms:W3CDTF">2025-03-21T01:44:00Z</dcterms:created>
  <dcterms:modified xsi:type="dcterms:W3CDTF">2025-03-21T13:20:00Z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