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05ECA3" w14:textId="77777777" w:rsidR="00E24068" w:rsidRDefault="00E24068" w:rsidP="00E24068">
      <w:pPr>
        <w:snapToGrid w:val="0"/>
        <w:spacing w:after="0" w:line="240" w:lineRule="auto"/>
        <w:contextualSpacing/>
        <w:jc w:val="both"/>
        <w:rPr>
          <w:rFonts w:ascii="Verdana" w:eastAsia="Calibri" w:hAnsi="Verdana" w:cs="Arial"/>
          <w:b/>
          <w:bCs/>
          <w:lang w:val="es-ES" w:eastAsia="es-ES"/>
        </w:rPr>
      </w:pPr>
      <w:bookmarkStart w:id="0" w:name="_Hlk143780582"/>
      <w:r w:rsidRPr="00E24068">
        <w:rPr>
          <w:rFonts w:ascii="Verdana" w:eastAsia="Calibri" w:hAnsi="Verdana" w:cs="Arial"/>
          <w:b/>
          <w:bCs/>
          <w:lang w:val="es-ES" w:eastAsia="es-ES"/>
        </w:rPr>
        <w:t>GARANTÍAS – Contratación estatal – Constitución de garantías – Finalidad – Cumplimiento – Obligaciones contractuales</w:t>
      </w:r>
    </w:p>
    <w:p w14:paraId="0740CA20" w14:textId="77777777" w:rsidR="00E24068" w:rsidRDefault="00E24068" w:rsidP="00E24068">
      <w:pPr>
        <w:snapToGrid w:val="0"/>
        <w:contextualSpacing/>
        <w:jc w:val="both"/>
        <w:rPr>
          <w:rFonts w:ascii="Verdana" w:hAnsi="Verdana" w:cs="Arial"/>
          <w:color w:val="000000"/>
          <w:shd w:val="clear" w:color="auto" w:fill="FFFFFF"/>
          <w:lang w:val="es-ES"/>
        </w:rPr>
      </w:pPr>
    </w:p>
    <w:p w14:paraId="5B7C58A6" w14:textId="062CFF0A" w:rsidR="00E24068" w:rsidRPr="00E24068" w:rsidRDefault="00E24068" w:rsidP="00E24068">
      <w:pPr>
        <w:snapToGrid w:val="0"/>
        <w:spacing w:after="0" w:line="240" w:lineRule="auto"/>
        <w:contextualSpacing/>
        <w:jc w:val="both"/>
        <w:rPr>
          <w:rFonts w:ascii="Verdana" w:eastAsia="Calibri" w:hAnsi="Verdana" w:cs="Arial"/>
          <w:b/>
          <w:bCs/>
          <w:lang w:val="es-ES" w:eastAsia="es-ES"/>
        </w:rPr>
      </w:pPr>
      <w:r w:rsidRPr="00983DE2">
        <w:rPr>
          <w:rFonts w:ascii="Verdana" w:hAnsi="Verdana" w:cs="Arial"/>
          <w:color w:val="000000"/>
          <w:shd w:val="clear" w:color="auto" w:fill="FFFFFF"/>
          <w:lang w:val="es-ES"/>
        </w:rPr>
        <w:t>Por regla general, para seleccionar contratistas y para ejecutar contratos se requiere la constitución de garantías. Por un lado, l</w:t>
      </w:r>
      <w:r w:rsidRPr="00983DE2">
        <w:rPr>
          <w:rFonts w:ascii="Verdana" w:eastAsia="Calibri" w:hAnsi="Verdana" w:cs="Arial"/>
          <w:color w:val="000000" w:themeColor="text1"/>
          <w:lang w:val="es-ES"/>
        </w:rPr>
        <w:t xml:space="preserve">a </w:t>
      </w:r>
      <w:r w:rsidRPr="00983DE2">
        <w:rPr>
          <w:rFonts w:ascii="Verdana" w:eastAsia="Calibri" w:hAnsi="Verdana" w:cs="Arial"/>
          <w:i/>
          <w:iCs/>
          <w:color w:val="000000" w:themeColor="text1"/>
          <w:lang w:val="es-ES"/>
        </w:rPr>
        <w:t>garantía de seriedad</w:t>
      </w:r>
      <w:r w:rsidRPr="00983DE2">
        <w:rPr>
          <w:rFonts w:ascii="Verdana" w:eastAsia="Calibri" w:hAnsi="Verdana" w:cs="Arial"/>
          <w:color w:val="000000" w:themeColor="text1"/>
          <w:lang w:val="es-ES"/>
        </w:rPr>
        <w:t xml:space="preserve"> respalda al principio de irrevocabilidad de la oferta, caso en el cual los proponentes que pierdan interés en la adjudicación resarcirán los perjuicios causados por su retiro del proceso de selección. Naturalmente, esta garantía solo la constituyen quienes presenten las propuestas, motivo por el cual sus efectos no se extienden a personas ajenas a la actividad precontractual; sin perjuicio de que la póliza sea un mecanismo conminatorio, en la medida en que obliga a celebrar el contrato, so pena de hacerla efectiva. De esta manera, la exigencia permite que solo se presenten personas con la capacidad técnica y financiera suficiente para ejecutarlo en caso de adjudicación, desestimulando la presentación de ofertas que no son serias, cuya evaluación entorpece la buena marcha de la Administración, y en especial la celeridad y eficiencia de los procedimientos contractuales.</w:t>
      </w:r>
    </w:p>
    <w:p w14:paraId="44B1265A" w14:textId="77777777" w:rsidR="00E24068" w:rsidRDefault="00E24068" w:rsidP="00E24068">
      <w:pPr>
        <w:snapToGrid w:val="0"/>
        <w:contextualSpacing/>
        <w:jc w:val="both"/>
        <w:rPr>
          <w:rFonts w:ascii="Verdana" w:eastAsia="Calibri" w:hAnsi="Verdana" w:cs="Arial"/>
          <w:b/>
          <w:bCs/>
          <w:lang w:val="es-ES" w:eastAsia="es-ES"/>
        </w:rPr>
      </w:pPr>
    </w:p>
    <w:p w14:paraId="235EFD64" w14:textId="5B96D689" w:rsidR="00E24068" w:rsidRDefault="00E24068" w:rsidP="00E24068">
      <w:pPr>
        <w:snapToGrid w:val="0"/>
        <w:spacing w:after="0" w:line="240" w:lineRule="auto"/>
        <w:contextualSpacing/>
        <w:jc w:val="both"/>
        <w:rPr>
          <w:rFonts w:ascii="Verdana" w:eastAsia="Calibri" w:hAnsi="Verdana" w:cs="Arial"/>
          <w:b/>
          <w:bCs/>
          <w:lang w:val="es-ES" w:eastAsia="es-ES"/>
        </w:rPr>
      </w:pPr>
      <w:r w:rsidRPr="00E24068">
        <w:rPr>
          <w:rFonts w:ascii="Verdana" w:eastAsia="Calibri" w:hAnsi="Verdana" w:cs="Arial"/>
          <w:b/>
          <w:bCs/>
          <w:lang w:val="es-ES" w:eastAsia="es-ES"/>
        </w:rPr>
        <w:t>GARANTÍA DE CUMPLIMIENTO – Amparos – Finalidad</w:t>
      </w:r>
    </w:p>
    <w:p w14:paraId="41C421DD" w14:textId="77777777" w:rsidR="00E24068" w:rsidRDefault="00E24068" w:rsidP="00E24068">
      <w:pPr>
        <w:snapToGrid w:val="0"/>
        <w:spacing w:after="0" w:line="240" w:lineRule="auto"/>
        <w:contextualSpacing/>
        <w:jc w:val="both"/>
        <w:rPr>
          <w:rFonts w:ascii="Verdana" w:eastAsia="Calibri" w:hAnsi="Verdana" w:cs="Arial"/>
          <w:color w:val="000000" w:themeColor="text1"/>
          <w:lang w:val="es-ES"/>
        </w:rPr>
      </w:pPr>
    </w:p>
    <w:p w14:paraId="2A6CA886" w14:textId="23821DB7" w:rsidR="00E24068" w:rsidRPr="00983DE2" w:rsidRDefault="00E24068" w:rsidP="00E24068">
      <w:pPr>
        <w:snapToGrid w:val="0"/>
        <w:spacing w:after="0" w:line="240" w:lineRule="auto"/>
        <w:contextualSpacing/>
        <w:jc w:val="both"/>
        <w:rPr>
          <w:rFonts w:ascii="Verdana" w:eastAsia="Calibri" w:hAnsi="Verdana" w:cs="Arial"/>
          <w:color w:val="000000" w:themeColor="text1"/>
          <w:lang w:val="es-ES"/>
        </w:rPr>
      </w:pPr>
      <w:r w:rsidRPr="00983DE2">
        <w:rPr>
          <w:rFonts w:ascii="Verdana" w:eastAsia="Calibri" w:hAnsi="Verdana" w:cs="Arial"/>
          <w:color w:val="000000" w:themeColor="text1"/>
          <w:lang w:val="es-ES"/>
        </w:rPr>
        <w:t xml:space="preserve">En contraste, mediante la </w:t>
      </w:r>
      <w:r w:rsidRPr="00983DE2">
        <w:rPr>
          <w:rFonts w:ascii="Verdana" w:eastAsia="Calibri" w:hAnsi="Verdana" w:cs="Arial"/>
          <w:i/>
          <w:iCs/>
          <w:color w:val="000000" w:themeColor="text1"/>
          <w:lang w:val="es-ES"/>
        </w:rPr>
        <w:t>garantía de única de cumplimiento</w:t>
      </w:r>
      <w:r w:rsidRPr="00983DE2">
        <w:rPr>
          <w:rFonts w:ascii="Verdana" w:eastAsia="Calibri" w:hAnsi="Verdana" w:cs="Arial"/>
          <w:color w:val="000000" w:themeColor="text1"/>
          <w:lang w:val="es-ES"/>
        </w:rPr>
        <w:t xml:space="preserve">, el contratista ampara los perjuicios que le pueda generar a la entidad el incumplimiento de las obligaciones derivadas del contrato. En esta medida, tienen como objetivo reparar los perjuicios causados por conductas atribuibles al contratista, por lo que estos últimos son un presupuesto necesario para el pago que cubre la garantía. </w:t>
      </w:r>
      <w:r w:rsidRPr="00983DE2">
        <w:rPr>
          <w:rFonts w:ascii="Verdana" w:hAnsi="Verdana" w:cs="Arial"/>
          <w:color w:val="000000" w:themeColor="text1"/>
          <w:lang w:val="es-ES"/>
        </w:rPr>
        <w:t xml:space="preserve">Para estos efectos es única, ya que “[…] La prioridad […] es que no haya garantías separadas para los diferentes riesgos, aunque existan varias garantías para diferentes proporciones del interés asegurado […]”.    </w:t>
      </w:r>
    </w:p>
    <w:p w14:paraId="054EBE5F" w14:textId="77777777" w:rsidR="00E24068" w:rsidRDefault="00E24068" w:rsidP="00E24068">
      <w:pPr>
        <w:snapToGrid w:val="0"/>
        <w:spacing w:after="0" w:line="240" w:lineRule="auto"/>
        <w:contextualSpacing/>
        <w:jc w:val="both"/>
        <w:rPr>
          <w:rFonts w:ascii="Verdana" w:hAnsi="Verdana" w:cs="Arial"/>
          <w:color w:val="000000" w:themeColor="text1"/>
          <w:lang w:val="es-ES"/>
        </w:rPr>
      </w:pPr>
    </w:p>
    <w:p w14:paraId="2589E98F" w14:textId="0901B565" w:rsidR="00E24068" w:rsidRPr="00983DE2" w:rsidRDefault="00E24068" w:rsidP="00E24068">
      <w:pPr>
        <w:snapToGrid w:val="0"/>
        <w:spacing w:after="0" w:line="240" w:lineRule="auto"/>
        <w:contextualSpacing/>
        <w:jc w:val="both"/>
        <w:rPr>
          <w:rFonts w:ascii="Verdana" w:hAnsi="Verdana" w:cs="Arial"/>
          <w:color w:val="000000" w:themeColor="text1"/>
          <w:lang w:val="es-ES"/>
        </w:rPr>
      </w:pPr>
      <w:r w:rsidRPr="00983DE2">
        <w:rPr>
          <w:rFonts w:ascii="Verdana" w:hAnsi="Verdana" w:cs="Arial"/>
          <w:color w:val="000000" w:themeColor="text1"/>
          <w:lang w:val="es-ES"/>
        </w:rPr>
        <w:t xml:space="preserve">Desde esta perspectiva, ambas garantías constituyen una obligación de seguridad, es decir, aquella donde el interés del acreedor no consiste en una utilidad específica y tangible, sino en la tranquilidad frente a ciertos riesgos por la cobertura de sus consecuencias nocivas. Conforme al inciso segundo del artículo 7 de la Ley 1150 de 2007, pueden otorgarse a través de: i) contratos de seguro, </w:t>
      </w:r>
      <w:proofErr w:type="spellStart"/>
      <w:r w:rsidRPr="00983DE2">
        <w:rPr>
          <w:rFonts w:ascii="Verdana" w:hAnsi="Verdana" w:cs="Arial"/>
          <w:color w:val="000000" w:themeColor="text1"/>
          <w:lang w:val="es-ES"/>
        </w:rPr>
        <w:t>ii</w:t>
      </w:r>
      <w:proofErr w:type="spellEnd"/>
      <w:r w:rsidRPr="00983DE2">
        <w:rPr>
          <w:rFonts w:ascii="Verdana" w:hAnsi="Verdana" w:cs="Arial"/>
          <w:color w:val="000000" w:themeColor="text1"/>
          <w:lang w:val="es-ES"/>
        </w:rPr>
        <w:t xml:space="preserve">) garantías bancarias o </w:t>
      </w:r>
      <w:proofErr w:type="spellStart"/>
      <w:r w:rsidRPr="00983DE2">
        <w:rPr>
          <w:rFonts w:ascii="Verdana" w:hAnsi="Verdana" w:cs="Arial"/>
          <w:color w:val="000000" w:themeColor="text1"/>
          <w:lang w:val="es-ES"/>
        </w:rPr>
        <w:t>iii</w:t>
      </w:r>
      <w:proofErr w:type="spellEnd"/>
      <w:r w:rsidRPr="00983DE2">
        <w:rPr>
          <w:rFonts w:ascii="Verdana" w:hAnsi="Verdana" w:cs="Arial"/>
          <w:color w:val="000000" w:themeColor="text1"/>
          <w:lang w:val="es-ES"/>
        </w:rPr>
        <w:t>) los demás mecanismos de cobertura del riesgo que disponga el reglamento. Igualmente establece que “[…] tratándose de pólizas, las mismas no expirarán por falta de pago de la prima o por revocatoria unilateral […]”. Esta norma es una excepción a la terminación automática del contrato de seguro prevista en los artículos 1068 y 1071 del Código de Comercio. De esta manera, las garantías previstas en la ley tienen como objetivo asegurar la solvencia del garante.</w:t>
      </w:r>
    </w:p>
    <w:p w14:paraId="0670A4BD" w14:textId="77777777" w:rsidR="00E24068" w:rsidRPr="00E24068" w:rsidRDefault="00E24068" w:rsidP="00E24068">
      <w:pPr>
        <w:snapToGrid w:val="0"/>
        <w:spacing w:after="0" w:line="240" w:lineRule="auto"/>
        <w:contextualSpacing/>
        <w:jc w:val="both"/>
        <w:rPr>
          <w:rFonts w:ascii="Verdana" w:eastAsia="Calibri" w:hAnsi="Verdana" w:cs="Arial"/>
          <w:b/>
          <w:bCs/>
          <w:lang w:val="es-ES" w:eastAsia="es-ES"/>
        </w:rPr>
      </w:pPr>
    </w:p>
    <w:p w14:paraId="38CB2303" w14:textId="3F14FDF2" w:rsidR="00E24068" w:rsidRPr="00E24068" w:rsidRDefault="00E24068" w:rsidP="00E24068">
      <w:pPr>
        <w:snapToGrid w:val="0"/>
        <w:spacing w:after="0" w:line="240" w:lineRule="auto"/>
        <w:contextualSpacing/>
        <w:jc w:val="both"/>
        <w:rPr>
          <w:rFonts w:ascii="Verdana" w:eastAsia="Calibri" w:hAnsi="Verdana" w:cs="Arial"/>
          <w:b/>
          <w:bCs/>
          <w:lang w:val="es-ES" w:eastAsia="es-ES"/>
        </w:rPr>
      </w:pPr>
      <w:r w:rsidRPr="00E24068">
        <w:rPr>
          <w:rFonts w:ascii="Verdana" w:eastAsia="Calibri" w:hAnsi="Verdana" w:cs="Arial"/>
          <w:b/>
          <w:bCs/>
          <w:lang w:val="es-ES" w:eastAsia="es-ES"/>
        </w:rPr>
        <w:t>GARANTÍA DE RESPONSABILIDAD CIVIL EXTRACONTRACTUAL – Características – Suficiencia – Criterios de aprobación</w:t>
      </w:r>
    </w:p>
    <w:p w14:paraId="173A1442" w14:textId="77777777" w:rsidR="00E24068" w:rsidRDefault="00E24068" w:rsidP="00E24068">
      <w:pPr>
        <w:snapToGrid w:val="0"/>
        <w:contextualSpacing/>
        <w:jc w:val="both"/>
        <w:rPr>
          <w:rFonts w:ascii="Verdana" w:eastAsia="Times New Roman" w:hAnsi="Verdana" w:cs="Arial"/>
          <w:color w:val="000000" w:themeColor="text1"/>
          <w:lang w:val="es-ES" w:eastAsia="es-CO"/>
        </w:rPr>
      </w:pPr>
    </w:p>
    <w:p w14:paraId="0D6C80C0" w14:textId="03059A6B" w:rsidR="00E24068" w:rsidRPr="00983DE2" w:rsidRDefault="00E24068" w:rsidP="00E24068">
      <w:pPr>
        <w:snapToGrid w:val="0"/>
        <w:spacing w:after="0" w:line="240" w:lineRule="auto"/>
        <w:contextualSpacing/>
        <w:jc w:val="both"/>
        <w:rPr>
          <w:rFonts w:ascii="Verdana" w:eastAsia="Times New Roman" w:hAnsi="Verdana" w:cs="Arial"/>
          <w:color w:val="000000" w:themeColor="text1"/>
          <w:lang w:val="es-ES" w:eastAsia="es-CO"/>
        </w:rPr>
      </w:pPr>
      <w:r w:rsidRPr="00983DE2">
        <w:rPr>
          <w:rFonts w:ascii="Verdana" w:eastAsia="Times New Roman" w:hAnsi="Verdana" w:cs="Arial"/>
          <w:color w:val="000000" w:themeColor="text1"/>
          <w:lang w:val="es-ES" w:eastAsia="es-CO"/>
        </w:rPr>
        <w:t xml:space="preserve">En primer lugar, la entidad debe verificar que la garantía cumpla con el requisito de indivisibilidad establecido en el artículo 2.2.1.2.3.1.3. del Decreto 1082 de 2015. </w:t>
      </w:r>
      <w:r w:rsidRPr="00983DE2">
        <w:rPr>
          <w:rFonts w:ascii="Verdana" w:hAnsi="Verdana" w:cs="Arial"/>
          <w:color w:val="000000" w:themeColor="text1"/>
          <w:lang w:val="es-ES"/>
        </w:rPr>
        <w:t xml:space="preserve">En segundo lugar, el amparo de responsabilidad civil extracontractual debe cumplir con los requisitos dispuestos </w:t>
      </w:r>
      <w:r w:rsidRPr="00983DE2">
        <w:rPr>
          <w:rFonts w:ascii="Verdana" w:eastAsia="Times New Roman" w:hAnsi="Verdana" w:cs="Arial"/>
          <w:color w:val="000000" w:themeColor="text1"/>
          <w:lang w:val="es-ES" w:eastAsia="es-CO"/>
        </w:rPr>
        <w:t xml:space="preserve">en el artículo 2.2.1.2.3.2.9 con respecto a la modalidad de ocurrencia, así como las calidades que deben tener los intervinientes y los amparos. Tercero, la entidad debe verificar que el contrato de seguro cumpla con la suficiencia en términos de valor y tiempo de acuerdo con el artículo 2.2.1.2.3.1.17. Adicional a lo anterior, la norma establece de manera expresa que la vigencia de esta garantía deberá ser igual al </w:t>
      </w:r>
      <w:r w:rsidRPr="00983DE2">
        <w:rPr>
          <w:rFonts w:ascii="Verdana" w:eastAsia="Times New Roman" w:hAnsi="Verdana" w:cs="Arial"/>
          <w:i/>
          <w:color w:val="000000" w:themeColor="text1"/>
          <w:lang w:val="es-ES" w:eastAsia="es-CO"/>
        </w:rPr>
        <w:t>período de ejecución del contrato</w:t>
      </w:r>
      <w:r w:rsidRPr="00983DE2">
        <w:rPr>
          <w:rFonts w:ascii="Verdana" w:eastAsia="Times New Roman" w:hAnsi="Verdana" w:cs="Arial"/>
          <w:color w:val="000000" w:themeColor="text1"/>
          <w:lang w:val="es-ES" w:eastAsia="es-CO"/>
        </w:rPr>
        <w:t xml:space="preserve"> estatal que está respaldando.</w:t>
      </w:r>
    </w:p>
    <w:p w14:paraId="1FF5418F" w14:textId="77777777" w:rsidR="00E24068" w:rsidRDefault="00E24068" w:rsidP="00E24068">
      <w:pPr>
        <w:snapToGrid w:val="0"/>
        <w:contextualSpacing/>
        <w:jc w:val="both"/>
        <w:rPr>
          <w:rFonts w:ascii="Verdana" w:eastAsia="Times New Roman" w:hAnsi="Verdana" w:cs="Arial"/>
          <w:color w:val="000000" w:themeColor="text1"/>
          <w:lang w:val="es-ES" w:eastAsia="es-CO"/>
        </w:rPr>
      </w:pPr>
    </w:p>
    <w:p w14:paraId="1693EC57" w14:textId="7DB83C7B" w:rsidR="00E24068" w:rsidRPr="00983DE2" w:rsidRDefault="00E24068" w:rsidP="00E24068">
      <w:pPr>
        <w:snapToGrid w:val="0"/>
        <w:spacing w:after="0" w:line="240" w:lineRule="auto"/>
        <w:contextualSpacing/>
        <w:jc w:val="both"/>
        <w:rPr>
          <w:rFonts w:ascii="Verdana" w:eastAsia="Times New Roman" w:hAnsi="Verdana" w:cs="Arial"/>
          <w:color w:val="000000" w:themeColor="text1"/>
          <w:lang w:val="es-ES" w:eastAsia="es-CO"/>
        </w:rPr>
      </w:pPr>
      <w:r w:rsidRPr="00983DE2">
        <w:rPr>
          <w:rFonts w:ascii="Verdana" w:eastAsia="Times New Roman" w:hAnsi="Verdana" w:cs="Arial"/>
          <w:color w:val="000000" w:themeColor="text1"/>
          <w:lang w:val="es-ES" w:eastAsia="es-CO"/>
        </w:rPr>
        <w:t xml:space="preserve">Finalmente, es necesario tener cuenta que, conforme al artículo 2.2.1.3.3.2.10, “En el contrato de seguro que ampara la responsabilidad civil extracontractual solamente se pueden pactar deducibles hasta del diez por ciento (10%) del valor de cada pérdida y en ningún caso pueden ser superiores a dos mil (2.000) smmlv. No serán admisibles las franquicias, coaseguros obligatorios y demás formas de estipulación que impliquen la asunción de parte de la pérdida por la entidad asegurada”. </w:t>
      </w:r>
    </w:p>
    <w:p w14:paraId="07FE0575" w14:textId="77777777" w:rsidR="00E24068" w:rsidRDefault="00E24068" w:rsidP="00545C2B">
      <w:pPr>
        <w:spacing w:after="0"/>
        <w:rPr>
          <w:rFonts w:ascii="Verdana" w:hAnsi="Verdana"/>
          <w:lang w:val="es-ES"/>
        </w:rPr>
      </w:pPr>
    </w:p>
    <w:p w14:paraId="75201E77" w14:textId="77777777" w:rsidR="00E24068" w:rsidRDefault="00E24068" w:rsidP="00545C2B">
      <w:pPr>
        <w:spacing w:after="0"/>
        <w:rPr>
          <w:rFonts w:ascii="Verdana" w:hAnsi="Verdana"/>
          <w:lang w:val="es-ES"/>
        </w:rPr>
      </w:pPr>
    </w:p>
    <w:p w14:paraId="17311444" w14:textId="77777777" w:rsidR="00E24068" w:rsidRDefault="00E24068" w:rsidP="00545C2B">
      <w:pPr>
        <w:spacing w:after="0"/>
        <w:rPr>
          <w:rFonts w:ascii="Verdana" w:hAnsi="Verdana"/>
          <w:lang w:val="es-ES"/>
        </w:rPr>
      </w:pPr>
    </w:p>
    <w:p w14:paraId="361EB7A9" w14:textId="77777777" w:rsidR="00E24068" w:rsidRDefault="00E24068" w:rsidP="00545C2B">
      <w:pPr>
        <w:spacing w:after="0"/>
        <w:rPr>
          <w:rFonts w:ascii="Verdana" w:hAnsi="Verdana"/>
          <w:lang w:val="es-ES"/>
        </w:rPr>
      </w:pPr>
    </w:p>
    <w:p w14:paraId="536B3F0B" w14:textId="77777777" w:rsidR="00E24068" w:rsidRDefault="00E24068" w:rsidP="00545C2B">
      <w:pPr>
        <w:spacing w:after="0"/>
        <w:rPr>
          <w:rFonts w:ascii="Verdana" w:hAnsi="Verdana"/>
          <w:lang w:val="es-ES"/>
        </w:rPr>
      </w:pPr>
    </w:p>
    <w:p w14:paraId="433386BA" w14:textId="77777777" w:rsidR="00E24068" w:rsidRDefault="00E24068" w:rsidP="00545C2B">
      <w:pPr>
        <w:spacing w:after="0"/>
        <w:rPr>
          <w:rFonts w:ascii="Verdana" w:hAnsi="Verdana"/>
          <w:lang w:val="es-ES"/>
        </w:rPr>
      </w:pPr>
    </w:p>
    <w:p w14:paraId="4A27CB2E" w14:textId="77777777" w:rsidR="00E24068" w:rsidRDefault="00E24068" w:rsidP="00545C2B">
      <w:pPr>
        <w:spacing w:after="0"/>
        <w:rPr>
          <w:rFonts w:ascii="Verdana" w:hAnsi="Verdana"/>
          <w:lang w:val="es-ES"/>
        </w:rPr>
      </w:pPr>
    </w:p>
    <w:p w14:paraId="7003CBDB" w14:textId="77777777" w:rsidR="00E24068" w:rsidRDefault="00E24068" w:rsidP="00545C2B">
      <w:pPr>
        <w:spacing w:after="0"/>
        <w:rPr>
          <w:rFonts w:ascii="Verdana" w:hAnsi="Verdana"/>
          <w:lang w:val="es-ES"/>
        </w:rPr>
      </w:pPr>
    </w:p>
    <w:p w14:paraId="7ACB704F" w14:textId="77777777" w:rsidR="00E24068" w:rsidRDefault="00E24068" w:rsidP="00545C2B">
      <w:pPr>
        <w:spacing w:after="0"/>
        <w:rPr>
          <w:rFonts w:ascii="Verdana" w:hAnsi="Verdana"/>
          <w:lang w:val="es-ES"/>
        </w:rPr>
      </w:pPr>
    </w:p>
    <w:p w14:paraId="4FA32F62" w14:textId="77777777" w:rsidR="00E24068" w:rsidRDefault="00E24068" w:rsidP="00545C2B">
      <w:pPr>
        <w:spacing w:after="0"/>
        <w:rPr>
          <w:rFonts w:ascii="Verdana" w:hAnsi="Verdana"/>
          <w:lang w:val="es-ES"/>
        </w:rPr>
      </w:pPr>
    </w:p>
    <w:p w14:paraId="1EBCF067" w14:textId="77777777" w:rsidR="00E24068" w:rsidRDefault="00E24068" w:rsidP="00545C2B">
      <w:pPr>
        <w:spacing w:after="0"/>
        <w:rPr>
          <w:rFonts w:ascii="Verdana" w:hAnsi="Verdana"/>
          <w:lang w:val="es-ES"/>
        </w:rPr>
      </w:pPr>
    </w:p>
    <w:p w14:paraId="53A52E36" w14:textId="77777777" w:rsidR="00E24068" w:rsidRDefault="00E24068" w:rsidP="00545C2B">
      <w:pPr>
        <w:spacing w:after="0"/>
        <w:rPr>
          <w:rFonts w:ascii="Verdana" w:hAnsi="Verdana"/>
          <w:lang w:val="es-ES"/>
        </w:rPr>
      </w:pPr>
    </w:p>
    <w:p w14:paraId="02320222" w14:textId="77777777" w:rsidR="00E24068" w:rsidRDefault="00E24068" w:rsidP="00545C2B">
      <w:pPr>
        <w:spacing w:after="0"/>
        <w:rPr>
          <w:rFonts w:ascii="Verdana" w:hAnsi="Verdana"/>
          <w:lang w:val="es-ES"/>
        </w:rPr>
      </w:pPr>
    </w:p>
    <w:p w14:paraId="36CDE6D6" w14:textId="77777777" w:rsidR="00E24068" w:rsidRDefault="00E24068" w:rsidP="00545C2B">
      <w:pPr>
        <w:spacing w:after="0"/>
        <w:rPr>
          <w:rFonts w:ascii="Verdana" w:hAnsi="Verdana"/>
          <w:lang w:val="es-ES"/>
        </w:rPr>
      </w:pPr>
    </w:p>
    <w:p w14:paraId="45E5C7CE" w14:textId="77777777" w:rsidR="00E24068" w:rsidRDefault="00E24068" w:rsidP="00545C2B">
      <w:pPr>
        <w:spacing w:after="0"/>
        <w:rPr>
          <w:rFonts w:ascii="Verdana" w:hAnsi="Verdana"/>
          <w:lang w:val="es-ES"/>
        </w:rPr>
      </w:pPr>
    </w:p>
    <w:p w14:paraId="77CEFCF2" w14:textId="77777777" w:rsidR="00E24068" w:rsidRDefault="00E24068" w:rsidP="00545C2B">
      <w:pPr>
        <w:spacing w:after="0"/>
        <w:rPr>
          <w:rFonts w:ascii="Verdana" w:hAnsi="Verdana"/>
          <w:lang w:val="es-ES"/>
        </w:rPr>
      </w:pPr>
    </w:p>
    <w:p w14:paraId="2F31FC95" w14:textId="77777777" w:rsidR="00E24068" w:rsidRDefault="00E24068" w:rsidP="00545C2B">
      <w:pPr>
        <w:spacing w:after="0"/>
        <w:rPr>
          <w:rFonts w:ascii="Verdana" w:hAnsi="Verdana"/>
          <w:lang w:val="es-ES"/>
        </w:rPr>
      </w:pPr>
    </w:p>
    <w:p w14:paraId="25577A48" w14:textId="77777777" w:rsidR="00E24068" w:rsidRDefault="00E24068" w:rsidP="00545C2B">
      <w:pPr>
        <w:spacing w:after="0"/>
        <w:rPr>
          <w:rFonts w:ascii="Verdana" w:hAnsi="Verdana"/>
          <w:lang w:val="es-ES"/>
        </w:rPr>
      </w:pPr>
    </w:p>
    <w:p w14:paraId="5C335690" w14:textId="2BB3A1EB" w:rsidR="00545C2B" w:rsidRPr="00983DE2" w:rsidRDefault="00545C2B" w:rsidP="00545C2B">
      <w:pPr>
        <w:spacing w:after="0"/>
        <w:rPr>
          <w:rFonts w:ascii="Verdana" w:hAnsi="Verdana"/>
          <w:lang w:val="es-ES"/>
        </w:rPr>
      </w:pPr>
      <w:r w:rsidRPr="00983DE2">
        <w:rPr>
          <w:rFonts w:ascii="Verdana" w:hAnsi="Verdana"/>
          <w:lang w:val="es-ES"/>
        </w:rPr>
        <w:lastRenderedPageBreak/>
        <w:t xml:space="preserve">Bogotá D.C., </w:t>
      </w:r>
      <w:r w:rsidR="00E24068">
        <w:rPr>
          <w:rFonts w:ascii="Verdana" w:hAnsi="Verdana"/>
          <w:lang w:val="es-ES"/>
        </w:rPr>
        <w:t>03 de diciembre de 2025</w:t>
      </w:r>
      <w:r w:rsidRPr="00983DE2">
        <w:rPr>
          <w:rFonts w:ascii="Verdana" w:hAnsi="Verdana"/>
          <w:lang w:val="es-ES"/>
        </w:rPr>
        <w:tab/>
      </w:r>
    </w:p>
    <w:p w14:paraId="388CC94D" w14:textId="77777777" w:rsidR="00545C2B" w:rsidRPr="00983DE2" w:rsidRDefault="00545C2B" w:rsidP="00545C2B">
      <w:pPr>
        <w:spacing w:after="0"/>
        <w:rPr>
          <w:rFonts w:ascii="Verdana" w:hAnsi="Verdana"/>
          <w:lang w:val="es-ES"/>
        </w:rPr>
      </w:pPr>
    </w:p>
    <w:p w14:paraId="0C135389" w14:textId="2AAB7D6B" w:rsidR="00545C2B" w:rsidRPr="00983DE2" w:rsidRDefault="00E24068" w:rsidP="00545C2B">
      <w:pPr>
        <w:spacing w:after="0" w:line="240" w:lineRule="auto"/>
        <w:jc w:val="both"/>
        <w:rPr>
          <w:rFonts w:ascii="Verdana" w:eastAsia="Calibri" w:hAnsi="Verdana" w:cs="Arial"/>
          <w:color w:val="000000" w:themeColor="text1"/>
          <w:lang w:val="es-ES" w:eastAsia="es-ES"/>
        </w:rPr>
      </w:pPr>
      <w:r>
        <w:rPr>
          <w:rFonts w:ascii="Verdana" w:eastAsia="Calibri" w:hAnsi="Verdana" w:cs="Arial"/>
          <w:b/>
          <w:bCs/>
          <w:noProof/>
          <w:color w:val="000000" w:themeColor="text1"/>
          <w:lang w:val="es-ES" w:eastAsia="es-ES"/>
        </w:rPr>
        <w:drawing>
          <wp:anchor distT="0" distB="0" distL="114300" distR="114300" simplePos="0" relativeHeight="251660288" behindDoc="0" locked="0" layoutInCell="1" allowOverlap="1" wp14:anchorId="5FED85D2" wp14:editId="55A3EA26">
            <wp:simplePos x="0" y="0"/>
            <wp:positionH relativeFrom="column">
              <wp:posOffset>2766939</wp:posOffset>
            </wp:positionH>
            <wp:positionV relativeFrom="paragraph">
              <wp:posOffset>86409</wp:posOffset>
            </wp:positionV>
            <wp:extent cx="2312035" cy="704850"/>
            <wp:effectExtent l="0" t="0" r="0" b="6350"/>
            <wp:wrapSquare wrapText="bothSides"/>
            <wp:docPr id="225872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872201" name="Picture 225872201"/>
                    <pic:cNvPicPr/>
                  </pic:nvPicPr>
                  <pic:blipFill>
                    <a:blip r:embed="rId10">
                      <a:extLst>
                        <a:ext uri="{28A0092B-C50C-407E-A947-70E740481C1C}">
                          <a14:useLocalDpi xmlns:a14="http://schemas.microsoft.com/office/drawing/2010/main" val="0"/>
                        </a:ext>
                      </a:extLst>
                    </a:blip>
                    <a:stretch>
                      <a:fillRect/>
                    </a:stretch>
                  </pic:blipFill>
                  <pic:spPr>
                    <a:xfrm>
                      <a:off x="0" y="0"/>
                      <a:ext cx="2312035" cy="704850"/>
                    </a:xfrm>
                    <a:prstGeom prst="rect">
                      <a:avLst/>
                    </a:prstGeom>
                  </pic:spPr>
                </pic:pic>
              </a:graphicData>
            </a:graphic>
            <wp14:sizeRelH relativeFrom="page">
              <wp14:pctWidth>0</wp14:pctWidth>
            </wp14:sizeRelH>
            <wp14:sizeRelV relativeFrom="page">
              <wp14:pctHeight>0</wp14:pctHeight>
            </wp14:sizeRelV>
          </wp:anchor>
        </w:drawing>
      </w:r>
      <w:r w:rsidR="00545C2B" w:rsidRPr="00983DE2">
        <w:rPr>
          <w:rFonts w:ascii="Verdana" w:eastAsia="Calibri" w:hAnsi="Verdana" w:cs="Arial"/>
          <w:color w:val="000000" w:themeColor="text1"/>
          <w:lang w:val="es-ES" w:eastAsia="es-ES"/>
        </w:rPr>
        <w:t>Señora</w:t>
      </w:r>
    </w:p>
    <w:p w14:paraId="5C7869F6" w14:textId="74ACF7CE" w:rsidR="00545C2B" w:rsidRPr="00983DE2" w:rsidRDefault="00545C2B" w:rsidP="00545C2B">
      <w:pPr>
        <w:spacing w:after="0" w:line="240" w:lineRule="auto"/>
        <w:rPr>
          <w:rFonts w:ascii="Verdana" w:eastAsia="Calibri" w:hAnsi="Verdana" w:cs="Arial"/>
          <w:b/>
          <w:bCs/>
          <w:color w:val="000000" w:themeColor="text1"/>
          <w:lang w:val="es-ES" w:eastAsia="es-ES"/>
        </w:rPr>
      </w:pPr>
      <w:r w:rsidRPr="00983DE2">
        <w:rPr>
          <w:rFonts w:ascii="Verdana" w:eastAsia="Calibri" w:hAnsi="Verdana" w:cs="Arial"/>
          <w:b/>
          <w:bCs/>
          <w:color w:val="000000" w:themeColor="text1"/>
          <w:lang w:val="es-ES" w:eastAsia="es-ES"/>
        </w:rPr>
        <w:t>Sandra Marina</w:t>
      </w:r>
    </w:p>
    <w:p w14:paraId="1285EF3E" w14:textId="77777777" w:rsidR="00545C2B" w:rsidRPr="00983DE2" w:rsidRDefault="00545C2B" w:rsidP="00545C2B">
      <w:pPr>
        <w:spacing w:after="0" w:line="240" w:lineRule="auto"/>
        <w:rPr>
          <w:rFonts w:ascii="Verdana" w:eastAsia="Calibri" w:hAnsi="Verdana" w:cs="Arial"/>
          <w:color w:val="000000" w:themeColor="text1"/>
          <w:lang w:val="es-ES" w:eastAsia="es-ES"/>
        </w:rPr>
      </w:pPr>
      <w:hyperlink r:id="rId11" w:history="1">
        <w:r w:rsidRPr="00983DE2">
          <w:rPr>
            <w:rStyle w:val="Hyperlink"/>
            <w:rFonts w:ascii="Verdana" w:eastAsia="Calibri" w:hAnsi="Verdana" w:cs="Arial"/>
            <w:lang w:val="es-ES" w:eastAsia="es-ES"/>
          </w:rPr>
          <w:t>frison20191@icloud.com</w:t>
        </w:r>
      </w:hyperlink>
    </w:p>
    <w:p w14:paraId="3737CE14" w14:textId="77777777" w:rsidR="00545C2B" w:rsidRPr="00983DE2" w:rsidRDefault="00545C2B" w:rsidP="00545C2B">
      <w:pPr>
        <w:spacing w:after="0" w:line="240" w:lineRule="auto"/>
        <w:rPr>
          <w:rFonts w:ascii="Verdana" w:eastAsia="Calibri" w:hAnsi="Verdana" w:cs="Arial"/>
          <w:color w:val="000000" w:themeColor="text1"/>
          <w:lang w:val="es-ES" w:eastAsia="es-ES"/>
        </w:rPr>
      </w:pPr>
      <w:r w:rsidRPr="00983DE2">
        <w:rPr>
          <w:rFonts w:ascii="Verdana" w:eastAsia="Calibri" w:hAnsi="Verdana" w:cs="Arial"/>
          <w:color w:val="000000" w:themeColor="text1"/>
          <w:lang w:val="es-ES" w:eastAsia="es-ES"/>
        </w:rPr>
        <w:t>Bogotá D.C.</w:t>
      </w:r>
    </w:p>
    <w:p w14:paraId="083A8424" w14:textId="77777777" w:rsidR="00545C2B" w:rsidRPr="00983DE2" w:rsidRDefault="00545C2B" w:rsidP="00545C2B">
      <w:pPr>
        <w:spacing w:after="0" w:line="240" w:lineRule="auto"/>
        <w:rPr>
          <w:rFonts w:ascii="Verdana" w:eastAsia="Calibri" w:hAnsi="Verdana" w:cs="Arial"/>
          <w:b/>
          <w:bCs/>
          <w:color w:val="000000" w:themeColor="text1"/>
          <w:lang w:val="es-ES" w:eastAsia="es-ES_tradnl"/>
        </w:rPr>
      </w:pPr>
    </w:p>
    <w:tbl>
      <w:tblPr>
        <w:tblStyle w:val="TableGrid"/>
        <w:tblW w:w="129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gridCol w:w="4179"/>
      </w:tblGrid>
      <w:tr w:rsidR="00545C2B" w:rsidRPr="00983DE2" w14:paraId="4585CBA1" w14:textId="77777777" w:rsidTr="005D23AD">
        <w:trPr>
          <w:gridAfter w:val="1"/>
          <w:wAfter w:w="4179" w:type="dxa"/>
          <w:trHeight w:val="304"/>
        </w:trPr>
        <w:tc>
          <w:tcPr>
            <w:tcW w:w="2689" w:type="dxa"/>
          </w:tcPr>
          <w:p w14:paraId="47EC18D8" w14:textId="77777777" w:rsidR="00545C2B" w:rsidRPr="00983DE2" w:rsidRDefault="00545C2B" w:rsidP="005D23AD">
            <w:pPr>
              <w:jc w:val="both"/>
              <w:rPr>
                <w:rFonts w:ascii="Verdana" w:eastAsia="Calibri" w:hAnsi="Verdana" w:cs="Arial"/>
                <w:b/>
                <w:bCs/>
                <w:color w:val="000000" w:themeColor="text1"/>
                <w:lang w:val="es-ES" w:eastAsia="es-ES_tradnl"/>
              </w:rPr>
            </w:pPr>
          </w:p>
        </w:tc>
        <w:tc>
          <w:tcPr>
            <w:tcW w:w="6100" w:type="dxa"/>
          </w:tcPr>
          <w:p w14:paraId="4781E00C" w14:textId="02EA55F4" w:rsidR="00545C2B" w:rsidRPr="00983DE2" w:rsidRDefault="00545C2B" w:rsidP="005D23AD">
            <w:pPr>
              <w:jc w:val="both"/>
              <w:rPr>
                <w:rFonts w:ascii="Verdana" w:eastAsia="Calibri" w:hAnsi="Verdana" w:cs="Arial"/>
                <w:b/>
                <w:bCs/>
                <w:color w:val="000000" w:themeColor="text1"/>
                <w:lang w:val="es-ES" w:eastAsia="es-ES"/>
              </w:rPr>
            </w:pPr>
            <w:r w:rsidRPr="00983DE2">
              <w:rPr>
                <w:rFonts w:ascii="Verdana" w:eastAsia="Calibri" w:hAnsi="Verdana" w:cs="Arial"/>
                <w:b/>
                <w:bCs/>
                <w:color w:val="000000" w:themeColor="text1"/>
                <w:lang w:val="es-ES" w:eastAsia="es-ES"/>
              </w:rPr>
              <w:t>Concepto C-</w:t>
            </w:r>
            <w:r w:rsidR="00FE3A29" w:rsidRPr="00983DE2">
              <w:rPr>
                <w:rFonts w:ascii="Verdana" w:eastAsia="Calibri" w:hAnsi="Verdana" w:cs="Arial"/>
                <w:b/>
                <w:bCs/>
                <w:color w:val="000000" w:themeColor="text1"/>
                <w:lang w:val="es-ES" w:eastAsia="es-ES"/>
              </w:rPr>
              <w:t>1547</w:t>
            </w:r>
            <w:r w:rsidRPr="00983DE2">
              <w:rPr>
                <w:rFonts w:ascii="Verdana" w:eastAsia="Calibri" w:hAnsi="Verdana" w:cs="Arial"/>
                <w:b/>
                <w:bCs/>
                <w:color w:val="000000" w:themeColor="text1"/>
                <w:lang w:val="es-ES" w:eastAsia="es-ES"/>
              </w:rPr>
              <w:t xml:space="preserve"> de 2025</w:t>
            </w:r>
          </w:p>
          <w:p w14:paraId="5C7D146F" w14:textId="77777777" w:rsidR="00545C2B" w:rsidRPr="00983DE2" w:rsidRDefault="00545C2B" w:rsidP="005D23AD">
            <w:pPr>
              <w:jc w:val="both"/>
              <w:rPr>
                <w:rFonts w:ascii="Verdana" w:eastAsia="Calibri" w:hAnsi="Verdana" w:cs="Arial"/>
                <w:b/>
                <w:bCs/>
                <w:color w:val="000000" w:themeColor="text1"/>
                <w:lang w:val="es-ES" w:eastAsia="es-ES"/>
              </w:rPr>
            </w:pPr>
          </w:p>
        </w:tc>
      </w:tr>
      <w:tr w:rsidR="00545C2B" w:rsidRPr="00983DE2" w14:paraId="7F3DDAFB" w14:textId="77777777" w:rsidTr="005D23AD">
        <w:trPr>
          <w:trHeight w:val="884"/>
        </w:trPr>
        <w:tc>
          <w:tcPr>
            <w:tcW w:w="2689" w:type="dxa"/>
          </w:tcPr>
          <w:p w14:paraId="38E1A925" w14:textId="77777777" w:rsidR="00545C2B" w:rsidRPr="00983DE2" w:rsidRDefault="00545C2B" w:rsidP="005D23AD">
            <w:pPr>
              <w:jc w:val="both"/>
              <w:rPr>
                <w:rFonts w:ascii="Verdana" w:eastAsia="Calibri" w:hAnsi="Verdana" w:cs="Arial"/>
                <w:color w:val="000000" w:themeColor="text1"/>
                <w:lang w:val="es-ES" w:eastAsia="es-ES_tradnl"/>
              </w:rPr>
            </w:pPr>
            <w:r w:rsidRPr="00983DE2">
              <w:rPr>
                <w:rFonts w:ascii="Verdana" w:eastAsia="Calibri" w:hAnsi="Verdana" w:cs="Arial"/>
                <w:b/>
                <w:color w:val="000000" w:themeColor="text1"/>
                <w:lang w:val="es-ES" w:eastAsia="es-ES_tradnl"/>
              </w:rPr>
              <w:t>Temas:</w:t>
            </w:r>
            <w:r w:rsidRPr="00983DE2">
              <w:rPr>
                <w:rFonts w:ascii="Verdana" w:eastAsia="Calibri" w:hAnsi="Verdana" w:cs="Arial"/>
                <w:color w:val="000000" w:themeColor="text1"/>
                <w:lang w:val="es-ES" w:eastAsia="es-ES_tradnl"/>
              </w:rPr>
              <w:t xml:space="preserve">                   </w:t>
            </w:r>
          </w:p>
        </w:tc>
        <w:tc>
          <w:tcPr>
            <w:tcW w:w="6100" w:type="dxa"/>
          </w:tcPr>
          <w:p w14:paraId="4422B91F" w14:textId="77777777" w:rsidR="00545C2B" w:rsidRPr="00983DE2" w:rsidRDefault="00545C2B" w:rsidP="005D23AD">
            <w:pPr>
              <w:spacing w:line="276" w:lineRule="auto"/>
              <w:jc w:val="both"/>
              <w:rPr>
                <w:rFonts w:ascii="Verdana" w:eastAsia="Calibri" w:hAnsi="Verdana" w:cs="Arial"/>
                <w:lang w:val="es-ES" w:eastAsia="es-ES"/>
              </w:rPr>
            </w:pPr>
            <w:r w:rsidRPr="00983DE2">
              <w:rPr>
                <w:rFonts w:ascii="Verdana" w:eastAsia="Calibri" w:hAnsi="Verdana" w:cs="Arial"/>
                <w:lang w:val="es-ES" w:eastAsia="es-ES"/>
              </w:rPr>
              <w:t>GARANTÍAS – Contratación estatal – Constitución de garantías – Finalidad – Cumplimiento – Obligaciones contractuales / GARANTÍA DE CUMPLIMIENTO – Amparos – Finalidad / GARANTÍA DE RESPONSABILIDAD CIVIL EXTRACONTRACTUAL – Características – Suficiencia – Criterios de aprobación</w:t>
            </w:r>
          </w:p>
          <w:p w14:paraId="0324BB73" w14:textId="77777777" w:rsidR="00545C2B" w:rsidRPr="00983DE2" w:rsidRDefault="00545C2B" w:rsidP="005D23AD">
            <w:pPr>
              <w:spacing w:line="276" w:lineRule="auto"/>
              <w:jc w:val="both"/>
              <w:rPr>
                <w:rFonts w:ascii="Verdana" w:eastAsia="Calibri" w:hAnsi="Verdana" w:cs="Arial"/>
                <w:color w:val="000000" w:themeColor="text1"/>
                <w:lang w:val="es-ES" w:eastAsia="es-ES_tradnl"/>
              </w:rPr>
            </w:pPr>
          </w:p>
        </w:tc>
        <w:tc>
          <w:tcPr>
            <w:tcW w:w="4179" w:type="dxa"/>
          </w:tcPr>
          <w:p w14:paraId="3337CE72" w14:textId="77777777" w:rsidR="00545C2B" w:rsidRPr="00983DE2" w:rsidRDefault="00545C2B" w:rsidP="005D23AD">
            <w:pPr>
              <w:spacing w:line="276" w:lineRule="auto"/>
              <w:jc w:val="both"/>
              <w:rPr>
                <w:rFonts w:ascii="Verdana" w:eastAsia="Calibri" w:hAnsi="Verdana" w:cs="Arial"/>
                <w:color w:val="000000" w:themeColor="text1"/>
                <w:lang w:val="es-ES" w:eastAsia="es-ES_tradnl"/>
              </w:rPr>
            </w:pPr>
          </w:p>
          <w:p w14:paraId="7EF7B092" w14:textId="77777777" w:rsidR="00545C2B" w:rsidRPr="00983DE2" w:rsidRDefault="00545C2B" w:rsidP="005D23AD">
            <w:pPr>
              <w:spacing w:line="276" w:lineRule="auto"/>
              <w:rPr>
                <w:rFonts w:ascii="Verdana" w:eastAsia="Calibri" w:hAnsi="Verdana" w:cs="Arial"/>
                <w:color w:val="000000" w:themeColor="text1"/>
                <w:lang w:val="es-ES" w:eastAsia="es-ES_tradnl"/>
              </w:rPr>
            </w:pPr>
          </w:p>
        </w:tc>
      </w:tr>
      <w:tr w:rsidR="00545C2B" w:rsidRPr="00983DE2" w14:paraId="16FEC5F0" w14:textId="77777777" w:rsidTr="005D23AD">
        <w:trPr>
          <w:gridAfter w:val="1"/>
          <w:wAfter w:w="4179" w:type="dxa"/>
        </w:trPr>
        <w:tc>
          <w:tcPr>
            <w:tcW w:w="2689" w:type="dxa"/>
          </w:tcPr>
          <w:p w14:paraId="0306B876" w14:textId="77777777" w:rsidR="00545C2B" w:rsidRPr="00983DE2" w:rsidRDefault="00545C2B" w:rsidP="005D23AD">
            <w:pPr>
              <w:jc w:val="both"/>
              <w:rPr>
                <w:rFonts w:ascii="Verdana" w:eastAsia="Calibri" w:hAnsi="Verdana" w:cs="Arial"/>
                <w:b/>
                <w:color w:val="000000" w:themeColor="text1"/>
                <w:lang w:val="es-ES" w:eastAsia="es-ES_tradnl"/>
              </w:rPr>
            </w:pPr>
            <w:r w:rsidRPr="00983DE2">
              <w:rPr>
                <w:rFonts w:ascii="Verdana" w:eastAsia="Calibri" w:hAnsi="Verdana" w:cs="Arial"/>
                <w:b/>
                <w:color w:val="000000" w:themeColor="text1"/>
                <w:lang w:val="es-ES" w:eastAsia="es-ES_tradnl"/>
              </w:rPr>
              <w:t>Radicación:</w:t>
            </w:r>
            <w:r w:rsidRPr="00983DE2">
              <w:rPr>
                <w:rFonts w:ascii="Verdana" w:eastAsia="Calibri" w:hAnsi="Verdana" w:cs="Arial"/>
                <w:color w:val="000000" w:themeColor="text1"/>
                <w:lang w:val="es-ES" w:eastAsia="es-ES_tradnl"/>
              </w:rPr>
              <w:t xml:space="preserve">               </w:t>
            </w:r>
          </w:p>
        </w:tc>
        <w:tc>
          <w:tcPr>
            <w:tcW w:w="6100" w:type="dxa"/>
          </w:tcPr>
          <w:p w14:paraId="33DF4249" w14:textId="77777777" w:rsidR="00545C2B" w:rsidRPr="00983DE2" w:rsidRDefault="00545C2B" w:rsidP="005D23AD">
            <w:pPr>
              <w:jc w:val="both"/>
              <w:rPr>
                <w:rFonts w:ascii="Verdana" w:eastAsia="Calibri" w:hAnsi="Verdana" w:cs="Arial"/>
                <w:color w:val="000000" w:themeColor="text1"/>
                <w:lang w:val="es-ES" w:eastAsia="es-ES_tradnl"/>
              </w:rPr>
            </w:pPr>
            <w:r w:rsidRPr="00983DE2">
              <w:rPr>
                <w:rFonts w:ascii="Verdana" w:eastAsia="Calibri" w:hAnsi="Verdana" w:cs="Arial"/>
                <w:color w:val="000000" w:themeColor="text1"/>
                <w:lang w:val="es-ES" w:eastAsia="es-ES_tradnl"/>
              </w:rPr>
              <w:t>Respuesta a consulta con radicado No. 1_2025_10_22_011851</w:t>
            </w:r>
          </w:p>
        </w:tc>
      </w:tr>
    </w:tbl>
    <w:p w14:paraId="46FC4361" w14:textId="77777777" w:rsidR="00545C2B" w:rsidRPr="00983DE2" w:rsidRDefault="00545C2B" w:rsidP="00545C2B">
      <w:pPr>
        <w:spacing w:after="0" w:line="276" w:lineRule="auto"/>
        <w:jc w:val="both"/>
        <w:rPr>
          <w:rFonts w:ascii="Verdana" w:eastAsia="Calibri" w:hAnsi="Verdana" w:cs="Arial"/>
          <w:color w:val="000000" w:themeColor="text1"/>
          <w:lang w:val="es-ES" w:eastAsia="es-ES_tradnl"/>
        </w:rPr>
      </w:pPr>
    </w:p>
    <w:p w14:paraId="7E168216" w14:textId="77777777" w:rsidR="00545C2B" w:rsidRPr="00983DE2" w:rsidRDefault="00545C2B" w:rsidP="00545C2B">
      <w:pPr>
        <w:spacing w:after="0" w:line="276" w:lineRule="auto"/>
        <w:jc w:val="both"/>
        <w:rPr>
          <w:rFonts w:ascii="Verdana" w:eastAsia="Calibri" w:hAnsi="Verdana" w:cs="Arial"/>
          <w:color w:val="000000" w:themeColor="text1"/>
          <w:lang w:val="es-ES" w:eastAsia="es-ES"/>
        </w:rPr>
      </w:pPr>
      <w:r w:rsidRPr="00983DE2">
        <w:rPr>
          <w:rFonts w:ascii="Verdana" w:eastAsia="Calibri" w:hAnsi="Verdana" w:cs="Arial"/>
          <w:color w:val="000000" w:themeColor="text1"/>
          <w:lang w:val="es-ES" w:eastAsia="es-ES"/>
        </w:rPr>
        <w:t xml:space="preserve">Estimada señora Marina: </w:t>
      </w:r>
    </w:p>
    <w:p w14:paraId="40897ACE" w14:textId="77777777" w:rsidR="00545C2B" w:rsidRPr="00983DE2" w:rsidRDefault="00545C2B" w:rsidP="00545C2B">
      <w:pPr>
        <w:tabs>
          <w:tab w:val="left" w:pos="3768"/>
        </w:tabs>
        <w:spacing w:after="0" w:line="276" w:lineRule="auto"/>
        <w:jc w:val="both"/>
        <w:rPr>
          <w:rFonts w:ascii="Verdana" w:eastAsia="Calibri" w:hAnsi="Verdana" w:cs="Arial"/>
          <w:color w:val="000000" w:themeColor="text1"/>
          <w:lang w:val="es-ES" w:eastAsia="es-ES"/>
        </w:rPr>
      </w:pPr>
      <w:r w:rsidRPr="00983DE2">
        <w:rPr>
          <w:rFonts w:ascii="Verdana" w:eastAsia="Calibri" w:hAnsi="Verdana" w:cs="Arial"/>
          <w:color w:val="000000" w:themeColor="text1"/>
          <w:lang w:val="es-ES" w:eastAsia="es-ES"/>
        </w:rPr>
        <w:tab/>
      </w:r>
    </w:p>
    <w:p w14:paraId="75391191" w14:textId="77777777" w:rsidR="00545C2B" w:rsidRPr="00983DE2" w:rsidRDefault="00545C2B" w:rsidP="00545C2B">
      <w:pPr>
        <w:spacing w:after="0" w:line="276" w:lineRule="auto"/>
        <w:jc w:val="both"/>
        <w:rPr>
          <w:rFonts w:ascii="Verdana" w:eastAsia="Calibri" w:hAnsi="Verdana" w:cs="Arial"/>
          <w:color w:val="000000" w:themeColor="text1"/>
          <w:lang w:val="es-ES" w:eastAsia="es-ES"/>
        </w:rPr>
      </w:pPr>
      <w:r w:rsidRPr="00983DE2">
        <w:rPr>
          <w:rFonts w:ascii="Verdana" w:eastAsia="Calibri" w:hAnsi="Verdana" w:cs="Arial"/>
          <w:color w:val="000000" w:themeColor="text1"/>
          <w:lang w:val="es-ES" w:eastAsia="es-ES"/>
        </w:rPr>
        <w:t>En ejercicio de la competencia otorgada por los artículos 3, numeral 5º, y 11, numeral 8º, del Decreto Ley 4170 de 2011,</w:t>
      </w:r>
      <w:r w:rsidRPr="00983DE2">
        <w:rPr>
          <w:rFonts w:ascii="Verdana" w:eastAsia="Arial MT" w:hAnsi="Verdana" w:cs="Arial MT"/>
          <w:color w:val="000000" w:themeColor="text1"/>
          <w:lang w:val="es-ES" w:eastAsia="es-ES"/>
        </w:rPr>
        <w:t xml:space="preserve"> </w:t>
      </w:r>
      <w:r w:rsidRPr="00983DE2">
        <w:rPr>
          <w:rFonts w:ascii="Verdana" w:hAnsi="Verdana" w:cs="Arial"/>
          <w:color w:val="000000" w:themeColor="text1"/>
          <w:lang w:val="es-ES"/>
        </w:rPr>
        <w:t>así como lo establecido en el artículo 4 de la Resolución 1707 de 2018 expedida por esta Entidad, la Agencia Nacional de Contratación Pública – Colombia Compra Eficiente– responde su solicitud de concepto del 22 de octubre de 2025, en la cual manifiesta lo siguiente:</w:t>
      </w:r>
      <w:r w:rsidRPr="00983DE2">
        <w:rPr>
          <w:rFonts w:ascii="Verdana" w:eastAsia="Calibri" w:hAnsi="Verdana" w:cs="Arial"/>
          <w:color w:val="000000" w:themeColor="text1"/>
          <w:lang w:val="es-ES" w:eastAsia="es-ES"/>
        </w:rPr>
        <w:t xml:space="preserve"> </w:t>
      </w:r>
    </w:p>
    <w:p w14:paraId="2963D4A0" w14:textId="77777777" w:rsidR="00545C2B" w:rsidRPr="00983DE2" w:rsidRDefault="00545C2B" w:rsidP="00545C2B">
      <w:pPr>
        <w:spacing w:after="0" w:line="276" w:lineRule="auto"/>
        <w:jc w:val="both"/>
        <w:rPr>
          <w:rFonts w:ascii="Verdana" w:eastAsia="Calibri" w:hAnsi="Verdana" w:cs="Arial"/>
          <w:color w:val="000000" w:themeColor="text1"/>
          <w:lang w:val="es-ES" w:eastAsia="es-ES"/>
        </w:rPr>
      </w:pPr>
    </w:p>
    <w:p w14:paraId="75E0B5CB" w14:textId="77777777" w:rsidR="00545C2B" w:rsidRPr="00983DE2" w:rsidRDefault="00545C2B" w:rsidP="00545C2B">
      <w:pPr>
        <w:spacing w:after="0"/>
        <w:ind w:left="720" w:right="709"/>
        <w:jc w:val="both"/>
        <w:rPr>
          <w:rFonts w:ascii="Verdana" w:eastAsia="Century Gothic" w:hAnsi="Verdana" w:cs="Century Gothic"/>
          <w:color w:val="000000" w:themeColor="text1"/>
          <w:sz w:val="20"/>
          <w:szCs w:val="20"/>
          <w:lang w:val="es-ES"/>
        </w:rPr>
      </w:pPr>
      <w:r w:rsidRPr="00983DE2">
        <w:rPr>
          <w:rFonts w:ascii="Verdana" w:eastAsia="Century Gothic" w:hAnsi="Verdana" w:cs="Century Gothic"/>
          <w:color w:val="000000" w:themeColor="text1"/>
          <w:sz w:val="20"/>
          <w:szCs w:val="20"/>
          <w:lang w:val="es-ES"/>
        </w:rPr>
        <w:t xml:space="preserve">“me permito solicitar a la Agencia Nacional de Contratación Pública […] se sirva de emitir una </w:t>
      </w:r>
      <w:proofErr w:type="spellStart"/>
      <w:r w:rsidRPr="00983DE2">
        <w:rPr>
          <w:rFonts w:ascii="Verdana" w:eastAsia="Century Gothic" w:hAnsi="Verdana" w:cs="Century Gothic"/>
          <w:color w:val="000000" w:themeColor="text1"/>
          <w:sz w:val="20"/>
          <w:szCs w:val="20"/>
          <w:lang w:val="es-ES"/>
        </w:rPr>
        <w:t>interpretación</w:t>
      </w:r>
      <w:proofErr w:type="spellEnd"/>
      <w:r w:rsidRPr="00983DE2">
        <w:rPr>
          <w:rFonts w:ascii="Verdana" w:eastAsia="Century Gothic" w:hAnsi="Verdana" w:cs="Century Gothic"/>
          <w:color w:val="000000" w:themeColor="text1"/>
          <w:sz w:val="20"/>
          <w:szCs w:val="20"/>
          <w:lang w:val="es-ES"/>
        </w:rPr>
        <w:t xml:space="preserve"> orientadora respecto de la aplicación de las disposiciones contenidas en los </w:t>
      </w:r>
      <w:proofErr w:type="spellStart"/>
      <w:r w:rsidRPr="00983DE2">
        <w:rPr>
          <w:rFonts w:ascii="Verdana" w:eastAsia="Century Gothic" w:hAnsi="Verdana" w:cs="Century Gothic"/>
          <w:color w:val="000000" w:themeColor="text1"/>
          <w:sz w:val="20"/>
          <w:szCs w:val="20"/>
          <w:lang w:val="es-ES"/>
        </w:rPr>
        <w:t>artículos</w:t>
      </w:r>
      <w:proofErr w:type="spellEnd"/>
      <w:r w:rsidRPr="00983DE2">
        <w:rPr>
          <w:rFonts w:ascii="Verdana" w:eastAsia="Century Gothic" w:hAnsi="Verdana" w:cs="Century Gothic"/>
          <w:color w:val="000000" w:themeColor="text1"/>
          <w:sz w:val="20"/>
          <w:szCs w:val="20"/>
          <w:lang w:val="es-ES"/>
        </w:rPr>
        <w:t xml:space="preserve"> 2.2.1.2.3.1.5 y 2.2.1.2.3.2.9 del Decreto 1082 de 2015, en particular sobre la forma en que debe exigirse el amparo de responsabilidad civil extracontractual dentro de los procesos de contratación estatal. </w:t>
      </w:r>
    </w:p>
    <w:p w14:paraId="48AB2B60" w14:textId="77777777" w:rsidR="00545C2B" w:rsidRPr="00983DE2" w:rsidRDefault="00545C2B" w:rsidP="00545C2B">
      <w:pPr>
        <w:spacing w:after="0"/>
        <w:ind w:left="720" w:right="709"/>
        <w:jc w:val="both"/>
        <w:rPr>
          <w:rFonts w:ascii="Verdana" w:eastAsia="Century Gothic" w:hAnsi="Verdana" w:cs="Century Gothic"/>
          <w:color w:val="000000" w:themeColor="text1"/>
          <w:sz w:val="20"/>
          <w:szCs w:val="20"/>
          <w:lang w:val="es-ES"/>
        </w:rPr>
      </w:pPr>
    </w:p>
    <w:p w14:paraId="69ABDAD0" w14:textId="77777777" w:rsidR="00545C2B" w:rsidRPr="00983DE2" w:rsidRDefault="00545C2B" w:rsidP="00545C2B">
      <w:pPr>
        <w:spacing w:after="0"/>
        <w:ind w:left="720" w:right="709"/>
        <w:jc w:val="both"/>
        <w:rPr>
          <w:rFonts w:ascii="Verdana" w:eastAsia="Century Gothic" w:hAnsi="Verdana" w:cs="Century Gothic"/>
          <w:color w:val="000000" w:themeColor="text1"/>
          <w:sz w:val="20"/>
          <w:szCs w:val="20"/>
          <w:lang w:val="es-ES"/>
        </w:rPr>
      </w:pPr>
      <w:r w:rsidRPr="00983DE2">
        <w:rPr>
          <w:rFonts w:ascii="Verdana" w:eastAsia="Century Gothic" w:hAnsi="Verdana" w:cs="Century Gothic"/>
          <w:color w:val="000000" w:themeColor="text1"/>
          <w:sz w:val="20"/>
          <w:szCs w:val="20"/>
          <w:lang w:val="es-ES"/>
        </w:rPr>
        <w:t xml:space="preserve">En el desarrollo de un </w:t>
      </w:r>
      <w:proofErr w:type="spellStart"/>
      <w:r w:rsidRPr="00983DE2">
        <w:rPr>
          <w:rFonts w:ascii="Verdana" w:eastAsia="Century Gothic" w:hAnsi="Verdana" w:cs="Century Gothic"/>
          <w:color w:val="000000" w:themeColor="text1"/>
          <w:sz w:val="20"/>
          <w:szCs w:val="20"/>
          <w:lang w:val="es-ES"/>
        </w:rPr>
        <w:t>análisis</w:t>
      </w:r>
      <w:proofErr w:type="spellEnd"/>
      <w:r w:rsidRPr="00983DE2">
        <w:rPr>
          <w:rFonts w:ascii="Verdana" w:eastAsia="Century Gothic" w:hAnsi="Verdana" w:cs="Century Gothic"/>
          <w:color w:val="000000" w:themeColor="text1"/>
          <w:sz w:val="20"/>
          <w:szCs w:val="20"/>
          <w:lang w:val="es-ES"/>
        </w:rPr>
        <w:t xml:space="preserve"> </w:t>
      </w:r>
      <w:proofErr w:type="spellStart"/>
      <w:r w:rsidRPr="00983DE2">
        <w:rPr>
          <w:rFonts w:ascii="Verdana" w:eastAsia="Century Gothic" w:hAnsi="Verdana" w:cs="Century Gothic"/>
          <w:color w:val="000000" w:themeColor="text1"/>
          <w:sz w:val="20"/>
          <w:szCs w:val="20"/>
          <w:lang w:val="es-ES"/>
        </w:rPr>
        <w:t>jurídico</w:t>
      </w:r>
      <w:proofErr w:type="spellEnd"/>
      <w:r w:rsidRPr="00983DE2">
        <w:rPr>
          <w:rFonts w:ascii="Verdana" w:eastAsia="Century Gothic" w:hAnsi="Verdana" w:cs="Century Gothic"/>
          <w:color w:val="000000" w:themeColor="text1"/>
          <w:sz w:val="20"/>
          <w:szCs w:val="20"/>
          <w:lang w:val="es-ES"/>
        </w:rPr>
        <w:t xml:space="preserve"> sobre este tema, se ha identificado la existencia de dos posibles interpretaciones sobre la aplicación del citado marco normativo: </w:t>
      </w:r>
    </w:p>
    <w:p w14:paraId="00F64EB5" w14:textId="77777777" w:rsidR="00545C2B" w:rsidRPr="00983DE2" w:rsidRDefault="00545C2B" w:rsidP="00545C2B">
      <w:pPr>
        <w:spacing w:after="0"/>
        <w:ind w:left="720" w:right="709"/>
        <w:jc w:val="both"/>
        <w:rPr>
          <w:rFonts w:ascii="Verdana" w:eastAsia="Century Gothic" w:hAnsi="Verdana" w:cs="Century Gothic"/>
          <w:color w:val="000000" w:themeColor="text1"/>
          <w:sz w:val="20"/>
          <w:szCs w:val="20"/>
          <w:lang w:val="es-ES"/>
        </w:rPr>
      </w:pPr>
    </w:p>
    <w:p w14:paraId="043633E0" w14:textId="77777777" w:rsidR="00545C2B" w:rsidRPr="00983DE2" w:rsidRDefault="00545C2B" w:rsidP="00545C2B">
      <w:pPr>
        <w:spacing w:after="0"/>
        <w:ind w:left="720" w:right="709"/>
        <w:jc w:val="both"/>
        <w:rPr>
          <w:rFonts w:ascii="Verdana" w:eastAsia="Century Gothic" w:hAnsi="Verdana" w:cs="Century Gothic"/>
          <w:color w:val="000000" w:themeColor="text1"/>
          <w:sz w:val="20"/>
          <w:szCs w:val="20"/>
          <w:lang w:val="es-ES"/>
        </w:rPr>
      </w:pPr>
      <w:r w:rsidRPr="00983DE2">
        <w:rPr>
          <w:rFonts w:ascii="Verdana" w:eastAsia="Century Gothic" w:hAnsi="Verdana" w:cs="Century Gothic"/>
          <w:color w:val="000000" w:themeColor="text1"/>
          <w:sz w:val="20"/>
          <w:szCs w:val="20"/>
          <w:lang w:val="es-ES"/>
        </w:rPr>
        <w:lastRenderedPageBreak/>
        <w:t>(i)  </w:t>
      </w:r>
      <w:proofErr w:type="spellStart"/>
      <w:r w:rsidRPr="00983DE2">
        <w:rPr>
          <w:rFonts w:ascii="Verdana" w:eastAsia="Century Gothic" w:hAnsi="Verdana" w:cs="Century Gothic"/>
          <w:color w:val="000000" w:themeColor="text1"/>
          <w:sz w:val="20"/>
          <w:szCs w:val="20"/>
          <w:lang w:val="es-ES"/>
        </w:rPr>
        <w:t>Interpretación</w:t>
      </w:r>
      <w:proofErr w:type="spellEnd"/>
      <w:r w:rsidRPr="00983DE2">
        <w:rPr>
          <w:rFonts w:ascii="Verdana" w:eastAsia="Century Gothic" w:hAnsi="Verdana" w:cs="Century Gothic"/>
          <w:color w:val="000000" w:themeColor="text1"/>
          <w:sz w:val="20"/>
          <w:szCs w:val="20"/>
          <w:lang w:val="es-ES"/>
        </w:rPr>
        <w:t xml:space="preserve"> literal o flexible, </w:t>
      </w:r>
      <w:proofErr w:type="spellStart"/>
      <w:r w:rsidRPr="00983DE2">
        <w:rPr>
          <w:rFonts w:ascii="Verdana" w:eastAsia="Century Gothic" w:hAnsi="Verdana" w:cs="Century Gothic"/>
          <w:color w:val="000000" w:themeColor="text1"/>
          <w:sz w:val="20"/>
          <w:szCs w:val="20"/>
          <w:lang w:val="es-ES"/>
        </w:rPr>
        <w:t>según</w:t>
      </w:r>
      <w:proofErr w:type="spellEnd"/>
      <w:r w:rsidRPr="00983DE2">
        <w:rPr>
          <w:rFonts w:ascii="Verdana" w:eastAsia="Century Gothic" w:hAnsi="Verdana" w:cs="Century Gothic"/>
          <w:color w:val="000000" w:themeColor="text1"/>
          <w:sz w:val="20"/>
          <w:szCs w:val="20"/>
          <w:lang w:val="es-ES"/>
        </w:rPr>
        <w:t xml:space="preserve"> la cual la norma permite que el amparo de responsabilidad civil extracontractual pueda constituirse dentro de una </w:t>
      </w:r>
      <w:proofErr w:type="spellStart"/>
      <w:r w:rsidRPr="00983DE2">
        <w:rPr>
          <w:rFonts w:ascii="Verdana" w:eastAsia="Century Gothic" w:hAnsi="Verdana" w:cs="Century Gothic"/>
          <w:color w:val="000000" w:themeColor="text1"/>
          <w:sz w:val="20"/>
          <w:szCs w:val="20"/>
          <w:lang w:val="es-ES"/>
        </w:rPr>
        <w:t>póliza</w:t>
      </w:r>
      <w:proofErr w:type="spellEnd"/>
      <w:r w:rsidRPr="00983DE2">
        <w:rPr>
          <w:rFonts w:ascii="Verdana" w:eastAsia="Century Gothic" w:hAnsi="Verdana" w:cs="Century Gothic"/>
          <w:color w:val="000000" w:themeColor="text1"/>
          <w:sz w:val="20"/>
          <w:szCs w:val="20"/>
          <w:lang w:val="es-ES"/>
        </w:rPr>
        <w:t xml:space="preserve"> corporativa, siempre que se garantice el cumplimiento de los requisitos legales mínimos previstos en el Decreto 1082 de 2015, relativos a la modalidad de cobertura, </w:t>
      </w:r>
      <w:proofErr w:type="spellStart"/>
      <w:r w:rsidRPr="00983DE2">
        <w:rPr>
          <w:rFonts w:ascii="Verdana" w:eastAsia="Century Gothic" w:hAnsi="Verdana" w:cs="Century Gothic"/>
          <w:color w:val="000000" w:themeColor="text1"/>
          <w:sz w:val="20"/>
          <w:szCs w:val="20"/>
          <w:lang w:val="es-ES"/>
        </w:rPr>
        <w:t>identificación</w:t>
      </w:r>
      <w:proofErr w:type="spellEnd"/>
      <w:r w:rsidRPr="00983DE2">
        <w:rPr>
          <w:rFonts w:ascii="Verdana" w:eastAsia="Century Gothic" w:hAnsi="Verdana" w:cs="Century Gothic"/>
          <w:color w:val="000000" w:themeColor="text1"/>
          <w:sz w:val="20"/>
          <w:szCs w:val="20"/>
          <w:lang w:val="es-ES"/>
        </w:rPr>
        <w:t xml:space="preserve"> de los asegurados y beneficiarios, vigencia y amparos obligatorios. </w:t>
      </w:r>
    </w:p>
    <w:p w14:paraId="2E70BBBE" w14:textId="77777777" w:rsidR="00545C2B" w:rsidRPr="00983DE2" w:rsidRDefault="00545C2B" w:rsidP="00545C2B">
      <w:pPr>
        <w:spacing w:after="0"/>
        <w:ind w:left="720" w:right="709"/>
        <w:jc w:val="both"/>
        <w:rPr>
          <w:rFonts w:ascii="Verdana" w:eastAsia="Century Gothic" w:hAnsi="Verdana" w:cs="Century Gothic"/>
          <w:color w:val="000000" w:themeColor="text1"/>
          <w:sz w:val="20"/>
          <w:szCs w:val="20"/>
          <w:lang w:val="es-ES"/>
        </w:rPr>
      </w:pPr>
    </w:p>
    <w:p w14:paraId="35DF432C" w14:textId="77777777" w:rsidR="00545C2B" w:rsidRPr="00983DE2" w:rsidRDefault="00545C2B" w:rsidP="00545C2B">
      <w:pPr>
        <w:spacing w:after="0"/>
        <w:ind w:left="720" w:right="709"/>
        <w:jc w:val="both"/>
        <w:rPr>
          <w:rFonts w:ascii="Verdana" w:eastAsia="Century Gothic" w:hAnsi="Verdana" w:cs="Century Gothic"/>
          <w:color w:val="000000" w:themeColor="text1"/>
          <w:sz w:val="20"/>
          <w:szCs w:val="20"/>
          <w:lang w:val="es-ES"/>
        </w:rPr>
      </w:pPr>
      <w:r w:rsidRPr="00983DE2">
        <w:rPr>
          <w:rFonts w:ascii="Verdana" w:eastAsia="Century Gothic" w:hAnsi="Verdana" w:cs="Century Gothic"/>
          <w:color w:val="000000" w:themeColor="text1"/>
          <w:sz w:val="20"/>
          <w:szCs w:val="20"/>
          <w:lang w:val="es-ES"/>
        </w:rPr>
        <w:t>(</w:t>
      </w:r>
      <w:proofErr w:type="spellStart"/>
      <w:r w:rsidRPr="00983DE2">
        <w:rPr>
          <w:rFonts w:ascii="Verdana" w:eastAsia="Century Gothic" w:hAnsi="Verdana" w:cs="Century Gothic"/>
          <w:color w:val="000000" w:themeColor="text1"/>
          <w:sz w:val="20"/>
          <w:szCs w:val="20"/>
          <w:lang w:val="es-ES"/>
        </w:rPr>
        <w:t>ii</w:t>
      </w:r>
      <w:proofErr w:type="spellEnd"/>
      <w:r w:rsidRPr="00983DE2">
        <w:rPr>
          <w:rFonts w:ascii="Verdana" w:eastAsia="Century Gothic" w:hAnsi="Verdana" w:cs="Century Gothic"/>
          <w:color w:val="000000" w:themeColor="text1"/>
          <w:sz w:val="20"/>
          <w:szCs w:val="20"/>
          <w:lang w:val="es-ES"/>
        </w:rPr>
        <w:t>)  </w:t>
      </w:r>
      <w:proofErr w:type="spellStart"/>
      <w:r w:rsidRPr="00983DE2">
        <w:rPr>
          <w:rFonts w:ascii="Verdana" w:eastAsia="Century Gothic" w:hAnsi="Verdana" w:cs="Century Gothic"/>
          <w:color w:val="000000" w:themeColor="text1"/>
          <w:sz w:val="20"/>
          <w:szCs w:val="20"/>
          <w:lang w:val="es-ES"/>
        </w:rPr>
        <w:t>Interpretación</w:t>
      </w:r>
      <w:proofErr w:type="spellEnd"/>
      <w:r w:rsidRPr="00983DE2">
        <w:rPr>
          <w:rFonts w:ascii="Verdana" w:eastAsia="Century Gothic" w:hAnsi="Verdana" w:cs="Century Gothic"/>
          <w:color w:val="000000" w:themeColor="text1"/>
          <w:sz w:val="20"/>
          <w:szCs w:val="20"/>
          <w:lang w:val="es-ES"/>
        </w:rPr>
        <w:t xml:space="preserve"> restrictiva o individualizada, conforme a la cual la </w:t>
      </w:r>
      <w:proofErr w:type="spellStart"/>
      <w:r w:rsidRPr="00983DE2">
        <w:rPr>
          <w:rFonts w:ascii="Verdana" w:eastAsia="Century Gothic" w:hAnsi="Verdana" w:cs="Century Gothic"/>
          <w:color w:val="000000" w:themeColor="text1"/>
          <w:sz w:val="20"/>
          <w:szCs w:val="20"/>
          <w:lang w:val="es-ES"/>
        </w:rPr>
        <w:t>póliza</w:t>
      </w:r>
      <w:proofErr w:type="spellEnd"/>
      <w:r w:rsidRPr="00983DE2">
        <w:rPr>
          <w:rFonts w:ascii="Verdana" w:eastAsia="Century Gothic" w:hAnsi="Verdana" w:cs="Century Gothic"/>
          <w:color w:val="000000" w:themeColor="text1"/>
          <w:sz w:val="20"/>
          <w:szCs w:val="20"/>
          <w:lang w:val="es-ES"/>
        </w:rPr>
        <w:t xml:space="preserve"> de responsabilidad civil extracontractual debe expedirse de forma exclusiva para cada contrato. </w:t>
      </w:r>
    </w:p>
    <w:p w14:paraId="5120ACB0" w14:textId="77777777" w:rsidR="00545C2B" w:rsidRPr="00983DE2" w:rsidRDefault="00545C2B" w:rsidP="00545C2B">
      <w:pPr>
        <w:spacing w:after="0"/>
        <w:ind w:left="720" w:right="709"/>
        <w:jc w:val="both"/>
        <w:rPr>
          <w:rFonts w:ascii="Verdana" w:eastAsia="Century Gothic" w:hAnsi="Verdana" w:cs="Century Gothic"/>
          <w:color w:val="000000" w:themeColor="text1"/>
          <w:sz w:val="20"/>
          <w:szCs w:val="20"/>
          <w:lang w:val="es-ES"/>
        </w:rPr>
      </w:pPr>
    </w:p>
    <w:p w14:paraId="6D8DB8D9" w14:textId="77777777" w:rsidR="00545C2B" w:rsidRPr="00983DE2" w:rsidRDefault="00545C2B" w:rsidP="00545C2B">
      <w:pPr>
        <w:spacing w:after="0"/>
        <w:ind w:left="720" w:right="709"/>
        <w:jc w:val="both"/>
        <w:rPr>
          <w:rFonts w:ascii="Verdana" w:eastAsia="Century Gothic" w:hAnsi="Verdana" w:cs="Century Gothic"/>
          <w:color w:val="000000" w:themeColor="text1"/>
          <w:sz w:val="20"/>
          <w:szCs w:val="20"/>
          <w:lang w:val="es-ES"/>
        </w:rPr>
      </w:pPr>
      <w:r w:rsidRPr="00983DE2">
        <w:rPr>
          <w:rFonts w:ascii="Verdana" w:eastAsia="Century Gothic" w:hAnsi="Verdana" w:cs="Century Gothic"/>
          <w:color w:val="000000" w:themeColor="text1"/>
          <w:sz w:val="20"/>
          <w:szCs w:val="20"/>
          <w:lang w:val="es-ES"/>
        </w:rPr>
        <w:t xml:space="preserve">Teniendo en cuenta que ambas interpretaciones difieren en el alcance del cumplimiento normativo y operativo, respetuosamente solicito a esa Agencia se sirva de aclarar </w:t>
      </w:r>
      <w:proofErr w:type="spellStart"/>
      <w:r w:rsidRPr="00983DE2">
        <w:rPr>
          <w:rFonts w:ascii="Verdana" w:eastAsia="Century Gothic" w:hAnsi="Verdana" w:cs="Century Gothic"/>
          <w:color w:val="000000" w:themeColor="text1"/>
          <w:sz w:val="20"/>
          <w:szCs w:val="20"/>
          <w:lang w:val="es-ES"/>
        </w:rPr>
        <w:t>cuál</w:t>
      </w:r>
      <w:proofErr w:type="spellEnd"/>
      <w:r w:rsidRPr="00983DE2">
        <w:rPr>
          <w:rFonts w:ascii="Verdana" w:eastAsia="Century Gothic" w:hAnsi="Verdana" w:cs="Century Gothic"/>
          <w:color w:val="000000" w:themeColor="text1"/>
          <w:sz w:val="20"/>
          <w:szCs w:val="20"/>
          <w:lang w:val="es-ES"/>
        </w:rPr>
        <w:t xml:space="preserve"> de las dos interpretaciones considera ajustada a la normativa vigente, o, en su defecto, precisar los criterios </w:t>
      </w:r>
      <w:proofErr w:type="spellStart"/>
      <w:r w:rsidRPr="00983DE2">
        <w:rPr>
          <w:rFonts w:ascii="Verdana" w:eastAsia="Century Gothic" w:hAnsi="Verdana" w:cs="Century Gothic"/>
          <w:color w:val="000000" w:themeColor="text1"/>
          <w:sz w:val="20"/>
          <w:szCs w:val="20"/>
          <w:lang w:val="es-ES"/>
        </w:rPr>
        <w:t>técnicos</w:t>
      </w:r>
      <w:proofErr w:type="spellEnd"/>
      <w:r w:rsidRPr="00983DE2">
        <w:rPr>
          <w:rFonts w:ascii="Verdana" w:eastAsia="Century Gothic" w:hAnsi="Verdana" w:cs="Century Gothic"/>
          <w:color w:val="000000" w:themeColor="text1"/>
          <w:sz w:val="20"/>
          <w:szCs w:val="20"/>
          <w:lang w:val="es-ES"/>
        </w:rPr>
        <w:t xml:space="preserve"> y </w:t>
      </w:r>
      <w:proofErr w:type="spellStart"/>
      <w:r w:rsidRPr="00983DE2">
        <w:rPr>
          <w:rFonts w:ascii="Verdana" w:eastAsia="Century Gothic" w:hAnsi="Verdana" w:cs="Century Gothic"/>
          <w:color w:val="000000" w:themeColor="text1"/>
          <w:sz w:val="20"/>
          <w:szCs w:val="20"/>
          <w:lang w:val="es-ES"/>
        </w:rPr>
        <w:t>jurídicos</w:t>
      </w:r>
      <w:proofErr w:type="spellEnd"/>
      <w:r w:rsidRPr="00983DE2">
        <w:rPr>
          <w:rFonts w:ascii="Verdana" w:eastAsia="Century Gothic" w:hAnsi="Verdana" w:cs="Century Gothic"/>
          <w:color w:val="000000" w:themeColor="text1"/>
          <w:sz w:val="20"/>
          <w:szCs w:val="20"/>
          <w:lang w:val="es-ES"/>
        </w:rPr>
        <w:t xml:space="preserve"> que deben observarse cuando una entidad estatal </w:t>
      </w:r>
      <w:proofErr w:type="spellStart"/>
      <w:r w:rsidRPr="00983DE2">
        <w:rPr>
          <w:rFonts w:ascii="Verdana" w:eastAsia="Century Gothic" w:hAnsi="Verdana" w:cs="Century Gothic"/>
          <w:color w:val="000000" w:themeColor="text1"/>
          <w:sz w:val="20"/>
          <w:szCs w:val="20"/>
          <w:lang w:val="es-ES"/>
        </w:rPr>
        <w:t>evalúe</w:t>
      </w:r>
      <w:proofErr w:type="spellEnd"/>
      <w:r w:rsidRPr="00983DE2">
        <w:rPr>
          <w:rFonts w:ascii="Verdana" w:eastAsia="Century Gothic" w:hAnsi="Verdana" w:cs="Century Gothic"/>
          <w:color w:val="000000" w:themeColor="text1"/>
          <w:sz w:val="20"/>
          <w:szCs w:val="20"/>
          <w:lang w:val="es-ES"/>
        </w:rPr>
        <w:t xml:space="preserve"> la procedencia de una </w:t>
      </w:r>
      <w:proofErr w:type="spellStart"/>
      <w:r w:rsidRPr="00983DE2">
        <w:rPr>
          <w:rFonts w:ascii="Verdana" w:eastAsia="Century Gothic" w:hAnsi="Verdana" w:cs="Century Gothic"/>
          <w:color w:val="000000" w:themeColor="text1"/>
          <w:sz w:val="20"/>
          <w:szCs w:val="20"/>
          <w:lang w:val="es-ES"/>
        </w:rPr>
        <w:t>póliza</w:t>
      </w:r>
      <w:proofErr w:type="spellEnd"/>
      <w:r w:rsidRPr="00983DE2">
        <w:rPr>
          <w:rFonts w:ascii="Verdana" w:eastAsia="Century Gothic" w:hAnsi="Verdana" w:cs="Century Gothic"/>
          <w:color w:val="000000" w:themeColor="text1"/>
          <w:sz w:val="20"/>
          <w:szCs w:val="20"/>
          <w:lang w:val="es-ES"/>
        </w:rPr>
        <w:t xml:space="preserve"> corporativa para amparar el riesgo de responsabilidad civil extracontractual, siempre que esta cumpla con los requisitos establecidos en los </w:t>
      </w:r>
      <w:proofErr w:type="spellStart"/>
      <w:r w:rsidRPr="00983DE2">
        <w:rPr>
          <w:rFonts w:ascii="Verdana" w:eastAsia="Century Gothic" w:hAnsi="Verdana" w:cs="Century Gothic"/>
          <w:color w:val="000000" w:themeColor="text1"/>
          <w:sz w:val="20"/>
          <w:szCs w:val="20"/>
          <w:lang w:val="es-ES"/>
        </w:rPr>
        <w:t>artículos</w:t>
      </w:r>
      <w:proofErr w:type="spellEnd"/>
      <w:r w:rsidRPr="00983DE2">
        <w:rPr>
          <w:rFonts w:ascii="Verdana" w:eastAsia="Century Gothic" w:hAnsi="Verdana" w:cs="Century Gothic"/>
          <w:color w:val="000000" w:themeColor="text1"/>
          <w:sz w:val="20"/>
          <w:szCs w:val="20"/>
          <w:lang w:val="es-ES"/>
        </w:rPr>
        <w:t xml:space="preserve"> previamente referenciados”.</w:t>
      </w:r>
    </w:p>
    <w:p w14:paraId="70F93FA9" w14:textId="77777777" w:rsidR="00545C2B" w:rsidRPr="00983DE2" w:rsidRDefault="00545C2B" w:rsidP="00545C2B">
      <w:pPr>
        <w:spacing w:after="0"/>
        <w:ind w:left="709" w:right="709"/>
        <w:jc w:val="both"/>
        <w:rPr>
          <w:rFonts w:ascii="Verdana" w:eastAsia="Century Gothic" w:hAnsi="Verdana" w:cs="Century Gothic"/>
          <w:i/>
          <w:iCs/>
          <w:color w:val="000000" w:themeColor="text1"/>
          <w:sz w:val="20"/>
          <w:szCs w:val="20"/>
          <w:lang w:val="es-ES"/>
        </w:rPr>
      </w:pPr>
    </w:p>
    <w:p w14:paraId="250C26B7" w14:textId="77777777" w:rsidR="00545C2B" w:rsidRPr="00983DE2" w:rsidRDefault="00545C2B" w:rsidP="00545C2B">
      <w:pPr>
        <w:spacing w:after="0" w:line="276" w:lineRule="auto"/>
        <w:ind w:firstLine="708"/>
        <w:contextualSpacing/>
        <w:jc w:val="both"/>
        <w:rPr>
          <w:rFonts w:ascii="Verdana" w:eastAsia="Calibri" w:hAnsi="Verdana" w:cs="Arial"/>
          <w:color w:val="000000" w:themeColor="text1"/>
          <w:szCs w:val="24"/>
          <w:lang w:val="es-ES" w:eastAsia="es-ES_tradnl"/>
        </w:rPr>
      </w:pPr>
      <w:bookmarkStart w:id="1" w:name="_Hlk135067441"/>
      <w:r w:rsidRPr="00983DE2">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83DE2">
        <w:rPr>
          <w:rFonts w:ascii="Verdana" w:eastAsia="Calibri" w:hAnsi="Verdana" w:cs="Arial"/>
          <w:color w:val="000000" w:themeColor="text1"/>
          <w:szCs w:val="24"/>
          <w:lang w:val="es-ES" w:eastAsia="es-ES_tradnl"/>
        </w:rPr>
        <w:tab/>
      </w:r>
    </w:p>
    <w:p w14:paraId="5E35F8BF" w14:textId="77777777" w:rsidR="00545C2B" w:rsidRPr="00983DE2" w:rsidRDefault="00545C2B" w:rsidP="00545C2B">
      <w:pPr>
        <w:spacing w:before="120" w:after="120" w:line="276" w:lineRule="auto"/>
        <w:ind w:firstLine="709"/>
        <w:jc w:val="both"/>
        <w:rPr>
          <w:rFonts w:ascii="Verdana" w:eastAsia="Calibri" w:hAnsi="Verdana" w:cs="Arial"/>
          <w:color w:val="000000" w:themeColor="text1"/>
          <w:lang w:val="es-ES" w:eastAsia="es-ES"/>
        </w:rPr>
      </w:pPr>
      <w:r w:rsidRPr="00983DE2">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bookmarkEnd w:id="1"/>
    <w:p w14:paraId="57948F0D" w14:textId="77777777" w:rsidR="00545C2B" w:rsidRPr="00983DE2" w:rsidRDefault="00545C2B" w:rsidP="00545C2B">
      <w:pPr>
        <w:spacing w:after="0" w:line="276" w:lineRule="auto"/>
        <w:jc w:val="both"/>
        <w:rPr>
          <w:rFonts w:ascii="Verdana" w:eastAsia="Calibri" w:hAnsi="Verdana" w:cs="Arial"/>
          <w:color w:val="000000" w:themeColor="text1"/>
          <w:lang w:val="es-ES" w:eastAsia="es-ES"/>
        </w:rPr>
      </w:pPr>
    </w:p>
    <w:p w14:paraId="7940D37D" w14:textId="77777777" w:rsidR="00545C2B" w:rsidRPr="00983DE2" w:rsidRDefault="00545C2B" w:rsidP="00545C2B">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983DE2">
        <w:rPr>
          <w:rFonts w:ascii="Verdana" w:eastAsia="Century Gothic" w:hAnsi="Verdana" w:cs="Century Gothic"/>
          <w:b/>
          <w:bCs/>
          <w:color w:val="000000" w:themeColor="text1"/>
        </w:rPr>
        <w:lastRenderedPageBreak/>
        <w:t>Problema planteado:</w:t>
      </w:r>
    </w:p>
    <w:p w14:paraId="46FE6695" w14:textId="77777777" w:rsidR="00545C2B" w:rsidRPr="00983DE2" w:rsidRDefault="00545C2B" w:rsidP="00545C2B">
      <w:pPr>
        <w:tabs>
          <w:tab w:val="left" w:pos="426"/>
        </w:tabs>
        <w:spacing w:after="0" w:line="276" w:lineRule="auto"/>
        <w:jc w:val="both"/>
        <w:rPr>
          <w:rFonts w:ascii="Verdana" w:eastAsia="Century Gothic" w:hAnsi="Verdana" w:cs="Century Gothic"/>
          <w:color w:val="000000" w:themeColor="text1"/>
          <w:lang w:val="es-ES"/>
        </w:rPr>
      </w:pPr>
    </w:p>
    <w:p w14:paraId="28B24BDB" w14:textId="18CADB4D" w:rsidR="00545C2B" w:rsidRPr="00983DE2" w:rsidRDefault="00545C2B" w:rsidP="00545C2B">
      <w:pPr>
        <w:spacing w:after="0" w:line="276" w:lineRule="auto"/>
        <w:jc w:val="both"/>
        <w:rPr>
          <w:rFonts w:ascii="Verdana" w:eastAsia="Century Gothic" w:hAnsi="Verdana" w:cs="Century Gothic"/>
          <w:color w:val="000000" w:themeColor="text1"/>
          <w:lang w:val="es-ES"/>
        </w:rPr>
      </w:pPr>
      <w:r w:rsidRPr="00983DE2">
        <w:rPr>
          <w:rFonts w:ascii="Verdana" w:eastAsia="Century Gothic" w:hAnsi="Verdana" w:cs="Century Gothic"/>
          <w:color w:val="000000" w:themeColor="text1"/>
          <w:lang w:val="es-ES"/>
        </w:rPr>
        <w:t>De acuerdo con el contenido de su solicitud, esta Agencia resolverá el siguiente problema jurídico:</w:t>
      </w:r>
      <w:r w:rsidRPr="00983DE2">
        <w:rPr>
          <w:rFonts w:ascii="Verdana" w:eastAsia="Century Gothic" w:hAnsi="Verdana" w:cs="Century Gothic"/>
          <w:lang w:val="es-ES"/>
        </w:rPr>
        <w:t xml:space="preserve"> ¿cuáles son </w:t>
      </w:r>
      <w:r w:rsidR="00F252DE" w:rsidRPr="00983DE2">
        <w:rPr>
          <w:rFonts w:ascii="Verdana" w:eastAsia="Century Gothic" w:hAnsi="Verdana" w:cs="Century Gothic"/>
          <w:lang w:val="es-ES"/>
        </w:rPr>
        <w:t xml:space="preserve">los requisitos para la aprobación del contrato de seguro </w:t>
      </w:r>
      <w:r w:rsidRPr="00983DE2">
        <w:rPr>
          <w:rFonts w:ascii="Verdana" w:eastAsia="Century Gothic" w:hAnsi="Verdana" w:cs="Century Gothic"/>
          <w:lang w:val="es-ES"/>
        </w:rPr>
        <w:t xml:space="preserve">de responsabilidad civil extracontractual? </w:t>
      </w:r>
    </w:p>
    <w:p w14:paraId="5B14CF59" w14:textId="77777777" w:rsidR="00545C2B" w:rsidRPr="00983DE2" w:rsidRDefault="00545C2B" w:rsidP="00545C2B">
      <w:pPr>
        <w:spacing w:after="0" w:line="276" w:lineRule="auto"/>
        <w:jc w:val="both"/>
        <w:rPr>
          <w:rFonts w:ascii="Verdana" w:eastAsia="Calibri" w:hAnsi="Verdana" w:cs="Arial"/>
          <w:color w:val="000000" w:themeColor="text1"/>
          <w:lang w:val="es-ES"/>
        </w:rPr>
      </w:pPr>
    </w:p>
    <w:p w14:paraId="48636B6A" w14:textId="77777777" w:rsidR="00545C2B" w:rsidRPr="00983DE2" w:rsidRDefault="00545C2B" w:rsidP="00545C2B">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983DE2">
        <w:rPr>
          <w:rFonts w:ascii="Verdana" w:eastAsia="Century Gothic" w:hAnsi="Verdana" w:cs="Century Gothic"/>
          <w:b/>
          <w:bCs/>
          <w:color w:val="000000" w:themeColor="text1"/>
        </w:rPr>
        <w:t>Respuesta:</w:t>
      </w:r>
    </w:p>
    <w:p w14:paraId="291C926F" w14:textId="77777777" w:rsidR="00545C2B" w:rsidRPr="00983DE2" w:rsidRDefault="00545C2B" w:rsidP="00545C2B">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45C2B" w:rsidRPr="00983DE2" w14:paraId="586E318E" w14:textId="77777777" w:rsidTr="005D23AD">
        <w:tc>
          <w:tcPr>
            <w:tcW w:w="8828" w:type="dxa"/>
          </w:tcPr>
          <w:p w14:paraId="482A6665" w14:textId="77777777" w:rsidR="00545C2B" w:rsidRPr="00983DE2" w:rsidRDefault="00545C2B" w:rsidP="005D23AD">
            <w:pPr>
              <w:spacing w:before="120" w:after="120" w:line="276" w:lineRule="auto"/>
              <w:jc w:val="both"/>
              <w:rPr>
                <w:rFonts w:ascii="Verdana" w:eastAsia="Times New Roman" w:hAnsi="Verdana" w:cs="Arial"/>
                <w:color w:val="000000" w:themeColor="text1"/>
                <w:lang w:val="es-ES" w:eastAsia="es-CO"/>
              </w:rPr>
            </w:pPr>
            <w:r w:rsidRPr="00983DE2">
              <w:rPr>
                <w:rFonts w:ascii="Verdana" w:eastAsia="Calibri" w:hAnsi="Verdana" w:cs="Arial"/>
                <w:lang w:val="es-ES"/>
              </w:rPr>
              <w:t xml:space="preserve"> </w:t>
            </w:r>
            <w:r w:rsidRPr="00983DE2">
              <w:rPr>
                <w:rFonts w:ascii="Verdana" w:eastAsia="Times New Roman" w:hAnsi="Verdana" w:cs="Arial"/>
                <w:color w:val="000000" w:themeColor="text1"/>
                <w:lang w:val="es-ES" w:eastAsia="es-CO"/>
              </w:rPr>
              <w:t xml:space="preserve">El amparo de responsabilidad civil extracontractual es obligatorio en los contratos de obra, así como en aquellos en que por su objeto o naturaleza se considere necesario con ocasión de los riesgos previstos en el negocio, para efectos de la cobertura frente a eventuales reclamaciones de terceros que surja de las actuaciones, hechos u omisiones de su contratista. De acuerdo con el inciso segundo del artículo 2.2.1.2.3.1.8 </w:t>
            </w:r>
            <w:r w:rsidRPr="00983DE2">
              <w:rPr>
                <w:rFonts w:ascii="Verdana" w:eastAsia="Times New Roman" w:hAnsi="Verdana" w:cs="Arial"/>
                <w:i/>
                <w:iCs/>
                <w:color w:val="000000" w:themeColor="text1"/>
                <w:lang w:val="es-ES" w:eastAsia="es-CO"/>
              </w:rPr>
              <w:t>ibidem</w:t>
            </w:r>
            <w:r w:rsidRPr="00983DE2">
              <w:rPr>
                <w:rFonts w:ascii="Verdana" w:eastAsia="Times New Roman" w:hAnsi="Verdana" w:cs="Arial"/>
                <w:color w:val="000000" w:themeColor="text1"/>
                <w:lang w:val="es-ES" w:eastAsia="es-CO"/>
              </w:rPr>
              <w:t>, “La Entidad Estatal debe exigir que la póliza de responsabilidad extracontractual cubra también los perjuicios ocasionados por eventuales reclamaciones de terceros derivadas de la responsabilidad extracontractual que surjan de las actuaciones, hechos u omisiones de los subcontratistas autorizados o en su defecto, que acredite que el subcontratista cuenta con un seguro propio con el mismo objeto y que la Entidad Estatal sea el asegurado”.</w:t>
            </w:r>
          </w:p>
          <w:p w14:paraId="1DA701C4" w14:textId="77777777" w:rsidR="00545C2B" w:rsidRPr="00983DE2" w:rsidRDefault="00545C2B" w:rsidP="005D23AD">
            <w:pPr>
              <w:spacing w:before="120" w:after="120" w:line="276" w:lineRule="auto"/>
              <w:ind w:firstLine="708"/>
              <w:jc w:val="both"/>
              <w:rPr>
                <w:rFonts w:ascii="Verdana" w:eastAsia="Times New Roman" w:hAnsi="Verdana" w:cs="Arial"/>
                <w:color w:val="000000" w:themeColor="text1"/>
                <w:lang w:val="es-ES" w:eastAsia="es-CO"/>
              </w:rPr>
            </w:pPr>
            <w:r w:rsidRPr="00983DE2">
              <w:rPr>
                <w:rFonts w:ascii="Verdana" w:eastAsia="Times New Roman" w:hAnsi="Verdana" w:cs="Arial"/>
                <w:color w:val="000000" w:themeColor="text1"/>
                <w:lang w:val="es-ES" w:eastAsia="es-CO"/>
              </w:rPr>
              <w:t xml:space="preserve">El inciso tercero del artículo 7 de la Ley 1150 de 2007 dispone que “El Gobierno Nacional señalará los criterios que seguirán las entidades para la exigencia de garantías, las clases y niveles de amparo de los riesgos de los contratos […]”, de manera que los contratos de seguro que sean presentados en el marco de los procesos de contratación estatal deben cumplir de manera estricta con lo establecido en el Decreto 1082 de 2015, el cual señala los requisitos aplicables para quienes participen y suscriban este tipo de contratos. </w:t>
            </w:r>
          </w:p>
          <w:p w14:paraId="2AFB8436" w14:textId="7691E3C4" w:rsidR="00545C2B" w:rsidRPr="00983DE2" w:rsidRDefault="00545C2B" w:rsidP="005D23AD">
            <w:pPr>
              <w:spacing w:before="120" w:after="120" w:line="276" w:lineRule="auto"/>
              <w:ind w:firstLine="708"/>
              <w:jc w:val="both"/>
              <w:rPr>
                <w:rFonts w:ascii="Verdana" w:eastAsia="Times New Roman" w:hAnsi="Verdana" w:cs="Arial"/>
                <w:color w:val="000000" w:themeColor="text1"/>
                <w:lang w:val="es-ES" w:eastAsia="es-CO"/>
              </w:rPr>
            </w:pPr>
            <w:r w:rsidRPr="00983DE2">
              <w:rPr>
                <w:rFonts w:ascii="Verdana" w:eastAsia="Times New Roman" w:hAnsi="Verdana" w:cs="Arial"/>
                <w:color w:val="000000" w:themeColor="text1"/>
                <w:lang w:val="es-ES" w:eastAsia="es-CO"/>
              </w:rPr>
              <w:t xml:space="preserve">En primer lugar, la entidad debe verificar que la garantía cumpla con el requisito de indivisibilidad establecido en el artículo 2.2.1.2.3.1.3. del Decreto 1082 de 2015. </w:t>
            </w:r>
            <w:r w:rsidRPr="00983DE2">
              <w:rPr>
                <w:rFonts w:ascii="Verdana" w:hAnsi="Verdana" w:cs="Arial"/>
                <w:color w:val="000000" w:themeColor="text1"/>
                <w:lang w:val="es-ES"/>
              </w:rPr>
              <w:t xml:space="preserve">En segundo lugar, el amparo de responsabilidad civil extracontractual debe cumplir con los requisitos dispuestos </w:t>
            </w:r>
            <w:r w:rsidRPr="00983DE2">
              <w:rPr>
                <w:rFonts w:ascii="Verdana" w:eastAsia="Times New Roman" w:hAnsi="Verdana" w:cs="Arial"/>
                <w:color w:val="000000" w:themeColor="text1"/>
                <w:lang w:val="es-ES" w:eastAsia="es-CO"/>
              </w:rPr>
              <w:t xml:space="preserve">en el artículo 2.2.1.2.3.2.9 con respecto a la modalidad de ocurrencia, así como las calidades que deben tener los intervinientes y los amparos. Tercero, la entidad debe verificar que el contrato de seguro cumpla con la suficiencia en términos </w:t>
            </w:r>
            <w:r w:rsidRPr="00983DE2">
              <w:rPr>
                <w:rFonts w:ascii="Verdana" w:eastAsia="Times New Roman" w:hAnsi="Verdana" w:cs="Arial"/>
                <w:color w:val="000000" w:themeColor="text1"/>
                <w:lang w:val="es-ES" w:eastAsia="es-CO"/>
              </w:rPr>
              <w:lastRenderedPageBreak/>
              <w:t>de valor y tiempo de acuerdo con el artículo 2.2.1.2.3.1.17</w:t>
            </w:r>
            <w:r w:rsidRPr="00983DE2">
              <w:rPr>
                <w:rStyle w:val="FootnoteReference"/>
                <w:rFonts w:ascii="Verdana" w:eastAsia="Times New Roman" w:hAnsi="Verdana" w:cs="Arial"/>
                <w:color w:val="000000" w:themeColor="text1"/>
                <w:lang w:val="es-ES" w:eastAsia="es-CO"/>
              </w:rPr>
              <w:footnoteReference w:id="2"/>
            </w:r>
            <w:r w:rsidRPr="00983DE2">
              <w:rPr>
                <w:rFonts w:ascii="Verdana" w:eastAsia="Times New Roman" w:hAnsi="Verdana" w:cs="Arial"/>
                <w:color w:val="000000" w:themeColor="text1"/>
                <w:lang w:val="es-ES" w:eastAsia="es-CO"/>
              </w:rPr>
              <w:t>. Adicional a lo anterior, la norma estab</w:t>
            </w:r>
            <w:r w:rsidR="00CC40BD" w:rsidRPr="00983DE2">
              <w:rPr>
                <w:rFonts w:ascii="Verdana" w:eastAsia="Times New Roman" w:hAnsi="Verdana" w:cs="Arial"/>
                <w:color w:val="000000" w:themeColor="text1"/>
                <w:lang w:val="es-ES" w:eastAsia="es-CO"/>
              </w:rPr>
              <w:t>l</w:t>
            </w:r>
            <w:r w:rsidRPr="00983DE2">
              <w:rPr>
                <w:rFonts w:ascii="Verdana" w:eastAsia="Times New Roman" w:hAnsi="Verdana" w:cs="Arial"/>
                <w:color w:val="000000" w:themeColor="text1"/>
                <w:lang w:val="es-ES" w:eastAsia="es-CO"/>
              </w:rPr>
              <w:t xml:space="preserve">ece de manera expresa que la vigencia de esta garantía deberá ser igual al </w:t>
            </w:r>
            <w:r w:rsidRPr="00983DE2">
              <w:rPr>
                <w:rFonts w:ascii="Verdana" w:eastAsia="Times New Roman" w:hAnsi="Verdana" w:cs="Arial"/>
                <w:i/>
                <w:color w:val="000000" w:themeColor="text1"/>
                <w:lang w:val="es-ES" w:eastAsia="es-CO"/>
              </w:rPr>
              <w:t>período de ejecución del contrato</w:t>
            </w:r>
            <w:r w:rsidRPr="00983DE2">
              <w:rPr>
                <w:rFonts w:ascii="Verdana" w:eastAsia="Times New Roman" w:hAnsi="Verdana" w:cs="Arial"/>
                <w:color w:val="000000" w:themeColor="text1"/>
                <w:lang w:val="es-ES" w:eastAsia="es-CO"/>
              </w:rPr>
              <w:t xml:space="preserve"> estatal que está respaldando.</w:t>
            </w:r>
          </w:p>
          <w:p w14:paraId="0E0BD473" w14:textId="77777777" w:rsidR="00545C2B" w:rsidRPr="00983DE2" w:rsidRDefault="00545C2B" w:rsidP="005D23AD">
            <w:pPr>
              <w:spacing w:before="120" w:line="276" w:lineRule="auto"/>
              <w:ind w:firstLine="708"/>
              <w:jc w:val="both"/>
              <w:rPr>
                <w:rFonts w:ascii="Verdana" w:eastAsia="Times New Roman" w:hAnsi="Verdana" w:cs="Arial"/>
                <w:color w:val="000000" w:themeColor="text1"/>
                <w:lang w:val="es-ES" w:eastAsia="es-CO"/>
              </w:rPr>
            </w:pPr>
            <w:r w:rsidRPr="00983DE2">
              <w:rPr>
                <w:rFonts w:ascii="Verdana" w:eastAsia="Times New Roman" w:hAnsi="Verdana" w:cs="Arial"/>
                <w:color w:val="000000" w:themeColor="text1"/>
                <w:lang w:val="es-ES" w:eastAsia="es-CO"/>
              </w:rPr>
              <w:t xml:space="preserve">Finalmente, es necesario tener cuenta que, conforme al artículo 2.2.1.3.3.2.10, “En el contrato de seguro que ampara la responsabilidad civil extracontractual solamente se pueden pactar deducibles hasta del diez por ciento (10%) del valor de cada pérdida y en ningún caso pueden ser superiores a dos mil (2.000) smmlv. No serán admisibles las franquicias, coaseguros obligatorios y demás formas de estipulación que impliquen la asunción de parte de la pérdida por la entidad asegurada”. </w:t>
            </w:r>
          </w:p>
          <w:p w14:paraId="76E20888" w14:textId="77777777" w:rsidR="00545C2B" w:rsidRPr="00983DE2" w:rsidRDefault="00545C2B" w:rsidP="005D23AD">
            <w:pPr>
              <w:spacing w:before="120" w:after="120" w:line="276" w:lineRule="auto"/>
              <w:ind w:firstLine="708"/>
              <w:jc w:val="both"/>
              <w:rPr>
                <w:rFonts w:ascii="Verdana" w:eastAsia="Times New Roman" w:hAnsi="Verdana" w:cs="Arial"/>
                <w:color w:val="000000" w:themeColor="text1"/>
                <w:lang w:val="es-ES" w:eastAsia="es-CO"/>
              </w:rPr>
            </w:pPr>
            <w:r w:rsidRPr="00983DE2">
              <w:rPr>
                <w:rFonts w:ascii="Verdana" w:eastAsia="Times New Roman" w:hAnsi="Verdana" w:cs="Arial"/>
                <w:color w:val="000000" w:themeColor="text1"/>
                <w:lang w:val="es-ES" w:eastAsia="es-CO"/>
              </w:rPr>
              <w:t xml:space="preserve">Así, el cumplimiento de las exigencias previstas en el Decreto Único Reglamentario del Sector Planeación condiciona la aprobación de la garantía como requisito de ejecución contractual conforme al inciso segundo de artículo 41 de la Ley 80 de 1993. De esta manera, independientemente de la naturaleza “corporativa” o “individual” de la garantía, la Entidad Estatal tiene la obligación de verificar en cada caso que el contrato de seguro de responsabilidad civil extracontractual satisfaga </w:t>
            </w:r>
            <w:r w:rsidRPr="00983DE2">
              <w:rPr>
                <w:rFonts w:ascii="Verdana" w:eastAsia="Times New Roman" w:hAnsi="Verdana" w:cs="Arial"/>
                <w:i/>
                <w:iCs/>
                <w:color w:val="000000" w:themeColor="text1"/>
                <w:lang w:val="es-ES" w:eastAsia="es-CO"/>
              </w:rPr>
              <w:t>todos</w:t>
            </w:r>
            <w:r w:rsidRPr="00983DE2">
              <w:rPr>
                <w:rFonts w:ascii="Verdana" w:eastAsia="Times New Roman" w:hAnsi="Verdana" w:cs="Arial"/>
                <w:color w:val="000000" w:themeColor="text1"/>
                <w:lang w:val="es-ES" w:eastAsia="es-CO"/>
              </w:rPr>
              <w:t xml:space="preserve"> los requisitos previamente expuestos, en los términos establecidos en la normativa.</w:t>
            </w:r>
          </w:p>
        </w:tc>
      </w:tr>
    </w:tbl>
    <w:p w14:paraId="16700103" w14:textId="77777777" w:rsidR="00545C2B" w:rsidRPr="00983DE2" w:rsidRDefault="00545C2B" w:rsidP="00545C2B">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61E37D32" w14:textId="77777777" w:rsidR="00545C2B" w:rsidRPr="00983DE2" w:rsidRDefault="00545C2B" w:rsidP="00545C2B">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983DE2">
        <w:rPr>
          <w:rFonts w:ascii="Verdana" w:eastAsia="Century Gothic" w:hAnsi="Verdana" w:cs="Century Gothic"/>
          <w:b/>
          <w:bCs/>
          <w:color w:val="000000" w:themeColor="text1"/>
        </w:rPr>
        <w:t>Razones de la respuesta:</w:t>
      </w:r>
    </w:p>
    <w:p w14:paraId="6F46CE56" w14:textId="77777777" w:rsidR="00545C2B" w:rsidRPr="00983DE2" w:rsidRDefault="00545C2B" w:rsidP="00545C2B">
      <w:pPr>
        <w:spacing w:after="0" w:line="276" w:lineRule="auto"/>
        <w:jc w:val="both"/>
        <w:rPr>
          <w:rFonts w:ascii="Verdana" w:eastAsia="Calibri" w:hAnsi="Verdana" w:cs="Arial"/>
          <w:color w:val="000000" w:themeColor="text1"/>
          <w:lang w:val="es-ES"/>
        </w:rPr>
      </w:pPr>
    </w:p>
    <w:p w14:paraId="0A66BE05" w14:textId="77777777" w:rsidR="00545C2B" w:rsidRPr="00983DE2" w:rsidRDefault="00545C2B" w:rsidP="00545C2B">
      <w:pPr>
        <w:spacing w:after="0" w:line="276" w:lineRule="auto"/>
        <w:jc w:val="both"/>
        <w:rPr>
          <w:rFonts w:ascii="Verdana" w:eastAsia="Calibri" w:hAnsi="Verdana" w:cs="Arial"/>
          <w:color w:val="000000" w:themeColor="text1"/>
          <w:lang w:val="es-ES"/>
        </w:rPr>
      </w:pPr>
      <w:r w:rsidRPr="00983DE2">
        <w:rPr>
          <w:rFonts w:ascii="Verdana" w:eastAsia="Calibri" w:hAnsi="Verdana" w:cs="Arial"/>
          <w:color w:val="000000" w:themeColor="text1"/>
          <w:lang w:val="es-ES"/>
        </w:rPr>
        <w:t xml:space="preserve">Lo anterior se sustenta en las siguientes consideraciones: </w:t>
      </w:r>
    </w:p>
    <w:p w14:paraId="22947433" w14:textId="77777777" w:rsidR="00545C2B" w:rsidRPr="00983DE2" w:rsidRDefault="00545C2B" w:rsidP="00545C2B">
      <w:pPr>
        <w:spacing w:after="0" w:line="276" w:lineRule="auto"/>
        <w:jc w:val="both"/>
        <w:rPr>
          <w:rFonts w:ascii="Verdana" w:eastAsia="Calibri" w:hAnsi="Verdana" w:cs="Arial"/>
          <w:color w:val="000000" w:themeColor="text1"/>
          <w:lang w:val="es-ES"/>
        </w:rPr>
      </w:pPr>
    </w:p>
    <w:p w14:paraId="343A8CB7" w14:textId="77777777" w:rsidR="00545C2B" w:rsidRPr="00983DE2" w:rsidRDefault="00545C2B" w:rsidP="00545C2B">
      <w:pPr>
        <w:spacing w:after="0" w:line="276" w:lineRule="auto"/>
        <w:jc w:val="both"/>
        <w:rPr>
          <w:rFonts w:ascii="Verdana" w:eastAsia="Calibri" w:hAnsi="Verdana" w:cs="Arial"/>
          <w:color w:val="000000" w:themeColor="text1"/>
          <w:lang w:val="es-ES"/>
        </w:rPr>
      </w:pPr>
      <w:r w:rsidRPr="00983DE2">
        <w:rPr>
          <w:rFonts w:ascii="Verdana" w:hAnsi="Verdana" w:cs="Arial"/>
          <w:color w:val="000000"/>
          <w:shd w:val="clear" w:color="auto" w:fill="FFFFFF"/>
          <w:lang w:val="es-ES"/>
        </w:rPr>
        <w:t xml:space="preserve">Por regla general, para seleccionar contratistas y para ejecutar contratos se requiere la constitución de garantías. </w:t>
      </w:r>
      <w:bookmarkStart w:id="2" w:name="_Hlk47893233"/>
      <w:r w:rsidRPr="00983DE2">
        <w:rPr>
          <w:rFonts w:ascii="Verdana" w:hAnsi="Verdana" w:cs="Arial"/>
          <w:color w:val="000000"/>
          <w:shd w:val="clear" w:color="auto" w:fill="FFFFFF"/>
          <w:lang w:val="es-ES"/>
        </w:rPr>
        <w:t>Por un lado, l</w:t>
      </w:r>
      <w:r w:rsidRPr="00983DE2">
        <w:rPr>
          <w:rFonts w:ascii="Verdana" w:eastAsia="Calibri" w:hAnsi="Verdana" w:cs="Arial"/>
          <w:color w:val="000000" w:themeColor="text1"/>
          <w:lang w:val="es-ES"/>
        </w:rPr>
        <w:t xml:space="preserve">a </w:t>
      </w:r>
      <w:r w:rsidRPr="00983DE2">
        <w:rPr>
          <w:rFonts w:ascii="Verdana" w:eastAsia="Calibri" w:hAnsi="Verdana" w:cs="Arial"/>
          <w:i/>
          <w:iCs/>
          <w:color w:val="000000" w:themeColor="text1"/>
          <w:lang w:val="es-ES"/>
        </w:rPr>
        <w:t>garantía de seriedad</w:t>
      </w:r>
      <w:r w:rsidRPr="00983DE2">
        <w:rPr>
          <w:rFonts w:ascii="Verdana" w:eastAsia="Calibri" w:hAnsi="Verdana" w:cs="Arial"/>
          <w:color w:val="000000" w:themeColor="text1"/>
          <w:lang w:val="es-ES"/>
        </w:rPr>
        <w:t xml:space="preserve"> </w:t>
      </w:r>
      <w:r w:rsidRPr="00983DE2">
        <w:rPr>
          <w:rFonts w:ascii="Verdana" w:eastAsia="Calibri" w:hAnsi="Verdana" w:cs="Arial"/>
          <w:color w:val="000000" w:themeColor="text1"/>
          <w:lang w:val="es-ES"/>
        </w:rPr>
        <w:lastRenderedPageBreak/>
        <w:t>respalda al principio de irrevocabilidad de la oferta, caso en el cual los proponentes que pierdan interés en la adjudicación resarcirán los perjuicios causados por su retiro del proceso de selección. Naturalmente, esta garantía solo la constituyen quienes presenten las propuestas, motivo por el cual sus efectos no se extienden a personas ajenas a la actividad precontractual; sin perjuicio de que la póliza sea un mecanismo conminatorio, en la medida en que obliga a celebrar el contrato, so pena de hacerla efectiva. De esta manera, la exigencia permite que solo se presenten personas con la capacidad técnica y financiera suficiente para ejecutarlo en caso de adjudicación, desestimulando la presentación de ofertas que no son serias, cuya evaluación entorpece la buena marcha de la Administración, y en especial la celeridad y eficiencia de los procedimientos contractuales</w:t>
      </w:r>
      <w:bookmarkEnd w:id="2"/>
      <w:r w:rsidRPr="00983DE2">
        <w:rPr>
          <w:rStyle w:val="FootnoteReference"/>
          <w:rFonts w:ascii="Verdana" w:eastAsia="Calibri" w:hAnsi="Verdana" w:cs="Arial"/>
          <w:color w:val="000000" w:themeColor="text1"/>
          <w:lang w:val="es-ES"/>
        </w:rPr>
        <w:footnoteReference w:id="3"/>
      </w:r>
      <w:r w:rsidRPr="00983DE2">
        <w:rPr>
          <w:rFonts w:ascii="Verdana" w:eastAsia="Calibri" w:hAnsi="Verdana" w:cs="Arial"/>
          <w:color w:val="000000" w:themeColor="text1"/>
          <w:lang w:val="es-ES"/>
        </w:rPr>
        <w:t>. Sobre este aspecto, la doctrina explica que:</w:t>
      </w:r>
    </w:p>
    <w:p w14:paraId="45350732" w14:textId="77777777" w:rsidR="00545C2B" w:rsidRPr="00983DE2" w:rsidRDefault="00545C2B" w:rsidP="00545C2B">
      <w:pPr>
        <w:spacing w:after="0" w:line="276" w:lineRule="auto"/>
        <w:jc w:val="both"/>
        <w:rPr>
          <w:rFonts w:ascii="Verdana" w:eastAsia="Calibri" w:hAnsi="Verdana" w:cs="Arial"/>
          <w:color w:val="000000" w:themeColor="text1"/>
          <w:lang w:val="es-ES"/>
        </w:rPr>
      </w:pPr>
    </w:p>
    <w:p w14:paraId="1E61E447" w14:textId="77777777" w:rsidR="00545C2B" w:rsidRPr="00983DE2" w:rsidRDefault="00545C2B" w:rsidP="00545C2B">
      <w:pPr>
        <w:spacing w:after="0" w:line="240" w:lineRule="auto"/>
        <w:ind w:left="709" w:right="709"/>
        <w:jc w:val="both"/>
        <w:rPr>
          <w:rFonts w:ascii="Verdana" w:eastAsia="Calibri" w:hAnsi="Verdana" w:cs="Arial"/>
          <w:color w:val="000000" w:themeColor="text1"/>
          <w:sz w:val="21"/>
          <w:szCs w:val="21"/>
          <w:lang w:val="es-ES"/>
        </w:rPr>
      </w:pPr>
      <w:r w:rsidRPr="00983DE2">
        <w:rPr>
          <w:rFonts w:ascii="Verdana" w:eastAsia="Calibri" w:hAnsi="Verdana" w:cs="Arial"/>
          <w:color w:val="000000" w:themeColor="text1"/>
          <w:sz w:val="21"/>
          <w:szCs w:val="21"/>
          <w:lang w:val="es-ES"/>
        </w:rPr>
        <w:t xml:space="preserve">“Las </w:t>
      </w:r>
      <w:r w:rsidRPr="00983DE2">
        <w:rPr>
          <w:rFonts w:ascii="Verdana" w:eastAsia="Calibri" w:hAnsi="Verdana" w:cs="Arial"/>
          <w:i/>
          <w:iCs/>
          <w:color w:val="000000" w:themeColor="text1"/>
          <w:sz w:val="21"/>
          <w:szCs w:val="21"/>
          <w:lang w:val="es-ES"/>
        </w:rPr>
        <w:t>garantías provisionales</w:t>
      </w:r>
      <w:r w:rsidRPr="00983DE2">
        <w:rPr>
          <w:rFonts w:ascii="Verdana" w:eastAsia="Calibri" w:hAnsi="Verdana" w:cs="Arial"/>
          <w:color w:val="000000" w:themeColor="text1"/>
          <w:sz w:val="21"/>
          <w:szCs w:val="21"/>
          <w:lang w:val="es-ES"/>
        </w:rPr>
        <w:t xml:space="preserve"> “avalan la solemnidad de la oferta por parte del contratista”; constituyen una seña pre-contractual destinada a </w:t>
      </w:r>
      <w:r w:rsidRPr="00983DE2">
        <w:rPr>
          <w:rFonts w:ascii="Verdana" w:eastAsia="Calibri" w:hAnsi="Verdana" w:cs="Arial"/>
          <w:i/>
          <w:iCs/>
          <w:color w:val="000000" w:themeColor="text1"/>
          <w:sz w:val="21"/>
          <w:szCs w:val="21"/>
          <w:lang w:val="es-ES"/>
        </w:rPr>
        <w:t>asegurar la celebración del contrato</w:t>
      </w:r>
      <w:r w:rsidRPr="00983DE2">
        <w:rPr>
          <w:rFonts w:ascii="Verdana" w:eastAsia="Calibri" w:hAnsi="Verdana" w:cs="Arial"/>
          <w:color w:val="000000" w:themeColor="text1"/>
          <w:sz w:val="21"/>
          <w:szCs w:val="21"/>
          <w:lang w:val="es-ES"/>
        </w:rPr>
        <w:t xml:space="preserve">, no su cumplimiento. La administración procede a devolver a los oferentes no adjudicatarios, y a transformar en definitiva respecto al adjudicatario, las garantías provisionales, deduciéndose entonces que las </w:t>
      </w:r>
      <w:r w:rsidRPr="00983DE2">
        <w:rPr>
          <w:rFonts w:ascii="Verdana" w:eastAsia="Calibri" w:hAnsi="Verdana" w:cs="Arial"/>
          <w:i/>
          <w:iCs/>
          <w:color w:val="000000" w:themeColor="text1"/>
          <w:sz w:val="21"/>
          <w:szCs w:val="21"/>
          <w:lang w:val="es-ES"/>
        </w:rPr>
        <w:t>arras</w:t>
      </w:r>
      <w:r w:rsidRPr="00983DE2">
        <w:rPr>
          <w:rFonts w:ascii="Verdana" w:eastAsia="Calibri" w:hAnsi="Verdana" w:cs="Arial"/>
          <w:color w:val="000000" w:themeColor="text1"/>
          <w:sz w:val="21"/>
          <w:szCs w:val="21"/>
          <w:lang w:val="es-ES"/>
        </w:rPr>
        <w:t xml:space="preserve"> no forman parte del precio, ni son por tanto arras confirmatorias […], sino puramente penitenciales […] como garantías y compensación del </w:t>
      </w:r>
      <w:r w:rsidRPr="00983DE2">
        <w:rPr>
          <w:rFonts w:ascii="Verdana" w:eastAsia="Calibri" w:hAnsi="Verdana" w:cs="Arial"/>
          <w:i/>
          <w:iCs/>
          <w:color w:val="000000" w:themeColor="text1"/>
          <w:sz w:val="21"/>
          <w:szCs w:val="21"/>
          <w:lang w:val="es-ES"/>
        </w:rPr>
        <w:t xml:space="preserve">ius </w:t>
      </w:r>
      <w:proofErr w:type="spellStart"/>
      <w:r w:rsidRPr="00983DE2">
        <w:rPr>
          <w:rFonts w:ascii="Verdana" w:eastAsia="Calibri" w:hAnsi="Verdana" w:cs="Arial"/>
          <w:i/>
          <w:iCs/>
          <w:color w:val="000000" w:themeColor="text1"/>
          <w:sz w:val="21"/>
          <w:szCs w:val="21"/>
          <w:lang w:val="es-ES"/>
        </w:rPr>
        <w:t>poenitendi</w:t>
      </w:r>
      <w:proofErr w:type="spellEnd"/>
      <w:r w:rsidRPr="00983DE2">
        <w:rPr>
          <w:rFonts w:ascii="Verdana" w:eastAsia="Calibri" w:hAnsi="Verdana" w:cs="Arial"/>
          <w:color w:val="000000" w:themeColor="text1"/>
          <w:sz w:val="21"/>
          <w:szCs w:val="21"/>
          <w:lang w:val="es-ES"/>
        </w:rPr>
        <w:t xml:space="preserve"> del licitante. Son, en consecuencia, “la medida de la responsabilidad pre-contractual del oferente”; o, más bien, la garantía de oferta representa en definitiva la medida de la responsabilidad”</w:t>
      </w:r>
      <w:r w:rsidRPr="00983DE2">
        <w:rPr>
          <w:rStyle w:val="FootnoteReference"/>
          <w:rFonts w:ascii="Verdana" w:eastAsia="Calibri" w:hAnsi="Verdana" w:cs="Arial"/>
          <w:color w:val="000000" w:themeColor="text1"/>
          <w:sz w:val="21"/>
          <w:szCs w:val="21"/>
          <w:lang w:val="es-ES"/>
        </w:rPr>
        <w:footnoteReference w:id="4"/>
      </w:r>
      <w:r w:rsidRPr="00983DE2">
        <w:rPr>
          <w:rFonts w:ascii="Verdana" w:eastAsia="Calibri" w:hAnsi="Verdana" w:cs="Arial"/>
          <w:color w:val="000000" w:themeColor="text1"/>
          <w:sz w:val="21"/>
          <w:szCs w:val="21"/>
          <w:lang w:val="es-ES"/>
        </w:rPr>
        <w:t xml:space="preserve">. (Cursivas dentro del texto)   </w:t>
      </w:r>
    </w:p>
    <w:p w14:paraId="2C7F4CD7" w14:textId="77777777" w:rsidR="00545C2B" w:rsidRPr="00983DE2" w:rsidRDefault="00545C2B" w:rsidP="00545C2B">
      <w:pPr>
        <w:spacing w:after="0" w:line="276" w:lineRule="auto"/>
        <w:jc w:val="both"/>
        <w:rPr>
          <w:rFonts w:ascii="Verdana" w:eastAsia="Calibri" w:hAnsi="Verdana" w:cs="Arial"/>
          <w:color w:val="000000" w:themeColor="text1"/>
          <w:lang w:val="es-ES"/>
        </w:rPr>
      </w:pPr>
    </w:p>
    <w:p w14:paraId="2AB38DCD" w14:textId="77777777" w:rsidR="00545C2B" w:rsidRPr="00983DE2" w:rsidRDefault="00545C2B" w:rsidP="00545C2B">
      <w:pPr>
        <w:spacing w:after="120" w:line="276" w:lineRule="auto"/>
        <w:ind w:firstLine="709"/>
        <w:jc w:val="both"/>
        <w:rPr>
          <w:rFonts w:ascii="Verdana" w:eastAsia="Calibri" w:hAnsi="Verdana" w:cs="Arial"/>
          <w:color w:val="000000" w:themeColor="text1"/>
          <w:lang w:val="es-ES"/>
        </w:rPr>
      </w:pPr>
      <w:r w:rsidRPr="00983DE2">
        <w:rPr>
          <w:rFonts w:ascii="Verdana" w:eastAsia="Calibri" w:hAnsi="Verdana" w:cs="Arial"/>
          <w:color w:val="000000" w:themeColor="text1"/>
          <w:lang w:val="es-ES"/>
        </w:rPr>
        <w:t xml:space="preserve">En contraste, mediante la </w:t>
      </w:r>
      <w:r w:rsidRPr="00983DE2">
        <w:rPr>
          <w:rFonts w:ascii="Verdana" w:eastAsia="Calibri" w:hAnsi="Verdana" w:cs="Arial"/>
          <w:i/>
          <w:iCs/>
          <w:color w:val="000000" w:themeColor="text1"/>
          <w:lang w:val="es-ES"/>
        </w:rPr>
        <w:t>garantía de única de cumplimiento</w:t>
      </w:r>
      <w:r w:rsidRPr="00983DE2">
        <w:rPr>
          <w:rFonts w:ascii="Verdana" w:eastAsia="Calibri" w:hAnsi="Verdana" w:cs="Arial"/>
          <w:color w:val="000000" w:themeColor="text1"/>
          <w:lang w:val="es-ES"/>
        </w:rPr>
        <w:t>, el contratista ampara los perjuicios que le pueda generar a la entidad el incumplimiento de las obligaciones derivadas del contrato</w:t>
      </w:r>
      <w:r w:rsidRPr="00983DE2">
        <w:rPr>
          <w:rStyle w:val="FootnoteReference"/>
          <w:rFonts w:ascii="Verdana" w:eastAsia="Calibri" w:hAnsi="Verdana" w:cs="Arial"/>
          <w:color w:val="000000" w:themeColor="text1"/>
          <w:lang w:val="es-ES"/>
        </w:rPr>
        <w:footnoteReference w:id="5"/>
      </w:r>
      <w:r w:rsidRPr="00983DE2">
        <w:rPr>
          <w:rFonts w:ascii="Verdana" w:eastAsia="Calibri" w:hAnsi="Verdana" w:cs="Arial"/>
          <w:color w:val="000000" w:themeColor="text1"/>
          <w:lang w:val="es-ES"/>
        </w:rPr>
        <w:t xml:space="preserve">. En esta medida, tienen como objetivo reparar los perjuicios causados por conductas atribuibles al contratista, por lo que estos últimos son un presupuesto necesario para el </w:t>
      </w:r>
      <w:r w:rsidRPr="00983DE2">
        <w:rPr>
          <w:rFonts w:ascii="Verdana" w:eastAsia="Calibri" w:hAnsi="Verdana" w:cs="Arial"/>
          <w:color w:val="000000" w:themeColor="text1"/>
          <w:lang w:val="es-ES"/>
        </w:rPr>
        <w:lastRenderedPageBreak/>
        <w:t xml:space="preserve">pago que cubre la garantía. </w:t>
      </w:r>
      <w:r w:rsidRPr="00983DE2">
        <w:rPr>
          <w:rFonts w:ascii="Verdana" w:hAnsi="Verdana" w:cs="Arial"/>
          <w:color w:val="000000" w:themeColor="text1"/>
          <w:lang w:val="es-ES"/>
        </w:rPr>
        <w:t>Para estos efectos es única, ya que “[…] La prioridad […] es que no haya garantías separadas para los diferentes riesgos, aunque existan varias garantías para diferentes proporciones del interés asegurado […]”</w:t>
      </w:r>
      <w:r w:rsidRPr="00983DE2">
        <w:rPr>
          <w:rStyle w:val="FootnoteReference"/>
          <w:rFonts w:ascii="Verdana" w:hAnsi="Verdana" w:cs="Arial"/>
          <w:color w:val="000000" w:themeColor="text1"/>
          <w:lang w:val="es-ES"/>
        </w:rPr>
        <w:footnoteReference w:id="6"/>
      </w:r>
      <w:r w:rsidRPr="00983DE2">
        <w:rPr>
          <w:rFonts w:ascii="Verdana" w:hAnsi="Verdana" w:cs="Arial"/>
          <w:color w:val="000000" w:themeColor="text1"/>
          <w:lang w:val="es-ES"/>
        </w:rPr>
        <w:t xml:space="preserve">.    </w:t>
      </w:r>
    </w:p>
    <w:p w14:paraId="4553C611" w14:textId="77777777" w:rsidR="00545C2B" w:rsidRPr="00983DE2" w:rsidRDefault="00545C2B" w:rsidP="00545C2B">
      <w:pPr>
        <w:spacing w:after="120" w:line="276" w:lineRule="auto"/>
        <w:ind w:firstLine="708"/>
        <w:jc w:val="both"/>
        <w:rPr>
          <w:rFonts w:ascii="Verdana" w:hAnsi="Verdana" w:cs="Arial"/>
          <w:color w:val="000000" w:themeColor="text1"/>
          <w:lang w:val="es-ES"/>
        </w:rPr>
      </w:pPr>
      <w:r w:rsidRPr="00983DE2">
        <w:rPr>
          <w:rFonts w:ascii="Verdana" w:hAnsi="Verdana" w:cs="Arial"/>
          <w:color w:val="000000" w:themeColor="text1"/>
          <w:lang w:val="es-ES"/>
        </w:rPr>
        <w:t xml:space="preserve">Desde esta perspectiva, ambas garantías constituyen una obligación de seguridad, es decir, aquella donde el interés del acreedor no consiste en una utilidad específica y tangible, sino en la tranquilidad frente a ciertos riesgos por la cobertura de sus consecuencias nocivas. Conforme al inciso segundo del artículo 7 de la Ley 1150 de 2007, pueden otorgarse a través de: i) contratos de seguro, </w:t>
      </w:r>
      <w:proofErr w:type="spellStart"/>
      <w:r w:rsidRPr="00983DE2">
        <w:rPr>
          <w:rFonts w:ascii="Verdana" w:hAnsi="Verdana" w:cs="Arial"/>
          <w:color w:val="000000" w:themeColor="text1"/>
          <w:lang w:val="es-ES"/>
        </w:rPr>
        <w:t>ii</w:t>
      </w:r>
      <w:proofErr w:type="spellEnd"/>
      <w:r w:rsidRPr="00983DE2">
        <w:rPr>
          <w:rFonts w:ascii="Verdana" w:hAnsi="Verdana" w:cs="Arial"/>
          <w:color w:val="000000" w:themeColor="text1"/>
          <w:lang w:val="es-ES"/>
        </w:rPr>
        <w:t xml:space="preserve">) garantías bancarias o </w:t>
      </w:r>
      <w:proofErr w:type="spellStart"/>
      <w:r w:rsidRPr="00983DE2">
        <w:rPr>
          <w:rFonts w:ascii="Verdana" w:hAnsi="Verdana" w:cs="Arial"/>
          <w:color w:val="000000" w:themeColor="text1"/>
          <w:lang w:val="es-ES"/>
        </w:rPr>
        <w:t>iii</w:t>
      </w:r>
      <w:proofErr w:type="spellEnd"/>
      <w:r w:rsidRPr="00983DE2">
        <w:rPr>
          <w:rFonts w:ascii="Verdana" w:hAnsi="Verdana" w:cs="Arial"/>
          <w:color w:val="000000" w:themeColor="text1"/>
          <w:lang w:val="es-ES"/>
        </w:rPr>
        <w:t>) los demás mecanismos de cobertura del riesgo que disponga el reglamento. Igualmente establece que “[…] tratándose de pólizas, las mismas no expirarán por falta de pago de la prima o por revocatoria unilateral […]”. Esta norma es una excepción a la terminación automática del contrato de seguro prevista en los artículos 1068 y 1071 del Código de Comercio</w:t>
      </w:r>
      <w:r w:rsidRPr="00983DE2">
        <w:rPr>
          <w:rStyle w:val="FootnoteReference"/>
          <w:rFonts w:ascii="Verdana" w:hAnsi="Verdana" w:cs="Arial"/>
          <w:color w:val="000000" w:themeColor="text1"/>
          <w:lang w:val="es-ES"/>
        </w:rPr>
        <w:footnoteReference w:id="7"/>
      </w:r>
      <w:r w:rsidRPr="00983DE2">
        <w:rPr>
          <w:rFonts w:ascii="Verdana" w:hAnsi="Verdana" w:cs="Arial"/>
          <w:color w:val="000000" w:themeColor="text1"/>
          <w:lang w:val="es-ES"/>
        </w:rPr>
        <w:t>. De esta manera, las garantías previstas en la ley tienen como objetivo asegurar la solvencia del garante</w:t>
      </w:r>
      <w:r w:rsidRPr="00983DE2">
        <w:rPr>
          <w:rStyle w:val="FootnoteReference"/>
          <w:rFonts w:ascii="Verdana" w:hAnsi="Verdana" w:cs="Arial"/>
          <w:color w:val="000000" w:themeColor="text1"/>
          <w:lang w:val="es-ES"/>
        </w:rPr>
        <w:footnoteReference w:id="8"/>
      </w:r>
      <w:r w:rsidRPr="00983DE2">
        <w:rPr>
          <w:rFonts w:ascii="Verdana" w:hAnsi="Verdana" w:cs="Arial"/>
          <w:color w:val="000000" w:themeColor="text1"/>
          <w:lang w:val="es-ES"/>
        </w:rPr>
        <w:t>.</w:t>
      </w:r>
    </w:p>
    <w:p w14:paraId="39E256CA" w14:textId="77777777" w:rsidR="00545C2B" w:rsidRPr="00983DE2" w:rsidRDefault="00545C2B" w:rsidP="00545C2B">
      <w:pPr>
        <w:spacing w:after="120" w:line="276" w:lineRule="auto"/>
        <w:ind w:firstLine="708"/>
        <w:jc w:val="both"/>
        <w:rPr>
          <w:rFonts w:ascii="Verdana" w:hAnsi="Verdana" w:cs="Arial"/>
          <w:color w:val="000000" w:themeColor="text1"/>
          <w:lang w:val="es-ES"/>
        </w:rPr>
      </w:pPr>
      <w:r w:rsidRPr="00983DE2">
        <w:rPr>
          <w:rFonts w:ascii="Verdana" w:hAnsi="Verdana" w:cs="Arial"/>
          <w:color w:val="000000" w:themeColor="text1"/>
          <w:lang w:val="es-ES"/>
        </w:rPr>
        <w:t xml:space="preserve">El Decreto 1082 de 2015 reglamenta las condiciones en que debe cumplirse esta obligación. Los artículos 2.2.1.2.3.1.1 a 2.2.1.2.3.1.19 del Decreto Único Reglamentario del sector Administrativo de Planeación Nacional regulan asuntos como las clases de garantías permitidas, la indivisibilidad de las mismas, los diferentes riesgos que deben ser objeto de garantía, la vigencia y valores mínimos que deben cubrir los amparos, entre otros aspectos. </w:t>
      </w:r>
    </w:p>
    <w:p w14:paraId="3B284A57" w14:textId="77777777" w:rsidR="00545C2B" w:rsidRPr="00983DE2" w:rsidRDefault="00545C2B" w:rsidP="00545C2B">
      <w:pPr>
        <w:spacing w:before="120" w:after="120" w:line="276" w:lineRule="auto"/>
        <w:ind w:firstLine="708"/>
        <w:jc w:val="both"/>
        <w:rPr>
          <w:rFonts w:ascii="Verdana" w:eastAsia="Times New Roman" w:hAnsi="Verdana" w:cs="Arial"/>
          <w:color w:val="000000" w:themeColor="text1"/>
          <w:lang w:val="es-ES" w:eastAsia="es-CO"/>
        </w:rPr>
      </w:pPr>
      <w:r w:rsidRPr="00983DE2">
        <w:rPr>
          <w:rFonts w:ascii="Verdana" w:hAnsi="Verdana" w:cs="Arial"/>
          <w:color w:val="000000" w:themeColor="text1"/>
          <w:lang w:val="es-ES"/>
        </w:rPr>
        <w:t xml:space="preserve">El artículo 2.2.1.2.3.1.3, por ejemplo, establece que la “garantía de cobertura del Riesgo es indivisible”, además de la obligación de los contratantes </w:t>
      </w:r>
      <w:r w:rsidRPr="00983DE2">
        <w:rPr>
          <w:rFonts w:ascii="Verdana" w:hAnsi="Verdana" w:cs="Arial"/>
          <w:color w:val="000000" w:themeColor="text1"/>
          <w:lang w:val="es-ES"/>
        </w:rPr>
        <w:lastRenderedPageBreak/>
        <w:t>de establecer en los pliegos de condiciones las garantías exigidas para cada periodo contractual</w:t>
      </w:r>
      <w:r w:rsidRPr="00983DE2">
        <w:rPr>
          <w:rStyle w:val="FootnoteReference"/>
          <w:rFonts w:ascii="Verdana" w:hAnsi="Verdana" w:cs="Arial"/>
          <w:color w:val="000000" w:themeColor="text1"/>
          <w:lang w:val="es-ES"/>
        </w:rPr>
        <w:footnoteReference w:id="9"/>
      </w:r>
      <w:r w:rsidRPr="00983DE2">
        <w:rPr>
          <w:rFonts w:ascii="Verdana" w:hAnsi="Verdana" w:cs="Arial"/>
          <w:color w:val="000000" w:themeColor="text1"/>
          <w:lang w:val="es-ES"/>
        </w:rPr>
        <w:t xml:space="preserve">. Por su parte, el artículo 2.2.1.3.1.7 prescribe que la garantía de cumplimiento debe cubrir: i) el buen manejo y correcta inversión del anticipo; </w:t>
      </w:r>
      <w:proofErr w:type="spellStart"/>
      <w:r w:rsidRPr="00983DE2">
        <w:rPr>
          <w:rFonts w:ascii="Verdana" w:hAnsi="Verdana" w:cs="Arial"/>
          <w:color w:val="000000" w:themeColor="text1"/>
          <w:lang w:val="es-ES"/>
        </w:rPr>
        <w:t>ii</w:t>
      </w:r>
      <w:proofErr w:type="spellEnd"/>
      <w:r w:rsidRPr="00983DE2">
        <w:rPr>
          <w:rFonts w:ascii="Verdana" w:hAnsi="Verdana" w:cs="Arial"/>
          <w:color w:val="000000" w:themeColor="text1"/>
          <w:lang w:val="es-ES"/>
        </w:rPr>
        <w:t xml:space="preserve">) la devolución del pago anticipado; </w:t>
      </w:r>
      <w:proofErr w:type="spellStart"/>
      <w:r w:rsidRPr="00983DE2">
        <w:rPr>
          <w:rFonts w:ascii="Verdana" w:hAnsi="Verdana" w:cs="Arial"/>
          <w:color w:val="000000" w:themeColor="text1"/>
          <w:lang w:val="es-ES"/>
        </w:rPr>
        <w:t>iii</w:t>
      </w:r>
      <w:proofErr w:type="spellEnd"/>
      <w:r w:rsidRPr="00983DE2">
        <w:rPr>
          <w:rFonts w:ascii="Verdana" w:hAnsi="Verdana" w:cs="Arial"/>
          <w:color w:val="000000" w:themeColor="text1"/>
          <w:lang w:val="es-ES"/>
        </w:rPr>
        <w:t xml:space="preserve">) el cumplimiento del contrato; </w:t>
      </w:r>
      <w:proofErr w:type="spellStart"/>
      <w:r w:rsidRPr="00983DE2">
        <w:rPr>
          <w:rFonts w:ascii="Verdana" w:hAnsi="Verdana" w:cs="Arial"/>
          <w:color w:val="000000" w:themeColor="text1"/>
          <w:lang w:val="es-ES"/>
        </w:rPr>
        <w:t>iv</w:t>
      </w:r>
      <w:proofErr w:type="spellEnd"/>
      <w:r w:rsidRPr="00983DE2">
        <w:rPr>
          <w:rFonts w:ascii="Verdana" w:hAnsi="Verdana" w:cs="Arial"/>
          <w:color w:val="000000" w:themeColor="text1"/>
          <w:lang w:val="es-ES"/>
        </w:rPr>
        <w:t xml:space="preserve">) el pago de salarios, prestaciones sociales legales e indemnizaciones laborales; v)  la estabilidad y calidad de la obra; vi) la </w:t>
      </w:r>
      <w:r w:rsidRPr="00983DE2">
        <w:rPr>
          <w:rFonts w:ascii="Verdana" w:eastAsia="Times New Roman" w:hAnsi="Verdana" w:cs="Arial"/>
          <w:color w:val="000000" w:themeColor="text1"/>
          <w:lang w:val="es-ES" w:eastAsia="es-CO"/>
        </w:rPr>
        <w:t xml:space="preserve">calidad del servicio; </w:t>
      </w:r>
      <w:proofErr w:type="spellStart"/>
      <w:r w:rsidRPr="00983DE2">
        <w:rPr>
          <w:rFonts w:ascii="Verdana" w:eastAsia="Times New Roman" w:hAnsi="Verdana" w:cs="Arial"/>
          <w:color w:val="000000" w:themeColor="text1"/>
          <w:lang w:val="es-ES" w:eastAsia="es-CO"/>
        </w:rPr>
        <w:t>vii</w:t>
      </w:r>
      <w:proofErr w:type="spellEnd"/>
      <w:r w:rsidRPr="00983DE2">
        <w:rPr>
          <w:rFonts w:ascii="Verdana" w:eastAsia="Times New Roman" w:hAnsi="Verdana" w:cs="Arial"/>
          <w:color w:val="000000" w:themeColor="text1"/>
          <w:lang w:val="es-ES" w:eastAsia="es-CO"/>
        </w:rPr>
        <w:t xml:space="preserve">) la calidad y correcto funcionamiento de los bienes; y </w:t>
      </w:r>
      <w:proofErr w:type="spellStart"/>
      <w:r w:rsidRPr="00983DE2">
        <w:rPr>
          <w:rFonts w:ascii="Verdana" w:eastAsia="Times New Roman" w:hAnsi="Verdana" w:cs="Arial"/>
          <w:color w:val="000000" w:themeColor="text1"/>
          <w:lang w:val="es-ES" w:eastAsia="es-CO"/>
        </w:rPr>
        <w:t>viii</w:t>
      </w:r>
      <w:proofErr w:type="spellEnd"/>
      <w:r w:rsidRPr="00983DE2">
        <w:rPr>
          <w:rFonts w:ascii="Verdana" w:eastAsia="Times New Roman" w:hAnsi="Verdana" w:cs="Arial"/>
          <w:color w:val="000000" w:themeColor="text1"/>
          <w:lang w:val="es-ES" w:eastAsia="es-CO"/>
        </w:rPr>
        <w:t>) los demás incumplimientos de las obligaciones que la entidad estatal considere deben ser amparados</w:t>
      </w:r>
      <w:r w:rsidRPr="00983DE2">
        <w:rPr>
          <w:rStyle w:val="FootnoteReference"/>
          <w:rFonts w:ascii="Verdana" w:eastAsia="Times New Roman" w:hAnsi="Verdana" w:cs="Arial"/>
          <w:color w:val="000000" w:themeColor="text1"/>
          <w:lang w:val="es-ES" w:eastAsia="es-CO"/>
        </w:rPr>
        <w:footnoteReference w:id="10"/>
      </w:r>
      <w:r w:rsidRPr="00983DE2">
        <w:rPr>
          <w:rFonts w:ascii="Verdana" w:eastAsia="Times New Roman" w:hAnsi="Verdana" w:cs="Arial"/>
          <w:color w:val="000000" w:themeColor="text1"/>
          <w:lang w:val="es-ES" w:eastAsia="es-CO"/>
        </w:rPr>
        <w:t xml:space="preserve">. </w:t>
      </w:r>
    </w:p>
    <w:p w14:paraId="13B8C5F9" w14:textId="77777777" w:rsidR="00545C2B" w:rsidRPr="00983DE2" w:rsidRDefault="00545C2B" w:rsidP="00545C2B">
      <w:pPr>
        <w:spacing w:before="120" w:after="120" w:line="276" w:lineRule="auto"/>
        <w:ind w:firstLine="708"/>
        <w:jc w:val="both"/>
        <w:rPr>
          <w:rFonts w:ascii="Verdana" w:eastAsia="Times New Roman" w:hAnsi="Verdana" w:cs="Arial"/>
          <w:color w:val="000000" w:themeColor="text1"/>
          <w:lang w:val="es-ES" w:eastAsia="es-CO"/>
        </w:rPr>
      </w:pPr>
      <w:r w:rsidRPr="00983DE2">
        <w:rPr>
          <w:rFonts w:ascii="Verdana" w:eastAsia="Times New Roman" w:hAnsi="Verdana" w:cs="Arial"/>
          <w:color w:val="000000" w:themeColor="text1"/>
          <w:lang w:val="es-ES" w:eastAsia="es-CO"/>
        </w:rPr>
        <w:lastRenderedPageBreak/>
        <w:t xml:space="preserve">En torno al amparo de </w:t>
      </w:r>
      <w:r w:rsidRPr="00983DE2">
        <w:rPr>
          <w:rFonts w:ascii="Verdana" w:eastAsia="Times New Roman" w:hAnsi="Verdana" w:cs="Arial"/>
          <w:i/>
          <w:iCs/>
          <w:color w:val="000000" w:themeColor="text1"/>
          <w:lang w:val="es-ES" w:eastAsia="es-CO"/>
        </w:rPr>
        <w:t>responsabilidad civil extracontractual</w:t>
      </w:r>
      <w:r w:rsidRPr="00983DE2">
        <w:rPr>
          <w:rFonts w:ascii="Verdana" w:eastAsia="Times New Roman" w:hAnsi="Verdana" w:cs="Arial"/>
          <w:color w:val="000000" w:themeColor="text1"/>
          <w:lang w:val="es-ES" w:eastAsia="es-CO"/>
        </w:rPr>
        <w:t>,</w:t>
      </w:r>
      <w:r w:rsidRPr="00983DE2">
        <w:rPr>
          <w:rFonts w:ascii="Verdana" w:eastAsia="Times New Roman" w:hAnsi="Verdana" w:cs="Arial"/>
          <w:b/>
          <w:bCs/>
          <w:color w:val="000000" w:themeColor="text1"/>
          <w:lang w:val="es-ES" w:eastAsia="es-CO"/>
        </w:rPr>
        <w:t xml:space="preserve"> </w:t>
      </w:r>
      <w:r w:rsidRPr="00983DE2">
        <w:rPr>
          <w:rFonts w:ascii="Verdana" w:eastAsia="Times New Roman" w:hAnsi="Verdana" w:cs="Arial"/>
          <w:color w:val="000000" w:themeColor="text1"/>
          <w:lang w:val="es-ES" w:eastAsia="es-CO"/>
        </w:rPr>
        <w:t xml:space="preserve">el Artículo 2.2.1.2.3.1.5. establece sobre la cobertura del Riesgo de responsabilidad civil extracontractual que este se deriva de las actuaciones, hechos u omisiones de los contratistas o subcontratistas y solamente puede ser amparada con un contrato de seguro. Adicionalmente, es obligatorio en los contratos de obra, así como en aquellos en que por su objeto o naturaleza se considere necesario con ocasión de los riesgos previstos en el negocio, para efectos de la cobertura frente a eventuales reclamaciones de terceros que surja de las actuaciones, hechos u omisiones de su contratista. De acuerdo con el inciso segundo del artículo 2.2.1.2.3.1.8 </w:t>
      </w:r>
      <w:r w:rsidRPr="00983DE2">
        <w:rPr>
          <w:rFonts w:ascii="Verdana" w:eastAsia="Times New Roman" w:hAnsi="Verdana" w:cs="Arial"/>
          <w:i/>
          <w:iCs/>
          <w:color w:val="000000" w:themeColor="text1"/>
          <w:lang w:val="es-ES" w:eastAsia="es-CO"/>
        </w:rPr>
        <w:t>ibidem</w:t>
      </w:r>
      <w:r w:rsidRPr="00983DE2">
        <w:rPr>
          <w:rFonts w:ascii="Verdana" w:eastAsia="Times New Roman" w:hAnsi="Verdana" w:cs="Arial"/>
          <w:color w:val="000000" w:themeColor="text1"/>
          <w:lang w:val="es-ES" w:eastAsia="es-CO"/>
        </w:rPr>
        <w:t>, “La Entidad Estatal debe exigir que la póliza de responsabilidad extracontractual cubra también los perjuicios ocasionados por eventuales reclamaciones de terceros derivadas de la responsabilidad extracontractual que surjan de las actuaciones, hechos u omisiones de los subcontratistas autorizados o en su defecto, que acredite que el subcontratista cuenta con un seguro propio con el mismo objeto y que la Entidad Estatal sea el asegurado”.</w:t>
      </w:r>
    </w:p>
    <w:p w14:paraId="328F972F" w14:textId="77777777" w:rsidR="00545C2B" w:rsidRPr="00983DE2" w:rsidRDefault="00545C2B" w:rsidP="00545C2B">
      <w:pPr>
        <w:spacing w:before="120" w:after="120" w:line="276" w:lineRule="auto"/>
        <w:ind w:firstLine="708"/>
        <w:jc w:val="both"/>
        <w:rPr>
          <w:rFonts w:ascii="Verdana" w:eastAsia="Times New Roman" w:hAnsi="Verdana" w:cs="Arial"/>
          <w:color w:val="000000" w:themeColor="text1"/>
          <w:lang w:val="es-ES" w:eastAsia="es-CO"/>
        </w:rPr>
      </w:pPr>
      <w:r w:rsidRPr="00983DE2">
        <w:rPr>
          <w:rFonts w:ascii="Verdana" w:eastAsia="Times New Roman" w:hAnsi="Verdana" w:cs="Arial"/>
          <w:color w:val="000000" w:themeColor="text1"/>
          <w:lang w:val="es-ES" w:eastAsia="es-CO"/>
        </w:rPr>
        <w:t xml:space="preserve">Con el fin de asegurar la cobertura de este riesgo es responsabilidad de las Entidades Estatales verificar que el contrato de seguro en particular cumpla con los requisitos exigidos por la normativa en materia de contratación estatal. El inciso tercero del artículo 7 de la Ley 1150 de 2007 dispone que “El Gobierno Nacional señalará los criterios que seguirán las entidades para la exigencia de garantías, las clases y niveles de amparo de los riesgos de los contratos […]”, de manera que los contratos de seguro que sean presentados en el marco de los procesos de contratación estatal deben cumplir de manera estricta con lo establecido en el Decreto 1082 de 2015, el cual señala los requisitos aplicables para quienes participen y suscriban este tipo de contratos. </w:t>
      </w:r>
    </w:p>
    <w:p w14:paraId="49A7A29E" w14:textId="77777777" w:rsidR="00545C2B" w:rsidRPr="00983DE2" w:rsidRDefault="00545C2B" w:rsidP="00545C2B">
      <w:pPr>
        <w:spacing w:before="120" w:after="120" w:line="276" w:lineRule="auto"/>
        <w:ind w:firstLine="708"/>
        <w:jc w:val="both"/>
        <w:rPr>
          <w:rFonts w:ascii="Verdana" w:hAnsi="Verdana" w:cs="Arial"/>
          <w:color w:val="000000" w:themeColor="text1"/>
          <w:lang w:val="es-ES"/>
        </w:rPr>
      </w:pPr>
      <w:r w:rsidRPr="00983DE2">
        <w:rPr>
          <w:rFonts w:ascii="Verdana" w:eastAsia="Times New Roman" w:hAnsi="Verdana" w:cs="Arial"/>
          <w:color w:val="000000" w:themeColor="text1"/>
          <w:lang w:val="es-ES" w:eastAsia="es-CO"/>
        </w:rPr>
        <w:lastRenderedPageBreak/>
        <w:t xml:space="preserve">En primer lugar, la entidad debe verificar que la garantía cumpla con el requisito de indivisibilidad establecido en el artículo 2.2.1.2.3.1.3. del Decreto 1082 de 2015. Tal como lo señala esta norma </w:t>
      </w:r>
      <w:r w:rsidRPr="00983DE2">
        <w:rPr>
          <w:rFonts w:ascii="Verdana" w:hAnsi="Verdana" w:cs="Arial"/>
          <w:color w:val="000000" w:themeColor="text1"/>
          <w:lang w:val="es-ES"/>
        </w:rPr>
        <w:t xml:space="preserve">la garantía de cobertura del riesgo en materia contractual pública es indivisible. Sin embargo, en los contratos que tengan un plazo mayor a cinco (5) años las garantías pueden cubrir los riesgos de la etapa del contrato o del periodo Contractual, de acuerdo con lo previsto en el contrato. En estos casos,  la Entidad Estatal debe indicar en los pliegos de condiciones las garantías que exige en cada etapa del contrato o cada periodo contractual en la forma señalada en el Decreto reglamentario. </w:t>
      </w:r>
    </w:p>
    <w:p w14:paraId="3F16583F" w14:textId="77777777" w:rsidR="00545C2B" w:rsidRPr="00983DE2" w:rsidRDefault="00545C2B" w:rsidP="00545C2B">
      <w:pPr>
        <w:spacing w:before="120" w:after="120" w:line="276" w:lineRule="auto"/>
        <w:ind w:firstLine="708"/>
        <w:jc w:val="both"/>
        <w:rPr>
          <w:rFonts w:ascii="Verdana" w:hAnsi="Verdana" w:cs="Arial"/>
          <w:color w:val="000000" w:themeColor="text1"/>
          <w:lang w:val="es-ES"/>
        </w:rPr>
      </w:pPr>
      <w:r w:rsidRPr="00983DE2">
        <w:rPr>
          <w:rFonts w:ascii="Verdana" w:hAnsi="Verdana" w:cs="Arial"/>
          <w:color w:val="000000" w:themeColor="text1"/>
          <w:lang w:val="es-ES"/>
        </w:rPr>
        <w:t xml:space="preserve">Esta regla supone que un contrato estatal debe estar amparado a través de </w:t>
      </w:r>
      <w:r w:rsidRPr="00983DE2">
        <w:rPr>
          <w:rFonts w:ascii="Verdana" w:hAnsi="Verdana" w:cs="Arial"/>
          <w:i/>
          <w:color w:val="000000" w:themeColor="text1"/>
          <w:lang w:val="es-ES"/>
        </w:rPr>
        <w:t>una sola garantía</w:t>
      </w:r>
      <w:r w:rsidRPr="00983DE2">
        <w:rPr>
          <w:rFonts w:ascii="Verdana" w:hAnsi="Verdana" w:cs="Arial"/>
          <w:color w:val="000000" w:themeColor="text1"/>
          <w:lang w:val="es-ES"/>
        </w:rPr>
        <w:t>. La excepción son los contratos que tengan un plazo de ejecución mayor a 5 años. Para estos contratos la garantía se podrá dividir. En este supuesto, las entidades estatales cuentan con varias opciones para dividir las garantías como exigir una garantía independiente para cada etapa del contrato, una independiente para cada periodo contractual o una garantía independiente para cada unidad funcional.</w:t>
      </w:r>
      <w:r w:rsidRPr="00983DE2">
        <w:rPr>
          <w:lang w:val="es-ES"/>
        </w:rPr>
        <w:t xml:space="preserve"> </w:t>
      </w:r>
      <w:r w:rsidRPr="00983DE2">
        <w:rPr>
          <w:rFonts w:ascii="Verdana" w:hAnsi="Verdana" w:cs="Arial"/>
          <w:color w:val="000000" w:themeColor="text1"/>
          <w:lang w:val="es-ES"/>
        </w:rPr>
        <w:t>Conforme a lo anterior, si la Entidad Estatal celebra un contrato cuyo plazo de ejecución es mayor a cinco (5) años, puede pactar en el contrato que las garantías cubran los riegos de cada etapa del contrato, periodo contractual o unidad funcional, caso en el cual el pliego de condiciones regulará las garantías teniendo en cuenta lo siguiente: i) se identificará la</w:t>
      </w:r>
      <w:r w:rsidRPr="00983DE2">
        <w:rPr>
          <w:lang w:val="es-ES"/>
        </w:rPr>
        <w:t xml:space="preserve"> </w:t>
      </w:r>
      <w:r w:rsidRPr="00983DE2">
        <w:rPr>
          <w:rFonts w:ascii="Verdana" w:hAnsi="Verdana" w:cs="Arial"/>
          <w:color w:val="000000" w:themeColor="text1"/>
          <w:lang w:val="es-ES"/>
        </w:rPr>
        <w:t xml:space="preserve">garantía que ampara los riesgos para cada etapa del contrato o periodo contractual, pero, además, la vigencia que rige para cada uno –que en todo caso no puede ser menor al plazo de ejecución definido para cada etapa del contrato o periodo contractual–, y </w:t>
      </w:r>
      <w:proofErr w:type="spellStart"/>
      <w:r w:rsidRPr="00983DE2">
        <w:rPr>
          <w:rFonts w:ascii="Verdana" w:hAnsi="Verdana" w:cs="Arial"/>
          <w:color w:val="000000" w:themeColor="text1"/>
          <w:lang w:val="es-ES"/>
        </w:rPr>
        <w:t>ii</w:t>
      </w:r>
      <w:proofErr w:type="spellEnd"/>
      <w:r w:rsidRPr="00983DE2">
        <w:rPr>
          <w:rFonts w:ascii="Verdana" w:hAnsi="Verdana" w:cs="Arial"/>
          <w:color w:val="000000" w:themeColor="text1"/>
          <w:lang w:val="es-ES"/>
        </w:rPr>
        <w:t>) el monto de los amparos se calculará tomando el valor de las obligaciones del contratista para cada etapa del contrato o periodo contractual, y además, regirán las reglas de suficiencia definidas en los artículos 2.2.1.2.3.1.9. al 2.2.1.2.3.1.17. del Decreto 1082 de 2015</w:t>
      </w:r>
      <w:r w:rsidRPr="00983DE2">
        <w:rPr>
          <w:rStyle w:val="FootnoteReference"/>
          <w:rFonts w:ascii="Verdana" w:hAnsi="Verdana" w:cs="Arial"/>
          <w:color w:val="000000" w:themeColor="text1"/>
          <w:lang w:val="es-ES"/>
        </w:rPr>
        <w:footnoteReference w:id="11"/>
      </w:r>
      <w:r w:rsidRPr="00983DE2">
        <w:rPr>
          <w:rFonts w:ascii="Verdana" w:hAnsi="Verdana" w:cs="Arial"/>
          <w:color w:val="000000" w:themeColor="text1"/>
          <w:lang w:val="es-ES"/>
        </w:rPr>
        <w:t>.</w:t>
      </w:r>
    </w:p>
    <w:p w14:paraId="5744425A" w14:textId="77777777" w:rsidR="00545C2B" w:rsidRPr="00983DE2" w:rsidRDefault="00545C2B" w:rsidP="00545C2B">
      <w:pPr>
        <w:spacing w:before="120" w:after="0" w:line="276" w:lineRule="auto"/>
        <w:ind w:firstLine="708"/>
        <w:jc w:val="both"/>
        <w:rPr>
          <w:rFonts w:ascii="Verdana" w:hAnsi="Verdana" w:cs="Arial"/>
          <w:color w:val="000000" w:themeColor="text1"/>
          <w:lang w:val="es-ES"/>
        </w:rPr>
      </w:pPr>
      <w:r w:rsidRPr="00983DE2">
        <w:rPr>
          <w:rFonts w:ascii="Verdana" w:hAnsi="Verdana" w:cs="Arial"/>
          <w:color w:val="000000" w:themeColor="text1"/>
          <w:lang w:val="es-ES"/>
        </w:rPr>
        <w:t xml:space="preserve">En segundo lugar, el amparo de responsabilidad civil extracontractual debe cumplir con los requisitos dispuestos </w:t>
      </w:r>
      <w:r w:rsidRPr="00983DE2">
        <w:rPr>
          <w:rFonts w:ascii="Verdana" w:eastAsia="Times New Roman" w:hAnsi="Verdana" w:cs="Arial"/>
          <w:color w:val="000000" w:themeColor="text1"/>
          <w:lang w:val="es-ES" w:eastAsia="es-CO"/>
        </w:rPr>
        <w:t>en el artículo 2.2.1.2.3.2.9</w:t>
      </w:r>
      <w:r w:rsidRPr="00983DE2">
        <w:rPr>
          <w:rStyle w:val="FootnoteReference"/>
          <w:rFonts w:ascii="Verdana" w:eastAsia="Times New Roman" w:hAnsi="Verdana" w:cs="Arial"/>
          <w:color w:val="000000" w:themeColor="text1"/>
          <w:lang w:val="es-ES" w:eastAsia="es-CO"/>
        </w:rPr>
        <w:footnoteReference w:id="12"/>
      </w:r>
      <w:r w:rsidRPr="00983DE2">
        <w:rPr>
          <w:rFonts w:ascii="Verdana" w:eastAsia="Times New Roman" w:hAnsi="Verdana" w:cs="Arial"/>
          <w:color w:val="000000" w:themeColor="text1"/>
          <w:lang w:val="es-ES" w:eastAsia="es-CO"/>
        </w:rPr>
        <w:t>, es decir:</w:t>
      </w:r>
    </w:p>
    <w:p w14:paraId="70B24BE3" w14:textId="77777777" w:rsidR="00545C2B" w:rsidRPr="00983DE2" w:rsidRDefault="00545C2B" w:rsidP="00545C2B">
      <w:pPr>
        <w:spacing w:after="0" w:line="276" w:lineRule="auto"/>
        <w:ind w:firstLine="708"/>
        <w:jc w:val="both"/>
        <w:rPr>
          <w:rFonts w:ascii="Verdana" w:eastAsia="Times New Roman" w:hAnsi="Verdana" w:cs="Arial"/>
          <w:color w:val="000000" w:themeColor="text1"/>
          <w:lang w:val="es-ES" w:eastAsia="es-CO"/>
        </w:rPr>
      </w:pPr>
    </w:p>
    <w:p w14:paraId="05744839" w14:textId="63101841" w:rsidR="00545C2B" w:rsidRPr="00983DE2" w:rsidRDefault="00545C2B" w:rsidP="00CB7135">
      <w:pPr>
        <w:pStyle w:val="FootnoteText"/>
        <w:snapToGrid w:val="0"/>
        <w:ind w:left="709" w:right="709"/>
        <w:contextualSpacing/>
        <w:jc w:val="both"/>
        <w:rPr>
          <w:rFonts w:ascii="Verdana" w:hAnsi="Verdana"/>
          <w:sz w:val="21"/>
          <w:szCs w:val="21"/>
          <w:lang w:val="es-ES"/>
        </w:rPr>
      </w:pPr>
      <w:r w:rsidRPr="00983DE2">
        <w:rPr>
          <w:rFonts w:ascii="Verdana" w:hAnsi="Verdana"/>
          <w:sz w:val="21"/>
          <w:szCs w:val="21"/>
          <w:lang w:val="es-ES"/>
        </w:rPr>
        <w:t xml:space="preserve"> “1. Modalidad de ocurrencia. La compañía de seguros debe expedir el amparo en la modalidad de ocurrencia. En consecuencia, el contrato de seguro no puede establecer términos para presentar la reclamación, inferiores a los términos de prescripción previstos en la ley para la acción de responsabilidad correspondiente.</w:t>
      </w:r>
    </w:p>
    <w:p w14:paraId="187D21DF" w14:textId="77777777" w:rsidR="00C53070" w:rsidRPr="00983DE2" w:rsidRDefault="00C53070" w:rsidP="00CB7135">
      <w:pPr>
        <w:pStyle w:val="FootnoteText"/>
        <w:snapToGrid w:val="0"/>
        <w:ind w:left="709" w:right="709"/>
        <w:contextualSpacing/>
        <w:jc w:val="both"/>
        <w:rPr>
          <w:rFonts w:ascii="Verdana" w:hAnsi="Verdana"/>
          <w:sz w:val="21"/>
          <w:szCs w:val="21"/>
          <w:lang w:val="es-ES"/>
        </w:rPr>
      </w:pPr>
    </w:p>
    <w:p w14:paraId="72FB1BA9" w14:textId="1675908F" w:rsidR="00545C2B" w:rsidRPr="00983DE2" w:rsidRDefault="00545C2B" w:rsidP="00CB7135">
      <w:pPr>
        <w:pStyle w:val="FootnoteText"/>
        <w:snapToGrid w:val="0"/>
        <w:ind w:left="709" w:right="709"/>
        <w:contextualSpacing/>
        <w:jc w:val="both"/>
        <w:rPr>
          <w:rFonts w:ascii="Verdana" w:hAnsi="Verdana"/>
          <w:sz w:val="21"/>
          <w:szCs w:val="21"/>
          <w:lang w:val="es-ES"/>
        </w:rPr>
      </w:pPr>
      <w:r w:rsidRPr="00983DE2">
        <w:rPr>
          <w:rFonts w:ascii="Verdana" w:hAnsi="Verdana"/>
          <w:sz w:val="21"/>
          <w:szCs w:val="21"/>
          <w:lang w:val="es-ES"/>
        </w:rPr>
        <w:t>2. Intervinientes. La Entidad Estatal y el contratista deben tener la calidad de asegurado respecto de los daños producidos por el contratista con ocasión de la ejecución del contrato amparado, y serán beneficiarios tanto la Entidad Estatal como los terceros que puedan resultar afectados por la responsabilidad del contratista o sus subcontratistas.</w:t>
      </w:r>
    </w:p>
    <w:p w14:paraId="0D66624B" w14:textId="77777777" w:rsidR="00C53070" w:rsidRPr="00983DE2" w:rsidRDefault="00C53070" w:rsidP="00CB7135">
      <w:pPr>
        <w:pStyle w:val="FootnoteText"/>
        <w:snapToGrid w:val="0"/>
        <w:ind w:left="709" w:right="709"/>
        <w:contextualSpacing/>
        <w:jc w:val="both"/>
        <w:rPr>
          <w:rFonts w:ascii="Verdana" w:hAnsi="Verdana"/>
          <w:sz w:val="21"/>
          <w:szCs w:val="21"/>
          <w:lang w:val="es-ES"/>
        </w:rPr>
      </w:pPr>
    </w:p>
    <w:p w14:paraId="266107ED" w14:textId="77777777" w:rsidR="00545C2B" w:rsidRPr="00983DE2" w:rsidRDefault="00545C2B" w:rsidP="00545C2B">
      <w:pPr>
        <w:snapToGrid w:val="0"/>
        <w:spacing w:after="0" w:line="240" w:lineRule="auto"/>
        <w:ind w:left="709" w:right="709"/>
        <w:contextualSpacing/>
        <w:jc w:val="both"/>
        <w:rPr>
          <w:rFonts w:ascii="Verdana" w:hAnsi="Verdana"/>
          <w:sz w:val="21"/>
          <w:szCs w:val="21"/>
          <w:lang w:val="es-ES"/>
        </w:rPr>
      </w:pPr>
      <w:r w:rsidRPr="00983DE2">
        <w:rPr>
          <w:rFonts w:ascii="Verdana" w:hAnsi="Verdana"/>
          <w:sz w:val="21"/>
          <w:szCs w:val="21"/>
          <w:lang w:val="es-ES"/>
        </w:rPr>
        <w:t>3. Amparos. El amparo de responsabilidad civil extracontractual debe contener además de la cobertura básica de predios, labores y operaciones, mínimo los siguientes amparos:</w:t>
      </w:r>
    </w:p>
    <w:p w14:paraId="7379C75E" w14:textId="77777777" w:rsidR="00545C2B" w:rsidRPr="00983DE2" w:rsidRDefault="00545C2B" w:rsidP="00545C2B">
      <w:pPr>
        <w:snapToGrid w:val="0"/>
        <w:spacing w:after="0" w:line="240" w:lineRule="auto"/>
        <w:ind w:left="709" w:right="709"/>
        <w:contextualSpacing/>
        <w:jc w:val="both"/>
        <w:rPr>
          <w:rFonts w:ascii="Verdana" w:hAnsi="Verdana"/>
          <w:sz w:val="21"/>
          <w:szCs w:val="21"/>
          <w:lang w:val="es-ES"/>
        </w:rPr>
      </w:pPr>
      <w:r w:rsidRPr="00983DE2">
        <w:rPr>
          <w:rFonts w:ascii="Verdana" w:hAnsi="Verdana"/>
          <w:sz w:val="21"/>
          <w:szCs w:val="21"/>
          <w:lang w:val="es-ES"/>
        </w:rPr>
        <w:t xml:space="preserve"> 3.1. Cobertura expresa de perjuicios por daño emergente y lucro cesante. </w:t>
      </w:r>
    </w:p>
    <w:p w14:paraId="21E24ACD" w14:textId="77777777" w:rsidR="00545C2B" w:rsidRPr="00983DE2" w:rsidRDefault="00545C2B" w:rsidP="00545C2B">
      <w:pPr>
        <w:snapToGrid w:val="0"/>
        <w:spacing w:after="0" w:line="240" w:lineRule="auto"/>
        <w:ind w:left="709" w:right="709"/>
        <w:contextualSpacing/>
        <w:jc w:val="both"/>
        <w:rPr>
          <w:rFonts w:ascii="Verdana" w:hAnsi="Verdana"/>
          <w:sz w:val="21"/>
          <w:szCs w:val="21"/>
          <w:lang w:val="es-ES"/>
        </w:rPr>
      </w:pPr>
      <w:r w:rsidRPr="00983DE2">
        <w:rPr>
          <w:rFonts w:ascii="Verdana" w:hAnsi="Verdana"/>
          <w:sz w:val="21"/>
          <w:szCs w:val="21"/>
          <w:lang w:val="es-ES"/>
        </w:rPr>
        <w:t xml:space="preserve">3.2. Cobertura expresa de perjuicios extrapatrimoniales. </w:t>
      </w:r>
    </w:p>
    <w:p w14:paraId="015C5273" w14:textId="77777777" w:rsidR="00545C2B" w:rsidRPr="00983DE2" w:rsidRDefault="00545C2B" w:rsidP="00545C2B">
      <w:pPr>
        <w:snapToGrid w:val="0"/>
        <w:spacing w:after="0" w:line="240" w:lineRule="auto"/>
        <w:ind w:left="709" w:right="709"/>
        <w:contextualSpacing/>
        <w:jc w:val="both"/>
        <w:rPr>
          <w:rFonts w:ascii="Verdana" w:hAnsi="Verdana"/>
          <w:sz w:val="21"/>
          <w:szCs w:val="21"/>
          <w:lang w:val="es-ES"/>
        </w:rPr>
      </w:pPr>
      <w:r w:rsidRPr="00983DE2">
        <w:rPr>
          <w:rFonts w:ascii="Verdana" w:hAnsi="Verdana"/>
          <w:sz w:val="21"/>
          <w:szCs w:val="21"/>
          <w:lang w:val="es-ES"/>
        </w:rPr>
        <w:t xml:space="preserve">3.3. Cobertura expresa de la responsabilidad surgida por actos de contratistas y subcontratistas, salvo que el subcontratista tenga su propio seguro de responsabilidad extracontractual, con los mismos amparos aquí requeridos. </w:t>
      </w:r>
    </w:p>
    <w:p w14:paraId="4DD3AD30" w14:textId="77777777" w:rsidR="00545C2B" w:rsidRPr="00983DE2" w:rsidRDefault="00545C2B" w:rsidP="00545C2B">
      <w:pPr>
        <w:snapToGrid w:val="0"/>
        <w:spacing w:after="0" w:line="240" w:lineRule="auto"/>
        <w:ind w:left="709" w:right="709"/>
        <w:contextualSpacing/>
        <w:jc w:val="both"/>
        <w:rPr>
          <w:rFonts w:ascii="Verdana" w:hAnsi="Verdana"/>
          <w:sz w:val="21"/>
          <w:szCs w:val="21"/>
          <w:lang w:val="es-ES"/>
        </w:rPr>
      </w:pPr>
      <w:r w:rsidRPr="00983DE2">
        <w:rPr>
          <w:rFonts w:ascii="Verdana" w:hAnsi="Verdana"/>
          <w:sz w:val="21"/>
          <w:szCs w:val="21"/>
          <w:lang w:val="es-ES"/>
        </w:rPr>
        <w:t xml:space="preserve">3.4. Cobertura expresa de amparo patronal. </w:t>
      </w:r>
    </w:p>
    <w:p w14:paraId="4CA7F91B" w14:textId="77777777" w:rsidR="00545C2B" w:rsidRPr="00983DE2" w:rsidRDefault="00545C2B" w:rsidP="00545C2B">
      <w:pPr>
        <w:snapToGrid w:val="0"/>
        <w:spacing w:after="0" w:line="240" w:lineRule="auto"/>
        <w:ind w:left="709" w:right="709"/>
        <w:contextualSpacing/>
        <w:jc w:val="both"/>
        <w:rPr>
          <w:rFonts w:ascii="Verdana" w:eastAsia="Times New Roman" w:hAnsi="Verdana" w:cs="Arial"/>
          <w:color w:val="000000" w:themeColor="text1"/>
          <w:sz w:val="21"/>
          <w:szCs w:val="21"/>
          <w:lang w:val="es-ES" w:eastAsia="es-CO"/>
        </w:rPr>
      </w:pPr>
      <w:r w:rsidRPr="00983DE2">
        <w:rPr>
          <w:rFonts w:ascii="Verdana" w:hAnsi="Verdana"/>
          <w:sz w:val="21"/>
          <w:szCs w:val="21"/>
          <w:lang w:val="es-ES"/>
        </w:rPr>
        <w:t>3.5. Cobertura expresa de vehículos propios y no propios”.</w:t>
      </w:r>
    </w:p>
    <w:p w14:paraId="630C70F9" w14:textId="77777777" w:rsidR="00545C2B" w:rsidRPr="00983DE2" w:rsidRDefault="00545C2B" w:rsidP="00545C2B">
      <w:pPr>
        <w:pStyle w:val="FootnoteText"/>
        <w:snapToGrid w:val="0"/>
        <w:ind w:right="709"/>
        <w:contextualSpacing/>
        <w:jc w:val="both"/>
        <w:rPr>
          <w:rFonts w:ascii="Verdana" w:eastAsia="Times New Roman" w:hAnsi="Verdana" w:cs="Arial"/>
          <w:color w:val="000000" w:themeColor="text1"/>
          <w:lang w:val="es-ES" w:eastAsia="es-CO"/>
        </w:rPr>
      </w:pPr>
    </w:p>
    <w:p w14:paraId="6F56FD6F" w14:textId="77777777" w:rsidR="00545C2B" w:rsidRPr="00983DE2" w:rsidRDefault="00545C2B" w:rsidP="00545C2B">
      <w:pPr>
        <w:spacing w:before="120" w:after="120" w:line="276" w:lineRule="auto"/>
        <w:ind w:firstLine="708"/>
        <w:jc w:val="both"/>
        <w:rPr>
          <w:rFonts w:ascii="Verdana" w:eastAsia="Times New Roman" w:hAnsi="Verdana" w:cs="Arial"/>
          <w:color w:val="000000" w:themeColor="text1"/>
          <w:lang w:val="es-ES" w:eastAsia="es-CO"/>
        </w:rPr>
      </w:pPr>
      <w:r w:rsidRPr="00983DE2">
        <w:rPr>
          <w:rFonts w:ascii="Verdana" w:eastAsia="Times New Roman" w:hAnsi="Verdana" w:cs="Arial"/>
          <w:color w:val="000000" w:themeColor="text1"/>
          <w:lang w:val="es-ES" w:eastAsia="es-CO"/>
        </w:rPr>
        <w:t>En efecto, en la garantía que respalde el riesgo de responsabilidad civil extracontractual l</w:t>
      </w:r>
      <w:r w:rsidRPr="00983DE2">
        <w:rPr>
          <w:rFonts w:ascii="Verdana" w:hAnsi="Verdana"/>
          <w:lang w:val="es-ES"/>
        </w:rPr>
        <w:t xml:space="preserve">a Entidad Estatal y el contratista deben tener la calidad de asegurado </w:t>
      </w:r>
      <w:r w:rsidRPr="00983DE2">
        <w:rPr>
          <w:rFonts w:ascii="Verdana" w:eastAsia="Times New Roman" w:hAnsi="Verdana" w:cs="Arial"/>
          <w:color w:val="000000" w:themeColor="text1"/>
          <w:lang w:val="es-ES" w:eastAsia="es-CO"/>
        </w:rPr>
        <w:t xml:space="preserve">respecto de los daños producidos por el contratista con ocasión de la </w:t>
      </w:r>
      <w:r w:rsidRPr="00983DE2">
        <w:rPr>
          <w:rFonts w:ascii="Verdana" w:eastAsia="Times New Roman" w:hAnsi="Verdana" w:cs="Arial"/>
          <w:color w:val="000000" w:themeColor="text1"/>
          <w:lang w:val="es-ES" w:eastAsia="es-CO"/>
        </w:rPr>
        <w:lastRenderedPageBreak/>
        <w:t xml:space="preserve">ejecución del contrato amparado. Adicionalmente, tanto la Entidad Estatal como los terceros que puedan resultar afectados por la responsabilidad del contratista o sus subcontratistas deben figurar como beneficiarios. El cumplimiento de este requisito debe ser verificado por la entidad estatal para la aprobación de la garantía y el inicio de la ejecución contractual. </w:t>
      </w:r>
    </w:p>
    <w:p w14:paraId="77458AA0" w14:textId="77777777" w:rsidR="00545C2B" w:rsidRPr="00983DE2" w:rsidRDefault="00545C2B" w:rsidP="00C73EA8">
      <w:pPr>
        <w:spacing w:before="120" w:after="0" w:line="276" w:lineRule="auto"/>
        <w:ind w:firstLine="708"/>
        <w:jc w:val="both"/>
        <w:rPr>
          <w:rFonts w:ascii="Verdana" w:hAnsi="Verdana"/>
          <w:lang w:val="es-ES"/>
        </w:rPr>
      </w:pPr>
      <w:r w:rsidRPr="00983DE2">
        <w:rPr>
          <w:rFonts w:ascii="Verdana" w:eastAsia="Times New Roman" w:hAnsi="Verdana" w:cs="Arial"/>
          <w:color w:val="000000" w:themeColor="text1"/>
          <w:lang w:val="es-ES" w:eastAsia="es-CO"/>
        </w:rPr>
        <w:t>Tercero, el seguro de responsabilidad civil extracontractual debe cumplir con los valores mínimos de suficiencia que establece el artículo 2.2.1.2.3.1.17. En efecto, la entidad debe</w:t>
      </w:r>
      <w:r w:rsidRPr="00983DE2">
        <w:rPr>
          <w:rFonts w:ascii="Verdana" w:hAnsi="Verdana"/>
          <w:lang w:val="es-ES"/>
        </w:rPr>
        <w:t xml:space="preserve"> verificar que el valor asegurado por los contratos de seguro que amparan la responsabilidad civil extracontractual no sea inferior a: </w:t>
      </w:r>
    </w:p>
    <w:p w14:paraId="1CA54F34" w14:textId="77777777" w:rsidR="00C73EA8" w:rsidRPr="00983DE2" w:rsidRDefault="00C73EA8" w:rsidP="00C73EA8">
      <w:pPr>
        <w:spacing w:after="0" w:line="276" w:lineRule="auto"/>
        <w:ind w:firstLine="708"/>
        <w:jc w:val="both"/>
        <w:rPr>
          <w:rFonts w:ascii="Verdana" w:hAnsi="Verdana"/>
          <w:lang w:val="es-ES"/>
        </w:rPr>
      </w:pPr>
    </w:p>
    <w:p w14:paraId="41E40D58" w14:textId="77777777" w:rsidR="00545C2B" w:rsidRPr="00983DE2" w:rsidRDefault="00545C2B" w:rsidP="00C73EA8">
      <w:pPr>
        <w:pStyle w:val="FootnoteText"/>
        <w:snapToGrid w:val="0"/>
        <w:ind w:left="709"/>
        <w:contextualSpacing/>
        <w:jc w:val="both"/>
        <w:rPr>
          <w:rFonts w:ascii="Verdana" w:hAnsi="Verdana"/>
          <w:sz w:val="22"/>
          <w:szCs w:val="22"/>
          <w:lang w:val="es-ES"/>
        </w:rPr>
      </w:pPr>
      <w:r w:rsidRPr="00983DE2">
        <w:rPr>
          <w:rFonts w:ascii="Verdana" w:eastAsia="Times New Roman" w:hAnsi="Verdana" w:cs="Arial"/>
          <w:color w:val="000000" w:themeColor="text1"/>
          <w:sz w:val="21"/>
          <w:szCs w:val="21"/>
          <w:lang w:val="es-ES" w:eastAsia="es-CO"/>
        </w:rPr>
        <w:t>“1. Doscientos (200) smmlv para contratos cuyo valor sea inferior o igual a mil quinientos (1.500) smmlv. </w:t>
      </w:r>
    </w:p>
    <w:p w14:paraId="64E0AE20" w14:textId="77777777" w:rsidR="00545C2B" w:rsidRPr="00983DE2" w:rsidRDefault="00545C2B" w:rsidP="00545C2B">
      <w:pPr>
        <w:pStyle w:val="FootnoteText"/>
        <w:snapToGrid w:val="0"/>
        <w:spacing w:before="120"/>
        <w:ind w:left="709" w:right="709"/>
        <w:contextualSpacing/>
        <w:jc w:val="both"/>
        <w:rPr>
          <w:rFonts w:ascii="Verdana" w:eastAsia="Times New Roman" w:hAnsi="Verdana" w:cs="Arial"/>
          <w:color w:val="000000" w:themeColor="text1"/>
          <w:sz w:val="21"/>
          <w:szCs w:val="21"/>
          <w:lang w:val="es-ES" w:eastAsia="es-CO"/>
        </w:rPr>
      </w:pPr>
      <w:r w:rsidRPr="00983DE2">
        <w:rPr>
          <w:rFonts w:ascii="Verdana" w:eastAsia="Times New Roman" w:hAnsi="Verdana" w:cs="Arial"/>
          <w:color w:val="000000" w:themeColor="text1"/>
          <w:sz w:val="21"/>
          <w:szCs w:val="21"/>
          <w:lang w:val="es-ES" w:eastAsia="es-CO"/>
        </w:rPr>
        <w:t>2. Trescientos (300) smmlv para contratos cuyo valor sea superior a mil quinientos (1.500) smmlv e inferior o igual a dos mil quinientos (2.500) smmlv. </w:t>
      </w:r>
    </w:p>
    <w:p w14:paraId="1A84F491" w14:textId="77777777" w:rsidR="00545C2B" w:rsidRPr="00983DE2" w:rsidRDefault="00545C2B" w:rsidP="00545C2B">
      <w:pPr>
        <w:pStyle w:val="FootnoteText"/>
        <w:snapToGrid w:val="0"/>
        <w:spacing w:before="120"/>
        <w:ind w:left="709" w:right="709"/>
        <w:contextualSpacing/>
        <w:jc w:val="both"/>
        <w:rPr>
          <w:rFonts w:ascii="Verdana" w:eastAsia="Times New Roman" w:hAnsi="Verdana" w:cs="Arial"/>
          <w:color w:val="000000" w:themeColor="text1"/>
          <w:sz w:val="21"/>
          <w:szCs w:val="21"/>
          <w:lang w:val="es-ES" w:eastAsia="es-CO"/>
        </w:rPr>
      </w:pPr>
      <w:r w:rsidRPr="00983DE2">
        <w:rPr>
          <w:rFonts w:ascii="Verdana" w:eastAsia="Times New Roman" w:hAnsi="Verdana" w:cs="Arial"/>
          <w:color w:val="000000" w:themeColor="text1"/>
          <w:sz w:val="21"/>
          <w:szCs w:val="21"/>
          <w:lang w:val="es-ES" w:eastAsia="es-CO"/>
        </w:rPr>
        <w:t>3. Cuatrocientos (400) smmlv para contratos cuyo valor sea superior a dos mil quinientos (2.500) smmlv e inferior o igual a cinco mil (5.000) smmlv. </w:t>
      </w:r>
    </w:p>
    <w:p w14:paraId="79A72A93" w14:textId="77777777" w:rsidR="00545C2B" w:rsidRPr="00983DE2" w:rsidRDefault="00545C2B" w:rsidP="00545C2B">
      <w:pPr>
        <w:pStyle w:val="FootnoteText"/>
        <w:snapToGrid w:val="0"/>
        <w:spacing w:before="120"/>
        <w:ind w:left="709" w:right="709"/>
        <w:contextualSpacing/>
        <w:jc w:val="both"/>
        <w:rPr>
          <w:rFonts w:ascii="Verdana" w:eastAsia="Times New Roman" w:hAnsi="Verdana" w:cs="Arial"/>
          <w:color w:val="000000" w:themeColor="text1"/>
          <w:sz w:val="21"/>
          <w:szCs w:val="21"/>
          <w:lang w:val="es-ES" w:eastAsia="es-CO"/>
        </w:rPr>
      </w:pPr>
      <w:r w:rsidRPr="00983DE2">
        <w:rPr>
          <w:rFonts w:ascii="Verdana" w:eastAsia="Times New Roman" w:hAnsi="Verdana" w:cs="Arial"/>
          <w:color w:val="000000" w:themeColor="text1"/>
          <w:sz w:val="21"/>
          <w:szCs w:val="21"/>
          <w:lang w:val="es-ES" w:eastAsia="es-CO"/>
        </w:rPr>
        <w:t>4. Quinientos (500) smmlv para contratos cuyo valor sea superior a cinco mil (5.000) smmlv e inferior o igual a diez mil (10.000) smmlv. </w:t>
      </w:r>
    </w:p>
    <w:p w14:paraId="1D1949AF" w14:textId="77777777" w:rsidR="00545C2B" w:rsidRPr="00983DE2" w:rsidRDefault="00545C2B" w:rsidP="00C73EA8">
      <w:pPr>
        <w:pStyle w:val="FootnoteText"/>
        <w:snapToGrid w:val="0"/>
        <w:spacing w:before="120"/>
        <w:ind w:left="709" w:right="709"/>
        <w:contextualSpacing/>
        <w:jc w:val="both"/>
        <w:rPr>
          <w:rFonts w:ascii="Verdana" w:eastAsia="Times New Roman" w:hAnsi="Verdana" w:cs="Arial"/>
          <w:color w:val="000000" w:themeColor="text1"/>
          <w:sz w:val="21"/>
          <w:szCs w:val="21"/>
          <w:lang w:val="es-ES" w:eastAsia="es-CO"/>
        </w:rPr>
      </w:pPr>
      <w:r w:rsidRPr="00983DE2">
        <w:rPr>
          <w:rFonts w:ascii="Verdana" w:eastAsia="Times New Roman" w:hAnsi="Verdana" w:cs="Arial"/>
          <w:color w:val="000000" w:themeColor="text1"/>
          <w:sz w:val="21"/>
          <w:szCs w:val="21"/>
          <w:lang w:val="es-ES" w:eastAsia="es-CO"/>
        </w:rPr>
        <w:t>5. El cinco por ciento (5%) del valor del contrato cuando este sea superior a diez mil (10.000) smmlv, caso en el cual el valor asegurado debe ser máximo setenta y cinco mil (75.000) smmlv”. </w:t>
      </w:r>
    </w:p>
    <w:p w14:paraId="494B3612" w14:textId="77777777" w:rsidR="00C73EA8" w:rsidRPr="00983DE2" w:rsidRDefault="00C73EA8" w:rsidP="00C73EA8">
      <w:pPr>
        <w:pStyle w:val="FootnoteText"/>
        <w:snapToGrid w:val="0"/>
        <w:spacing w:before="120"/>
        <w:ind w:left="709" w:right="709"/>
        <w:contextualSpacing/>
        <w:jc w:val="both"/>
        <w:rPr>
          <w:rFonts w:ascii="Verdana" w:hAnsi="Verdana"/>
          <w:sz w:val="21"/>
          <w:szCs w:val="21"/>
          <w:lang w:val="es-ES"/>
        </w:rPr>
      </w:pPr>
    </w:p>
    <w:p w14:paraId="6E2C70D9" w14:textId="422E9C67" w:rsidR="00545C2B" w:rsidRPr="00983DE2" w:rsidRDefault="00545C2B" w:rsidP="00C73EA8">
      <w:pPr>
        <w:spacing w:after="120" w:line="276" w:lineRule="auto"/>
        <w:ind w:firstLine="708"/>
        <w:jc w:val="both"/>
        <w:rPr>
          <w:rFonts w:ascii="Verdana" w:eastAsia="Times New Roman" w:hAnsi="Verdana" w:cs="Arial"/>
          <w:color w:val="000000" w:themeColor="text1"/>
          <w:lang w:val="es-ES" w:eastAsia="es-CO"/>
        </w:rPr>
      </w:pPr>
      <w:r w:rsidRPr="00983DE2">
        <w:rPr>
          <w:rFonts w:ascii="Verdana" w:eastAsia="Times New Roman" w:hAnsi="Verdana" w:cs="Arial"/>
          <w:color w:val="000000" w:themeColor="text1"/>
          <w:lang w:val="es-ES" w:eastAsia="es-CO"/>
        </w:rPr>
        <w:t xml:space="preserve">En consecuencia, la entidad debe verificar que el contrato de seguro cumpla con la suficiencia en términos de valor y tiempo de acuerdo con el artículo </w:t>
      </w:r>
      <w:bookmarkStart w:id="6" w:name="_Hlk171693447"/>
      <w:r w:rsidRPr="00983DE2">
        <w:rPr>
          <w:rFonts w:ascii="Verdana" w:eastAsia="Times New Roman" w:hAnsi="Verdana" w:cs="Arial"/>
          <w:color w:val="000000" w:themeColor="text1"/>
          <w:lang w:val="es-ES" w:eastAsia="es-CO"/>
        </w:rPr>
        <w:t>2.2.1.2.3.1.17</w:t>
      </w:r>
      <w:bookmarkEnd w:id="6"/>
      <w:r w:rsidRPr="00983DE2">
        <w:rPr>
          <w:rStyle w:val="FootnoteReference"/>
          <w:rFonts w:ascii="Verdana" w:eastAsia="Times New Roman" w:hAnsi="Verdana" w:cs="Arial"/>
          <w:color w:val="000000" w:themeColor="text1"/>
          <w:lang w:val="es-ES" w:eastAsia="es-CO"/>
        </w:rPr>
        <w:footnoteReference w:id="13"/>
      </w:r>
      <w:r w:rsidRPr="00983DE2">
        <w:rPr>
          <w:rFonts w:ascii="Verdana" w:eastAsia="Times New Roman" w:hAnsi="Verdana" w:cs="Arial"/>
          <w:color w:val="000000" w:themeColor="text1"/>
          <w:lang w:val="es-ES" w:eastAsia="es-CO"/>
        </w:rPr>
        <w:t xml:space="preserve">. Adicional a lo anterior, la norma </w:t>
      </w:r>
      <w:r w:rsidR="00C2137B" w:rsidRPr="00983DE2">
        <w:rPr>
          <w:rFonts w:ascii="Verdana" w:eastAsia="Times New Roman" w:hAnsi="Verdana" w:cs="Arial"/>
          <w:color w:val="000000" w:themeColor="text1"/>
          <w:lang w:val="es-ES" w:eastAsia="es-CO"/>
        </w:rPr>
        <w:t>establece</w:t>
      </w:r>
      <w:r w:rsidRPr="00983DE2">
        <w:rPr>
          <w:rFonts w:ascii="Verdana" w:eastAsia="Times New Roman" w:hAnsi="Verdana" w:cs="Arial"/>
          <w:color w:val="000000" w:themeColor="text1"/>
          <w:lang w:val="es-ES" w:eastAsia="es-CO"/>
        </w:rPr>
        <w:t xml:space="preserve"> de manera expresa que la vigencia de esta garantía deberá ser igual al </w:t>
      </w:r>
      <w:r w:rsidRPr="00983DE2">
        <w:rPr>
          <w:rFonts w:ascii="Verdana" w:eastAsia="Times New Roman" w:hAnsi="Verdana" w:cs="Arial"/>
          <w:i/>
          <w:color w:val="000000" w:themeColor="text1"/>
          <w:lang w:val="es-ES" w:eastAsia="es-CO"/>
        </w:rPr>
        <w:t>período de ejecución del contrato</w:t>
      </w:r>
      <w:r w:rsidRPr="00983DE2">
        <w:rPr>
          <w:rFonts w:ascii="Verdana" w:eastAsia="Times New Roman" w:hAnsi="Verdana" w:cs="Arial"/>
          <w:color w:val="000000" w:themeColor="text1"/>
          <w:lang w:val="es-ES" w:eastAsia="es-CO"/>
        </w:rPr>
        <w:t xml:space="preserve"> estatal que está respaldando.</w:t>
      </w:r>
    </w:p>
    <w:p w14:paraId="39F23077" w14:textId="77777777" w:rsidR="00545C2B" w:rsidRPr="00983DE2" w:rsidRDefault="00545C2B" w:rsidP="00545C2B">
      <w:pPr>
        <w:spacing w:before="120" w:after="0" w:line="276" w:lineRule="auto"/>
        <w:ind w:firstLine="708"/>
        <w:jc w:val="both"/>
        <w:rPr>
          <w:rFonts w:ascii="Verdana" w:eastAsia="Times New Roman" w:hAnsi="Verdana" w:cs="Arial"/>
          <w:color w:val="000000" w:themeColor="text1"/>
          <w:lang w:val="es-ES" w:eastAsia="es-CO"/>
        </w:rPr>
      </w:pPr>
      <w:r w:rsidRPr="00983DE2">
        <w:rPr>
          <w:rFonts w:ascii="Verdana" w:eastAsia="Times New Roman" w:hAnsi="Verdana" w:cs="Arial"/>
          <w:color w:val="000000" w:themeColor="text1"/>
          <w:lang w:val="es-ES" w:eastAsia="es-CO"/>
        </w:rPr>
        <w:lastRenderedPageBreak/>
        <w:t xml:space="preserve">Finalmente, es necesario tener cuenta que, conforme al artículo 2.2.1.3.3.2.10, “En el contrato de seguro que ampara la responsabilidad civil extracontractual solamente se pueden pactar deducibles hasta del diez por ciento (10%) del valor de cada pérdida y en ningún caso pueden ser superiores a dos mil (2.000) smmlv. No serán admisibles las franquicias, coaseguros obligatorios y demás formas de estipulación que impliquen la asunción de parte de la pérdida por la entidad asegurada”. </w:t>
      </w:r>
    </w:p>
    <w:p w14:paraId="1B3A13FC" w14:textId="77777777" w:rsidR="00545C2B" w:rsidRPr="00983DE2" w:rsidRDefault="00545C2B" w:rsidP="00545C2B">
      <w:pPr>
        <w:spacing w:before="120" w:after="0" w:line="276" w:lineRule="auto"/>
        <w:ind w:firstLine="708"/>
        <w:jc w:val="both"/>
        <w:rPr>
          <w:rFonts w:ascii="Verdana" w:eastAsia="Times New Roman" w:hAnsi="Verdana" w:cs="Arial"/>
          <w:color w:val="000000" w:themeColor="text1"/>
          <w:lang w:val="es-ES" w:eastAsia="es-CO"/>
        </w:rPr>
      </w:pPr>
      <w:r w:rsidRPr="00983DE2">
        <w:rPr>
          <w:rFonts w:ascii="Verdana" w:eastAsia="Times New Roman" w:hAnsi="Verdana" w:cs="Arial"/>
          <w:color w:val="000000" w:themeColor="text1"/>
          <w:lang w:val="es-ES" w:eastAsia="es-CO"/>
        </w:rPr>
        <w:t>Así, el cumplimiento de las exigencias previstas en el Decreto Único Reglamentario del Sector Planeación condiciona la aprobación de la garantía como requisito de ejecución contractual conforme al inciso segundo de artículo 41 de la Ley 80 de 1993. De esta manera, independientemente de la naturaleza “corporativa” o “individual” de la garantía, la Entidad Estatal tiene la obligación de verificar en cada caso que el contrato de seguro de responsabilidad civil extracontractual satisfaga todos los requisitos previamente expuestos, en los términos establecidos en la normativa.</w:t>
      </w:r>
    </w:p>
    <w:p w14:paraId="1E1D5A5B" w14:textId="77777777" w:rsidR="00545C2B" w:rsidRPr="00983DE2" w:rsidRDefault="00545C2B" w:rsidP="00545C2B">
      <w:pPr>
        <w:spacing w:before="120" w:after="120" w:line="276" w:lineRule="auto"/>
        <w:ind w:firstLine="708"/>
        <w:jc w:val="both"/>
        <w:rPr>
          <w:rFonts w:ascii="Verdana" w:hAnsi="Verdana" w:cs="Arial"/>
          <w:color w:val="000000" w:themeColor="text1"/>
          <w:lang w:val="es-ES"/>
        </w:rPr>
      </w:pPr>
      <w:r w:rsidRPr="00983DE2">
        <w:rPr>
          <w:rFonts w:ascii="Verdana" w:hAnsi="Verdana" w:cs="Arial"/>
          <w:color w:val="000000" w:themeColor="text1"/>
          <w:lang w:val="es-ES"/>
        </w:rPr>
        <w:t>Al margen de la explicación precedente debe advertirse que el análisis requerido para la aprobación de las garantías en materia de contratación estatal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w:t>
      </w:r>
    </w:p>
    <w:p w14:paraId="67200430" w14:textId="77777777" w:rsidR="00545C2B" w:rsidRPr="00983DE2" w:rsidRDefault="00545C2B" w:rsidP="00545C2B">
      <w:pPr>
        <w:pStyle w:val="ListParagraph"/>
        <w:numPr>
          <w:ilvl w:val="0"/>
          <w:numId w:val="16"/>
        </w:numPr>
        <w:spacing w:line="276" w:lineRule="auto"/>
        <w:jc w:val="both"/>
        <w:rPr>
          <w:rFonts w:ascii="Verdana" w:eastAsia="Century Gothic" w:hAnsi="Verdana" w:cs="Century Gothic"/>
          <w:b/>
          <w:bCs/>
          <w:color w:val="000000" w:themeColor="text1"/>
        </w:rPr>
      </w:pPr>
      <w:r w:rsidRPr="00983DE2">
        <w:rPr>
          <w:rFonts w:ascii="Verdana" w:eastAsia="Century Gothic" w:hAnsi="Verdana" w:cs="Century Gothic"/>
          <w:b/>
          <w:bCs/>
          <w:color w:val="000000" w:themeColor="text1"/>
        </w:rPr>
        <w:t>Referencias normativas, jurisprudenciales y otras fuentes:</w:t>
      </w:r>
    </w:p>
    <w:p w14:paraId="524D88F1" w14:textId="77777777" w:rsidR="00545C2B" w:rsidRPr="00983DE2" w:rsidRDefault="00545C2B" w:rsidP="00545C2B">
      <w:pPr>
        <w:pStyle w:val="ListParagraph"/>
        <w:tabs>
          <w:tab w:val="left" w:pos="142"/>
          <w:tab w:val="left" w:pos="284"/>
        </w:tabs>
        <w:spacing w:after="0" w:line="276" w:lineRule="auto"/>
        <w:ind w:left="0"/>
        <w:jc w:val="both"/>
        <w:rPr>
          <w:rFonts w:ascii="Verdana" w:eastAsia="Century Gothic" w:hAnsi="Verdana" w:cs="Century Gothic"/>
          <w:b/>
          <w:bCs/>
          <w:color w:val="000000" w:themeColor="text1"/>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45C2B" w:rsidRPr="00983DE2" w14:paraId="59F8AA75" w14:textId="77777777" w:rsidTr="005D23AD">
        <w:trPr>
          <w:trHeight w:val="870"/>
        </w:trPr>
        <w:tc>
          <w:tcPr>
            <w:tcW w:w="8647" w:type="dxa"/>
          </w:tcPr>
          <w:p w14:paraId="16194285" w14:textId="4E59F9B2" w:rsidR="00545C2B" w:rsidRPr="00983DE2" w:rsidRDefault="00545C2B" w:rsidP="00C73EA8">
            <w:pPr>
              <w:pStyle w:val="ListParagraph"/>
              <w:numPr>
                <w:ilvl w:val="0"/>
                <w:numId w:val="18"/>
              </w:numPr>
              <w:snapToGrid w:val="0"/>
              <w:spacing w:before="120" w:after="120" w:line="276" w:lineRule="auto"/>
              <w:ind w:left="612" w:hanging="357"/>
              <w:contextualSpacing w:val="0"/>
              <w:jc w:val="both"/>
              <w:rPr>
                <w:rFonts w:ascii="Verdana" w:eastAsia="Times New Roman" w:hAnsi="Verdana" w:cs="Arial"/>
                <w:color w:val="000000" w:themeColor="text1"/>
                <w:lang w:eastAsia="es-CO"/>
              </w:rPr>
            </w:pPr>
            <w:r w:rsidRPr="00983DE2">
              <w:rPr>
                <w:rFonts w:ascii="Verdana" w:eastAsia="Times New Roman" w:hAnsi="Verdana" w:cs="Arial"/>
                <w:color w:val="000000" w:themeColor="text1"/>
                <w:lang w:eastAsia="es-CO"/>
              </w:rPr>
              <w:t xml:space="preserve">Ley 80 de 1993, artículo 41. </w:t>
            </w:r>
          </w:p>
          <w:p w14:paraId="0B3B4F44" w14:textId="4EBA4C70" w:rsidR="00545C2B" w:rsidRPr="00983DE2" w:rsidRDefault="00545C2B" w:rsidP="00C73EA8">
            <w:pPr>
              <w:pStyle w:val="ListParagraph"/>
              <w:numPr>
                <w:ilvl w:val="0"/>
                <w:numId w:val="18"/>
              </w:numPr>
              <w:snapToGrid w:val="0"/>
              <w:spacing w:before="120" w:after="120" w:line="276" w:lineRule="auto"/>
              <w:ind w:left="612" w:hanging="357"/>
              <w:contextualSpacing w:val="0"/>
              <w:jc w:val="both"/>
              <w:rPr>
                <w:rFonts w:ascii="Verdana" w:eastAsia="Times New Roman" w:hAnsi="Verdana" w:cs="Arial"/>
                <w:color w:val="000000" w:themeColor="text1"/>
                <w:lang w:eastAsia="es-CO"/>
              </w:rPr>
            </w:pPr>
            <w:r w:rsidRPr="00983DE2">
              <w:rPr>
                <w:rFonts w:ascii="Verdana" w:eastAsia="Times New Roman" w:hAnsi="Verdana" w:cs="Arial"/>
                <w:color w:val="000000" w:themeColor="text1"/>
                <w:lang w:eastAsia="es-CO"/>
              </w:rPr>
              <w:t xml:space="preserve">Ley 1150 de 2007, artículo 7. </w:t>
            </w:r>
          </w:p>
          <w:p w14:paraId="7D5CA4AA" w14:textId="77777777" w:rsidR="00545C2B" w:rsidRPr="00983DE2" w:rsidRDefault="00545C2B" w:rsidP="00C73EA8">
            <w:pPr>
              <w:pStyle w:val="ListParagraph"/>
              <w:numPr>
                <w:ilvl w:val="0"/>
                <w:numId w:val="18"/>
              </w:numPr>
              <w:snapToGrid w:val="0"/>
              <w:spacing w:before="120" w:after="120" w:line="276" w:lineRule="auto"/>
              <w:ind w:left="612" w:hanging="357"/>
              <w:contextualSpacing w:val="0"/>
              <w:jc w:val="both"/>
              <w:rPr>
                <w:rFonts w:ascii="Verdana" w:eastAsia="Times New Roman" w:hAnsi="Verdana" w:cs="Arial"/>
                <w:color w:val="000000" w:themeColor="text1"/>
                <w:lang w:eastAsia="es-CO"/>
              </w:rPr>
            </w:pPr>
            <w:r w:rsidRPr="00983DE2">
              <w:rPr>
                <w:rFonts w:ascii="Verdana" w:eastAsia="Times New Roman" w:hAnsi="Verdana" w:cs="Arial"/>
                <w:color w:val="000000" w:themeColor="text1"/>
                <w:lang w:eastAsia="es-CO"/>
              </w:rPr>
              <w:t>Código de Comercio, artículos 1068 y 1071.</w:t>
            </w:r>
          </w:p>
          <w:p w14:paraId="6625FA1A" w14:textId="77777777" w:rsidR="00545C2B" w:rsidRPr="00983DE2" w:rsidRDefault="00545C2B" w:rsidP="00C73EA8">
            <w:pPr>
              <w:pStyle w:val="ListParagraph"/>
              <w:numPr>
                <w:ilvl w:val="0"/>
                <w:numId w:val="18"/>
              </w:numPr>
              <w:snapToGrid w:val="0"/>
              <w:spacing w:before="120" w:after="120" w:line="276" w:lineRule="auto"/>
              <w:ind w:left="612" w:hanging="357"/>
              <w:contextualSpacing w:val="0"/>
              <w:jc w:val="both"/>
              <w:rPr>
                <w:rFonts w:ascii="Verdana" w:hAnsi="Verdana"/>
              </w:rPr>
            </w:pPr>
            <w:r w:rsidRPr="00983DE2">
              <w:rPr>
                <w:rFonts w:ascii="Verdana" w:eastAsia="Times New Roman" w:hAnsi="Verdana" w:cs="Arial"/>
                <w:color w:val="000000" w:themeColor="text1"/>
                <w:lang w:eastAsia="es-CO"/>
              </w:rPr>
              <w:t>Decreto 1082 de 2015, artículos 2.2.1.2.3.1.1 a 2.2.1.2.3.1.19.</w:t>
            </w:r>
          </w:p>
        </w:tc>
      </w:tr>
    </w:tbl>
    <w:p w14:paraId="33B043BD" w14:textId="77777777" w:rsidR="00545C2B" w:rsidRPr="00983DE2" w:rsidRDefault="00545C2B" w:rsidP="00545C2B">
      <w:pPr>
        <w:widowControl w:val="0"/>
        <w:autoSpaceDE w:val="0"/>
        <w:autoSpaceDN w:val="0"/>
        <w:spacing w:after="0" w:line="276" w:lineRule="auto"/>
        <w:jc w:val="both"/>
        <w:rPr>
          <w:rFonts w:ascii="Verdana" w:hAnsi="Verdana" w:cs="Arial"/>
          <w:color w:val="000000" w:themeColor="text1"/>
          <w:lang w:val="es-ES"/>
        </w:rPr>
      </w:pPr>
    </w:p>
    <w:p w14:paraId="48DD5E28" w14:textId="5927EA11" w:rsidR="00545C2B" w:rsidRPr="00983DE2" w:rsidRDefault="00545C2B" w:rsidP="00CB7135">
      <w:pPr>
        <w:pStyle w:val="ListParagraph"/>
        <w:numPr>
          <w:ilvl w:val="0"/>
          <w:numId w:val="16"/>
        </w:numPr>
        <w:tabs>
          <w:tab w:val="left" w:pos="142"/>
          <w:tab w:val="left" w:pos="284"/>
        </w:tabs>
        <w:spacing w:after="120" w:line="276" w:lineRule="auto"/>
        <w:ind w:left="0" w:firstLine="0"/>
        <w:contextualSpacing w:val="0"/>
        <w:jc w:val="both"/>
        <w:rPr>
          <w:rFonts w:ascii="Verdana" w:eastAsia="Century Gothic" w:hAnsi="Verdana" w:cs="Century Gothic"/>
          <w:b/>
          <w:bCs/>
          <w:color w:val="000000" w:themeColor="text1"/>
        </w:rPr>
      </w:pPr>
      <w:r w:rsidRPr="00983DE2">
        <w:rPr>
          <w:rFonts w:ascii="Verdana" w:eastAsia="Century Gothic" w:hAnsi="Verdana" w:cs="Century Gothic"/>
          <w:b/>
          <w:bCs/>
          <w:color w:val="000000" w:themeColor="text1"/>
        </w:rPr>
        <w:t>Doctrina de la Agencia Nacional de Contratación Pública:</w:t>
      </w:r>
    </w:p>
    <w:p w14:paraId="6F71F647" w14:textId="4ACF7C5C" w:rsidR="00545C2B" w:rsidRPr="00983DE2" w:rsidRDefault="00545C2B" w:rsidP="00BB741C">
      <w:pPr>
        <w:widowControl w:val="0"/>
        <w:autoSpaceDE w:val="0"/>
        <w:autoSpaceDN w:val="0"/>
        <w:spacing w:after="0" w:line="276" w:lineRule="auto"/>
        <w:jc w:val="both"/>
        <w:rPr>
          <w:rStyle w:val="normaltextrun"/>
          <w:rFonts w:ascii="Verdana" w:hAnsi="Verdana" w:cs="Arial"/>
          <w:shd w:val="clear" w:color="auto" w:fill="FFFFFF"/>
          <w:lang w:val="es-ES"/>
        </w:rPr>
      </w:pPr>
      <w:r w:rsidRPr="00983DE2">
        <w:rPr>
          <w:rStyle w:val="normaltextrun"/>
          <w:rFonts w:ascii="Verdana" w:hAnsi="Verdana" w:cs="Arial"/>
          <w:color w:val="000000" w:themeColor="text1"/>
          <w:shd w:val="clear" w:color="auto" w:fill="FFFFFF"/>
          <w:lang w:val="es-ES"/>
        </w:rPr>
        <w:t xml:space="preserve">La Agencia Nacional de Contratación Pública – Colombia Compra Eficiente se ha </w:t>
      </w:r>
      <w:r w:rsidRPr="00983DE2">
        <w:rPr>
          <w:rStyle w:val="normaltextrun"/>
          <w:rFonts w:ascii="Verdana" w:hAnsi="Verdana" w:cs="Arial"/>
          <w:color w:val="000000" w:themeColor="text1"/>
          <w:shd w:val="clear" w:color="auto" w:fill="FFFFFF"/>
          <w:lang w:val="es-ES"/>
        </w:rPr>
        <w:lastRenderedPageBreak/>
        <w:t>referido</w:t>
      </w:r>
      <w:r w:rsidR="00BB741C" w:rsidRPr="00983DE2">
        <w:rPr>
          <w:rStyle w:val="normaltextrun"/>
          <w:rFonts w:ascii="Verdana" w:hAnsi="Verdana" w:cs="Arial"/>
          <w:color w:val="000000" w:themeColor="text1"/>
          <w:shd w:val="clear" w:color="auto" w:fill="FFFFFF"/>
          <w:lang w:val="es-ES"/>
        </w:rPr>
        <w:t xml:space="preserve"> </w:t>
      </w:r>
      <w:r w:rsidR="00BB741C" w:rsidRPr="00983DE2">
        <w:rPr>
          <w:rStyle w:val="normaltextrun"/>
          <w:rFonts w:ascii="Verdana" w:hAnsi="Verdana" w:cs="Arial"/>
          <w:shd w:val="clear" w:color="auto" w:fill="FFFFFF"/>
          <w:lang w:val="es-ES"/>
        </w:rPr>
        <w:t>al régimen de garantías en los Conceptos</w:t>
      </w:r>
      <w:r w:rsidR="00BB741C" w:rsidRPr="00983DE2">
        <w:rPr>
          <w:rStyle w:val="normaltextrun"/>
          <w:rFonts w:ascii="Verdana" w:hAnsi="Verdana" w:cs="Calibri"/>
          <w:shd w:val="clear" w:color="auto" w:fill="FFFFFF"/>
          <w:lang w:val="es-ES"/>
        </w:rPr>
        <w:t xml:space="preserve"> </w:t>
      </w:r>
      <w:r w:rsidR="00BB741C" w:rsidRPr="00983DE2">
        <w:rPr>
          <w:rStyle w:val="normaltextrun"/>
          <w:rFonts w:ascii="Verdana" w:hAnsi="Verdana" w:cs="Arial"/>
          <w:shd w:val="clear" w:color="auto" w:fill="FFFFFF"/>
          <w:lang w:val="es-ES"/>
        </w:rPr>
        <w:t>2201913000009075 del 9 de diciembre de 2019, C-080 del 8 de abril de 2021, C-525 del 27 de septiembre de 2021, C- 567 del 08 de octubre del 2021, C-036 del 28 de febrero del 2022, C-126 de 25 de marzo de 2022, C-583 del 19 de octubre de 2022, C-584 del 26 de septiembre de 2022, C-712 del 13 de octubre de 2022 y C-845 del 7 de diciembre de 2022, C-036 del 31 de marzo de 2023, C-386 del 31 de enero de 2024</w:t>
      </w:r>
      <w:r w:rsidR="005D23AD" w:rsidRPr="00983DE2">
        <w:rPr>
          <w:rStyle w:val="normaltextrun"/>
          <w:rFonts w:ascii="Verdana" w:hAnsi="Verdana" w:cs="Arial"/>
          <w:shd w:val="clear" w:color="auto" w:fill="FFFFFF"/>
          <w:lang w:val="es-ES"/>
        </w:rPr>
        <w:t xml:space="preserve">, </w:t>
      </w:r>
      <w:r w:rsidR="00BB741C" w:rsidRPr="00983DE2">
        <w:rPr>
          <w:rStyle w:val="normaltextrun"/>
          <w:rFonts w:ascii="Verdana" w:hAnsi="Verdana" w:cs="Arial"/>
          <w:shd w:val="clear" w:color="auto" w:fill="FFFFFF"/>
          <w:lang w:val="es-ES"/>
        </w:rPr>
        <w:t>C-306 del 12 de agosto de 2024</w:t>
      </w:r>
      <w:r w:rsidR="005D23AD" w:rsidRPr="00983DE2">
        <w:rPr>
          <w:rStyle w:val="normaltextrun"/>
          <w:rFonts w:ascii="Verdana" w:hAnsi="Verdana" w:cs="Arial"/>
          <w:shd w:val="clear" w:color="auto" w:fill="FFFFFF"/>
          <w:lang w:val="es-ES"/>
        </w:rPr>
        <w:t xml:space="preserve"> y </w:t>
      </w:r>
      <w:r w:rsidR="005D23AD" w:rsidRPr="00983DE2">
        <w:rPr>
          <w:rFonts w:ascii="Verdana" w:eastAsia="Calibri" w:hAnsi="Verdana" w:cs="Arial"/>
          <w:lang w:val="es-ES" w:eastAsia="es-ES"/>
        </w:rPr>
        <w:t>C–099 del 21 de febrero de 2025</w:t>
      </w:r>
      <w:r w:rsidRPr="00983DE2">
        <w:rPr>
          <w:rStyle w:val="normaltextrun"/>
          <w:rFonts w:ascii="Verdana" w:hAnsi="Verdana" w:cs="Arial"/>
          <w:color w:val="000000" w:themeColor="text1"/>
          <w:shd w:val="clear" w:color="auto" w:fill="FFFFFF"/>
          <w:lang w:val="es-ES"/>
        </w:rPr>
        <w:t xml:space="preserve">. </w:t>
      </w:r>
      <w:r w:rsidRPr="00983DE2">
        <w:rPr>
          <w:rStyle w:val="normaltextrun"/>
          <w:rFonts w:ascii="Verdana" w:hAnsi="Verdana" w:cs="Arial"/>
          <w:shd w:val="clear" w:color="auto" w:fill="FFFFFF"/>
          <w:lang w:val="es-ES"/>
        </w:rPr>
        <w:t>Estos y otros conceptos se encuentran disponibles para consulta en el Sistema de relatoría de la Agencia</w:t>
      </w:r>
      <w:r w:rsidRPr="00983DE2">
        <w:rPr>
          <w:rFonts w:ascii="Verdana" w:hAnsi="Verdana"/>
          <w:lang w:val="es-ES"/>
        </w:rPr>
        <w:t>, al cual puede accederse a través del siguiente enlace:</w:t>
      </w:r>
      <w:r w:rsidRPr="00983DE2">
        <w:rPr>
          <w:rStyle w:val="normaltextrun"/>
          <w:rFonts w:ascii="Verdana" w:hAnsi="Verdana" w:cs="Arial"/>
          <w:shd w:val="clear" w:color="auto" w:fill="FFFFFF"/>
          <w:lang w:val="es-ES"/>
        </w:rPr>
        <w:t xml:space="preserve"> </w:t>
      </w:r>
      <w:hyperlink r:id="rId12" w:history="1">
        <w:r w:rsidRPr="00983DE2">
          <w:rPr>
            <w:rStyle w:val="Hyperlink"/>
            <w:rFonts w:ascii="Verdana" w:hAnsi="Verdana" w:cs="Arial"/>
            <w:shd w:val="clear" w:color="auto" w:fill="FFFFFF"/>
            <w:lang w:val="es-ES"/>
          </w:rPr>
          <w:t>https://relatoria.colombiacompra.gov.co/busqueda/conceptos</w:t>
        </w:r>
      </w:hyperlink>
      <w:r w:rsidRPr="00983DE2">
        <w:rPr>
          <w:rStyle w:val="normaltextrun"/>
          <w:rFonts w:ascii="Verdana" w:hAnsi="Verdana" w:cs="Arial"/>
          <w:shd w:val="clear" w:color="auto" w:fill="FFFFFF"/>
          <w:lang w:val="es-ES"/>
        </w:rPr>
        <w:t>.</w:t>
      </w:r>
      <w:r w:rsidRPr="00983DE2">
        <w:rPr>
          <w:rStyle w:val="normaltextrun"/>
          <w:rFonts w:ascii="Verdana" w:hAnsi="Verdana" w:cs="Arial"/>
          <w:color w:val="FF0000"/>
          <w:shd w:val="clear" w:color="auto" w:fill="FFFFFF"/>
          <w:lang w:val="es-ES"/>
        </w:rPr>
        <w:t xml:space="preserve"> </w:t>
      </w:r>
    </w:p>
    <w:p w14:paraId="0201E228" w14:textId="77777777" w:rsidR="00545C2B" w:rsidRPr="00983DE2" w:rsidRDefault="00545C2B" w:rsidP="00545C2B">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D4DBC6D" w14:textId="77777777" w:rsidR="00545C2B" w:rsidRPr="00983DE2" w:rsidRDefault="00545C2B" w:rsidP="00545C2B">
      <w:pPr>
        <w:spacing w:after="0" w:line="276" w:lineRule="auto"/>
        <w:jc w:val="both"/>
        <w:rPr>
          <w:rFonts w:ascii="Verdana" w:hAnsi="Verdana"/>
          <w:lang w:val="es-ES"/>
        </w:rPr>
      </w:pPr>
      <w:r w:rsidRPr="00983DE2">
        <w:rPr>
          <w:rFonts w:ascii="Verdana" w:hAnsi="Verdana"/>
          <w:lang w:val="es-ES"/>
        </w:rPr>
        <w:t xml:space="preserve">Por último, lo invitamos a seguirnos en las redes sociales en las cuales se difunde información institucional: </w:t>
      </w:r>
    </w:p>
    <w:p w14:paraId="4A42554D" w14:textId="77777777" w:rsidR="00545C2B" w:rsidRPr="00983DE2" w:rsidRDefault="00545C2B" w:rsidP="00545C2B">
      <w:pPr>
        <w:spacing w:after="0" w:line="276" w:lineRule="auto"/>
        <w:jc w:val="both"/>
        <w:rPr>
          <w:rFonts w:ascii="Verdana" w:hAnsi="Verdana"/>
          <w:lang w:val="es-ES"/>
        </w:rPr>
      </w:pPr>
    </w:p>
    <w:p w14:paraId="6DCF4230" w14:textId="77777777" w:rsidR="00545C2B" w:rsidRPr="00983DE2" w:rsidRDefault="00545C2B" w:rsidP="00545C2B">
      <w:pPr>
        <w:spacing w:after="0" w:line="276" w:lineRule="auto"/>
        <w:jc w:val="both"/>
        <w:rPr>
          <w:rFonts w:ascii="Verdana" w:hAnsi="Verdana"/>
          <w:lang w:val="es-ES"/>
        </w:rPr>
      </w:pPr>
      <w:r w:rsidRPr="00983DE2">
        <w:rPr>
          <w:rFonts w:ascii="Verdana" w:hAnsi="Verdana"/>
          <w:lang w:val="es-ES"/>
        </w:rPr>
        <w:t xml:space="preserve">Twitter: </w:t>
      </w:r>
      <w:r w:rsidRPr="00983DE2">
        <w:rPr>
          <w:rStyle w:val="Hyperlink"/>
          <w:rFonts w:ascii="Verdana" w:hAnsi="Verdana" w:cs="Arial"/>
          <w:shd w:val="clear" w:color="auto" w:fill="FFFFFF"/>
          <w:lang w:val="es-ES"/>
        </w:rPr>
        <w:t>@colombiacompra</w:t>
      </w:r>
      <w:r w:rsidRPr="00983DE2">
        <w:rPr>
          <w:rFonts w:ascii="Verdana" w:hAnsi="Verdana"/>
          <w:color w:val="4472C4" w:themeColor="accent1"/>
          <w:lang w:val="es-ES"/>
        </w:rPr>
        <w:t xml:space="preserve"> </w:t>
      </w:r>
    </w:p>
    <w:p w14:paraId="432B15C3" w14:textId="77777777" w:rsidR="00545C2B" w:rsidRPr="00983DE2" w:rsidRDefault="00545C2B" w:rsidP="00545C2B">
      <w:pPr>
        <w:spacing w:after="0" w:line="276" w:lineRule="auto"/>
        <w:jc w:val="both"/>
        <w:rPr>
          <w:rFonts w:ascii="Verdana" w:hAnsi="Verdana"/>
          <w:lang w:val="es-ES"/>
        </w:rPr>
      </w:pPr>
      <w:r w:rsidRPr="00983DE2">
        <w:rPr>
          <w:rFonts w:ascii="Verdana" w:hAnsi="Verdana"/>
          <w:lang w:val="es-ES"/>
        </w:rPr>
        <w:t xml:space="preserve">Facebook: </w:t>
      </w:r>
      <w:proofErr w:type="spellStart"/>
      <w:r w:rsidRPr="00983DE2">
        <w:rPr>
          <w:rStyle w:val="Hyperlink"/>
          <w:rFonts w:ascii="Verdana" w:hAnsi="Verdana" w:cs="Arial"/>
          <w:shd w:val="clear" w:color="auto" w:fill="FFFFFF"/>
          <w:lang w:val="es-ES"/>
        </w:rPr>
        <w:t>ColombiaCompraEficiente</w:t>
      </w:r>
      <w:proofErr w:type="spellEnd"/>
    </w:p>
    <w:p w14:paraId="66EEAA16" w14:textId="77777777" w:rsidR="00545C2B" w:rsidRPr="00983DE2" w:rsidRDefault="00545C2B" w:rsidP="00545C2B">
      <w:pPr>
        <w:spacing w:after="0" w:line="276" w:lineRule="auto"/>
        <w:jc w:val="both"/>
        <w:rPr>
          <w:rFonts w:ascii="Verdana" w:hAnsi="Verdana"/>
          <w:lang w:val="es-ES"/>
        </w:rPr>
      </w:pPr>
      <w:r w:rsidRPr="00983DE2">
        <w:rPr>
          <w:rFonts w:ascii="Verdana" w:hAnsi="Verdana"/>
          <w:lang w:val="es-ES"/>
        </w:rPr>
        <w:t xml:space="preserve">LinkedIn: </w:t>
      </w:r>
      <w:r w:rsidRPr="00983DE2">
        <w:rPr>
          <w:rStyle w:val="Hyperlink"/>
          <w:rFonts w:ascii="Verdana" w:hAnsi="Verdana" w:cs="Arial"/>
          <w:shd w:val="clear" w:color="auto" w:fill="FFFFFF"/>
          <w:lang w:val="es-ES"/>
        </w:rPr>
        <w:t xml:space="preserve">Agencia Nacional de Contratación Pública - Colombia Compra Eficiente </w:t>
      </w:r>
      <w:r w:rsidRPr="00983DE2">
        <w:rPr>
          <w:rFonts w:ascii="Verdana" w:hAnsi="Verdana"/>
          <w:lang w:val="es-ES"/>
        </w:rPr>
        <w:t xml:space="preserve">Instagram: </w:t>
      </w:r>
      <w:r w:rsidRPr="00983DE2">
        <w:rPr>
          <w:rStyle w:val="Hyperlink"/>
          <w:rFonts w:ascii="Verdana" w:hAnsi="Verdana" w:cs="Arial"/>
          <w:shd w:val="clear" w:color="auto" w:fill="FFFFFF"/>
          <w:lang w:val="es-ES"/>
        </w:rPr>
        <w:t>@colombiacompraeficiente_cce</w:t>
      </w:r>
    </w:p>
    <w:p w14:paraId="6CFFFC6F" w14:textId="77777777" w:rsidR="00545C2B" w:rsidRPr="00983DE2" w:rsidRDefault="00545C2B" w:rsidP="00545C2B">
      <w:pPr>
        <w:widowControl w:val="0"/>
        <w:autoSpaceDE w:val="0"/>
        <w:autoSpaceDN w:val="0"/>
        <w:spacing w:after="0" w:line="276" w:lineRule="auto"/>
        <w:jc w:val="both"/>
        <w:rPr>
          <w:rFonts w:ascii="Verdana" w:hAnsi="Verdana" w:cs="Arial"/>
          <w:color w:val="000000" w:themeColor="text1"/>
          <w:lang w:val="es-ES"/>
        </w:rPr>
      </w:pPr>
    </w:p>
    <w:p w14:paraId="3384247D" w14:textId="77777777" w:rsidR="00545C2B" w:rsidRPr="00983DE2" w:rsidRDefault="00545C2B" w:rsidP="00545C2B">
      <w:pPr>
        <w:widowControl w:val="0"/>
        <w:autoSpaceDE w:val="0"/>
        <w:autoSpaceDN w:val="0"/>
        <w:spacing w:after="0" w:line="276" w:lineRule="auto"/>
        <w:jc w:val="both"/>
        <w:rPr>
          <w:rFonts w:ascii="Verdana" w:hAnsi="Verdana" w:cs="Arial"/>
          <w:color w:val="000000" w:themeColor="text1"/>
          <w:lang w:val="es-ES"/>
        </w:rPr>
      </w:pPr>
      <w:r w:rsidRPr="00983DE2">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F78941E" w14:textId="50F392FE" w:rsidR="00545C2B" w:rsidRPr="00983DE2" w:rsidRDefault="00545C2B" w:rsidP="00545C2B">
      <w:pPr>
        <w:widowControl w:val="0"/>
        <w:autoSpaceDE w:val="0"/>
        <w:autoSpaceDN w:val="0"/>
        <w:spacing w:after="0" w:line="276" w:lineRule="auto"/>
        <w:jc w:val="both"/>
        <w:rPr>
          <w:rFonts w:ascii="Verdana" w:hAnsi="Verdana" w:cs="Arial"/>
          <w:color w:val="000000" w:themeColor="text1"/>
          <w:lang w:val="es-ES"/>
        </w:rPr>
      </w:pPr>
    </w:p>
    <w:p w14:paraId="7FD73263" w14:textId="2B5AEE45" w:rsidR="00545C2B" w:rsidRPr="00983DE2" w:rsidRDefault="00645DC9" w:rsidP="00545C2B">
      <w:pPr>
        <w:spacing w:after="0" w:line="276" w:lineRule="auto"/>
        <w:rPr>
          <w:rFonts w:ascii="Verdana" w:hAnsi="Verdana" w:cs="Arial"/>
          <w:color w:val="000000" w:themeColor="text1"/>
          <w:lang w:val="es-ES" w:eastAsia="es-CO"/>
        </w:rPr>
      </w:pPr>
      <w:r w:rsidRPr="002C3AD6">
        <w:rPr>
          <w:rFonts w:ascii="Century Gothic" w:hAnsi="Century Gothic"/>
          <w:noProof/>
        </w:rPr>
        <w:drawing>
          <wp:anchor distT="0" distB="0" distL="114300" distR="114300" simplePos="0" relativeHeight="251659264" behindDoc="0" locked="0" layoutInCell="1" allowOverlap="1" wp14:anchorId="665C5328" wp14:editId="2E29387B">
            <wp:simplePos x="0" y="0"/>
            <wp:positionH relativeFrom="column">
              <wp:posOffset>1107049</wp:posOffset>
            </wp:positionH>
            <wp:positionV relativeFrom="paragraph">
              <wp:posOffset>198120</wp:posOffset>
            </wp:positionV>
            <wp:extent cx="3474720" cy="1289685"/>
            <wp:effectExtent l="0" t="0" r="5080" b="5715"/>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3474720" cy="1289685"/>
                    </a:xfrm>
                    <a:prstGeom prst="rect">
                      <a:avLst/>
                    </a:prstGeom>
                  </pic:spPr>
                </pic:pic>
              </a:graphicData>
            </a:graphic>
            <wp14:sizeRelH relativeFrom="page">
              <wp14:pctWidth>0</wp14:pctWidth>
            </wp14:sizeRelH>
            <wp14:sizeRelV relativeFrom="page">
              <wp14:pctHeight>0</wp14:pctHeight>
            </wp14:sizeRelV>
          </wp:anchor>
        </w:drawing>
      </w:r>
      <w:r w:rsidR="00545C2B" w:rsidRPr="00983DE2">
        <w:rPr>
          <w:rFonts w:ascii="Verdana" w:eastAsia="Times New Roman" w:hAnsi="Verdana" w:cs="Arial"/>
          <w:color w:val="000000" w:themeColor="text1"/>
          <w:lang w:val="es-ES" w:eastAsia="es-CO"/>
        </w:rPr>
        <w:t>Atentamente,</w:t>
      </w:r>
      <w:r w:rsidR="00545C2B" w:rsidRPr="00983DE2">
        <w:rPr>
          <w:rFonts w:ascii="Verdana" w:hAnsi="Verdana" w:cs="Arial"/>
          <w:color w:val="000000" w:themeColor="text1"/>
          <w:lang w:val="es-ES" w:eastAsia="es-CO"/>
        </w:rPr>
        <w:t xml:space="preserve"> </w:t>
      </w:r>
    </w:p>
    <w:bookmarkEnd w:id="0"/>
    <w:p w14:paraId="7DB50AF4" w14:textId="495D1EEE" w:rsidR="00545C2B" w:rsidRPr="00983DE2" w:rsidRDefault="00545C2B" w:rsidP="00545C2B">
      <w:pPr>
        <w:spacing w:line="276" w:lineRule="auto"/>
        <w:jc w:val="center"/>
        <w:rPr>
          <w:rFonts w:ascii="Verdana" w:hAnsi="Verdana" w:cs="Arial"/>
          <w:color w:val="000000" w:themeColor="text1"/>
          <w:lang w:val="es-ES" w:eastAsia="es-CO"/>
        </w:rPr>
      </w:pP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45C2B" w:rsidRPr="00983DE2" w14:paraId="63169E08" w14:textId="77777777" w:rsidTr="005D23AD">
        <w:trPr>
          <w:trHeight w:val="315"/>
        </w:trPr>
        <w:tc>
          <w:tcPr>
            <w:tcW w:w="893" w:type="dxa"/>
            <w:vAlign w:val="center"/>
            <w:hideMark/>
          </w:tcPr>
          <w:p w14:paraId="257230BF" w14:textId="77777777" w:rsidR="00545C2B" w:rsidRPr="00983DE2" w:rsidRDefault="00545C2B" w:rsidP="005D23AD">
            <w:pPr>
              <w:contextualSpacing/>
              <w:rPr>
                <w:rFonts w:ascii="Verdana" w:hAnsi="Verdana" w:cs="Arial"/>
                <w:sz w:val="15"/>
                <w:szCs w:val="15"/>
                <w:lang w:val="es-ES" w:eastAsia="es-ES"/>
              </w:rPr>
            </w:pPr>
            <w:r w:rsidRPr="00983DE2">
              <w:rPr>
                <w:rFonts w:ascii="Verdana" w:hAnsi="Verdana" w:cs="Arial"/>
                <w:sz w:val="15"/>
                <w:szCs w:val="15"/>
                <w:lang w:val="es-ES" w:eastAsia="es-ES"/>
              </w:rPr>
              <w:t>Elaboró:</w:t>
            </w:r>
          </w:p>
        </w:tc>
        <w:tc>
          <w:tcPr>
            <w:tcW w:w="5628" w:type="dxa"/>
            <w:tcBorders>
              <w:top w:val="nil"/>
              <w:left w:val="nil"/>
              <w:bottom w:val="dotted" w:sz="4" w:space="0" w:color="7F7F7F" w:themeColor="text1" w:themeTint="80"/>
              <w:right w:val="nil"/>
            </w:tcBorders>
            <w:vAlign w:val="center"/>
            <w:hideMark/>
          </w:tcPr>
          <w:p w14:paraId="28C4DDD7" w14:textId="77777777" w:rsidR="00545C2B" w:rsidRPr="00983DE2" w:rsidRDefault="00545C2B" w:rsidP="005D23AD">
            <w:pPr>
              <w:contextualSpacing/>
              <w:rPr>
                <w:rFonts w:ascii="Verdana" w:eastAsia="Arial" w:hAnsi="Verdana" w:cs="Arial"/>
                <w:color w:val="000000" w:themeColor="text1"/>
                <w:sz w:val="15"/>
                <w:szCs w:val="15"/>
                <w:lang w:val="es-ES"/>
              </w:rPr>
            </w:pPr>
            <w:r w:rsidRPr="00983DE2">
              <w:rPr>
                <w:rFonts w:ascii="Verdana" w:eastAsia="Arial" w:hAnsi="Verdana" w:cs="Arial"/>
                <w:color w:val="000000" w:themeColor="text1"/>
                <w:sz w:val="15"/>
                <w:szCs w:val="15"/>
                <w:lang w:val="es-ES"/>
              </w:rPr>
              <w:t>Anamaría Bonilla Prieto</w:t>
            </w:r>
          </w:p>
          <w:p w14:paraId="237F3B67" w14:textId="77777777" w:rsidR="00545C2B" w:rsidRPr="00983DE2" w:rsidRDefault="00545C2B" w:rsidP="005D23AD">
            <w:pPr>
              <w:contextualSpacing/>
              <w:rPr>
                <w:rFonts w:ascii="Verdana" w:eastAsia="Arial" w:hAnsi="Verdana" w:cs="Arial"/>
                <w:sz w:val="15"/>
                <w:szCs w:val="15"/>
                <w:lang w:val="es-ES"/>
              </w:rPr>
            </w:pPr>
            <w:r w:rsidRPr="00983DE2">
              <w:rPr>
                <w:rStyle w:val="normaltextrun"/>
                <w:rFonts w:ascii="Verdana" w:eastAsia="Arial" w:hAnsi="Verdana" w:cs="Arial"/>
                <w:color w:val="000000" w:themeColor="text1"/>
                <w:sz w:val="15"/>
                <w:szCs w:val="15"/>
                <w:lang w:val="es-ES"/>
              </w:rPr>
              <w:t xml:space="preserve">Contratista de la Subdirección </w:t>
            </w:r>
            <w:r w:rsidRPr="00983DE2">
              <w:rPr>
                <w:rStyle w:val="normaltextrun"/>
                <w:rFonts w:ascii="Verdana" w:eastAsia="Arial" w:hAnsi="Verdana" w:cs="Arial"/>
                <w:sz w:val="15"/>
                <w:szCs w:val="15"/>
                <w:lang w:val="es-ES"/>
              </w:rPr>
              <w:t>de Gestión Contractual</w:t>
            </w:r>
          </w:p>
        </w:tc>
      </w:tr>
      <w:tr w:rsidR="00545C2B" w:rsidRPr="00983DE2" w14:paraId="735FB74D" w14:textId="77777777" w:rsidTr="005D23AD">
        <w:trPr>
          <w:trHeight w:val="330"/>
        </w:trPr>
        <w:tc>
          <w:tcPr>
            <w:tcW w:w="893" w:type="dxa"/>
            <w:vAlign w:val="center"/>
            <w:hideMark/>
          </w:tcPr>
          <w:p w14:paraId="75B97AE9" w14:textId="77777777" w:rsidR="00545C2B" w:rsidRPr="00983DE2" w:rsidRDefault="00545C2B" w:rsidP="005D23AD">
            <w:pPr>
              <w:contextualSpacing/>
              <w:rPr>
                <w:rFonts w:ascii="Verdana" w:hAnsi="Verdana" w:cs="Arial"/>
                <w:sz w:val="15"/>
                <w:szCs w:val="15"/>
                <w:lang w:val="es-ES" w:eastAsia="es-ES"/>
              </w:rPr>
            </w:pPr>
            <w:r w:rsidRPr="00983DE2">
              <w:rPr>
                <w:rFonts w:ascii="Verdana" w:hAnsi="Verdana" w:cs="Arial"/>
                <w:sz w:val="15"/>
                <w:szCs w:val="15"/>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7AD2CF6" w14:textId="77777777" w:rsidR="00545C2B" w:rsidRPr="00983DE2" w:rsidRDefault="00545C2B" w:rsidP="005D23AD">
            <w:pPr>
              <w:contextualSpacing/>
              <w:rPr>
                <w:rFonts w:ascii="Verdana" w:eastAsia="Arial" w:hAnsi="Verdana" w:cs="Arial"/>
                <w:color w:val="000000" w:themeColor="text1"/>
                <w:sz w:val="15"/>
                <w:szCs w:val="15"/>
                <w:lang w:val="es-ES"/>
              </w:rPr>
            </w:pPr>
            <w:r w:rsidRPr="00983DE2">
              <w:rPr>
                <w:rFonts w:ascii="Verdana" w:eastAsia="Arial" w:hAnsi="Verdana" w:cs="Arial"/>
                <w:color w:val="000000" w:themeColor="text1"/>
                <w:sz w:val="15"/>
                <w:szCs w:val="15"/>
                <w:lang w:val="es-ES"/>
              </w:rPr>
              <w:t>Alejandro Sarmiento Cantillo</w:t>
            </w:r>
          </w:p>
          <w:p w14:paraId="79A2BDFE" w14:textId="77777777" w:rsidR="00545C2B" w:rsidRPr="00983DE2" w:rsidRDefault="00545C2B" w:rsidP="005D23AD">
            <w:pPr>
              <w:contextualSpacing/>
              <w:rPr>
                <w:rFonts w:ascii="Verdana" w:hAnsi="Verdana" w:cs="Segoe UI"/>
                <w:sz w:val="15"/>
                <w:szCs w:val="15"/>
                <w:lang w:val="es-ES"/>
              </w:rPr>
            </w:pPr>
            <w:r w:rsidRPr="00983DE2">
              <w:rPr>
                <w:rFonts w:ascii="Verdana" w:eastAsia="Arial" w:hAnsi="Verdana" w:cs="Arial"/>
                <w:color w:val="000000" w:themeColor="text1"/>
                <w:sz w:val="15"/>
                <w:szCs w:val="15"/>
                <w:lang w:val="es-ES"/>
              </w:rPr>
              <w:t>Gestor T1 – 15 de la Subdirección de Gestión Contractual</w:t>
            </w:r>
            <w:r w:rsidRPr="00983DE2">
              <w:rPr>
                <w:rFonts w:ascii="Verdana" w:hAnsi="Verdana" w:cs="Segoe UI"/>
                <w:sz w:val="15"/>
                <w:szCs w:val="15"/>
                <w:lang w:val="es-ES"/>
              </w:rPr>
              <w:t> </w:t>
            </w:r>
          </w:p>
        </w:tc>
      </w:tr>
      <w:tr w:rsidR="00545C2B" w:rsidRPr="00983DE2" w14:paraId="660175E5" w14:textId="77777777" w:rsidTr="005D23AD">
        <w:trPr>
          <w:trHeight w:val="300"/>
        </w:trPr>
        <w:tc>
          <w:tcPr>
            <w:tcW w:w="893" w:type="dxa"/>
            <w:vAlign w:val="center"/>
          </w:tcPr>
          <w:p w14:paraId="3A07F2E5" w14:textId="77777777" w:rsidR="00545C2B" w:rsidRPr="00983DE2" w:rsidRDefault="00545C2B" w:rsidP="005D23AD">
            <w:pPr>
              <w:contextualSpacing/>
              <w:rPr>
                <w:rFonts w:ascii="Verdana" w:hAnsi="Verdana" w:cs="Arial"/>
                <w:sz w:val="15"/>
                <w:szCs w:val="15"/>
                <w:lang w:val="es-ES" w:eastAsia="es-ES"/>
              </w:rPr>
            </w:pPr>
            <w:r w:rsidRPr="00983DE2">
              <w:rPr>
                <w:rFonts w:ascii="Verdana" w:hAnsi="Verdana" w:cs="Arial"/>
                <w:sz w:val="15"/>
                <w:szCs w:val="15"/>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DFE00A6" w14:textId="77777777" w:rsidR="00545C2B" w:rsidRPr="00983DE2" w:rsidRDefault="00545C2B" w:rsidP="005D23AD">
            <w:pPr>
              <w:contextualSpacing/>
              <w:rPr>
                <w:rFonts w:ascii="Verdana" w:eastAsia="Calibri" w:hAnsi="Verdana" w:cs="Arial"/>
                <w:sz w:val="15"/>
                <w:szCs w:val="15"/>
                <w:lang w:val="es-ES" w:eastAsia="es-ES"/>
              </w:rPr>
            </w:pPr>
            <w:r w:rsidRPr="00983DE2">
              <w:rPr>
                <w:rFonts w:ascii="Verdana" w:eastAsia="Calibri" w:hAnsi="Verdana" w:cs="Arial"/>
                <w:sz w:val="15"/>
                <w:szCs w:val="15"/>
                <w:lang w:val="es-ES" w:eastAsia="es-ES"/>
              </w:rPr>
              <w:t>Carolina Quintero Gacharná</w:t>
            </w:r>
          </w:p>
          <w:p w14:paraId="746BC8C0" w14:textId="77777777" w:rsidR="00545C2B" w:rsidRPr="00983DE2" w:rsidRDefault="00545C2B" w:rsidP="005D23AD">
            <w:pPr>
              <w:contextualSpacing/>
              <w:rPr>
                <w:rFonts w:ascii="Verdana" w:eastAsia="Calibri" w:hAnsi="Verdana" w:cs="Arial"/>
                <w:sz w:val="15"/>
                <w:szCs w:val="15"/>
                <w:lang w:val="es-ES" w:eastAsia="es-ES"/>
              </w:rPr>
            </w:pPr>
            <w:r w:rsidRPr="00983DE2">
              <w:rPr>
                <w:rFonts w:ascii="Verdana" w:eastAsia="Calibri" w:hAnsi="Verdana" w:cs="Arial"/>
                <w:sz w:val="15"/>
                <w:szCs w:val="15"/>
                <w:lang w:val="es-ES" w:eastAsia="es-ES"/>
              </w:rPr>
              <w:t>Subdirectora de Gestión Contractual ANCP – CCE</w:t>
            </w:r>
          </w:p>
        </w:tc>
      </w:tr>
    </w:tbl>
    <w:p w14:paraId="0F293BF4" w14:textId="36FBEE00" w:rsidR="00127233" w:rsidRPr="00983DE2" w:rsidRDefault="00127233" w:rsidP="00645DC9">
      <w:pPr>
        <w:rPr>
          <w:lang w:val="es-ES"/>
        </w:rPr>
      </w:pPr>
    </w:p>
    <w:sectPr w:rsidR="00127233" w:rsidRPr="00983DE2"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0BA46A" w14:textId="77777777" w:rsidR="00C7272D" w:rsidRDefault="00C7272D" w:rsidP="004A1847">
      <w:pPr>
        <w:spacing w:after="0" w:line="240" w:lineRule="auto"/>
      </w:pPr>
      <w:r>
        <w:separator/>
      </w:r>
    </w:p>
  </w:endnote>
  <w:endnote w:type="continuationSeparator" w:id="0">
    <w:p w14:paraId="04731803" w14:textId="77777777" w:rsidR="00C7272D" w:rsidRDefault="00C7272D" w:rsidP="004A1847">
      <w:pPr>
        <w:spacing w:after="0" w:line="240" w:lineRule="auto"/>
      </w:pPr>
      <w:r>
        <w:continuationSeparator/>
      </w:r>
    </w:p>
  </w:endnote>
  <w:endnote w:type="continuationNotice" w:id="1">
    <w:p w14:paraId="3EEE7184" w14:textId="77777777" w:rsidR="00C7272D" w:rsidRDefault="00C727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6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732A8E" w14:textId="77777777" w:rsidR="00C7272D" w:rsidRDefault="00C7272D" w:rsidP="004A1847">
      <w:pPr>
        <w:spacing w:after="0" w:line="240" w:lineRule="auto"/>
      </w:pPr>
      <w:r>
        <w:separator/>
      </w:r>
    </w:p>
  </w:footnote>
  <w:footnote w:type="continuationSeparator" w:id="0">
    <w:p w14:paraId="25530FBB" w14:textId="77777777" w:rsidR="00C7272D" w:rsidRDefault="00C7272D" w:rsidP="004A1847">
      <w:pPr>
        <w:spacing w:after="0" w:line="240" w:lineRule="auto"/>
      </w:pPr>
      <w:r>
        <w:continuationSeparator/>
      </w:r>
    </w:p>
  </w:footnote>
  <w:footnote w:type="continuationNotice" w:id="1">
    <w:p w14:paraId="5879095B" w14:textId="77777777" w:rsidR="00C7272D" w:rsidRDefault="00C7272D">
      <w:pPr>
        <w:spacing w:after="0" w:line="240" w:lineRule="auto"/>
      </w:pPr>
    </w:p>
  </w:footnote>
  <w:footnote w:id="2">
    <w:p w14:paraId="0A415B39" w14:textId="77777777" w:rsidR="00545C2B" w:rsidRPr="00B85689" w:rsidRDefault="00545C2B" w:rsidP="00545C2B">
      <w:pPr>
        <w:pStyle w:val="FootnoteText"/>
        <w:snapToGrid w:val="0"/>
        <w:ind w:firstLine="709"/>
        <w:contextualSpacing/>
        <w:jc w:val="both"/>
        <w:rPr>
          <w:rFonts w:ascii="Verdana" w:hAnsi="Verdana"/>
          <w:sz w:val="16"/>
          <w:szCs w:val="16"/>
        </w:rPr>
      </w:pPr>
      <w:r w:rsidRPr="00B85689">
        <w:rPr>
          <w:rStyle w:val="FootnoteReference"/>
          <w:rFonts w:ascii="Verdana" w:hAnsi="Verdana"/>
          <w:sz w:val="16"/>
          <w:szCs w:val="16"/>
        </w:rPr>
        <w:footnoteRef/>
      </w:r>
      <w:r w:rsidRPr="00B85689">
        <w:rPr>
          <w:rFonts w:ascii="Verdana" w:hAnsi="Verdana"/>
          <w:sz w:val="16"/>
          <w:szCs w:val="16"/>
        </w:rPr>
        <w:t xml:space="preserve"> El artículo 2.2.1.2.3.1.17 del Decreto 1082 de 2015 prescribe lo siguiente: “El valor asegurado por los contratos de seguro que amparan la responsabilidad civil extracontractual no debe ser inferior a:</w:t>
      </w:r>
    </w:p>
    <w:p w14:paraId="0855423F" w14:textId="77777777" w:rsidR="00545C2B" w:rsidRPr="00B85689" w:rsidRDefault="00545C2B" w:rsidP="00545C2B">
      <w:pPr>
        <w:pStyle w:val="FootnoteText"/>
        <w:snapToGrid w:val="0"/>
        <w:ind w:firstLine="709"/>
        <w:contextualSpacing/>
        <w:jc w:val="both"/>
        <w:rPr>
          <w:rFonts w:ascii="Verdana" w:hAnsi="Verdana"/>
          <w:sz w:val="16"/>
          <w:szCs w:val="16"/>
        </w:rPr>
      </w:pPr>
      <w:r w:rsidRPr="00B85689">
        <w:rPr>
          <w:rFonts w:ascii="Verdana" w:hAnsi="Verdana"/>
          <w:sz w:val="16"/>
          <w:szCs w:val="16"/>
        </w:rPr>
        <w:t>1. Doscientos (200) smmlv para contratos cuyo valor sea inferior o igual a mil quinientos (1.500) smmlv.</w:t>
      </w:r>
    </w:p>
    <w:p w14:paraId="49DB28A1" w14:textId="77777777" w:rsidR="00545C2B" w:rsidRPr="00B85689" w:rsidRDefault="00545C2B" w:rsidP="00545C2B">
      <w:pPr>
        <w:pStyle w:val="FootnoteText"/>
        <w:snapToGrid w:val="0"/>
        <w:ind w:firstLine="709"/>
        <w:contextualSpacing/>
        <w:jc w:val="both"/>
        <w:rPr>
          <w:rFonts w:ascii="Verdana" w:hAnsi="Verdana"/>
          <w:sz w:val="16"/>
          <w:szCs w:val="16"/>
        </w:rPr>
      </w:pPr>
      <w:r w:rsidRPr="00B85689">
        <w:rPr>
          <w:rFonts w:ascii="Verdana" w:hAnsi="Verdana"/>
          <w:sz w:val="16"/>
          <w:szCs w:val="16"/>
        </w:rPr>
        <w:t>2. Trescientos (300) smmlv para contratos cuyo valor sea superior a mil quinientos (1.500) smmlv e inferior o igual a dos mil quinientos (2.500) smmlv.</w:t>
      </w:r>
    </w:p>
    <w:p w14:paraId="77B275BC" w14:textId="77777777" w:rsidR="00545C2B" w:rsidRPr="00B85689" w:rsidRDefault="00545C2B" w:rsidP="00545C2B">
      <w:pPr>
        <w:pStyle w:val="FootnoteText"/>
        <w:snapToGrid w:val="0"/>
        <w:ind w:firstLine="709"/>
        <w:contextualSpacing/>
        <w:jc w:val="both"/>
        <w:rPr>
          <w:rFonts w:ascii="Verdana" w:hAnsi="Verdana"/>
          <w:sz w:val="16"/>
          <w:szCs w:val="16"/>
        </w:rPr>
      </w:pPr>
      <w:r w:rsidRPr="00B85689">
        <w:rPr>
          <w:rFonts w:ascii="Verdana" w:hAnsi="Verdana"/>
          <w:sz w:val="16"/>
          <w:szCs w:val="16"/>
        </w:rPr>
        <w:t>3. Cuatrocientos (400) smmlv para contratos cuyo valor sea superior a dos mil quinientos (2.500) smmlv e inferior o igual a cinco mil (5.000) smmlv.</w:t>
      </w:r>
    </w:p>
    <w:p w14:paraId="145BB7EB" w14:textId="77777777" w:rsidR="00545C2B" w:rsidRPr="00B85689" w:rsidRDefault="00545C2B" w:rsidP="00545C2B">
      <w:pPr>
        <w:pStyle w:val="FootnoteText"/>
        <w:snapToGrid w:val="0"/>
        <w:ind w:firstLine="709"/>
        <w:contextualSpacing/>
        <w:jc w:val="both"/>
        <w:rPr>
          <w:rFonts w:ascii="Verdana" w:hAnsi="Verdana"/>
          <w:sz w:val="16"/>
          <w:szCs w:val="16"/>
        </w:rPr>
      </w:pPr>
      <w:r w:rsidRPr="00B85689">
        <w:rPr>
          <w:rFonts w:ascii="Verdana" w:hAnsi="Verdana"/>
          <w:sz w:val="16"/>
          <w:szCs w:val="16"/>
        </w:rPr>
        <w:t>4. Quinientos (500) smmlv para contratos cuyo valor sea superior a cinco mil (5.000) smmlv e inferior o igual a diez mil (10.000) smmlv.</w:t>
      </w:r>
    </w:p>
    <w:p w14:paraId="1DAB6759" w14:textId="77777777" w:rsidR="00545C2B" w:rsidRPr="00B85689" w:rsidRDefault="00545C2B" w:rsidP="00545C2B">
      <w:pPr>
        <w:pStyle w:val="FootnoteText"/>
        <w:snapToGrid w:val="0"/>
        <w:ind w:firstLine="709"/>
        <w:contextualSpacing/>
        <w:jc w:val="both"/>
        <w:rPr>
          <w:rFonts w:ascii="Verdana" w:hAnsi="Verdana"/>
          <w:sz w:val="16"/>
          <w:szCs w:val="16"/>
        </w:rPr>
      </w:pPr>
      <w:r w:rsidRPr="00B85689">
        <w:rPr>
          <w:rFonts w:ascii="Verdana" w:hAnsi="Verdana"/>
          <w:sz w:val="16"/>
          <w:szCs w:val="16"/>
        </w:rPr>
        <w:t>5. El cinco por ciento (5%) del valor del contrato cuando este sea superior a diez mil (10.000) smmlv, caso en el cual el valor asegurado debe ser máximo setenta y cinco mil (75.000) smmlv.</w:t>
      </w:r>
    </w:p>
    <w:p w14:paraId="53A884EB" w14:textId="77777777" w:rsidR="00545C2B" w:rsidRPr="00B85689" w:rsidRDefault="00545C2B" w:rsidP="00545C2B">
      <w:pPr>
        <w:pStyle w:val="FootnoteText"/>
        <w:snapToGrid w:val="0"/>
        <w:ind w:firstLine="709"/>
        <w:contextualSpacing/>
        <w:jc w:val="both"/>
        <w:rPr>
          <w:rFonts w:ascii="Verdana" w:hAnsi="Verdana"/>
          <w:sz w:val="16"/>
          <w:szCs w:val="16"/>
        </w:rPr>
      </w:pPr>
      <w:r w:rsidRPr="00B85689">
        <w:rPr>
          <w:rFonts w:ascii="Verdana" w:hAnsi="Verdana"/>
          <w:sz w:val="16"/>
          <w:szCs w:val="16"/>
        </w:rPr>
        <w:t>La vigencia de esta garantía deberá ser igual al período de ejecución del contrato”.</w:t>
      </w:r>
    </w:p>
  </w:footnote>
  <w:footnote w:id="3">
    <w:p w14:paraId="02FFFF12" w14:textId="77777777" w:rsidR="00545C2B" w:rsidRPr="00B85689" w:rsidRDefault="00545C2B" w:rsidP="00545C2B">
      <w:pPr>
        <w:pStyle w:val="FootnoteText"/>
        <w:snapToGrid w:val="0"/>
        <w:ind w:firstLine="708"/>
        <w:contextualSpacing/>
        <w:jc w:val="both"/>
        <w:rPr>
          <w:rFonts w:ascii="Verdana" w:hAnsi="Verdana" w:cs="Arial"/>
          <w:color w:val="000000" w:themeColor="text1"/>
          <w:sz w:val="16"/>
          <w:szCs w:val="16"/>
        </w:rPr>
      </w:pPr>
      <w:r w:rsidRPr="00B85689">
        <w:rPr>
          <w:rStyle w:val="FootnoteReference"/>
          <w:rFonts w:ascii="Verdana" w:hAnsi="Verdana" w:cs="Arial"/>
          <w:color w:val="000000" w:themeColor="text1"/>
          <w:sz w:val="16"/>
          <w:szCs w:val="16"/>
        </w:rPr>
        <w:footnoteRef/>
      </w:r>
      <w:r w:rsidRPr="00B85689">
        <w:rPr>
          <w:rFonts w:ascii="Verdana" w:hAnsi="Verdana" w:cs="Arial"/>
          <w:color w:val="000000" w:themeColor="text1"/>
          <w:sz w:val="16"/>
          <w:szCs w:val="16"/>
        </w:rPr>
        <w:t xml:space="preserve"> </w:t>
      </w:r>
      <w:r w:rsidRPr="00B85689">
        <w:rPr>
          <w:rFonts w:ascii="Verdana" w:hAnsi="Verdana" w:cs="Arial"/>
          <w:color w:val="000000" w:themeColor="text1"/>
          <w:sz w:val="16"/>
          <w:szCs w:val="16"/>
        </w:rPr>
        <w:t xml:space="preserve">CORTE CONSTITUCIONAL. Sentencia C-452 de 1999. M.P. Eduardo Cifuentes Muñoz. </w:t>
      </w:r>
    </w:p>
  </w:footnote>
  <w:footnote w:id="4">
    <w:p w14:paraId="31E904E5" w14:textId="77777777" w:rsidR="00545C2B" w:rsidRPr="00B85689" w:rsidRDefault="00545C2B" w:rsidP="00545C2B">
      <w:pPr>
        <w:pStyle w:val="FootnoteText"/>
        <w:snapToGrid w:val="0"/>
        <w:ind w:firstLine="708"/>
        <w:contextualSpacing/>
        <w:jc w:val="both"/>
        <w:rPr>
          <w:rFonts w:ascii="Verdana" w:hAnsi="Verdana" w:cs="Arial"/>
          <w:color w:val="000000" w:themeColor="text1"/>
          <w:sz w:val="16"/>
          <w:szCs w:val="16"/>
        </w:rPr>
      </w:pPr>
      <w:r w:rsidRPr="00B85689">
        <w:rPr>
          <w:rStyle w:val="FootnoteReference"/>
          <w:rFonts w:ascii="Verdana" w:hAnsi="Verdana" w:cs="Arial"/>
          <w:color w:val="000000" w:themeColor="text1"/>
          <w:sz w:val="16"/>
          <w:szCs w:val="16"/>
        </w:rPr>
        <w:footnoteRef/>
      </w:r>
      <w:r w:rsidRPr="00B85689">
        <w:rPr>
          <w:rFonts w:ascii="Verdana" w:hAnsi="Verdana" w:cs="Arial"/>
          <w:color w:val="000000" w:themeColor="text1"/>
          <w:sz w:val="16"/>
          <w:szCs w:val="16"/>
        </w:rPr>
        <w:t xml:space="preserve"> </w:t>
      </w:r>
      <w:r w:rsidRPr="00B85689">
        <w:rPr>
          <w:rFonts w:ascii="Verdana" w:hAnsi="Verdana" w:cs="Arial"/>
          <w:color w:val="000000" w:themeColor="text1"/>
          <w:sz w:val="16"/>
          <w:szCs w:val="16"/>
        </w:rPr>
        <w:t>DROMI, José Roberto. La licitación pública. Buenos Aires: Ciudad Argentina, 1980. pp. 288-289.</w:t>
      </w:r>
    </w:p>
  </w:footnote>
  <w:footnote w:id="5">
    <w:p w14:paraId="536D973D" w14:textId="77777777" w:rsidR="00545C2B" w:rsidRPr="00B85689" w:rsidRDefault="00545C2B" w:rsidP="00545C2B">
      <w:pPr>
        <w:pStyle w:val="FootnoteText"/>
        <w:snapToGrid w:val="0"/>
        <w:ind w:firstLine="708"/>
        <w:contextualSpacing/>
        <w:jc w:val="both"/>
        <w:rPr>
          <w:rFonts w:ascii="Verdana" w:hAnsi="Verdana" w:cs="Arial"/>
          <w:sz w:val="16"/>
          <w:szCs w:val="16"/>
        </w:rPr>
      </w:pPr>
      <w:r w:rsidRPr="00B85689">
        <w:rPr>
          <w:rStyle w:val="FootnoteReference"/>
          <w:rFonts w:ascii="Verdana" w:hAnsi="Verdana" w:cs="Arial"/>
          <w:sz w:val="16"/>
          <w:szCs w:val="16"/>
        </w:rPr>
        <w:footnoteRef/>
      </w:r>
      <w:r w:rsidRPr="00B85689">
        <w:rPr>
          <w:rFonts w:ascii="Verdana" w:hAnsi="Verdana" w:cs="Arial"/>
          <w:sz w:val="16"/>
          <w:szCs w:val="16"/>
        </w:rPr>
        <w:t xml:space="preserve"> </w:t>
      </w:r>
      <w:r w:rsidRPr="00B85689">
        <w:rPr>
          <w:rFonts w:ascii="Verdana" w:hAnsi="Verdana" w:cs="Arial"/>
          <w:sz w:val="16"/>
          <w:szCs w:val="16"/>
        </w:rPr>
        <w:t>Para la jurisprudencia, “[…] los seguros de cumplimiento, específicamente, el de contratos estatales, son aquellos que garantizan al acreedor (entidad estatal) que serán resarcidos los daños que pueda provocar el incumplimiento de las obligaciones del deudor (contratista) dentro del marco de una relación contractual. Así, pues, el riesgo asegurado en esta categoría de seguros, visto de manera general, lo constituye el incumplimiento de las obligaciones contractuales a cargo del deudor (contratista), quien a su vez es el tomador de la póliza, de modo que el objeto de las obligaciones garantizadas es lo que determina o particulariza el riesgo asegurado” (CONSEJO DE ESTADO. Sección Tercera. Subsección A. Sentencia del 12 de febrero de 2015. Exp.  28278. C.P. Carlos Alberto Zambrano Barrera).</w:t>
      </w:r>
    </w:p>
  </w:footnote>
  <w:footnote w:id="6">
    <w:p w14:paraId="2E4FEC08" w14:textId="77777777" w:rsidR="00545C2B" w:rsidRPr="00B85689" w:rsidRDefault="00545C2B" w:rsidP="00545C2B">
      <w:pPr>
        <w:pStyle w:val="FootnoteText"/>
        <w:snapToGrid w:val="0"/>
        <w:ind w:firstLine="709"/>
        <w:contextualSpacing/>
        <w:jc w:val="both"/>
        <w:rPr>
          <w:rFonts w:ascii="Verdana" w:hAnsi="Verdana" w:cs="Arial"/>
          <w:color w:val="000000" w:themeColor="text1"/>
          <w:sz w:val="16"/>
          <w:szCs w:val="16"/>
        </w:rPr>
      </w:pPr>
      <w:r w:rsidRPr="00B85689">
        <w:rPr>
          <w:rStyle w:val="FootnoteReference"/>
          <w:rFonts w:ascii="Verdana" w:hAnsi="Verdana" w:cs="Arial"/>
          <w:color w:val="000000" w:themeColor="text1"/>
          <w:sz w:val="16"/>
          <w:szCs w:val="16"/>
        </w:rPr>
        <w:footnoteRef/>
      </w:r>
      <w:r w:rsidRPr="00B85689">
        <w:rPr>
          <w:rFonts w:ascii="Verdana" w:hAnsi="Verdana" w:cs="Arial"/>
          <w:color w:val="000000" w:themeColor="text1"/>
          <w:sz w:val="16"/>
          <w:szCs w:val="16"/>
        </w:rPr>
        <w:t xml:space="preserve"> </w:t>
      </w:r>
      <w:r w:rsidRPr="00B85689">
        <w:rPr>
          <w:rFonts w:ascii="Verdana" w:hAnsi="Verdana" w:cs="Arial"/>
          <w:color w:val="000000" w:themeColor="text1"/>
          <w:sz w:val="16"/>
          <w:szCs w:val="16"/>
        </w:rPr>
        <w:t>ORDÓÑEZ ORDÓÑEZ, Andrés E. Seguro de cumplimiento de los contratos estatales en Colombia. Bogotá: Universidad Externado de Colombia, 2011. p. 44.</w:t>
      </w:r>
    </w:p>
  </w:footnote>
  <w:footnote w:id="7">
    <w:p w14:paraId="4B1EC5D3" w14:textId="77777777" w:rsidR="00545C2B" w:rsidRPr="00B85689" w:rsidRDefault="00545C2B" w:rsidP="00545C2B">
      <w:pPr>
        <w:pStyle w:val="FootnoteText"/>
        <w:snapToGrid w:val="0"/>
        <w:ind w:firstLine="709"/>
        <w:contextualSpacing/>
        <w:jc w:val="both"/>
        <w:rPr>
          <w:rFonts w:ascii="Verdana" w:hAnsi="Verdana" w:cs="Arial"/>
          <w:color w:val="000000" w:themeColor="text1"/>
          <w:sz w:val="16"/>
          <w:szCs w:val="16"/>
          <w:lang w:val="es-ES"/>
        </w:rPr>
      </w:pPr>
      <w:r w:rsidRPr="00B85689">
        <w:rPr>
          <w:rStyle w:val="FootnoteReference"/>
          <w:rFonts w:ascii="Verdana" w:hAnsi="Verdana" w:cs="Arial"/>
          <w:color w:val="000000" w:themeColor="text1"/>
          <w:sz w:val="16"/>
          <w:szCs w:val="16"/>
        </w:rPr>
        <w:footnoteRef/>
      </w:r>
      <w:r w:rsidRPr="00B85689">
        <w:rPr>
          <w:rFonts w:ascii="Verdana" w:hAnsi="Verdana" w:cs="Arial"/>
          <w:color w:val="000000" w:themeColor="text1"/>
          <w:sz w:val="16"/>
          <w:szCs w:val="16"/>
        </w:rPr>
        <w:t xml:space="preserve"> </w:t>
      </w:r>
      <w:r w:rsidRPr="00B85689">
        <w:rPr>
          <w:rFonts w:ascii="Verdana" w:hAnsi="Verdana" w:cs="Arial"/>
          <w:color w:val="000000" w:themeColor="text1"/>
          <w:sz w:val="16"/>
          <w:szCs w:val="16"/>
        </w:rPr>
        <w:t xml:space="preserve">Al respecto, el inciso primero del artículo 1068 del Código de Comercio dispone lo siguiente: “La mora en el pago de la prima de la póliza o de los certificados o anexos que se expidan con fundamento en ella, producirá la terminación automática del contrato y dará derecho al asegurador para exigir el pago de la prima devengada y de los gastos causados con ocasión de la expedición del contrato. </w:t>
      </w:r>
      <w:r w:rsidRPr="00B85689">
        <w:rPr>
          <w:rFonts w:ascii="Verdana" w:hAnsi="Verdana" w:cs="Arial"/>
          <w:color w:val="000000" w:themeColor="text1"/>
          <w:sz w:val="16"/>
          <w:szCs w:val="16"/>
          <w:lang w:val="es-ES"/>
        </w:rPr>
        <w:t xml:space="preserve">Igualmente, el inciso primero del artículo 1071 </w:t>
      </w:r>
      <w:r w:rsidRPr="00B85689">
        <w:rPr>
          <w:rFonts w:ascii="Verdana" w:hAnsi="Verdana" w:cs="Arial"/>
          <w:i/>
          <w:iCs/>
          <w:color w:val="000000" w:themeColor="text1"/>
          <w:sz w:val="16"/>
          <w:szCs w:val="16"/>
          <w:lang w:val="es-ES"/>
        </w:rPr>
        <w:t>ibidem</w:t>
      </w:r>
      <w:r w:rsidRPr="00B85689">
        <w:rPr>
          <w:rFonts w:ascii="Verdana" w:hAnsi="Verdana" w:cs="Arial"/>
          <w:color w:val="000000" w:themeColor="text1"/>
          <w:sz w:val="16"/>
          <w:szCs w:val="16"/>
          <w:lang w:val="es-ES"/>
        </w:rPr>
        <w:t xml:space="preserve"> prescribe: “El contrato de seguro podrá ser revocado unilateralmente por los contratantes. Por el asegurador, mediante noticia escrita al asegurado, enviada a su última dirección conocida, con no menos de diez días de antelación, contados a partir de la fecha del envío; por el asegurado, en cualquier momento, mediante aviso escrito al asegurador”.  </w:t>
      </w:r>
    </w:p>
  </w:footnote>
  <w:footnote w:id="8">
    <w:p w14:paraId="7697FE19" w14:textId="77777777" w:rsidR="00545C2B" w:rsidRPr="00B85689" w:rsidRDefault="00545C2B" w:rsidP="00545C2B">
      <w:pPr>
        <w:pStyle w:val="FootnoteText"/>
        <w:snapToGrid w:val="0"/>
        <w:ind w:firstLine="709"/>
        <w:contextualSpacing/>
        <w:jc w:val="both"/>
        <w:rPr>
          <w:rFonts w:ascii="Verdana" w:hAnsi="Verdana" w:cs="Arial"/>
          <w:color w:val="000000" w:themeColor="text1"/>
          <w:sz w:val="16"/>
          <w:szCs w:val="16"/>
        </w:rPr>
      </w:pPr>
      <w:r w:rsidRPr="00B85689">
        <w:rPr>
          <w:rStyle w:val="FootnoteReference"/>
          <w:rFonts w:ascii="Verdana" w:hAnsi="Verdana" w:cs="Arial"/>
          <w:color w:val="000000" w:themeColor="text1"/>
          <w:sz w:val="16"/>
          <w:szCs w:val="16"/>
        </w:rPr>
        <w:footnoteRef/>
      </w:r>
      <w:r w:rsidRPr="00B85689">
        <w:rPr>
          <w:rFonts w:ascii="Verdana" w:hAnsi="Verdana" w:cs="Arial"/>
          <w:color w:val="000000" w:themeColor="text1"/>
          <w:sz w:val="16"/>
          <w:szCs w:val="16"/>
        </w:rPr>
        <w:t xml:space="preserve"> ESCOBAR GIL, Rodrigo. Teoría general de los contratos de la Administración pública. Bogotá: Legis, 2000. p. 247. Respecto a las pólizas, la doctrina explica que “En rigor, el seguro no elimina el daño sino que tolera que sus consecuencias resulten transferidas (trasladadas) por el sujeto amenazado por un evento económicamente desfavorable, a otro (asegurador) que, a esos fines, ha constituido una mutualidad especialmente ‘preparada para absorber el riesgo de indemnización’“ (Cfr. STIGLITZ, Rubén S. Derecho de seguros. Tomo I. Tercera Edición. Buenos Aires: Abeledo – Perrot, 2001. p. 21).</w:t>
      </w:r>
    </w:p>
  </w:footnote>
  <w:footnote w:id="9">
    <w:p w14:paraId="3FFC0C1A" w14:textId="77777777" w:rsidR="00545C2B" w:rsidRPr="00B85689" w:rsidRDefault="00545C2B" w:rsidP="00545C2B">
      <w:pPr>
        <w:pStyle w:val="FootnoteText"/>
        <w:snapToGrid w:val="0"/>
        <w:ind w:firstLine="708"/>
        <w:contextualSpacing/>
        <w:jc w:val="both"/>
        <w:rPr>
          <w:rFonts w:ascii="Verdana" w:hAnsi="Verdana" w:cs="Arial"/>
          <w:color w:val="000000" w:themeColor="text1"/>
          <w:sz w:val="16"/>
          <w:szCs w:val="16"/>
          <w:lang w:val="es-CO"/>
        </w:rPr>
      </w:pPr>
      <w:r w:rsidRPr="00B85689">
        <w:rPr>
          <w:rStyle w:val="FootnoteReference"/>
          <w:rFonts w:ascii="Verdana" w:hAnsi="Verdana" w:cs="Arial"/>
          <w:color w:val="000000" w:themeColor="text1"/>
          <w:sz w:val="16"/>
          <w:szCs w:val="16"/>
        </w:rPr>
        <w:footnoteRef/>
      </w:r>
      <w:r w:rsidRPr="00B85689">
        <w:rPr>
          <w:rFonts w:ascii="Verdana" w:hAnsi="Verdana" w:cs="Arial"/>
          <w:color w:val="000000" w:themeColor="text1"/>
          <w:sz w:val="16"/>
          <w:szCs w:val="16"/>
        </w:rPr>
        <w:t xml:space="preserve"> </w:t>
      </w:r>
      <w:r w:rsidRPr="00B85689">
        <w:rPr>
          <w:rFonts w:ascii="Verdana" w:hAnsi="Verdana" w:cs="Arial"/>
          <w:color w:val="000000" w:themeColor="text1"/>
          <w:sz w:val="16"/>
          <w:szCs w:val="16"/>
          <w:lang w:val="es-CO"/>
        </w:rPr>
        <w:t xml:space="preserve">“Artículo 2.2.1.2.3.1.3. Indivisibilidad de la garantía. La garantía de cobertura del Riesgo es indivisible. Sin embargo, en los contratos con un plazo mayor a cinco (5) años las garantías pueden cubrir los Riesgos de la Etapa del Contrato o del Periodo Contractual, de acuerdo con lo previsto en el contrato. </w:t>
      </w:r>
    </w:p>
    <w:p w14:paraId="43692793" w14:textId="77777777" w:rsidR="00545C2B" w:rsidRPr="00B85689" w:rsidRDefault="00545C2B" w:rsidP="00545C2B">
      <w:pPr>
        <w:pStyle w:val="FootnoteText"/>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En consecuencia, la Entidad Estatal en los pliegos de condiciones para la Contratación debe indicar las garantías que exige en cada Etapa del Contrato o cada Periodo Contractual así: </w:t>
      </w:r>
    </w:p>
    <w:p w14:paraId="341FFBFC" w14:textId="77777777" w:rsidR="00545C2B" w:rsidRPr="00B85689" w:rsidRDefault="00545C2B" w:rsidP="00545C2B">
      <w:pPr>
        <w:pStyle w:val="FootnoteText"/>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1. La Entidad Estatal debe exigir una garantía independiente para cada Etapa del Contrato o cada Periodo Contractual o cada unidad funcional en el caso de las Asociaciones Público Privadas, cuya vigencia debe ser por lo menos la misma establecida para la Etapa del Contrato o Periodo Contractual respectivo. </w:t>
      </w:r>
    </w:p>
    <w:p w14:paraId="4A12B442" w14:textId="77777777" w:rsidR="00545C2B" w:rsidRPr="00B85689" w:rsidRDefault="00545C2B" w:rsidP="00545C2B">
      <w:pPr>
        <w:pStyle w:val="FootnoteText"/>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2. La Entidad Estatal debe calcular el valor asegurado para cada Etapa del Contrato, Periodo Contractual o unidad funcional, tomando el valor de las obligaciones del contratista para cada Etapa del Contrato, Periodo Contractual o unidad funcional y de acuerdo con las reglas de suficiencia de las garantías establecidas en el presente título. </w:t>
      </w:r>
    </w:p>
    <w:p w14:paraId="4A9A2D47" w14:textId="77777777" w:rsidR="00545C2B" w:rsidRPr="00B85689" w:rsidRDefault="00545C2B" w:rsidP="00545C2B">
      <w:pPr>
        <w:pStyle w:val="FootnoteText"/>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3. Antes del vencimiento de cada Etapa del Contrato o cada Periodo Contractual, el contratista está obligado a obtener una nueva garantía que ampare el cumplimiento de sus obligaciones para la Etapa del Contrato o Periodo Contractual subsiguiente, si no lo hiciere se aplicarán las reglas previstas para el restablecimiento de la garantía. </w:t>
      </w:r>
    </w:p>
    <w:p w14:paraId="17C7ECD0" w14:textId="77777777" w:rsidR="00545C2B" w:rsidRPr="00B85689" w:rsidRDefault="00545C2B" w:rsidP="00545C2B">
      <w:pPr>
        <w:pStyle w:val="FootnoteText"/>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Si el garante de una Etapa del Contrato o un Periodo Contractual decide no continuar garantizando la Etapa del Contrato o Periodo Contractual subsiguiente, debe informar su decisión por escrito a la Entidad Estatal garantizada seis (6) meses antes del vencimiento del plazo de la garantía. Este aviso no afecta la garantía de la Etapa Contractual o Periodo Contractual en ejecución. Si el garante no da el aviso con la anticipación mencionada y el contratista no obtiene una nueva garantía, queda obligado a garantizar la Etapa del Contrato o el Periodo Contractual subsiguiente”.</w:t>
      </w:r>
    </w:p>
  </w:footnote>
  <w:footnote w:id="10">
    <w:p w14:paraId="6BD4B03E" w14:textId="77777777" w:rsidR="00545C2B" w:rsidRPr="00B85689" w:rsidRDefault="00545C2B" w:rsidP="00545C2B">
      <w:pPr>
        <w:pStyle w:val="FootnoteText"/>
        <w:snapToGrid w:val="0"/>
        <w:ind w:firstLine="708"/>
        <w:contextualSpacing/>
        <w:jc w:val="both"/>
        <w:rPr>
          <w:rFonts w:ascii="Verdana" w:hAnsi="Verdana" w:cs="Arial"/>
          <w:color w:val="000000" w:themeColor="text1"/>
          <w:sz w:val="16"/>
          <w:szCs w:val="16"/>
          <w:lang w:val="es-CO"/>
        </w:rPr>
      </w:pPr>
      <w:r w:rsidRPr="00B85689">
        <w:rPr>
          <w:rStyle w:val="FootnoteReference"/>
          <w:rFonts w:ascii="Verdana" w:hAnsi="Verdana" w:cs="Arial"/>
          <w:color w:val="000000" w:themeColor="text1"/>
          <w:sz w:val="16"/>
          <w:szCs w:val="16"/>
        </w:rPr>
        <w:footnoteRef/>
      </w:r>
      <w:r w:rsidRPr="00B85689">
        <w:rPr>
          <w:rFonts w:ascii="Verdana" w:hAnsi="Verdana" w:cs="Arial"/>
          <w:color w:val="000000" w:themeColor="text1"/>
          <w:sz w:val="16"/>
          <w:szCs w:val="16"/>
        </w:rPr>
        <w:t xml:space="preserve"> </w:t>
      </w:r>
      <w:r w:rsidRPr="00B85689">
        <w:rPr>
          <w:rFonts w:ascii="Verdana" w:hAnsi="Verdana" w:cs="Arial"/>
          <w:color w:val="000000" w:themeColor="text1"/>
          <w:sz w:val="16"/>
          <w:szCs w:val="16"/>
          <w:lang w:val="es-CO"/>
        </w:rPr>
        <w:t xml:space="preserve">“Artículo </w:t>
      </w:r>
      <w:bookmarkStart w:id="3" w:name="_Hlk67919994"/>
      <w:r w:rsidRPr="00B85689">
        <w:rPr>
          <w:rFonts w:ascii="Verdana" w:hAnsi="Verdana" w:cs="Arial"/>
          <w:color w:val="000000" w:themeColor="text1"/>
          <w:sz w:val="16"/>
          <w:szCs w:val="16"/>
          <w:lang w:val="es-CO"/>
        </w:rPr>
        <w:t>2.2.1.2.3.1.7</w:t>
      </w:r>
      <w:bookmarkEnd w:id="3"/>
      <w:r w:rsidRPr="00B85689">
        <w:rPr>
          <w:rFonts w:ascii="Verdana" w:hAnsi="Verdana" w:cs="Arial"/>
          <w:color w:val="000000" w:themeColor="text1"/>
          <w:sz w:val="16"/>
          <w:szCs w:val="16"/>
          <w:lang w:val="es-CO"/>
        </w:rPr>
        <w:t xml:space="preserve">. Garantía de cumplimiento. La garantía de cumplimiento del contrato debe cubrir: </w:t>
      </w:r>
    </w:p>
    <w:p w14:paraId="597A1BB4" w14:textId="77777777" w:rsidR="00545C2B" w:rsidRPr="00B85689" w:rsidRDefault="00545C2B" w:rsidP="00545C2B">
      <w:pPr>
        <w:pStyle w:val="FootnoteText"/>
        <w:snapToGrid w:val="0"/>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  </w:t>
      </w:r>
      <w:r w:rsidRPr="00B85689">
        <w:rPr>
          <w:rFonts w:ascii="Verdana" w:hAnsi="Verdana" w:cs="Arial"/>
          <w:color w:val="000000" w:themeColor="text1"/>
          <w:sz w:val="16"/>
          <w:szCs w:val="16"/>
          <w:lang w:val="es-CO"/>
        </w:rPr>
        <w:tab/>
        <w:t>1. Buen manejo y correcta inversión del anticipo. Este amparo cubre los perjuicios sufridos por la Entidad Estatal con ocasión de: (i) la no inversión del anticipo; (</w:t>
      </w:r>
      <w:proofErr w:type="spellStart"/>
      <w:r w:rsidRPr="00B85689">
        <w:rPr>
          <w:rFonts w:ascii="Verdana" w:hAnsi="Verdana" w:cs="Arial"/>
          <w:color w:val="000000" w:themeColor="text1"/>
          <w:sz w:val="16"/>
          <w:szCs w:val="16"/>
          <w:lang w:val="es-CO"/>
        </w:rPr>
        <w:t>ii</w:t>
      </w:r>
      <w:proofErr w:type="spellEnd"/>
      <w:r w:rsidRPr="00B85689">
        <w:rPr>
          <w:rFonts w:ascii="Verdana" w:hAnsi="Verdana" w:cs="Arial"/>
          <w:color w:val="000000" w:themeColor="text1"/>
          <w:sz w:val="16"/>
          <w:szCs w:val="16"/>
          <w:lang w:val="es-CO"/>
        </w:rPr>
        <w:t>) el uso indebido del anticipo; y (</w:t>
      </w:r>
      <w:proofErr w:type="spellStart"/>
      <w:r w:rsidRPr="00B85689">
        <w:rPr>
          <w:rFonts w:ascii="Verdana" w:hAnsi="Verdana" w:cs="Arial"/>
          <w:color w:val="000000" w:themeColor="text1"/>
          <w:sz w:val="16"/>
          <w:szCs w:val="16"/>
          <w:lang w:val="es-CO"/>
        </w:rPr>
        <w:t>iii</w:t>
      </w:r>
      <w:proofErr w:type="spellEnd"/>
      <w:r w:rsidRPr="00B85689">
        <w:rPr>
          <w:rFonts w:ascii="Verdana" w:hAnsi="Verdana" w:cs="Arial"/>
          <w:color w:val="000000" w:themeColor="text1"/>
          <w:sz w:val="16"/>
          <w:szCs w:val="16"/>
          <w:lang w:val="es-CO"/>
        </w:rPr>
        <w:t>) la apropiación indebida de los recursos recibidos en calidad de anticipo</w:t>
      </w:r>
    </w:p>
    <w:p w14:paraId="3C85B8DC" w14:textId="77777777" w:rsidR="00545C2B" w:rsidRPr="00B85689" w:rsidRDefault="00545C2B" w:rsidP="00545C2B">
      <w:pPr>
        <w:pStyle w:val="FootnoteText"/>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2. Devolución del pago anticipado. Este amparo cubre los perjuicios sufridos por la Entidad Estatal por la no devolución total o parcial del dinero entregado al contratista a título de pago anticipado, cuando a ello hubiere lugar. </w:t>
      </w:r>
    </w:p>
    <w:p w14:paraId="71119C0C" w14:textId="77777777" w:rsidR="00545C2B" w:rsidRPr="00B85689" w:rsidRDefault="00545C2B" w:rsidP="00545C2B">
      <w:pPr>
        <w:pStyle w:val="FootnoteText"/>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3. Cumplimiento del contrato. Este amparo cubre a la Entidad Estatal de los perjuicios derivados de: </w:t>
      </w:r>
    </w:p>
    <w:p w14:paraId="4B9C672E" w14:textId="77777777" w:rsidR="00545C2B" w:rsidRPr="00B85689" w:rsidRDefault="00545C2B" w:rsidP="00545C2B">
      <w:pPr>
        <w:pStyle w:val="FootnoteText"/>
        <w:snapToGrid w:val="0"/>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  </w:t>
      </w:r>
      <w:r w:rsidRPr="00B85689">
        <w:rPr>
          <w:rFonts w:ascii="Verdana" w:hAnsi="Verdana" w:cs="Arial"/>
          <w:color w:val="000000" w:themeColor="text1"/>
          <w:sz w:val="16"/>
          <w:szCs w:val="16"/>
          <w:lang w:val="es-CO"/>
        </w:rPr>
        <w:tab/>
        <w:t xml:space="preserve">3.1. </w:t>
      </w:r>
      <w:bookmarkStart w:id="4" w:name="_Hlk67920056"/>
      <w:r w:rsidRPr="00B85689">
        <w:rPr>
          <w:rFonts w:ascii="Verdana" w:hAnsi="Verdana" w:cs="Arial"/>
          <w:color w:val="000000" w:themeColor="text1"/>
          <w:sz w:val="16"/>
          <w:szCs w:val="16"/>
          <w:lang w:val="es-CO"/>
        </w:rPr>
        <w:t xml:space="preserve">El incumplimiento total o parcial del contrato, cuando el incumplimiento es imputable al contratista; </w:t>
      </w:r>
    </w:p>
    <w:p w14:paraId="4A2F1C10" w14:textId="77777777" w:rsidR="00545C2B" w:rsidRPr="00B85689" w:rsidRDefault="00545C2B" w:rsidP="00545C2B">
      <w:pPr>
        <w:pStyle w:val="FootnoteText"/>
        <w:snapToGrid w:val="0"/>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  </w:t>
      </w:r>
      <w:r w:rsidRPr="00B85689">
        <w:rPr>
          <w:rFonts w:ascii="Verdana" w:hAnsi="Verdana" w:cs="Arial"/>
          <w:color w:val="000000" w:themeColor="text1"/>
          <w:sz w:val="16"/>
          <w:szCs w:val="16"/>
          <w:lang w:val="es-CO"/>
        </w:rPr>
        <w:tab/>
        <w:t xml:space="preserve">3.2. El cumplimiento tardío o defectuoso del contrato, cuando el incumplimiento es imputable al contratista; </w:t>
      </w:r>
    </w:p>
    <w:p w14:paraId="0C546F2D" w14:textId="77777777" w:rsidR="00545C2B" w:rsidRPr="00B85689" w:rsidRDefault="00545C2B" w:rsidP="00545C2B">
      <w:pPr>
        <w:pStyle w:val="FootnoteText"/>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3.3. Los daños imputables al contratista por entregas parciales de la obra, cuando el contrato no prevé entregas parciales; y </w:t>
      </w:r>
    </w:p>
    <w:bookmarkEnd w:id="4"/>
    <w:p w14:paraId="1E39D144" w14:textId="77777777" w:rsidR="00545C2B" w:rsidRPr="00B85689" w:rsidRDefault="00545C2B" w:rsidP="00545C2B">
      <w:pPr>
        <w:pStyle w:val="FootnoteText"/>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3.4. El pago del valor de las multas y de la cláusula penal pecuniaria. </w:t>
      </w:r>
    </w:p>
    <w:p w14:paraId="2B1DCEDC" w14:textId="77777777" w:rsidR="00545C2B" w:rsidRPr="00B85689" w:rsidRDefault="00545C2B" w:rsidP="00545C2B">
      <w:pPr>
        <w:pStyle w:val="FootnoteText"/>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 </w:t>
      </w:r>
    </w:p>
    <w:p w14:paraId="31958765" w14:textId="77777777" w:rsidR="00545C2B" w:rsidRPr="00B85689" w:rsidRDefault="00545C2B" w:rsidP="00545C2B">
      <w:pPr>
        <w:pStyle w:val="FootnoteText"/>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La Entidad Estatal no debe exigir una garantía para cubrir este Riesgo en los contratos que se ejecuten fuera del territorio nacional con personal contratado bajo un régimen jurídico distinto al colombiano. </w:t>
      </w:r>
    </w:p>
    <w:p w14:paraId="5077ED61" w14:textId="77777777" w:rsidR="00545C2B" w:rsidRPr="00B85689" w:rsidRDefault="00545C2B" w:rsidP="00545C2B">
      <w:pPr>
        <w:pStyle w:val="FootnoteText"/>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5. Estabilidad y calidad de la obra. Este amparo cubre a la Entidad Estatal de los perjuicios ocasionados por cualquier tipo de daño o deterioro, imputable al contratista, sufrido por la obra entregada a satisfacción. </w:t>
      </w:r>
    </w:p>
    <w:p w14:paraId="23DA8B37" w14:textId="77777777" w:rsidR="00545C2B" w:rsidRPr="00B85689" w:rsidRDefault="00545C2B" w:rsidP="00545C2B">
      <w:pPr>
        <w:pStyle w:val="FootnoteText"/>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6. Calidad del servicio. Este amparo cubre a la Entidad Estatal por los perjuicios derivados de la deficiente calidad del servicio prestado. </w:t>
      </w:r>
    </w:p>
    <w:p w14:paraId="121B82D1" w14:textId="77777777" w:rsidR="00545C2B" w:rsidRPr="00B85689" w:rsidRDefault="00545C2B" w:rsidP="00545C2B">
      <w:pPr>
        <w:pStyle w:val="FootnoteText"/>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7. Calidad y correcto funcionamiento de los bienes. Este amparo debe cubrir la calidad y el correcto funcionamiento de los bienes que recibe la Entidad Estatal en cumplimiento de un contrato. </w:t>
      </w:r>
    </w:p>
    <w:p w14:paraId="44764A7E" w14:textId="77777777" w:rsidR="00545C2B" w:rsidRPr="00B85689" w:rsidRDefault="00545C2B" w:rsidP="00545C2B">
      <w:pPr>
        <w:pStyle w:val="FootnoteText"/>
        <w:snapToGrid w:val="0"/>
        <w:ind w:firstLine="708"/>
        <w:contextualSpacing/>
        <w:jc w:val="both"/>
        <w:rPr>
          <w:rFonts w:ascii="Verdana" w:hAnsi="Verdana" w:cs="Arial"/>
          <w:color w:val="000000" w:themeColor="text1"/>
          <w:sz w:val="16"/>
          <w:szCs w:val="16"/>
          <w:lang w:val="es-CO"/>
        </w:rPr>
      </w:pPr>
      <w:r w:rsidRPr="00B85689">
        <w:rPr>
          <w:rFonts w:ascii="Verdana" w:hAnsi="Verdana" w:cs="Arial"/>
          <w:color w:val="000000" w:themeColor="text1"/>
          <w:sz w:val="16"/>
          <w:szCs w:val="16"/>
          <w:lang w:val="es-CO"/>
        </w:rPr>
        <w:t xml:space="preserve">8. </w:t>
      </w:r>
      <w:bookmarkStart w:id="5" w:name="_Hlk143267015"/>
      <w:r w:rsidRPr="00B85689">
        <w:rPr>
          <w:rFonts w:ascii="Verdana" w:hAnsi="Verdana" w:cs="Arial"/>
          <w:color w:val="000000" w:themeColor="text1"/>
          <w:sz w:val="16"/>
          <w:szCs w:val="16"/>
          <w:lang w:val="es-CO"/>
        </w:rPr>
        <w:t>Los demás incumplimientos de obligaciones que la Entidad Estatal considere deben ser amparados de manera proporcional y acorde a la naturaleza del contrato</w:t>
      </w:r>
      <w:bookmarkEnd w:id="5"/>
      <w:r w:rsidRPr="00B85689">
        <w:rPr>
          <w:rFonts w:ascii="Verdana" w:hAnsi="Verdana" w:cs="Arial"/>
          <w:color w:val="000000" w:themeColor="text1"/>
          <w:sz w:val="16"/>
          <w:szCs w:val="16"/>
          <w:lang w:val="es-CO"/>
        </w:rPr>
        <w:t>”.</w:t>
      </w:r>
    </w:p>
  </w:footnote>
  <w:footnote w:id="11">
    <w:p w14:paraId="091490F4" w14:textId="10EAFC56" w:rsidR="00545C2B" w:rsidRPr="00B85689" w:rsidRDefault="00545C2B" w:rsidP="00545C2B">
      <w:pPr>
        <w:pStyle w:val="FootnoteText"/>
        <w:ind w:firstLine="708"/>
        <w:jc w:val="both"/>
        <w:rPr>
          <w:rFonts w:ascii="Verdana" w:hAnsi="Verdana"/>
          <w:sz w:val="16"/>
          <w:szCs w:val="16"/>
          <w:lang w:val="es-ES"/>
        </w:rPr>
      </w:pPr>
      <w:r w:rsidRPr="00B85689">
        <w:rPr>
          <w:rStyle w:val="FootnoteReference"/>
          <w:rFonts w:ascii="Verdana" w:hAnsi="Verdana"/>
          <w:sz w:val="16"/>
          <w:szCs w:val="16"/>
        </w:rPr>
        <w:footnoteRef/>
      </w:r>
      <w:r w:rsidRPr="00B85689">
        <w:rPr>
          <w:rFonts w:ascii="Verdana" w:hAnsi="Verdana"/>
          <w:sz w:val="16"/>
          <w:szCs w:val="16"/>
        </w:rPr>
        <w:t xml:space="preserve"> </w:t>
      </w:r>
      <w:r w:rsidRPr="00B85689">
        <w:rPr>
          <w:rFonts w:ascii="Verdana" w:hAnsi="Verdana"/>
          <w:sz w:val="16"/>
          <w:szCs w:val="16"/>
          <w:lang w:val="es-CO"/>
        </w:rPr>
        <w:t xml:space="preserve">Concepto C-069 del 27 de mayo de 2024 disponible en: </w:t>
      </w:r>
      <w:hyperlink r:id="rId1" w:history="1">
        <w:r w:rsidRPr="00B85689">
          <w:rPr>
            <w:rStyle w:val="Hyperlink"/>
            <w:rFonts w:ascii="Verdana" w:hAnsi="Verdana"/>
            <w:sz w:val="16"/>
            <w:szCs w:val="16"/>
            <w:lang w:val="es-CO"/>
          </w:rPr>
          <w:t>https://relatoria.colombiacompra.gov.co/conceptos/c-069-de-2024/</w:t>
        </w:r>
      </w:hyperlink>
      <w:r w:rsidRPr="00B85689">
        <w:rPr>
          <w:rFonts w:ascii="Verdana" w:hAnsi="Verdana"/>
          <w:sz w:val="16"/>
          <w:szCs w:val="16"/>
          <w:lang w:val="es-CO"/>
        </w:rPr>
        <w:t xml:space="preserve"> </w:t>
      </w:r>
    </w:p>
  </w:footnote>
  <w:footnote w:id="12">
    <w:p w14:paraId="7509978F" w14:textId="77777777" w:rsidR="00545C2B" w:rsidRPr="00B85689" w:rsidRDefault="00545C2B" w:rsidP="00545C2B">
      <w:pPr>
        <w:pStyle w:val="FootnoteText"/>
        <w:snapToGrid w:val="0"/>
        <w:ind w:firstLine="709"/>
        <w:contextualSpacing/>
        <w:jc w:val="both"/>
        <w:rPr>
          <w:rFonts w:ascii="Verdana" w:hAnsi="Verdana"/>
          <w:sz w:val="16"/>
          <w:szCs w:val="16"/>
        </w:rPr>
      </w:pPr>
      <w:r w:rsidRPr="00B85689">
        <w:rPr>
          <w:rStyle w:val="FootnoteReference"/>
          <w:rFonts w:ascii="Verdana" w:hAnsi="Verdana"/>
          <w:sz w:val="16"/>
          <w:szCs w:val="16"/>
        </w:rPr>
        <w:footnoteRef/>
      </w:r>
      <w:r w:rsidRPr="00B85689">
        <w:rPr>
          <w:rFonts w:ascii="Verdana" w:hAnsi="Verdana"/>
          <w:sz w:val="16"/>
          <w:szCs w:val="16"/>
        </w:rPr>
        <w:t xml:space="preserve"> El artículo 2.2.1.2.3.2.9 del Decreto 1082 de 2015 dispone que “El amparo de responsabilidad civil extracontractual debe cumplir los siguientes requisitos:</w:t>
      </w:r>
    </w:p>
    <w:p w14:paraId="0C084EA0" w14:textId="77777777" w:rsidR="00545C2B" w:rsidRPr="00B85689" w:rsidRDefault="00545C2B" w:rsidP="00545C2B">
      <w:pPr>
        <w:pStyle w:val="FootnoteText"/>
        <w:snapToGrid w:val="0"/>
        <w:ind w:firstLine="709"/>
        <w:contextualSpacing/>
        <w:jc w:val="both"/>
        <w:rPr>
          <w:rFonts w:ascii="Verdana" w:hAnsi="Verdana"/>
          <w:sz w:val="16"/>
          <w:szCs w:val="16"/>
        </w:rPr>
      </w:pPr>
      <w:r w:rsidRPr="00B85689">
        <w:rPr>
          <w:rFonts w:ascii="Verdana" w:hAnsi="Verdana"/>
          <w:sz w:val="16"/>
          <w:szCs w:val="16"/>
        </w:rPr>
        <w:t>1. Modalidad de ocurrencia. La compañía de seguros debe expedir el amparo en la modalidad de ocurrencia. En consecuencia, el contrato de seguro no puede establecer términos para presentar la reclamación, inferiores a los términos de prescripción previstos en la ley para la acción de responsabilidad correspondiente.</w:t>
      </w:r>
    </w:p>
    <w:p w14:paraId="35BD0566" w14:textId="77777777" w:rsidR="00545C2B" w:rsidRPr="00B85689" w:rsidRDefault="00545C2B" w:rsidP="00545C2B">
      <w:pPr>
        <w:pStyle w:val="FootnoteText"/>
        <w:snapToGrid w:val="0"/>
        <w:ind w:firstLine="709"/>
        <w:contextualSpacing/>
        <w:jc w:val="both"/>
        <w:rPr>
          <w:rFonts w:ascii="Verdana" w:hAnsi="Verdana"/>
          <w:sz w:val="16"/>
          <w:szCs w:val="16"/>
        </w:rPr>
      </w:pPr>
      <w:r w:rsidRPr="00B85689">
        <w:rPr>
          <w:rFonts w:ascii="Verdana" w:hAnsi="Verdana"/>
          <w:sz w:val="16"/>
          <w:szCs w:val="16"/>
        </w:rPr>
        <w:t>2. Intervinientes. La Entidad Estatal y el contratista deben tener la calidad de asegurado respecto de los daños producidos por el contratista con ocasión de la ejecución del contrato amparado, y serán beneficiarios tanto la Entidad Estatal como los terceros que puedan resultar afectados por la responsabilidad del contratista o sus subcontratistas.</w:t>
      </w:r>
    </w:p>
    <w:p w14:paraId="2F84F984" w14:textId="77777777" w:rsidR="00545C2B" w:rsidRPr="00B85689" w:rsidRDefault="00545C2B" w:rsidP="00545C2B">
      <w:pPr>
        <w:pStyle w:val="FootnoteText"/>
        <w:snapToGrid w:val="0"/>
        <w:ind w:firstLine="709"/>
        <w:contextualSpacing/>
        <w:jc w:val="both"/>
        <w:rPr>
          <w:rFonts w:ascii="Verdana" w:hAnsi="Verdana"/>
          <w:sz w:val="16"/>
          <w:szCs w:val="16"/>
        </w:rPr>
      </w:pPr>
      <w:r w:rsidRPr="00B85689">
        <w:rPr>
          <w:rFonts w:ascii="Verdana" w:hAnsi="Verdana"/>
          <w:sz w:val="16"/>
          <w:szCs w:val="16"/>
        </w:rPr>
        <w:t>3. Amparos. El amparo de responsabilidad civil extracontractual debe contener además de la cobertura básica de predios, labores y operaciones, mínimo los siguientes amparos:</w:t>
      </w:r>
    </w:p>
    <w:p w14:paraId="1B65002B" w14:textId="77777777" w:rsidR="00545C2B" w:rsidRPr="00B85689" w:rsidRDefault="00545C2B" w:rsidP="00545C2B">
      <w:pPr>
        <w:pStyle w:val="FootnoteText"/>
        <w:snapToGrid w:val="0"/>
        <w:ind w:firstLine="709"/>
        <w:contextualSpacing/>
        <w:jc w:val="both"/>
        <w:rPr>
          <w:rFonts w:ascii="Verdana" w:hAnsi="Verdana"/>
          <w:sz w:val="16"/>
          <w:szCs w:val="16"/>
        </w:rPr>
      </w:pPr>
      <w:r w:rsidRPr="00B85689">
        <w:rPr>
          <w:rFonts w:ascii="Verdana" w:hAnsi="Verdana"/>
          <w:sz w:val="16"/>
          <w:szCs w:val="16"/>
        </w:rPr>
        <w:t>3.1. Cobertura expresa de perjuicios por daño emergente y lucro cesante.</w:t>
      </w:r>
    </w:p>
    <w:p w14:paraId="0CC4227A" w14:textId="77777777" w:rsidR="00545C2B" w:rsidRPr="00B85689" w:rsidRDefault="00545C2B" w:rsidP="00545C2B">
      <w:pPr>
        <w:pStyle w:val="FootnoteText"/>
        <w:snapToGrid w:val="0"/>
        <w:ind w:firstLine="709"/>
        <w:contextualSpacing/>
        <w:jc w:val="both"/>
        <w:rPr>
          <w:rFonts w:ascii="Verdana" w:hAnsi="Verdana"/>
          <w:sz w:val="16"/>
          <w:szCs w:val="16"/>
        </w:rPr>
      </w:pPr>
      <w:r w:rsidRPr="00B85689">
        <w:rPr>
          <w:rFonts w:ascii="Verdana" w:hAnsi="Verdana"/>
          <w:sz w:val="16"/>
          <w:szCs w:val="16"/>
        </w:rPr>
        <w:t>3.2. Cobertura expresa de perjuicios extrapatrimoniales.</w:t>
      </w:r>
    </w:p>
    <w:p w14:paraId="5B6B6647" w14:textId="77777777" w:rsidR="00545C2B" w:rsidRPr="00B85689" w:rsidRDefault="00545C2B" w:rsidP="00545C2B">
      <w:pPr>
        <w:pStyle w:val="FootnoteText"/>
        <w:snapToGrid w:val="0"/>
        <w:ind w:firstLine="709"/>
        <w:contextualSpacing/>
        <w:jc w:val="both"/>
        <w:rPr>
          <w:rFonts w:ascii="Verdana" w:hAnsi="Verdana"/>
          <w:sz w:val="16"/>
          <w:szCs w:val="16"/>
        </w:rPr>
      </w:pPr>
      <w:r w:rsidRPr="00B85689">
        <w:rPr>
          <w:rFonts w:ascii="Verdana" w:hAnsi="Verdana"/>
          <w:sz w:val="16"/>
          <w:szCs w:val="16"/>
        </w:rPr>
        <w:t>3.3. Cobertura expresa de la responsabilidad surgida por actos de contratistas y subcontratistas, salvo que el subcontratista tenga su propio seguro de responsabilidad extracontractual, con los mismos amparos aquí requeridos.</w:t>
      </w:r>
    </w:p>
    <w:p w14:paraId="423FA854" w14:textId="77777777" w:rsidR="00545C2B" w:rsidRPr="00B85689" w:rsidRDefault="00545C2B" w:rsidP="00545C2B">
      <w:pPr>
        <w:pStyle w:val="FootnoteText"/>
        <w:snapToGrid w:val="0"/>
        <w:ind w:firstLine="709"/>
        <w:contextualSpacing/>
        <w:jc w:val="both"/>
        <w:rPr>
          <w:rFonts w:ascii="Verdana" w:hAnsi="Verdana"/>
          <w:sz w:val="16"/>
          <w:szCs w:val="16"/>
        </w:rPr>
      </w:pPr>
      <w:r w:rsidRPr="00B85689">
        <w:rPr>
          <w:rFonts w:ascii="Verdana" w:hAnsi="Verdana"/>
          <w:sz w:val="16"/>
          <w:szCs w:val="16"/>
        </w:rPr>
        <w:t>3.4. Cobertura expresa de amparo patronal.</w:t>
      </w:r>
    </w:p>
    <w:p w14:paraId="1F2985FE" w14:textId="77777777" w:rsidR="00545C2B" w:rsidRPr="00B85689" w:rsidRDefault="00545C2B" w:rsidP="00545C2B">
      <w:pPr>
        <w:pStyle w:val="FootnoteText"/>
        <w:snapToGrid w:val="0"/>
        <w:ind w:firstLine="709"/>
        <w:contextualSpacing/>
        <w:jc w:val="both"/>
        <w:rPr>
          <w:rFonts w:ascii="Verdana" w:hAnsi="Verdana"/>
          <w:sz w:val="16"/>
          <w:szCs w:val="16"/>
        </w:rPr>
      </w:pPr>
      <w:r w:rsidRPr="00B85689">
        <w:rPr>
          <w:rFonts w:ascii="Verdana" w:hAnsi="Verdana"/>
          <w:sz w:val="16"/>
          <w:szCs w:val="16"/>
        </w:rPr>
        <w:t>3.5. Cobertura expresa de vehículos propios y no propios”.</w:t>
      </w:r>
    </w:p>
  </w:footnote>
  <w:footnote w:id="13">
    <w:p w14:paraId="17063532" w14:textId="77777777" w:rsidR="00545C2B" w:rsidRPr="00B85689" w:rsidRDefault="00545C2B" w:rsidP="00545C2B">
      <w:pPr>
        <w:pStyle w:val="FootnoteText"/>
        <w:snapToGrid w:val="0"/>
        <w:ind w:firstLine="709"/>
        <w:contextualSpacing/>
        <w:jc w:val="both"/>
        <w:rPr>
          <w:rFonts w:ascii="Verdana" w:hAnsi="Verdana"/>
          <w:sz w:val="16"/>
          <w:szCs w:val="16"/>
        </w:rPr>
      </w:pPr>
      <w:r w:rsidRPr="00B85689">
        <w:rPr>
          <w:rStyle w:val="FootnoteReference"/>
          <w:rFonts w:ascii="Verdana" w:hAnsi="Verdana"/>
          <w:sz w:val="16"/>
          <w:szCs w:val="16"/>
        </w:rPr>
        <w:footnoteRef/>
      </w:r>
      <w:r w:rsidRPr="00B85689">
        <w:rPr>
          <w:rFonts w:ascii="Verdana" w:hAnsi="Verdana"/>
          <w:sz w:val="16"/>
          <w:szCs w:val="16"/>
        </w:rPr>
        <w:t xml:space="preserve"> El artículo 2.2.1.2.3.1.17 del Decreto 1082 de 2015 prescribe lo siguiente: “El valor asegurado por los contratos de seguro que amparan la responsabilidad civil extracontractual no debe ser inferior a:</w:t>
      </w:r>
    </w:p>
    <w:p w14:paraId="6433836C" w14:textId="77777777" w:rsidR="00545C2B" w:rsidRPr="00B85689" w:rsidRDefault="00545C2B" w:rsidP="00545C2B">
      <w:pPr>
        <w:pStyle w:val="FootnoteText"/>
        <w:snapToGrid w:val="0"/>
        <w:ind w:firstLine="709"/>
        <w:contextualSpacing/>
        <w:jc w:val="both"/>
        <w:rPr>
          <w:rFonts w:ascii="Verdana" w:hAnsi="Verdana"/>
          <w:sz w:val="16"/>
          <w:szCs w:val="16"/>
        </w:rPr>
      </w:pPr>
      <w:r w:rsidRPr="00B85689">
        <w:rPr>
          <w:rFonts w:ascii="Verdana" w:hAnsi="Verdana"/>
          <w:sz w:val="16"/>
          <w:szCs w:val="16"/>
        </w:rPr>
        <w:t>1. Doscientos (200) smmlv para contratos cuyo valor sea inferior o igual a mil quinientos (1.500) smmlv.</w:t>
      </w:r>
    </w:p>
    <w:p w14:paraId="2745B248" w14:textId="77777777" w:rsidR="00545C2B" w:rsidRPr="00B85689" w:rsidRDefault="00545C2B" w:rsidP="00545C2B">
      <w:pPr>
        <w:pStyle w:val="FootnoteText"/>
        <w:snapToGrid w:val="0"/>
        <w:ind w:firstLine="709"/>
        <w:contextualSpacing/>
        <w:jc w:val="both"/>
        <w:rPr>
          <w:rFonts w:ascii="Verdana" w:hAnsi="Verdana"/>
          <w:sz w:val="16"/>
          <w:szCs w:val="16"/>
        </w:rPr>
      </w:pPr>
      <w:r w:rsidRPr="00B85689">
        <w:rPr>
          <w:rFonts w:ascii="Verdana" w:hAnsi="Verdana"/>
          <w:sz w:val="16"/>
          <w:szCs w:val="16"/>
        </w:rPr>
        <w:t>2. Trescientos (300) smmlv para contratos cuyo valor sea superior a mil quinientos (1.500) smmlv e inferior o igual a dos mil quinientos (2.500) smmlv.</w:t>
      </w:r>
    </w:p>
    <w:p w14:paraId="37D54B26" w14:textId="77777777" w:rsidR="00545C2B" w:rsidRPr="00B85689" w:rsidRDefault="00545C2B" w:rsidP="00545C2B">
      <w:pPr>
        <w:pStyle w:val="FootnoteText"/>
        <w:snapToGrid w:val="0"/>
        <w:ind w:firstLine="709"/>
        <w:contextualSpacing/>
        <w:jc w:val="both"/>
        <w:rPr>
          <w:rFonts w:ascii="Verdana" w:hAnsi="Verdana"/>
          <w:sz w:val="16"/>
          <w:szCs w:val="16"/>
        </w:rPr>
      </w:pPr>
      <w:r w:rsidRPr="00B85689">
        <w:rPr>
          <w:rFonts w:ascii="Verdana" w:hAnsi="Verdana"/>
          <w:sz w:val="16"/>
          <w:szCs w:val="16"/>
        </w:rPr>
        <w:t>3. Cuatrocientos (400) smmlv para contratos cuyo valor sea superior a dos mil quinientos (2.500) smmlv e inferior o igual a cinco mil (5.000) smmlv.</w:t>
      </w:r>
    </w:p>
    <w:p w14:paraId="0CB0C63A" w14:textId="77777777" w:rsidR="00545C2B" w:rsidRPr="00B85689" w:rsidRDefault="00545C2B" w:rsidP="00545C2B">
      <w:pPr>
        <w:pStyle w:val="FootnoteText"/>
        <w:snapToGrid w:val="0"/>
        <w:ind w:firstLine="709"/>
        <w:contextualSpacing/>
        <w:jc w:val="both"/>
        <w:rPr>
          <w:rFonts w:ascii="Verdana" w:hAnsi="Verdana"/>
          <w:sz w:val="16"/>
          <w:szCs w:val="16"/>
        </w:rPr>
      </w:pPr>
      <w:r w:rsidRPr="00B85689">
        <w:rPr>
          <w:rFonts w:ascii="Verdana" w:hAnsi="Verdana"/>
          <w:sz w:val="16"/>
          <w:szCs w:val="16"/>
        </w:rPr>
        <w:t>4. Quinientos (500) smmlv para contratos cuyo valor sea superior a cinco mil (5.000) smmlv e inferior o igual a diez mil (10.000) smmlv.</w:t>
      </w:r>
    </w:p>
    <w:p w14:paraId="74B1553E" w14:textId="77777777" w:rsidR="00545C2B" w:rsidRPr="00B85689" w:rsidRDefault="00545C2B" w:rsidP="00545C2B">
      <w:pPr>
        <w:pStyle w:val="FootnoteText"/>
        <w:snapToGrid w:val="0"/>
        <w:ind w:firstLine="709"/>
        <w:contextualSpacing/>
        <w:jc w:val="both"/>
        <w:rPr>
          <w:rFonts w:ascii="Verdana" w:hAnsi="Verdana"/>
          <w:sz w:val="16"/>
          <w:szCs w:val="16"/>
        </w:rPr>
      </w:pPr>
      <w:r w:rsidRPr="00B85689">
        <w:rPr>
          <w:rFonts w:ascii="Verdana" w:hAnsi="Verdana"/>
          <w:sz w:val="16"/>
          <w:szCs w:val="16"/>
        </w:rPr>
        <w:t>5. El cinco por ciento (5%) del valor del contrato cuando este sea superior a diez mil (10.000) smmlv, caso en el cual el valor asegurado debe ser máximo setenta y cinco mil (75.000) smmlv.</w:t>
      </w:r>
    </w:p>
    <w:p w14:paraId="522011E0" w14:textId="77777777" w:rsidR="00545C2B" w:rsidRPr="00B85689" w:rsidRDefault="00545C2B" w:rsidP="00545C2B">
      <w:pPr>
        <w:pStyle w:val="FootnoteText"/>
        <w:snapToGrid w:val="0"/>
        <w:ind w:firstLine="709"/>
        <w:contextualSpacing/>
        <w:jc w:val="both"/>
        <w:rPr>
          <w:rFonts w:ascii="Verdana" w:hAnsi="Verdana"/>
          <w:sz w:val="16"/>
          <w:szCs w:val="16"/>
        </w:rPr>
      </w:pPr>
      <w:r w:rsidRPr="00B85689">
        <w:rPr>
          <w:rFonts w:ascii="Verdana" w:hAnsi="Verdana"/>
          <w:sz w:val="16"/>
          <w:szCs w:val="16"/>
        </w:rPr>
        <w:t>La vigencia de esta garantía deberá ser igual al período de ejecución del contrato”.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0" type="#_x0000_t75" style="width:14.95pt;height:14.9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502"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1916AB3"/>
    <w:multiLevelType w:val="hybridMultilevel"/>
    <w:tmpl w:val="D61EC1E6"/>
    <w:lvl w:ilvl="0" w:tplc="73DEAA1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43D6124"/>
    <w:multiLevelType w:val="hybridMultilevel"/>
    <w:tmpl w:val="E7AC739E"/>
    <w:lvl w:ilvl="0" w:tplc="04090001">
      <w:start w:val="1"/>
      <w:numFmt w:val="bullet"/>
      <w:lvlText w:val=""/>
      <w:lvlJc w:val="left"/>
      <w:pPr>
        <w:ind w:left="615" w:hanging="360"/>
      </w:pPr>
      <w:rPr>
        <w:rFonts w:ascii="Symbol" w:hAnsi="Symbol" w:hint="default"/>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571424827">
    <w:abstractNumId w:val="3"/>
  </w:num>
  <w:num w:numId="18" w16cid:durableId="3768561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5F82"/>
    <w:rsid w:val="00016F78"/>
    <w:rsid w:val="00046945"/>
    <w:rsid w:val="00061B2A"/>
    <w:rsid w:val="0006369B"/>
    <w:rsid w:val="00082362"/>
    <w:rsid w:val="000A084B"/>
    <w:rsid w:val="000A683E"/>
    <w:rsid w:val="000B07E0"/>
    <w:rsid w:val="000B19B9"/>
    <w:rsid w:val="000D0334"/>
    <w:rsid w:val="000D5DA7"/>
    <w:rsid w:val="000F4BD4"/>
    <w:rsid w:val="000F6486"/>
    <w:rsid w:val="00111483"/>
    <w:rsid w:val="00116940"/>
    <w:rsid w:val="00125105"/>
    <w:rsid w:val="00127233"/>
    <w:rsid w:val="0015699B"/>
    <w:rsid w:val="001A33BF"/>
    <w:rsid w:val="001E4177"/>
    <w:rsid w:val="001E5244"/>
    <w:rsid w:val="001E6CA7"/>
    <w:rsid w:val="001F0B24"/>
    <w:rsid w:val="001F7DC6"/>
    <w:rsid w:val="0022319A"/>
    <w:rsid w:val="0022400B"/>
    <w:rsid w:val="002421BB"/>
    <w:rsid w:val="0025796E"/>
    <w:rsid w:val="002707A2"/>
    <w:rsid w:val="00291875"/>
    <w:rsid w:val="002951A0"/>
    <w:rsid w:val="002962BC"/>
    <w:rsid w:val="002A093D"/>
    <w:rsid w:val="002A0DD0"/>
    <w:rsid w:val="002A1FEB"/>
    <w:rsid w:val="002A49AC"/>
    <w:rsid w:val="002A64FD"/>
    <w:rsid w:val="002C7A84"/>
    <w:rsid w:val="002E00F8"/>
    <w:rsid w:val="002E2BF8"/>
    <w:rsid w:val="002E4FD9"/>
    <w:rsid w:val="0030657A"/>
    <w:rsid w:val="00322A85"/>
    <w:rsid w:val="00324168"/>
    <w:rsid w:val="00330834"/>
    <w:rsid w:val="003402C7"/>
    <w:rsid w:val="0034070C"/>
    <w:rsid w:val="003448F4"/>
    <w:rsid w:val="00374F5E"/>
    <w:rsid w:val="00377E3E"/>
    <w:rsid w:val="003A779E"/>
    <w:rsid w:val="003B65E6"/>
    <w:rsid w:val="003D0F4D"/>
    <w:rsid w:val="003D5B0D"/>
    <w:rsid w:val="003E0499"/>
    <w:rsid w:val="003E4F80"/>
    <w:rsid w:val="003E6439"/>
    <w:rsid w:val="003F3941"/>
    <w:rsid w:val="00406575"/>
    <w:rsid w:val="00414C74"/>
    <w:rsid w:val="0042722E"/>
    <w:rsid w:val="0044528D"/>
    <w:rsid w:val="00466E39"/>
    <w:rsid w:val="00477A3E"/>
    <w:rsid w:val="00481277"/>
    <w:rsid w:val="004A1847"/>
    <w:rsid w:val="004A305D"/>
    <w:rsid w:val="004F21C4"/>
    <w:rsid w:val="004F685F"/>
    <w:rsid w:val="00545C2B"/>
    <w:rsid w:val="005566E8"/>
    <w:rsid w:val="005721B4"/>
    <w:rsid w:val="00574867"/>
    <w:rsid w:val="00591460"/>
    <w:rsid w:val="005A65E0"/>
    <w:rsid w:val="005C3777"/>
    <w:rsid w:val="005C5CDC"/>
    <w:rsid w:val="005D23AD"/>
    <w:rsid w:val="005D476C"/>
    <w:rsid w:val="00605D77"/>
    <w:rsid w:val="006200BF"/>
    <w:rsid w:val="006219F8"/>
    <w:rsid w:val="00626865"/>
    <w:rsid w:val="006302F7"/>
    <w:rsid w:val="00645DC9"/>
    <w:rsid w:val="00646B9F"/>
    <w:rsid w:val="0066051E"/>
    <w:rsid w:val="00665D70"/>
    <w:rsid w:val="00684CA4"/>
    <w:rsid w:val="006900D9"/>
    <w:rsid w:val="006C0515"/>
    <w:rsid w:val="00701A3D"/>
    <w:rsid w:val="00706C16"/>
    <w:rsid w:val="007340C3"/>
    <w:rsid w:val="0075235A"/>
    <w:rsid w:val="00756841"/>
    <w:rsid w:val="007649AB"/>
    <w:rsid w:val="00771D0C"/>
    <w:rsid w:val="007833AC"/>
    <w:rsid w:val="007A7EE0"/>
    <w:rsid w:val="007B268C"/>
    <w:rsid w:val="007B7171"/>
    <w:rsid w:val="007C0C0F"/>
    <w:rsid w:val="007C3DC2"/>
    <w:rsid w:val="007D6210"/>
    <w:rsid w:val="007E5497"/>
    <w:rsid w:val="00806F5F"/>
    <w:rsid w:val="00820278"/>
    <w:rsid w:val="008258C9"/>
    <w:rsid w:val="00826AEE"/>
    <w:rsid w:val="00844AE9"/>
    <w:rsid w:val="00867F95"/>
    <w:rsid w:val="008843B6"/>
    <w:rsid w:val="00891928"/>
    <w:rsid w:val="008A446D"/>
    <w:rsid w:val="008B25F1"/>
    <w:rsid w:val="008C4E01"/>
    <w:rsid w:val="008D180B"/>
    <w:rsid w:val="008F0EA7"/>
    <w:rsid w:val="00923EEF"/>
    <w:rsid w:val="009419F9"/>
    <w:rsid w:val="0095685E"/>
    <w:rsid w:val="00961B09"/>
    <w:rsid w:val="00965334"/>
    <w:rsid w:val="0097093E"/>
    <w:rsid w:val="00983DE2"/>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A6350"/>
    <w:rsid w:val="00AB0ADB"/>
    <w:rsid w:val="00AF355E"/>
    <w:rsid w:val="00B00C0E"/>
    <w:rsid w:val="00B01B1A"/>
    <w:rsid w:val="00B0381D"/>
    <w:rsid w:val="00B44A47"/>
    <w:rsid w:val="00B72CD3"/>
    <w:rsid w:val="00B72FFF"/>
    <w:rsid w:val="00B856D1"/>
    <w:rsid w:val="00BB741C"/>
    <w:rsid w:val="00BC27C4"/>
    <w:rsid w:val="00BC3D36"/>
    <w:rsid w:val="00BD54A6"/>
    <w:rsid w:val="00BD7F72"/>
    <w:rsid w:val="00BE4EF2"/>
    <w:rsid w:val="00BE6B08"/>
    <w:rsid w:val="00BF7425"/>
    <w:rsid w:val="00C04FB3"/>
    <w:rsid w:val="00C11D8B"/>
    <w:rsid w:val="00C15139"/>
    <w:rsid w:val="00C2137B"/>
    <w:rsid w:val="00C22E8D"/>
    <w:rsid w:val="00C330EB"/>
    <w:rsid w:val="00C50D69"/>
    <w:rsid w:val="00C53070"/>
    <w:rsid w:val="00C5365C"/>
    <w:rsid w:val="00C7272D"/>
    <w:rsid w:val="00C73EA8"/>
    <w:rsid w:val="00C754BE"/>
    <w:rsid w:val="00C76B1C"/>
    <w:rsid w:val="00C925AC"/>
    <w:rsid w:val="00CB6357"/>
    <w:rsid w:val="00CB7135"/>
    <w:rsid w:val="00CC1B26"/>
    <w:rsid w:val="00CC40BD"/>
    <w:rsid w:val="00D14B8C"/>
    <w:rsid w:val="00D361FD"/>
    <w:rsid w:val="00D423A2"/>
    <w:rsid w:val="00D44E26"/>
    <w:rsid w:val="00D520D8"/>
    <w:rsid w:val="00D63AC2"/>
    <w:rsid w:val="00D7383B"/>
    <w:rsid w:val="00D7788A"/>
    <w:rsid w:val="00DA231B"/>
    <w:rsid w:val="00DC39FC"/>
    <w:rsid w:val="00DC79D3"/>
    <w:rsid w:val="00DF5254"/>
    <w:rsid w:val="00E02524"/>
    <w:rsid w:val="00E16408"/>
    <w:rsid w:val="00E20894"/>
    <w:rsid w:val="00E24068"/>
    <w:rsid w:val="00E245AB"/>
    <w:rsid w:val="00E2764C"/>
    <w:rsid w:val="00E27F2E"/>
    <w:rsid w:val="00E41B3C"/>
    <w:rsid w:val="00E50AFE"/>
    <w:rsid w:val="00E63ADC"/>
    <w:rsid w:val="00E75C92"/>
    <w:rsid w:val="00E771DC"/>
    <w:rsid w:val="00E8772A"/>
    <w:rsid w:val="00E90F6B"/>
    <w:rsid w:val="00E92C27"/>
    <w:rsid w:val="00EA0E3D"/>
    <w:rsid w:val="00EC38A7"/>
    <w:rsid w:val="00EE13E2"/>
    <w:rsid w:val="00EE1AA8"/>
    <w:rsid w:val="00F23FEA"/>
    <w:rsid w:val="00F252DE"/>
    <w:rsid w:val="00F319A3"/>
    <w:rsid w:val="00F31EDC"/>
    <w:rsid w:val="00F462B3"/>
    <w:rsid w:val="00F550CD"/>
    <w:rsid w:val="00F5664F"/>
    <w:rsid w:val="00F666C4"/>
    <w:rsid w:val="00F76AFC"/>
    <w:rsid w:val="00F93734"/>
    <w:rsid w:val="00FA47C0"/>
    <w:rsid w:val="00FB5DD1"/>
    <w:rsid w:val="00FC2B5D"/>
    <w:rsid w:val="00FC36E5"/>
    <w:rsid w:val="00FE3A29"/>
    <w:rsid w:val="00FF1449"/>
    <w:rsid w:val="00FF7963"/>
    <w:rsid w:val="071B8F93"/>
    <w:rsid w:val="09908A09"/>
    <w:rsid w:val="0FF4CCA8"/>
    <w:rsid w:val="13CFC91B"/>
    <w:rsid w:val="19A2EC2C"/>
    <w:rsid w:val="2859CA1B"/>
    <w:rsid w:val="32A4F9CF"/>
    <w:rsid w:val="356CEDFD"/>
    <w:rsid w:val="51A52C79"/>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448EFF7F-A099-2D4C-9709-1A0A885D1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545C2B"/>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545C2B"/>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rison20191@icloud.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conceptos/c-069-de-2024/"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01781fedfafda0f78eb836b344c0283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c95995aec6ec9bb8a2772c6ac378fe6"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29E3B171-FC4B-4B3D-B498-680A62D01036}"/>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15</Pages>
  <Words>4124</Words>
  <Characters>23512</Characters>
  <Application>Microsoft Office Word</Application>
  <DocSecurity>0</DocSecurity>
  <Lines>195</Lines>
  <Paragraphs>55</Paragraphs>
  <ScaleCrop>false</ScaleCrop>
  <Company/>
  <LinksUpToDate>false</LinksUpToDate>
  <CharactersWithSpaces>27581</CharactersWithSpaces>
  <SharedDoc>false</SharedDoc>
  <HLinks>
    <vt:vector size="18" baseType="variant">
      <vt:variant>
        <vt:i4>7471218</vt:i4>
      </vt:variant>
      <vt:variant>
        <vt:i4>3</vt:i4>
      </vt:variant>
      <vt:variant>
        <vt:i4>0</vt:i4>
      </vt:variant>
      <vt:variant>
        <vt:i4>5</vt:i4>
      </vt:variant>
      <vt:variant>
        <vt:lpwstr>https://relatoria.colombiacompra.gov.co/busqueda/conceptos</vt:lpwstr>
      </vt:variant>
      <vt:variant>
        <vt:lpwstr/>
      </vt:variant>
      <vt:variant>
        <vt:i4>65639</vt:i4>
      </vt:variant>
      <vt:variant>
        <vt:i4>0</vt:i4>
      </vt:variant>
      <vt:variant>
        <vt:i4>0</vt:i4>
      </vt:variant>
      <vt:variant>
        <vt:i4>5</vt:i4>
      </vt:variant>
      <vt:variant>
        <vt:lpwstr>mailto:frison20191@icloud.com</vt:lpwstr>
      </vt:variant>
      <vt:variant>
        <vt:lpwstr/>
      </vt:variant>
      <vt:variant>
        <vt:i4>6094854</vt:i4>
      </vt:variant>
      <vt:variant>
        <vt:i4>0</vt:i4>
      </vt:variant>
      <vt:variant>
        <vt:i4>0</vt:i4>
      </vt:variant>
      <vt:variant>
        <vt:i4>5</vt:i4>
      </vt:variant>
      <vt:variant>
        <vt:lpwstr>https://relatoria.colombiacompra.gov.co/conceptos/c-069-de-2024/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4</cp:revision>
  <cp:lastPrinted>2023-01-10T21:18:00Z</cp:lastPrinted>
  <dcterms:created xsi:type="dcterms:W3CDTF">2025-12-04T21:21:00Z</dcterms:created>
  <dcterms:modified xsi:type="dcterms:W3CDTF">2025-12-04T21:27:00Z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