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84B6E6" w14:textId="77777777" w:rsidR="004B3741" w:rsidRPr="00EF76DD" w:rsidRDefault="004B3741" w:rsidP="004B3741">
      <w:pPr>
        <w:jc w:val="both"/>
        <w:rPr>
          <w:rFonts w:ascii="Verdana" w:eastAsia="Calibri" w:hAnsi="Verdana" w:cs="Arial"/>
          <w:b/>
          <w:bCs/>
          <w:lang w:val="es-ES" w:eastAsia="es-ES"/>
        </w:rPr>
      </w:pPr>
      <w:bookmarkStart w:id="0" w:name="_Hlk181166130"/>
      <w:bookmarkStart w:id="1" w:name="_Hlk209714638"/>
      <w:r w:rsidRPr="00EF76DD">
        <w:rPr>
          <w:rFonts w:ascii="Verdana" w:eastAsia="Calibri" w:hAnsi="Verdana" w:cs="Arial"/>
          <w:b/>
          <w:bCs/>
          <w:lang w:val="es-ES" w:eastAsia="es-ES"/>
        </w:rPr>
        <w:t xml:space="preserve">PRINCIPIO DE PUBLICIDAD – SECOP – Documentos del proceso – Deber de publicación </w:t>
      </w:r>
    </w:p>
    <w:p w14:paraId="216985E0" w14:textId="77777777" w:rsidR="004B3741" w:rsidRPr="00887A8D" w:rsidRDefault="004B3741" w:rsidP="004B3741">
      <w:pPr>
        <w:jc w:val="both"/>
        <w:rPr>
          <w:rFonts w:ascii="Verdana" w:eastAsia="Calibri" w:hAnsi="Verdana" w:cs="Arial"/>
          <w:sz w:val="20"/>
          <w:szCs w:val="20"/>
          <w:lang w:val="es-ES" w:eastAsia="es-ES"/>
        </w:rPr>
      </w:pPr>
      <w:r w:rsidRPr="00887A8D">
        <w:rPr>
          <w:rFonts w:ascii="Verdana" w:hAnsi="Verdana" w:cs="Arial"/>
          <w:sz w:val="20"/>
          <w:szCs w:val="20"/>
          <w:lang w:val="es-ES"/>
        </w:rPr>
        <w:t>Las entidades estatales, conforme al artículo 2.2.1.1.1.7.1 del Decreto 1082 de 2015, tienen la obligación de publicar en el SECOP “[…] los Documentos del Proceso y los actos administrativos del Proceso de Contratación […]”. La expresión Documentos del Proceso está definida en el artículo 2.2.1.1.1.3.1. del Decreto 1082 de 2015, donde se establece que son “(a) los estudios y documentos previos; (b) el aviso de convocatoria; (c) los pliegos de condiciones o la invitación; (d) las adendas; (e) la oferta; (f) el informe de evaluación; (g) el contrato; y cualquier otro documento expedido por la Entidad Estatal durante el Proceso de Contratación”.</w:t>
      </w:r>
      <w:r w:rsidRPr="00887A8D">
        <w:rPr>
          <w:rFonts w:ascii="Verdana" w:eastAsia="Arial" w:hAnsi="Verdana" w:cs="Arial"/>
          <w:sz w:val="20"/>
          <w:szCs w:val="20"/>
          <w:lang w:val="es-ES"/>
        </w:rPr>
        <w:t xml:space="preserve"> </w:t>
      </w:r>
    </w:p>
    <w:p w14:paraId="6841A0A3" w14:textId="77777777" w:rsidR="004B3741" w:rsidRDefault="004B3741" w:rsidP="004B3741">
      <w:pPr>
        <w:jc w:val="both"/>
        <w:rPr>
          <w:rFonts w:ascii="Verdana" w:eastAsia="Arial" w:hAnsi="Verdana" w:cs="Arial"/>
          <w:sz w:val="20"/>
          <w:szCs w:val="20"/>
          <w:lang w:val="es-ES"/>
        </w:rPr>
      </w:pPr>
      <w:r w:rsidRPr="00887A8D">
        <w:rPr>
          <w:rFonts w:ascii="Verdana" w:eastAsia="Arial" w:hAnsi="Verdana" w:cs="Arial"/>
          <w:sz w:val="20"/>
          <w:szCs w:val="20"/>
          <w:lang w:val="es-ES"/>
        </w:rPr>
        <w:t>No obstante, para identificar los documentos que deben publicarse, es necesario realizar una interpretación sistemática de las disposiciones del Decreto 1082 del 2015, comoquiera que el anterior no es un listado taxativo, sino enunciativo. […]</w:t>
      </w:r>
    </w:p>
    <w:p w14:paraId="38BC8B3F" w14:textId="77777777" w:rsidR="004B3741" w:rsidRPr="00887A8D" w:rsidRDefault="004B3741" w:rsidP="004B3741">
      <w:pPr>
        <w:spacing w:line="276" w:lineRule="auto"/>
        <w:jc w:val="both"/>
        <w:rPr>
          <w:rFonts w:ascii="Verdana" w:eastAsia="Calibri" w:hAnsi="Verdana" w:cs="Arial"/>
          <w:b/>
          <w:lang w:val="es-ES_tradnl"/>
        </w:rPr>
      </w:pPr>
      <w:r w:rsidRPr="00887A8D">
        <w:rPr>
          <w:rFonts w:ascii="Verdana" w:eastAsia="Calibri" w:hAnsi="Verdana" w:cs="Arial"/>
          <w:b/>
          <w:lang w:val="es-ES_tradnl" w:eastAsia="es-ES_tradnl"/>
        </w:rPr>
        <w:t>PUBLICIDAD – SECOP – Fundamento Normativo – Ley 1712 de 2014 –</w:t>
      </w:r>
      <w:r w:rsidRPr="00887A8D">
        <w:rPr>
          <w:rFonts w:ascii="Verdana" w:eastAsia="Calibri" w:hAnsi="Verdana" w:cs="Arial"/>
          <w:b/>
          <w:lang w:val="es-ES_tradnl"/>
        </w:rPr>
        <w:t xml:space="preserve"> Decreto 108</w:t>
      </w:r>
      <w:r>
        <w:rPr>
          <w:rFonts w:ascii="Verdana" w:eastAsia="Calibri" w:hAnsi="Verdana" w:cs="Arial"/>
          <w:b/>
          <w:lang w:val="es-ES_tradnl"/>
        </w:rPr>
        <w:t>2</w:t>
      </w:r>
      <w:r w:rsidRPr="00887A8D">
        <w:rPr>
          <w:rFonts w:ascii="Verdana" w:eastAsia="Calibri" w:hAnsi="Verdana" w:cs="Arial"/>
          <w:b/>
          <w:lang w:val="es-ES_tradnl"/>
        </w:rPr>
        <w:t xml:space="preserve"> de 2015</w:t>
      </w:r>
      <w:r w:rsidRPr="00887A8D">
        <w:rPr>
          <w:rFonts w:ascii="Verdana" w:eastAsia="Calibri" w:hAnsi="Verdana" w:cs="Arial"/>
          <w:b/>
          <w:lang w:val="es-ES_tradnl" w:eastAsia="es-ES_tradnl"/>
        </w:rPr>
        <w:t xml:space="preserve"> </w:t>
      </w:r>
    </w:p>
    <w:p w14:paraId="3436B74B" w14:textId="77777777" w:rsidR="004B3741" w:rsidRDefault="004B3741" w:rsidP="1230A0EF">
      <w:pPr>
        <w:spacing w:after="120" w:line="240" w:lineRule="auto"/>
        <w:jc w:val="both"/>
        <w:rPr>
          <w:rFonts w:ascii="Verdana" w:eastAsia="Calibri" w:hAnsi="Verdana" w:cs="Arial"/>
          <w:sz w:val="20"/>
          <w:szCs w:val="20"/>
          <w:lang w:val="es-ES"/>
        </w:rPr>
      </w:pPr>
      <w:r w:rsidRPr="1230A0EF">
        <w:rPr>
          <w:rFonts w:ascii="Verdana" w:eastAsia="Calibri" w:hAnsi="Verdana" w:cs="Arial"/>
          <w:sz w:val="20"/>
          <w:szCs w:val="20"/>
          <w:lang w:val="es-ES"/>
        </w:rPr>
        <w:t>De otra parte, la Ley 1712 de 2014, por medio de la cual se regula la transparencia el derecho de acceso a la información pública nacional y se dictan otras disposiciones, identifica como principios que orientan el derecho de acceso a la información pública el de máxima publicidad y el de transparencia en la información. De acuerdo con el primero, toda información en posesión, bajo control o custodia de un sujeto obligado es pública y no podrá ser reservada o limitada sino por disposición constitucional o legal. Por su parte, el segundo alude al deber de los sujetos de proporcionar y facilitar el acceso a la misma en los términos más amplios posibles, y a través de los medios y procedimientos que establezca la ley.  La ley citada establece, en el literal e) del artículo 9, que los sujetos obligados, que son todas las entidades públicas, deben publicar la información relativa a su contratación . Esta obligación fue en principio desarrollada por el Decreto 103 de 2015, hoy compilado en el Decreto Único Reglamentario 1082 de 2015, el cual dispuso que la publicación de la información contractual de los sujetos obligados, que contratan con cargo a recursos públicos, debe hacerse en el Sistema Electrónico de Contratación Pública –SECOP– .Asimismo, de acuerdo con el literal g) del artículo 11 de la misma Ley, los destinatarios de la ley de transparencia deben garantizar la publicidad de “sus procedimientos, lineamientos, políticas en materia de adquisiciones y compras, así como todos los datos de adjudicación y ejecución de contratos, incluidos concursos y licitaciones”, y esta información también debe estar en el SECOP conforme a lo explicado en el párrafo precedente. El derecho de acceso a la información pública o de interés público permite a toda persona, sin necesidad de acreditar calidad, interés o condición particular, conocer la existencia de información pública, acceder a la misma y difundirla o publicarla, según su interés.</w:t>
      </w:r>
    </w:p>
    <w:p w14:paraId="3222960F" w14:textId="77777777" w:rsidR="004B3741" w:rsidRDefault="004B3741" w:rsidP="004B3741">
      <w:pPr>
        <w:spacing w:after="120" w:line="240" w:lineRule="auto"/>
        <w:jc w:val="both"/>
        <w:rPr>
          <w:rFonts w:ascii="Verdana" w:eastAsia="Calibri" w:hAnsi="Verdana" w:cs="Arial"/>
          <w:bCs/>
          <w:sz w:val="20"/>
          <w:szCs w:val="20"/>
          <w:lang w:val="es-ES_tradnl"/>
        </w:rPr>
      </w:pPr>
    </w:p>
    <w:p w14:paraId="73E380CF" w14:textId="77777777" w:rsidR="004B3741" w:rsidRPr="00887A8D" w:rsidRDefault="004B3741" w:rsidP="004B3741">
      <w:pPr>
        <w:spacing w:after="120" w:line="240" w:lineRule="auto"/>
        <w:jc w:val="both"/>
        <w:rPr>
          <w:rFonts w:ascii="Verdana" w:eastAsia="Calibri" w:hAnsi="Verdana" w:cs="Arial"/>
          <w:bCs/>
          <w:sz w:val="20"/>
          <w:szCs w:val="20"/>
          <w:lang w:val="es-ES_tradnl"/>
        </w:rPr>
      </w:pPr>
    </w:p>
    <w:p w14:paraId="79D16A59" w14:textId="77777777" w:rsidR="004B3741" w:rsidRPr="00887A8D" w:rsidRDefault="004B3741" w:rsidP="004B3741">
      <w:pPr>
        <w:spacing w:line="276" w:lineRule="auto"/>
        <w:jc w:val="both"/>
        <w:rPr>
          <w:rFonts w:ascii="Verdana" w:eastAsia="Calibri" w:hAnsi="Verdana" w:cs="Arial"/>
          <w:b/>
          <w:lang w:val="es-ES_tradnl"/>
        </w:rPr>
      </w:pPr>
      <w:r w:rsidRPr="00887A8D">
        <w:rPr>
          <w:rFonts w:ascii="Verdana" w:eastAsia="Calibri" w:hAnsi="Verdana" w:cs="Arial"/>
          <w:b/>
          <w:lang w:val="es-ES_tradnl" w:eastAsia="es-ES_tradnl"/>
        </w:rPr>
        <w:lastRenderedPageBreak/>
        <w:t xml:space="preserve">PUBLICIDAD – SECOP – Fundamento Normativo – </w:t>
      </w:r>
      <w:r w:rsidRPr="00887A8D">
        <w:rPr>
          <w:rFonts w:ascii="Verdana" w:eastAsia="Calibri" w:hAnsi="Verdana" w:cs="Arial"/>
          <w:b/>
          <w:lang w:val="es-ES_tradnl"/>
        </w:rPr>
        <w:t xml:space="preserve">Ley 1150 de 2007 - </w:t>
      </w:r>
      <w:r w:rsidRPr="00887A8D">
        <w:rPr>
          <w:rFonts w:ascii="Verdana" w:eastAsia="Calibri" w:hAnsi="Verdana" w:cs="Arial"/>
          <w:b/>
          <w:lang w:val="es-ES_tradnl" w:eastAsia="es-ES_tradnl"/>
        </w:rPr>
        <w:t xml:space="preserve">Ley 2195 de 2022 </w:t>
      </w:r>
    </w:p>
    <w:p w14:paraId="71E9E0EC" w14:textId="77777777" w:rsidR="004B3741" w:rsidRPr="00887A8D" w:rsidRDefault="004B3741" w:rsidP="004B3741">
      <w:pPr>
        <w:spacing w:line="240" w:lineRule="auto"/>
        <w:contextualSpacing/>
        <w:jc w:val="both"/>
        <w:rPr>
          <w:rFonts w:ascii="Verdana" w:eastAsia="Calibri" w:hAnsi="Verdana" w:cs="Arial"/>
          <w:sz w:val="20"/>
          <w:szCs w:val="20"/>
          <w:lang w:val="es-ES_tradnl" w:eastAsia="es-ES_tradnl"/>
        </w:rPr>
      </w:pPr>
      <w:r w:rsidRPr="00887A8D">
        <w:rPr>
          <w:rFonts w:ascii="Verdana" w:hAnsi="Verdana" w:cs="Arial"/>
          <w:sz w:val="20"/>
          <w:szCs w:val="20"/>
          <w:lang w:val="es-ES"/>
        </w:rPr>
        <w:t>Tratándose de los contratos de régimen exceptuado, el deber de publicidad y transparencia fue complementado</w:t>
      </w:r>
      <w:r w:rsidRPr="00887A8D">
        <w:rPr>
          <w:rFonts w:ascii="Verdana" w:hAnsi="Verdana" w:cs="Arial"/>
          <w:sz w:val="20"/>
          <w:szCs w:val="20"/>
        </w:rPr>
        <w:t xml:space="preserve"> con la Ley 2195 de 2022. </w:t>
      </w:r>
      <w:r w:rsidRPr="00887A8D">
        <w:rPr>
          <w:rFonts w:ascii="Verdana" w:eastAsia="Calibri" w:hAnsi="Verdana" w:cs="Arial"/>
          <w:sz w:val="20"/>
          <w:szCs w:val="20"/>
          <w:lang w:val="es-ES_tradnl" w:eastAsia="es-ES_tradnl"/>
        </w:rPr>
        <w:t>Según el artículo 1, esta Ley “</w:t>
      </w:r>
      <w:r w:rsidRPr="00887A8D">
        <w:rPr>
          <w:rFonts w:ascii="Verdana" w:eastAsia="Times New Roman" w:hAnsi="Verdana" w:cs="Arial"/>
          <w:sz w:val="20"/>
          <w:szCs w:val="20"/>
          <w:lang w:val="es-ES_tradnl" w:eastAsia="es-ES_tradnl"/>
        </w:rPr>
        <w:t xml:space="preserve">[…] </w:t>
      </w:r>
      <w:r w:rsidRPr="00887A8D">
        <w:rPr>
          <w:rFonts w:ascii="Verdana" w:eastAsia="Calibri" w:hAnsi="Verdana" w:cs="Arial"/>
          <w:sz w:val="20"/>
          <w:szCs w:val="20"/>
          <w:lang w:val="es-ES_tradnl" w:eastAsia="es-ES_tradnl"/>
        </w:rPr>
        <w:t xml:space="preserve">tiene por objeto adoptar disposiciones tendientes a prevenir los actos de corrupción, a reforzar la articulación y coordinación de las entidades del Estado y a recuperar los daños ocasionados por dichos actos con el fin de asegurar promover la cultura de la legalidad e integridad y recuperar la confianza ciudadana y el respeto por lo público”. </w:t>
      </w:r>
    </w:p>
    <w:p w14:paraId="3466C308" w14:textId="77777777" w:rsidR="004B3741" w:rsidRPr="00887A8D" w:rsidRDefault="004B3741" w:rsidP="004B3741">
      <w:pPr>
        <w:spacing w:line="240" w:lineRule="auto"/>
        <w:ind w:firstLine="709"/>
        <w:contextualSpacing/>
        <w:jc w:val="both"/>
        <w:rPr>
          <w:rFonts w:ascii="Verdana" w:eastAsia="Calibri" w:hAnsi="Verdana" w:cs="Arial"/>
          <w:sz w:val="20"/>
          <w:szCs w:val="20"/>
          <w:lang w:val="es-ES_tradnl" w:eastAsia="es-ES_tradnl"/>
        </w:rPr>
      </w:pPr>
    </w:p>
    <w:p w14:paraId="6554E923" w14:textId="77777777" w:rsidR="004B3741" w:rsidRPr="00887A8D" w:rsidRDefault="004B3741" w:rsidP="004B3741">
      <w:pPr>
        <w:jc w:val="both"/>
        <w:rPr>
          <w:rFonts w:ascii="Verdana" w:eastAsia="Calibri" w:hAnsi="Verdana" w:cs="Arial"/>
          <w:sz w:val="20"/>
          <w:szCs w:val="20"/>
          <w:lang w:val="es-ES" w:eastAsia="es-ES"/>
        </w:rPr>
      </w:pPr>
      <w:r w:rsidRPr="00887A8D">
        <w:rPr>
          <w:rFonts w:ascii="Verdana" w:eastAsia="Calibri" w:hAnsi="Verdana" w:cs="Arial"/>
          <w:sz w:val="20"/>
          <w:szCs w:val="20"/>
          <w:lang w:val="es-ES_tradnl" w:eastAsia="es-ES_tradnl"/>
        </w:rPr>
        <w:t xml:space="preserve">Dentro del capítulo VIII, por el cual se expiden “Disposiciones en materia contractual para la moralización y la transparencia”, se ubica </w:t>
      </w:r>
      <w:r w:rsidRPr="00887A8D">
        <w:rPr>
          <w:rFonts w:ascii="Verdana" w:hAnsi="Verdana" w:cs="Arial"/>
          <w:sz w:val="20"/>
          <w:szCs w:val="20"/>
        </w:rPr>
        <w:t>el artículo 53. Este adiciona el artículo 13 de la Ley 1150 de 2007, y obliga a las entidades estatales que por disposición legal cuenten con un régimen contractual excepcional al del Estatuto General de Contratación de la Administración Pública a publicar los documentos relacionados con su actividad contractual en el Sistema Electrónico para la Contratación Pública –SECOP II– o la plataforma transaccional que haga sus veces. Cabe destacar que cuando la norma trascrita hace referencia a que el mencionado deber de publicidad debe cumplirse en el SECOP II o “la plataforma transaccional que haga sus veces”, esta expresión debe interpretarse bajo el entendido de que si bien el SECOP II es la plataforma oficial que actualmente se utiliza como mecanismo transaccional, en caso de que dicha plataforma sea remplazada por otra que tenga una denominación distinta, las entidades que tienen un régimen exceptuado deben continuar publicando la documentación de su actividad contractual en la nueva plataforma. En ese sentido, la locución “la plataforma que haga sus veces” no puede interpretarse como una autorización para que las entidades obligadas en virtud del artículo 53 de la Ley 2195 de 2022 puedan emplear sus páginas web o sus propios portales electrónicos para cumplir con el deber de publicidad que les asiste. Con esto se logra que la ciudadanía pueda encontrar en un mismo sistema la gestión de la actividad contractual del Estado, garantizándose en mayor grado la transparencia y el acceso a la información y documentación pública</w:t>
      </w:r>
    </w:p>
    <w:p w14:paraId="0580DEC0" w14:textId="77777777" w:rsidR="004B3741" w:rsidRPr="00887A8D" w:rsidRDefault="004B3741" w:rsidP="004B3741">
      <w:pPr>
        <w:spacing w:after="0" w:line="240" w:lineRule="auto"/>
        <w:rPr>
          <w:rFonts w:ascii="Verdana" w:hAnsi="Verdana"/>
          <w:sz w:val="20"/>
          <w:szCs w:val="20"/>
        </w:rPr>
      </w:pPr>
    </w:p>
    <w:p w14:paraId="3BEE28F8" w14:textId="77777777" w:rsidR="004B3741" w:rsidRPr="00887A8D" w:rsidRDefault="004B3741" w:rsidP="004B3741">
      <w:pPr>
        <w:spacing w:after="0" w:line="240" w:lineRule="auto"/>
        <w:rPr>
          <w:rFonts w:ascii="Verdana" w:hAnsi="Verdana"/>
          <w:sz w:val="20"/>
          <w:szCs w:val="20"/>
        </w:rPr>
      </w:pPr>
    </w:p>
    <w:p w14:paraId="3AA674EE" w14:textId="77777777" w:rsidR="004B3741" w:rsidRPr="00887A8D" w:rsidRDefault="004B3741" w:rsidP="004B3741">
      <w:pPr>
        <w:spacing w:after="0" w:line="240" w:lineRule="auto"/>
        <w:rPr>
          <w:rFonts w:ascii="Verdana" w:hAnsi="Verdana"/>
          <w:sz w:val="20"/>
          <w:szCs w:val="20"/>
        </w:rPr>
      </w:pPr>
    </w:p>
    <w:p w14:paraId="1EE0A934" w14:textId="77777777" w:rsidR="004B3741" w:rsidRPr="00887A8D" w:rsidRDefault="004B3741" w:rsidP="004B3741">
      <w:pPr>
        <w:spacing w:after="0" w:line="240" w:lineRule="auto"/>
        <w:rPr>
          <w:rFonts w:ascii="Verdana" w:hAnsi="Verdana"/>
          <w:sz w:val="20"/>
          <w:szCs w:val="20"/>
        </w:rPr>
      </w:pPr>
    </w:p>
    <w:p w14:paraId="2BC7E218" w14:textId="77777777" w:rsidR="004B3741" w:rsidRDefault="004B3741" w:rsidP="004B3741">
      <w:pPr>
        <w:spacing w:after="0" w:line="240" w:lineRule="auto"/>
        <w:rPr>
          <w:rFonts w:ascii="Verdana" w:hAnsi="Verdana"/>
        </w:rPr>
      </w:pPr>
    </w:p>
    <w:p w14:paraId="2E398105" w14:textId="77777777" w:rsidR="004B3741" w:rsidRDefault="004B3741" w:rsidP="004B3741">
      <w:pPr>
        <w:spacing w:after="0" w:line="240" w:lineRule="auto"/>
        <w:rPr>
          <w:rFonts w:ascii="Verdana" w:hAnsi="Verdana"/>
        </w:rPr>
      </w:pPr>
    </w:p>
    <w:p w14:paraId="6F176F89" w14:textId="77777777" w:rsidR="004B3741" w:rsidRDefault="004B3741" w:rsidP="004B3741">
      <w:pPr>
        <w:spacing w:after="0" w:line="240" w:lineRule="auto"/>
        <w:rPr>
          <w:rFonts w:ascii="Verdana" w:hAnsi="Verdana"/>
        </w:rPr>
      </w:pPr>
    </w:p>
    <w:p w14:paraId="711EC8FD" w14:textId="77777777" w:rsidR="004B3741" w:rsidRDefault="004B3741" w:rsidP="004B3741">
      <w:pPr>
        <w:spacing w:after="0" w:line="240" w:lineRule="auto"/>
        <w:rPr>
          <w:rFonts w:ascii="Verdana" w:hAnsi="Verdana"/>
        </w:rPr>
      </w:pPr>
    </w:p>
    <w:p w14:paraId="4511733E" w14:textId="77777777" w:rsidR="004B3741" w:rsidRDefault="004B3741" w:rsidP="004B3741">
      <w:pPr>
        <w:spacing w:after="0" w:line="240" w:lineRule="auto"/>
        <w:rPr>
          <w:rFonts w:ascii="Verdana" w:hAnsi="Verdana"/>
        </w:rPr>
      </w:pPr>
    </w:p>
    <w:p w14:paraId="497EE990" w14:textId="77777777" w:rsidR="004B3741" w:rsidRDefault="004B3741" w:rsidP="004B3741">
      <w:pPr>
        <w:spacing w:after="0" w:line="240" w:lineRule="auto"/>
        <w:rPr>
          <w:rFonts w:ascii="Verdana" w:hAnsi="Verdana"/>
        </w:rPr>
      </w:pPr>
    </w:p>
    <w:p w14:paraId="24D32390" w14:textId="77777777" w:rsidR="004B3741" w:rsidRDefault="004B3741" w:rsidP="004B3741">
      <w:pPr>
        <w:spacing w:after="0" w:line="240" w:lineRule="auto"/>
        <w:rPr>
          <w:rFonts w:ascii="Verdana" w:hAnsi="Verdana"/>
        </w:rPr>
      </w:pPr>
    </w:p>
    <w:p w14:paraId="53081484" w14:textId="77777777" w:rsidR="004B3741" w:rsidRDefault="004B3741" w:rsidP="004B3741">
      <w:pPr>
        <w:spacing w:after="0" w:line="240" w:lineRule="auto"/>
        <w:rPr>
          <w:rFonts w:ascii="Verdana" w:hAnsi="Verdana"/>
        </w:rPr>
      </w:pPr>
    </w:p>
    <w:p w14:paraId="7807F78C" w14:textId="77777777" w:rsidR="004B3741" w:rsidRDefault="004B3741" w:rsidP="004B3741">
      <w:pPr>
        <w:spacing w:after="0" w:line="240" w:lineRule="auto"/>
        <w:rPr>
          <w:rFonts w:ascii="Verdana" w:hAnsi="Verdana"/>
        </w:rPr>
      </w:pPr>
    </w:p>
    <w:p w14:paraId="64B0AFC4" w14:textId="4A23E7FB" w:rsidR="004B3741" w:rsidRDefault="004B3741" w:rsidP="004B3741">
      <w:pPr>
        <w:spacing w:after="0" w:line="240" w:lineRule="auto"/>
        <w:rPr>
          <w:rFonts w:ascii="Verdana" w:hAnsi="Verdana"/>
        </w:rPr>
      </w:pPr>
      <w:r>
        <w:rPr>
          <w:rFonts w:ascii="Verdana" w:hAnsi="Verdana"/>
        </w:rPr>
        <w:t>B</w:t>
      </w:r>
      <w:r w:rsidRPr="0044528D">
        <w:rPr>
          <w:rFonts w:ascii="Verdana" w:hAnsi="Verdana"/>
        </w:rPr>
        <w:t xml:space="preserve">ogotá D.C., </w:t>
      </w:r>
      <w:r w:rsidR="008313BE">
        <w:rPr>
          <w:rFonts w:ascii="Verdana" w:hAnsi="Verdana"/>
        </w:rPr>
        <w:t>02</w:t>
      </w:r>
      <w:r>
        <w:rPr>
          <w:rFonts w:ascii="Verdana" w:hAnsi="Verdana"/>
        </w:rPr>
        <w:t xml:space="preserve"> de </w:t>
      </w:r>
      <w:r w:rsidR="008313BE">
        <w:rPr>
          <w:rFonts w:ascii="Verdana" w:hAnsi="Verdana"/>
        </w:rPr>
        <w:t>diciembre</w:t>
      </w:r>
      <w:r>
        <w:rPr>
          <w:rFonts w:ascii="Verdana" w:hAnsi="Verdana"/>
        </w:rPr>
        <w:t xml:space="preserve"> de 2025.</w:t>
      </w:r>
    </w:p>
    <w:bookmarkEnd w:id="0"/>
    <w:p w14:paraId="6953E06C" w14:textId="77777777" w:rsidR="004B3741" w:rsidRDefault="004B3741" w:rsidP="004B3741">
      <w:pPr>
        <w:spacing w:after="0" w:line="240" w:lineRule="auto"/>
        <w:rPr>
          <w:rFonts w:ascii="Verdana" w:hAnsi="Verdana"/>
        </w:rPr>
      </w:pPr>
    </w:p>
    <w:p w14:paraId="21DF2202" w14:textId="252F16C7" w:rsidR="008313BE" w:rsidRDefault="008313BE" w:rsidP="008313BE">
      <w:pPr>
        <w:spacing w:after="0" w:line="240" w:lineRule="auto"/>
        <w:jc w:val="right"/>
        <w:rPr>
          <w:rFonts w:ascii="Verdana" w:hAnsi="Verdana"/>
        </w:rPr>
      </w:pPr>
      <w:r>
        <w:rPr>
          <w:rFonts w:ascii="Verdana" w:hAnsi="Verdana"/>
          <w:noProof/>
        </w:rPr>
        <w:drawing>
          <wp:inline distT="0" distB="0" distL="0" distR="0" wp14:anchorId="3F006F8E" wp14:editId="221F488D">
            <wp:extent cx="2286000" cy="609600"/>
            <wp:effectExtent l="0" t="0" r="0" b="0"/>
            <wp:docPr id="18725887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86000" cy="609600"/>
                    </a:xfrm>
                    <a:prstGeom prst="rect">
                      <a:avLst/>
                    </a:prstGeom>
                    <a:noFill/>
                    <a:ln>
                      <a:noFill/>
                    </a:ln>
                  </pic:spPr>
                </pic:pic>
              </a:graphicData>
            </a:graphic>
          </wp:inline>
        </w:drawing>
      </w:r>
    </w:p>
    <w:p w14:paraId="12F34235" w14:textId="77777777" w:rsidR="008313BE" w:rsidRDefault="008313BE" w:rsidP="004B3741">
      <w:pPr>
        <w:spacing w:after="0" w:line="240" w:lineRule="auto"/>
        <w:rPr>
          <w:rFonts w:ascii="Verdana" w:hAnsi="Verdana"/>
        </w:rPr>
      </w:pPr>
    </w:p>
    <w:p w14:paraId="51D5707E" w14:textId="77777777" w:rsidR="004B3741" w:rsidRPr="003575D1" w:rsidRDefault="004B3741" w:rsidP="004B3741">
      <w:pPr>
        <w:spacing w:after="0" w:line="240" w:lineRule="auto"/>
        <w:jc w:val="both"/>
        <w:rPr>
          <w:rFonts w:ascii="Verdana" w:eastAsia="Calibri" w:hAnsi="Verdana" w:cs="Arial"/>
          <w:lang w:eastAsia="es-ES"/>
        </w:rPr>
      </w:pPr>
      <w:r w:rsidRPr="003575D1">
        <w:rPr>
          <w:rFonts w:ascii="Verdana" w:eastAsia="Calibri" w:hAnsi="Verdana" w:cs="Arial"/>
          <w:lang w:eastAsia="es-ES"/>
        </w:rPr>
        <w:t>Señor</w:t>
      </w:r>
      <w:r w:rsidRPr="003575D1">
        <w:rPr>
          <w:rFonts w:ascii="Verdana" w:eastAsia="Calibri" w:hAnsi="Verdana" w:cs="Arial"/>
          <w:lang w:eastAsia="es-ES"/>
        </w:rPr>
        <w:tab/>
      </w:r>
    </w:p>
    <w:p w14:paraId="044962C6" w14:textId="77777777" w:rsidR="004B3741" w:rsidRDefault="004B3741" w:rsidP="004B3741">
      <w:pPr>
        <w:spacing w:after="0" w:line="240" w:lineRule="auto"/>
        <w:rPr>
          <w:rFonts w:ascii="Verdana" w:eastAsia="Calibri" w:hAnsi="Verdana" w:cs="Arial"/>
          <w:b/>
          <w:bCs/>
          <w:lang w:eastAsia="es-ES"/>
        </w:rPr>
      </w:pPr>
      <w:r w:rsidRPr="0075379F">
        <w:rPr>
          <w:rFonts w:ascii="Verdana" w:eastAsia="Calibri" w:hAnsi="Verdana" w:cs="Arial"/>
          <w:b/>
          <w:bCs/>
          <w:lang w:eastAsia="es-ES"/>
        </w:rPr>
        <w:t>HUGO MARTINEZ</w:t>
      </w:r>
    </w:p>
    <w:p w14:paraId="0E5F06F9" w14:textId="77777777" w:rsidR="004B3741" w:rsidRDefault="004B3741" w:rsidP="004B3741">
      <w:pPr>
        <w:spacing w:after="0" w:line="240" w:lineRule="auto"/>
        <w:rPr>
          <w:rFonts w:ascii="Verdana" w:hAnsi="Verdana"/>
        </w:rPr>
      </w:pPr>
      <w:hyperlink r:id="rId11" w:history="1">
        <w:r w:rsidRPr="00466DF2">
          <w:rPr>
            <w:rStyle w:val="Hipervnculo"/>
            <w:rFonts w:ascii="Verdana" w:hAnsi="Verdana"/>
          </w:rPr>
          <w:t>iphonehamp@icloud.com</w:t>
        </w:r>
      </w:hyperlink>
      <w:r>
        <w:rPr>
          <w:rFonts w:ascii="Verdana" w:hAnsi="Verdana"/>
        </w:rPr>
        <w:t xml:space="preserve"> </w:t>
      </w:r>
    </w:p>
    <w:p w14:paraId="6E9B250B" w14:textId="77777777" w:rsidR="004B3741" w:rsidRPr="003575D1" w:rsidRDefault="004B3741" w:rsidP="004B3741">
      <w:pPr>
        <w:spacing w:after="0" w:line="240" w:lineRule="auto"/>
        <w:rPr>
          <w:rFonts w:ascii="Verdana" w:hAnsi="Verdana"/>
          <w:highlight w:val="yellow"/>
        </w:rPr>
      </w:pPr>
      <w:r>
        <w:rPr>
          <w:rFonts w:ascii="Verdana" w:hAnsi="Verdana"/>
        </w:rPr>
        <w:t xml:space="preserve">Bogotá D.C. </w:t>
      </w:r>
    </w:p>
    <w:p w14:paraId="50E905BD" w14:textId="77777777" w:rsidR="004B3741" w:rsidRPr="00FE3DEC" w:rsidRDefault="004B3741" w:rsidP="004B3741">
      <w:pPr>
        <w:spacing w:after="0" w:line="240" w:lineRule="auto"/>
        <w:rPr>
          <w:rFonts w:ascii="Verdana" w:eastAsia="Calibri" w:hAnsi="Verdana" w:cs="Arial"/>
          <w:color w:val="000000"/>
          <w:lang w:val="es-ES_tradnl" w:eastAsia="es-ES_tradnl"/>
        </w:rPr>
      </w:pPr>
    </w:p>
    <w:tbl>
      <w:tblPr>
        <w:tblStyle w:val="Tablaconcuadrcula"/>
        <w:tblW w:w="8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295"/>
        <w:gridCol w:w="6162"/>
        <w:gridCol w:w="319"/>
      </w:tblGrid>
      <w:tr w:rsidR="004B3741" w:rsidRPr="00593A5F" w14:paraId="3D0A5FC4" w14:textId="77777777" w:rsidTr="00566950">
        <w:trPr>
          <w:trHeight w:val="273"/>
        </w:trPr>
        <w:tc>
          <w:tcPr>
            <w:tcW w:w="2295" w:type="dxa"/>
          </w:tcPr>
          <w:p w14:paraId="168E0F7C" w14:textId="77777777" w:rsidR="004B3741" w:rsidRPr="00E5644F" w:rsidRDefault="004B3741" w:rsidP="00566950">
            <w:pPr>
              <w:jc w:val="both"/>
              <w:rPr>
                <w:rFonts w:ascii="Verdana" w:eastAsia="Calibri" w:hAnsi="Verdana" w:cs="Arial"/>
                <w:b/>
                <w:bCs/>
                <w:color w:val="7030A0"/>
                <w:lang w:val="es-ES_tradnl" w:eastAsia="es-ES_tradnl"/>
              </w:rPr>
            </w:pPr>
          </w:p>
        </w:tc>
        <w:tc>
          <w:tcPr>
            <w:tcW w:w="6481" w:type="dxa"/>
            <w:gridSpan w:val="2"/>
          </w:tcPr>
          <w:p w14:paraId="62F4CA22" w14:textId="77777777" w:rsidR="004B3741" w:rsidRDefault="004B3741" w:rsidP="00566950">
            <w:pPr>
              <w:jc w:val="both"/>
              <w:rPr>
                <w:rFonts w:ascii="Verdana" w:eastAsia="Calibri" w:hAnsi="Verdana" w:cs="Arial"/>
                <w:b/>
                <w:bCs/>
                <w:lang w:val="es-ES" w:eastAsia="es-ES"/>
              </w:rPr>
            </w:pPr>
            <w:r w:rsidRPr="00E5644F">
              <w:rPr>
                <w:rFonts w:ascii="Verdana" w:eastAsia="Calibri" w:hAnsi="Verdana" w:cs="Arial"/>
                <w:b/>
                <w:bCs/>
                <w:lang w:val="es-ES" w:eastAsia="es-ES"/>
              </w:rPr>
              <w:t xml:space="preserve">Concepto C- </w:t>
            </w:r>
            <w:r>
              <w:rPr>
                <w:rFonts w:ascii="Verdana" w:eastAsia="Calibri" w:hAnsi="Verdana" w:cs="Arial"/>
                <w:b/>
                <w:bCs/>
                <w:lang w:val="es-ES" w:eastAsia="es-ES"/>
              </w:rPr>
              <w:t xml:space="preserve">1549 </w:t>
            </w:r>
            <w:r w:rsidRPr="00E5644F">
              <w:rPr>
                <w:rFonts w:ascii="Verdana" w:eastAsia="Calibri" w:hAnsi="Verdana" w:cs="Arial"/>
                <w:b/>
                <w:bCs/>
                <w:lang w:val="es-ES" w:eastAsia="es-ES"/>
              </w:rPr>
              <w:t>de 202</w:t>
            </w:r>
            <w:r>
              <w:rPr>
                <w:rFonts w:ascii="Verdana" w:eastAsia="Calibri" w:hAnsi="Verdana" w:cs="Arial"/>
                <w:b/>
                <w:bCs/>
                <w:lang w:val="es-ES" w:eastAsia="es-ES"/>
              </w:rPr>
              <w:t>5</w:t>
            </w:r>
          </w:p>
          <w:p w14:paraId="63FB5C22" w14:textId="77777777" w:rsidR="004B3741" w:rsidRPr="00E5644F" w:rsidRDefault="004B3741" w:rsidP="00566950">
            <w:pPr>
              <w:jc w:val="both"/>
              <w:rPr>
                <w:rFonts w:ascii="Verdana" w:eastAsia="Calibri" w:hAnsi="Verdana" w:cs="Arial"/>
                <w:b/>
                <w:bCs/>
                <w:color w:val="7030A0"/>
                <w:lang w:val="es-ES" w:eastAsia="es-ES"/>
              </w:rPr>
            </w:pPr>
          </w:p>
        </w:tc>
      </w:tr>
      <w:tr w:rsidR="004B3741" w:rsidRPr="005034D2" w14:paraId="23829674" w14:textId="77777777" w:rsidTr="00566950">
        <w:trPr>
          <w:trHeight w:val="651"/>
        </w:trPr>
        <w:tc>
          <w:tcPr>
            <w:tcW w:w="2295" w:type="dxa"/>
          </w:tcPr>
          <w:p w14:paraId="5208ACC2" w14:textId="77777777" w:rsidR="004B3741" w:rsidRPr="00593A5F" w:rsidRDefault="004B3741" w:rsidP="00566950">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481" w:type="dxa"/>
            <w:gridSpan w:val="2"/>
          </w:tcPr>
          <w:p w14:paraId="31D85E0D" w14:textId="77777777" w:rsidR="004B3741" w:rsidRDefault="004B3741" w:rsidP="00566950">
            <w:pPr>
              <w:jc w:val="both"/>
              <w:rPr>
                <w:rFonts w:ascii="Verdana" w:eastAsia="Calibri" w:hAnsi="Verdana" w:cs="Arial"/>
                <w:lang w:val="es-ES" w:eastAsia="es-ES"/>
              </w:rPr>
            </w:pPr>
            <w:r w:rsidRPr="0047115F">
              <w:rPr>
                <w:rFonts w:ascii="Verdana" w:eastAsia="Calibri" w:hAnsi="Verdana" w:cs="Arial"/>
                <w:lang w:val="es-ES" w:eastAsia="es-ES"/>
              </w:rPr>
              <w:t>PRINCIPIO DE PUBLICIDAD – SECOP – Documentos del proceso – Deber de publicación</w:t>
            </w:r>
            <w:r>
              <w:rPr>
                <w:rFonts w:ascii="Verdana" w:eastAsia="Calibri" w:hAnsi="Verdana" w:cs="Arial"/>
                <w:lang w:val="es-ES" w:eastAsia="es-ES"/>
              </w:rPr>
              <w:t xml:space="preserve"> - </w:t>
            </w:r>
            <w:r w:rsidRPr="00D47FE5">
              <w:rPr>
                <w:rFonts w:ascii="Verdana" w:eastAsia="Calibri" w:hAnsi="Verdana" w:cs="Arial"/>
                <w:lang w:val="es-ES" w:eastAsia="es-ES"/>
              </w:rPr>
              <w:t xml:space="preserve">PUBLICIDAD – SECOP – Fundamento Normativo – Ley 1712 de 2014 – Decreto 1082 de 2015 </w:t>
            </w:r>
            <w:r>
              <w:rPr>
                <w:rFonts w:ascii="Verdana" w:eastAsia="Calibri" w:hAnsi="Verdana" w:cs="Arial"/>
                <w:lang w:val="es-ES" w:eastAsia="es-ES"/>
              </w:rPr>
              <w:t>-</w:t>
            </w:r>
            <w:r w:rsidRPr="0047115F">
              <w:rPr>
                <w:rFonts w:ascii="Verdana" w:eastAsia="Calibri" w:hAnsi="Verdana" w:cs="Arial"/>
                <w:lang w:val="es-ES" w:eastAsia="es-ES"/>
              </w:rPr>
              <w:t xml:space="preserve"> </w:t>
            </w:r>
            <w:r w:rsidRPr="00D47FE5">
              <w:rPr>
                <w:rFonts w:ascii="Verdana" w:eastAsia="Calibri" w:hAnsi="Verdana" w:cs="Arial"/>
                <w:lang w:val="es-ES" w:eastAsia="es-ES"/>
              </w:rPr>
              <w:t>PUBLICIDAD – SECOP – Fundamento Normativo – Ley 1150 de 2007 - Ley 2195 de 2022</w:t>
            </w:r>
          </w:p>
          <w:p w14:paraId="549CEED0" w14:textId="77777777" w:rsidR="004B3741" w:rsidRPr="005034D2" w:rsidRDefault="004B3741" w:rsidP="00566950">
            <w:pPr>
              <w:jc w:val="both"/>
              <w:rPr>
                <w:rFonts w:ascii="Verdana" w:eastAsia="Calibri" w:hAnsi="Verdana" w:cs="Arial"/>
                <w:b/>
                <w:highlight w:val="yellow"/>
                <w:lang w:val="es-ES" w:eastAsia="es-ES"/>
              </w:rPr>
            </w:pPr>
          </w:p>
        </w:tc>
      </w:tr>
      <w:tr w:rsidR="004B3741" w:rsidRPr="00593A5F" w14:paraId="28A435D0" w14:textId="77777777" w:rsidTr="00566950">
        <w:trPr>
          <w:trHeight w:val="545"/>
        </w:trPr>
        <w:tc>
          <w:tcPr>
            <w:tcW w:w="2295" w:type="dxa"/>
          </w:tcPr>
          <w:p w14:paraId="63D2A167" w14:textId="77777777" w:rsidR="004B3741" w:rsidRPr="006730E9" w:rsidRDefault="004B3741" w:rsidP="00566950">
            <w:pPr>
              <w:jc w:val="both"/>
              <w:rPr>
                <w:rFonts w:ascii="Verdana" w:eastAsia="Calibri" w:hAnsi="Verdana" w:cs="Arial"/>
                <w:b/>
                <w:lang w:val="es-ES_tradnl" w:eastAsia="es-ES_tradnl"/>
              </w:rPr>
            </w:pPr>
            <w:r w:rsidRPr="006730E9">
              <w:rPr>
                <w:rFonts w:ascii="Verdana" w:eastAsia="Calibri" w:hAnsi="Verdana" w:cs="Arial"/>
                <w:b/>
                <w:lang w:val="es-ES_tradnl" w:eastAsia="es-ES_tradnl"/>
              </w:rPr>
              <w:t>Radicación:</w:t>
            </w:r>
            <w:r w:rsidRPr="006730E9">
              <w:rPr>
                <w:rFonts w:ascii="Verdana" w:eastAsia="Calibri" w:hAnsi="Verdana" w:cs="Arial"/>
                <w:lang w:val="es-ES_tradnl" w:eastAsia="es-ES_tradnl"/>
              </w:rPr>
              <w:t xml:space="preserve">               </w:t>
            </w:r>
          </w:p>
        </w:tc>
        <w:tc>
          <w:tcPr>
            <w:tcW w:w="6481" w:type="dxa"/>
            <w:gridSpan w:val="2"/>
          </w:tcPr>
          <w:p w14:paraId="2286CE47" w14:textId="77777777" w:rsidR="004B3741" w:rsidRPr="006730E9" w:rsidRDefault="004B3741" w:rsidP="00566950">
            <w:pPr>
              <w:jc w:val="both"/>
              <w:rPr>
                <w:rFonts w:ascii="Verdana" w:eastAsia="Calibri" w:hAnsi="Verdana" w:cs="Arial"/>
                <w:lang w:val="es-ES_tradnl" w:eastAsia="es-ES_tradnl"/>
              </w:rPr>
            </w:pPr>
            <w:r w:rsidRPr="007121A5">
              <w:rPr>
                <w:rFonts w:ascii="Verdana" w:eastAsia="Calibri" w:hAnsi="Verdana" w:cs="Arial"/>
                <w:lang w:val="es-ES_tradnl" w:eastAsia="es-ES_tradnl"/>
              </w:rPr>
              <w:t xml:space="preserve">Respuesta a consulta con radicado No. </w:t>
            </w:r>
            <w:r w:rsidRPr="0075379F">
              <w:rPr>
                <w:rFonts w:ascii="Verdana" w:eastAsia="Calibri" w:hAnsi="Verdana" w:cs="Arial"/>
                <w:lang w:val="es-ES_tradnl" w:eastAsia="es-ES_tradnl"/>
              </w:rPr>
              <w:t>1_2025_10_22_011883</w:t>
            </w:r>
          </w:p>
        </w:tc>
      </w:tr>
      <w:tr w:rsidR="004B3741" w:rsidRPr="00DB23D2" w14:paraId="2EFE3096" w14:textId="77777777" w:rsidTr="00566950">
        <w:trPr>
          <w:gridAfter w:val="1"/>
          <w:wAfter w:w="319" w:type="dxa"/>
          <w:trHeight w:val="242"/>
        </w:trPr>
        <w:tc>
          <w:tcPr>
            <w:tcW w:w="8457" w:type="dxa"/>
            <w:gridSpan w:val="2"/>
          </w:tcPr>
          <w:p w14:paraId="3EB132FF" w14:textId="77777777" w:rsidR="004B3741" w:rsidRPr="00DB23D2" w:rsidRDefault="004B3741" w:rsidP="00566950">
            <w:pPr>
              <w:spacing w:line="276" w:lineRule="auto"/>
              <w:jc w:val="both"/>
              <w:rPr>
                <w:rFonts w:ascii="Verdana" w:eastAsia="Calibri" w:hAnsi="Verdana" w:cs="Arial"/>
                <w:lang w:val="es-ES_tradnl" w:eastAsia="es-ES"/>
              </w:rPr>
            </w:pPr>
          </w:p>
        </w:tc>
      </w:tr>
    </w:tbl>
    <w:p w14:paraId="689ABD10" w14:textId="77777777" w:rsidR="004B3741" w:rsidRPr="006730E9" w:rsidRDefault="004B3741" w:rsidP="004B3741">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Estimad</w:t>
      </w:r>
      <w:r>
        <w:rPr>
          <w:rFonts w:ascii="Verdana" w:eastAsia="Calibri" w:hAnsi="Verdana" w:cs="Arial"/>
          <w:lang w:val="es-ES" w:eastAsia="es-ES"/>
        </w:rPr>
        <w:t xml:space="preserve">o </w:t>
      </w:r>
      <w:r w:rsidRPr="006730E9">
        <w:rPr>
          <w:rFonts w:ascii="Verdana" w:eastAsia="Calibri" w:hAnsi="Verdana" w:cs="Arial"/>
          <w:lang w:val="es-ES" w:eastAsia="es-ES"/>
        </w:rPr>
        <w:t>señor</w:t>
      </w:r>
      <w:r>
        <w:rPr>
          <w:rFonts w:ascii="Verdana" w:eastAsia="Calibri" w:hAnsi="Verdana" w:cs="Arial"/>
          <w:lang w:val="es-ES" w:eastAsia="es-ES"/>
        </w:rPr>
        <w:t xml:space="preserve"> Martinez;</w:t>
      </w:r>
    </w:p>
    <w:p w14:paraId="1353EF19" w14:textId="77777777" w:rsidR="004B3741" w:rsidRDefault="004B3741" w:rsidP="004B3741">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 xml:space="preserve"> </w:t>
      </w:r>
      <w:r>
        <w:rPr>
          <w:rFonts w:ascii="Verdana" w:eastAsia="Calibri" w:hAnsi="Verdana" w:cs="Arial"/>
          <w:color w:val="000000" w:themeColor="text1"/>
          <w:lang w:val="es-ES" w:eastAsia="es-ES"/>
        </w:rPr>
        <w:tab/>
      </w:r>
    </w:p>
    <w:p w14:paraId="16085538" w14:textId="77777777" w:rsidR="004B3741" w:rsidRPr="006730E9" w:rsidRDefault="004B3741" w:rsidP="004B3741">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En ejercicio de la competencia otorgada por los artículos 3, numeral 5º, y 11, numeral 8º, del Decreto Ley 4170 de 2011,</w:t>
      </w:r>
      <w:r w:rsidRPr="006730E9">
        <w:rPr>
          <w:rFonts w:ascii="Verdana" w:eastAsia="Arial MT" w:hAnsi="Verdana" w:cs="Arial MT"/>
          <w:lang w:val="es-ES" w:eastAsia="es-ES"/>
        </w:rPr>
        <w:t xml:space="preserve"> </w:t>
      </w:r>
      <w:r w:rsidRPr="006730E9">
        <w:rPr>
          <w:rFonts w:ascii="Verdana" w:hAnsi="Verdana" w:cs="Arial"/>
        </w:rPr>
        <w:t xml:space="preserve">así como lo establecido en el artículo 4 de la Resolución 1707 de 2018 expedida por esta Entidad, </w:t>
      </w:r>
      <w:r w:rsidRPr="006730E9">
        <w:rPr>
          <w:rFonts w:ascii="Verdana" w:eastAsia="Calibri" w:hAnsi="Verdana" w:cs="Arial"/>
          <w:lang w:val="es-ES" w:eastAsia="es-ES"/>
        </w:rPr>
        <w:t>la Agencia Nacional de Contratación Pública –Colombia Compra Eficiente– responde su solicitud</w:t>
      </w:r>
      <w:r>
        <w:rPr>
          <w:rFonts w:ascii="Verdana" w:eastAsia="Calibri" w:hAnsi="Verdana" w:cs="Arial"/>
          <w:lang w:val="es-ES" w:eastAsia="es-ES"/>
        </w:rPr>
        <w:t xml:space="preserve"> radicada en esta entidad </w:t>
      </w:r>
      <w:r w:rsidRPr="00E5644F">
        <w:rPr>
          <w:rFonts w:ascii="Verdana" w:eastAsia="Calibri" w:hAnsi="Verdana" w:cs="Arial"/>
          <w:lang w:val="es-ES" w:eastAsia="es-ES"/>
        </w:rPr>
        <w:t xml:space="preserve">el </w:t>
      </w:r>
      <w:r>
        <w:rPr>
          <w:rFonts w:ascii="Verdana" w:eastAsia="Calibri" w:hAnsi="Verdana" w:cs="Arial"/>
          <w:lang w:val="es-ES" w:eastAsia="es-ES"/>
        </w:rPr>
        <w:t>22</w:t>
      </w:r>
      <w:r w:rsidRPr="00656A22">
        <w:rPr>
          <w:rFonts w:ascii="Verdana" w:eastAsia="Calibri" w:hAnsi="Verdana" w:cs="Arial"/>
          <w:lang w:val="es-ES" w:eastAsia="es-ES"/>
        </w:rPr>
        <w:t xml:space="preserve"> de </w:t>
      </w:r>
      <w:r>
        <w:rPr>
          <w:rFonts w:ascii="Verdana" w:eastAsia="Calibri" w:hAnsi="Verdana" w:cs="Arial"/>
          <w:lang w:val="es-ES" w:eastAsia="es-ES"/>
        </w:rPr>
        <w:t>octubre</w:t>
      </w:r>
      <w:r w:rsidRPr="00656A22">
        <w:rPr>
          <w:rFonts w:ascii="Verdana" w:eastAsia="Calibri" w:hAnsi="Verdana" w:cs="Arial"/>
          <w:lang w:val="es-ES" w:eastAsia="es-ES"/>
        </w:rPr>
        <w:t xml:space="preserve"> de 2025,</w:t>
      </w:r>
      <w:r w:rsidRPr="00E5644F">
        <w:rPr>
          <w:rFonts w:ascii="Verdana" w:eastAsia="Calibri" w:hAnsi="Verdana" w:cs="Arial"/>
          <w:lang w:val="es-ES" w:eastAsia="es-ES"/>
        </w:rPr>
        <w:t xml:space="preserve"> en</w:t>
      </w:r>
      <w:r w:rsidRPr="006730E9">
        <w:rPr>
          <w:rFonts w:ascii="Verdana" w:eastAsia="Calibri" w:hAnsi="Verdana" w:cs="Arial"/>
          <w:lang w:val="es-ES" w:eastAsia="es-ES"/>
        </w:rPr>
        <w:t xml:space="preserve"> la cual manifiesta lo siguiente: </w:t>
      </w:r>
    </w:p>
    <w:p w14:paraId="58BA1597" w14:textId="77777777" w:rsidR="004B3741" w:rsidRPr="00326382" w:rsidRDefault="004B3741" w:rsidP="004B3741">
      <w:pPr>
        <w:spacing w:after="0" w:line="276" w:lineRule="auto"/>
        <w:ind w:left="709" w:right="474"/>
        <w:jc w:val="both"/>
        <w:rPr>
          <w:rFonts w:ascii="Verdana" w:hAnsi="Verdana" w:cs="Arial"/>
          <w:sz w:val="20"/>
          <w:szCs w:val="20"/>
          <w:shd w:val="clear" w:color="auto" w:fill="FFFFFF"/>
        </w:rPr>
      </w:pPr>
      <w:bookmarkStart w:id="2" w:name="_Hlk95313578"/>
    </w:p>
    <w:bookmarkEnd w:id="2"/>
    <w:p w14:paraId="75DB304C" w14:textId="77777777" w:rsidR="004B3741" w:rsidRDefault="004B3741" w:rsidP="004B3741">
      <w:pPr>
        <w:tabs>
          <w:tab w:val="left" w:pos="142"/>
          <w:tab w:val="left" w:pos="567"/>
        </w:tabs>
        <w:spacing w:after="0" w:line="240" w:lineRule="auto"/>
        <w:ind w:right="709"/>
        <w:jc w:val="both"/>
        <w:rPr>
          <w:rFonts w:ascii="Verdana" w:eastAsia="Century Gothic" w:hAnsi="Verdana" w:cs="Century Gothic"/>
          <w:i/>
          <w:iCs/>
          <w:sz w:val="20"/>
          <w:szCs w:val="20"/>
        </w:rPr>
      </w:pPr>
      <w:r w:rsidRPr="003575D1">
        <w:rPr>
          <w:rFonts w:ascii="Verdana" w:eastAsia="Century Gothic" w:hAnsi="Verdana" w:cs="Century Gothic"/>
          <w:i/>
          <w:iCs/>
          <w:sz w:val="20"/>
          <w:szCs w:val="20"/>
        </w:rPr>
        <w:t xml:space="preserve">          “(…) </w:t>
      </w:r>
    </w:p>
    <w:p w14:paraId="74D8C9C5" w14:textId="77777777" w:rsidR="004B3741" w:rsidRDefault="004B3741" w:rsidP="004B3741">
      <w:pPr>
        <w:tabs>
          <w:tab w:val="left" w:pos="142"/>
          <w:tab w:val="left" w:pos="567"/>
        </w:tabs>
        <w:spacing w:after="0" w:line="240" w:lineRule="auto"/>
        <w:ind w:left="709" w:right="709"/>
        <w:jc w:val="both"/>
        <w:rPr>
          <w:rFonts w:ascii="Verdana" w:eastAsia="Century Gothic" w:hAnsi="Verdana" w:cs="Century Gothic"/>
          <w:i/>
          <w:iCs/>
          <w:sz w:val="20"/>
          <w:szCs w:val="20"/>
        </w:rPr>
      </w:pPr>
    </w:p>
    <w:p w14:paraId="3BC175A4" w14:textId="77777777" w:rsidR="004B3741" w:rsidRPr="003D4704" w:rsidRDefault="004B3741" w:rsidP="004B3741">
      <w:pPr>
        <w:tabs>
          <w:tab w:val="left" w:pos="142"/>
          <w:tab w:val="left" w:pos="567"/>
        </w:tabs>
        <w:spacing w:after="0" w:line="240" w:lineRule="auto"/>
        <w:ind w:left="709" w:right="709"/>
        <w:jc w:val="both"/>
        <w:rPr>
          <w:rFonts w:ascii="Verdana" w:eastAsia="Century Gothic" w:hAnsi="Verdana" w:cs="Century Gothic"/>
          <w:i/>
          <w:iCs/>
          <w:sz w:val="20"/>
          <w:szCs w:val="20"/>
        </w:rPr>
      </w:pPr>
      <w:r w:rsidRPr="003D4704">
        <w:rPr>
          <w:rFonts w:ascii="Verdana" w:eastAsia="Century Gothic" w:hAnsi="Verdana" w:cs="Century Gothic"/>
          <w:i/>
          <w:iCs/>
          <w:sz w:val="20"/>
          <w:szCs w:val="20"/>
        </w:rPr>
        <w:t>Me dirijo a ustedes con el fin de realizar consulta en cuanto al proceso de publicación de los convenios interadministrativos.</w:t>
      </w:r>
    </w:p>
    <w:p w14:paraId="07CADDC9" w14:textId="77777777" w:rsidR="004B3741" w:rsidRPr="003D4704" w:rsidRDefault="004B3741" w:rsidP="004B3741">
      <w:pPr>
        <w:tabs>
          <w:tab w:val="left" w:pos="142"/>
          <w:tab w:val="left" w:pos="567"/>
        </w:tabs>
        <w:spacing w:after="0" w:line="240" w:lineRule="auto"/>
        <w:ind w:left="709" w:right="709"/>
        <w:jc w:val="both"/>
        <w:rPr>
          <w:rFonts w:ascii="Verdana" w:eastAsia="Century Gothic" w:hAnsi="Verdana" w:cs="Century Gothic"/>
          <w:i/>
          <w:iCs/>
          <w:sz w:val="20"/>
          <w:szCs w:val="20"/>
        </w:rPr>
      </w:pPr>
    </w:p>
    <w:p w14:paraId="0CAB2D42" w14:textId="77777777" w:rsidR="004B3741" w:rsidRPr="003D4704" w:rsidRDefault="004B3741" w:rsidP="004B3741">
      <w:pPr>
        <w:tabs>
          <w:tab w:val="left" w:pos="142"/>
          <w:tab w:val="left" w:pos="567"/>
        </w:tabs>
        <w:spacing w:after="0" w:line="240" w:lineRule="auto"/>
        <w:ind w:left="709" w:right="709"/>
        <w:jc w:val="both"/>
        <w:rPr>
          <w:rFonts w:ascii="Verdana" w:eastAsia="Century Gothic" w:hAnsi="Verdana" w:cs="Century Gothic"/>
          <w:i/>
          <w:iCs/>
          <w:sz w:val="20"/>
          <w:szCs w:val="20"/>
        </w:rPr>
      </w:pPr>
      <w:r w:rsidRPr="003D4704">
        <w:rPr>
          <w:rFonts w:ascii="Verdana" w:eastAsia="Century Gothic" w:hAnsi="Verdana" w:cs="Century Gothic"/>
          <w:i/>
          <w:iCs/>
          <w:sz w:val="20"/>
          <w:szCs w:val="20"/>
        </w:rPr>
        <w:t>Laboro para una entidad pública a la fecha tenemos suscritos varios convenios interadministrativos con otras entidades públicas y privadas, los cuales no se encuentran publicados en el Secop.</w:t>
      </w:r>
    </w:p>
    <w:p w14:paraId="1DF3EA29" w14:textId="77777777" w:rsidR="004B3741" w:rsidRPr="003D4704" w:rsidRDefault="004B3741" w:rsidP="004B3741">
      <w:pPr>
        <w:tabs>
          <w:tab w:val="left" w:pos="142"/>
          <w:tab w:val="left" w:pos="567"/>
        </w:tabs>
        <w:spacing w:after="0" w:line="240" w:lineRule="auto"/>
        <w:ind w:left="709" w:right="709"/>
        <w:jc w:val="both"/>
        <w:rPr>
          <w:rFonts w:ascii="Verdana" w:eastAsia="Century Gothic" w:hAnsi="Verdana" w:cs="Century Gothic"/>
          <w:i/>
          <w:iCs/>
          <w:sz w:val="20"/>
          <w:szCs w:val="20"/>
        </w:rPr>
      </w:pPr>
    </w:p>
    <w:p w14:paraId="316AEEAD" w14:textId="77777777" w:rsidR="004B3741" w:rsidRPr="003D4704" w:rsidRDefault="004B3741" w:rsidP="004B3741">
      <w:pPr>
        <w:tabs>
          <w:tab w:val="left" w:pos="142"/>
          <w:tab w:val="left" w:pos="567"/>
        </w:tabs>
        <w:spacing w:after="0" w:line="240" w:lineRule="auto"/>
        <w:ind w:left="709" w:right="709"/>
        <w:jc w:val="both"/>
        <w:rPr>
          <w:rFonts w:ascii="Verdana" w:eastAsia="Century Gothic" w:hAnsi="Verdana" w:cs="Century Gothic"/>
          <w:i/>
          <w:iCs/>
          <w:sz w:val="20"/>
          <w:szCs w:val="20"/>
        </w:rPr>
      </w:pPr>
      <w:r w:rsidRPr="003D4704">
        <w:rPr>
          <w:rFonts w:ascii="Verdana" w:eastAsia="Century Gothic" w:hAnsi="Verdana" w:cs="Century Gothic"/>
          <w:i/>
          <w:iCs/>
          <w:sz w:val="20"/>
          <w:szCs w:val="20"/>
        </w:rPr>
        <w:t>¿Se debe realizar la publicación de dichos convenios a pesar de que se suscribieron años atrás y ya están en ejecución?</w:t>
      </w:r>
    </w:p>
    <w:p w14:paraId="6E533D22" w14:textId="77777777" w:rsidR="004B3741" w:rsidRPr="003D4704" w:rsidRDefault="004B3741" w:rsidP="004B3741">
      <w:pPr>
        <w:tabs>
          <w:tab w:val="left" w:pos="142"/>
          <w:tab w:val="left" w:pos="567"/>
        </w:tabs>
        <w:spacing w:after="0" w:line="240" w:lineRule="auto"/>
        <w:ind w:left="709" w:right="709"/>
        <w:jc w:val="both"/>
        <w:rPr>
          <w:rFonts w:ascii="Verdana" w:eastAsia="Century Gothic" w:hAnsi="Verdana" w:cs="Century Gothic"/>
          <w:i/>
          <w:iCs/>
          <w:sz w:val="20"/>
          <w:szCs w:val="20"/>
        </w:rPr>
      </w:pPr>
    </w:p>
    <w:p w14:paraId="0A5D3CD6" w14:textId="77777777" w:rsidR="004B3741" w:rsidRPr="003D4704" w:rsidRDefault="004B3741" w:rsidP="004B3741">
      <w:pPr>
        <w:tabs>
          <w:tab w:val="left" w:pos="142"/>
          <w:tab w:val="left" w:pos="567"/>
        </w:tabs>
        <w:spacing w:after="0" w:line="240" w:lineRule="auto"/>
        <w:ind w:left="709" w:right="709"/>
        <w:jc w:val="both"/>
        <w:rPr>
          <w:rFonts w:ascii="Verdana" w:eastAsia="Century Gothic" w:hAnsi="Verdana" w:cs="Century Gothic"/>
          <w:i/>
          <w:iCs/>
          <w:sz w:val="20"/>
          <w:szCs w:val="20"/>
        </w:rPr>
      </w:pPr>
      <w:r w:rsidRPr="003D4704">
        <w:rPr>
          <w:rFonts w:ascii="Verdana" w:eastAsia="Century Gothic" w:hAnsi="Verdana" w:cs="Century Gothic"/>
          <w:i/>
          <w:iCs/>
          <w:sz w:val="20"/>
          <w:szCs w:val="20"/>
        </w:rPr>
        <w:t>Quedo muy atento a su orientación, muchas gracias</w:t>
      </w:r>
    </w:p>
    <w:p w14:paraId="35F39E68" w14:textId="77777777" w:rsidR="004B3741" w:rsidRPr="003D4704" w:rsidRDefault="004B3741" w:rsidP="004B3741">
      <w:pPr>
        <w:tabs>
          <w:tab w:val="left" w:pos="142"/>
          <w:tab w:val="left" w:pos="567"/>
        </w:tabs>
        <w:spacing w:after="0" w:line="240" w:lineRule="auto"/>
        <w:ind w:left="709" w:right="709"/>
        <w:jc w:val="both"/>
        <w:rPr>
          <w:rFonts w:ascii="Verdana" w:eastAsia="Century Gothic" w:hAnsi="Verdana" w:cs="Century Gothic"/>
          <w:i/>
          <w:iCs/>
          <w:sz w:val="20"/>
          <w:szCs w:val="20"/>
        </w:rPr>
      </w:pPr>
    </w:p>
    <w:p w14:paraId="5E10CC41" w14:textId="77777777" w:rsidR="004B3741" w:rsidRPr="00EA70F7" w:rsidRDefault="004B3741" w:rsidP="004B3741">
      <w:pPr>
        <w:tabs>
          <w:tab w:val="left" w:pos="142"/>
          <w:tab w:val="left" w:pos="567"/>
        </w:tabs>
        <w:spacing w:after="0" w:line="240" w:lineRule="auto"/>
        <w:ind w:left="709" w:right="709"/>
        <w:jc w:val="both"/>
        <w:rPr>
          <w:rFonts w:ascii="Verdana" w:eastAsia="Century Gothic" w:hAnsi="Verdana" w:cs="Century Gothic"/>
          <w:i/>
          <w:iCs/>
          <w:sz w:val="20"/>
          <w:szCs w:val="20"/>
        </w:rPr>
      </w:pPr>
      <w:r w:rsidRPr="00EA70F7">
        <w:rPr>
          <w:rFonts w:ascii="Verdana" w:eastAsia="Century Gothic" w:hAnsi="Verdana" w:cs="Century Gothic"/>
          <w:i/>
          <w:iCs/>
          <w:sz w:val="20"/>
          <w:szCs w:val="20"/>
        </w:rPr>
        <w:t xml:space="preserve">(…)”. </w:t>
      </w:r>
    </w:p>
    <w:p w14:paraId="4578B699" w14:textId="77777777" w:rsidR="004B3741" w:rsidRDefault="004B3741" w:rsidP="004B3741">
      <w:pPr>
        <w:spacing w:after="0" w:line="276" w:lineRule="auto"/>
        <w:ind w:firstLine="709"/>
        <w:jc w:val="both"/>
        <w:rPr>
          <w:rFonts w:ascii="Verdana" w:eastAsia="Calibri" w:hAnsi="Verdana" w:cs="Arial"/>
          <w:lang w:val="es-ES" w:eastAsia="es-ES"/>
        </w:rPr>
      </w:pPr>
    </w:p>
    <w:p w14:paraId="4301F562" w14:textId="77777777" w:rsidR="004B3741" w:rsidRPr="00AA3B9F" w:rsidRDefault="004B3741" w:rsidP="004B3741">
      <w:pPr>
        <w:spacing w:after="120" w:line="276" w:lineRule="auto"/>
        <w:ind w:firstLine="709"/>
        <w:jc w:val="both"/>
        <w:rPr>
          <w:rFonts w:ascii="Verdana" w:eastAsia="Calibri" w:hAnsi="Verdana" w:cs="Arial"/>
          <w:lang w:val="es-ES_tradnl" w:eastAsia="es-ES_tradnl"/>
        </w:rPr>
      </w:pPr>
      <w:r w:rsidRPr="00AA3B9F">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w:t>
      </w:r>
      <w:r>
        <w:rPr>
          <w:rFonts w:ascii="Verdana" w:eastAsia="Calibri" w:hAnsi="Verdana" w:cs="Arial"/>
          <w:lang w:val="es-ES" w:eastAsia="es-ES"/>
        </w:rPr>
        <w:t>la Agencia Nacional de Contratación Pública –</w:t>
      </w:r>
      <w:r w:rsidRPr="00AA3B9F">
        <w:rPr>
          <w:rFonts w:ascii="Verdana" w:eastAsia="Calibri" w:hAnsi="Verdana" w:cs="Arial"/>
          <w:lang w:val="es-ES" w:eastAsia="es-ES"/>
        </w:rPr>
        <w:t xml:space="preserve">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w:t>
      </w:r>
      <w:r>
        <w:rPr>
          <w:rFonts w:ascii="Verdana" w:eastAsia="Calibri" w:hAnsi="Verdana" w:cs="Arial"/>
          <w:lang w:val="es-ES" w:eastAsia="es-ES"/>
        </w:rPr>
        <w:t>E</w:t>
      </w:r>
      <w:r w:rsidRPr="00AA3B9F">
        <w:rPr>
          <w:rFonts w:ascii="Verdana" w:eastAsia="Calibri" w:hAnsi="Verdana" w:cs="Arial"/>
          <w:lang w:val="es-ES" w:eastAsia="es-ES"/>
        </w:rPr>
        <w:t xml:space="preserve">ntidades </w:t>
      </w:r>
      <w:r>
        <w:rPr>
          <w:rFonts w:ascii="Verdana" w:eastAsia="Calibri" w:hAnsi="Verdana" w:cs="Arial"/>
          <w:lang w:val="es-ES" w:eastAsia="es-ES"/>
        </w:rPr>
        <w:t xml:space="preserve">Estatales </w:t>
      </w:r>
      <w:r w:rsidRPr="00AA3B9F">
        <w:rPr>
          <w:rFonts w:ascii="Verdana" w:eastAsia="Calibri" w:hAnsi="Verdana" w:cs="Arial"/>
          <w:lang w:val="es-ES" w:eastAsia="es-ES"/>
        </w:rPr>
        <w:t>o de los demás participantes de la contratación pública. Esta competencia de interpretación de normas generales, por definición, no puede extenderse a la resolución de controversias, ni a brindar asesorías sobre casos puntuales.</w:t>
      </w:r>
    </w:p>
    <w:p w14:paraId="3D2F765C" w14:textId="77777777" w:rsidR="004B3741" w:rsidRDefault="004B3741" w:rsidP="004B3741">
      <w:pPr>
        <w:spacing w:after="0" w:line="276" w:lineRule="auto"/>
        <w:ind w:firstLine="709"/>
        <w:jc w:val="both"/>
      </w:pPr>
      <w:r w:rsidRPr="00AA3B9F">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w:t>
      </w:r>
      <w:r>
        <w:rPr>
          <w:rFonts w:ascii="Verdana" w:eastAsia="Calibri" w:hAnsi="Verdana" w:cs="Arial"/>
          <w:lang w:val="es-ES" w:eastAsia="es-ES"/>
        </w:rPr>
        <w:t>señala</w:t>
      </w:r>
      <w:r w:rsidRPr="00AA3B9F">
        <w:rPr>
          <w:rFonts w:ascii="Verdana" w:eastAsia="Calibri" w:hAnsi="Verdana" w:cs="Arial"/>
          <w:lang w:val="es-ES" w:eastAsia="es-ES"/>
        </w:rPr>
        <w:t>ndo unas consideraciones sobre las normas generales</w:t>
      </w:r>
      <w:r>
        <w:rPr>
          <w:rFonts w:ascii="Verdana" w:eastAsia="Calibri" w:hAnsi="Verdana" w:cs="Arial"/>
          <w:lang w:val="es-ES" w:eastAsia="es-ES"/>
        </w:rPr>
        <w:t xml:space="preserve"> que rigen el Sistema de Compras y Contratación Pública</w:t>
      </w:r>
      <w:r w:rsidRPr="00AA3B9F">
        <w:rPr>
          <w:rFonts w:ascii="Verdana" w:eastAsia="Calibri" w:hAnsi="Verdana" w:cs="Arial"/>
          <w:lang w:val="es-ES" w:eastAsia="es-ES"/>
        </w:rPr>
        <w:t xml:space="preserve"> relacionadas con los problemas jurídicos de su consulta.</w:t>
      </w:r>
      <w:r w:rsidRPr="00E21BD1">
        <w:t xml:space="preserve"> </w:t>
      </w:r>
    </w:p>
    <w:p w14:paraId="60DC8561" w14:textId="77777777" w:rsidR="004B3741" w:rsidRDefault="004B3741" w:rsidP="004B3741">
      <w:pPr>
        <w:pStyle w:val="Prrafodelista"/>
        <w:tabs>
          <w:tab w:val="left" w:pos="142"/>
          <w:tab w:val="left" w:pos="284"/>
        </w:tabs>
        <w:spacing w:after="0" w:line="240" w:lineRule="auto"/>
        <w:ind w:left="425" w:right="1185"/>
        <w:jc w:val="both"/>
        <w:rPr>
          <w:rFonts w:ascii="Verdana" w:eastAsia="Century Gothic" w:hAnsi="Verdana" w:cs="Century Gothic"/>
          <w:i/>
          <w:iCs/>
          <w:lang w:val="es-CO"/>
        </w:rPr>
      </w:pPr>
    </w:p>
    <w:p w14:paraId="06F5D1E7" w14:textId="77777777" w:rsidR="004B3741" w:rsidRDefault="004B3741" w:rsidP="004B3741">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w:t>
      </w:r>
      <w:r>
        <w:rPr>
          <w:rFonts w:ascii="Verdana" w:eastAsia="Century Gothic" w:hAnsi="Verdana" w:cs="Century Gothic"/>
          <w:b/>
          <w:bCs/>
        </w:rPr>
        <w:t xml:space="preserve">s jurídicos </w:t>
      </w:r>
      <w:r w:rsidRPr="00593A5F">
        <w:rPr>
          <w:rFonts w:ascii="Verdana" w:eastAsia="Century Gothic" w:hAnsi="Verdana" w:cs="Century Gothic"/>
          <w:b/>
          <w:bCs/>
        </w:rPr>
        <w:t>planteado</w:t>
      </w:r>
      <w:r>
        <w:rPr>
          <w:rFonts w:ascii="Verdana" w:eastAsia="Century Gothic" w:hAnsi="Verdana" w:cs="Century Gothic"/>
          <w:b/>
          <w:bCs/>
        </w:rPr>
        <w:t xml:space="preserve">s </w:t>
      </w:r>
      <w:r w:rsidRPr="00593A5F">
        <w:rPr>
          <w:rFonts w:ascii="Verdana" w:eastAsia="Century Gothic" w:hAnsi="Verdana" w:cs="Century Gothic"/>
          <w:b/>
          <w:bCs/>
        </w:rPr>
        <w:t>:</w:t>
      </w:r>
    </w:p>
    <w:p w14:paraId="1F824178" w14:textId="77777777" w:rsidR="004B3741" w:rsidRDefault="004B3741" w:rsidP="004B3741">
      <w:pPr>
        <w:pStyle w:val="Prrafodelista"/>
        <w:tabs>
          <w:tab w:val="left" w:pos="142"/>
          <w:tab w:val="left" w:pos="284"/>
        </w:tabs>
        <w:spacing w:after="0" w:line="276" w:lineRule="auto"/>
        <w:ind w:left="0"/>
        <w:jc w:val="both"/>
        <w:rPr>
          <w:rFonts w:ascii="Verdana" w:eastAsia="Century Gothic" w:hAnsi="Verdana" w:cs="Century Gothic"/>
          <w:b/>
          <w:bCs/>
        </w:rPr>
      </w:pPr>
    </w:p>
    <w:p w14:paraId="6316550F" w14:textId="77777777" w:rsidR="004B3741" w:rsidRDefault="004B3741" w:rsidP="004B3741">
      <w:pPr>
        <w:spacing w:after="0" w:line="276" w:lineRule="auto"/>
        <w:jc w:val="both"/>
        <w:rPr>
          <w:rFonts w:ascii="Verdana" w:eastAsia="Century Gothic" w:hAnsi="Verdana" w:cs="Century Gothic"/>
        </w:rPr>
      </w:pPr>
      <w:r w:rsidRPr="00E21BD1">
        <w:rPr>
          <w:rFonts w:ascii="Verdana" w:eastAsia="Calibri" w:hAnsi="Verdana" w:cs="Arial"/>
          <w:lang w:eastAsia="es-ES"/>
        </w:rPr>
        <w:t xml:space="preserve">De acuerdo con el contenido de su solicitud, esta Agencia resolverá </w:t>
      </w:r>
      <w:r>
        <w:rPr>
          <w:rFonts w:ascii="Verdana" w:eastAsia="Calibri" w:hAnsi="Verdana" w:cs="Arial"/>
          <w:lang w:eastAsia="es-ES"/>
        </w:rPr>
        <w:t xml:space="preserve">el </w:t>
      </w:r>
      <w:r w:rsidRPr="00E21BD1">
        <w:rPr>
          <w:rFonts w:ascii="Verdana" w:eastAsia="Calibri" w:hAnsi="Verdana" w:cs="Arial"/>
          <w:lang w:eastAsia="es-ES"/>
        </w:rPr>
        <w:t>siguiente problema jurídico:</w:t>
      </w:r>
      <w:bookmarkStart w:id="3" w:name="_Hlk196737317"/>
      <w:r>
        <w:rPr>
          <w:rFonts w:ascii="Verdana" w:eastAsia="Calibri" w:hAnsi="Verdana" w:cs="Arial"/>
          <w:lang w:eastAsia="es-ES"/>
        </w:rPr>
        <w:t xml:space="preserve"> </w:t>
      </w:r>
      <w:r w:rsidRPr="002D1330">
        <w:rPr>
          <w:rFonts w:ascii="Verdana" w:eastAsia="Calibri" w:hAnsi="Verdana" w:cs="Arial"/>
          <w:lang w:eastAsia="es-ES"/>
        </w:rPr>
        <w:t>¿</w:t>
      </w:r>
      <w:r w:rsidRPr="00610A35">
        <w:rPr>
          <w:rFonts w:ascii="Verdana" w:eastAsia="Calibri" w:hAnsi="Verdana" w:cs="Arial"/>
          <w:lang w:eastAsia="es-ES"/>
        </w:rPr>
        <w:t xml:space="preserve">Está </w:t>
      </w:r>
      <w:r>
        <w:rPr>
          <w:rFonts w:ascii="Verdana" w:eastAsia="Calibri" w:hAnsi="Verdana" w:cs="Arial"/>
          <w:lang w:eastAsia="es-ES"/>
        </w:rPr>
        <w:t>una</w:t>
      </w:r>
      <w:r w:rsidRPr="00610A35">
        <w:rPr>
          <w:rFonts w:ascii="Verdana" w:eastAsia="Calibri" w:hAnsi="Verdana" w:cs="Arial"/>
          <w:lang w:eastAsia="es-ES"/>
        </w:rPr>
        <w:t xml:space="preserve"> entidad estatal obligada a publicar en el Sistema Electrónico de Contratación Pública –SECOP– los convenios interadministrativos que celebró en años anteriores y que actualmente se encuentran en ejecución, pese a que no fueron registrados oportunamente en la plataforma al momento de su suscripción?</w:t>
      </w:r>
    </w:p>
    <w:p w14:paraId="6ACA10B1" w14:textId="77777777" w:rsidR="004B3741" w:rsidRDefault="004B3741" w:rsidP="004B3741">
      <w:pPr>
        <w:spacing w:after="0" w:line="276" w:lineRule="auto"/>
        <w:jc w:val="both"/>
        <w:rPr>
          <w:rFonts w:ascii="Verdana" w:eastAsia="Century Gothic" w:hAnsi="Verdana" w:cs="Century Gothic"/>
        </w:rPr>
      </w:pPr>
    </w:p>
    <w:bookmarkEnd w:id="3"/>
    <w:p w14:paraId="64EF33E2" w14:textId="77777777" w:rsidR="004B3741" w:rsidRDefault="004B3741" w:rsidP="004B3741">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47A6605C" w14:textId="77777777" w:rsidR="004B3741" w:rsidRPr="00593A5F" w:rsidRDefault="004B3741" w:rsidP="004B3741">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4B3741" w:rsidRPr="00593A5F" w14:paraId="45550BF9" w14:textId="77777777" w:rsidTr="1230A0EF">
        <w:tc>
          <w:tcPr>
            <w:tcW w:w="8828" w:type="dxa"/>
          </w:tcPr>
          <w:p w14:paraId="54CB7B8B" w14:textId="77777777" w:rsidR="004B3741" w:rsidRDefault="004B3741" w:rsidP="00566950">
            <w:pPr>
              <w:tabs>
                <w:tab w:val="left" w:pos="450"/>
              </w:tabs>
              <w:spacing w:before="120" w:line="276" w:lineRule="auto"/>
              <w:jc w:val="both"/>
              <w:rPr>
                <w:rFonts w:ascii="Verdana" w:hAnsi="Verdana" w:cs="Arial"/>
                <w:lang w:val="es-ES"/>
              </w:rPr>
            </w:pPr>
            <w:r>
              <w:rPr>
                <w:rFonts w:ascii="Verdana" w:eastAsia="Calibri" w:hAnsi="Verdana" w:cs="Arial"/>
                <w:bCs/>
              </w:rPr>
              <w:t xml:space="preserve">         De manera preliminar es pertinente indicar que </w:t>
            </w:r>
            <w:r>
              <w:rPr>
                <w:rFonts w:ascii="Verdana" w:hAnsi="Verdana" w:cs="Arial"/>
                <w:lang w:val="es-ES"/>
              </w:rPr>
              <w:t>e</w:t>
            </w:r>
            <w:r w:rsidRPr="00F16D2E">
              <w:rPr>
                <w:rFonts w:ascii="Verdana" w:hAnsi="Verdana" w:cs="Arial"/>
                <w:lang w:val="es-ES"/>
              </w:rPr>
              <w:t>l deber de publicidad que se desprende del artículo 3 de la Ley 1150 de 2007 está reglamentado por el artículo 2.2.1.1.1.7.1 del Decreto 1082 de 2015, el cual dispone los documentos que deben publicarse y al SECOP como medio de publicación</w:t>
            </w:r>
            <w:r w:rsidRPr="00F16D2E">
              <w:rPr>
                <w:rFonts w:ascii="Verdana" w:hAnsi="Verdana" w:cs="Arial"/>
                <w:vertAlign w:val="superscript"/>
                <w:lang w:val="es-ES"/>
              </w:rPr>
              <w:footnoteReference w:id="1"/>
            </w:r>
            <w:r w:rsidRPr="00F16D2E">
              <w:rPr>
                <w:rFonts w:ascii="Verdana" w:hAnsi="Verdana" w:cs="Arial"/>
                <w:lang w:val="es-ES"/>
              </w:rPr>
              <w:t>. De acuerdo con esto, las entidades deben cumplir con el principio de publicidad respecto de su actividad contractual como garantía para los administrados, para conocer las actuaciones y participar en el control de estas, siendo el SECOP la herramienta que dispuso el Estado para que las entidades cumplan el principio de publicidad.</w:t>
            </w:r>
          </w:p>
          <w:p w14:paraId="1D4F6056" w14:textId="77777777" w:rsidR="004B3741" w:rsidRPr="008F38FC" w:rsidRDefault="004B3741" w:rsidP="00566950">
            <w:pPr>
              <w:tabs>
                <w:tab w:val="left" w:pos="450"/>
              </w:tabs>
              <w:spacing w:before="120" w:line="276" w:lineRule="auto"/>
              <w:jc w:val="both"/>
              <w:rPr>
                <w:rFonts w:ascii="Verdana" w:hAnsi="Verdana" w:cs="Arial"/>
                <w:lang w:val="es-ES"/>
              </w:rPr>
            </w:pPr>
            <w:r>
              <w:rPr>
                <w:rFonts w:ascii="Verdana" w:eastAsia="Arial" w:hAnsi="Verdana" w:cs="Arial"/>
                <w:lang w:val="es-ES"/>
              </w:rPr>
              <w:t xml:space="preserve">          En virtud de las normas mencionadas anteriormente,</w:t>
            </w:r>
            <w:r w:rsidRPr="00F16D2E">
              <w:rPr>
                <w:rFonts w:ascii="Verdana" w:eastAsia="Arial" w:hAnsi="Verdana" w:cs="Arial"/>
                <w:lang w:val="es-ES"/>
              </w:rPr>
              <w:t xml:space="preserve"> las entidades están obligadas a publicar en el SECOP todos los documentos relacionados con el </w:t>
            </w:r>
            <w:r w:rsidRPr="00F16D2E">
              <w:rPr>
                <w:rFonts w:ascii="Verdana" w:eastAsia="Arial" w:hAnsi="Verdana" w:cs="Arial"/>
                <w:i/>
                <w:iCs/>
                <w:lang w:val="es-ES"/>
              </w:rPr>
              <w:t>Proceso de Contratación</w:t>
            </w:r>
            <w:r w:rsidRPr="00F16D2E">
              <w:rPr>
                <w:rFonts w:ascii="Verdana" w:eastAsia="Arial" w:hAnsi="Verdana" w:cs="Arial"/>
                <w:lang w:val="es-ES"/>
              </w:rPr>
              <w:t xml:space="preserve"> expedidos durante las etapas precontractual, de ejecución y postcontractual. Este deber aplica a todas las modalidades de selección y entidades regidas por el Estatuto General de Contratación de la Administración Pública,</w:t>
            </w:r>
            <w:r>
              <w:rPr>
                <w:rFonts w:ascii="Verdana" w:eastAsia="Arial" w:hAnsi="Verdana" w:cs="Arial"/>
                <w:lang w:val="es-ES"/>
              </w:rPr>
              <w:t xml:space="preserve"> así como las exceptuadas de este,</w:t>
            </w:r>
            <w:r w:rsidRPr="00F16D2E">
              <w:rPr>
                <w:rFonts w:ascii="Verdana" w:eastAsia="Arial" w:hAnsi="Verdana" w:cs="Arial"/>
                <w:lang w:val="es-ES"/>
              </w:rPr>
              <w:t xml:space="preserve"> y solo se encuentran excluidas las ofertas perdedoras y los documentos expedidos en el marco de operaciones de bolsa de productos. </w:t>
            </w:r>
          </w:p>
          <w:p w14:paraId="092F78BF" w14:textId="77777777" w:rsidR="004B3741" w:rsidRDefault="004B3741" w:rsidP="00566950">
            <w:pPr>
              <w:spacing w:before="120" w:after="120" w:line="276" w:lineRule="auto"/>
              <w:ind w:firstLine="726"/>
              <w:jc w:val="both"/>
              <w:rPr>
                <w:rFonts w:ascii="Verdana" w:eastAsia="Arial" w:hAnsi="Verdana" w:cs="Arial"/>
                <w:lang w:val="es-ES"/>
              </w:rPr>
            </w:pPr>
            <w:r w:rsidRPr="00F16D2E">
              <w:rPr>
                <w:rFonts w:ascii="Verdana" w:eastAsia="Calibri" w:hAnsi="Verdana" w:cs="Arial"/>
                <w:lang w:val="es-ES"/>
              </w:rPr>
              <w:t xml:space="preserve">Adicionalmente, el deber de publicar la actividad contractual de las entidades estatales no solo está regulado en el artículo 3 de la Ley 1150 de 2007 y en el </w:t>
            </w:r>
            <w:r w:rsidRPr="00F16D2E">
              <w:rPr>
                <w:rFonts w:ascii="Verdana" w:eastAsia="Arial" w:hAnsi="Verdana" w:cs="Arial"/>
                <w:lang w:val="es-ES"/>
              </w:rPr>
              <w:t xml:space="preserve">artículo 2.2.1.1.1.7.1 del Decreto 1082 de 2015, sino también en la Ley 1712 de 2014 y en el Decreto 1081 de 2015. Estas normas no solo refuerzan y complementan al régimen de contratación estatal en cuanto a la publicidad, sino que lo amplía, para incluir la publicación de los “procedimientos” y la información relativa a la “gestión contractual”, sin el condicionamiento de tratarse exclusivamente de los </w:t>
            </w:r>
            <w:r w:rsidRPr="00F16D2E">
              <w:rPr>
                <w:rFonts w:ascii="Verdana" w:eastAsia="Arial" w:hAnsi="Verdana" w:cs="Arial"/>
                <w:i/>
                <w:iCs/>
                <w:lang w:val="es-ES"/>
              </w:rPr>
              <w:t xml:space="preserve">Documentos del Proceso </w:t>
            </w:r>
            <w:r w:rsidRPr="00F16D2E">
              <w:rPr>
                <w:rFonts w:ascii="Verdana" w:eastAsia="Arial" w:hAnsi="Verdana" w:cs="Arial"/>
                <w:lang w:val="es-ES"/>
              </w:rPr>
              <w:t xml:space="preserve">expedidos por la “entidad estatal”. </w:t>
            </w:r>
          </w:p>
          <w:p w14:paraId="7D37DF05" w14:textId="77777777" w:rsidR="004B3741" w:rsidRDefault="004B3741" w:rsidP="00566950">
            <w:pPr>
              <w:tabs>
                <w:tab w:val="left" w:pos="450"/>
              </w:tabs>
              <w:spacing w:before="120" w:line="276" w:lineRule="auto"/>
              <w:jc w:val="both"/>
            </w:pPr>
            <w:r>
              <w:rPr>
                <w:rFonts w:ascii="Verdana" w:eastAsia="Calibri" w:hAnsi="Verdana" w:cs="Arial"/>
                <w:color w:val="000000"/>
              </w:rPr>
              <w:t xml:space="preserve">         De igual manera d</w:t>
            </w:r>
            <w:r w:rsidRPr="00AD6B46">
              <w:rPr>
                <w:rFonts w:ascii="Verdana" w:eastAsia="Calibri" w:hAnsi="Verdana" w:cs="Arial"/>
                <w:color w:val="000000"/>
              </w:rPr>
              <w:t xml:space="preserve">ebe precisarse que, en virtud del principio de transparencia, específicamente por cuenta de lo dispuesto en el numeral 4 del artículo 24 de la </w:t>
            </w:r>
            <w:r>
              <w:rPr>
                <w:rFonts w:ascii="Verdana" w:eastAsia="Calibri" w:hAnsi="Verdana" w:cs="Arial"/>
                <w:color w:val="000000"/>
              </w:rPr>
              <w:t>L</w:t>
            </w:r>
            <w:r w:rsidRPr="00AD6B46">
              <w:rPr>
                <w:rFonts w:ascii="Verdana" w:eastAsia="Calibri" w:hAnsi="Verdana" w:cs="Arial"/>
                <w:color w:val="000000"/>
              </w:rPr>
              <w:t>ey 80 de 1993</w:t>
            </w:r>
            <w:r w:rsidRPr="00AD6B46">
              <w:rPr>
                <w:rFonts w:ascii="Verdana" w:eastAsia="Calibri" w:hAnsi="Verdana" w:cs="Arial"/>
                <w:color w:val="000000"/>
                <w:vertAlign w:val="superscript"/>
              </w:rPr>
              <w:footnoteReference w:id="2"/>
            </w:r>
            <w:r w:rsidRPr="00AD6B46">
              <w:rPr>
                <w:rFonts w:ascii="Verdana" w:eastAsia="Calibri" w:hAnsi="Verdana" w:cs="Arial"/>
                <w:color w:val="000000"/>
              </w:rPr>
              <w:t>, así como por el principio de máxima publicidad establecido en el artículo 2 de la Ley 1712 de 2014</w:t>
            </w:r>
            <w:r w:rsidRPr="00AD6B46">
              <w:rPr>
                <w:rFonts w:ascii="Verdana" w:eastAsia="Calibri" w:hAnsi="Verdana" w:cs="Arial"/>
                <w:color w:val="000000"/>
                <w:vertAlign w:val="superscript"/>
              </w:rPr>
              <w:footnoteReference w:id="3"/>
            </w:r>
            <w:r w:rsidRPr="00AD6B46">
              <w:rPr>
                <w:rFonts w:ascii="Verdana" w:eastAsia="Calibri" w:hAnsi="Verdana" w:cs="Arial"/>
                <w:color w:val="000000"/>
              </w:rPr>
              <w:t>, el contenido del expediente en el que reposa la actuación es información pública, independientemente de si se trata de documentos que deban publicarse en SECOP.</w:t>
            </w:r>
            <w:r>
              <w:t xml:space="preserve"> </w:t>
            </w:r>
          </w:p>
          <w:p w14:paraId="300F3E18" w14:textId="4C900B44" w:rsidR="00C664C8" w:rsidRPr="00C664C8" w:rsidRDefault="004B3741" w:rsidP="1230A0EF">
            <w:pPr>
              <w:tabs>
                <w:tab w:val="left" w:pos="450"/>
              </w:tabs>
              <w:spacing w:before="120" w:line="276" w:lineRule="auto"/>
              <w:jc w:val="both"/>
              <w:rPr>
                <w:rFonts w:ascii="Verdana" w:hAnsi="Verdana" w:cs="Arial"/>
              </w:rPr>
            </w:pPr>
            <w:r w:rsidRPr="1230A0EF">
              <w:rPr>
                <w:color w:val="000000" w:themeColor="text1"/>
              </w:rPr>
              <w:t xml:space="preserve">               </w:t>
            </w:r>
            <w:r w:rsidR="00C664C8" w:rsidRPr="00C664C8">
              <w:rPr>
                <w:rFonts w:ascii="Verdana" w:hAnsi="Verdana"/>
                <w:color w:val="000000" w:themeColor="text1"/>
              </w:rPr>
              <w:t>Ahora bien, en atención al problema jurídico planteado, toda la actividad contractual de las entidades estatales debe ponerse a disposición del público como desarrollo del principio de publicidad y del derecho de acceso a la información. Si bien el artículo 2.2.1.1.1.7.1 del Decreto 1082 de 2015 establece un plazo de tres (3) días para realizar las publicaciones en el SECOP, lo cierto es que, en línea con lo previsto en el Concepto C-185 del 24 de marzo de 2025 expedido por esta Subdirección Contractual, y conforme a lo anteriormente indicado, todo sujeto obligado debe publicar sus procedimientos, lineamientos y políticas en materia de adquisiciones y compras, así como los datos de adjudicación y de ejecución de sus contratos. En ese sentido, la plataforma SECOP constituye el medio idóneo para dar cumplimiento al deber de publicidad, de conformidad con lo dispuesto en el artículo 3 de la Ley 1150 de 2007, los artículos 3 y 19 de la Ley 1508 de 2012, la Ley 1712 de 2014, la Circular Externa 03 de 2024 y las demás normas que regulan la obligación de divulgar la información contractual.</w:t>
            </w:r>
          </w:p>
          <w:p w14:paraId="6B8EC2AB" w14:textId="77777777" w:rsidR="004B3741" w:rsidRDefault="004B3741" w:rsidP="00566950">
            <w:pPr>
              <w:tabs>
                <w:tab w:val="left" w:pos="450"/>
              </w:tabs>
              <w:spacing w:before="120" w:line="276" w:lineRule="auto"/>
              <w:jc w:val="both"/>
              <w:rPr>
                <w:rFonts w:ascii="Verdana" w:eastAsia="Calibri" w:hAnsi="Verdana" w:cs="Arial"/>
                <w:bCs/>
              </w:rPr>
            </w:pPr>
            <w:r>
              <w:rPr>
                <w:rFonts w:ascii="Verdana" w:hAnsi="Verdana"/>
              </w:rPr>
              <w:t xml:space="preserve">         </w:t>
            </w:r>
            <w:r w:rsidRPr="004C713C">
              <w:rPr>
                <w:rFonts w:ascii="Verdana" w:hAnsi="Verdana"/>
              </w:rPr>
              <w:t xml:space="preserve">Dentro de este marco, corresponde a cada entidad pública, en ejercicio de su competencia y previa valoración de los elementos fácticos y jurídicos, así como de las disposiciones legales mencionadas, </w:t>
            </w:r>
            <w:r>
              <w:rPr>
                <w:rFonts w:ascii="Verdana" w:hAnsi="Verdana"/>
              </w:rPr>
              <w:t>determinar la publicación de los documentos que hacen parte de su gestión contractual.</w:t>
            </w:r>
            <w:r w:rsidRPr="004C713C">
              <w:rPr>
                <w:rFonts w:ascii="Verdana" w:hAnsi="Verdana"/>
              </w:rPr>
              <w:t xml:space="preserve"> Al tratarse de un análisis que debe realizarse en el procedimiento contractual específico, la Agencia no puede definir un criterio universal y absoluto por vía consultiva, sino que brinda elementos de carácter general para que</w:t>
            </w:r>
            <w:r w:rsidRPr="00E61635">
              <w:rPr>
                <w:rFonts w:ascii="Verdana" w:hAnsi="Verdana"/>
              </w:rPr>
              <w:t xml:space="preserv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5ECEF9E1" w14:textId="77777777" w:rsidR="004B3741" w:rsidRPr="00E529C2" w:rsidRDefault="004B3741" w:rsidP="00566950">
            <w:pPr>
              <w:spacing w:after="120" w:line="276" w:lineRule="auto"/>
              <w:jc w:val="both"/>
              <w:rPr>
                <w:rFonts w:ascii="Verdana" w:eastAsia="Calibri" w:hAnsi="Verdana" w:cs="Times New Roman"/>
                <w:lang w:val="es-ES"/>
              </w:rPr>
            </w:pPr>
          </w:p>
        </w:tc>
      </w:tr>
      <w:tr w:rsidR="004B3741" w:rsidRPr="00593A5F" w14:paraId="5BABC334" w14:textId="77777777" w:rsidTr="1230A0EF">
        <w:tc>
          <w:tcPr>
            <w:tcW w:w="8828" w:type="dxa"/>
          </w:tcPr>
          <w:p w14:paraId="6AB92420" w14:textId="77777777" w:rsidR="004B3741" w:rsidRDefault="004B3741" w:rsidP="00566950">
            <w:pPr>
              <w:spacing w:after="120" w:line="276" w:lineRule="auto"/>
              <w:jc w:val="both"/>
              <w:rPr>
                <w:rFonts w:ascii="Verdana" w:eastAsia="Calibri" w:hAnsi="Verdana" w:cs="Arial"/>
                <w:bCs/>
                <w:lang w:eastAsia="es-ES_tradnl"/>
              </w:rPr>
            </w:pPr>
          </w:p>
        </w:tc>
      </w:tr>
    </w:tbl>
    <w:p w14:paraId="676C8B16" w14:textId="77777777" w:rsidR="004B3741" w:rsidRDefault="004B3741" w:rsidP="004B3741">
      <w:pPr>
        <w:tabs>
          <w:tab w:val="left" w:pos="142"/>
          <w:tab w:val="left" w:pos="284"/>
        </w:tabs>
        <w:spacing w:after="0" w:line="276" w:lineRule="auto"/>
        <w:jc w:val="both"/>
        <w:rPr>
          <w:rFonts w:ascii="Verdana" w:eastAsia="Century Gothic" w:hAnsi="Verdana" w:cs="Century Gothic"/>
          <w:b/>
          <w:bCs/>
          <w:lang w:val="es-ES"/>
        </w:rPr>
      </w:pPr>
    </w:p>
    <w:p w14:paraId="4A20CC18" w14:textId="77777777" w:rsidR="004B3741" w:rsidRDefault="004B3741" w:rsidP="004B3741">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23428EF3">
        <w:rPr>
          <w:rFonts w:ascii="Verdana" w:eastAsia="Century Gothic" w:hAnsi="Verdana" w:cs="Century Gothic"/>
          <w:b/>
          <w:bCs/>
        </w:rPr>
        <w:t>Razones de la respuesta:</w:t>
      </w:r>
    </w:p>
    <w:p w14:paraId="67428D48" w14:textId="77777777" w:rsidR="004B3741" w:rsidRDefault="004B3741" w:rsidP="004B3741">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7F32F7D1" w14:textId="77777777" w:rsidR="004B3741" w:rsidRDefault="004B3741" w:rsidP="004B3741">
      <w:pPr>
        <w:spacing w:after="0" w:line="276" w:lineRule="auto"/>
        <w:ind w:firstLine="708"/>
        <w:jc w:val="both"/>
        <w:rPr>
          <w:rFonts w:ascii="Verdana" w:eastAsia="Times New Roman" w:hAnsi="Verdana" w:cs="Arial"/>
          <w:lang w:val="es-ES_tradnl" w:eastAsia="es-ES_tradnl"/>
          <w14:ligatures w14:val="standardContextual"/>
        </w:rPr>
      </w:pPr>
      <w:r>
        <w:rPr>
          <w:rFonts w:ascii="Verdana" w:eastAsia="Times New Roman" w:hAnsi="Verdana" w:cs="Arial"/>
          <w:lang w:val="es-ES_tradnl" w:eastAsia="es-ES_tradnl"/>
          <w14:ligatures w14:val="standardContextual"/>
        </w:rPr>
        <w:t>E</w:t>
      </w:r>
      <w:r w:rsidRPr="005817C0">
        <w:rPr>
          <w:rFonts w:ascii="Verdana" w:eastAsia="Times New Roman" w:hAnsi="Verdana" w:cs="Arial"/>
          <w:lang w:val="es-ES_tradnl" w:eastAsia="es-ES_tradnl"/>
          <w14:ligatures w14:val="standardContextual"/>
        </w:rPr>
        <w:t xml:space="preserve">l principio de publicidad impone a las autoridades administrativas el deber de dar a conocer sus actos, contratos y decisiones para que se divulguen y eventualmente se controlen. Por ello, en la contratación estatal, el literal c) del artículo 3 de la Ley 1150 de 2007 establece el Sistema Electrónico para la Contratación Pública, en adelante SECOP, como un mecanismo que “contará con la </w:t>
      </w:r>
      <w:r w:rsidRPr="00330EF6">
        <w:rPr>
          <w:rFonts w:ascii="Verdana" w:eastAsia="Times New Roman" w:hAnsi="Verdana" w:cs="Arial"/>
          <w:lang w:val="es-ES_tradnl" w:eastAsia="es-ES_tradnl"/>
          <w14:ligatures w14:val="standardContextual"/>
        </w:rPr>
        <w:t>información oficial de la contratación realizada con dineros públicos, para lo cual establecerá los patrones a que haya lugar y se encargará de su difusión a través de canales electrónicos”</w:t>
      </w:r>
      <w:r w:rsidRPr="00330EF6">
        <w:rPr>
          <w:rFonts w:ascii="Verdana" w:eastAsia="Times New Roman" w:hAnsi="Verdana" w:cs="Arial"/>
          <w:vertAlign w:val="superscript"/>
          <w:lang w:val="es-ES_tradnl" w:eastAsia="es-ES_tradnl"/>
          <w14:ligatures w14:val="standardContextual"/>
        </w:rPr>
        <w:footnoteReference w:id="4"/>
      </w:r>
      <w:r w:rsidRPr="00330EF6">
        <w:rPr>
          <w:rFonts w:ascii="Verdana" w:eastAsia="Times New Roman" w:hAnsi="Verdana" w:cs="Arial"/>
          <w:lang w:val="es-ES_tradnl" w:eastAsia="es-ES_tradnl"/>
          <w14:ligatures w14:val="standardContextual"/>
        </w:rPr>
        <w:t>.</w:t>
      </w:r>
    </w:p>
    <w:p w14:paraId="615A0602" w14:textId="77777777" w:rsidR="004B3741" w:rsidRDefault="004B3741" w:rsidP="004B3741">
      <w:pPr>
        <w:spacing w:before="120" w:after="120" w:line="276" w:lineRule="auto"/>
        <w:ind w:firstLine="709"/>
        <w:jc w:val="both"/>
        <w:rPr>
          <w:rFonts w:ascii="Verdana" w:eastAsia="Calibri" w:hAnsi="Verdana" w:cs="Arial"/>
          <w:color w:val="000000"/>
          <w:lang w:val="es-ES_tradnl"/>
        </w:rPr>
      </w:pPr>
      <w:r w:rsidRPr="00642EA6">
        <w:rPr>
          <w:rFonts w:ascii="Verdana" w:eastAsia="Calibri" w:hAnsi="Verdana" w:cs="Arial"/>
          <w:shd w:val="clear" w:color="auto" w:fill="FFFFFF"/>
        </w:rPr>
        <w:t>En ese sentido, la Ley 1712 de 2014 –ley estatutaria que regula la transparencia y el derecho de acceso a la información y a los documentos públicos–; identifica como principios que orientan el derecho de acceso a la información pública, el</w:t>
      </w:r>
      <w:r w:rsidRPr="00642EA6">
        <w:rPr>
          <w:rFonts w:ascii="Verdana" w:eastAsia="Calibri" w:hAnsi="Verdana" w:cs="Arial"/>
          <w:color w:val="000000"/>
          <w:lang w:val="es-ES_tradnl"/>
        </w:rPr>
        <w:t xml:space="preserve">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w:t>
      </w:r>
      <w:r w:rsidRPr="00642EA6">
        <w:rPr>
          <w:rFonts w:ascii="Aptos" w:eastAsia="Aptos" w:hAnsi="Aptos" w:cs="Times New Roman"/>
          <w:color w:val="000000"/>
          <w:vertAlign w:val="superscript"/>
          <w:lang w:val="es-ES_tradnl"/>
        </w:rPr>
        <w:footnoteReference w:id="5"/>
      </w:r>
      <w:r w:rsidRPr="00642EA6">
        <w:rPr>
          <w:rFonts w:ascii="Verdana" w:eastAsia="Calibri" w:hAnsi="Verdana" w:cs="Arial"/>
          <w:color w:val="000000"/>
          <w:lang w:val="es-ES_tradnl"/>
        </w:rPr>
        <w:t xml:space="preserve">. El principio de transparencia en la información alude al deber de los sujetos de proporcionar y facilitar el acceso a la misma en los términos más amplios posibles, y a través de los medios y procedimientos legales. </w:t>
      </w:r>
    </w:p>
    <w:p w14:paraId="55A568F2" w14:textId="77777777" w:rsidR="004B3741" w:rsidRPr="00642EA6" w:rsidRDefault="004B3741" w:rsidP="004B3741">
      <w:pPr>
        <w:spacing w:before="120" w:after="120" w:line="276" w:lineRule="auto"/>
        <w:ind w:firstLine="709"/>
        <w:jc w:val="both"/>
        <w:rPr>
          <w:rFonts w:ascii="Verdana" w:eastAsia="Calibri" w:hAnsi="Verdana" w:cs="Arial"/>
          <w:color w:val="000000"/>
          <w:lang w:val="es-ES_tradnl"/>
        </w:rPr>
      </w:pPr>
      <w:r w:rsidRPr="00642EA6">
        <w:rPr>
          <w:rFonts w:ascii="Verdana" w:eastAsia="Calibri" w:hAnsi="Verdana" w:cs="Arial"/>
          <w:color w:val="000000"/>
          <w:lang w:val="es-ES_tradnl"/>
        </w:rPr>
        <w:t xml:space="preserve">La Ley estatutaria citada establece, en el literal </w:t>
      </w:r>
      <w:r>
        <w:rPr>
          <w:rFonts w:ascii="Verdana" w:eastAsia="Calibri" w:hAnsi="Verdana" w:cs="Arial"/>
          <w:color w:val="000000"/>
          <w:lang w:val="es-ES_tradnl"/>
        </w:rPr>
        <w:t>a</w:t>
      </w:r>
      <w:r w:rsidRPr="00642EA6">
        <w:rPr>
          <w:rFonts w:ascii="Verdana" w:eastAsia="Calibri" w:hAnsi="Verdana" w:cs="Arial"/>
          <w:color w:val="000000"/>
          <w:lang w:val="es-ES_tradnl"/>
        </w:rPr>
        <w:t xml:space="preserve">) del artículo </w:t>
      </w:r>
      <w:r>
        <w:rPr>
          <w:rFonts w:ascii="Verdana" w:eastAsia="Calibri" w:hAnsi="Verdana" w:cs="Arial"/>
          <w:color w:val="000000"/>
          <w:lang w:val="es-ES_tradnl"/>
        </w:rPr>
        <w:t>5</w:t>
      </w:r>
      <w:r w:rsidRPr="00642EA6">
        <w:rPr>
          <w:rFonts w:ascii="Verdana" w:eastAsia="Calibri" w:hAnsi="Verdana" w:cs="Arial"/>
          <w:color w:val="000000"/>
          <w:lang w:val="es-ES_tradnl"/>
        </w:rPr>
        <w:t>, que los sujetos obligados, que son todas las entidades públicas</w:t>
      </w:r>
      <w:r w:rsidRPr="00642EA6">
        <w:rPr>
          <w:rFonts w:ascii="Aptos" w:eastAsia="Aptos" w:hAnsi="Aptos" w:cs="Times New Roman"/>
          <w:color w:val="000000"/>
          <w:vertAlign w:val="superscript"/>
          <w:lang w:val="es-ES_tradnl"/>
        </w:rPr>
        <w:footnoteReference w:id="6"/>
      </w:r>
      <w:r w:rsidRPr="00642EA6">
        <w:rPr>
          <w:rFonts w:ascii="Verdana" w:eastAsia="Calibri" w:hAnsi="Verdana" w:cs="Arial"/>
          <w:color w:val="000000"/>
          <w:lang w:val="es-ES_tradnl"/>
        </w:rPr>
        <w:t xml:space="preserve">, deben publicar la información relativa a su contratación. Esta obligación fue desarrollada </w:t>
      </w:r>
      <w:r w:rsidRPr="00056E4C">
        <w:rPr>
          <w:rFonts w:ascii="Verdana" w:eastAsia="Arial" w:hAnsi="Verdana" w:cs="Arial"/>
          <w:lang w:val="es-ES"/>
        </w:rPr>
        <w:t>por el Decreto 103 de 2015, compilado en el Decreto 1081 de 2015</w:t>
      </w:r>
      <w:r w:rsidRPr="00642EA6">
        <w:rPr>
          <w:rFonts w:ascii="Aptos" w:eastAsia="Aptos" w:hAnsi="Aptos" w:cs="Times New Roman"/>
          <w:color w:val="000000"/>
          <w:vertAlign w:val="superscript"/>
          <w:lang w:val="es-ES_tradnl"/>
        </w:rPr>
        <w:footnoteReference w:id="7"/>
      </w:r>
      <w:r w:rsidRPr="00642EA6">
        <w:rPr>
          <w:rFonts w:ascii="Verdana" w:eastAsia="Calibri" w:hAnsi="Verdana" w:cs="Arial"/>
          <w:color w:val="000000"/>
          <w:lang w:val="es-ES_tradnl"/>
        </w:rPr>
        <w:t xml:space="preserve">, el cual dispuso que la publicación de la información contractual de los sujetos obligados, que contratan con cargo a recursos públicos, debe hacerse en el </w:t>
      </w:r>
      <w:r w:rsidRPr="00056E4C">
        <w:rPr>
          <w:rFonts w:ascii="Verdana" w:eastAsia="Arial" w:hAnsi="Verdana" w:cs="Arial"/>
          <w:lang w:val="es-ES"/>
        </w:rPr>
        <w:t>Sistema Electrónico de Contratación Pública –SECOP–</w:t>
      </w:r>
      <w:r w:rsidRPr="00642EA6">
        <w:rPr>
          <w:rFonts w:ascii="Verdana" w:eastAsia="Calibri" w:hAnsi="Verdana" w:cs="Arial"/>
          <w:color w:val="000000"/>
          <w:lang w:val="es-ES_tradnl"/>
        </w:rPr>
        <w:t>.</w:t>
      </w:r>
    </w:p>
    <w:p w14:paraId="45B7ED2C" w14:textId="77777777" w:rsidR="004B3741" w:rsidRDefault="004B3741" w:rsidP="004B3741">
      <w:pPr>
        <w:spacing w:before="120" w:after="0" w:line="276" w:lineRule="auto"/>
        <w:ind w:firstLine="708"/>
        <w:contextualSpacing/>
        <w:jc w:val="both"/>
        <w:rPr>
          <w:rFonts w:ascii="Verdana" w:eastAsia="Calibri" w:hAnsi="Verdana" w:cs="Arial"/>
          <w:color w:val="000000"/>
          <w:szCs w:val="24"/>
          <w:lang w:val="es-ES_tradnl" w:eastAsia="es-ES_tradnl"/>
        </w:rPr>
      </w:pPr>
      <w:r w:rsidRPr="00642EA6">
        <w:rPr>
          <w:rFonts w:ascii="Verdana" w:eastAsia="Times New Roman" w:hAnsi="Verdana" w:cs="Arial"/>
          <w:color w:val="000000"/>
          <w:szCs w:val="24"/>
          <w:lang w:val="es-ES_tradnl" w:eastAsia="es-ES_tradnl"/>
        </w:rPr>
        <w:t xml:space="preserve">Asimismo, de acuerdo con el literal g) del artículo 11 de la misma ley, todos los destinatarios de la ley de transparencia deben garantizar la publicidad de “sus procedimientos, lineamientos, políticas en materia de adquisiciones y compras, así como todos los datos de adjudicación y ejecución de contratos, incluidos concursos y licitaciones”, y esta información también debe estar en el SECOP. </w:t>
      </w:r>
    </w:p>
    <w:p w14:paraId="3C1281FC" w14:textId="77777777" w:rsidR="004B3741" w:rsidRPr="00F16D2E" w:rsidRDefault="004B3741" w:rsidP="004B3741">
      <w:pPr>
        <w:widowControl w:val="0"/>
        <w:tabs>
          <w:tab w:val="left" w:pos="728"/>
        </w:tabs>
        <w:autoSpaceDE w:val="0"/>
        <w:autoSpaceDN w:val="0"/>
        <w:spacing w:after="120" w:line="276" w:lineRule="auto"/>
        <w:ind w:firstLine="726"/>
        <w:jc w:val="both"/>
        <w:rPr>
          <w:rFonts w:ascii="Verdana" w:hAnsi="Verdana" w:cs="Arial"/>
          <w:lang w:val="es-ES"/>
        </w:rPr>
      </w:pPr>
      <w:r w:rsidRPr="00F16D2E">
        <w:rPr>
          <w:rFonts w:ascii="Verdana" w:eastAsia="Arial" w:hAnsi="Verdana" w:cs="Arial"/>
          <w:lang w:val="es-ES"/>
        </w:rPr>
        <w:tab/>
      </w:r>
      <w:r w:rsidRPr="00F16D2E">
        <w:rPr>
          <w:rFonts w:ascii="Verdana" w:hAnsi="Verdana" w:cs="Arial"/>
          <w:lang w:val="es-ES"/>
        </w:rPr>
        <w:t>El deber de publicidad que se desprende del artículo 3 de la Ley 1150 de 2007 está reglamentado por el artículo 2.2.1.1.1.7.1 del Decreto 1082 de 2015, el cual dispone los documentos que deben publicarse y al SECOP como medio de publicación</w:t>
      </w:r>
      <w:r w:rsidRPr="00F16D2E">
        <w:rPr>
          <w:rFonts w:ascii="Verdana" w:hAnsi="Verdana" w:cs="Arial"/>
          <w:vertAlign w:val="superscript"/>
          <w:lang w:val="es-ES"/>
        </w:rPr>
        <w:footnoteReference w:id="8"/>
      </w:r>
      <w:r w:rsidRPr="00F16D2E">
        <w:rPr>
          <w:rFonts w:ascii="Verdana" w:hAnsi="Verdana" w:cs="Arial"/>
          <w:lang w:val="es-ES"/>
        </w:rPr>
        <w:t>. De acuerdo con esto, las entidades deben cumplir con el principio de publicidad respecto de su actividad contractual como garantía para los administrados, para conocer las actuaciones y participar en el control de estas, siendo el SECOP la herramienta que dispuso el Estado para que las entidades cumplan el principio de publicidad.</w:t>
      </w:r>
    </w:p>
    <w:p w14:paraId="2D116196" w14:textId="77777777" w:rsidR="004B3741" w:rsidRDefault="004B3741" w:rsidP="004B3741">
      <w:pPr>
        <w:widowControl w:val="0"/>
        <w:autoSpaceDE w:val="0"/>
        <w:autoSpaceDN w:val="0"/>
        <w:spacing w:after="120" w:line="276" w:lineRule="auto"/>
        <w:ind w:firstLine="726"/>
        <w:jc w:val="both"/>
        <w:rPr>
          <w:rFonts w:ascii="Verdana" w:eastAsia="Arial" w:hAnsi="Verdana" w:cs="Arial"/>
          <w:lang w:val="es-ES"/>
        </w:rPr>
      </w:pPr>
      <w:r w:rsidRPr="00F16D2E">
        <w:rPr>
          <w:rFonts w:ascii="Verdana" w:hAnsi="Verdana" w:cs="Arial"/>
          <w:lang w:val="es-ES"/>
        </w:rPr>
        <w:t>Ahora bien, las entidades estatales, conforme al artículo 2.2.1.1.1.7.1 del Decreto 1082 de 2015, tienen la obligación de publicar en el SECOP “[…] los Documentos del Proceso y los actos administrativos del Proceso de Contratación […]”. La expresión Documentos del Proceso está definida en el artículo 2.2.1.1.1.3.1</w:t>
      </w:r>
      <w:r>
        <w:rPr>
          <w:rFonts w:ascii="Verdana" w:hAnsi="Verdana" w:cs="Arial"/>
          <w:lang w:val="es-ES"/>
        </w:rPr>
        <w:t>.</w:t>
      </w:r>
      <w:r w:rsidRPr="00F16D2E">
        <w:rPr>
          <w:rFonts w:ascii="Verdana" w:hAnsi="Verdana" w:cs="Arial"/>
          <w:lang w:val="es-ES"/>
        </w:rPr>
        <w:t xml:space="preserve"> del Decreto 1082 de 2015, donde se establece que son “(a) los estudios y documentos previos; (b) el aviso de convocatoria; (c) los pliegos de condiciones o la invitación; (d) las adendas; (e) la oferta; (f) el informe de evaluación; (g) el contrato; y cualquier otro documento expedido por la Entidad Estatal durante el Proceso de Contratación”.</w:t>
      </w:r>
      <w:r w:rsidRPr="00783E6B">
        <w:rPr>
          <w:rFonts w:ascii="Verdana" w:eastAsia="Arial" w:hAnsi="Verdana" w:cs="Arial"/>
          <w:lang w:val="es-ES"/>
        </w:rPr>
        <w:t xml:space="preserve"> </w:t>
      </w:r>
    </w:p>
    <w:p w14:paraId="0ED98472" w14:textId="77777777" w:rsidR="004B3741" w:rsidRDefault="004B3741" w:rsidP="004B3741">
      <w:pPr>
        <w:widowControl w:val="0"/>
        <w:autoSpaceDE w:val="0"/>
        <w:autoSpaceDN w:val="0"/>
        <w:spacing w:after="120" w:line="276" w:lineRule="auto"/>
        <w:ind w:firstLine="726"/>
        <w:jc w:val="both"/>
        <w:rPr>
          <w:rFonts w:ascii="Verdana" w:eastAsia="Arial" w:hAnsi="Verdana" w:cs="Arial"/>
          <w:lang w:val="es-ES"/>
        </w:rPr>
      </w:pPr>
      <w:r w:rsidRPr="00F16D2E">
        <w:rPr>
          <w:rFonts w:ascii="Verdana" w:eastAsia="Arial" w:hAnsi="Verdana" w:cs="Arial"/>
          <w:lang w:val="es-ES"/>
        </w:rPr>
        <w:t xml:space="preserve">No obstante, para identificar los documentos que deben publicarse, es necesario realizar una interpretación sistemática de las disposiciones del Decreto 1082 del 2015, comoquiera que el anterior no es un listado taxativo, sino enunciativo. En efecto, además de los documentos enlistados, el artículo 2.2.1.1.1.3.1 </w:t>
      </w:r>
      <w:r w:rsidRPr="00F16D2E">
        <w:rPr>
          <w:rFonts w:ascii="Verdana" w:eastAsia="Arial" w:hAnsi="Verdana" w:cs="Arial"/>
          <w:i/>
          <w:iCs/>
          <w:lang w:val="es-ES"/>
        </w:rPr>
        <w:t>Ibídem</w:t>
      </w:r>
      <w:r w:rsidRPr="00F16D2E">
        <w:rPr>
          <w:rFonts w:ascii="Verdana" w:eastAsia="Arial" w:hAnsi="Verdana" w:cs="Arial"/>
          <w:lang w:val="es-ES"/>
        </w:rPr>
        <w:t xml:space="preserve"> recoge en la noción de </w:t>
      </w:r>
      <w:r w:rsidRPr="00F16D2E">
        <w:rPr>
          <w:rFonts w:ascii="Verdana" w:eastAsia="Arial" w:hAnsi="Verdana" w:cs="Arial"/>
          <w:i/>
          <w:iCs/>
          <w:lang w:val="es-ES"/>
        </w:rPr>
        <w:t>Documentos del Proceso</w:t>
      </w:r>
      <w:r w:rsidRPr="00F16D2E">
        <w:rPr>
          <w:rFonts w:ascii="Verdana" w:eastAsia="Arial" w:hAnsi="Verdana" w:cs="Arial"/>
          <w:lang w:val="es-ES"/>
        </w:rPr>
        <w:t xml:space="preserve"> “cualquier otro documento expedido por la Entidad Estatal durante el </w:t>
      </w:r>
      <w:r w:rsidRPr="00F16D2E">
        <w:rPr>
          <w:rFonts w:ascii="Verdana" w:eastAsia="Arial" w:hAnsi="Verdana" w:cs="Arial"/>
          <w:i/>
          <w:iCs/>
          <w:lang w:val="es-ES"/>
        </w:rPr>
        <w:t>Proceso de Contratación”</w:t>
      </w:r>
      <w:r w:rsidRPr="00F16D2E">
        <w:rPr>
          <w:rFonts w:ascii="Verdana" w:eastAsia="Arial" w:hAnsi="Verdana" w:cs="Arial"/>
          <w:lang w:val="es-ES"/>
        </w:rPr>
        <w:t xml:space="preserve">. Este mismo artículo define la expresión </w:t>
      </w:r>
      <w:r w:rsidRPr="00F16D2E">
        <w:rPr>
          <w:rFonts w:ascii="Verdana" w:eastAsia="Arial" w:hAnsi="Verdana" w:cs="Arial"/>
          <w:i/>
          <w:iCs/>
          <w:lang w:val="es-ES"/>
        </w:rPr>
        <w:t>Proceso de Contratación</w:t>
      </w:r>
      <w:r w:rsidRPr="00F16D2E">
        <w:rPr>
          <w:rFonts w:ascii="Verdana" w:eastAsia="Arial" w:hAnsi="Verdana" w:cs="Arial"/>
          <w:lang w:val="es-ES"/>
        </w:rPr>
        <w:t xml:space="preserve"> como el “Conjunto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 </w:t>
      </w:r>
    </w:p>
    <w:p w14:paraId="49BAD1CB" w14:textId="77777777" w:rsidR="004B3741" w:rsidRPr="00056E4C" w:rsidRDefault="004B3741" w:rsidP="004B3741">
      <w:pPr>
        <w:widowControl w:val="0"/>
        <w:autoSpaceDE w:val="0"/>
        <w:autoSpaceDN w:val="0"/>
        <w:spacing w:after="120" w:line="276" w:lineRule="auto"/>
        <w:ind w:firstLine="708"/>
        <w:jc w:val="both"/>
        <w:rPr>
          <w:rFonts w:ascii="Verdana" w:eastAsia="Arial" w:hAnsi="Verdana" w:cs="Arial"/>
          <w:lang w:val="es-ES"/>
        </w:rPr>
      </w:pPr>
      <w:r w:rsidRPr="00056E4C">
        <w:rPr>
          <w:rFonts w:ascii="Verdana" w:eastAsia="Arial" w:hAnsi="Verdana" w:cs="Arial"/>
          <w:lang w:val="es-ES"/>
        </w:rPr>
        <w:t xml:space="preserve">En todo caso, de conformidad con la segunda parte del inciso primero del artículo 2.2.1.1.1.7.1 </w:t>
      </w:r>
      <w:r w:rsidRPr="00056E4C">
        <w:rPr>
          <w:rFonts w:ascii="Verdana" w:eastAsia="Arial" w:hAnsi="Verdana" w:cs="Arial"/>
          <w:i/>
          <w:iCs/>
          <w:lang w:val="es-ES"/>
        </w:rPr>
        <w:t>Ibidem</w:t>
      </w:r>
      <w:r w:rsidRPr="00056E4C">
        <w:rPr>
          <w:rFonts w:ascii="Verdana" w:eastAsia="Arial" w:hAnsi="Verdana" w:cs="Arial"/>
          <w:lang w:val="es-ES"/>
        </w:rPr>
        <w:t xml:space="preserve">, el deber de publicar las actuaciones realizadas en el marco del proceso de contratación, en lo referente a las ofertas presentadas, solo se predica de la propuesta del adjudicatario, así que no es necesario publicar las demás. </w:t>
      </w:r>
      <w:r w:rsidRPr="00056E4C">
        <w:rPr>
          <w:rFonts w:ascii="Verdana" w:eastAsia="Arial" w:hAnsi="Verdana" w:cs="Arial"/>
          <w:i/>
          <w:iCs/>
          <w:lang w:val="es-ES"/>
        </w:rPr>
        <w:t xml:space="preserve"> </w:t>
      </w:r>
      <w:r w:rsidRPr="00056E4C">
        <w:rPr>
          <w:rFonts w:ascii="Verdana" w:eastAsia="Arial" w:hAnsi="Verdana" w:cs="Arial"/>
          <w:lang w:val="es-ES"/>
        </w:rPr>
        <w:t>Del deber de publicidad, de conformidad con la tercera parte del inciso primero de la referida norma, también se encuentran exentos los documentos de las operaciones que se realicen en bolsa de productos.</w:t>
      </w:r>
    </w:p>
    <w:p w14:paraId="1F0F446C" w14:textId="77777777" w:rsidR="004B3741" w:rsidRPr="00F16D2E" w:rsidRDefault="004B3741" w:rsidP="004B3741">
      <w:pPr>
        <w:widowControl w:val="0"/>
        <w:autoSpaceDE w:val="0"/>
        <w:autoSpaceDN w:val="0"/>
        <w:spacing w:after="120" w:line="276" w:lineRule="auto"/>
        <w:ind w:firstLine="726"/>
        <w:jc w:val="both"/>
        <w:rPr>
          <w:rFonts w:ascii="Verdana" w:eastAsia="Arial" w:hAnsi="Verdana" w:cs="Arial"/>
          <w:lang w:val="es-ES"/>
        </w:rPr>
      </w:pPr>
      <w:r w:rsidRPr="00F16D2E">
        <w:rPr>
          <w:rFonts w:ascii="Verdana" w:eastAsia="Arial" w:hAnsi="Verdana" w:cs="Arial"/>
          <w:lang w:val="es-ES"/>
        </w:rPr>
        <w:t xml:space="preserve">De lo anterior puede concluirse que, en virtud de lo dispuesto en el artículo 3 de la Ley 1150 de 2007, desarrollado por el artículo 2.2.1.1.1.7.1. del Decreto 1082 de 2015, las entidades están obligadas a publicar en el SECOP todos los documentos relacionados con el </w:t>
      </w:r>
      <w:r w:rsidRPr="00F16D2E">
        <w:rPr>
          <w:rFonts w:ascii="Verdana" w:eastAsia="Arial" w:hAnsi="Verdana" w:cs="Arial"/>
          <w:i/>
          <w:iCs/>
          <w:lang w:val="es-ES"/>
        </w:rPr>
        <w:t>Proceso de Contratación</w:t>
      </w:r>
      <w:r w:rsidRPr="00F16D2E">
        <w:rPr>
          <w:rFonts w:ascii="Verdana" w:eastAsia="Arial" w:hAnsi="Verdana" w:cs="Arial"/>
          <w:lang w:val="es-ES"/>
        </w:rPr>
        <w:t xml:space="preserve"> expedidos durante las etapas precontractual, de ejecución y postcontractual. Este deber aplica a todas las modalidades de selección y entidades regidas por el Estatuto General de Contratación de la Administración Pública,</w:t>
      </w:r>
      <w:r>
        <w:rPr>
          <w:rFonts w:ascii="Verdana" w:eastAsia="Arial" w:hAnsi="Verdana" w:cs="Arial"/>
          <w:lang w:val="es-ES"/>
        </w:rPr>
        <w:t xml:space="preserve"> así como las exceptuadas de este,</w:t>
      </w:r>
      <w:r w:rsidRPr="00F16D2E">
        <w:rPr>
          <w:rFonts w:ascii="Verdana" w:eastAsia="Arial" w:hAnsi="Verdana" w:cs="Arial"/>
          <w:lang w:val="es-ES"/>
        </w:rPr>
        <w:t xml:space="preserve"> y solo se encuentran excluidas las ofertas perdedoras y los documentos expedidos en el marco de operaciones de bolsa de productos. </w:t>
      </w:r>
    </w:p>
    <w:p w14:paraId="27C09763" w14:textId="77777777" w:rsidR="004B3741" w:rsidRDefault="004B3741" w:rsidP="004B3741">
      <w:pPr>
        <w:spacing w:before="120" w:after="120" w:line="276" w:lineRule="auto"/>
        <w:ind w:firstLine="726"/>
        <w:jc w:val="both"/>
        <w:rPr>
          <w:rFonts w:ascii="Verdana" w:eastAsia="Arial" w:hAnsi="Verdana" w:cs="Arial"/>
          <w:lang w:val="es-ES"/>
        </w:rPr>
      </w:pPr>
      <w:r w:rsidRPr="00F16D2E">
        <w:rPr>
          <w:rFonts w:ascii="Verdana" w:eastAsia="Calibri" w:hAnsi="Verdana" w:cs="Arial"/>
          <w:lang w:val="es-ES"/>
        </w:rPr>
        <w:t xml:space="preserve">Adicionalmente, el deber de publicar la actividad contractual de las entidades estatales no solo está regulado en el artículo 3 de la Ley 1150 de 2007 y en el </w:t>
      </w:r>
      <w:r w:rsidRPr="00F16D2E">
        <w:rPr>
          <w:rFonts w:ascii="Verdana" w:eastAsia="Arial" w:hAnsi="Verdana" w:cs="Arial"/>
          <w:lang w:val="es-ES"/>
        </w:rPr>
        <w:t xml:space="preserve">artículo 2.2.1.1.1.7.1 del Decreto 1082 de 2015, sino también en la Ley 1712 de 2014 y en el Decreto 1081 de 2015. Estas normas no solo refuerzan y complementan al régimen de contratación estatal en cuanto a la publicidad, sino que lo amplía, para incluir la publicación de los “procedimientos” y la información relativa a la “gestión contractual”, sin el condicionamiento de tratarse exclusivamente de los </w:t>
      </w:r>
      <w:r w:rsidRPr="00F16D2E">
        <w:rPr>
          <w:rFonts w:ascii="Verdana" w:eastAsia="Arial" w:hAnsi="Verdana" w:cs="Arial"/>
          <w:i/>
          <w:iCs/>
          <w:lang w:val="es-ES"/>
        </w:rPr>
        <w:t xml:space="preserve">Documentos del Proceso </w:t>
      </w:r>
      <w:r w:rsidRPr="00F16D2E">
        <w:rPr>
          <w:rFonts w:ascii="Verdana" w:eastAsia="Arial" w:hAnsi="Verdana" w:cs="Arial"/>
          <w:lang w:val="es-ES"/>
        </w:rPr>
        <w:t xml:space="preserve">expedidos por la “entidad estatal”. </w:t>
      </w:r>
    </w:p>
    <w:p w14:paraId="227C74A1" w14:textId="77777777" w:rsidR="004B3741" w:rsidRDefault="004B3741" w:rsidP="004B3741">
      <w:pPr>
        <w:spacing w:after="120" w:line="276" w:lineRule="auto"/>
        <w:jc w:val="both"/>
        <w:rPr>
          <w:rFonts w:ascii="Verdana" w:eastAsia="Calibri" w:hAnsi="Verdana" w:cs="Arial"/>
          <w:color w:val="000000" w:themeColor="text1"/>
          <w:lang w:val="es-ES" w:eastAsia="en-GB"/>
        </w:rPr>
      </w:pPr>
      <w:r>
        <w:rPr>
          <w:rFonts w:ascii="Verdana" w:hAnsi="Verdana" w:cs="Arial"/>
          <w:lang w:val="es-ES"/>
        </w:rPr>
        <w:tab/>
        <w:t xml:space="preserve">  </w:t>
      </w:r>
      <w:r w:rsidRPr="00AD6B46">
        <w:rPr>
          <w:rFonts w:ascii="Verdana" w:eastAsia="Calibri" w:hAnsi="Verdana" w:cs="Arial"/>
          <w:color w:val="000000"/>
        </w:rPr>
        <w:t>Debe precisarse que, en virtud del principio de transparencia, específicamente por cuenta de lo dispuesto en el numeral 4 del artículo 24 de la ley 80 de 1993</w:t>
      </w:r>
      <w:r w:rsidRPr="00AD6B46">
        <w:rPr>
          <w:rFonts w:ascii="Verdana" w:eastAsia="Calibri" w:hAnsi="Verdana" w:cs="Arial"/>
          <w:color w:val="000000"/>
          <w:vertAlign w:val="superscript"/>
        </w:rPr>
        <w:footnoteReference w:id="9"/>
      </w:r>
      <w:r w:rsidRPr="00AD6B46">
        <w:rPr>
          <w:rFonts w:ascii="Verdana" w:eastAsia="Calibri" w:hAnsi="Verdana" w:cs="Arial"/>
          <w:color w:val="000000"/>
        </w:rPr>
        <w:t>, así como por el principio de máxima publicidad establecido en el artículo 2 de la Ley 1712 de 2014</w:t>
      </w:r>
      <w:r w:rsidRPr="00AD6B46">
        <w:rPr>
          <w:rFonts w:ascii="Verdana" w:eastAsia="Calibri" w:hAnsi="Verdana" w:cs="Arial"/>
          <w:color w:val="000000"/>
          <w:vertAlign w:val="superscript"/>
        </w:rPr>
        <w:footnoteReference w:id="10"/>
      </w:r>
      <w:r w:rsidRPr="00AD6B46">
        <w:rPr>
          <w:rFonts w:ascii="Verdana" w:eastAsia="Calibri" w:hAnsi="Verdana" w:cs="Arial"/>
          <w:color w:val="000000"/>
        </w:rPr>
        <w:t xml:space="preserve">, el contenido del expediente en el que reposa la actuación es información pública, independientemente de si se trata de documentos que deban publicarse en SECOP. </w:t>
      </w:r>
    </w:p>
    <w:p w14:paraId="1B92F8CA" w14:textId="77777777" w:rsidR="004B3741" w:rsidRPr="00056E4C" w:rsidRDefault="004B3741" w:rsidP="004B3741">
      <w:pPr>
        <w:spacing w:after="120" w:line="276" w:lineRule="auto"/>
        <w:ind w:firstLine="708"/>
        <w:jc w:val="both"/>
        <w:rPr>
          <w:rFonts w:ascii="Verdana" w:eastAsia="Calibri" w:hAnsi="Verdana" w:cs="Arial"/>
          <w:lang w:val="es-ES_tradnl"/>
        </w:rPr>
      </w:pPr>
      <w:r>
        <w:rPr>
          <w:rFonts w:ascii="Verdana" w:eastAsia="Calibri" w:hAnsi="Verdana" w:cs="Arial"/>
          <w:color w:val="000000" w:themeColor="text1"/>
          <w:lang w:val="es-ES" w:eastAsia="en-GB"/>
        </w:rPr>
        <w:t xml:space="preserve">En relación con el medio de publicación, </w:t>
      </w:r>
      <w:r w:rsidRPr="00056E4C">
        <w:rPr>
          <w:rFonts w:ascii="Verdana" w:eastAsia="Calibri" w:hAnsi="Verdana" w:cs="Arial"/>
          <w:lang w:val="es-ES_tradnl"/>
        </w:rPr>
        <w:t xml:space="preserve">el artículo 3 de la Ley 1150 de 2007 crea el Sistema Electrónico para la Contratación Pública, el cual –de conformidad con el artículo 3.8 del Decreto 4170 de 2011– es administrado por esta Agencia. Esta plataforma no solo es un canal de publicidad de la gestión contractual de las entidades públicas, pues también es un medio transaccional para la suscripción de contratos electrónicos. A estas dos (2) facetas del SECOP se refiere la ley citada cuando dispone, respectivamente, que “De conformidad con lo dispuesto en la Ley 527 de 1999, […] la expedición de los […] contratos y en general los actos derivados de la actividad precontractual y contractual, podrán tener lugar por medios electrónicos” y que “Contará con la información oficial de la contratación realizada con dineros públicos, para lo cual establecerá los patrones a que haya lugar y se encargará de su difusión a través de canales electrónicos”. </w:t>
      </w:r>
    </w:p>
    <w:p w14:paraId="705F2EFA" w14:textId="77777777" w:rsidR="004B3741" w:rsidRPr="00056E4C" w:rsidRDefault="004B3741" w:rsidP="004B3741">
      <w:pPr>
        <w:spacing w:before="120" w:after="120" w:line="276" w:lineRule="auto"/>
        <w:jc w:val="both"/>
        <w:rPr>
          <w:rFonts w:ascii="Verdana" w:eastAsia="Calibri" w:hAnsi="Verdana" w:cs="Arial"/>
          <w:bCs/>
          <w:color w:val="000000" w:themeColor="text1"/>
          <w:lang w:val="es-ES_tradnl"/>
        </w:rPr>
      </w:pPr>
      <w:r w:rsidRPr="00056E4C">
        <w:rPr>
          <w:rFonts w:ascii="Verdana" w:eastAsia="Calibri" w:hAnsi="Verdana" w:cs="Arial"/>
          <w:lang w:val="es-ES_tradnl"/>
        </w:rPr>
        <w:tab/>
        <w:t xml:space="preserve">El numeral 1.2 </w:t>
      </w:r>
      <w:r w:rsidRPr="00056E4C">
        <w:rPr>
          <w:rFonts w:ascii="Verdana" w:eastAsia="Calibri" w:hAnsi="Verdana" w:cs="Arial"/>
        </w:rPr>
        <w:t>de la Circular Externa Única de la Agencia Nacional de Contratación Pública – Colombia Compra Eficiente dispone que el Sistema Electrónico para la Contratación Pública</w:t>
      </w:r>
      <w:r w:rsidRPr="00056E4C">
        <w:rPr>
          <w:rFonts w:ascii="Verdana" w:eastAsia="Calibri" w:hAnsi="Verdana" w:cs="Arial"/>
          <w:lang w:val="es-ES_tradnl"/>
        </w:rPr>
        <w:t xml:space="preserve"> está compuesto por el SECOP I, el SECOP II y la Tienda Virtual del Estado Colombiano. Conforme a lo explicado en el párrafo precedente</w:t>
      </w:r>
      <w:r w:rsidRPr="00056E4C">
        <w:rPr>
          <w:rFonts w:ascii="Verdana" w:eastAsia="Calibri" w:hAnsi="Verdana" w:cs="Arial"/>
          <w:bCs/>
          <w:color w:val="000000" w:themeColor="text1"/>
          <w:lang w:val="es-ES_tradnl"/>
        </w:rPr>
        <w:t xml:space="preserve">, el SECOP I solo funciona como medio de publicidad, es decir, no tiene carácter transaccional. Esto significa que el procedimiento contractual se adelanta fuera de la plataforma a través de un expediente físico. No obstante, las actuaciones y los documentos se convierten en electrónicos para cargarse posteriormente a la plataforma por quien tenga la función dentro de la entidad. </w:t>
      </w:r>
    </w:p>
    <w:p w14:paraId="0E9A259C" w14:textId="77777777" w:rsidR="004B3741" w:rsidRPr="00056E4C" w:rsidRDefault="004B3741" w:rsidP="004B3741">
      <w:pPr>
        <w:spacing w:after="120" w:line="276" w:lineRule="auto"/>
        <w:ind w:firstLine="708"/>
        <w:jc w:val="both"/>
        <w:rPr>
          <w:rFonts w:ascii="Verdana" w:eastAsia="Calibri" w:hAnsi="Verdana" w:cs="Arial"/>
          <w:color w:val="000000" w:themeColor="text1"/>
          <w:lang w:val="es-ES"/>
        </w:rPr>
      </w:pPr>
      <w:r w:rsidRPr="00056E4C">
        <w:rPr>
          <w:rFonts w:ascii="Verdana" w:eastAsia="Calibri" w:hAnsi="Verdana" w:cs="Arial"/>
          <w:color w:val="000000" w:themeColor="text1"/>
          <w:lang w:val="es-ES"/>
        </w:rPr>
        <w:t>En contraste, el SECOP II permite generar contratos en línea y realizar la firma electrónica de los mismos. Tiene funciones que permiten al proveedor presentar garantías y facturas; y a la entidad estatal, realizar la revisión y aprobación de ambos tipos de documentos en línea. Además, el módulo permite hacer modificaciones contractuales, tanto unilaterales como bilaterales –estas últimas son enviadas para aprobación del proveedor antes de la publicación por parte de la entidad estatal–. Para registrar el seguimiento al avance de la ejecución, el módulo de gestión contractual habilita el registro de planes de ejecución por porcentaje de avance y el cargue de documentos tanto a proveedor como a la entidad estatal, la cual puede crear usuarios para que los supervisores de los contratos carguen la información pertinente. Finalmente, la liquidación y el cierre de los expedientes contractuales también puede realizarse a través del SECOP II. Es de destacar que la plataforma tiene un módulo de búsqueda pública que permite a los ciudadanos y entes de control revisar el avance en tiempo real de cualquier contrato realizado a través del SECOP II, sin necesidad de tener usuarios creados en la plataforma.</w:t>
      </w:r>
    </w:p>
    <w:p w14:paraId="4AA17DA8" w14:textId="77777777" w:rsidR="004B3741" w:rsidRDefault="004B3741" w:rsidP="004B3741">
      <w:pPr>
        <w:spacing w:after="120" w:line="276" w:lineRule="auto"/>
        <w:jc w:val="both"/>
        <w:rPr>
          <w:rFonts w:ascii="Verdana" w:eastAsia="Calibri" w:hAnsi="Verdana" w:cs="Arial"/>
          <w:bCs/>
          <w:color w:val="000000" w:themeColor="text1"/>
          <w:lang w:val="es-ES_tradnl"/>
        </w:rPr>
      </w:pPr>
      <w:r>
        <w:rPr>
          <w:rFonts w:ascii="Verdana" w:eastAsia="Calibri" w:hAnsi="Verdana" w:cs="Arial"/>
          <w:bCs/>
          <w:color w:val="000000" w:themeColor="text1"/>
          <w:lang w:val="es-ES_tradnl"/>
        </w:rPr>
        <w:t xml:space="preserve">           </w:t>
      </w:r>
      <w:r w:rsidRPr="00056E4C">
        <w:rPr>
          <w:rFonts w:ascii="Verdana" w:eastAsia="Calibri" w:hAnsi="Verdana" w:cs="Arial"/>
          <w:bCs/>
          <w:color w:val="000000" w:themeColor="text1"/>
          <w:lang w:val="es-ES_tradnl"/>
        </w:rPr>
        <w:t>Para estos efectos, la Circular Externa Única dispone que “[…] Toda la etapa de gestión contractual está contenida en la plataforma, lo que significa que la Entidad y el Proveedor deben incluir en el SECOP II la información correspondiente que no se genere en línea (garantías, facturas, informes de supervisión, modificaciones, etc.)”. Esto significa que, a diferencia de SECOP I, en SECOP II no es necesario un expediente físico paralelo con la gestión contractual de los procesos adelantados. No obstante, el numeral 2 de la Circular precisa que “[…] En los casos en que el documento original haya sido producido en formato físico, la Entidad Estatal debe conservar su original por el tiempo que indiquen las Tablas de Retención Documental - TRD, e incorporar una copia digitalizada dentro del proceso de contratación en el SECOP II en cumplimiento de la obligación de publicidad”.</w:t>
      </w:r>
    </w:p>
    <w:p w14:paraId="3279BC0A" w14:textId="77777777" w:rsidR="00C664C8" w:rsidRPr="00C664C8" w:rsidRDefault="004B3741" w:rsidP="00C664C8">
      <w:pPr>
        <w:tabs>
          <w:tab w:val="left" w:pos="450"/>
        </w:tabs>
        <w:spacing w:before="120" w:line="276" w:lineRule="auto"/>
        <w:jc w:val="both"/>
        <w:rPr>
          <w:rFonts w:ascii="Verdana" w:hAnsi="Verdana" w:cs="Arial"/>
        </w:rPr>
      </w:pPr>
      <w:r>
        <w:rPr>
          <w:rFonts w:ascii="Verdana" w:hAnsi="Verdana"/>
          <w:color w:val="000000"/>
        </w:rPr>
        <w:tab/>
      </w:r>
      <w:r w:rsidR="00C664C8" w:rsidRPr="00C664C8">
        <w:rPr>
          <w:rFonts w:ascii="Verdana" w:hAnsi="Verdana"/>
          <w:color w:val="000000" w:themeColor="text1"/>
        </w:rPr>
        <w:t>Ahora bien, en atención al problema jurídico planteado, toda la actividad contractual de las entidades estatales debe ponerse a disposición del público como desarrollo del principio de publicidad y del derecho de acceso a la información. Si bien el artículo 2.2.1.1.1.7.1 del Decreto 1082 de 2015 establece un plazo de tres (3) días para realizar las publicaciones en el SECOP, lo cierto es que, en línea con lo previsto en el Concepto C-185 del 24 de marzo de 2025 expedido por esta Subdirección Contractual, y conforme a lo anteriormente indicado, todo sujeto obligado debe publicar sus procedimientos, lineamientos y políticas en materia de adquisiciones y compras, así como los datos de adjudicación y de ejecución de sus contratos. En ese sentido, la plataforma SECOP constituye el medio idóneo para dar cumplimiento al deber de publicidad, de conformidad con lo dispuesto en el artículo 3 de la Ley 1150 de 2007, los artículos 3 y 19 de la Ley 1508 de 2012, la Ley 1712 de 2014, la Circular Externa 03 de 2024 y las demás normas que regulan la obligación de divulgar la información contractual.</w:t>
      </w:r>
    </w:p>
    <w:p w14:paraId="2FCBC8A5" w14:textId="77777777" w:rsidR="004B3741" w:rsidRDefault="004B3741" w:rsidP="004B3741">
      <w:pPr>
        <w:tabs>
          <w:tab w:val="left" w:pos="450"/>
        </w:tabs>
        <w:spacing w:before="120" w:line="276" w:lineRule="auto"/>
        <w:jc w:val="both"/>
        <w:rPr>
          <w:rFonts w:ascii="Verdana" w:hAnsi="Verdana" w:cs="Arial"/>
          <w:lang w:val="es-MX" w:eastAsia="es-ES"/>
        </w:rPr>
      </w:pPr>
      <w:r>
        <w:rPr>
          <w:rFonts w:ascii="Verdana" w:hAnsi="Verdana"/>
        </w:rPr>
        <w:t xml:space="preserve">         </w:t>
      </w:r>
      <w:r w:rsidRPr="004C713C">
        <w:rPr>
          <w:rFonts w:ascii="Verdana" w:hAnsi="Verdana"/>
        </w:rPr>
        <w:t xml:space="preserve">Dentro de este marco, corresponde a cada entidad pública, en ejercicio de su competencia y previa valoración de los elementos fácticos y jurídicos, así como de las disposiciones legales mencionadas, </w:t>
      </w:r>
      <w:r>
        <w:rPr>
          <w:rFonts w:ascii="Verdana" w:hAnsi="Verdana"/>
        </w:rPr>
        <w:t>determinar la publicación de los documentos que hacen parte de su gestión contractual.</w:t>
      </w:r>
      <w:r w:rsidRPr="004C713C">
        <w:rPr>
          <w:rFonts w:ascii="Verdana" w:hAnsi="Verdana"/>
        </w:rPr>
        <w:t xml:space="preserve"> Al tratarse de un análisis que debe realizarse en el procedimiento contractual específico, la Agencia no puede definir un criterio universal y absoluto por vía consultiva, sino que brinda elementos de carácter general para que</w:t>
      </w:r>
      <w:r w:rsidRPr="00E61635">
        <w:rPr>
          <w:rFonts w:ascii="Verdana" w:hAnsi="Verdana"/>
        </w:rPr>
        <w:t xml:space="preserv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r w:rsidRPr="00CC09DD">
        <w:rPr>
          <w:rFonts w:ascii="Verdana" w:eastAsia="Times New Roman" w:hAnsi="Verdana" w:cs="Arial"/>
          <w:lang w:val="es-ES_tradnl" w:eastAsia="es-ES_tradnl"/>
        </w:rPr>
        <w:t xml:space="preserve"> </w:t>
      </w:r>
      <w:bookmarkStart w:id="4" w:name="_Hlk131155229"/>
      <w:r>
        <w:rPr>
          <w:rFonts w:ascii="Verdana" w:eastAsia="Times New Roman" w:hAnsi="Verdana" w:cs="Arial"/>
          <w:lang w:val="es-ES_tradnl" w:eastAsia="es-ES_tradnl"/>
        </w:rPr>
        <w:t xml:space="preserve">     </w:t>
      </w:r>
      <w:bookmarkEnd w:id="4"/>
    </w:p>
    <w:p w14:paraId="37DD3111" w14:textId="77777777" w:rsidR="004B3741" w:rsidRPr="0060676F" w:rsidRDefault="004B3741" w:rsidP="004B3741">
      <w:pPr>
        <w:pStyle w:val="Prrafodelista"/>
        <w:numPr>
          <w:ilvl w:val="0"/>
          <w:numId w:val="16"/>
        </w:numPr>
        <w:spacing w:after="0" w:line="276" w:lineRule="auto"/>
        <w:ind w:left="284"/>
        <w:jc w:val="both"/>
        <w:rPr>
          <w:rFonts w:ascii="Verdana" w:eastAsia="Century Gothic" w:hAnsi="Verdana" w:cs="Century Gothic"/>
          <w:b/>
          <w:bCs/>
        </w:rPr>
      </w:pPr>
      <w:r w:rsidRPr="0060676F">
        <w:rPr>
          <w:rFonts w:ascii="Verdana" w:eastAsia="Century Gothic" w:hAnsi="Verdana" w:cs="Century Gothic"/>
          <w:b/>
          <w:bCs/>
        </w:rPr>
        <w:t>Referencias normativas, jurisprudenciales y otras fuentes:</w:t>
      </w:r>
    </w:p>
    <w:p w14:paraId="3BB02BD3" w14:textId="77777777" w:rsidR="004B3741" w:rsidRPr="00593A5F" w:rsidRDefault="004B3741" w:rsidP="004B3741">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4B3741" w:rsidRPr="00593A5F" w14:paraId="00E01000" w14:textId="77777777" w:rsidTr="00566950">
        <w:trPr>
          <w:trHeight w:val="870"/>
        </w:trPr>
        <w:tc>
          <w:tcPr>
            <w:tcW w:w="8647" w:type="dxa"/>
          </w:tcPr>
          <w:p w14:paraId="708DFE8A" w14:textId="77777777" w:rsidR="004B3741" w:rsidRDefault="004B3741" w:rsidP="004B3741">
            <w:pPr>
              <w:pStyle w:val="Prrafodelista"/>
              <w:widowControl w:val="0"/>
              <w:numPr>
                <w:ilvl w:val="0"/>
                <w:numId w:val="18"/>
              </w:numPr>
              <w:autoSpaceDE w:val="0"/>
              <w:autoSpaceDN w:val="0"/>
              <w:spacing w:after="120" w:line="276" w:lineRule="auto"/>
              <w:contextualSpacing w:val="0"/>
              <w:jc w:val="both"/>
              <w:rPr>
                <w:rFonts w:ascii="Verdana" w:hAnsi="Verdana" w:cs="Arial"/>
              </w:rPr>
            </w:pPr>
            <w:r>
              <w:rPr>
                <w:rFonts w:ascii="Verdana" w:hAnsi="Verdana" w:cs="Arial"/>
              </w:rPr>
              <w:t>Constitución Política de 1991, artículos 74 y 209.</w:t>
            </w:r>
          </w:p>
          <w:p w14:paraId="126AD984" w14:textId="77777777" w:rsidR="004B3741" w:rsidRPr="00EB1756" w:rsidRDefault="004B3741" w:rsidP="004B3741">
            <w:pPr>
              <w:pStyle w:val="Prrafodelista"/>
              <w:widowControl w:val="0"/>
              <w:numPr>
                <w:ilvl w:val="0"/>
                <w:numId w:val="18"/>
              </w:numPr>
              <w:autoSpaceDE w:val="0"/>
              <w:autoSpaceDN w:val="0"/>
              <w:spacing w:after="120" w:line="276" w:lineRule="auto"/>
              <w:contextualSpacing w:val="0"/>
              <w:jc w:val="both"/>
              <w:rPr>
                <w:rFonts w:ascii="Verdana" w:hAnsi="Verdana" w:cs="Arial"/>
              </w:rPr>
            </w:pPr>
            <w:r>
              <w:rPr>
                <w:rFonts w:ascii="Verdana" w:hAnsi="Verdana" w:cs="Arial"/>
              </w:rPr>
              <w:t xml:space="preserve">Ley 80 de </w:t>
            </w:r>
            <w:r w:rsidRPr="00EB1756">
              <w:rPr>
                <w:rFonts w:ascii="Verdana" w:hAnsi="Verdana" w:cs="Arial"/>
              </w:rPr>
              <w:t>1993, artículo 24.</w:t>
            </w:r>
          </w:p>
          <w:p w14:paraId="2827474A" w14:textId="77777777" w:rsidR="004B3741" w:rsidRPr="00EB1756" w:rsidRDefault="004B3741" w:rsidP="004B3741">
            <w:pPr>
              <w:pStyle w:val="Prrafodelista"/>
              <w:widowControl w:val="0"/>
              <w:numPr>
                <w:ilvl w:val="0"/>
                <w:numId w:val="18"/>
              </w:numPr>
              <w:autoSpaceDE w:val="0"/>
              <w:autoSpaceDN w:val="0"/>
              <w:spacing w:after="120" w:line="276" w:lineRule="auto"/>
              <w:contextualSpacing w:val="0"/>
              <w:jc w:val="both"/>
              <w:rPr>
                <w:rFonts w:ascii="Verdana" w:hAnsi="Verdana" w:cs="Arial"/>
              </w:rPr>
            </w:pPr>
            <w:r w:rsidRPr="00EB1756">
              <w:rPr>
                <w:rFonts w:ascii="Verdana" w:hAnsi="Verdana" w:cs="Arial"/>
              </w:rPr>
              <w:t>Ley 1150 de 2007, artículo 3.</w:t>
            </w:r>
          </w:p>
          <w:p w14:paraId="05E6AD6A" w14:textId="77777777" w:rsidR="004B3741" w:rsidRPr="00EB1756" w:rsidRDefault="004B3741" w:rsidP="004B3741">
            <w:pPr>
              <w:pStyle w:val="Prrafodelista"/>
              <w:widowControl w:val="0"/>
              <w:numPr>
                <w:ilvl w:val="0"/>
                <w:numId w:val="18"/>
              </w:numPr>
              <w:autoSpaceDE w:val="0"/>
              <w:autoSpaceDN w:val="0"/>
              <w:spacing w:after="120" w:line="276" w:lineRule="auto"/>
              <w:contextualSpacing w:val="0"/>
              <w:jc w:val="both"/>
              <w:rPr>
                <w:rFonts w:ascii="Verdana" w:hAnsi="Verdana" w:cs="Arial"/>
              </w:rPr>
            </w:pPr>
            <w:r w:rsidRPr="00EB1756">
              <w:rPr>
                <w:rFonts w:ascii="Verdana" w:hAnsi="Verdana" w:cs="Arial"/>
              </w:rPr>
              <w:t>Ley 1437 de 2011, artículos 24, 25 y 36.</w:t>
            </w:r>
          </w:p>
          <w:p w14:paraId="7D977294" w14:textId="77777777" w:rsidR="004B3741" w:rsidRPr="00EB1756" w:rsidRDefault="004B3741" w:rsidP="004B3741">
            <w:pPr>
              <w:pStyle w:val="Prrafodelista"/>
              <w:widowControl w:val="0"/>
              <w:numPr>
                <w:ilvl w:val="0"/>
                <w:numId w:val="18"/>
              </w:numPr>
              <w:autoSpaceDE w:val="0"/>
              <w:autoSpaceDN w:val="0"/>
              <w:spacing w:after="120" w:line="276" w:lineRule="auto"/>
              <w:contextualSpacing w:val="0"/>
              <w:jc w:val="both"/>
              <w:rPr>
                <w:rFonts w:ascii="Verdana" w:hAnsi="Verdana" w:cs="Arial"/>
              </w:rPr>
            </w:pPr>
            <w:r w:rsidRPr="00EB1756">
              <w:rPr>
                <w:rFonts w:ascii="Verdana" w:hAnsi="Verdana" w:cs="Arial"/>
              </w:rPr>
              <w:t>Ley 1712 de 2014, artículos 2, 5, 21, 6, 11, 21, 18 y 19.</w:t>
            </w:r>
          </w:p>
          <w:p w14:paraId="36138503" w14:textId="77777777" w:rsidR="004B3741" w:rsidRPr="002D6629" w:rsidRDefault="004B3741" w:rsidP="004B3741">
            <w:pPr>
              <w:pStyle w:val="Prrafodelista"/>
              <w:widowControl w:val="0"/>
              <w:numPr>
                <w:ilvl w:val="0"/>
                <w:numId w:val="18"/>
              </w:numPr>
              <w:autoSpaceDE w:val="0"/>
              <w:autoSpaceDN w:val="0"/>
              <w:spacing w:after="120" w:line="276" w:lineRule="auto"/>
              <w:contextualSpacing w:val="0"/>
              <w:jc w:val="both"/>
              <w:rPr>
                <w:rFonts w:ascii="Verdana" w:hAnsi="Verdana" w:cs="Arial"/>
              </w:rPr>
            </w:pPr>
            <w:r>
              <w:rPr>
                <w:rFonts w:ascii="Verdana" w:hAnsi="Verdana" w:cs="Arial"/>
              </w:rPr>
              <w:t xml:space="preserve">Decreto 1081 de 2015, </w:t>
            </w:r>
            <w:r w:rsidRPr="00EB1756">
              <w:rPr>
                <w:rFonts w:ascii="Verdana" w:hAnsi="Verdana" w:cs="Arial"/>
              </w:rPr>
              <w:t>Artículo 2.1.1.2.1.7.</w:t>
            </w:r>
          </w:p>
          <w:p w14:paraId="25E297A3" w14:textId="77777777" w:rsidR="004B3741" w:rsidRPr="0096584D" w:rsidRDefault="004B3741" w:rsidP="004B3741">
            <w:pPr>
              <w:pStyle w:val="Prrafodelista"/>
              <w:widowControl w:val="0"/>
              <w:numPr>
                <w:ilvl w:val="0"/>
                <w:numId w:val="17"/>
              </w:numPr>
              <w:autoSpaceDE w:val="0"/>
              <w:autoSpaceDN w:val="0"/>
              <w:spacing w:after="120" w:line="276" w:lineRule="auto"/>
              <w:ind w:left="312" w:hanging="283"/>
              <w:rPr>
                <w:rFonts w:ascii="Verdana" w:eastAsia="Calibri" w:hAnsi="Verdana" w:cs="Arial"/>
                <w:color w:val="000000"/>
              </w:rPr>
            </w:pPr>
            <w:r>
              <w:rPr>
                <w:rFonts w:ascii="Verdana" w:hAnsi="Verdana" w:cs="Arial"/>
              </w:rPr>
              <w:t xml:space="preserve">Decreto 1082 de 2015, artículos </w:t>
            </w:r>
            <w:r w:rsidRPr="002D6629">
              <w:rPr>
                <w:rFonts w:ascii="Verdana" w:hAnsi="Verdana" w:cs="Arial"/>
              </w:rPr>
              <w:t>2.2.1.1.1.3.1</w:t>
            </w:r>
            <w:r>
              <w:rPr>
                <w:rFonts w:ascii="Verdana" w:hAnsi="Verdana" w:cs="Arial"/>
              </w:rPr>
              <w:t xml:space="preserve"> y </w:t>
            </w:r>
            <w:r w:rsidRPr="00F16D2E">
              <w:rPr>
                <w:rFonts w:ascii="Verdana" w:hAnsi="Verdana" w:cs="Arial"/>
              </w:rPr>
              <w:t>2.2.1.1.1.7.1</w:t>
            </w:r>
            <w:r>
              <w:rPr>
                <w:rFonts w:ascii="Verdana" w:hAnsi="Verdana" w:cs="Arial"/>
              </w:rPr>
              <w:t>.</w:t>
            </w:r>
          </w:p>
        </w:tc>
      </w:tr>
    </w:tbl>
    <w:p w14:paraId="2ED283ED" w14:textId="77777777" w:rsidR="004B3741" w:rsidRDefault="004B3741" w:rsidP="004B3741">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5D1BF037" w14:textId="77777777" w:rsidR="004B3741" w:rsidRDefault="004B3741" w:rsidP="004B3741">
      <w:pPr>
        <w:pStyle w:val="Prrafodelista"/>
        <w:numPr>
          <w:ilvl w:val="0"/>
          <w:numId w:val="16"/>
        </w:numPr>
        <w:tabs>
          <w:tab w:val="left" w:pos="142"/>
          <w:tab w:val="left" w:pos="284"/>
        </w:tabs>
        <w:spacing w:after="0" w:line="276" w:lineRule="auto"/>
        <w:ind w:left="284"/>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13DB6083" w14:textId="77777777" w:rsidR="004B3741" w:rsidRPr="00593A5F" w:rsidRDefault="004B3741" w:rsidP="004B3741">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62123A62" w14:textId="3157C1CA" w:rsidR="004B3741" w:rsidRPr="00C95794" w:rsidRDefault="004B3741" w:rsidP="004B3741">
      <w:pPr>
        <w:widowControl w:val="0"/>
        <w:autoSpaceDE w:val="0"/>
        <w:autoSpaceDN w:val="0"/>
        <w:spacing w:after="0" w:line="276" w:lineRule="auto"/>
        <w:jc w:val="both"/>
        <w:rPr>
          <w:rFonts w:ascii="Verdana" w:eastAsia="Times New Roman" w:hAnsi="Verdana" w:cs="Arial"/>
          <w:color w:val="4472C4"/>
          <w:szCs w:val="24"/>
          <w:lang w:eastAsia="es-ES_tradnl"/>
        </w:rPr>
      </w:pPr>
      <w:r>
        <w:rPr>
          <w:rStyle w:val="normaltextrun"/>
          <w:rFonts w:ascii="Verdana" w:hAnsi="Verdana" w:cs="Arial"/>
          <w:shd w:val="clear" w:color="auto" w:fill="FFFFFF"/>
          <w:lang w:val="es-ES"/>
        </w:rPr>
        <w:t xml:space="preserve">Sobre </w:t>
      </w:r>
      <w:r>
        <w:rPr>
          <w:rFonts w:ascii="Verdana" w:eastAsia="Aptos" w:hAnsi="Verdana" w:cs="Arial"/>
          <w:shd w:val="clear" w:color="auto" w:fill="FFFFFF"/>
          <w:lang w:val="es-ES"/>
        </w:rPr>
        <w:t>el principio de publicación</w:t>
      </w:r>
      <w:r w:rsidRPr="00286FF3">
        <w:rPr>
          <w:rFonts w:ascii="Verdana" w:eastAsia="Aptos" w:hAnsi="Verdana" w:cs="Arial"/>
          <w:shd w:val="clear" w:color="auto" w:fill="FFFFFF"/>
          <w:lang w:val="es-ES"/>
        </w:rPr>
        <w:t>,</w:t>
      </w:r>
      <w:r>
        <w:rPr>
          <w:rFonts w:ascii="Verdana" w:eastAsia="Aptos" w:hAnsi="Verdana" w:cs="Arial"/>
          <w:shd w:val="clear" w:color="auto" w:fill="FFFFFF"/>
          <w:lang w:val="es-ES"/>
        </w:rPr>
        <w:t xml:space="preserve"> la obligatoriedad de publicación en la plataforma SECOP II</w:t>
      </w:r>
      <w:r w:rsidRPr="00286FF3">
        <w:rPr>
          <w:rFonts w:ascii="Verdana" w:eastAsia="Aptos" w:hAnsi="Verdana" w:cs="Arial"/>
          <w:shd w:val="clear" w:color="auto" w:fill="FFFFFF"/>
          <w:lang w:val="es-ES"/>
        </w:rPr>
        <w:t xml:space="preserve"> esta Subdirección se ha pronunciado en los conceptos</w:t>
      </w:r>
      <w:r>
        <w:rPr>
          <w:rFonts w:ascii="Verdana" w:eastAsia="Aptos" w:hAnsi="Verdana" w:cs="Arial"/>
          <w:shd w:val="clear" w:color="auto" w:fill="FFFFFF"/>
          <w:lang w:val="es-ES"/>
        </w:rPr>
        <w:t xml:space="preserve"> </w:t>
      </w:r>
      <w:r w:rsidRPr="00615FF2">
        <w:rPr>
          <w:rFonts w:ascii="Verdana" w:hAnsi="Verdana"/>
        </w:rPr>
        <w:t xml:space="preserve">CU-367 del 23 de julio de 2020, C-049 del 7 de marzo de 2022, C-120 del 22 </w:t>
      </w:r>
      <w:r w:rsidRPr="00B23D9E">
        <w:rPr>
          <w:rFonts w:ascii="Verdana" w:hAnsi="Verdana"/>
        </w:rPr>
        <w:t>de marzo de 2022, C-124 del 22 de marzo de 2022, C-132 del 28 de marzo de 2022,</w:t>
      </w:r>
      <w:r w:rsidRPr="00B23D9E">
        <w:rPr>
          <w:rStyle w:val="normaltextrun"/>
          <w:rFonts w:ascii="Verdana" w:hAnsi="Verdana" w:cs="Arial"/>
          <w:shd w:val="clear" w:color="auto" w:fill="FFFFFF"/>
          <w:lang w:val="es-ES"/>
        </w:rPr>
        <w:t xml:space="preserve"> C-872 de 2024, C-941-2024, C-009 de 2025, C-073 de 2025, C-139 de 2025, </w:t>
      </w:r>
      <w:r w:rsidR="00C664C8" w:rsidRPr="00C664C8">
        <w:rPr>
          <w:rFonts w:ascii="Verdana" w:hAnsi="Verdana"/>
          <w:color w:val="000000" w:themeColor="text1"/>
        </w:rPr>
        <w:t>C-185 del 24 de marzo de 2025</w:t>
      </w:r>
      <w:r w:rsidR="00C664C8">
        <w:rPr>
          <w:rFonts w:ascii="Verdana" w:hAnsi="Verdana"/>
          <w:color w:val="000000" w:themeColor="text1"/>
        </w:rPr>
        <w:t xml:space="preserve">, </w:t>
      </w:r>
      <w:r w:rsidRPr="00B23D9E">
        <w:rPr>
          <w:rStyle w:val="normaltextrun"/>
          <w:rFonts w:ascii="Verdana" w:hAnsi="Verdana" w:cs="Arial"/>
          <w:shd w:val="clear" w:color="auto" w:fill="FFFFFF"/>
          <w:lang w:val="es-ES"/>
        </w:rPr>
        <w:t>C-402 de 2025,</w:t>
      </w:r>
      <w:r>
        <w:rPr>
          <w:rStyle w:val="normaltextrun"/>
          <w:rFonts w:ascii="Verdana" w:hAnsi="Verdana" w:cs="Arial"/>
          <w:shd w:val="clear" w:color="auto" w:fill="FFFFFF"/>
          <w:lang w:val="es-ES"/>
        </w:rPr>
        <w:t xml:space="preserve"> C-479 de 2025,</w:t>
      </w:r>
      <w:r>
        <w:rPr>
          <w:rFonts w:ascii="Verdana" w:eastAsia="Aptos" w:hAnsi="Verdana" w:cs="Arial"/>
          <w:shd w:val="clear" w:color="auto" w:fill="FFFFFF"/>
          <w:lang w:val="es-ES"/>
        </w:rPr>
        <w:t xml:space="preserve"> C-774 del 30 de julio de 2025, </w:t>
      </w:r>
      <w:r w:rsidRPr="00286FF3">
        <w:rPr>
          <w:rFonts w:ascii="Verdana" w:eastAsia="Aptos" w:hAnsi="Verdana" w:cs="Arial"/>
          <w:shd w:val="clear" w:color="auto" w:fill="FFFFFF"/>
          <w:lang w:val="es-ES"/>
        </w:rPr>
        <w:t xml:space="preserve"> </w:t>
      </w:r>
      <w:r>
        <w:rPr>
          <w:rFonts w:ascii="Verdana" w:eastAsia="Aptos" w:hAnsi="Verdana" w:cs="Arial"/>
          <w:shd w:val="clear" w:color="auto" w:fill="FFFFFF"/>
          <w:lang w:val="es-ES"/>
        </w:rPr>
        <w:t>C-1041 del 4 de septiembre de 2025, C-1381 del 16 de octubre de 2025</w:t>
      </w:r>
      <w:r>
        <w:rPr>
          <w:rFonts w:ascii="Verdana" w:eastAsia="Times New Roman" w:hAnsi="Verdana" w:cs="Arial"/>
          <w:szCs w:val="24"/>
          <w:lang w:eastAsia="es-ES_tradnl"/>
        </w:rPr>
        <w:t xml:space="preserve"> y C-1306 DE 2025. </w:t>
      </w:r>
      <w:r w:rsidRPr="00C95794">
        <w:rPr>
          <w:rFonts w:ascii="Verdana" w:eastAsia="Times New Roman" w:hAnsi="Verdana" w:cs="Arial"/>
          <w:szCs w:val="24"/>
          <w:lang w:eastAsia="es-ES_tradnl"/>
        </w:rPr>
        <w:t xml:space="preserve">Estos y otros conceptos se encuentran disponibles para consulta en el Sistema de relatoría de la Agencia, al cual se puede acceder a través del siguiente enlace: </w:t>
      </w:r>
      <w:hyperlink r:id="rId12" w:history="1">
        <w:r w:rsidRPr="00C95794">
          <w:rPr>
            <w:rFonts w:ascii="Verdana" w:eastAsia="Times New Roman" w:hAnsi="Verdana" w:cs="Arial"/>
            <w:color w:val="0000FF"/>
            <w:szCs w:val="24"/>
            <w:u w:val="single"/>
            <w:lang w:eastAsia="es-ES_tradnl"/>
          </w:rPr>
          <w:t>https://relatoria.colombiacompra.gov.co</w:t>
        </w:r>
      </w:hyperlink>
    </w:p>
    <w:p w14:paraId="7056B5AA" w14:textId="77777777" w:rsidR="004B3741" w:rsidRDefault="004B3741" w:rsidP="004B3741">
      <w:pPr>
        <w:widowControl w:val="0"/>
        <w:autoSpaceDE w:val="0"/>
        <w:autoSpaceDN w:val="0"/>
        <w:spacing w:after="0" w:line="276" w:lineRule="auto"/>
        <w:jc w:val="both"/>
        <w:rPr>
          <w:rFonts w:ascii="Verdana" w:hAnsi="Verdana" w:cs="Arial"/>
          <w:color w:val="000000" w:themeColor="text1"/>
          <w:shd w:val="clear" w:color="auto" w:fill="FFFFFF"/>
        </w:rPr>
      </w:pPr>
    </w:p>
    <w:p w14:paraId="49842275" w14:textId="77777777" w:rsidR="004B3741" w:rsidRPr="00103B90" w:rsidRDefault="004B3741" w:rsidP="004B3741">
      <w:pPr>
        <w:widowControl w:val="0"/>
        <w:autoSpaceDE w:val="0"/>
        <w:autoSpaceDN w:val="0"/>
        <w:spacing w:after="0" w:line="276" w:lineRule="auto"/>
        <w:jc w:val="both"/>
        <w:rPr>
          <w:rFonts w:ascii="Verdana" w:hAnsi="Verdana"/>
        </w:rPr>
      </w:pPr>
      <w:r w:rsidRPr="00505CD6">
        <w:rPr>
          <w:rFonts w:ascii="Verdana" w:hAnsi="Verdana" w:cs="Arial"/>
          <w:color w:val="000000" w:themeColor="text1"/>
          <w:shd w:val="clear" w:color="auto" w:fill="FFFFFF"/>
        </w:rPr>
        <w:t>También, te contamos que ya publicamos </w:t>
      </w:r>
      <w:r w:rsidRPr="00A4324A">
        <w:rPr>
          <w:rFonts w:ascii="Verdana" w:hAnsi="Verdana" w:cs="Arial"/>
          <w:color w:val="000000" w:themeColor="text1"/>
          <w:shd w:val="clear" w:color="auto" w:fill="FFFFFF"/>
        </w:rPr>
        <w:t xml:space="preserve">la nueva </w:t>
      </w:r>
      <w:r w:rsidRPr="00505CD6">
        <w:rPr>
          <w:rFonts w:ascii="Verdana" w:hAnsi="Verdana" w:cs="Arial"/>
          <w:b/>
          <w:bCs/>
          <w:color w:val="000000" w:themeColor="text1"/>
          <w:shd w:val="clear" w:color="auto" w:fill="FFFFFF"/>
        </w:rPr>
        <w:t>Guía de Contratación Pública Sostenible y Socialmente Responsable</w:t>
      </w:r>
      <w:r w:rsidRPr="00505CD6">
        <w:rPr>
          <w:rFonts w:ascii="Verdana" w:hAnsi="Verdana" w:cs="Arial"/>
          <w:color w:val="000000" w:themeColor="text1"/>
          <w:shd w:val="clear" w:color="auto" w:fill="FFFFFF"/>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3" w:tgtFrame="_blank" w:tooltip="Dirección URL original: https://www.colombiacompra.gov.co/manuales-guias-y-pliegos-tipo/manuales-y-guias/guia-de-contratacion-publica-sostenible-y-socialmente. Haga clic o pulse si confía en este vínculo." w:history="1">
        <w:r w:rsidRPr="00505CD6">
          <w:rPr>
            <w:rFonts w:ascii="Verdana" w:hAnsi="Verdana" w:cs="Arial"/>
            <w:color w:val="0563C1" w:themeColor="hyperlink"/>
            <w:u w:val="single"/>
            <w:shd w:val="clear" w:color="auto" w:fill="FFFFFF"/>
          </w:rPr>
          <w:t>Guía de Contratación Pública Sostenible y Socialmente Responsable | Colombia Compra Eficiente | Agencia Nacional de Contratación Pública</w:t>
        </w:r>
      </w:hyperlink>
      <w:r w:rsidRPr="00103B90">
        <w:rPr>
          <w:rFonts w:ascii="Verdana" w:hAnsi="Verdana"/>
        </w:rPr>
        <w:t>.</w:t>
      </w:r>
    </w:p>
    <w:p w14:paraId="6D2ACB53" w14:textId="77777777" w:rsidR="004B3741" w:rsidRPr="00103B90" w:rsidRDefault="004B3741" w:rsidP="004B3741">
      <w:pPr>
        <w:widowControl w:val="0"/>
        <w:autoSpaceDE w:val="0"/>
        <w:autoSpaceDN w:val="0"/>
        <w:spacing w:after="0" w:line="276" w:lineRule="auto"/>
        <w:jc w:val="both"/>
        <w:rPr>
          <w:rFonts w:ascii="Verdana" w:hAnsi="Verdana"/>
        </w:rPr>
      </w:pPr>
    </w:p>
    <w:p w14:paraId="1DC733C7" w14:textId="77777777" w:rsidR="004B3741" w:rsidRPr="00505CD6" w:rsidRDefault="004B3741" w:rsidP="004B3741">
      <w:pPr>
        <w:widowControl w:val="0"/>
        <w:autoSpaceDE w:val="0"/>
        <w:autoSpaceDN w:val="0"/>
        <w:spacing w:after="0" w:line="276" w:lineRule="auto"/>
        <w:jc w:val="both"/>
        <w:rPr>
          <w:rFonts w:ascii="Verdana" w:hAnsi="Verdana" w:cs="Arial"/>
          <w:lang w:val="es-ES_tradnl"/>
        </w:rPr>
      </w:pPr>
      <w:r w:rsidRPr="00505CD6">
        <w:rPr>
          <w:rFonts w:ascii="Verdana" w:hAnsi="Verdana" w:cs="Arial"/>
        </w:rPr>
        <w:t xml:space="preserve">Este concepto tiene el alcance previsto en el artículo 28 del Código de Procedimiento Administrativo y de lo Contencioso Administrativo </w:t>
      </w:r>
      <w:r w:rsidRPr="00505CD6">
        <w:rPr>
          <w:rFonts w:ascii="Verdana" w:hAnsi="Verdana" w:cs="Arial"/>
          <w:lang w:val="es-ES_tradnl"/>
        </w:rPr>
        <w:t>y las expresiones aquí utilizadas con mayúscula inicial deben ser entendidas con el significado que les otorga el artículo 2.2.1.1.1.3.1. del Decreto 1082 de 2015.</w:t>
      </w:r>
    </w:p>
    <w:p w14:paraId="7E1A203F" w14:textId="77777777" w:rsidR="004B3741" w:rsidRPr="00505CD6" w:rsidRDefault="004B3741" w:rsidP="004B3741">
      <w:pPr>
        <w:widowControl w:val="0"/>
        <w:autoSpaceDE w:val="0"/>
        <w:autoSpaceDN w:val="0"/>
        <w:spacing w:after="0" w:line="276" w:lineRule="auto"/>
        <w:jc w:val="both"/>
        <w:rPr>
          <w:rFonts w:ascii="Verdana" w:hAnsi="Verdana" w:cs="Arial"/>
        </w:rPr>
      </w:pPr>
    </w:p>
    <w:p w14:paraId="4B54119D" w14:textId="77777777" w:rsidR="004B3741" w:rsidRDefault="004B3741" w:rsidP="004B3741">
      <w:pPr>
        <w:spacing w:after="0" w:line="276" w:lineRule="auto"/>
        <w:jc w:val="both"/>
        <w:rPr>
          <w:rFonts w:ascii="Verdana" w:hAnsi="Verdana" w:cs="Arial"/>
          <w:lang w:eastAsia="es-CO"/>
        </w:rPr>
      </w:pPr>
      <w:r w:rsidRPr="00505CD6">
        <w:rPr>
          <w:rFonts w:ascii="Verdana" w:eastAsia="Times New Roman" w:hAnsi="Verdana" w:cs="Arial"/>
          <w:lang w:eastAsia="es-CO"/>
        </w:rPr>
        <w:t>Atentamente,</w:t>
      </w:r>
      <w:r w:rsidRPr="00505CD6">
        <w:rPr>
          <w:rFonts w:ascii="Verdana" w:hAnsi="Verdana" w:cs="Arial"/>
          <w:lang w:eastAsia="es-CO"/>
        </w:rPr>
        <w:t xml:space="preserve"> </w:t>
      </w:r>
    </w:p>
    <w:p w14:paraId="73349045" w14:textId="77777777" w:rsidR="004B3741" w:rsidRDefault="004B3741" w:rsidP="004B3741">
      <w:pPr>
        <w:spacing w:after="0" w:line="276" w:lineRule="auto"/>
        <w:jc w:val="both"/>
        <w:rPr>
          <w:noProof/>
        </w:rPr>
      </w:pPr>
    </w:p>
    <w:p w14:paraId="428F97E9" w14:textId="586CEB5D" w:rsidR="004B3741" w:rsidRDefault="008313BE" w:rsidP="004B3741">
      <w:pPr>
        <w:spacing w:line="276" w:lineRule="auto"/>
        <w:jc w:val="center"/>
        <w:rPr>
          <w:noProof/>
        </w:rPr>
      </w:pPr>
      <w:r>
        <w:rPr>
          <w:noProof/>
        </w:rPr>
        <w:drawing>
          <wp:inline distT="0" distB="0" distL="0" distR="0" wp14:anchorId="3B9B7718" wp14:editId="193CD3F3">
            <wp:extent cx="2840355" cy="1219315"/>
            <wp:effectExtent l="0" t="0" r="0" b="0"/>
            <wp:docPr id="210214558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43053" cy="1220473"/>
                    </a:xfrm>
                    <a:prstGeom prst="rect">
                      <a:avLst/>
                    </a:prstGeom>
                    <a:noFill/>
                    <a:ln>
                      <a:noFill/>
                    </a:ln>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4B3741" w:rsidRPr="00593A5F" w14:paraId="447776AC" w14:textId="77777777" w:rsidTr="00566950">
        <w:trPr>
          <w:trHeight w:val="315"/>
        </w:trPr>
        <w:tc>
          <w:tcPr>
            <w:tcW w:w="893" w:type="dxa"/>
            <w:vAlign w:val="center"/>
            <w:hideMark/>
          </w:tcPr>
          <w:p w14:paraId="7E3AC734" w14:textId="77777777" w:rsidR="004B3741" w:rsidRPr="003751C7" w:rsidRDefault="004B3741" w:rsidP="00566950">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2FF9022A" w14:textId="77777777" w:rsidR="004B3741" w:rsidRPr="007911EE" w:rsidRDefault="004B3741" w:rsidP="00566950">
            <w:pPr>
              <w:contextualSpacing/>
              <w:rPr>
                <w:rFonts w:ascii="Verdana" w:hAnsi="Verdana"/>
                <w:sz w:val="16"/>
                <w:szCs w:val="16"/>
              </w:rPr>
            </w:pPr>
            <w:r>
              <w:rPr>
                <w:rFonts w:ascii="Verdana" w:hAnsi="Verdana"/>
                <w:sz w:val="16"/>
                <w:szCs w:val="16"/>
              </w:rPr>
              <w:t xml:space="preserve">Nicolas Andres Guzman </w:t>
            </w:r>
          </w:p>
          <w:p w14:paraId="7ED4CADD" w14:textId="77777777" w:rsidR="004B3741" w:rsidRPr="007911EE" w:rsidRDefault="004B3741" w:rsidP="00566950">
            <w:pPr>
              <w:contextualSpacing/>
              <w:rPr>
                <w:rFonts w:ascii="Verdana" w:eastAsia="Arial" w:hAnsi="Verdana" w:cs="Arial"/>
                <w:sz w:val="16"/>
                <w:szCs w:val="16"/>
              </w:rPr>
            </w:pPr>
            <w:r w:rsidRPr="007911EE">
              <w:rPr>
                <w:rFonts w:ascii="Verdana" w:hAnsi="Verdana"/>
                <w:sz w:val="16"/>
                <w:szCs w:val="16"/>
              </w:rPr>
              <w:t>Contratista de la Subdirección de Gestión Contractual</w:t>
            </w:r>
          </w:p>
        </w:tc>
      </w:tr>
      <w:tr w:rsidR="004B3741" w:rsidRPr="00593A5F" w14:paraId="3C684A69" w14:textId="77777777" w:rsidTr="00566950">
        <w:trPr>
          <w:trHeight w:val="330"/>
        </w:trPr>
        <w:tc>
          <w:tcPr>
            <w:tcW w:w="893" w:type="dxa"/>
            <w:vAlign w:val="center"/>
            <w:hideMark/>
          </w:tcPr>
          <w:p w14:paraId="36107E06" w14:textId="77777777" w:rsidR="004B3741" w:rsidRPr="003751C7" w:rsidRDefault="004B3741" w:rsidP="00566950">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1BF8858" w14:textId="77777777" w:rsidR="004B3741" w:rsidRDefault="004B3741" w:rsidP="00566950">
            <w:pPr>
              <w:spacing w:line="276" w:lineRule="auto"/>
              <w:contextualSpacing/>
              <w:jc w:val="both"/>
              <w:rPr>
                <w:rFonts w:ascii="Verdana" w:hAnsi="Verdana"/>
                <w:sz w:val="16"/>
                <w:szCs w:val="16"/>
              </w:rPr>
            </w:pPr>
            <w:r w:rsidRPr="00887A8D">
              <w:rPr>
                <w:rFonts w:ascii="Verdana" w:hAnsi="Verdana"/>
                <w:sz w:val="16"/>
                <w:szCs w:val="16"/>
              </w:rPr>
              <w:t>Juan Carlos González</w:t>
            </w:r>
          </w:p>
          <w:p w14:paraId="1BDE5B7B" w14:textId="77777777" w:rsidR="004B3741" w:rsidRPr="007911EE" w:rsidRDefault="004B3741" w:rsidP="00566950">
            <w:pPr>
              <w:spacing w:line="276" w:lineRule="auto"/>
              <w:contextualSpacing/>
              <w:jc w:val="both"/>
              <w:rPr>
                <w:rFonts w:ascii="Verdana" w:hAnsi="Verdana" w:cstheme="minorHAnsi"/>
                <w:sz w:val="16"/>
                <w:szCs w:val="16"/>
              </w:rPr>
            </w:pPr>
            <w:r>
              <w:rPr>
                <w:rStyle w:val="normaltextrun"/>
                <w:rFonts w:ascii="Verdana" w:eastAsia="Arial" w:hAnsi="Verdana"/>
                <w:sz w:val="16"/>
                <w:szCs w:val="16"/>
              </w:rPr>
              <w:t xml:space="preserve">Contratista </w:t>
            </w:r>
            <w:r w:rsidRPr="00CD7324">
              <w:rPr>
                <w:rStyle w:val="normaltextrun"/>
                <w:rFonts w:ascii="Verdana" w:eastAsia="Arial" w:hAnsi="Verdana"/>
                <w:sz w:val="16"/>
                <w:szCs w:val="16"/>
              </w:rPr>
              <w:t>de la</w:t>
            </w:r>
            <w:r w:rsidRPr="007911EE">
              <w:rPr>
                <w:rStyle w:val="normaltextrun"/>
                <w:rFonts w:ascii="Verdana" w:eastAsia="Arial" w:hAnsi="Verdana" w:cs="Arial"/>
                <w:sz w:val="16"/>
                <w:szCs w:val="16"/>
              </w:rPr>
              <w:t xml:space="preserve"> Subdirección de Gestión Contractual</w:t>
            </w:r>
          </w:p>
        </w:tc>
      </w:tr>
      <w:tr w:rsidR="004B3741" w:rsidRPr="00593A5F" w14:paraId="28877386" w14:textId="77777777" w:rsidTr="00566950">
        <w:trPr>
          <w:trHeight w:val="330"/>
        </w:trPr>
        <w:tc>
          <w:tcPr>
            <w:tcW w:w="893" w:type="dxa"/>
            <w:vAlign w:val="center"/>
          </w:tcPr>
          <w:p w14:paraId="07FB77FD" w14:textId="77777777" w:rsidR="004B3741" w:rsidRPr="003751C7" w:rsidRDefault="004B3741" w:rsidP="00566950">
            <w:pPr>
              <w:contextualSpacing/>
              <w:rPr>
                <w:rFonts w:ascii="Verdana" w:hAnsi="Verdana" w:cs="Arial"/>
                <w:sz w:val="16"/>
                <w:szCs w:val="16"/>
                <w:lang w:val="es-ES" w:eastAsia="es-ES"/>
              </w:rPr>
            </w:pPr>
            <w:r w:rsidRPr="00EB1CF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5536D038" w14:textId="77777777" w:rsidR="004B3741" w:rsidRDefault="004B3741" w:rsidP="00566950">
            <w:pPr>
              <w:spacing w:line="276" w:lineRule="auto"/>
              <w:contextualSpacing/>
              <w:jc w:val="both"/>
              <w:rPr>
                <w:rFonts w:ascii="Verdana" w:hAnsi="Verdana"/>
                <w:sz w:val="16"/>
                <w:szCs w:val="16"/>
              </w:rPr>
            </w:pPr>
            <w:r>
              <w:rPr>
                <w:rFonts w:ascii="Verdana" w:hAnsi="Verdana"/>
                <w:sz w:val="16"/>
                <w:szCs w:val="16"/>
              </w:rPr>
              <w:t xml:space="preserve">Carolina Quintero Gacharná. </w:t>
            </w:r>
          </w:p>
          <w:p w14:paraId="32DECDBC" w14:textId="77777777" w:rsidR="004B3741" w:rsidRDefault="004B3741" w:rsidP="00566950">
            <w:pPr>
              <w:spacing w:line="276" w:lineRule="auto"/>
              <w:contextualSpacing/>
              <w:jc w:val="both"/>
              <w:rPr>
                <w:rFonts w:ascii="Verdana" w:hAnsi="Verdana"/>
                <w:sz w:val="16"/>
                <w:szCs w:val="16"/>
              </w:rPr>
            </w:pPr>
            <w:r w:rsidRPr="00EB1CF7">
              <w:rPr>
                <w:rFonts w:ascii="Verdana" w:eastAsia="Calibri" w:hAnsi="Verdana" w:cs="Arial"/>
                <w:sz w:val="16"/>
                <w:szCs w:val="16"/>
                <w:lang w:eastAsia="es-ES"/>
              </w:rPr>
              <w:t>Subdirectora</w:t>
            </w:r>
            <w:r w:rsidRPr="00EB1CF7">
              <w:rPr>
                <w:rFonts w:ascii="Verdana" w:eastAsia="Calibri" w:hAnsi="Verdana" w:cs="Arial"/>
                <w:sz w:val="16"/>
                <w:szCs w:val="16"/>
                <w:lang w:val="pt-BR" w:eastAsia="es-ES"/>
              </w:rPr>
              <w:t xml:space="preserve"> de Gestión Contratual </w:t>
            </w:r>
            <w:r>
              <w:rPr>
                <w:rFonts w:ascii="Verdana" w:eastAsia="Calibri" w:hAnsi="Verdana" w:cs="Arial"/>
                <w:sz w:val="16"/>
                <w:szCs w:val="16"/>
                <w:lang w:val="pt-BR" w:eastAsia="es-ES"/>
              </w:rPr>
              <w:t xml:space="preserve">- </w:t>
            </w:r>
            <w:r w:rsidRPr="00EB1CF7">
              <w:rPr>
                <w:rFonts w:ascii="Verdana" w:eastAsia="Calibri" w:hAnsi="Verdana" w:cs="Arial"/>
                <w:sz w:val="16"/>
                <w:szCs w:val="16"/>
                <w:lang w:val="pt-BR" w:eastAsia="es-ES"/>
              </w:rPr>
              <w:t>ANCP – CCE</w:t>
            </w:r>
          </w:p>
        </w:tc>
      </w:tr>
      <w:bookmarkEnd w:id="1"/>
    </w:tbl>
    <w:p w14:paraId="6F67A76E" w14:textId="77777777" w:rsidR="004B3741" w:rsidRPr="00F30C63" w:rsidRDefault="004B3741" w:rsidP="004B3741"/>
    <w:p w14:paraId="768F194C" w14:textId="77777777" w:rsidR="004B3741" w:rsidRPr="00D55B9E" w:rsidRDefault="004B3741" w:rsidP="004B3741"/>
    <w:p w14:paraId="0F293BF4" w14:textId="5631BD58" w:rsidR="00127233" w:rsidRPr="00E65A20" w:rsidRDefault="00127233" w:rsidP="00E65A20"/>
    <w:sectPr w:rsidR="00127233" w:rsidRPr="00E65A20"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07BE0B" w14:textId="77777777" w:rsidR="00DD6307" w:rsidRDefault="00DD6307" w:rsidP="004A1847">
      <w:pPr>
        <w:spacing w:after="0" w:line="240" w:lineRule="auto"/>
      </w:pPr>
      <w:r>
        <w:separator/>
      </w:r>
    </w:p>
  </w:endnote>
  <w:endnote w:type="continuationSeparator" w:id="0">
    <w:p w14:paraId="0C80DB29" w14:textId="77777777" w:rsidR="00DD6307" w:rsidRDefault="00DD6307"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E3CF70" w14:textId="77777777" w:rsidR="00DD6307" w:rsidRDefault="00DD6307" w:rsidP="004A1847">
      <w:pPr>
        <w:spacing w:after="0" w:line="240" w:lineRule="auto"/>
      </w:pPr>
      <w:r>
        <w:separator/>
      </w:r>
    </w:p>
  </w:footnote>
  <w:footnote w:type="continuationSeparator" w:id="0">
    <w:p w14:paraId="23734447" w14:textId="77777777" w:rsidR="00DD6307" w:rsidRDefault="00DD6307" w:rsidP="004A1847">
      <w:pPr>
        <w:spacing w:after="0" w:line="240" w:lineRule="auto"/>
      </w:pPr>
      <w:r>
        <w:continuationSeparator/>
      </w:r>
    </w:p>
  </w:footnote>
  <w:footnote w:id="1">
    <w:p w14:paraId="37998DA3" w14:textId="77777777" w:rsidR="004B3741" w:rsidRPr="008F38FC" w:rsidRDefault="004B3741" w:rsidP="004B3741">
      <w:pPr>
        <w:pStyle w:val="Textonotapie"/>
        <w:ind w:right="49" w:firstLine="708"/>
        <w:contextualSpacing/>
        <w:jc w:val="both"/>
        <w:rPr>
          <w:rFonts w:ascii="Verdana" w:hAnsi="Verdana" w:cs="Arial"/>
          <w:color w:val="000000" w:themeColor="text1"/>
          <w:sz w:val="16"/>
          <w:szCs w:val="16"/>
        </w:rPr>
      </w:pPr>
      <w:r w:rsidRPr="008F38FC">
        <w:rPr>
          <w:rStyle w:val="Refdenotaalpie"/>
          <w:rFonts w:ascii="Verdana" w:hAnsi="Verdana" w:cs="Arial"/>
          <w:color w:val="000000" w:themeColor="text1"/>
          <w:sz w:val="16"/>
          <w:szCs w:val="16"/>
        </w:rPr>
        <w:footnoteRef/>
      </w:r>
      <w:r w:rsidRPr="008F38FC">
        <w:rPr>
          <w:rFonts w:ascii="Verdana" w:hAnsi="Verdana" w:cs="Arial"/>
          <w:color w:val="000000" w:themeColor="text1"/>
          <w:sz w:val="16"/>
          <w:szCs w:val="16"/>
        </w:rPr>
        <w:t xml:space="preserve"> Decreto 1082 de 2015: “Artículo 2.2.1.1.1.7.1. Publicidad en el SECOP. La Entidad Estatal está obligada a publicar en el SECOP los Documentos del Proceso y los actos administrativos del Proceso de Contratación, dentro de los tres (3) días siguientes a su expedición. La oferta que debe ser publicada es la del adjudicatario del Proceso de Contratación. Los documentos de las operaciones que se realicen en bolsa de productos no tienen que ser publicados en el SECOP.</w:t>
      </w:r>
    </w:p>
    <w:p w14:paraId="18DB74F8" w14:textId="77777777" w:rsidR="004B3741" w:rsidRPr="008F38FC" w:rsidRDefault="004B3741" w:rsidP="004B3741">
      <w:pPr>
        <w:pStyle w:val="Textonotapie"/>
        <w:ind w:right="49" w:firstLine="708"/>
        <w:contextualSpacing/>
        <w:jc w:val="both"/>
        <w:rPr>
          <w:rFonts w:ascii="Verdana" w:hAnsi="Verdana" w:cs="Arial"/>
          <w:color w:val="000000" w:themeColor="text1"/>
          <w:sz w:val="16"/>
          <w:szCs w:val="16"/>
        </w:rPr>
      </w:pPr>
      <w:r w:rsidRPr="008F38FC">
        <w:rPr>
          <w:rFonts w:ascii="Verdana" w:hAnsi="Verdana" w:cs="Arial"/>
          <w:color w:val="000000" w:themeColor="text1"/>
          <w:sz w:val="16"/>
          <w:szCs w:val="16"/>
        </w:rPr>
        <w:t>La Entidad Estatal está obligada a publicar oportunamente el aviso de convocatoria o la invitación en los Procesos de Contratación de mínima cuantía y el proyecto de pliegos de condiciones en el SECOP para que los interesados en el Proceso de Contratación puedan presentar observaciones o solicitar aclaraciones en el término previsto para el efecto en el artículo 2.2.1.1.2.1.4 del presente decreto”.</w:t>
      </w:r>
    </w:p>
    <w:p w14:paraId="3622FDE6" w14:textId="77777777" w:rsidR="004B3741" w:rsidRPr="008F38FC" w:rsidRDefault="004B3741" w:rsidP="004B3741">
      <w:pPr>
        <w:pStyle w:val="Textonotapie"/>
        <w:ind w:right="49" w:firstLine="708"/>
        <w:contextualSpacing/>
        <w:jc w:val="both"/>
        <w:rPr>
          <w:rFonts w:ascii="Verdana" w:hAnsi="Verdana" w:cs="Arial"/>
          <w:color w:val="000000" w:themeColor="text1"/>
          <w:sz w:val="16"/>
          <w:szCs w:val="16"/>
          <w:lang w:val="es-ES"/>
        </w:rPr>
      </w:pPr>
    </w:p>
  </w:footnote>
  <w:footnote w:id="2">
    <w:p w14:paraId="7773360B" w14:textId="77777777" w:rsidR="004B3741" w:rsidRPr="008F38FC" w:rsidRDefault="004B3741" w:rsidP="004B3741">
      <w:pPr>
        <w:pStyle w:val="Textonotapie"/>
        <w:ind w:firstLine="708"/>
        <w:jc w:val="both"/>
        <w:rPr>
          <w:rFonts w:ascii="Verdana" w:hAnsi="Verdana"/>
          <w:sz w:val="16"/>
          <w:szCs w:val="16"/>
          <w:lang w:val="es-CO"/>
        </w:rPr>
      </w:pPr>
      <w:r w:rsidRPr="008F38FC">
        <w:rPr>
          <w:rStyle w:val="Refdenotaalpie"/>
          <w:rFonts w:ascii="Verdana" w:hAnsi="Verdana"/>
          <w:sz w:val="16"/>
          <w:szCs w:val="16"/>
        </w:rPr>
        <w:footnoteRef/>
      </w:r>
      <w:r w:rsidRPr="008F38FC">
        <w:rPr>
          <w:rFonts w:ascii="Verdana" w:hAnsi="Verdana"/>
          <w:sz w:val="16"/>
          <w:szCs w:val="16"/>
        </w:rPr>
        <w:t xml:space="preserve"> </w:t>
      </w:r>
      <w:r w:rsidRPr="008F38FC">
        <w:rPr>
          <w:rFonts w:ascii="Verdana" w:hAnsi="Verdana"/>
          <w:sz w:val="16"/>
          <w:szCs w:val="16"/>
          <w:lang w:val="es-CO"/>
        </w:rPr>
        <w:t>Ley 80 de 1993 “Artículo 24. Del principio de transparencia. En virtud de este principio: […] 4o. Las autoridades expedirán a costa de aquellas personas que demuestren interés legítimo, copias de las actuaciones y propuestas recibidas, respetando la reserva de que gocen legalmente las patentes, procedimientos y privilegios”.</w:t>
      </w:r>
    </w:p>
  </w:footnote>
  <w:footnote w:id="3">
    <w:p w14:paraId="19ED4DDE" w14:textId="77777777" w:rsidR="004B3741" w:rsidRPr="008F38FC" w:rsidRDefault="004B3741" w:rsidP="004B3741">
      <w:pPr>
        <w:pStyle w:val="Textonotapie"/>
        <w:ind w:firstLine="708"/>
        <w:jc w:val="both"/>
        <w:rPr>
          <w:rFonts w:ascii="Verdana" w:hAnsi="Verdana"/>
          <w:sz w:val="16"/>
          <w:szCs w:val="16"/>
          <w:lang w:val="es-CO"/>
        </w:rPr>
      </w:pPr>
      <w:r w:rsidRPr="008F38FC">
        <w:rPr>
          <w:rStyle w:val="Refdenotaalpie"/>
          <w:rFonts w:ascii="Verdana" w:hAnsi="Verdana"/>
          <w:sz w:val="16"/>
          <w:szCs w:val="16"/>
        </w:rPr>
        <w:footnoteRef/>
      </w:r>
      <w:r w:rsidRPr="008F38FC">
        <w:rPr>
          <w:rFonts w:ascii="Verdana" w:hAnsi="Verdana"/>
          <w:sz w:val="16"/>
          <w:szCs w:val="16"/>
        </w:rPr>
        <w:t xml:space="preserve"> </w:t>
      </w:r>
      <w:r w:rsidRPr="008F38FC">
        <w:rPr>
          <w:rFonts w:ascii="Verdana" w:hAnsi="Verdana"/>
          <w:sz w:val="16"/>
          <w:szCs w:val="16"/>
          <w:lang w:val="es-CO"/>
        </w:rPr>
        <w:t>Ley 1712 de 2014 “Artículo 2°. Principio de máxima publicidad para titular universal. Toda información en posesión, bajo control o custodia de un sujeto obligado es pública y no podrá ser reservada o limitada sino por disposición constitucional o legal, de conformidad con la presente ley”.</w:t>
      </w:r>
    </w:p>
  </w:footnote>
  <w:footnote w:id="4">
    <w:p w14:paraId="3FD0F984" w14:textId="77777777" w:rsidR="004B3741" w:rsidRPr="00C92145" w:rsidRDefault="004B3741" w:rsidP="004B3741">
      <w:pPr>
        <w:pStyle w:val="Textonotapie"/>
        <w:ind w:firstLine="709"/>
        <w:jc w:val="both"/>
        <w:rPr>
          <w:rFonts w:ascii="Verdana" w:hAnsi="Verdana" w:cs="Arial"/>
          <w:color w:val="000000" w:themeColor="text1"/>
          <w:sz w:val="14"/>
          <w:szCs w:val="14"/>
        </w:rPr>
      </w:pPr>
      <w:r w:rsidRPr="00C92145">
        <w:rPr>
          <w:rStyle w:val="Refdenotaalpie"/>
          <w:rFonts w:ascii="Verdana" w:hAnsi="Verdana" w:cs="Arial"/>
          <w:color w:val="000000" w:themeColor="text1"/>
          <w:sz w:val="14"/>
          <w:szCs w:val="14"/>
        </w:rPr>
        <w:footnoteRef/>
      </w:r>
      <w:r w:rsidRPr="00C92145">
        <w:rPr>
          <w:rFonts w:ascii="Verdana" w:hAnsi="Verdana" w:cs="Arial"/>
          <w:color w:val="000000" w:themeColor="text1"/>
          <w:sz w:val="14"/>
          <w:szCs w:val="14"/>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4F011BD0" w14:textId="77777777" w:rsidR="004B3741" w:rsidRPr="00C92145" w:rsidRDefault="004B3741" w:rsidP="004B3741">
      <w:pPr>
        <w:pStyle w:val="Textonotapie"/>
        <w:ind w:firstLine="709"/>
        <w:jc w:val="both"/>
        <w:rPr>
          <w:rFonts w:ascii="Verdana" w:hAnsi="Verdana" w:cs="Arial"/>
          <w:color w:val="000000" w:themeColor="text1"/>
          <w:sz w:val="14"/>
          <w:szCs w:val="14"/>
        </w:rPr>
      </w:pPr>
      <w:r w:rsidRPr="00C92145">
        <w:rPr>
          <w:rFonts w:ascii="Verdana" w:hAnsi="Verdana" w:cs="Arial"/>
          <w:color w:val="000000" w:themeColor="text1"/>
          <w:sz w:val="14"/>
          <w:szCs w:val="14"/>
        </w:rPr>
        <w:t>Lo anterior, sin perjuicio de las publicaciones previstas en el numeral 3 del artículo 30 de la Ley 80 de 1993.</w:t>
      </w:r>
    </w:p>
    <w:p w14:paraId="7894D2C0" w14:textId="77777777" w:rsidR="004B3741" w:rsidRPr="00C92145" w:rsidRDefault="004B3741" w:rsidP="004B3741">
      <w:pPr>
        <w:pStyle w:val="Textonotapie"/>
        <w:ind w:firstLine="709"/>
        <w:jc w:val="both"/>
        <w:rPr>
          <w:rFonts w:ascii="Verdana" w:hAnsi="Verdana" w:cs="Arial"/>
          <w:color w:val="000000" w:themeColor="text1"/>
          <w:sz w:val="14"/>
          <w:szCs w:val="14"/>
        </w:rPr>
      </w:pPr>
      <w:r w:rsidRPr="00C92145">
        <w:rPr>
          <w:rFonts w:ascii="Verdana" w:hAnsi="Verdana" w:cs="Arial"/>
          <w:color w:val="000000" w:themeColor="text1"/>
          <w:sz w:val="14"/>
          <w:szCs w:val="14"/>
        </w:rPr>
        <w:t xml:space="preserve">Con el fin de materializar los objetivos a que se refiere el inciso anterior, el Gobierno Nacional desarrollará el Sistema Electrónico para la Contratación Pública, Secop, el cual: </w:t>
      </w:r>
    </w:p>
    <w:p w14:paraId="006607F0" w14:textId="77777777" w:rsidR="004B3741" w:rsidRPr="00C92145" w:rsidRDefault="004B3741" w:rsidP="004B3741">
      <w:pPr>
        <w:pStyle w:val="Textonotapie"/>
        <w:ind w:firstLine="709"/>
        <w:jc w:val="both"/>
        <w:rPr>
          <w:rFonts w:ascii="Verdana" w:hAnsi="Verdana" w:cs="Arial"/>
          <w:color w:val="000000" w:themeColor="text1"/>
          <w:sz w:val="14"/>
          <w:szCs w:val="14"/>
        </w:rPr>
      </w:pPr>
      <w:r w:rsidRPr="00C92145">
        <w:rPr>
          <w:rFonts w:ascii="Verdana" w:hAnsi="Verdana" w:cs="Arial"/>
          <w:color w:val="000000" w:themeColor="text1"/>
          <w:sz w:val="14"/>
          <w:szCs w:val="14"/>
        </w:rPr>
        <w:t>[…]</w:t>
      </w:r>
    </w:p>
    <w:p w14:paraId="654B4326" w14:textId="77777777" w:rsidR="004B3741" w:rsidRPr="00C92145" w:rsidRDefault="004B3741" w:rsidP="004B3741">
      <w:pPr>
        <w:pStyle w:val="Textonotapie"/>
        <w:ind w:firstLine="709"/>
        <w:jc w:val="both"/>
        <w:rPr>
          <w:rFonts w:ascii="Verdana" w:hAnsi="Verdana" w:cs="Arial"/>
          <w:color w:val="000000" w:themeColor="text1"/>
          <w:sz w:val="14"/>
          <w:szCs w:val="14"/>
        </w:rPr>
      </w:pPr>
      <w:r w:rsidRPr="00C92145">
        <w:rPr>
          <w:rFonts w:ascii="Verdana" w:hAnsi="Verdana" w:cs="Arial"/>
          <w:color w:val="000000" w:themeColor="text1"/>
          <w:sz w:val="14"/>
          <w:szCs w:val="14"/>
        </w:rPr>
        <w:t xml:space="preserve">c) Contará con la información oficial de la contratación realizada con dineros públicos, para lo cual establecerá los patrones a que haya lugar y se encargará de su difusión a través de canales electrónico”. </w:t>
      </w:r>
    </w:p>
    <w:p w14:paraId="135BF528" w14:textId="77777777" w:rsidR="004B3741" w:rsidRPr="00C92145" w:rsidRDefault="004B3741" w:rsidP="004B3741">
      <w:pPr>
        <w:pStyle w:val="Textonotapie"/>
        <w:ind w:firstLine="709"/>
        <w:jc w:val="both"/>
        <w:rPr>
          <w:rFonts w:ascii="Verdana" w:hAnsi="Verdana" w:cs="Arial"/>
          <w:color w:val="000000" w:themeColor="text1"/>
          <w:sz w:val="14"/>
          <w:szCs w:val="14"/>
          <w:lang w:val="es-CO"/>
        </w:rPr>
      </w:pPr>
    </w:p>
  </w:footnote>
  <w:footnote w:id="5">
    <w:p w14:paraId="49D8B40E" w14:textId="77777777" w:rsidR="004B3741" w:rsidRPr="005C10BE" w:rsidRDefault="004B3741" w:rsidP="004B3741">
      <w:pPr>
        <w:pStyle w:val="Textonotapie"/>
        <w:ind w:firstLine="709"/>
        <w:jc w:val="both"/>
        <w:rPr>
          <w:rFonts w:ascii="Verdana" w:hAnsi="Verdana" w:cs="Arial"/>
          <w:color w:val="000000"/>
          <w:sz w:val="16"/>
          <w:szCs w:val="16"/>
        </w:rPr>
      </w:pPr>
      <w:r w:rsidRPr="005C10BE">
        <w:rPr>
          <w:rStyle w:val="Refdenotaalpie"/>
          <w:rFonts w:ascii="Verdana" w:hAnsi="Verdana" w:cs="Arial"/>
          <w:color w:val="000000"/>
          <w:sz w:val="16"/>
          <w:szCs w:val="16"/>
        </w:rPr>
        <w:footnoteRef/>
      </w:r>
      <w:r w:rsidRPr="005C10BE">
        <w:rPr>
          <w:rFonts w:ascii="Verdana" w:hAnsi="Verdana" w:cs="Arial"/>
          <w:color w:val="000000"/>
          <w:sz w:val="16"/>
          <w:szCs w:val="16"/>
        </w:rPr>
        <w:t xml:space="preserve"> Ley 1712 de 2014: “Artículo 2. Toda información en posesión, bajo control o custodia de un sujeto obligado es pública y no podrá ser reservada o limitada sino por disposición constitucional o legal, de conformidad con la presente ley”.</w:t>
      </w:r>
    </w:p>
    <w:p w14:paraId="19806397" w14:textId="77777777" w:rsidR="004B3741" w:rsidRPr="005C10BE" w:rsidRDefault="004B3741" w:rsidP="004B3741">
      <w:pPr>
        <w:pStyle w:val="Textonotapie"/>
        <w:ind w:firstLine="709"/>
        <w:jc w:val="both"/>
        <w:rPr>
          <w:rFonts w:ascii="Verdana" w:hAnsi="Verdana" w:cs="Arial"/>
          <w:color w:val="000000"/>
          <w:sz w:val="16"/>
          <w:szCs w:val="16"/>
          <w:lang w:val="es-CO"/>
        </w:rPr>
      </w:pPr>
    </w:p>
  </w:footnote>
  <w:footnote w:id="6">
    <w:p w14:paraId="6D795DE9" w14:textId="77777777" w:rsidR="004B3741" w:rsidRPr="005C10BE" w:rsidRDefault="004B3741" w:rsidP="004B3741">
      <w:pPr>
        <w:pStyle w:val="Textonotapie"/>
        <w:ind w:firstLine="709"/>
        <w:jc w:val="both"/>
        <w:rPr>
          <w:rFonts w:ascii="Verdana" w:hAnsi="Verdana" w:cs="Arial"/>
          <w:color w:val="000000"/>
          <w:sz w:val="16"/>
          <w:szCs w:val="16"/>
        </w:rPr>
      </w:pPr>
      <w:r w:rsidRPr="005C10BE">
        <w:rPr>
          <w:rStyle w:val="Refdenotaalpie"/>
          <w:rFonts w:ascii="Verdana" w:hAnsi="Verdana" w:cs="Arial"/>
          <w:color w:val="000000"/>
          <w:sz w:val="16"/>
          <w:szCs w:val="16"/>
        </w:rPr>
        <w:footnoteRef/>
      </w:r>
      <w:r w:rsidRPr="005C10BE">
        <w:rPr>
          <w:rFonts w:ascii="Verdana" w:hAnsi="Verdana" w:cs="Arial"/>
          <w:color w:val="000000"/>
          <w:sz w:val="16"/>
          <w:szCs w:val="16"/>
        </w:rPr>
        <w:t xml:space="preserve"> Ley 1712 de 2014: “Artículo 5. Ámbito de aplicación. Las disposiciones de esta ley serán aplicables a las siguientes personas en calidad de sujetos obligados: </w:t>
      </w:r>
    </w:p>
    <w:p w14:paraId="6414AD7A" w14:textId="77777777" w:rsidR="004B3741" w:rsidRPr="005C10BE" w:rsidRDefault="004B3741" w:rsidP="004B3741">
      <w:pPr>
        <w:pStyle w:val="Textonotapie"/>
        <w:ind w:firstLine="709"/>
        <w:jc w:val="both"/>
        <w:rPr>
          <w:rFonts w:ascii="Verdana" w:hAnsi="Verdana" w:cs="Arial"/>
          <w:color w:val="000000"/>
          <w:sz w:val="16"/>
          <w:szCs w:val="16"/>
        </w:rPr>
      </w:pPr>
      <w:r w:rsidRPr="005C10BE">
        <w:rPr>
          <w:rFonts w:ascii="Verdana" w:hAnsi="Verdana" w:cs="Arial"/>
          <w:color w:val="000000"/>
          <w:sz w:val="16"/>
          <w:szCs w:val="16"/>
        </w:rPr>
        <w:t>“a) Toda entidad pública, incluyendo las pertenecientes a todas las Ramas del Poder Público, en todos los niveles de la estructura estatal, central o descentralizada por servicios o territorialmente, en los órdenes nacional, departamental, municipal y distrital”.</w:t>
      </w:r>
    </w:p>
    <w:p w14:paraId="085008A6" w14:textId="77777777" w:rsidR="004B3741" w:rsidRPr="005C10BE" w:rsidRDefault="004B3741" w:rsidP="004B3741">
      <w:pPr>
        <w:pStyle w:val="Textonotapie"/>
        <w:ind w:firstLine="709"/>
        <w:jc w:val="both"/>
        <w:rPr>
          <w:rFonts w:ascii="Verdana" w:hAnsi="Verdana" w:cs="Arial"/>
          <w:color w:val="000000"/>
          <w:sz w:val="16"/>
          <w:szCs w:val="16"/>
          <w:lang w:val="es-CO"/>
        </w:rPr>
      </w:pPr>
    </w:p>
  </w:footnote>
  <w:footnote w:id="7">
    <w:p w14:paraId="01688E4B" w14:textId="77777777" w:rsidR="004B3741" w:rsidRPr="005C10BE" w:rsidRDefault="004B3741" w:rsidP="004B3741">
      <w:pPr>
        <w:pStyle w:val="Textonotapie"/>
        <w:ind w:firstLine="709"/>
        <w:jc w:val="both"/>
        <w:rPr>
          <w:rFonts w:ascii="Verdana" w:hAnsi="Verdana" w:cs="Arial"/>
          <w:color w:val="000000"/>
          <w:sz w:val="16"/>
          <w:szCs w:val="16"/>
        </w:rPr>
      </w:pPr>
      <w:r w:rsidRPr="005C10BE">
        <w:rPr>
          <w:rFonts w:ascii="Verdana" w:eastAsia="Times New Roman" w:hAnsi="Verdana" w:cs="Arial"/>
          <w:color w:val="000000"/>
          <w:sz w:val="16"/>
          <w:szCs w:val="16"/>
          <w:vertAlign w:val="superscript"/>
          <w:lang w:val="es-ES" w:eastAsia="es-ES"/>
        </w:rPr>
        <w:footnoteRef/>
      </w:r>
      <w:r w:rsidRPr="005C10BE">
        <w:rPr>
          <w:rFonts w:ascii="Verdana" w:eastAsia="Times New Roman" w:hAnsi="Verdana" w:cs="Arial"/>
          <w:color w:val="000000"/>
          <w:sz w:val="16"/>
          <w:szCs w:val="16"/>
          <w:vertAlign w:val="superscript"/>
          <w:lang w:val="es-ES" w:eastAsia="es-ES"/>
        </w:rPr>
        <w:t xml:space="preserve"> </w:t>
      </w:r>
      <w:r w:rsidRPr="005C10BE">
        <w:rPr>
          <w:rFonts w:ascii="Verdana" w:eastAsia="Times New Roman" w:hAnsi="Verdana" w:cs="Arial"/>
          <w:color w:val="000000"/>
          <w:sz w:val="16"/>
          <w:szCs w:val="16"/>
          <w:lang w:val="es-ES" w:eastAsia="es-ES"/>
        </w:rPr>
        <w:t>“</w:t>
      </w:r>
      <w:r w:rsidRPr="005C10BE">
        <w:rPr>
          <w:rFonts w:ascii="Verdana" w:hAnsi="Verdana" w:cs="Arial"/>
          <w:color w:val="000000"/>
          <w:sz w:val="16"/>
          <w:szCs w:val="16"/>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23277963" w14:textId="77777777" w:rsidR="004B3741" w:rsidRPr="005C10BE" w:rsidRDefault="004B3741" w:rsidP="004B3741">
      <w:pPr>
        <w:pStyle w:val="Textonotapie"/>
        <w:ind w:firstLine="709"/>
        <w:jc w:val="both"/>
        <w:rPr>
          <w:rFonts w:ascii="Verdana" w:eastAsia="Times New Roman" w:hAnsi="Verdana" w:cs="Arial"/>
          <w:color w:val="000000"/>
          <w:sz w:val="16"/>
          <w:szCs w:val="16"/>
          <w:lang w:val="es-ES" w:eastAsia="es-ES"/>
        </w:rPr>
      </w:pPr>
      <w:r w:rsidRPr="005C10BE">
        <w:rPr>
          <w:rFonts w:ascii="Verdana" w:hAnsi="Verdana" w:cs="Arial"/>
          <w:color w:val="000000"/>
          <w:sz w:val="16"/>
          <w:szCs w:val="16"/>
        </w:rPr>
        <w:t>[…].</w:t>
      </w:r>
    </w:p>
    <w:p w14:paraId="3C688FE7" w14:textId="77777777" w:rsidR="004B3741" w:rsidRPr="005C10BE" w:rsidRDefault="004B3741" w:rsidP="004B3741">
      <w:pPr>
        <w:pStyle w:val="Textonotapie"/>
        <w:ind w:firstLine="709"/>
        <w:jc w:val="both"/>
        <w:rPr>
          <w:rFonts w:ascii="Verdana" w:eastAsia="Times New Roman" w:hAnsi="Verdana" w:cs="Arial"/>
          <w:color w:val="000000"/>
          <w:sz w:val="16"/>
          <w:szCs w:val="16"/>
          <w:lang w:val="es-ES" w:eastAsia="es-ES"/>
        </w:rPr>
      </w:pPr>
      <w:r w:rsidRPr="005C10BE">
        <w:rPr>
          <w:rFonts w:ascii="Verdana" w:eastAsia="Times New Roman" w:hAnsi="Verdana" w:cs="Arial"/>
          <w:color w:val="000000"/>
          <w:sz w:val="16"/>
          <w:szCs w:val="16"/>
          <w:lang w:val="es-ES" w:eastAsia="es-ES"/>
        </w:rPr>
        <w:t>“Los sujetos obligados que contratan con recursos públicos y recursos privados, deben publicar la información de su gestión contractual con cargo a recursos públicos en el Sistema Electrónico para la Contratación Pública [SECOP]”.</w:t>
      </w:r>
    </w:p>
    <w:p w14:paraId="12655418" w14:textId="77777777" w:rsidR="004B3741" w:rsidRPr="005C10BE" w:rsidRDefault="004B3741" w:rsidP="004B3741">
      <w:pPr>
        <w:pStyle w:val="Textonotapie"/>
        <w:ind w:firstLine="709"/>
        <w:jc w:val="both"/>
        <w:rPr>
          <w:rFonts w:ascii="Verdana" w:eastAsia="Times New Roman" w:hAnsi="Verdana" w:cs="Arial"/>
          <w:color w:val="000000"/>
          <w:sz w:val="16"/>
          <w:szCs w:val="16"/>
          <w:lang w:val="es-ES" w:eastAsia="es-ES"/>
        </w:rPr>
      </w:pPr>
    </w:p>
  </w:footnote>
  <w:footnote w:id="8">
    <w:p w14:paraId="5457DD4E" w14:textId="77777777" w:rsidR="004B3741" w:rsidRPr="005F2788" w:rsidRDefault="004B3741" w:rsidP="004B3741">
      <w:pPr>
        <w:pStyle w:val="Textonotapie"/>
        <w:ind w:right="49" w:firstLine="708"/>
        <w:contextualSpacing/>
        <w:jc w:val="both"/>
        <w:rPr>
          <w:rFonts w:ascii="Verdana" w:hAnsi="Verdana" w:cs="Arial"/>
          <w:color w:val="000000" w:themeColor="text1"/>
          <w:sz w:val="14"/>
          <w:szCs w:val="14"/>
        </w:rPr>
      </w:pPr>
      <w:r w:rsidRPr="005F2788">
        <w:rPr>
          <w:rStyle w:val="Refdenotaalpie"/>
          <w:rFonts w:ascii="Verdana" w:hAnsi="Verdana" w:cs="Arial"/>
          <w:color w:val="000000" w:themeColor="text1"/>
          <w:sz w:val="14"/>
          <w:szCs w:val="14"/>
        </w:rPr>
        <w:footnoteRef/>
      </w:r>
      <w:r w:rsidRPr="005F2788">
        <w:rPr>
          <w:rFonts w:ascii="Verdana" w:hAnsi="Verdana" w:cs="Arial"/>
          <w:color w:val="000000" w:themeColor="text1"/>
          <w:sz w:val="14"/>
          <w:szCs w:val="14"/>
        </w:rPr>
        <w:t xml:space="preserve"> Decreto 1082 de 2015: “Artículo 2.2.1.1.1.7.1. Publicidad en el SECOP. La Entidad Estatal está obligada a publicar en el SECOP los Documentos del Proceso y los actos administrativos del Proceso de Contratación, dentro de los tres (3) días siguientes a su expedición. La oferta que debe ser publicada es la del adjudicatario del Proceso de Contratación. Los documentos de las operaciones que se realicen en bolsa de productos no tienen que ser publicados en el SECOP.</w:t>
      </w:r>
    </w:p>
    <w:p w14:paraId="49D1E934" w14:textId="77777777" w:rsidR="004B3741" w:rsidRDefault="004B3741" w:rsidP="004B3741">
      <w:pPr>
        <w:pStyle w:val="Textonotapie"/>
        <w:ind w:right="49" w:firstLine="708"/>
        <w:contextualSpacing/>
        <w:jc w:val="both"/>
        <w:rPr>
          <w:rFonts w:ascii="Verdana" w:hAnsi="Verdana" w:cs="Arial"/>
          <w:color w:val="000000" w:themeColor="text1"/>
          <w:sz w:val="14"/>
          <w:szCs w:val="14"/>
        </w:rPr>
      </w:pPr>
      <w:r w:rsidRPr="005F2788">
        <w:rPr>
          <w:rFonts w:ascii="Verdana" w:hAnsi="Verdana" w:cs="Arial"/>
          <w:color w:val="000000" w:themeColor="text1"/>
          <w:sz w:val="14"/>
          <w:szCs w:val="14"/>
        </w:rPr>
        <w:t>La Entidad Estatal está obligada a publicar oportunamente el aviso de convocatoria o la invitación en los Procesos de Contratación de mínima cuantía y el proyecto de pliegos de condiciones en el SECOP para que los interesados en el Proceso de Contratación puedan presentar observaciones o solicitar aclaraciones en el término previsto para el efecto en el artículo 2.2.1.1.2.1.4 del presente decreto”.</w:t>
      </w:r>
    </w:p>
    <w:p w14:paraId="14EC5100" w14:textId="77777777" w:rsidR="004B3741" w:rsidRPr="005F2788" w:rsidRDefault="004B3741" w:rsidP="004B3741">
      <w:pPr>
        <w:pStyle w:val="Textonotapie"/>
        <w:ind w:right="49" w:firstLine="708"/>
        <w:contextualSpacing/>
        <w:jc w:val="both"/>
        <w:rPr>
          <w:rFonts w:ascii="Verdana" w:hAnsi="Verdana" w:cs="Arial"/>
          <w:color w:val="000000" w:themeColor="text1"/>
          <w:sz w:val="14"/>
          <w:szCs w:val="14"/>
          <w:lang w:val="es-ES"/>
        </w:rPr>
      </w:pPr>
    </w:p>
  </w:footnote>
  <w:footnote w:id="9">
    <w:p w14:paraId="48EC3010" w14:textId="77777777" w:rsidR="004B3741" w:rsidRPr="002A1671" w:rsidRDefault="004B3741" w:rsidP="004B3741">
      <w:pPr>
        <w:pStyle w:val="Textonotapie"/>
        <w:ind w:firstLine="708"/>
        <w:jc w:val="both"/>
        <w:rPr>
          <w:rFonts w:ascii="Verdana" w:hAnsi="Verdana"/>
          <w:sz w:val="15"/>
          <w:szCs w:val="15"/>
          <w:lang w:val="es-CO"/>
        </w:rPr>
      </w:pPr>
      <w:r w:rsidRPr="002A1671">
        <w:rPr>
          <w:rStyle w:val="Refdenotaalpie"/>
          <w:rFonts w:ascii="Verdana" w:hAnsi="Verdana"/>
          <w:sz w:val="15"/>
          <w:szCs w:val="15"/>
        </w:rPr>
        <w:footnoteRef/>
      </w:r>
      <w:r w:rsidRPr="002A1671">
        <w:rPr>
          <w:rFonts w:ascii="Verdana" w:hAnsi="Verdana"/>
          <w:sz w:val="15"/>
          <w:szCs w:val="15"/>
        </w:rPr>
        <w:t xml:space="preserve"> </w:t>
      </w:r>
      <w:r w:rsidRPr="002A1671">
        <w:rPr>
          <w:rFonts w:ascii="Verdana" w:hAnsi="Verdana"/>
          <w:sz w:val="15"/>
          <w:szCs w:val="15"/>
          <w:lang w:val="es-CO"/>
        </w:rPr>
        <w:t>Ley 80 de 1993 “Artículo 24. Del principio de transparencia. En virtud de este principio: […] 4o. Las autoridades expedirán a costa de aquellas personas que demuestren interés legítimo, copias de las actuaciones y propuestas recibidas, respetando la reserva de que gocen legalmente las patentes, procedimientos y privilegios”.</w:t>
      </w:r>
    </w:p>
  </w:footnote>
  <w:footnote w:id="10">
    <w:p w14:paraId="27FC9F18" w14:textId="77777777" w:rsidR="004B3741" w:rsidRPr="002A1671" w:rsidRDefault="004B3741" w:rsidP="004B3741">
      <w:pPr>
        <w:pStyle w:val="Textonotapie"/>
        <w:ind w:firstLine="708"/>
        <w:jc w:val="both"/>
        <w:rPr>
          <w:rFonts w:ascii="Verdana" w:hAnsi="Verdana"/>
          <w:sz w:val="15"/>
          <w:szCs w:val="15"/>
          <w:lang w:val="es-CO"/>
        </w:rPr>
      </w:pPr>
      <w:r w:rsidRPr="002A1671">
        <w:rPr>
          <w:rStyle w:val="Refdenotaalpie"/>
          <w:rFonts w:ascii="Verdana" w:hAnsi="Verdana"/>
          <w:sz w:val="15"/>
          <w:szCs w:val="15"/>
        </w:rPr>
        <w:footnoteRef/>
      </w:r>
      <w:r w:rsidRPr="002A1671">
        <w:rPr>
          <w:rFonts w:ascii="Verdana" w:hAnsi="Verdana"/>
          <w:sz w:val="15"/>
          <w:szCs w:val="15"/>
        </w:rPr>
        <w:t xml:space="preserve"> </w:t>
      </w:r>
      <w:r w:rsidRPr="002A1671">
        <w:rPr>
          <w:rFonts w:ascii="Verdana" w:hAnsi="Verdana"/>
          <w:sz w:val="15"/>
          <w:szCs w:val="15"/>
          <w:lang w:val="es-CO"/>
        </w:rPr>
        <w:t>Ley 1712 de 2014 “Artículo 2°. Principio de máxima publicidad para titular universal. Toda información en posesión, bajo control o custodia de un sujeto obligado es pública y no podrá ser reservada o limitada sino por disposición constitucional o legal, de conformidad con la presente ley”.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2pt;height:12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17A1800"/>
    <w:multiLevelType w:val="hybridMultilevel"/>
    <w:tmpl w:val="9C3292AA"/>
    <w:lvl w:ilvl="0" w:tplc="080A0001">
      <w:start w:val="1"/>
      <w:numFmt w:val="bullet"/>
      <w:lvlText w:val=""/>
      <w:lvlJc w:val="left"/>
      <w:pPr>
        <w:ind w:left="360" w:hanging="360"/>
      </w:pPr>
      <w:rPr>
        <w:rFonts w:ascii="Symbol" w:hAnsi="Symbol" w:hint="default"/>
      </w:rPr>
    </w:lvl>
    <w:lvl w:ilvl="1" w:tplc="080A0003">
      <w:start w:val="1"/>
      <w:numFmt w:val="bullet"/>
      <w:lvlText w:val="o"/>
      <w:lvlJc w:val="left"/>
      <w:pPr>
        <w:ind w:left="1080" w:hanging="360"/>
      </w:pPr>
      <w:rPr>
        <w:rFonts w:ascii="Courier New" w:hAnsi="Courier New" w:cs="Courier New" w:hint="default"/>
      </w:rPr>
    </w:lvl>
    <w:lvl w:ilvl="2" w:tplc="080A0005">
      <w:start w:val="1"/>
      <w:numFmt w:val="bullet"/>
      <w:lvlText w:val=""/>
      <w:lvlJc w:val="left"/>
      <w:pPr>
        <w:ind w:left="1800" w:hanging="360"/>
      </w:pPr>
      <w:rPr>
        <w:rFonts w:ascii="Wingdings" w:hAnsi="Wingdings" w:hint="default"/>
      </w:rPr>
    </w:lvl>
    <w:lvl w:ilvl="3" w:tplc="080A0001">
      <w:start w:val="1"/>
      <w:numFmt w:val="bullet"/>
      <w:lvlText w:val=""/>
      <w:lvlJc w:val="left"/>
      <w:pPr>
        <w:ind w:left="2520" w:hanging="360"/>
      </w:pPr>
      <w:rPr>
        <w:rFonts w:ascii="Symbol" w:hAnsi="Symbol" w:hint="default"/>
      </w:rPr>
    </w:lvl>
    <w:lvl w:ilvl="4" w:tplc="080A0003">
      <w:start w:val="1"/>
      <w:numFmt w:val="bullet"/>
      <w:lvlText w:val="o"/>
      <w:lvlJc w:val="left"/>
      <w:pPr>
        <w:ind w:left="3240" w:hanging="360"/>
      </w:pPr>
      <w:rPr>
        <w:rFonts w:ascii="Courier New" w:hAnsi="Courier New" w:cs="Courier New" w:hint="default"/>
      </w:rPr>
    </w:lvl>
    <w:lvl w:ilvl="5" w:tplc="080A0005">
      <w:start w:val="1"/>
      <w:numFmt w:val="bullet"/>
      <w:lvlText w:val=""/>
      <w:lvlJc w:val="left"/>
      <w:pPr>
        <w:ind w:left="3960" w:hanging="360"/>
      </w:pPr>
      <w:rPr>
        <w:rFonts w:ascii="Wingdings" w:hAnsi="Wingdings" w:hint="default"/>
      </w:rPr>
    </w:lvl>
    <w:lvl w:ilvl="6" w:tplc="080A0001">
      <w:start w:val="1"/>
      <w:numFmt w:val="bullet"/>
      <w:lvlText w:val=""/>
      <w:lvlJc w:val="left"/>
      <w:pPr>
        <w:ind w:left="4680" w:hanging="360"/>
      </w:pPr>
      <w:rPr>
        <w:rFonts w:ascii="Symbol" w:hAnsi="Symbol" w:hint="default"/>
      </w:rPr>
    </w:lvl>
    <w:lvl w:ilvl="7" w:tplc="080A0003">
      <w:start w:val="1"/>
      <w:numFmt w:val="bullet"/>
      <w:lvlText w:val="o"/>
      <w:lvlJc w:val="left"/>
      <w:pPr>
        <w:ind w:left="5400" w:hanging="360"/>
      </w:pPr>
      <w:rPr>
        <w:rFonts w:ascii="Courier New" w:hAnsi="Courier New" w:cs="Courier New" w:hint="default"/>
      </w:rPr>
    </w:lvl>
    <w:lvl w:ilvl="8" w:tplc="080A0005">
      <w:start w:val="1"/>
      <w:numFmt w:val="bullet"/>
      <w:lvlText w:val=""/>
      <w:lvlJc w:val="left"/>
      <w:pPr>
        <w:ind w:left="612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2F61192"/>
    <w:multiLevelType w:val="hybridMultilevel"/>
    <w:tmpl w:val="7D440B9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6"/>
  </w:num>
  <w:num w:numId="8" w16cid:durableId="152644682">
    <w:abstractNumId w:val="12"/>
  </w:num>
  <w:num w:numId="9" w16cid:durableId="1317221377">
    <w:abstractNumId w:val="8"/>
  </w:num>
  <w:num w:numId="10" w16cid:durableId="1471245386">
    <w:abstractNumId w:val="11"/>
  </w:num>
  <w:num w:numId="11" w16cid:durableId="289172385">
    <w:abstractNumId w:val="9"/>
  </w:num>
  <w:num w:numId="12" w16cid:durableId="1470781324">
    <w:abstractNumId w:val="1"/>
  </w:num>
  <w:num w:numId="13" w16cid:durableId="1512908409">
    <w:abstractNumId w:val="4"/>
  </w:num>
  <w:num w:numId="14" w16cid:durableId="895897244">
    <w:abstractNumId w:val="14"/>
  </w:num>
  <w:num w:numId="15" w16cid:durableId="390349800">
    <w:abstractNumId w:val="10"/>
  </w:num>
  <w:num w:numId="16" w16cid:durableId="1609659350">
    <w:abstractNumId w:val="0"/>
  </w:num>
  <w:num w:numId="17" w16cid:durableId="1364478319">
    <w:abstractNumId w:val="15"/>
  </w:num>
  <w:num w:numId="18" w16cid:durableId="170042363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5DA7"/>
    <w:rsid w:val="000F6486"/>
    <w:rsid w:val="00112317"/>
    <w:rsid w:val="00116940"/>
    <w:rsid w:val="00125105"/>
    <w:rsid w:val="00127233"/>
    <w:rsid w:val="00152943"/>
    <w:rsid w:val="0015699B"/>
    <w:rsid w:val="001A33BF"/>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E2BF8"/>
    <w:rsid w:val="002E4FD9"/>
    <w:rsid w:val="002F1936"/>
    <w:rsid w:val="0030657A"/>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2296D"/>
    <w:rsid w:val="0042722E"/>
    <w:rsid w:val="0044528D"/>
    <w:rsid w:val="00466E39"/>
    <w:rsid w:val="00484458"/>
    <w:rsid w:val="004A1847"/>
    <w:rsid w:val="004A305D"/>
    <w:rsid w:val="004B3741"/>
    <w:rsid w:val="004F21C4"/>
    <w:rsid w:val="004F685F"/>
    <w:rsid w:val="005566E8"/>
    <w:rsid w:val="00574867"/>
    <w:rsid w:val="00591460"/>
    <w:rsid w:val="005A65E0"/>
    <w:rsid w:val="005C3777"/>
    <w:rsid w:val="005C5CDC"/>
    <w:rsid w:val="005D476C"/>
    <w:rsid w:val="006200BF"/>
    <w:rsid w:val="006219F8"/>
    <w:rsid w:val="006302F7"/>
    <w:rsid w:val="00646B9F"/>
    <w:rsid w:val="00653D1E"/>
    <w:rsid w:val="00665D70"/>
    <w:rsid w:val="006900D9"/>
    <w:rsid w:val="00706C16"/>
    <w:rsid w:val="007340C3"/>
    <w:rsid w:val="0075235A"/>
    <w:rsid w:val="00756841"/>
    <w:rsid w:val="007649AB"/>
    <w:rsid w:val="00771D0C"/>
    <w:rsid w:val="007833AC"/>
    <w:rsid w:val="007B268C"/>
    <w:rsid w:val="007B7171"/>
    <w:rsid w:val="007C0C0F"/>
    <w:rsid w:val="007C3DC2"/>
    <w:rsid w:val="007E5497"/>
    <w:rsid w:val="00806F5F"/>
    <w:rsid w:val="00820278"/>
    <w:rsid w:val="008258C9"/>
    <w:rsid w:val="008313BE"/>
    <w:rsid w:val="00844AE9"/>
    <w:rsid w:val="00867F95"/>
    <w:rsid w:val="008843B6"/>
    <w:rsid w:val="00891928"/>
    <w:rsid w:val="008A446D"/>
    <w:rsid w:val="008B25F1"/>
    <w:rsid w:val="008D180B"/>
    <w:rsid w:val="008F0EA7"/>
    <w:rsid w:val="00923EEF"/>
    <w:rsid w:val="009419F9"/>
    <w:rsid w:val="0095685E"/>
    <w:rsid w:val="00961B09"/>
    <w:rsid w:val="00965334"/>
    <w:rsid w:val="0097093E"/>
    <w:rsid w:val="009A0DFA"/>
    <w:rsid w:val="009A1C6F"/>
    <w:rsid w:val="009B2D26"/>
    <w:rsid w:val="009C6A15"/>
    <w:rsid w:val="009C71FA"/>
    <w:rsid w:val="009C72E7"/>
    <w:rsid w:val="009C7F7E"/>
    <w:rsid w:val="009D3058"/>
    <w:rsid w:val="009F3A13"/>
    <w:rsid w:val="00A122D3"/>
    <w:rsid w:val="00A14468"/>
    <w:rsid w:val="00A17F13"/>
    <w:rsid w:val="00A20739"/>
    <w:rsid w:val="00A23AF9"/>
    <w:rsid w:val="00A33C78"/>
    <w:rsid w:val="00AB0ADB"/>
    <w:rsid w:val="00B00C0E"/>
    <w:rsid w:val="00B01B1A"/>
    <w:rsid w:val="00B0381D"/>
    <w:rsid w:val="00B44A47"/>
    <w:rsid w:val="00B72CD3"/>
    <w:rsid w:val="00B72FFF"/>
    <w:rsid w:val="00BC3D36"/>
    <w:rsid w:val="00BD54A6"/>
    <w:rsid w:val="00BD7F72"/>
    <w:rsid w:val="00BF7425"/>
    <w:rsid w:val="00C04FB3"/>
    <w:rsid w:val="00C11D8B"/>
    <w:rsid w:val="00C15139"/>
    <w:rsid w:val="00C330EB"/>
    <w:rsid w:val="00C50D69"/>
    <w:rsid w:val="00C5365C"/>
    <w:rsid w:val="00C664C8"/>
    <w:rsid w:val="00C754BE"/>
    <w:rsid w:val="00C76B1C"/>
    <w:rsid w:val="00C925AC"/>
    <w:rsid w:val="00CB6357"/>
    <w:rsid w:val="00CC1B26"/>
    <w:rsid w:val="00D361FD"/>
    <w:rsid w:val="00D423A2"/>
    <w:rsid w:val="00D44E26"/>
    <w:rsid w:val="00D520D8"/>
    <w:rsid w:val="00D63AC2"/>
    <w:rsid w:val="00D7383B"/>
    <w:rsid w:val="00D7788A"/>
    <w:rsid w:val="00DA231B"/>
    <w:rsid w:val="00DC39FC"/>
    <w:rsid w:val="00DD6307"/>
    <w:rsid w:val="00DF5254"/>
    <w:rsid w:val="00E02524"/>
    <w:rsid w:val="00E16408"/>
    <w:rsid w:val="00E20894"/>
    <w:rsid w:val="00E245AB"/>
    <w:rsid w:val="00E2764C"/>
    <w:rsid w:val="00E27F2E"/>
    <w:rsid w:val="00E50AFE"/>
    <w:rsid w:val="00E65A20"/>
    <w:rsid w:val="00E75C92"/>
    <w:rsid w:val="00E771DC"/>
    <w:rsid w:val="00E8772A"/>
    <w:rsid w:val="00E90F6B"/>
    <w:rsid w:val="00E92C27"/>
    <w:rsid w:val="00EA0E3D"/>
    <w:rsid w:val="00EC1DD5"/>
    <w:rsid w:val="00EC38A7"/>
    <w:rsid w:val="00EE1AA8"/>
    <w:rsid w:val="00F23FEA"/>
    <w:rsid w:val="00F31EDC"/>
    <w:rsid w:val="00F462B3"/>
    <w:rsid w:val="00F5664F"/>
    <w:rsid w:val="00F666C4"/>
    <w:rsid w:val="00F76AFC"/>
    <w:rsid w:val="00FA47C0"/>
    <w:rsid w:val="00FB5DD1"/>
    <w:rsid w:val="00FC2B5D"/>
    <w:rsid w:val="00FF1449"/>
    <w:rsid w:val="00FF7963"/>
    <w:rsid w:val="071B8F93"/>
    <w:rsid w:val="09908A09"/>
    <w:rsid w:val="0FF4CCA8"/>
    <w:rsid w:val="1230A0EF"/>
    <w:rsid w:val="13CFC91B"/>
    <w:rsid w:val="19A2EC2C"/>
    <w:rsid w:val="23428EF3"/>
    <w:rsid w:val="2859CA1B"/>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4B3741"/>
    <w:rPr>
      <w:rFonts w:ascii="Geomanist Light" w:hAnsi="Geomanist Light"/>
      <w:lang w:val="es-ES"/>
    </w:rPr>
  </w:style>
  <w:style w:type="paragraph" w:customStyle="1" w:styleId="Appelnotedebasde">
    <w:name w:val="Appel note de bas de..."/>
    <w:basedOn w:val="Normal"/>
    <w:link w:val="Refdenotaalpie"/>
    <w:uiPriority w:val="99"/>
    <w:rsid w:val="004B3741"/>
    <w:pPr>
      <w:spacing w:line="240" w:lineRule="exact"/>
    </w:pPr>
    <w:rPr>
      <w:vertAlign w:val="superscript"/>
    </w:rPr>
  </w:style>
  <w:style w:type="paragraph" w:styleId="Textocomentario">
    <w:name w:val="annotation text"/>
    <w:basedOn w:val="Normal"/>
    <w:link w:val="TextocomentarioCar"/>
    <w:uiPriority w:val="99"/>
    <w:semiHidden/>
    <w:unhideWhenUsed/>
    <w:pPr>
      <w:spacing w:line="240" w:lineRule="auto"/>
    </w:pPr>
    <w:rPr>
      <w:sz w:val="20"/>
      <w:szCs w:val="20"/>
    </w:rPr>
  </w:style>
  <w:style w:type="character" w:customStyle="1" w:styleId="TextocomentarioCar">
    <w:name w:val="Texto comentario Car"/>
    <w:basedOn w:val="Fuentedeprrafopredeter"/>
    <w:link w:val="Textocomentario"/>
    <w:uiPriority w:val="99"/>
    <w:semiHidden/>
    <w:rPr>
      <w:sz w:val="20"/>
      <w:szCs w:val="20"/>
    </w:rPr>
  </w:style>
  <w:style w:type="character" w:styleId="Refdecomentario">
    <w:name w:val="annotation reference"/>
    <w:basedOn w:val="Fuentedeprrafopredeter"/>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manuales-guias-y-pliegos-tipo%2Fmanuales-y-guias%2Fguia-de-contratacion-publica-sostenible-y-socialmente&amp;data=05%7C02%7Ctatiana.baquero%40colombiacompra.gov.co%7Cb18b651bca3a4eb8eab008dd269b400d%7C7b09041e245149d08cb179d5e3d8c1be%7C0%7C0%7C638709170413433972%7CUnknown%7CTWFpbGZsb3d8eyJFbXB0eU1hcGkiOnRydWUsIlYiOiIwLjAuMDAwMCIsIlAiOiJXaW4zMiIsIkFOIjoiTWFpbCIsIldUIjoyfQ%3D%3D%7C0%7C%7C%7C&amp;sdata=KcIZjNQCyhSYqCBJKaUzRmkm%2F%2BX5KfyJ0BFpHPOyyuQ%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phonehamp@icloud.com"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1aae7ce2-01f1-44de-ad9f-ef43eb06f92c"/>
  </ds:schemaRefs>
</ds:datastoreItem>
</file>

<file path=customXml/itemProps3.xml><?xml version="1.0" encoding="utf-8"?>
<ds:datastoreItem xmlns:ds="http://schemas.openxmlformats.org/officeDocument/2006/customXml" ds:itemID="{60497835-6918-4410-A2A2-D6DB21333BFE}"/>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15</TotalTime>
  <Pages>14</Pages>
  <Words>4513</Words>
  <Characters>23831</Characters>
  <Application>Microsoft Office Word</Application>
  <DocSecurity>0</DocSecurity>
  <Lines>467</Lines>
  <Paragraphs>95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Nicolas Andres Guzman Padilla</cp:lastModifiedBy>
  <cp:revision>5</cp:revision>
  <cp:lastPrinted>2023-01-10T21:18:00Z</cp:lastPrinted>
  <dcterms:created xsi:type="dcterms:W3CDTF">2025-12-03T00:04:00Z</dcterms:created>
  <dcterms:modified xsi:type="dcterms:W3CDTF">2025-12-05T15:14:00Z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