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B659A" w14:textId="77777777" w:rsidR="00C1044E" w:rsidRPr="0037437B" w:rsidRDefault="00C1044E" w:rsidP="00C1044E">
      <w:pPr>
        <w:spacing w:after="0"/>
        <w:jc w:val="both"/>
        <w:rPr>
          <w:rFonts w:ascii="Verdana" w:hAnsi="Verdana" w:cs="Arial"/>
          <w:b/>
          <w:bCs/>
          <w:color w:val="000000" w:themeColor="text1"/>
          <w:lang w:val="es-ES"/>
        </w:rPr>
      </w:pPr>
      <w:bookmarkStart w:id="0" w:name="_Hlk143780582"/>
      <w:r w:rsidRPr="0037437B">
        <w:rPr>
          <w:rFonts w:ascii="Verdana" w:hAnsi="Verdana" w:cs="Arial"/>
          <w:b/>
          <w:bCs/>
          <w:color w:val="000000" w:themeColor="text1"/>
          <w:lang w:val="es-ES"/>
        </w:rPr>
        <w:t xml:space="preserve">PRINCIPIO DE ANUALIDAD – Fundamento </w:t>
      </w:r>
    </w:p>
    <w:p w14:paraId="0CB57A86" w14:textId="77777777" w:rsidR="00C1044E" w:rsidRDefault="00C1044E" w:rsidP="00C1044E">
      <w:pPr>
        <w:spacing w:after="0"/>
        <w:jc w:val="both"/>
        <w:rPr>
          <w:rFonts w:ascii="Verdana" w:hAnsi="Verdana" w:cs="Arial"/>
          <w:b/>
          <w:bCs/>
          <w:color w:val="000000" w:themeColor="text1"/>
          <w:lang w:val="es-ES"/>
        </w:rPr>
      </w:pPr>
    </w:p>
    <w:p w14:paraId="292A1549" w14:textId="77777777" w:rsidR="00C1044E" w:rsidRDefault="00C1044E" w:rsidP="00C1044E">
      <w:pPr>
        <w:spacing w:after="0"/>
        <w:jc w:val="both"/>
        <w:rPr>
          <w:rFonts w:ascii="Verdana" w:hAnsi="Verdana" w:cs="Arial"/>
          <w:bCs/>
          <w:color w:val="000000" w:themeColor="text1"/>
          <w:sz w:val="20"/>
          <w:lang w:val="es-ES_tradnl"/>
        </w:rPr>
      </w:pPr>
      <w:r>
        <w:rPr>
          <w:rFonts w:ascii="Verdana" w:hAnsi="Verdana" w:cs="Arial"/>
          <w:bCs/>
          <w:color w:val="000000" w:themeColor="text1"/>
          <w:sz w:val="20"/>
          <w:lang w:val="es-ES_tradnl"/>
        </w:rPr>
        <w:t xml:space="preserve">[…] </w:t>
      </w:r>
      <w:r w:rsidRPr="0037437B">
        <w:rPr>
          <w:rFonts w:ascii="Verdana" w:hAnsi="Verdana" w:cs="Arial"/>
          <w:bCs/>
          <w:color w:val="000000" w:themeColor="text1"/>
          <w:sz w:val="20"/>
          <w:lang w:val="es-ES_tradnl"/>
        </w:rPr>
        <w:t>el Estatuto Orgánico del Presupuesto consagra este principio en el artículo 14 consistente en que “Después del 31 de diciembre no podrán asumirse compromisos con cargo a las apropiaciones del año fiscal que se cierra en esa fecha y los saldos de apropiación no afectados por compromisos caducarán sin excepción”. Es decir, los gastos previstos en el presupuesto anual deben ejecutarse dentro de una vigencia fiscal comprendida entre el 1 de enero y el 31 de diciembre.</w:t>
      </w:r>
      <w:r w:rsidRPr="0037437B">
        <w:rPr>
          <w:rFonts w:ascii="Verdana" w:hAnsi="Verdana" w:cs="Arial"/>
          <w:bCs/>
          <w:color w:val="000000" w:themeColor="text1"/>
          <w:sz w:val="20"/>
        </w:rPr>
        <w:t xml:space="preserve"> En el mismo sentido, </w:t>
      </w:r>
      <w:r w:rsidRPr="0037437B">
        <w:rPr>
          <w:rFonts w:ascii="Verdana" w:hAnsi="Verdana" w:cs="Arial"/>
          <w:bCs/>
          <w:color w:val="000000" w:themeColor="text1"/>
          <w:sz w:val="20"/>
          <w:lang w:val="es-ES_tradnl"/>
        </w:rPr>
        <w:t xml:space="preserve">el artículo 89 </w:t>
      </w:r>
      <w:r w:rsidRPr="0037437B">
        <w:rPr>
          <w:rFonts w:ascii="Verdana" w:hAnsi="Verdana" w:cs="Arial"/>
          <w:bCs/>
          <w:i/>
          <w:iCs/>
          <w:color w:val="000000" w:themeColor="text1"/>
          <w:sz w:val="20"/>
          <w:lang w:val="es-ES_tradnl"/>
        </w:rPr>
        <w:t>ibidem</w:t>
      </w:r>
      <w:r w:rsidRPr="0037437B">
        <w:rPr>
          <w:rFonts w:ascii="Verdana" w:hAnsi="Verdana" w:cs="Arial"/>
          <w:bCs/>
          <w:color w:val="000000" w:themeColor="text1"/>
          <w:sz w:val="20"/>
          <w:lang w:val="es-ES_tradnl"/>
        </w:rPr>
        <w:t xml:space="preserve"> consolida al principio de anualidad como regla general en la ejecución del gasto al establecer que “las apropiaciones presupuestales incluidas en el Presupuesto General de la Nación son autorizaciones máximas de gasto que el Congreso aprueba para ser ejecutadas o comprometidas durante la vigencia fiscal respectiva, por lo que después del 31 de diciembre de cada año estas autorizaciones expiran y, en consecuencia, no podrán comprometerse, adicionarse, transferirse, ni contracreditarse”.</w:t>
      </w:r>
    </w:p>
    <w:p w14:paraId="4E7F6A9C" w14:textId="77777777" w:rsidR="00C1044E" w:rsidRPr="0037437B" w:rsidRDefault="00C1044E" w:rsidP="00C1044E">
      <w:pPr>
        <w:spacing w:after="0"/>
        <w:jc w:val="both"/>
        <w:rPr>
          <w:rFonts w:ascii="Verdana" w:hAnsi="Verdana" w:cs="Arial"/>
          <w:bCs/>
          <w:color w:val="000000" w:themeColor="text1"/>
          <w:sz w:val="20"/>
          <w:lang w:val="es-ES_tradnl"/>
        </w:rPr>
      </w:pPr>
      <w:r w:rsidRPr="0037437B">
        <w:rPr>
          <w:rFonts w:ascii="Verdana" w:hAnsi="Verdana" w:cs="Arial"/>
          <w:bCs/>
          <w:color w:val="000000" w:themeColor="text1"/>
          <w:sz w:val="20"/>
          <w:lang w:val="es-ES_tradnl"/>
        </w:rPr>
        <w:t xml:space="preserve"> </w:t>
      </w:r>
    </w:p>
    <w:p w14:paraId="0929BB64" w14:textId="77777777" w:rsidR="00C1044E" w:rsidRPr="0037437B" w:rsidRDefault="00C1044E" w:rsidP="00C1044E">
      <w:pPr>
        <w:spacing w:after="0"/>
        <w:jc w:val="both"/>
        <w:rPr>
          <w:rFonts w:ascii="Verdana" w:hAnsi="Verdana" w:cs="Arial"/>
          <w:bCs/>
          <w:color w:val="000000" w:themeColor="text1"/>
          <w:sz w:val="20"/>
          <w:lang w:val="es-ES_tradnl"/>
        </w:rPr>
      </w:pPr>
      <w:r w:rsidRPr="0037437B">
        <w:rPr>
          <w:rFonts w:ascii="Verdana" w:hAnsi="Verdana" w:cs="Arial"/>
          <w:bCs/>
          <w:color w:val="000000" w:themeColor="text1"/>
          <w:sz w:val="20"/>
          <w:lang w:val="es-ES_tradnl"/>
        </w:rPr>
        <w:t>A su turno, el artículo 8 de la Ley 819 de 2003 consagra el principio de anualidad al disponer que “l</w:t>
      </w:r>
      <w:r w:rsidRPr="0037437B">
        <w:rPr>
          <w:rFonts w:ascii="Verdana" w:hAnsi="Verdana" w:cs="Arial"/>
          <w:bCs/>
          <w:color w:val="000000" w:themeColor="text1"/>
          <w:sz w:val="20"/>
        </w:rPr>
        <w:t>a preparación y elaboración del Presupuesto General de la Nación y el de las entidades territoriales, deberá sujetarse a los correspondientes Marcos Fiscales de Mediano Plazo de manera que las apropiaciones presupuestales aprobadas por el Congreso de la República, las Asambleas y los Concejos, puedan ejecutarse en su totalidad durante la vigencia fiscal correspondiente”.</w:t>
      </w:r>
    </w:p>
    <w:p w14:paraId="2106A134" w14:textId="77777777" w:rsidR="00C1044E" w:rsidRPr="0037437B" w:rsidRDefault="00C1044E" w:rsidP="00C1044E">
      <w:pPr>
        <w:spacing w:after="0"/>
        <w:jc w:val="both"/>
        <w:rPr>
          <w:rFonts w:ascii="Verdana" w:hAnsi="Verdana" w:cs="Arial"/>
          <w:b/>
          <w:bCs/>
          <w:color w:val="000000" w:themeColor="text1"/>
          <w:lang w:val="es-ES_tradnl"/>
        </w:rPr>
      </w:pPr>
    </w:p>
    <w:p w14:paraId="1663125F" w14:textId="77777777" w:rsidR="00C1044E" w:rsidRPr="0037437B" w:rsidRDefault="00C1044E" w:rsidP="00C1044E">
      <w:pPr>
        <w:spacing w:after="0"/>
        <w:jc w:val="both"/>
        <w:rPr>
          <w:rFonts w:ascii="Verdana" w:hAnsi="Verdana" w:cs="Arial"/>
          <w:b/>
          <w:lang w:val="es-ES" w:eastAsia="es-ES"/>
        </w:rPr>
      </w:pPr>
      <w:r w:rsidRPr="0037437B">
        <w:rPr>
          <w:rFonts w:ascii="Verdana" w:hAnsi="Verdana" w:cs="Arial"/>
          <w:b/>
          <w:bCs/>
          <w:color w:val="000000" w:themeColor="text1"/>
          <w:lang w:val="es-ES"/>
        </w:rPr>
        <w:t>PRINCIPIO DE ANUALIDAD</w:t>
      </w:r>
      <w:r w:rsidRPr="0037437B">
        <w:rPr>
          <w:rFonts w:ascii="Verdana" w:hAnsi="Verdana" w:cs="Arial"/>
          <w:b/>
          <w:lang w:val="es-ES" w:eastAsia="es-ES"/>
        </w:rPr>
        <w:t xml:space="preserve"> – Excepciones </w:t>
      </w:r>
    </w:p>
    <w:p w14:paraId="71C48F1D" w14:textId="77777777" w:rsidR="00C1044E" w:rsidRPr="0037437B" w:rsidRDefault="00C1044E" w:rsidP="00C1044E">
      <w:pPr>
        <w:spacing w:after="0"/>
        <w:jc w:val="both"/>
        <w:rPr>
          <w:rFonts w:ascii="Verdana" w:hAnsi="Verdana" w:cs="Arial"/>
          <w:b/>
          <w:lang w:val="es-ES" w:eastAsia="es-ES"/>
        </w:rPr>
      </w:pPr>
    </w:p>
    <w:p w14:paraId="1CB34C1D" w14:textId="77777777" w:rsidR="00C1044E" w:rsidRPr="0037437B" w:rsidRDefault="00C1044E" w:rsidP="00C1044E">
      <w:pPr>
        <w:spacing w:after="0"/>
        <w:jc w:val="both"/>
        <w:rPr>
          <w:rFonts w:ascii="Verdana" w:hAnsi="Verdana" w:cs="Arial"/>
          <w:sz w:val="20"/>
          <w:lang w:val="es-ES_tradnl" w:eastAsia="es-ES"/>
        </w:rPr>
      </w:pPr>
      <w:r w:rsidRPr="0037437B">
        <w:rPr>
          <w:rFonts w:ascii="Verdana" w:hAnsi="Verdana" w:cs="Arial"/>
          <w:sz w:val="20"/>
          <w:lang w:val="es-ES_tradnl" w:eastAsia="es-ES"/>
        </w:rPr>
        <w:t xml:space="preserve">Dentro de los mecanismos presupuestales que constituyen excepciones al principio de anualidad se identifican: i) las vigencias futuras, ii) las cuentas por pagar y iii) las reservas presupuestales. Las </w:t>
      </w:r>
      <w:r w:rsidRPr="0037437B">
        <w:rPr>
          <w:rFonts w:ascii="Verdana" w:hAnsi="Verdana" w:cs="Arial"/>
          <w:i/>
          <w:iCs/>
          <w:sz w:val="20"/>
          <w:lang w:val="es-ES_tradnl" w:eastAsia="es-ES"/>
        </w:rPr>
        <w:t>primeras</w:t>
      </w:r>
      <w:r w:rsidRPr="0037437B">
        <w:rPr>
          <w:rFonts w:ascii="Verdana" w:hAnsi="Verdana" w:cs="Arial"/>
          <w:sz w:val="20"/>
          <w:lang w:val="es-ES_tradnl" w:eastAsia="es-ES"/>
        </w:rPr>
        <w:t>, de conformidad con el artículo 23 del Estatuto Orgánico del Presupuesto</w:t>
      </w:r>
      <w:r w:rsidRPr="0037437B">
        <w:rPr>
          <w:rFonts w:ascii="Verdana" w:hAnsi="Verdana" w:cs="Arial"/>
          <w:i/>
          <w:iCs/>
          <w:sz w:val="20"/>
          <w:lang w:val="es-ES_tradnl" w:eastAsia="es-ES"/>
        </w:rPr>
        <w:t xml:space="preserve">, </w:t>
      </w:r>
      <w:r w:rsidRPr="0037437B">
        <w:rPr>
          <w:rFonts w:ascii="Verdana" w:hAnsi="Verdana" w:cs="Arial"/>
          <w:sz w:val="20"/>
          <w:lang w:val="es-ES_tradnl" w:eastAsia="es-ES"/>
        </w:rPr>
        <w:t>se</w:t>
      </w:r>
      <w:r w:rsidRPr="0037437B">
        <w:rPr>
          <w:rFonts w:ascii="Verdana" w:hAnsi="Verdana" w:cs="Arial"/>
          <w:i/>
          <w:iCs/>
          <w:sz w:val="20"/>
          <w:lang w:val="es-ES_tradnl" w:eastAsia="es-ES"/>
        </w:rPr>
        <w:t xml:space="preserve"> </w:t>
      </w:r>
      <w:r w:rsidRPr="0037437B">
        <w:rPr>
          <w:rFonts w:ascii="Verdana" w:hAnsi="Verdana" w:cs="Arial"/>
          <w:sz w:val="20"/>
          <w:lang w:val="es-ES_tradnl" w:eastAsia="es-ES"/>
        </w:rPr>
        <w:t>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Sobre esta institución el Consejo de Estado precisó que “</w:t>
      </w:r>
      <w:r w:rsidRPr="0037437B">
        <w:rPr>
          <w:rFonts w:ascii="Verdana" w:hAnsi="Verdana" w:cs="Arial"/>
          <w:sz w:val="20"/>
          <w:lang w:eastAsia="es-ES"/>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sidRPr="0037437B">
        <w:rPr>
          <w:rFonts w:ascii="Verdana" w:hAnsi="Verdana" w:cs="Arial"/>
          <w:sz w:val="20"/>
          <w:lang w:val="es-ES_tradnl" w:eastAsia="es-ES"/>
        </w:rPr>
        <w:t xml:space="preserve">. </w:t>
      </w:r>
    </w:p>
    <w:p w14:paraId="257BC2B0" w14:textId="77777777" w:rsidR="00C1044E" w:rsidRPr="0037437B" w:rsidRDefault="00C1044E" w:rsidP="00C1044E">
      <w:pPr>
        <w:spacing w:after="0"/>
        <w:jc w:val="both"/>
        <w:rPr>
          <w:rFonts w:ascii="Verdana" w:hAnsi="Verdana" w:cs="Arial"/>
          <w:b/>
          <w:lang w:val="es-ES_tradnl" w:eastAsia="es-ES"/>
        </w:rPr>
      </w:pPr>
    </w:p>
    <w:p w14:paraId="17E89EB9" w14:textId="77777777" w:rsidR="00C1044E" w:rsidRPr="0037437B" w:rsidRDefault="00C1044E" w:rsidP="00C1044E">
      <w:pPr>
        <w:spacing w:after="0"/>
        <w:jc w:val="both"/>
        <w:rPr>
          <w:rFonts w:ascii="Verdana" w:hAnsi="Verdana" w:cs="Arial"/>
          <w:b/>
          <w:lang w:val="es-ES" w:eastAsia="es-ES"/>
        </w:rPr>
      </w:pPr>
      <w:r w:rsidRPr="0037437B">
        <w:rPr>
          <w:rFonts w:ascii="Verdana" w:hAnsi="Verdana" w:cs="Arial"/>
          <w:b/>
          <w:lang w:val="es-ES" w:eastAsia="es-ES"/>
        </w:rPr>
        <w:t xml:space="preserve">VIGENCIAS FUTURAS – Tipos </w:t>
      </w:r>
    </w:p>
    <w:p w14:paraId="521DEF4E" w14:textId="77777777" w:rsidR="00C1044E" w:rsidRDefault="00C1044E" w:rsidP="00C1044E">
      <w:pPr>
        <w:spacing w:after="0"/>
        <w:jc w:val="both"/>
        <w:rPr>
          <w:rFonts w:ascii="Verdana" w:hAnsi="Verdana" w:cs="Arial"/>
          <w:lang w:val="es-ES" w:eastAsia="es-ES"/>
        </w:rPr>
      </w:pPr>
    </w:p>
    <w:p w14:paraId="617263D8" w14:textId="77777777" w:rsidR="00C1044E" w:rsidRPr="0037437B" w:rsidRDefault="00C1044E" w:rsidP="00C1044E">
      <w:pPr>
        <w:spacing w:after="0" w:line="240" w:lineRule="auto"/>
        <w:jc w:val="both"/>
        <w:rPr>
          <w:rFonts w:ascii="Verdana" w:hAnsi="Verdana" w:cs="Arial"/>
          <w:sz w:val="20"/>
          <w:lang w:eastAsia="es-ES"/>
        </w:rPr>
      </w:pPr>
      <w:r w:rsidRPr="0037437B">
        <w:rPr>
          <w:rFonts w:ascii="Verdana" w:hAnsi="Verdana" w:cs="Arial"/>
          <w:sz w:val="20"/>
          <w:lang w:eastAsia="es-ES"/>
        </w:rPr>
        <w:lastRenderedPageBreak/>
        <w:t xml:space="preserve">La Ley 813 de 2003 establece en sus artículos 10° y 11° dos tipos de vigencias futuras: i) las vigencias futuras ordinarias, según la cual el Consejo Superior de Política Fiscal – Confis, podrá autorizar la asunción de obligaciones que afecten presupuestos de vigencias futuras cuando su ejecución se inicie con presupuesto de la vigencia en curso y el objeto del compromiso se lleve a cabo en cada una de ellas siempre y cuando se cumplan los prepuestos señalados en la norma. Y, ii) las vigencias futuras excepcionales, en virtud de la cual el Confis,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7C6D2D82" w14:textId="77777777" w:rsidR="00C1044E" w:rsidRPr="0037437B" w:rsidRDefault="00C1044E" w:rsidP="00C1044E">
      <w:pPr>
        <w:spacing w:after="0" w:line="240" w:lineRule="auto"/>
        <w:jc w:val="both"/>
        <w:rPr>
          <w:rFonts w:ascii="Verdana" w:hAnsi="Verdana" w:cs="Arial"/>
          <w:sz w:val="20"/>
          <w:lang w:eastAsia="es-ES"/>
        </w:rPr>
      </w:pPr>
    </w:p>
    <w:p w14:paraId="0377BE7B" w14:textId="77777777" w:rsidR="00C1044E" w:rsidRPr="0037437B" w:rsidRDefault="00C1044E" w:rsidP="00C1044E">
      <w:pPr>
        <w:spacing w:after="0" w:line="240" w:lineRule="auto"/>
        <w:jc w:val="both"/>
        <w:rPr>
          <w:rFonts w:ascii="Verdana" w:hAnsi="Verdana" w:cs="Arial"/>
          <w:sz w:val="20"/>
          <w:lang w:eastAsia="es-ES"/>
        </w:rPr>
      </w:pPr>
      <w:r w:rsidRPr="0037437B">
        <w:rPr>
          <w:rFonts w:ascii="Verdana" w:hAnsi="Verdana" w:cs="Arial"/>
          <w:sz w:val="20"/>
          <w:lang w:eastAsia="es-ES"/>
        </w:rPr>
        <w:t xml:space="preserve">Por su parte, el artículo 12 </w:t>
      </w:r>
      <w:r w:rsidRPr="0037437B">
        <w:rPr>
          <w:rFonts w:ascii="Verdana" w:hAnsi="Verdana" w:cs="Arial"/>
          <w:i/>
          <w:iCs/>
          <w:sz w:val="20"/>
          <w:lang w:eastAsia="es-ES"/>
        </w:rPr>
        <w:t>ibidem</w:t>
      </w:r>
      <w:r w:rsidRPr="0037437B">
        <w:rPr>
          <w:rFonts w:ascii="Verdana" w:hAnsi="Verdana" w:cs="Arial"/>
          <w:sz w:val="20"/>
          <w:lang w:eastAsia="es-ES"/>
        </w:rPr>
        <w:t xml:space="preserve"> se refiere a las vigencias futuras ordinarias para entidades territoriales cuya autorización será impartida por la asamblea o concejo respectivo, a iniciativa del gobierno local, previa aprobación por el Confis territorial o el órgano que haga sus veces. Las vigencias futuras excepcionales para entidades territoriales se encuentran establecida en la Ley 1483 de 2011.  </w:t>
      </w:r>
    </w:p>
    <w:p w14:paraId="23D317AD" w14:textId="77777777" w:rsidR="00C1044E" w:rsidRPr="0037437B" w:rsidRDefault="00C1044E" w:rsidP="00C1044E">
      <w:pPr>
        <w:spacing w:after="0" w:line="240" w:lineRule="auto"/>
        <w:jc w:val="both"/>
        <w:rPr>
          <w:rFonts w:ascii="Verdana" w:hAnsi="Verdana" w:cs="Arial"/>
          <w:sz w:val="20"/>
          <w:lang w:eastAsia="es-ES"/>
        </w:rPr>
      </w:pPr>
    </w:p>
    <w:p w14:paraId="74401B04" w14:textId="77777777" w:rsidR="00C1044E" w:rsidRDefault="00C1044E" w:rsidP="00C1044E">
      <w:pPr>
        <w:spacing w:after="0" w:line="240" w:lineRule="auto"/>
        <w:jc w:val="both"/>
        <w:rPr>
          <w:rFonts w:ascii="Verdana" w:hAnsi="Verdana" w:cs="Arial"/>
          <w:sz w:val="20"/>
          <w:lang w:val="es-ES" w:eastAsia="es-ES"/>
        </w:rPr>
      </w:pPr>
    </w:p>
    <w:p w14:paraId="5A595A1E" w14:textId="77777777" w:rsidR="00C1044E" w:rsidRDefault="00C1044E" w:rsidP="00C1044E">
      <w:pPr>
        <w:spacing w:after="0" w:line="240" w:lineRule="auto"/>
        <w:jc w:val="both"/>
        <w:rPr>
          <w:rFonts w:ascii="Verdana" w:hAnsi="Verdana" w:cs="Arial"/>
          <w:sz w:val="20"/>
          <w:lang w:val="es-ES" w:eastAsia="es-ES"/>
        </w:rPr>
      </w:pPr>
    </w:p>
    <w:p w14:paraId="30E31FDE" w14:textId="77777777" w:rsidR="00C1044E" w:rsidRDefault="00C1044E" w:rsidP="00C1044E">
      <w:pPr>
        <w:spacing w:after="0" w:line="240" w:lineRule="auto"/>
        <w:jc w:val="both"/>
        <w:rPr>
          <w:rFonts w:ascii="Verdana" w:hAnsi="Verdana" w:cs="Arial"/>
          <w:sz w:val="20"/>
          <w:lang w:val="es-ES" w:eastAsia="es-ES"/>
        </w:rPr>
      </w:pPr>
    </w:p>
    <w:p w14:paraId="29FF10BD" w14:textId="77777777" w:rsidR="00C1044E" w:rsidRDefault="00C1044E" w:rsidP="00C15139">
      <w:pPr>
        <w:spacing w:after="0"/>
        <w:rPr>
          <w:rFonts w:ascii="Verdana" w:hAnsi="Verdana"/>
        </w:rPr>
      </w:pPr>
    </w:p>
    <w:p w14:paraId="4BBC62AD" w14:textId="77777777" w:rsidR="00C1044E" w:rsidRDefault="00C1044E" w:rsidP="00C15139">
      <w:pPr>
        <w:spacing w:after="0"/>
        <w:rPr>
          <w:rFonts w:ascii="Verdana" w:hAnsi="Verdana"/>
        </w:rPr>
      </w:pPr>
    </w:p>
    <w:p w14:paraId="610CA6D1" w14:textId="77777777" w:rsidR="00C1044E" w:rsidRDefault="00C1044E" w:rsidP="00C15139">
      <w:pPr>
        <w:spacing w:after="0"/>
        <w:rPr>
          <w:rFonts w:ascii="Verdana" w:hAnsi="Verdana"/>
        </w:rPr>
      </w:pPr>
    </w:p>
    <w:p w14:paraId="6F8F3DC8" w14:textId="77777777" w:rsidR="00C1044E" w:rsidRDefault="00C1044E" w:rsidP="00C15139">
      <w:pPr>
        <w:spacing w:after="0"/>
        <w:rPr>
          <w:rFonts w:ascii="Verdana" w:hAnsi="Verdana"/>
        </w:rPr>
      </w:pPr>
    </w:p>
    <w:p w14:paraId="334DDB5D" w14:textId="77777777" w:rsidR="00C1044E" w:rsidRDefault="00C1044E" w:rsidP="00C15139">
      <w:pPr>
        <w:spacing w:after="0"/>
        <w:rPr>
          <w:rFonts w:ascii="Verdana" w:hAnsi="Verdana"/>
        </w:rPr>
      </w:pPr>
    </w:p>
    <w:p w14:paraId="11D40E59" w14:textId="77777777" w:rsidR="00C1044E" w:rsidRDefault="00C1044E" w:rsidP="00C15139">
      <w:pPr>
        <w:spacing w:after="0"/>
        <w:rPr>
          <w:rFonts w:ascii="Verdana" w:hAnsi="Verdana"/>
        </w:rPr>
      </w:pPr>
    </w:p>
    <w:p w14:paraId="52B1E404" w14:textId="77777777" w:rsidR="00C1044E" w:rsidRDefault="00C1044E" w:rsidP="00C15139">
      <w:pPr>
        <w:spacing w:after="0"/>
        <w:rPr>
          <w:rFonts w:ascii="Verdana" w:hAnsi="Verdana"/>
        </w:rPr>
      </w:pPr>
    </w:p>
    <w:p w14:paraId="4C1884E9" w14:textId="77777777" w:rsidR="00C1044E" w:rsidRDefault="00C1044E" w:rsidP="00C15139">
      <w:pPr>
        <w:spacing w:after="0"/>
        <w:rPr>
          <w:rFonts w:ascii="Verdana" w:hAnsi="Verdana"/>
        </w:rPr>
      </w:pPr>
    </w:p>
    <w:p w14:paraId="67F496D4" w14:textId="77777777" w:rsidR="00C1044E" w:rsidRDefault="00C1044E" w:rsidP="00C15139">
      <w:pPr>
        <w:spacing w:after="0"/>
        <w:rPr>
          <w:rFonts w:ascii="Verdana" w:hAnsi="Verdana"/>
        </w:rPr>
      </w:pPr>
    </w:p>
    <w:p w14:paraId="381FD264" w14:textId="77777777" w:rsidR="00C1044E" w:rsidRDefault="00C1044E" w:rsidP="00C15139">
      <w:pPr>
        <w:spacing w:after="0"/>
        <w:rPr>
          <w:rFonts w:ascii="Verdana" w:hAnsi="Verdana"/>
        </w:rPr>
      </w:pPr>
    </w:p>
    <w:p w14:paraId="532AC118" w14:textId="77777777" w:rsidR="00C1044E" w:rsidRDefault="00C1044E" w:rsidP="00C15139">
      <w:pPr>
        <w:spacing w:after="0"/>
        <w:rPr>
          <w:rFonts w:ascii="Verdana" w:hAnsi="Verdana"/>
        </w:rPr>
      </w:pPr>
    </w:p>
    <w:p w14:paraId="3E04C7E3" w14:textId="77777777" w:rsidR="00C1044E" w:rsidRDefault="00C1044E" w:rsidP="00C15139">
      <w:pPr>
        <w:spacing w:after="0"/>
        <w:rPr>
          <w:rFonts w:ascii="Verdana" w:hAnsi="Verdana"/>
        </w:rPr>
      </w:pPr>
    </w:p>
    <w:p w14:paraId="2228C23A" w14:textId="77777777" w:rsidR="00C1044E" w:rsidRDefault="00C1044E" w:rsidP="00C15139">
      <w:pPr>
        <w:spacing w:after="0"/>
        <w:rPr>
          <w:rFonts w:ascii="Verdana" w:hAnsi="Verdana"/>
        </w:rPr>
      </w:pPr>
    </w:p>
    <w:p w14:paraId="460D91A0" w14:textId="77777777" w:rsidR="00C1044E" w:rsidRDefault="00C1044E" w:rsidP="00C15139">
      <w:pPr>
        <w:spacing w:after="0"/>
        <w:rPr>
          <w:rFonts w:ascii="Verdana" w:hAnsi="Verdana"/>
        </w:rPr>
      </w:pPr>
    </w:p>
    <w:p w14:paraId="23F425C2" w14:textId="77777777" w:rsidR="00C1044E" w:rsidRDefault="00C1044E" w:rsidP="00C15139">
      <w:pPr>
        <w:spacing w:after="0"/>
        <w:rPr>
          <w:rFonts w:ascii="Verdana" w:hAnsi="Verdana"/>
        </w:rPr>
      </w:pPr>
    </w:p>
    <w:p w14:paraId="418FA0F6" w14:textId="77777777" w:rsidR="00C1044E" w:rsidRDefault="00C1044E" w:rsidP="00C15139">
      <w:pPr>
        <w:spacing w:after="0"/>
        <w:rPr>
          <w:rFonts w:ascii="Verdana" w:hAnsi="Verdana"/>
        </w:rPr>
      </w:pPr>
    </w:p>
    <w:p w14:paraId="3D785D5A" w14:textId="77777777" w:rsidR="00C1044E" w:rsidRDefault="00C1044E" w:rsidP="00C15139">
      <w:pPr>
        <w:spacing w:after="0"/>
        <w:rPr>
          <w:rFonts w:ascii="Verdana" w:hAnsi="Verdana"/>
        </w:rPr>
      </w:pPr>
    </w:p>
    <w:p w14:paraId="6027B65D" w14:textId="77777777" w:rsidR="00C1044E" w:rsidRDefault="00C1044E" w:rsidP="00C15139">
      <w:pPr>
        <w:spacing w:after="0"/>
        <w:rPr>
          <w:rFonts w:ascii="Verdana" w:hAnsi="Verdana"/>
        </w:rPr>
      </w:pPr>
    </w:p>
    <w:p w14:paraId="07E89ACF" w14:textId="77777777" w:rsidR="00C1044E" w:rsidRDefault="00C1044E" w:rsidP="00C15139">
      <w:pPr>
        <w:spacing w:after="0"/>
        <w:rPr>
          <w:rFonts w:ascii="Verdana" w:hAnsi="Verdana"/>
        </w:rPr>
      </w:pPr>
    </w:p>
    <w:p w14:paraId="1468C46D" w14:textId="6E8BE54D" w:rsidR="00C15139" w:rsidRPr="0024624F" w:rsidRDefault="00C15139" w:rsidP="00C15139">
      <w:pPr>
        <w:spacing w:after="0"/>
        <w:rPr>
          <w:rFonts w:ascii="Verdana" w:hAnsi="Verdana"/>
        </w:rPr>
      </w:pPr>
      <w:r w:rsidRPr="0024624F">
        <w:rPr>
          <w:rFonts w:ascii="Verdana" w:hAnsi="Verdana"/>
        </w:rPr>
        <w:lastRenderedPageBreak/>
        <w:t xml:space="preserve">Bogotá D.C., </w:t>
      </w:r>
      <w:r w:rsidR="00011AF1">
        <w:rPr>
          <w:rFonts w:ascii="Verdana" w:hAnsi="Verdana"/>
        </w:rPr>
        <w:t>4 de diciembre de 2025</w:t>
      </w:r>
      <w:r w:rsidRPr="000E2B93">
        <w:rPr>
          <w:rFonts w:ascii="Verdana" w:hAnsi="Verdana"/>
        </w:rPr>
        <w:tab/>
      </w:r>
      <w:r w:rsidRPr="000E2B93">
        <w:rPr>
          <w:rFonts w:ascii="Verdana" w:hAnsi="Verdana"/>
        </w:rPr>
        <w:br/>
      </w:r>
      <w:r w:rsidRPr="0024624F">
        <w:rPr>
          <w:rFonts w:ascii="Verdana" w:hAnsi="Verdana"/>
        </w:rPr>
        <w:tab/>
      </w:r>
    </w:p>
    <w:p w14:paraId="55E44B94" w14:textId="4C6132A6" w:rsidR="000146CB" w:rsidRDefault="00011AF1" w:rsidP="000146CB">
      <w:pPr>
        <w:spacing w:after="0" w:line="240" w:lineRule="auto"/>
        <w:jc w:val="both"/>
        <w:rPr>
          <w:rFonts w:ascii="Verdana" w:hAnsi="Verdana" w:cs="Arial"/>
          <w:sz w:val="20"/>
          <w:lang w:val="es-ES" w:eastAsia="es-ES"/>
        </w:rPr>
      </w:pPr>
      <w:r w:rsidRPr="00011AF1">
        <w:rPr>
          <w:rFonts w:ascii="Verdana" w:hAnsi="Verdana"/>
          <w:noProof/>
        </w:rPr>
        <w:drawing>
          <wp:anchor distT="0" distB="0" distL="114300" distR="114300" simplePos="0" relativeHeight="251658240" behindDoc="1" locked="0" layoutInCell="1" allowOverlap="1" wp14:anchorId="32E02B53" wp14:editId="46036675">
            <wp:simplePos x="0" y="0"/>
            <wp:positionH relativeFrom="column">
              <wp:posOffset>2615565</wp:posOffset>
            </wp:positionH>
            <wp:positionV relativeFrom="paragraph">
              <wp:posOffset>36830</wp:posOffset>
            </wp:positionV>
            <wp:extent cx="3143250" cy="1038225"/>
            <wp:effectExtent l="0" t="0" r="0" b="9525"/>
            <wp:wrapNone/>
            <wp:docPr id="8753672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67290" name=""/>
                    <pic:cNvPicPr/>
                  </pic:nvPicPr>
                  <pic:blipFill>
                    <a:blip r:embed="rId11">
                      <a:extLst>
                        <a:ext uri="{28A0092B-C50C-407E-A947-70E740481C1C}">
                          <a14:useLocalDpi xmlns:a14="http://schemas.microsoft.com/office/drawing/2010/main" val="0"/>
                        </a:ext>
                      </a:extLst>
                    </a:blip>
                    <a:stretch>
                      <a:fillRect/>
                    </a:stretch>
                  </pic:blipFill>
                  <pic:spPr>
                    <a:xfrm>
                      <a:off x="0" y="0"/>
                      <a:ext cx="3143250" cy="1038225"/>
                    </a:xfrm>
                    <a:prstGeom prst="rect">
                      <a:avLst/>
                    </a:prstGeom>
                  </pic:spPr>
                </pic:pic>
              </a:graphicData>
            </a:graphic>
          </wp:anchor>
        </w:drawing>
      </w:r>
    </w:p>
    <w:p w14:paraId="5D16F891" w14:textId="2800F4B8" w:rsidR="000146CB" w:rsidRPr="00A473DB" w:rsidRDefault="000146CB" w:rsidP="00A473DB">
      <w:pPr>
        <w:spacing w:after="0" w:line="240" w:lineRule="auto"/>
        <w:jc w:val="both"/>
        <w:rPr>
          <w:rFonts w:ascii="Verdana" w:eastAsia="Calibri" w:hAnsi="Verdana" w:cs="Arial"/>
          <w:lang w:val="en-US" w:eastAsia="es-ES"/>
        </w:rPr>
      </w:pPr>
      <w:r w:rsidRPr="00A473DB">
        <w:rPr>
          <w:rFonts w:ascii="Verdana" w:eastAsia="Calibri" w:hAnsi="Verdana" w:cs="Arial"/>
          <w:lang w:val="en-US" w:eastAsia="es-ES"/>
        </w:rPr>
        <w:t>Señora</w:t>
      </w:r>
    </w:p>
    <w:p w14:paraId="554AAF96" w14:textId="09B24819" w:rsidR="000146CB" w:rsidRPr="00A473DB" w:rsidRDefault="000146CB" w:rsidP="00A473DB">
      <w:pPr>
        <w:spacing w:after="0" w:line="240" w:lineRule="auto"/>
        <w:jc w:val="both"/>
        <w:rPr>
          <w:rFonts w:ascii="Verdana" w:eastAsia="Calibri" w:hAnsi="Verdana" w:cs="Arial"/>
          <w:b/>
          <w:lang w:val="en-US" w:eastAsia="es-ES_tradnl"/>
        </w:rPr>
      </w:pPr>
      <w:r w:rsidRPr="00A473DB">
        <w:rPr>
          <w:rFonts w:ascii="Verdana" w:eastAsia="Calibri" w:hAnsi="Verdana" w:cs="Arial"/>
          <w:b/>
          <w:lang w:val="en-US" w:eastAsia="es-ES_tradnl"/>
        </w:rPr>
        <w:t>Leidy Juliet Suárez Fernandez</w:t>
      </w:r>
    </w:p>
    <w:p w14:paraId="2D3EF053" w14:textId="77777777" w:rsidR="000146CB" w:rsidRPr="00A473DB" w:rsidRDefault="000146CB" w:rsidP="00A473DB">
      <w:pPr>
        <w:spacing w:after="0" w:line="240" w:lineRule="auto"/>
        <w:jc w:val="both"/>
        <w:rPr>
          <w:rFonts w:ascii="Verdana" w:hAnsi="Verdana"/>
          <w:b/>
          <w:bCs/>
          <w:lang w:val="en-US"/>
        </w:rPr>
      </w:pPr>
      <w:hyperlink r:id="rId12" w:history="1">
        <w:r w:rsidRPr="00A473DB">
          <w:rPr>
            <w:rStyle w:val="Hipervnculo"/>
            <w:rFonts w:ascii="Verdana" w:hAnsi="Verdana"/>
          </w:rPr>
          <w:t>diraseguramiento@cajica.gov.co</w:t>
        </w:r>
      </w:hyperlink>
    </w:p>
    <w:p w14:paraId="62966A08" w14:textId="5B43A015" w:rsidR="000146CB" w:rsidRDefault="000146CB" w:rsidP="00A473DB">
      <w:pPr>
        <w:spacing w:after="0" w:line="240" w:lineRule="auto"/>
        <w:jc w:val="both"/>
        <w:rPr>
          <w:rFonts w:ascii="Verdana" w:hAnsi="Verdana"/>
        </w:rPr>
      </w:pPr>
      <w:r w:rsidRPr="00A473DB">
        <w:rPr>
          <w:rFonts w:ascii="Verdana" w:hAnsi="Verdana"/>
        </w:rPr>
        <w:t>Cajicá, Cundinamarca</w:t>
      </w:r>
    </w:p>
    <w:p w14:paraId="311F6069" w14:textId="77777777" w:rsidR="000B429D" w:rsidRPr="00A473DB" w:rsidRDefault="000B429D" w:rsidP="00A473DB">
      <w:pPr>
        <w:spacing w:after="0" w:line="240" w:lineRule="auto"/>
        <w:jc w:val="both"/>
        <w:rPr>
          <w:rFonts w:ascii="Verdana" w:hAnsi="Verdana"/>
        </w:rPr>
      </w:pPr>
    </w:p>
    <w:p w14:paraId="08475260" w14:textId="1C41562C" w:rsidR="000146CB" w:rsidRPr="00A473DB" w:rsidRDefault="000146CB" w:rsidP="00022FC1">
      <w:pPr>
        <w:spacing w:after="0" w:line="240" w:lineRule="auto"/>
        <w:jc w:val="both"/>
        <w:rPr>
          <w:rFonts w:ascii="Verdana" w:eastAsia="Calibri" w:hAnsi="Verdana" w:cs="Times New Roman"/>
        </w:rPr>
      </w:pPr>
      <w:r w:rsidRPr="00A473DB">
        <w:rPr>
          <w:rFonts w:ascii="Verdana" w:hAnsi="Verdana"/>
        </w:rPr>
        <w:t xml:space="preserve"> </w:t>
      </w:r>
    </w:p>
    <w:p w14:paraId="332FE778" w14:textId="77777777" w:rsidR="000146CB" w:rsidRPr="00A473DB" w:rsidRDefault="000146CB" w:rsidP="00A473DB">
      <w:pPr>
        <w:spacing w:after="0" w:line="240" w:lineRule="auto"/>
        <w:rPr>
          <w:rFonts w:ascii="Verdana" w:eastAsia="Calibri" w:hAnsi="Verdana" w:cs="Times New Roman"/>
          <w:b/>
          <w:bCs/>
          <w:lang w:val="es-ES"/>
        </w:rPr>
      </w:pPr>
      <w:r w:rsidRPr="00A473DB">
        <w:rPr>
          <w:rFonts w:ascii="Verdana" w:eastAsia="Calibri" w:hAnsi="Verdana" w:cs="Times New Roman"/>
          <w:b/>
          <w:bCs/>
          <w:lang w:val="es-ES"/>
        </w:rPr>
        <w:t xml:space="preserve">                                    Concepto C–1557 de 2025</w:t>
      </w:r>
    </w:p>
    <w:p w14:paraId="4FCFC215" w14:textId="77777777" w:rsidR="000146CB" w:rsidRPr="00A473DB" w:rsidRDefault="000146CB" w:rsidP="00A473DB">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0146CB" w:rsidRPr="00A473DB" w14:paraId="4836D6B0" w14:textId="77777777">
        <w:trPr>
          <w:trHeight w:val="80"/>
        </w:trPr>
        <w:tc>
          <w:tcPr>
            <w:tcW w:w="2685" w:type="dxa"/>
            <w:hideMark/>
          </w:tcPr>
          <w:p w14:paraId="70557126" w14:textId="77777777" w:rsidR="000146CB" w:rsidRPr="00A473DB" w:rsidRDefault="000146CB" w:rsidP="00935522">
            <w:pPr>
              <w:rPr>
                <w:rFonts w:ascii="Verdana" w:hAnsi="Verdana"/>
                <w:b/>
                <w:bCs/>
                <w:lang w:val="es-ES_tradnl"/>
              </w:rPr>
            </w:pPr>
            <w:r w:rsidRPr="00A473DB">
              <w:rPr>
                <w:rFonts w:ascii="Verdana" w:hAnsi="Verdana"/>
                <w:b/>
                <w:bCs/>
                <w:lang w:val="es-ES_tradnl"/>
              </w:rPr>
              <w:t xml:space="preserve">Temas:                   </w:t>
            </w:r>
          </w:p>
        </w:tc>
        <w:tc>
          <w:tcPr>
            <w:tcW w:w="6241" w:type="dxa"/>
            <w:hideMark/>
          </w:tcPr>
          <w:p w14:paraId="18E2B0A0" w14:textId="11939DFE" w:rsidR="000146CB" w:rsidRPr="00A473DB" w:rsidRDefault="000146CB">
            <w:pPr>
              <w:jc w:val="both"/>
              <w:rPr>
                <w:rFonts w:ascii="Verdana" w:hAnsi="Verdana" w:cs="Arial"/>
                <w:lang w:val="es-ES" w:eastAsia="es-ES"/>
              </w:rPr>
            </w:pPr>
            <w:r w:rsidRPr="00A473DB">
              <w:rPr>
                <w:rFonts w:ascii="Verdana" w:hAnsi="Verdana" w:cs="Arial"/>
                <w:bCs/>
                <w:color w:val="000000" w:themeColor="text1"/>
                <w:lang w:val="es-ES"/>
              </w:rPr>
              <w:t>PRINCIPIO DE ANUALIDAD – Fundamento / PRINCIPIO DE ANUALIDAD</w:t>
            </w:r>
            <w:r w:rsidRPr="00A473DB">
              <w:rPr>
                <w:rFonts w:ascii="Verdana" w:hAnsi="Verdana" w:cs="Arial"/>
                <w:lang w:val="es-ES" w:eastAsia="es-ES"/>
              </w:rPr>
              <w:t xml:space="preserve"> – Excepciones / VIGENCIAS FUTURAS – Tipos</w:t>
            </w:r>
          </w:p>
          <w:p w14:paraId="4B9E9A4E" w14:textId="77777777" w:rsidR="000146CB" w:rsidRPr="00A473DB" w:rsidRDefault="000146CB" w:rsidP="00022FC1">
            <w:pPr>
              <w:jc w:val="both"/>
              <w:rPr>
                <w:rFonts w:ascii="Verdana" w:hAnsi="Verdana"/>
                <w:lang w:val="es-MX"/>
              </w:rPr>
            </w:pPr>
          </w:p>
          <w:p w14:paraId="1E92744F" w14:textId="77777777" w:rsidR="000146CB" w:rsidRPr="00A473DB" w:rsidRDefault="000146CB" w:rsidP="00022FC1">
            <w:pPr>
              <w:jc w:val="both"/>
              <w:rPr>
                <w:rFonts w:ascii="Verdana" w:hAnsi="Verdana"/>
                <w:lang w:val="es-MX"/>
              </w:rPr>
            </w:pPr>
          </w:p>
        </w:tc>
        <w:tc>
          <w:tcPr>
            <w:tcW w:w="6237" w:type="dxa"/>
          </w:tcPr>
          <w:p w14:paraId="7384C999" w14:textId="77777777" w:rsidR="000146CB" w:rsidRPr="00A473DB" w:rsidRDefault="000146CB" w:rsidP="00A473DB">
            <w:pPr>
              <w:rPr>
                <w:rFonts w:ascii="Verdana" w:hAnsi="Verdana"/>
              </w:rPr>
            </w:pPr>
          </w:p>
        </w:tc>
      </w:tr>
    </w:tbl>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0146CB" w:rsidRPr="00A473DB" w14:paraId="5FCE85A3" w14:textId="77777777" w:rsidTr="0052341E">
        <w:tc>
          <w:tcPr>
            <w:tcW w:w="2694" w:type="dxa"/>
          </w:tcPr>
          <w:p w14:paraId="7AD6EB2F" w14:textId="77777777" w:rsidR="000146CB" w:rsidRPr="00A473DB" w:rsidRDefault="000146CB" w:rsidP="00A473DB">
            <w:pPr>
              <w:jc w:val="both"/>
              <w:rPr>
                <w:rFonts w:ascii="Verdana" w:eastAsia="Calibri" w:hAnsi="Verdana" w:cs="Arial"/>
                <w:b/>
                <w:lang w:eastAsia="es-ES_tradnl"/>
              </w:rPr>
            </w:pPr>
            <w:r w:rsidRPr="00A473DB">
              <w:rPr>
                <w:rFonts w:ascii="Verdana" w:eastAsia="Calibri" w:hAnsi="Verdana" w:cs="Arial"/>
                <w:b/>
                <w:lang w:eastAsia="es-ES_tradnl"/>
              </w:rPr>
              <w:t>Radicación:</w:t>
            </w:r>
            <w:r w:rsidRPr="00A473DB">
              <w:rPr>
                <w:rFonts w:ascii="Verdana" w:eastAsia="Calibri" w:hAnsi="Verdana" w:cs="Arial"/>
                <w:lang w:eastAsia="es-ES_tradnl"/>
              </w:rPr>
              <w:t xml:space="preserve">               </w:t>
            </w:r>
          </w:p>
        </w:tc>
        <w:tc>
          <w:tcPr>
            <w:tcW w:w="6095" w:type="dxa"/>
          </w:tcPr>
          <w:p w14:paraId="220974B2" w14:textId="6BAE7D49" w:rsidR="000146CB" w:rsidRPr="00A473DB" w:rsidRDefault="000146CB" w:rsidP="00A473DB">
            <w:pPr>
              <w:jc w:val="both"/>
              <w:rPr>
                <w:rFonts w:ascii="Verdana" w:eastAsia="Calibri" w:hAnsi="Verdana" w:cs="Arial"/>
                <w:lang w:eastAsia="es-ES_tradnl"/>
              </w:rPr>
            </w:pPr>
            <w:r w:rsidRPr="00A473DB">
              <w:rPr>
                <w:rFonts w:ascii="Verdana" w:eastAsia="Calibri" w:hAnsi="Verdana" w:cs="Arial"/>
                <w:lang w:eastAsia="es-ES_tradnl"/>
              </w:rPr>
              <w:t>Respuesta a consulta con radicado 1_2025_10_24_011955</w:t>
            </w:r>
          </w:p>
        </w:tc>
      </w:tr>
    </w:tbl>
    <w:p w14:paraId="10E9A82B" w14:textId="23CE14FC" w:rsidR="000146CB" w:rsidRDefault="000146CB" w:rsidP="00A473DB">
      <w:pPr>
        <w:spacing w:after="0" w:line="240" w:lineRule="auto"/>
        <w:jc w:val="both"/>
        <w:rPr>
          <w:rFonts w:ascii="Verdana" w:eastAsia="Calibri" w:hAnsi="Verdana" w:cs="Arial"/>
          <w:lang w:eastAsia="es-ES_tradnl"/>
        </w:rPr>
      </w:pPr>
    </w:p>
    <w:p w14:paraId="3407DBFE" w14:textId="77777777" w:rsidR="00A473DB" w:rsidRPr="00A473DB" w:rsidRDefault="00A473DB" w:rsidP="00022FC1">
      <w:pPr>
        <w:spacing w:after="0" w:line="240" w:lineRule="auto"/>
        <w:jc w:val="both"/>
        <w:rPr>
          <w:rFonts w:ascii="Verdana" w:eastAsia="Calibri" w:hAnsi="Verdana" w:cs="Arial"/>
          <w:lang w:eastAsia="es-ES_tradnl"/>
        </w:rPr>
      </w:pPr>
    </w:p>
    <w:p w14:paraId="6EE526F3" w14:textId="77777777" w:rsidR="000146CB" w:rsidRDefault="000146CB" w:rsidP="00A473DB">
      <w:pPr>
        <w:spacing w:after="0" w:line="276" w:lineRule="auto"/>
        <w:jc w:val="both"/>
        <w:rPr>
          <w:rFonts w:ascii="Verdana" w:eastAsia="Calibri" w:hAnsi="Verdana" w:cs="Arial"/>
          <w:lang w:eastAsia="es-ES"/>
        </w:rPr>
      </w:pPr>
      <w:r w:rsidRPr="007967F8">
        <w:rPr>
          <w:rFonts w:ascii="Verdana" w:eastAsia="Calibri" w:hAnsi="Verdana" w:cs="Arial"/>
          <w:lang w:eastAsia="es-ES"/>
        </w:rPr>
        <w:t>Estimad</w:t>
      </w:r>
      <w:r>
        <w:rPr>
          <w:rFonts w:ascii="Verdana" w:eastAsia="Calibri" w:hAnsi="Verdana" w:cs="Arial"/>
          <w:lang w:eastAsia="es-ES"/>
        </w:rPr>
        <w:t>a</w:t>
      </w:r>
      <w:r w:rsidRPr="007967F8">
        <w:rPr>
          <w:rFonts w:ascii="Verdana" w:eastAsia="Calibri" w:hAnsi="Verdana" w:cs="Arial"/>
          <w:lang w:eastAsia="es-ES"/>
        </w:rPr>
        <w:t xml:space="preserve"> señor</w:t>
      </w:r>
      <w:r>
        <w:rPr>
          <w:rFonts w:ascii="Verdana" w:eastAsia="Calibri" w:hAnsi="Verdana" w:cs="Arial"/>
          <w:lang w:eastAsia="es-ES"/>
        </w:rPr>
        <w:t>a Suárez:</w:t>
      </w:r>
    </w:p>
    <w:p w14:paraId="6814345B" w14:textId="77777777" w:rsidR="000146CB" w:rsidRPr="00FF007A" w:rsidRDefault="000146CB" w:rsidP="00A473DB">
      <w:pPr>
        <w:spacing w:after="0" w:line="276" w:lineRule="auto"/>
        <w:jc w:val="both"/>
        <w:rPr>
          <w:rFonts w:ascii="Verdana" w:eastAsia="Calibri" w:hAnsi="Verdana" w:cs="Arial"/>
          <w:lang w:eastAsia="es-ES"/>
        </w:rPr>
      </w:pPr>
      <w:r>
        <w:rPr>
          <w:rFonts w:ascii="Verdana" w:eastAsia="Calibri" w:hAnsi="Verdana" w:cs="Arial"/>
          <w:lang w:eastAsia="es-ES"/>
        </w:rPr>
        <w:t xml:space="preserve"> </w:t>
      </w:r>
    </w:p>
    <w:p w14:paraId="6A297F77" w14:textId="791A7F27" w:rsidR="000146CB" w:rsidRDefault="000146CB" w:rsidP="00A473DB">
      <w:pPr>
        <w:tabs>
          <w:tab w:val="left" w:pos="3768"/>
        </w:tabs>
        <w:spacing w:after="0" w:line="276" w:lineRule="auto"/>
        <w:jc w:val="both"/>
        <w:rPr>
          <w:rFonts w:ascii="Verdana" w:eastAsia="Calibri" w:hAnsi="Verdana" w:cs="Arial"/>
          <w:lang w:eastAsia="es-ES"/>
        </w:rPr>
      </w:pPr>
      <w:r w:rsidRPr="001D531A">
        <w:rPr>
          <w:rFonts w:ascii="Verdana" w:eastAsia="Calibri" w:hAnsi="Verdana" w:cs="Arial"/>
          <w:lang w:eastAsia="es-ES"/>
        </w:rPr>
        <w:t>En ejercicio de la competencia otorgada por los artículos 3, numeral 5º, y 11, numeral 8º, del Decreto Ley 4170 de 2011, así como lo establecido por la Resolución 469 de 2025 expedida por esta Entidad, la Agencia Nacional de Contratación Pública – Colombia Compra Eficiente–</w:t>
      </w:r>
      <w:r>
        <w:rPr>
          <w:rFonts w:ascii="Verdana" w:eastAsia="Calibri" w:hAnsi="Verdana" w:cs="Arial"/>
          <w:lang w:eastAsia="es-ES"/>
        </w:rPr>
        <w:t xml:space="preserve"> </w:t>
      </w:r>
      <w:r w:rsidRPr="00E05649">
        <w:rPr>
          <w:rFonts w:ascii="Verdana" w:eastAsia="Calibri" w:hAnsi="Verdana" w:cs="Arial"/>
          <w:lang w:eastAsia="es-ES"/>
        </w:rPr>
        <w:t xml:space="preserve">responde su solicitud de consulta de fecha </w:t>
      </w:r>
      <w:r>
        <w:rPr>
          <w:rFonts w:ascii="Verdana" w:eastAsia="Calibri" w:hAnsi="Verdana" w:cs="Arial"/>
          <w:lang w:eastAsia="es-ES"/>
        </w:rPr>
        <w:t xml:space="preserve">6 de octubre de 2025, previamente trasladada por parte del Ministerio de Salud y Protección Social mediante radicado </w:t>
      </w:r>
      <w:r w:rsidRPr="00F60E87">
        <w:rPr>
          <w:rFonts w:ascii="Verdana" w:eastAsia="Calibri" w:hAnsi="Verdana" w:cs="Arial"/>
          <w:lang w:eastAsia="es-ES"/>
        </w:rPr>
        <w:t>2025116003094331</w:t>
      </w:r>
      <w:r>
        <w:rPr>
          <w:rFonts w:ascii="Verdana" w:eastAsia="Calibri" w:hAnsi="Verdana" w:cs="Arial"/>
          <w:lang w:eastAsia="es-ES"/>
        </w:rPr>
        <w:t xml:space="preserve">, enviado por correo electrónico certificado del 23 de octubre de 2025 a esta entidad, </w:t>
      </w:r>
      <w:r w:rsidRPr="00E05649">
        <w:rPr>
          <w:rFonts w:ascii="Verdana" w:eastAsia="Calibri" w:hAnsi="Verdana" w:cs="Arial"/>
          <w:lang w:eastAsia="es-ES"/>
        </w:rPr>
        <w:t xml:space="preserve">en la cual manifiesta lo siguiente: </w:t>
      </w:r>
    </w:p>
    <w:p w14:paraId="088CEFE9" w14:textId="77777777" w:rsidR="00A473DB" w:rsidRPr="00EA6E14" w:rsidRDefault="00A473DB" w:rsidP="00022FC1">
      <w:pPr>
        <w:tabs>
          <w:tab w:val="left" w:pos="3768"/>
        </w:tabs>
        <w:spacing w:after="0" w:line="276" w:lineRule="auto"/>
        <w:jc w:val="both"/>
        <w:rPr>
          <w:rFonts w:ascii="Verdana" w:eastAsia="Calibri" w:hAnsi="Verdana" w:cs="Arial"/>
          <w:lang w:eastAsia="es-ES"/>
        </w:rPr>
      </w:pPr>
    </w:p>
    <w:p w14:paraId="2DFF22F1" w14:textId="77777777" w:rsidR="0070436B" w:rsidRDefault="000146CB" w:rsidP="00A473DB">
      <w:pPr>
        <w:pStyle w:val="Prrafodelista"/>
        <w:spacing w:after="0" w:line="240" w:lineRule="auto"/>
        <w:ind w:right="709"/>
        <w:jc w:val="both"/>
        <w:rPr>
          <w:rFonts w:ascii="Verdana" w:eastAsia="Calibri" w:hAnsi="Verdana" w:cs="Times New Roman"/>
          <w:i/>
          <w:iCs/>
          <w:sz w:val="20"/>
          <w:szCs w:val="20"/>
        </w:rPr>
      </w:pPr>
      <w:r w:rsidRPr="00F64FF9">
        <w:rPr>
          <w:rFonts w:ascii="Verdana" w:eastAsia="Calibri" w:hAnsi="Verdana" w:cs="Times New Roman"/>
          <w:i/>
          <w:iCs/>
          <w:sz w:val="20"/>
          <w:szCs w:val="20"/>
        </w:rPr>
        <w:t xml:space="preserve">“(…) </w:t>
      </w:r>
      <w:r w:rsidRPr="00573CD7">
        <w:rPr>
          <w:rFonts w:ascii="Verdana" w:eastAsia="Calibri" w:hAnsi="Verdana" w:cs="Times New Roman"/>
          <w:i/>
          <w:iCs/>
          <w:sz w:val="20"/>
          <w:szCs w:val="20"/>
        </w:rPr>
        <w:t>Desde la Secretaría de Salud del municipio de Cajicá nos</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permitimos solicitar respetuosamente concepto jurídico y/o técnico respecto a la</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viabilidad de utilizar la figura de vigencias futuras para la suscripción de un convenio</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interadministrativo entre la Secretaría de Salud de Cajicá y la ESE Hospital Profesor</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Jorge Cavelier, en el marco de la transferencia de recursos del Sistema General de</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Participaciones (SGP), componente Oferta. Lo anterior, considerando que el</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cronograma habitual para la formalización de este convenio coincide con la aplicación</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de la Ley 996 de 2005 (Ley de Garantías Electorales) para el proceso electoral de</w:t>
      </w:r>
      <w:r>
        <w:rPr>
          <w:rFonts w:ascii="Verdana" w:eastAsia="Calibri" w:hAnsi="Verdana" w:cs="Times New Roman"/>
          <w:i/>
          <w:iCs/>
          <w:sz w:val="20"/>
          <w:szCs w:val="20"/>
        </w:rPr>
        <w:t xml:space="preserve"> </w:t>
      </w:r>
    </w:p>
    <w:p w14:paraId="550BF476" w14:textId="206DC3D9" w:rsidR="000146CB" w:rsidRPr="00573CD7" w:rsidRDefault="000146CB" w:rsidP="00A473DB">
      <w:pPr>
        <w:pStyle w:val="Prrafodelista"/>
        <w:spacing w:after="0" w:line="240" w:lineRule="auto"/>
        <w:ind w:right="709"/>
        <w:jc w:val="both"/>
        <w:rPr>
          <w:rFonts w:ascii="Verdana" w:eastAsia="Calibri" w:hAnsi="Verdana" w:cs="Times New Roman"/>
          <w:i/>
          <w:iCs/>
          <w:sz w:val="20"/>
          <w:szCs w:val="20"/>
        </w:rPr>
      </w:pPr>
      <w:r w:rsidRPr="00573CD7">
        <w:rPr>
          <w:rFonts w:ascii="Verdana" w:eastAsia="Calibri" w:hAnsi="Verdana" w:cs="Times New Roman"/>
          <w:i/>
          <w:iCs/>
          <w:sz w:val="20"/>
          <w:szCs w:val="20"/>
        </w:rPr>
        <w:lastRenderedPageBreak/>
        <w:t>presidencia y senado, lo que podría limitar la posibilidad de suscripción directa durante</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este periodo. Pese a tratarse de una obligación derivada del cumplimiento de metas</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del Plan de Desarrollo y la garantía del acceso a servicios de salud para la población</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del municipio en el subsidio a la oferta de los servicios de la ESE Hospital Profesor</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Jorge Cavelier. Dado que se trata de una destinación específica y una fuente de</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financiación con restricciones normativas claras, solicitamos muy comedidamente su</w:t>
      </w:r>
    </w:p>
    <w:p w14:paraId="46AE32DA" w14:textId="77777777" w:rsidR="000146CB" w:rsidRPr="00F64FF9" w:rsidRDefault="000146CB" w:rsidP="00935522">
      <w:pPr>
        <w:pStyle w:val="Prrafodelista"/>
        <w:spacing w:after="0" w:line="240" w:lineRule="auto"/>
        <w:ind w:right="709"/>
        <w:jc w:val="both"/>
        <w:rPr>
          <w:rFonts w:ascii="Verdana" w:eastAsia="Calibri" w:hAnsi="Verdana" w:cs="Times New Roman"/>
          <w:iCs/>
          <w:sz w:val="20"/>
          <w:szCs w:val="20"/>
          <w:lang w:val="es-CO"/>
        </w:rPr>
      </w:pPr>
      <w:r w:rsidRPr="00573CD7">
        <w:rPr>
          <w:rFonts w:ascii="Verdana" w:eastAsia="Calibri" w:hAnsi="Verdana" w:cs="Times New Roman"/>
          <w:i/>
          <w:iCs/>
          <w:sz w:val="20"/>
          <w:szCs w:val="20"/>
        </w:rPr>
        <w:t>orientación sobre la viabilidad de adelantar el proceso mediante la aprobación de</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vigencias futuras excepcionales, o de no ser posible dicho proceso, se nos oriente</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sobre otro mecanismo que permita garantizar la continuidad de la oferta de servicios</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de salud, garantizado la continuidad de servicios trazadores en el municipio en nuestra</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sede monopolio, sin contravenir lo dispuesto por la normatividad vigente.</w:t>
      </w:r>
      <w:r>
        <w:rPr>
          <w:rFonts w:ascii="Verdana" w:eastAsia="Calibri" w:hAnsi="Verdana" w:cs="Times New Roman"/>
          <w:i/>
          <w:iCs/>
          <w:sz w:val="20"/>
          <w:szCs w:val="20"/>
        </w:rPr>
        <w:t xml:space="preserve"> </w:t>
      </w:r>
      <w:r w:rsidRPr="00573CD7">
        <w:rPr>
          <w:rFonts w:ascii="Verdana" w:eastAsia="Calibri" w:hAnsi="Verdana" w:cs="Times New Roman"/>
          <w:i/>
          <w:iCs/>
          <w:sz w:val="20"/>
          <w:szCs w:val="20"/>
        </w:rPr>
        <w:t>Agradecemos su atención y orientación, y quedamos atentos a su valioso concepto</w:t>
      </w:r>
      <w:r>
        <w:rPr>
          <w:rFonts w:ascii="Verdana" w:eastAsia="Calibri" w:hAnsi="Verdana" w:cs="Times New Roman"/>
          <w:i/>
          <w:iCs/>
          <w:sz w:val="20"/>
          <w:szCs w:val="20"/>
        </w:rPr>
        <w:t xml:space="preserve"> </w:t>
      </w:r>
      <w:r w:rsidRPr="0069715F">
        <w:rPr>
          <w:rFonts w:ascii="Verdana" w:eastAsia="Calibri" w:hAnsi="Verdana" w:cs="Times New Roman"/>
          <w:i/>
          <w:iCs/>
          <w:sz w:val="20"/>
          <w:szCs w:val="20"/>
          <w:lang w:val="es-CO"/>
        </w:rPr>
        <w:t>para proceder conforme a los lineamientos legales y técnicos correspondientes</w:t>
      </w:r>
      <w:r>
        <w:rPr>
          <w:rFonts w:ascii="Verdana" w:eastAsia="Calibri" w:hAnsi="Verdana" w:cs="Times New Roman"/>
          <w:i/>
          <w:iCs/>
          <w:sz w:val="20"/>
          <w:szCs w:val="20"/>
        </w:rPr>
        <w:t xml:space="preserve">. (Sic)” </w:t>
      </w:r>
    </w:p>
    <w:p w14:paraId="23E1A2D3" w14:textId="77777777" w:rsidR="000146CB" w:rsidRPr="00D069D8" w:rsidRDefault="000146CB" w:rsidP="00022FC1">
      <w:pPr>
        <w:spacing w:after="0" w:line="276" w:lineRule="auto"/>
        <w:ind w:left="709" w:right="709"/>
        <w:jc w:val="both"/>
        <w:rPr>
          <w:rFonts w:ascii="Verdana" w:eastAsia="Calibri" w:hAnsi="Verdana" w:cs="Times New Roman"/>
          <w:iCs/>
        </w:rPr>
      </w:pPr>
    </w:p>
    <w:p w14:paraId="22303306" w14:textId="2863E23E" w:rsidR="000146CB" w:rsidRPr="00D069D8" w:rsidRDefault="000146CB" w:rsidP="004C44A8">
      <w:pPr>
        <w:spacing w:after="120" w:line="276" w:lineRule="auto"/>
        <w:ind w:firstLine="709"/>
        <w:jc w:val="both"/>
        <w:rPr>
          <w:rFonts w:ascii="Verdana" w:eastAsia="Calibri" w:hAnsi="Verdana" w:cs="Times New Roman"/>
          <w:lang w:val="es-ES"/>
        </w:rPr>
      </w:pPr>
      <w:r w:rsidRPr="00D069D8">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E91782">
        <w:rPr>
          <w:rFonts w:ascii="Verdana" w:eastAsia="Calibri" w:hAnsi="Verdana" w:cs="Times New Roman"/>
          <w:lang w:val="es-ES"/>
        </w:rPr>
        <w:t xml:space="preserve">la Agencia Nacional de Contratación Pública – </w:t>
      </w:r>
      <w:r w:rsidRPr="00D069D8">
        <w:rPr>
          <w:rFonts w:ascii="Verdana" w:eastAsia="Calibri" w:hAnsi="Verdana" w:cs="Times New Roman"/>
          <w:lang w:val="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E2233C3" w14:textId="77777777" w:rsidR="000146CB" w:rsidRPr="00D069D8" w:rsidRDefault="000146CB" w:rsidP="00935522">
      <w:pPr>
        <w:spacing w:after="0" w:line="276" w:lineRule="auto"/>
        <w:ind w:firstLine="708"/>
        <w:jc w:val="both"/>
        <w:rPr>
          <w:rFonts w:ascii="Verdana" w:eastAsia="Calibri" w:hAnsi="Verdana" w:cs="Times New Roman"/>
          <w:lang w:val="es-ES"/>
        </w:rPr>
      </w:pPr>
      <w:r w:rsidRPr="00D069D8">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71289DB9" w14:textId="77777777" w:rsidR="000146CB" w:rsidRPr="00D069D8" w:rsidRDefault="000146CB" w:rsidP="00022FC1">
      <w:pPr>
        <w:spacing w:after="0" w:line="276" w:lineRule="auto"/>
        <w:rPr>
          <w:rFonts w:ascii="Verdana" w:eastAsia="Calibri" w:hAnsi="Verdana" w:cs="Times New Roman"/>
          <w:lang w:val="es-ES"/>
        </w:rPr>
      </w:pPr>
    </w:p>
    <w:p w14:paraId="3E37B2E6" w14:textId="77777777" w:rsidR="000146CB" w:rsidRPr="00D069D8" w:rsidRDefault="000146CB" w:rsidP="00022FC1">
      <w:pPr>
        <w:numPr>
          <w:ilvl w:val="0"/>
          <w:numId w:val="16"/>
        </w:numPr>
        <w:spacing w:after="0" w:line="276" w:lineRule="auto"/>
        <w:rPr>
          <w:rFonts w:ascii="Verdana" w:eastAsia="Calibri" w:hAnsi="Verdana" w:cs="Times New Roman"/>
          <w:b/>
          <w:bCs/>
          <w:lang w:val="es-ES"/>
        </w:rPr>
      </w:pPr>
      <w:r w:rsidRPr="00D069D8">
        <w:rPr>
          <w:rFonts w:ascii="Verdana" w:eastAsia="Calibri" w:hAnsi="Verdana" w:cs="Times New Roman"/>
          <w:b/>
          <w:bCs/>
          <w:lang w:val="es-ES"/>
        </w:rPr>
        <w:t>Problema planteado:</w:t>
      </w:r>
    </w:p>
    <w:p w14:paraId="2697009C" w14:textId="55AA1E0D" w:rsidR="005F1EF7" w:rsidRPr="00D069D8" w:rsidRDefault="000146CB" w:rsidP="00A94F83">
      <w:pPr>
        <w:spacing w:after="0" w:line="276" w:lineRule="auto"/>
        <w:jc w:val="both"/>
        <w:rPr>
          <w:rFonts w:ascii="Verdana" w:eastAsia="Calibri" w:hAnsi="Verdana" w:cs="Times New Roman"/>
        </w:rPr>
      </w:pPr>
      <w:r w:rsidRPr="00D069D8">
        <w:rPr>
          <w:rFonts w:ascii="Verdana" w:eastAsia="Calibri" w:hAnsi="Verdana" w:cs="Times New Roman"/>
        </w:rPr>
        <w:lastRenderedPageBreak/>
        <w:t xml:space="preserve">De acuerdo con el contenido de su solicitud, esta Agencia procede a resolver el siguiente problema jurídico: ¿Puede </w:t>
      </w:r>
      <w:r>
        <w:rPr>
          <w:rFonts w:ascii="Verdana" w:eastAsia="Calibri" w:hAnsi="Verdana" w:cs="Times New Roman"/>
        </w:rPr>
        <w:t>una entidad territorial acudir a</w:t>
      </w:r>
      <w:r w:rsidRPr="00831465">
        <w:rPr>
          <w:rFonts w:ascii="Verdana" w:eastAsia="Calibri" w:hAnsi="Verdana" w:cs="Times New Roman"/>
        </w:rPr>
        <w:t xml:space="preserve"> la figura de vigencias futuras excepcionales para suscribir un convenio interadministrativo </w:t>
      </w:r>
      <w:r>
        <w:rPr>
          <w:rFonts w:ascii="Verdana" w:eastAsia="Calibri" w:hAnsi="Verdana" w:cs="Times New Roman"/>
        </w:rPr>
        <w:t>para ejecutar</w:t>
      </w:r>
      <w:r w:rsidRPr="00831465">
        <w:rPr>
          <w:rFonts w:ascii="Verdana" w:eastAsia="Calibri" w:hAnsi="Verdana" w:cs="Times New Roman"/>
        </w:rPr>
        <w:t xml:space="preserve"> recursos del Sistema General de Participaciones (SGP) – componente Oferta, </w:t>
      </w:r>
      <w:r>
        <w:rPr>
          <w:rFonts w:ascii="Verdana" w:eastAsia="Calibri" w:hAnsi="Verdana" w:cs="Times New Roman"/>
        </w:rPr>
        <w:t>considerando que se aproxima</w:t>
      </w:r>
      <w:r w:rsidRPr="00831465">
        <w:rPr>
          <w:rFonts w:ascii="Verdana" w:eastAsia="Calibri" w:hAnsi="Verdana" w:cs="Times New Roman"/>
        </w:rPr>
        <w:t xml:space="preserve"> el periodo de restricción </w:t>
      </w:r>
      <w:r w:rsidR="004C44A8">
        <w:rPr>
          <w:rFonts w:ascii="Verdana" w:eastAsia="Calibri" w:hAnsi="Verdana" w:cs="Times New Roman"/>
        </w:rPr>
        <w:t>establecidas en</w:t>
      </w:r>
      <w:r w:rsidRPr="00831465">
        <w:rPr>
          <w:rFonts w:ascii="Verdana" w:eastAsia="Calibri" w:hAnsi="Verdana" w:cs="Times New Roman"/>
        </w:rPr>
        <w:t xml:space="preserve"> la Ley </w:t>
      </w:r>
      <w:r>
        <w:rPr>
          <w:rFonts w:ascii="Verdana" w:eastAsia="Calibri" w:hAnsi="Verdana" w:cs="Times New Roman"/>
        </w:rPr>
        <w:t>de Garantías</w:t>
      </w:r>
      <w:r w:rsidR="004C44A8">
        <w:rPr>
          <w:rFonts w:ascii="Verdana" w:eastAsia="Calibri" w:hAnsi="Verdana" w:cs="Times New Roman"/>
        </w:rPr>
        <w:t xml:space="preserve"> Electorales</w:t>
      </w:r>
      <w:r w:rsidRPr="00D069D8">
        <w:rPr>
          <w:rFonts w:ascii="Verdana" w:eastAsia="Calibri" w:hAnsi="Verdana" w:cs="Times New Roman"/>
        </w:rPr>
        <w:t>?</w:t>
      </w:r>
    </w:p>
    <w:p w14:paraId="07FAC65D" w14:textId="15D8AAF5" w:rsidR="000146CB" w:rsidRDefault="000146CB" w:rsidP="00321236">
      <w:pPr>
        <w:numPr>
          <w:ilvl w:val="0"/>
          <w:numId w:val="16"/>
        </w:numPr>
        <w:spacing w:after="0" w:line="276" w:lineRule="auto"/>
        <w:rPr>
          <w:rFonts w:ascii="Verdana" w:eastAsia="Calibri" w:hAnsi="Verdana" w:cs="Times New Roman"/>
          <w:b/>
          <w:bCs/>
          <w:lang w:val="es-ES"/>
        </w:rPr>
      </w:pPr>
      <w:r w:rsidRPr="00A94F83">
        <w:rPr>
          <w:rFonts w:ascii="Verdana" w:eastAsia="Calibri" w:hAnsi="Verdana" w:cs="Times New Roman"/>
          <w:b/>
          <w:bCs/>
          <w:lang w:val="es-ES"/>
        </w:rPr>
        <w:t>Respuesta:</w:t>
      </w:r>
    </w:p>
    <w:p w14:paraId="1D74DC49" w14:textId="77777777" w:rsidR="005F1EF7" w:rsidRPr="00A94F83" w:rsidRDefault="005F1EF7" w:rsidP="005F1EF7">
      <w:pPr>
        <w:spacing w:after="0" w:line="276" w:lineRule="auto"/>
        <w:ind w:left="1080"/>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0146CB" w:rsidRPr="00D069D8" w14:paraId="59102DAF" w14:textId="77777777">
        <w:trPr>
          <w:trHeight w:val="870"/>
          <w:jc w:val="center"/>
        </w:trPr>
        <w:tc>
          <w:tcPr>
            <w:tcW w:w="8784" w:type="dxa"/>
          </w:tcPr>
          <w:p w14:paraId="3A9894EF" w14:textId="77777777" w:rsidR="000146CB" w:rsidRPr="00D069D8" w:rsidRDefault="000146CB">
            <w:pPr>
              <w:spacing w:before="120" w:after="120" w:line="276" w:lineRule="auto"/>
              <w:ind w:right="79"/>
              <w:jc w:val="both"/>
              <w:rPr>
                <w:rFonts w:ascii="Verdana" w:eastAsia="Arial" w:hAnsi="Verdana" w:cs="Arial"/>
                <w:bCs/>
              </w:rPr>
            </w:pPr>
            <w:r w:rsidRPr="00D069D8">
              <w:rPr>
                <w:rFonts w:ascii="Verdana" w:hAnsi="Verdana" w:cs="Arial"/>
                <w:bCs/>
              </w:rPr>
              <w:t xml:space="preserve">Para responder el problema jurídico, objeto de consulta, se precisa </w:t>
            </w:r>
            <w:r w:rsidRPr="00D069D8">
              <w:rPr>
                <w:rFonts w:ascii="Verdana" w:eastAsia="Times New Roman" w:hAnsi="Verdana" w:cs="Arial"/>
                <w:szCs w:val="24"/>
                <w:lang w:val="es-ES" w:eastAsia="es-ES_tradnl"/>
              </w:rPr>
              <w:t xml:space="preserve">que, </w:t>
            </w:r>
            <w:r w:rsidRPr="00D069D8">
              <w:rPr>
                <w:rFonts w:ascii="Verdana" w:eastAsia="Arial" w:hAnsi="Verdana" w:cs="Arial"/>
                <w:bCs/>
              </w:rPr>
              <w:t>la anualidad del gasto es uno de los principios rectores de la actividad contractual pública, conforme al cual las entidades deben planear sus contrataciones de manera que sus compromisos contractuales sean atendidos durante la respectiva vigencia fiscal comprendida entre el 1 de enero y el 31 de diciembre. En este sentido, la regla general es que las entidades estatales solo pueden adquirir compromisos presupuestales que no excedan en su ejecución la vigencia fiscal en la que se suscribe el respectivo contrato.</w:t>
            </w:r>
          </w:p>
          <w:p w14:paraId="0A9662AE" w14:textId="77777777" w:rsidR="000146CB" w:rsidRPr="00D069D8" w:rsidRDefault="000146CB">
            <w:pPr>
              <w:spacing w:before="120" w:after="120" w:line="276" w:lineRule="auto"/>
              <w:ind w:right="79" w:firstLine="743"/>
              <w:jc w:val="both"/>
              <w:rPr>
                <w:rFonts w:ascii="Verdana" w:eastAsia="Arial" w:hAnsi="Verdana" w:cs="Arial"/>
                <w:bCs/>
              </w:rPr>
            </w:pPr>
            <w:r w:rsidRPr="00D069D8">
              <w:rPr>
                <w:rFonts w:ascii="Verdana" w:eastAsia="Arial" w:hAnsi="Verdana" w:cs="Arial"/>
                <w:bCs/>
              </w:rPr>
              <w:t xml:space="preserve">Sin embargo, como excepción a este principio se establecen mecanismos presupuestales dentro de los cuales se identifican las vigencias futuras, que de conformidad con el artículo 23 del Estatuto Orgánico del Presupuesto, se refieren a la autorización que deben solicitar las entidades para asumir obligaciones que afectarán los presupuestos siguientes a los de la vigencia fiscal en la que inició la ejecución. De igual manera, como excepción a este principio se encuentran las cuentas por pagar y las reservas presupuestales, que tienen unos procedimientos particulares para su configuración. </w:t>
            </w:r>
          </w:p>
          <w:p w14:paraId="4654561F" w14:textId="77777777" w:rsidR="000146CB" w:rsidRPr="00D069D8" w:rsidRDefault="000146CB">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 xml:space="preserve">La Ley 813 de 2003 establece en sus artículos 10° y 11° dos tipos de vigencias futuras: i) las vigencias futuras ordinarias, según la cual el Consejo Superior de Política Fiscal – Confis, podrá autorizar la asunción de obligaciones que afecten presupuestos de vigencias futuras cuando su ejecución se inicie con presupuesto de la vigencia en curso y el objeto del compromiso se lleve a cabo en cada una de ellas siempre y cuando se cumplan los prepuestos señalados en la norma. Y, ii) las vigencias futuras excepcionales, en virtud de la cual el Confis, en casos excepcionales para las </w:t>
            </w:r>
            <w:r w:rsidRPr="00D069D8">
              <w:rPr>
                <w:rFonts w:ascii="Verdana" w:eastAsia="Calibri" w:hAnsi="Verdana" w:cs="Arial"/>
                <w:color w:val="000000" w:themeColor="text1"/>
              </w:rPr>
              <w:lastRenderedPageBreak/>
              <w:t xml:space="preserve">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2C78C3D9" w14:textId="77777777" w:rsidR="000146CB" w:rsidRDefault="000146CB">
            <w:pPr>
              <w:spacing w:before="120" w:after="120" w:line="276" w:lineRule="auto"/>
              <w:ind w:right="79" w:firstLine="743"/>
              <w:jc w:val="both"/>
              <w:rPr>
                <w:rFonts w:ascii="Verdana" w:eastAsia="Arial" w:hAnsi="Verdana" w:cs="Arial"/>
                <w:bCs/>
              </w:rPr>
            </w:pPr>
            <w:r w:rsidRPr="00D069D8">
              <w:rPr>
                <w:rFonts w:ascii="Verdana" w:eastAsia="Calibri" w:hAnsi="Verdana" w:cs="Arial"/>
                <w:color w:val="000000" w:themeColor="text1"/>
              </w:rPr>
              <w:t xml:space="preserve">Por su parte, el artículo 12 </w:t>
            </w:r>
            <w:r w:rsidRPr="00D069D8">
              <w:rPr>
                <w:rFonts w:ascii="Verdana" w:eastAsia="Calibri" w:hAnsi="Verdana" w:cs="Arial"/>
                <w:i/>
                <w:iCs/>
                <w:color w:val="000000" w:themeColor="text1"/>
              </w:rPr>
              <w:t>ibidem</w:t>
            </w:r>
            <w:r w:rsidRPr="00D069D8">
              <w:rPr>
                <w:rFonts w:ascii="Verdana" w:eastAsia="Calibri" w:hAnsi="Verdana" w:cs="Arial"/>
                <w:color w:val="000000" w:themeColor="text1"/>
              </w:rPr>
              <w:t xml:space="preserve"> se refiere a las vigencias futuras ordinarias para entidades territoriales cuya autorización será impartida por la asamblea o concejo respectivo, a iniciativa del gobierno local, previa aprobación por el Confis territorial o el órgano que haga sus veces. Las vigencias futuras excepcionales para entidades territoriales se encuentran establecida en la Ley 1483 de 2011.</w:t>
            </w:r>
          </w:p>
          <w:p w14:paraId="2FFE147B" w14:textId="738EEE90" w:rsidR="000146CB" w:rsidRDefault="00935522">
            <w:pPr>
              <w:shd w:val="clear" w:color="auto" w:fill="FFFFFF"/>
              <w:spacing w:after="120" w:line="276" w:lineRule="auto"/>
              <w:ind w:right="51" w:firstLine="709"/>
              <w:jc w:val="both"/>
              <w:rPr>
                <w:rFonts w:ascii="Verdana" w:eastAsia="Calibri" w:hAnsi="Verdana" w:cs="Arial"/>
                <w:color w:val="000000" w:themeColor="text1"/>
              </w:rPr>
            </w:pPr>
            <w:r>
              <w:rPr>
                <w:rFonts w:ascii="Verdana" w:eastAsia="Calibri" w:hAnsi="Verdana" w:cs="Arial"/>
                <w:color w:val="000000" w:themeColor="text1"/>
              </w:rPr>
              <w:t>L</w:t>
            </w:r>
            <w:r w:rsidR="000146CB" w:rsidRPr="004E09A5">
              <w:rPr>
                <w:rFonts w:ascii="Verdana" w:eastAsia="Calibri" w:hAnsi="Verdana" w:cs="Arial"/>
                <w:color w:val="000000" w:themeColor="text1"/>
              </w:rPr>
              <w:t xml:space="preserve">a Ley 1483 de 2011 dispone que, en las vigencias futuras excepcionales, por la envergadura de los proyectos que se pretenden financiar, </w:t>
            </w:r>
            <w:r w:rsidR="000146CB">
              <w:rPr>
                <w:rFonts w:ascii="Verdana" w:eastAsia="Calibri" w:hAnsi="Verdana" w:cs="Arial"/>
                <w:color w:val="000000" w:themeColor="text1"/>
              </w:rPr>
              <w:t xml:space="preserve">serán </w:t>
            </w:r>
            <w:r w:rsidR="000146CB" w:rsidRPr="004E09A5">
              <w:rPr>
                <w:rFonts w:ascii="Verdana" w:eastAsia="Calibri" w:hAnsi="Verdana" w:cs="Arial"/>
                <w:color w:val="000000" w:themeColor="text1"/>
              </w:rPr>
              <w:t>las asambleas</w:t>
            </w:r>
            <w:r w:rsidR="000146CB">
              <w:rPr>
                <w:rFonts w:ascii="Verdana" w:eastAsia="Calibri" w:hAnsi="Verdana" w:cs="Arial"/>
                <w:color w:val="000000" w:themeColor="text1"/>
              </w:rPr>
              <w:t xml:space="preserve"> departamentales</w:t>
            </w:r>
            <w:r w:rsidR="000146CB" w:rsidRPr="004E09A5">
              <w:rPr>
                <w:rFonts w:ascii="Verdana" w:eastAsia="Calibri" w:hAnsi="Verdana" w:cs="Arial"/>
                <w:color w:val="000000" w:themeColor="text1"/>
              </w:rPr>
              <w:t xml:space="preserve"> o concejos</w:t>
            </w:r>
            <w:r w:rsidR="000146CB">
              <w:rPr>
                <w:rFonts w:ascii="Verdana" w:eastAsia="Calibri" w:hAnsi="Verdana" w:cs="Arial"/>
                <w:color w:val="000000" w:themeColor="text1"/>
              </w:rPr>
              <w:t xml:space="preserve"> municipales quienes</w:t>
            </w:r>
            <w:r w:rsidR="000146CB" w:rsidRPr="004E09A5">
              <w:rPr>
                <w:rFonts w:ascii="Verdana" w:eastAsia="Calibri" w:hAnsi="Verdana" w:cs="Arial"/>
                <w:color w:val="000000" w:themeColor="text1"/>
              </w:rPr>
              <w:t xml:space="preserve"> podrán autorizar la asunción de obligaciones que afecten presupuestos de vigencias futuras sin apropiación en el presupuesto del año en que se concede la autorización, a diferencia de lo que </w:t>
            </w:r>
            <w:r w:rsidR="000146CB">
              <w:rPr>
                <w:rFonts w:ascii="Verdana" w:eastAsia="Calibri" w:hAnsi="Verdana" w:cs="Arial"/>
                <w:color w:val="000000" w:themeColor="text1"/>
              </w:rPr>
              <w:t>sucede</w:t>
            </w:r>
            <w:r w:rsidR="000146CB" w:rsidRPr="004E09A5">
              <w:rPr>
                <w:rFonts w:ascii="Verdana" w:eastAsia="Calibri" w:hAnsi="Verdana" w:cs="Arial"/>
                <w:color w:val="000000" w:themeColor="text1"/>
              </w:rPr>
              <w:t xml:space="preserve"> con las vigencias futuras ordinarias previstas en el artículo 12 de la Ley 819 de 2003.</w:t>
            </w:r>
          </w:p>
          <w:p w14:paraId="45876F5B" w14:textId="6F373BB4" w:rsidR="000146CB" w:rsidRDefault="000146CB">
            <w:pPr>
              <w:shd w:val="clear" w:color="auto" w:fill="FFFFFF"/>
              <w:spacing w:after="120" w:line="276" w:lineRule="auto"/>
              <w:ind w:right="51" w:firstLine="709"/>
              <w:jc w:val="both"/>
              <w:rPr>
                <w:rFonts w:ascii="Verdana" w:eastAsia="Arial" w:hAnsi="Verdana" w:cs="Arial"/>
                <w:bCs/>
              </w:rPr>
            </w:pPr>
            <w:r w:rsidRPr="00D069D8">
              <w:rPr>
                <w:rFonts w:ascii="Verdana" w:eastAsia="Calibri" w:hAnsi="Verdana" w:cs="Arial"/>
                <w:color w:val="000000" w:themeColor="text1"/>
              </w:rPr>
              <w:t>Sobre la distinción entre las vigencias futuras ordinarias y las excepcionales el Consejo de Estado señaló que “</w:t>
            </w:r>
            <w:r w:rsidRPr="00D069D8">
              <w:rPr>
                <w:rFonts w:ascii="Verdana" w:hAnsi="Verdana" w:cs="Symbol"/>
              </w:rPr>
              <w:t>la diferencia fundamental entre las vigencias futuras ordinarias y las vigencias futuras excepcionales, radica, esencialmente, en que en las primeras la ejecución se inicia con el presupuesto de la vigencia en curso, mientras que en las excepcionales, se afecta el presupuesto de vigencias futuras, sin apropiación en el presupuesto del año en que se concede la autorización</w:t>
            </w:r>
            <w:r w:rsidRPr="00D069D8">
              <w:rPr>
                <w:rFonts w:ascii="Verdana" w:eastAsia="Calibri" w:hAnsi="Verdana" w:cs="Arial"/>
              </w:rPr>
              <w:t>”</w:t>
            </w:r>
            <w:r w:rsidRPr="00D069D8">
              <w:rPr>
                <w:rFonts w:ascii="Verdana" w:hAnsi="Verdana" w:cs="Symbol"/>
              </w:rPr>
              <w:t>.</w:t>
            </w:r>
            <w:r w:rsidRPr="00D069D8">
              <w:rPr>
                <w:rFonts w:ascii="Verdana" w:eastAsia="Arial" w:hAnsi="Verdana" w:cs="Arial"/>
                <w:bCs/>
              </w:rPr>
              <w:t xml:space="preserve">De esta manera, en caso de que en la etapa de planeación la entidad evidencie que el contrato a ejecutar exceda la vigencia fiscal correspondiente, deberá atender las previsiones legales sobre las excepciones al principio de anualidad del gasto y determinar cual resulta aplicable al caso en concreto. Dichas excepciones deben estar debidamente justificadas, cumplir con los requisitos establecidos por la normativa vigente y seguir los procedimientos correspondientes para su autorizaciones y ejecución, conforme a lo expuesto en las razones de la respuesta.  </w:t>
            </w:r>
          </w:p>
          <w:p w14:paraId="59D2EE76" w14:textId="77777777" w:rsidR="000146CB" w:rsidRDefault="000146CB" w:rsidP="003E23F5">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lang w:val="es-ES_tradnl"/>
              </w:rPr>
              <w:t xml:space="preserve">En conclusión, las entidades estatales deben planear sus contrataciones con fundamento en el principio de la anualidad del gasto, de </w:t>
            </w:r>
            <w:r w:rsidRPr="00D069D8">
              <w:rPr>
                <w:rFonts w:ascii="Verdana" w:eastAsia="Calibri" w:hAnsi="Verdana" w:cs="Arial"/>
                <w:color w:val="000000" w:themeColor="text1"/>
                <w:lang w:val="es-ES_tradnl"/>
              </w:rPr>
              <w:lastRenderedPageBreak/>
              <w:t xml:space="preserve">manera que sus compromisos presupuestales deben ser ejecutados dentro de la vigencia fiscal comprendida entre el 1 de enero y el 31 de diciembre. Sin embargo, como excepción a este principio se establecen </w:t>
            </w:r>
            <w:r w:rsidRPr="00D069D8">
              <w:rPr>
                <w:rFonts w:ascii="Verdana" w:eastAsia="Calibri" w:hAnsi="Verdana" w:cs="Arial"/>
                <w:color w:val="000000" w:themeColor="text1"/>
              </w:rPr>
              <w:t>mecanismos presupuestales dentro de los cuales se encuentran las vigencias futuras, que permite asumir compromisos que afecten el presupuesto de vigencias posteriores</w:t>
            </w:r>
            <w:r>
              <w:rPr>
                <w:rFonts w:ascii="Verdana" w:eastAsia="Calibri" w:hAnsi="Verdana" w:cs="Arial"/>
                <w:color w:val="000000" w:themeColor="text1"/>
              </w:rPr>
              <w:t>.</w:t>
            </w:r>
          </w:p>
          <w:p w14:paraId="0C3B2CFC" w14:textId="77777777" w:rsidR="007670AB" w:rsidRDefault="007670AB" w:rsidP="00211405">
            <w:pPr>
              <w:tabs>
                <w:tab w:val="num" w:pos="720"/>
              </w:tabs>
              <w:spacing w:before="120" w:after="120" w:line="276" w:lineRule="auto"/>
              <w:ind w:firstLine="709"/>
              <w:jc w:val="both"/>
              <w:rPr>
                <w:rFonts w:ascii="Verdana" w:eastAsia="Calibri" w:hAnsi="Verdana" w:cs="Arial"/>
              </w:rPr>
            </w:pPr>
            <w:r w:rsidRPr="79F3ED1A">
              <w:rPr>
                <w:rFonts w:ascii="Verdana" w:eastAsia="Calibri" w:hAnsi="Verdana" w:cs="Arial"/>
              </w:rPr>
              <w:t>Para ello, y en aplicación del principio de planeación, se recomienda a las entidades adoptar anticipadamente las medidas necesarias en su gestión contractual con el fin de evitar que las restricciones impuestas por la Ley de Garantías afecten el funcionamiento de las entidades y el cumplimiento de los fines institucionales. Asimismo, resulta aconsejable prever escenarios de contingencia que permitan atender necesidades urgentes o inaplazables, sin incurrir en actuaciones que puedan comprometer las restricciones de la Ley de Garantías, la legalidad o la transparencia del proceso contractual.</w:t>
            </w:r>
          </w:p>
          <w:p w14:paraId="49A1A3A8" w14:textId="3F4D4D05" w:rsidR="000B429D" w:rsidRPr="003E23F5" w:rsidRDefault="000B429D" w:rsidP="00211405">
            <w:pPr>
              <w:tabs>
                <w:tab w:val="num" w:pos="720"/>
              </w:tabs>
              <w:spacing w:before="120" w:after="120" w:line="276" w:lineRule="auto"/>
              <w:ind w:firstLine="709"/>
              <w:jc w:val="both"/>
              <w:rPr>
                <w:rFonts w:ascii="Verdana" w:eastAsia="Arial" w:hAnsi="Verdana" w:cs="Arial"/>
                <w:bCs/>
              </w:rPr>
            </w:pPr>
          </w:p>
        </w:tc>
      </w:tr>
    </w:tbl>
    <w:p w14:paraId="5CB5819E" w14:textId="77777777" w:rsidR="000146CB" w:rsidRPr="00D069D8" w:rsidRDefault="000146CB" w:rsidP="004C44A8">
      <w:pPr>
        <w:spacing w:after="0" w:line="276" w:lineRule="auto"/>
        <w:jc w:val="both"/>
        <w:rPr>
          <w:rFonts w:ascii="Verdana" w:eastAsia="Calibri" w:hAnsi="Verdana" w:cs="Arial"/>
          <w:bCs/>
          <w:color w:val="000000" w:themeColor="text1"/>
        </w:rPr>
      </w:pPr>
    </w:p>
    <w:p w14:paraId="3A3A6B95" w14:textId="77777777" w:rsidR="000146CB" w:rsidRPr="00D069D8" w:rsidRDefault="000146CB" w:rsidP="00022FC1">
      <w:pPr>
        <w:numPr>
          <w:ilvl w:val="0"/>
          <w:numId w:val="16"/>
        </w:numPr>
        <w:spacing w:after="0" w:line="276" w:lineRule="auto"/>
        <w:rPr>
          <w:rFonts w:ascii="Verdana" w:eastAsia="Calibri" w:hAnsi="Verdana" w:cs="Times New Roman"/>
          <w:b/>
          <w:bCs/>
          <w:lang w:val="es-ES"/>
        </w:rPr>
      </w:pPr>
      <w:r w:rsidRPr="00D069D8">
        <w:rPr>
          <w:rFonts w:ascii="Verdana" w:eastAsia="Calibri" w:hAnsi="Verdana" w:cs="Times New Roman"/>
          <w:b/>
          <w:bCs/>
          <w:lang w:val="es-ES"/>
        </w:rPr>
        <w:t>Razones de la respuesta:</w:t>
      </w:r>
    </w:p>
    <w:p w14:paraId="6E3DFD28" w14:textId="77777777" w:rsidR="000146CB" w:rsidRPr="00D069D8" w:rsidRDefault="000146CB" w:rsidP="004C44A8">
      <w:pPr>
        <w:spacing w:after="0" w:line="276" w:lineRule="auto"/>
        <w:rPr>
          <w:rFonts w:ascii="Verdana" w:eastAsia="Calibri" w:hAnsi="Verdana" w:cs="Times New Roman"/>
          <w:b/>
          <w:bCs/>
          <w:lang w:val="es-ES"/>
        </w:rPr>
      </w:pPr>
    </w:p>
    <w:p w14:paraId="5B25D30D" w14:textId="59698F46" w:rsidR="000146CB" w:rsidRPr="00D069D8" w:rsidRDefault="000146CB" w:rsidP="000146CB">
      <w:pPr>
        <w:shd w:val="clear" w:color="auto" w:fill="FFFFFF" w:themeFill="background1"/>
        <w:spacing w:after="120" w:line="276" w:lineRule="auto"/>
        <w:ind w:right="51"/>
        <w:jc w:val="both"/>
        <w:rPr>
          <w:rFonts w:ascii="Verdana" w:eastAsia="Calibri" w:hAnsi="Verdana" w:cs="Arial"/>
          <w:color w:val="000000" w:themeColor="text1"/>
          <w:lang w:val="es-ES"/>
        </w:rPr>
      </w:pPr>
      <w:r w:rsidRPr="00D069D8">
        <w:rPr>
          <w:rFonts w:ascii="Verdana" w:eastAsia="Calibri" w:hAnsi="Verdana" w:cs="Arial"/>
          <w:color w:val="000000" w:themeColor="text1"/>
          <w:lang w:val="es-ES"/>
        </w:rPr>
        <w:t xml:space="preserve">Las entidades estatales deben sujetarse a los principios que rigen el sistema presupuestal, entre los cuales se encuentra el de anualidad del gasto público. Este principio encuentra fundamento constitucional </w:t>
      </w:r>
      <w:bookmarkStart w:id="1" w:name="_Hlk65717879"/>
      <w:r w:rsidRPr="00D069D8">
        <w:rPr>
          <w:rFonts w:ascii="Verdana" w:eastAsia="Calibri" w:hAnsi="Verdana" w:cs="Arial"/>
          <w:color w:val="000000" w:themeColor="text1"/>
          <w:lang w:val="es-ES"/>
        </w:rPr>
        <w:t>en el artículo 346 superior que contiene el régimen general del presupuesto de rentas y la ley de apropiaciones</w:t>
      </w:r>
      <w:r w:rsidRPr="00D069D8">
        <w:rPr>
          <w:rFonts w:ascii="Verdana" w:eastAsia="Calibri" w:hAnsi="Verdana" w:cs="Arial"/>
          <w:color w:val="000000" w:themeColor="text1"/>
          <w:vertAlign w:val="superscript"/>
          <w:lang w:val="es-ES"/>
        </w:rPr>
        <w:footnoteReference w:id="1"/>
      </w:r>
      <w:r w:rsidRPr="00D069D8">
        <w:rPr>
          <w:rFonts w:ascii="Verdana" w:eastAsia="Calibri" w:hAnsi="Verdana" w:cs="Arial"/>
          <w:color w:val="000000" w:themeColor="text1"/>
          <w:lang w:val="es-ES"/>
        </w:rPr>
        <w:t>, que deberá presentarse al Congreso dentro de los primeros diez días de cada legislatura, elaborarse y aprobarse dentro de un marco de sostenibilidad fiscal y corresponder al Plan Nacional de Desarrollo</w:t>
      </w:r>
      <w:r w:rsidRPr="00D069D8">
        <w:rPr>
          <w:rFonts w:ascii="Verdana" w:eastAsia="Calibri" w:hAnsi="Verdana" w:cs="Arial"/>
          <w:color w:val="000000" w:themeColor="text1"/>
          <w:vertAlign w:val="superscript"/>
          <w:lang w:val="es-ES"/>
        </w:rPr>
        <w:footnoteReference w:id="2"/>
      </w:r>
      <w:r w:rsidRPr="00D069D8">
        <w:rPr>
          <w:rFonts w:ascii="Verdana" w:eastAsia="Calibri" w:hAnsi="Verdana" w:cs="Arial"/>
          <w:color w:val="000000" w:themeColor="text1"/>
          <w:lang w:val="es-ES"/>
        </w:rPr>
        <w:t xml:space="preserve">. De </w:t>
      </w:r>
      <w:r w:rsidRPr="00D069D8">
        <w:rPr>
          <w:rFonts w:ascii="Verdana" w:eastAsia="Calibri" w:hAnsi="Verdana" w:cs="Arial"/>
          <w:color w:val="000000" w:themeColor="text1"/>
          <w:lang w:val="es-ES"/>
        </w:rPr>
        <w:lastRenderedPageBreak/>
        <w:t>conformidad con la misma norma constitucional, el presupuesto tiene vigencia anual y, por tanto, tienen como finalidad fijar los gastos y las rentas nacionales del Estado para la respectiva vigencia fiscal anual</w:t>
      </w:r>
      <w:bookmarkEnd w:id="1"/>
      <w:r w:rsidRPr="00D069D8">
        <w:rPr>
          <w:rFonts w:ascii="Verdana" w:eastAsia="Calibri" w:hAnsi="Verdana" w:cs="Arial"/>
          <w:color w:val="000000" w:themeColor="text1"/>
          <w:lang w:val="es-ES"/>
        </w:rPr>
        <w:t xml:space="preserve">. </w:t>
      </w:r>
    </w:p>
    <w:p w14:paraId="551E8CBD" w14:textId="77777777" w:rsidR="000146CB" w:rsidRPr="00D069D8" w:rsidRDefault="000146CB" w:rsidP="000146CB">
      <w:pPr>
        <w:shd w:val="clear" w:color="auto" w:fill="FFFFFF"/>
        <w:spacing w:after="120" w:line="276" w:lineRule="auto"/>
        <w:ind w:right="51" w:firstLine="709"/>
        <w:jc w:val="both"/>
        <w:rPr>
          <w:rFonts w:ascii="Verdana" w:eastAsia="Calibri" w:hAnsi="Verdana" w:cs="Arial"/>
          <w:lang w:val="es-ES_tradnl"/>
        </w:rPr>
      </w:pPr>
      <w:r w:rsidRPr="00D069D8">
        <w:rPr>
          <w:rFonts w:ascii="Verdana" w:eastAsia="Calibri" w:hAnsi="Verdana" w:cs="Arial"/>
          <w:color w:val="000000" w:themeColor="text1"/>
          <w:lang w:val="es-ES_tradnl"/>
        </w:rPr>
        <w:t xml:space="preserve">En armonía con lo anterior, el Estatuto Orgánico del Presupuesto consagra este principio en el artículo 14 consistente en que </w:t>
      </w:r>
      <w:r w:rsidRPr="00D069D8">
        <w:rPr>
          <w:rFonts w:ascii="Verdana" w:eastAsia="Calibri" w:hAnsi="Verdana" w:cs="Arial"/>
          <w:lang w:val="es-ES_tradnl"/>
        </w:rPr>
        <w:t>“</w:t>
      </w:r>
      <w:r w:rsidRPr="00D069D8">
        <w:rPr>
          <w:rFonts w:ascii="Verdana" w:eastAsia="Calibri" w:hAnsi="Verdana" w:cs="Arial"/>
          <w:color w:val="000000" w:themeColor="text1"/>
          <w:lang w:val="es-ES_tradnl"/>
        </w:rPr>
        <w:t>Después del 31 de diciembre no podrán asumirse compromisos con cargo a las apropiaciones del año fiscal que se cierra en esa fecha y los saldos de apropiación no afectados por compromisos caducarán sin excepción</w:t>
      </w:r>
      <w:r w:rsidRPr="00D069D8">
        <w:rPr>
          <w:rFonts w:ascii="Verdana" w:eastAsia="Calibri" w:hAnsi="Verdana" w:cs="Arial"/>
          <w:lang w:val="es-ES_tradnl"/>
        </w:rPr>
        <w:t>”</w:t>
      </w:r>
      <w:r w:rsidRPr="00D069D8">
        <w:rPr>
          <w:rFonts w:ascii="Verdana" w:eastAsia="Calibri" w:hAnsi="Verdana" w:cs="Arial"/>
          <w:color w:val="000000" w:themeColor="text1"/>
          <w:lang w:val="es-ES_tradnl"/>
        </w:rPr>
        <w:t>. Es decir, los gastos previstos en el presupuesto anual deben ejecutarse dentro de una vigencia fiscal comprendida entre el 1 de enero y el 31 de diciembre</w:t>
      </w:r>
      <w:r w:rsidRPr="00D069D8">
        <w:rPr>
          <w:rFonts w:ascii="Verdana" w:eastAsia="Calibri" w:hAnsi="Verdana" w:cs="Arial"/>
          <w:color w:val="000000" w:themeColor="text1"/>
          <w:vertAlign w:val="superscript"/>
          <w:lang w:val="es-ES_tradnl"/>
        </w:rPr>
        <w:footnoteReference w:id="3"/>
      </w:r>
      <w:r w:rsidRPr="00D069D8">
        <w:rPr>
          <w:rFonts w:ascii="Verdana" w:eastAsia="Calibri" w:hAnsi="Verdana" w:cs="Arial"/>
          <w:color w:val="000000" w:themeColor="text1"/>
          <w:lang w:val="es-ES_tradnl"/>
        </w:rPr>
        <w:t>.</w:t>
      </w:r>
      <w:r w:rsidRPr="00D069D8">
        <w:rPr>
          <w:rFonts w:ascii="Verdana" w:eastAsia="Calibri" w:hAnsi="Verdana" w:cs="Arial"/>
          <w:color w:val="000000" w:themeColor="text1"/>
        </w:rPr>
        <w:t xml:space="preserve"> En el mismo sentido, </w:t>
      </w:r>
      <w:r w:rsidRPr="00D069D8">
        <w:rPr>
          <w:rFonts w:ascii="Verdana" w:eastAsia="Calibri" w:hAnsi="Verdana" w:cs="Arial"/>
          <w:color w:val="000000" w:themeColor="text1"/>
          <w:lang w:val="es-ES_tradnl"/>
        </w:rPr>
        <w:t xml:space="preserve">el artículo 89 </w:t>
      </w:r>
      <w:r w:rsidRPr="00D069D8">
        <w:rPr>
          <w:rFonts w:ascii="Verdana" w:eastAsia="Calibri" w:hAnsi="Verdana" w:cs="Arial"/>
          <w:i/>
          <w:iCs/>
          <w:color w:val="000000" w:themeColor="text1"/>
          <w:lang w:val="es-ES_tradnl"/>
        </w:rPr>
        <w:t>ibidem</w:t>
      </w:r>
      <w:r w:rsidRPr="00D069D8">
        <w:rPr>
          <w:rFonts w:ascii="Verdana" w:eastAsia="Calibri" w:hAnsi="Verdana" w:cs="Arial"/>
          <w:color w:val="000000" w:themeColor="text1"/>
          <w:lang w:val="es-ES_tradnl"/>
        </w:rPr>
        <w:t xml:space="preserve"> consolida al principio de anualidad como regla general en la ejecución del gasto al establecer que </w:t>
      </w:r>
      <w:r w:rsidRPr="00D069D8">
        <w:rPr>
          <w:rFonts w:ascii="Verdana" w:eastAsia="Calibri" w:hAnsi="Verdana" w:cs="Arial"/>
          <w:lang w:val="es-ES_tradnl"/>
        </w:rPr>
        <w:t>“</w:t>
      </w:r>
      <w:r w:rsidRPr="00D069D8">
        <w:rPr>
          <w:rFonts w:ascii="Verdana" w:eastAsia="Calibri" w:hAnsi="Verdana" w:cs="Arial"/>
          <w:color w:val="000000" w:themeColor="text1"/>
          <w:lang w:val="es-ES_tradnl"/>
        </w:rPr>
        <w:t>las apropiaciones presupuestales incluidas en el Presupuesto General de la Nación son autorizaciones máximas de gasto que el Congreso aprueba para ser ejecutadas o comprometidas durante la vigencia fiscal respectiva, por lo que después del 31 de diciembre de cada año estas autorizaciones expiran y, en consecuencia, no podrán comprometerse, adicionarse, transferirse, ni contracreditarse</w:t>
      </w:r>
      <w:r w:rsidRPr="00D069D8">
        <w:rPr>
          <w:rFonts w:ascii="Verdana" w:eastAsia="Calibri" w:hAnsi="Verdana" w:cs="Arial"/>
          <w:lang w:val="es-ES_tradnl"/>
        </w:rPr>
        <w:t xml:space="preserve">”. </w:t>
      </w:r>
    </w:p>
    <w:p w14:paraId="33582EEA" w14:textId="77777777" w:rsidR="008034C7" w:rsidRDefault="000146CB" w:rsidP="000146CB">
      <w:pPr>
        <w:shd w:val="clear" w:color="auto" w:fill="FFFFFF"/>
        <w:spacing w:after="120" w:line="276" w:lineRule="auto"/>
        <w:ind w:right="51" w:firstLine="709"/>
        <w:jc w:val="both"/>
        <w:rPr>
          <w:rFonts w:ascii="Verdana" w:eastAsia="Calibri" w:hAnsi="Verdana" w:cs="Arial"/>
        </w:rPr>
      </w:pPr>
      <w:r w:rsidRPr="00D069D8">
        <w:rPr>
          <w:rFonts w:ascii="Verdana" w:eastAsia="Calibri" w:hAnsi="Verdana" w:cs="Arial"/>
          <w:lang w:val="es-ES_tradnl"/>
        </w:rPr>
        <w:t>A su turno, el artículo 8 de la Ley 819 de 2003 consagra el principio de anualidad al disponer que “l</w:t>
      </w:r>
      <w:r w:rsidRPr="00D069D8">
        <w:rPr>
          <w:rFonts w:ascii="Verdana" w:eastAsia="Calibri" w:hAnsi="Verdana" w:cs="Arial"/>
        </w:rPr>
        <w:t xml:space="preserve">a preparación y elaboración del Presupuesto General de la Nación y el de las entidades territoriales, deberá sujetarse a los correspondientes Marcos Fiscales de Mediano Plazo de manera que las apropiaciones presupuestales aprobadas por el Congreso de la República, las </w:t>
      </w:r>
    </w:p>
    <w:p w14:paraId="51FF9379" w14:textId="77777777" w:rsidR="008034C7" w:rsidRDefault="008034C7" w:rsidP="000146CB">
      <w:pPr>
        <w:shd w:val="clear" w:color="auto" w:fill="FFFFFF"/>
        <w:spacing w:after="120" w:line="276" w:lineRule="auto"/>
        <w:ind w:right="51" w:firstLine="709"/>
        <w:jc w:val="both"/>
        <w:rPr>
          <w:rFonts w:ascii="Verdana" w:eastAsia="Calibri" w:hAnsi="Verdana" w:cs="Arial"/>
        </w:rPr>
      </w:pPr>
    </w:p>
    <w:p w14:paraId="4D2ABA6B" w14:textId="77777777" w:rsidR="008034C7" w:rsidRDefault="008034C7" w:rsidP="000146CB">
      <w:pPr>
        <w:shd w:val="clear" w:color="auto" w:fill="FFFFFF"/>
        <w:spacing w:after="120" w:line="276" w:lineRule="auto"/>
        <w:ind w:right="51" w:firstLine="709"/>
        <w:jc w:val="both"/>
        <w:rPr>
          <w:rFonts w:ascii="Verdana" w:eastAsia="Calibri" w:hAnsi="Verdana" w:cs="Arial"/>
        </w:rPr>
      </w:pPr>
    </w:p>
    <w:p w14:paraId="272FAEDC" w14:textId="77777777" w:rsidR="008034C7" w:rsidRDefault="008034C7" w:rsidP="000146CB">
      <w:pPr>
        <w:shd w:val="clear" w:color="auto" w:fill="FFFFFF"/>
        <w:spacing w:after="120" w:line="276" w:lineRule="auto"/>
        <w:ind w:right="51" w:firstLine="709"/>
        <w:jc w:val="both"/>
        <w:rPr>
          <w:rFonts w:ascii="Verdana" w:eastAsia="Calibri" w:hAnsi="Verdana" w:cs="Arial"/>
        </w:rPr>
      </w:pPr>
    </w:p>
    <w:p w14:paraId="0D6AC72D" w14:textId="77777777" w:rsidR="008034C7" w:rsidRDefault="008034C7" w:rsidP="000146CB">
      <w:pPr>
        <w:shd w:val="clear" w:color="auto" w:fill="FFFFFF"/>
        <w:spacing w:after="120" w:line="276" w:lineRule="auto"/>
        <w:ind w:right="51" w:firstLine="709"/>
        <w:jc w:val="both"/>
        <w:rPr>
          <w:rFonts w:ascii="Verdana" w:eastAsia="Calibri" w:hAnsi="Verdana" w:cs="Arial"/>
        </w:rPr>
      </w:pPr>
    </w:p>
    <w:p w14:paraId="2C0320BF" w14:textId="77777777" w:rsidR="008034C7" w:rsidRDefault="008034C7" w:rsidP="000146CB">
      <w:pPr>
        <w:shd w:val="clear" w:color="auto" w:fill="FFFFFF"/>
        <w:spacing w:after="120" w:line="276" w:lineRule="auto"/>
        <w:ind w:right="51" w:firstLine="709"/>
        <w:jc w:val="both"/>
        <w:rPr>
          <w:rFonts w:ascii="Verdana" w:eastAsia="Calibri" w:hAnsi="Verdana" w:cs="Arial"/>
        </w:rPr>
      </w:pPr>
    </w:p>
    <w:p w14:paraId="100A0189" w14:textId="47C6ADB7" w:rsidR="000146CB" w:rsidRPr="00D069D8" w:rsidRDefault="000146CB" w:rsidP="000146CB">
      <w:pPr>
        <w:shd w:val="clear" w:color="auto" w:fill="FFFFFF"/>
        <w:spacing w:after="120" w:line="276" w:lineRule="auto"/>
        <w:ind w:right="51" w:firstLine="709"/>
        <w:jc w:val="both"/>
        <w:rPr>
          <w:rFonts w:ascii="Verdana" w:eastAsia="Calibri" w:hAnsi="Verdana" w:cs="Arial"/>
          <w:lang w:val="es-ES_tradnl"/>
        </w:rPr>
      </w:pPr>
      <w:r w:rsidRPr="00D069D8">
        <w:rPr>
          <w:rFonts w:ascii="Verdana" w:eastAsia="Calibri" w:hAnsi="Verdana" w:cs="Arial"/>
        </w:rPr>
        <w:lastRenderedPageBreak/>
        <w:t>Asambleas y los Concejos, puedan ejecutarse en su totalidad durante la vigencia fiscal correspondiente”.</w:t>
      </w:r>
    </w:p>
    <w:p w14:paraId="6AE99432" w14:textId="77777777" w:rsidR="000146CB" w:rsidRPr="00D069D8" w:rsidRDefault="000146CB" w:rsidP="000146CB">
      <w:pPr>
        <w:shd w:val="clear" w:color="auto" w:fill="FFFFFF" w:themeFill="background1"/>
        <w:spacing w:after="120" w:line="276" w:lineRule="auto"/>
        <w:ind w:right="51" w:firstLine="709"/>
        <w:jc w:val="both"/>
        <w:rPr>
          <w:rFonts w:ascii="Verdana" w:eastAsia="Calibri" w:hAnsi="Verdana" w:cs="Arial"/>
          <w:color w:val="000000" w:themeColor="text1"/>
          <w:lang w:val="es-ES"/>
        </w:rPr>
      </w:pPr>
      <w:r w:rsidRPr="00D069D8">
        <w:rPr>
          <w:rFonts w:ascii="Verdana" w:eastAsia="Calibri" w:hAnsi="Verdana" w:cs="Arial"/>
          <w:color w:val="000000" w:themeColor="text1"/>
          <w:lang w:val="es-ES"/>
        </w:rPr>
        <w:t>En este contexto, la anualidad del gasto es uno de los principios rectores de la actividad contractual pública, conforme al cual las entidades deben planear sus contrataciones de manera que sus compromisos contractuales sean atendidos durante la respectiva vigencia fiscal comprendida entre el 1 de enero y el 31 de diciembre. En este sentido, la regla general es que las entidades estatales solo pueden adquirir compromisos presupuestales que no excedan en su ejecución la vigencia fiscal en la que se suscribe el respectivo contrato.</w:t>
      </w:r>
    </w:p>
    <w:p w14:paraId="08359515" w14:textId="79ADEEE6" w:rsidR="009231D4" w:rsidRPr="00D069D8" w:rsidRDefault="000146CB" w:rsidP="00022FC1">
      <w:pPr>
        <w:shd w:val="clear" w:color="auto" w:fill="FFFFFF"/>
        <w:spacing w:after="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lang w:val="es-ES_tradnl"/>
        </w:rPr>
        <w:t xml:space="preserve">No obstante, conforme lo ha señalado el Consejo de Estado, el principio de anualidad no es absoluto </w:t>
      </w:r>
      <w:r w:rsidRPr="00D069D8">
        <w:rPr>
          <w:rFonts w:ascii="Verdana" w:eastAsia="Calibri" w:hAnsi="Verdana" w:cs="Arial"/>
          <w:color w:val="000000" w:themeColor="text1"/>
        </w:rPr>
        <w:t xml:space="preserve">en </w:t>
      </w:r>
      <w:r w:rsidRPr="00D069D8">
        <w:rPr>
          <w:rFonts w:ascii="Verdana" w:eastAsia="Calibri" w:hAnsi="Verdana" w:cs="Arial"/>
        </w:rPr>
        <w:t>“</w:t>
      </w:r>
      <w:r w:rsidRPr="00D069D8">
        <w:rPr>
          <w:rFonts w:ascii="Verdana" w:eastAsia="Calibri" w:hAnsi="Verdana" w:cs="Arial"/>
          <w:color w:val="000000" w:themeColor="text1"/>
        </w:rPr>
        <w:t>la medida en que la actividad presupuestal está íntimamente ligada con el principio de planeación, la cual normalmente es efectuada para periodos que superan el año calendario. Esta realidad impone la configuración de mecanismos presupuestales que permitan compatibilizar tales principios”</w:t>
      </w:r>
      <w:r w:rsidRPr="00D069D8">
        <w:rPr>
          <w:rFonts w:ascii="Verdana" w:eastAsia="Calibri" w:hAnsi="Verdana" w:cs="Arial"/>
          <w:vertAlign w:val="superscript"/>
          <w:lang w:val="es-ES_tradnl"/>
        </w:rPr>
        <w:footnoteReference w:id="4"/>
      </w:r>
      <w:r w:rsidRPr="00D069D8">
        <w:rPr>
          <w:rFonts w:ascii="Verdana" w:eastAsia="Calibri" w:hAnsi="Verdana" w:cs="Arial"/>
          <w:lang w:val="es-ES_tradnl"/>
        </w:rPr>
        <w:t>.</w:t>
      </w:r>
      <w:r w:rsidRPr="00D069D8">
        <w:rPr>
          <w:rFonts w:ascii="Verdana" w:eastAsia="Calibri" w:hAnsi="Verdana" w:cs="Arial"/>
          <w:color w:val="000000" w:themeColor="text1"/>
        </w:rPr>
        <w:t xml:space="preserve"> Así mismo, la doctrina expresa:</w:t>
      </w:r>
    </w:p>
    <w:p w14:paraId="4BCA433E" w14:textId="5F020D26" w:rsidR="000146CB" w:rsidRDefault="000146CB" w:rsidP="000146CB">
      <w:pPr>
        <w:autoSpaceDE w:val="0"/>
        <w:autoSpaceDN w:val="0"/>
        <w:adjustRightInd w:val="0"/>
        <w:spacing w:after="0" w:line="240" w:lineRule="auto"/>
        <w:ind w:left="709" w:right="709"/>
        <w:jc w:val="both"/>
        <w:rPr>
          <w:rFonts w:ascii="Verdana" w:hAnsi="Verdana" w:cs="Times-Roman"/>
          <w:sz w:val="20"/>
          <w:szCs w:val="20"/>
        </w:rPr>
      </w:pPr>
      <w:r w:rsidRPr="000D35F0">
        <w:rPr>
          <w:rFonts w:ascii="Verdana" w:hAnsi="Verdana" w:cs="Times-Roman"/>
          <w:sz w:val="20"/>
          <w:szCs w:val="20"/>
        </w:rPr>
        <w:t>Varias excepciones se presentan al momento de efectuar el cierre presupuestal, operación realizada al finalizar cada vigencia presupuestal en la cual se analiza la ejecución de las partidas así como el estado de las finanzas de la entidad respectiva que puede terminar en un balance de superávit, equilibrado o deficitario.</w:t>
      </w:r>
    </w:p>
    <w:p w14:paraId="6CBF48D6" w14:textId="77777777" w:rsidR="009231D4" w:rsidRPr="000D35F0" w:rsidRDefault="009231D4" w:rsidP="000146CB">
      <w:pPr>
        <w:autoSpaceDE w:val="0"/>
        <w:autoSpaceDN w:val="0"/>
        <w:adjustRightInd w:val="0"/>
        <w:spacing w:after="0" w:line="240" w:lineRule="auto"/>
        <w:ind w:left="709" w:right="709"/>
        <w:jc w:val="both"/>
        <w:rPr>
          <w:rFonts w:ascii="Verdana" w:hAnsi="Verdana" w:cs="Times-Roman"/>
          <w:sz w:val="20"/>
          <w:szCs w:val="20"/>
        </w:rPr>
      </w:pPr>
    </w:p>
    <w:p w14:paraId="298281E2" w14:textId="015A3860" w:rsidR="000146CB" w:rsidRDefault="000146CB" w:rsidP="000146CB">
      <w:pPr>
        <w:autoSpaceDE w:val="0"/>
        <w:autoSpaceDN w:val="0"/>
        <w:adjustRightInd w:val="0"/>
        <w:spacing w:after="0" w:line="240" w:lineRule="auto"/>
        <w:ind w:left="709" w:right="709"/>
        <w:jc w:val="both"/>
        <w:rPr>
          <w:rFonts w:ascii="Verdana" w:hAnsi="Verdana" w:cs="Times-Roman"/>
          <w:sz w:val="20"/>
          <w:szCs w:val="20"/>
        </w:rPr>
      </w:pPr>
      <w:r w:rsidRPr="000D35F0">
        <w:rPr>
          <w:rFonts w:ascii="Verdana" w:hAnsi="Verdana" w:cs="Times-Roman"/>
          <w:sz w:val="20"/>
          <w:szCs w:val="20"/>
        </w:rPr>
        <w:t>Según el principio de anualidad del presupuesto y en desarrollo del principio de eficacia de la Administración Pública contenido en el artículo 209 C.P., tenemos que el resultado que debería aparecer al cierre fiscal es que las partidas presupuestales que fueron aprobadas por la ley de presupuesto fueron debidamente comprometidas y canceladas.</w:t>
      </w:r>
    </w:p>
    <w:p w14:paraId="7D316D73" w14:textId="77777777" w:rsidR="009231D4" w:rsidRPr="000D35F0" w:rsidRDefault="009231D4" w:rsidP="000146CB">
      <w:pPr>
        <w:autoSpaceDE w:val="0"/>
        <w:autoSpaceDN w:val="0"/>
        <w:adjustRightInd w:val="0"/>
        <w:spacing w:after="0" w:line="240" w:lineRule="auto"/>
        <w:ind w:left="709" w:right="709"/>
        <w:jc w:val="both"/>
        <w:rPr>
          <w:rFonts w:ascii="Verdana" w:hAnsi="Verdana" w:cs="Times-Roman"/>
          <w:sz w:val="20"/>
          <w:szCs w:val="20"/>
        </w:rPr>
      </w:pPr>
    </w:p>
    <w:p w14:paraId="0B102089" w14:textId="77777777" w:rsidR="00C45881" w:rsidRDefault="000146CB" w:rsidP="000146CB">
      <w:pPr>
        <w:autoSpaceDE w:val="0"/>
        <w:autoSpaceDN w:val="0"/>
        <w:adjustRightInd w:val="0"/>
        <w:spacing w:after="0" w:line="240" w:lineRule="auto"/>
        <w:ind w:left="709" w:right="709"/>
        <w:jc w:val="both"/>
        <w:rPr>
          <w:rFonts w:ascii="Verdana" w:hAnsi="Verdana" w:cs="Times-Roman"/>
          <w:sz w:val="20"/>
          <w:szCs w:val="20"/>
        </w:rPr>
      </w:pPr>
      <w:r w:rsidRPr="000D35F0">
        <w:rPr>
          <w:rFonts w:ascii="Verdana" w:hAnsi="Verdana" w:cs="Times-Roman"/>
          <w:sz w:val="20"/>
          <w:szCs w:val="20"/>
        </w:rPr>
        <w:t>Sin embargo, en la práctica presupuestal muchas veces no es posible cancelar una partida dentro de su respectiva vigencia presupuestal. Piénsese a guisa de ejemplo en un contrato de construcción de una carretera que se termina por fuera del tiempo inicialmente convenido (</w:t>
      </w:r>
      <w:r w:rsidRPr="000D35F0">
        <w:rPr>
          <w:rFonts w:ascii="Verdana" w:hAnsi="Verdana" w:cs="Times-Italic"/>
          <w:i/>
          <w:iCs/>
          <w:sz w:val="20"/>
          <w:szCs w:val="20"/>
        </w:rPr>
        <w:t>v.gr</w:t>
      </w:r>
      <w:r w:rsidRPr="000D35F0">
        <w:rPr>
          <w:rFonts w:ascii="Verdana" w:hAnsi="Verdana" w:cs="Times-Roman"/>
          <w:sz w:val="20"/>
          <w:szCs w:val="20"/>
        </w:rPr>
        <w:t>. el 25 diciembre de 2004), porque las condiciones climáticas impidieron la ejecución de este durante dos o tres meses, y habrá de entregarse la obra terminada por fuera de la vigencia presupuestal en que fue aprobada la partida.</w:t>
      </w:r>
      <w:r w:rsidRPr="000D35F0">
        <w:rPr>
          <w:rFonts w:ascii="Times-Roman" w:hAnsi="Times-Roman" w:cs="Times-Roman"/>
          <w:sz w:val="20"/>
          <w:szCs w:val="20"/>
        </w:rPr>
        <w:t xml:space="preserve"> </w:t>
      </w:r>
      <w:r w:rsidRPr="000D35F0">
        <w:rPr>
          <w:rFonts w:ascii="Verdana" w:hAnsi="Verdana" w:cs="Times-Roman"/>
          <w:sz w:val="20"/>
          <w:szCs w:val="20"/>
        </w:rPr>
        <w:t>El contrato por la prórroga o suspensión, según fuere el caso, habría de extenderse hasta el 30 de marzo, razón por la cual</w:t>
      </w:r>
    </w:p>
    <w:p w14:paraId="0EBD8535" w14:textId="04BCDCAC" w:rsidR="000146CB" w:rsidRDefault="000146CB" w:rsidP="000146CB">
      <w:pPr>
        <w:autoSpaceDE w:val="0"/>
        <w:autoSpaceDN w:val="0"/>
        <w:adjustRightInd w:val="0"/>
        <w:spacing w:after="0" w:line="240" w:lineRule="auto"/>
        <w:ind w:left="709" w:right="709"/>
        <w:jc w:val="both"/>
        <w:rPr>
          <w:rFonts w:ascii="Verdana" w:hAnsi="Verdana" w:cs="Times-Roman"/>
          <w:sz w:val="20"/>
          <w:szCs w:val="20"/>
        </w:rPr>
      </w:pPr>
      <w:r w:rsidRPr="000D35F0">
        <w:rPr>
          <w:rFonts w:ascii="Verdana" w:hAnsi="Verdana" w:cs="Times-Roman"/>
          <w:sz w:val="20"/>
          <w:szCs w:val="20"/>
        </w:rPr>
        <w:lastRenderedPageBreak/>
        <w:t>no podrá la administración cancelar la obligación correspondiente en la vigencia presupuestal originaria sino en la que se entregó la obra completamente ejecutada.</w:t>
      </w:r>
    </w:p>
    <w:p w14:paraId="0BF5B864" w14:textId="77777777" w:rsidR="009231D4" w:rsidRPr="000D35F0" w:rsidRDefault="009231D4" w:rsidP="000146CB">
      <w:pPr>
        <w:autoSpaceDE w:val="0"/>
        <w:autoSpaceDN w:val="0"/>
        <w:adjustRightInd w:val="0"/>
        <w:spacing w:after="0" w:line="240" w:lineRule="auto"/>
        <w:ind w:left="709" w:right="709"/>
        <w:jc w:val="both"/>
        <w:rPr>
          <w:rFonts w:ascii="Verdana" w:hAnsi="Verdana" w:cs="Times-Roman"/>
          <w:sz w:val="20"/>
          <w:szCs w:val="20"/>
        </w:rPr>
      </w:pPr>
    </w:p>
    <w:p w14:paraId="17AC0E62" w14:textId="31B079FD" w:rsidR="000146CB" w:rsidRPr="000D35F0" w:rsidRDefault="000146CB" w:rsidP="000146CB">
      <w:pPr>
        <w:autoSpaceDE w:val="0"/>
        <w:autoSpaceDN w:val="0"/>
        <w:adjustRightInd w:val="0"/>
        <w:spacing w:after="0" w:line="240" w:lineRule="auto"/>
        <w:ind w:left="709" w:right="709"/>
        <w:jc w:val="both"/>
        <w:rPr>
          <w:rFonts w:ascii="Verdana" w:hAnsi="Verdana" w:cs="Times-Roman"/>
          <w:sz w:val="20"/>
          <w:szCs w:val="20"/>
        </w:rPr>
      </w:pPr>
      <w:r w:rsidRPr="000D35F0">
        <w:rPr>
          <w:rFonts w:ascii="Verdana" w:hAnsi="Verdana" w:cs="Times-Roman"/>
          <w:sz w:val="20"/>
          <w:szCs w:val="20"/>
        </w:rPr>
        <w:t>Por este tipo de circunstancias surgen las excepciones al principio de anualidad, como son: las reservas de apropiación (ra), las reservas de trámite negocial (rtn), los pasivos exigibles por vigencias expiradas (peve) y las vigencias futuras (vf), esta última figura puede presentarse tanto de forma ordinaria como excepcionales. Es de resaltar que aun cuando las vigencias futuras son una excepción al principio de anualidad, esta no aparece en el proceso de cierre presupuestal, sino que tiene su origen en el proceso de aprobación del presupuesto y tiene implicaciones para el debido perfeccionamiento o ejecución del contrato</w:t>
      </w:r>
      <w:r w:rsidR="00225E89">
        <w:rPr>
          <w:rStyle w:val="Refdenotaalpie"/>
          <w:rFonts w:ascii="Verdana" w:hAnsi="Verdana" w:cs="Times-Roman"/>
          <w:sz w:val="20"/>
          <w:szCs w:val="20"/>
        </w:rPr>
        <w:footnoteReference w:id="5"/>
      </w:r>
      <w:r w:rsidRPr="000D35F0">
        <w:rPr>
          <w:rFonts w:ascii="Verdana" w:hAnsi="Verdana" w:cs="Times-Roman"/>
          <w:sz w:val="20"/>
          <w:szCs w:val="20"/>
        </w:rPr>
        <w:t>.</w:t>
      </w:r>
    </w:p>
    <w:p w14:paraId="3EB08E0F" w14:textId="77777777" w:rsidR="000146CB" w:rsidRPr="000D35F0" w:rsidRDefault="000146CB" w:rsidP="00022FC1">
      <w:pPr>
        <w:autoSpaceDE w:val="0"/>
        <w:autoSpaceDN w:val="0"/>
        <w:adjustRightInd w:val="0"/>
        <w:spacing w:after="0" w:line="276" w:lineRule="auto"/>
        <w:jc w:val="both"/>
        <w:rPr>
          <w:rFonts w:ascii="Verdana" w:hAnsi="Verdana" w:cs="Times-Roman"/>
          <w:sz w:val="20"/>
          <w:szCs w:val="20"/>
        </w:rPr>
      </w:pPr>
    </w:p>
    <w:p w14:paraId="282A16C8" w14:textId="77777777" w:rsidR="009231D4" w:rsidRDefault="000146CB" w:rsidP="409D7308">
      <w:pPr>
        <w:shd w:val="clear" w:color="auto" w:fill="FFFFFF" w:themeFill="background1"/>
        <w:spacing w:after="120" w:line="276" w:lineRule="auto"/>
        <w:ind w:right="51" w:firstLine="709"/>
        <w:jc w:val="both"/>
        <w:rPr>
          <w:rFonts w:ascii="Verdana" w:eastAsia="Calibri" w:hAnsi="Verdana" w:cs="Arial"/>
          <w:color w:val="000000" w:themeColor="text1"/>
          <w:lang w:val="es-ES"/>
        </w:rPr>
      </w:pPr>
      <w:r w:rsidRPr="409D7308">
        <w:rPr>
          <w:rFonts w:ascii="Verdana" w:eastAsia="Calibri" w:hAnsi="Verdana" w:cs="Arial"/>
          <w:color w:val="000000" w:themeColor="text1"/>
          <w:lang w:val="es-ES"/>
        </w:rPr>
        <w:t xml:space="preserve">Dentro de los mecanismos presupuestales que constituyen excepciones al principio de anualidad se identifican: i) las vigencias futuras, ii) las cuentas por pagar y iii) las reservas presupuestales. Las </w:t>
      </w:r>
      <w:r w:rsidRPr="409D7308">
        <w:rPr>
          <w:rFonts w:ascii="Verdana" w:eastAsia="Calibri" w:hAnsi="Verdana" w:cs="Arial"/>
          <w:i/>
          <w:iCs/>
          <w:color w:val="000000" w:themeColor="text1"/>
          <w:lang w:val="es-ES"/>
        </w:rPr>
        <w:t>primeras</w:t>
      </w:r>
      <w:r w:rsidRPr="409D7308">
        <w:rPr>
          <w:rFonts w:ascii="Verdana" w:eastAsia="Calibri" w:hAnsi="Verdana" w:cs="Arial"/>
          <w:color w:val="000000" w:themeColor="text1"/>
          <w:lang w:val="es-ES"/>
        </w:rPr>
        <w:t>, de conformidad con el artículo 23 del Estatuto Orgánico del Presupuesto</w:t>
      </w:r>
      <w:r w:rsidRPr="409D7308">
        <w:rPr>
          <w:rFonts w:ascii="Verdana" w:eastAsia="Calibri" w:hAnsi="Verdana" w:cs="Arial"/>
          <w:color w:val="000000" w:themeColor="text1"/>
          <w:vertAlign w:val="superscript"/>
          <w:lang w:val="es-ES"/>
        </w:rPr>
        <w:footnoteReference w:id="6"/>
      </w:r>
      <w:r w:rsidRPr="409D7308">
        <w:rPr>
          <w:rFonts w:ascii="Verdana" w:eastAsia="Calibri" w:hAnsi="Verdana" w:cs="Arial"/>
          <w:i/>
          <w:iCs/>
          <w:color w:val="000000" w:themeColor="text1"/>
          <w:lang w:val="es-ES"/>
        </w:rPr>
        <w:t xml:space="preserve">, </w:t>
      </w:r>
      <w:r w:rsidRPr="409D7308">
        <w:rPr>
          <w:rFonts w:ascii="Verdana" w:eastAsia="Calibri" w:hAnsi="Verdana" w:cs="Arial"/>
          <w:color w:val="000000" w:themeColor="text1"/>
          <w:lang w:val="es-ES"/>
        </w:rPr>
        <w:t>se</w:t>
      </w:r>
      <w:r w:rsidRPr="409D7308">
        <w:rPr>
          <w:rFonts w:ascii="Verdana" w:eastAsia="Calibri" w:hAnsi="Verdana" w:cs="Arial"/>
          <w:i/>
          <w:iCs/>
          <w:color w:val="000000" w:themeColor="text1"/>
          <w:lang w:val="es-ES"/>
        </w:rPr>
        <w:t xml:space="preserve"> </w:t>
      </w:r>
      <w:r w:rsidRPr="409D7308">
        <w:rPr>
          <w:rFonts w:ascii="Verdana" w:eastAsia="Calibri" w:hAnsi="Verdana" w:cs="Arial"/>
          <w:color w:val="000000" w:themeColor="text1"/>
          <w:lang w:val="es-ES"/>
        </w:rPr>
        <w:t xml:space="preserve">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w:t>
      </w:r>
    </w:p>
    <w:p w14:paraId="1646A1BB" w14:textId="6CAF9D15" w:rsidR="000146CB" w:rsidRPr="00D069D8" w:rsidRDefault="000146CB" w:rsidP="000146CB">
      <w:pPr>
        <w:shd w:val="clear" w:color="auto" w:fill="FFFFFF"/>
        <w:spacing w:after="120" w:line="276" w:lineRule="auto"/>
        <w:ind w:right="51" w:firstLine="709"/>
        <w:jc w:val="both"/>
        <w:rPr>
          <w:rFonts w:ascii="Verdana" w:eastAsia="Calibri" w:hAnsi="Verdana" w:cs="Arial"/>
          <w:lang w:val="es-ES_tradnl"/>
        </w:rPr>
      </w:pPr>
      <w:r w:rsidRPr="00D069D8">
        <w:rPr>
          <w:rFonts w:ascii="Verdana" w:eastAsia="Calibri" w:hAnsi="Verdana" w:cs="Arial"/>
          <w:color w:val="000000" w:themeColor="text1"/>
          <w:lang w:val="es-ES_tradnl"/>
        </w:rPr>
        <w:t xml:space="preserve">Sobre esta institución el Consejo de Estado precisó que </w:t>
      </w:r>
      <w:r w:rsidRPr="00D069D8">
        <w:rPr>
          <w:rFonts w:ascii="Verdana" w:eastAsia="Calibri" w:hAnsi="Verdana" w:cs="Arial"/>
          <w:lang w:val="es-ES_tradnl"/>
        </w:rPr>
        <w:t>“</w:t>
      </w:r>
      <w:r w:rsidRPr="00D069D8">
        <w:rPr>
          <w:rFonts w:ascii="Verdana" w:eastAsia="Calibri" w:hAnsi="Verdana" w:cs="Arial"/>
          <w:color w:val="000000" w:themeColor="text1"/>
        </w:rPr>
        <w:t xml:space="preserve">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w:t>
      </w:r>
      <w:r w:rsidRPr="00D069D8">
        <w:rPr>
          <w:rFonts w:ascii="Verdana" w:eastAsia="Calibri" w:hAnsi="Verdana" w:cs="Arial"/>
          <w:color w:val="000000" w:themeColor="text1"/>
        </w:rPr>
        <w:lastRenderedPageBreak/>
        <w:t>como también disponer de los recursos financieros, y de esa manera garantizar el avance y conclusión de proyectos plurianuales</w:t>
      </w:r>
      <w:r w:rsidRPr="00D069D8">
        <w:rPr>
          <w:rFonts w:ascii="Verdana" w:eastAsia="Calibri" w:hAnsi="Verdana" w:cs="Arial"/>
        </w:rPr>
        <w:t>”</w:t>
      </w:r>
      <w:r w:rsidRPr="00D069D8">
        <w:rPr>
          <w:rFonts w:ascii="Verdana" w:eastAsia="Calibri" w:hAnsi="Verdana" w:cs="Arial"/>
          <w:vertAlign w:val="superscript"/>
          <w:lang w:val="es-ES_tradnl"/>
        </w:rPr>
        <w:footnoteReference w:id="7"/>
      </w:r>
      <w:r w:rsidRPr="00D069D8">
        <w:rPr>
          <w:rFonts w:ascii="Verdana" w:eastAsia="Calibri" w:hAnsi="Verdana" w:cs="Arial"/>
          <w:lang w:val="es-ES_tradnl"/>
        </w:rPr>
        <w:t xml:space="preserve">. </w:t>
      </w:r>
    </w:p>
    <w:p w14:paraId="2EB732F7" w14:textId="77777777" w:rsidR="000146CB" w:rsidRPr="00D069D8" w:rsidRDefault="000146CB" w:rsidP="000146CB">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 xml:space="preserve">La Ley 813 de 2003 establece en sus artículos 10° y 11° dos tipos de vigencias futuras: i) las vigencias futuras ordinarias, según la cual el Consejo Superior de Política Fiscal – Confis, podrá autorizar la asunción de obligaciones que afecten presupuestos de vigencias futuras cuando su ejecución se inicie con presupuesto de la vigencia en curso y el objeto del compromiso se lleve a cabo en cada una de ellas siempre y cuando se cumplan los prepuestos señalados en la norma. Y, ii) las vigencias futuras excepcionales, en virtud de la cual el Confis,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452AF1C4" w14:textId="1774CF29" w:rsidR="000146CB" w:rsidRDefault="000146CB" w:rsidP="009231D4">
      <w:pPr>
        <w:shd w:val="clear" w:color="auto" w:fill="FFFFFF"/>
        <w:spacing w:after="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 xml:space="preserve">Por su parte, el artículo 12 </w:t>
      </w:r>
      <w:r w:rsidRPr="00D069D8">
        <w:rPr>
          <w:rFonts w:ascii="Verdana" w:eastAsia="Calibri" w:hAnsi="Verdana" w:cs="Arial"/>
          <w:i/>
          <w:iCs/>
          <w:color w:val="000000" w:themeColor="text1"/>
        </w:rPr>
        <w:t>ibidem</w:t>
      </w:r>
      <w:r w:rsidRPr="00D069D8">
        <w:rPr>
          <w:rFonts w:ascii="Verdana" w:eastAsia="Calibri" w:hAnsi="Verdana" w:cs="Arial"/>
          <w:color w:val="000000" w:themeColor="text1"/>
        </w:rPr>
        <w:t xml:space="preserve"> se refiere a las vigencias futuras ordinarias para entidades territoriales cuya autorización será impartida por la asamblea o concejo respectivo, a iniciativa del gobierno local, previa aprobación por el Confis territorial o el órgano que haga sus veces. Las vigencias futuras excepcionales para entidades territoriales se encuentran establecida en la Ley 1483 de 2011. </w:t>
      </w:r>
      <w:r>
        <w:rPr>
          <w:rFonts w:ascii="Verdana" w:eastAsia="Calibri" w:hAnsi="Verdana" w:cs="Arial"/>
          <w:color w:val="000000" w:themeColor="text1"/>
        </w:rPr>
        <w:t>Dicha ley señala en su artículo primero los casos en los que procede las vigencias futuras excepcionales al indicar que:</w:t>
      </w:r>
    </w:p>
    <w:p w14:paraId="2851071A" w14:textId="77777777" w:rsidR="009231D4" w:rsidRDefault="009231D4" w:rsidP="00022FC1">
      <w:pPr>
        <w:shd w:val="clear" w:color="auto" w:fill="FFFFFF"/>
        <w:spacing w:after="0" w:line="276" w:lineRule="auto"/>
        <w:ind w:right="51" w:firstLine="709"/>
        <w:jc w:val="both"/>
        <w:rPr>
          <w:rFonts w:ascii="Verdana" w:eastAsia="Calibri" w:hAnsi="Verdana" w:cs="Arial"/>
          <w:color w:val="000000" w:themeColor="text1"/>
        </w:rPr>
      </w:pPr>
    </w:p>
    <w:p w14:paraId="1B89C359" w14:textId="607DEBE9" w:rsidR="000146CB" w:rsidRPr="00E87D16" w:rsidRDefault="000146CB" w:rsidP="00E87D16">
      <w:pPr>
        <w:shd w:val="clear" w:color="auto" w:fill="FFFFFF"/>
        <w:spacing w:after="0" w:line="240" w:lineRule="auto"/>
        <w:ind w:left="709" w:right="760"/>
        <w:jc w:val="both"/>
        <w:rPr>
          <w:rFonts w:ascii="Verdana" w:eastAsia="Calibri" w:hAnsi="Verdana" w:cs="Arial"/>
          <w:color w:val="000000" w:themeColor="text1"/>
          <w:sz w:val="20"/>
          <w:szCs w:val="20"/>
        </w:rPr>
      </w:pPr>
      <w:r w:rsidRPr="00E87D16">
        <w:rPr>
          <w:rFonts w:ascii="Verdana" w:eastAsia="Calibri" w:hAnsi="Verdana" w:cs="Arial"/>
          <w:b/>
          <w:bCs/>
          <w:color w:val="000000" w:themeColor="text1"/>
          <w:sz w:val="20"/>
          <w:szCs w:val="20"/>
        </w:rPr>
        <w:t>Artículo 1°. </w:t>
      </w:r>
      <w:r w:rsidRPr="00E87D16">
        <w:rPr>
          <w:rFonts w:ascii="Verdana" w:eastAsia="Calibri" w:hAnsi="Verdana" w:cs="Arial"/>
          <w:i/>
          <w:iCs/>
          <w:color w:val="000000" w:themeColor="text1"/>
          <w:sz w:val="20"/>
          <w:szCs w:val="20"/>
        </w:rPr>
        <w:t>Vigencias futuras excepcionales para entidades territoriales. </w:t>
      </w:r>
      <w:r w:rsidRPr="00E87D16">
        <w:rPr>
          <w:rFonts w:ascii="Verdana" w:eastAsia="Calibri" w:hAnsi="Verdana" w:cs="Arial"/>
          <w:color w:val="000000" w:themeColor="text1"/>
          <w:sz w:val="20"/>
          <w:szCs w:val="20"/>
        </w:rPr>
        <w:t>En las entidades territoriales, las asambleas o concejos respectivos, a iniciativa del gobierno local, podrán autorizar la asunción de obligaciones que afecten presupuestos de vigencias futuras sin apropiación en el presupuesto del año en que se concede la autorización, siempre y cuando se cumplan los siguientes requisitos:</w:t>
      </w:r>
    </w:p>
    <w:p w14:paraId="59D04294" w14:textId="77777777" w:rsidR="009231D4" w:rsidRPr="00E87D16" w:rsidRDefault="009231D4" w:rsidP="00E87D16">
      <w:pPr>
        <w:shd w:val="clear" w:color="auto" w:fill="FFFFFF"/>
        <w:spacing w:after="0" w:line="240" w:lineRule="auto"/>
        <w:ind w:left="709" w:right="760"/>
        <w:jc w:val="both"/>
        <w:rPr>
          <w:rFonts w:ascii="Verdana" w:eastAsia="Calibri" w:hAnsi="Verdana" w:cs="Arial"/>
          <w:color w:val="000000" w:themeColor="text1"/>
          <w:sz w:val="20"/>
          <w:szCs w:val="20"/>
        </w:rPr>
      </w:pPr>
    </w:p>
    <w:p w14:paraId="0F17EA54" w14:textId="77777777" w:rsidR="000146CB" w:rsidRPr="00E87D16" w:rsidRDefault="000146CB" w:rsidP="00E87D16">
      <w:pPr>
        <w:shd w:val="clear" w:color="auto" w:fill="FFFFFF"/>
        <w:spacing w:after="0" w:line="240" w:lineRule="auto"/>
        <w:ind w:left="709" w:right="760"/>
        <w:jc w:val="both"/>
        <w:rPr>
          <w:rFonts w:ascii="Verdana" w:eastAsia="Calibri" w:hAnsi="Verdana" w:cs="Arial"/>
          <w:color w:val="000000" w:themeColor="text1"/>
          <w:sz w:val="20"/>
          <w:szCs w:val="20"/>
        </w:rPr>
      </w:pPr>
      <w:r w:rsidRPr="00E87D16">
        <w:rPr>
          <w:rFonts w:ascii="Verdana" w:eastAsia="Calibri" w:hAnsi="Verdana" w:cs="Arial"/>
          <w:color w:val="000000" w:themeColor="text1"/>
          <w:sz w:val="20"/>
          <w:szCs w:val="20"/>
        </w:rPr>
        <w:t>a). Las vigencias futuras excepcionales solo podrán ser autorizadas para proyectos de infraestructura, energía, comunicaciones, y en gasto público social en los sectores de educación, salud, agua potable y saneamiento básico, que se encuentren debidamente inscritos y viabilizados en los respectivos bancos de proyectos.</w:t>
      </w:r>
    </w:p>
    <w:p w14:paraId="2E1C9DDC" w14:textId="77777777" w:rsidR="009231D4" w:rsidRPr="00E87D16" w:rsidRDefault="009231D4" w:rsidP="00E87D16">
      <w:pPr>
        <w:shd w:val="clear" w:color="auto" w:fill="FFFFFF"/>
        <w:spacing w:after="0" w:line="240" w:lineRule="auto"/>
        <w:ind w:left="709" w:right="760"/>
        <w:jc w:val="both"/>
        <w:rPr>
          <w:rFonts w:ascii="Verdana" w:eastAsia="Calibri" w:hAnsi="Verdana" w:cs="Arial"/>
          <w:color w:val="000000" w:themeColor="text1"/>
          <w:sz w:val="20"/>
          <w:szCs w:val="20"/>
        </w:rPr>
      </w:pPr>
    </w:p>
    <w:p w14:paraId="23854673" w14:textId="2597080D" w:rsidR="000146CB" w:rsidRPr="00E87D16" w:rsidRDefault="000146CB" w:rsidP="00E87D16">
      <w:pPr>
        <w:shd w:val="clear" w:color="auto" w:fill="FFFFFF"/>
        <w:spacing w:after="0" w:line="240" w:lineRule="auto"/>
        <w:ind w:left="709" w:right="760"/>
        <w:jc w:val="both"/>
        <w:rPr>
          <w:rFonts w:ascii="Verdana" w:eastAsia="Calibri" w:hAnsi="Verdana" w:cs="Arial"/>
          <w:color w:val="000000" w:themeColor="text1"/>
          <w:sz w:val="20"/>
          <w:szCs w:val="20"/>
        </w:rPr>
      </w:pPr>
      <w:r w:rsidRPr="00E87D16">
        <w:rPr>
          <w:rFonts w:ascii="Verdana" w:eastAsia="Calibri" w:hAnsi="Verdana" w:cs="Arial"/>
          <w:color w:val="000000" w:themeColor="text1"/>
          <w:sz w:val="20"/>
          <w:szCs w:val="20"/>
        </w:rPr>
        <w:lastRenderedPageBreak/>
        <w:t>b). El monto máximo de vigencias futuras, plazo y las condiciones de las mismas deben consultar las metas plurianuales del Marco Fiscal de Mediano Plazo de que trata el artículo </w:t>
      </w:r>
      <w:hyperlink r:id="rId13" w:anchor="5" w:history="1">
        <w:r w:rsidRPr="00E87D16">
          <w:rPr>
            <w:rFonts w:ascii="Verdana" w:hAnsi="Verdana"/>
            <w:color w:val="000000" w:themeColor="text1"/>
            <w:sz w:val="20"/>
            <w:szCs w:val="20"/>
          </w:rPr>
          <w:t>5°</w:t>
        </w:r>
      </w:hyperlink>
      <w:r w:rsidRPr="00E87D16">
        <w:rPr>
          <w:rFonts w:ascii="Verdana" w:eastAsia="Calibri" w:hAnsi="Verdana" w:cs="Arial"/>
          <w:color w:val="000000" w:themeColor="text1"/>
          <w:sz w:val="20"/>
          <w:szCs w:val="20"/>
        </w:rPr>
        <w:t> de la Ley 819 de 2003.</w:t>
      </w:r>
    </w:p>
    <w:p w14:paraId="3DC54D11" w14:textId="77777777" w:rsidR="009231D4" w:rsidRPr="00E87D16" w:rsidRDefault="009231D4" w:rsidP="00E87D16">
      <w:pPr>
        <w:shd w:val="clear" w:color="auto" w:fill="FFFFFF"/>
        <w:spacing w:after="0" w:line="240" w:lineRule="auto"/>
        <w:ind w:left="709" w:right="760"/>
        <w:jc w:val="both"/>
        <w:rPr>
          <w:rFonts w:ascii="Verdana" w:eastAsia="Calibri" w:hAnsi="Verdana" w:cs="Arial"/>
          <w:color w:val="000000" w:themeColor="text1"/>
          <w:sz w:val="20"/>
          <w:szCs w:val="20"/>
        </w:rPr>
      </w:pPr>
    </w:p>
    <w:p w14:paraId="4AEC6A84" w14:textId="1AE0D12C" w:rsidR="000146CB" w:rsidRPr="00E87D16" w:rsidRDefault="000146CB" w:rsidP="00E87D16">
      <w:pPr>
        <w:shd w:val="clear" w:color="auto" w:fill="FFFFFF"/>
        <w:spacing w:after="0" w:line="240" w:lineRule="auto"/>
        <w:ind w:left="709" w:right="760"/>
        <w:jc w:val="both"/>
        <w:rPr>
          <w:rFonts w:ascii="Verdana" w:eastAsia="Calibri" w:hAnsi="Verdana" w:cs="Arial"/>
          <w:color w:val="000000" w:themeColor="text1"/>
          <w:sz w:val="20"/>
          <w:szCs w:val="20"/>
        </w:rPr>
      </w:pPr>
      <w:r w:rsidRPr="00E87D16">
        <w:rPr>
          <w:rFonts w:ascii="Verdana" w:eastAsia="Calibri" w:hAnsi="Verdana" w:cs="Arial"/>
          <w:color w:val="000000" w:themeColor="text1"/>
          <w:sz w:val="20"/>
          <w:szCs w:val="20"/>
        </w:rPr>
        <w:t>c). Se cuente con aprobación previa del Confis territorial o el órgano que haga sus veces.</w:t>
      </w:r>
    </w:p>
    <w:p w14:paraId="540ABF74" w14:textId="77777777" w:rsidR="009231D4" w:rsidRPr="00E87D16" w:rsidRDefault="009231D4" w:rsidP="00E87D16">
      <w:pPr>
        <w:shd w:val="clear" w:color="auto" w:fill="FFFFFF"/>
        <w:spacing w:after="0" w:line="240" w:lineRule="auto"/>
        <w:ind w:left="709" w:right="760"/>
        <w:jc w:val="both"/>
        <w:rPr>
          <w:rFonts w:ascii="Verdana" w:eastAsia="Calibri" w:hAnsi="Verdana" w:cs="Arial"/>
          <w:color w:val="000000" w:themeColor="text1"/>
          <w:sz w:val="20"/>
          <w:szCs w:val="20"/>
        </w:rPr>
      </w:pPr>
    </w:p>
    <w:p w14:paraId="6ABF2164" w14:textId="552A54F9" w:rsidR="000146CB" w:rsidRPr="00E87D16" w:rsidRDefault="000146CB" w:rsidP="00E87D16">
      <w:pPr>
        <w:shd w:val="clear" w:color="auto" w:fill="FFFFFF"/>
        <w:spacing w:after="0" w:line="240" w:lineRule="auto"/>
        <w:ind w:left="709" w:right="760"/>
        <w:jc w:val="both"/>
        <w:rPr>
          <w:rFonts w:ascii="Verdana" w:eastAsia="Calibri" w:hAnsi="Verdana" w:cs="Arial"/>
          <w:color w:val="000000" w:themeColor="text1"/>
          <w:sz w:val="20"/>
          <w:szCs w:val="20"/>
        </w:rPr>
      </w:pPr>
      <w:r w:rsidRPr="00E87D16">
        <w:rPr>
          <w:rFonts w:ascii="Verdana" w:eastAsia="Calibri" w:hAnsi="Verdana" w:cs="Arial"/>
          <w:color w:val="000000" w:themeColor="text1"/>
          <w:sz w:val="20"/>
          <w:szCs w:val="20"/>
        </w:rPr>
        <w:t>d). Cuando se trate de proyectos que conlleven inversión nacional deberá obtenerse el concepto previo y favorable del Departamento Nacional de Planeación.</w:t>
      </w:r>
    </w:p>
    <w:p w14:paraId="60963B82" w14:textId="77777777" w:rsidR="009231D4" w:rsidRPr="00E87D16" w:rsidRDefault="009231D4" w:rsidP="00E87D16">
      <w:pPr>
        <w:shd w:val="clear" w:color="auto" w:fill="FFFFFF"/>
        <w:spacing w:after="0" w:line="240" w:lineRule="auto"/>
        <w:ind w:left="709" w:right="760"/>
        <w:jc w:val="both"/>
        <w:rPr>
          <w:rFonts w:ascii="Verdana" w:eastAsia="Calibri" w:hAnsi="Verdana" w:cs="Arial"/>
          <w:color w:val="000000" w:themeColor="text1"/>
          <w:sz w:val="20"/>
          <w:szCs w:val="20"/>
        </w:rPr>
      </w:pPr>
    </w:p>
    <w:p w14:paraId="4170F88E" w14:textId="3B5FADAB" w:rsidR="000146CB" w:rsidRPr="00E87D16" w:rsidRDefault="000146CB" w:rsidP="00E87D16">
      <w:pPr>
        <w:shd w:val="clear" w:color="auto" w:fill="FFFFFF"/>
        <w:spacing w:after="0" w:line="240" w:lineRule="auto"/>
        <w:ind w:left="709" w:right="760"/>
        <w:jc w:val="both"/>
        <w:rPr>
          <w:rFonts w:ascii="Verdana" w:eastAsia="Calibri" w:hAnsi="Verdana" w:cs="Arial"/>
          <w:color w:val="000000" w:themeColor="text1"/>
          <w:sz w:val="20"/>
          <w:szCs w:val="20"/>
        </w:rPr>
      </w:pPr>
      <w:r w:rsidRPr="00E87D16">
        <w:rPr>
          <w:rFonts w:ascii="Verdana" w:eastAsia="Calibri" w:hAnsi="Verdana" w:cs="Arial"/>
          <w:color w:val="000000" w:themeColor="text1"/>
          <w:sz w:val="20"/>
          <w:szCs w:val="20"/>
        </w:rPr>
        <w:t>La corporación de elección popular se abstendrá de otorgar la autorización, si los proyectos objeto de la vigencia futura no están consignados en el Plan de Inversiones del Plan de Desarrollo respectivo y si sumados todos los compromisos que se pretendan adquirir por esta modalidad y sus costos futuros de mantenimiento y/o administración, excede la capacidad de endeudamiento de la entidad territorial, de forma que se garantice la sujeción territorial a la disciplina fiscal, en los términos del Capítulo II de la Ley 819 de 2003.</w:t>
      </w:r>
    </w:p>
    <w:p w14:paraId="068DD640" w14:textId="77777777" w:rsidR="009231D4" w:rsidRPr="00E87D16" w:rsidRDefault="009231D4" w:rsidP="00E87D16">
      <w:pPr>
        <w:shd w:val="clear" w:color="auto" w:fill="FFFFFF"/>
        <w:spacing w:after="0" w:line="240" w:lineRule="auto"/>
        <w:ind w:left="709" w:right="760"/>
        <w:jc w:val="both"/>
        <w:rPr>
          <w:rFonts w:ascii="Verdana" w:eastAsia="Calibri" w:hAnsi="Verdana" w:cs="Arial"/>
          <w:color w:val="000000" w:themeColor="text1"/>
          <w:sz w:val="20"/>
          <w:szCs w:val="20"/>
        </w:rPr>
      </w:pPr>
    </w:p>
    <w:p w14:paraId="25FC49C3" w14:textId="0A60FAF1" w:rsidR="000146CB" w:rsidRPr="00E87D16" w:rsidRDefault="000146CB" w:rsidP="00E87D16">
      <w:pPr>
        <w:shd w:val="clear" w:color="auto" w:fill="FFFFFF"/>
        <w:spacing w:after="0" w:line="240" w:lineRule="auto"/>
        <w:ind w:left="709" w:right="760"/>
        <w:jc w:val="both"/>
        <w:rPr>
          <w:rFonts w:ascii="Verdana" w:eastAsia="Calibri" w:hAnsi="Verdana" w:cs="Arial"/>
          <w:color w:val="000000" w:themeColor="text1"/>
          <w:sz w:val="20"/>
          <w:szCs w:val="20"/>
        </w:rPr>
      </w:pPr>
      <w:r w:rsidRPr="00E87D16">
        <w:rPr>
          <w:rFonts w:ascii="Verdana" w:eastAsia="Calibri" w:hAnsi="Verdana" w:cs="Arial"/>
          <w:color w:val="000000" w:themeColor="text1"/>
          <w:sz w:val="20"/>
          <w:szCs w:val="20"/>
        </w:rPr>
        <w:t>Los montos por vigencia que se comprometan por parte de las entidades territoriales como vigencias futuras ordinarias y excepcionales, se descontarán de los ingresos que sirven de base para el cálculo de la capacidad de endeudamiento, teniendo en cuenta la inflexibilidad que se genera en la aprobación de los presupuestos de las vigencias afectadas con los gastos aprobados de manera anticipada.</w:t>
      </w:r>
    </w:p>
    <w:p w14:paraId="4587B10A" w14:textId="77777777" w:rsidR="009231D4" w:rsidRPr="00E87D16" w:rsidRDefault="009231D4" w:rsidP="00E87D16">
      <w:pPr>
        <w:shd w:val="clear" w:color="auto" w:fill="FFFFFF"/>
        <w:spacing w:after="0" w:line="240" w:lineRule="auto"/>
        <w:ind w:left="709" w:right="760"/>
        <w:jc w:val="both"/>
        <w:rPr>
          <w:rFonts w:ascii="Verdana" w:eastAsia="Calibri" w:hAnsi="Verdana" w:cs="Arial"/>
          <w:color w:val="000000" w:themeColor="text1"/>
          <w:sz w:val="20"/>
          <w:szCs w:val="20"/>
        </w:rPr>
      </w:pPr>
    </w:p>
    <w:p w14:paraId="5AA68013" w14:textId="019F9D09" w:rsidR="000146CB" w:rsidRPr="00E87D16" w:rsidRDefault="000146CB" w:rsidP="00E87D16">
      <w:pPr>
        <w:shd w:val="clear" w:color="auto" w:fill="FFFFFF"/>
        <w:spacing w:after="0" w:line="240" w:lineRule="auto"/>
        <w:ind w:left="709" w:right="760"/>
        <w:jc w:val="both"/>
        <w:rPr>
          <w:rFonts w:ascii="Verdana" w:eastAsia="Calibri" w:hAnsi="Verdana" w:cs="Arial"/>
          <w:color w:val="000000" w:themeColor="text1"/>
          <w:sz w:val="20"/>
          <w:szCs w:val="20"/>
        </w:rPr>
      </w:pPr>
      <w:r w:rsidRPr="00E87D16">
        <w:rPr>
          <w:rFonts w:ascii="Verdana" w:eastAsia="Calibri" w:hAnsi="Verdana" w:cs="Arial"/>
          <w:color w:val="000000" w:themeColor="text1"/>
          <w:sz w:val="20"/>
          <w:szCs w:val="20"/>
        </w:rPr>
        <w:t>La autorización por parte de la asamblea o concejo respectivo, para comprometer presupuesto con cargo a vigencias futuras no podrá superar el respectivo período de gobierno. Se exceptúan los proyectos de gastos de inversión en aquellos casos en que el Consejo de Gobierno, con fundamento en estudios de reconocido valor técnico que contemplen la definición de obras prioritarias e ingeniería de detalle, de acuerdo a la reglamentación del Gobierno Nacional, previamente los declare de importancia estratégica.</w:t>
      </w:r>
    </w:p>
    <w:p w14:paraId="635811EC" w14:textId="77777777" w:rsidR="009231D4" w:rsidRPr="00E87D16" w:rsidRDefault="009231D4" w:rsidP="00E87D16">
      <w:pPr>
        <w:shd w:val="clear" w:color="auto" w:fill="FFFFFF"/>
        <w:spacing w:after="0" w:line="240" w:lineRule="auto"/>
        <w:ind w:left="709" w:right="760"/>
        <w:jc w:val="both"/>
        <w:rPr>
          <w:rFonts w:ascii="Verdana" w:eastAsia="Calibri" w:hAnsi="Verdana" w:cs="Arial"/>
          <w:color w:val="000000" w:themeColor="text1"/>
          <w:sz w:val="20"/>
          <w:szCs w:val="20"/>
        </w:rPr>
      </w:pPr>
    </w:p>
    <w:p w14:paraId="60CACEEE" w14:textId="44B478A8" w:rsidR="000146CB" w:rsidRPr="00E87D16" w:rsidRDefault="000146CB" w:rsidP="00E87D16">
      <w:pPr>
        <w:shd w:val="clear" w:color="auto" w:fill="FFFFFF"/>
        <w:spacing w:after="0" w:line="240" w:lineRule="auto"/>
        <w:ind w:left="709" w:right="760"/>
        <w:jc w:val="both"/>
        <w:rPr>
          <w:rFonts w:ascii="Verdana" w:eastAsia="Calibri" w:hAnsi="Verdana" w:cs="Arial"/>
          <w:color w:val="000000" w:themeColor="text1"/>
          <w:sz w:val="20"/>
          <w:szCs w:val="20"/>
        </w:rPr>
      </w:pPr>
      <w:r w:rsidRPr="00E87D16">
        <w:rPr>
          <w:rFonts w:ascii="Verdana" w:eastAsia="Calibri" w:hAnsi="Verdana" w:cs="Arial"/>
          <w:color w:val="000000" w:themeColor="text1"/>
          <w:sz w:val="20"/>
          <w:szCs w:val="20"/>
        </w:rPr>
        <w:t>PARÁGRAFO 1o. En las entidades territoriales, queda prohibida la aprobación de cualquier vigencia futura, en el último año de gobierno del respectivo gobernador o alcalde; excepto para aquellos proyectos de cofinanciación con participación total o mayoritaria de la Nación y la última doceava del Sistema General de Participaciones.</w:t>
      </w:r>
    </w:p>
    <w:p w14:paraId="5A8595E1" w14:textId="17FEA66A" w:rsidR="009231D4" w:rsidRPr="00E87D16" w:rsidRDefault="009231D4" w:rsidP="00E87D16">
      <w:pPr>
        <w:shd w:val="clear" w:color="auto" w:fill="FFFFFF"/>
        <w:spacing w:after="0" w:line="240" w:lineRule="auto"/>
        <w:ind w:left="709" w:right="760"/>
        <w:jc w:val="both"/>
        <w:rPr>
          <w:rFonts w:ascii="Verdana" w:eastAsia="Calibri" w:hAnsi="Verdana" w:cs="Arial"/>
          <w:color w:val="000000" w:themeColor="text1"/>
          <w:sz w:val="20"/>
          <w:szCs w:val="20"/>
        </w:rPr>
      </w:pPr>
    </w:p>
    <w:p w14:paraId="6ADC7AA5" w14:textId="7214AC5B" w:rsidR="0002378F" w:rsidRDefault="000146CB" w:rsidP="00E87D16">
      <w:pPr>
        <w:shd w:val="clear" w:color="auto" w:fill="FFFFFF"/>
        <w:spacing w:after="0" w:line="240" w:lineRule="auto"/>
        <w:ind w:left="709" w:right="760"/>
        <w:jc w:val="both"/>
        <w:rPr>
          <w:rFonts w:ascii="Verdana" w:eastAsia="Calibri" w:hAnsi="Verdana" w:cs="Arial"/>
          <w:color w:val="000000" w:themeColor="text1"/>
          <w:sz w:val="20"/>
          <w:szCs w:val="20"/>
        </w:rPr>
      </w:pPr>
      <w:r w:rsidRPr="00E87D16">
        <w:rPr>
          <w:rFonts w:ascii="Verdana" w:eastAsia="Calibri" w:hAnsi="Verdana" w:cs="Arial"/>
          <w:color w:val="000000" w:themeColor="text1"/>
          <w:sz w:val="20"/>
          <w:szCs w:val="20"/>
        </w:rPr>
        <w:t>PARÁGRAFO 2o. El plazo de ejecución de cualquier vigencia futura aprobada debe ser igual al plazo de ejecución del proyecto o gasto objeto de la misma.</w:t>
      </w:r>
    </w:p>
    <w:p w14:paraId="176345D7" w14:textId="77777777" w:rsidR="000B429D" w:rsidRDefault="000B429D" w:rsidP="00E87D16">
      <w:pPr>
        <w:shd w:val="clear" w:color="auto" w:fill="FFFFFF"/>
        <w:spacing w:after="0" w:line="240" w:lineRule="auto"/>
        <w:ind w:left="709" w:right="760"/>
        <w:jc w:val="both"/>
        <w:rPr>
          <w:rFonts w:ascii="Verdana" w:eastAsia="Calibri" w:hAnsi="Verdana" w:cs="Arial"/>
          <w:color w:val="000000" w:themeColor="text1"/>
        </w:rPr>
      </w:pPr>
    </w:p>
    <w:p w14:paraId="5169D590" w14:textId="46B6B8CD" w:rsidR="000146CB" w:rsidRDefault="000146CB" w:rsidP="000146CB">
      <w:pPr>
        <w:shd w:val="clear" w:color="auto" w:fill="FFFFFF"/>
        <w:spacing w:after="120" w:line="276" w:lineRule="auto"/>
        <w:ind w:right="51" w:firstLine="709"/>
        <w:jc w:val="both"/>
        <w:rPr>
          <w:rFonts w:ascii="Verdana" w:eastAsia="Calibri" w:hAnsi="Verdana" w:cs="Arial"/>
          <w:color w:val="000000" w:themeColor="text1"/>
        </w:rPr>
      </w:pPr>
      <w:r w:rsidRPr="004E09A5">
        <w:rPr>
          <w:rFonts w:ascii="Verdana" w:eastAsia="Calibri" w:hAnsi="Verdana" w:cs="Arial"/>
          <w:color w:val="000000" w:themeColor="text1"/>
        </w:rPr>
        <w:t xml:space="preserve">De esta manera, la Ley 1483 de 2011 dispone que, en las vigencias futuras excepcionales, por la envergadura de los proyectos que se pretenden financiar, </w:t>
      </w:r>
      <w:r>
        <w:rPr>
          <w:rFonts w:ascii="Verdana" w:eastAsia="Calibri" w:hAnsi="Verdana" w:cs="Arial"/>
          <w:color w:val="000000" w:themeColor="text1"/>
        </w:rPr>
        <w:t xml:space="preserve">serán </w:t>
      </w:r>
      <w:r w:rsidRPr="004E09A5">
        <w:rPr>
          <w:rFonts w:ascii="Verdana" w:eastAsia="Calibri" w:hAnsi="Verdana" w:cs="Arial"/>
          <w:color w:val="000000" w:themeColor="text1"/>
        </w:rPr>
        <w:t>las asambleas</w:t>
      </w:r>
      <w:r>
        <w:rPr>
          <w:rFonts w:ascii="Verdana" w:eastAsia="Calibri" w:hAnsi="Verdana" w:cs="Arial"/>
          <w:color w:val="000000" w:themeColor="text1"/>
        </w:rPr>
        <w:t xml:space="preserve"> departamentales</w:t>
      </w:r>
      <w:r w:rsidRPr="004E09A5">
        <w:rPr>
          <w:rFonts w:ascii="Verdana" w:eastAsia="Calibri" w:hAnsi="Verdana" w:cs="Arial"/>
          <w:color w:val="000000" w:themeColor="text1"/>
        </w:rPr>
        <w:t xml:space="preserve"> o concejos</w:t>
      </w:r>
      <w:r>
        <w:rPr>
          <w:rFonts w:ascii="Verdana" w:eastAsia="Calibri" w:hAnsi="Verdana" w:cs="Arial"/>
          <w:color w:val="000000" w:themeColor="text1"/>
        </w:rPr>
        <w:t xml:space="preserve"> municipales quienes</w:t>
      </w:r>
      <w:r w:rsidRPr="004E09A5">
        <w:rPr>
          <w:rFonts w:ascii="Verdana" w:eastAsia="Calibri" w:hAnsi="Verdana" w:cs="Arial"/>
          <w:color w:val="000000" w:themeColor="text1"/>
        </w:rPr>
        <w:t xml:space="preserve"> podrán autorizar la asunción de obligaciones que afecten presupuestos de vigencias futuras sin apropiación en el presupuesto del año en que se concede la autorización, a diferencia de lo que </w:t>
      </w:r>
      <w:r>
        <w:rPr>
          <w:rFonts w:ascii="Verdana" w:eastAsia="Calibri" w:hAnsi="Verdana" w:cs="Arial"/>
          <w:color w:val="000000" w:themeColor="text1"/>
        </w:rPr>
        <w:t>sucede</w:t>
      </w:r>
      <w:r w:rsidRPr="004E09A5">
        <w:rPr>
          <w:rFonts w:ascii="Verdana" w:eastAsia="Calibri" w:hAnsi="Verdana" w:cs="Arial"/>
          <w:color w:val="000000" w:themeColor="text1"/>
        </w:rPr>
        <w:t xml:space="preserve"> con las vigencias futuras ordinarias previstas en el artículo 12 de la Ley 819 de 2003.</w:t>
      </w:r>
    </w:p>
    <w:p w14:paraId="6432C795" w14:textId="77777777" w:rsidR="000146CB" w:rsidRPr="00D069D8" w:rsidRDefault="000146CB" w:rsidP="000146CB">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Sobre la distinción entre las vigencias futuras ordinarias y las excepcionales el Consejo de Estado señaló que “</w:t>
      </w:r>
      <w:r w:rsidRPr="00D069D8">
        <w:rPr>
          <w:rFonts w:ascii="Verdana" w:hAnsi="Verdana" w:cs="Symbol"/>
        </w:rPr>
        <w:t>la diferencia fundamental entre las vigencias futuras ordinarias y las vigencias futuras excepcionales, radica, esencialmente, en que en las primeras la ejecución se inicia con el presupuesto de la vigencia en curso, mientras que en las excepcionales, se afecta el presupuesto de vigencias futuras, sin apropiación en el presupuesto del año en que se concede la autorización</w:t>
      </w:r>
      <w:r w:rsidRPr="00D069D8">
        <w:rPr>
          <w:rFonts w:ascii="Verdana" w:eastAsia="Calibri" w:hAnsi="Verdana" w:cs="Arial"/>
        </w:rPr>
        <w:t>”</w:t>
      </w:r>
      <w:r w:rsidRPr="00D069D8">
        <w:rPr>
          <w:rFonts w:ascii="Verdana" w:eastAsia="Calibri" w:hAnsi="Verdana" w:cs="Arial"/>
          <w:vertAlign w:val="superscript"/>
          <w:lang w:val="es-ES_tradnl"/>
        </w:rPr>
        <w:footnoteReference w:id="8"/>
      </w:r>
      <w:r w:rsidRPr="00D069D8">
        <w:rPr>
          <w:rFonts w:ascii="Verdana" w:hAnsi="Verdana" w:cs="Symbol"/>
        </w:rPr>
        <w:t>.</w:t>
      </w:r>
    </w:p>
    <w:p w14:paraId="11F0DD8F" w14:textId="77777777" w:rsidR="00C0730D" w:rsidRDefault="000146CB" w:rsidP="000146CB">
      <w:pPr>
        <w:shd w:val="clear" w:color="auto" w:fill="FFFFFF"/>
        <w:spacing w:after="120" w:line="276" w:lineRule="auto"/>
        <w:ind w:right="51" w:firstLine="709"/>
        <w:jc w:val="both"/>
        <w:rPr>
          <w:rFonts w:ascii="Verdana" w:eastAsia="Calibri" w:hAnsi="Verdana" w:cs="Arial"/>
          <w:color w:val="000000" w:themeColor="text1"/>
          <w:lang w:val="es-ES_tradnl"/>
        </w:rPr>
      </w:pPr>
      <w:r w:rsidRPr="00D069D8">
        <w:rPr>
          <w:rFonts w:ascii="Verdana" w:eastAsia="Calibri" w:hAnsi="Verdana" w:cs="Arial"/>
          <w:color w:val="000000" w:themeColor="text1"/>
          <w:lang w:val="es-ES_tradnl"/>
        </w:rPr>
        <w:t xml:space="preserve">Las </w:t>
      </w:r>
      <w:r w:rsidRPr="00D069D8">
        <w:rPr>
          <w:rFonts w:ascii="Verdana" w:eastAsia="Calibri" w:hAnsi="Verdana" w:cs="Arial"/>
          <w:i/>
          <w:iCs/>
          <w:color w:val="000000" w:themeColor="text1"/>
          <w:lang w:val="es-ES_tradnl"/>
        </w:rPr>
        <w:t xml:space="preserve">cuentas por pagar </w:t>
      </w:r>
      <w:r w:rsidRPr="00D069D8">
        <w:rPr>
          <w:rFonts w:ascii="Verdana" w:eastAsia="Calibri" w:hAnsi="Verdana" w:cs="Arial"/>
          <w:color w:val="000000" w:themeColor="text1"/>
          <w:lang w:val="es-ES_tradnl"/>
        </w:rPr>
        <w:t>consisten en obligaciones cumplidas en la vigencia actual,</w:t>
      </w:r>
      <w:r w:rsidRPr="00D069D8">
        <w:rPr>
          <w:rFonts w:ascii="Verdana" w:eastAsia="Calibri" w:hAnsi="Verdana" w:cs="Arial"/>
          <w:color w:val="000000" w:themeColor="text1"/>
          <w:sz w:val="19"/>
          <w:szCs w:val="19"/>
        </w:rPr>
        <w:t xml:space="preserve"> </w:t>
      </w:r>
      <w:r w:rsidRPr="00D069D8">
        <w:rPr>
          <w:rFonts w:ascii="Verdana" w:eastAsia="Calibri" w:hAnsi="Verdana" w:cs="Arial"/>
          <w:color w:val="000000" w:themeColor="text1"/>
        </w:rPr>
        <w:t>correspondientes a los anticipos pactados en los contratos y a la entrega de bienes y servicios,</w:t>
      </w:r>
      <w:r w:rsidRPr="00D069D8">
        <w:rPr>
          <w:rFonts w:ascii="Verdana" w:eastAsia="Calibri" w:hAnsi="Verdana" w:cs="Arial"/>
          <w:color w:val="000000" w:themeColor="text1"/>
          <w:lang w:val="es-ES_tradnl"/>
        </w:rPr>
        <w:t xml:space="preserve"> de las cuales solo se encuentra pendiente el pago de acuerdo con los compromisos presupuestales adquiridos por la entidad</w:t>
      </w:r>
      <w:r w:rsidRPr="00D069D8">
        <w:rPr>
          <w:rFonts w:ascii="Verdana" w:eastAsia="Calibri" w:hAnsi="Verdana" w:cs="Arial"/>
          <w:color w:val="000000" w:themeColor="text1"/>
          <w:vertAlign w:val="superscript"/>
          <w:lang w:val="es-ES_tradnl"/>
        </w:rPr>
        <w:footnoteReference w:id="9"/>
      </w:r>
      <w:r w:rsidRPr="00D069D8">
        <w:rPr>
          <w:rFonts w:ascii="Verdana" w:eastAsia="Calibri" w:hAnsi="Verdana" w:cs="Arial"/>
          <w:color w:val="000000" w:themeColor="text1"/>
          <w:lang w:val="es-ES_tradnl"/>
        </w:rPr>
        <w:t xml:space="preserve">. </w:t>
      </w:r>
    </w:p>
    <w:p w14:paraId="21CA3107" w14:textId="77777777" w:rsidR="00A76101" w:rsidRDefault="000146CB" w:rsidP="00935522">
      <w:pPr>
        <w:shd w:val="clear" w:color="auto" w:fill="FFFFFF"/>
        <w:spacing w:after="120" w:line="276" w:lineRule="auto"/>
        <w:ind w:right="51" w:firstLine="709"/>
        <w:jc w:val="both"/>
        <w:rPr>
          <w:rFonts w:ascii="Verdana" w:eastAsia="Calibri" w:hAnsi="Verdana" w:cs="Arial"/>
          <w:color w:val="000000" w:themeColor="text1"/>
          <w:lang w:val="es-ES_tradnl"/>
        </w:rPr>
      </w:pPr>
      <w:r w:rsidRPr="00D069D8">
        <w:rPr>
          <w:rFonts w:ascii="Verdana" w:eastAsia="Calibri" w:hAnsi="Verdana" w:cs="Arial"/>
          <w:color w:val="000000" w:themeColor="text1"/>
          <w:lang w:val="es-ES_tradnl"/>
        </w:rPr>
        <w:t xml:space="preserve">Y las </w:t>
      </w:r>
      <w:r w:rsidRPr="00D069D8">
        <w:rPr>
          <w:rFonts w:ascii="Verdana" w:eastAsia="Calibri" w:hAnsi="Verdana" w:cs="Arial"/>
          <w:i/>
          <w:iCs/>
          <w:color w:val="000000" w:themeColor="text1"/>
          <w:lang w:val="es-ES_tradnl"/>
        </w:rPr>
        <w:t xml:space="preserve">terceras, </w:t>
      </w:r>
      <w:r w:rsidRPr="00D069D8">
        <w:rPr>
          <w:rFonts w:ascii="Verdana" w:eastAsia="Calibri" w:hAnsi="Verdana" w:cs="Arial"/>
          <w:color w:val="000000" w:themeColor="text1"/>
          <w:lang w:val="es-ES_tradnl"/>
        </w:rPr>
        <w:t xml:space="preserve">las </w:t>
      </w:r>
      <w:r w:rsidRPr="00D069D8">
        <w:rPr>
          <w:rFonts w:ascii="Verdana" w:eastAsia="Calibri" w:hAnsi="Verdana" w:cs="Arial"/>
          <w:i/>
          <w:iCs/>
          <w:color w:val="000000" w:themeColor="text1"/>
          <w:lang w:val="es-ES_tradnl"/>
        </w:rPr>
        <w:t>reservas presupuestales</w:t>
      </w:r>
      <w:bookmarkStart w:id="4" w:name="_Hlk93517351"/>
      <w:r w:rsidRPr="00D069D8">
        <w:rPr>
          <w:rFonts w:ascii="Verdana" w:eastAsia="Calibri" w:hAnsi="Verdana" w:cs="Arial"/>
          <w:color w:val="000000" w:themeColor="text1"/>
          <w:lang w:val="es-ES_tradnl"/>
        </w:rPr>
        <w:t xml:space="preserve"> </w:t>
      </w:r>
      <w:r w:rsidRPr="00D069D8">
        <w:rPr>
          <w:rFonts w:ascii="Verdana" w:eastAsia="Calibri" w:hAnsi="Verdana" w:cs="Arial"/>
          <w:color w:val="000000" w:themeColor="text1"/>
          <w:lang w:val="es-ES"/>
        </w:rPr>
        <w:t xml:space="preserve">suponen que </w:t>
      </w:r>
      <w:r w:rsidR="00C0730D">
        <w:rPr>
          <w:rFonts w:ascii="Verdana" w:eastAsia="Calibri" w:hAnsi="Verdana" w:cs="Arial"/>
          <w:color w:val="000000" w:themeColor="text1"/>
          <w:lang w:val="es-ES"/>
        </w:rPr>
        <w:t>“</w:t>
      </w:r>
      <w:r w:rsidRPr="00D069D8">
        <w:rPr>
          <w:rFonts w:ascii="Verdana" w:eastAsia="Calibri" w:hAnsi="Verdana" w:cs="Arial"/>
          <w:color w:val="000000" w:themeColor="text1"/>
          <w:lang w:val="es-ES"/>
        </w:rPr>
        <w:t>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w:t>
      </w:r>
      <w:r w:rsidR="00C0730D">
        <w:rPr>
          <w:rFonts w:ascii="Verdana" w:eastAsia="Calibri" w:hAnsi="Verdana" w:cs="Arial"/>
          <w:color w:val="000000" w:themeColor="text1"/>
          <w:lang w:val="es-ES"/>
        </w:rPr>
        <w:t>”</w:t>
      </w:r>
      <w:r w:rsidRPr="00D069D8">
        <w:rPr>
          <w:rFonts w:ascii="Verdana" w:eastAsia="Calibri" w:hAnsi="Verdana" w:cs="Arial"/>
          <w:color w:val="000000" w:themeColor="text1"/>
          <w:vertAlign w:val="superscript"/>
          <w:lang w:val="es-ES"/>
        </w:rPr>
        <w:footnoteReference w:id="10"/>
      </w:r>
      <w:r w:rsidRPr="00D069D8">
        <w:rPr>
          <w:rFonts w:ascii="Verdana" w:eastAsia="Calibri" w:hAnsi="Verdana" w:cs="Arial"/>
          <w:color w:val="000000" w:themeColor="text1"/>
          <w:lang w:val="es-ES"/>
        </w:rPr>
        <w:t xml:space="preserve">. </w:t>
      </w:r>
      <w:bookmarkEnd w:id="4"/>
      <w:r w:rsidRPr="00D069D8">
        <w:rPr>
          <w:rFonts w:ascii="Verdana" w:eastAsia="Calibri" w:hAnsi="Verdana" w:cs="Arial"/>
          <w:color w:val="000000" w:themeColor="text1"/>
          <w:lang w:val="es-ES_tradnl"/>
        </w:rPr>
        <w:t xml:space="preserve">En virtud de lo anterior, las entidades estatales pueden solicitar reservas presupuestales cuando habiendo adquirido compromisos en una vigencia fiscal, a 31 de diciembre no se han cumplido en su totalidad, y, por tanto, debe continuarse con la respectiva ejecución en la siguiente vigencia. </w:t>
      </w:r>
    </w:p>
    <w:p w14:paraId="53FA3689" w14:textId="22E0B69C" w:rsidR="000146CB" w:rsidRPr="00D069D8" w:rsidRDefault="000146CB" w:rsidP="00A76101">
      <w:pPr>
        <w:shd w:val="clear" w:color="auto" w:fill="FFFFFF"/>
        <w:spacing w:after="120" w:line="276" w:lineRule="auto"/>
        <w:ind w:right="51"/>
        <w:jc w:val="both"/>
        <w:rPr>
          <w:rFonts w:ascii="Verdana" w:eastAsia="Calibri" w:hAnsi="Verdana" w:cs="Arial"/>
          <w:sz w:val="21"/>
          <w:szCs w:val="21"/>
          <w:lang w:val="es-ES_tradnl"/>
        </w:rPr>
      </w:pPr>
      <w:r w:rsidRPr="00D069D8">
        <w:rPr>
          <w:rFonts w:ascii="Verdana" w:eastAsia="Calibri" w:hAnsi="Verdana" w:cs="Arial"/>
          <w:color w:val="000000" w:themeColor="text1"/>
          <w:lang w:val="es-ES_tradnl"/>
        </w:rPr>
        <w:lastRenderedPageBreak/>
        <w:t>Las reservas presupuestales deben constituirse a más tardar el 20 de enero de cada año en los términos indicados por el Decreto 1068 de 2015</w:t>
      </w:r>
      <w:r w:rsidRPr="00D069D8">
        <w:rPr>
          <w:rFonts w:ascii="Verdana" w:eastAsia="Calibri" w:hAnsi="Verdana" w:cs="Arial"/>
          <w:color w:val="000000" w:themeColor="text1"/>
          <w:vertAlign w:val="superscript"/>
          <w:lang w:val="es-ES_tradnl"/>
        </w:rPr>
        <w:footnoteReference w:id="11"/>
      </w:r>
      <w:r w:rsidRPr="00D069D8">
        <w:rPr>
          <w:rFonts w:ascii="Verdana" w:eastAsia="Calibri" w:hAnsi="Verdana" w:cs="Arial"/>
          <w:color w:val="000000" w:themeColor="text1"/>
          <w:lang w:val="es-ES_tradnl"/>
        </w:rPr>
        <w:t xml:space="preserve">. </w:t>
      </w:r>
    </w:p>
    <w:p w14:paraId="410B1AE2" w14:textId="77777777" w:rsidR="000146CB" w:rsidRPr="00D069D8" w:rsidRDefault="000146CB" w:rsidP="000146CB">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lang w:val="es-ES_tradnl"/>
        </w:rPr>
        <w:t>Sin embargo, es necesario tener en cuenta que las entidades no pueden solicitar reservas presupuestales en cualquier situación, ya que al ser un mecanismo excepcional su uso se encuentra restringido por lo que deberán estar debidamente justificadas. Esto significa que su constitución no puede obedecer a una indebida planeación contractual, pues como se anotó, tanto el régimen presupuestal como el contractual público se desarrolla sobre la base del principio de planeación. En este sentido, las reservas presupuestales no pueden ser empleadas como una herramienta ordinaria de ejecución presupuestal puesto que están concebidas como “</w:t>
      </w:r>
      <w:r w:rsidRPr="00D069D8">
        <w:rPr>
          <w:rFonts w:ascii="Verdana" w:eastAsia="Calibri" w:hAnsi="Verdana" w:cs="Arial"/>
          <w:color w:val="000000" w:themeColor="text1"/>
        </w:rPr>
        <w:t>un instrumento de uso esporádico y justificado únicamente en situaciones atípicas que impiden la ejecución de los compromisos en las fechas inicialmente previstas para ello, dentro de la misma vigencia a aquella en que el compromiso se celebró”</w:t>
      </w:r>
      <w:r w:rsidRPr="00D069D8">
        <w:rPr>
          <w:rFonts w:ascii="Verdana" w:eastAsia="Calibri" w:hAnsi="Verdana" w:cs="Arial"/>
          <w:color w:val="000000" w:themeColor="text1"/>
          <w:vertAlign w:val="superscript"/>
          <w:lang w:val="es-ES"/>
        </w:rPr>
        <w:footnoteReference w:id="12"/>
      </w:r>
      <w:r w:rsidRPr="00D069D8">
        <w:rPr>
          <w:rFonts w:ascii="Verdana" w:eastAsia="Calibri" w:hAnsi="Verdana" w:cs="Arial"/>
          <w:color w:val="000000" w:themeColor="text1"/>
        </w:rPr>
        <w:t>.</w:t>
      </w:r>
    </w:p>
    <w:p w14:paraId="62132644" w14:textId="700F59BE" w:rsidR="000146CB" w:rsidRPr="00D069D8" w:rsidRDefault="000146CB" w:rsidP="000146CB">
      <w:pPr>
        <w:shd w:val="clear" w:color="auto" w:fill="FFFFFF"/>
        <w:spacing w:after="120" w:line="276" w:lineRule="auto"/>
        <w:ind w:right="51" w:firstLine="709"/>
        <w:jc w:val="both"/>
        <w:rPr>
          <w:rFonts w:ascii="Verdana" w:eastAsia="Calibri" w:hAnsi="Verdana" w:cs="Arial"/>
          <w:color w:val="000000" w:themeColor="text1"/>
          <w:lang w:val="es-ES"/>
        </w:rPr>
      </w:pPr>
      <w:r w:rsidRPr="00D069D8">
        <w:rPr>
          <w:rFonts w:ascii="Verdana" w:eastAsia="Calibri" w:hAnsi="Verdana" w:cs="Arial"/>
          <w:color w:val="000000" w:themeColor="text1"/>
        </w:rPr>
        <w:t>Respecto de la distinción entre las reservas presupuestales y las vigencias futuras debe señalarse que contrario a estas últimas, “la reserva presupuestal supone la existencia de un compromiso presupuestal legalmente adquirido, en otras palabras, de la existencia de un acto o contrato expedido y perfeccionado por las autoridades públicas</w:t>
      </w:r>
      <w:r w:rsidR="00EA7369">
        <w:rPr>
          <w:rFonts w:ascii="Verdana" w:eastAsia="Calibri" w:hAnsi="Verdana" w:cs="Arial"/>
          <w:color w:val="000000" w:themeColor="text1"/>
          <w:lang w:val="es-ES"/>
        </w:rPr>
        <w:t>”</w:t>
      </w:r>
      <w:r w:rsidRPr="00D069D8">
        <w:rPr>
          <w:rFonts w:ascii="Verdana" w:eastAsia="Calibri" w:hAnsi="Verdana" w:cs="Arial"/>
          <w:color w:val="000000" w:themeColor="text1"/>
        </w:rPr>
        <w:t xml:space="preserve">. En cambio, en las vigencias futuras se realiza una autorización que afecta presupuestos futuros que </w:t>
      </w:r>
      <w:r w:rsidR="00EA7369">
        <w:rPr>
          <w:rFonts w:ascii="Verdana" w:eastAsia="Calibri" w:hAnsi="Verdana" w:cs="Arial"/>
          <w:color w:val="000000" w:themeColor="text1"/>
          <w:lang w:val="es-ES"/>
        </w:rPr>
        <w:t>“</w:t>
      </w:r>
      <w:r w:rsidRPr="00D069D8">
        <w:rPr>
          <w:rFonts w:ascii="Verdana" w:eastAsia="Calibri" w:hAnsi="Verdana" w:cs="Arial"/>
          <w:color w:val="000000" w:themeColor="text1"/>
        </w:rPr>
        <w:t>se formaliza antes de que se aprueben las vigencias en las que se van a ejecutar y la vida jurídica de tales autorizaciones se prolonga a lo largo de varias vigencias”</w:t>
      </w:r>
      <w:r w:rsidRPr="00D069D8">
        <w:rPr>
          <w:rFonts w:ascii="Verdana" w:eastAsia="Calibri" w:hAnsi="Verdana" w:cs="Arial"/>
          <w:color w:val="000000" w:themeColor="text1"/>
          <w:vertAlign w:val="superscript"/>
          <w:lang w:val="es-ES"/>
        </w:rPr>
        <w:footnoteReference w:id="13"/>
      </w:r>
      <w:r w:rsidRPr="00D069D8">
        <w:rPr>
          <w:rFonts w:ascii="Verdana" w:eastAsia="Calibri" w:hAnsi="Verdana" w:cs="Arial"/>
          <w:color w:val="000000" w:themeColor="text1"/>
        </w:rPr>
        <w:t xml:space="preserve">. </w:t>
      </w:r>
    </w:p>
    <w:p w14:paraId="13AFFA90" w14:textId="517FD664" w:rsidR="000146CB" w:rsidRDefault="000146CB" w:rsidP="00935522">
      <w:pPr>
        <w:shd w:val="clear" w:color="auto" w:fill="FFFFFF"/>
        <w:spacing w:after="0" w:line="276" w:lineRule="auto"/>
        <w:ind w:right="51" w:firstLine="709"/>
        <w:jc w:val="both"/>
        <w:rPr>
          <w:rFonts w:ascii="Verdana" w:eastAsia="Calibri" w:hAnsi="Verdana" w:cs="Arial"/>
          <w:color w:val="000000" w:themeColor="text1"/>
          <w:lang w:val="es-ES_tradnl"/>
        </w:rPr>
      </w:pPr>
      <w:r w:rsidRPr="00D069D8">
        <w:rPr>
          <w:rFonts w:ascii="Verdana" w:eastAsia="Calibri" w:hAnsi="Verdana" w:cs="Arial"/>
          <w:color w:val="000000" w:themeColor="text1"/>
          <w:lang w:val="es-ES_tradnl"/>
        </w:rPr>
        <w:t>Finalmente, es importante hacer referencia a los “pagos de pasivos exigibles – vigencias expiradas</w:t>
      </w:r>
      <w:r w:rsidRPr="003018BB">
        <w:rPr>
          <w:rFonts w:ascii="Verdana" w:eastAsia="Calibri" w:hAnsi="Verdana" w:cs="Arial"/>
          <w:color w:val="000000" w:themeColor="text1"/>
          <w:lang w:val="es-ES_tradnl"/>
        </w:rPr>
        <w:t xml:space="preserve">” </w:t>
      </w:r>
      <w:r w:rsidRPr="00D069D8">
        <w:rPr>
          <w:rFonts w:ascii="Verdana" w:eastAsia="Calibri" w:hAnsi="Verdana" w:cs="Arial"/>
          <w:color w:val="000000" w:themeColor="text1"/>
          <w:lang w:val="es-ES_tradnl"/>
        </w:rPr>
        <w:t xml:space="preserve">que procede en los casos en los que </w:t>
      </w:r>
      <w:r w:rsidRPr="003018BB">
        <w:rPr>
          <w:rFonts w:ascii="Verdana" w:eastAsia="Calibri" w:hAnsi="Verdana" w:cs="Arial"/>
          <w:color w:val="000000" w:themeColor="text1"/>
          <w:lang w:val="es-ES_tradnl"/>
        </w:rPr>
        <w:t>no se haya constituido la reserva presupuestal o la cuenta por pagar o cuando habiéndose constituido no se realizó el pago respectivo</w:t>
      </w:r>
      <w:r w:rsidRPr="00D069D8">
        <w:rPr>
          <w:rFonts w:ascii="Verdana" w:eastAsia="Calibri" w:hAnsi="Verdana" w:cs="Arial"/>
          <w:color w:val="000000" w:themeColor="text1"/>
          <w:lang w:val="es-ES_tradnl"/>
        </w:rPr>
        <w:t>. El artículo 49 de la Ley 2159 de 2021 “</w:t>
      </w:r>
      <w:r w:rsidRPr="003018BB">
        <w:rPr>
          <w:rFonts w:ascii="Verdana" w:eastAsia="Calibri" w:hAnsi="Verdana" w:cs="Arial"/>
          <w:color w:val="000000" w:themeColor="text1"/>
          <w:lang w:val="es-ES_tradnl"/>
        </w:rPr>
        <w:t xml:space="preserve">Por </w:t>
      </w:r>
      <w:r w:rsidRPr="00D069D8">
        <w:rPr>
          <w:rFonts w:ascii="Verdana" w:eastAsia="Calibri" w:hAnsi="Verdana" w:cs="Arial"/>
          <w:color w:val="000000" w:themeColor="text1"/>
          <w:lang w:val="es-ES_tradnl"/>
        </w:rPr>
        <w:t xml:space="preserve">la cual se decreta el presupuesto de rentas y recursos de capital y ley de apropiaciones para la vigencia fiscal del 1° de enero al 31 de diciembre de 2022” regula esta institución de la siguiente manera: </w:t>
      </w:r>
    </w:p>
    <w:p w14:paraId="612C2374" w14:textId="77777777" w:rsidR="000146CB" w:rsidRPr="000D35F0" w:rsidRDefault="000146CB" w:rsidP="00022FC1">
      <w:pPr>
        <w:spacing w:after="0" w:line="240" w:lineRule="auto"/>
        <w:ind w:left="709" w:right="709"/>
        <w:jc w:val="both"/>
        <w:rPr>
          <w:rFonts w:ascii="Verdana" w:eastAsia="Calibri" w:hAnsi="Verdana" w:cs="Arial"/>
          <w:i/>
          <w:iCs/>
          <w:sz w:val="20"/>
          <w:szCs w:val="20"/>
          <w:lang w:val="es-ES"/>
        </w:rPr>
      </w:pPr>
      <w:r w:rsidRPr="000D35F0">
        <w:rPr>
          <w:rFonts w:ascii="Verdana" w:eastAsia="Calibri" w:hAnsi="Verdana" w:cs="Arial"/>
          <w:sz w:val="20"/>
          <w:szCs w:val="20"/>
          <w:lang w:val="es-ES"/>
        </w:rPr>
        <w:lastRenderedPageBreak/>
        <w:t xml:space="preserve">Sin perjuicio de la responsabilidad fiscal y disciplinaria a que haya lugar, cuando en vigencias anteriores no se haya realizado el pago de obligaciones adquiridas con las formalidades previstas en el Estatuto Orgánico del Presupuesto y demás normas que regulan la materia, y sobre los mismos no se haya constituido la reserva presupuestal o la cuenta por pagar correspondiente, se podrá hacer el pago bajo el concepto de </w:t>
      </w:r>
      <w:r w:rsidRPr="000D35F0">
        <w:rPr>
          <w:rFonts w:ascii="Verdana" w:eastAsia="Calibri" w:hAnsi="Verdana" w:cs="Arial"/>
          <w:i/>
          <w:iCs/>
          <w:sz w:val="20"/>
          <w:szCs w:val="20"/>
          <w:lang w:val="es-ES"/>
        </w:rPr>
        <w:t xml:space="preserve">"Pago de Pasivos Exigibles - Vigencias Expiradas". </w:t>
      </w:r>
    </w:p>
    <w:p w14:paraId="7558FB5E" w14:textId="77777777" w:rsidR="000146CB" w:rsidRPr="000D35F0" w:rsidRDefault="000146CB" w:rsidP="000146CB">
      <w:pPr>
        <w:spacing w:after="0"/>
        <w:ind w:left="709" w:right="709"/>
        <w:jc w:val="both"/>
        <w:rPr>
          <w:rFonts w:ascii="Verdana" w:eastAsia="Calibri" w:hAnsi="Verdana" w:cs="Arial"/>
          <w:sz w:val="20"/>
          <w:szCs w:val="20"/>
          <w:lang w:val="es-ES_tradnl"/>
        </w:rPr>
      </w:pPr>
    </w:p>
    <w:p w14:paraId="71B04A5E" w14:textId="77777777" w:rsidR="000146CB" w:rsidRPr="000D35F0" w:rsidRDefault="000146CB" w:rsidP="000146CB">
      <w:pPr>
        <w:spacing w:after="0"/>
        <w:ind w:left="709" w:right="709"/>
        <w:jc w:val="both"/>
        <w:rPr>
          <w:rFonts w:ascii="Verdana" w:eastAsia="Calibri" w:hAnsi="Verdana" w:cs="Arial"/>
          <w:sz w:val="20"/>
          <w:szCs w:val="20"/>
          <w:lang w:val="es-ES_tradnl"/>
        </w:rPr>
      </w:pPr>
      <w:r w:rsidRPr="000D35F0">
        <w:rPr>
          <w:rFonts w:ascii="Verdana" w:eastAsia="Calibri" w:hAnsi="Verdana" w:cs="Arial"/>
          <w:sz w:val="20"/>
          <w:szCs w:val="20"/>
          <w:lang w:val="es-ES_tradnl"/>
        </w:rPr>
        <w:t xml:space="preserve">También procederá la operación prevista en el inciso anterior, cuando el pago no se hubiere realizado pese a haberse constituido oportunamente la reserva presupuestal o la cuenta por pagar en los términos del artículo 89 del Estatuto Orgánico del Presupuesto. </w:t>
      </w:r>
    </w:p>
    <w:p w14:paraId="1321F6DB" w14:textId="77777777" w:rsidR="000146CB" w:rsidRPr="000D35F0" w:rsidRDefault="000146CB" w:rsidP="000146CB">
      <w:pPr>
        <w:spacing w:after="0"/>
        <w:ind w:left="709" w:right="709"/>
        <w:jc w:val="both"/>
        <w:rPr>
          <w:rFonts w:ascii="Verdana" w:eastAsia="Calibri" w:hAnsi="Verdana" w:cs="Arial"/>
          <w:sz w:val="20"/>
          <w:szCs w:val="20"/>
          <w:lang w:val="es-ES"/>
        </w:rPr>
      </w:pPr>
    </w:p>
    <w:p w14:paraId="1907E908" w14:textId="77777777" w:rsidR="000146CB" w:rsidRPr="000D35F0" w:rsidRDefault="000146CB" w:rsidP="000146CB">
      <w:pPr>
        <w:spacing w:after="0"/>
        <w:ind w:left="709" w:right="709"/>
        <w:jc w:val="both"/>
        <w:rPr>
          <w:rFonts w:ascii="Verdana" w:eastAsia="Calibri" w:hAnsi="Verdana" w:cs="Arial"/>
          <w:sz w:val="20"/>
          <w:szCs w:val="20"/>
          <w:lang w:val="es-ES"/>
        </w:rPr>
      </w:pPr>
      <w:r w:rsidRPr="000D35F0">
        <w:rPr>
          <w:rFonts w:ascii="Verdana" w:eastAsia="Calibri" w:hAnsi="Verdana" w:cs="Arial"/>
          <w:sz w:val="20"/>
          <w:szCs w:val="20"/>
          <w:lang w:val="es-ES"/>
        </w:rPr>
        <w:t xml:space="preserve">El mecanismo previsto en el primer inciso de este artículo también procederá cuando se trate del cumplimiento de una obligación originada en la ley, exigible en vigencias anteriores, aun sin que medie certificado de disponibilidad presupuestal ni registro presupuestal. </w:t>
      </w:r>
    </w:p>
    <w:p w14:paraId="5F839798" w14:textId="77777777" w:rsidR="000146CB" w:rsidRPr="000D35F0" w:rsidRDefault="000146CB" w:rsidP="000146CB">
      <w:pPr>
        <w:spacing w:after="0"/>
        <w:ind w:left="709" w:right="709"/>
        <w:jc w:val="both"/>
        <w:rPr>
          <w:rFonts w:ascii="Verdana" w:eastAsia="Calibri" w:hAnsi="Verdana" w:cs="Arial"/>
          <w:sz w:val="20"/>
          <w:szCs w:val="20"/>
          <w:lang w:val="es-ES"/>
        </w:rPr>
      </w:pPr>
    </w:p>
    <w:p w14:paraId="565B8B31" w14:textId="77777777" w:rsidR="000146CB" w:rsidRPr="000D35F0" w:rsidRDefault="000146CB" w:rsidP="000146CB">
      <w:pPr>
        <w:spacing w:after="0"/>
        <w:ind w:left="709" w:right="709"/>
        <w:jc w:val="both"/>
        <w:rPr>
          <w:rFonts w:ascii="Verdana" w:eastAsia="Calibri" w:hAnsi="Verdana" w:cs="Arial"/>
          <w:sz w:val="20"/>
          <w:szCs w:val="20"/>
          <w:lang w:val="es-ES"/>
        </w:rPr>
      </w:pPr>
      <w:r w:rsidRPr="000D35F0">
        <w:rPr>
          <w:rFonts w:ascii="Verdana" w:eastAsia="Calibri" w:hAnsi="Verdana" w:cs="Arial"/>
          <w:sz w:val="20"/>
          <w:szCs w:val="20"/>
          <w:lang w:val="es-ES"/>
        </w:rPr>
        <w:t>Cuando se cumpla alguna de las anteriores condiciones, se podrá atender el gasto de "Pago Pasivos Exigibles - Vigencias Expiradas", a través del rubro presupuestal correspondiente de acuerdo con el detalle del anexo del decreto de liquidación. Al momento de hacerse el registro presupuestal deberá dejarse consignada la expresión "Pago Pasivos Exigibles - Vigencias Expiradas". Copia del acto administrativo que ordena su pago deberá ser remitido a la Contrataría General de la República. […] (Cursiva fuera de texto).</w:t>
      </w:r>
    </w:p>
    <w:p w14:paraId="10F7C300" w14:textId="77777777" w:rsidR="000146CB" w:rsidRPr="00D069D8" w:rsidRDefault="000146CB" w:rsidP="000146CB">
      <w:pPr>
        <w:spacing w:after="0"/>
        <w:ind w:left="709" w:right="709"/>
        <w:jc w:val="both"/>
        <w:rPr>
          <w:rFonts w:ascii="Verdana" w:eastAsia="Calibri" w:hAnsi="Verdana" w:cs="Arial"/>
          <w:sz w:val="21"/>
          <w:szCs w:val="21"/>
          <w:lang w:val="es-ES"/>
        </w:rPr>
      </w:pPr>
    </w:p>
    <w:p w14:paraId="0C009592" w14:textId="77777777" w:rsidR="000146CB" w:rsidRPr="00D069D8" w:rsidRDefault="000146CB" w:rsidP="000146CB">
      <w:pPr>
        <w:shd w:val="clear" w:color="auto" w:fill="FFFFFF"/>
        <w:spacing w:after="120" w:line="276" w:lineRule="auto"/>
        <w:ind w:right="51" w:firstLine="709"/>
        <w:jc w:val="both"/>
        <w:rPr>
          <w:rFonts w:ascii="Verdana" w:eastAsia="Calibri" w:hAnsi="Verdana" w:cs="Arial"/>
          <w:color w:val="000000" w:themeColor="text1"/>
          <w:lang w:val="es-ES_tradnl"/>
        </w:rPr>
      </w:pPr>
      <w:r w:rsidRPr="00D069D8">
        <w:rPr>
          <w:rFonts w:ascii="Verdana" w:eastAsia="Calibri" w:hAnsi="Verdana" w:cs="Arial"/>
          <w:color w:val="000000" w:themeColor="text1"/>
          <w:lang w:val="es-ES_tradnl"/>
        </w:rPr>
        <w:t xml:space="preserve">En este sentido, el pago de “pasivos – vigencias expiradas” procederán cuando se cumplan los parámetros antes expuestos para las entidades que se rigen por dicha Ley. En los demás casos, se deberán atender las normas presupuestales particulares que lo regulen, atendiendo a la naturaleza de la entidad pública. </w:t>
      </w:r>
    </w:p>
    <w:p w14:paraId="0D76A8DB" w14:textId="77777777" w:rsidR="000146CB" w:rsidRPr="00D069D8" w:rsidRDefault="000146CB" w:rsidP="00D74A55">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lang w:val="es-ES_tradnl"/>
        </w:rPr>
        <w:t xml:space="preserve">En conclusión, las entidades estatales deben planear sus contrataciones con fundamento en el principio de la anualidad del gasto, de manera que sus compromisos presupuestales deben ser ejecutados dentro de la vigencia fiscal comprendida entre el 1 de enero y el 31 de diciembre. Sin embargo, como excepción a este principio se establecen </w:t>
      </w:r>
      <w:r w:rsidRPr="00D069D8">
        <w:rPr>
          <w:rFonts w:ascii="Verdana" w:eastAsia="Calibri" w:hAnsi="Verdana" w:cs="Arial"/>
          <w:color w:val="000000" w:themeColor="text1"/>
        </w:rPr>
        <w:t>mecanismos presupuestales dentro de los cuales se encuentran las vigencias futuras, que permite asumir compromisos que afecten el presupuesto de vigencias posteriores</w:t>
      </w:r>
      <w:r>
        <w:rPr>
          <w:rFonts w:ascii="Verdana" w:eastAsia="Calibri" w:hAnsi="Verdana" w:cs="Arial"/>
          <w:color w:val="000000" w:themeColor="text1"/>
        </w:rPr>
        <w:t xml:space="preserve">. </w:t>
      </w:r>
    </w:p>
    <w:p w14:paraId="1C38907C" w14:textId="77777777" w:rsidR="000146CB" w:rsidRDefault="000146CB" w:rsidP="00D74A55">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lastRenderedPageBreak/>
        <w:t>De esta manera, en caso de que en la etapa de planeación la entidad evidencie que el contrato a ejecutar exceda la vigencia fiscal correspondiente, deberá atender las previsiones legales sobre las excepciones al principio de anualidad del gasto</w:t>
      </w:r>
      <w:r w:rsidRPr="00D069D8">
        <w:rPr>
          <w:rFonts w:ascii="Verdana" w:eastAsia="Arial" w:hAnsi="Verdana" w:cs="Arial"/>
          <w:bCs/>
        </w:rPr>
        <w:t xml:space="preserve"> y determinar cual resulta aplicable al caso en concreto</w:t>
      </w:r>
      <w:r w:rsidRPr="00D069D8">
        <w:rPr>
          <w:rFonts w:ascii="Verdana" w:eastAsia="Calibri" w:hAnsi="Verdana" w:cs="Arial"/>
          <w:color w:val="000000" w:themeColor="text1"/>
        </w:rPr>
        <w:t xml:space="preserve">. Dichas excepciones deben estar debidamente justificadas, cumplir con los requisitos establecidos por la normativa vigente y seguir los procedimientos correspondientes para su autorizaciones y ejecución, conforme a lo descrito en este concepto.  </w:t>
      </w:r>
    </w:p>
    <w:p w14:paraId="410B9DFE" w14:textId="7A906227" w:rsidR="000146CB" w:rsidRDefault="00DB57F5" w:rsidP="00D74A55">
      <w:pPr>
        <w:shd w:val="clear" w:color="auto" w:fill="FFFFFF"/>
        <w:spacing w:after="120" w:line="276" w:lineRule="auto"/>
        <w:ind w:right="51" w:firstLine="709"/>
        <w:jc w:val="both"/>
        <w:rPr>
          <w:rFonts w:ascii="Verdana" w:eastAsia="Calibri" w:hAnsi="Verdana" w:cs="Arial"/>
        </w:rPr>
      </w:pPr>
      <w:r w:rsidRPr="79F3ED1A">
        <w:rPr>
          <w:rFonts w:ascii="Verdana" w:eastAsia="Calibri" w:hAnsi="Verdana" w:cs="Arial"/>
        </w:rPr>
        <w:t>Para ello, y en aplicación del principio de planeación, se recomienda a las entidades adoptar anticipadamente las medidas necesarias en su gestión contractual con el fin de evitar que las restricciones impuestas por la Ley de Garantías</w:t>
      </w:r>
      <w:r w:rsidR="00935522">
        <w:rPr>
          <w:rFonts w:ascii="Verdana" w:eastAsia="Calibri" w:hAnsi="Verdana" w:cs="Arial"/>
        </w:rPr>
        <w:t xml:space="preserve"> Electorales</w:t>
      </w:r>
      <w:r w:rsidRPr="79F3ED1A">
        <w:rPr>
          <w:rFonts w:ascii="Verdana" w:eastAsia="Calibri" w:hAnsi="Verdana" w:cs="Arial"/>
        </w:rPr>
        <w:t xml:space="preserve"> afecten el funcionamiento de las entidades y el cumplimiento de los fines institucionales. Asimismo, resulta aconsejable prever escenarios de contingencia que permitan atender necesidades urgentes o inaplazables, sin incurrir en actuaciones que puedan comprometer las restricciones de la Ley de Garantías</w:t>
      </w:r>
      <w:r w:rsidR="00935522">
        <w:rPr>
          <w:rFonts w:ascii="Verdana" w:eastAsia="Calibri" w:hAnsi="Verdana" w:cs="Arial"/>
        </w:rPr>
        <w:t xml:space="preserve"> Electorales</w:t>
      </w:r>
      <w:r w:rsidRPr="79F3ED1A">
        <w:rPr>
          <w:rFonts w:ascii="Verdana" w:eastAsia="Calibri" w:hAnsi="Verdana" w:cs="Arial"/>
        </w:rPr>
        <w:t>, la legalidad o la transparencia del proceso contractual.</w:t>
      </w:r>
    </w:p>
    <w:p w14:paraId="75B8F4E8" w14:textId="77777777" w:rsidR="000146CB" w:rsidRPr="00D069D8" w:rsidRDefault="000146CB" w:rsidP="00D74A55">
      <w:pPr>
        <w:spacing w:after="120" w:line="276" w:lineRule="auto"/>
        <w:ind w:firstLine="709"/>
        <w:jc w:val="both"/>
        <w:rPr>
          <w:rFonts w:ascii="Verdana" w:hAnsi="Verdana"/>
        </w:rPr>
      </w:pPr>
      <w:r w:rsidRPr="00D069D8">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091E30D" w14:textId="43F2568E" w:rsidR="00935522" w:rsidRPr="00D069D8" w:rsidRDefault="000146CB" w:rsidP="00022FC1">
      <w:pPr>
        <w:spacing w:after="0" w:line="276" w:lineRule="auto"/>
        <w:ind w:firstLine="709"/>
        <w:jc w:val="both"/>
        <w:rPr>
          <w:rFonts w:ascii="Verdana" w:eastAsia="Calibri" w:hAnsi="Verdana" w:cs="Arial"/>
          <w:bCs/>
          <w:color w:val="000000" w:themeColor="text1"/>
        </w:rPr>
      </w:pPr>
      <w:r w:rsidRPr="00D069D8">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D069D8">
        <w:rPr>
          <w:rFonts w:ascii="Verdana" w:eastAsia="Calibri" w:hAnsi="Verdana" w:cs="Arial"/>
          <w:bCs/>
          <w:color w:val="000000" w:themeColor="text1"/>
        </w:rPr>
        <w:lastRenderedPageBreak/>
        <w:t xml:space="preserve">gestión contractual, sin que sea atribución de Colombia Compra Eficiente validar sus actuaciones. </w:t>
      </w:r>
    </w:p>
    <w:p w14:paraId="19C4C52C" w14:textId="77777777" w:rsidR="000146CB" w:rsidRPr="00D069D8" w:rsidRDefault="000146CB" w:rsidP="00022FC1">
      <w:pPr>
        <w:spacing w:after="0" w:line="276" w:lineRule="auto"/>
        <w:ind w:firstLine="709"/>
        <w:jc w:val="both"/>
        <w:rPr>
          <w:rFonts w:ascii="Verdana" w:eastAsia="Calibri" w:hAnsi="Verdana" w:cs="Arial"/>
          <w:color w:val="000000" w:themeColor="text1"/>
        </w:rPr>
      </w:pPr>
    </w:p>
    <w:p w14:paraId="2CCCE7C7" w14:textId="77777777" w:rsidR="000146CB" w:rsidRPr="00D069D8" w:rsidRDefault="000146CB" w:rsidP="000146CB">
      <w:pPr>
        <w:numPr>
          <w:ilvl w:val="0"/>
          <w:numId w:val="16"/>
        </w:numPr>
        <w:spacing w:after="0" w:line="276" w:lineRule="auto"/>
        <w:rPr>
          <w:rFonts w:ascii="Verdana" w:eastAsia="Calibri" w:hAnsi="Verdana" w:cs="Times New Roman"/>
          <w:b/>
          <w:bCs/>
          <w:lang w:val="es-ES"/>
        </w:rPr>
      </w:pPr>
      <w:r w:rsidRPr="00D069D8">
        <w:rPr>
          <w:rFonts w:ascii="Verdana" w:eastAsia="Calibri" w:hAnsi="Verdana" w:cs="Times New Roman"/>
          <w:b/>
          <w:bCs/>
          <w:lang w:val="es-ES"/>
        </w:rPr>
        <w:t>Referencias normativas, jurisprudenciales y otras fuentes</w:t>
      </w:r>
    </w:p>
    <w:p w14:paraId="4BE47903" w14:textId="77777777" w:rsidR="000146CB" w:rsidRPr="00D069D8" w:rsidRDefault="000146CB" w:rsidP="000146CB">
      <w:pPr>
        <w:spacing w:after="0" w:line="276" w:lineRule="auto"/>
        <w:jc w:val="both"/>
        <w:rPr>
          <w:rFonts w:ascii="Verdana" w:eastAsia="Calibri" w:hAnsi="Verdana" w:cs="Arial"/>
          <w:color w:val="000000"/>
          <w:szCs w:val="24"/>
          <w:lang w:eastAsia="es-ES_tradnl"/>
        </w:rPr>
      </w:pPr>
      <w:r w:rsidRPr="00D069D8">
        <w:rPr>
          <w:rFonts w:ascii="Verdana" w:eastAsia="Calibri" w:hAnsi="Verdana" w:cs="Arial"/>
          <w:color w:val="000000"/>
          <w:lang w:eastAsia="es-ES_tradnl"/>
        </w:rPr>
        <w:t xml:space="preserve">   </w:t>
      </w: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146CB" w:rsidRPr="00D069D8" w14:paraId="479315E0" w14:textId="77777777">
        <w:trPr>
          <w:trHeight w:val="870"/>
          <w:jc w:val="center"/>
        </w:trPr>
        <w:tc>
          <w:tcPr>
            <w:tcW w:w="8647" w:type="dxa"/>
          </w:tcPr>
          <w:p w14:paraId="17033904" w14:textId="77777777" w:rsidR="000146CB" w:rsidRPr="00D069D8" w:rsidRDefault="000146CB" w:rsidP="00022FC1">
            <w:pPr>
              <w:numPr>
                <w:ilvl w:val="0"/>
                <w:numId w:val="17"/>
              </w:numPr>
              <w:spacing w:after="120" w:line="276" w:lineRule="auto"/>
              <w:ind w:left="714" w:hanging="357"/>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 xml:space="preserve">Constitución Política, artículo 352. </w:t>
            </w:r>
          </w:p>
          <w:p w14:paraId="71AF0885" w14:textId="77777777" w:rsidR="000146CB" w:rsidRPr="00D069D8" w:rsidRDefault="000146CB" w:rsidP="00022FC1">
            <w:pPr>
              <w:numPr>
                <w:ilvl w:val="0"/>
                <w:numId w:val="17"/>
              </w:numPr>
              <w:spacing w:after="120" w:line="276" w:lineRule="auto"/>
              <w:ind w:left="714" w:hanging="357"/>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 xml:space="preserve">Decreto 111 de 1996, artículo 23.  </w:t>
            </w:r>
          </w:p>
          <w:p w14:paraId="62E6CDC0" w14:textId="76998E55" w:rsidR="000146CB" w:rsidRPr="00D069D8" w:rsidRDefault="000146CB" w:rsidP="00022FC1">
            <w:pPr>
              <w:numPr>
                <w:ilvl w:val="0"/>
                <w:numId w:val="17"/>
              </w:numPr>
              <w:spacing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La Ley 813 de 2003</w:t>
            </w:r>
            <w:r w:rsidR="00935522">
              <w:rPr>
                <w:rFonts w:ascii="Verdana" w:hAnsi="Verdana"/>
                <w:bCs/>
                <w:color w:val="000000"/>
                <w:lang w:val="es-ES_tradnl" w:eastAsia="es-ES_tradnl" w:bidi="es-ES"/>
              </w:rPr>
              <w:t>, a</w:t>
            </w:r>
            <w:r w:rsidRPr="00D069D8">
              <w:rPr>
                <w:rFonts w:ascii="Verdana" w:hAnsi="Verdana"/>
                <w:bCs/>
                <w:color w:val="000000"/>
                <w:lang w:val="es-ES_tradnl" w:eastAsia="es-ES_tradnl" w:bidi="es-ES"/>
              </w:rPr>
              <w:t>rtículos 8, 10, 11 y 12.</w:t>
            </w:r>
          </w:p>
          <w:p w14:paraId="4B702D45" w14:textId="77777777" w:rsidR="000146CB" w:rsidRPr="00D069D8" w:rsidRDefault="000146CB" w:rsidP="00022FC1">
            <w:pPr>
              <w:numPr>
                <w:ilvl w:val="0"/>
                <w:numId w:val="17"/>
              </w:numPr>
              <w:spacing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Ley 1483 de 2011.</w:t>
            </w:r>
          </w:p>
          <w:p w14:paraId="298586D6" w14:textId="77777777" w:rsidR="000146CB" w:rsidRPr="00D069D8" w:rsidRDefault="000146CB" w:rsidP="00022FC1">
            <w:pPr>
              <w:numPr>
                <w:ilvl w:val="0"/>
                <w:numId w:val="17"/>
              </w:numPr>
              <w:spacing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 xml:space="preserve">Ley 2159 de 2021, artículo 49. </w:t>
            </w:r>
          </w:p>
          <w:p w14:paraId="02928042" w14:textId="77777777" w:rsidR="000146CB" w:rsidRPr="00D069D8" w:rsidRDefault="000146CB" w:rsidP="00022FC1">
            <w:pPr>
              <w:widowControl w:val="0"/>
              <w:numPr>
                <w:ilvl w:val="0"/>
                <w:numId w:val="17"/>
              </w:numPr>
              <w:autoSpaceDE w:val="0"/>
              <w:autoSpaceDN w:val="0"/>
              <w:spacing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 xml:space="preserve">Decreto 1068 de 2015: Artículo 2.8.3.4. </w:t>
            </w:r>
          </w:p>
          <w:p w14:paraId="494F2683" w14:textId="77777777" w:rsidR="000146CB" w:rsidRPr="00D069D8" w:rsidRDefault="000146CB" w:rsidP="00022FC1">
            <w:pPr>
              <w:widowControl w:val="0"/>
              <w:numPr>
                <w:ilvl w:val="0"/>
                <w:numId w:val="17"/>
              </w:numPr>
              <w:autoSpaceDE w:val="0"/>
              <w:autoSpaceDN w:val="0"/>
              <w:spacing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Consejo de Estado. Sección Tercera. Sentencia del 1 de febrero de 2018. Radicado Nro. 08001-2331-000-2010-00987-01. C.P. Oswaldo Giraldo López</w:t>
            </w:r>
          </w:p>
          <w:p w14:paraId="7C8554D1" w14:textId="77777777" w:rsidR="000146CB" w:rsidRPr="00D069D8" w:rsidRDefault="000146CB" w:rsidP="00022FC1">
            <w:pPr>
              <w:widowControl w:val="0"/>
              <w:numPr>
                <w:ilvl w:val="0"/>
                <w:numId w:val="17"/>
              </w:numPr>
              <w:autoSpaceDE w:val="0"/>
              <w:autoSpaceDN w:val="0"/>
              <w:spacing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Consejo de Estado. Sección Tercera. Sentencia del 12 de agosto de 2014. Radicado Nro. 05001-23-31-000-1998-01350-01(28565) C.P. Enrique Gil Botero</w:t>
            </w:r>
          </w:p>
          <w:p w14:paraId="2213D5FB" w14:textId="77777777" w:rsidR="000146CB" w:rsidRPr="00D069D8" w:rsidRDefault="000146CB" w:rsidP="00022FC1">
            <w:pPr>
              <w:widowControl w:val="0"/>
              <w:numPr>
                <w:ilvl w:val="0"/>
                <w:numId w:val="17"/>
              </w:numPr>
              <w:autoSpaceDE w:val="0"/>
              <w:autoSpaceDN w:val="0"/>
              <w:spacing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Contraloría General de la República. Circular Externa 43 de 2008.</w:t>
            </w:r>
          </w:p>
          <w:p w14:paraId="46023FC5" w14:textId="77777777" w:rsidR="000146CB" w:rsidRDefault="000146CB" w:rsidP="00022FC1">
            <w:pPr>
              <w:widowControl w:val="0"/>
              <w:numPr>
                <w:ilvl w:val="0"/>
                <w:numId w:val="17"/>
              </w:numPr>
              <w:autoSpaceDE w:val="0"/>
              <w:autoSpaceDN w:val="0"/>
              <w:spacing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NARANJO FLORES, Carlos Eduardo; CELY CUBIDES, Diego Mauricio. Las excepciones al principio de anualidad en la contratación estatal. Bogotá: Revista de Derecho Fiscal Universidad Externado de Colombia, 2008, no 4. pp. 247-259.</w:t>
            </w:r>
          </w:p>
          <w:p w14:paraId="6E04C1FE" w14:textId="77777777" w:rsidR="000B429D" w:rsidRPr="00D069D8" w:rsidRDefault="000B429D" w:rsidP="000B429D">
            <w:pPr>
              <w:widowControl w:val="0"/>
              <w:autoSpaceDE w:val="0"/>
              <w:autoSpaceDN w:val="0"/>
              <w:spacing w:after="120" w:line="276" w:lineRule="auto"/>
              <w:ind w:left="720"/>
              <w:jc w:val="both"/>
              <w:rPr>
                <w:rFonts w:ascii="Verdana" w:hAnsi="Verdana"/>
                <w:bCs/>
                <w:color w:val="000000"/>
                <w:lang w:val="es-ES_tradnl" w:eastAsia="es-ES_tradnl" w:bidi="es-ES"/>
              </w:rPr>
            </w:pPr>
          </w:p>
        </w:tc>
      </w:tr>
    </w:tbl>
    <w:p w14:paraId="70BAFBBA" w14:textId="77777777" w:rsidR="000146CB" w:rsidRPr="00935522" w:rsidRDefault="000146CB" w:rsidP="00935522">
      <w:pPr>
        <w:spacing w:after="0" w:line="276" w:lineRule="auto"/>
        <w:ind w:right="709"/>
        <w:jc w:val="both"/>
        <w:rPr>
          <w:rFonts w:ascii="Verdana" w:hAnsi="Verdana" w:cs="Arial"/>
          <w:color w:val="000000" w:themeColor="text1"/>
        </w:rPr>
      </w:pPr>
    </w:p>
    <w:p w14:paraId="5058081A" w14:textId="77777777" w:rsidR="000146CB" w:rsidRPr="00935522" w:rsidRDefault="000146CB">
      <w:pPr>
        <w:numPr>
          <w:ilvl w:val="0"/>
          <w:numId w:val="16"/>
        </w:numPr>
        <w:spacing w:after="0" w:line="276" w:lineRule="auto"/>
        <w:rPr>
          <w:rFonts w:ascii="Verdana" w:eastAsia="Calibri" w:hAnsi="Verdana" w:cs="Times New Roman"/>
          <w:b/>
          <w:bCs/>
          <w:lang w:val="es-ES"/>
        </w:rPr>
      </w:pPr>
      <w:r w:rsidRPr="00935522">
        <w:rPr>
          <w:rFonts w:ascii="Verdana" w:eastAsia="Calibri" w:hAnsi="Verdana" w:cs="Times New Roman"/>
          <w:b/>
          <w:bCs/>
          <w:lang w:val="es-ES"/>
        </w:rPr>
        <w:t>Doctrina de la Agencia Nacional de Contratación Pública:</w:t>
      </w:r>
    </w:p>
    <w:p w14:paraId="5C3BBF43" w14:textId="77777777" w:rsidR="000146CB" w:rsidRPr="00935522" w:rsidRDefault="000146CB">
      <w:pPr>
        <w:spacing w:after="0" w:line="276" w:lineRule="auto"/>
        <w:rPr>
          <w:rFonts w:ascii="Verdana" w:eastAsia="Calibri" w:hAnsi="Verdana" w:cs="Times New Roman"/>
          <w:lang w:val="es-ES"/>
        </w:rPr>
      </w:pPr>
    </w:p>
    <w:p w14:paraId="7B2543CE" w14:textId="77777777" w:rsidR="000146CB" w:rsidRPr="00935522" w:rsidRDefault="000146CB">
      <w:pPr>
        <w:widowControl w:val="0"/>
        <w:autoSpaceDE w:val="0"/>
        <w:autoSpaceDN w:val="0"/>
        <w:spacing w:after="0" w:line="276" w:lineRule="auto"/>
        <w:jc w:val="both"/>
        <w:rPr>
          <w:rFonts w:ascii="Verdana" w:hAnsi="Verdana" w:cs="Arial"/>
          <w:shd w:val="clear" w:color="auto" w:fill="FFFFFF"/>
        </w:rPr>
      </w:pPr>
      <w:r w:rsidRPr="00935522">
        <w:rPr>
          <w:rFonts w:ascii="Verdana" w:hAnsi="Verdana" w:cs="Arial"/>
          <w:shd w:val="clear" w:color="auto" w:fill="FFFFFF"/>
        </w:rPr>
        <w:t>La Subdirección de Gestión Contractual ha expedido los siguientes conceptos con respecto al Principio de Anualidad del Gasto Público y sus excepciones:</w:t>
      </w:r>
      <w:r w:rsidRPr="00935522">
        <w:rPr>
          <w:rFonts w:ascii="Verdana" w:eastAsia="Calibri" w:hAnsi="Verdana" w:cs="Arial"/>
          <w:lang w:val="es-ES" w:eastAsia="es-ES"/>
        </w:rPr>
        <w:t xml:space="preserve"> C-744 del 4 de febrero de 2022, C-850 del </w:t>
      </w:r>
      <w:r w:rsidRPr="00935522">
        <w:rPr>
          <w:rFonts w:ascii="Verdana" w:eastAsia="Geomanist Light" w:hAnsi="Verdana" w:cs="Arial"/>
          <w:lang w:val="es-MX"/>
        </w:rPr>
        <w:t>5 de diciembre de 2024</w:t>
      </w:r>
      <w:r w:rsidRPr="00935522">
        <w:rPr>
          <w:rFonts w:ascii="Verdana" w:eastAsia="Calibri" w:hAnsi="Verdana" w:cs="Arial"/>
          <w:lang w:val="es-ES" w:eastAsia="es-ES"/>
        </w:rPr>
        <w:t>, C-082 del 7 de marzo de 2025, C-1220 del 3 de octubre de 2025 entre otros.</w:t>
      </w:r>
      <w:r w:rsidRPr="00935522">
        <w:rPr>
          <w:rFonts w:ascii="Verdana" w:eastAsia="Aptos" w:hAnsi="Verdana" w:cs="Arial"/>
          <w:shd w:val="clear" w:color="auto" w:fill="FFFFFF"/>
          <w:lang w:val="es-ES"/>
        </w:rPr>
        <w:t xml:space="preserve"> </w:t>
      </w:r>
      <w:r w:rsidRPr="00935522">
        <w:rPr>
          <w:rFonts w:ascii="Verdana" w:hAnsi="Verdana" w:cs="Arial"/>
          <w:shd w:val="clear" w:color="auto" w:fill="FFFFFF"/>
        </w:rPr>
        <w:t xml:space="preserve">Estos y otros se encuentran disponibles para consulta en el Sistema de relatoría de la Agencia, </w:t>
      </w:r>
      <w:r w:rsidRPr="00935522">
        <w:rPr>
          <w:rFonts w:ascii="Verdana" w:hAnsi="Verdana" w:cs="Arial"/>
          <w:shd w:val="clear" w:color="auto" w:fill="FFFFFF"/>
        </w:rPr>
        <w:lastRenderedPageBreak/>
        <w:t xml:space="preserve">al cual puede accederse a través del siguiente enlace: </w:t>
      </w:r>
      <w:hyperlink r:id="rId14" w:history="1">
        <w:r w:rsidRPr="00935522">
          <w:rPr>
            <w:rFonts w:ascii="Verdana" w:hAnsi="Verdana" w:cs="Arial"/>
            <w:color w:val="0000FF"/>
            <w:u w:val="single"/>
            <w:shd w:val="clear" w:color="auto" w:fill="FFFFFF"/>
          </w:rPr>
          <w:t>https://relatoria.colombiacompra.gov.co/busqueda/conceptos</w:t>
        </w:r>
      </w:hyperlink>
      <w:r w:rsidRPr="00935522">
        <w:rPr>
          <w:rFonts w:ascii="Verdana" w:hAnsi="Verdana" w:cs="Arial"/>
          <w:shd w:val="clear" w:color="auto" w:fill="FFFFFF"/>
        </w:rPr>
        <w:t xml:space="preserve">. </w:t>
      </w:r>
      <w:r w:rsidRPr="00935522">
        <w:rPr>
          <w:rFonts w:ascii="Verdana" w:hAnsi="Verdana" w:cs="Arial"/>
          <w:shd w:val="clear" w:color="auto" w:fill="FFFFFF"/>
          <w:lang w:val="es-ES"/>
        </w:rPr>
        <w:t xml:space="preserve"> </w:t>
      </w:r>
    </w:p>
    <w:p w14:paraId="5FA72733" w14:textId="77777777" w:rsidR="000146CB" w:rsidRPr="00935522" w:rsidRDefault="000146CB">
      <w:pPr>
        <w:spacing w:after="0" w:line="276" w:lineRule="auto"/>
        <w:jc w:val="both"/>
        <w:rPr>
          <w:rFonts w:ascii="Verdana" w:hAnsi="Verdana"/>
        </w:rPr>
      </w:pPr>
    </w:p>
    <w:p w14:paraId="2A97C8FD" w14:textId="32A1EC9A" w:rsidR="000146CB" w:rsidRPr="00935522" w:rsidRDefault="000146CB" w:rsidP="00022FC1">
      <w:pPr>
        <w:spacing w:after="0" w:line="276" w:lineRule="auto"/>
        <w:jc w:val="both"/>
        <w:rPr>
          <w:rFonts w:ascii="Verdana" w:eastAsia="Calibri" w:hAnsi="Verdana" w:cs="Times New Roman"/>
        </w:rPr>
      </w:pPr>
      <w:r w:rsidRPr="00935522">
        <w:rPr>
          <w:rFonts w:ascii="Verdana" w:eastAsia="Calibri" w:hAnsi="Verdana" w:cs="Times New Roman"/>
        </w:rPr>
        <w:t xml:space="preserve">Te informamos que ya se encuentra disponible la </w:t>
      </w:r>
      <w:r w:rsidRPr="00935522">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935522">
        <w:rPr>
          <w:rFonts w:ascii="Verdana" w:eastAsia="Calibri" w:hAnsi="Verdana" w:cs="Times New Roman"/>
        </w:rPr>
        <w:t>Esta Guía se exp</w:t>
      </w:r>
      <w:r w:rsidR="00935522">
        <w:rPr>
          <w:rFonts w:ascii="Verdana" w:eastAsia="Calibri" w:hAnsi="Verdana" w:cs="Times New Roman"/>
        </w:rPr>
        <w:t>i</w:t>
      </w:r>
      <w:r w:rsidRPr="00935522">
        <w:rPr>
          <w:rFonts w:ascii="Verdana" w:eastAsia="Calibri" w:hAnsi="Verdana" w:cs="Times New Roman"/>
        </w:rPr>
        <w:t xml:space="preserve">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1C06563F" w14:textId="77777777" w:rsidR="000146CB" w:rsidRPr="00935522" w:rsidRDefault="000146CB" w:rsidP="00022FC1">
      <w:pPr>
        <w:spacing w:after="0" w:line="276" w:lineRule="auto"/>
        <w:jc w:val="both"/>
        <w:rPr>
          <w:rFonts w:ascii="Verdana" w:eastAsia="Calibri" w:hAnsi="Verdana" w:cs="Times New Roman"/>
        </w:rPr>
      </w:pPr>
    </w:p>
    <w:p w14:paraId="3A277B8A" w14:textId="77777777" w:rsidR="000146CB" w:rsidRPr="00935522" w:rsidRDefault="000146CB" w:rsidP="00022FC1">
      <w:pPr>
        <w:spacing w:after="0" w:line="276" w:lineRule="auto"/>
        <w:jc w:val="both"/>
        <w:rPr>
          <w:rFonts w:ascii="Verdana" w:hAnsi="Verdana"/>
        </w:rPr>
      </w:pPr>
      <w:r w:rsidRPr="00935522">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7BB3002" w14:textId="77777777" w:rsidR="000146CB" w:rsidRPr="00935522" w:rsidRDefault="000146CB" w:rsidP="00022FC1">
      <w:pPr>
        <w:spacing w:after="0" w:line="276" w:lineRule="auto"/>
        <w:jc w:val="both"/>
        <w:rPr>
          <w:rFonts w:ascii="Verdana" w:hAnsi="Verdana"/>
        </w:rPr>
      </w:pPr>
    </w:p>
    <w:p w14:paraId="032D6C29" w14:textId="77777777" w:rsidR="000146CB" w:rsidRPr="00935522" w:rsidRDefault="000146CB" w:rsidP="00022FC1">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935522">
        <w:rPr>
          <w:rFonts w:ascii="Verdana" w:eastAsia="Verdana" w:hAnsi="Verdana" w:cs="Verdana"/>
          <w:lang w:val="es-MX"/>
        </w:rPr>
        <w:t xml:space="preserve">Línea nacional gratuita o servicio a la ciudadanía (Mesa de servicio): </w:t>
      </w:r>
      <w:r w:rsidRPr="00935522">
        <w:rPr>
          <w:rStyle w:val="Hipervnculo"/>
          <w:rFonts w:ascii="Verdana" w:hAnsi="Verdana"/>
        </w:rPr>
        <w:t>01800 0520808</w:t>
      </w:r>
    </w:p>
    <w:p w14:paraId="009B138D" w14:textId="77777777" w:rsidR="000146CB" w:rsidRPr="00935522" w:rsidRDefault="000146CB" w:rsidP="00022FC1">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935522">
        <w:rPr>
          <w:rFonts w:ascii="Verdana" w:eastAsia="Verdana" w:hAnsi="Verdana" w:cs="Verdana"/>
          <w:lang w:val="es-MX"/>
        </w:rPr>
        <w:t>Línea en Bogotá (Mesa de servicio):</w:t>
      </w:r>
      <w:r w:rsidRPr="00935522">
        <w:rPr>
          <w:rStyle w:val="Hipervnculo"/>
          <w:rFonts w:ascii="Verdana" w:hAnsi="Verdana"/>
        </w:rPr>
        <w:t>+57 601 7456788</w:t>
      </w:r>
    </w:p>
    <w:p w14:paraId="5849B39B" w14:textId="77777777" w:rsidR="000146CB" w:rsidRPr="00935522" w:rsidRDefault="000146CB" w:rsidP="00022FC1">
      <w:pPr>
        <w:pStyle w:val="Prrafodelista"/>
        <w:numPr>
          <w:ilvl w:val="0"/>
          <w:numId w:val="15"/>
        </w:numPr>
        <w:spacing w:after="0" w:line="276" w:lineRule="auto"/>
        <w:contextualSpacing w:val="0"/>
        <w:rPr>
          <w:rFonts w:ascii="Verdana" w:eastAsia="Verdana" w:hAnsi="Verdana" w:cs="Verdana"/>
          <w:color w:val="0000FF"/>
          <w:u w:val="single"/>
          <w:lang w:val="es-MX"/>
        </w:rPr>
      </w:pPr>
      <w:r w:rsidRPr="00935522">
        <w:rPr>
          <w:rFonts w:ascii="Verdana" w:eastAsia="Verdana" w:hAnsi="Verdana" w:cs="Verdana"/>
          <w:lang w:val="es-MX"/>
        </w:rPr>
        <w:t xml:space="preserve">Correo de radicación de correspondencia: </w:t>
      </w:r>
      <w:hyperlink r:id="rId15">
        <w:r w:rsidRPr="00935522">
          <w:rPr>
            <w:rStyle w:val="Hipervnculo"/>
            <w:rFonts w:ascii="Verdana" w:eastAsia="Verdana" w:hAnsi="Verdana" w:cs="Verdana"/>
            <w:lang w:val="es-MX"/>
          </w:rPr>
          <w:t>ventanilladeradicacion@colombiacompra.gov.co</w:t>
        </w:r>
      </w:hyperlink>
    </w:p>
    <w:p w14:paraId="1E7C38AA" w14:textId="77777777" w:rsidR="000146CB" w:rsidRPr="00935522" w:rsidRDefault="000146CB" w:rsidP="00022FC1">
      <w:pPr>
        <w:pStyle w:val="Prrafodelista"/>
        <w:numPr>
          <w:ilvl w:val="0"/>
          <w:numId w:val="15"/>
        </w:numPr>
        <w:spacing w:after="0" w:line="276" w:lineRule="auto"/>
        <w:contextualSpacing w:val="0"/>
        <w:rPr>
          <w:rFonts w:ascii="Verdana" w:eastAsia="Verdana" w:hAnsi="Verdana" w:cs="Verdana"/>
          <w:color w:val="0000FF"/>
          <w:u w:val="single"/>
          <w:lang w:val="es-MX"/>
        </w:rPr>
      </w:pPr>
      <w:r w:rsidRPr="00935522">
        <w:rPr>
          <w:rFonts w:ascii="Verdana" w:eastAsia="Verdana" w:hAnsi="Verdana" w:cs="Verdana"/>
        </w:rPr>
        <w:t>Formulario web para</w:t>
      </w:r>
      <w:r w:rsidRPr="00935522">
        <w:rPr>
          <w:rFonts w:ascii="Verdana" w:eastAsia="Verdana" w:hAnsi="Verdana" w:cs="Verdana"/>
          <w:lang w:val="es"/>
        </w:rPr>
        <w:t xml:space="preserve"> PQRSD: </w:t>
      </w:r>
      <w:hyperlink r:id="rId16">
        <w:r w:rsidRPr="00935522">
          <w:rPr>
            <w:rStyle w:val="Hipervnculo"/>
            <w:rFonts w:ascii="Verdana" w:eastAsia="Verdana" w:hAnsi="Verdana" w:cs="Verdana"/>
            <w:lang w:val="es-MX"/>
          </w:rPr>
          <w:t>https://www.colombiacompra.gov.co/pqrsd/informacion-importante-antes-de-formular-una-pqrsd</w:t>
        </w:r>
      </w:hyperlink>
    </w:p>
    <w:p w14:paraId="1E96A60E" w14:textId="77777777" w:rsidR="000146CB" w:rsidRPr="00935522" w:rsidRDefault="000146CB" w:rsidP="00022FC1">
      <w:pPr>
        <w:spacing w:after="0" w:line="276" w:lineRule="auto"/>
        <w:ind w:left="720"/>
        <w:jc w:val="both"/>
        <w:rPr>
          <w:rFonts w:ascii="Verdana" w:hAnsi="Verdana"/>
        </w:rPr>
      </w:pPr>
    </w:p>
    <w:p w14:paraId="146D27D4" w14:textId="77777777" w:rsidR="000146CB" w:rsidRPr="00935522" w:rsidRDefault="000146CB" w:rsidP="00022FC1">
      <w:pPr>
        <w:spacing w:after="0" w:line="276" w:lineRule="auto"/>
        <w:jc w:val="both"/>
        <w:rPr>
          <w:rFonts w:ascii="Verdana" w:hAnsi="Verdana"/>
        </w:rPr>
      </w:pPr>
      <w:r w:rsidRPr="00935522">
        <w:rPr>
          <w:rFonts w:ascii="Verdana" w:hAnsi="Verdana"/>
        </w:rPr>
        <w:t xml:space="preserve">Evalúa el servicio que ofrece la Agencia por el canal de atención de PQRSD en el siguiente enlace: </w:t>
      </w:r>
      <w:hyperlink r:id="rId17" w:history="1">
        <w:r w:rsidRPr="00935522">
          <w:rPr>
            <w:rStyle w:val="Hipervnculo"/>
            <w:rFonts w:ascii="Verdana" w:hAnsi="Verdana"/>
          </w:rPr>
          <w:t>https://forms.office.com/r/pPHyWVs2SZ</w:t>
        </w:r>
      </w:hyperlink>
      <w:r w:rsidRPr="00935522">
        <w:rPr>
          <w:rFonts w:ascii="Verdana" w:hAnsi="Verdana"/>
        </w:rPr>
        <w:t>. ¡Ayúdanos a mejorar porque el compromiso es de todos!</w:t>
      </w:r>
    </w:p>
    <w:p w14:paraId="4C39EE95" w14:textId="77777777" w:rsidR="000146CB" w:rsidRPr="00935522" w:rsidRDefault="000146CB" w:rsidP="00022FC1">
      <w:pPr>
        <w:spacing w:after="0" w:line="276" w:lineRule="auto"/>
        <w:jc w:val="both"/>
        <w:rPr>
          <w:rFonts w:ascii="Verdana" w:hAnsi="Verdana"/>
        </w:rPr>
      </w:pPr>
      <w:r w:rsidRPr="00935522">
        <w:rPr>
          <w:rFonts w:ascii="Verdana" w:hAnsi="Verdana"/>
        </w:rPr>
        <w:t xml:space="preserve">Por último, lo invitamos a seguirnos en las redes sociales en las cuales se difunde información institucional: </w:t>
      </w:r>
    </w:p>
    <w:p w14:paraId="6582B44D" w14:textId="77777777" w:rsidR="000146CB" w:rsidRPr="00935522" w:rsidRDefault="000146CB" w:rsidP="00022FC1">
      <w:pPr>
        <w:spacing w:after="0" w:line="276" w:lineRule="auto"/>
        <w:jc w:val="both"/>
        <w:rPr>
          <w:rFonts w:ascii="Verdana" w:hAnsi="Verdana"/>
        </w:rPr>
      </w:pPr>
    </w:p>
    <w:p w14:paraId="624BD692" w14:textId="77777777" w:rsidR="000146CB" w:rsidRPr="00935522" w:rsidRDefault="000146CB" w:rsidP="00022FC1">
      <w:pPr>
        <w:spacing w:after="0" w:line="276" w:lineRule="auto"/>
        <w:jc w:val="both"/>
        <w:rPr>
          <w:rFonts w:ascii="Verdana" w:hAnsi="Verdana"/>
        </w:rPr>
      </w:pPr>
      <w:r w:rsidRPr="00935522">
        <w:rPr>
          <w:rFonts w:ascii="Verdana" w:hAnsi="Verdana"/>
        </w:rPr>
        <w:t xml:space="preserve">Twitter: </w:t>
      </w:r>
      <w:r w:rsidRPr="00935522">
        <w:rPr>
          <w:rStyle w:val="Hipervnculo"/>
          <w:rFonts w:ascii="Verdana" w:hAnsi="Verdana"/>
        </w:rPr>
        <w:t>@colombiacompra</w:t>
      </w:r>
      <w:r w:rsidRPr="00935522">
        <w:rPr>
          <w:rFonts w:ascii="Verdana" w:hAnsi="Verdana"/>
        </w:rPr>
        <w:t xml:space="preserve"> </w:t>
      </w:r>
    </w:p>
    <w:p w14:paraId="12738EC3" w14:textId="77777777" w:rsidR="000146CB" w:rsidRPr="00935522" w:rsidRDefault="000146CB" w:rsidP="00022FC1">
      <w:pPr>
        <w:spacing w:after="0" w:line="276" w:lineRule="auto"/>
        <w:jc w:val="both"/>
        <w:rPr>
          <w:rFonts w:ascii="Verdana" w:hAnsi="Verdana"/>
        </w:rPr>
      </w:pPr>
      <w:r w:rsidRPr="00935522">
        <w:rPr>
          <w:rFonts w:ascii="Verdana" w:hAnsi="Verdana"/>
        </w:rPr>
        <w:t xml:space="preserve">Facebook: </w:t>
      </w:r>
      <w:r w:rsidRPr="00935522">
        <w:rPr>
          <w:rStyle w:val="Hipervnculo"/>
          <w:rFonts w:ascii="Verdana" w:hAnsi="Verdana"/>
        </w:rPr>
        <w:t>ColombiaCompraEficiente</w:t>
      </w:r>
    </w:p>
    <w:p w14:paraId="76387BA5" w14:textId="77777777" w:rsidR="000146CB" w:rsidRPr="00935522" w:rsidRDefault="000146CB" w:rsidP="00022FC1">
      <w:pPr>
        <w:spacing w:after="0" w:line="276" w:lineRule="auto"/>
        <w:jc w:val="both"/>
        <w:rPr>
          <w:rFonts w:ascii="Verdana" w:hAnsi="Verdana"/>
        </w:rPr>
      </w:pPr>
      <w:r w:rsidRPr="00935522">
        <w:rPr>
          <w:rFonts w:ascii="Verdana" w:hAnsi="Verdana"/>
        </w:rPr>
        <w:t xml:space="preserve">LinkedIn: </w:t>
      </w:r>
      <w:r w:rsidRPr="00935522">
        <w:rPr>
          <w:rStyle w:val="Hipervnculo"/>
          <w:rFonts w:ascii="Verdana" w:hAnsi="Verdana"/>
        </w:rPr>
        <w:t>Agencia Nacional de Contratación Pública - Colombia Compra Eficiente</w:t>
      </w:r>
      <w:r w:rsidRPr="00935522">
        <w:rPr>
          <w:rFonts w:ascii="Verdana" w:hAnsi="Verdana"/>
        </w:rPr>
        <w:t xml:space="preserve"> Instagram: </w:t>
      </w:r>
      <w:r w:rsidRPr="00935522">
        <w:rPr>
          <w:rStyle w:val="Hipervnculo"/>
          <w:rFonts w:ascii="Verdana" w:hAnsi="Verdana"/>
        </w:rPr>
        <w:t>@colombiacompraeficiente_cce</w:t>
      </w:r>
    </w:p>
    <w:p w14:paraId="6FEC5A9B" w14:textId="77777777" w:rsidR="000146CB" w:rsidRPr="00935522" w:rsidRDefault="000146CB" w:rsidP="00022FC1">
      <w:pPr>
        <w:spacing w:after="0" w:line="276" w:lineRule="auto"/>
        <w:jc w:val="both"/>
        <w:rPr>
          <w:rFonts w:ascii="Verdana" w:hAnsi="Verdana"/>
        </w:rPr>
      </w:pPr>
    </w:p>
    <w:p w14:paraId="5A550D15" w14:textId="77777777" w:rsidR="000146CB" w:rsidRPr="00935522" w:rsidRDefault="000146CB" w:rsidP="00022FC1">
      <w:pPr>
        <w:spacing w:after="0" w:line="276" w:lineRule="auto"/>
        <w:jc w:val="both"/>
        <w:rPr>
          <w:rFonts w:ascii="Verdana" w:eastAsia="Calibri" w:hAnsi="Verdana" w:cs="Times New Roman"/>
          <w:bCs/>
          <w:lang w:val="es-ES_tradnl"/>
        </w:rPr>
      </w:pPr>
      <w:r w:rsidRPr="00935522">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BE3B3C0" w14:textId="77777777" w:rsidR="000146CB" w:rsidRPr="00935522" w:rsidRDefault="000146CB" w:rsidP="00022FC1">
      <w:pPr>
        <w:spacing w:after="0" w:line="276" w:lineRule="auto"/>
        <w:jc w:val="both"/>
        <w:rPr>
          <w:rFonts w:ascii="Verdana" w:eastAsia="Calibri" w:hAnsi="Verdana" w:cs="Times New Roman"/>
        </w:rPr>
      </w:pPr>
    </w:p>
    <w:p w14:paraId="39738D6A" w14:textId="77777777" w:rsidR="000146CB" w:rsidRPr="00935522" w:rsidRDefault="000146CB" w:rsidP="00935522">
      <w:pPr>
        <w:spacing w:after="0" w:line="276" w:lineRule="auto"/>
        <w:jc w:val="both"/>
        <w:rPr>
          <w:rFonts w:ascii="Verdana" w:eastAsia="Times New Roman" w:hAnsi="Verdana" w:cs="Arial"/>
          <w:lang w:eastAsia="es-CO"/>
        </w:rPr>
      </w:pPr>
      <w:bookmarkStart w:id="6" w:name="_Hlk117695077"/>
      <w:r w:rsidRPr="00935522">
        <w:rPr>
          <w:rFonts w:ascii="Verdana" w:eastAsia="Times New Roman" w:hAnsi="Verdana" w:cs="Arial"/>
          <w:lang w:eastAsia="es-CO"/>
        </w:rPr>
        <w:t>Atentamente,</w:t>
      </w:r>
    </w:p>
    <w:bookmarkEnd w:id="6"/>
    <w:p w14:paraId="2104EBFC" w14:textId="68245F20" w:rsidR="000146CB" w:rsidRDefault="00FE667D" w:rsidP="000146CB">
      <w:pPr>
        <w:spacing w:after="0" w:line="276" w:lineRule="auto"/>
        <w:jc w:val="center"/>
        <w:rPr>
          <w:rFonts w:ascii="Verdana" w:eastAsia="Times New Roman" w:hAnsi="Verdana" w:cs="Arial"/>
        </w:rPr>
      </w:pPr>
      <w:r w:rsidRPr="002C3AD6">
        <w:rPr>
          <w:rFonts w:ascii="Century Gothic" w:hAnsi="Century Gothic"/>
          <w:noProof/>
        </w:rPr>
        <w:drawing>
          <wp:inline distT="0" distB="0" distL="0" distR="0" wp14:anchorId="56623221" wp14:editId="1029FE3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p w14:paraId="54DDD92B" w14:textId="77777777" w:rsidR="000146CB" w:rsidRDefault="000146CB" w:rsidP="000146CB">
      <w:pPr>
        <w:spacing w:after="0" w:line="276" w:lineRule="auto"/>
        <w:jc w:val="both"/>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146CB" w:rsidRPr="007A0E81" w14:paraId="14AFC919" w14:textId="77777777">
        <w:trPr>
          <w:trHeight w:val="315"/>
        </w:trPr>
        <w:tc>
          <w:tcPr>
            <w:tcW w:w="893" w:type="dxa"/>
            <w:vAlign w:val="center"/>
            <w:hideMark/>
          </w:tcPr>
          <w:p w14:paraId="5DE1306B" w14:textId="77777777" w:rsidR="000146CB" w:rsidRPr="007A0E81" w:rsidRDefault="000146CB">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230B64FF" w14:textId="77777777" w:rsidR="000146CB" w:rsidRPr="007A0E81" w:rsidRDefault="000146CB">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072E423D" w14:textId="77777777" w:rsidR="000146CB" w:rsidRPr="007A0E81" w:rsidRDefault="000146CB">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0146CB" w:rsidRPr="007A0E81" w14:paraId="1B7721B6" w14:textId="77777777">
        <w:trPr>
          <w:trHeight w:val="330"/>
        </w:trPr>
        <w:tc>
          <w:tcPr>
            <w:tcW w:w="893" w:type="dxa"/>
            <w:vAlign w:val="center"/>
            <w:hideMark/>
          </w:tcPr>
          <w:p w14:paraId="36C27AA1" w14:textId="77777777" w:rsidR="000146CB" w:rsidRPr="007A0E81" w:rsidRDefault="000146CB">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5DE75551" w14:textId="77777777" w:rsidR="000146CB" w:rsidRPr="007A0E81" w:rsidRDefault="000146CB">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0EC0F4AC" w14:textId="77777777" w:rsidR="000146CB" w:rsidRPr="007A0E81" w:rsidRDefault="000146CB">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0146CB" w:rsidRPr="007A0E81" w14:paraId="0ECBCEFD" w14:textId="77777777">
        <w:trPr>
          <w:trHeight w:val="300"/>
        </w:trPr>
        <w:tc>
          <w:tcPr>
            <w:tcW w:w="893" w:type="dxa"/>
            <w:vAlign w:val="center"/>
          </w:tcPr>
          <w:p w14:paraId="4454F193" w14:textId="77777777" w:rsidR="000146CB" w:rsidRPr="007A0E81" w:rsidRDefault="000146CB">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9C45F8F" w14:textId="77777777" w:rsidR="000146CB" w:rsidRPr="007A0E81" w:rsidRDefault="000146CB">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Carolina Quintero Gacharná</w:t>
            </w:r>
          </w:p>
          <w:p w14:paraId="4D92AB8B" w14:textId="77777777" w:rsidR="000146CB" w:rsidRPr="007A0E81" w:rsidRDefault="000146CB">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bookmarkEnd w:id="0"/>
    </w:tbl>
    <w:p w14:paraId="12443EE0" w14:textId="77777777" w:rsidR="00C15139" w:rsidRPr="0024624F" w:rsidRDefault="00C15139" w:rsidP="007E0A09">
      <w:pPr>
        <w:spacing w:after="0"/>
        <w:rPr>
          <w:rFonts w:ascii="Verdana" w:hAnsi="Verdana"/>
        </w:rPr>
      </w:pPr>
    </w:p>
    <w:sectPr w:rsidR="00C15139" w:rsidRPr="0024624F" w:rsidSect="005F1EF7">
      <w:headerReference w:type="default" r:id="rId19"/>
      <w:footerReference w:type="default" r:id="rId20"/>
      <w:pgSz w:w="12240" w:h="15840" w:code="1"/>
      <w:pgMar w:top="1417" w:right="1701" w:bottom="1417" w:left="1701" w:header="709" w:footer="9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53FB2" w14:textId="77777777" w:rsidR="00D76CCD" w:rsidRDefault="00D76CCD" w:rsidP="004A1847">
      <w:pPr>
        <w:spacing w:after="0" w:line="240" w:lineRule="auto"/>
      </w:pPr>
      <w:r>
        <w:separator/>
      </w:r>
    </w:p>
  </w:endnote>
  <w:endnote w:type="continuationSeparator" w:id="0">
    <w:p w14:paraId="2463DA8A" w14:textId="77777777" w:rsidR="00D76CCD" w:rsidRDefault="00D76CC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EC240" w14:textId="77777777" w:rsidR="00D76CCD" w:rsidRDefault="00D76CCD" w:rsidP="004A1847">
      <w:pPr>
        <w:spacing w:after="0" w:line="240" w:lineRule="auto"/>
      </w:pPr>
      <w:r>
        <w:separator/>
      </w:r>
    </w:p>
  </w:footnote>
  <w:footnote w:type="continuationSeparator" w:id="0">
    <w:p w14:paraId="100CAA46" w14:textId="77777777" w:rsidR="00D76CCD" w:rsidRDefault="00D76CCD" w:rsidP="004A1847">
      <w:pPr>
        <w:spacing w:after="0" w:line="240" w:lineRule="auto"/>
      </w:pPr>
      <w:r>
        <w:continuationSeparator/>
      </w:r>
    </w:p>
  </w:footnote>
  <w:footnote w:id="1">
    <w:p w14:paraId="7E06790A" w14:textId="77777777" w:rsidR="000146CB" w:rsidRPr="00225E89" w:rsidRDefault="000146CB" w:rsidP="000146CB">
      <w:pPr>
        <w:pStyle w:val="Textonotapie"/>
        <w:ind w:firstLine="708"/>
        <w:jc w:val="both"/>
        <w:rPr>
          <w:rFonts w:ascii="Verdana" w:hAnsi="Verdana" w:cs="Arial"/>
          <w:sz w:val="12"/>
          <w:szCs w:val="12"/>
        </w:rPr>
      </w:pPr>
      <w:r w:rsidRPr="00225E89">
        <w:rPr>
          <w:rStyle w:val="Refdenotaalpie"/>
          <w:rFonts w:ascii="Verdana" w:hAnsi="Verdana" w:cs="Arial"/>
          <w:sz w:val="12"/>
          <w:szCs w:val="12"/>
        </w:rPr>
        <w:footnoteRef/>
      </w:r>
      <w:r w:rsidRPr="00225E89">
        <w:rPr>
          <w:rFonts w:ascii="Verdana" w:hAnsi="Verdana" w:cs="Arial"/>
          <w:sz w:val="12"/>
          <w:szCs w:val="12"/>
        </w:rPr>
        <w:t xml:space="preserve"> “El instrumento principal de la actividad financiera del gobierno es el presupuesto público, el cual es también la carta de orientación para la ejecución de las finanzas estatales, instrumento de planificación y cumplimiento de planes y programas que refleja la actividad gubernamental y el cumplimiento de la Constitución Política en los ámbitos políticos, económicos, jurídicos y sociales. […] El presupuesto enmarca toda la práctica de política fiscal del Estado. Por medio de éste se llevan a cabo la búsqueda y el cumplimiento de principios y finalidades de la actuación administrativa, y que (sic) en últimas, orienta la satisfacción de necesidades de los individuos que lo conforman y se garantizan los recursos necesarios para el normal funcionamiento del aparato estatal”. PEÑA GONZÁLEZ, Edilberto. Principios e instituciones presupuestales en Colombia, en: Estudios Socio-Jurídicos, Bogotá (Colombia), 9 (1), enero-junio de 2007, p. 248 y 250.</w:t>
      </w:r>
    </w:p>
  </w:footnote>
  <w:footnote w:id="2">
    <w:p w14:paraId="595E6BC5" w14:textId="77777777" w:rsidR="000146CB" w:rsidRPr="00225E89" w:rsidRDefault="000146CB" w:rsidP="000146CB">
      <w:pPr>
        <w:pStyle w:val="Textonotapie"/>
        <w:ind w:firstLine="708"/>
        <w:jc w:val="both"/>
        <w:rPr>
          <w:rFonts w:ascii="Verdana" w:hAnsi="Verdana" w:cs="Arial"/>
          <w:sz w:val="12"/>
          <w:szCs w:val="12"/>
        </w:rPr>
      </w:pPr>
      <w:r w:rsidRPr="00225E89">
        <w:rPr>
          <w:rStyle w:val="Refdenotaalpie"/>
          <w:rFonts w:ascii="Verdana" w:hAnsi="Verdana" w:cs="Arial"/>
          <w:sz w:val="12"/>
          <w:szCs w:val="12"/>
        </w:rPr>
        <w:footnoteRef/>
      </w:r>
      <w:r w:rsidRPr="00225E89">
        <w:rPr>
          <w:rFonts w:ascii="Verdana" w:hAnsi="Verdana" w:cs="Arial"/>
          <w:sz w:val="12"/>
          <w:szCs w:val="12"/>
        </w:rPr>
        <w:t xml:space="preserve"> De conformidad con lo dispuesto en el artículo 10 del Decreto 111 de 1996 “La Ley Anual sobre el Presupuesto General de la Nación es el instrumento para el cumplimiento de los planes y programas de desarrollo económico y social” </w:t>
      </w:r>
    </w:p>
    <w:p w14:paraId="16593737" w14:textId="77777777" w:rsidR="000146CB" w:rsidRPr="00225E89" w:rsidRDefault="000146CB" w:rsidP="000146CB">
      <w:pPr>
        <w:pStyle w:val="Textonotapie"/>
        <w:ind w:firstLine="708"/>
        <w:jc w:val="both"/>
        <w:rPr>
          <w:rFonts w:ascii="Verdana" w:hAnsi="Verdana" w:cs="Arial"/>
          <w:sz w:val="12"/>
          <w:szCs w:val="12"/>
        </w:rPr>
      </w:pPr>
      <w:r w:rsidRPr="00225E89">
        <w:rPr>
          <w:rFonts w:ascii="Verdana" w:hAnsi="Verdana" w:cs="Arial"/>
          <w:sz w:val="12"/>
          <w:szCs w:val="12"/>
        </w:rPr>
        <w:t>A su turno, el artículo 11 del mismo Decreto indica que “El Presupuesto General de la Nación se compone de las siguientes partes:</w:t>
      </w:r>
    </w:p>
    <w:p w14:paraId="77A7F9DE" w14:textId="77777777" w:rsidR="000146CB" w:rsidRPr="00225E89" w:rsidRDefault="000146CB" w:rsidP="000146CB">
      <w:pPr>
        <w:pStyle w:val="Textonotapie"/>
        <w:ind w:firstLine="708"/>
        <w:jc w:val="both"/>
        <w:rPr>
          <w:rFonts w:ascii="Verdana" w:hAnsi="Verdana" w:cs="Arial"/>
          <w:sz w:val="12"/>
          <w:szCs w:val="12"/>
        </w:rPr>
      </w:pPr>
      <w:r w:rsidRPr="00225E89">
        <w:rPr>
          <w:rFonts w:ascii="Verdana" w:hAnsi="Verdana" w:cs="Arial"/>
          <w:sz w:val="12"/>
          <w:szCs w:val="12"/>
        </w:rPr>
        <w:t>a) El Presupuesto de Rentas contendrá la estimación de los ingresos corrientes de la Nación; de las contribuciones para fiscales cuando sean administradas por un órgano que haga parte del Presupuesto, de los fondos especiales, de los recursos de capital y de los ingresos de los establecimientos públicos del orden nacional;</w:t>
      </w:r>
    </w:p>
    <w:p w14:paraId="02299F08" w14:textId="77777777" w:rsidR="000146CB" w:rsidRPr="00225E89" w:rsidRDefault="000146CB" w:rsidP="000146CB">
      <w:pPr>
        <w:pStyle w:val="Textonotapie"/>
        <w:ind w:firstLine="708"/>
        <w:jc w:val="both"/>
        <w:rPr>
          <w:rFonts w:ascii="Verdana" w:hAnsi="Verdana" w:cs="Arial"/>
          <w:sz w:val="12"/>
          <w:szCs w:val="12"/>
        </w:rPr>
      </w:pPr>
      <w:r w:rsidRPr="00225E89">
        <w:rPr>
          <w:rFonts w:ascii="Verdana" w:hAnsi="Verdana" w:cs="Arial"/>
          <w:sz w:val="12"/>
          <w:szCs w:val="12"/>
        </w:rPr>
        <w:t>b) El Presupuesto de Gastos o Ley de Apropiaciones. Incluirá las apropiaciones para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distinguiendo entre gastos de funcionamiento, servicio de la deuda pública y gastos de inversión, clasificados y detallados en la forma que indiquen los reglamentos;</w:t>
      </w:r>
    </w:p>
    <w:p w14:paraId="11C6A03E" w14:textId="77777777" w:rsidR="000146CB" w:rsidRPr="00F73D92" w:rsidRDefault="000146CB" w:rsidP="000146CB">
      <w:pPr>
        <w:pStyle w:val="Textonotapie"/>
        <w:ind w:firstLine="708"/>
        <w:jc w:val="both"/>
        <w:rPr>
          <w:rFonts w:ascii="Verdana" w:hAnsi="Verdana" w:cs="Arial"/>
          <w:sz w:val="16"/>
          <w:szCs w:val="16"/>
          <w:lang w:val="es-CO"/>
        </w:rPr>
      </w:pPr>
      <w:r w:rsidRPr="00225E89">
        <w:rPr>
          <w:rFonts w:ascii="Verdana" w:hAnsi="Verdana" w:cs="Arial"/>
          <w:sz w:val="12"/>
          <w:szCs w:val="12"/>
        </w:rPr>
        <w:t xml:space="preserve"> c) Disposiciones generales. Corresponde a las normas tendientes a asegurar la correcta ejecución del Presupuesto General de la Nación, las cuales regirán únicamente para el año fiscal para el cual se expidan.»</w:t>
      </w:r>
    </w:p>
  </w:footnote>
  <w:footnote w:id="3">
    <w:p w14:paraId="0BFE360F" w14:textId="77777777" w:rsidR="000146CB" w:rsidRPr="00225E89" w:rsidRDefault="000146CB" w:rsidP="000146CB">
      <w:pPr>
        <w:pStyle w:val="Textonotapie"/>
        <w:ind w:firstLine="709"/>
        <w:jc w:val="both"/>
        <w:rPr>
          <w:rFonts w:ascii="Verdana" w:hAnsi="Verdana"/>
          <w:sz w:val="12"/>
          <w:szCs w:val="12"/>
          <w:lang w:val="es-CO"/>
        </w:rPr>
      </w:pPr>
      <w:r w:rsidRPr="00225E89">
        <w:rPr>
          <w:rStyle w:val="Refdenotaalpie"/>
          <w:rFonts w:ascii="Verdana" w:hAnsi="Verdana" w:cs="Arial"/>
          <w:sz w:val="12"/>
          <w:szCs w:val="12"/>
        </w:rPr>
        <w:footnoteRef/>
      </w:r>
      <w:r w:rsidRPr="00225E89">
        <w:rPr>
          <w:rFonts w:ascii="Verdana" w:hAnsi="Verdana" w:cs="Arial"/>
          <w:sz w:val="12"/>
          <w:szCs w:val="12"/>
        </w:rPr>
        <w:t xml:space="preserve"> Decreto 1068 de 2015 “</w:t>
      </w:r>
      <w:r w:rsidRPr="00225E89">
        <w:rPr>
          <w:rFonts w:ascii="Verdana" w:hAnsi="Verdana" w:cs="Arial"/>
          <w:sz w:val="12"/>
          <w:szCs w:val="12"/>
          <w:lang w:val="es-CO"/>
        </w:rPr>
        <w:t>Artículo </w:t>
      </w:r>
      <w:bookmarkStart w:id="2" w:name="2.8.3.4"/>
      <w:bookmarkEnd w:id="2"/>
      <w:r w:rsidRPr="00225E89">
        <w:rPr>
          <w:rFonts w:ascii="Verdana" w:hAnsi="Verdana" w:cs="Arial"/>
          <w:sz w:val="12"/>
          <w:szCs w:val="12"/>
          <w:lang w:val="es-CO"/>
        </w:rPr>
        <w:t>2.8.3.4. </w:t>
      </w:r>
      <w:r w:rsidRPr="00225E89">
        <w:rPr>
          <w:rFonts w:ascii="Verdana" w:hAnsi="Verdana" w:cs="Arial"/>
          <w:i/>
          <w:iCs/>
          <w:sz w:val="12"/>
          <w:szCs w:val="12"/>
          <w:lang w:val="es-CO"/>
        </w:rPr>
        <w:t>Anualidad.</w:t>
      </w:r>
      <w:r w:rsidRPr="00225E89">
        <w:rPr>
          <w:rFonts w:ascii="Verdana" w:hAnsi="Verdana" w:cs="Arial"/>
          <w:sz w:val="12"/>
          <w:szCs w:val="12"/>
          <w:lang w:val="es-CO"/>
        </w:rPr>
        <w:t> El año fiscal comienza el 1 de enero y termina el 31 de diciembre de cada año. Después del 31 de diciembre no podrán asumirse compromisos con cargo a las apropiaciones del año fiscal que se cierra en esa fecha y los saldos de apropiación no afectados por compromisos caducarán sin excepción”.</w:t>
      </w:r>
    </w:p>
  </w:footnote>
  <w:footnote w:id="4">
    <w:p w14:paraId="326C852A" w14:textId="77777777" w:rsidR="000146CB" w:rsidRPr="00225E89" w:rsidRDefault="000146CB" w:rsidP="000146CB">
      <w:pPr>
        <w:pStyle w:val="Textonotapie"/>
        <w:ind w:right="49" w:firstLine="708"/>
        <w:jc w:val="both"/>
        <w:rPr>
          <w:rFonts w:ascii="Verdana" w:hAnsi="Verdana" w:cs="Arial"/>
          <w:color w:val="000000"/>
          <w:sz w:val="12"/>
          <w:szCs w:val="12"/>
        </w:rPr>
      </w:pPr>
      <w:r w:rsidRPr="00F73D92">
        <w:rPr>
          <w:rStyle w:val="Refdenotaalpie"/>
          <w:rFonts w:ascii="Verdana" w:hAnsi="Verdana"/>
          <w:sz w:val="16"/>
          <w:szCs w:val="16"/>
        </w:rPr>
        <w:footnoteRef/>
      </w:r>
      <w:r w:rsidRPr="00F73D92">
        <w:rPr>
          <w:rFonts w:ascii="Verdana" w:hAnsi="Verdana"/>
          <w:sz w:val="16"/>
          <w:szCs w:val="16"/>
        </w:rPr>
        <w:t xml:space="preserve"> </w:t>
      </w:r>
      <w:r w:rsidRPr="00225E89">
        <w:rPr>
          <w:rFonts w:ascii="Verdana" w:hAnsi="Verdana" w:cs="Arial"/>
          <w:color w:val="000000"/>
          <w:sz w:val="12"/>
          <w:szCs w:val="12"/>
        </w:rPr>
        <w:t>Consejo de Estado. Sección Tercera. Sentencia del 1 de febrero de 2018. Radicado Nro.</w:t>
      </w:r>
      <w:r w:rsidRPr="00225E89">
        <w:rPr>
          <w:rFonts w:ascii="Verdana" w:hAnsi="Verdana" w:cs="Arial"/>
          <w:color w:val="000000"/>
          <w:sz w:val="12"/>
          <w:szCs w:val="12"/>
          <w:lang w:val="es-CO"/>
        </w:rPr>
        <w:t xml:space="preserve"> 08001-2331-000-2010-00987-01</w:t>
      </w:r>
      <w:r w:rsidRPr="00225E89">
        <w:rPr>
          <w:rFonts w:ascii="Verdana" w:hAnsi="Verdana" w:cs="Arial"/>
          <w:color w:val="000000"/>
          <w:sz w:val="12"/>
          <w:szCs w:val="12"/>
        </w:rPr>
        <w:t xml:space="preserve">. C.P. </w:t>
      </w:r>
      <w:r w:rsidRPr="00225E89">
        <w:rPr>
          <w:rFonts w:ascii="Verdana" w:hAnsi="Verdana" w:cs="Arial"/>
          <w:color w:val="000000"/>
          <w:sz w:val="12"/>
          <w:szCs w:val="12"/>
          <w:lang w:val="es-CO"/>
        </w:rPr>
        <w:t>Oswaldo Giraldo López</w:t>
      </w:r>
    </w:p>
    <w:p w14:paraId="083D5A14" w14:textId="77777777" w:rsidR="000146CB" w:rsidRPr="00225E89" w:rsidRDefault="000146CB" w:rsidP="000146CB">
      <w:pPr>
        <w:pStyle w:val="Textonotapie"/>
        <w:jc w:val="both"/>
        <w:rPr>
          <w:rFonts w:ascii="Verdana" w:hAnsi="Verdana"/>
          <w:sz w:val="12"/>
          <w:szCs w:val="12"/>
          <w:lang w:val="es-CO"/>
        </w:rPr>
      </w:pPr>
    </w:p>
  </w:footnote>
  <w:footnote w:id="5">
    <w:p w14:paraId="5A44A3EB" w14:textId="7B3BBEFA" w:rsidR="00225E89" w:rsidRPr="00225E89" w:rsidRDefault="00225E89" w:rsidP="00225E89">
      <w:pPr>
        <w:pStyle w:val="Textonotapie"/>
        <w:ind w:firstLine="708"/>
        <w:rPr>
          <w:lang w:val="es-ES"/>
        </w:rPr>
      </w:pPr>
      <w:r>
        <w:rPr>
          <w:rStyle w:val="Refdenotaalpie"/>
        </w:rPr>
        <w:footnoteRef/>
      </w:r>
      <w:r>
        <w:t xml:space="preserve"> </w:t>
      </w:r>
      <w:r w:rsidRPr="00225E89">
        <w:rPr>
          <w:rFonts w:ascii="Verdana" w:hAnsi="Verdana"/>
          <w:sz w:val="12"/>
          <w:szCs w:val="12"/>
        </w:rPr>
        <w:t>NARANJO FLORES, Carlos Eduardo; CELY CUBIDES, Diego Mauricio. Las excepciones al principio de anualidad en la contratación estatal. Bogotá: Revista de Derecho Fiscal Universidad Externado de Colombia, 2008, no 4. pp. 250-251.</w:t>
      </w:r>
    </w:p>
  </w:footnote>
  <w:footnote w:id="6">
    <w:p w14:paraId="2D0F0865" w14:textId="77777777" w:rsidR="000146CB" w:rsidRPr="00225E89" w:rsidRDefault="000146CB" w:rsidP="000146CB">
      <w:pPr>
        <w:pStyle w:val="Textonotapie"/>
        <w:ind w:firstLine="709"/>
        <w:jc w:val="both"/>
        <w:rPr>
          <w:rFonts w:ascii="Verdana" w:hAnsi="Verdana" w:cs="Arial"/>
          <w:sz w:val="12"/>
          <w:szCs w:val="12"/>
          <w:lang w:val="es-CO"/>
        </w:rPr>
      </w:pPr>
      <w:r w:rsidRPr="004746C4">
        <w:rPr>
          <w:rStyle w:val="Refdenotaalpie"/>
          <w:rFonts w:ascii="Verdana" w:hAnsi="Verdana" w:cs="Arial"/>
          <w:sz w:val="16"/>
          <w:szCs w:val="16"/>
        </w:rPr>
        <w:footnoteRef/>
      </w:r>
      <w:r w:rsidRPr="004746C4">
        <w:rPr>
          <w:rFonts w:ascii="Verdana" w:hAnsi="Verdana" w:cs="Arial"/>
          <w:sz w:val="16"/>
          <w:szCs w:val="16"/>
        </w:rPr>
        <w:t xml:space="preserve"> </w:t>
      </w:r>
      <w:bookmarkStart w:id="3" w:name="23"/>
      <w:r w:rsidRPr="00225E89">
        <w:rPr>
          <w:rFonts w:ascii="Verdana" w:eastAsia="Calibri" w:hAnsi="Verdana" w:cs="Arial"/>
          <w:sz w:val="12"/>
          <w:szCs w:val="12"/>
          <w:lang w:val="es-ES_tradnl"/>
        </w:rPr>
        <w:t>“</w:t>
      </w:r>
      <w:r w:rsidRPr="00225E89">
        <w:rPr>
          <w:rFonts w:ascii="Verdana" w:hAnsi="Verdana" w:cs="Arial"/>
          <w:sz w:val="12"/>
          <w:szCs w:val="12"/>
          <w:lang w:val="es-CO"/>
        </w:rPr>
        <w:t>Artículo 23.</w:t>
      </w:r>
      <w:bookmarkEnd w:id="3"/>
      <w:r w:rsidRPr="00225E89">
        <w:rPr>
          <w:rFonts w:ascii="Verdana" w:hAnsi="Verdana" w:cs="Arial"/>
          <w:sz w:val="12"/>
          <w:szCs w:val="12"/>
          <w:lang w:val="es-CO"/>
        </w:rPr>
        <w:t xml:space="preserve"> El Confis podrá autorizar la asunción de obligaciones que afecten presupuestos de vigencias futuras cuando su ejecución se inicie con presupuesto de la vigencia en curso y el objeto del compromiso se lleve a cabo en cada una de ellas siempre y cuando se cumpla que:</w:t>
      </w:r>
    </w:p>
    <w:p w14:paraId="34C1E641" w14:textId="77777777" w:rsidR="000146CB" w:rsidRPr="00225E89" w:rsidRDefault="000146CB" w:rsidP="000146CB">
      <w:pPr>
        <w:pStyle w:val="Textonotapie"/>
        <w:ind w:firstLine="567"/>
        <w:jc w:val="both"/>
        <w:rPr>
          <w:rFonts w:ascii="Verdana" w:hAnsi="Verdana" w:cs="Arial"/>
          <w:sz w:val="12"/>
          <w:szCs w:val="12"/>
          <w:lang w:val="es-CO"/>
        </w:rPr>
      </w:pPr>
      <w:r w:rsidRPr="00225E89">
        <w:rPr>
          <w:rFonts w:ascii="Verdana" w:hAnsi="Verdana" w:cs="Arial"/>
          <w:sz w:val="12"/>
          <w:szCs w:val="12"/>
          <w:lang w:val="es-CO"/>
        </w:rPr>
        <w:t>a) El monto máximo de vigencias futuras, el plazo y las condiciones de las mismas consulte las metas plurianuales del Marco Fiscal de Mediano Plazo de que trata el artículo </w:t>
      </w:r>
      <w:hyperlink r:id="rId1" w:anchor="1" w:history="1">
        <w:r w:rsidRPr="00225E89">
          <w:rPr>
            <w:rStyle w:val="Hipervnculo"/>
            <w:rFonts w:ascii="Verdana" w:hAnsi="Verdana" w:cs="Arial"/>
            <w:sz w:val="12"/>
            <w:szCs w:val="12"/>
            <w:lang w:val="es-CO"/>
          </w:rPr>
          <w:t>1</w:t>
        </w:r>
      </w:hyperlink>
      <w:r w:rsidRPr="00225E89">
        <w:rPr>
          <w:rFonts w:ascii="Verdana" w:hAnsi="Verdana" w:cs="Arial"/>
          <w:sz w:val="12"/>
          <w:szCs w:val="12"/>
          <w:lang w:val="es-CO"/>
        </w:rPr>
        <w:t>o de esta ley;</w:t>
      </w:r>
    </w:p>
    <w:p w14:paraId="0DAB241B" w14:textId="77777777" w:rsidR="000146CB" w:rsidRPr="00225E89" w:rsidRDefault="000146CB" w:rsidP="000146CB">
      <w:pPr>
        <w:pStyle w:val="Textonotapie"/>
        <w:ind w:firstLine="567"/>
        <w:jc w:val="both"/>
        <w:rPr>
          <w:rFonts w:ascii="Verdana" w:hAnsi="Verdana" w:cs="Arial"/>
          <w:sz w:val="12"/>
          <w:szCs w:val="12"/>
          <w:lang w:val="es-CO"/>
        </w:rPr>
      </w:pPr>
      <w:r w:rsidRPr="00225E89">
        <w:rPr>
          <w:rFonts w:ascii="Verdana" w:hAnsi="Verdana" w:cs="Arial"/>
          <w:sz w:val="12"/>
          <w:szCs w:val="12"/>
          <w:lang w:val="es-CO"/>
        </w:rPr>
        <w:t>b) Como mínimo, de las vigencias futuras que se soliciten se deberá contar con apropiación del quince por ciento (15%) en la vigencia fiscal en la que estas sean autorizadas;</w:t>
      </w:r>
    </w:p>
    <w:p w14:paraId="7994E723" w14:textId="77777777" w:rsidR="000146CB" w:rsidRPr="00225E89" w:rsidRDefault="000146CB" w:rsidP="000146CB">
      <w:pPr>
        <w:pStyle w:val="Textonotapie"/>
        <w:ind w:firstLine="567"/>
        <w:jc w:val="both"/>
        <w:rPr>
          <w:rFonts w:ascii="Verdana" w:hAnsi="Verdana" w:cs="Arial"/>
          <w:sz w:val="12"/>
          <w:szCs w:val="12"/>
          <w:lang w:val="es-CO"/>
        </w:rPr>
      </w:pPr>
      <w:r w:rsidRPr="00225E89">
        <w:rPr>
          <w:rFonts w:ascii="Verdana" w:hAnsi="Verdana" w:cs="Arial"/>
          <w:sz w:val="12"/>
          <w:szCs w:val="12"/>
          <w:lang w:val="es-CO"/>
        </w:rPr>
        <w:t>c) Cuando se trate de proyectos de inversión nacional deberá obtenerse el concepto previo y favorable del Departamento Nacional de Planeación y del Ministerio del ramo.</w:t>
      </w:r>
    </w:p>
    <w:p w14:paraId="607426EB" w14:textId="77777777" w:rsidR="000146CB" w:rsidRPr="00225E89" w:rsidRDefault="000146CB" w:rsidP="000146CB">
      <w:pPr>
        <w:pStyle w:val="Textonotapie"/>
        <w:jc w:val="both"/>
        <w:rPr>
          <w:rFonts w:ascii="Verdana" w:hAnsi="Verdana" w:cs="Arial"/>
          <w:sz w:val="12"/>
          <w:szCs w:val="12"/>
          <w:lang w:val="es-CO"/>
        </w:rPr>
      </w:pPr>
      <w:r w:rsidRPr="00225E89">
        <w:rPr>
          <w:rFonts w:ascii="Verdana" w:hAnsi="Verdana" w:cs="Arial"/>
          <w:sz w:val="12"/>
          <w:szCs w:val="12"/>
          <w:lang w:val="es-CO"/>
        </w:rPr>
        <w:t>La autorización por parte del Confis para comprometer presupuesto con cargo a vigencias futuras no podrá superar el respectivo período de gobierno. Se exceptúan los proyectos de gastos de inversión en aquellos casos en que el Conpes previamente los declare de importancia estratégica.</w:t>
      </w:r>
    </w:p>
    <w:p w14:paraId="6305F34A" w14:textId="77777777" w:rsidR="000146CB" w:rsidRPr="00225E89" w:rsidRDefault="000146CB" w:rsidP="000146CB">
      <w:pPr>
        <w:pStyle w:val="Textonotapie"/>
        <w:jc w:val="both"/>
        <w:rPr>
          <w:rFonts w:ascii="Verdana" w:hAnsi="Verdana" w:cs="Arial"/>
          <w:sz w:val="12"/>
          <w:szCs w:val="12"/>
          <w:lang w:val="es-CO"/>
        </w:rPr>
      </w:pPr>
      <w:r w:rsidRPr="00225E89">
        <w:rPr>
          <w:rFonts w:ascii="Verdana" w:hAnsi="Verdana" w:cs="Arial"/>
          <w:sz w:val="12"/>
          <w:szCs w:val="12"/>
          <w:lang w:val="es-CO"/>
        </w:rPr>
        <w:t>Esta disposición también se aplicará a las entidades de que trata el artículo 9o de la presente ley. El Gobierno reglamentará la materia.</w:t>
      </w:r>
    </w:p>
    <w:p w14:paraId="765349A0" w14:textId="77777777" w:rsidR="000146CB" w:rsidRPr="00225E89" w:rsidRDefault="000146CB" w:rsidP="000146CB">
      <w:pPr>
        <w:pStyle w:val="Textonotapie"/>
        <w:ind w:firstLine="709"/>
        <w:jc w:val="both"/>
        <w:rPr>
          <w:rFonts w:ascii="Verdana" w:hAnsi="Verdana" w:cs="Arial"/>
          <w:sz w:val="12"/>
          <w:szCs w:val="12"/>
          <w:lang w:val="es-CO"/>
        </w:rPr>
      </w:pPr>
      <w:r w:rsidRPr="00225E89">
        <w:rPr>
          <w:rFonts w:ascii="Verdana" w:hAnsi="Verdana" w:cs="Arial"/>
          <w:sz w:val="12"/>
          <w:szCs w:val="12"/>
          <w:lang w:val="es-CO"/>
        </w:rPr>
        <w:t>El Ministerio de Hacienda y Crédito Público, Dirección General del Presupuesto Público Nacional, incluirá en los proyectos de presupuesto las asignaciones necesarias para darle cumplimiento a lo dispuesto en este artículo. […]</w:t>
      </w:r>
      <w:r w:rsidRPr="00225E89">
        <w:rPr>
          <w:rFonts w:ascii="Verdana" w:eastAsia="Calibri" w:hAnsi="Verdana" w:cs="Arial"/>
          <w:sz w:val="12"/>
          <w:szCs w:val="12"/>
          <w:lang w:val="es-ES_tradnl"/>
        </w:rPr>
        <w:t>”</w:t>
      </w:r>
    </w:p>
  </w:footnote>
  <w:footnote w:id="7">
    <w:p w14:paraId="743C86F8" w14:textId="77777777" w:rsidR="000146CB" w:rsidRPr="00225E89" w:rsidRDefault="000146CB" w:rsidP="000146CB">
      <w:pPr>
        <w:pStyle w:val="Textonotapie"/>
        <w:ind w:firstLine="567"/>
        <w:jc w:val="both"/>
        <w:rPr>
          <w:rFonts w:ascii="Verdana" w:hAnsi="Verdana" w:cs="Arial"/>
          <w:sz w:val="12"/>
          <w:szCs w:val="12"/>
          <w:lang w:val="es-CO"/>
        </w:rPr>
      </w:pPr>
      <w:r w:rsidRPr="00225E89">
        <w:rPr>
          <w:rStyle w:val="Refdenotaalpie"/>
          <w:rFonts w:ascii="Verdana" w:hAnsi="Verdana" w:cs="Arial"/>
          <w:sz w:val="12"/>
          <w:szCs w:val="12"/>
        </w:rPr>
        <w:footnoteRef/>
      </w:r>
      <w:r w:rsidRPr="00225E89">
        <w:rPr>
          <w:rFonts w:ascii="Verdana" w:hAnsi="Verdana" w:cs="Arial"/>
          <w:sz w:val="12"/>
          <w:szCs w:val="12"/>
        </w:rPr>
        <w:t xml:space="preserve"> Consejo de Estado. Sección Tercera. Sentencia del 1 de febrero de 2018. Radicado Nro. 08001-2331-000-2010-00987-01. C.P. Oswaldo Giraldo López</w:t>
      </w:r>
    </w:p>
  </w:footnote>
  <w:footnote w:id="8">
    <w:p w14:paraId="5112BE12" w14:textId="77777777" w:rsidR="000146CB" w:rsidRPr="00225E89" w:rsidRDefault="000146CB" w:rsidP="000146CB">
      <w:pPr>
        <w:pStyle w:val="Textonotapie"/>
        <w:ind w:firstLine="709"/>
        <w:jc w:val="both"/>
        <w:rPr>
          <w:rFonts w:ascii="Verdana" w:hAnsi="Verdana" w:cs="Arial"/>
          <w:b/>
          <w:sz w:val="12"/>
          <w:szCs w:val="12"/>
          <w:lang w:val="es-ES"/>
        </w:rPr>
      </w:pPr>
      <w:r w:rsidRPr="00225E89">
        <w:rPr>
          <w:rStyle w:val="Refdenotaalpie"/>
          <w:rFonts w:ascii="Verdana" w:hAnsi="Verdana"/>
          <w:sz w:val="12"/>
          <w:szCs w:val="12"/>
        </w:rPr>
        <w:footnoteRef/>
      </w:r>
      <w:r w:rsidRPr="00225E89">
        <w:rPr>
          <w:rFonts w:ascii="Verdana" w:hAnsi="Verdana"/>
          <w:sz w:val="12"/>
          <w:szCs w:val="12"/>
        </w:rPr>
        <w:t xml:space="preserve"> </w:t>
      </w:r>
      <w:r w:rsidRPr="00225E89">
        <w:rPr>
          <w:rFonts w:ascii="Verdana" w:hAnsi="Verdana" w:cs="Arial"/>
          <w:sz w:val="12"/>
          <w:szCs w:val="12"/>
        </w:rPr>
        <w:t xml:space="preserve">Consejo de Estado. Sección Tercera. Sentencia del 12 de agosto de 2014. Radicado Nro. </w:t>
      </w:r>
      <w:r w:rsidRPr="00225E89">
        <w:rPr>
          <w:rFonts w:ascii="Verdana" w:hAnsi="Verdana" w:cs="Arial"/>
          <w:bCs/>
          <w:sz w:val="12"/>
          <w:szCs w:val="12"/>
          <w:lang w:val="es-ES"/>
        </w:rPr>
        <w:t xml:space="preserve">05001-23-31-000-1998-01350-01(28565) </w:t>
      </w:r>
      <w:r w:rsidRPr="00225E89">
        <w:rPr>
          <w:rFonts w:ascii="Verdana" w:hAnsi="Verdana" w:cs="Arial"/>
          <w:sz w:val="12"/>
          <w:szCs w:val="12"/>
        </w:rPr>
        <w:t>C.P. Enrique Gil Botero</w:t>
      </w:r>
    </w:p>
  </w:footnote>
  <w:footnote w:id="9">
    <w:p w14:paraId="57129A9E" w14:textId="77777777" w:rsidR="000146CB" w:rsidRPr="00225E89" w:rsidRDefault="000146CB" w:rsidP="000146CB">
      <w:pPr>
        <w:pStyle w:val="Textonotapie"/>
        <w:ind w:firstLine="709"/>
        <w:jc w:val="both"/>
        <w:rPr>
          <w:rFonts w:ascii="Verdana" w:eastAsia="Calibri" w:hAnsi="Verdana" w:cs="Arial"/>
          <w:sz w:val="12"/>
          <w:szCs w:val="12"/>
          <w:lang w:val="es-ES_tradnl"/>
        </w:rPr>
      </w:pPr>
      <w:r w:rsidRPr="00225E89">
        <w:rPr>
          <w:rStyle w:val="Refdenotaalpie"/>
          <w:rFonts w:ascii="Verdana" w:hAnsi="Verdana"/>
          <w:sz w:val="12"/>
          <w:szCs w:val="12"/>
        </w:rPr>
        <w:footnoteRef/>
      </w:r>
      <w:r w:rsidRPr="00225E89">
        <w:rPr>
          <w:rFonts w:ascii="Verdana" w:hAnsi="Verdana"/>
          <w:sz w:val="12"/>
          <w:szCs w:val="12"/>
        </w:rPr>
        <w:t xml:space="preserve"> </w:t>
      </w:r>
      <w:r w:rsidRPr="00225E89">
        <w:rPr>
          <w:rFonts w:ascii="Verdana" w:hAnsi="Verdana" w:cs="Arial"/>
          <w:sz w:val="12"/>
          <w:szCs w:val="12"/>
        </w:rPr>
        <w:t xml:space="preserve">Conforme al Artículo 89 del </w:t>
      </w:r>
      <w:r w:rsidRPr="00225E89">
        <w:rPr>
          <w:rFonts w:ascii="Verdana" w:eastAsia="Calibri" w:hAnsi="Verdana" w:cs="Arial"/>
          <w:color w:val="000000" w:themeColor="text1"/>
          <w:sz w:val="12"/>
          <w:szCs w:val="12"/>
          <w:lang w:val="es-ES"/>
        </w:rPr>
        <w:t>Estatuto Orgánico del Presupuesto</w:t>
      </w:r>
      <w:r w:rsidRPr="00225E89">
        <w:rPr>
          <w:rFonts w:ascii="Verdana" w:eastAsia="Times New Roman" w:hAnsi="Verdana" w:cs="Arial"/>
          <w:color w:val="4B4949"/>
          <w:sz w:val="12"/>
          <w:szCs w:val="12"/>
          <w:lang w:val="es-CO" w:eastAsia="es-ES_tradnl"/>
        </w:rPr>
        <w:t xml:space="preserve"> </w:t>
      </w:r>
      <w:r w:rsidRPr="00225E89">
        <w:rPr>
          <w:rFonts w:ascii="Verdana" w:eastAsia="Calibri" w:hAnsi="Verdana" w:cs="Arial"/>
          <w:sz w:val="12"/>
          <w:szCs w:val="12"/>
          <w:lang w:val="es-CO"/>
        </w:rPr>
        <w:t>“</w:t>
      </w:r>
      <w:r w:rsidRPr="00225E89">
        <w:rPr>
          <w:rFonts w:ascii="Verdana" w:eastAsia="Calibri" w:hAnsi="Verdana" w:cs="Arial"/>
          <w:sz w:val="12"/>
          <w:szCs w:val="12"/>
          <w:lang w:val="es-ES_tradnl"/>
        </w:rPr>
        <w:t xml:space="preserve">[…] </w:t>
      </w:r>
      <w:r w:rsidRPr="00225E89">
        <w:rPr>
          <w:rFonts w:ascii="Verdana" w:eastAsia="Times New Roman" w:hAnsi="Verdana" w:cs="Arial"/>
          <w:color w:val="4B4949"/>
          <w:sz w:val="12"/>
          <w:szCs w:val="12"/>
          <w:lang w:val="es-CO" w:eastAsia="es-ES_tradnl"/>
        </w:rPr>
        <w:t>c</w:t>
      </w:r>
      <w:r w:rsidRPr="00225E89">
        <w:rPr>
          <w:rFonts w:ascii="Verdana" w:eastAsia="Calibri" w:hAnsi="Verdana" w:cs="Arial"/>
          <w:color w:val="000000" w:themeColor="text1"/>
          <w:sz w:val="12"/>
          <w:szCs w:val="12"/>
          <w:lang w:val="es-CO"/>
        </w:rPr>
        <w:t>ada órgano constituirá al 31 de diciembre del año cuentas por pagar con las obligaciones correspondientes a los anticipos pactados en los contratos y a la entrega de bienes y servicios</w:t>
      </w:r>
      <w:r w:rsidRPr="00225E89">
        <w:rPr>
          <w:rFonts w:ascii="Verdana" w:eastAsia="Calibri" w:hAnsi="Verdana" w:cs="Arial"/>
          <w:sz w:val="12"/>
          <w:szCs w:val="12"/>
          <w:lang w:val="es-ES_tradnl"/>
        </w:rPr>
        <w:t>”.</w:t>
      </w:r>
    </w:p>
  </w:footnote>
  <w:footnote w:id="10">
    <w:p w14:paraId="7FC296AE" w14:textId="77777777" w:rsidR="000146CB" w:rsidRPr="00225E89" w:rsidRDefault="000146CB" w:rsidP="000146CB">
      <w:pPr>
        <w:pStyle w:val="Textonotapie"/>
        <w:ind w:firstLine="709"/>
        <w:jc w:val="both"/>
        <w:rPr>
          <w:rFonts w:ascii="Verdana" w:hAnsi="Verdana" w:cs="Arial"/>
          <w:sz w:val="12"/>
          <w:szCs w:val="12"/>
          <w:lang w:val="es-CO"/>
        </w:rPr>
      </w:pPr>
      <w:r w:rsidRPr="00225E89">
        <w:rPr>
          <w:rStyle w:val="Refdenotaalpie"/>
          <w:rFonts w:ascii="Verdana" w:hAnsi="Verdana"/>
          <w:sz w:val="12"/>
          <w:szCs w:val="12"/>
        </w:rPr>
        <w:footnoteRef/>
      </w:r>
      <w:r w:rsidRPr="00225E89">
        <w:rPr>
          <w:rFonts w:ascii="Verdana" w:hAnsi="Verdana"/>
          <w:sz w:val="12"/>
          <w:szCs w:val="12"/>
        </w:rPr>
        <w:t xml:space="preserve"> </w:t>
      </w:r>
      <w:r w:rsidRPr="00225E89">
        <w:rPr>
          <w:rFonts w:ascii="Verdana" w:eastAsia="Calibri" w:hAnsi="Verdana" w:cs="Arial"/>
          <w:color w:val="000000" w:themeColor="text1"/>
          <w:sz w:val="12"/>
          <w:szCs w:val="12"/>
          <w:lang w:val="es-ES"/>
        </w:rPr>
        <w:t>Artículo 89 del Estatuto Orgánico del Presupuesto</w:t>
      </w:r>
    </w:p>
  </w:footnote>
  <w:footnote w:id="11">
    <w:p w14:paraId="671B9801" w14:textId="77777777" w:rsidR="000146CB" w:rsidRPr="00F73D92" w:rsidRDefault="000146CB" w:rsidP="000146CB">
      <w:pPr>
        <w:pStyle w:val="Textonotapie"/>
        <w:ind w:firstLine="709"/>
        <w:jc w:val="both"/>
        <w:rPr>
          <w:rFonts w:ascii="Verdana" w:hAnsi="Verdana"/>
          <w:sz w:val="16"/>
          <w:szCs w:val="16"/>
          <w:lang w:val="es-CO"/>
        </w:rPr>
      </w:pPr>
      <w:r w:rsidRPr="00225E89">
        <w:rPr>
          <w:rStyle w:val="Refdenotaalpie"/>
          <w:rFonts w:ascii="Verdana" w:hAnsi="Verdana"/>
          <w:sz w:val="12"/>
          <w:szCs w:val="12"/>
        </w:rPr>
        <w:footnoteRef/>
      </w:r>
      <w:r w:rsidRPr="00225E89">
        <w:rPr>
          <w:rFonts w:ascii="Verdana" w:hAnsi="Verdana"/>
          <w:sz w:val="12"/>
          <w:szCs w:val="12"/>
        </w:rPr>
        <w:t xml:space="preserve"> </w:t>
      </w:r>
      <w:r w:rsidRPr="00225E89">
        <w:rPr>
          <w:rFonts w:ascii="Verdana" w:eastAsia="Calibri" w:hAnsi="Verdana" w:cs="Arial"/>
          <w:sz w:val="12"/>
          <w:szCs w:val="12"/>
          <w:lang w:val="es-ES_tradnl"/>
        </w:rPr>
        <w:t>“</w:t>
      </w:r>
      <w:r w:rsidRPr="00225E89">
        <w:rPr>
          <w:rFonts w:ascii="Verdana" w:hAnsi="Verdana" w:cs="Arial"/>
          <w:sz w:val="12"/>
          <w:szCs w:val="12"/>
          <w:lang w:val="es-CO"/>
        </w:rPr>
        <w:t>Artículo </w:t>
      </w:r>
      <w:bookmarkStart w:id="5" w:name="2.8.1.7.3.2"/>
      <w:bookmarkEnd w:id="5"/>
      <w:r w:rsidRPr="00225E89">
        <w:rPr>
          <w:rFonts w:ascii="Verdana" w:hAnsi="Verdana" w:cs="Arial"/>
          <w:sz w:val="12"/>
          <w:szCs w:val="12"/>
          <w:lang w:val="es-CO"/>
        </w:rPr>
        <w:t>2.8.1.7.3.2. </w:t>
      </w:r>
      <w:r w:rsidRPr="00225E89">
        <w:rPr>
          <w:rFonts w:ascii="Verdana" w:hAnsi="Verdana" w:cs="Arial"/>
          <w:i/>
          <w:iCs/>
          <w:sz w:val="12"/>
          <w:szCs w:val="12"/>
          <w:lang w:val="es-CO"/>
        </w:rPr>
        <w:t>Constitución de reservas presupuestales y cuentas por pagar. </w:t>
      </w:r>
      <w:r w:rsidRPr="00225E89">
        <w:rPr>
          <w:rFonts w:ascii="Verdana" w:hAnsi="Verdana" w:cs="Arial"/>
          <w:sz w:val="12"/>
          <w:szCs w:val="12"/>
          <w:lang w:val="es-CO"/>
        </w:rPr>
        <w:t>A más tardar el 20 de enero de cada año, los órganos que conforman el Presupuesto General de la Nación constituirán las reservas presupuestales y cuentas por pagar de la respectiva sección presupuestal correspondientes a la vigencia fiscal anterior, de conformidad con los saldos registrados a 31 de diciembre a través del Sistema Integrado de Información Financiera SIIF Nación. En dicho plazo, solo se podrán efectuar los ajustes a que haya lugar para la constitución de las reserves presupuestales y de las cuentas por pagar, sin que en ningún caso se puedan registrar nuevos compromisos ni obligaciones</w:t>
      </w:r>
      <w:r w:rsidRPr="00225E89">
        <w:rPr>
          <w:rFonts w:ascii="Verdana" w:eastAsia="Calibri" w:hAnsi="Verdana" w:cs="Arial"/>
          <w:sz w:val="12"/>
          <w:szCs w:val="12"/>
          <w:lang w:val="es-CO"/>
        </w:rPr>
        <w:t>”</w:t>
      </w:r>
      <w:r w:rsidRPr="00225E89">
        <w:rPr>
          <w:rFonts w:ascii="Verdana" w:hAnsi="Verdana" w:cs="Arial"/>
          <w:sz w:val="12"/>
          <w:szCs w:val="12"/>
          <w:lang w:val="es-CO"/>
        </w:rPr>
        <w:t>.</w:t>
      </w:r>
    </w:p>
  </w:footnote>
  <w:footnote w:id="12">
    <w:p w14:paraId="28A355E0" w14:textId="77777777" w:rsidR="000146CB" w:rsidRPr="00225E89" w:rsidRDefault="000146CB" w:rsidP="000146CB">
      <w:pPr>
        <w:pStyle w:val="Textonotapie"/>
        <w:ind w:firstLine="709"/>
        <w:jc w:val="both"/>
        <w:rPr>
          <w:rFonts w:ascii="Verdana" w:hAnsi="Verdana" w:cs="Arial"/>
          <w:sz w:val="12"/>
          <w:szCs w:val="12"/>
          <w:lang w:val="es-CO"/>
        </w:rPr>
      </w:pPr>
      <w:r w:rsidRPr="00225E89">
        <w:rPr>
          <w:rStyle w:val="Refdenotaalpie"/>
          <w:rFonts w:ascii="Verdana" w:hAnsi="Verdana" w:cs="Arial"/>
          <w:sz w:val="12"/>
          <w:szCs w:val="12"/>
        </w:rPr>
        <w:footnoteRef/>
      </w:r>
      <w:r w:rsidRPr="00225E89">
        <w:rPr>
          <w:rFonts w:ascii="Verdana" w:hAnsi="Verdana" w:cs="Arial"/>
          <w:sz w:val="12"/>
          <w:szCs w:val="12"/>
        </w:rPr>
        <w:t xml:space="preserve"> </w:t>
      </w:r>
      <w:r w:rsidRPr="00225E89">
        <w:rPr>
          <w:rFonts w:ascii="Verdana" w:hAnsi="Verdana" w:cs="Arial"/>
          <w:sz w:val="12"/>
          <w:szCs w:val="12"/>
          <w:lang w:val="es-CO"/>
        </w:rPr>
        <w:t xml:space="preserve">Contraloría General de la República. Circular Externa 43 de 2008 </w:t>
      </w:r>
    </w:p>
  </w:footnote>
  <w:footnote w:id="13">
    <w:p w14:paraId="1D22415A" w14:textId="77777777" w:rsidR="000146CB" w:rsidRPr="002E718F" w:rsidRDefault="000146CB" w:rsidP="000146CB">
      <w:pPr>
        <w:pStyle w:val="Textonotapie"/>
        <w:ind w:right="49" w:firstLine="708"/>
        <w:jc w:val="both"/>
        <w:rPr>
          <w:rFonts w:ascii="Verdana" w:hAnsi="Verdana" w:cs="Arial"/>
          <w:color w:val="000000"/>
          <w:sz w:val="16"/>
          <w:szCs w:val="16"/>
        </w:rPr>
      </w:pPr>
      <w:r w:rsidRPr="00225E89">
        <w:rPr>
          <w:rStyle w:val="Refdenotaalpie"/>
          <w:rFonts w:ascii="Verdana" w:hAnsi="Verdana"/>
          <w:sz w:val="12"/>
          <w:szCs w:val="12"/>
        </w:rPr>
        <w:footnoteRef/>
      </w:r>
      <w:r w:rsidRPr="00225E89">
        <w:rPr>
          <w:rFonts w:ascii="Verdana" w:hAnsi="Verdana"/>
          <w:sz w:val="12"/>
          <w:szCs w:val="12"/>
        </w:rPr>
        <w:t xml:space="preserve"> </w:t>
      </w:r>
      <w:r w:rsidRPr="00225E89">
        <w:rPr>
          <w:rFonts w:ascii="Verdana" w:hAnsi="Verdana" w:cs="Arial"/>
          <w:color w:val="000000"/>
          <w:sz w:val="12"/>
          <w:szCs w:val="12"/>
        </w:rPr>
        <w:t>Consejo de Estado. Sección Tercera. Sentencia del 1 de febrero de 2018. Radicado Nro.</w:t>
      </w:r>
      <w:r w:rsidRPr="00225E89">
        <w:rPr>
          <w:rFonts w:ascii="Verdana" w:hAnsi="Verdana" w:cs="Arial"/>
          <w:color w:val="000000"/>
          <w:sz w:val="12"/>
          <w:szCs w:val="12"/>
          <w:lang w:val="es-CO"/>
        </w:rPr>
        <w:t xml:space="preserve"> 08001-2331-000-2010-00987-01</w:t>
      </w:r>
      <w:r w:rsidRPr="00225E89">
        <w:rPr>
          <w:rFonts w:ascii="Verdana" w:hAnsi="Verdana" w:cs="Arial"/>
          <w:color w:val="000000"/>
          <w:sz w:val="12"/>
          <w:szCs w:val="12"/>
        </w:rPr>
        <w:t xml:space="preserve">. C.P. </w:t>
      </w:r>
      <w:r w:rsidRPr="00225E89">
        <w:rPr>
          <w:rFonts w:ascii="Verdana" w:hAnsi="Verdana" w:cs="Arial"/>
          <w:color w:val="000000"/>
          <w:sz w:val="12"/>
          <w:szCs w:val="12"/>
          <w:lang w:val="es-CO"/>
        </w:rPr>
        <w:t>Oswaldo Giraldo López</w:t>
      </w:r>
      <w:r w:rsidRPr="00225E89">
        <w:rPr>
          <w:rFonts w:ascii="Verdana" w:hAnsi="Verdana" w:cs="Arial"/>
          <w:color w:val="000000"/>
          <w:sz w:val="12"/>
          <w:szCs w:val="1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97926195"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590526983" name="Imagen 159052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73585860"/>
    <w:lvl w:ilvl="0" w:tplc="240A000F">
      <w:start w:val="1"/>
      <w:numFmt w:val="decimal"/>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0640658">
    <w:abstractNumId w:val="6"/>
  </w:num>
  <w:num w:numId="2" w16cid:durableId="1673099218">
    <w:abstractNumId w:val="1"/>
  </w:num>
  <w:num w:numId="3" w16cid:durableId="554505650">
    <w:abstractNumId w:val="4"/>
  </w:num>
  <w:num w:numId="4" w16cid:durableId="2129363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3332631">
    <w:abstractNumId w:val="1"/>
  </w:num>
  <w:num w:numId="6" w16cid:durableId="1313145765">
    <w:abstractNumId w:val="13"/>
  </w:num>
  <w:num w:numId="7" w16cid:durableId="1259025244">
    <w:abstractNumId w:val="5"/>
  </w:num>
  <w:num w:numId="8" w16cid:durableId="1844589254">
    <w:abstractNumId w:val="12"/>
  </w:num>
  <w:num w:numId="9" w16cid:durableId="848368491">
    <w:abstractNumId w:val="7"/>
  </w:num>
  <w:num w:numId="10" w16cid:durableId="1578401242">
    <w:abstractNumId w:val="11"/>
  </w:num>
  <w:num w:numId="11" w16cid:durableId="1753964201">
    <w:abstractNumId w:val="8"/>
  </w:num>
  <w:num w:numId="12" w16cid:durableId="1372806850">
    <w:abstractNumId w:val="0"/>
  </w:num>
  <w:num w:numId="13" w16cid:durableId="513157039">
    <w:abstractNumId w:val="2"/>
  </w:num>
  <w:num w:numId="14" w16cid:durableId="330060800">
    <w:abstractNumId w:val="14"/>
  </w:num>
  <w:num w:numId="15" w16cid:durableId="1160728821">
    <w:abstractNumId w:val="10"/>
  </w:num>
  <w:num w:numId="16" w16cid:durableId="1366252724">
    <w:abstractNumId w:val="3"/>
  </w:num>
  <w:num w:numId="17" w16cid:durableId="10417799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A56"/>
    <w:rsid w:val="00011AF1"/>
    <w:rsid w:val="000146CB"/>
    <w:rsid w:val="00016F78"/>
    <w:rsid w:val="00022FC1"/>
    <w:rsid w:val="0002378F"/>
    <w:rsid w:val="00046945"/>
    <w:rsid w:val="00061B2A"/>
    <w:rsid w:val="00082362"/>
    <w:rsid w:val="000A683E"/>
    <w:rsid w:val="000B19B9"/>
    <w:rsid w:val="000B429D"/>
    <w:rsid w:val="000D0334"/>
    <w:rsid w:val="000D5DA7"/>
    <w:rsid w:val="000F2671"/>
    <w:rsid w:val="000F4F2F"/>
    <w:rsid w:val="000F6486"/>
    <w:rsid w:val="00116940"/>
    <w:rsid w:val="00123227"/>
    <w:rsid w:val="00125105"/>
    <w:rsid w:val="00127233"/>
    <w:rsid w:val="0015699B"/>
    <w:rsid w:val="001A33BF"/>
    <w:rsid w:val="001E4177"/>
    <w:rsid w:val="001F0B24"/>
    <w:rsid w:val="001F7DC6"/>
    <w:rsid w:val="00211405"/>
    <w:rsid w:val="0022400B"/>
    <w:rsid w:val="00225E89"/>
    <w:rsid w:val="002421BB"/>
    <w:rsid w:val="0025796E"/>
    <w:rsid w:val="002707A2"/>
    <w:rsid w:val="002951A0"/>
    <w:rsid w:val="002962BC"/>
    <w:rsid w:val="002A093D"/>
    <w:rsid w:val="002A0DD0"/>
    <w:rsid w:val="002A49AC"/>
    <w:rsid w:val="002A64FD"/>
    <w:rsid w:val="002C7A84"/>
    <w:rsid w:val="002E2BF8"/>
    <w:rsid w:val="002E4FD9"/>
    <w:rsid w:val="002E7A81"/>
    <w:rsid w:val="0030657A"/>
    <w:rsid w:val="00322A85"/>
    <w:rsid w:val="00324168"/>
    <w:rsid w:val="00330834"/>
    <w:rsid w:val="003448F4"/>
    <w:rsid w:val="00345F24"/>
    <w:rsid w:val="00362A2B"/>
    <w:rsid w:val="00371BD4"/>
    <w:rsid w:val="00374F5E"/>
    <w:rsid w:val="00377E3E"/>
    <w:rsid w:val="003A779E"/>
    <w:rsid w:val="003D0F4D"/>
    <w:rsid w:val="003D5B0D"/>
    <w:rsid w:val="003E0499"/>
    <w:rsid w:val="003E23F5"/>
    <w:rsid w:val="003E4F80"/>
    <w:rsid w:val="003E6439"/>
    <w:rsid w:val="003F3941"/>
    <w:rsid w:val="00406575"/>
    <w:rsid w:val="00414C74"/>
    <w:rsid w:val="0042722E"/>
    <w:rsid w:val="0044528D"/>
    <w:rsid w:val="00466E39"/>
    <w:rsid w:val="004A1847"/>
    <w:rsid w:val="004A305D"/>
    <w:rsid w:val="004C44A8"/>
    <w:rsid w:val="004D6CA0"/>
    <w:rsid w:val="004F21C4"/>
    <w:rsid w:val="004F685F"/>
    <w:rsid w:val="0052341E"/>
    <w:rsid w:val="005566E8"/>
    <w:rsid w:val="00574867"/>
    <w:rsid w:val="00591460"/>
    <w:rsid w:val="005A65E0"/>
    <w:rsid w:val="005C3777"/>
    <w:rsid w:val="005C5CDC"/>
    <w:rsid w:val="005D476C"/>
    <w:rsid w:val="005F1EF7"/>
    <w:rsid w:val="006200BF"/>
    <w:rsid w:val="006219F8"/>
    <w:rsid w:val="006302F7"/>
    <w:rsid w:val="00646B9F"/>
    <w:rsid w:val="00665D70"/>
    <w:rsid w:val="006900D9"/>
    <w:rsid w:val="0070436B"/>
    <w:rsid w:val="00706C16"/>
    <w:rsid w:val="007340C3"/>
    <w:rsid w:val="00741999"/>
    <w:rsid w:val="0075235A"/>
    <w:rsid w:val="00756841"/>
    <w:rsid w:val="007649AB"/>
    <w:rsid w:val="007670AB"/>
    <w:rsid w:val="00771D0C"/>
    <w:rsid w:val="007833AC"/>
    <w:rsid w:val="007A7116"/>
    <w:rsid w:val="007B268C"/>
    <w:rsid w:val="007B7171"/>
    <w:rsid w:val="007C0C0F"/>
    <w:rsid w:val="007C3DC2"/>
    <w:rsid w:val="007E0A09"/>
    <w:rsid w:val="007E5497"/>
    <w:rsid w:val="008034C7"/>
    <w:rsid w:val="00806F5F"/>
    <w:rsid w:val="00820278"/>
    <w:rsid w:val="008258C9"/>
    <w:rsid w:val="00844AE9"/>
    <w:rsid w:val="00853487"/>
    <w:rsid w:val="00867F95"/>
    <w:rsid w:val="008843B6"/>
    <w:rsid w:val="00891928"/>
    <w:rsid w:val="008A446D"/>
    <w:rsid w:val="008B25F1"/>
    <w:rsid w:val="008D180B"/>
    <w:rsid w:val="008E14FB"/>
    <w:rsid w:val="008F0EA7"/>
    <w:rsid w:val="00917964"/>
    <w:rsid w:val="009231D4"/>
    <w:rsid w:val="00923EEF"/>
    <w:rsid w:val="00935522"/>
    <w:rsid w:val="009419F9"/>
    <w:rsid w:val="0095685E"/>
    <w:rsid w:val="00961B09"/>
    <w:rsid w:val="00965334"/>
    <w:rsid w:val="0097093E"/>
    <w:rsid w:val="009807D6"/>
    <w:rsid w:val="009A0DFA"/>
    <w:rsid w:val="009A1C6F"/>
    <w:rsid w:val="009B2D26"/>
    <w:rsid w:val="009B4002"/>
    <w:rsid w:val="009C71FA"/>
    <w:rsid w:val="009C72E7"/>
    <w:rsid w:val="009C7F7E"/>
    <w:rsid w:val="009D3058"/>
    <w:rsid w:val="009D4F05"/>
    <w:rsid w:val="009F3A13"/>
    <w:rsid w:val="00A122D3"/>
    <w:rsid w:val="00A14468"/>
    <w:rsid w:val="00A17F13"/>
    <w:rsid w:val="00A20739"/>
    <w:rsid w:val="00A23AF9"/>
    <w:rsid w:val="00A33C78"/>
    <w:rsid w:val="00A473DB"/>
    <w:rsid w:val="00A76101"/>
    <w:rsid w:val="00A94F83"/>
    <w:rsid w:val="00AB0ADB"/>
    <w:rsid w:val="00AD0C89"/>
    <w:rsid w:val="00AE3F6C"/>
    <w:rsid w:val="00B00C0E"/>
    <w:rsid w:val="00B01B1A"/>
    <w:rsid w:val="00B0381D"/>
    <w:rsid w:val="00B44A47"/>
    <w:rsid w:val="00B72CD3"/>
    <w:rsid w:val="00B72FFF"/>
    <w:rsid w:val="00BA645C"/>
    <w:rsid w:val="00BC3D36"/>
    <w:rsid w:val="00BD54A6"/>
    <w:rsid w:val="00BD7F72"/>
    <w:rsid w:val="00BF7425"/>
    <w:rsid w:val="00C04FB3"/>
    <w:rsid w:val="00C0730D"/>
    <w:rsid w:val="00C1044E"/>
    <w:rsid w:val="00C11D8B"/>
    <w:rsid w:val="00C15139"/>
    <w:rsid w:val="00C330EB"/>
    <w:rsid w:val="00C45881"/>
    <w:rsid w:val="00C50D69"/>
    <w:rsid w:val="00C5365C"/>
    <w:rsid w:val="00C754BE"/>
    <w:rsid w:val="00C76B1C"/>
    <w:rsid w:val="00C925AC"/>
    <w:rsid w:val="00CB6357"/>
    <w:rsid w:val="00CC1B26"/>
    <w:rsid w:val="00D361FD"/>
    <w:rsid w:val="00D423A2"/>
    <w:rsid w:val="00D44E26"/>
    <w:rsid w:val="00D520D8"/>
    <w:rsid w:val="00D63AC2"/>
    <w:rsid w:val="00D7383B"/>
    <w:rsid w:val="00D74A55"/>
    <w:rsid w:val="00D76CCD"/>
    <w:rsid w:val="00D7788A"/>
    <w:rsid w:val="00DA231B"/>
    <w:rsid w:val="00DB57F5"/>
    <w:rsid w:val="00DC39FC"/>
    <w:rsid w:val="00DF5254"/>
    <w:rsid w:val="00E02524"/>
    <w:rsid w:val="00E16408"/>
    <w:rsid w:val="00E20894"/>
    <w:rsid w:val="00E245AB"/>
    <w:rsid w:val="00E2764C"/>
    <w:rsid w:val="00E27F2E"/>
    <w:rsid w:val="00E50AFE"/>
    <w:rsid w:val="00E75C92"/>
    <w:rsid w:val="00E771DC"/>
    <w:rsid w:val="00E8772A"/>
    <w:rsid w:val="00E87D16"/>
    <w:rsid w:val="00E90F6B"/>
    <w:rsid w:val="00E91782"/>
    <w:rsid w:val="00E92C27"/>
    <w:rsid w:val="00EA0E3D"/>
    <w:rsid w:val="00EA7369"/>
    <w:rsid w:val="00EC38A7"/>
    <w:rsid w:val="00EE1AA8"/>
    <w:rsid w:val="00F23FEA"/>
    <w:rsid w:val="00F31EDC"/>
    <w:rsid w:val="00F462B3"/>
    <w:rsid w:val="00F5664F"/>
    <w:rsid w:val="00F666C4"/>
    <w:rsid w:val="00F76AFC"/>
    <w:rsid w:val="00FA47C0"/>
    <w:rsid w:val="00FB5DD1"/>
    <w:rsid w:val="00FC2B5D"/>
    <w:rsid w:val="00FE667D"/>
    <w:rsid w:val="00FF1449"/>
    <w:rsid w:val="00FF7963"/>
    <w:rsid w:val="09908A09"/>
    <w:rsid w:val="13CFC91B"/>
    <w:rsid w:val="19A2EC2C"/>
    <w:rsid w:val="2859CA1B"/>
    <w:rsid w:val="32A4F9CF"/>
    <w:rsid w:val="356CEDFD"/>
    <w:rsid w:val="409D7308"/>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7D56D4F-E9D8-4D1A-94E1-E3F7A6414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146C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146CB"/>
    <w:rPr>
      <w:rFonts w:ascii="Geomanist Light" w:hAnsi="Geomanist Light"/>
      <w:lang w:val="es-ES"/>
    </w:rPr>
  </w:style>
  <w:style w:type="table" w:customStyle="1" w:styleId="Tablaconcuadrcula11">
    <w:name w:val="Tabla con cuadrícula11"/>
    <w:basedOn w:val="Tablanormal"/>
    <w:next w:val="Tablaconcuadrcula"/>
    <w:uiPriority w:val="39"/>
    <w:qFormat/>
    <w:rsid w:val="00014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0146C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3712"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iraseguramiento@cajica.gov.co"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179_199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70399-48E7-40B5-B4CD-5F87DB054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B8A5A30-7395-4CC0-9621-8506338C8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5808</Words>
  <Characters>32585</Characters>
  <Application>Microsoft Office Word</Application>
  <DocSecurity>0</DocSecurity>
  <Lines>665</Lines>
  <Paragraphs>137</Paragraphs>
  <ScaleCrop>false</ScaleCrop>
  <Company/>
  <LinksUpToDate>false</LinksUpToDate>
  <CharactersWithSpaces>38256</CharactersWithSpaces>
  <SharedDoc>false</SharedDoc>
  <HLinks>
    <vt:vector size="42" baseType="variant">
      <vt:variant>
        <vt:i4>4456513</vt:i4>
      </vt:variant>
      <vt:variant>
        <vt:i4>15</vt:i4>
      </vt:variant>
      <vt:variant>
        <vt:i4>0</vt:i4>
      </vt:variant>
      <vt:variant>
        <vt:i4>5</vt:i4>
      </vt:variant>
      <vt:variant>
        <vt:lpwstr>https://forms.office.com/r/pPHyWVs2SZ</vt:lpwstr>
      </vt:variant>
      <vt:variant>
        <vt:lpwstr/>
      </vt:variant>
      <vt:variant>
        <vt:i4>3407926</vt:i4>
      </vt:variant>
      <vt:variant>
        <vt:i4>12</vt:i4>
      </vt:variant>
      <vt:variant>
        <vt:i4>0</vt:i4>
      </vt:variant>
      <vt:variant>
        <vt:i4>5</vt:i4>
      </vt:variant>
      <vt:variant>
        <vt:lpwstr>https://www.colombiacompra.gov.co/pqrsd/informacion-importante-antes-de-formular-una-pqrsd</vt:lpwstr>
      </vt:variant>
      <vt:variant>
        <vt:lpwstr/>
      </vt:variant>
      <vt:variant>
        <vt:i4>4980779</vt:i4>
      </vt:variant>
      <vt:variant>
        <vt:i4>9</vt:i4>
      </vt:variant>
      <vt:variant>
        <vt:i4>0</vt:i4>
      </vt:variant>
      <vt:variant>
        <vt:i4>5</vt:i4>
      </vt:variant>
      <vt:variant>
        <vt:lpwstr>mailto:ventanilladeradicacion@colombiacompra.gov.co</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2555926</vt:i4>
      </vt:variant>
      <vt:variant>
        <vt:i4>3</vt:i4>
      </vt:variant>
      <vt:variant>
        <vt:i4>0</vt:i4>
      </vt:variant>
      <vt:variant>
        <vt:i4>5</vt:i4>
      </vt:variant>
      <vt:variant>
        <vt:lpwstr>https://www.funcionpublica.gov.co/eva/gestornormativo/norma.php?i=13712</vt:lpwstr>
      </vt:variant>
      <vt:variant>
        <vt:lpwstr>5</vt:lpwstr>
      </vt:variant>
      <vt:variant>
        <vt:i4>3473502</vt:i4>
      </vt:variant>
      <vt:variant>
        <vt:i4>0</vt:i4>
      </vt:variant>
      <vt:variant>
        <vt:i4>0</vt:i4>
      </vt:variant>
      <vt:variant>
        <vt:i4>5</vt:i4>
      </vt:variant>
      <vt:variant>
        <vt:lpwstr>mailto:diraseguramiento@cajica.gov.co</vt:lpwstr>
      </vt:variant>
      <vt:variant>
        <vt:lpwstr/>
      </vt:variant>
      <vt:variant>
        <vt:i4>3211295</vt:i4>
      </vt:variant>
      <vt:variant>
        <vt:i4>0</vt:i4>
      </vt:variant>
      <vt:variant>
        <vt:i4>0</vt:i4>
      </vt:variant>
      <vt:variant>
        <vt:i4>5</vt:i4>
      </vt:variant>
      <vt:variant>
        <vt:lpwstr>http://www.secretariasenado.gov.co/senado/basedoc/ley_0179_1994.html</vt:lpwstr>
      </vt:variant>
      <vt:variant>
        <vt:lpwstr>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14</cp:revision>
  <cp:lastPrinted>2023-01-10T21:18:00Z</cp:lastPrinted>
  <dcterms:created xsi:type="dcterms:W3CDTF">2025-12-04T14:15:00Z</dcterms:created>
  <dcterms:modified xsi:type="dcterms:W3CDTF">2025-12-09T16:55:00Z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