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4DBC4905" w:rsidR="00DD5B04" w:rsidRPr="00AE5671" w:rsidRDefault="00202924" w:rsidP="006F4EE5">
      <w:pPr>
        <w:jc w:val="right"/>
        <w:rPr>
          <w:rFonts w:ascii="Arial" w:eastAsia="Calibri" w:hAnsi="Arial" w:cs="Arial"/>
          <w:b/>
          <w:color w:val="000000" w:themeColor="text1"/>
          <w:sz w:val="20"/>
          <w:szCs w:val="20"/>
          <w:lang w:val="es-ES"/>
        </w:rPr>
      </w:pPr>
      <w:bookmarkStart w:id="0" w:name="_Hlk28946138"/>
      <w:bookmarkStart w:id="1" w:name="_Hlk29548183"/>
      <w:bookmarkStart w:id="2" w:name="_Hlk53205539"/>
      <w:r w:rsidRPr="00AE5671">
        <w:rPr>
          <w:rFonts w:ascii="Arial" w:hAnsi="Arial" w:cs="Arial"/>
          <w:bCs/>
          <w:color w:val="000000" w:themeColor="text1"/>
          <w:sz w:val="16"/>
          <w:szCs w:val="16"/>
          <w:lang w:val="es-ES" w:eastAsia="es-ES"/>
        </w:rPr>
        <w:t>CCE-DES-FM-17</w:t>
      </w:r>
    </w:p>
    <w:p w14:paraId="6FB321D6" w14:textId="0F0E0077" w:rsidR="00590A19" w:rsidRPr="00AE5671" w:rsidRDefault="00590A19" w:rsidP="0083487C">
      <w:pPr>
        <w:jc w:val="both"/>
        <w:rPr>
          <w:rFonts w:ascii="Arial" w:hAnsi="Arial" w:cs="Arial"/>
          <w:b/>
          <w:bCs/>
          <w:color w:val="000000" w:themeColor="text1"/>
          <w:sz w:val="22"/>
          <w:lang w:val="es-ES"/>
        </w:rPr>
      </w:pPr>
      <w:bookmarkStart w:id="3" w:name="_Hlk53205460"/>
      <w:bookmarkEnd w:id="0"/>
      <w:bookmarkEnd w:id="1"/>
      <w:r w:rsidRPr="00AE5671">
        <w:rPr>
          <w:rFonts w:ascii="Arial" w:hAnsi="Arial" w:cs="Arial"/>
          <w:b/>
          <w:bCs/>
          <w:color w:val="000000" w:themeColor="text1"/>
          <w:sz w:val="22"/>
          <w:lang w:val="es-ES"/>
        </w:rPr>
        <w:t>DOCUMENTOS TIPO – Límite a la discrecionalidad</w:t>
      </w:r>
    </w:p>
    <w:p w14:paraId="27347FDE" w14:textId="241A28B0" w:rsidR="00590A19" w:rsidRPr="00AE5671" w:rsidRDefault="00590A19" w:rsidP="0083487C">
      <w:pPr>
        <w:jc w:val="both"/>
        <w:rPr>
          <w:rFonts w:ascii="Arial" w:hAnsi="Arial" w:cs="Arial"/>
          <w:b/>
          <w:bCs/>
          <w:color w:val="000000" w:themeColor="text1"/>
          <w:sz w:val="22"/>
          <w:lang w:val="es-ES"/>
        </w:rPr>
      </w:pPr>
    </w:p>
    <w:p w14:paraId="1A97B4E4" w14:textId="05B58A55" w:rsidR="00590A19" w:rsidRPr="00AE5671" w:rsidRDefault="00590A19" w:rsidP="0083487C">
      <w:pPr>
        <w:jc w:val="both"/>
        <w:rPr>
          <w:rFonts w:ascii="Arial" w:hAnsi="Arial" w:cs="Arial"/>
          <w:color w:val="000000" w:themeColor="text1"/>
          <w:sz w:val="20"/>
          <w:szCs w:val="20"/>
          <w:lang w:val="es-ES"/>
        </w:rPr>
      </w:pPr>
      <w:r w:rsidRPr="00AE5671">
        <w:rPr>
          <w:rFonts w:ascii="Arial" w:hAnsi="Arial" w:cs="Arial"/>
          <w:color w:val="000000" w:themeColor="text1"/>
          <w:sz w:val="20"/>
          <w:szCs w:val="20"/>
          <w:lang w:val="es-ES"/>
        </w:rPr>
        <w:t>Los documentos tipo se erigen como un límite a la discrecionalidad de las entidades estatales en cuanto a la configuración de su contenido, pues fija unos requisitos mínimos que las entidades públicas deben respetar. Esto es lo que sucede en los procedimientos de licitación de obra pública de infraestructura de transporte, en los cuales debe cumplirse lo dispuesto en el pliego de condiciones tipo –actualmente, la versión 2–, el cual establece reglas imperativas, entre otros aspectos, para determinar las causales de rechazo aplicables en los procedimientos de selección.</w:t>
      </w:r>
    </w:p>
    <w:p w14:paraId="20888A1D" w14:textId="31274CF5" w:rsidR="00590A19" w:rsidRPr="00AE5671" w:rsidRDefault="00590A19" w:rsidP="0083487C">
      <w:pPr>
        <w:jc w:val="both"/>
        <w:rPr>
          <w:rFonts w:ascii="Arial" w:hAnsi="Arial" w:cs="Arial"/>
          <w:color w:val="000000" w:themeColor="text1"/>
          <w:sz w:val="22"/>
          <w:lang w:val="es-ES"/>
        </w:rPr>
      </w:pPr>
    </w:p>
    <w:p w14:paraId="4BC0255A" w14:textId="76CB413D" w:rsidR="00590A19" w:rsidRPr="00AE5671" w:rsidRDefault="00590A19" w:rsidP="0083487C">
      <w:pPr>
        <w:jc w:val="both"/>
        <w:rPr>
          <w:rFonts w:ascii="Arial" w:hAnsi="Arial" w:cs="Arial"/>
          <w:b/>
          <w:bCs/>
          <w:color w:val="000000" w:themeColor="text1"/>
          <w:sz w:val="22"/>
          <w:lang w:val="es-ES"/>
        </w:rPr>
      </w:pPr>
      <w:r w:rsidRPr="00AE5671">
        <w:rPr>
          <w:rFonts w:ascii="Arial" w:hAnsi="Arial" w:cs="Arial"/>
          <w:b/>
          <w:bCs/>
          <w:color w:val="000000" w:themeColor="text1"/>
          <w:sz w:val="22"/>
          <w:lang w:val="es-ES"/>
        </w:rPr>
        <w:t xml:space="preserve">DOCUMENTOS TIPO – Inalterabilidad </w:t>
      </w:r>
    </w:p>
    <w:p w14:paraId="015708AB" w14:textId="2911BC5B" w:rsidR="00590A19" w:rsidRPr="00AE5671" w:rsidRDefault="00590A19" w:rsidP="0083487C">
      <w:pPr>
        <w:jc w:val="both"/>
        <w:rPr>
          <w:rFonts w:ascii="Arial" w:hAnsi="Arial" w:cs="Arial"/>
          <w:color w:val="000000" w:themeColor="text1"/>
          <w:sz w:val="22"/>
          <w:lang w:val="es-ES"/>
        </w:rPr>
      </w:pPr>
    </w:p>
    <w:p w14:paraId="2873C707" w14:textId="36BAD43F" w:rsidR="00590A19" w:rsidRPr="00AE5671" w:rsidRDefault="00590A19" w:rsidP="0083487C">
      <w:pPr>
        <w:jc w:val="both"/>
        <w:rPr>
          <w:rFonts w:ascii="Arial" w:hAnsi="Arial" w:cs="Arial"/>
          <w:color w:val="000000" w:themeColor="text1"/>
          <w:sz w:val="20"/>
          <w:szCs w:val="20"/>
          <w:shd w:val="clear" w:color="auto" w:fill="FFFFFF"/>
          <w:lang w:val="es-ES"/>
        </w:rPr>
      </w:pPr>
      <w:r w:rsidRPr="00AE5671">
        <w:rPr>
          <w:rFonts w:ascii="Arial" w:hAnsi="Arial" w:cs="Arial"/>
          <w:color w:val="000000" w:themeColor="text1"/>
          <w:sz w:val="20"/>
          <w:szCs w:val="20"/>
          <w:shd w:val="clear" w:color="auto" w:fill="FFFFFF"/>
          <w:lang w:val="es-ES"/>
        </w:rPr>
        <w:t xml:space="preserve">El artículo 2.2.1.2.6.1.4. del Decreto 1082 de 2015 establece la </w:t>
      </w:r>
      <w:r w:rsidRPr="00AE5671">
        <w:rPr>
          <w:rFonts w:ascii="Arial" w:hAnsi="Arial" w:cs="Arial"/>
          <w:i/>
          <w:iCs/>
          <w:color w:val="000000" w:themeColor="text1"/>
          <w:sz w:val="20"/>
          <w:szCs w:val="20"/>
          <w:shd w:val="clear" w:color="auto" w:fill="FFFFFF"/>
          <w:lang w:val="es-ES"/>
        </w:rPr>
        <w:t>inalterabilidad</w:t>
      </w:r>
      <w:r w:rsidRPr="00AE5671">
        <w:rPr>
          <w:rFonts w:ascii="Arial" w:hAnsi="Arial" w:cs="Arial"/>
          <w:color w:val="000000" w:themeColor="text1"/>
          <w:sz w:val="20"/>
          <w:szCs w:val="20"/>
          <w:shd w:val="clear" w:color="auto" w:fill="FFFFFF"/>
          <w:lang w:val="es-ES"/>
        </w:rPr>
        <w:t xml:space="preserve">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5AE6BF32" w14:textId="3CF11D67" w:rsidR="00590A19" w:rsidRPr="00AE5671" w:rsidRDefault="00590A19" w:rsidP="0083487C">
      <w:pPr>
        <w:jc w:val="both"/>
        <w:rPr>
          <w:rFonts w:ascii="Arial" w:hAnsi="Arial" w:cs="Arial"/>
          <w:color w:val="000000" w:themeColor="text1"/>
          <w:sz w:val="22"/>
          <w:shd w:val="clear" w:color="auto" w:fill="FFFFFF"/>
          <w:lang w:val="es-ES"/>
        </w:rPr>
      </w:pPr>
    </w:p>
    <w:p w14:paraId="0901C91F" w14:textId="61388ACA" w:rsidR="00590A19" w:rsidRPr="00AE5671" w:rsidRDefault="00590A19" w:rsidP="0083487C">
      <w:pPr>
        <w:jc w:val="both"/>
        <w:rPr>
          <w:rFonts w:ascii="Arial" w:hAnsi="Arial" w:cs="Arial"/>
          <w:b/>
          <w:bCs/>
          <w:color w:val="000000" w:themeColor="text1"/>
          <w:sz w:val="22"/>
          <w:shd w:val="clear" w:color="auto" w:fill="FFFFFF"/>
          <w:lang w:val="es-ES"/>
        </w:rPr>
      </w:pPr>
      <w:r w:rsidRPr="00AE5671">
        <w:rPr>
          <w:rFonts w:ascii="Arial" w:hAnsi="Arial" w:cs="Arial"/>
          <w:b/>
          <w:bCs/>
          <w:color w:val="000000" w:themeColor="text1"/>
          <w:sz w:val="22"/>
          <w:shd w:val="clear" w:color="auto" w:fill="FFFFFF"/>
          <w:lang w:val="es-ES"/>
        </w:rPr>
        <w:t>DOCUMENTOS TIPO – Causales de rechazo</w:t>
      </w:r>
    </w:p>
    <w:p w14:paraId="51314797" w14:textId="6A944E62" w:rsidR="00590A19" w:rsidRPr="00AE5671" w:rsidRDefault="00590A19" w:rsidP="0083487C">
      <w:pPr>
        <w:jc w:val="both"/>
        <w:rPr>
          <w:rFonts w:ascii="Arial" w:hAnsi="Arial" w:cs="Arial"/>
          <w:b/>
          <w:bCs/>
          <w:color w:val="000000" w:themeColor="text1"/>
          <w:sz w:val="22"/>
          <w:shd w:val="clear" w:color="auto" w:fill="FFFFFF"/>
          <w:lang w:val="es-ES"/>
        </w:rPr>
      </w:pPr>
    </w:p>
    <w:p w14:paraId="56900055" w14:textId="6D69AAF2" w:rsidR="00590A19" w:rsidRPr="00AE5671" w:rsidRDefault="00590A19" w:rsidP="0083487C">
      <w:pPr>
        <w:jc w:val="both"/>
        <w:rPr>
          <w:rFonts w:ascii="Arial" w:hAnsi="Arial" w:cs="Arial"/>
          <w:b/>
          <w:bCs/>
          <w:color w:val="000000" w:themeColor="text1"/>
          <w:sz w:val="20"/>
          <w:szCs w:val="20"/>
          <w:lang w:val="es-ES"/>
        </w:rPr>
      </w:pPr>
      <w:r w:rsidRPr="00AE5671">
        <w:rPr>
          <w:rFonts w:ascii="Arial" w:hAnsi="Arial" w:cs="Arial"/>
          <w:sz w:val="20"/>
          <w:szCs w:val="20"/>
          <w:lang w:val="es-ES"/>
        </w:rPr>
        <w:t>En tal sentido, de la regulación contenida en el numeral 1.15 se desprenden las siguientes reglas: i) las entidades estatales no pueden incluir nuevas casuales de rechazo en sus pliegos de condiciones distintas a las establecidas en los documentos tipo, ya que al inicio de la regulación se establece que «las Entidades no podrán modificar o incluir causales de rechazo distintas a las señaladas en la presente sección»; ii) las entidades solo pueden modificar los aspectos puntuales de las causales, respecto los apartes entre corchetes y resaltados en gris, atendiendo a las instrucciones establecidas en esos lugares; iii) teniendo en cuenta el contenido prohibitivo de las causales de rechazo, estas se deben interpretar de forma estricta, evitando realizarse interpretaciones extensivas.</w:t>
      </w:r>
    </w:p>
    <w:p w14:paraId="30C8C032" w14:textId="4B2183F1" w:rsidR="00590A19" w:rsidRPr="00AE5671" w:rsidRDefault="00590A19" w:rsidP="0083487C">
      <w:pPr>
        <w:jc w:val="both"/>
        <w:rPr>
          <w:rFonts w:ascii="Arial" w:hAnsi="Arial" w:cs="Arial"/>
          <w:color w:val="000000" w:themeColor="text1"/>
          <w:sz w:val="22"/>
          <w:lang w:val="es-ES"/>
        </w:rPr>
      </w:pPr>
    </w:p>
    <w:p w14:paraId="10683F41" w14:textId="5B05EE99" w:rsidR="00590A19" w:rsidRPr="00AE5671" w:rsidRDefault="00590A19" w:rsidP="0083487C">
      <w:pPr>
        <w:jc w:val="both"/>
        <w:rPr>
          <w:rFonts w:ascii="Arial" w:hAnsi="Arial" w:cs="Arial"/>
          <w:b/>
          <w:bCs/>
          <w:color w:val="000000" w:themeColor="text1"/>
          <w:sz w:val="22"/>
          <w:lang w:val="es-ES"/>
        </w:rPr>
      </w:pPr>
      <w:r w:rsidRPr="00AE5671">
        <w:rPr>
          <w:rFonts w:ascii="Arial" w:hAnsi="Arial" w:cs="Arial"/>
          <w:b/>
          <w:bCs/>
          <w:color w:val="000000" w:themeColor="text1"/>
          <w:sz w:val="22"/>
          <w:lang w:val="es-ES"/>
        </w:rPr>
        <w:t>DOCUMENTO TIPO – Ley 842 de 2003 – Artículo 17 – Causales de rechazo</w:t>
      </w:r>
    </w:p>
    <w:p w14:paraId="2125DED9" w14:textId="77777777" w:rsidR="00590A19" w:rsidRPr="00AE5671" w:rsidRDefault="00590A19" w:rsidP="0083487C">
      <w:pPr>
        <w:jc w:val="both"/>
        <w:rPr>
          <w:rFonts w:ascii="Arial" w:hAnsi="Arial" w:cs="Arial"/>
          <w:b/>
          <w:bCs/>
          <w:color w:val="000000" w:themeColor="text1"/>
          <w:sz w:val="22"/>
          <w:lang w:val="es-ES"/>
        </w:rPr>
      </w:pPr>
    </w:p>
    <w:p w14:paraId="3B43334E" w14:textId="783EB10F" w:rsidR="001E47A8" w:rsidRPr="00AE5671" w:rsidRDefault="00590A19" w:rsidP="0083487C">
      <w:pPr>
        <w:jc w:val="both"/>
        <w:rPr>
          <w:rFonts w:ascii="Arial" w:hAnsi="Arial" w:cs="Arial"/>
          <w:sz w:val="20"/>
          <w:szCs w:val="20"/>
          <w:lang w:val="es-ES"/>
        </w:rPr>
      </w:pPr>
      <w:r w:rsidRPr="00AE5671">
        <w:rPr>
          <w:rFonts w:ascii="Arial" w:hAnsi="Arial" w:cs="Arial"/>
          <w:color w:val="000000" w:themeColor="text1"/>
          <w:sz w:val="20"/>
          <w:szCs w:val="20"/>
          <w:lang w:val="es-ES"/>
        </w:rPr>
        <w:t xml:space="preserve">[…] </w:t>
      </w:r>
      <w:r w:rsidRPr="00AE5671">
        <w:rPr>
          <w:rFonts w:ascii="Arial" w:hAnsi="Arial" w:cs="Arial"/>
          <w:sz w:val="20"/>
          <w:szCs w:val="20"/>
          <w:lang w:val="es-ES"/>
        </w:rPr>
        <w:t>el documento tipo no estableció la exigencia de la acreditación, durante el procedimiento de selección, del cumplimiento de la obligación legal establecida en el artículo 17 de la Ley 842 de 2003. Además, dicho evento no se encuentra establecido como causal de rechazo de las ofertas y las entidades no pueden incluir nuevas causales distintas a las establecidas en los documentos tipo.</w:t>
      </w:r>
    </w:p>
    <w:p w14:paraId="181B8DC7" w14:textId="77777777" w:rsidR="001E47A8" w:rsidRPr="00AE5671" w:rsidRDefault="001E47A8" w:rsidP="0083487C">
      <w:pPr>
        <w:jc w:val="both"/>
        <w:rPr>
          <w:rFonts w:ascii="Arial" w:hAnsi="Arial" w:cs="Arial"/>
          <w:sz w:val="20"/>
          <w:szCs w:val="20"/>
          <w:lang w:val="es-ES"/>
        </w:rPr>
      </w:pPr>
    </w:p>
    <w:p w14:paraId="5CAF975E" w14:textId="77777777" w:rsidR="001E47A8" w:rsidRPr="00AE5671" w:rsidRDefault="001E47A8" w:rsidP="001E47A8">
      <w:pPr>
        <w:spacing w:before="120" w:after="120"/>
        <w:jc w:val="both"/>
        <w:rPr>
          <w:rFonts w:ascii="Arial" w:eastAsia="Calibri" w:hAnsi="Arial" w:cs="Arial"/>
          <w:b/>
          <w:sz w:val="22"/>
        </w:rPr>
      </w:pPr>
      <w:r w:rsidRPr="00AE5671">
        <w:rPr>
          <w:rFonts w:ascii="Arial" w:eastAsia="Calibri" w:hAnsi="Arial" w:cs="Arial"/>
          <w:b/>
          <w:sz w:val="22"/>
        </w:rPr>
        <w:t xml:space="preserve">DOCUMENTOS TIPO </w:t>
      </w:r>
      <w:r w:rsidRPr="00AE5671">
        <w:rPr>
          <w:rFonts w:ascii="Arial" w:eastAsia="Calibri" w:hAnsi="Arial" w:cs="Arial"/>
          <w:b/>
          <w:sz w:val="22"/>
        </w:rPr>
        <w:softHyphen/>
        <w:t>– Versión 3 – Acreditación experiencia – Proponentes plurales – Numeral 3.5.3 Consideraciones para la validez de la experiencia requerida – Literal D</w:t>
      </w:r>
    </w:p>
    <w:p w14:paraId="574ED94C" w14:textId="77777777" w:rsidR="001E47A8" w:rsidRPr="00AE5671" w:rsidRDefault="001E47A8" w:rsidP="001E47A8">
      <w:pPr>
        <w:pStyle w:val="NormalWeb"/>
        <w:spacing w:after="0"/>
        <w:jc w:val="both"/>
        <w:rPr>
          <w:rFonts w:ascii="Arial" w:eastAsiaTheme="minorHAnsi" w:hAnsi="Arial" w:cs="Arial"/>
          <w:color w:val="000000" w:themeColor="text1"/>
          <w:sz w:val="20"/>
          <w:szCs w:val="20"/>
          <w:lang w:val="es-MX"/>
        </w:rPr>
      </w:pPr>
      <w:r w:rsidRPr="00AE5671">
        <w:rPr>
          <w:rFonts w:ascii="Arial" w:eastAsiaTheme="minorHAnsi" w:hAnsi="Arial" w:cs="Arial"/>
          <w:color w:val="000000" w:themeColor="text1"/>
          <w:sz w:val="20"/>
          <w:szCs w:val="20"/>
          <w:lang w:val="es-MX"/>
        </w:rPr>
        <w:t xml:space="preserve">Del aparte transcrito se infiere lo siguiente: i) uno de los integrantes debe acreditar mínimo el cincuenta por ciento (50%) de la experiencia exigida, ii) los demás integrantes deben acreditar al menos el cinco por ciento (5%) y, iii) sin perjuicio de la exigencia anterior, solo uno de los integrantes, si así lo considera pertinente, podrá no aportar experiencia. Esto quiere decir que, a partir de la adopción de los documentos tipo de licitación de obra pública de infraestructura de transporte – </w:t>
      </w:r>
      <w:r w:rsidRPr="00AE5671">
        <w:rPr>
          <w:rFonts w:ascii="Arial" w:eastAsiaTheme="minorHAnsi" w:hAnsi="Arial" w:cs="Arial"/>
          <w:color w:val="000000" w:themeColor="text1"/>
          <w:sz w:val="20"/>
          <w:szCs w:val="20"/>
          <w:lang w:val="es-MX"/>
        </w:rPr>
        <w:lastRenderedPageBreak/>
        <w:t xml:space="preserve">versión 3, en principio se exige que todos los integrantes acrediten experiencia, y solo de manera excepcional se permite que uno de los integrantes no aporte ninguna experiencia. </w:t>
      </w:r>
    </w:p>
    <w:p w14:paraId="06F324E2" w14:textId="77777777" w:rsidR="001E47A8" w:rsidRPr="00AE5671" w:rsidRDefault="001E47A8" w:rsidP="001E47A8">
      <w:pPr>
        <w:pStyle w:val="NormalWeb"/>
        <w:spacing w:before="0" w:beforeAutospacing="0" w:after="0" w:afterAutospacing="0"/>
        <w:ind w:right="51"/>
        <w:jc w:val="both"/>
        <w:rPr>
          <w:rFonts w:ascii="Arial" w:eastAsiaTheme="minorHAnsi" w:hAnsi="Arial" w:cs="Arial"/>
          <w:color w:val="000000" w:themeColor="text1"/>
          <w:sz w:val="20"/>
          <w:szCs w:val="20"/>
          <w:lang w:val="es-MX" w:eastAsia="en-US"/>
        </w:rPr>
      </w:pPr>
      <w:r w:rsidRPr="00AE5671">
        <w:rPr>
          <w:rFonts w:ascii="Arial" w:eastAsiaTheme="minorHAnsi" w:hAnsi="Arial" w:cs="Arial"/>
          <w:color w:val="000000" w:themeColor="text1"/>
          <w:sz w:val="20"/>
          <w:szCs w:val="20"/>
          <w:lang w:val="es-ES_tradnl" w:eastAsia="en-US"/>
        </w:rPr>
        <w:t xml:space="preserve">[…] </w:t>
      </w:r>
      <w:r w:rsidRPr="00AE5671">
        <w:rPr>
          <w:rFonts w:ascii="Arial" w:eastAsiaTheme="minorHAnsi" w:hAnsi="Arial" w:cs="Arial"/>
          <w:color w:val="000000" w:themeColor="text1"/>
          <w:sz w:val="20"/>
          <w:szCs w:val="20"/>
          <w:lang w:val="es-MX" w:eastAsia="en-US"/>
        </w:rPr>
        <w:t xml:space="preserve">En este sentido, la medida adoptada por la Agencia tiene dos propósitos: i) garantizar la idoneidad de todos los integrantes de los proponentes plurales para la ejecución del proyecto y ii) permitir que al menos uno de los integrantes que no tiene experiencia participe en el proceso de contratación, y de este modo, permitirle adquirir experiencia con el Estado al ser integrante del proponente plural. </w:t>
      </w:r>
    </w:p>
    <w:p w14:paraId="38DAB7A3" w14:textId="77777777" w:rsidR="001E47A8" w:rsidRPr="00AE5671" w:rsidRDefault="001E47A8" w:rsidP="001E47A8">
      <w:pPr>
        <w:pStyle w:val="NormalWeb"/>
        <w:spacing w:before="0" w:beforeAutospacing="0" w:after="0" w:afterAutospacing="0"/>
        <w:ind w:right="51"/>
        <w:jc w:val="both"/>
        <w:rPr>
          <w:rFonts w:ascii="Arial" w:eastAsiaTheme="minorHAnsi" w:hAnsi="Arial" w:cs="Arial"/>
          <w:color w:val="000000" w:themeColor="text1"/>
          <w:sz w:val="20"/>
          <w:szCs w:val="20"/>
          <w:lang w:val="es-ES_tradnl" w:eastAsia="en-US"/>
        </w:rPr>
      </w:pPr>
    </w:p>
    <w:p w14:paraId="39C3B145" w14:textId="77777777" w:rsidR="001E47A8" w:rsidRPr="00AE5671" w:rsidRDefault="001E47A8" w:rsidP="001E47A8">
      <w:pPr>
        <w:pStyle w:val="NormalWeb"/>
        <w:spacing w:before="0" w:beforeAutospacing="0" w:after="0" w:afterAutospacing="0"/>
        <w:ind w:right="51"/>
        <w:jc w:val="both"/>
        <w:rPr>
          <w:rFonts w:ascii="Arial" w:eastAsia="Calibri" w:hAnsi="Arial" w:cs="Arial"/>
          <w:b/>
          <w:sz w:val="22"/>
        </w:rPr>
      </w:pPr>
      <w:r w:rsidRPr="00AE5671">
        <w:rPr>
          <w:rFonts w:ascii="Arial" w:eastAsia="Calibri" w:hAnsi="Arial" w:cs="Arial"/>
          <w:b/>
          <w:sz w:val="22"/>
        </w:rPr>
        <w:t xml:space="preserve">DOCUMENTOS TIPO </w:t>
      </w:r>
      <w:r w:rsidRPr="00AE5671">
        <w:rPr>
          <w:rFonts w:ascii="Arial" w:eastAsia="Calibri" w:hAnsi="Arial" w:cs="Arial"/>
          <w:b/>
          <w:sz w:val="22"/>
        </w:rPr>
        <w:softHyphen/>
        <w:t xml:space="preserve">– Versión 3 – Acreditación experiencia – Proponentes plurales – Numeral 3.5.3 Consideraciones para la validez de la experiencia requerida – Experiencia relacionada con el valor del proceso </w:t>
      </w:r>
    </w:p>
    <w:p w14:paraId="237481BB" w14:textId="77777777" w:rsidR="001E47A8" w:rsidRPr="00AE5671" w:rsidRDefault="001E47A8" w:rsidP="001E47A8">
      <w:pPr>
        <w:pStyle w:val="NormalWeb"/>
        <w:spacing w:before="0" w:beforeAutospacing="0" w:after="0" w:afterAutospacing="0"/>
        <w:ind w:right="51"/>
        <w:jc w:val="both"/>
        <w:rPr>
          <w:rFonts w:ascii="Arial" w:eastAsia="Calibri" w:hAnsi="Arial" w:cs="Arial"/>
          <w:b/>
          <w:sz w:val="22"/>
        </w:rPr>
      </w:pPr>
    </w:p>
    <w:p w14:paraId="47A1985B" w14:textId="77777777" w:rsidR="001E47A8" w:rsidRPr="00AE5671" w:rsidRDefault="001E47A8" w:rsidP="001E47A8">
      <w:pPr>
        <w:pStyle w:val="Default"/>
        <w:spacing w:after="120"/>
        <w:jc w:val="both"/>
        <w:rPr>
          <w:color w:val="000000" w:themeColor="text1"/>
          <w:sz w:val="20"/>
          <w:szCs w:val="20"/>
          <w:lang w:val="es-ES_tradnl"/>
        </w:rPr>
      </w:pPr>
      <w:r w:rsidRPr="00AE5671">
        <w:rPr>
          <w:color w:val="000000" w:themeColor="text1"/>
          <w:sz w:val="20"/>
          <w:szCs w:val="20"/>
          <w:lang w:val="es-ES_tradnl"/>
        </w:rPr>
        <w:t xml:space="preserve">[…] </w:t>
      </w:r>
      <w:r w:rsidRPr="00AE5671">
        <w:rPr>
          <w:color w:val="000000" w:themeColor="text1"/>
          <w:sz w:val="20"/>
          <w:szCs w:val="20"/>
          <w:lang w:val="es-MX"/>
        </w:rPr>
        <w:t>atendiendo lo previsto en el literal d) del «Numeral 3.5.3 Consideraciones para la validez de la experiencia requerida», la acreditación de la experiencia por parte de los proponentes plurales, como se explicó previamente, requiere que: i) uno de los integrantes aporte como mínimo el cincuenta por ciento (50%) de la experiencia exigida, ii) los demás integrantes acrediten al menos el cinco por ciento de la experiencia requerida y, iii) sin perjuicio de lo anterior, solo uno de los integrantes, si así lo considera conveniente, podrá no acreditar experiencia. Por tanto, para atender la exigencia definida anteriormente, se requerirá que la experiencia acreditada por cada uno de sus integrantes sea en relación con el valor del proceso de contratación que se requiere certificar</w:t>
      </w:r>
      <w:r w:rsidRPr="00AE5671">
        <w:rPr>
          <w:color w:val="000000" w:themeColor="text1"/>
          <w:sz w:val="20"/>
          <w:szCs w:val="20"/>
          <w:lang w:val="es-ES_tradnl"/>
        </w:rPr>
        <w:t>.</w:t>
      </w:r>
    </w:p>
    <w:p w14:paraId="1D5EC875" w14:textId="77777777" w:rsidR="001E47A8" w:rsidRPr="00AE5671" w:rsidRDefault="001E47A8" w:rsidP="001E47A8">
      <w:pPr>
        <w:pStyle w:val="Default"/>
        <w:jc w:val="both"/>
        <w:rPr>
          <w:color w:val="000000" w:themeColor="text1"/>
          <w:sz w:val="20"/>
          <w:szCs w:val="20"/>
          <w:lang w:val="es-MX"/>
        </w:rPr>
      </w:pPr>
      <w:r w:rsidRPr="00AE5671">
        <w:rPr>
          <w:color w:val="000000" w:themeColor="text1"/>
          <w:sz w:val="20"/>
          <w:szCs w:val="20"/>
          <w:lang w:val="es-MX"/>
        </w:rPr>
        <w:t xml:space="preserve">En ese entendido, de acuerdo con las variables del caso en mención, el proponente plural que se presenta acreditará lo siguiente: i) uno (1) de sus integrantes debe acreditar 7.500 SMMLV, esto es, el 50% de la experiencia exigida, ii) cada uno de los miembros debe acreditar al menos 750 SMMLV, esto es, el cinco por ciento de la experiencia requerida, y, iii) sin perjuicio de lo anterior, solo uno de los integrantes, si así lo considera pertinente, podrá no acreditar experiencia, caso en el cual este último integrante solo podría tener hasta un 5% de participación en la estructura plural. </w:t>
      </w:r>
    </w:p>
    <w:p w14:paraId="583CEB79" w14:textId="77777777" w:rsidR="001E47A8" w:rsidRPr="00AE5671" w:rsidRDefault="001E47A8" w:rsidP="001E47A8">
      <w:pPr>
        <w:pStyle w:val="Default"/>
        <w:jc w:val="both"/>
        <w:rPr>
          <w:color w:val="000000" w:themeColor="text1"/>
          <w:sz w:val="20"/>
          <w:szCs w:val="20"/>
          <w:lang w:val="es-MX"/>
        </w:rPr>
      </w:pPr>
    </w:p>
    <w:p w14:paraId="342258ED" w14:textId="77777777" w:rsidR="001E47A8" w:rsidRPr="00AE5671" w:rsidRDefault="001E47A8" w:rsidP="001E47A8">
      <w:pPr>
        <w:jc w:val="both"/>
        <w:rPr>
          <w:rFonts w:ascii="Arial" w:eastAsia="Calibri" w:hAnsi="Arial" w:cs="Arial"/>
          <w:b/>
          <w:sz w:val="22"/>
        </w:rPr>
      </w:pPr>
      <w:r w:rsidRPr="00AE5671">
        <w:rPr>
          <w:rFonts w:ascii="Arial" w:eastAsia="Calibri" w:hAnsi="Arial" w:cs="Arial"/>
          <w:b/>
          <w:sz w:val="22"/>
        </w:rPr>
        <w:t xml:space="preserve">DOCUMENTOS TIPO </w:t>
      </w:r>
      <w:r w:rsidRPr="00AE5671">
        <w:rPr>
          <w:rFonts w:ascii="Arial" w:eastAsia="Calibri" w:hAnsi="Arial" w:cs="Arial"/>
          <w:b/>
          <w:sz w:val="22"/>
        </w:rPr>
        <w:softHyphen/>
        <w:t>– Versión 3 – Acreditación experiencia – Proponentes plurales – Numeral 3.5.3</w:t>
      </w:r>
    </w:p>
    <w:p w14:paraId="24BA3904" w14:textId="77777777" w:rsidR="001E47A8" w:rsidRPr="00AE5671" w:rsidRDefault="001E47A8" w:rsidP="001E47A8">
      <w:pPr>
        <w:rPr>
          <w:rFonts w:ascii="Arial" w:hAnsi="Arial" w:cs="Arial"/>
          <w:sz w:val="20"/>
          <w:szCs w:val="20"/>
        </w:rPr>
      </w:pPr>
    </w:p>
    <w:p w14:paraId="172A1BC8" w14:textId="77777777" w:rsidR="001E47A8" w:rsidRPr="00AE5671" w:rsidRDefault="001E47A8" w:rsidP="001E47A8">
      <w:pPr>
        <w:pStyle w:val="Default"/>
        <w:spacing w:after="120"/>
        <w:jc w:val="both"/>
        <w:rPr>
          <w:color w:val="000000" w:themeColor="text1"/>
          <w:sz w:val="20"/>
          <w:szCs w:val="20"/>
        </w:rPr>
      </w:pPr>
      <w:r w:rsidRPr="00AE5671">
        <w:rPr>
          <w:color w:val="000000" w:themeColor="text1"/>
          <w:sz w:val="20"/>
          <w:szCs w:val="20"/>
          <w:lang w:val="es-ES_tradnl"/>
        </w:rPr>
        <w:t xml:space="preserve">[…] </w:t>
      </w:r>
      <w:r w:rsidRPr="00AE5671">
        <w:rPr>
          <w:color w:val="000000" w:themeColor="text1"/>
          <w:sz w:val="20"/>
          <w:szCs w:val="20"/>
        </w:rPr>
        <w:t xml:space="preserve">de las reglas descritas se infiere la imposibilidad que un proponente plural esté conformado por 8 integrantes, lo anterior, debido a que cada uno de sus integrantes, salvo uno de ellos, acreditará la experiencia requerida en el proceso de contratación; pero, además, la acreditación de la experiencia se certificará con máximo seis (6) contratos. Por tanto, en el evento que un proponente plural esté conformado por más de ocho (8) integrantes, si bien uno (1) de ellos no requerirá de experiencia, los otros siete (7) sí tendrían que aportar experiencia, supuesto que implica que se supere el número de contratos exigidos. </w:t>
      </w:r>
    </w:p>
    <w:p w14:paraId="45788C84" w14:textId="77777777" w:rsidR="001E47A8" w:rsidRPr="00AE5671" w:rsidRDefault="001E47A8" w:rsidP="001E47A8">
      <w:pPr>
        <w:pStyle w:val="Default"/>
        <w:jc w:val="both"/>
        <w:rPr>
          <w:color w:val="000000" w:themeColor="text1"/>
          <w:sz w:val="20"/>
          <w:szCs w:val="20"/>
          <w:lang w:val="es-MX"/>
        </w:rPr>
      </w:pPr>
      <w:r w:rsidRPr="00AE5671">
        <w:rPr>
          <w:color w:val="000000" w:themeColor="text1"/>
          <w:sz w:val="20"/>
          <w:szCs w:val="20"/>
        </w:rPr>
        <w:t xml:space="preserve">Por tanto, del documento tipo de licitación de obra pública de infraestructura de transporte se infiere la imposibilidad de que, en principio, un integrante plural esté conformado por ocho (8) o más integrantes, por los siguientes motivos: i) cada uno de los integrantes, salvo uno, acreditará la experiencia requerida en el proceso y ii) la acreditación de los contratos  se realizará con máximo seis (6) contratos. </w:t>
      </w:r>
    </w:p>
    <w:p w14:paraId="5C2A4540" w14:textId="77777777" w:rsidR="001E47A8" w:rsidRPr="00AE5671" w:rsidRDefault="001E47A8" w:rsidP="0083487C">
      <w:pPr>
        <w:jc w:val="both"/>
        <w:rPr>
          <w:rFonts w:ascii="Arial" w:hAnsi="Arial" w:cs="Arial"/>
          <w:color w:val="000000" w:themeColor="text1"/>
          <w:sz w:val="20"/>
          <w:szCs w:val="20"/>
          <w:lang w:val="es-ES"/>
        </w:rPr>
      </w:pPr>
    </w:p>
    <w:p w14:paraId="6312E9EA" w14:textId="77777777" w:rsidR="00590A19" w:rsidRPr="00AE5671" w:rsidRDefault="00590A19" w:rsidP="0083487C">
      <w:pPr>
        <w:jc w:val="both"/>
        <w:rPr>
          <w:rFonts w:ascii="Arial" w:hAnsi="Arial" w:cs="Arial"/>
          <w:color w:val="000000" w:themeColor="text1"/>
          <w:sz w:val="22"/>
          <w:lang w:val="es-ES"/>
        </w:rPr>
      </w:pPr>
    </w:p>
    <w:p w14:paraId="23810187" w14:textId="77777777" w:rsidR="00590A19" w:rsidRPr="00AE5671" w:rsidRDefault="00590A19">
      <w:pPr>
        <w:spacing w:after="200" w:line="276" w:lineRule="auto"/>
        <w:rPr>
          <w:rFonts w:ascii="Arial" w:hAnsi="Arial" w:cs="Arial"/>
          <w:color w:val="000000" w:themeColor="text1"/>
          <w:sz w:val="22"/>
          <w:lang w:val="es-ES"/>
        </w:rPr>
      </w:pPr>
      <w:r w:rsidRPr="00AE5671">
        <w:rPr>
          <w:rFonts w:ascii="Arial" w:hAnsi="Arial" w:cs="Arial"/>
          <w:color w:val="000000" w:themeColor="text1"/>
          <w:sz w:val="22"/>
          <w:lang w:val="es-ES"/>
        </w:rPr>
        <w:br w:type="page"/>
      </w:r>
    </w:p>
    <w:p w14:paraId="14A41008" w14:textId="295A8CBE" w:rsidR="002F0E06" w:rsidRPr="00AE5671" w:rsidRDefault="00AE5671" w:rsidP="0083487C">
      <w:pPr>
        <w:jc w:val="both"/>
        <w:rPr>
          <w:rFonts w:ascii="Arial" w:hAnsi="Arial" w:cs="Arial"/>
          <w:color w:val="000000" w:themeColor="text1"/>
          <w:sz w:val="22"/>
          <w:lang w:val="es-ES"/>
        </w:rPr>
      </w:pPr>
      <w:r>
        <w:rPr>
          <w:rFonts w:ascii="Arial" w:hAnsi="Arial" w:cs="Arial"/>
          <w:noProof/>
          <w:color w:val="000000" w:themeColor="text1"/>
          <w:sz w:val="22"/>
          <w:lang w:val="es-ES"/>
        </w:rPr>
        <w:lastRenderedPageBreak/>
        <w:drawing>
          <wp:inline distT="0" distB="0" distL="0" distR="0" wp14:anchorId="11D62A98" wp14:editId="655B8817">
            <wp:extent cx="5612130" cy="1665605"/>
            <wp:effectExtent l="0" t="0" r="1270" b="0"/>
            <wp:docPr id="1" name="Imagen 1"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ódigo QR&#10;&#10;Descripción generada automáticamente"/>
                    <pic:cNvPicPr/>
                  </pic:nvPicPr>
                  <pic:blipFill>
                    <a:blip r:embed="rId11"/>
                    <a:stretch>
                      <a:fillRect/>
                    </a:stretch>
                  </pic:blipFill>
                  <pic:spPr>
                    <a:xfrm>
                      <a:off x="0" y="0"/>
                      <a:ext cx="5612130" cy="1665605"/>
                    </a:xfrm>
                    <a:prstGeom prst="rect">
                      <a:avLst/>
                    </a:prstGeom>
                  </pic:spPr>
                </pic:pic>
              </a:graphicData>
            </a:graphic>
          </wp:inline>
        </w:drawing>
      </w:r>
    </w:p>
    <w:p w14:paraId="3E4B7D73" w14:textId="5D7466B7" w:rsidR="00D438B8" w:rsidRPr="00AE5671" w:rsidRDefault="00D438B8" w:rsidP="0083487C">
      <w:pPr>
        <w:jc w:val="right"/>
        <w:rPr>
          <w:rFonts w:ascii="Arial" w:hAnsi="Arial" w:cs="Arial"/>
          <w:b/>
          <w:color w:val="000000" w:themeColor="text1"/>
          <w:sz w:val="22"/>
          <w:lang w:val="es-ES"/>
        </w:rPr>
      </w:pPr>
    </w:p>
    <w:p w14:paraId="74A475A6" w14:textId="7F137C0C" w:rsidR="00DD5B04" w:rsidRPr="00AE5671" w:rsidRDefault="00DD5B04" w:rsidP="00751FFB">
      <w:pPr>
        <w:tabs>
          <w:tab w:val="left" w:pos="1535"/>
        </w:tabs>
        <w:jc w:val="both"/>
        <w:rPr>
          <w:rFonts w:ascii="Arial" w:eastAsia="Calibri" w:hAnsi="Arial" w:cs="Arial"/>
          <w:color w:val="000000" w:themeColor="text1"/>
          <w:sz w:val="22"/>
          <w:lang w:val="es-ES"/>
        </w:rPr>
      </w:pPr>
      <w:r w:rsidRPr="00AE5671">
        <w:rPr>
          <w:rFonts w:ascii="Arial" w:eastAsia="Calibri" w:hAnsi="Arial" w:cs="Arial"/>
          <w:color w:val="000000" w:themeColor="text1"/>
          <w:sz w:val="22"/>
          <w:lang w:val="es-ES"/>
        </w:rPr>
        <w:t>Señor</w:t>
      </w:r>
    </w:p>
    <w:p w14:paraId="6011130B" w14:textId="5B983B59" w:rsidR="00AE1990" w:rsidRPr="00AE5671" w:rsidRDefault="007A7BBA" w:rsidP="00DF76A2">
      <w:pPr>
        <w:jc w:val="both"/>
        <w:rPr>
          <w:rFonts w:ascii="Arial" w:eastAsia="Calibri" w:hAnsi="Arial" w:cs="Arial"/>
          <w:b/>
          <w:color w:val="000000" w:themeColor="text1"/>
          <w:sz w:val="22"/>
          <w:lang w:val="es-ES"/>
        </w:rPr>
      </w:pPr>
      <w:proofErr w:type="spellStart"/>
      <w:r w:rsidRPr="00AE5671">
        <w:rPr>
          <w:rFonts w:ascii="Arial" w:eastAsia="Calibri" w:hAnsi="Arial" w:cs="Arial"/>
          <w:b/>
          <w:color w:val="000000" w:themeColor="text1"/>
          <w:sz w:val="22"/>
          <w:lang w:val="es-ES"/>
        </w:rPr>
        <w:t>Ulianof</w:t>
      </w:r>
      <w:proofErr w:type="spellEnd"/>
      <w:r w:rsidRPr="00AE5671">
        <w:rPr>
          <w:rFonts w:ascii="Arial" w:eastAsia="Calibri" w:hAnsi="Arial" w:cs="Arial"/>
          <w:b/>
          <w:color w:val="000000" w:themeColor="text1"/>
          <w:sz w:val="22"/>
          <w:lang w:val="es-ES"/>
        </w:rPr>
        <w:t xml:space="preserve"> Adolfo Forero Gambia</w:t>
      </w:r>
    </w:p>
    <w:p w14:paraId="03294061" w14:textId="69B0D4D2" w:rsidR="00DD5B04" w:rsidRPr="00AE5671" w:rsidRDefault="007A7BBA" w:rsidP="00DF76A2">
      <w:pPr>
        <w:jc w:val="both"/>
        <w:rPr>
          <w:rFonts w:ascii="Arial" w:eastAsia="Calibri" w:hAnsi="Arial" w:cs="Arial"/>
          <w:color w:val="000000" w:themeColor="text1"/>
          <w:sz w:val="22"/>
          <w:lang w:val="es-ES"/>
        </w:rPr>
      </w:pPr>
      <w:r w:rsidRPr="00AE5671">
        <w:rPr>
          <w:rFonts w:ascii="Arial" w:eastAsia="Calibri" w:hAnsi="Arial" w:cs="Arial"/>
          <w:color w:val="000000" w:themeColor="text1"/>
          <w:sz w:val="22"/>
          <w:lang w:val="es-ES"/>
        </w:rPr>
        <w:t>Bucaramanga, Santander</w:t>
      </w:r>
    </w:p>
    <w:p w14:paraId="1C6BD50A" w14:textId="77777777" w:rsidR="0083487C" w:rsidRPr="00AE5671" w:rsidRDefault="0083487C" w:rsidP="00DF76A2">
      <w:pPr>
        <w:jc w:val="both"/>
        <w:rPr>
          <w:rFonts w:ascii="Arial" w:eastAsia="Calibri" w:hAnsi="Arial" w:cs="Arial"/>
          <w:color w:val="000000" w:themeColor="text1"/>
          <w:sz w:val="22"/>
          <w:lang w:val="es-ES"/>
        </w:rPr>
      </w:pPr>
    </w:p>
    <w:p w14:paraId="60978A0D" w14:textId="7C548383" w:rsidR="00DD5B04" w:rsidRPr="00AE5671" w:rsidRDefault="00DD5B04" w:rsidP="002A1A58">
      <w:pPr>
        <w:jc w:val="center"/>
        <w:rPr>
          <w:rFonts w:ascii="Arial" w:eastAsia="Calibri" w:hAnsi="Arial" w:cs="Arial"/>
          <w:b/>
          <w:bCs/>
          <w:color w:val="000000" w:themeColor="text1"/>
          <w:sz w:val="22"/>
          <w:lang w:val="es-ES"/>
        </w:rPr>
      </w:pPr>
      <w:r w:rsidRPr="00AE5671">
        <w:rPr>
          <w:rFonts w:ascii="Arial" w:eastAsia="Calibri" w:hAnsi="Arial" w:cs="Arial"/>
          <w:b/>
          <w:bCs/>
          <w:color w:val="000000" w:themeColor="text1"/>
          <w:sz w:val="22"/>
          <w:lang w:val="es-ES"/>
        </w:rPr>
        <w:t>Concepto C</w:t>
      </w:r>
      <w:r w:rsidR="00FE144E" w:rsidRPr="00AE5671">
        <w:rPr>
          <w:rFonts w:ascii="Arial" w:eastAsia="Calibri" w:hAnsi="Arial" w:cs="Arial"/>
          <w:b/>
          <w:bCs/>
          <w:color w:val="000000" w:themeColor="text1"/>
          <w:sz w:val="22"/>
          <w:lang w:val="es-ES"/>
        </w:rPr>
        <w:t xml:space="preserve"> </w:t>
      </w:r>
      <w:r w:rsidRPr="00AE5671">
        <w:rPr>
          <w:rFonts w:ascii="Arial" w:eastAsia="Calibri" w:hAnsi="Arial" w:cs="Arial"/>
          <w:b/>
          <w:bCs/>
          <w:color w:val="000000" w:themeColor="text1"/>
          <w:sz w:val="22"/>
          <w:lang w:val="es-ES"/>
        </w:rPr>
        <w:t>‒</w:t>
      </w:r>
      <w:r w:rsidR="00A47C58" w:rsidRPr="00AE5671">
        <w:rPr>
          <w:rFonts w:ascii="Arial" w:eastAsia="Calibri" w:hAnsi="Arial" w:cs="Arial"/>
          <w:b/>
          <w:bCs/>
          <w:color w:val="000000" w:themeColor="text1"/>
          <w:sz w:val="22"/>
          <w:lang w:val="es-ES"/>
        </w:rPr>
        <w:t xml:space="preserve"> </w:t>
      </w:r>
      <w:r w:rsidR="007A7BBA" w:rsidRPr="00AE5671">
        <w:rPr>
          <w:rFonts w:ascii="Arial" w:eastAsia="Calibri" w:hAnsi="Arial" w:cs="Arial"/>
          <w:b/>
          <w:bCs/>
          <w:color w:val="000000" w:themeColor="text1"/>
          <w:sz w:val="22"/>
          <w:lang w:val="es-ES"/>
        </w:rPr>
        <w:t>156</w:t>
      </w:r>
      <w:r w:rsidR="00B52697" w:rsidRPr="00AE5671">
        <w:rPr>
          <w:rFonts w:ascii="Arial" w:eastAsia="Calibri" w:hAnsi="Arial" w:cs="Arial"/>
          <w:b/>
          <w:bCs/>
          <w:color w:val="000000" w:themeColor="text1"/>
          <w:sz w:val="22"/>
          <w:lang w:val="es-ES"/>
        </w:rPr>
        <w:t xml:space="preserve"> </w:t>
      </w:r>
      <w:r w:rsidRPr="00AE5671">
        <w:rPr>
          <w:rFonts w:ascii="Arial" w:eastAsia="Calibri" w:hAnsi="Arial" w:cs="Arial"/>
          <w:b/>
          <w:bCs/>
          <w:color w:val="000000" w:themeColor="text1"/>
          <w:sz w:val="22"/>
          <w:lang w:val="es-ES"/>
        </w:rPr>
        <w:t>de 202</w:t>
      </w:r>
      <w:r w:rsidR="007A7BBA" w:rsidRPr="00AE5671">
        <w:rPr>
          <w:rFonts w:ascii="Arial" w:eastAsia="Calibri" w:hAnsi="Arial" w:cs="Arial"/>
          <w:b/>
          <w:bCs/>
          <w:color w:val="000000" w:themeColor="text1"/>
          <w:sz w:val="22"/>
          <w:lang w:val="es-ES"/>
        </w:rPr>
        <w:t>1</w:t>
      </w:r>
    </w:p>
    <w:p w14:paraId="42713058" w14:textId="77777777" w:rsidR="002F0E06" w:rsidRPr="00AE5671" w:rsidRDefault="002F0E06" w:rsidP="002A1A58">
      <w:pPr>
        <w:jc w:val="center"/>
        <w:rPr>
          <w:rFonts w:ascii="Arial" w:eastAsia="Calibri" w:hAnsi="Arial" w:cs="Arial"/>
          <w:b/>
          <w:bCs/>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AE5671" w14:paraId="10318206" w14:textId="77777777" w:rsidTr="00083F1B">
        <w:tc>
          <w:tcPr>
            <w:tcW w:w="2689" w:type="dxa"/>
          </w:tcPr>
          <w:p w14:paraId="3FE8DF90" w14:textId="77777777" w:rsidR="00DD5B04" w:rsidRPr="00AE5671" w:rsidRDefault="00DD5B04" w:rsidP="00DF76A2">
            <w:pPr>
              <w:jc w:val="both"/>
              <w:rPr>
                <w:rFonts w:ascii="Arial" w:eastAsia="Calibri" w:hAnsi="Arial" w:cs="Arial"/>
                <w:color w:val="000000" w:themeColor="text1"/>
                <w:sz w:val="22"/>
                <w:lang w:val="es-ES"/>
              </w:rPr>
            </w:pPr>
            <w:r w:rsidRPr="00AE5671">
              <w:rPr>
                <w:rFonts w:ascii="Arial" w:eastAsia="Calibri" w:hAnsi="Arial" w:cs="Arial"/>
                <w:b/>
                <w:color w:val="000000" w:themeColor="text1"/>
                <w:sz w:val="22"/>
                <w:lang w:val="es-ES"/>
              </w:rPr>
              <w:t>Temas:</w:t>
            </w:r>
            <w:r w:rsidRPr="00AE5671">
              <w:rPr>
                <w:rFonts w:ascii="Arial" w:eastAsia="Calibri" w:hAnsi="Arial" w:cs="Arial"/>
                <w:color w:val="000000" w:themeColor="text1"/>
                <w:sz w:val="22"/>
                <w:lang w:val="es-ES"/>
              </w:rPr>
              <w:t xml:space="preserve">                                      </w:t>
            </w:r>
          </w:p>
        </w:tc>
        <w:tc>
          <w:tcPr>
            <w:tcW w:w="6237" w:type="dxa"/>
          </w:tcPr>
          <w:p w14:paraId="63D57D37" w14:textId="03CA3FFA" w:rsidR="006274B9" w:rsidRPr="00AE5671" w:rsidRDefault="00450376" w:rsidP="0021069B">
            <w:pPr>
              <w:jc w:val="both"/>
              <w:rPr>
                <w:rFonts w:ascii="Arial" w:eastAsia="Calibri" w:hAnsi="Arial" w:cs="Arial"/>
                <w:color w:val="000000" w:themeColor="text1"/>
                <w:sz w:val="22"/>
                <w:lang w:val="es-ES"/>
              </w:rPr>
            </w:pPr>
            <w:r w:rsidRPr="000A593C">
              <w:rPr>
                <w:rFonts w:ascii="Arial" w:hAnsi="Arial" w:cs="Arial"/>
                <w:color w:val="000000" w:themeColor="text1"/>
                <w:sz w:val="22"/>
                <w:lang w:val="es-ES"/>
              </w:rPr>
              <w:t xml:space="preserve">DOCUMENTOS TIPO – Límite a la discrecionalidad / DOCUMENTOS TIPO – Inalterabilidad / </w:t>
            </w:r>
            <w:r w:rsidRPr="000A593C">
              <w:rPr>
                <w:rFonts w:ascii="Arial" w:hAnsi="Arial" w:cs="Arial"/>
                <w:color w:val="000000" w:themeColor="text1"/>
                <w:sz w:val="22"/>
                <w:shd w:val="clear" w:color="auto" w:fill="FFFFFF"/>
                <w:lang w:val="es-ES"/>
              </w:rPr>
              <w:t xml:space="preserve">DOCUMENTOS TIPO – Causales de rechazo / </w:t>
            </w:r>
            <w:r w:rsidRPr="000A593C">
              <w:rPr>
                <w:rFonts w:ascii="Arial" w:hAnsi="Arial" w:cs="Arial"/>
                <w:color w:val="000000" w:themeColor="text1"/>
                <w:sz w:val="22"/>
                <w:lang w:val="es-ES"/>
              </w:rPr>
              <w:t>DOCUMENTO TIPO – Ley 842 de 2003 – Artículo 17 – Causales de rechazo</w:t>
            </w:r>
            <w:r>
              <w:rPr>
                <w:rFonts w:ascii="Arial" w:hAnsi="Arial" w:cs="Arial"/>
                <w:color w:val="000000" w:themeColor="text1"/>
                <w:sz w:val="22"/>
                <w:lang w:val="es-ES"/>
              </w:rPr>
              <w:t xml:space="preserve"> / </w:t>
            </w:r>
            <w:r w:rsidRPr="001E47A8">
              <w:rPr>
                <w:rFonts w:ascii="Arial" w:hAnsi="Arial" w:cs="Arial"/>
                <w:color w:val="000000" w:themeColor="text1"/>
                <w:sz w:val="22"/>
                <w:lang w:val="es-ES"/>
              </w:rPr>
              <w:t>DOCUMENTOS TIPO ¬– Versión 3 – Acreditación experiencia – Proponentes plurales – Numeral 3.5.3 Consideraciones para la validez de la experiencia requerida – Literal D</w:t>
            </w:r>
            <w:r>
              <w:rPr>
                <w:rFonts w:ascii="Arial" w:hAnsi="Arial" w:cs="Arial"/>
                <w:color w:val="000000" w:themeColor="text1"/>
                <w:sz w:val="22"/>
                <w:lang w:val="es-ES"/>
              </w:rPr>
              <w:t xml:space="preserve"> / </w:t>
            </w:r>
            <w:r w:rsidRPr="001E47A8">
              <w:rPr>
                <w:rFonts w:ascii="Arial" w:hAnsi="Arial" w:cs="Arial"/>
                <w:color w:val="000000" w:themeColor="text1"/>
                <w:sz w:val="22"/>
                <w:lang w:val="es-ES"/>
              </w:rPr>
              <w:t>DOCUMENTOS TIPO – Versión 3 – Acreditación experiencia – Proponentes plurales – Numeral 3.5.3 Consideraciones para la validez de la experiencia requerida – Experiencia relacionada con el valor del proceso</w:t>
            </w:r>
            <w:r>
              <w:rPr>
                <w:rFonts w:ascii="Arial" w:hAnsi="Arial" w:cs="Arial"/>
                <w:color w:val="000000" w:themeColor="text1"/>
                <w:sz w:val="22"/>
                <w:lang w:val="es-ES"/>
              </w:rPr>
              <w:t xml:space="preserve"> / </w:t>
            </w:r>
            <w:r w:rsidRPr="001E47A8">
              <w:rPr>
                <w:rFonts w:ascii="Arial" w:hAnsi="Arial" w:cs="Arial"/>
                <w:color w:val="000000" w:themeColor="text1"/>
                <w:sz w:val="22"/>
                <w:lang w:val="es-ES"/>
              </w:rPr>
              <w:t>DOCUMENTOS TIPO – Versión 3 – Acreditación experiencia – Proponentes plurales – Numeral 3.5.3</w:t>
            </w:r>
          </w:p>
        </w:tc>
      </w:tr>
      <w:tr w:rsidR="00DD5B04" w:rsidRPr="00AE5671" w14:paraId="60E06E0C" w14:textId="77777777" w:rsidTr="00083F1B">
        <w:tc>
          <w:tcPr>
            <w:tcW w:w="2689" w:type="dxa"/>
          </w:tcPr>
          <w:p w14:paraId="5655C7E4" w14:textId="77777777" w:rsidR="00DD5B04" w:rsidRPr="00AE5671" w:rsidRDefault="00DD5B04" w:rsidP="00DF76A2">
            <w:pPr>
              <w:spacing w:before="120"/>
              <w:jc w:val="both"/>
              <w:rPr>
                <w:rFonts w:ascii="Arial" w:eastAsia="Calibri" w:hAnsi="Arial" w:cs="Arial"/>
                <w:b/>
                <w:color w:val="000000" w:themeColor="text1"/>
                <w:sz w:val="22"/>
                <w:lang w:val="es-ES"/>
              </w:rPr>
            </w:pPr>
            <w:r w:rsidRPr="00AE5671">
              <w:rPr>
                <w:rFonts w:ascii="Arial" w:eastAsia="Calibri" w:hAnsi="Arial" w:cs="Arial"/>
                <w:b/>
                <w:color w:val="000000" w:themeColor="text1"/>
                <w:sz w:val="22"/>
                <w:lang w:val="es-ES"/>
              </w:rPr>
              <w:t>Radicación:</w:t>
            </w:r>
            <w:r w:rsidRPr="00AE5671">
              <w:rPr>
                <w:rFonts w:ascii="Arial" w:eastAsia="Calibri" w:hAnsi="Arial" w:cs="Arial"/>
                <w:color w:val="000000" w:themeColor="text1"/>
                <w:sz w:val="22"/>
                <w:lang w:val="es-ES"/>
              </w:rPr>
              <w:t xml:space="preserve">                              </w:t>
            </w:r>
          </w:p>
        </w:tc>
        <w:tc>
          <w:tcPr>
            <w:tcW w:w="6237" w:type="dxa"/>
          </w:tcPr>
          <w:p w14:paraId="33E25A02" w14:textId="3B14D351" w:rsidR="00DD5B04" w:rsidRPr="00AE5671" w:rsidRDefault="00DD5B04" w:rsidP="00DF76A2">
            <w:pPr>
              <w:spacing w:before="120"/>
              <w:jc w:val="both"/>
              <w:rPr>
                <w:rFonts w:ascii="Arial" w:eastAsia="Calibri" w:hAnsi="Arial" w:cs="Arial"/>
                <w:color w:val="000000" w:themeColor="text1"/>
                <w:sz w:val="22"/>
                <w:lang w:val="es-ES"/>
              </w:rPr>
            </w:pPr>
            <w:r w:rsidRPr="00AE5671">
              <w:rPr>
                <w:rFonts w:ascii="Arial" w:eastAsia="Calibri" w:hAnsi="Arial" w:cs="Arial"/>
                <w:color w:val="000000" w:themeColor="text1"/>
                <w:sz w:val="22"/>
                <w:lang w:val="es-ES"/>
              </w:rPr>
              <w:t>Respuesta</w:t>
            </w:r>
            <w:r w:rsidR="008100F7" w:rsidRPr="00AE5671">
              <w:rPr>
                <w:rFonts w:ascii="Arial" w:eastAsia="Calibri" w:hAnsi="Arial" w:cs="Arial"/>
                <w:color w:val="000000" w:themeColor="text1"/>
                <w:sz w:val="22"/>
                <w:lang w:val="es-ES"/>
              </w:rPr>
              <w:t xml:space="preserve"> </w:t>
            </w:r>
            <w:r w:rsidR="00CA5812" w:rsidRPr="00AE5671">
              <w:rPr>
                <w:rFonts w:ascii="Arial" w:eastAsia="Calibri" w:hAnsi="Arial" w:cs="Arial"/>
                <w:color w:val="000000" w:themeColor="text1"/>
                <w:sz w:val="22"/>
                <w:lang w:val="es-ES"/>
              </w:rPr>
              <w:t xml:space="preserve">a </w:t>
            </w:r>
            <w:r w:rsidRPr="00AE5671">
              <w:rPr>
                <w:rFonts w:ascii="Arial" w:eastAsia="Calibri" w:hAnsi="Arial" w:cs="Arial"/>
                <w:color w:val="000000" w:themeColor="text1"/>
                <w:sz w:val="22"/>
                <w:lang w:val="es-ES"/>
              </w:rPr>
              <w:t>consulta</w:t>
            </w:r>
            <w:r w:rsidR="0083487C" w:rsidRPr="00AE5671">
              <w:rPr>
                <w:rFonts w:ascii="Arial" w:eastAsia="Calibri" w:hAnsi="Arial" w:cs="Arial"/>
                <w:color w:val="000000" w:themeColor="text1"/>
                <w:sz w:val="22"/>
                <w:lang w:val="es-ES"/>
              </w:rPr>
              <w:t>s</w:t>
            </w:r>
            <w:r w:rsidR="008022C9" w:rsidRPr="00AE5671">
              <w:rPr>
                <w:rFonts w:ascii="Arial" w:eastAsia="Calibri" w:hAnsi="Arial" w:cs="Arial"/>
                <w:color w:val="000000" w:themeColor="text1"/>
                <w:sz w:val="22"/>
                <w:lang w:val="es-ES"/>
              </w:rPr>
              <w:t xml:space="preserve"> </w:t>
            </w:r>
            <w:r w:rsidRPr="00AE5671">
              <w:rPr>
                <w:rFonts w:ascii="Arial" w:eastAsia="Calibri" w:hAnsi="Arial" w:cs="Arial"/>
                <w:color w:val="000000" w:themeColor="text1"/>
                <w:sz w:val="22"/>
                <w:lang w:val="es-ES"/>
              </w:rPr>
              <w:t>#</w:t>
            </w:r>
            <w:r w:rsidR="007A7BBA" w:rsidRPr="00AE5671">
              <w:rPr>
                <w:rFonts w:ascii="Arial" w:eastAsia="Calibri" w:hAnsi="Arial" w:cs="Arial"/>
                <w:color w:val="000000" w:themeColor="text1"/>
                <w:sz w:val="22"/>
                <w:lang w:val="es-ES"/>
              </w:rPr>
              <w:t xml:space="preserve"> P20210228001640</w:t>
            </w:r>
          </w:p>
          <w:p w14:paraId="0DA3D2F3" w14:textId="77777777" w:rsidR="00DD5B04" w:rsidRPr="00AE5671" w:rsidRDefault="00DD5B04" w:rsidP="00DF76A2">
            <w:pPr>
              <w:spacing w:before="120"/>
              <w:jc w:val="both"/>
              <w:rPr>
                <w:rFonts w:ascii="Arial" w:eastAsia="Calibri" w:hAnsi="Arial" w:cs="Arial"/>
                <w:color w:val="000000" w:themeColor="text1"/>
                <w:sz w:val="22"/>
                <w:lang w:val="es-ES"/>
              </w:rPr>
            </w:pPr>
            <w:r w:rsidRPr="00AE5671">
              <w:rPr>
                <w:rFonts w:ascii="Arial" w:eastAsia="Calibri" w:hAnsi="Arial" w:cs="Arial"/>
                <w:color w:val="000000" w:themeColor="text1"/>
                <w:sz w:val="22"/>
                <w:lang w:val="es-ES"/>
              </w:rPr>
              <w:t xml:space="preserve"> </w:t>
            </w:r>
          </w:p>
        </w:tc>
      </w:tr>
    </w:tbl>
    <w:p w14:paraId="30BB5B67" w14:textId="23CAC870" w:rsidR="00DD5B04" w:rsidRPr="00AE5671" w:rsidRDefault="00DD5B04" w:rsidP="007C1D10">
      <w:pPr>
        <w:spacing w:line="276" w:lineRule="auto"/>
        <w:jc w:val="both"/>
        <w:rPr>
          <w:rFonts w:ascii="Arial" w:eastAsia="Calibri" w:hAnsi="Arial" w:cs="Arial"/>
          <w:color w:val="000000" w:themeColor="text1"/>
          <w:sz w:val="22"/>
          <w:lang w:val="es-ES"/>
        </w:rPr>
      </w:pPr>
      <w:r w:rsidRPr="00AE5671">
        <w:rPr>
          <w:rFonts w:ascii="Arial" w:eastAsia="Calibri" w:hAnsi="Arial" w:cs="Arial"/>
          <w:color w:val="000000" w:themeColor="text1"/>
          <w:sz w:val="22"/>
          <w:lang w:val="es-ES"/>
        </w:rPr>
        <w:t>Estimad</w:t>
      </w:r>
      <w:r w:rsidR="007A7BBA" w:rsidRPr="00AE5671">
        <w:rPr>
          <w:rFonts w:ascii="Arial" w:eastAsia="Calibri" w:hAnsi="Arial" w:cs="Arial"/>
          <w:color w:val="000000" w:themeColor="text1"/>
          <w:sz w:val="22"/>
          <w:lang w:val="es-ES"/>
        </w:rPr>
        <w:t xml:space="preserve">o </w:t>
      </w:r>
      <w:r w:rsidRPr="00AE5671">
        <w:rPr>
          <w:rFonts w:ascii="Arial" w:eastAsia="Calibri" w:hAnsi="Arial" w:cs="Arial"/>
          <w:color w:val="000000" w:themeColor="text1"/>
          <w:sz w:val="22"/>
          <w:lang w:val="es-ES"/>
        </w:rPr>
        <w:t>señor</w:t>
      </w:r>
      <w:r w:rsidR="007A7BBA" w:rsidRPr="00AE5671">
        <w:rPr>
          <w:rFonts w:ascii="Arial" w:eastAsia="Calibri" w:hAnsi="Arial" w:cs="Arial"/>
          <w:color w:val="000000" w:themeColor="text1"/>
          <w:sz w:val="22"/>
          <w:lang w:val="es-ES"/>
        </w:rPr>
        <w:t xml:space="preserve"> Forero</w:t>
      </w:r>
      <w:r w:rsidRPr="00AE5671">
        <w:rPr>
          <w:rFonts w:ascii="Arial" w:eastAsia="Calibri" w:hAnsi="Arial" w:cs="Arial"/>
          <w:color w:val="000000" w:themeColor="text1"/>
          <w:sz w:val="22"/>
          <w:lang w:val="es-ES"/>
        </w:rPr>
        <w:t>:</w:t>
      </w:r>
    </w:p>
    <w:p w14:paraId="1EAE5543" w14:textId="77777777" w:rsidR="00DD5B04" w:rsidRPr="00AE5671" w:rsidRDefault="00DD5B04" w:rsidP="007C1D10">
      <w:pPr>
        <w:spacing w:line="276" w:lineRule="auto"/>
        <w:jc w:val="both"/>
        <w:rPr>
          <w:rFonts w:ascii="Arial" w:eastAsia="Calibri" w:hAnsi="Arial" w:cs="Arial"/>
          <w:color w:val="000000" w:themeColor="text1"/>
          <w:sz w:val="22"/>
          <w:lang w:val="es-ES"/>
        </w:rPr>
      </w:pPr>
    </w:p>
    <w:p w14:paraId="2109B2D3" w14:textId="1DEB045A" w:rsidR="00DD5B04" w:rsidRPr="00AE5671" w:rsidRDefault="00DD5B04" w:rsidP="007C1D10">
      <w:pPr>
        <w:spacing w:line="276" w:lineRule="auto"/>
        <w:jc w:val="both"/>
        <w:rPr>
          <w:rFonts w:ascii="Arial" w:eastAsia="Calibri" w:hAnsi="Arial" w:cs="Arial"/>
          <w:color w:val="000000" w:themeColor="text1"/>
          <w:sz w:val="22"/>
          <w:lang w:val="es-ES"/>
        </w:rPr>
      </w:pPr>
      <w:r w:rsidRPr="00AE5671">
        <w:rPr>
          <w:rFonts w:ascii="Arial" w:eastAsia="Calibri" w:hAnsi="Arial" w:cs="Arial"/>
          <w:color w:val="000000" w:themeColor="text1"/>
          <w:sz w:val="22"/>
          <w:lang w:val="es-ES"/>
        </w:rPr>
        <w:t xml:space="preserve">En ejercicio de la competencia otorgada por el numeral 8 del artículo 11 y el numeral 5 del artículo 3 del Decreto Ley 4170 de 2011, la Agencia Nacional de Contratación Pública </w:t>
      </w:r>
      <w:r w:rsidR="00C60A92" w:rsidRPr="00AE5671">
        <w:rPr>
          <w:rFonts w:ascii="Arial" w:eastAsia="Calibri" w:hAnsi="Arial" w:cs="Arial"/>
          <w:color w:val="000000" w:themeColor="text1"/>
          <w:sz w:val="22"/>
          <w:lang w:val="es-ES"/>
        </w:rPr>
        <w:t>–</w:t>
      </w:r>
      <w:r w:rsidRPr="00AE5671">
        <w:rPr>
          <w:rFonts w:ascii="Arial" w:eastAsia="Calibri" w:hAnsi="Arial" w:cs="Arial"/>
          <w:color w:val="000000" w:themeColor="text1"/>
          <w:sz w:val="22"/>
          <w:lang w:val="es-ES"/>
        </w:rPr>
        <w:t xml:space="preserve"> Colombia Compra Eficiente responde </w:t>
      </w:r>
      <w:r w:rsidR="007A7BBA" w:rsidRPr="00AE5671">
        <w:rPr>
          <w:rFonts w:ascii="Arial" w:eastAsia="Calibri" w:hAnsi="Arial" w:cs="Arial"/>
          <w:color w:val="000000" w:themeColor="text1"/>
          <w:sz w:val="22"/>
          <w:lang w:val="es-ES"/>
        </w:rPr>
        <w:t>su consulta del 28 de febrero de 2021.</w:t>
      </w:r>
    </w:p>
    <w:p w14:paraId="0C1E0712" w14:textId="77777777" w:rsidR="00DD5B04" w:rsidRPr="00AE5671" w:rsidRDefault="00DD5B04" w:rsidP="007C1D10">
      <w:pPr>
        <w:spacing w:line="276" w:lineRule="auto"/>
        <w:jc w:val="both"/>
        <w:rPr>
          <w:rFonts w:ascii="Arial" w:eastAsia="Calibri" w:hAnsi="Arial" w:cs="Arial"/>
          <w:b/>
          <w:color w:val="000000" w:themeColor="text1"/>
          <w:sz w:val="22"/>
          <w:lang w:val="es-ES"/>
        </w:rPr>
      </w:pPr>
    </w:p>
    <w:p w14:paraId="7701FCC7" w14:textId="77777777" w:rsidR="00DD5B04" w:rsidRPr="00AE5671" w:rsidRDefault="00DD5B04" w:rsidP="007C1D10">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
        </w:rPr>
      </w:pPr>
      <w:r w:rsidRPr="00AE5671">
        <w:rPr>
          <w:rFonts w:ascii="Arial" w:eastAsia="Calibri" w:hAnsi="Arial" w:cs="Arial"/>
          <w:b/>
          <w:color w:val="000000" w:themeColor="text1"/>
          <w:sz w:val="22"/>
          <w:lang w:val="es-ES"/>
        </w:rPr>
        <w:t xml:space="preserve">Problema planteado </w:t>
      </w:r>
    </w:p>
    <w:p w14:paraId="224B43D3" w14:textId="0071DC03" w:rsidR="00DD5B04" w:rsidRPr="00AE5671" w:rsidRDefault="00DD5B04" w:rsidP="007C1D10">
      <w:pPr>
        <w:tabs>
          <w:tab w:val="left" w:pos="426"/>
        </w:tabs>
        <w:spacing w:line="276" w:lineRule="auto"/>
        <w:jc w:val="both"/>
        <w:rPr>
          <w:rFonts w:ascii="Arial" w:eastAsia="Calibri" w:hAnsi="Arial" w:cs="Arial"/>
          <w:b/>
          <w:color w:val="000000" w:themeColor="text1"/>
          <w:sz w:val="22"/>
          <w:lang w:val="es-ES"/>
        </w:rPr>
      </w:pPr>
    </w:p>
    <w:p w14:paraId="74BCCBA9" w14:textId="1F69C220" w:rsidR="007A7BBA" w:rsidRPr="00AE5671" w:rsidRDefault="007A7BBA" w:rsidP="007023EB">
      <w:pPr>
        <w:spacing w:line="276" w:lineRule="auto"/>
        <w:ind w:firstLine="708"/>
        <w:jc w:val="both"/>
        <w:rPr>
          <w:rFonts w:ascii="Arial" w:eastAsia="Times New Roman" w:hAnsi="Arial" w:cs="Arial"/>
          <w:sz w:val="22"/>
          <w:lang w:val="es-ES" w:eastAsia="es-ES_tradnl"/>
        </w:rPr>
      </w:pPr>
      <w:r w:rsidRPr="00AE5671">
        <w:rPr>
          <w:rFonts w:ascii="Arial" w:hAnsi="Arial" w:cs="Arial"/>
          <w:sz w:val="22"/>
          <w:lang w:val="es-ES"/>
        </w:rPr>
        <w:t>Usted formuló las siguientes preguntas: «(1)</w:t>
      </w:r>
      <w:r w:rsidR="00F05171" w:rsidRPr="00AE5671">
        <w:rPr>
          <w:rFonts w:ascii="Arial" w:hAnsi="Arial" w:cs="Arial"/>
          <w:sz w:val="22"/>
          <w:lang w:val="es-ES"/>
        </w:rPr>
        <w:t xml:space="preserve"> </w:t>
      </w:r>
      <w:r w:rsidRPr="00AE5671">
        <w:rPr>
          <w:rFonts w:ascii="Arial" w:eastAsia="Times New Roman" w:hAnsi="Arial" w:cs="Arial"/>
          <w:sz w:val="22"/>
          <w:lang w:val="es-ES" w:eastAsia="es-ES_tradnl"/>
        </w:rPr>
        <w:t>¿Es acertado rechazar un proponente cuando no de cumplimiento al art 17 de la Ley 842 de 2003, la cual va en concordancia con el requerimiento de la capacidad técnica de tener vinculado o como socio por lo menos un profesional en las áreas de arquitectura, ingeniería y Geología?</w:t>
      </w:r>
      <w:r w:rsidR="004D1CB2" w:rsidRPr="00AE5671">
        <w:rPr>
          <w:rFonts w:ascii="Arial" w:eastAsia="Times New Roman" w:hAnsi="Arial" w:cs="Arial"/>
          <w:sz w:val="22"/>
          <w:lang w:val="es-ES" w:eastAsia="es-ES_tradnl"/>
        </w:rPr>
        <w:t>, (2)</w:t>
      </w:r>
      <w:r w:rsidR="00F05171" w:rsidRPr="00AE5671">
        <w:rPr>
          <w:rFonts w:ascii="Arial" w:eastAsia="Times New Roman" w:hAnsi="Arial" w:cs="Arial"/>
          <w:sz w:val="22"/>
          <w:lang w:val="es-ES" w:eastAsia="es-ES_tradnl"/>
        </w:rPr>
        <w:t xml:space="preserve"> </w:t>
      </w:r>
      <w:r w:rsidR="004D1CB2" w:rsidRPr="00AE5671">
        <w:rPr>
          <w:rFonts w:ascii="Arial" w:eastAsia="Times New Roman" w:hAnsi="Arial" w:cs="Arial"/>
          <w:sz w:val="22"/>
          <w:lang w:val="es-ES" w:eastAsia="es-ES_tradnl"/>
        </w:rPr>
        <w:t>¿</w:t>
      </w:r>
      <w:r w:rsidRPr="00AE5671">
        <w:rPr>
          <w:rFonts w:ascii="Arial" w:eastAsia="Times New Roman" w:hAnsi="Arial" w:cs="Arial"/>
          <w:sz w:val="22"/>
          <w:lang w:val="es-ES" w:eastAsia="es-ES_tradnl"/>
        </w:rPr>
        <w:t xml:space="preserve">Qué tipo de </w:t>
      </w:r>
      <w:r w:rsidRPr="00AE5671">
        <w:rPr>
          <w:rFonts w:ascii="Arial" w:eastAsia="Times New Roman" w:hAnsi="Arial" w:cs="Arial"/>
          <w:sz w:val="22"/>
          <w:lang w:val="es-ES" w:eastAsia="es-ES_tradnl"/>
        </w:rPr>
        <w:lastRenderedPageBreak/>
        <w:t>profesionales de la ingeniera se deben considerar como válidos para dar cumplimiento a la capacidad técnica?</w:t>
      </w:r>
    </w:p>
    <w:p w14:paraId="09DDFD05" w14:textId="77777777" w:rsidR="007A7BBA" w:rsidRPr="00AE5671" w:rsidRDefault="007A7BBA" w:rsidP="007C1D10">
      <w:pPr>
        <w:spacing w:line="276" w:lineRule="auto"/>
        <w:jc w:val="both"/>
        <w:rPr>
          <w:rFonts w:ascii="Arial" w:eastAsia="Times New Roman" w:hAnsi="Arial" w:cs="Arial"/>
          <w:sz w:val="22"/>
          <w:lang w:val="es-ES" w:eastAsia="es-ES_tradnl"/>
        </w:rPr>
      </w:pPr>
    </w:p>
    <w:p w14:paraId="7FB0944B" w14:textId="11B083AD" w:rsidR="00414194" w:rsidRPr="00414194" w:rsidRDefault="007A7BBA" w:rsidP="00414194">
      <w:pPr>
        <w:spacing w:line="276" w:lineRule="auto"/>
        <w:ind w:firstLine="708"/>
        <w:jc w:val="both"/>
        <w:rPr>
          <w:rFonts w:ascii="Arial" w:hAnsi="Arial" w:cs="Arial"/>
          <w:sz w:val="22"/>
          <w:lang w:val="es-ES"/>
        </w:rPr>
      </w:pPr>
      <w:r w:rsidRPr="00AE5671">
        <w:rPr>
          <w:rFonts w:ascii="Arial" w:eastAsia="Times New Roman" w:hAnsi="Arial" w:cs="Arial"/>
          <w:sz w:val="22"/>
          <w:lang w:val="es-ES" w:eastAsia="es-ES_tradnl"/>
        </w:rPr>
        <w:t>El contrato acreditado por integrante de la figura asociativa se tiene en cuenta como un contrato para el cumplimiento del numeral 3.5.8 de los pliegos? Es decir, para el caso de un consorcio de tres integrantes, se debe presentar tres contratos para dar cumplimiento al numeral 3.5.8? o por el contrario, los contratos para dar cumplimiento al literal D del numeral 3.5.3 son simplemente un requisito que no debe ser tenido en cuenta para el cumplimiento del numeral 3.5.8 de los pliegos de condiciones?, en este último caso, se tendría que hacer distinción entre los contratos que dan cumplimiento al numeral 3.5.8 y los que cumplen el literal D del numeral 3.5.3?</w:t>
      </w:r>
      <w:r w:rsidRPr="00AE5671">
        <w:rPr>
          <w:rFonts w:ascii="Arial" w:hAnsi="Arial" w:cs="Arial"/>
          <w:sz w:val="22"/>
          <w:lang w:val="es-ES"/>
        </w:rPr>
        <w:t>»</w:t>
      </w:r>
    </w:p>
    <w:p w14:paraId="3C2ECFFE" w14:textId="77777777" w:rsidR="00F02BFD" w:rsidRPr="00AE5671" w:rsidRDefault="00F02BFD" w:rsidP="007C1D10">
      <w:pPr>
        <w:spacing w:line="276" w:lineRule="auto"/>
        <w:jc w:val="both"/>
        <w:rPr>
          <w:rFonts w:ascii="Arial" w:hAnsi="Arial" w:cs="Arial"/>
          <w:color w:val="000000" w:themeColor="text1"/>
          <w:sz w:val="22"/>
          <w:lang w:val="es-ES"/>
        </w:rPr>
      </w:pPr>
    </w:p>
    <w:p w14:paraId="189B34B8" w14:textId="77777777" w:rsidR="00414194" w:rsidRDefault="00DD5B04" w:rsidP="00414194">
      <w:pPr>
        <w:pStyle w:val="Prrafodelista"/>
        <w:numPr>
          <w:ilvl w:val="0"/>
          <w:numId w:val="8"/>
        </w:numPr>
        <w:tabs>
          <w:tab w:val="left" w:pos="0"/>
          <w:tab w:val="left" w:pos="284"/>
        </w:tabs>
        <w:spacing w:line="276" w:lineRule="auto"/>
        <w:ind w:left="0" w:firstLine="0"/>
        <w:jc w:val="both"/>
        <w:rPr>
          <w:rFonts w:ascii="Arial" w:eastAsia="Calibri" w:hAnsi="Arial" w:cs="Arial"/>
          <w:b/>
          <w:color w:val="000000" w:themeColor="text1"/>
          <w:sz w:val="22"/>
          <w:lang w:val="es-ES"/>
        </w:rPr>
      </w:pPr>
      <w:r w:rsidRPr="00AE5671">
        <w:rPr>
          <w:rFonts w:ascii="Arial" w:eastAsia="Calibri" w:hAnsi="Arial" w:cs="Arial"/>
          <w:b/>
          <w:color w:val="000000" w:themeColor="text1"/>
          <w:sz w:val="22"/>
          <w:lang w:val="es-ES"/>
        </w:rPr>
        <w:t>Consideraciones</w:t>
      </w:r>
    </w:p>
    <w:p w14:paraId="2741733F" w14:textId="3BB840E1" w:rsidR="00414194" w:rsidRDefault="00414194" w:rsidP="00414194">
      <w:pPr>
        <w:pStyle w:val="Prrafodelista"/>
        <w:tabs>
          <w:tab w:val="left" w:pos="0"/>
          <w:tab w:val="left" w:pos="284"/>
        </w:tabs>
        <w:spacing w:line="276" w:lineRule="auto"/>
        <w:ind w:left="0"/>
        <w:jc w:val="both"/>
        <w:rPr>
          <w:rFonts w:ascii="Arial" w:eastAsia="Calibri" w:hAnsi="Arial" w:cs="Arial"/>
          <w:b/>
          <w:color w:val="000000" w:themeColor="text1"/>
          <w:sz w:val="22"/>
          <w:lang w:val="es-ES"/>
        </w:rPr>
      </w:pPr>
    </w:p>
    <w:p w14:paraId="501B1354" w14:textId="77777777" w:rsidR="0067762E" w:rsidRPr="005F1821" w:rsidRDefault="0067762E" w:rsidP="0067762E">
      <w:pPr>
        <w:tabs>
          <w:tab w:val="left" w:pos="426"/>
        </w:tabs>
        <w:spacing w:line="276" w:lineRule="auto"/>
        <w:jc w:val="both"/>
        <w:rPr>
          <w:rFonts w:ascii="Arial" w:hAnsi="Arial" w:cs="Arial"/>
          <w:sz w:val="22"/>
          <w:shd w:val="clear" w:color="auto" w:fill="FFFFFF"/>
        </w:rPr>
      </w:pPr>
      <w:r w:rsidRPr="005F1821">
        <w:rPr>
          <w:rFonts w:ascii="Arial" w:hAnsi="Arial" w:cs="Arial"/>
          <w:sz w:val="22"/>
          <w:shd w:val="clear" w:color="auto" w:fill="FFFFFF"/>
        </w:rPr>
        <w:t>Para resolver esta consulta se analizarán los siguientes temas: i) la obligatoriedad de los documentos y su inalterabilidad; ii) la taxatividad e inalterabilidad de las causales de rechazo y la aplicación plena de otros deberes legales, haciendo referencia al artículo 17 de la Ley 842 de 2003; iii) el factor de capacidad técnica de la capacidad residual del proponente en los documentos tipo de obra pública de infraestructura de transporte; y iv) la relación de los contratos frente al presupuesto oficial.</w:t>
      </w:r>
    </w:p>
    <w:p w14:paraId="39C1552F" w14:textId="77777777" w:rsidR="0067762E" w:rsidRPr="000A593C" w:rsidRDefault="0067762E" w:rsidP="0067762E">
      <w:pPr>
        <w:spacing w:line="276" w:lineRule="auto"/>
        <w:jc w:val="both"/>
        <w:rPr>
          <w:rFonts w:ascii="Arial" w:eastAsia="Calibri" w:hAnsi="Arial" w:cs="Arial"/>
          <w:color w:val="000000" w:themeColor="text1"/>
          <w:sz w:val="22"/>
          <w:lang w:val="es-ES"/>
        </w:rPr>
      </w:pPr>
    </w:p>
    <w:p w14:paraId="48EDB37B" w14:textId="77777777" w:rsidR="0067762E" w:rsidRDefault="0067762E" w:rsidP="0067762E">
      <w:pPr>
        <w:spacing w:line="276" w:lineRule="auto"/>
        <w:jc w:val="both"/>
        <w:rPr>
          <w:rFonts w:ascii="Arial" w:eastAsia="Calibri" w:hAnsi="Arial" w:cs="Arial"/>
          <w:b/>
          <w:bCs/>
          <w:color w:val="000000" w:themeColor="text1"/>
          <w:sz w:val="22"/>
          <w:lang w:val="es-ES"/>
        </w:rPr>
      </w:pPr>
      <w:r w:rsidRPr="000A593C">
        <w:rPr>
          <w:rFonts w:ascii="Arial" w:eastAsia="Calibri" w:hAnsi="Arial" w:cs="Arial"/>
          <w:b/>
          <w:bCs/>
          <w:color w:val="000000" w:themeColor="text1"/>
          <w:sz w:val="22"/>
          <w:lang w:val="es-ES"/>
        </w:rPr>
        <w:t xml:space="preserve">2.1. </w:t>
      </w:r>
      <w:r>
        <w:rPr>
          <w:rFonts w:ascii="Arial" w:eastAsia="Calibri" w:hAnsi="Arial" w:cs="Arial"/>
          <w:b/>
          <w:bCs/>
          <w:color w:val="000000" w:themeColor="text1"/>
          <w:sz w:val="22"/>
          <w:lang w:val="es-ES"/>
        </w:rPr>
        <w:t>Obligatoriedad de los documentos y su inalterabilidad</w:t>
      </w:r>
    </w:p>
    <w:p w14:paraId="620B537E" w14:textId="77777777" w:rsidR="0067762E" w:rsidRDefault="0067762E" w:rsidP="0067762E">
      <w:pPr>
        <w:spacing w:line="276" w:lineRule="auto"/>
        <w:jc w:val="both"/>
        <w:rPr>
          <w:rFonts w:ascii="Arial" w:eastAsia="Calibri" w:hAnsi="Arial" w:cs="Arial"/>
          <w:b/>
          <w:bCs/>
          <w:color w:val="000000" w:themeColor="text1"/>
          <w:sz w:val="22"/>
          <w:lang w:val="es-ES"/>
        </w:rPr>
      </w:pPr>
    </w:p>
    <w:p w14:paraId="678EF27F" w14:textId="77777777" w:rsidR="0067762E" w:rsidRPr="005F1821" w:rsidRDefault="0067762E" w:rsidP="0067762E">
      <w:pPr>
        <w:tabs>
          <w:tab w:val="left" w:pos="426"/>
        </w:tabs>
        <w:spacing w:after="120" w:line="276" w:lineRule="auto"/>
        <w:jc w:val="both"/>
        <w:rPr>
          <w:rFonts w:ascii="Arial" w:eastAsia="Calibri" w:hAnsi="Arial" w:cs="Arial"/>
          <w:sz w:val="22"/>
          <w:lang w:val="es-ES_tradnl"/>
        </w:rPr>
      </w:pPr>
      <w:r w:rsidRPr="005F1821">
        <w:rPr>
          <w:rFonts w:ascii="Arial" w:eastAsia="Calibri" w:hAnsi="Arial" w:cs="Arial"/>
          <w:noProof/>
          <w:sz w:val="22"/>
          <w:lang w:val="es-ES_tradnl"/>
        </w:rPr>
        <w:t>Al tenor de lo dispuesto en el parágrafo 7 del artículo 2 de la Ley 1150 de 2007, adicionad</w:t>
      </w:r>
      <w:r w:rsidRPr="006A15E5">
        <w:rPr>
          <w:rFonts w:ascii="Arial" w:eastAsia="Calibri" w:hAnsi="Arial" w:cs="Arial"/>
          <w:noProof/>
          <w:sz w:val="22"/>
          <w:lang w:val="es-ES_tradnl"/>
        </w:rPr>
        <w:t>o</w:t>
      </w:r>
      <w:r w:rsidRPr="005F1821">
        <w:rPr>
          <w:rFonts w:ascii="Arial" w:eastAsia="Calibri" w:hAnsi="Arial" w:cs="Arial"/>
          <w:noProof/>
          <w:sz w:val="22"/>
          <w:lang w:val="es-ES_tradnl"/>
        </w:rPr>
        <w:t xml:space="preserve"> y modificad</w:t>
      </w:r>
      <w:r w:rsidRPr="006A15E5">
        <w:rPr>
          <w:rFonts w:ascii="Arial" w:eastAsia="Calibri" w:hAnsi="Arial" w:cs="Arial"/>
          <w:noProof/>
          <w:sz w:val="22"/>
          <w:lang w:val="es-ES_tradnl"/>
        </w:rPr>
        <w:t>o</w:t>
      </w:r>
      <w:r w:rsidRPr="005F1821">
        <w:rPr>
          <w:rFonts w:ascii="Arial" w:eastAsia="Calibri" w:hAnsi="Arial" w:cs="Arial"/>
          <w:noProof/>
          <w:sz w:val="22"/>
          <w:lang w:val="es-ES_tradnl"/>
        </w:rPr>
        <w:t xml:space="preserve"> por las Leyes 1882 de 2018 y 2022 de 2020, </w:t>
      </w:r>
      <w:r w:rsidRPr="006A15E5">
        <w:rPr>
          <w:rFonts w:ascii="Arial" w:eastAsia="Calibri" w:hAnsi="Arial" w:cs="Arial"/>
          <w:noProof/>
          <w:sz w:val="22"/>
          <w:lang w:val="es-ES_tradnl"/>
        </w:rPr>
        <w:t>«</w:t>
      </w:r>
      <w:r w:rsidRPr="00BC1357">
        <w:rPr>
          <w:rFonts w:ascii="Arial" w:eastAsia="Calibri" w:hAnsi="Arial" w:cs="Arial"/>
          <w:noProof/>
          <w:sz w:val="22"/>
          <w:lang w:val="es-ES_tradnl"/>
        </w:rPr>
        <w:t xml:space="preserve">la </w:t>
      </w:r>
      <w:r w:rsidRPr="005F1821">
        <w:rPr>
          <w:rFonts w:ascii="Arial" w:hAnsi="Arial" w:cs="Arial"/>
          <w:sz w:val="22"/>
          <w:shd w:val="clear" w:color="auto" w:fill="FFFFFF"/>
        </w:rPr>
        <w:t>Agencia Nacional de Contratación Pública Colombia Compra Eficiente […] adoptará documentos tipo que serán de obligatorio cumplimiento en la actividad contractual de todas las entidades sometidas al Estatuto General de Contratación de la Administración Pública»</w:t>
      </w:r>
      <w:r w:rsidRPr="006A15E5">
        <w:rPr>
          <w:rFonts w:ascii="Arial" w:eastAsia="Calibri" w:hAnsi="Arial" w:cs="Arial"/>
          <w:noProof/>
          <w:sz w:val="22"/>
          <w:lang w:val="es-ES_tradnl"/>
        </w:rPr>
        <w:t xml:space="preserve">, además </w:t>
      </w:r>
      <w:r w:rsidRPr="00BC1357">
        <w:rPr>
          <w:rFonts w:ascii="Arial" w:eastAsia="Calibri" w:hAnsi="Arial" w:cs="Arial"/>
          <w:noProof/>
          <w:sz w:val="22"/>
          <w:lang w:val="es-ES_tradnl"/>
        </w:rPr>
        <w:t>«</w:t>
      </w:r>
      <w:r w:rsidRPr="005F1821">
        <w:rPr>
          <w:rFonts w:ascii="Arial" w:hAnsi="Arial" w:cs="Arial"/>
          <w:sz w:val="22"/>
          <w:shd w:val="clear" w:color="auto" w:fill="FFFFFF"/>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r w:rsidRPr="006A15E5">
        <w:rPr>
          <w:rFonts w:ascii="Arial" w:eastAsia="Calibri" w:hAnsi="Arial" w:cs="Arial"/>
          <w:noProof/>
          <w:sz w:val="22"/>
          <w:lang w:val="es-ES_tradnl"/>
        </w:rPr>
        <w:t xml:space="preserve">. </w:t>
      </w:r>
      <w:r>
        <w:rPr>
          <w:rFonts w:ascii="Arial" w:eastAsia="Calibri" w:hAnsi="Arial" w:cs="Arial"/>
          <w:noProof/>
          <w:sz w:val="22"/>
          <w:lang w:val="es-ES_tradnl"/>
        </w:rPr>
        <w:t>De otro lado</w:t>
      </w:r>
      <w:r w:rsidRPr="006A15E5">
        <w:rPr>
          <w:rFonts w:ascii="Arial" w:eastAsia="Calibri" w:hAnsi="Arial" w:cs="Arial"/>
          <w:noProof/>
          <w:sz w:val="22"/>
          <w:lang w:val="es-ES_tradnl"/>
        </w:rPr>
        <w:t xml:space="preserve">, dicha disposición </w:t>
      </w:r>
      <w:r w:rsidRPr="00BC1357">
        <w:rPr>
          <w:rFonts w:ascii="Arial" w:eastAsia="Calibri" w:hAnsi="Arial" w:cs="Arial"/>
          <w:noProof/>
          <w:sz w:val="22"/>
          <w:lang w:val="es-ES_tradnl"/>
        </w:rPr>
        <w:t xml:space="preserve">establece que, </w:t>
      </w:r>
      <w:r w:rsidRPr="006A15E5">
        <w:rPr>
          <w:rFonts w:ascii="Arial" w:eastAsia="Calibri" w:hAnsi="Arial" w:cs="Arial"/>
          <w:noProof/>
          <w:sz w:val="22"/>
          <w:lang w:val="es-ES_tradnl"/>
        </w:rPr>
        <w:t>p</w:t>
      </w:r>
      <w:r w:rsidRPr="005F1821">
        <w:rPr>
          <w:rFonts w:ascii="Arial" w:eastAsia="Calibri" w:hAnsi="Arial" w:cs="Arial"/>
          <w:noProof/>
          <w:sz w:val="22"/>
          <w:lang w:val="es-ES_tradnl"/>
        </w:rPr>
        <w:t>ara tal fin, se considerarán las características propias de las regiones, la cuantía, la naturaleza y especialidad de la contratación, entre otros aspectos, previendo un procedimiento coordinado con entidades técnicas o especialiazadas para su incorporación, enfatizando en su obligatoriedad para procesos de selección de obras públicas.</w:t>
      </w:r>
    </w:p>
    <w:p w14:paraId="71F9D74A" w14:textId="77777777" w:rsidR="0067762E" w:rsidRPr="00EB1C11" w:rsidRDefault="0067762E" w:rsidP="0067762E">
      <w:pPr>
        <w:tabs>
          <w:tab w:val="left" w:pos="426"/>
        </w:tabs>
        <w:spacing w:after="120" w:line="276" w:lineRule="auto"/>
        <w:ind w:firstLine="709"/>
        <w:jc w:val="both"/>
        <w:rPr>
          <w:rFonts w:ascii="Arial" w:eastAsia="Calibri" w:hAnsi="Arial" w:cs="Arial"/>
          <w:noProof/>
          <w:sz w:val="22"/>
          <w:lang w:val="es-ES_tradnl"/>
        </w:rPr>
      </w:pPr>
      <w:r w:rsidRPr="005F1821">
        <w:rPr>
          <w:rFonts w:ascii="Arial" w:eastAsia="Calibri" w:hAnsi="Arial" w:cs="Arial"/>
          <w:noProof/>
          <w:sz w:val="22"/>
          <w:lang w:val="es-ES_tradnl"/>
        </w:rPr>
        <w:lastRenderedPageBreak/>
        <w:t>Dando cumplimiento al precitado mandato legal, la Agencia Nacional de Contratación Pública ― Colombia Compra Eficiente, actualizó los Documentos Tipo</w:t>
      </w:r>
      <w:r w:rsidRPr="005F1821">
        <w:rPr>
          <w:rFonts w:ascii="Arial" w:eastAsia="Calibri" w:hAnsi="Arial" w:cs="Arial"/>
          <w:noProof/>
          <w:sz w:val="22"/>
          <w:vertAlign w:val="superscript"/>
          <w:lang w:val="es-ES_tradnl"/>
        </w:rPr>
        <w:footnoteReference w:id="2"/>
      </w:r>
      <w:r w:rsidRPr="005F1821">
        <w:rPr>
          <w:rFonts w:ascii="Arial" w:eastAsia="Calibri" w:hAnsi="Arial" w:cs="Arial"/>
          <w:noProof/>
          <w:sz w:val="22"/>
          <w:lang w:val="es-ES_tradnl"/>
        </w:rPr>
        <w:t xml:space="preserve"> para los procesos de selección de licitación de obra pública de infraestructura de transporte  introduciendo su tercera versión mediante la  Resolución No 240 de 2020</w:t>
      </w:r>
      <w:r w:rsidRPr="005F1821">
        <w:rPr>
          <w:rFonts w:ascii="Arial" w:eastAsia="Calibri" w:hAnsi="Arial" w:cs="Arial"/>
          <w:noProof/>
          <w:sz w:val="22"/>
          <w:vertAlign w:val="superscript"/>
          <w:lang w:val="es-ES_tradnl"/>
        </w:rPr>
        <w:footnoteReference w:id="3"/>
      </w:r>
      <w:r w:rsidRPr="005F1821">
        <w:rPr>
          <w:rFonts w:ascii="Arial" w:eastAsia="Calibri" w:hAnsi="Arial" w:cs="Arial"/>
          <w:noProof/>
          <w:sz w:val="22"/>
          <w:lang w:val="es-ES_tradnl"/>
        </w:rPr>
        <w:t>, precisando en sus  artículos 2 y 3 la obligatoriedad de los parámetros contenidos en los mismos y su inalterabilidad</w:t>
      </w:r>
      <w:r w:rsidRPr="005F1821">
        <w:rPr>
          <w:rFonts w:ascii="Arial" w:eastAsia="Calibri" w:hAnsi="Arial" w:cs="Arial"/>
          <w:color w:val="000000"/>
          <w:sz w:val="22"/>
          <w:shd w:val="clear" w:color="auto" w:fill="FFFFFF"/>
          <w:vertAlign w:val="superscript"/>
        </w:rPr>
        <w:footnoteReference w:id="4"/>
      </w:r>
      <w:r w:rsidRPr="005F1821">
        <w:rPr>
          <w:rFonts w:ascii="Arial" w:eastAsia="Calibri" w:hAnsi="Arial" w:cs="Arial"/>
          <w:color w:val="000000"/>
          <w:sz w:val="22"/>
          <w:shd w:val="clear" w:color="auto" w:fill="FFFFFF"/>
        </w:rPr>
        <w:t xml:space="preserve">, </w:t>
      </w:r>
      <w:r w:rsidRPr="005F1821">
        <w:rPr>
          <w:rFonts w:ascii="Arial" w:eastAsia="Calibri" w:hAnsi="Arial" w:cs="Arial"/>
          <w:noProof/>
          <w:sz w:val="22"/>
          <w:lang w:val="es-ES_tradnl"/>
        </w:rPr>
        <w:t>de modo que es deber de las entidades sometidas al Estatuto General de la Contratación de la Administración Pública utilizar los Documentos Tipo en los procesos de selección que adelanten. Así, las entidades sometidas al mencionado Estatuto quedan vedadas de la posibilidad de efectuar modificaciones a las condiciones habilitantes, factores de escogencia y sistemas de ponderación contenidos en los mismos, por lo que solo podrán realizar modificaciones en los lugares en que expresamente lo establezcan los Documentos Tipo.</w:t>
      </w:r>
    </w:p>
    <w:p w14:paraId="18C513F7" w14:textId="77777777" w:rsidR="0067762E" w:rsidRDefault="0067762E" w:rsidP="0067762E">
      <w:pPr>
        <w:spacing w:line="276" w:lineRule="auto"/>
        <w:ind w:firstLine="708"/>
        <w:jc w:val="both"/>
        <w:rPr>
          <w:rFonts w:ascii="Arial" w:hAnsi="Arial" w:cs="Arial"/>
          <w:color w:val="000000" w:themeColor="text1"/>
          <w:sz w:val="22"/>
          <w:lang w:val="es-ES"/>
        </w:rPr>
      </w:pPr>
      <w:r>
        <w:rPr>
          <w:rFonts w:ascii="Arial" w:hAnsi="Arial" w:cs="Arial"/>
          <w:color w:val="000000" w:themeColor="text1"/>
          <w:sz w:val="22"/>
          <w:lang w:val="es-ES"/>
        </w:rPr>
        <w:t>En este sentido, los</w:t>
      </w:r>
      <w:r w:rsidRPr="000A593C">
        <w:rPr>
          <w:rFonts w:ascii="Arial" w:hAnsi="Arial" w:cs="Arial"/>
          <w:color w:val="000000" w:themeColor="text1"/>
          <w:sz w:val="22"/>
          <w:lang w:val="es-ES"/>
        </w:rPr>
        <w:t xml:space="preserve"> documentos tipo se erigen como un límite a la discrecionalidad de las entidades estatales en cuanto a la configuración de su contenido, pues fija unos requisitos mínimos que las entidades públicas deben respetar. Esto es lo que sucede en los procedimientos de licitación de obra pública de infraestructura de transporte, en los cuales debe cumplirse lo dispuesto en el pliego de condiciones tipo –actualmente, la versión 3–, el cual establece reglas imperativas, entre otros aspectos, para determinar las causales de rechazo aplicables en los procedimientos de selección.</w:t>
      </w:r>
    </w:p>
    <w:p w14:paraId="5B9BBBBA" w14:textId="77777777" w:rsidR="0067762E" w:rsidRDefault="0067762E" w:rsidP="0067762E">
      <w:pPr>
        <w:spacing w:line="276" w:lineRule="auto"/>
        <w:jc w:val="both"/>
        <w:rPr>
          <w:rFonts w:ascii="Arial" w:hAnsi="Arial" w:cs="Arial"/>
          <w:color w:val="000000" w:themeColor="text1"/>
          <w:sz w:val="22"/>
          <w:lang w:val="es-ES"/>
        </w:rPr>
      </w:pPr>
    </w:p>
    <w:p w14:paraId="007DB5FA" w14:textId="77777777" w:rsidR="0067762E" w:rsidRPr="00BA6C38" w:rsidRDefault="0067762E" w:rsidP="0067762E">
      <w:pPr>
        <w:tabs>
          <w:tab w:val="left" w:pos="426"/>
        </w:tabs>
        <w:spacing w:line="276" w:lineRule="auto"/>
        <w:jc w:val="both"/>
        <w:rPr>
          <w:rFonts w:ascii="Arial" w:eastAsia="Calibri" w:hAnsi="Arial" w:cs="Arial"/>
          <w:b/>
          <w:noProof/>
          <w:sz w:val="22"/>
          <w:lang w:val="es-CO"/>
        </w:rPr>
      </w:pPr>
      <w:r w:rsidRPr="00BA6C38">
        <w:rPr>
          <w:rFonts w:ascii="Arial" w:eastAsia="Calibri" w:hAnsi="Arial" w:cs="Arial"/>
          <w:b/>
          <w:noProof/>
          <w:sz w:val="22"/>
          <w:lang w:val="es-ES_tradnl"/>
        </w:rPr>
        <w:t>2.</w:t>
      </w:r>
      <w:r>
        <w:rPr>
          <w:rFonts w:ascii="Arial" w:eastAsia="Calibri" w:hAnsi="Arial" w:cs="Arial"/>
          <w:b/>
          <w:noProof/>
          <w:sz w:val="22"/>
          <w:lang w:val="es-ES_tradnl"/>
        </w:rPr>
        <w:t>2.</w:t>
      </w:r>
      <w:r w:rsidRPr="00BA6C38">
        <w:rPr>
          <w:rFonts w:ascii="Arial" w:eastAsia="Calibri" w:hAnsi="Arial" w:cs="Arial"/>
          <w:b/>
          <w:noProof/>
          <w:sz w:val="22"/>
          <w:lang w:val="es-ES_tradnl"/>
        </w:rPr>
        <w:t xml:space="preserve"> T</w:t>
      </w:r>
      <w:r w:rsidRPr="00BA6C38">
        <w:rPr>
          <w:rFonts w:ascii="Arial" w:eastAsia="Calibri" w:hAnsi="Arial" w:cs="Arial"/>
          <w:b/>
          <w:noProof/>
          <w:sz w:val="22"/>
          <w:lang w:val="es-CO"/>
        </w:rPr>
        <w:t>axatividad e inalterabilidad de las causales de rechazo. Aplicación plena de otros deberes legales. Referencia al artículo 17 de la Ley 842 de 2003</w:t>
      </w:r>
    </w:p>
    <w:p w14:paraId="71BADE68" w14:textId="77777777" w:rsidR="0067762E" w:rsidRPr="00BA6C38" w:rsidRDefault="0067762E" w:rsidP="0067762E">
      <w:pPr>
        <w:tabs>
          <w:tab w:val="left" w:pos="426"/>
        </w:tabs>
        <w:spacing w:line="276" w:lineRule="auto"/>
        <w:jc w:val="both"/>
        <w:rPr>
          <w:rFonts w:ascii="Arial" w:eastAsia="Calibri" w:hAnsi="Arial" w:cs="Arial"/>
          <w:b/>
          <w:noProof/>
          <w:sz w:val="22"/>
          <w:lang w:val="es-CO"/>
        </w:rPr>
      </w:pPr>
    </w:p>
    <w:p w14:paraId="28F32A87" w14:textId="77777777" w:rsidR="0067762E" w:rsidRPr="00BA6C38" w:rsidRDefault="0067762E" w:rsidP="0067762E">
      <w:pPr>
        <w:tabs>
          <w:tab w:val="left" w:pos="709"/>
          <w:tab w:val="left" w:pos="851"/>
        </w:tabs>
        <w:spacing w:after="120" w:line="276" w:lineRule="auto"/>
        <w:jc w:val="both"/>
        <w:rPr>
          <w:rFonts w:ascii="Arial" w:eastAsia="Calibri" w:hAnsi="Arial" w:cs="Arial"/>
          <w:sz w:val="22"/>
          <w:szCs w:val="20"/>
        </w:rPr>
      </w:pPr>
      <w:r w:rsidRPr="00BA6C38">
        <w:rPr>
          <w:rFonts w:ascii="Arial" w:eastAsia="Calibri" w:hAnsi="Arial" w:cs="Arial"/>
          <w:sz w:val="22"/>
          <w:szCs w:val="20"/>
        </w:rPr>
        <w:t>La Agencia Nacional de Contratación Pública –Colombia Compra Eficiente– mediante los conceptos con radicados Nos. 2201913000007117 del 25 de septiembre de 2019, 2201913000009538 del 23 de diciembre de 2019</w:t>
      </w:r>
      <w:r>
        <w:rPr>
          <w:rFonts w:ascii="Arial" w:eastAsia="Calibri" w:hAnsi="Arial" w:cs="Arial"/>
          <w:sz w:val="22"/>
          <w:szCs w:val="20"/>
        </w:rPr>
        <w:t>,</w:t>
      </w:r>
      <w:r w:rsidRPr="00BA6C38">
        <w:rPr>
          <w:rFonts w:ascii="Arial" w:eastAsia="Calibri" w:hAnsi="Arial" w:cs="Arial"/>
          <w:sz w:val="22"/>
          <w:szCs w:val="20"/>
        </w:rPr>
        <w:t xml:space="preserve"> C- 716 del 30 de octubre de 2020</w:t>
      </w:r>
      <w:r>
        <w:rPr>
          <w:rFonts w:ascii="Arial" w:eastAsia="Calibri" w:hAnsi="Arial" w:cs="Arial"/>
          <w:sz w:val="22"/>
          <w:szCs w:val="20"/>
        </w:rPr>
        <w:t xml:space="preserve"> y C096 del 24 de marzo de 2021</w:t>
      </w:r>
      <w:r w:rsidRPr="00BA6C38">
        <w:rPr>
          <w:rFonts w:ascii="Arial" w:eastAsia="Calibri" w:hAnsi="Arial" w:cs="Arial"/>
          <w:sz w:val="22"/>
          <w:szCs w:val="20"/>
        </w:rPr>
        <w:t>, entre otros, ha señalado que las causales de rechazo de las ofertas establecidas en los documentos tipo son taxativas, descartándose que la entidad 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13B34DE5" w14:textId="77777777" w:rsidR="0067762E" w:rsidRPr="00BA6C38" w:rsidRDefault="0067762E" w:rsidP="0067762E">
      <w:pPr>
        <w:tabs>
          <w:tab w:val="left" w:pos="709"/>
          <w:tab w:val="left" w:pos="851"/>
        </w:tabs>
        <w:spacing w:after="120" w:line="276" w:lineRule="auto"/>
        <w:ind w:firstLine="709"/>
        <w:jc w:val="both"/>
        <w:rPr>
          <w:rFonts w:ascii="Arial" w:eastAsia="Calibri" w:hAnsi="Arial" w:cs="Arial"/>
          <w:color w:val="000000"/>
          <w:sz w:val="22"/>
        </w:rPr>
      </w:pPr>
      <w:r w:rsidRPr="00BA6C38">
        <w:rPr>
          <w:rFonts w:ascii="Arial" w:eastAsia="Calibri" w:hAnsi="Arial" w:cs="Arial"/>
          <w:sz w:val="22"/>
          <w:szCs w:val="20"/>
        </w:rPr>
        <w:t>De acuerdo con lo anterior, al consultar el</w:t>
      </w:r>
      <w:r w:rsidRPr="00BA6C38">
        <w:rPr>
          <w:rFonts w:ascii="Arial" w:eastAsia="Calibri" w:hAnsi="Arial" w:cs="Arial"/>
          <w:color w:val="000000"/>
          <w:sz w:val="22"/>
        </w:rPr>
        <w:t xml:space="preserve"> numeral 1.15</w:t>
      </w:r>
      <w:r w:rsidRPr="00BA6C38">
        <w:rPr>
          <w:rFonts w:ascii="Calibri" w:eastAsia="Calibri" w:hAnsi="Calibri" w:cs="Times New Roman"/>
        </w:rPr>
        <w:t xml:space="preserve"> </w:t>
      </w:r>
      <w:r w:rsidRPr="00BA6C38">
        <w:rPr>
          <w:rFonts w:ascii="Arial" w:eastAsia="Calibri" w:hAnsi="Arial" w:cs="Arial"/>
          <w:color w:val="000000"/>
          <w:sz w:val="22"/>
        </w:rPr>
        <w:t>del pliego tipo «Documento Base» de «licitación de obra pública de infraestructura de transporte – Versión 3», que consagra el listado de las causales de rechazo aplicables a estos procedimientos de selección, se observa:</w:t>
      </w:r>
    </w:p>
    <w:p w14:paraId="60BFFD4A" w14:textId="77777777" w:rsidR="0067762E" w:rsidRPr="00BA6C38" w:rsidRDefault="0067762E" w:rsidP="0067762E">
      <w:pPr>
        <w:tabs>
          <w:tab w:val="left" w:pos="709"/>
        </w:tabs>
        <w:spacing w:after="120" w:line="360" w:lineRule="auto"/>
        <w:ind w:left="709"/>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 xml:space="preserve">Son causales de rechazo de las propuestas las siguientes </w:t>
      </w:r>
      <w:r w:rsidRPr="00BA6C38">
        <w:rPr>
          <w:rFonts w:ascii="Arial" w:eastAsia="Calibri" w:hAnsi="Arial" w:cs="Times New Roman"/>
          <w:color w:val="000000"/>
          <w:sz w:val="21"/>
          <w:szCs w:val="21"/>
          <w:highlight w:val="lightGray"/>
        </w:rPr>
        <w:t>[Las entidades no podrán incluir causales de rechazo distintas a las señaladas en la presente sección]</w:t>
      </w:r>
      <w:r w:rsidRPr="00BA6C38">
        <w:rPr>
          <w:rFonts w:ascii="Arial" w:eastAsia="Calibri" w:hAnsi="Arial" w:cs="Times New Roman"/>
          <w:color w:val="000000"/>
          <w:sz w:val="21"/>
          <w:szCs w:val="21"/>
        </w:rPr>
        <w:t>:</w:t>
      </w:r>
    </w:p>
    <w:p w14:paraId="4064FB71"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Que el proponente o alguno de los integrantes del proponente plural esté incurso en causal de inhabilidad, incompatibilidad o prohibición previstas en la legislación para contratar.</w:t>
      </w:r>
    </w:p>
    <w:p w14:paraId="7D0EE5AE" w14:textId="77777777" w:rsidR="0067762E" w:rsidRPr="00BA6C38" w:rsidRDefault="0067762E" w:rsidP="0067762E">
      <w:pPr>
        <w:tabs>
          <w:tab w:val="left" w:pos="709"/>
        </w:tabs>
        <w:spacing w:after="120" w:line="259" w:lineRule="auto"/>
        <w:ind w:left="709"/>
        <w:jc w:val="both"/>
        <w:rPr>
          <w:rFonts w:ascii="Arial" w:eastAsia="Calibri" w:hAnsi="Arial" w:cs="Times New Roman"/>
          <w:color w:val="000000"/>
          <w:sz w:val="21"/>
          <w:szCs w:val="21"/>
        </w:rPr>
      </w:pPr>
      <w:r w:rsidRPr="00BA6C38">
        <w:rPr>
          <w:rFonts w:ascii="Arial" w:eastAsia="Calibri" w:hAnsi="Arial" w:cs="Times New Roman"/>
          <w:color w:val="000000"/>
          <w:sz w:val="21"/>
          <w:szCs w:val="21"/>
          <w:highlight w:val="lightGray"/>
        </w:rPr>
        <w:t>[Cuando en el mismo proceso de contratación se presentan oferentes en la situación descrita por los literales g) y h) del numeral 1 del artículo 8 de la Ley 80 de 1993, la entidad solo admitirá la oferta presentada primero en el tiempo]</w:t>
      </w:r>
    </w:p>
    <w:p w14:paraId="3F8E36ED"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Cuando una misma persona natural o jurídica, o integrante de un proponente plural presente o haga parte en más de una propuesta para el presente proceso de contratación.</w:t>
      </w:r>
    </w:p>
    <w:p w14:paraId="4DDDFF88" w14:textId="77777777" w:rsidR="0067762E" w:rsidRPr="00BA6C38" w:rsidRDefault="0067762E" w:rsidP="0067762E">
      <w:pPr>
        <w:tabs>
          <w:tab w:val="left" w:pos="709"/>
        </w:tabs>
        <w:spacing w:after="120" w:line="259" w:lineRule="auto"/>
        <w:ind w:left="709"/>
        <w:jc w:val="both"/>
        <w:rPr>
          <w:rFonts w:ascii="Arial" w:eastAsia="Calibri" w:hAnsi="Arial" w:cs="Times New Roman"/>
          <w:color w:val="000000"/>
          <w:sz w:val="21"/>
          <w:szCs w:val="21"/>
        </w:rPr>
      </w:pPr>
      <w:r w:rsidRPr="00BA6C38">
        <w:rPr>
          <w:rFonts w:ascii="Arial" w:eastAsia="Calibri" w:hAnsi="Arial" w:cs="Times New Roman"/>
          <w:color w:val="000000"/>
          <w:sz w:val="21"/>
          <w:szCs w:val="21"/>
          <w:highlight w:val="lightGray"/>
        </w:rPr>
        <w:t>[Reemplazar el texto anterior por el siguiente, cuando el proceso es estructurado por lotes o grupos: Cuando una misma persona natural o jurídica, o integrante de un proponente plural presente o haga parte en más de una propuesta para el mismo lote o grupo del presente proceso de contratación]</w:t>
      </w:r>
      <w:r w:rsidRPr="00BA6C38">
        <w:rPr>
          <w:rFonts w:ascii="Arial" w:eastAsia="Calibri" w:hAnsi="Arial" w:cs="Times New Roman"/>
          <w:color w:val="000000"/>
          <w:sz w:val="21"/>
          <w:szCs w:val="21"/>
        </w:rPr>
        <w:t xml:space="preserve"> </w:t>
      </w:r>
    </w:p>
    <w:p w14:paraId="58A0F1A7"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Que el proponente o alguno de los integrantes del proponente plural esté reportado en el Boletín de Responsables Fiscales emitido por la Contraloría General de la República.</w:t>
      </w:r>
    </w:p>
    <w:p w14:paraId="31636710"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Que la persona jurídica proponente individual o integrante del proponente plural esté incursa en la situación descrita en el numeral 1 del artículo 38 de la Ley 1116 de 2006.</w:t>
      </w:r>
    </w:p>
    <w:p w14:paraId="4D75B105"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lastRenderedPageBreak/>
        <w:t>Que el proponente no aclare, subsane o aporte documentos necesarios para cumplir un requisito habilitante o aportándolos no lo haga de forma correcta, en los términos establecidos en la sección 1.6.</w:t>
      </w:r>
    </w:p>
    <w:p w14:paraId="3714EF59"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Que la inscripción en el Registro Único de Proponentes (RUP) que realice el proponente, por primera vez o cuando han cesado los efectos y debe volver a inscribirse, no esté en firme en la fecha prevista para el cierre del proceso de contratación.</w:t>
      </w:r>
    </w:p>
    <w:p w14:paraId="392EFDB4"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 xml:space="preserve">Que el proponente no acredite la presentación de la información para renovar el Registro Único de Proponentes (RUP), a más tardar el quinto día hábil del mes de abril de cada año, o en la fecha que establezca la ley o el reglamento, si fuera una distinta. </w:t>
      </w:r>
    </w:p>
    <w:p w14:paraId="5AC7AA18"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Que el proponente aporte información inexacta sobre la cual pueda existir una posible falsedad en los términos de la sección 1.11.</w:t>
      </w:r>
    </w:p>
    <w:p w14:paraId="38D55467"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Que el proponente se encuentre inmerso en un conflicto de interés previsto en una norma de rango constitucional o legal o en la causal prevista en el numeral 1.14 del pliego de condiciones.</w:t>
      </w:r>
    </w:p>
    <w:p w14:paraId="6B13CCA8"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highlight w:val="lightGray"/>
        </w:rPr>
        <w:t>[Incluir esta causal cuando las ofertas se presente en el SECOP I]</w:t>
      </w:r>
      <w:r w:rsidRPr="00BA6C38">
        <w:rPr>
          <w:rFonts w:ascii="Arial" w:eastAsia="Calibri" w:hAnsi="Arial" w:cs="Times New Roman"/>
          <w:color w:val="000000"/>
          <w:sz w:val="21"/>
          <w:szCs w:val="21"/>
        </w:rPr>
        <w:t xml:space="preserve"> Que la propuesta económica no se aporte firmada.</w:t>
      </w:r>
    </w:p>
    <w:p w14:paraId="719F2FAE"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No entregar la Garantía de seriedad de la oferta junto con la propuesta.</w:t>
      </w:r>
    </w:p>
    <w:p w14:paraId="02F520B9"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Que el objeto social del proponente o el de sus integrantes no le permita ejecutar el objeto del contrato.</w:t>
      </w:r>
    </w:p>
    <w:p w14:paraId="10F50C16"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Que el valor total de la oferta o aquel revisado en la audiencia efectiva de adjudicación exceda el presupuesto oficial estimado para el proceso de contratación.</w:t>
      </w:r>
    </w:p>
    <w:p w14:paraId="23DD6849"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Presentar la oferta con tachaduras o enmendaduras que no estén convalidadas en la forma indicada en la sección 2.3 del pliego de condiciones.</w:t>
      </w:r>
    </w:p>
    <w:p w14:paraId="7FF67D26"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 xml:space="preserve">Que el proponente adicione, suprima, cambie, o modifique los ítems, la descripción, las especificaciones, el detalle, las unidades o cantidades señaladas en el Formulario 1 – Formulario de Presupuesto Oficial, de acuerdo con lo exigido por la entidad. </w:t>
      </w:r>
    </w:p>
    <w:p w14:paraId="2E2C29B2"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highlight w:val="lightGray"/>
        </w:rPr>
        <w:t>[Incluir solo cuando la forma de pago sea por precios unitarios]</w:t>
      </w:r>
      <w:r w:rsidRPr="00BA6C38">
        <w:rPr>
          <w:rFonts w:ascii="Arial" w:eastAsia="Calibri" w:hAnsi="Arial" w:cs="Times New Roman"/>
          <w:color w:val="000000"/>
          <w:sz w:val="21"/>
          <w:szCs w:val="21"/>
        </w:rPr>
        <w:t xml:space="preserve"> No ofrecer el valor de un precio unitario u ofrecerlo en cero (0) pesos. </w:t>
      </w:r>
    </w:p>
    <w:p w14:paraId="6F48541F"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highlight w:val="lightGray"/>
        </w:rPr>
      </w:pPr>
      <w:r w:rsidRPr="00BA6C38">
        <w:rPr>
          <w:rFonts w:ascii="Arial" w:eastAsia="Calibri" w:hAnsi="Arial" w:cs="Times New Roman"/>
          <w:color w:val="000000"/>
          <w:sz w:val="21"/>
          <w:szCs w:val="21"/>
          <w:highlight w:val="lightGray"/>
        </w:rPr>
        <w:t>[Incluir solo cuando la forma de pago sea por precios unitarios]</w:t>
      </w:r>
      <w:r w:rsidRPr="00BA6C38">
        <w:rPr>
          <w:rFonts w:ascii="Arial" w:eastAsia="Calibri" w:hAnsi="Arial" w:cs="Times New Roman"/>
          <w:color w:val="000000"/>
          <w:sz w:val="21"/>
          <w:szCs w:val="21"/>
        </w:rPr>
        <w:t xml:space="preserve"> Superar el valor unitario de alguno o algunos de los siguientes ítems ofrecidos con respecto al valor establecido para cada ítem del presupuesto oficial: </w:t>
      </w:r>
      <w:r w:rsidRPr="00BA6C38">
        <w:rPr>
          <w:rFonts w:ascii="Arial" w:eastAsia="Calibri" w:hAnsi="Arial" w:cs="Times New Roman"/>
          <w:color w:val="000000"/>
          <w:sz w:val="21"/>
          <w:szCs w:val="21"/>
          <w:highlight w:val="lightGray"/>
        </w:rPr>
        <w:t xml:space="preserve">[La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44D02DE3" w14:textId="77777777" w:rsidR="0067762E" w:rsidRPr="00BA6C38" w:rsidRDefault="0067762E" w:rsidP="0067762E">
      <w:pPr>
        <w:tabs>
          <w:tab w:val="left" w:pos="709"/>
        </w:tabs>
        <w:spacing w:after="120" w:line="259" w:lineRule="auto"/>
        <w:ind w:left="709"/>
        <w:jc w:val="both"/>
        <w:rPr>
          <w:rFonts w:ascii="Arial" w:eastAsia="Calibri" w:hAnsi="Arial" w:cs="Times New Roman"/>
          <w:color w:val="000000"/>
          <w:sz w:val="21"/>
          <w:szCs w:val="21"/>
        </w:rPr>
      </w:pPr>
      <w:r w:rsidRPr="00BA6C38">
        <w:rPr>
          <w:rFonts w:ascii="Arial" w:eastAsia="Calibri" w:hAnsi="Arial" w:cs="Times New Roman"/>
          <w:color w:val="000000"/>
          <w:sz w:val="21"/>
          <w:szCs w:val="21"/>
          <w:highlight w:val="lightGray"/>
        </w:rPr>
        <w:t>Para la aplicación de esta causal la entidad debe tener en cuenta que el valor unitario establecido en el Formulario 1 – Formulario de Presupuesto Oficial incluye el valor de AIU]</w:t>
      </w:r>
      <w:r w:rsidRPr="00BA6C38">
        <w:rPr>
          <w:rFonts w:ascii="Arial" w:eastAsia="Calibri" w:hAnsi="Arial" w:cs="Times New Roman"/>
          <w:color w:val="000000"/>
          <w:sz w:val="21"/>
          <w:szCs w:val="21"/>
        </w:rPr>
        <w:t xml:space="preserve"> </w:t>
      </w:r>
    </w:p>
    <w:p w14:paraId="017D246D"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highlight w:val="lightGray"/>
        </w:rPr>
      </w:pPr>
      <w:r w:rsidRPr="00BA6C38">
        <w:rPr>
          <w:rFonts w:ascii="Arial" w:eastAsia="Calibri" w:hAnsi="Arial" w:cs="Times New Roman"/>
          <w:color w:val="000000"/>
          <w:sz w:val="21"/>
          <w:szCs w:val="21"/>
          <w:highlight w:val="lightGray"/>
        </w:rPr>
        <w:lastRenderedPageBreak/>
        <w:t>[Esta causal aplica de acuerdo con la configuración de la oferta económica por parte de la entidad]</w:t>
      </w:r>
      <w:r w:rsidRPr="00BA6C38">
        <w:rPr>
          <w:rFonts w:ascii="Arial" w:eastAsia="Calibri" w:hAnsi="Arial" w:cs="Times New Roman"/>
          <w:color w:val="000000"/>
          <w:sz w:val="21"/>
          <w:szCs w:val="21"/>
        </w:rPr>
        <w:t xml:space="preserve"> No discriminar en la oferta económica el porcentaje de AIU en la forma como lo establece el Pliego de Condiciones y el Formulario 1 – Formulario de presupuesto oficial. </w:t>
      </w:r>
      <w:r w:rsidRPr="00BA6C38">
        <w:rPr>
          <w:rFonts w:ascii="Arial" w:eastAsia="Calibri" w:hAnsi="Arial" w:cs="Times New Roman"/>
          <w:color w:val="000000"/>
          <w:sz w:val="21"/>
          <w:szCs w:val="21"/>
          <w:highlight w:val="lightGray"/>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p>
    <w:p w14:paraId="38EB1D99"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 xml:space="preserve">Ofrecer como AIU un porcentaje cuya sumatoria sea superior al establecido por la Entidad en el </w:t>
      </w:r>
      <w:r w:rsidRPr="00BA6C38">
        <w:rPr>
          <w:rFonts w:ascii="Arial" w:eastAsia="Calibri" w:hAnsi="Arial" w:cs="Times New Roman"/>
          <w:color w:val="000000"/>
          <w:sz w:val="21"/>
          <w:szCs w:val="21"/>
        </w:rPr>
        <w:fldChar w:fldCharType="begin"/>
      </w:r>
      <w:r w:rsidRPr="00BA6C38">
        <w:rPr>
          <w:rFonts w:ascii="Arial" w:eastAsia="Calibri" w:hAnsi="Arial" w:cs="Times New Roman"/>
          <w:color w:val="000000"/>
          <w:sz w:val="21"/>
          <w:szCs w:val="21"/>
        </w:rPr>
        <w:instrText xml:space="preserve"> REF _Ref57725061 \h  \* MERGEFORMAT </w:instrText>
      </w:r>
      <w:r w:rsidRPr="00BA6C38">
        <w:rPr>
          <w:rFonts w:ascii="Arial" w:eastAsia="Calibri" w:hAnsi="Arial" w:cs="Times New Roman"/>
          <w:color w:val="000000"/>
          <w:sz w:val="21"/>
          <w:szCs w:val="21"/>
        </w:rPr>
      </w:r>
      <w:r w:rsidRPr="00BA6C38">
        <w:rPr>
          <w:rFonts w:ascii="Arial" w:eastAsia="Calibri" w:hAnsi="Arial" w:cs="Times New Roman"/>
          <w:color w:val="000000"/>
          <w:sz w:val="21"/>
          <w:szCs w:val="21"/>
        </w:rPr>
        <w:fldChar w:fldCharType="separate"/>
      </w:r>
      <w:r w:rsidRPr="00BA6C38">
        <w:rPr>
          <w:rFonts w:ascii="Arial" w:eastAsia="Calibri" w:hAnsi="Arial" w:cs="Times New Roman"/>
          <w:color w:val="000000"/>
          <w:sz w:val="21"/>
          <w:szCs w:val="21"/>
        </w:rPr>
        <w:t>Formulario 1– Formulario de Presupuesto Oficial</w:t>
      </w:r>
      <w:r w:rsidRPr="00BA6C38">
        <w:rPr>
          <w:rFonts w:ascii="Arial" w:eastAsia="Calibri" w:hAnsi="Arial" w:cs="Times New Roman"/>
          <w:color w:val="000000"/>
          <w:sz w:val="21"/>
          <w:szCs w:val="21"/>
        </w:rPr>
        <w:fldChar w:fldCharType="end"/>
      </w:r>
      <w:r w:rsidRPr="00BA6C38">
        <w:rPr>
          <w:rFonts w:ascii="Arial" w:eastAsia="Calibri" w:hAnsi="Arial" w:cs="Times New Roman"/>
          <w:color w:val="000000"/>
          <w:sz w:val="21"/>
          <w:szCs w:val="21"/>
        </w:rPr>
        <w:t>.</w:t>
      </w:r>
    </w:p>
    <w:p w14:paraId="2EDB52AC"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Cuando se presente propuesta condicionada para la adjudicación del contrato.</w:t>
      </w:r>
    </w:p>
    <w:p w14:paraId="2EFF587E"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Presentar la oferta extemporáneamente.</w:t>
      </w:r>
    </w:p>
    <w:p w14:paraId="14F2A29B"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No presentar oferta económica. Entregar la información de la propuesta económica en el sobre que no corresponda.</w:t>
      </w:r>
    </w:p>
    <w:p w14:paraId="3B54DD11"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highlight w:val="lightGray"/>
        </w:rPr>
      </w:pPr>
      <w:r w:rsidRPr="00BA6C38">
        <w:rPr>
          <w:rFonts w:ascii="Arial" w:eastAsia="Calibri" w:hAnsi="Arial" w:cs="Times New Roman"/>
          <w:color w:val="000000"/>
          <w:sz w:val="21"/>
          <w:szCs w:val="21"/>
        </w:rPr>
        <w:t xml:space="preserve">Presentar más de una oferta económica con valores distintos en el Sobre 2. </w:t>
      </w:r>
      <w:r w:rsidRPr="00BA6C38">
        <w:rPr>
          <w:rFonts w:ascii="Arial" w:eastAsia="Calibri" w:hAnsi="Arial" w:cs="Times New Roman"/>
          <w:color w:val="000000"/>
          <w:sz w:val="21"/>
          <w:szCs w:val="21"/>
          <w:highlight w:val="lightGray"/>
        </w:rPr>
        <w:t>[Cuando el proceso se estructure por lotes o grupos reemplazar el texto anterior por el siguiente: Presentar más de una oferta económica con valores distintos para el mismo lote o grupo]</w:t>
      </w:r>
    </w:p>
    <w:p w14:paraId="41B196F7"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 xml:space="preserve">Cuando se determine que el valor total de la oferta es artificialmente bajo, de acuerdo con lo establecido en la sección 4.1.3 </w:t>
      </w:r>
    </w:p>
    <w:p w14:paraId="54F947A3"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Cuando se presenten propuestas parciales y esta posibilidad no haya sido establecida en el pliego de condiciones.</w:t>
      </w:r>
    </w:p>
    <w:p w14:paraId="7A3E241C" w14:textId="77777777" w:rsidR="0067762E" w:rsidRPr="00BA6C38" w:rsidRDefault="0067762E" w:rsidP="0067762E">
      <w:pPr>
        <w:numPr>
          <w:ilvl w:val="0"/>
          <w:numId w:val="26"/>
        </w:numPr>
        <w:tabs>
          <w:tab w:val="left" w:pos="709"/>
        </w:tabs>
        <w:spacing w:after="120" w:line="259" w:lineRule="auto"/>
        <w:ind w:left="709" w:hanging="283"/>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No informar todos los contratos que el proponente tenga en ejecución antes del cierre, necesarios para acreditar su capacidad residual conforme a la sección 3.10.</w:t>
      </w:r>
    </w:p>
    <w:p w14:paraId="3CFC3597" w14:textId="77777777" w:rsidR="0067762E" w:rsidRPr="00BA6C38" w:rsidRDefault="0067762E" w:rsidP="0067762E">
      <w:pPr>
        <w:numPr>
          <w:ilvl w:val="0"/>
          <w:numId w:val="26"/>
        </w:numPr>
        <w:tabs>
          <w:tab w:val="left" w:pos="709"/>
        </w:tabs>
        <w:spacing w:after="120" w:line="276" w:lineRule="auto"/>
        <w:ind w:left="709" w:hanging="357"/>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Ofrecer un plazo superior al señalado por la entidad en el Anexo 1 – Anexo Técnico.</w:t>
      </w:r>
    </w:p>
    <w:p w14:paraId="32A0BF98" w14:textId="77777777" w:rsidR="0067762E" w:rsidRPr="00BA6C38" w:rsidRDefault="0067762E" w:rsidP="0067762E">
      <w:pPr>
        <w:numPr>
          <w:ilvl w:val="0"/>
          <w:numId w:val="26"/>
        </w:numPr>
        <w:tabs>
          <w:tab w:val="left" w:pos="709"/>
        </w:tabs>
        <w:spacing w:after="120" w:line="276" w:lineRule="auto"/>
        <w:ind w:left="709" w:hanging="357"/>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p>
    <w:p w14:paraId="5BE2E69C" w14:textId="77777777" w:rsidR="0067762E" w:rsidRPr="00BA6C38" w:rsidRDefault="0067762E" w:rsidP="0067762E">
      <w:pPr>
        <w:numPr>
          <w:ilvl w:val="0"/>
          <w:numId w:val="26"/>
        </w:numPr>
        <w:tabs>
          <w:tab w:val="left" w:pos="709"/>
        </w:tabs>
        <w:spacing w:line="276" w:lineRule="auto"/>
        <w:ind w:left="352" w:hanging="68"/>
        <w:jc w:val="both"/>
        <w:rPr>
          <w:rFonts w:ascii="Arial" w:eastAsia="Calibri" w:hAnsi="Arial" w:cs="Times New Roman"/>
          <w:color w:val="000000"/>
          <w:sz w:val="21"/>
          <w:szCs w:val="21"/>
        </w:rPr>
      </w:pPr>
      <w:r w:rsidRPr="00BA6C38">
        <w:rPr>
          <w:rFonts w:ascii="Arial" w:eastAsia="Calibri" w:hAnsi="Arial" w:cs="Times New Roman"/>
          <w:color w:val="000000"/>
          <w:sz w:val="21"/>
          <w:szCs w:val="21"/>
        </w:rPr>
        <w:t>Las demás previstas en la ley.</w:t>
      </w:r>
    </w:p>
    <w:p w14:paraId="2AB5D7F3" w14:textId="77777777" w:rsidR="0067762E" w:rsidRPr="00BA6C38" w:rsidRDefault="0067762E" w:rsidP="0067762E">
      <w:pPr>
        <w:tabs>
          <w:tab w:val="left" w:pos="709"/>
          <w:tab w:val="left" w:pos="851"/>
        </w:tabs>
        <w:spacing w:line="276" w:lineRule="auto"/>
        <w:jc w:val="both"/>
        <w:rPr>
          <w:rFonts w:ascii="Arial" w:eastAsia="Calibri" w:hAnsi="Arial" w:cs="Arial"/>
          <w:color w:val="000000"/>
          <w:sz w:val="21"/>
          <w:szCs w:val="21"/>
        </w:rPr>
      </w:pPr>
    </w:p>
    <w:p w14:paraId="1D2A409F" w14:textId="77777777" w:rsidR="0067762E" w:rsidRPr="00BA6C38" w:rsidRDefault="0067762E" w:rsidP="0067762E">
      <w:pPr>
        <w:tabs>
          <w:tab w:val="left" w:pos="709"/>
          <w:tab w:val="left" w:pos="851"/>
        </w:tabs>
        <w:spacing w:line="276" w:lineRule="auto"/>
        <w:jc w:val="both"/>
        <w:rPr>
          <w:rFonts w:ascii="Arial" w:eastAsia="Calibri" w:hAnsi="Arial" w:cs="Arial"/>
          <w:sz w:val="22"/>
          <w:szCs w:val="20"/>
        </w:rPr>
      </w:pPr>
      <w:r w:rsidRPr="00BA6C38">
        <w:rPr>
          <w:rFonts w:ascii="Arial" w:eastAsia="Calibri" w:hAnsi="Arial" w:cs="Arial"/>
          <w:color w:val="000000"/>
          <w:sz w:val="21"/>
          <w:szCs w:val="21"/>
        </w:rPr>
        <w:tab/>
      </w:r>
      <w:r w:rsidRPr="00BA6C38">
        <w:rPr>
          <w:rFonts w:ascii="Arial" w:eastAsia="Calibri" w:hAnsi="Arial" w:cs="Arial"/>
          <w:color w:val="000000"/>
          <w:sz w:val="22"/>
        </w:rPr>
        <w:t xml:space="preserve">Ahora bien, revisadas las causales de rechazo que anteceden, no se advierte referencia expresa a la obligación establecida en el </w:t>
      </w:r>
      <w:r w:rsidRPr="00BA6C38">
        <w:rPr>
          <w:rFonts w:ascii="Arial" w:eastAsia="Calibri" w:hAnsi="Arial" w:cs="Arial"/>
          <w:sz w:val="22"/>
        </w:rPr>
        <w:t xml:space="preserve">artículo 17 de la Ley 842 de 2003, ni tampoco se establece en otro lugar del documento tipo, por lo que resulta evidente que no es una exigencia aplicable en las licitaciones de obra pública de infraestructura de transporte que apliquen dichos documentos. En efecto, el artículo indicado establece la siguiente </w:t>
      </w:r>
      <w:r w:rsidRPr="00BA6C38">
        <w:rPr>
          <w:rFonts w:ascii="Arial" w:eastAsia="Calibri" w:hAnsi="Arial" w:cs="Arial"/>
          <w:sz w:val="22"/>
          <w:szCs w:val="20"/>
        </w:rPr>
        <w:t>obligación legal:</w:t>
      </w:r>
    </w:p>
    <w:p w14:paraId="78FDE834" w14:textId="77777777" w:rsidR="0067762E" w:rsidRPr="00BA6C38" w:rsidRDefault="0067762E" w:rsidP="0067762E">
      <w:pPr>
        <w:tabs>
          <w:tab w:val="left" w:pos="709"/>
          <w:tab w:val="left" w:pos="851"/>
        </w:tabs>
        <w:jc w:val="both"/>
        <w:rPr>
          <w:rFonts w:ascii="Arial" w:eastAsia="Calibri" w:hAnsi="Arial" w:cs="Arial"/>
          <w:sz w:val="22"/>
          <w:szCs w:val="20"/>
        </w:rPr>
      </w:pPr>
    </w:p>
    <w:p w14:paraId="3FC207EE" w14:textId="77777777" w:rsidR="0067762E" w:rsidRPr="00BA6C38" w:rsidRDefault="0067762E" w:rsidP="0067762E">
      <w:pPr>
        <w:ind w:left="709" w:right="709"/>
        <w:jc w:val="both"/>
        <w:rPr>
          <w:rFonts w:ascii="Arial" w:eastAsia="Calibri" w:hAnsi="Arial" w:cs="Arial"/>
          <w:color w:val="000000"/>
          <w:sz w:val="21"/>
          <w:szCs w:val="21"/>
        </w:rPr>
      </w:pPr>
      <w:r w:rsidRPr="00BA6C38">
        <w:rPr>
          <w:rFonts w:ascii="Arial" w:eastAsia="Calibri" w:hAnsi="Arial" w:cs="Arial"/>
          <w:color w:val="000000"/>
          <w:sz w:val="21"/>
          <w:szCs w:val="21"/>
        </w:rPr>
        <w:t xml:space="preserve">Artículo 17. Responsabilidad de las personas jurídicas y de sus representantes. La sociedad, firma, empresa u organización profesional, cuyas actividades </w:t>
      </w:r>
      <w:r w:rsidRPr="00BA6C38">
        <w:rPr>
          <w:rFonts w:ascii="Arial" w:eastAsia="Calibri" w:hAnsi="Arial" w:cs="Arial"/>
          <w:color w:val="000000"/>
          <w:sz w:val="21"/>
          <w:szCs w:val="21"/>
        </w:rPr>
        <w:lastRenderedPageBreak/>
        <w:t>comprendan, en forma exclusiva o parcial, alguna o algunas de aquellas que correspondan al ejercicio de la ingeniería, de sus profesiones afines o de sus profesiones auxiliares, está obligada a incluir en su nómina permanente, como mínimo, a un profesional matriculado en la carrera correspondiente al objeto social de la respectiva persona jurídica.</w:t>
      </w:r>
    </w:p>
    <w:p w14:paraId="11B704D0" w14:textId="77777777" w:rsidR="0067762E" w:rsidRPr="00BA6C38" w:rsidRDefault="0067762E" w:rsidP="0067762E">
      <w:pPr>
        <w:ind w:left="709" w:right="709"/>
        <w:jc w:val="both"/>
        <w:rPr>
          <w:rFonts w:ascii="Arial" w:eastAsia="Calibri" w:hAnsi="Arial" w:cs="Arial"/>
          <w:color w:val="000000"/>
          <w:sz w:val="21"/>
          <w:szCs w:val="21"/>
        </w:rPr>
      </w:pPr>
    </w:p>
    <w:p w14:paraId="354060C0" w14:textId="77777777" w:rsidR="0067762E" w:rsidRPr="00BA6C38" w:rsidRDefault="0067762E" w:rsidP="0067762E">
      <w:pPr>
        <w:ind w:left="709" w:right="709"/>
        <w:jc w:val="both"/>
        <w:rPr>
          <w:rFonts w:ascii="Arial" w:eastAsia="Calibri" w:hAnsi="Arial" w:cs="Arial"/>
          <w:color w:val="000000"/>
          <w:sz w:val="21"/>
          <w:szCs w:val="21"/>
        </w:rPr>
      </w:pPr>
      <w:r w:rsidRPr="00BA6C38">
        <w:rPr>
          <w:rFonts w:ascii="Arial" w:eastAsia="Calibri" w:hAnsi="Arial" w:cs="Arial"/>
          <w:color w:val="000000"/>
          <w:sz w:val="21"/>
          <w:szCs w:val="21"/>
        </w:rPr>
        <w:t>Parágrafo. Al representante legal de la persona jurídica que omita el cumplimiento de lo dispuesto en el presente artículo se le aplicarán las sanciones previstas para el ejercicio ilegal de profesión y oficio reglamentado, mediante la aplicación del procedimiento establecido para las contravenciones especiales de policía o aquel que lo sustituya.</w:t>
      </w:r>
    </w:p>
    <w:p w14:paraId="01CC80A4" w14:textId="77777777" w:rsidR="0067762E" w:rsidRPr="00BA6C38" w:rsidRDefault="0067762E" w:rsidP="0067762E">
      <w:pPr>
        <w:ind w:right="709"/>
        <w:jc w:val="both"/>
        <w:rPr>
          <w:rFonts w:ascii="Arial" w:eastAsia="Calibri" w:hAnsi="Arial" w:cs="Arial"/>
          <w:color w:val="000000"/>
          <w:sz w:val="21"/>
          <w:szCs w:val="21"/>
        </w:rPr>
      </w:pPr>
    </w:p>
    <w:p w14:paraId="1D6FD3B8" w14:textId="77777777" w:rsidR="0067762E" w:rsidRPr="00BA6C38" w:rsidRDefault="0067762E" w:rsidP="0067762E">
      <w:pPr>
        <w:tabs>
          <w:tab w:val="left" w:pos="709"/>
          <w:tab w:val="left" w:pos="851"/>
        </w:tabs>
        <w:spacing w:after="120" w:line="276" w:lineRule="auto"/>
        <w:jc w:val="both"/>
        <w:rPr>
          <w:rFonts w:ascii="Arial" w:eastAsia="Calibri" w:hAnsi="Arial" w:cs="Arial"/>
          <w:sz w:val="22"/>
          <w:szCs w:val="20"/>
          <w:lang w:val="es-CO"/>
        </w:rPr>
      </w:pPr>
      <w:r w:rsidRPr="00BA6C38">
        <w:rPr>
          <w:rFonts w:ascii="Arial" w:eastAsia="Calibri" w:hAnsi="Arial" w:cs="Arial"/>
          <w:sz w:val="22"/>
          <w:szCs w:val="20"/>
        </w:rPr>
        <w:tab/>
      </w:r>
      <w:r w:rsidRPr="00BA6C38">
        <w:rPr>
          <w:rFonts w:ascii="Arial" w:eastAsia="Calibri" w:hAnsi="Arial" w:cs="Arial"/>
          <w:sz w:val="22"/>
          <w:szCs w:val="20"/>
          <w:lang w:val="es-CO"/>
        </w:rPr>
        <w:t>El artículo citado establece el deber para las personas jurídicas, cuyas actividades correspondan al ejercicio de la ingeniería, de incluir en su «nómina permanente» al menos a un profesional matriculado en la carrera correspondiente al objeto social de la persona jurídica. Sin embargo, pese a la existencia de dicho deber, no establece una consecuencia particular frente a su incidencia en los procedimientos de selección adelantados por las entidades estatales, como sería la imposibilidad de participar en dichos procesos ante la inobservancia del cumplimiento de dicha exigencia o el deber de presentar algún documento para acreditar el cumplimiento de dicha obligación en el desarrollo de tales procesos contractuales.</w:t>
      </w:r>
    </w:p>
    <w:p w14:paraId="6619FFE7" w14:textId="77777777" w:rsidR="0067762E" w:rsidRPr="00BA6C38" w:rsidRDefault="0067762E" w:rsidP="0067762E">
      <w:pPr>
        <w:tabs>
          <w:tab w:val="left" w:pos="709"/>
          <w:tab w:val="left" w:pos="851"/>
        </w:tabs>
        <w:spacing w:after="120" w:line="276" w:lineRule="auto"/>
        <w:jc w:val="both"/>
        <w:rPr>
          <w:rFonts w:ascii="Arial" w:eastAsia="Calibri" w:hAnsi="Arial" w:cs="Arial"/>
          <w:sz w:val="22"/>
          <w:szCs w:val="20"/>
          <w:lang w:val="es-CO"/>
        </w:rPr>
      </w:pPr>
      <w:r w:rsidRPr="00BA6C38">
        <w:rPr>
          <w:rFonts w:ascii="Arial" w:eastAsia="Calibri" w:hAnsi="Arial" w:cs="Arial"/>
          <w:sz w:val="22"/>
          <w:szCs w:val="20"/>
          <w:lang w:val="es-CO"/>
        </w:rPr>
        <w:tab/>
        <w:t>A diferencia de la norma citada, y a modo de ejemplo, el artículo 20 de la misma ley sí tiene una exigencia y relación directa con las propuestas presentadas en los procesos de licitación pública, al exigir que aquellas presentadas en procesos cuyo objeto implique el desarrollo de las actividades catalogadas como ejercicio de la ingeniería, deben estar avaladas ‒o abonadas‒ por un ingeniero inscrito y con tarjeta de matrícula profesional en la respectiva rama de la ingeniería. Así, dicha obligación se refiere al cumplimiento de un requisito impuesto por el legislador que deben cumplir los proponentes con la presentación de sus ofertas</w:t>
      </w:r>
      <w:r w:rsidRPr="00BA6C38">
        <w:rPr>
          <w:rFonts w:ascii="Arial" w:eastAsia="Calibri" w:hAnsi="Arial" w:cs="Arial"/>
          <w:sz w:val="22"/>
          <w:szCs w:val="20"/>
          <w:vertAlign w:val="superscript"/>
          <w:lang w:val="es-CO"/>
        </w:rPr>
        <w:footnoteReference w:id="5"/>
      </w:r>
      <w:r w:rsidRPr="00BA6C38">
        <w:rPr>
          <w:rFonts w:ascii="Arial" w:eastAsia="Calibri" w:hAnsi="Arial" w:cs="Arial"/>
          <w:sz w:val="22"/>
          <w:szCs w:val="20"/>
          <w:lang w:val="es-CO"/>
        </w:rPr>
        <w:t xml:space="preserve">. Por el contrario, retomando el artículo 17 analizado, debe tenerse en cuenta </w:t>
      </w:r>
      <w:r w:rsidRPr="00BA6C38">
        <w:rPr>
          <w:rFonts w:ascii="Arial" w:eastAsia="Calibri" w:hAnsi="Arial" w:cs="Arial"/>
          <w:sz w:val="22"/>
          <w:szCs w:val="20"/>
          <w:lang w:val="es-CO"/>
        </w:rPr>
        <w:lastRenderedPageBreak/>
        <w:t>que el parágrafo de la disposición citada establece la consecuencia concreta frente al incumplimiento del deber legal establecido en dicho artículo. Nótese que la consecuencia no se relaciona con la imposibilidad de participar en los procedimientos de selección o la exigencia de acreditar su cumplimiento en dichos procedimientos; sino que prescribe una sanción concreta para el representante legal de la sociedad que incumpla el deber establecido en la disposición, al señalarse que «se aplicarán las sanciones previstas para el ejercicio ilegal de la profesión y oficio reglamentado».</w:t>
      </w:r>
    </w:p>
    <w:p w14:paraId="0E7B2B65" w14:textId="77777777" w:rsidR="0067762E" w:rsidRPr="00BA6C38" w:rsidRDefault="0067762E" w:rsidP="0067762E">
      <w:pPr>
        <w:tabs>
          <w:tab w:val="left" w:pos="709"/>
          <w:tab w:val="left" w:pos="851"/>
        </w:tabs>
        <w:spacing w:after="120" w:line="276" w:lineRule="auto"/>
        <w:jc w:val="both"/>
        <w:rPr>
          <w:rFonts w:ascii="Arial" w:eastAsia="Calibri" w:hAnsi="Arial" w:cs="Arial"/>
          <w:sz w:val="22"/>
          <w:szCs w:val="20"/>
          <w:lang w:val="es-CO"/>
        </w:rPr>
      </w:pPr>
      <w:r w:rsidRPr="00BA6C38">
        <w:rPr>
          <w:rFonts w:ascii="Arial" w:eastAsia="Calibri" w:hAnsi="Arial" w:cs="Arial"/>
          <w:sz w:val="22"/>
          <w:szCs w:val="20"/>
          <w:lang w:val="es-CO"/>
        </w:rPr>
        <w:tab/>
        <w:t>En tal sentido, la consecuencia aparejada al incumplimiento del deber establecido en el artículo 17 se dirige directamente a sancionar al representante legal de la sociedad, sin que se establezca alguna consecuencia frente a la capacidad de la sociedad para participar en procedimientos de selección de contratistas.</w:t>
      </w:r>
    </w:p>
    <w:p w14:paraId="263C7971" w14:textId="77777777" w:rsidR="0067762E" w:rsidRPr="00BA6C38" w:rsidRDefault="0067762E" w:rsidP="0067762E">
      <w:pPr>
        <w:tabs>
          <w:tab w:val="left" w:pos="709"/>
          <w:tab w:val="left" w:pos="851"/>
        </w:tabs>
        <w:spacing w:after="120" w:line="276" w:lineRule="auto"/>
        <w:jc w:val="both"/>
        <w:rPr>
          <w:rFonts w:ascii="Arial" w:eastAsia="Calibri" w:hAnsi="Arial" w:cs="Arial"/>
          <w:sz w:val="22"/>
          <w:szCs w:val="20"/>
          <w:lang w:val="es-CO"/>
        </w:rPr>
      </w:pPr>
      <w:r w:rsidRPr="00BA6C38">
        <w:rPr>
          <w:rFonts w:ascii="Arial" w:eastAsia="Calibri" w:hAnsi="Arial" w:cs="Arial"/>
          <w:sz w:val="22"/>
          <w:szCs w:val="20"/>
          <w:lang w:val="es-CO"/>
        </w:rPr>
        <w:tab/>
        <w:t>En armonía con lo anterior, como se enunció previamente, la obligación contenida en el artículo 17 de la Ley 842 de 2003 no se estableció como causal de rechazo y tampoco se exigió la acreditación de este requisito durante el procedimiento de selección en ningún lugar de los documentos tipo de licitación de obra pública de infraestructura de transporte. Sin embargo, ello no quiere decir que esta obligación desaparezca o no se deba cumplir, pues esta aplica por ministerio de la ley, solo que no se vincula su contenido a alguna consecuencia jurídica frente a los procedimientos de selección que se rijan por los documentos tipo, sin perjuicio de las eventuales sanciones frente al representante legal de la sociedad que no acate su contenido.</w:t>
      </w:r>
    </w:p>
    <w:p w14:paraId="790B9CEB" w14:textId="77777777" w:rsidR="0067762E" w:rsidRPr="00BA6C38" w:rsidRDefault="0067762E" w:rsidP="0067762E">
      <w:pPr>
        <w:tabs>
          <w:tab w:val="left" w:pos="709"/>
          <w:tab w:val="left" w:pos="851"/>
        </w:tabs>
        <w:spacing w:after="120" w:line="276" w:lineRule="auto"/>
        <w:jc w:val="both"/>
        <w:rPr>
          <w:rFonts w:ascii="Arial" w:eastAsia="Calibri" w:hAnsi="Arial" w:cs="Arial"/>
          <w:sz w:val="22"/>
          <w:szCs w:val="20"/>
          <w:lang w:val="es-CO"/>
        </w:rPr>
      </w:pPr>
      <w:r w:rsidRPr="00BA6C38">
        <w:rPr>
          <w:rFonts w:ascii="Arial" w:eastAsia="Calibri" w:hAnsi="Arial" w:cs="Arial"/>
          <w:sz w:val="22"/>
          <w:szCs w:val="20"/>
          <w:lang w:val="es-CO"/>
        </w:rPr>
        <w:tab/>
        <w:t>En efecto, el hecho de que el documento tipo no establezca todas las obligaciones legales que deben cumplir las personas naturales y jurídicas, no quiere decir que tales deberes desaparezcan, pues frente a su incumplimiento el ordenamiento jurídico establece sus consecuencias particulares. En otras palabras, las obligaciones legales tienen plena aplicación de acuerdo con su regulación concreta, sin que su ausencia en el documento tipo se pueda interpretar como una autorización para desconocer su exigibilidad, pues aplican por ministerio de la ley, pese a que no tengan una incidencia concreta en los procedimientos de selección.</w:t>
      </w:r>
    </w:p>
    <w:p w14:paraId="4D8FDE67" w14:textId="77777777" w:rsidR="0067762E" w:rsidRPr="00BA6C38" w:rsidRDefault="0067762E" w:rsidP="0067762E">
      <w:pPr>
        <w:tabs>
          <w:tab w:val="left" w:pos="709"/>
          <w:tab w:val="left" w:pos="851"/>
        </w:tabs>
        <w:spacing w:after="120" w:line="276" w:lineRule="auto"/>
        <w:jc w:val="both"/>
        <w:rPr>
          <w:rFonts w:ascii="Arial" w:eastAsia="Calibri" w:hAnsi="Arial" w:cs="Arial"/>
          <w:sz w:val="22"/>
          <w:szCs w:val="20"/>
        </w:rPr>
      </w:pPr>
      <w:r w:rsidRPr="00BA6C38">
        <w:rPr>
          <w:rFonts w:ascii="Arial" w:eastAsia="Calibri" w:hAnsi="Arial" w:cs="Arial"/>
          <w:sz w:val="22"/>
          <w:szCs w:val="20"/>
          <w:lang w:val="es-CO"/>
        </w:rPr>
        <w:tab/>
        <w:t>Por tanto, se reitera la idea que se está desarrollando, en el sentido de que el documento tipo no estableció la exigencia de la acreditación, durante el procedimiento de selección, del cumplimiento de la obligación legal establecida en el artículo 17 de la Ley 842 de 2003. Además, dicho evento no se encuentra establecido como causal de rechazo de las ofertas y las entidades no pueden incluir nuevas causales distintas a las establecidas en los documentos tipo.</w:t>
      </w:r>
    </w:p>
    <w:p w14:paraId="2353F926" w14:textId="77777777" w:rsidR="0067762E" w:rsidRPr="000A593C" w:rsidRDefault="0067762E" w:rsidP="0067762E">
      <w:pPr>
        <w:spacing w:line="276" w:lineRule="auto"/>
        <w:jc w:val="both"/>
        <w:rPr>
          <w:rFonts w:ascii="Arial" w:hAnsi="Arial" w:cs="Arial"/>
          <w:color w:val="000000" w:themeColor="text1"/>
          <w:sz w:val="22"/>
          <w:lang w:val="es-ES"/>
        </w:rPr>
      </w:pPr>
      <w:r w:rsidRPr="00BA6C38">
        <w:rPr>
          <w:rFonts w:ascii="Arial" w:eastAsia="Calibri" w:hAnsi="Arial" w:cs="Arial"/>
          <w:sz w:val="22"/>
          <w:szCs w:val="20"/>
        </w:rPr>
        <w:tab/>
        <w:t xml:space="preserve">En síntesis, como se indicó con anterioridad, en la regulación contenida en el numeral 1.15, que establece las causales de rechazo, no se estableció una exigencia adicional frente a los proponentes para acreditar el cumplimiento de dicho deber. En suma, al aplicar los documentos tipo en sus procesos, se desprenden  las siguientes reglas para </w:t>
      </w:r>
      <w:r w:rsidRPr="00BA6C38">
        <w:rPr>
          <w:rFonts w:ascii="Arial" w:eastAsia="Calibri" w:hAnsi="Arial" w:cs="Arial"/>
          <w:sz w:val="22"/>
          <w:szCs w:val="20"/>
        </w:rPr>
        <w:lastRenderedPageBreak/>
        <w:t>las entidades estatales: i) no pueden incluir nuevas causales de rechazo en sus pliegos de condiciones distintas a las establecidas en los documentos tipo; ii) solo pueden modificar los aspectos puntuales de las causales, es decir, los apartes entre corchetes y resaltados en gris; iii) teniendo en cuenta el contenido prohibitivo de las causales de rechazo, estas se deben interpretar de forma estricta, evitando realizar interpretaciones extensivas; y iv) las obligaciones legales tienen plena aplicación de acuerdo a su regulación concreta, sin que su ausencia en el documento tipo se pueda interpretar como una autorización para desconocer su exigibilidad, pues aplican por ministerio de la ley, pese a que algunas de ellas no tengan una incidencia concreta en los procedimientos de selección.</w:t>
      </w:r>
    </w:p>
    <w:p w14:paraId="6789F793" w14:textId="77777777" w:rsidR="0067762E" w:rsidRPr="000A593C" w:rsidRDefault="0067762E" w:rsidP="0067762E">
      <w:pPr>
        <w:spacing w:line="276" w:lineRule="auto"/>
        <w:ind w:firstLine="709"/>
        <w:jc w:val="both"/>
        <w:rPr>
          <w:rFonts w:ascii="Arial" w:hAnsi="Arial" w:cs="Arial"/>
          <w:color w:val="000000" w:themeColor="text1"/>
          <w:sz w:val="22"/>
          <w:lang w:val="es-ES"/>
        </w:rPr>
      </w:pPr>
    </w:p>
    <w:p w14:paraId="32EBBB43" w14:textId="77777777" w:rsidR="0067762E" w:rsidRPr="005D235D" w:rsidRDefault="0067762E" w:rsidP="0067762E">
      <w:pPr>
        <w:tabs>
          <w:tab w:val="left" w:pos="0"/>
        </w:tabs>
        <w:jc w:val="both"/>
        <w:rPr>
          <w:rFonts w:ascii="Arial" w:eastAsia="Calibri" w:hAnsi="Arial" w:cs="Arial"/>
          <w:b/>
          <w:bCs/>
          <w:color w:val="000000"/>
          <w:sz w:val="22"/>
          <w:lang w:eastAsia="en-GB"/>
        </w:rPr>
      </w:pPr>
      <w:r w:rsidRPr="005D235D">
        <w:rPr>
          <w:rFonts w:ascii="Arial" w:eastAsia="Calibri" w:hAnsi="Arial" w:cs="Arial"/>
          <w:b/>
          <w:bCs/>
          <w:color w:val="000000"/>
          <w:sz w:val="22"/>
          <w:lang w:eastAsia="en-GB"/>
        </w:rPr>
        <w:t>2.</w:t>
      </w:r>
      <w:r>
        <w:rPr>
          <w:rFonts w:ascii="Arial" w:eastAsia="Calibri" w:hAnsi="Arial" w:cs="Arial"/>
          <w:b/>
          <w:bCs/>
          <w:color w:val="000000"/>
          <w:sz w:val="22"/>
          <w:lang w:eastAsia="en-GB"/>
        </w:rPr>
        <w:t>3</w:t>
      </w:r>
      <w:r w:rsidRPr="005D235D">
        <w:rPr>
          <w:rFonts w:ascii="Arial" w:eastAsia="Calibri" w:hAnsi="Arial" w:cs="Arial"/>
          <w:b/>
          <w:bCs/>
          <w:color w:val="000000"/>
          <w:sz w:val="22"/>
          <w:lang w:eastAsia="en-GB"/>
        </w:rPr>
        <w:t>. Factor de capacidad técnica de la capacidad residual</w:t>
      </w:r>
      <w:r>
        <w:rPr>
          <w:rFonts w:ascii="Arial" w:eastAsia="Calibri" w:hAnsi="Arial" w:cs="Arial"/>
          <w:b/>
          <w:bCs/>
          <w:color w:val="000000"/>
          <w:sz w:val="22"/>
          <w:lang w:eastAsia="en-GB"/>
        </w:rPr>
        <w:t xml:space="preserve"> del proponente</w:t>
      </w:r>
      <w:r w:rsidRPr="005D235D">
        <w:rPr>
          <w:rFonts w:ascii="Arial" w:eastAsia="Calibri" w:hAnsi="Arial" w:cs="Arial"/>
          <w:b/>
          <w:bCs/>
          <w:color w:val="000000"/>
          <w:sz w:val="22"/>
          <w:lang w:eastAsia="en-GB"/>
        </w:rPr>
        <w:t xml:space="preserve"> en los documentos tipo de obra pública de infraestructura de transporte</w:t>
      </w:r>
    </w:p>
    <w:p w14:paraId="187BD2A8" w14:textId="77777777" w:rsidR="0067762E" w:rsidRPr="00AF5D22" w:rsidRDefault="0067762E" w:rsidP="0067762E">
      <w:pPr>
        <w:tabs>
          <w:tab w:val="left" w:pos="0"/>
        </w:tabs>
        <w:jc w:val="both"/>
        <w:rPr>
          <w:rFonts w:ascii="Arial" w:eastAsia="Calibri" w:hAnsi="Arial" w:cs="Arial"/>
          <w:b/>
          <w:bCs/>
          <w:color w:val="000000"/>
          <w:sz w:val="22"/>
          <w:lang w:val="pt-BR" w:eastAsia="en-GB"/>
        </w:rPr>
      </w:pPr>
    </w:p>
    <w:p w14:paraId="614D3E49" w14:textId="77777777" w:rsidR="0067762E" w:rsidRPr="00423A44" w:rsidRDefault="0067762E" w:rsidP="0067762E">
      <w:pPr>
        <w:tabs>
          <w:tab w:val="left" w:pos="426"/>
        </w:tabs>
        <w:spacing w:before="120" w:line="276" w:lineRule="auto"/>
        <w:jc w:val="both"/>
        <w:rPr>
          <w:rFonts w:ascii="Arial" w:hAnsi="Arial" w:cs="Arial"/>
          <w:sz w:val="22"/>
          <w:szCs w:val="20"/>
        </w:rPr>
      </w:pPr>
      <w:r>
        <w:rPr>
          <w:rFonts w:ascii="Arial" w:hAnsi="Arial" w:cs="Arial"/>
          <w:sz w:val="22"/>
          <w:szCs w:val="20"/>
        </w:rPr>
        <w:t>E</w:t>
      </w:r>
      <w:r w:rsidRPr="00423A44">
        <w:rPr>
          <w:rFonts w:ascii="Arial" w:hAnsi="Arial" w:cs="Arial"/>
          <w:sz w:val="22"/>
          <w:szCs w:val="20"/>
        </w:rPr>
        <w:t>l numeral 3.1</w:t>
      </w:r>
      <w:r>
        <w:rPr>
          <w:rFonts w:ascii="Arial" w:hAnsi="Arial" w:cs="Arial"/>
          <w:sz w:val="22"/>
          <w:szCs w:val="20"/>
        </w:rPr>
        <w:t>0</w:t>
      </w:r>
      <w:r w:rsidRPr="00423A44">
        <w:rPr>
          <w:rFonts w:ascii="Arial" w:hAnsi="Arial" w:cs="Arial"/>
          <w:sz w:val="22"/>
          <w:szCs w:val="20"/>
        </w:rPr>
        <w:t xml:space="preserve"> de</w:t>
      </w:r>
      <w:r>
        <w:rPr>
          <w:rFonts w:ascii="Arial" w:hAnsi="Arial" w:cs="Arial"/>
          <w:sz w:val="22"/>
          <w:szCs w:val="20"/>
        </w:rPr>
        <w:t xml:space="preserve"> los d</w:t>
      </w:r>
      <w:r w:rsidRPr="00423A44">
        <w:rPr>
          <w:rFonts w:ascii="Arial" w:hAnsi="Arial" w:cs="Arial"/>
          <w:sz w:val="22"/>
          <w:szCs w:val="20"/>
        </w:rPr>
        <w:t>ocumento</w:t>
      </w:r>
      <w:r>
        <w:rPr>
          <w:rFonts w:ascii="Arial" w:hAnsi="Arial" w:cs="Arial"/>
          <w:sz w:val="22"/>
          <w:szCs w:val="20"/>
        </w:rPr>
        <w:t>s</w:t>
      </w:r>
      <w:r w:rsidRPr="00423A44">
        <w:rPr>
          <w:rFonts w:ascii="Arial" w:hAnsi="Arial" w:cs="Arial"/>
          <w:sz w:val="22"/>
          <w:szCs w:val="20"/>
        </w:rPr>
        <w:t xml:space="preserve"> </w:t>
      </w:r>
      <w:r>
        <w:rPr>
          <w:rFonts w:ascii="Arial" w:hAnsi="Arial" w:cs="Arial"/>
          <w:sz w:val="22"/>
          <w:szCs w:val="20"/>
        </w:rPr>
        <w:t>b</w:t>
      </w:r>
      <w:r w:rsidRPr="00423A44">
        <w:rPr>
          <w:rFonts w:ascii="Arial" w:hAnsi="Arial" w:cs="Arial"/>
          <w:sz w:val="22"/>
          <w:szCs w:val="20"/>
        </w:rPr>
        <w:t xml:space="preserve">ase </w:t>
      </w:r>
      <w:r>
        <w:rPr>
          <w:rFonts w:ascii="Arial" w:hAnsi="Arial" w:cs="Arial"/>
          <w:sz w:val="22"/>
          <w:szCs w:val="20"/>
        </w:rPr>
        <w:t xml:space="preserve">de obra pública de infraestructura de transporte </w:t>
      </w:r>
      <w:r w:rsidRPr="00423A44">
        <w:rPr>
          <w:rFonts w:ascii="Arial" w:hAnsi="Arial" w:cs="Arial"/>
          <w:sz w:val="22"/>
          <w:szCs w:val="20"/>
        </w:rPr>
        <w:t>para procesos de licitación pública</w:t>
      </w:r>
      <w:r>
        <w:rPr>
          <w:rFonts w:ascii="Arial" w:hAnsi="Arial" w:cs="Arial"/>
          <w:sz w:val="22"/>
          <w:szCs w:val="20"/>
        </w:rPr>
        <w:t xml:space="preserve"> – Versión 3 establece </w:t>
      </w:r>
      <w:r w:rsidRPr="00F2413F">
        <w:rPr>
          <w:rFonts w:ascii="Arial" w:hAnsi="Arial" w:cs="Arial"/>
          <w:sz w:val="22"/>
          <w:szCs w:val="20"/>
        </w:rPr>
        <w:t>como requisito habilitante la capacidad residual</w:t>
      </w:r>
      <w:r>
        <w:rPr>
          <w:rFonts w:ascii="Arial" w:hAnsi="Arial" w:cs="Arial"/>
          <w:sz w:val="22"/>
          <w:szCs w:val="20"/>
        </w:rPr>
        <w:t>. E</w:t>
      </w:r>
      <w:r w:rsidRPr="00423A44">
        <w:rPr>
          <w:rFonts w:ascii="Arial" w:hAnsi="Arial" w:cs="Arial"/>
          <w:sz w:val="22"/>
          <w:szCs w:val="20"/>
        </w:rPr>
        <w:t xml:space="preserve">n lo relativo a la acreditación de la capacidad residual </w:t>
      </w:r>
      <w:r>
        <w:rPr>
          <w:rFonts w:ascii="Arial" w:hAnsi="Arial" w:cs="Arial"/>
          <w:sz w:val="22"/>
          <w:szCs w:val="20"/>
        </w:rPr>
        <w:t>se dispone lo siguiente</w:t>
      </w:r>
      <w:r w:rsidRPr="00423A44">
        <w:rPr>
          <w:rFonts w:ascii="Arial" w:hAnsi="Arial" w:cs="Arial"/>
          <w:sz w:val="22"/>
          <w:szCs w:val="20"/>
        </w:rPr>
        <w:t>:</w:t>
      </w:r>
    </w:p>
    <w:p w14:paraId="6B5B6CC1" w14:textId="77777777" w:rsidR="0067762E" w:rsidRPr="00423A44" w:rsidRDefault="0067762E" w:rsidP="0067762E">
      <w:pPr>
        <w:tabs>
          <w:tab w:val="left" w:pos="426"/>
        </w:tabs>
        <w:spacing w:line="276" w:lineRule="auto"/>
        <w:ind w:firstLine="709"/>
        <w:jc w:val="both"/>
        <w:rPr>
          <w:rFonts w:ascii="Arial" w:hAnsi="Arial" w:cs="Arial"/>
          <w:sz w:val="22"/>
          <w:szCs w:val="20"/>
        </w:rPr>
      </w:pPr>
    </w:p>
    <w:p w14:paraId="2D681A15" w14:textId="77777777" w:rsidR="0067762E" w:rsidRPr="00423A44" w:rsidRDefault="0067762E" w:rsidP="0067762E">
      <w:pPr>
        <w:widowControl w:val="0"/>
        <w:ind w:left="709" w:right="709"/>
        <w:jc w:val="both"/>
        <w:rPr>
          <w:rFonts w:ascii="Arial" w:eastAsia="Arial" w:hAnsi="Arial" w:cs="Arial"/>
          <w:sz w:val="21"/>
          <w:szCs w:val="21"/>
        </w:rPr>
      </w:pPr>
      <w:r w:rsidRPr="00423A44">
        <w:rPr>
          <w:rFonts w:ascii="Arial" w:hAnsi="Arial" w:cs="Arial"/>
          <w:sz w:val="21"/>
          <w:szCs w:val="21"/>
        </w:rPr>
        <w:t>El</w:t>
      </w:r>
      <w:r w:rsidRPr="00423A44">
        <w:rPr>
          <w:rFonts w:ascii="Arial" w:eastAsia="Arial" w:hAnsi="Arial" w:cs="Arial"/>
          <w:sz w:val="21"/>
          <w:szCs w:val="21"/>
        </w:rPr>
        <w:t xml:space="preserve"> </w:t>
      </w:r>
      <w:r w:rsidRPr="00423A44">
        <w:rPr>
          <w:rFonts w:ascii="Arial" w:hAnsi="Arial" w:cs="Arial"/>
          <w:sz w:val="21"/>
          <w:szCs w:val="21"/>
        </w:rPr>
        <w:t>Proponente</w:t>
      </w:r>
      <w:r w:rsidRPr="00423A44">
        <w:rPr>
          <w:rFonts w:ascii="Arial" w:eastAsia="Arial" w:hAnsi="Arial" w:cs="Arial"/>
          <w:sz w:val="21"/>
          <w:szCs w:val="21"/>
        </w:rPr>
        <w:t xml:space="preserve"> </w:t>
      </w:r>
      <w:r w:rsidRPr="00423A44">
        <w:rPr>
          <w:rFonts w:ascii="Arial" w:hAnsi="Arial" w:cs="Arial"/>
          <w:sz w:val="21"/>
          <w:szCs w:val="21"/>
        </w:rPr>
        <w:t>será</w:t>
      </w:r>
      <w:r w:rsidRPr="00423A44">
        <w:rPr>
          <w:rFonts w:ascii="Arial" w:eastAsia="Arial" w:hAnsi="Arial" w:cs="Arial"/>
          <w:sz w:val="21"/>
          <w:szCs w:val="21"/>
        </w:rPr>
        <w:t xml:space="preserve"> </w:t>
      </w:r>
      <w:r w:rsidRPr="00423A44">
        <w:rPr>
          <w:rFonts w:ascii="Arial" w:hAnsi="Arial" w:cs="Arial"/>
          <w:sz w:val="21"/>
          <w:szCs w:val="21"/>
        </w:rPr>
        <w:t>hábil</w:t>
      </w:r>
      <w:r w:rsidRPr="00423A44">
        <w:rPr>
          <w:rFonts w:ascii="Arial" w:eastAsia="Arial" w:hAnsi="Arial" w:cs="Arial"/>
          <w:sz w:val="21"/>
          <w:szCs w:val="21"/>
        </w:rPr>
        <w:t xml:space="preserve"> </w:t>
      </w:r>
      <w:r w:rsidRPr="00423A44">
        <w:rPr>
          <w:rFonts w:ascii="Arial" w:hAnsi="Arial" w:cs="Arial"/>
          <w:sz w:val="21"/>
          <w:szCs w:val="21"/>
        </w:rPr>
        <w:t>si</w:t>
      </w:r>
      <w:r w:rsidRPr="00423A44">
        <w:rPr>
          <w:rFonts w:ascii="Arial" w:eastAsia="Arial" w:hAnsi="Arial" w:cs="Arial"/>
          <w:sz w:val="21"/>
          <w:szCs w:val="21"/>
        </w:rPr>
        <w:t xml:space="preserve"> </w:t>
      </w:r>
      <w:r w:rsidRPr="00423A44">
        <w:rPr>
          <w:rFonts w:ascii="Arial" w:hAnsi="Arial" w:cs="Arial"/>
          <w:sz w:val="21"/>
          <w:szCs w:val="21"/>
        </w:rPr>
        <w:t>la</w:t>
      </w:r>
      <w:r w:rsidRPr="00423A44">
        <w:rPr>
          <w:rFonts w:ascii="Arial" w:eastAsia="Arial" w:hAnsi="Arial" w:cs="Arial"/>
          <w:sz w:val="21"/>
          <w:szCs w:val="21"/>
        </w:rPr>
        <w:t xml:space="preserve"> </w:t>
      </w:r>
      <w:r w:rsidRPr="00423A44">
        <w:rPr>
          <w:rFonts w:ascii="Arial" w:hAnsi="Arial" w:cs="Arial"/>
          <w:sz w:val="21"/>
          <w:szCs w:val="21"/>
        </w:rPr>
        <w:t>capacidad</w:t>
      </w:r>
      <w:r w:rsidRPr="00423A44">
        <w:rPr>
          <w:rFonts w:ascii="Arial" w:eastAsia="Arial" w:hAnsi="Arial" w:cs="Arial"/>
          <w:sz w:val="21"/>
          <w:szCs w:val="21"/>
        </w:rPr>
        <w:t xml:space="preserve"> </w:t>
      </w:r>
      <w:r w:rsidRPr="00423A44">
        <w:rPr>
          <w:rFonts w:ascii="Arial" w:hAnsi="Arial" w:cs="Arial"/>
          <w:sz w:val="21"/>
          <w:szCs w:val="21"/>
        </w:rPr>
        <w:t>residual</w:t>
      </w:r>
      <w:r w:rsidRPr="00423A44">
        <w:rPr>
          <w:rFonts w:ascii="Arial" w:eastAsia="Arial" w:hAnsi="Arial" w:cs="Arial"/>
          <w:sz w:val="21"/>
          <w:szCs w:val="21"/>
        </w:rPr>
        <w:t xml:space="preserve"> </w:t>
      </w:r>
      <w:r w:rsidRPr="00423A44">
        <w:rPr>
          <w:rFonts w:ascii="Arial" w:hAnsi="Arial" w:cs="Arial"/>
          <w:sz w:val="21"/>
          <w:szCs w:val="21"/>
        </w:rPr>
        <w:t>del</w:t>
      </w:r>
      <w:r w:rsidRPr="00423A44">
        <w:rPr>
          <w:rFonts w:ascii="Arial" w:eastAsia="Arial" w:hAnsi="Arial" w:cs="Arial"/>
          <w:sz w:val="21"/>
          <w:szCs w:val="21"/>
        </w:rPr>
        <w:t xml:space="preserve"> </w:t>
      </w:r>
      <w:r w:rsidRPr="00423A44">
        <w:rPr>
          <w:rFonts w:ascii="Arial" w:hAnsi="Arial" w:cs="Arial"/>
          <w:sz w:val="21"/>
          <w:szCs w:val="21"/>
        </w:rPr>
        <w:t>Proponente</w:t>
      </w:r>
      <w:r w:rsidRPr="00423A44">
        <w:rPr>
          <w:rFonts w:ascii="Arial" w:eastAsia="Arial" w:hAnsi="Arial" w:cs="Arial"/>
          <w:sz w:val="21"/>
          <w:szCs w:val="21"/>
        </w:rPr>
        <w:t xml:space="preserve"> </w:t>
      </w:r>
      <w:r w:rsidRPr="00423A44">
        <w:rPr>
          <w:rFonts w:ascii="Arial" w:hAnsi="Arial" w:cs="Arial"/>
          <w:sz w:val="21"/>
          <w:szCs w:val="21"/>
        </w:rPr>
        <w:t>(CRP)</w:t>
      </w:r>
      <w:r w:rsidRPr="00423A44">
        <w:rPr>
          <w:rFonts w:ascii="Arial" w:eastAsia="Arial" w:hAnsi="Arial" w:cs="Arial"/>
          <w:sz w:val="21"/>
          <w:szCs w:val="21"/>
        </w:rPr>
        <w:t xml:space="preserve"> </w:t>
      </w:r>
      <w:r w:rsidRPr="00423A44">
        <w:rPr>
          <w:rFonts w:ascii="Arial" w:hAnsi="Arial" w:cs="Arial"/>
          <w:sz w:val="21"/>
          <w:szCs w:val="21"/>
        </w:rPr>
        <w:t>es</w:t>
      </w:r>
      <w:r w:rsidRPr="00423A44">
        <w:rPr>
          <w:rFonts w:ascii="Arial" w:eastAsia="Arial" w:hAnsi="Arial" w:cs="Arial"/>
          <w:sz w:val="21"/>
          <w:szCs w:val="21"/>
        </w:rPr>
        <w:t xml:space="preserve"> </w:t>
      </w:r>
      <w:r w:rsidRPr="00423A44">
        <w:rPr>
          <w:rFonts w:ascii="Arial" w:hAnsi="Arial" w:cs="Arial"/>
          <w:sz w:val="21"/>
          <w:szCs w:val="21"/>
        </w:rPr>
        <w:t>mayor</w:t>
      </w:r>
      <w:r w:rsidRPr="00423A44">
        <w:rPr>
          <w:rFonts w:ascii="Arial" w:eastAsia="Arial" w:hAnsi="Arial" w:cs="Arial"/>
          <w:sz w:val="21"/>
          <w:szCs w:val="21"/>
        </w:rPr>
        <w:t xml:space="preserve"> </w:t>
      </w:r>
      <w:r w:rsidRPr="00423A44">
        <w:rPr>
          <w:rFonts w:ascii="Arial" w:hAnsi="Arial" w:cs="Arial"/>
          <w:sz w:val="21"/>
          <w:szCs w:val="21"/>
        </w:rPr>
        <w:t>o</w:t>
      </w:r>
      <w:r w:rsidRPr="00423A44">
        <w:rPr>
          <w:rFonts w:ascii="Arial" w:eastAsia="Arial" w:hAnsi="Arial" w:cs="Arial"/>
          <w:sz w:val="21"/>
          <w:szCs w:val="21"/>
        </w:rPr>
        <w:t xml:space="preserve"> </w:t>
      </w:r>
      <w:r w:rsidRPr="00423A44">
        <w:rPr>
          <w:rFonts w:ascii="Arial" w:hAnsi="Arial" w:cs="Arial"/>
          <w:sz w:val="21"/>
          <w:szCs w:val="21"/>
        </w:rPr>
        <w:t>igual</w:t>
      </w:r>
      <w:r w:rsidRPr="00423A44">
        <w:rPr>
          <w:rFonts w:ascii="Arial" w:eastAsia="Arial" w:hAnsi="Arial" w:cs="Arial"/>
          <w:sz w:val="21"/>
          <w:szCs w:val="21"/>
        </w:rPr>
        <w:t xml:space="preserve"> </w:t>
      </w:r>
      <w:r w:rsidRPr="00423A44">
        <w:rPr>
          <w:rFonts w:ascii="Arial" w:hAnsi="Arial" w:cs="Arial"/>
          <w:sz w:val="21"/>
          <w:szCs w:val="21"/>
        </w:rPr>
        <w:t>a</w:t>
      </w:r>
      <w:r w:rsidRPr="00423A44">
        <w:rPr>
          <w:rFonts w:ascii="Arial" w:eastAsia="Arial" w:hAnsi="Arial" w:cs="Arial"/>
          <w:sz w:val="21"/>
          <w:szCs w:val="21"/>
        </w:rPr>
        <w:t xml:space="preserve"> </w:t>
      </w:r>
      <w:r w:rsidRPr="00423A44">
        <w:rPr>
          <w:rFonts w:ascii="Arial" w:hAnsi="Arial" w:cs="Arial"/>
          <w:sz w:val="21"/>
          <w:szCs w:val="21"/>
        </w:rPr>
        <w:t>la</w:t>
      </w:r>
      <w:r w:rsidRPr="00423A44">
        <w:rPr>
          <w:rFonts w:ascii="Arial" w:eastAsia="Arial" w:hAnsi="Arial" w:cs="Arial"/>
          <w:sz w:val="21"/>
          <w:szCs w:val="21"/>
        </w:rPr>
        <w:t xml:space="preserve"> </w:t>
      </w:r>
      <w:r w:rsidRPr="00423A44">
        <w:rPr>
          <w:rFonts w:ascii="Arial" w:hAnsi="Arial" w:cs="Arial"/>
          <w:sz w:val="21"/>
          <w:szCs w:val="21"/>
        </w:rPr>
        <w:t>capacidad</w:t>
      </w:r>
      <w:r w:rsidRPr="00423A44">
        <w:rPr>
          <w:rFonts w:ascii="Arial" w:eastAsia="Arial" w:hAnsi="Arial" w:cs="Arial"/>
          <w:sz w:val="21"/>
          <w:szCs w:val="21"/>
        </w:rPr>
        <w:t xml:space="preserve"> </w:t>
      </w:r>
      <w:r w:rsidRPr="00423A44">
        <w:rPr>
          <w:rFonts w:ascii="Arial" w:hAnsi="Arial" w:cs="Arial"/>
          <w:sz w:val="21"/>
          <w:szCs w:val="21"/>
        </w:rPr>
        <w:t>residual</w:t>
      </w:r>
      <w:r w:rsidRPr="00423A44">
        <w:rPr>
          <w:rFonts w:ascii="Arial" w:eastAsia="Arial" w:hAnsi="Arial" w:cs="Arial"/>
          <w:sz w:val="21"/>
          <w:szCs w:val="21"/>
        </w:rPr>
        <w:t xml:space="preserve"> </w:t>
      </w:r>
      <w:r w:rsidRPr="00423A44">
        <w:rPr>
          <w:rFonts w:ascii="Arial" w:hAnsi="Arial" w:cs="Arial"/>
          <w:sz w:val="21"/>
          <w:szCs w:val="21"/>
        </w:rPr>
        <w:t>de</w:t>
      </w:r>
      <w:r w:rsidRPr="00423A44">
        <w:rPr>
          <w:rFonts w:ascii="Arial" w:eastAsia="Arial" w:hAnsi="Arial" w:cs="Arial"/>
          <w:sz w:val="21"/>
          <w:szCs w:val="21"/>
        </w:rPr>
        <w:t xml:space="preserve"> </w:t>
      </w:r>
      <w:r w:rsidRPr="00423A44">
        <w:rPr>
          <w:rFonts w:ascii="Arial" w:hAnsi="Arial" w:cs="Arial"/>
          <w:sz w:val="21"/>
          <w:szCs w:val="21"/>
        </w:rPr>
        <w:t>Proceso de Contratación</w:t>
      </w:r>
      <w:r w:rsidRPr="00423A44">
        <w:rPr>
          <w:rFonts w:ascii="Arial" w:eastAsia="Arial" w:hAnsi="Arial" w:cs="Arial"/>
          <w:sz w:val="21"/>
          <w:szCs w:val="21"/>
        </w:rPr>
        <w:t xml:space="preserve"> </w:t>
      </w:r>
      <w:r w:rsidRPr="00423A44">
        <w:rPr>
          <w:rFonts w:ascii="Arial" w:hAnsi="Arial" w:cs="Arial"/>
          <w:sz w:val="21"/>
          <w:szCs w:val="21"/>
        </w:rPr>
        <w:t>(CRPC).</w:t>
      </w:r>
      <w:r w:rsidRPr="00423A44">
        <w:rPr>
          <w:rFonts w:ascii="Arial" w:eastAsia="Arial" w:hAnsi="Arial" w:cs="Arial"/>
          <w:sz w:val="21"/>
          <w:szCs w:val="21"/>
        </w:rPr>
        <w:t xml:space="preserve"> </w:t>
      </w:r>
      <w:r w:rsidRPr="00423A44">
        <w:rPr>
          <w:rFonts w:ascii="Arial" w:hAnsi="Arial" w:cs="Arial"/>
          <w:sz w:val="21"/>
          <w:szCs w:val="21"/>
        </w:rPr>
        <w:t>Así:</w:t>
      </w:r>
      <w:r w:rsidRPr="00423A44">
        <w:rPr>
          <w:rFonts w:ascii="Arial" w:eastAsia="Arial" w:hAnsi="Arial" w:cs="Arial"/>
          <w:sz w:val="21"/>
          <w:szCs w:val="21"/>
        </w:rPr>
        <w:t xml:space="preserve"> </w:t>
      </w:r>
    </w:p>
    <w:p w14:paraId="0DBD55BF" w14:textId="77777777" w:rsidR="0067762E" w:rsidRPr="00423A44" w:rsidRDefault="0067762E" w:rsidP="0067762E">
      <w:pPr>
        <w:widowControl w:val="0"/>
        <w:ind w:left="709" w:right="709"/>
        <w:jc w:val="center"/>
        <w:rPr>
          <w:rFonts w:ascii="Arial" w:eastAsia="Arial" w:hAnsi="Arial" w:cs="Arial"/>
          <w:sz w:val="21"/>
          <w:szCs w:val="21"/>
        </w:rPr>
      </w:pPr>
    </w:p>
    <w:p w14:paraId="338F4A1E" w14:textId="77777777" w:rsidR="0067762E" w:rsidRPr="00423A44" w:rsidRDefault="0067762E" w:rsidP="0067762E">
      <w:pPr>
        <w:widowControl w:val="0"/>
        <w:ind w:left="709" w:right="709"/>
        <w:jc w:val="center"/>
        <w:rPr>
          <w:rFonts w:ascii="Arial" w:hAnsi="Arial" w:cs="Arial"/>
          <w:sz w:val="21"/>
          <w:szCs w:val="21"/>
        </w:rPr>
      </w:pPr>
      <m:oMathPara>
        <m:oMath>
          <m:r>
            <w:rPr>
              <w:rFonts w:ascii="Cambria Math" w:hAnsi="Cambria Math" w:cs="Arial"/>
              <w:sz w:val="21"/>
              <w:szCs w:val="21"/>
            </w:rPr>
            <m:t>CRP ≥CRPC</m:t>
          </m:r>
        </m:oMath>
      </m:oMathPara>
    </w:p>
    <w:p w14:paraId="1B1B308D" w14:textId="77777777" w:rsidR="0067762E" w:rsidRDefault="0067762E" w:rsidP="0067762E">
      <w:pPr>
        <w:spacing w:line="276" w:lineRule="auto"/>
        <w:jc w:val="both"/>
        <w:rPr>
          <w:rFonts w:ascii="Arial" w:eastAsia="Calibri" w:hAnsi="Arial" w:cs="Arial"/>
          <w:b/>
          <w:bCs/>
          <w:color w:val="000000"/>
          <w:sz w:val="22"/>
          <w:lang w:val="pt-BR" w:eastAsia="en-GB"/>
        </w:rPr>
      </w:pPr>
    </w:p>
    <w:p w14:paraId="7D2247EB" w14:textId="77777777" w:rsidR="0067762E" w:rsidRPr="00577E25" w:rsidRDefault="0067762E" w:rsidP="0067762E">
      <w:pPr>
        <w:widowControl w:val="0"/>
        <w:ind w:left="709" w:right="709"/>
        <w:jc w:val="both"/>
        <w:rPr>
          <w:rFonts w:ascii="Arial" w:hAnsi="Arial" w:cs="Arial"/>
          <w:sz w:val="21"/>
          <w:szCs w:val="21"/>
        </w:rPr>
      </w:pPr>
      <w:r w:rsidRPr="00577E25">
        <w:rPr>
          <w:rFonts w:ascii="Arial" w:hAnsi="Arial" w:cs="Arial"/>
          <w:sz w:val="21"/>
          <w:szCs w:val="21"/>
        </w:rPr>
        <w:t xml:space="preserve">Los proponentes acreditarán la capacidad residual o K de contratación conforme se describe a continuación. 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 </w:t>
      </w:r>
    </w:p>
    <w:p w14:paraId="272DF324" w14:textId="77777777" w:rsidR="0067762E" w:rsidRDefault="0067762E" w:rsidP="0067762E">
      <w:pPr>
        <w:tabs>
          <w:tab w:val="left" w:pos="426"/>
        </w:tabs>
        <w:spacing w:line="276" w:lineRule="auto"/>
        <w:ind w:firstLine="709"/>
        <w:jc w:val="both"/>
        <w:rPr>
          <w:rFonts w:ascii="Arial" w:hAnsi="Arial" w:cs="Arial"/>
          <w:sz w:val="22"/>
        </w:rPr>
      </w:pPr>
    </w:p>
    <w:p w14:paraId="28D56DCB" w14:textId="77777777" w:rsidR="0067762E" w:rsidRPr="00577E25" w:rsidRDefault="0067762E" w:rsidP="0067762E">
      <w:pPr>
        <w:tabs>
          <w:tab w:val="left" w:pos="426"/>
        </w:tabs>
        <w:spacing w:line="276" w:lineRule="auto"/>
        <w:ind w:firstLine="709"/>
        <w:jc w:val="both"/>
        <w:rPr>
          <w:rFonts w:ascii="Arial" w:hAnsi="Arial" w:cs="Arial"/>
          <w:sz w:val="22"/>
        </w:rPr>
      </w:pPr>
      <w:r w:rsidRPr="00577E25">
        <w:rPr>
          <w:rFonts w:ascii="Arial" w:hAnsi="Arial" w:cs="Arial"/>
          <w:sz w:val="22"/>
        </w:rPr>
        <w:t xml:space="preserve">A continuación, respecto del cálculo de la capacidad residual </w:t>
      </w:r>
      <w:r>
        <w:rPr>
          <w:rFonts w:ascii="Arial" w:hAnsi="Arial" w:cs="Arial"/>
          <w:sz w:val="22"/>
        </w:rPr>
        <w:t xml:space="preserve">del proceso de contratación, se </w:t>
      </w:r>
      <w:r w:rsidRPr="00577E25">
        <w:rPr>
          <w:rFonts w:ascii="Arial" w:hAnsi="Arial" w:cs="Arial"/>
          <w:sz w:val="22"/>
        </w:rPr>
        <w:t xml:space="preserve">establece la siguiente formula:  </w:t>
      </w:r>
    </w:p>
    <w:p w14:paraId="1EE1C3B0" w14:textId="77777777" w:rsidR="0067762E" w:rsidRPr="00577E25" w:rsidRDefault="0067762E" w:rsidP="0067762E">
      <w:pPr>
        <w:tabs>
          <w:tab w:val="left" w:pos="426"/>
        </w:tabs>
        <w:spacing w:line="276" w:lineRule="auto"/>
        <w:ind w:firstLine="709"/>
        <w:jc w:val="both"/>
        <w:rPr>
          <w:rFonts w:ascii="Arial" w:hAnsi="Arial" w:cs="Arial"/>
          <w:sz w:val="22"/>
        </w:rPr>
      </w:pPr>
    </w:p>
    <w:p w14:paraId="561D0097" w14:textId="77777777" w:rsidR="0067762E" w:rsidRPr="00577E25" w:rsidRDefault="0067762E" w:rsidP="0067762E">
      <w:pPr>
        <w:ind w:left="709" w:right="709"/>
        <w:rPr>
          <w:rFonts w:ascii="Arial" w:eastAsia="Arial" w:hAnsi="Arial" w:cs="Arial"/>
          <w:sz w:val="21"/>
          <w:szCs w:val="21"/>
        </w:rPr>
      </w:pPr>
      <w:r w:rsidRPr="00577E25">
        <w:rPr>
          <w:rFonts w:ascii="Arial" w:hAnsi="Arial" w:cs="Arial"/>
          <w:sz w:val="21"/>
          <w:szCs w:val="21"/>
        </w:rPr>
        <w:t>Si</w:t>
      </w:r>
      <w:r w:rsidRPr="00577E25">
        <w:rPr>
          <w:rFonts w:ascii="Arial" w:eastAsia="Arial" w:hAnsi="Arial" w:cs="Arial"/>
          <w:sz w:val="21"/>
          <w:szCs w:val="21"/>
        </w:rPr>
        <w:t xml:space="preserve"> </w:t>
      </w:r>
      <w:r w:rsidRPr="00577E25">
        <w:rPr>
          <w:rFonts w:ascii="Arial" w:hAnsi="Arial" w:cs="Arial"/>
          <w:sz w:val="21"/>
          <w:szCs w:val="21"/>
        </w:rPr>
        <w:t>el</w:t>
      </w:r>
      <w:r w:rsidRPr="00577E25">
        <w:rPr>
          <w:rFonts w:ascii="Arial" w:eastAsia="Arial" w:hAnsi="Arial" w:cs="Arial"/>
          <w:sz w:val="21"/>
          <w:szCs w:val="21"/>
        </w:rPr>
        <w:t xml:space="preserve"> </w:t>
      </w:r>
      <w:r w:rsidRPr="00577E25">
        <w:rPr>
          <w:rFonts w:ascii="Arial" w:hAnsi="Arial" w:cs="Arial"/>
          <w:sz w:val="21"/>
          <w:szCs w:val="21"/>
        </w:rPr>
        <w:t>plazo</w:t>
      </w:r>
      <w:r w:rsidRPr="00577E25">
        <w:rPr>
          <w:rFonts w:ascii="Arial" w:eastAsia="Arial" w:hAnsi="Arial" w:cs="Arial"/>
          <w:sz w:val="21"/>
          <w:szCs w:val="21"/>
        </w:rPr>
        <w:t xml:space="preserve"> </w:t>
      </w:r>
      <w:r w:rsidRPr="00577E25">
        <w:rPr>
          <w:rFonts w:ascii="Arial" w:hAnsi="Arial" w:cs="Arial"/>
          <w:sz w:val="21"/>
          <w:szCs w:val="21"/>
        </w:rPr>
        <w:t>estimado</w:t>
      </w:r>
      <w:r w:rsidRPr="00577E25">
        <w:rPr>
          <w:rFonts w:ascii="Arial" w:eastAsia="Arial" w:hAnsi="Arial" w:cs="Arial"/>
          <w:sz w:val="21"/>
          <w:szCs w:val="21"/>
        </w:rPr>
        <w:t xml:space="preserve"> </w:t>
      </w:r>
      <w:r w:rsidRPr="00577E25">
        <w:rPr>
          <w:rFonts w:ascii="Arial" w:hAnsi="Arial" w:cs="Arial"/>
          <w:sz w:val="21"/>
          <w:szCs w:val="21"/>
        </w:rPr>
        <w:t>del</w:t>
      </w:r>
      <w:r w:rsidRPr="00577E25">
        <w:rPr>
          <w:rFonts w:ascii="Arial" w:eastAsia="Arial" w:hAnsi="Arial" w:cs="Arial"/>
          <w:sz w:val="21"/>
          <w:szCs w:val="21"/>
        </w:rPr>
        <w:t xml:space="preserve"> </w:t>
      </w:r>
      <w:r w:rsidRPr="00577E25">
        <w:rPr>
          <w:rFonts w:ascii="Arial" w:hAnsi="Arial" w:cs="Arial"/>
          <w:sz w:val="21"/>
          <w:szCs w:val="21"/>
        </w:rPr>
        <w:t>contrato</w:t>
      </w:r>
      <w:r w:rsidRPr="00577E25">
        <w:rPr>
          <w:rFonts w:ascii="Arial" w:eastAsia="Arial" w:hAnsi="Arial" w:cs="Arial"/>
          <w:sz w:val="21"/>
          <w:szCs w:val="21"/>
        </w:rPr>
        <w:t xml:space="preserve"> </w:t>
      </w:r>
      <w:r w:rsidRPr="00577E25">
        <w:rPr>
          <w:rFonts w:ascii="Arial" w:hAnsi="Arial" w:cs="Arial"/>
          <w:sz w:val="21"/>
          <w:szCs w:val="21"/>
        </w:rPr>
        <w:t>es</w:t>
      </w:r>
      <w:r w:rsidRPr="00577E25">
        <w:rPr>
          <w:rFonts w:ascii="Arial" w:eastAsia="Arial" w:hAnsi="Arial" w:cs="Arial"/>
          <w:sz w:val="21"/>
          <w:szCs w:val="21"/>
        </w:rPr>
        <w:t xml:space="preserve"> </w:t>
      </w:r>
      <w:r w:rsidRPr="00577E25">
        <w:rPr>
          <w:rFonts w:ascii="Arial" w:hAnsi="Arial" w:cs="Arial"/>
          <w:sz w:val="21"/>
          <w:szCs w:val="21"/>
        </w:rPr>
        <w:t>menor</w:t>
      </w:r>
      <w:r w:rsidRPr="00577E25">
        <w:rPr>
          <w:rFonts w:ascii="Arial" w:eastAsia="Arial" w:hAnsi="Arial" w:cs="Arial"/>
          <w:sz w:val="21"/>
          <w:szCs w:val="21"/>
        </w:rPr>
        <w:t xml:space="preserve"> </w:t>
      </w:r>
      <w:r w:rsidRPr="00577E25">
        <w:rPr>
          <w:rFonts w:ascii="Arial" w:hAnsi="Arial" w:cs="Arial"/>
          <w:sz w:val="21"/>
          <w:szCs w:val="21"/>
        </w:rPr>
        <w:t>o</w:t>
      </w:r>
      <w:r w:rsidRPr="00577E25">
        <w:rPr>
          <w:rFonts w:ascii="Arial" w:eastAsia="Arial" w:hAnsi="Arial" w:cs="Arial"/>
          <w:sz w:val="21"/>
          <w:szCs w:val="21"/>
        </w:rPr>
        <w:t xml:space="preserve"> </w:t>
      </w:r>
      <w:r w:rsidRPr="00577E25">
        <w:rPr>
          <w:rFonts w:ascii="Arial" w:hAnsi="Arial" w:cs="Arial"/>
          <w:sz w:val="21"/>
          <w:szCs w:val="21"/>
        </w:rPr>
        <w:t>igual</w:t>
      </w:r>
      <w:r w:rsidRPr="00577E25">
        <w:rPr>
          <w:rFonts w:ascii="Arial" w:eastAsia="Arial" w:hAnsi="Arial" w:cs="Arial"/>
          <w:sz w:val="21"/>
          <w:szCs w:val="21"/>
        </w:rPr>
        <w:t xml:space="preserve"> </w:t>
      </w:r>
      <w:r w:rsidRPr="00577E25">
        <w:rPr>
          <w:rFonts w:ascii="Arial" w:hAnsi="Arial" w:cs="Arial"/>
          <w:sz w:val="21"/>
          <w:szCs w:val="21"/>
        </w:rPr>
        <w:t>a</w:t>
      </w:r>
      <w:r w:rsidRPr="00577E25">
        <w:rPr>
          <w:rFonts w:ascii="Arial" w:eastAsia="Arial" w:hAnsi="Arial" w:cs="Arial"/>
          <w:sz w:val="21"/>
          <w:szCs w:val="21"/>
        </w:rPr>
        <w:t xml:space="preserve"> </w:t>
      </w:r>
      <w:r w:rsidRPr="00577E25">
        <w:rPr>
          <w:rFonts w:ascii="Arial" w:hAnsi="Arial" w:cs="Arial"/>
          <w:sz w:val="21"/>
          <w:szCs w:val="21"/>
        </w:rPr>
        <w:t>12</w:t>
      </w:r>
      <w:r w:rsidRPr="00577E25">
        <w:rPr>
          <w:rFonts w:ascii="Arial" w:eastAsia="Arial" w:hAnsi="Arial" w:cs="Arial"/>
          <w:sz w:val="21"/>
          <w:szCs w:val="21"/>
        </w:rPr>
        <w:t xml:space="preserve"> </w:t>
      </w:r>
      <w:r w:rsidRPr="00577E25">
        <w:rPr>
          <w:rFonts w:ascii="Arial" w:hAnsi="Arial" w:cs="Arial"/>
          <w:sz w:val="21"/>
          <w:szCs w:val="21"/>
        </w:rPr>
        <w:t>meses,</w:t>
      </w:r>
      <w:r w:rsidRPr="00577E25">
        <w:rPr>
          <w:rFonts w:ascii="Arial" w:eastAsia="Arial" w:hAnsi="Arial" w:cs="Arial"/>
          <w:sz w:val="21"/>
          <w:szCs w:val="21"/>
        </w:rPr>
        <w:t xml:space="preserve"> </w:t>
      </w:r>
      <w:r w:rsidRPr="00577E25">
        <w:rPr>
          <w:rFonts w:ascii="Arial" w:hAnsi="Arial" w:cs="Arial"/>
          <w:sz w:val="21"/>
          <w:szCs w:val="21"/>
        </w:rPr>
        <w:t>el</w:t>
      </w:r>
      <w:r w:rsidRPr="00577E25">
        <w:rPr>
          <w:rFonts w:ascii="Arial" w:eastAsia="Arial" w:hAnsi="Arial" w:cs="Arial"/>
          <w:sz w:val="21"/>
          <w:szCs w:val="21"/>
        </w:rPr>
        <w:t xml:space="preserve"> </w:t>
      </w:r>
      <w:r w:rsidRPr="00577E25">
        <w:rPr>
          <w:rFonts w:ascii="Arial" w:hAnsi="Arial" w:cs="Arial"/>
          <w:sz w:val="21"/>
          <w:szCs w:val="21"/>
        </w:rPr>
        <w:t>cálculo</w:t>
      </w:r>
      <w:r w:rsidRPr="00577E25">
        <w:rPr>
          <w:rFonts w:ascii="Arial" w:eastAsia="Arial" w:hAnsi="Arial" w:cs="Arial"/>
          <w:sz w:val="21"/>
          <w:szCs w:val="21"/>
        </w:rPr>
        <w:t xml:space="preserve"> </w:t>
      </w:r>
      <w:r w:rsidRPr="00577E25">
        <w:rPr>
          <w:rFonts w:ascii="Arial" w:hAnsi="Arial" w:cs="Arial"/>
          <w:sz w:val="21"/>
          <w:szCs w:val="21"/>
        </w:rPr>
        <w:t>de</w:t>
      </w:r>
      <w:r w:rsidRPr="00577E25">
        <w:rPr>
          <w:rFonts w:ascii="Arial" w:eastAsia="Arial" w:hAnsi="Arial" w:cs="Arial"/>
          <w:sz w:val="21"/>
          <w:szCs w:val="21"/>
        </w:rPr>
        <w:t xml:space="preserve"> </w:t>
      </w:r>
      <w:r w:rsidRPr="00577E25">
        <w:rPr>
          <w:rFonts w:ascii="Arial" w:hAnsi="Arial" w:cs="Arial"/>
          <w:sz w:val="21"/>
          <w:szCs w:val="21"/>
        </w:rPr>
        <w:t>la</w:t>
      </w:r>
      <w:r w:rsidRPr="00577E25">
        <w:rPr>
          <w:rFonts w:ascii="Arial" w:eastAsia="Arial" w:hAnsi="Arial" w:cs="Arial"/>
          <w:sz w:val="21"/>
          <w:szCs w:val="21"/>
        </w:rPr>
        <w:t xml:space="preserve"> </w:t>
      </w:r>
      <w:r w:rsidRPr="00577E25">
        <w:rPr>
          <w:rFonts w:ascii="Arial" w:hAnsi="Arial" w:cs="Arial"/>
          <w:sz w:val="21"/>
          <w:szCs w:val="21"/>
        </w:rPr>
        <w:t>CRPC</w:t>
      </w:r>
      <w:r w:rsidRPr="00577E25">
        <w:rPr>
          <w:rFonts w:ascii="Arial" w:eastAsia="Arial" w:hAnsi="Arial" w:cs="Arial"/>
          <w:sz w:val="21"/>
          <w:szCs w:val="21"/>
        </w:rPr>
        <w:t xml:space="preserve"> </w:t>
      </w:r>
      <w:r w:rsidRPr="00577E25">
        <w:rPr>
          <w:rFonts w:ascii="Arial" w:hAnsi="Arial" w:cs="Arial"/>
          <w:sz w:val="21"/>
          <w:szCs w:val="21"/>
        </w:rPr>
        <w:t>deberá</w:t>
      </w:r>
      <w:r w:rsidRPr="00577E25">
        <w:rPr>
          <w:rFonts w:ascii="Arial" w:eastAsia="Arial" w:hAnsi="Arial" w:cs="Arial"/>
          <w:sz w:val="21"/>
          <w:szCs w:val="21"/>
        </w:rPr>
        <w:t xml:space="preserve"> </w:t>
      </w:r>
      <w:r w:rsidRPr="00577E25">
        <w:rPr>
          <w:rFonts w:ascii="Arial" w:hAnsi="Arial" w:cs="Arial"/>
          <w:sz w:val="21"/>
          <w:szCs w:val="21"/>
        </w:rPr>
        <w:t>tener</w:t>
      </w:r>
      <w:r w:rsidRPr="00577E25">
        <w:rPr>
          <w:rFonts w:ascii="Arial" w:eastAsia="Arial" w:hAnsi="Arial" w:cs="Arial"/>
          <w:sz w:val="21"/>
          <w:szCs w:val="21"/>
        </w:rPr>
        <w:t xml:space="preserve"> </w:t>
      </w:r>
      <w:r w:rsidRPr="00577E25">
        <w:rPr>
          <w:rFonts w:ascii="Arial" w:hAnsi="Arial" w:cs="Arial"/>
          <w:sz w:val="21"/>
          <w:szCs w:val="21"/>
        </w:rPr>
        <w:t>en</w:t>
      </w:r>
      <w:r w:rsidRPr="00577E25">
        <w:rPr>
          <w:rFonts w:ascii="Arial" w:eastAsia="Arial" w:hAnsi="Arial" w:cs="Arial"/>
          <w:sz w:val="21"/>
          <w:szCs w:val="21"/>
        </w:rPr>
        <w:t xml:space="preserve"> </w:t>
      </w:r>
      <w:r w:rsidRPr="00577E25">
        <w:rPr>
          <w:rFonts w:ascii="Arial" w:hAnsi="Arial" w:cs="Arial"/>
          <w:sz w:val="21"/>
          <w:szCs w:val="21"/>
        </w:rPr>
        <w:t>cuenta</w:t>
      </w:r>
      <w:r w:rsidRPr="00577E25">
        <w:rPr>
          <w:rFonts w:ascii="Arial" w:eastAsia="Arial" w:hAnsi="Arial" w:cs="Arial"/>
          <w:sz w:val="21"/>
          <w:szCs w:val="21"/>
        </w:rPr>
        <w:t xml:space="preserve"> </w:t>
      </w:r>
      <w:r w:rsidRPr="00577E25">
        <w:rPr>
          <w:rFonts w:ascii="Arial" w:hAnsi="Arial" w:cs="Arial"/>
          <w:sz w:val="21"/>
          <w:szCs w:val="21"/>
        </w:rPr>
        <w:t>el</w:t>
      </w:r>
      <w:r w:rsidRPr="00577E25">
        <w:rPr>
          <w:rFonts w:ascii="Arial" w:eastAsia="Arial" w:hAnsi="Arial" w:cs="Arial"/>
          <w:sz w:val="21"/>
          <w:szCs w:val="21"/>
        </w:rPr>
        <w:t xml:space="preserve"> </w:t>
      </w:r>
      <w:r w:rsidRPr="00577E25">
        <w:rPr>
          <w:rFonts w:ascii="Arial" w:hAnsi="Arial" w:cs="Arial"/>
          <w:sz w:val="21"/>
          <w:szCs w:val="21"/>
        </w:rPr>
        <w:t>siguiente</w:t>
      </w:r>
      <w:r w:rsidRPr="00577E25">
        <w:rPr>
          <w:rFonts w:ascii="Arial" w:eastAsia="Arial" w:hAnsi="Arial" w:cs="Arial"/>
          <w:sz w:val="21"/>
          <w:szCs w:val="21"/>
        </w:rPr>
        <w:t xml:space="preserve"> </w:t>
      </w:r>
      <w:r w:rsidRPr="00577E25">
        <w:rPr>
          <w:rFonts w:ascii="Arial" w:hAnsi="Arial" w:cs="Arial"/>
          <w:sz w:val="21"/>
          <w:szCs w:val="21"/>
        </w:rPr>
        <w:t>proceso:</w:t>
      </w:r>
      <w:r w:rsidRPr="00577E25">
        <w:rPr>
          <w:rFonts w:ascii="Arial" w:eastAsia="Arial" w:hAnsi="Arial" w:cs="Arial"/>
          <w:sz w:val="21"/>
          <w:szCs w:val="21"/>
        </w:rPr>
        <w:t xml:space="preserve"> </w:t>
      </w:r>
    </w:p>
    <w:p w14:paraId="31AC8FE7" w14:textId="77777777" w:rsidR="0067762E" w:rsidRPr="00577E25" w:rsidRDefault="0067762E" w:rsidP="0067762E">
      <w:pPr>
        <w:ind w:left="709" w:right="709"/>
        <w:rPr>
          <w:rFonts w:ascii="Arial" w:eastAsia="Arial" w:hAnsi="Arial" w:cs="Arial"/>
          <w:sz w:val="21"/>
          <w:szCs w:val="21"/>
        </w:rPr>
      </w:pPr>
    </w:p>
    <w:p w14:paraId="44194BBD" w14:textId="77777777" w:rsidR="0067762E" w:rsidRPr="00577E25" w:rsidRDefault="0067762E" w:rsidP="0067762E">
      <w:pPr>
        <w:ind w:left="709" w:right="709"/>
        <w:rPr>
          <w:rFonts w:ascii="Arial" w:hAnsi="Arial" w:cs="Arial"/>
          <w:sz w:val="21"/>
          <w:szCs w:val="21"/>
        </w:rPr>
      </w:pPr>
      <m:oMathPara>
        <m:oMath>
          <m:r>
            <w:rPr>
              <w:rFonts w:ascii="Cambria Math" w:hAnsi="Cambria Math" w:cs="Arial"/>
              <w:sz w:val="21"/>
              <w:szCs w:val="21"/>
            </w:rPr>
            <m:t>CRPC=POE-Anticipo y/o pago anticipado</m:t>
          </m:r>
          <m:r>
            <w:rPr>
              <w:rFonts w:ascii="Cambria Math" w:eastAsiaTheme="minorEastAsia" w:hAnsi="Cambria Math" w:cs="Arial"/>
              <w:sz w:val="21"/>
              <w:szCs w:val="21"/>
            </w:rPr>
            <m:t xml:space="preserve"> </m:t>
          </m:r>
        </m:oMath>
      </m:oMathPara>
    </w:p>
    <w:p w14:paraId="197B5BB1" w14:textId="77777777" w:rsidR="0067762E" w:rsidRPr="00577E25" w:rsidRDefault="0067762E" w:rsidP="0067762E">
      <w:pPr>
        <w:ind w:left="709" w:right="709"/>
        <w:rPr>
          <w:rFonts w:ascii="Arial" w:eastAsia="Arial" w:hAnsi="Arial" w:cs="Arial"/>
          <w:sz w:val="21"/>
          <w:szCs w:val="21"/>
        </w:rPr>
      </w:pPr>
      <w:r w:rsidRPr="00577E25">
        <w:rPr>
          <w:rFonts w:ascii="Arial" w:hAnsi="Arial" w:cs="Arial"/>
          <w:sz w:val="21"/>
          <w:szCs w:val="21"/>
        </w:rPr>
        <w:t>Donde:</w:t>
      </w:r>
      <w:r w:rsidRPr="00577E25">
        <w:rPr>
          <w:rFonts w:ascii="Arial" w:eastAsia="Arial" w:hAnsi="Arial" w:cs="Arial"/>
          <w:sz w:val="21"/>
          <w:szCs w:val="21"/>
        </w:rPr>
        <w:t xml:space="preserve"> </w:t>
      </w:r>
    </w:p>
    <w:p w14:paraId="2C795A76" w14:textId="77777777" w:rsidR="0067762E" w:rsidRPr="00577E25" w:rsidRDefault="0067762E" w:rsidP="0067762E">
      <w:pPr>
        <w:ind w:left="709" w:right="709"/>
        <w:rPr>
          <w:rFonts w:ascii="Arial" w:hAnsi="Arial" w:cs="Arial"/>
          <w:sz w:val="21"/>
          <w:szCs w:val="21"/>
        </w:rPr>
      </w:pPr>
    </w:p>
    <w:p w14:paraId="46902D72" w14:textId="77777777" w:rsidR="0067762E" w:rsidRPr="00577E25" w:rsidRDefault="0067762E" w:rsidP="0067762E">
      <w:pPr>
        <w:ind w:left="709" w:right="709"/>
        <w:rPr>
          <w:rFonts w:ascii="Arial" w:eastAsia="Arial" w:hAnsi="Arial" w:cs="Arial"/>
          <w:sz w:val="21"/>
          <w:szCs w:val="21"/>
        </w:rPr>
      </w:pPr>
      <w:r w:rsidRPr="00577E25">
        <w:rPr>
          <w:rFonts w:ascii="Arial" w:hAnsi="Arial" w:cs="Arial"/>
          <w:sz w:val="21"/>
          <w:szCs w:val="21"/>
        </w:rPr>
        <w:t>CRPC</w:t>
      </w:r>
      <w:r w:rsidRPr="00577E25">
        <w:rPr>
          <w:rFonts w:ascii="Arial" w:eastAsia="Arial" w:hAnsi="Arial" w:cs="Arial"/>
          <w:sz w:val="21"/>
          <w:szCs w:val="21"/>
        </w:rPr>
        <w:t xml:space="preserve"> </w:t>
      </w:r>
      <w:r w:rsidRPr="00577E25">
        <w:rPr>
          <w:rFonts w:ascii="Arial" w:hAnsi="Arial" w:cs="Arial"/>
          <w:sz w:val="21"/>
          <w:szCs w:val="21"/>
        </w:rPr>
        <w:t>=</w:t>
      </w:r>
      <w:r w:rsidRPr="00577E25">
        <w:rPr>
          <w:rFonts w:ascii="Arial" w:eastAsia="Arial" w:hAnsi="Arial" w:cs="Arial"/>
          <w:sz w:val="21"/>
          <w:szCs w:val="21"/>
        </w:rPr>
        <w:t xml:space="preserve"> </w:t>
      </w:r>
      <w:r w:rsidRPr="00577E25">
        <w:rPr>
          <w:rFonts w:ascii="Arial" w:hAnsi="Arial" w:cs="Arial"/>
          <w:sz w:val="21"/>
          <w:szCs w:val="21"/>
        </w:rPr>
        <w:t>Capacidad</w:t>
      </w:r>
      <w:r w:rsidRPr="00577E25">
        <w:rPr>
          <w:rFonts w:ascii="Arial" w:eastAsia="Arial" w:hAnsi="Arial" w:cs="Arial"/>
          <w:sz w:val="21"/>
          <w:szCs w:val="21"/>
        </w:rPr>
        <w:t xml:space="preserve"> </w:t>
      </w:r>
      <w:r w:rsidRPr="00577E25">
        <w:rPr>
          <w:rFonts w:ascii="Arial" w:hAnsi="Arial" w:cs="Arial"/>
          <w:sz w:val="21"/>
          <w:szCs w:val="21"/>
        </w:rPr>
        <w:t>residual</w:t>
      </w:r>
      <w:r w:rsidRPr="00577E25">
        <w:rPr>
          <w:rFonts w:ascii="Arial" w:eastAsia="Arial" w:hAnsi="Arial" w:cs="Arial"/>
          <w:sz w:val="21"/>
          <w:szCs w:val="21"/>
        </w:rPr>
        <w:t xml:space="preserve"> </w:t>
      </w:r>
      <w:r w:rsidRPr="00577E25">
        <w:rPr>
          <w:rFonts w:ascii="Arial" w:hAnsi="Arial" w:cs="Arial"/>
          <w:sz w:val="21"/>
          <w:szCs w:val="21"/>
        </w:rPr>
        <w:t>del</w:t>
      </w:r>
      <w:r w:rsidRPr="00577E25">
        <w:rPr>
          <w:rFonts w:ascii="Arial" w:eastAsia="Arial" w:hAnsi="Arial" w:cs="Arial"/>
          <w:sz w:val="21"/>
          <w:szCs w:val="21"/>
        </w:rPr>
        <w:t xml:space="preserve"> </w:t>
      </w:r>
      <w:r w:rsidRPr="00577E25">
        <w:rPr>
          <w:rFonts w:ascii="Arial" w:hAnsi="Arial" w:cs="Arial"/>
          <w:sz w:val="21"/>
          <w:szCs w:val="21"/>
        </w:rPr>
        <w:t>Proceso de Contratación</w:t>
      </w:r>
      <w:r w:rsidRPr="00577E25">
        <w:rPr>
          <w:rFonts w:ascii="Arial" w:eastAsia="Arial" w:hAnsi="Arial" w:cs="Arial"/>
          <w:sz w:val="21"/>
          <w:szCs w:val="21"/>
        </w:rPr>
        <w:t xml:space="preserve"> </w:t>
      </w:r>
    </w:p>
    <w:p w14:paraId="242C3A52" w14:textId="77777777" w:rsidR="0067762E" w:rsidRPr="00577E25" w:rsidRDefault="0067762E" w:rsidP="0067762E">
      <w:pPr>
        <w:ind w:left="709" w:right="709"/>
        <w:jc w:val="both"/>
        <w:rPr>
          <w:rFonts w:ascii="Arial" w:hAnsi="Arial" w:cs="Arial"/>
          <w:sz w:val="21"/>
          <w:szCs w:val="21"/>
        </w:rPr>
      </w:pPr>
    </w:p>
    <w:p w14:paraId="4FC60F57" w14:textId="77777777" w:rsidR="0067762E" w:rsidRPr="00577E25" w:rsidRDefault="0067762E" w:rsidP="0067762E">
      <w:pPr>
        <w:ind w:left="709" w:right="709"/>
        <w:jc w:val="both"/>
        <w:rPr>
          <w:rFonts w:ascii="Arial" w:eastAsia="Arial" w:hAnsi="Arial" w:cs="Arial"/>
          <w:sz w:val="21"/>
          <w:szCs w:val="21"/>
        </w:rPr>
      </w:pPr>
      <w:r w:rsidRPr="00577E25">
        <w:rPr>
          <w:rFonts w:ascii="Arial" w:hAnsi="Arial" w:cs="Arial"/>
          <w:sz w:val="21"/>
          <w:szCs w:val="21"/>
        </w:rPr>
        <w:t>POE</w:t>
      </w:r>
      <w:r w:rsidRPr="00577E25">
        <w:rPr>
          <w:rFonts w:ascii="Arial" w:eastAsia="Arial" w:hAnsi="Arial" w:cs="Arial"/>
          <w:sz w:val="21"/>
          <w:szCs w:val="21"/>
        </w:rPr>
        <w:t xml:space="preserve"> </w:t>
      </w:r>
      <w:r w:rsidRPr="00577E25">
        <w:rPr>
          <w:rFonts w:ascii="Arial" w:hAnsi="Arial" w:cs="Arial"/>
          <w:sz w:val="21"/>
          <w:szCs w:val="21"/>
        </w:rPr>
        <w:t>=</w:t>
      </w:r>
      <w:r w:rsidRPr="00577E25">
        <w:rPr>
          <w:rFonts w:ascii="Arial" w:eastAsia="Arial" w:hAnsi="Arial" w:cs="Arial"/>
          <w:sz w:val="21"/>
          <w:szCs w:val="21"/>
        </w:rPr>
        <w:t xml:space="preserve"> </w:t>
      </w:r>
      <w:r w:rsidRPr="00577E25">
        <w:rPr>
          <w:rFonts w:ascii="Arial" w:hAnsi="Arial" w:cs="Arial"/>
          <w:sz w:val="21"/>
          <w:szCs w:val="21"/>
        </w:rPr>
        <w:t>Presupuesto</w:t>
      </w:r>
      <w:r w:rsidRPr="00577E25">
        <w:rPr>
          <w:rFonts w:ascii="Arial" w:eastAsia="Arial" w:hAnsi="Arial" w:cs="Arial"/>
          <w:sz w:val="21"/>
          <w:szCs w:val="21"/>
        </w:rPr>
        <w:t xml:space="preserve"> </w:t>
      </w:r>
      <w:r w:rsidRPr="00577E25">
        <w:rPr>
          <w:rFonts w:ascii="Arial" w:hAnsi="Arial" w:cs="Arial"/>
          <w:sz w:val="21"/>
          <w:szCs w:val="21"/>
        </w:rPr>
        <w:t>Oficial Estimado</w:t>
      </w:r>
    </w:p>
    <w:p w14:paraId="7C47553E" w14:textId="77777777" w:rsidR="0067762E" w:rsidRPr="00577E25" w:rsidRDefault="0067762E" w:rsidP="0067762E">
      <w:pPr>
        <w:ind w:left="709" w:right="709"/>
        <w:jc w:val="both"/>
        <w:rPr>
          <w:rFonts w:ascii="Arial" w:hAnsi="Arial" w:cs="Arial"/>
          <w:sz w:val="21"/>
          <w:szCs w:val="21"/>
        </w:rPr>
      </w:pPr>
    </w:p>
    <w:p w14:paraId="579E2727" w14:textId="77777777" w:rsidR="0067762E" w:rsidRPr="00577E25" w:rsidRDefault="0067762E" w:rsidP="0067762E">
      <w:pPr>
        <w:ind w:left="709" w:right="709"/>
        <w:jc w:val="both"/>
        <w:rPr>
          <w:rFonts w:ascii="Arial" w:eastAsia="Arial" w:hAnsi="Arial" w:cs="Arial"/>
          <w:sz w:val="21"/>
          <w:szCs w:val="21"/>
        </w:rPr>
      </w:pPr>
      <w:r w:rsidRPr="00577E25">
        <w:rPr>
          <w:rFonts w:ascii="Arial" w:hAnsi="Arial" w:cs="Arial"/>
          <w:sz w:val="21"/>
          <w:szCs w:val="21"/>
        </w:rPr>
        <w:lastRenderedPageBreak/>
        <w:t>Si</w:t>
      </w:r>
      <w:r w:rsidRPr="00577E25">
        <w:rPr>
          <w:rFonts w:ascii="Arial" w:eastAsia="Arial" w:hAnsi="Arial" w:cs="Arial"/>
          <w:sz w:val="21"/>
          <w:szCs w:val="21"/>
        </w:rPr>
        <w:t xml:space="preserve"> </w:t>
      </w:r>
      <w:r w:rsidRPr="00577E25">
        <w:rPr>
          <w:rFonts w:ascii="Arial" w:hAnsi="Arial" w:cs="Arial"/>
          <w:sz w:val="21"/>
          <w:szCs w:val="21"/>
        </w:rPr>
        <w:t>el</w:t>
      </w:r>
      <w:r w:rsidRPr="00577E25">
        <w:rPr>
          <w:rFonts w:ascii="Arial" w:eastAsia="Arial" w:hAnsi="Arial" w:cs="Arial"/>
          <w:sz w:val="21"/>
          <w:szCs w:val="21"/>
        </w:rPr>
        <w:t xml:space="preserve"> </w:t>
      </w:r>
      <w:r w:rsidRPr="00577E25">
        <w:rPr>
          <w:rFonts w:ascii="Arial" w:hAnsi="Arial" w:cs="Arial"/>
          <w:sz w:val="21"/>
          <w:szCs w:val="21"/>
        </w:rPr>
        <w:t>plazo</w:t>
      </w:r>
      <w:r w:rsidRPr="00577E25">
        <w:rPr>
          <w:rFonts w:ascii="Arial" w:eastAsia="Arial" w:hAnsi="Arial" w:cs="Arial"/>
          <w:sz w:val="21"/>
          <w:szCs w:val="21"/>
        </w:rPr>
        <w:t xml:space="preserve"> </w:t>
      </w:r>
      <w:r w:rsidRPr="00577E25">
        <w:rPr>
          <w:rFonts w:ascii="Arial" w:hAnsi="Arial" w:cs="Arial"/>
          <w:sz w:val="21"/>
          <w:szCs w:val="21"/>
        </w:rPr>
        <w:t>estimado</w:t>
      </w:r>
      <w:r w:rsidRPr="00577E25">
        <w:rPr>
          <w:rFonts w:ascii="Arial" w:eastAsia="Arial" w:hAnsi="Arial" w:cs="Arial"/>
          <w:sz w:val="21"/>
          <w:szCs w:val="21"/>
        </w:rPr>
        <w:t xml:space="preserve"> </w:t>
      </w:r>
      <w:r w:rsidRPr="00577E25">
        <w:rPr>
          <w:rFonts w:ascii="Arial" w:hAnsi="Arial" w:cs="Arial"/>
          <w:sz w:val="21"/>
          <w:szCs w:val="21"/>
        </w:rPr>
        <w:t>del</w:t>
      </w:r>
      <w:r w:rsidRPr="00577E25">
        <w:rPr>
          <w:rFonts w:ascii="Arial" w:eastAsia="Arial" w:hAnsi="Arial" w:cs="Arial"/>
          <w:sz w:val="21"/>
          <w:szCs w:val="21"/>
        </w:rPr>
        <w:t xml:space="preserve"> </w:t>
      </w:r>
      <w:r w:rsidRPr="00577E25">
        <w:rPr>
          <w:rFonts w:ascii="Arial" w:hAnsi="Arial" w:cs="Arial"/>
          <w:sz w:val="21"/>
          <w:szCs w:val="21"/>
        </w:rPr>
        <w:t>contrato</w:t>
      </w:r>
      <w:r w:rsidRPr="00577E25">
        <w:rPr>
          <w:rFonts w:ascii="Arial" w:eastAsia="Arial" w:hAnsi="Arial" w:cs="Arial"/>
          <w:sz w:val="21"/>
          <w:szCs w:val="21"/>
        </w:rPr>
        <w:t xml:space="preserve"> </w:t>
      </w:r>
      <w:r w:rsidRPr="00577E25">
        <w:rPr>
          <w:rFonts w:ascii="Arial" w:hAnsi="Arial" w:cs="Arial"/>
          <w:sz w:val="21"/>
          <w:szCs w:val="21"/>
        </w:rPr>
        <w:t>es</w:t>
      </w:r>
      <w:r w:rsidRPr="00577E25">
        <w:rPr>
          <w:rFonts w:ascii="Arial" w:eastAsia="Arial" w:hAnsi="Arial" w:cs="Arial"/>
          <w:sz w:val="21"/>
          <w:szCs w:val="21"/>
        </w:rPr>
        <w:t xml:space="preserve"> </w:t>
      </w:r>
      <w:r w:rsidRPr="00577E25">
        <w:rPr>
          <w:rFonts w:ascii="Arial" w:hAnsi="Arial" w:cs="Arial"/>
          <w:sz w:val="21"/>
          <w:szCs w:val="21"/>
        </w:rPr>
        <w:t>mayor</w:t>
      </w:r>
      <w:r w:rsidRPr="00577E25">
        <w:rPr>
          <w:rFonts w:ascii="Arial" w:eastAsia="Arial" w:hAnsi="Arial" w:cs="Arial"/>
          <w:sz w:val="21"/>
          <w:szCs w:val="21"/>
        </w:rPr>
        <w:t xml:space="preserve"> </w:t>
      </w:r>
      <w:r w:rsidRPr="00577E25">
        <w:rPr>
          <w:rFonts w:ascii="Arial" w:hAnsi="Arial" w:cs="Arial"/>
          <w:sz w:val="21"/>
          <w:szCs w:val="21"/>
        </w:rPr>
        <w:t>a</w:t>
      </w:r>
      <w:r w:rsidRPr="00577E25">
        <w:rPr>
          <w:rFonts w:ascii="Arial" w:eastAsia="Arial" w:hAnsi="Arial" w:cs="Arial"/>
          <w:sz w:val="21"/>
          <w:szCs w:val="21"/>
        </w:rPr>
        <w:t xml:space="preserve"> </w:t>
      </w:r>
      <w:r w:rsidRPr="00577E25">
        <w:rPr>
          <w:rFonts w:ascii="Arial" w:hAnsi="Arial" w:cs="Arial"/>
          <w:sz w:val="21"/>
          <w:szCs w:val="21"/>
        </w:rPr>
        <w:t>12</w:t>
      </w:r>
      <w:r w:rsidRPr="00577E25">
        <w:rPr>
          <w:rFonts w:ascii="Arial" w:eastAsia="Arial" w:hAnsi="Arial" w:cs="Arial"/>
          <w:sz w:val="21"/>
          <w:szCs w:val="21"/>
        </w:rPr>
        <w:t xml:space="preserve"> </w:t>
      </w:r>
      <w:r w:rsidRPr="00577E25">
        <w:rPr>
          <w:rFonts w:ascii="Arial" w:hAnsi="Arial" w:cs="Arial"/>
          <w:sz w:val="21"/>
          <w:szCs w:val="21"/>
        </w:rPr>
        <w:t>meses</w:t>
      </w:r>
      <w:r w:rsidRPr="00577E25">
        <w:rPr>
          <w:rFonts w:ascii="Arial" w:eastAsia="Arial" w:hAnsi="Arial" w:cs="Arial"/>
          <w:sz w:val="21"/>
          <w:szCs w:val="21"/>
        </w:rPr>
        <w:t xml:space="preserve"> </w:t>
      </w:r>
      <w:r w:rsidRPr="00577E25">
        <w:rPr>
          <w:rFonts w:ascii="Arial" w:hAnsi="Arial" w:cs="Arial"/>
          <w:sz w:val="21"/>
          <w:szCs w:val="21"/>
        </w:rPr>
        <w:t>el</w:t>
      </w:r>
      <w:r w:rsidRPr="00577E25">
        <w:rPr>
          <w:rFonts w:ascii="Arial" w:eastAsia="Arial" w:hAnsi="Arial" w:cs="Arial"/>
          <w:sz w:val="21"/>
          <w:szCs w:val="21"/>
        </w:rPr>
        <w:t xml:space="preserve"> </w:t>
      </w:r>
      <w:r w:rsidRPr="00577E25">
        <w:rPr>
          <w:rFonts w:ascii="Arial" w:hAnsi="Arial" w:cs="Arial"/>
          <w:sz w:val="21"/>
          <w:szCs w:val="21"/>
        </w:rPr>
        <w:t>cálculo</w:t>
      </w:r>
      <w:r w:rsidRPr="00577E25">
        <w:rPr>
          <w:rFonts w:ascii="Arial" w:eastAsia="Arial" w:hAnsi="Arial" w:cs="Arial"/>
          <w:sz w:val="21"/>
          <w:szCs w:val="21"/>
        </w:rPr>
        <w:t xml:space="preserve"> </w:t>
      </w:r>
      <w:r w:rsidRPr="00577E25">
        <w:rPr>
          <w:rFonts w:ascii="Arial" w:hAnsi="Arial" w:cs="Arial"/>
          <w:sz w:val="21"/>
          <w:szCs w:val="21"/>
        </w:rPr>
        <w:t>de</w:t>
      </w:r>
      <w:r w:rsidRPr="00577E25">
        <w:rPr>
          <w:rFonts w:ascii="Arial" w:eastAsia="Arial" w:hAnsi="Arial" w:cs="Arial"/>
          <w:sz w:val="21"/>
          <w:szCs w:val="21"/>
        </w:rPr>
        <w:t xml:space="preserve"> </w:t>
      </w:r>
      <w:r w:rsidRPr="00577E25">
        <w:rPr>
          <w:rFonts w:ascii="Arial" w:hAnsi="Arial" w:cs="Arial"/>
          <w:sz w:val="21"/>
          <w:szCs w:val="21"/>
        </w:rPr>
        <w:t>la</w:t>
      </w:r>
      <w:r w:rsidRPr="00577E25">
        <w:rPr>
          <w:rFonts w:ascii="Arial" w:eastAsia="Arial" w:hAnsi="Arial" w:cs="Arial"/>
          <w:sz w:val="21"/>
          <w:szCs w:val="21"/>
        </w:rPr>
        <w:t xml:space="preserve"> </w:t>
      </w:r>
      <w:r w:rsidRPr="00577E25">
        <w:rPr>
          <w:rFonts w:ascii="Arial" w:hAnsi="Arial" w:cs="Arial"/>
          <w:sz w:val="21"/>
          <w:szCs w:val="21"/>
        </w:rPr>
        <w:t>CRPC</w:t>
      </w:r>
      <w:r w:rsidRPr="00577E25">
        <w:rPr>
          <w:rFonts w:ascii="Arial" w:eastAsia="Arial" w:hAnsi="Arial" w:cs="Arial"/>
          <w:sz w:val="21"/>
          <w:szCs w:val="21"/>
        </w:rPr>
        <w:t xml:space="preserve"> </w:t>
      </w:r>
      <w:r w:rsidRPr="00577E25">
        <w:rPr>
          <w:rFonts w:ascii="Arial" w:hAnsi="Arial" w:cs="Arial"/>
          <w:sz w:val="21"/>
          <w:szCs w:val="21"/>
        </w:rPr>
        <w:t>deberá</w:t>
      </w:r>
      <w:r w:rsidRPr="00577E25">
        <w:rPr>
          <w:rFonts w:ascii="Arial" w:eastAsia="Arial" w:hAnsi="Arial" w:cs="Arial"/>
          <w:sz w:val="21"/>
          <w:szCs w:val="21"/>
        </w:rPr>
        <w:t xml:space="preserve"> </w:t>
      </w:r>
      <w:r w:rsidRPr="00577E25">
        <w:rPr>
          <w:rFonts w:ascii="Arial" w:hAnsi="Arial" w:cs="Arial"/>
          <w:sz w:val="21"/>
          <w:szCs w:val="21"/>
        </w:rPr>
        <w:t>tener</w:t>
      </w:r>
      <w:r w:rsidRPr="00577E25">
        <w:rPr>
          <w:rFonts w:ascii="Arial" w:eastAsia="Arial" w:hAnsi="Arial" w:cs="Arial"/>
          <w:sz w:val="21"/>
          <w:szCs w:val="21"/>
        </w:rPr>
        <w:t xml:space="preserve"> </w:t>
      </w:r>
      <w:r w:rsidRPr="00577E25">
        <w:rPr>
          <w:rFonts w:ascii="Arial" w:hAnsi="Arial" w:cs="Arial"/>
          <w:sz w:val="21"/>
          <w:szCs w:val="21"/>
        </w:rPr>
        <w:t>en</w:t>
      </w:r>
      <w:r w:rsidRPr="00577E25">
        <w:rPr>
          <w:rFonts w:ascii="Arial" w:eastAsia="Arial" w:hAnsi="Arial" w:cs="Arial"/>
          <w:sz w:val="21"/>
          <w:szCs w:val="21"/>
        </w:rPr>
        <w:t xml:space="preserve"> </w:t>
      </w:r>
      <w:r w:rsidRPr="00577E25">
        <w:rPr>
          <w:rFonts w:ascii="Arial" w:hAnsi="Arial" w:cs="Arial"/>
          <w:sz w:val="21"/>
          <w:szCs w:val="21"/>
        </w:rPr>
        <w:t>cuenta</w:t>
      </w:r>
      <w:r w:rsidRPr="00577E25">
        <w:rPr>
          <w:rFonts w:ascii="Arial" w:eastAsia="Arial" w:hAnsi="Arial" w:cs="Arial"/>
          <w:sz w:val="21"/>
          <w:szCs w:val="21"/>
        </w:rPr>
        <w:t xml:space="preserve"> </w:t>
      </w:r>
      <w:r w:rsidRPr="00577E25">
        <w:rPr>
          <w:rFonts w:ascii="Arial" w:hAnsi="Arial" w:cs="Arial"/>
          <w:sz w:val="21"/>
          <w:szCs w:val="21"/>
        </w:rPr>
        <w:t>el</w:t>
      </w:r>
      <w:r w:rsidRPr="00577E25">
        <w:rPr>
          <w:rFonts w:ascii="Arial" w:eastAsia="Arial" w:hAnsi="Arial" w:cs="Arial"/>
          <w:sz w:val="21"/>
          <w:szCs w:val="21"/>
        </w:rPr>
        <w:t xml:space="preserve"> </w:t>
      </w:r>
      <w:r w:rsidRPr="00577E25">
        <w:rPr>
          <w:rFonts w:ascii="Arial" w:hAnsi="Arial" w:cs="Arial"/>
          <w:sz w:val="21"/>
          <w:szCs w:val="21"/>
        </w:rPr>
        <w:t>siguiente</w:t>
      </w:r>
      <w:r w:rsidRPr="00577E25">
        <w:rPr>
          <w:rFonts w:ascii="Arial" w:eastAsia="Arial" w:hAnsi="Arial" w:cs="Arial"/>
          <w:sz w:val="21"/>
          <w:szCs w:val="21"/>
        </w:rPr>
        <w:t xml:space="preserve"> </w:t>
      </w:r>
      <w:r w:rsidRPr="00577E25">
        <w:rPr>
          <w:rFonts w:ascii="Arial" w:hAnsi="Arial" w:cs="Arial"/>
          <w:sz w:val="21"/>
          <w:szCs w:val="21"/>
        </w:rPr>
        <w:t>proceso:</w:t>
      </w:r>
      <w:r w:rsidRPr="00577E25">
        <w:rPr>
          <w:rFonts w:ascii="Arial" w:eastAsia="Arial" w:hAnsi="Arial" w:cs="Arial"/>
          <w:sz w:val="21"/>
          <w:szCs w:val="21"/>
        </w:rPr>
        <w:t xml:space="preserve"> </w:t>
      </w:r>
    </w:p>
    <w:p w14:paraId="6950F847" w14:textId="77777777" w:rsidR="0067762E" w:rsidRPr="00577E25" w:rsidRDefault="0067762E" w:rsidP="0067762E">
      <w:pPr>
        <w:ind w:left="709" w:right="709"/>
        <w:jc w:val="both"/>
        <w:rPr>
          <w:rFonts w:ascii="Arial" w:eastAsia="Arial" w:hAnsi="Arial" w:cs="Arial"/>
          <w:sz w:val="21"/>
          <w:szCs w:val="21"/>
        </w:rPr>
      </w:pPr>
    </w:p>
    <w:p w14:paraId="6251B852" w14:textId="77777777" w:rsidR="0067762E" w:rsidRPr="00577E25" w:rsidRDefault="0067762E" w:rsidP="0067762E">
      <w:pPr>
        <w:ind w:left="709" w:right="709"/>
        <w:jc w:val="center"/>
        <w:rPr>
          <w:rFonts w:ascii="Arial" w:eastAsiaTheme="minorEastAsia" w:hAnsi="Arial" w:cs="Arial"/>
          <w:sz w:val="21"/>
          <w:szCs w:val="21"/>
        </w:rPr>
      </w:pPr>
      <m:oMathPara>
        <m:oMath>
          <m:r>
            <m:rPr>
              <m:sty m:val="p"/>
            </m:rPr>
            <w:rPr>
              <w:rFonts w:ascii="Cambria Math" w:hAnsi="Cambria Math" w:cs="Arial"/>
              <w:sz w:val="21"/>
              <w:szCs w:val="21"/>
            </w:rPr>
            <m:t>CRPC=</m:t>
          </m:r>
          <m:f>
            <m:fPr>
              <m:ctrlPr>
                <w:rPr>
                  <w:rFonts w:ascii="Cambria Math" w:hAnsi="Cambria Math" w:cs="Arial"/>
                  <w:bCs/>
                  <w:sz w:val="21"/>
                  <w:szCs w:val="21"/>
                </w:rPr>
              </m:ctrlPr>
            </m:fPr>
            <m:num>
              <m:r>
                <m:rPr>
                  <m:sty m:val="p"/>
                </m:rPr>
                <w:rPr>
                  <w:rFonts w:ascii="Cambria Math" w:hAnsi="Cambria Math" w:cs="Arial"/>
                  <w:sz w:val="21"/>
                  <w:szCs w:val="21"/>
                </w:rPr>
                <m:t>POE-Anticipo y/o pago anticipado</m:t>
              </m:r>
            </m:num>
            <m:den>
              <m:r>
                <m:rPr>
                  <m:sty m:val="p"/>
                </m:rPr>
                <w:rPr>
                  <w:rFonts w:ascii="Cambria Math" w:hAnsi="Cambria Math" w:cs="Arial"/>
                  <w:sz w:val="21"/>
                  <w:szCs w:val="21"/>
                </w:rPr>
                <m:t>Plazo estimado (meses)</m:t>
              </m:r>
            </m:den>
          </m:f>
          <m:r>
            <w:rPr>
              <w:rFonts w:ascii="Cambria Math" w:hAnsi="Cambria Math" w:cs="Arial"/>
              <w:sz w:val="21"/>
              <w:szCs w:val="21"/>
            </w:rPr>
            <m:t>*12</m:t>
          </m:r>
        </m:oMath>
      </m:oMathPara>
    </w:p>
    <w:p w14:paraId="74191DA5" w14:textId="77777777" w:rsidR="0067762E" w:rsidRPr="00577E25" w:rsidRDefault="0067762E" w:rsidP="0067762E">
      <w:pPr>
        <w:tabs>
          <w:tab w:val="left" w:pos="426"/>
        </w:tabs>
        <w:spacing w:line="276" w:lineRule="auto"/>
        <w:ind w:left="709" w:right="709" w:firstLine="709"/>
        <w:jc w:val="both"/>
        <w:rPr>
          <w:rFonts w:ascii="Arial" w:hAnsi="Arial" w:cs="Arial"/>
          <w:sz w:val="21"/>
          <w:szCs w:val="21"/>
        </w:rPr>
      </w:pPr>
    </w:p>
    <w:p w14:paraId="02932673" w14:textId="77777777" w:rsidR="0067762E" w:rsidRDefault="0067762E" w:rsidP="0067762E">
      <w:pPr>
        <w:tabs>
          <w:tab w:val="left" w:pos="426"/>
        </w:tabs>
        <w:spacing w:after="120" w:line="276" w:lineRule="auto"/>
        <w:ind w:firstLine="709"/>
        <w:jc w:val="both"/>
        <w:rPr>
          <w:rFonts w:ascii="Arial" w:hAnsi="Arial" w:cs="Arial"/>
          <w:sz w:val="22"/>
        </w:rPr>
      </w:pPr>
      <w:r w:rsidRPr="00577E25">
        <w:rPr>
          <w:rFonts w:ascii="Arial" w:hAnsi="Arial" w:cs="Arial"/>
          <w:sz w:val="22"/>
        </w:rPr>
        <w:t xml:space="preserve">De acuerdo con esto, para que un proponente cumpla con este requisito habilitante, es necesario que su capacidad residual –CRP– sea </w:t>
      </w:r>
      <w:r>
        <w:rPr>
          <w:rFonts w:ascii="Arial" w:hAnsi="Arial" w:cs="Arial"/>
          <w:sz w:val="22"/>
        </w:rPr>
        <w:t xml:space="preserve">igual o </w:t>
      </w:r>
      <w:r w:rsidRPr="00577E25">
        <w:rPr>
          <w:rFonts w:ascii="Arial" w:hAnsi="Arial" w:cs="Arial"/>
          <w:sz w:val="22"/>
        </w:rPr>
        <w:t xml:space="preserve">superior a la capacidad residual del proceso de contratación –CRPC–.  </w:t>
      </w:r>
      <w:r>
        <w:rPr>
          <w:rFonts w:ascii="Arial" w:hAnsi="Arial" w:cs="Arial"/>
          <w:sz w:val="22"/>
        </w:rPr>
        <w:t>Para el cálculo de l</w:t>
      </w:r>
      <w:r w:rsidRPr="00577E25">
        <w:rPr>
          <w:rFonts w:ascii="Arial" w:hAnsi="Arial" w:cs="Arial"/>
          <w:sz w:val="22"/>
        </w:rPr>
        <w:t>a capacidad residual del proponente</w:t>
      </w:r>
      <w:r>
        <w:rPr>
          <w:rFonts w:ascii="Arial" w:hAnsi="Arial" w:cs="Arial"/>
          <w:sz w:val="22"/>
        </w:rPr>
        <w:t xml:space="preserve"> se establece la siguiente fórmula: </w:t>
      </w:r>
    </w:p>
    <w:p w14:paraId="6236C5A5" w14:textId="77777777" w:rsidR="0067762E" w:rsidRPr="00577E25" w:rsidRDefault="0067762E" w:rsidP="0067762E">
      <w:pPr>
        <w:tabs>
          <w:tab w:val="left" w:pos="426"/>
        </w:tabs>
        <w:spacing w:line="276" w:lineRule="auto"/>
        <w:ind w:firstLine="709"/>
        <w:jc w:val="both"/>
        <w:rPr>
          <w:rFonts w:ascii="Arial" w:hAnsi="Arial" w:cs="Arial"/>
          <w:sz w:val="22"/>
        </w:rPr>
      </w:pPr>
    </w:p>
    <w:p w14:paraId="6A4929CD" w14:textId="77777777" w:rsidR="0067762E" w:rsidRPr="00577E25" w:rsidRDefault="0067762E" w:rsidP="0067762E">
      <w:pPr>
        <w:tabs>
          <w:tab w:val="left" w:pos="426"/>
        </w:tabs>
        <w:ind w:firstLine="709"/>
        <w:jc w:val="both"/>
        <w:rPr>
          <w:rFonts w:ascii="Arial" w:hAnsi="Arial" w:cs="Arial"/>
          <w:bCs/>
          <w:i/>
          <w:sz w:val="21"/>
          <w:szCs w:val="21"/>
        </w:rPr>
      </w:pPr>
      <m:oMathPara>
        <m:oMath>
          <m:r>
            <w:rPr>
              <w:rFonts w:ascii="Cambria Math" w:hAnsi="Cambria Math" w:cs="Arial"/>
              <w:sz w:val="21"/>
              <w:szCs w:val="21"/>
            </w:rPr>
            <m:t>CRP=CO*</m:t>
          </m:r>
          <m:d>
            <m:dPr>
              <m:begChr m:val="["/>
              <m:endChr m:val="]"/>
              <m:ctrlPr>
                <w:rPr>
                  <w:rFonts w:ascii="Cambria Math" w:hAnsi="Cambria Math" w:cs="Arial"/>
                  <w:bCs/>
                  <w:i/>
                  <w:sz w:val="21"/>
                  <w:szCs w:val="21"/>
                </w:rPr>
              </m:ctrlPr>
            </m:dPr>
            <m:e>
              <m:f>
                <m:fPr>
                  <m:ctrlPr>
                    <w:rPr>
                      <w:rFonts w:ascii="Cambria Math" w:hAnsi="Cambria Math" w:cs="Arial"/>
                      <w:bCs/>
                      <w:i/>
                      <w:sz w:val="21"/>
                      <w:szCs w:val="21"/>
                    </w:rPr>
                  </m:ctrlPr>
                </m:fPr>
                <m:num>
                  <m:r>
                    <w:rPr>
                      <w:rFonts w:ascii="Cambria Math" w:hAnsi="Cambria Math" w:cs="Arial"/>
                      <w:sz w:val="21"/>
                      <w:szCs w:val="21"/>
                    </w:rPr>
                    <m:t>(E+CT+CF)</m:t>
                  </m:r>
                </m:num>
                <m:den>
                  <m:r>
                    <w:rPr>
                      <w:rFonts w:ascii="Cambria Math" w:hAnsi="Cambria Math" w:cs="Arial"/>
                      <w:sz w:val="21"/>
                      <w:szCs w:val="21"/>
                    </w:rPr>
                    <m:t>100</m:t>
                  </m:r>
                </m:den>
              </m:f>
            </m:e>
          </m:d>
          <m:r>
            <w:rPr>
              <w:rFonts w:ascii="Cambria Math" w:hAnsi="Cambria Math" w:cs="Arial"/>
              <w:sz w:val="21"/>
              <w:szCs w:val="21"/>
            </w:rPr>
            <m:t>-SCE</m:t>
          </m:r>
        </m:oMath>
      </m:oMathPara>
    </w:p>
    <w:p w14:paraId="13D58CAB" w14:textId="77777777" w:rsidR="0067762E" w:rsidRPr="00577E25" w:rsidRDefault="0067762E" w:rsidP="0067762E">
      <w:pPr>
        <w:tabs>
          <w:tab w:val="left" w:pos="426"/>
        </w:tabs>
        <w:ind w:firstLine="709"/>
        <w:jc w:val="both"/>
        <w:rPr>
          <w:rFonts w:ascii="Arial" w:hAnsi="Arial" w:cs="Arial"/>
          <w:sz w:val="21"/>
          <w:szCs w:val="21"/>
        </w:rPr>
      </w:pPr>
      <w:r w:rsidRPr="00577E25">
        <w:rPr>
          <w:rFonts w:ascii="Arial" w:hAnsi="Arial" w:cs="Arial"/>
          <w:sz w:val="21"/>
          <w:szCs w:val="21"/>
        </w:rPr>
        <w:t xml:space="preserve">En donde: </w:t>
      </w:r>
    </w:p>
    <w:p w14:paraId="028244E1" w14:textId="77777777" w:rsidR="0067762E" w:rsidRPr="00577E25" w:rsidRDefault="0067762E" w:rsidP="0067762E">
      <w:pPr>
        <w:tabs>
          <w:tab w:val="left" w:pos="426"/>
        </w:tabs>
        <w:ind w:firstLine="709"/>
        <w:jc w:val="both"/>
        <w:rPr>
          <w:rFonts w:ascii="Arial" w:hAnsi="Arial" w:cs="Arial"/>
          <w:sz w:val="21"/>
          <w:szCs w:val="21"/>
        </w:rPr>
      </w:pPr>
      <w:r w:rsidRPr="00577E25">
        <w:rPr>
          <w:rFonts w:ascii="Arial" w:hAnsi="Arial" w:cs="Arial"/>
          <w:sz w:val="21"/>
          <w:szCs w:val="21"/>
        </w:rPr>
        <w:t xml:space="preserve">CRP </w:t>
      </w:r>
      <w:r w:rsidRPr="00577E25">
        <w:rPr>
          <w:rFonts w:ascii="Arial" w:hAnsi="Arial" w:cs="Arial"/>
          <w:sz w:val="21"/>
          <w:szCs w:val="21"/>
        </w:rPr>
        <w:tab/>
        <w:t>=</w:t>
      </w:r>
      <w:r w:rsidRPr="00577E25">
        <w:rPr>
          <w:rFonts w:ascii="Arial" w:hAnsi="Arial" w:cs="Arial"/>
          <w:sz w:val="21"/>
          <w:szCs w:val="21"/>
        </w:rPr>
        <w:tab/>
        <w:t xml:space="preserve">Capacidad residual del Proponente </w:t>
      </w:r>
    </w:p>
    <w:p w14:paraId="5A992D86" w14:textId="77777777" w:rsidR="0067762E" w:rsidRPr="00577E25" w:rsidRDefault="0067762E" w:rsidP="0067762E">
      <w:pPr>
        <w:tabs>
          <w:tab w:val="left" w:pos="426"/>
        </w:tabs>
        <w:ind w:firstLine="709"/>
        <w:jc w:val="both"/>
        <w:rPr>
          <w:rFonts w:ascii="Arial" w:hAnsi="Arial" w:cs="Arial"/>
          <w:sz w:val="21"/>
          <w:szCs w:val="21"/>
        </w:rPr>
      </w:pPr>
      <w:r w:rsidRPr="00577E25">
        <w:rPr>
          <w:rFonts w:ascii="Arial" w:hAnsi="Arial" w:cs="Arial"/>
          <w:sz w:val="21"/>
          <w:szCs w:val="21"/>
        </w:rPr>
        <w:t xml:space="preserve">CO </w:t>
      </w:r>
      <w:r w:rsidRPr="00577E25">
        <w:rPr>
          <w:rFonts w:ascii="Arial" w:hAnsi="Arial" w:cs="Arial"/>
          <w:sz w:val="21"/>
          <w:szCs w:val="21"/>
        </w:rPr>
        <w:tab/>
        <w:t xml:space="preserve">= </w:t>
      </w:r>
      <w:r w:rsidRPr="00577E25">
        <w:rPr>
          <w:rFonts w:ascii="Arial" w:hAnsi="Arial" w:cs="Arial"/>
          <w:sz w:val="21"/>
          <w:szCs w:val="21"/>
        </w:rPr>
        <w:tab/>
        <w:t xml:space="preserve">Capacidad de Organización </w:t>
      </w:r>
    </w:p>
    <w:p w14:paraId="417459F4" w14:textId="77777777" w:rsidR="0067762E" w:rsidRPr="00577E25" w:rsidRDefault="0067762E" w:rsidP="0067762E">
      <w:pPr>
        <w:tabs>
          <w:tab w:val="left" w:pos="426"/>
        </w:tabs>
        <w:ind w:firstLine="709"/>
        <w:jc w:val="both"/>
        <w:rPr>
          <w:rFonts w:ascii="Arial" w:hAnsi="Arial" w:cs="Arial"/>
          <w:sz w:val="21"/>
          <w:szCs w:val="21"/>
        </w:rPr>
      </w:pPr>
      <w:r w:rsidRPr="00577E25">
        <w:rPr>
          <w:rFonts w:ascii="Arial" w:hAnsi="Arial" w:cs="Arial"/>
          <w:sz w:val="21"/>
          <w:szCs w:val="21"/>
        </w:rPr>
        <w:t xml:space="preserve">E </w:t>
      </w:r>
      <w:r w:rsidRPr="00577E25">
        <w:rPr>
          <w:rFonts w:ascii="Arial" w:hAnsi="Arial" w:cs="Arial"/>
          <w:sz w:val="21"/>
          <w:szCs w:val="21"/>
        </w:rPr>
        <w:tab/>
        <w:t xml:space="preserve">= </w:t>
      </w:r>
      <w:r w:rsidRPr="00577E25">
        <w:rPr>
          <w:rFonts w:ascii="Arial" w:hAnsi="Arial" w:cs="Arial"/>
          <w:sz w:val="21"/>
          <w:szCs w:val="21"/>
        </w:rPr>
        <w:tab/>
        <w:t>Experiencia</w:t>
      </w:r>
    </w:p>
    <w:p w14:paraId="27ABC22E" w14:textId="77777777" w:rsidR="0067762E" w:rsidRPr="00577E25" w:rsidRDefault="0067762E" w:rsidP="0067762E">
      <w:pPr>
        <w:tabs>
          <w:tab w:val="left" w:pos="426"/>
        </w:tabs>
        <w:ind w:firstLine="709"/>
        <w:jc w:val="both"/>
        <w:rPr>
          <w:rFonts w:ascii="Arial" w:hAnsi="Arial" w:cs="Arial"/>
          <w:sz w:val="21"/>
          <w:szCs w:val="21"/>
        </w:rPr>
      </w:pPr>
      <w:r w:rsidRPr="00577E25">
        <w:rPr>
          <w:rFonts w:ascii="Arial" w:hAnsi="Arial" w:cs="Arial"/>
          <w:sz w:val="21"/>
          <w:szCs w:val="21"/>
        </w:rPr>
        <w:t xml:space="preserve">CT </w:t>
      </w:r>
      <w:r w:rsidRPr="00577E25">
        <w:rPr>
          <w:rFonts w:ascii="Arial" w:hAnsi="Arial" w:cs="Arial"/>
          <w:sz w:val="21"/>
          <w:szCs w:val="21"/>
        </w:rPr>
        <w:tab/>
        <w:t xml:space="preserve">= </w:t>
      </w:r>
      <w:r w:rsidRPr="00577E25">
        <w:rPr>
          <w:rFonts w:ascii="Arial" w:hAnsi="Arial" w:cs="Arial"/>
          <w:sz w:val="21"/>
          <w:szCs w:val="21"/>
        </w:rPr>
        <w:tab/>
        <w:t>Capacidad Técnica</w:t>
      </w:r>
    </w:p>
    <w:p w14:paraId="03451EB4" w14:textId="77777777" w:rsidR="0067762E" w:rsidRPr="00577E25" w:rsidRDefault="0067762E" w:rsidP="0067762E">
      <w:pPr>
        <w:tabs>
          <w:tab w:val="left" w:pos="426"/>
        </w:tabs>
        <w:ind w:firstLine="709"/>
        <w:jc w:val="both"/>
        <w:rPr>
          <w:rFonts w:ascii="Arial" w:hAnsi="Arial" w:cs="Arial"/>
          <w:sz w:val="21"/>
          <w:szCs w:val="21"/>
        </w:rPr>
      </w:pPr>
      <w:r w:rsidRPr="00577E25">
        <w:rPr>
          <w:rFonts w:ascii="Arial" w:hAnsi="Arial" w:cs="Arial"/>
          <w:sz w:val="21"/>
          <w:szCs w:val="21"/>
        </w:rPr>
        <w:t>CF</w:t>
      </w:r>
      <w:r w:rsidRPr="00577E25">
        <w:rPr>
          <w:rFonts w:ascii="Arial" w:hAnsi="Arial" w:cs="Arial"/>
          <w:sz w:val="21"/>
          <w:szCs w:val="21"/>
        </w:rPr>
        <w:tab/>
        <w:t xml:space="preserve">= </w:t>
      </w:r>
      <w:r w:rsidRPr="00577E25">
        <w:rPr>
          <w:rFonts w:ascii="Arial" w:hAnsi="Arial" w:cs="Arial"/>
          <w:sz w:val="21"/>
          <w:szCs w:val="21"/>
        </w:rPr>
        <w:tab/>
        <w:t>Capacidad Financiera</w:t>
      </w:r>
    </w:p>
    <w:p w14:paraId="0DB79784" w14:textId="77777777" w:rsidR="0067762E" w:rsidRPr="00577E25" w:rsidRDefault="0067762E" w:rsidP="0067762E">
      <w:pPr>
        <w:tabs>
          <w:tab w:val="left" w:pos="426"/>
        </w:tabs>
        <w:ind w:firstLine="709"/>
        <w:jc w:val="both"/>
        <w:rPr>
          <w:rFonts w:ascii="Arial" w:hAnsi="Arial" w:cs="Arial"/>
          <w:sz w:val="21"/>
          <w:szCs w:val="21"/>
        </w:rPr>
      </w:pPr>
      <w:r w:rsidRPr="00577E25">
        <w:rPr>
          <w:rFonts w:ascii="Arial" w:hAnsi="Arial" w:cs="Arial"/>
          <w:sz w:val="21"/>
          <w:szCs w:val="21"/>
        </w:rPr>
        <w:t xml:space="preserve">SCE </w:t>
      </w:r>
      <w:r w:rsidRPr="00577E25">
        <w:rPr>
          <w:rFonts w:ascii="Arial" w:hAnsi="Arial" w:cs="Arial"/>
          <w:sz w:val="21"/>
          <w:szCs w:val="21"/>
        </w:rPr>
        <w:tab/>
        <w:t xml:space="preserve">= </w:t>
      </w:r>
      <w:r w:rsidRPr="00577E25">
        <w:rPr>
          <w:rFonts w:ascii="Arial" w:hAnsi="Arial" w:cs="Arial"/>
          <w:sz w:val="21"/>
          <w:szCs w:val="21"/>
        </w:rPr>
        <w:tab/>
        <w:t>Saldos de Contratos en Ejecución</w:t>
      </w:r>
    </w:p>
    <w:p w14:paraId="573C584E" w14:textId="77777777" w:rsidR="0067762E" w:rsidRDefault="0067762E" w:rsidP="0067762E">
      <w:pPr>
        <w:tabs>
          <w:tab w:val="left" w:pos="426"/>
        </w:tabs>
        <w:spacing w:line="276" w:lineRule="auto"/>
        <w:ind w:firstLine="709"/>
        <w:jc w:val="both"/>
        <w:rPr>
          <w:rFonts w:ascii="Arial" w:hAnsi="Arial" w:cs="Arial"/>
          <w:sz w:val="22"/>
        </w:rPr>
      </w:pPr>
    </w:p>
    <w:p w14:paraId="41147F67" w14:textId="77777777" w:rsidR="0067762E" w:rsidRDefault="0067762E" w:rsidP="0067762E">
      <w:pPr>
        <w:tabs>
          <w:tab w:val="left" w:pos="426"/>
        </w:tabs>
        <w:spacing w:after="120" w:line="276" w:lineRule="auto"/>
        <w:ind w:firstLine="709"/>
        <w:jc w:val="both"/>
        <w:rPr>
          <w:rFonts w:ascii="Arial" w:eastAsia="Arial" w:hAnsi="Arial" w:cs="Arial"/>
          <w:color w:val="000000" w:themeColor="text1"/>
          <w:sz w:val="22"/>
          <w:lang w:eastAsia="es-ES" w:bidi="es-ES"/>
        </w:rPr>
      </w:pPr>
      <w:r>
        <w:rPr>
          <w:rFonts w:ascii="Arial" w:hAnsi="Arial" w:cs="Arial"/>
          <w:sz w:val="22"/>
        </w:rPr>
        <w:t xml:space="preserve">Concretamente, respecto del factor de capacidad técnica -CT-, el literal D del numeral 3.10.2 </w:t>
      </w:r>
      <w:r w:rsidRPr="00423A44">
        <w:rPr>
          <w:rFonts w:ascii="Arial" w:hAnsi="Arial" w:cs="Arial"/>
          <w:sz w:val="22"/>
          <w:szCs w:val="20"/>
        </w:rPr>
        <w:t>de</w:t>
      </w:r>
      <w:r>
        <w:rPr>
          <w:rFonts w:ascii="Arial" w:hAnsi="Arial" w:cs="Arial"/>
          <w:sz w:val="22"/>
          <w:szCs w:val="20"/>
        </w:rPr>
        <w:t xml:space="preserve"> los d</w:t>
      </w:r>
      <w:r w:rsidRPr="00423A44">
        <w:rPr>
          <w:rFonts w:ascii="Arial" w:hAnsi="Arial" w:cs="Arial"/>
          <w:sz w:val="22"/>
          <w:szCs w:val="20"/>
        </w:rPr>
        <w:t>ocumento</w:t>
      </w:r>
      <w:r>
        <w:rPr>
          <w:rFonts w:ascii="Arial" w:hAnsi="Arial" w:cs="Arial"/>
          <w:sz w:val="22"/>
          <w:szCs w:val="20"/>
        </w:rPr>
        <w:t>s</w:t>
      </w:r>
      <w:r w:rsidRPr="00423A44">
        <w:rPr>
          <w:rFonts w:ascii="Arial" w:hAnsi="Arial" w:cs="Arial"/>
          <w:sz w:val="22"/>
          <w:szCs w:val="20"/>
        </w:rPr>
        <w:t xml:space="preserve"> </w:t>
      </w:r>
      <w:r>
        <w:rPr>
          <w:rFonts w:ascii="Arial" w:hAnsi="Arial" w:cs="Arial"/>
          <w:sz w:val="22"/>
          <w:szCs w:val="20"/>
        </w:rPr>
        <w:t>b</w:t>
      </w:r>
      <w:r w:rsidRPr="00423A44">
        <w:rPr>
          <w:rFonts w:ascii="Arial" w:hAnsi="Arial" w:cs="Arial"/>
          <w:sz w:val="22"/>
          <w:szCs w:val="20"/>
        </w:rPr>
        <w:t xml:space="preserve">ase </w:t>
      </w:r>
      <w:r>
        <w:rPr>
          <w:rFonts w:ascii="Arial" w:hAnsi="Arial" w:cs="Arial"/>
          <w:sz w:val="22"/>
          <w:szCs w:val="20"/>
        </w:rPr>
        <w:t xml:space="preserve">de obra pública de infraestructura de transporte </w:t>
      </w:r>
      <w:r w:rsidRPr="00423A44">
        <w:rPr>
          <w:rFonts w:ascii="Arial" w:hAnsi="Arial" w:cs="Arial"/>
          <w:sz w:val="22"/>
          <w:szCs w:val="20"/>
        </w:rPr>
        <w:t>para procesos de licitación pública</w:t>
      </w:r>
      <w:r>
        <w:rPr>
          <w:rFonts w:ascii="Arial" w:hAnsi="Arial" w:cs="Arial"/>
          <w:sz w:val="22"/>
          <w:szCs w:val="20"/>
        </w:rPr>
        <w:t xml:space="preserve"> – Versión 3 </w:t>
      </w:r>
      <w:r>
        <w:rPr>
          <w:rFonts w:ascii="Arial" w:hAnsi="Arial" w:cs="Arial"/>
          <w:sz w:val="22"/>
        </w:rPr>
        <w:t xml:space="preserve">señala que este </w:t>
      </w:r>
      <w:r w:rsidRPr="005E548A">
        <w:rPr>
          <w:rFonts w:ascii="Arial" w:eastAsia="Arial" w:hAnsi="Arial" w:cs="Arial"/>
          <w:color w:val="000000" w:themeColor="text1"/>
          <w:sz w:val="22"/>
          <w:lang w:eastAsia="es-ES" w:bidi="es-ES"/>
        </w:rPr>
        <w:t>«</w:t>
      </w:r>
      <w:r w:rsidRPr="005B2981">
        <w:rPr>
          <w:rFonts w:ascii="Arial" w:hAnsi="Arial" w:cs="Arial"/>
          <w:sz w:val="22"/>
        </w:rPr>
        <w:t>se asigna teniendo en cuenta el número de socios y profesionales de la Arquitectura, Ingeniería y Geología vinculados mediante una relación laboral o contractual vigente conforme a la cual desarrollen actividades vinculadas directamente con la construcción</w:t>
      </w:r>
      <w:r w:rsidRPr="005E548A">
        <w:rPr>
          <w:rFonts w:ascii="Arial" w:eastAsia="Arial" w:hAnsi="Arial" w:cs="Arial"/>
          <w:color w:val="000000" w:themeColor="text1"/>
          <w:sz w:val="22"/>
          <w:lang w:eastAsia="es-ES" w:bidi="es-ES"/>
        </w:rPr>
        <w:t>»</w:t>
      </w:r>
      <w:r>
        <w:rPr>
          <w:rFonts w:ascii="Arial" w:eastAsia="Arial" w:hAnsi="Arial" w:cs="Arial"/>
          <w:color w:val="000000" w:themeColor="text1"/>
          <w:sz w:val="22"/>
          <w:lang w:eastAsia="es-ES" w:bidi="es-ES"/>
        </w:rPr>
        <w:t xml:space="preserve">. Para tales efectos se asigna un puntaje con base en la siguiente tabla: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7"/>
        <w:gridCol w:w="1022"/>
        <w:gridCol w:w="975"/>
      </w:tblGrid>
      <w:tr w:rsidR="0067762E" w:rsidRPr="00F40C59" w14:paraId="21538FC9" w14:textId="77777777" w:rsidTr="00001E81">
        <w:trPr>
          <w:trHeight w:val="57"/>
          <w:tblHeader/>
          <w:jc w:val="center"/>
        </w:trPr>
        <w:tc>
          <w:tcPr>
            <w:tcW w:w="0" w:type="auto"/>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4A686ECE" w14:textId="77777777" w:rsidR="0067762E" w:rsidRPr="00F40C59" w:rsidRDefault="0067762E" w:rsidP="00001E81">
            <w:pPr>
              <w:spacing w:line="276" w:lineRule="auto"/>
              <w:jc w:val="center"/>
              <w:rPr>
                <w:rFonts w:ascii="Arial" w:eastAsia="Arial," w:hAnsi="Arial" w:cs="Arial"/>
                <w:b/>
                <w:bCs/>
                <w:color w:val="DBDBDB" w:themeColor="background1"/>
                <w:sz w:val="21"/>
                <w:szCs w:val="21"/>
              </w:rPr>
            </w:pPr>
            <w:r w:rsidRPr="00F40C59">
              <w:rPr>
                <w:rFonts w:ascii="Arial" w:hAnsi="Arial" w:cs="Arial"/>
                <w:b/>
                <w:bCs/>
                <w:color w:val="DBDBDB" w:themeColor="background1"/>
                <w:sz w:val="21"/>
                <w:szCs w:val="21"/>
              </w:rPr>
              <w:t>Desde</w:t>
            </w:r>
          </w:p>
        </w:tc>
        <w:tc>
          <w:tcPr>
            <w:tcW w:w="0" w:type="auto"/>
            <w:tcBorders>
              <w:top w:val="double" w:sz="4" w:space="0" w:color="auto"/>
              <w:left w:val="single" w:sz="4" w:space="0" w:color="000000" w:themeColor="text1"/>
              <w:bottom w:val="single" w:sz="4" w:space="0" w:color="000000" w:themeColor="text1"/>
              <w:right w:val="single" w:sz="4" w:space="0" w:color="000000" w:themeColor="text1"/>
            </w:tcBorders>
            <w:shd w:val="clear" w:color="auto" w:fill="404040" w:themeFill="text1" w:themeFillTint="BF"/>
            <w:vAlign w:val="center"/>
            <w:hideMark/>
          </w:tcPr>
          <w:p w14:paraId="236FAD41" w14:textId="77777777" w:rsidR="0067762E" w:rsidRPr="00F40C59" w:rsidRDefault="0067762E" w:rsidP="00001E81">
            <w:pPr>
              <w:spacing w:line="276" w:lineRule="auto"/>
              <w:jc w:val="center"/>
              <w:rPr>
                <w:rFonts w:ascii="Arial" w:eastAsia="Arial," w:hAnsi="Arial" w:cs="Arial"/>
                <w:b/>
                <w:bCs/>
                <w:color w:val="DBDBDB" w:themeColor="background1"/>
                <w:sz w:val="21"/>
                <w:szCs w:val="21"/>
              </w:rPr>
            </w:pPr>
            <w:r w:rsidRPr="00F40C59">
              <w:rPr>
                <w:rFonts w:ascii="Arial" w:hAnsi="Arial" w:cs="Arial"/>
                <w:b/>
                <w:bCs/>
                <w:color w:val="DBDBDB" w:themeColor="background1"/>
                <w:sz w:val="21"/>
                <w:szCs w:val="21"/>
              </w:rPr>
              <w:t>Hasta</w:t>
            </w:r>
          </w:p>
        </w:tc>
        <w:tc>
          <w:tcPr>
            <w:tcW w:w="0" w:type="auto"/>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0E5656FB" w14:textId="77777777" w:rsidR="0067762E" w:rsidRPr="00F40C59" w:rsidRDefault="0067762E" w:rsidP="00001E81">
            <w:pPr>
              <w:spacing w:line="276" w:lineRule="auto"/>
              <w:jc w:val="center"/>
              <w:rPr>
                <w:rFonts w:ascii="Arial" w:eastAsia="Arial," w:hAnsi="Arial" w:cs="Arial"/>
                <w:b/>
                <w:bCs/>
                <w:color w:val="DBDBDB" w:themeColor="background1"/>
                <w:sz w:val="21"/>
                <w:szCs w:val="21"/>
              </w:rPr>
            </w:pPr>
            <w:r w:rsidRPr="00F40C59">
              <w:rPr>
                <w:rFonts w:ascii="Arial" w:hAnsi="Arial" w:cs="Arial"/>
                <w:b/>
                <w:bCs/>
                <w:color w:val="DBDBDB" w:themeColor="background1"/>
                <w:sz w:val="21"/>
                <w:szCs w:val="21"/>
              </w:rPr>
              <w:t>Puntaje</w:t>
            </w:r>
          </w:p>
        </w:tc>
      </w:tr>
      <w:tr w:rsidR="0067762E" w:rsidRPr="00F40C59" w14:paraId="58FE6434" w14:textId="77777777" w:rsidTr="00001E81">
        <w:trPr>
          <w:trHeight w:val="227"/>
          <w:jc w:val="center"/>
        </w:trPr>
        <w:tc>
          <w:tcPr>
            <w:tcW w:w="0" w:type="auto"/>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1DBFD921" w14:textId="77777777" w:rsidR="0067762E" w:rsidRPr="00F40C59" w:rsidRDefault="0067762E" w:rsidP="00001E81">
            <w:pPr>
              <w:spacing w:line="276" w:lineRule="auto"/>
              <w:jc w:val="center"/>
              <w:rPr>
                <w:rFonts w:ascii="Arial" w:eastAsia="Arial," w:hAnsi="Arial" w:cs="Arial"/>
                <w:sz w:val="21"/>
                <w:szCs w:val="21"/>
              </w:rPr>
            </w:pPr>
            <w:r w:rsidRPr="00F40C59">
              <w:rPr>
                <w:rFonts w:ascii="Arial" w:hAnsi="Arial" w:cs="Arial"/>
                <w:sz w:val="21"/>
                <w:szCs w:val="21"/>
              </w:rPr>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F988EC" w14:textId="77777777" w:rsidR="0067762E" w:rsidRPr="00F40C59" w:rsidRDefault="0067762E" w:rsidP="00001E81">
            <w:pPr>
              <w:spacing w:line="276" w:lineRule="auto"/>
              <w:jc w:val="center"/>
              <w:rPr>
                <w:rFonts w:ascii="Arial" w:eastAsia="Arial," w:hAnsi="Arial" w:cs="Arial"/>
                <w:sz w:val="21"/>
                <w:szCs w:val="21"/>
              </w:rPr>
            </w:pPr>
            <w:r w:rsidRPr="00F40C59">
              <w:rPr>
                <w:rFonts w:ascii="Arial" w:hAnsi="Arial" w:cs="Arial"/>
                <w:sz w:val="21"/>
                <w:szCs w:val="21"/>
              </w:rPr>
              <w:t>5</w:t>
            </w:r>
          </w:p>
        </w:tc>
        <w:tc>
          <w:tcPr>
            <w:tcW w:w="0" w:type="auto"/>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7706BFF0" w14:textId="77777777" w:rsidR="0067762E" w:rsidRPr="00F40C59" w:rsidRDefault="0067762E" w:rsidP="00001E81">
            <w:pPr>
              <w:spacing w:line="276" w:lineRule="auto"/>
              <w:jc w:val="center"/>
              <w:rPr>
                <w:rFonts w:ascii="Arial" w:eastAsia="Arial," w:hAnsi="Arial" w:cs="Arial"/>
                <w:sz w:val="21"/>
                <w:szCs w:val="21"/>
              </w:rPr>
            </w:pPr>
            <w:r w:rsidRPr="00F40C59">
              <w:rPr>
                <w:rFonts w:ascii="Arial" w:hAnsi="Arial" w:cs="Arial"/>
                <w:sz w:val="21"/>
                <w:szCs w:val="21"/>
              </w:rPr>
              <w:t>20</w:t>
            </w:r>
          </w:p>
        </w:tc>
      </w:tr>
      <w:tr w:rsidR="0067762E" w:rsidRPr="00F40C59" w14:paraId="67C12C15" w14:textId="77777777" w:rsidTr="00001E81">
        <w:trPr>
          <w:trHeight w:val="227"/>
          <w:jc w:val="center"/>
        </w:trPr>
        <w:tc>
          <w:tcPr>
            <w:tcW w:w="0" w:type="auto"/>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32570F36" w14:textId="77777777" w:rsidR="0067762E" w:rsidRPr="00F40C59" w:rsidRDefault="0067762E" w:rsidP="00001E81">
            <w:pPr>
              <w:spacing w:line="276" w:lineRule="auto"/>
              <w:jc w:val="center"/>
              <w:rPr>
                <w:rFonts w:ascii="Arial" w:eastAsia="Arial," w:hAnsi="Arial" w:cs="Arial"/>
                <w:sz w:val="21"/>
                <w:szCs w:val="21"/>
              </w:rPr>
            </w:pPr>
            <w:r w:rsidRPr="00F40C59">
              <w:rPr>
                <w:rFonts w:ascii="Arial" w:hAnsi="Arial" w:cs="Arial"/>
                <w:sz w:val="21"/>
                <w:szCs w:val="21"/>
              </w:rPr>
              <w:t>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EF48CF" w14:textId="77777777" w:rsidR="0067762E" w:rsidRPr="00F40C59" w:rsidRDefault="0067762E" w:rsidP="00001E81">
            <w:pPr>
              <w:spacing w:line="276" w:lineRule="auto"/>
              <w:jc w:val="center"/>
              <w:rPr>
                <w:rFonts w:ascii="Arial" w:eastAsia="Arial," w:hAnsi="Arial" w:cs="Arial"/>
                <w:sz w:val="21"/>
                <w:szCs w:val="21"/>
              </w:rPr>
            </w:pPr>
            <w:r w:rsidRPr="00F40C59">
              <w:rPr>
                <w:rFonts w:ascii="Arial" w:hAnsi="Arial" w:cs="Arial"/>
                <w:sz w:val="21"/>
                <w:szCs w:val="21"/>
              </w:rPr>
              <w:t>10</w:t>
            </w:r>
          </w:p>
        </w:tc>
        <w:tc>
          <w:tcPr>
            <w:tcW w:w="0" w:type="auto"/>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06C8FDE7" w14:textId="77777777" w:rsidR="0067762E" w:rsidRPr="00F40C59" w:rsidRDefault="0067762E" w:rsidP="00001E81">
            <w:pPr>
              <w:spacing w:line="276" w:lineRule="auto"/>
              <w:jc w:val="center"/>
              <w:rPr>
                <w:rFonts w:ascii="Arial" w:eastAsia="Arial," w:hAnsi="Arial" w:cs="Arial"/>
                <w:sz w:val="21"/>
                <w:szCs w:val="21"/>
              </w:rPr>
            </w:pPr>
            <w:r w:rsidRPr="00F40C59">
              <w:rPr>
                <w:rFonts w:ascii="Arial" w:hAnsi="Arial" w:cs="Arial"/>
                <w:sz w:val="21"/>
                <w:szCs w:val="21"/>
              </w:rPr>
              <w:t>30</w:t>
            </w:r>
          </w:p>
        </w:tc>
      </w:tr>
      <w:tr w:rsidR="0067762E" w:rsidRPr="00F40C59" w14:paraId="18B8AE6C" w14:textId="77777777" w:rsidTr="00001E81">
        <w:trPr>
          <w:trHeight w:val="227"/>
          <w:jc w:val="center"/>
        </w:trPr>
        <w:tc>
          <w:tcPr>
            <w:tcW w:w="0" w:type="auto"/>
            <w:tcBorders>
              <w:top w:val="single" w:sz="4" w:space="0" w:color="000000" w:themeColor="text1"/>
              <w:left w:val="double" w:sz="4" w:space="0" w:color="auto"/>
              <w:bottom w:val="double" w:sz="4" w:space="0" w:color="auto"/>
              <w:right w:val="single" w:sz="4" w:space="0" w:color="000000" w:themeColor="text1"/>
            </w:tcBorders>
            <w:vAlign w:val="center"/>
            <w:hideMark/>
          </w:tcPr>
          <w:p w14:paraId="78C4FF10" w14:textId="77777777" w:rsidR="0067762E" w:rsidRPr="00F40C59" w:rsidRDefault="0067762E" w:rsidP="00001E81">
            <w:pPr>
              <w:spacing w:line="276" w:lineRule="auto"/>
              <w:jc w:val="center"/>
              <w:rPr>
                <w:rFonts w:ascii="Arial" w:eastAsia="Arial," w:hAnsi="Arial" w:cs="Arial"/>
                <w:sz w:val="21"/>
                <w:szCs w:val="21"/>
              </w:rPr>
            </w:pPr>
            <w:r w:rsidRPr="00F40C59">
              <w:rPr>
                <w:rFonts w:ascii="Arial" w:hAnsi="Arial" w:cs="Arial"/>
                <w:sz w:val="21"/>
                <w:szCs w:val="21"/>
              </w:rPr>
              <w:t>11</w:t>
            </w:r>
          </w:p>
        </w:tc>
        <w:tc>
          <w:tcPr>
            <w:tcW w:w="0" w:type="auto"/>
            <w:tcBorders>
              <w:top w:val="single" w:sz="4" w:space="0" w:color="000000" w:themeColor="text1"/>
              <w:left w:val="single" w:sz="4" w:space="0" w:color="000000" w:themeColor="text1"/>
              <w:bottom w:val="double" w:sz="4" w:space="0" w:color="auto"/>
              <w:right w:val="single" w:sz="4" w:space="0" w:color="000000" w:themeColor="text1"/>
            </w:tcBorders>
            <w:vAlign w:val="center"/>
            <w:hideMark/>
          </w:tcPr>
          <w:p w14:paraId="3879F60F" w14:textId="77777777" w:rsidR="0067762E" w:rsidRPr="00F40C59" w:rsidRDefault="0067762E" w:rsidP="00001E81">
            <w:pPr>
              <w:spacing w:line="276" w:lineRule="auto"/>
              <w:jc w:val="center"/>
              <w:rPr>
                <w:rFonts w:ascii="Arial" w:eastAsia="Arial," w:hAnsi="Arial" w:cs="Arial"/>
                <w:sz w:val="21"/>
                <w:szCs w:val="21"/>
              </w:rPr>
            </w:pPr>
            <w:r w:rsidRPr="00F40C59">
              <w:rPr>
                <w:rFonts w:ascii="Arial" w:hAnsi="Arial" w:cs="Arial"/>
                <w:sz w:val="21"/>
                <w:szCs w:val="21"/>
              </w:rPr>
              <w:t>Mayores</w:t>
            </w:r>
          </w:p>
        </w:tc>
        <w:tc>
          <w:tcPr>
            <w:tcW w:w="0" w:type="auto"/>
            <w:tcBorders>
              <w:top w:val="single" w:sz="4" w:space="0" w:color="000000" w:themeColor="text1"/>
              <w:left w:val="single" w:sz="4" w:space="0" w:color="000000" w:themeColor="text1"/>
              <w:bottom w:val="double" w:sz="4" w:space="0" w:color="auto"/>
              <w:right w:val="double" w:sz="4" w:space="0" w:color="auto"/>
            </w:tcBorders>
            <w:vAlign w:val="center"/>
            <w:hideMark/>
          </w:tcPr>
          <w:p w14:paraId="39E170FF" w14:textId="77777777" w:rsidR="0067762E" w:rsidRPr="00F40C59" w:rsidRDefault="0067762E" w:rsidP="00001E81">
            <w:pPr>
              <w:spacing w:line="276" w:lineRule="auto"/>
              <w:jc w:val="center"/>
              <w:rPr>
                <w:rFonts w:ascii="Arial" w:eastAsia="Arial," w:hAnsi="Arial" w:cs="Arial"/>
                <w:sz w:val="21"/>
                <w:szCs w:val="21"/>
              </w:rPr>
            </w:pPr>
            <w:r w:rsidRPr="00F40C59">
              <w:rPr>
                <w:rFonts w:ascii="Arial" w:hAnsi="Arial" w:cs="Arial"/>
                <w:sz w:val="21"/>
                <w:szCs w:val="21"/>
              </w:rPr>
              <w:t>40</w:t>
            </w:r>
          </w:p>
        </w:tc>
      </w:tr>
    </w:tbl>
    <w:p w14:paraId="0008192A" w14:textId="77777777" w:rsidR="0067762E" w:rsidRPr="00577E25" w:rsidRDefault="0067762E" w:rsidP="0067762E">
      <w:pPr>
        <w:tabs>
          <w:tab w:val="left" w:pos="426"/>
        </w:tabs>
        <w:spacing w:after="120" w:line="276" w:lineRule="auto"/>
        <w:ind w:firstLine="709"/>
        <w:jc w:val="both"/>
        <w:rPr>
          <w:rFonts w:ascii="Arial" w:hAnsi="Arial" w:cs="Arial"/>
          <w:sz w:val="22"/>
        </w:rPr>
      </w:pPr>
    </w:p>
    <w:p w14:paraId="51BA0F03" w14:textId="77777777" w:rsidR="0067762E" w:rsidRDefault="0067762E" w:rsidP="0067762E">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Según se observa, para la obtención del puntaje el proponente debe acreditar, a través del </w:t>
      </w:r>
      <w:r w:rsidRPr="007D66E8">
        <w:rPr>
          <w:rFonts w:ascii="Arial" w:hAnsi="Arial" w:cs="Arial"/>
          <w:color w:val="000000" w:themeColor="text1"/>
          <w:sz w:val="22"/>
        </w:rPr>
        <w:t>Formato 5 – Capacidad residual</w:t>
      </w:r>
      <w:r>
        <w:rPr>
          <w:rFonts w:ascii="Arial" w:hAnsi="Arial" w:cs="Arial"/>
          <w:color w:val="000000" w:themeColor="text1"/>
          <w:sz w:val="22"/>
        </w:rPr>
        <w:t xml:space="preserve">, los </w:t>
      </w:r>
      <w:r w:rsidRPr="005B2981">
        <w:rPr>
          <w:rFonts w:ascii="Arial" w:hAnsi="Arial" w:cs="Arial"/>
          <w:sz w:val="22"/>
        </w:rPr>
        <w:t>socios y profesionales de la Arquitectura, Ingeniería y Geología vinculados mediante una relación laboral o contractual vigent</w:t>
      </w:r>
      <w:r>
        <w:rPr>
          <w:rFonts w:ascii="Arial" w:hAnsi="Arial" w:cs="Arial"/>
          <w:sz w:val="22"/>
        </w:rPr>
        <w:t xml:space="preserve">e. De esta manera, entre más socios y profesionales vinculados acredite el proponente, mayor será el puntaje en este factor. </w:t>
      </w:r>
    </w:p>
    <w:p w14:paraId="69DECD1E" w14:textId="77777777" w:rsidR="0067762E" w:rsidRDefault="0067762E" w:rsidP="0067762E">
      <w:pPr>
        <w:spacing w:before="120" w:line="276" w:lineRule="auto"/>
        <w:ind w:firstLine="709"/>
        <w:jc w:val="both"/>
        <w:rPr>
          <w:rFonts w:ascii="Arial" w:hAnsi="Arial" w:cs="Arial"/>
          <w:color w:val="000000" w:themeColor="text1"/>
          <w:sz w:val="22"/>
        </w:rPr>
      </w:pPr>
      <w:bookmarkStart w:id="4" w:name="_Hlk68685074"/>
      <w:r>
        <w:rPr>
          <w:rFonts w:ascii="Arial" w:hAnsi="Arial" w:cs="Arial"/>
          <w:color w:val="000000" w:themeColor="text1"/>
          <w:sz w:val="22"/>
        </w:rPr>
        <w:t>E</w:t>
      </w:r>
      <w:r w:rsidRPr="007D66E8">
        <w:rPr>
          <w:rFonts w:ascii="Arial" w:hAnsi="Arial" w:cs="Arial"/>
          <w:color w:val="000000" w:themeColor="text1"/>
          <w:sz w:val="22"/>
        </w:rPr>
        <w:t xml:space="preserve">n el evento en que el proponente no </w:t>
      </w:r>
      <w:r>
        <w:rPr>
          <w:rFonts w:ascii="Arial" w:hAnsi="Arial" w:cs="Arial"/>
          <w:color w:val="000000" w:themeColor="text1"/>
          <w:sz w:val="22"/>
        </w:rPr>
        <w:t xml:space="preserve">cuente </w:t>
      </w:r>
      <w:r w:rsidRPr="007D66E8">
        <w:rPr>
          <w:rFonts w:ascii="Arial" w:hAnsi="Arial" w:cs="Arial"/>
          <w:color w:val="000000" w:themeColor="text1"/>
          <w:sz w:val="22"/>
        </w:rPr>
        <w:t>con ningún profesional de la Arquitectura, Ingeniería o Geología vinculados mediante una relación laboral o contractual vigente</w:t>
      </w:r>
      <w:r>
        <w:rPr>
          <w:rFonts w:ascii="Arial" w:hAnsi="Arial" w:cs="Arial"/>
          <w:color w:val="000000" w:themeColor="text1"/>
          <w:sz w:val="22"/>
        </w:rPr>
        <w:t xml:space="preserve">, </w:t>
      </w:r>
      <w:r w:rsidRPr="007D66E8">
        <w:rPr>
          <w:rFonts w:ascii="Arial" w:hAnsi="Arial" w:cs="Arial"/>
          <w:color w:val="000000" w:themeColor="text1"/>
          <w:sz w:val="22"/>
        </w:rPr>
        <w:t xml:space="preserve">la entidad </w:t>
      </w:r>
      <w:r>
        <w:rPr>
          <w:rFonts w:ascii="Arial" w:hAnsi="Arial" w:cs="Arial"/>
          <w:color w:val="000000" w:themeColor="text1"/>
          <w:sz w:val="22"/>
        </w:rPr>
        <w:t xml:space="preserve">estatal otorgará cero (0) puntos en este factor. </w:t>
      </w:r>
      <w:r w:rsidRPr="007D66E8">
        <w:rPr>
          <w:rFonts w:ascii="Arial" w:hAnsi="Arial" w:cs="Arial"/>
          <w:color w:val="000000" w:themeColor="text1"/>
          <w:sz w:val="22"/>
        </w:rPr>
        <w:t xml:space="preserve">Lo anterior, </w:t>
      </w:r>
      <w:r>
        <w:rPr>
          <w:rFonts w:ascii="Arial" w:hAnsi="Arial" w:cs="Arial"/>
          <w:color w:val="000000" w:themeColor="text1"/>
          <w:sz w:val="22"/>
        </w:rPr>
        <w:t xml:space="preserve">debido a </w:t>
      </w:r>
      <w:r w:rsidRPr="007D66E8">
        <w:rPr>
          <w:rFonts w:ascii="Arial" w:hAnsi="Arial" w:cs="Arial"/>
          <w:color w:val="000000" w:themeColor="text1"/>
          <w:sz w:val="22"/>
        </w:rPr>
        <w:t xml:space="preserve">que </w:t>
      </w:r>
      <w:r>
        <w:rPr>
          <w:rFonts w:ascii="Arial" w:hAnsi="Arial" w:cs="Arial"/>
          <w:color w:val="000000" w:themeColor="text1"/>
          <w:sz w:val="22"/>
        </w:rPr>
        <w:lastRenderedPageBreak/>
        <w:t xml:space="preserve">la asignación de puntaje </w:t>
      </w:r>
      <w:r w:rsidRPr="007D66E8">
        <w:rPr>
          <w:rFonts w:ascii="Arial" w:hAnsi="Arial" w:cs="Arial"/>
          <w:color w:val="000000" w:themeColor="text1"/>
          <w:sz w:val="22"/>
        </w:rPr>
        <w:t xml:space="preserve">establecida </w:t>
      </w:r>
      <w:r>
        <w:rPr>
          <w:rFonts w:ascii="Arial" w:hAnsi="Arial" w:cs="Arial"/>
          <w:color w:val="000000" w:themeColor="text1"/>
          <w:sz w:val="22"/>
        </w:rPr>
        <w:t>inicia a partir del número 1, de esta forma,</w:t>
      </w:r>
      <w:r w:rsidRPr="007D66E8">
        <w:rPr>
          <w:rFonts w:ascii="Arial" w:hAnsi="Arial" w:cs="Arial"/>
          <w:color w:val="000000" w:themeColor="text1"/>
          <w:sz w:val="22"/>
        </w:rPr>
        <w:t xml:space="preserve"> si no se presentan socios y/o profesionales para acreditar este factor,</w:t>
      </w:r>
      <w:r>
        <w:rPr>
          <w:rFonts w:ascii="Arial" w:hAnsi="Arial" w:cs="Arial"/>
          <w:color w:val="000000" w:themeColor="text1"/>
          <w:sz w:val="22"/>
        </w:rPr>
        <w:t xml:space="preserve"> la consecuencia lógica es que</w:t>
      </w:r>
      <w:r w:rsidRPr="007D66E8">
        <w:rPr>
          <w:rFonts w:ascii="Arial" w:hAnsi="Arial" w:cs="Arial"/>
          <w:color w:val="000000" w:themeColor="text1"/>
          <w:sz w:val="22"/>
        </w:rPr>
        <w:t xml:space="preserve"> no p</w:t>
      </w:r>
      <w:r>
        <w:rPr>
          <w:rFonts w:ascii="Arial" w:hAnsi="Arial" w:cs="Arial"/>
          <w:color w:val="000000" w:themeColor="text1"/>
          <w:sz w:val="22"/>
        </w:rPr>
        <w:t>odría</w:t>
      </w:r>
      <w:r w:rsidRPr="007D66E8">
        <w:rPr>
          <w:rFonts w:ascii="Arial" w:hAnsi="Arial" w:cs="Arial"/>
          <w:color w:val="000000" w:themeColor="text1"/>
          <w:sz w:val="22"/>
        </w:rPr>
        <w:t xml:space="preserve"> incluirse puntaje en los términos</w:t>
      </w:r>
      <w:r>
        <w:rPr>
          <w:rFonts w:ascii="Arial" w:hAnsi="Arial" w:cs="Arial"/>
          <w:color w:val="000000" w:themeColor="text1"/>
          <w:sz w:val="22"/>
        </w:rPr>
        <w:t xml:space="preserve"> </w:t>
      </w:r>
      <w:r w:rsidRPr="007D66E8">
        <w:rPr>
          <w:rFonts w:ascii="Arial" w:hAnsi="Arial" w:cs="Arial"/>
          <w:color w:val="000000" w:themeColor="text1"/>
          <w:sz w:val="22"/>
        </w:rPr>
        <w:t>contemplados</w:t>
      </w:r>
      <w:r>
        <w:rPr>
          <w:rFonts w:ascii="Arial" w:hAnsi="Arial" w:cs="Arial"/>
          <w:color w:val="000000" w:themeColor="text1"/>
          <w:sz w:val="22"/>
        </w:rPr>
        <w:t xml:space="preserve"> en la tabla, siendo razonable la inclusión de cero (0) puntos para el proponente.</w:t>
      </w:r>
    </w:p>
    <w:p w14:paraId="236FD603" w14:textId="77777777" w:rsidR="0067762E" w:rsidRPr="005D235D" w:rsidRDefault="0067762E" w:rsidP="0067762E">
      <w:pPr>
        <w:spacing w:before="120" w:line="276" w:lineRule="auto"/>
        <w:ind w:firstLine="709"/>
        <w:jc w:val="both"/>
        <w:rPr>
          <w:rFonts w:ascii="Arial" w:eastAsia="Arial" w:hAnsi="Arial" w:cs="Arial"/>
          <w:color w:val="000000" w:themeColor="text1"/>
          <w:sz w:val="22"/>
          <w:lang w:eastAsia="es-ES" w:bidi="es-ES"/>
        </w:rPr>
      </w:pPr>
      <w:r w:rsidRPr="005D235D">
        <w:rPr>
          <w:rFonts w:ascii="Arial" w:hAnsi="Arial" w:cs="Arial"/>
          <w:color w:val="000000" w:themeColor="text1"/>
          <w:sz w:val="22"/>
        </w:rPr>
        <w:t xml:space="preserve">Adicionalmente, es menester precisar que </w:t>
      </w:r>
      <w:r w:rsidRPr="005D235D">
        <w:rPr>
          <w:rFonts w:ascii="Arial" w:hAnsi="Arial" w:cs="Arial"/>
          <w:sz w:val="22"/>
        </w:rPr>
        <w:t xml:space="preserve">el hecho de no contar </w:t>
      </w:r>
      <w:r w:rsidRPr="005D235D">
        <w:rPr>
          <w:rFonts w:ascii="Arial" w:hAnsi="Arial" w:cs="Arial"/>
          <w:color w:val="000000" w:themeColor="text1"/>
          <w:sz w:val="22"/>
        </w:rPr>
        <w:t xml:space="preserve">con socios y/o profesionales vinculados al proponente en el factor de la capacidad técnica, no podría determinar, por sí solo, que el proponente sea rechazado o evaluado como </w:t>
      </w:r>
      <w:r w:rsidRPr="005D235D">
        <w:rPr>
          <w:rFonts w:ascii="Arial" w:eastAsia="Arial" w:hAnsi="Arial" w:cs="Arial"/>
          <w:color w:val="000000" w:themeColor="text1"/>
          <w:sz w:val="22"/>
          <w:lang w:eastAsia="es-ES" w:bidi="es-ES"/>
        </w:rPr>
        <w:t>«</w:t>
      </w:r>
      <w:r w:rsidRPr="005D235D">
        <w:rPr>
          <w:rFonts w:ascii="Arial" w:hAnsi="Arial" w:cs="Arial"/>
          <w:color w:val="000000" w:themeColor="text1"/>
          <w:sz w:val="22"/>
        </w:rPr>
        <w:t>no cumple</w:t>
      </w:r>
      <w:r w:rsidRPr="005D235D">
        <w:rPr>
          <w:rFonts w:ascii="Arial" w:eastAsia="Arial" w:hAnsi="Arial" w:cs="Arial"/>
          <w:color w:val="000000" w:themeColor="text1"/>
          <w:sz w:val="22"/>
          <w:lang w:eastAsia="es-ES" w:bidi="es-ES"/>
        </w:rPr>
        <w:t>»</w:t>
      </w:r>
      <w:r w:rsidRPr="005D235D">
        <w:rPr>
          <w:rFonts w:ascii="Arial" w:hAnsi="Arial" w:cs="Arial"/>
          <w:color w:val="000000" w:themeColor="text1"/>
          <w:sz w:val="22"/>
        </w:rPr>
        <w:t xml:space="preserve"> en la capacidad residual. En efecto, como se explicó, la capacidad residual del proponente es resultado de una fórmula que involucra diferentes factores, esto es</w:t>
      </w:r>
      <w:r>
        <w:rPr>
          <w:rFonts w:ascii="Arial" w:hAnsi="Arial" w:cs="Arial"/>
          <w:color w:val="000000" w:themeColor="text1"/>
          <w:sz w:val="22"/>
        </w:rPr>
        <w:t>:</w:t>
      </w:r>
      <w:r w:rsidRPr="005D235D">
        <w:rPr>
          <w:rFonts w:ascii="Arial" w:hAnsi="Arial" w:cs="Arial"/>
          <w:color w:val="000000" w:themeColor="text1"/>
          <w:sz w:val="22"/>
        </w:rPr>
        <w:t xml:space="preserve"> </w:t>
      </w:r>
      <w:r w:rsidRPr="005D235D">
        <w:rPr>
          <w:rFonts w:ascii="Arial" w:eastAsia="Calibri" w:hAnsi="Arial" w:cs="Arial"/>
          <w:bCs/>
          <w:color w:val="000000" w:themeColor="text1"/>
          <w:sz w:val="22"/>
        </w:rPr>
        <w:t xml:space="preserve">i) experiencia «E»; ii) capacidad financiera «CF»; iii) capacidad técnica «CT», iv) capacidad de organización «CO»; y v) los saldos de los contratos en ejecución «SCE». De este modo, el cumplimiento de este requisito habilitante estará determinado por el resultado obtenido de la aplicación de la fórmula de la capacidad residual del proponente con todos sus factores, de manera que, si dicho resultado es </w:t>
      </w:r>
      <w:r w:rsidRPr="005D235D">
        <w:rPr>
          <w:rFonts w:ascii="Arial" w:hAnsi="Arial" w:cs="Arial"/>
          <w:sz w:val="22"/>
        </w:rPr>
        <w:t xml:space="preserve">igual o superior a la capacidad residual del proceso de contratación, entonces el proponente será hábil. </w:t>
      </w:r>
    </w:p>
    <w:bookmarkEnd w:id="4"/>
    <w:p w14:paraId="1471E9F7" w14:textId="77777777" w:rsidR="0067762E" w:rsidRDefault="0067762E" w:rsidP="0067762E">
      <w:pPr>
        <w:spacing w:before="120" w:line="276" w:lineRule="auto"/>
        <w:ind w:firstLine="709"/>
        <w:jc w:val="both"/>
        <w:rPr>
          <w:rFonts w:ascii="Arial" w:hAnsi="Arial" w:cs="Arial"/>
          <w:color w:val="000000" w:themeColor="text1"/>
          <w:sz w:val="22"/>
        </w:rPr>
      </w:pPr>
      <w:r>
        <w:rPr>
          <w:rFonts w:ascii="Arial" w:hAnsi="Arial" w:cs="Arial"/>
          <w:sz w:val="22"/>
        </w:rPr>
        <w:t xml:space="preserve">En consecuencia, </w:t>
      </w:r>
      <w:r>
        <w:rPr>
          <w:rFonts w:ascii="Arial" w:hAnsi="Arial" w:cs="Arial"/>
          <w:color w:val="000000" w:themeColor="text1"/>
          <w:sz w:val="22"/>
        </w:rPr>
        <w:t xml:space="preserve">si el proponente no acredita los </w:t>
      </w:r>
      <w:r w:rsidRPr="005B2981">
        <w:rPr>
          <w:rFonts w:ascii="Arial" w:hAnsi="Arial" w:cs="Arial"/>
          <w:sz w:val="22"/>
        </w:rPr>
        <w:t>socios y profesionales de la Arquitectura, Ingeniería y Geología vinculados mediante una relación laboral o contractual vigent</w:t>
      </w:r>
      <w:r>
        <w:rPr>
          <w:rFonts w:ascii="Arial" w:hAnsi="Arial" w:cs="Arial"/>
          <w:sz w:val="22"/>
        </w:rPr>
        <w:t xml:space="preserve">e, </w:t>
      </w:r>
      <w:r w:rsidRPr="007D66E8">
        <w:rPr>
          <w:rFonts w:ascii="Arial" w:hAnsi="Arial" w:cs="Arial"/>
          <w:color w:val="000000" w:themeColor="text1"/>
          <w:sz w:val="22"/>
        </w:rPr>
        <w:t xml:space="preserve">la entidad </w:t>
      </w:r>
      <w:r>
        <w:rPr>
          <w:rFonts w:ascii="Arial" w:hAnsi="Arial" w:cs="Arial"/>
          <w:color w:val="000000" w:themeColor="text1"/>
          <w:sz w:val="22"/>
        </w:rPr>
        <w:t xml:space="preserve">estatal otorgará cero (0) puntos en este factor. Así, en este evento, el cumplimiento de la capacidad residual dependerá, entonces, del </w:t>
      </w:r>
      <w:r>
        <w:rPr>
          <w:rFonts w:ascii="Arial" w:eastAsia="Calibri" w:hAnsi="Arial" w:cs="Arial"/>
          <w:bCs/>
          <w:color w:val="000000" w:themeColor="text1"/>
          <w:sz w:val="22"/>
        </w:rPr>
        <w:t xml:space="preserve">resultado obtenido de la aplicación de la fórmula de la capacidad residual del proponente, incluyendo el factor CT, con cero (0) puntos. </w:t>
      </w:r>
    </w:p>
    <w:p w14:paraId="71295709" w14:textId="77777777" w:rsidR="0067762E" w:rsidRPr="00C46EE6" w:rsidRDefault="0067762E" w:rsidP="0067762E">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Ahora bien, </w:t>
      </w:r>
      <w:r w:rsidRPr="00C46EE6">
        <w:rPr>
          <w:rFonts w:ascii="Arial" w:hAnsi="Arial" w:cs="Arial"/>
          <w:color w:val="000000" w:themeColor="text1"/>
          <w:sz w:val="22"/>
        </w:rPr>
        <w:t>es preciso señalar que la «Guía para Determinar y Verificar la Capacidad Residual del Proponente en los Procesos de Contratación de Obra Pública» expedida por la Agencia Nacional de Contratación Pública – Colombia Compra Eficiente no restringió a una rama espec</w:t>
      </w:r>
      <w:r>
        <w:rPr>
          <w:rFonts w:ascii="Arial" w:hAnsi="Arial" w:cs="Arial"/>
          <w:color w:val="000000" w:themeColor="text1"/>
          <w:sz w:val="22"/>
        </w:rPr>
        <w:t>í</w:t>
      </w:r>
      <w:r w:rsidRPr="00C46EE6">
        <w:rPr>
          <w:rFonts w:ascii="Arial" w:hAnsi="Arial" w:cs="Arial"/>
          <w:color w:val="000000" w:themeColor="text1"/>
          <w:sz w:val="22"/>
        </w:rPr>
        <w:t xml:space="preserve">fica de la ingeniería los profesionales a tener en cuenta para la determinación de la capacidad técnica. Por tanto, la capacidad técnica se determina </w:t>
      </w:r>
      <w:r>
        <w:rPr>
          <w:rFonts w:ascii="Arial" w:hAnsi="Arial" w:cs="Arial"/>
          <w:color w:val="000000" w:themeColor="text1"/>
          <w:sz w:val="22"/>
        </w:rPr>
        <w:t>en atención a</w:t>
      </w:r>
      <w:r w:rsidRPr="00C46EE6">
        <w:rPr>
          <w:rFonts w:ascii="Arial" w:hAnsi="Arial" w:cs="Arial"/>
          <w:color w:val="000000" w:themeColor="text1"/>
          <w:sz w:val="22"/>
        </w:rPr>
        <w:t xml:space="preserve">l número de profesionales de la ingeniería, independientemente de la rama u área a la que pertenezcan, vinculados mediante una relación laboral o contractual conforme a la cual desarrollen actividades relacionadas directamente a la construcción de obra. </w:t>
      </w:r>
    </w:p>
    <w:p w14:paraId="59FCD7D9" w14:textId="77777777" w:rsidR="0067762E" w:rsidRDefault="0067762E" w:rsidP="0067762E">
      <w:pPr>
        <w:spacing w:before="120" w:line="276" w:lineRule="auto"/>
        <w:ind w:firstLine="709"/>
        <w:jc w:val="both"/>
        <w:rPr>
          <w:rFonts w:ascii="Arial" w:hAnsi="Arial" w:cs="Arial"/>
          <w:color w:val="000000" w:themeColor="text1"/>
          <w:sz w:val="22"/>
        </w:rPr>
      </w:pPr>
      <w:r w:rsidRPr="00C46EE6">
        <w:rPr>
          <w:rFonts w:ascii="Arial" w:hAnsi="Arial" w:cs="Arial"/>
          <w:color w:val="000000" w:themeColor="text1"/>
          <w:sz w:val="22"/>
        </w:rPr>
        <w:t xml:space="preserve">En este sentido, tanto el profesional en arquitectura, como el ingeniero </w:t>
      </w:r>
      <w:r>
        <w:rPr>
          <w:rFonts w:ascii="Arial" w:hAnsi="Arial" w:cs="Arial"/>
          <w:color w:val="000000" w:themeColor="text1"/>
          <w:sz w:val="22"/>
        </w:rPr>
        <w:t>y el geólogo</w:t>
      </w:r>
      <w:r w:rsidRPr="00C46EE6">
        <w:rPr>
          <w:rFonts w:ascii="Arial" w:hAnsi="Arial" w:cs="Arial"/>
          <w:color w:val="000000" w:themeColor="text1"/>
          <w:sz w:val="22"/>
        </w:rPr>
        <w:t xml:space="preserve"> que estén vinculados mediante una relación laboral o contractual al proponente y que desarrollen actividades relacionadas directamente a la construcción de obra, se podrán tener en cuenta para efectos de la asignación del puntaje de la </w:t>
      </w:r>
      <w:r>
        <w:rPr>
          <w:rFonts w:ascii="Arial" w:hAnsi="Arial" w:cs="Arial"/>
          <w:color w:val="000000" w:themeColor="text1"/>
          <w:sz w:val="22"/>
        </w:rPr>
        <w:t>c</w:t>
      </w:r>
      <w:r w:rsidRPr="00C46EE6">
        <w:rPr>
          <w:rFonts w:ascii="Arial" w:hAnsi="Arial" w:cs="Arial"/>
          <w:color w:val="000000" w:themeColor="text1"/>
          <w:sz w:val="22"/>
        </w:rPr>
        <w:t xml:space="preserve">apacidad técnica de la </w:t>
      </w:r>
      <w:r>
        <w:rPr>
          <w:rFonts w:ascii="Arial" w:hAnsi="Arial" w:cs="Arial"/>
          <w:color w:val="000000" w:themeColor="text1"/>
          <w:sz w:val="22"/>
        </w:rPr>
        <w:t>c</w:t>
      </w:r>
      <w:r w:rsidRPr="00C46EE6">
        <w:rPr>
          <w:rFonts w:ascii="Arial" w:hAnsi="Arial" w:cs="Arial"/>
          <w:color w:val="000000" w:themeColor="text1"/>
          <w:sz w:val="22"/>
        </w:rPr>
        <w:t xml:space="preserve">apacidad </w:t>
      </w:r>
      <w:r>
        <w:rPr>
          <w:rFonts w:ascii="Arial" w:hAnsi="Arial" w:cs="Arial"/>
          <w:color w:val="000000" w:themeColor="text1"/>
          <w:sz w:val="22"/>
        </w:rPr>
        <w:t>r</w:t>
      </w:r>
      <w:r w:rsidRPr="00C46EE6">
        <w:rPr>
          <w:rFonts w:ascii="Arial" w:hAnsi="Arial" w:cs="Arial"/>
          <w:color w:val="000000" w:themeColor="text1"/>
          <w:sz w:val="22"/>
        </w:rPr>
        <w:t>esidual</w:t>
      </w:r>
      <w:r>
        <w:rPr>
          <w:rFonts w:ascii="Arial" w:hAnsi="Arial" w:cs="Arial"/>
          <w:color w:val="000000" w:themeColor="text1"/>
          <w:sz w:val="22"/>
        </w:rPr>
        <w:t xml:space="preserve"> del proponente. En efecto, lo anterior fue expresamente incluido en el </w:t>
      </w:r>
      <w:r>
        <w:rPr>
          <w:rFonts w:ascii="Arial" w:hAnsi="Arial" w:cs="Arial"/>
          <w:sz w:val="22"/>
        </w:rPr>
        <w:t xml:space="preserve">literal D, del numeral 3.10.2 de los documentos base </w:t>
      </w:r>
      <w:r>
        <w:rPr>
          <w:rFonts w:ascii="Arial" w:hAnsi="Arial" w:cs="Arial"/>
          <w:sz w:val="22"/>
          <w:szCs w:val="20"/>
        </w:rPr>
        <w:t xml:space="preserve">de obra pública de infraestructura de transporte </w:t>
      </w:r>
      <w:r w:rsidRPr="00423A44">
        <w:rPr>
          <w:rFonts w:ascii="Arial" w:hAnsi="Arial" w:cs="Arial"/>
          <w:sz w:val="22"/>
          <w:szCs w:val="20"/>
        </w:rPr>
        <w:t>para procesos de licitación pública</w:t>
      </w:r>
      <w:r>
        <w:rPr>
          <w:rFonts w:ascii="Arial" w:hAnsi="Arial" w:cs="Arial"/>
          <w:sz w:val="22"/>
          <w:szCs w:val="20"/>
        </w:rPr>
        <w:t xml:space="preserve"> – Versión 3. </w:t>
      </w:r>
    </w:p>
    <w:p w14:paraId="53F1891B" w14:textId="77777777" w:rsidR="0067762E" w:rsidRPr="000A593C" w:rsidRDefault="0067762E" w:rsidP="0067762E">
      <w:pPr>
        <w:pStyle w:val="Textoindependiente"/>
        <w:spacing w:after="0"/>
        <w:ind w:right="709"/>
        <w:jc w:val="both"/>
        <w:rPr>
          <w:rFonts w:ascii="Arial" w:hAnsi="Arial" w:cs="Arial"/>
          <w:lang w:val="es-ES"/>
        </w:rPr>
      </w:pPr>
    </w:p>
    <w:p w14:paraId="7425B283" w14:textId="77777777" w:rsidR="0067762E" w:rsidRDefault="0067762E" w:rsidP="0067762E">
      <w:pPr>
        <w:pStyle w:val="Ttulo3"/>
        <w:tabs>
          <w:tab w:val="left" w:pos="6688"/>
        </w:tabs>
        <w:spacing w:line="276" w:lineRule="auto"/>
        <w:ind w:left="720" w:hanging="720"/>
        <w:jc w:val="both"/>
        <w:rPr>
          <w:rFonts w:ascii="Arial" w:hAnsi="Arial" w:cs="Arial"/>
          <w:b/>
          <w:bCs/>
          <w:color w:val="000000" w:themeColor="text1"/>
          <w:sz w:val="22"/>
          <w:szCs w:val="22"/>
          <w:lang w:val="es-ES"/>
        </w:rPr>
      </w:pPr>
      <w:r w:rsidRPr="000A593C">
        <w:rPr>
          <w:rFonts w:ascii="Arial" w:hAnsi="Arial" w:cs="Arial"/>
          <w:b/>
          <w:bCs/>
          <w:color w:val="000000" w:themeColor="text1"/>
          <w:sz w:val="22"/>
          <w:szCs w:val="22"/>
          <w:lang w:val="es-ES"/>
        </w:rPr>
        <w:lastRenderedPageBreak/>
        <w:t>2.</w:t>
      </w:r>
      <w:r>
        <w:rPr>
          <w:rFonts w:ascii="Arial" w:hAnsi="Arial" w:cs="Arial"/>
          <w:b/>
          <w:bCs/>
          <w:color w:val="000000" w:themeColor="text1"/>
          <w:sz w:val="22"/>
          <w:szCs w:val="22"/>
          <w:lang w:val="es-ES"/>
        </w:rPr>
        <w:t>4</w:t>
      </w:r>
      <w:r w:rsidRPr="000A593C">
        <w:rPr>
          <w:rFonts w:ascii="Arial" w:hAnsi="Arial" w:cs="Arial"/>
          <w:b/>
          <w:bCs/>
          <w:color w:val="000000" w:themeColor="text1"/>
          <w:sz w:val="22"/>
          <w:szCs w:val="22"/>
          <w:lang w:val="es-ES"/>
        </w:rPr>
        <w:t>. Relación de los contratos frente al presupuesto oficial</w:t>
      </w:r>
    </w:p>
    <w:p w14:paraId="653E4665" w14:textId="77777777" w:rsidR="0067762E" w:rsidRPr="000A593C" w:rsidRDefault="0067762E" w:rsidP="0067762E">
      <w:pPr>
        <w:spacing w:line="276" w:lineRule="auto"/>
        <w:jc w:val="both"/>
        <w:rPr>
          <w:rFonts w:ascii="Arial" w:hAnsi="Arial" w:cs="Arial"/>
          <w:sz w:val="22"/>
          <w:lang w:val="es-ES"/>
        </w:rPr>
      </w:pPr>
    </w:p>
    <w:p w14:paraId="211F85CE" w14:textId="77777777" w:rsidR="0067762E" w:rsidRPr="000A593C" w:rsidRDefault="0067762E" w:rsidP="0067762E">
      <w:pPr>
        <w:spacing w:line="276" w:lineRule="auto"/>
        <w:jc w:val="both"/>
        <w:rPr>
          <w:rFonts w:ascii="Arial" w:hAnsi="Arial" w:cs="Arial"/>
          <w:sz w:val="22"/>
          <w:lang w:val="es-ES"/>
        </w:rPr>
      </w:pPr>
      <w:r w:rsidRPr="000A593C">
        <w:rPr>
          <w:rFonts w:ascii="Arial" w:hAnsi="Arial" w:cs="Arial"/>
          <w:sz w:val="22"/>
          <w:lang w:val="es-ES"/>
        </w:rPr>
        <w:t xml:space="preserve">El numeral 3.5 del documento base explica todos los parámetros de experiencia que deben acreditar los proponentes en el marco </w:t>
      </w:r>
      <w:r>
        <w:rPr>
          <w:rFonts w:ascii="Arial" w:hAnsi="Arial" w:cs="Arial"/>
          <w:sz w:val="22"/>
          <w:lang w:val="es-ES"/>
        </w:rPr>
        <w:t>de los documentos tipo</w:t>
      </w:r>
      <w:r w:rsidRPr="000A593C">
        <w:rPr>
          <w:rFonts w:ascii="Arial" w:hAnsi="Arial" w:cs="Arial"/>
          <w:sz w:val="22"/>
          <w:lang w:val="es-ES"/>
        </w:rPr>
        <w:t xml:space="preserve"> de Infraestructura de tra</w:t>
      </w:r>
      <w:r>
        <w:rPr>
          <w:rFonts w:ascii="Arial" w:hAnsi="Arial" w:cs="Arial"/>
          <w:sz w:val="22"/>
          <w:lang w:val="es-ES"/>
        </w:rPr>
        <w:t>n</w:t>
      </w:r>
      <w:r w:rsidRPr="000A593C">
        <w:rPr>
          <w:rFonts w:ascii="Arial" w:hAnsi="Arial" w:cs="Arial"/>
          <w:sz w:val="22"/>
          <w:lang w:val="es-ES"/>
        </w:rPr>
        <w:t xml:space="preserve">sporte </w:t>
      </w:r>
      <w:r>
        <w:rPr>
          <w:rFonts w:ascii="Arial" w:hAnsi="Arial" w:cs="Arial"/>
          <w:sz w:val="22"/>
          <w:lang w:val="es-ES"/>
        </w:rPr>
        <w:t>v</w:t>
      </w:r>
      <w:r w:rsidRPr="000A593C">
        <w:rPr>
          <w:rFonts w:ascii="Arial" w:hAnsi="Arial" w:cs="Arial"/>
          <w:sz w:val="22"/>
          <w:lang w:val="es-ES"/>
        </w:rPr>
        <w:t>ersión 3. El objetivo del numeral 3.5.8 es determinar el n</w:t>
      </w:r>
      <w:r>
        <w:rPr>
          <w:rFonts w:ascii="Arial" w:hAnsi="Arial" w:cs="Arial"/>
          <w:sz w:val="22"/>
          <w:lang w:val="es-ES"/>
        </w:rPr>
        <w:t>ú</w:t>
      </w:r>
      <w:r w:rsidRPr="000A593C">
        <w:rPr>
          <w:rFonts w:ascii="Arial" w:hAnsi="Arial" w:cs="Arial"/>
          <w:sz w:val="22"/>
          <w:lang w:val="es-ES"/>
        </w:rPr>
        <w:t>mero de contratos con los que los proponentes deben cumplir la experiencia acreditada, y es una relación directa entre estos y el porcentaje del presupuesto oficial de obra señalado en salarios mínimos de la siguiente manera:</w:t>
      </w:r>
    </w:p>
    <w:p w14:paraId="515D0601" w14:textId="77777777" w:rsidR="0067762E" w:rsidRPr="000A593C" w:rsidRDefault="0067762E" w:rsidP="0067762E">
      <w:pPr>
        <w:spacing w:line="276" w:lineRule="auto"/>
        <w:jc w:val="both"/>
        <w:rPr>
          <w:rFonts w:ascii="Arial" w:hAnsi="Arial" w:cs="Arial"/>
          <w:sz w:val="22"/>
          <w:lang w:val="es-ES"/>
        </w:rPr>
      </w:pPr>
    </w:p>
    <w:p w14:paraId="78BC29DA" w14:textId="77777777" w:rsidR="0067762E" w:rsidRDefault="0067762E" w:rsidP="0067762E">
      <w:pPr>
        <w:ind w:left="709" w:right="709"/>
        <w:jc w:val="both"/>
        <w:rPr>
          <w:rFonts w:ascii="Arial" w:hAnsi="Arial" w:cs="Arial"/>
          <w:sz w:val="21"/>
          <w:szCs w:val="21"/>
        </w:rPr>
      </w:pPr>
      <w:r w:rsidRPr="005F1821">
        <w:rPr>
          <w:rFonts w:ascii="Arial" w:hAnsi="Arial" w:cs="Arial"/>
          <w:sz w:val="21"/>
          <w:szCs w:val="21"/>
        </w:rPr>
        <w:t>La verificación del número de contratos para acreditar la experiencia se realiza de la siguiente manera:</w:t>
      </w:r>
    </w:p>
    <w:p w14:paraId="659E9A10" w14:textId="77777777" w:rsidR="0067762E" w:rsidRPr="005F1821" w:rsidRDefault="0067762E" w:rsidP="0067762E">
      <w:pPr>
        <w:ind w:left="709" w:right="709"/>
        <w:jc w:val="both"/>
        <w:rPr>
          <w:rFonts w:ascii="Arial" w:hAnsi="Arial" w:cs="Arial"/>
          <w:sz w:val="21"/>
          <w:szCs w:val="21"/>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67762E" w:rsidRPr="00032D1C" w14:paraId="09ADC2A6" w14:textId="77777777" w:rsidTr="00001E81">
        <w:trPr>
          <w:trHeight w:val="737"/>
          <w:tblHeader/>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10893A0C" w14:textId="77777777" w:rsidR="0067762E" w:rsidRPr="005F1821" w:rsidRDefault="0067762E" w:rsidP="00001E81">
            <w:pPr>
              <w:spacing w:line="276" w:lineRule="auto"/>
              <w:jc w:val="center"/>
              <w:rPr>
                <w:rFonts w:ascii="Arial" w:eastAsia="Arial" w:hAnsi="Arial" w:cs="Arial"/>
                <w:b/>
                <w:bCs/>
                <w:color w:val="DBDBDB" w:themeColor="background1"/>
                <w:sz w:val="21"/>
                <w:szCs w:val="21"/>
                <w:lang w:val="es-ES"/>
              </w:rPr>
            </w:pPr>
            <w:r w:rsidRPr="005F1821">
              <w:rPr>
                <w:rFonts w:ascii="Arial" w:hAnsi="Arial" w:cs="Arial"/>
                <w:b/>
                <w:bCs/>
                <w:color w:val="DBDBDB" w:themeColor="background1"/>
                <w:sz w:val="21"/>
                <w:szCs w:val="21"/>
                <w:lang w:val="es-ES"/>
              </w:rPr>
              <w:t>Número</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de</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contratos</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con</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los</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cuales</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el</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Proponente</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cumple</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la</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experiencia</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7B8496DA" w14:textId="77777777" w:rsidR="0067762E" w:rsidRPr="005F1821" w:rsidRDefault="0067762E" w:rsidP="00001E81">
            <w:pPr>
              <w:spacing w:line="276" w:lineRule="auto"/>
              <w:jc w:val="center"/>
              <w:rPr>
                <w:rFonts w:ascii="Arial" w:eastAsia="Arial" w:hAnsi="Arial" w:cs="Arial"/>
                <w:b/>
                <w:bCs/>
                <w:color w:val="DBDBDB" w:themeColor="background1"/>
                <w:sz w:val="21"/>
                <w:szCs w:val="21"/>
                <w:lang w:val="es-ES"/>
              </w:rPr>
            </w:pPr>
            <w:proofErr w:type="gramStart"/>
            <w:r w:rsidRPr="005F1821">
              <w:rPr>
                <w:rFonts w:ascii="Arial" w:hAnsi="Arial" w:cs="Arial"/>
                <w:b/>
                <w:bCs/>
                <w:color w:val="DBDBDB" w:themeColor="background1"/>
                <w:sz w:val="21"/>
                <w:szCs w:val="21"/>
                <w:lang w:val="es-ES"/>
              </w:rPr>
              <w:t>Valor</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mínimo</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a</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certificar</w:t>
            </w:r>
            <w:proofErr w:type="gramEnd"/>
          </w:p>
          <w:p w14:paraId="289C27C0" w14:textId="77777777" w:rsidR="0067762E" w:rsidRPr="005F1821" w:rsidRDefault="0067762E" w:rsidP="00001E81">
            <w:pPr>
              <w:spacing w:line="276" w:lineRule="auto"/>
              <w:jc w:val="center"/>
              <w:rPr>
                <w:rFonts w:ascii="Arial" w:eastAsia="Arial" w:hAnsi="Arial" w:cs="Arial"/>
                <w:b/>
                <w:bCs/>
                <w:color w:val="DBDBDB" w:themeColor="background1"/>
                <w:sz w:val="21"/>
                <w:szCs w:val="21"/>
                <w:lang w:val="es-ES"/>
              </w:rPr>
            </w:pPr>
            <w:r w:rsidRPr="005F1821">
              <w:rPr>
                <w:rFonts w:ascii="Arial" w:hAnsi="Arial" w:cs="Arial"/>
                <w:b/>
                <w:bCs/>
                <w:color w:val="DBDBDB" w:themeColor="background1"/>
                <w:sz w:val="21"/>
                <w:szCs w:val="21"/>
                <w:lang w:val="es-ES"/>
              </w:rPr>
              <w:t>(como</w:t>
            </w:r>
            <w:r w:rsidRPr="005F1821">
              <w:rPr>
                <w:rFonts w:ascii="Arial" w:eastAsia="Arial" w:hAnsi="Arial" w:cs="Arial"/>
                <w:b/>
                <w:bCs/>
                <w:color w:val="DBDBDB" w:themeColor="background1"/>
                <w:sz w:val="21"/>
                <w:szCs w:val="21"/>
                <w:lang w:val="es-ES"/>
              </w:rPr>
              <w:t xml:space="preserve"> % </w:t>
            </w:r>
            <w:r w:rsidRPr="005F1821">
              <w:rPr>
                <w:rFonts w:ascii="Arial" w:hAnsi="Arial" w:cs="Arial"/>
                <w:b/>
                <w:bCs/>
                <w:color w:val="DBDBDB" w:themeColor="background1"/>
                <w:sz w:val="21"/>
                <w:szCs w:val="21"/>
                <w:lang w:val="es-ES"/>
              </w:rPr>
              <w:t>del</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Presupuesto</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Oficial</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de</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obra</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expresado</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en</w:t>
            </w:r>
            <w:r w:rsidRPr="005F1821">
              <w:rPr>
                <w:rFonts w:ascii="Arial" w:eastAsia="Arial" w:hAnsi="Arial" w:cs="Arial"/>
                <w:b/>
                <w:bCs/>
                <w:color w:val="DBDBDB" w:themeColor="background1"/>
                <w:sz w:val="21"/>
                <w:szCs w:val="21"/>
                <w:lang w:val="es-ES"/>
              </w:rPr>
              <w:t xml:space="preserve"> </w:t>
            </w:r>
            <w:r w:rsidRPr="005F1821">
              <w:rPr>
                <w:rFonts w:ascii="Arial" w:hAnsi="Arial" w:cs="Arial"/>
                <w:b/>
                <w:bCs/>
                <w:color w:val="DBDBDB" w:themeColor="background1"/>
                <w:sz w:val="21"/>
                <w:szCs w:val="21"/>
                <w:lang w:val="es-ES"/>
              </w:rPr>
              <w:t>SMMLV)</w:t>
            </w:r>
          </w:p>
        </w:tc>
      </w:tr>
      <w:tr w:rsidR="0067762E" w:rsidRPr="00032D1C" w14:paraId="7DB3F30D" w14:textId="77777777" w:rsidTr="00001E81">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6A11223C" w14:textId="77777777" w:rsidR="0067762E" w:rsidRPr="005F1821" w:rsidRDefault="0067762E" w:rsidP="00001E81">
            <w:pPr>
              <w:spacing w:line="276" w:lineRule="auto"/>
              <w:jc w:val="center"/>
              <w:rPr>
                <w:rFonts w:ascii="Arial" w:eastAsia="Arial" w:hAnsi="Arial" w:cs="Arial"/>
                <w:sz w:val="21"/>
                <w:szCs w:val="21"/>
                <w:lang w:val="es-ES"/>
              </w:rPr>
            </w:pPr>
            <w:r w:rsidRPr="005F1821">
              <w:rPr>
                <w:rFonts w:ascii="Arial" w:hAnsi="Arial" w:cs="Arial"/>
                <w:sz w:val="21"/>
                <w:szCs w:val="21"/>
                <w:lang w:val="es-ES"/>
              </w:rPr>
              <w:t>De</w:t>
            </w:r>
            <w:r w:rsidRPr="005F1821">
              <w:rPr>
                <w:rFonts w:ascii="Arial" w:eastAsia="Arial" w:hAnsi="Arial" w:cs="Arial"/>
                <w:sz w:val="21"/>
                <w:szCs w:val="21"/>
                <w:lang w:val="es-ES"/>
              </w:rPr>
              <w:t xml:space="preserve"> </w:t>
            </w:r>
            <w:r w:rsidRPr="005F1821">
              <w:rPr>
                <w:rFonts w:ascii="Arial" w:hAnsi="Arial" w:cs="Arial"/>
                <w:sz w:val="21"/>
                <w:szCs w:val="21"/>
                <w:lang w:val="es-ES"/>
              </w:rPr>
              <w:t>1</w:t>
            </w:r>
            <w:r w:rsidRPr="005F1821">
              <w:rPr>
                <w:rFonts w:ascii="Arial" w:eastAsia="Arial" w:hAnsi="Arial" w:cs="Arial"/>
                <w:sz w:val="21"/>
                <w:szCs w:val="21"/>
                <w:lang w:val="es-ES"/>
              </w:rPr>
              <w:t xml:space="preserve"> </w:t>
            </w:r>
            <w:r w:rsidRPr="005F1821">
              <w:rPr>
                <w:rFonts w:ascii="Arial" w:hAnsi="Arial" w:cs="Arial"/>
                <w:sz w:val="21"/>
                <w:szCs w:val="21"/>
                <w:lang w:val="es-ES"/>
              </w:rPr>
              <w:t>hasta</w:t>
            </w:r>
            <w:r w:rsidRPr="005F1821">
              <w:rPr>
                <w:rFonts w:ascii="Arial" w:eastAsia="Arial" w:hAnsi="Arial" w:cs="Arial"/>
                <w:sz w:val="21"/>
                <w:szCs w:val="21"/>
                <w:lang w:val="es-ES"/>
              </w:rPr>
              <w:t xml:space="preserve"> </w:t>
            </w:r>
            <w:r w:rsidRPr="005F1821">
              <w:rPr>
                <w:rFonts w:ascii="Arial" w:hAnsi="Arial" w:cs="Arial"/>
                <w:sz w:val="21"/>
                <w:szCs w:val="21"/>
                <w:lang w:val="es-ES"/>
              </w:rPr>
              <w:t>2</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2E5B4006" w14:textId="77777777" w:rsidR="0067762E" w:rsidRPr="005F1821" w:rsidRDefault="0067762E" w:rsidP="00001E81">
            <w:pPr>
              <w:spacing w:line="276" w:lineRule="auto"/>
              <w:jc w:val="center"/>
              <w:rPr>
                <w:rFonts w:ascii="Arial" w:eastAsia="Arial" w:hAnsi="Arial" w:cs="Arial"/>
                <w:sz w:val="21"/>
                <w:szCs w:val="21"/>
                <w:lang w:val="es-ES"/>
              </w:rPr>
            </w:pPr>
            <w:r w:rsidRPr="005F1821">
              <w:rPr>
                <w:rFonts w:ascii="Arial" w:hAnsi="Arial" w:cs="Arial"/>
                <w:sz w:val="21"/>
                <w:szCs w:val="21"/>
                <w:lang w:val="es-ES"/>
              </w:rPr>
              <w:t>75%</w:t>
            </w:r>
          </w:p>
        </w:tc>
      </w:tr>
      <w:tr w:rsidR="0067762E" w:rsidRPr="00032D1C" w14:paraId="7044D090" w14:textId="77777777" w:rsidTr="00001E81">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7B8047DC" w14:textId="77777777" w:rsidR="0067762E" w:rsidRPr="005F1821" w:rsidRDefault="0067762E" w:rsidP="00001E81">
            <w:pPr>
              <w:spacing w:line="276" w:lineRule="auto"/>
              <w:jc w:val="center"/>
              <w:rPr>
                <w:rFonts w:ascii="Arial" w:eastAsia="Arial" w:hAnsi="Arial" w:cs="Arial"/>
                <w:sz w:val="21"/>
                <w:szCs w:val="21"/>
                <w:lang w:val="es-ES"/>
              </w:rPr>
            </w:pPr>
            <w:r w:rsidRPr="005F1821">
              <w:rPr>
                <w:rFonts w:ascii="Arial" w:hAnsi="Arial" w:cs="Arial"/>
                <w:sz w:val="21"/>
                <w:szCs w:val="21"/>
                <w:lang w:val="es-ES"/>
              </w:rPr>
              <w:t>De</w:t>
            </w:r>
            <w:r w:rsidRPr="005F1821">
              <w:rPr>
                <w:rFonts w:ascii="Arial" w:eastAsia="Arial" w:hAnsi="Arial" w:cs="Arial"/>
                <w:sz w:val="21"/>
                <w:szCs w:val="21"/>
                <w:lang w:val="es-ES"/>
              </w:rPr>
              <w:t xml:space="preserve"> </w:t>
            </w:r>
            <w:r w:rsidRPr="005F1821">
              <w:rPr>
                <w:rFonts w:ascii="Arial" w:hAnsi="Arial" w:cs="Arial"/>
                <w:sz w:val="21"/>
                <w:szCs w:val="21"/>
                <w:lang w:val="es-ES"/>
              </w:rPr>
              <w:t>3</w:t>
            </w:r>
            <w:r w:rsidRPr="005F1821">
              <w:rPr>
                <w:rFonts w:ascii="Arial" w:eastAsia="Arial" w:hAnsi="Arial" w:cs="Arial"/>
                <w:sz w:val="21"/>
                <w:szCs w:val="21"/>
                <w:lang w:val="es-ES"/>
              </w:rPr>
              <w:t xml:space="preserve"> </w:t>
            </w:r>
            <w:r w:rsidRPr="005F1821">
              <w:rPr>
                <w:rFonts w:ascii="Arial" w:hAnsi="Arial" w:cs="Arial"/>
                <w:sz w:val="21"/>
                <w:szCs w:val="21"/>
                <w:lang w:val="es-ES"/>
              </w:rPr>
              <w:t>hasta</w:t>
            </w:r>
            <w:r w:rsidRPr="005F1821">
              <w:rPr>
                <w:rFonts w:ascii="Arial" w:eastAsia="Arial" w:hAnsi="Arial" w:cs="Arial"/>
                <w:sz w:val="21"/>
                <w:szCs w:val="21"/>
                <w:lang w:val="es-ES"/>
              </w:rPr>
              <w:t xml:space="preserve"> </w:t>
            </w:r>
            <w:r w:rsidRPr="005F1821">
              <w:rPr>
                <w:rFonts w:ascii="Arial" w:hAnsi="Arial" w:cs="Arial"/>
                <w:sz w:val="21"/>
                <w:szCs w:val="21"/>
                <w:lang w:val="es-ES"/>
              </w:rPr>
              <w:t>4</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0351B2CB" w14:textId="77777777" w:rsidR="0067762E" w:rsidRPr="005F1821" w:rsidRDefault="0067762E" w:rsidP="00001E81">
            <w:pPr>
              <w:spacing w:line="276" w:lineRule="auto"/>
              <w:jc w:val="center"/>
              <w:rPr>
                <w:rFonts w:ascii="Arial" w:eastAsia="Arial" w:hAnsi="Arial" w:cs="Arial"/>
                <w:sz w:val="21"/>
                <w:szCs w:val="21"/>
                <w:lang w:val="es-ES"/>
              </w:rPr>
            </w:pPr>
            <w:r w:rsidRPr="005F1821">
              <w:rPr>
                <w:rFonts w:ascii="Arial" w:hAnsi="Arial" w:cs="Arial"/>
                <w:sz w:val="21"/>
                <w:szCs w:val="21"/>
                <w:lang w:val="es-ES"/>
              </w:rPr>
              <w:t>120%</w:t>
            </w:r>
          </w:p>
        </w:tc>
      </w:tr>
      <w:tr w:rsidR="0067762E" w:rsidRPr="00032D1C" w14:paraId="1160BDC1" w14:textId="77777777" w:rsidTr="00001E81">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1B0214B6" w14:textId="77777777" w:rsidR="0067762E" w:rsidRPr="005F1821" w:rsidRDefault="0067762E" w:rsidP="00001E81">
            <w:pPr>
              <w:spacing w:line="276" w:lineRule="auto"/>
              <w:jc w:val="center"/>
              <w:rPr>
                <w:rFonts w:ascii="Arial" w:eastAsia="Arial" w:hAnsi="Arial" w:cs="Arial"/>
                <w:sz w:val="21"/>
                <w:szCs w:val="21"/>
                <w:lang w:val="es-ES"/>
              </w:rPr>
            </w:pPr>
            <w:r w:rsidRPr="005F1821">
              <w:rPr>
                <w:rFonts w:ascii="Arial" w:hAnsi="Arial" w:cs="Arial"/>
                <w:sz w:val="21"/>
                <w:szCs w:val="21"/>
                <w:lang w:val="es-ES"/>
              </w:rPr>
              <w:t>De</w:t>
            </w:r>
            <w:r w:rsidRPr="005F1821">
              <w:rPr>
                <w:rFonts w:ascii="Arial" w:eastAsia="Arial" w:hAnsi="Arial" w:cs="Arial"/>
                <w:sz w:val="21"/>
                <w:szCs w:val="21"/>
                <w:lang w:val="es-ES"/>
              </w:rPr>
              <w:t xml:space="preserve"> </w:t>
            </w:r>
            <w:r w:rsidRPr="005F1821">
              <w:rPr>
                <w:rFonts w:ascii="Arial" w:hAnsi="Arial" w:cs="Arial"/>
                <w:sz w:val="21"/>
                <w:szCs w:val="21"/>
                <w:lang w:val="es-ES"/>
              </w:rPr>
              <w:t>5</w:t>
            </w:r>
            <w:r w:rsidRPr="005F1821">
              <w:rPr>
                <w:rFonts w:ascii="Arial" w:eastAsia="Arial" w:hAnsi="Arial" w:cs="Arial"/>
                <w:sz w:val="21"/>
                <w:szCs w:val="21"/>
                <w:lang w:val="es-ES"/>
              </w:rPr>
              <w:t xml:space="preserve"> </w:t>
            </w:r>
            <w:r w:rsidRPr="005F1821">
              <w:rPr>
                <w:rFonts w:ascii="Arial" w:hAnsi="Arial" w:cs="Arial"/>
                <w:sz w:val="21"/>
                <w:szCs w:val="21"/>
                <w:lang w:val="es-ES"/>
              </w:rPr>
              <w:t>hasta</w:t>
            </w:r>
            <w:r w:rsidRPr="005F1821">
              <w:rPr>
                <w:rFonts w:ascii="Arial" w:eastAsia="Arial" w:hAnsi="Arial" w:cs="Arial"/>
                <w:sz w:val="21"/>
                <w:szCs w:val="21"/>
                <w:lang w:val="es-ES"/>
              </w:rPr>
              <w:t xml:space="preserve"> </w:t>
            </w:r>
            <w:r w:rsidRPr="005F1821">
              <w:rPr>
                <w:rFonts w:ascii="Arial" w:hAnsi="Arial" w:cs="Arial"/>
                <w:sz w:val="21"/>
                <w:szCs w:val="21"/>
                <w:lang w:val="es-ES"/>
              </w:rPr>
              <w:t>6</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39E13FFE" w14:textId="77777777" w:rsidR="0067762E" w:rsidRPr="005F1821" w:rsidRDefault="0067762E" w:rsidP="00001E81">
            <w:pPr>
              <w:spacing w:line="276" w:lineRule="auto"/>
              <w:jc w:val="center"/>
              <w:rPr>
                <w:rFonts w:ascii="Arial" w:eastAsia="Arial" w:hAnsi="Arial" w:cs="Arial"/>
                <w:sz w:val="21"/>
                <w:szCs w:val="21"/>
                <w:lang w:val="es-ES"/>
              </w:rPr>
            </w:pPr>
            <w:r w:rsidRPr="005F1821">
              <w:rPr>
                <w:rFonts w:ascii="Arial" w:hAnsi="Arial" w:cs="Arial"/>
                <w:sz w:val="21"/>
                <w:szCs w:val="21"/>
                <w:lang w:val="es-ES"/>
              </w:rPr>
              <w:t>150%</w:t>
            </w:r>
          </w:p>
        </w:tc>
      </w:tr>
    </w:tbl>
    <w:p w14:paraId="475C5DB8" w14:textId="77777777" w:rsidR="0067762E" w:rsidRPr="005F1821" w:rsidRDefault="0067762E" w:rsidP="0067762E">
      <w:pPr>
        <w:rPr>
          <w:rFonts w:ascii="Arial" w:hAnsi="Arial" w:cs="Arial"/>
          <w:sz w:val="21"/>
          <w:szCs w:val="21"/>
        </w:rPr>
      </w:pPr>
    </w:p>
    <w:p w14:paraId="3D84360F" w14:textId="77777777" w:rsidR="0067762E" w:rsidRDefault="0067762E" w:rsidP="0067762E">
      <w:pPr>
        <w:ind w:left="709" w:right="709"/>
        <w:jc w:val="both"/>
        <w:rPr>
          <w:rFonts w:ascii="Arial" w:hAnsi="Arial" w:cs="Arial"/>
          <w:sz w:val="21"/>
          <w:szCs w:val="21"/>
        </w:rPr>
      </w:pPr>
      <w:r w:rsidRPr="005F1821">
        <w:rPr>
          <w:rFonts w:ascii="Arial" w:hAnsi="Arial" w:cs="Arial"/>
          <w:sz w:val="21"/>
          <w:szCs w:val="21"/>
        </w:rPr>
        <w:t>La verificación se hará con base en la sumatoria de los valores totales ejecutados (incluido IVA) en SMMLV de los contratos que cumplan con los requisitos establecidos en este pliego de condiciones.</w:t>
      </w:r>
    </w:p>
    <w:p w14:paraId="141AAB9A" w14:textId="77777777" w:rsidR="0067762E" w:rsidRPr="005F1821" w:rsidRDefault="0067762E" w:rsidP="0067762E">
      <w:pPr>
        <w:ind w:left="709" w:right="709"/>
        <w:jc w:val="both"/>
        <w:rPr>
          <w:rFonts w:ascii="Arial" w:hAnsi="Arial" w:cs="Arial"/>
          <w:sz w:val="21"/>
          <w:szCs w:val="21"/>
        </w:rPr>
      </w:pPr>
    </w:p>
    <w:p w14:paraId="5E35F7BA" w14:textId="77777777" w:rsidR="0067762E" w:rsidRDefault="0067762E" w:rsidP="0067762E">
      <w:pPr>
        <w:ind w:left="709" w:right="709"/>
        <w:jc w:val="both"/>
        <w:rPr>
          <w:rFonts w:ascii="Arial" w:hAnsi="Arial" w:cs="Arial"/>
          <w:sz w:val="21"/>
          <w:szCs w:val="21"/>
        </w:rPr>
      </w:pPr>
      <w:r w:rsidRPr="005F1821">
        <w:rPr>
          <w:rFonts w:ascii="Arial" w:hAnsi="Arial" w:cs="Arial"/>
          <w:sz w:val="21"/>
          <w:szCs w:val="21"/>
        </w:rPr>
        <w:t>El proponente cumple el requisito de experiencia si la sumatoria de los valores totales ejecutados (incluido IVA) de los contratos expresados en SMMLV es mayor o igual al valor mínimo a certificar establecido en la tabla anterior.</w:t>
      </w:r>
    </w:p>
    <w:p w14:paraId="576D9108" w14:textId="77777777" w:rsidR="0067762E" w:rsidRDefault="0067762E" w:rsidP="0067762E">
      <w:pPr>
        <w:pStyle w:val="Default"/>
        <w:spacing w:line="276" w:lineRule="auto"/>
        <w:ind w:left="709" w:right="709"/>
        <w:jc w:val="both"/>
        <w:rPr>
          <w:sz w:val="21"/>
          <w:szCs w:val="21"/>
          <w:lang w:val="es-MX"/>
        </w:rPr>
      </w:pPr>
    </w:p>
    <w:p w14:paraId="2161C06B" w14:textId="77777777" w:rsidR="0067762E" w:rsidRDefault="0067762E" w:rsidP="0067762E">
      <w:pPr>
        <w:pStyle w:val="Default"/>
        <w:spacing w:line="276" w:lineRule="auto"/>
        <w:ind w:left="709" w:right="709"/>
        <w:jc w:val="both"/>
        <w:rPr>
          <w:sz w:val="21"/>
          <w:szCs w:val="21"/>
          <w:lang w:val="es-MX"/>
        </w:rPr>
      </w:pPr>
      <w:r w:rsidRPr="005F1821">
        <w:rPr>
          <w:sz w:val="21"/>
          <w:szCs w:val="21"/>
          <w:lang w:val="es-MX"/>
        </w:rPr>
        <w:t>En caso de que el número de contratos con los cuales el proponente acredita la experiencia no satisfaga el porcentaje mínimo a certificar establecido en la tabla anterior, se calificará la propuesta como no hábil y el proponente podrá subsanarla en los términos establecidos en la sección 1.6.</w:t>
      </w:r>
    </w:p>
    <w:p w14:paraId="3E1F7A8D" w14:textId="77777777" w:rsidR="0067762E" w:rsidRPr="005F1821" w:rsidRDefault="0067762E" w:rsidP="0067762E">
      <w:pPr>
        <w:pStyle w:val="Default"/>
        <w:spacing w:line="276" w:lineRule="auto"/>
        <w:ind w:left="709" w:right="709"/>
        <w:jc w:val="both"/>
        <w:rPr>
          <w:sz w:val="21"/>
          <w:szCs w:val="21"/>
          <w:lang w:val="es-MX"/>
        </w:rPr>
      </w:pPr>
    </w:p>
    <w:p w14:paraId="58AD371B" w14:textId="77777777" w:rsidR="0067762E" w:rsidRPr="005F1821" w:rsidRDefault="0067762E" w:rsidP="0067762E">
      <w:pPr>
        <w:pStyle w:val="Default"/>
        <w:spacing w:after="120" w:line="276" w:lineRule="auto"/>
        <w:ind w:firstLine="709"/>
        <w:jc w:val="both"/>
        <w:rPr>
          <w:sz w:val="22"/>
          <w:szCs w:val="22"/>
          <w:lang w:val="es-MX"/>
        </w:rPr>
      </w:pPr>
      <w:r w:rsidRPr="005F1821">
        <w:rPr>
          <w:sz w:val="22"/>
          <w:szCs w:val="22"/>
          <w:lang w:val="es-MX"/>
        </w:rPr>
        <w:t xml:space="preserve">Por tanto, en el evento que el oferente presente tres (3) contratos para acreditar su experiencia debe certificar el 120% del valor del presupuesto oficial del proceso de contratación. A modo de ejemplo, si un proceso de contratación tiene un valor de 10.000 SMMLV, y el proponente presenta </w:t>
      </w:r>
      <w:r>
        <w:rPr>
          <w:sz w:val="22"/>
          <w:szCs w:val="22"/>
          <w:lang w:val="es-MX"/>
        </w:rPr>
        <w:t>tres</w:t>
      </w:r>
      <w:r w:rsidRPr="005F1821">
        <w:rPr>
          <w:sz w:val="22"/>
          <w:szCs w:val="22"/>
          <w:lang w:val="es-MX"/>
        </w:rPr>
        <w:t xml:space="preserve"> (3) contratos, mediante estos se debe acreditar la ejecución de contratos por 12.000 SMMLV, correspondiente al 120% del valor del presupuesto oficial. </w:t>
      </w:r>
    </w:p>
    <w:p w14:paraId="0827F661" w14:textId="77777777" w:rsidR="0067762E" w:rsidRPr="005F1821" w:rsidRDefault="0067762E" w:rsidP="0067762E">
      <w:pPr>
        <w:pStyle w:val="Default"/>
        <w:spacing w:before="120" w:after="120" w:line="276" w:lineRule="auto"/>
        <w:ind w:firstLine="708"/>
        <w:jc w:val="both"/>
        <w:rPr>
          <w:sz w:val="22"/>
          <w:szCs w:val="22"/>
          <w:lang w:val="es-MX"/>
        </w:rPr>
      </w:pPr>
      <w:r w:rsidRPr="005F1821">
        <w:rPr>
          <w:sz w:val="22"/>
          <w:szCs w:val="22"/>
          <w:lang w:val="es-MX"/>
        </w:rPr>
        <w:t xml:space="preserve">Ahora bien, atendiendo lo previsto en el literal d) del «Numeral 3.5.3 consideraciones para la validez de la experiencia requerida», la acreditación de la experiencia por parte de los proponentes plurales, requiere que: i) uno de los integrantes aporte como mínimo el </w:t>
      </w:r>
      <w:r w:rsidRPr="005F1821">
        <w:rPr>
          <w:sz w:val="22"/>
          <w:szCs w:val="22"/>
          <w:lang w:val="es-MX"/>
        </w:rPr>
        <w:lastRenderedPageBreak/>
        <w:t>cincuenta por ciento (50%) de la experiencia exigida, ii) los demás integrantes acrediten al menos el cinco por ciento de la experiencia requerida y, iii) sin perjuicio de lo anterior, solo uno de los integrantes, si así lo considera conveniente, podrá no acreditar experiencia. Por tanto, para atender la exigencia definida anteriormente, se requerirá que la experiencia acreditada por cada uno de sus integrantes sea en relación con el valor del proceso de contratación que se requiere certificar.</w:t>
      </w:r>
    </w:p>
    <w:p w14:paraId="0023AC7A" w14:textId="77777777" w:rsidR="0067762E" w:rsidRPr="005F1821" w:rsidRDefault="0067762E" w:rsidP="0067762E">
      <w:pPr>
        <w:pStyle w:val="Default"/>
        <w:spacing w:before="120" w:after="120" w:line="276" w:lineRule="auto"/>
        <w:ind w:firstLine="708"/>
        <w:jc w:val="both"/>
        <w:rPr>
          <w:sz w:val="22"/>
          <w:szCs w:val="22"/>
          <w:lang w:val="es-MX"/>
        </w:rPr>
      </w:pPr>
      <w:r w:rsidRPr="005F1821">
        <w:rPr>
          <w:sz w:val="22"/>
          <w:szCs w:val="22"/>
          <w:lang w:val="es-MX"/>
        </w:rPr>
        <w:t>Además, es importante señalar que el ajuste realizado en la acreditación de la experiencia por parte de los proponentes plurales tiene como propósito garantizar la idoneidad de todos los integrantes del proponente plural para ejecutar el proyecto</w:t>
      </w:r>
      <w:r>
        <w:rPr>
          <w:sz w:val="22"/>
          <w:szCs w:val="22"/>
          <w:lang w:val="es-MX"/>
        </w:rPr>
        <w:t>, sin perjuicio de permitir que excepcionalmente uno de los integrantes no aporte experiencia, limitando el porcentaje de participación que tendrá en el consorcio o unión temporal.</w:t>
      </w:r>
      <w:r w:rsidRPr="005F1821">
        <w:rPr>
          <w:sz w:val="22"/>
          <w:szCs w:val="22"/>
          <w:lang w:val="es-MX"/>
        </w:rPr>
        <w:t xml:space="preserve"> </w:t>
      </w:r>
    </w:p>
    <w:p w14:paraId="739C7180" w14:textId="77777777" w:rsidR="0067762E" w:rsidRPr="006A15E5" w:rsidRDefault="0067762E" w:rsidP="0067762E">
      <w:pPr>
        <w:pStyle w:val="Default"/>
        <w:spacing w:before="120" w:after="120" w:line="276" w:lineRule="auto"/>
        <w:ind w:firstLine="708"/>
        <w:jc w:val="both"/>
        <w:rPr>
          <w:sz w:val="22"/>
          <w:szCs w:val="22"/>
          <w:lang w:val="es-MX"/>
        </w:rPr>
      </w:pPr>
      <w:r w:rsidRPr="005F1821">
        <w:rPr>
          <w:sz w:val="22"/>
          <w:szCs w:val="22"/>
          <w:lang w:val="es-MX"/>
        </w:rPr>
        <w:t>En otras palabras, a pesar de que uno de los integrantes del proponente plural acredita la experiencia solicitada en el pliego, esto es, el valor establecido en relación con el «Presupuesto Oficial», la entidad verificará el cumplimiento de la exigencia de experiencia en relación con sus demás integrantes, con la salvedad que solo uno de ellos no requerirá acreditar experiencia. Además, para calcular el porcentaje del presupuesto oficial sobre el cual se acreditará la experiencia, de acuerdo con el numeral 3.5.8 del «documento base», se tendrán en cuenta todos los contratos aportados efectivamente por el proponente.</w:t>
      </w:r>
    </w:p>
    <w:p w14:paraId="53BB29A5" w14:textId="77777777" w:rsidR="0067762E" w:rsidRPr="001E47A8" w:rsidRDefault="0067762E" w:rsidP="0067762E">
      <w:pPr>
        <w:pStyle w:val="Default"/>
        <w:spacing w:before="120" w:after="120" w:line="276" w:lineRule="auto"/>
        <w:ind w:firstLine="708"/>
        <w:jc w:val="both"/>
        <w:rPr>
          <w:sz w:val="22"/>
          <w:szCs w:val="22"/>
          <w:lang w:val="es-MX"/>
        </w:rPr>
      </w:pPr>
      <w:r w:rsidRPr="005F1821">
        <w:rPr>
          <w:sz w:val="22"/>
          <w:szCs w:val="22"/>
          <w:lang w:val="es-MX"/>
        </w:rPr>
        <w:t>Finalmente se tiene que, el numeral 3.5.8 se aplica para verificar la acreditación de la experiencia teniendo en cuenta el número de contratos que aporta el proponente, sin tener en cuenta cuál de sus integrantes los aporta</w:t>
      </w:r>
      <w:r>
        <w:rPr>
          <w:sz w:val="22"/>
          <w:szCs w:val="22"/>
          <w:lang w:val="es-MX"/>
        </w:rPr>
        <w:t>;</w:t>
      </w:r>
      <w:r w:rsidRPr="005F1821">
        <w:rPr>
          <w:sz w:val="22"/>
          <w:szCs w:val="22"/>
          <w:lang w:val="es-MX"/>
        </w:rPr>
        <w:t xml:space="preserve"> de otro lado, la verificación que se hace a través del literal d) del numeral 3.5.3 se hace sobre los mismos contratos, pero para verificar la experiencia de los integrantes del proponente plural</w:t>
      </w:r>
      <w:r>
        <w:rPr>
          <w:sz w:val="22"/>
          <w:szCs w:val="22"/>
          <w:lang w:val="es-MX"/>
        </w:rPr>
        <w:t>.</w:t>
      </w:r>
      <w:r w:rsidRPr="005F1821">
        <w:rPr>
          <w:sz w:val="22"/>
          <w:szCs w:val="22"/>
          <w:lang w:val="es-MX"/>
        </w:rPr>
        <w:t xml:space="preserve"> </w:t>
      </w:r>
      <w:r>
        <w:rPr>
          <w:sz w:val="22"/>
          <w:szCs w:val="22"/>
          <w:lang w:val="es-MX"/>
        </w:rPr>
        <w:t>En tal sentido,</w:t>
      </w:r>
      <w:r w:rsidRPr="005F1821">
        <w:rPr>
          <w:sz w:val="22"/>
          <w:szCs w:val="22"/>
          <w:lang w:val="es-MX"/>
        </w:rPr>
        <w:t xml:space="preserve"> se aclara que los contratos que se aportan para la verificación de ambos numerales son los mismos, solo que se analiza el cumplimiento de cada uno de estos numerales por separado</w:t>
      </w:r>
      <w:r>
        <w:rPr>
          <w:sz w:val="22"/>
          <w:szCs w:val="22"/>
          <w:lang w:val="es-MX"/>
        </w:rPr>
        <w:t>.</w:t>
      </w:r>
    </w:p>
    <w:p w14:paraId="4E39879E" w14:textId="77777777" w:rsidR="0067762E" w:rsidRPr="000A593C" w:rsidRDefault="0067762E" w:rsidP="0067762E">
      <w:pPr>
        <w:spacing w:line="276" w:lineRule="auto"/>
        <w:jc w:val="both"/>
        <w:rPr>
          <w:rFonts w:ascii="Arial" w:hAnsi="Arial" w:cs="Arial"/>
          <w:sz w:val="22"/>
          <w:lang w:val="es-ES"/>
        </w:rPr>
      </w:pPr>
    </w:p>
    <w:p w14:paraId="101488BA" w14:textId="77777777" w:rsidR="0067762E" w:rsidRPr="000A593C" w:rsidRDefault="0067762E" w:rsidP="0067762E">
      <w:pPr>
        <w:tabs>
          <w:tab w:val="left" w:pos="0"/>
        </w:tabs>
        <w:spacing w:line="276" w:lineRule="auto"/>
        <w:jc w:val="both"/>
        <w:rPr>
          <w:rFonts w:ascii="Arial" w:eastAsia="Calibri" w:hAnsi="Arial" w:cs="Arial"/>
          <w:b/>
          <w:color w:val="000000" w:themeColor="text1"/>
          <w:sz w:val="22"/>
          <w:lang w:val="es-ES"/>
        </w:rPr>
      </w:pPr>
      <w:r w:rsidRPr="000A593C">
        <w:rPr>
          <w:rFonts w:ascii="Arial" w:eastAsia="Calibri" w:hAnsi="Arial" w:cs="Arial"/>
          <w:b/>
          <w:color w:val="000000" w:themeColor="text1"/>
          <w:sz w:val="22"/>
          <w:lang w:val="es-ES"/>
        </w:rPr>
        <w:t>3. Respuesta</w:t>
      </w:r>
    </w:p>
    <w:p w14:paraId="7ECDF041" w14:textId="77777777" w:rsidR="0067762E" w:rsidRPr="000A593C" w:rsidRDefault="0067762E" w:rsidP="0067762E">
      <w:pPr>
        <w:tabs>
          <w:tab w:val="left" w:pos="0"/>
        </w:tabs>
        <w:spacing w:line="276" w:lineRule="auto"/>
        <w:jc w:val="both"/>
        <w:rPr>
          <w:rFonts w:ascii="Arial" w:eastAsia="Calibri" w:hAnsi="Arial" w:cs="Arial"/>
          <w:color w:val="000000" w:themeColor="text1"/>
          <w:sz w:val="22"/>
          <w:lang w:val="es-ES"/>
        </w:rPr>
      </w:pPr>
    </w:p>
    <w:p w14:paraId="3D86DFA8" w14:textId="77777777" w:rsidR="0067762E" w:rsidRPr="00A22F1E" w:rsidRDefault="0067762E" w:rsidP="0067762E">
      <w:pPr>
        <w:tabs>
          <w:tab w:val="left" w:pos="0"/>
        </w:tabs>
        <w:ind w:left="709" w:right="709"/>
        <w:jc w:val="both"/>
        <w:rPr>
          <w:rFonts w:ascii="Arial" w:eastAsia="Calibri" w:hAnsi="Arial" w:cs="Arial"/>
          <w:bCs/>
          <w:color w:val="000000" w:themeColor="text1"/>
          <w:sz w:val="21"/>
          <w:szCs w:val="21"/>
          <w:lang w:val="es-ES"/>
        </w:rPr>
      </w:pPr>
      <w:r w:rsidRPr="00A22F1E">
        <w:rPr>
          <w:rFonts w:ascii="Arial" w:eastAsia="Calibri" w:hAnsi="Arial" w:cs="Arial"/>
          <w:bCs/>
          <w:color w:val="000000" w:themeColor="text1"/>
          <w:sz w:val="21"/>
          <w:szCs w:val="21"/>
          <w:lang w:val="es-ES"/>
        </w:rPr>
        <w:t>«¿Es acertado rechazar un proponente cuando no de cumplimiento al art 17 de la Ley 842 de 2003, la cual va en concordancia con el requerimiento de la capacidad técnica de tener vinculado o como socio por lo menos un profesional en las áreas de arquitectura, ingeniería y Geología?»</w:t>
      </w:r>
      <w:r w:rsidRPr="00A22F1E">
        <w:rPr>
          <w:rFonts w:ascii="Arial" w:hAnsi="Arial" w:cs="Arial"/>
          <w:color w:val="000000" w:themeColor="text1"/>
          <w:sz w:val="21"/>
          <w:szCs w:val="21"/>
          <w:lang w:val="es-ES"/>
        </w:rPr>
        <w:t xml:space="preserve">. </w:t>
      </w:r>
    </w:p>
    <w:p w14:paraId="7A3EF530" w14:textId="77777777" w:rsidR="0067762E" w:rsidRPr="000A593C" w:rsidRDefault="0067762E" w:rsidP="0067762E">
      <w:pPr>
        <w:tabs>
          <w:tab w:val="left" w:pos="0"/>
        </w:tabs>
        <w:spacing w:line="276" w:lineRule="auto"/>
        <w:jc w:val="both"/>
        <w:rPr>
          <w:rFonts w:ascii="Arial" w:eastAsia="Calibri" w:hAnsi="Arial" w:cs="Arial"/>
          <w:color w:val="000000" w:themeColor="text1"/>
          <w:sz w:val="22"/>
          <w:lang w:val="es-ES"/>
        </w:rPr>
      </w:pPr>
    </w:p>
    <w:p w14:paraId="5C512560" w14:textId="77777777" w:rsidR="0067762E" w:rsidRPr="005F1821" w:rsidRDefault="0067762E" w:rsidP="0067762E">
      <w:pPr>
        <w:spacing w:after="120" w:line="276" w:lineRule="auto"/>
        <w:jc w:val="both"/>
        <w:rPr>
          <w:rFonts w:ascii="Arial" w:hAnsi="Arial" w:cs="Arial"/>
          <w:sz w:val="22"/>
        </w:rPr>
      </w:pPr>
      <w:r w:rsidRPr="005F1821">
        <w:rPr>
          <w:rFonts w:ascii="Arial" w:hAnsi="Arial" w:cs="Arial"/>
          <w:sz w:val="22"/>
        </w:rPr>
        <w:t xml:space="preserve">De conformidad con las consideraciones de este concepto, se concluye que el documento tipo no estableció la exigencia de la acreditación, durante el procedimiento de selección, del cumplimiento de la obligación legal establecida en el artículo 17 de la Ley 842 de 2003. Además, dicho evento no se encuentra establecido como causal de rechazo de las ofertas </w:t>
      </w:r>
      <w:r w:rsidRPr="005F1821">
        <w:rPr>
          <w:rFonts w:ascii="Arial" w:hAnsi="Arial" w:cs="Arial"/>
          <w:sz w:val="22"/>
        </w:rPr>
        <w:lastRenderedPageBreak/>
        <w:t xml:space="preserve">y las entidades no pueden incluir nuevas causales distintas a las establecidas en los documentos tipo. </w:t>
      </w:r>
    </w:p>
    <w:p w14:paraId="3013C64B" w14:textId="77777777" w:rsidR="0067762E" w:rsidRPr="0035000B" w:rsidRDefault="0067762E" w:rsidP="0067762E">
      <w:pPr>
        <w:spacing w:line="276" w:lineRule="auto"/>
        <w:ind w:firstLine="708"/>
        <w:jc w:val="both"/>
        <w:rPr>
          <w:rFonts w:ascii="Arial" w:hAnsi="Arial" w:cs="Arial"/>
          <w:sz w:val="22"/>
          <w:lang w:val="es-ES"/>
        </w:rPr>
      </w:pPr>
      <w:r w:rsidRPr="005F1821">
        <w:rPr>
          <w:rFonts w:ascii="Arial" w:hAnsi="Arial" w:cs="Arial"/>
          <w:sz w:val="22"/>
        </w:rPr>
        <w:t>Adicionalmente, como se indicó, el artículo citado establece el deber para las personas jurídicas, cuyas actividades correspondan al ejercicio de la ingeniería, de incluir en su «nómina permanente» al menos a un profesional matriculado en la carrera correspondiente al objeto social de la persona jurídica. Sin embargo, pese a la existencia de dicho deber, no establece una consecuencia particular frente a su incidencia en los procedimientos de selección adelantados por las entidades estatales, como sería la imposibilidad de participar en dichos procesos ante la inobservancia del cumplimiento de dicha exigencia o el deber de presentar algún documento para acreditar el cumplimiento de dicha obligación en el desarrollo de tales procesos contractuales.</w:t>
      </w:r>
    </w:p>
    <w:p w14:paraId="01AAECBD" w14:textId="77777777" w:rsidR="0067762E" w:rsidRDefault="0067762E" w:rsidP="0067762E">
      <w:pPr>
        <w:spacing w:line="276" w:lineRule="auto"/>
        <w:ind w:firstLine="708"/>
        <w:jc w:val="both"/>
        <w:rPr>
          <w:rFonts w:ascii="Arial" w:hAnsi="Arial" w:cs="Arial"/>
          <w:sz w:val="22"/>
          <w:lang w:val="es-ES"/>
        </w:rPr>
      </w:pPr>
    </w:p>
    <w:p w14:paraId="1548B8B3" w14:textId="77777777" w:rsidR="0067762E" w:rsidRDefault="0067762E" w:rsidP="0067762E">
      <w:pPr>
        <w:tabs>
          <w:tab w:val="left" w:pos="0"/>
        </w:tabs>
        <w:ind w:left="709" w:right="709"/>
        <w:jc w:val="both"/>
        <w:rPr>
          <w:rFonts w:ascii="Arial" w:eastAsia="Calibri" w:hAnsi="Arial" w:cs="Arial"/>
          <w:bCs/>
          <w:color w:val="000000" w:themeColor="text1"/>
          <w:sz w:val="21"/>
          <w:szCs w:val="21"/>
          <w:lang w:val="es-ES"/>
        </w:rPr>
      </w:pPr>
      <w:r w:rsidRPr="00A22F1E">
        <w:rPr>
          <w:rFonts w:ascii="Arial" w:eastAsia="Calibri" w:hAnsi="Arial" w:cs="Arial"/>
          <w:bCs/>
          <w:color w:val="000000" w:themeColor="text1"/>
          <w:sz w:val="21"/>
          <w:szCs w:val="21"/>
          <w:lang w:val="es-ES"/>
        </w:rPr>
        <w:t>¿Qué tipo de profesionales de la ingeniera se deben considerar como válidos para dar cumplimiento a la capacidad técnica?</w:t>
      </w:r>
    </w:p>
    <w:p w14:paraId="21E25AB0" w14:textId="77777777" w:rsidR="0067762E" w:rsidRDefault="0067762E" w:rsidP="0067762E">
      <w:pPr>
        <w:tabs>
          <w:tab w:val="left" w:pos="0"/>
        </w:tabs>
        <w:ind w:right="709"/>
        <w:jc w:val="both"/>
        <w:rPr>
          <w:rFonts w:ascii="Arial" w:eastAsia="Calibri" w:hAnsi="Arial" w:cs="Arial"/>
          <w:bCs/>
          <w:color w:val="000000" w:themeColor="text1"/>
          <w:sz w:val="21"/>
          <w:szCs w:val="21"/>
          <w:lang w:val="es-ES"/>
        </w:rPr>
      </w:pPr>
    </w:p>
    <w:p w14:paraId="03BDCA23" w14:textId="77777777" w:rsidR="0067762E" w:rsidRDefault="0067762E" w:rsidP="0067762E">
      <w:pPr>
        <w:spacing w:before="120" w:line="276" w:lineRule="auto"/>
        <w:jc w:val="both"/>
        <w:rPr>
          <w:rFonts w:ascii="Arial" w:hAnsi="Arial" w:cs="Arial"/>
          <w:color w:val="000000" w:themeColor="text1"/>
          <w:sz w:val="22"/>
        </w:rPr>
      </w:pPr>
      <w:r>
        <w:rPr>
          <w:rFonts w:ascii="Arial" w:hAnsi="Arial" w:cs="Arial"/>
          <w:sz w:val="22"/>
        </w:rPr>
        <w:t xml:space="preserve">El literal D, del numeral 3.10.2 de los documentos base </w:t>
      </w:r>
      <w:r>
        <w:rPr>
          <w:rFonts w:ascii="Arial" w:hAnsi="Arial" w:cs="Arial"/>
          <w:sz w:val="22"/>
          <w:szCs w:val="20"/>
        </w:rPr>
        <w:t xml:space="preserve">de obra pública de infraestructura de transporte </w:t>
      </w:r>
      <w:r w:rsidRPr="00423A44">
        <w:rPr>
          <w:rFonts w:ascii="Arial" w:hAnsi="Arial" w:cs="Arial"/>
          <w:sz w:val="22"/>
          <w:szCs w:val="20"/>
        </w:rPr>
        <w:t>para procesos de licitación pública</w:t>
      </w:r>
      <w:r>
        <w:rPr>
          <w:rFonts w:ascii="Arial" w:hAnsi="Arial" w:cs="Arial"/>
          <w:sz w:val="22"/>
          <w:szCs w:val="20"/>
        </w:rPr>
        <w:t xml:space="preserve"> – Versión 3, establece que</w:t>
      </w:r>
      <w:r>
        <w:rPr>
          <w:rFonts w:ascii="Arial" w:hAnsi="Arial" w:cs="Arial"/>
          <w:sz w:val="22"/>
        </w:rPr>
        <w:t xml:space="preserve"> el </w:t>
      </w:r>
      <w:r w:rsidRPr="00BB7B11">
        <w:rPr>
          <w:rFonts w:ascii="Arial" w:hAnsi="Arial" w:cs="Arial"/>
          <w:sz w:val="22"/>
        </w:rPr>
        <w:t xml:space="preserve">factor </w:t>
      </w:r>
      <w:r>
        <w:rPr>
          <w:rFonts w:ascii="Arial" w:hAnsi="Arial" w:cs="Arial"/>
          <w:sz w:val="22"/>
        </w:rPr>
        <w:t>capacidad técnica ‒</w:t>
      </w:r>
      <w:r w:rsidRPr="00BB7B11">
        <w:rPr>
          <w:rFonts w:ascii="Arial" w:hAnsi="Arial" w:cs="Arial"/>
          <w:sz w:val="22"/>
        </w:rPr>
        <w:t>CT</w:t>
      </w:r>
      <w:r>
        <w:rPr>
          <w:rFonts w:ascii="Arial" w:hAnsi="Arial" w:cs="Arial"/>
          <w:sz w:val="22"/>
        </w:rPr>
        <w:t>‒</w:t>
      </w:r>
      <w:r w:rsidRPr="00BB7B11">
        <w:rPr>
          <w:rFonts w:ascii="Arial" w:hAnsi="Arial" w:cs="Arial"/>
          <w:sz w:val="22"/>
        </w:rPr>
        <w:t xml:space="preserve"> para propósitos de la capacidad residual </w:t>
      </w:r>
      <w:r w:rsidRPr="005B2981">
        <w:rPr>
          <w:rFonts w:ascii="Arial" w:hAnsi="Arial" w:cs="Arial"/>
          <w:sz w:val="22"/>
        </w:rPr>
        <w:t xml:space="preserve">se asigna teniendo en cuenta el número de socios y profesionales de la </w:t>
      </w:r>
      <w:r>
        <w:rPr>
          <w:rFonts w:ascii="Arial" w:hAnsi="Arial" w:cs="Arial"/>
          <w:sz w:val="22"/>
        </w:rPr>
        <w:t>a</w:t>
      </w:r>
      <w:r w:rsidRPr="005B2981">
        <w:rPr>
          <w:rFonts w:ascii="Arial" w:hAnsi="Arial" w:cs="Arial"/>
          <w:sz w:val="22"/>
        </w:rPr>
        <w:t xml:space="preserve">rquitectura, </w:t>
      </w:r>
      <w:r>
        <w:rPr>
          <w:rFonts w:ascii="Arial" w:hAnsi="Arial" w:cs="Arial"/>
          <w:sz w:val="22"/>
        </w:rPr>
        <w:t>i</w:t>
      </w:r>
      <w:r w:rsidRPr="005B2981">
        <w:rPr>
          <w:rFonts w:ascii="Arial" w:hAnsi="Arial" w:cs="Arial"/>
          <w:sz w:val="22"/>
        </w:rPr>
        <w:t xml:space="preserve">ngeniería y </w:t>
      </w:r>
      <w:r>
        <w:rPr>
          <w:rFonts w:ascii="Arial" w:hAnsi="Arial" w:cs="Arial"/>
          <w:sz w:val="22"/>
        </w:rPr>
        <w:t>g</w:t>
      </w:r>
      <w:r w:rsidRPr="005B2981">
        <w:rPr>
          <w:rFonts w:ascii="Arial" w:hAnsi="Arial" w:cs="Arial"/>
          <w:sz w:val="22"/>
        </w:rPr>
        <w:t>eología vinculados mediante una relación laboral o contractual vigente conforme a la cual desarrollen actividades vinculadas directamente con la construcción</w:t>
      </w:r>
      <w:r>
        <w:rPr>
          <w:rFonts w:ascii="Arial" w:eastAsia="Arial" w:hAnsi="Arial" w:cs="Arial"/>
          <w:color w:val="000000" w:themeColor="text1"/>
          <w:sz w:val="22"/>
          <w:lang w:eastAsia="es-ES" w:bidi="es-ES"/>
        </w:rPr>
        <w:t>. En este sentido, los documentos base determinan expresamente las profesiones que deben tenerse en cuenta para efectos de la asignación del puntaje allí contemplado, esto es, la arquitectura, la geología y la ingeniería</w:t>
      </w:r>
      <w:r>
        <w:rPr>
          <w:rFonts w:ascii="Arial" w:hAnsi="Arial" w:cs="Arial"/>
          <w:color w:val="000000" w:themeColor="text1"/>
          <w:sz w:val="22"/>
        </w:rPr>
        <w:t>.</w:t>
      </w:r>
    </w:p>
    <w:p w14:paraId="23005D09" w14:textId="77777777" w:rsidR="0067762E" w:rsidRDefault="0067762E" w:rsidP="0067762E">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Ahora bien, </w:t>
      </w:r>
      <w:r w:rsidRPr="00C46EE6">
        <w:rPr>
          <w:rFonts w:ascii="Arial" w:hAnsi="Arial" w:cs="Arial"/>
          <w:color w:val="000000" w:themeColor="text1"/>
          <w:sz w:val="22"/>
        </w:rPr>
        <w:t>es preciso señalar que la «Guía para Determinar y Verificar la Capacidad Residual del Proponente en los Procesos de Contratación de Obra Pública» expedida por la Agencia Nacional de Contratación Pública – Colombia Compra Eficiente no restringió a una rama espec</w:t>
      </w:r>
      <w:r>
        <w:rPr>
          <w:rFonts w:ascii="Arial" w:hAnsi="Arial" w:cs="Arial"/>
          <w:color w:val="000000" w:themeColor="text1"/>
          <w:sz w:val="22"/>
        </w:rPr>
        <w:t>í</w:t>
      </w:r>
      <w:r w:rsidRPr="00C46EE6">
        <w:rPr>
          <w:rFonts w:ascii="Arial" w:hAnsi="Arial" w:cs="Arial"/>
          <w:color w:val="000000" w:themeColor="text1"/>
          <w:sz w:val="22"/>
        </w:rPr>
        <w:t xml:space="preserve">fica de la ingeniería los profesionales a tener en cuenta para la determinación de la capacidad técnica. Por tanto, la capacidad técnica se determina </w:t>
      </w:r>
      <w:r>
        <w:rPr>
          <w:rFonts w:ascii="Arial" w:hAnsi="Arial" w:cs="Arial"/>
          <w:color w:val="000000" w:themeColor="text1"/>
          <w:sz w:val="22"/>
        </w:rPr>
        <w:t>en atención a</w:t>
      </w:r>
      <w:r w:rsidRPr="00C46EE6">
        <w:rPr>
          <w:rFonts w:ascii="Arial" w:hAnsi="Arial" w:cs="Arial"/>
          <w:color w:val="000000" w:themeColor="text1"/>
          <w:sz w:val="22"/>
        </w:rPr>
        <w:t>l número de profesionales de la ingeniería, independientemente de la rama u área a la que pertenezcan, vinculados mediante una relación laboral o contractual conforme a la cual desarrollen actividades relacionadas directamente a la construcción de obra.</w:t>
      </w:r>
    </w:p>
    <w:p w14:paraId="5FFDDE36" w14:textId="77777777" w:rsidR="0067762E" w:rsidRPr="00A22F1E" w:rsidRDefault="0067762E" w:rsidP="0067762E">
      <w:pPr>
        <w:tabs>
          <w:tab w:val="left" w:pos="0"/>
        </w:tabs>
        <w:ind w:right="709"/>
        <w:jc w:val="both"/>
        <w:rPr>
          <w:rFonts w:ascii="Arial" w:eastAsia="Calibri" w:hAnsi="Arial" w:cs="Arial"/>
          <w:bCs/>
          <w:color w:val="000000" w:themeColor="text1"/>
          <w:sz w:val="21"/>
          <w:szCs w:val="21"/>
          <w:lang w:val="es-ES"/>
        </w:rPr>
      </w:pPr>
    </w:p>
    <w:p w14:paraId="2942A372" w14:textId="77777777" w:rsidR="0067762E" w:rsidRPr="00A22F1E" w:rsidRDefault="0067762E" w:rsidP="0067762E">
      <w:pPr>
        <w:tabs>
          <w:tab w:val="left" w:pos="0"/>
        </w:tabs>
        <w:ind w:left="709" w:right="709"/>
        <w:jc w:val="both"/>
        <w:rPr>
          <w:rFonts w:ascii="Arial" w:eastAsia="Calibri" w:hAnsi="Arial" w:cs="Arial"/>
          <w:bCs/>
          <w:color w:val="000000" w:themeColor="text1"/>
          <w:sz w:val="21"/>
          <w:szCs w:val="21"/>
          <w:lang w:val="es-ES"/>
        </w:rPr>
      </w:pPr>
      <w:r w:rsidRPr="00A22F1E">
        <w:rPr>
          <w:rFonts w:ascii="Arial" w:eastAsia="Calibri" w:hAnsi="Arial" w:cs="Arial"/>
          <w:bCs/>
          <w:color w:val="000000" w:themeColor="text1"/>
          <w:sz w:val="21"/>
          <w:szCs w:val="21"/>
          <w:lang w:val="es-ES"/>
        </w:rPr>
        <w:t xml:space="preserve">«El contrato acreditado por integrante de la figura asociativa se tiene en cuenta como un contrato para el cumplimiento del numeral 3.5.8 de los pliegos? Es decir, para el caso de un consorcio de tres integrantes, se debe presentar tres contratos para dar cumplimiento al numeral 3.5.8? o por el contrario, los contratos para dar cumplimiento al literal D del numeral 3.5.3 son simplemente </w:t>
      </w:r>
      <w:r>
        <w:rPr>
          <w:rFonts w:ascii="Arial" w:eastAsia="Calibri" w:hAnsi="Arial" w:cs="Arial"/>
          <w:bCs/>
          <w:color w:val="000000" w:themeColor="text1"/>
          <w:sz w:val="21"/>
          <w:szCs w:val="21"/>
          <w:lang w:val="es-ES"/>
        </w:rPr>
        <w:t xml:space="preserve"> </w:t>
      </w:r>
      <w:r w:rsidRPr="00A22F1E">
        <w:rPr>
          <w:rFonts w:ascii="Arial" w:eastAsia="Calibri" w:hAnsi="Arial" w:cs="Arial"/>
          <w:bCs/>
          <w:color w:val="000000" w:themeColor="text1"/>
          <w:sz w:val="21"/>
          <w:szCs w:val="21"/>
          <w:lang w:val="es-ES"/>
        </w:rPr>
        <w:t xml:space="preserve">un requisito que no debe ser tenido en cuenta para el cumplimiento del numeral 3.5.8 de los pliegos de condiciones?, en este último caso, se tendría que hacer </w:t>
      </w:r>
      <w:r w:rsidRPr="00A22F1E">
        <w:rPr>
          <w:rFonts w:ascii="Arial" w:eastAsia="Calibri" w:hAnsi="Arial" w:cs="Arial"/>
          <w:bCs/>
          <w:color w:val="000000" w:themeColor="text1"/>
          <w:sz w:val="21"/>
          <w:szCs w:val="21"/>
          <w:lang w:val="es-ES"/>
        </w:rPr>
        <w:lastRenderedPageBreak/>
        <w:t>distinción entre los contratos que dan cumplimiento al numeral 3.5.8 y los que cumplen el literal D del numeral 3.5.3?».</w:t>
      </w:r>
    </w:p>
    <w:p w14:paraId="7C85207B" w14:textId="77777777" w:rsidR="0067762E" w:rsidRDefault="0067762E" w:rsidP="0067762E">
      <w:pPr>
        <w:spacing w:line="276" w:lineRule="auto"/>
        <w:jc w:val="both"/>
        <w:rPr>
          <w:rFonts w:ascii="Arial" w:hAnsi="Arial" w:cs="Arial"/>
          <w:sz w:val="22"/>
          <w:lang w:val="es-ES_tradnl"/>
        </w:rPr>
      </w:pPr>
    </w:p>
    <w:p w14:paraId="1A3C073F" w14:textId="77777777" w:rsidR="0067762E" w:rsidRPr="006A15E5" w:rsidRDefault="0067762E" w:rsidP="0067762E">
      <w:pPr>
        <w:spacing w:line="276" w:lineRule="auto"/>
        <w:jc w:val="both"/>
        <w:rPr>
          <w:rFonts w:ascii="Arial" w:hAnsi="Arial" w:cs="Arial"/>
          <w:sz w:val="22"/>
          <w:lang w:val="es-ES_tradnl"/>
        </w:rPr>
      </w:pPr>
      <w:r w:rsidRPr="008D12FF">
        <w:rPr>
          <w:rFonts w:ascii="Arial" w:hAnsi="Arial" w:cs="Arial"/>
          <w:sz w:val="22"/>
          <w:lang w:val="es-ES"/>
        </w:rPr>
        <w:t xml:space="preserve">El objetivo del numeral 3.5.8 es determinar el número de contratos con los que los </w:t>
      </w:r>
      <w:r w:rsidRPr="006A15E5">
        <w:rPr>
          <w:rFonts w:ascii="Arial" w:hAnsi="Arial" w:cs="Arial"/>
          <w:sz w:val="22"/>
          <w:lang w:val="es-ES"/>
        </w:rPr>
        <w:t xml:space="preserve">proponentes deben cumplir la experiencia acreditada, y es una relación directa entre estos y el porcentaje del presupuesto oficial de obra señalado en salarios mínimos. </w:t>
      </w:r>
      <w:r w:rsidRPr="005F1821">
        <w:rPr>
          <w:rFonts w:ascii="Arial" w:hAnsi="Arial" w:cs="Arial"/>
          <w:sz w:val="22"/>
        </w:rPr>
        <w:t>Ahora bien, atendiendo lo previsto en el literal d) del «Numeral 3.5.3 consideraciones para la validez de la experiencia requerida», la acreditación de la experiencia por parte de los proponentes plurales, requiere que: i) uno de los integrantes aporte como mínimo el cincuenta por ciento (50%) de la experiencia exigida, ii) los demás integrantes acrediten al menos el cinco por ciento de la experiencia requerida y, iii) sin perjuicio de lo anterior, solo uno de los integrantes, si así lo considera conveniente, podrá no acreditar experiencia. Por tanto, para atender la exigencia definida anteriormente, se requerirá que la experiencia acreditada por cada uno de sus integrantes sea en relación con el valor del proceso de contratación que se requiere certificar.</w:t>
      </w:r>
    </w:p>
    <w:p w14:paraId="0BEEB968" w14:textId="77777777" w:rsidR="0067762E" w:rsidRPr="001E47A8" w:rsidRDefault="0067762E" w:rsidP="0067762E">
      <w:pPr>
        <w:pStyle w:val="Default"/>
        <w:spacing w:before="120" w:after="120" w:line="276" w:lineRule="auto"/>
        <w:ind w:firstLine="708"/>
        <w:jc w:val="both"/>
        <w:rPr>
          <w:sz w:val="22"/>
          <w:szCs w:val="22"/>
          <w:lang w:val="es-MX"/>
        </w:rPr>
      </w:pPr>
      <w:r w:rsidRPr="006A15E5">
        <w:rPr>
          <w:sz w:val="22"/>
          <w:szCs w:val="22"/>
          <w:lang w:val="es-MX"/>
        </w:rPr>
        <w:t>Finalmente</w:t>
      </w:r>
      <w:r>
        <w:rPr>
          <w:sz w:val="22"/>
          <w:szCs w:val="22"/>
          <w:lang w:val="es-MX"/>
        </w:rPr>
        <w:t xml:space="preserve">, cabe indicar que </w:t>
      </w:r>
      <w:r w:rsidRPr="006A15E5">
        <w:rPr>
          <w:sz w:val="22"/>
          <w:szCs w:val="22"/>
          <w:lang w:val="es-MX"/>
        </w:rPr>
        <w:t>el numeral 3.5.8 se aplica para verificar la acreditación de la experienci</w:t>
      </w:r>
      <w:r w:rsidRPr="00523366">
        <w:rPr>
          <w:sz w:val="22"/>
          <w:szCs w:val="22"/>
          <w:lang w:val="es-MX"/>
        </w:rPr>
        <w:t>a teniendo en cuenta el número de contratos que aporta el proponente, sin tener en cuenta cuál de sus integrantes los aporta; de otro lado, la verificación que se hace a través del literal d) del numeral 3.5.3 se hace sobre los mismos contratos, pero para verificar la experiencia de los integrantes del proponente plural. En tal sentido, se aclara que los contratos que se aportan para la verificación de ambos numerales son los mismos, solo que se analiza el cumplimiento de cada uno de estos numerales por separado</w:t>
      </w:r>
      <w:r w:rsidRPr="005F1821">
        <w:rPr>
          <w:sz w:val="22"/>
          <w:szCs w:val="22"/>
          <w:lang w:val="es-MX"/>
        </w:rPr>
        <w:t>, como se explicó.</w:t>
      </w:r>
    </w:p>
    <w:p w14:paraId="604B8320" w14:textId="77777777" w:rsidR="0067762E" w:rsidRPr="008D12FF" w:rsidRDefault="0067762E" w:rsidP="0067762E">
      <w:pPr>
        <w:spacing w:line="276" w:lineRule="auto"/>
        <w:ind w:firstLine="709"/>
        <w:jc w:val="both"/>
        <w:rPr>
          <w:rFonts w:ascii="Arial" w:eastAsia="Calibri" w:hAnsi="Arial" w:cs="Arial"/>
          <w:color w:val="000000"/>
          <w:sz w:val="22"/>
        </w:rPr>
      </w:pPr>
    </w:p>
    <w:p w14:paraId="4BF2533E" w14:textId="77777777" w:rsidR="0067762E" w:rsidRPr="000A593C" w:rsidRDefault="0067762E" w:rsidP="0067762E">
      <w:pPr>
        <w:tabs>
          <w:tab w:val="left" w:pos="426"/>
        </w:tabs>
        <w:spacing w:after="120" w:line="276" w:lineRule="auto"/>
        <w:jc w:val="both"/>
        <w:rPr>
          <w:rFonts w:ascii="Arial" w:hAnsi="Arial" w:cs="Arial"/>
          <w:color w:val="000000" w:themeColor="text1"/>
          <w:sz w:val="22"/>
          <w:lang w:val="es-ES"/>
        </w:rPr>
      </w:pPr>
      <w:r w:rsidRPr="000A593C">
        <w:rPr>
          <w:rFonts w:ascii="Arial" w:hAnsi="Arial" w:cs="Arial"/>
          <w:color w:val="000000" w:themeColor="text1"/>
          <w:sz w:val="22"/>
          <w:lang w:val="es-ES"/>
        </w:rPr>
        <w:t>Este concepto tiene el alcance previsto en el artículo 28 del Código de Procedimiento Administrativo y de lo Contencioso Administrativo.</w:t>
      </w:r>
    </w:p>
    <w:p w14:paraId="04913938" w14:textId="627339FF" w:rsidR="007C1D10" w:rsidRPr="00BF53F1" w:rsidRDefault="0067762E" w:rsidP="00BF53F1">
      <w:pPr>
        <w:tabs>
          <w:tab w:val="left" w:pos="426"/>
        </w:tabs>
        <w:spacing w:after="120" w:line="276" w:lineRule="auto"/>
        <w:jc w:val="both"/>
        <w:rPr>
          <w:rFonts w:ascii="Arial" w:eastAsia="Times New Roman" w:hAnsi="Arial" w:cs="Arial"/>
          <w:color w:val="000000" w:themeColor="text1"/>
          <w:sz w:val="22"/>
          <w:lang w:val="es-ES" w:eastAsia="es-CO"/>
        </w:rPr>
      </w:pPr>
      <w:r w:rsidRPr="000A593C">
        <w:rPr>
          <w:rFonts w:ascii="Arial" w:hAnsi="Arial" w:cs="Arial"/>
          <w:color w:val="000000" w:themeColor="text1"/>
          <w:sz w:val="22"/>
          <w:lang w:val="es-ES"/>
        </w:rPr>
        <w:t>Atentamente,</w:t>
      </w:r>
      <w:bookmarkEnd w:id="2"/>
      <w:bookmarkEnd w:id="3"/>
      <w:r w:rsidR="007C1D10" w:rsidRPr="00424ACC">
        <w:rPr>
          <w:rFonts w:ascii="Arial" w:eastAsia="Times New Roman" w:hAnsi="Arial" w:cs="Arial"/>
          <w:bCs/>
          <w:sz w:val="18"/>
          <w:szCs w:val="18"/>
          <w:lang w:val="es-ES" w:eastAsia="es-CO"/>
        </w:rPr>
        <w:t> </w:t>
      </w:r>
    </w:p>
    <w:p w14:paraId="524CC720" w14:textId="71D7C75B" w:rsidR="007C1D10" w:rsidRPr="000A593C" w:rsidRDefault="007C1D10" w:rsidP="007C1D10">
      <w:pPr>
        <w:jc w:val="center"/>
        <w:textAlignment w:val="baseline"/>
        <w:rPr>
          <w:rFonts w:ascii="Arial" w:eastAsia="Times New Roman" w:hAnsi="Arial" w:cs="Arial"/>
          <w:sz w:val="18"/>
          <w:szCs w:val="18"/>
          <w:lang w:val="es-ES" w:eastAsia="es-CO"/>
        </w:rPr>
      </w:pPr>
      <w:r w:rsidRPr="000A593C">
        <w:rPr>
          <w:rFonts w:ascii="Arial" w:eastAsia="Times New Roman" w:hAnsi="Arial" w:cs="Arial"/>
          <w:sz w:val="18"/>
          <w:szCs w:val="18"/>
          <w:lang w:val="es-ES" w:eastAsia="es-CO"/>
        </w:rPr>
        <w:t> </w:t>
      </w:r>
      <w:r w:rsidR="00AE5671">
        <w:rPr>
          <w:rFonts w:ascii="Arial" w:eastAsia="Times New Roman" w:hAnsi="Arial" w:cs="Arial"/>
          <w:noProof/>
          <w:sz w:val="18"/>
          <w:szCs w:val="18"/>
          <w:lang w:val="es-ES" w:eastAsia="es-CO"/>
        </w:rPr>
        <w:drawing>
          <wp:inline distT="0" distB="0" distL="0" distR="0" wp14:anchorId="7E07E32B" wp14:editId="7740BE9B">
            <wp:extent cx="2514600" cy="1104900"/>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stretch>
                      <a:fillRect/>
                    </a:stretch>
                  </pic:blipFill>
                  <pic:spPr>
                    <a:xfrm>
                      <a:off x="0" y="0"/>
                      <a:ext cx="2514600" cy="1104900"/>
                    </a:xfrm>
                    <a:prstGeom prst="rect">
                      <a:avLst/>
                    </a:prstGeom>
                  </pic:spPr>
                </pic:pic>
              </a:graphicData>
            </a:graphic>
          </wp:inline>
        </w:drawing>
      </w:r>
    </w:p>
    <w:p w14:paraId="667FEFCA" w14:textId="77777777" w:rsidR="007C1D10" w:rsidRPr="000A593C" w:rsidRDefault="007C1D10" w:rsidP="007C1D10">
      <w:pPr>
        <w:jc w:val="center"/>
        <w:textAlignment w:val="baseline"/>
        <w:rPr>
          <w:rFonts w:ascii="Arial" w:eastAsia="Times New Roman" w:hAnsi="Arial" w:cs="Arial"/>
          <w:sz w:val="18"/>
          <w:szCs w:val="18"/>
          <w:lang w:val="es-ES" w:eastAsia="es-CO"/>
        </w:rPr>
      </w:pPr>
      <w:r w:rsidRPr="000A593C">
        <w:rPr>
          <w:rFonts w:ascii="Arial" w:eastAsia="Times New Roman" w:hAnsi="Arial" w:cs="Arial"/>
          <w:sz w:val="18"/>
          <w:szCs w:val="18"/>
          <w:lang w:val="es-ES" w:eastAsia="es-CO"/>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410"/>
      </w:tblGrid>
      <w:tr w:rsidR="007C1D10" w:rsidRPr="000A593C" w14:paraId="7F3FEE87" w14:textId="77777777" w:rsidTr="0072666E">
        <w:trPr>
          <w:trHeight w:val="315"/>
        </w:trPr>
        <w:tc>
          <w:tcPr>
            <w:tcW w:w="810" w:type="dxa"/>
            <w:tcBorders>
              <w:top w:val="nil"/>
              <w:left w:val="nil"/>
              <w:bottom w:val="nil"/>
              <w:right w:val="nil"/>
            </w:tcBorders>
            <w:vAlign w:val="center"/>
            <w:hideMark/>
          </w:tcPr>
          <w:p w14:paraId="551EF811" w14:textId="77777777" w:rsidR="007C1D10" w:rsidRPr="000A593C" w:rsidRDefault="007C1D10" w:rsidP="0072666E">
            <w:pPr>
              <w:spacing w:line="254" w:lineRule="auto"/>
              <w:textAlignment w:val="baseline"/>
              <w:rPr>
                <w:rFonts w:ascii="Arial" w:eastAsia="Times New Roman" w:hAnsi="Arial" w:cs="Arial"/>
                <w:szCs w:val="24"/>
                <w:lang w:val="es-ES" w:eastAsia="es-CO"/>
              </w:rPr>
            </w:pPr>
            <w:r w:rsidRPr="000A593C">
              <w:rPr>
                <w:rFonts w:ascii="Arial" w:eastAsia="Times New Roman" w:hAnsi="Arial" w:cs="Arial"/>
                <w:sz w:val="16"/>
                <w:szCs w:val="16"/>
                <w:lang w:val="es-ES" w:eastAsia="es-CO"/>
              </w:rPr>
              <w:t>Elaboró: </w:t>
            </w:r>
          </w:p>
        </w:tc>
        <w:tc>
          <w:tcPr>
            <w:tcW w:w="4410" w:type="dxa"/>
            <w:tcBorders>
              <w:top w:val="nil"/>
              <w:left w:val="nil"/>
              <w:bottom w:val="dotted" w:sz="6" w:space="0" w:color="7F7F7F"/>
              <w:right w:val="nil"/>
            </w:tcBorders>
            <w:vAlign w:val="center"/>
            <w:hideMark/>
          </w:tcPr>
          <w:p w14:paraId="201F7C4B" w14:textId="77777777" w:rsidR="007C1D10" w:rsidRPr="000A593C" w:rsidRDefault="007C1D10" w:rsidP="0072666E">
            <w:pPr>
              <w:spacing w:line="254" w:lineRule="auto"/>
              <w:textAlignment w:val="baseline"/>
              <w:rPr>
                <w:rFonts w:ascii="Arial" w:eastAsia="Times New Roman" w:hAnsi="Arial" w:cs="Arial"/>
                <w:szCs w:val="24"/>
                <w:lang w:val="es-ES" w:eastAsia="es-CO"/>
              </w:rPr>
            </w:pPr>
            <w:r w:rsidRPr="000A593C">
              <w:rPr>
                <w:rFonts w:ascii="Arial" w:eastAsia="Times New Roman" w:hAnsi="Arial" w:cs="Arial"/>
                <w:sz w:val="16"/>
                <w:szCs w:val="16"/>
                <w:lang w:val="es-ES" w:eastAsia="es-CO"/>
              </w:rPr>
              <w:t xml:space="preserve">Sandra </w:t>
            </w:r>
            <w:proofErr w:type="spellStart"/>
            <w:r w:rsidRPr="000A593C">
              <w:rPr>
                <w:rFonts w:ascii="Arial" w:eastAsia="Times New Roman" w:hAnsi="Arial" w:cs="Arial"/>
                <w:sz w:val="16"/>
                <w:szCs w:val="16"/>
                <w:lang w:val="es-ES" w:eastAsia="es-CO"/>
              </w:rPr>
              <w:t>Milea</w:t>
            </w:r>
            <w:proofErr w:type="spellEnd"/>
            <w:r w:rsidRPr="000A593C">
              <w:rPr>
                <w:rFonts w:ascii="Arial" w:eastAsia="Times New Roman" w:hAnsi="Arial" w:cs="Arial"/>
                <w:sz w:val="16"/>
                <w:szCs w:val="16"/>
                <w:lang w:val="es-ES" w:eastAsia="es-CO"/>
              </w:rPr>
              <w:t xml:space="preserve"> Rodríguez Mora</w:t>
            </w:r>
          </w:p>
          <w:p w14:paraId="72F01419" w14:textId="4D9AB76F" w:rsidR="007C1D10" w:rsidRPr="000A593C" w:rsidRDefault="00EB1C11" w:rsidP="0072666E">
            <w:pPr>
              <w:spacing w:line="254" w:lineRule="auto"/>
              <w:textAlignment w:val="baseline"/>
              <w:rPr>
                <w:rFonts w:ascii="Arial" w:eastAsia="Times New Roman" w:hAnsi="Arial" w:cs="Arial"/>
                <w:szCs w:val="24"/>
                <w:lang w:val="es-ES" w:eastAsia="es-CO"/>
              </w:rPr>
            </w:pPr>
            <w:r w:rsidRPr="000A593C">
              <w:rPr>
                <w:rFonts w:ascii="Arial" w:eastAsia="Times New Roman" w:hAnsi="Arial" w:cs="Arial"/>
                <w:sz w:val="16"/>
                <w:szCs w:val="16"/>
                <w:lang w:val="es-ES" w:eastAsia="es-CO"/>
              </w:rPr>
              <w:t>Contratista de</w:t>
            </w:r>
            <w:r>
              <w:rPr>
                <w:rFonts w:ascii="Arial" w:eastAsia="Times New Roman" w:hAnsi="Arial" w:cs="Arial"/>
                <w:sz w:val="16"/>
                <w:szCs w:val="16"/>
                <w:lang w:val="es-ES" w:eastAsia="es-CO"/>
              </w:rPr>
              <w:t xml:space="preserve"> la Subdirección de Gestión Contractual </w:t>
            </w:r>
          </w:p>
        </w:tc>
      </w:tr>
      <w:tr w:rsidR="007C1D10" w:rsidRPr="000A593C" w14:paraId="735F5D61" w14:textId="77777777" w:rsidTr="0072666E">
        <w:trPr>
          <w:trHeight w:val="315"/>
        </w:trPr>
        <w:tc>
          <w:tcPr>
            <w:tcW w:w="810" w:type="dxa"/>
            <w:tcBorders>
              <w:top w:val="outset" w:sz="6" w:space="0" w:color="auto"/>
              <w:left w:val="nil"/>
              <w:bottom w:val="nil"/>
              <w:right w:val="nil"/>
            </w:tcBorders>
            <w:vAlign w:val="center"/>
            <w:hideMark/>
          </w:tcPr>
          <w:p w14:paraId="52AE9D2A" w14:textId="77777777" w:rsidR="007C1D10" w:rsidRPr="000A593C" w:rsidRDefault="007C1D10" w:rsidP="0072666E">
            <w:pPr>
              <w:spacing w:line="254" w:lineRule="auto"/>
              <w:textAlignment w:val="baseline"/>
              <w:rPr>
                <w:rFonts w:ascii="Arial" w:eastAsia="Times New Roman" w:hAnsi="Arial" w:cs="Arial"/>
                <w:szCs w:val="24"/>
                <w:lang w:val="es-ES" w:eastAsia="es-CO"/>
              </w:rPr>
            </w:pPr>
            <w:r w:rsidRPr="000A593C">
              <w:rPr>
                <w:rFonts w:ascii="Arial" w:eastAsia="Times New Roman" w:hAnsi="Arial" w:cs="Arial"/>
                <w:sz w:val="16"/>
                <w:szCs w:val="16"/>
                <w:lang w:val="es-ES" w:eastAsia="es-CO"/>
              </w:rPr>
              <w:t>Revisó: </w:t>
            </w:r>
          </w:p>
        </w:tc>
        <w:tc>
          <w:tcPr>
            <w:tcW w:w="4410" w:type="dxa"/>
            <w:tcBorders>
              <w:top w:val="dotted" w:sz="6" w:space="0" w:color="7F7F7F"/>
              <w:left w:val="nil"/>
              <w:bottom w:val="dotted" w:sz="6" w:space="0" w:color="7F7F7F"/>
              <w:right w:val="nil"/>
            </w:tcBorders>
            <w:vAlign w:val="center"/>
            <w:hideMark/>
          </w:tcPr>
          <w:p w14:paraId="0FD0324C" w14:textId="77777777" w:rsidR="007C1D10" w:rsidRPr="000A593C" w:rsidRDefault="007C1D10" w:rsidP="0072666E">
            <w:pPr>
              <w:spacing w:line="254" w:lineRule="auto"/>
              <w:textAlignment w:val="baseline"/>
              <w:rPr>
                <w:rFonts w:ascii="Arial" w:eastAsia="Times New Roman" w:hAnsi="Arial" w:cs="Arial"/>
                <w:szCs w:val="24"/>
                <w:lang w:val="es-ES" w:eastAsia="es-CO"/>
              </w:rPr>
            </w:pPr>
            <w:r w:rsidRPr="000A593C">
              <w:rPr>
                <w:rFonts w:ascii="Arial" w:eastAsia="Times New Roman" w:hAnsi="Arial" w:cs="Arial"/>
                <w:sz w:val="16"/>
                <w:szCs w:val="16"/>
                <w:lang w:val="es-ES" w:eastAsia="es-CO"/>
              </w:rPr>
              <w:t>Sebastián Ramírez.</w:t>
            </w:r>
          </w:p>
          <w:p w14:paraId="41263F83" w14:textId="34B09EF5" w:rsidR="007C1D10" w:rsidRPr="000A593C" w:rsidRDefault="007C1D10" w:rsidP="0072666E">
            <w:pPr>
              <w:spacing w:line="254" w:lineRule="auto"/>
              <w:textAlignment w:val="baseline"/>
              <w:rPr>
                <w:rFonts w:ascii="Arial" w:eastAsia="Times New Roman" w:hAnsi="Arial" w:cs="Arial"/>
                <w:szCs w:val="24"/>
                <w:lang w:val="es-ES" w:eastAsia="es-CO"/>
              </w:rPr>
            </w:pPr>
            <w:r w:rsidRPr="000A593C">
              <w:rPr>
                <w:rFonts w:ascii="Arial" w:eastAsia="Times New Roman" w:hAnsi="Arial" w:cs="Arial"/>
                <w:sz w:val="16"/>
                <w:szCs w:val="16"/>
                <w:lang w:val="es-ES" w:eastAsia="es-CO"/>
              </w:rPr>
              <w:t>Gestor T1-15</w:t>
            </w:r>
            <w:r w:rsidR="00EB1C11">
              <w:rPr>
                <w:rFonts w:ascii="Arial" w:eastAsia="Times New Roman" w:hAnsi="Arial" w:cs="Arial"/>
                <w:sz w:val="16"/>
                <w:szCs w:val="16"/>
                <w:lang w:val="es-ES" w:eastAsia="es-CO"/>
              </w:rPr>
              <w:t xml:space="preserve"> de la Subdirección de Gestión Contractual</w:t>
            </w:r>
          </w:p>
        </w:tc>
      </w:tr>
      <w:tr w:rsidR="007C1D10" w:rsidRPr="000A593C" w14:paraId="2822E157" w14:textId="77777777" w:rsidTr="0072666E">
        <w:trPr>
          <w:trHeight w:val="300"/>
        </w:trPr>
        <w:tc>
          <w:tcPr>
            <w:tcW w:w="810" w:type="dxa"/>
            <w:tcBorders>
              <w:top w:val="outset" w:sz="6" w:space="0" w:color="auto"/>
              <w:left w:val="nil"/>
              <w:bottom w:val="nil"/>
              <w:right w:val="nil"/>
            </w:tcBorders>
            <w:vAlign w:val="center"/>
            <w:hideMark/>
          </w:tcPr>
          <w:p w14:paraId="2C8E3572" w14:textId="77777777" w:rsidR="007C1D10" w:rsidRPr="000A593C" w:rsidRDefault="007C1D10" w:rsidP="0072666E">
            <w:pPr>
              <w:spacing w:line="254" w:lineRule="auto"/>
              <w:textAlignment w:val="baseline"/>
              <w:rPr>
                <w:rFonts w:ascii="Arial" w:eastAsia="Times New Roman" w:hAnsi="Arial" w:cs="Arial"/>
                <w:szCs w:val="24"/>
                <w:lang w:val="es-ES" w:eastAsia="es-CO"/>
              </w:rPr>
            </w:pPr>
            <w:r w:rsidRPr="000A593C">
              <w:rPr>
                <w:rFonts w:ascii="Arial" w:eastAsia="Times New Roman" w:hAnsi="Arial" w:cs="Arial"/>
                <w:sz w:val="16"/>
                <w:szCs w:val="16"/>
                <w:lang w:val="es-ES" w:eastAsia="es-CO"/>
              </w:rPr>
              <w:t>Aprobó: </w:t>
            </w:r>
          </w:p>
        </w:tc>
        <w:tc>
          <w:tcPr>
            <w:tcW w:w="4410" w:type="dxa"/>
            <w:tcBorders>
              <w:top w:val="dotted" w:sz="6" w:space="0" w:color="7F7F7F"/>
              <w:left w:val="nil"/>
              <w:bottom w:val="dotted" w:sz="6" w:space="0" w:color="7F7F7F"/>
              <w:right w:val="nil"/>
            </w:tcBorders>
            <w:vAlign w:val="center"/>
            <w:hideMark/>
          </w:tcPr>
          <w:p w14:paraId="66A51CC5" w14:textId="77777777" w:rsidR="007C1D10" w:rsidRPr="000A593C" w:rsidRDefault="007C1D10" w:rsidP="0072666E">
            <w:pPr>
              <w:spacing w:line="254" w:lineRule="auto"/>
              <w:textAlignment w:val="baseline"/>
              <w:rPr>
                <w:rFonts w:ascii="Arial" w:eastAsia="Times New Roman" w:hAnsi="Arial" w:cs="Arial"/>
                <w:szCs w:val="24"/>
                <w:lang w:val="es-ES" w:eastAsia="es-CO"/>
              </w:rPr>
            </w:pPr>
            <w:r w:rsidRPr="000A593C">
              <w:rPr>
                <w:rFonts w:ascii="Arial" w:eastAsia="Times New Roman" w:hAnsi="Arial" w:cs="Arial"/>
                <w:sz w:val="16"/>
                <w:szCs w:val="16"/>
                <w:lang w:val="es-ES" w:eastAsia="es-CO"/>
              </w:rPr>
              <w:t>Jorge Augusto Tirado Navarro </w:t>
            </w:r>
          </w:p>
          <w:p w14:paraId="674DA0E8" w14:textId="77777777" w:rsidR="007C1D10" w:rsidRPr="000A593C" w:rsidRDefault="007C1D10" w:rsidP="0072666E">
            <w:pPr>
              <w:spacing w:line="254" w:lineRule="auto"/>
              <w:textAlignment w:val="baseline"/>
              <w:rPr>
                <w:rFonts w:ascii="Arial" w:eastAsia="Times New Roman" w:hAnsi="Arial" w:cs="Arial"/>
                <w:szCs w:val="24"/>
                <w:lang w:val="es-ES" w:eastAsia="es-CO"/>
              </w:rPr>
            </w:pPr>
            <w:r w:rsidRPr="000A593C">
              <w:rPr>
                <w:rFonts w:ascii="Arial" w:eastAsia="Times New Roman" w:hAnsi="Arial" w:cs="Arial"/>
                <w:sz w:val="16"/>
                <w:szCs w:val="16"/>
                <w:lang w:val="es-ES" w:eastAsia="es-CO"/>
              </w:rPr>
              <w:t>Subdirector de Gestión Contractual </w:t>
            </w:r>
          </w:p>
        </w:tc>
      </w:tr>
      <w:tr w:rsidR="007C1D10" w:rsidRPr="000A593C" w14:paraId="790B6981" w14:textId="77777777" w:rsidTr="0072666E">
        <w:trPr>
          <w:trHeight w:val="300"/>
        </w:trPr>
        <w:tc>
          <w:tcPr>
            <w:tcW w:w="810" w:type="dxa"/>
            <w:tcBorders>
              <w:top w:val="outset" w:sz="6" w:space="0" w:color="auto"/>
              <w:left w:val="nil"/>
              <w:bottom w:val="nil"/>
              <w:right w:val="nil"/>
            </w:tcBorders>
            <w:vAlign w:val="center"/>
            <w:hideMark/>
          </w:tcPr>
          <w:p w14:paraId="5D2B8026" w14:textId="77777777" w:rsidR="007C1D10" w:rsidRPr="000A593C" w:rsidRDefault="007C1D10" w:rsidP="0072666E">
            <w:pPr>
              <w:spacing w:line="254" w:lineRule="auto"/>
              <w:textAlignment w:val="baseline"/>
              <w:rPr>
                <w:rFonts w:ascii="Arial" w:eastAsia="Times New Roman" w:hAnsi="Arial" w:cs="Arial"/>
                <w:szCs w:val="24"/>
                <w:lang w:val="es-ES" w:eastAsia="es-CO"/>
              </w:rPr>
            </w:pPr>
            <w:r w:rsidRPr="000A593C">
              <w:rPr>
                <w:rFonts w:ascii="Arial" w:eastAsia="Times New Roman" w:hAnsi="Arial" w:cs="Arial"/>
                <w:sz w:val="16"/>
                <w:szCs w:val="16"/>
                <w:lang w:val="es-ES" w:eastAsia="es-CO"/>
              </w:rPr>
              <w:t>Anexo: </w:t>
            </w:r>
          </w:p>
        </w:tc>
        <w:tc>
          <w:tcPr>
            <w:tcW w:w="4410" w:type="dxa"/>
            <w:tcBorders>
              <w:top w:val="dotted" w:sz="6" w:space="0" w:color="7F7F7F"/>
              <w:left w:val="nil"/>
              <w:bottom w:val="dotted" w:sz="6" w:space="0" w:color="7F7F7F"/>
              <w:right w:val="nil"/>
            </w:tcBorders>
            <w:vAlign w:val="center"/>
            <w:hideMark/>
          </w:tcPr>
          <w:p w14:paraId="68E01ED3" w14:textId="77777777" w:rsidR="007C1D10" w:rsidRPr="000A593C" w:rsidRDefault="007C1D10" w:rsidP="0072666E">
            <w:pPr>
              <w:spacing w:line="254" w:lineRule="auto"/>
              <w:textAlignment w:val="baseline"/>
              <w:rPr>
                <w:rFonts w:ascii="Arial" w:eastAsia="Times New Roman" w:hAnsi="Arial" w:cs="Arial"/>
                <w:szCs w:val="24"/>
                <w:lang w:val="es-ES" w:eastAsia="es-CO"/>
              </w:rPr>
            </w:pPr>
            <w:r w:rsidRPr="000A593C">
              <w:rPr>
                <w:rFonts w:ascii="Arial" w:eastAsia="Times New Roman" w:hAnsi="Arial" w:cs="Arial"/>
                <w:sz w:val="16"/>
                <w:szCs w:val="16"/>
                <w:lang w:val="es-ES" w:eastAsia="es-CO"/>
              </w:rPr>
              <w:t>0 </w:t>
            </w:r>
          </w:p>
        </w:tc>
      </w:tr>
    </w:tbl>
    <w:p w14:paraId="4889F4B8" w14:textId="2E0AA43E" w:rsidR="003C6BB6" w:rsidRPr="00751FFB" w:rsidRDefault="003C6BB6" w:rsidP="00751FFB">
      <w:pPr>
        <w:tabs>
          <w:tab w:val="left" w:pos="3594"/>
        </w:tabs>
        <w:rPr>
          <w:rFonts w:ascii="Arial" w:hAnsi="Arial" w:cs="Arial"/>
          <w:sz w:val="2"/>
          <w:szCs w:val="2"/>
          <w:lang w:val="es-ES_tradnl"/>
        </w:rPr>
      </w:pPr>
    </w:p>
    <w:sectPr w:rsidR="003C6BB6" w:rsidRPr="00751FF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EAF4F3" w14:textId="77777777" w:rsidR="005F0370" w:rsidRDefault="005F0370">
      <w:r>
        <w:separator/>
      </w:r>
    </w:p>
  </w:endnote>
  <w:endnote w:type="continuationSeparator" w:id="0">
    <w:p w14:paraId="323BA424" w14:textId="77777777" w:rsidR="005F0370" w:rsidRDefault="005F0370">
      <w:r>
        <w:continuationSeparator/>
      </w:r>
    </w:p>
  </w:endnote>
  <w:endnote w:type="continuationNotice" w:id="1">
    <w:p w14:paraId="785FD066" w14:textId="77777777" w:rsidR="005F0370" w:rsidRDefault="005F03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46D323" w14:textId="77777777" w:rsidR="005F0370" w:rsidRDefault="005F0370">
      <w:r>
        <w:separator/>
      </w:r>
    </w:p>
  </w:footnote>
  <w:footnote w:type="continuationSeparator" w:id="0">
    <w:p w14:paraId="295AE4D0" w14:textId="77777777" w:rsidR="005F0370" w:rsidRDefault="005F0370">
      <w:r>
        <w:continuationSeparator/>
      </w:r>
    </w:p>
  </w:footnote>
  <w:footnote w:type="continuationNotice" w:id="1">
    <w:p w14:paraId="2D3C27A0" w14:textId="77777777" w:rsidR="005F0370" w:rsidRDefault="005F0370"/>
  </w:footnote>
  <w:footnote w:id="2">
    <w:p w14:paraId="3110A012" w14:textId="77777777" w:rsidR="0067762E" w:rsidRPr="00E032C8" w:rsidRDefault="0067762E" w:rsidP="0067762E">
      <w:pPr>
        <w:pStyle w:val="Car1"/>
        <w:ind w:firstLine="709"/>
        <w:jc w:val="both"/>
        <w:rPr>
          <w:rFonts w:ascii="Arial" w:hAnsi="Arial" w:cs="Arial"/>
          <w:sz w:val="19"/>
          <w:szCs w:val="19"/>
        </w:rPr>
      </w:pPr>
      <w:r w:rsidRPr="00E032C8">
        <w:rPr>
          <w:rStyle w:val="Refdenotaalpie"/>
          <w:rFonts w:ascii="Arial" w:hAnsi="Arial" w:cs="Arial"/>
          <w:sz w:val="19"/>
          <w:szCs w:val="19"/>
        </w:rPr>
        <w:footnoteRef/>
      </w:r>
      <w:r w:rsidRPr="00E032C8">
        <w:rPr>
          <w:rFonts w:ascii="Arial" w:hAnsi="Arial" w:cs="Arial"/>
          <w:sz w:val="19"/>
          <w:szCs w:val="19"/>
        </w:rPr>
        <w:t xml:space="preserve"> Los artículos 2.2.1.2.6.1.2. del Decreto 1082 de 2015 y 1 de la Resolución No 240 de 2020 coinciden en señalar que los Documentos Tipo están constituidos por el documento base del pliego tipo, sus anexos, formatos, matrices y formularios; por su parte, el ANEXO 3 – GLOSARIO de los Documentos Tipo para los procesos de selección de licitación de obra pública Versión 3 señala estos    « […] incorporan los Pliegos de Condiciones Tipo, sus anexos, matrices y demás documentos que incluyen las condiciones habilitantes, factores técnicos, económicos y otros factores de escogencia».</w:t>
      </w:r>
    </w:p>
  </w:footnote>
  <w:footnote w:id="3">
    <w:p w14:paraId="65D99F90" w14:textId="77777777" w:rsidR="0067762E" w:rsidRPr="00E032C8" w:rsidRDefault="0067762E" w:rsidP="0067762E">
      <w:pPr>
        <w:pStyle w:val="Car1"/>
        <w:ind w:firstLine="709"/>
        <w:jc w:val="both"/>
        <w:rPr>
          <w:rFonts w:ascii="Arial" w:hAnsi="Arial" w:cs="Arial"/>
          <w:sz w:val="19"/>
          <w:szCs w:val="19"/>
        </w:rPr>
      </w:pPr>
      <w:r w:rsidRPr="00E032C8">
        <w:rPr>
          <w:rStyle w:val="Refdenotaalpie"/>
          <w:rFonts w:ascii="Arial" w:hAnsi="Arial" w:cs="Arial"/>
          <w:sz w:val="19"/>
          <w:szCs w:val="19"/>
        </w:rPr>
        <w:footnoteRef/>
      </w:r>
      <w:r w:rsidRPr="00E032C8">
        <w:rPr>
          <w:rFonts w:ascii="Arial" w:hAnsi="Arial" w:cs="Arial"/>
          <w:sz w:val="19"/>
          <w:szCs w:val="19"/>
        </w:rPr>
        <w:t xml:space="preserve"> Antes de la modificación del parágrafo 7 del artículo 2 de la Ley 1150 de 2007 efectuada mediante la Ley 2022 de 2020, el Gobierno Nacional expidió los Decretos 342 y 2096 de 2019 y 594 de 2020, adicionó el Decreto 1082  de 2015, reglamentó parcialmente el parágrafo 7 del artículo 2 de la Ley 1150 de 2007 y adoptó los «Documentos Tipo para los pliegos de condiciones de los procesos de selección de licitación de obra pública de infraestructura de transporte» y sus equivalentes para las modalidades de menor y mínima cuantía. Dentro de este marco normativo la Agencia Nacional de Contratación Pública ― Colombia Compra Eficiente mediante Resolución No 1798 de 2019 expidió la Versión 1 de los Documentos Tipo para los procesos de selección de licitación de obra pública de infraestructura de transporte,  que a través de las Resoluciones 0044 y 0045 de 2020 se adoptaron y desarrollaron  para la modalidad de selección de menor cuantía y se actualizaron en lo que respecta a la modalidad de licitación implementando la Versión 2.</w:t>
      </w:r>
    </w:p>
  </w:footnote>
  <w:footnote w:id="4">
    <w:p w14:paraId="68CB4D06" w14:textId="77777777" w:rsidR="0067762E" w:rsidRPr="00E032C8" w:rsidRDefault="0067762E" w:rsidP="0067762E">
      <w:pPr>
        <w:pStyle w:val="Car1"/>
        <w:ind w:firstLine="709"/>
        <w:jc w:val="both"/>
        <w:rPr>
          <w:rFonts w:ascii="Arial" w:hAnsi="Arial" w:cs="Arial"/>
          <w:sz w:val="19"/>
          <w:szCs w:val="19"/>
        </w:rPr>
      </w:pPr>
      <w:r w:rsidRPr="00E032C8">
        <w:rPr>
          <w:rStyle w:val="Refdenotaalpie"/>
          <w:rFonts w:ascii="Arial" w:hAnsi="Arial" w:cs="Arial"/>
          <w:sz w:val="19"/>
          <w:szCs w:val="19"/>
        </w:rPr>
        <w:footnoteRef/>
      </w:r>
      <w:r w:rsidRPr="00E032C8">
        <w:rPr>
          <w:rFonts w:ascii="Arial" w:hAnsi="Arial" w:cs="Arial"/>
          <w:sz w:val="19"/>
          <w:szCs w:val="19"/>
        </w:rPr>
        <w:t xml:space="preserve"> Los artículos 2 y 3 de la Resolución 240 del 27 de noviembre de 2020 establecen: «Artículo 2. OBLIGATORIEDAD. Los Documentos Tipo contienen parámetros obligatorios para las entidades estatales sometidas al Estatuto General de Contratación de la Administración Pública que adelanten procesos de selección de licitación de obra pública de infraestructura de transporte de acuerdo con lo establecido en los Documentos Tipo».</w:t>
      </w:r>
    </w:p>
    <w:p w14:paraId="5A56C6BB" w14:textId="77777777" w:rsidR="0067762E" w:rsidRPr="00E032C8" w:rsidRDefault="0067762E" w:rsidP="0067762E">
      <w:pPr>
        <w:pStyle w:val="Car1"/>
        <w:ind w:firstLine="709"/>
        <w:jc w:val="both"/>
        <w:rPr>
          <w:rFonts w:ascii="Arial" w:hAnsi="Arial" w:cs="Arial"/>
          <w:sz w:val="19"/>
          <w:szCs w:val="19"/>
        </w:rPr>
      </w:pPr>
      <w:r w:rsidRPr="00E032C8">
        <w:rPr>
          <w:rFonts w:ascii="Arial" w:hAnsi="Arial" w:cs="Arial"/>
          <w:sz w:val="19"/>
          <w:szCs w:val="19"/>
        </w:rPr>
        <w:t>«Artículo 3. INALTERABILIDAD DE LOS DOCUMENTOS TIPO. Las Entidades estatales contratantes no podrán incluir o modificar dentro de los documentos del proceso las condiciones habilitantes, los factores técnicos y económicos de escogencia y los sistemas de ponderación que han sido definidos y señalados en los Documentos Tipo».</w:t>
      </w:r>
    </w:p>
  </w:footnote>
  <w:footnote w:id="5">
    <w:p w14:paraId="4E12CED2" w14:textId="77777777" w:rsidR="0067762E" w:rsidRPr="00E032C8" w:rsidRDefault="0067762E" w:rsidP="0067762E">
      <w:pPr>
        <w:pStyle w:val="Textonotapie"/>
        <w:ind w:firstLine="709"/>
        <w:jc w:val="both"/>
        <w:rPr>
          <w:rFonts w:ascii="Arial" w:hAnsi="Arial" w:cs="Arial"/>
          <w:sz w:val="19"/>
          <w:szCs w:val="19"/>
        </w:rPr>
      </w:pPr>
      <w:r w:rsidRPr="00E032C8">
        <w:rPr>
          <w:rStyle w:val="Refdenotaalpie"/>
          <w:rFonts w:ascii="Arial" w:hAnsi="Arial" w:cs="Arial"/>
          <w:sz w:val="19"/>
          <w:szCs w:val="19"/>
        </w:rPr>
        <w:footnoteRef/>
      </w:r>
      <w:r w:rsidRPr="00E032C8">
        <w:rPr>
          <w:rFonts w:ascii="Arial" w:hAnsi="Arial" w:cs="Arial"/>
          <w:sz w:val="19"/>
          <w:szCs w:val="19"/>
        </w:rPr>
        <w:t xml:space="preserve"> El artículo 20 de la Ley 842 de 2003 establece: «Artículo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429534CB" w14:textId="77777777" w:rsidR="0067762E" w:rsidRPr="00E032C8" w:rsidRDefault="0067762E" w:rsidP="0067762E">
      <w:pPr>
        <w:pStyle w:val="Textonotapie"/>
        <w:ind w:firstLine="709"/>
        <w:jc w:val="both"/>
        <w:rPr>
          <w:rFonts w:ascii="Arial" w:hAnsi="Arial" w:cs="Arial"/>
          <w:sz w:val="19"/>
          <w:szCs w:val="19"/>
        </w:rPr>
      </w:pPr>
      <w:r w:rsidRPr="00E032C8">
        <w:rPr>
          <w:rFonts w:ascii="Arial" w:hAnsi="Arial" w:cs="Arial"/>
          <w:sz w:val="19"/>
          <w:szCs w:val="19"/>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 vigencia.</w:t>
      </w:r>
    </w:p>
    <w:p w14:paraId="711715CD" w14:textId="77777777" w:rsidR="0067762E" w:rsidRPr="00E032C8" w:rsidRDefault="0067762E" w:rsidP="0067762E">
      <w:pPr>
        <w:pStyle w:val="Textonotapie"/>
        <w:ind w:firstLine="709"/>
        <w:jc w:val="both"/>
        <w:rPr>
          <w:rFonts w:ascii="Arial" w:hAnsi="Arial" w:cs="Arial"/>
          <w:sz w:val="19"/>
          <w:szCs w:val="19"/>
        </w:rPr>
      </w:pPr>
      <w:r w:rsidRPr="00E032C8">
        <w:rPr>
          <w:rFonts w:ascii="Arial" w:hAnsi="Arial" w:cs="Arial"/>
          <w:sz w:val="19"/>
          <w:szCs w:val="19"/>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89D23AF"/>
    <w:multiLevelType w:val="hybridMultilevel"/>
    <w:tmpl w:val="477855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0B00C3C"/>
    <w:multiLevelType w:val="hybridMultilevel"/>
    <w:tmpl w:val="AA146F94"/>
    <w:lvl w:ilvl="0" w:tplc="EB86F96E">
      <w:start w:val="1"/>
      <w:numFmt w:val="upperLetter"/>
      <w:lvlText w:val="%1."/>
      <w:lvlJc w:val="left"/>
      <w:pPr>
        <w:ind w:left="720" w:hanging="360"/>
      </w:pPr>
      <w:rPr>
        <w:rFonts w:ascii="Arial" w:hAnsi="Arial" w:cs="Arial" w:hint="default"/>
        <w:color w:val="3C3C3C" w:themeColor="background2" w:themeShade="40"/>
        <w:sz w:val="21"/>
        <w:szCs w:val="21"/>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4"/>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3"/>
  </w:num>
  <w:num w:numId="14">
    <w:abstractNumId w:val="6"/>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5"/>
  </w:num>
  <w:num w:numId="19">
    <w:abstractNumId w:val="2"/>
  </w:num>
  <w:num w:numId="20">
    <w:abstractNumId w:val="23"/>
  </w:num>
  <w:num w:numId="21">
    <w:abstractNumId w:val="16"/>
  </w:num>
  <w:num w:numId="22">
    <w:abstractNumId w:val="5"/>
  </w:num>
  <w:num w:numId="23">
    <w:abstractNumId w:val="4"/>
  </w:num>
  <w:num w:numId="24">
    <w:abstractNumId w:val="10"/>
  </w:num>
  <w:num w:numId="25">
    <w:abstractNumId w:val="19"/>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hideSpellingErrors/>
  <w:hideGrammaticalErrors/>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A1C"/>
    <w:rsid w:val="00002027"/>
    <w:rsid w:val="000020FE"/>
    <w:rsid w:val="0000234C"/>
    <w:rsid w:val="00003C5C"/>
    <w:rsid w:val="000040D7"/>
    <w:rsid w:val="000059D3"/>
    <w:rsid w:val="00006081"/>
    <w:rsid w:val="00007750"/>
    <w:rsid w:val="000077FD"/>
    <w:rsid w:val="00007E37"/>
    <w:rsid w:val="00010C40"/>
    <w:rsid w:val="00011DCC"/>
    <w:rsid w:val="00012B9E"/>
    <w:rsid w:val="00013C6B"/>
    <w:rsid w:val="0001406B"/>
    <w:rsid w:val="00014624"/>
    <w:rsid w:val="00015D85"/>
    <w:rsid w:val="00016081"/>
    <w:rsid w:val="000165AC"/>
    <w:rsid w:val="00016651"/>
    <w:rsid w:val="000169F4"/>
    <w:rsid w:val="000171A2"/>
    <w:rsid w:val="00017B65"/>
    <w:rsid w:val="00020158"/>
    <w:rsid w:val="000207E0"/>
    <w:rsid w:val="00020C96"/>
    <w:rsid w:val="00020F8F"/>
    <w:rsid w:val="00021143"/>
    <w:rsid w:val="00021A95"/>
    <w:rsid w:val="0002256F"/>
    <w:rsid w:val="00023DAE"/>
    <w:rsid w:val="000263F0"/>
    <w:rsid w:val="00026407"/>
    <w:rsid w:val="00026608"/>
    <w:rsid w:val="000315E1"/>
    <w:rsid w:val="0003236E"/>
    <w:rsid w:val="00032C75"/>
    <w:rsid w:val="0003339A"/>
    <w:rsid w:val="000341F2"/>
    <w:rsid w:val="00036E03"/>
    <w:rsid w:val="00041029"/>
    <w:rsid w:val="00042961"/>
    <w:rsid w:val="00042C25"/>
    <w:rsid w:val="00042D03"/>
    <w:rsid w:val="00043086"/>
    <w:rsid w:val="000430A0"/>
    <w:rsid w:val="000439DE"/>
    <w:rsid w:val="0004418C"/>
    <w:rsid w:val="00044204"/>
    <w:rsid w:val="000449D4"/>
    <w:rsid w:val="00046A63"/>
    <w:rsid w:val="00046C09"/>
    <w:rsid w:val="0004716A"/>
    <w:rsid w:val="000504DE"/>
    <w:rsid w:val="00051074"/>
    <w:rsid w:val="00052EA0"/>
    <w:rsid w:val="0005474D"/>
    <w:rsid w:val="00055CB9"/>
    <w:rsid w:val="00055D0E"/>
    <w:rsid w:val="0005702F"/>
    <w:rsid w:val="00061D06"/>
    <w:rsid w:val="00062CDD"/>
    <w:rsid w:val="00064CAE"/>
    <w:rsid w:val="00064FA7"/>
    <w:rsid w:val="00065195"/>
    <w:rsid w:val="00070AF1"/>
    <w:rsid w:val="00071A2E"/>
    <w:rsid w:val="0007254F"/>
    <w:rsid w:val="00072A6B"/>
    <w:rsid w:val="00072B85"/>
    <w:rsid w:val="00074697"/>
    <w:rsid w:val="00074B2A"/>
    <w:rsid w:val="00074E2B"/>
    <w:rsid w:val="00075B3E"/>
    <w:rsid w:val="00076456"/>
    <w:rsid w:val="000775B5"/>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3"/>
    <w:rsid w:val="00086B2A"/>
    <w:rsid w:val="00086ED2"/>
    <w:rsid w:val="00091569"/>
    <w:rsid w:val="000942EB"/>
    <w:rsid w:val="00095B70"/>
    <w:rsid w:val="00095E90"/>
    <w:rsid w:val="0009617E"/>
    <w:rsid w:val="000961E9"/>
    <w:rsid w:val="000979CF"/>
    <w:rsid w:val="000A001B"/>
    <w:rsid w:val="000A03C8"/>
    <w:rsid w:val="000A0861"/>
    <w:rsid w:val="000A12DB"/>
    <w:rsid w:val="000A2128"/>
    <w:rsid w:val="000A362F"/>
    <w:rsid w:val="000A593C"/>
    <w:rsid w:val="000A5F97"/>
    <w:rsid w:val="000A648E"/>
    <w:rsid w:val="000A73BB"/>
    <w:rsid w:val="000A7EF4"/>
    <w:rsid w:val="000B103F"/>
    <w:rsid w:val="000B1437"/>
    <w:rsid w:val="000B1470"/>
    <w:rsid w:val="000B18A0"/>
    <w:rsid w:val="000B2B86"/>
    <w:rsid w:val="000B3051"/>
    <w:rsid w:val="000B419B"/>
    <w:rsid w:val="000B5781"/>
    <w:rsid w:val="000B5E3C"/>
    <w:rsid w:val="000C0185"/>
    <w:rsid w:val="000C128D"/>
    <w:rsid w:val="000C1D4B"/>
    <w:rsid w:val="000C2571"/>
    <w:rsid w:val="000C3B77"/>
    <w:rsid w:val="000C4F49"/>
    <w:rsid w:val="000C5861"/>
    <w:rsid w:val="000C639D"/>
    <w:rsid w:val="000C6F79"/>
    <w:rsid w:val="000C7476"/>
    <w:rsid w:val="000C7711"/>
    <w:rsid w:val="000C7AA2"/>
    <w:rsid w:val="000D0462"/>
    <w:rsid w:val="000D0ED2"/>
    <w:rsid w:val="000D2563"/>
    <w:rsid w:val="000D25BF"/>
    <w:rsid w:val="000D2971"/>
    <w:rsid w:val="000D3FDC"/>
    <w:rsid w:val="000D4E38"/>
    <w:rsid w:val="000D51B8"/>
    <w:rsid w:val="000D6288"/>
    <w:rsid w:val="000D7541"/>
    <w:rsid w:val="000D7C55"/>
    <w:rsid w:val="000E0A92"/>
    <w:rsid w:val="000E110A"/>
    <w:rsid w:val="000E30AC"/>
    <w:rsid w:val="000E3B46"/>
    <w:rsid w:val="000E3E11"/>
    <w:rsid w:val="000E4596"/>
    <w:rsid w:val="000E5768"/>
    <w:rsid w:val="000E6139"/>
    <w:rsid w:val="000E6BE1"/>
    <w:rsid w:val="000E7E0B"/>
    <w:rsid w:val="000F078A"/>
    <w:rsid w:val="000F122D"/>
    <w:rsid w:val="000F14E8"/>
    <w:rsid w:val="000F1BBD"/>
    <w:rsid w:val="000F2981"/>
    <w:rsid w:val="000F4403"/>
    <w:rsid w:val="000F4E17"/>
    <w:rsid w:val="000F6578"/>
    <w:rsid w:val="000F666D"/>
    <w:rsid w:val="000F7E8F"/>
    <w:rsid w:val="001000FB"/>
    <w:rsid w:val="00102605"/>
    <w:rsid w:val="00103570"/>
    <w:rsid w:val="00103915"/>
    <w:rsid w:val="001050A9"/>
    <w:rsid w:val="001051E5"/>
    <w:rsid w:val="00105A74"/>
    <w:rsid w:val="00105AEF"/>
    <w:rsid w:val="00106259"/>
    <w:rsid w:val="00107436"/>
    <w:rsid w:val="001078CE"/>
    <w:rsid w:val="00107E36"/>
    <w:rsid w:val="00110F61"/>
    <w:rsid w:val="001111BD"/>
    <w:rsid w:val="0011165A"/>
    <w:rsid w:val="00112774"/>
    <w:rsid w:val="00112B2E"/>
    <w:rsid w:val="00113003"/>
    <w:rsid w:val="00113062"/>
    <w:rsid w:val="00113705"/>
    <w:rsid w:val="00113975"/>
    <w:rsid w:val="00113CFC"/>
    <w:rsid w:val="00113FEA"/>
    <w:rsid w:val="00114E9D"/>
    <w:rsid w:val="0011507B"/>
    <w:rsid w:val="001174C9"/>
    <w:rsid w:val="00117E69"/>
    <w:rsid w:val="00121103"/>
    <w:rsid w:val="00121BAB"/>
    <w:rsid w:val="00121E3C"/>
    <w:rsid w:val="00122B23"/>
    <w:rsid w:val="00122B7E"/>
    <w:rsid w:val="00123FB5"/>
    <w:rsid w:val="0012400F"/>
    <w:rsid w:val="001249DC"/>
    <w:rsid w:val="0012572D"/>
    <w:rsid w:val="00125BED"/>
    <w:rsid w:val="00125C59"/>
    <w:rsid w:val="00125D4F"/>
    <w:rsid w:val="001261CE"/>
    <w:rsid w:val="00127AF2"/>
    <w:rsid w:val="00127F6D"/>
    <w:rsid w:val="00130355"/>
    <w:rsid w:val="00130A09"/>
    <w:rsid w:val="00131B5A"/>
    <w:rsid w:val="00132EFD"/>
    <w:rsid w:val="0013695C"/>
    <w:rsid w:val="00136A13"/>
    <w:rsid w:val="00136BF7"/>
    <w:rsid w:val="00137FFA"/>
    <w:rsid w:val="00140109"/>
    <w:rsid w:val="0014029B"/>
    <w:rsid w:val="00140A4F"/>
    <w:rsid w:val="001413AB"/>
    <w:rsid w:val="00144335"/>
    <w:rsid w:val="0014502F"/>
    <w:rsid w:val="00145282"/>
    <w:rsid w:val="001453B0"/>
    <w:rsid w:val="00145D8E"/>
    <w:rsid w:val="00146083"/>
    <w:rsid w:val="00151B99"/>
    <w:rsid w:val="0015361C"/>
    <w:rsid w:val="0015407E"/>
    <w:rsid w:val="0015448E"/>
    <w:rsid w:val="00154A6F"/>
    <w:rsid w:val="00155D08"/>
    <w:rsid w:val="00156BE5"/>
    <w:rsid w:val="00157232"/>
    <w:rsid w:val="001602F0"/>
    <w:rsid w:val="00160401"/>
    <w:rsid w:val="00160CA9"/>
    <w:rsid w:val="00161E62"/>
    <w:rsid w:val="00161F1C"/>
    <w:rsid w:val="0016200B"/>
    <w:rsid w:val="00164281"/>
    <w:rsid w:val="001676A9"/>
    <w:rsid w:val="001678AB"/>
    <w:rsid w:val="00167A50"/>
    <w:rsid w:val="00167DF5"/>
    <w:rsid w:val="00170001"/>
    <w:rsid w:val="00170977"/>
    <w:rsid w:val="00170F78"/>
    <w:rsid w:val="00172198"/>
    <w:rsid w:val="001734E3"/>
    <w:rsid w:val="00173A42"/>
    <w:rsid w:val="001742BF"/>
    <w:rsid w:val="00175E49"/>
    <w:rsid w:val="00177416"/>
    <w:rsid w:val="001805C1"/>
    <w:rsid w:val="00180789"/>
    <w:rsid w:val="001811C3"/>
    <w:rsid w:val="001813AF"/>
    <w:rsid w:val="00181D13"/>
    <w:rsid w:val="001829CD"/>
    <w:rsid w:val="00182F01"/>
    <w:rsid w:val="00185E78"/>
    <w:rsid w:val="00187177"/>
    <w:rsid w:val="00187ABD"/>
    <w:rsid w:val="00191C5A"/>
    <w:rsid w:val="00191E63"/>
    <w:rsid w:val="0019388B"/>
    <w:rsid w:val="001946D5"/>
    <w:rsid w:val="00194E8C"/>
    <w:rsid w:val="001962EC"/>
    <w:rsid w:val="001963DD"/>
    <w:rsid w:val="00196DC9"/>
    <w:rsid w:val="001A0236"/>
    <w:rsid w:val="001A18D5"/>
    <w:rsid w:val="001A1D4A"/>
    <w:rsid w:val="001A66DF"/>
    <w:rsid w:val="001A7591"/>
    <w:rsid w:val="001B0444"/>
    <w:rsid w:val="001B096B"/>
    <w:rsid w:val="001B0F9F"/>
    <w:rsid w:val="001B123C"/>
    <w:rsid w:val="001B1A0D"/>
    <w:rsid w:val="001B1BF1"/>
    <w:rsid w:val="001B2456"/>
    <w:rsid w:val="001B2672"/>
    <w:rsid w:val="001B449C"/>
    <w:rsid w:val="001B4AA2"/>
    <w:rsid w:val="001B4ADE"/>
    <w:rsid w:val="001C19CD"/>
    <w:rsid w:val="001C22D5"/>
    <w:rsid w:val="001C2515"/>
    <w:rsid w:val="001C26FB"/>
    <w:rsid w:val="001C33C1"/>
    <w:rsid w:val="001C3E30"/>
    <w:rsid w:val="001C3E5C"/>
    <w:rsid w:val="001C5072"/>
    <w:rsid w:val="001C5B2A"/>
    <w:rsid w:val="001C600B"/>
    <w:rsid w:val="001C6898"/>
    <w:rsid w:val="001C6DD8"/>
    <w:rsid w:val="001C70AC"/>
    <w:rsid w:val="001D12D1"/>
    <w:rsid w:val="001D15DF"/>
    <w:rsid w:val="001D1B40"/>
    <w:rsid w:val="001D31A0"/>
    <w:rsid w:val="001D338E"/>
    <w:rsid w:val="001D43EA"/>
    <w:rsid w:val="001D56E9"/>
    <w:rsid w:val="001D796A"/>
    <w:rsid w:val="001D7A84"/>
    <w:rsid w:val="001E1D38"/>
    <w:rsid w:val="001E47A8"/>
    <w:rsid w:val="001E70FB"/>
    <w:rsid w:val="001E780A"/>
    <w:rsid w:val="001E7B35"/>
    <w:rsid w:val="001F0FA0"/>
    <w:rsid w:val="001F1349"/>
    <w:rsid w:val="001F1CF2"/>
    <w:rsid w:val="001F2356"/>
    <w:rsid w:val="001F2A68"/>
    <w:rsid w:val="001F4773"/>
    <w:rsid w:val="001F5008"/>
    <w:rsid w:val="001F56AA"/>
    <w:rsid w:val="001F58AA"/>
    <w:rsid w:val="001F5EF6"/>
    <w:rsid w:val="001F657F"/>
    <w:rsid w:val="001F6AEC"/>
    <w:rsid w:val="001F6FB6"/>
    <w:rsid w:val="001F7978"/>
    <w:rsid w:val="001F7A0E"/>
    <w:rsid w:val="0020054E"/>
    <w:rsid w:val="00202924"/>
    <w:rsid w:val="0020299B"/>
    <w:rsid w:val="00202E44"/>
    <w:rsid w:val="002037AA"/>
    <w:rsid w:val="00203FE3"/>
    <w:rsid w:val="002042D8"/>
    <w:rsid w:val="00204515"/>
    <w:rsid w:val="002058D4"/>
    <w:rsid w:val="0020632A"/>
    <w:rsid w:val="0021069B"/>
    <w:rsid w:val="002110EB"/>
    <w:rsid w:val="00211338"/>
    <w:rsid w:val="00211388"/>
    <w:rsid w:val="0021148C"/>
    <w:rsid w:val="0021201A"/>
    <w:rsid w:val="00213A1F"/>
    <w:rsid w:val="00213C63"/>
    <w:rsid w:val="00214741"/>
    <w:rsid w:val="0021539A"/>
    <w:rsid w:val="00215852"/>
    <w:rsid w:val="00216264"/>
    <w:rsid w:val="00217DB8"/>
    <w:rsid w:val="002221CE"/>
    <w:rsid w:val="00222BE8"/>
    <w:rsid w:val="00222C1B"/>
    <w:rsid w:val="00226055"/>
    <w:rsid w:val="0022613F"/>
    <w:rsid w:val="00226236"/>
    <w:rsid w:val="002270C9"/>
    <w:rsid w:val="002278CD"/>
    <w:rsid w:val="00227A8B"/>
    <w:rsid w:val="002315A0"/>
    <w:rsid w:val="00231EC7"/>
    <w:rsid w:val="00232E15"/>
    <w:rsid w:val="00233947"/>
    <w:rsid w:val="00233977"/>
    <w:rsid w:val="00233C58"/>
    <w:rsid w:val="00233C71"/>
    <w:rsid w:val="002345B6"/>
    <w:rsid w:val="00234B84"/>
    <w:rsid w:val="00237065"/>
    <w:rsid w:val="00237589"/>
    <w:rsid w:val="0024019A"/>
    <w:rsid w:val="002431D7"/>
    <w:rsid w:val="00244058"/>
    <w:rsid w:val="00244B53"/>
    <w:rsid w:val="00245E07"/>
    <w:rsid w:val="00247712"/>
    <w:rsid w:val="00251866"/>
    <w:rsid w:val="00251A9F"/>
    <w:rsid w:val="00252492"/>
    <w:rsid w:val="00252B35"/>
    <w:rsid w:val="00253A02"/>
    <w:rsid w:val="00253B81"/>
    <w:rsid w:val="002554DE"/>
    <w:rsid w:val="00255E11"/>
    <w:rsid w:val="00256835"/>
    <w:rsid w:val="00256ECF"/>
    <w:rsid w:val="0025714E"/>
    <w:rsid w:val="00257730"/>
    <w:rsid w:val="00257999"/>
    <w:rsid w:val="002604AA"/>
    <w:rsid w:val="0026129B"/>
    <w:rsid w:val="00261560"/>
    <w:rsid w:val="002616D2"/>
    <w:rsid w:val="00261715"/>
    <w:rsid w:val="00261CF9"/>
    <w:rsid w:val="00261EC0"/>
    <w:rsid w:val="00263201"/>
    <w:rsid w:val="00263A37"/>
    <w:rsid w:val="00264B72"/>
    <w:rsid w:val="002653A6"/>
    <w:rsid w:val="002661F1"/>
    <w:rsid w:val="002711A4"/>
    <w:rsid w:val="00271F13"/>
    <w:rsid w:val="00275BB1"/>
    <w:rsid w:val="00276EFB"/>
    <w:rsid w:val="002778A3"/>
    <w:rsid w:val="00277933"/>
    <w:rsid w:val="00277F8D"/>
    <w:rsid w:val="00277FA7"/>
    <w:rsid w:val="00280F3D"/>
    <w:rsid w:val="0028106A"/>
    <w:rsid w:val="00281EB4"/>
    <w:rsid w:val="0028308E"/>
    <w:rsid w:val="002834E9"/>
    <w:rsid w:val="00283A52"/>
    <w:rsid w:val="00283C5E"/>
    <w:rsid w:val="0028428F"/>
    <w:rsid w:val="00284CFC"/>
    <w:rsid w:val="00285832"/>
    <w:rsid w:val="00285969"/>
    <w:rsid w:val="0028663B"/>
    <w:rsid w:val="002871A9"/>
    <w:rsid w:val="00290781"/>
    <w:rsid w:val="00291784"/>
    <w:rsid w:val="002929BB"/>
    <w:rsid w:val="002940C5"/>
    <w:rsid w:val="00297098"/>
    <w:rsid w:val="002A05D4"/>
    <w:rsid w:val="002A0E60"/>
    <w:rsid w:val="002A1A58"/>
    <w:rsid w:val="002A1B02"/>
    <w:rsid w:val="002A1C53"/>
    <w:rsid w:val="002A28FC"/>
    <w:rsid w:val="002A2EA5"/>
    <w:rsid w:val="002A3844"/>
    <w:rsid w:val="002A3D94"/>
    <w:rsid w:val="002A4736"/>
    <w:rsid w:val="002A733D"/>
    <w:rsid w:val="002A7EF2"/>
    <w:rsid w:val="002A7F6D"/>
    <w:rsid w:val="002B1342"/>
    <w:rsid w:val="002B1F85"/>
    <w:rsid w:val="002B27C8"/>
    <w:rsid w:val="002B2A7F"/>
    <w:rsid w:val="002B330B"/>
    <w:rsid w:val="002B48DB"/>
    <w:rsid w:val="002B4B34"/>
    <w:rsid w:val="002B541A"/>
    <w:rsid w:val="002B5B7F"/>
    <w:rsid w:val="002B6407"/>
    <w:rsid w:val="002B6416"/>
    <w:rsid w:val="002B6459"/>
    <w:rsid w:val="002B716D"/>
    <w:rsid w:val="002B75D6"/>
    <w:rsid w:val="002C1D20"/>
    <w:rsid w:val="002C24B4"/>
    <w:rsid w:val="002C2B3A"/>
    <w:rsid w:val="002C2B87"/>
    <w:rsid w:val="002C3CF4"/>
    <w:rsid w:val="002C4B84"/>
    <w:rsid w:val="002C4C0C"/>
    <w:rsid w:val="002C5016"/>
    <w:rsid w:val="002C5C2F"/>
    <w:rsid w:val="002C5D0F"/>
    <w:rsid w:val="002C60B9"/>
    <w:rsid w:val="002C63F3"/>
    <w:rsid w:val="002C6F77"/>
    <w:rsid w:val="002C704D"/>
    <w:rsid w:val="002D0845"/>
    <w:rsid w:val="002D0933"/>
    <w:rsid w:val="002D1A9B"/>
    <w:rsid w:val="002D302A"/>
    <w:rsid w:val="002D37C1"/>
    <w:rsid w:val="002D444B"/>
    <w:rsid w:val="002D4A45"/>
    <w:rsid w:val="002D5A1B"/>
    <w:rsid w:val="002D65BC"/>
    <w:rsid w:val="002E055C"/>
    <w:rsid w:val="002E1050"/>
    <w:rsid w:val="002E18E5"/>
    <w:rsid w:val="002E2D7D"/>
    <w:rsid w:val="002E3D76"/>
    <w:rsid w:val="002E40A1"/>
    <w:rsid w:val="002E48EC"/>
    <w:rsid w:val="002E4B44"/>
    <w:rsid w:val="002E4ECB"/>
    <w:rsid w:val="002E4F4E"/>
    <w:rsid w:val="002F0E06"/>
    <w:rsid w:val="002F1116"/>
    <w:rsid w:val="002F2267"/>
    <w:rsid w:val="002F3601"/>
    <w:rsid w:val="002F45F6"/>
    <w:rsid w:val="002F5FA7"/>
    <w:rsid w:val="002F7B66"/>
    <w:rsid w:val="002F7E26"/>
    <w:rsid w:val="00300CB4"/>
    <w:rsid w:val="00300DFB"/>
    <w:rsid w:val="00300E24"/>
    <w:rsid w:val="003033BA"/>
    <w:rsid w:val="003043A3"/>
    <w:rsid w:val="00304BD4"/>
    <w:rsid w:val="0030500A"/>
    <w:rsid w:val="003052EB"/>
    <w:rsid w:val="00305581"/>
    <w:rsid w:val="00305FCB"/>
    <w:rsid w:val="0030619A"/>
    <w:rsid w:val="0030655C"/>
    <w:rsid w:val="00306842"/>
    <w:rsid w:val="00306B44"/>
    <w:rsid w:val="0031088E"/>
    <w:rsid w:val="00311376"/>
    <w:rsid w:val="00311A1F"/>
    <w:rsid w:val="00311B47"/>
    <w:rsid w:val="00311D52"/>
    <w:rsid w:val="00312190"/>
    <w:rsid w:val="00312534"/>
    <w:rsid w:val="003125E0"/>
    <w:rsid w:val="00313447"/>
    <w:rsid w:val="00313748"/>
    <w:rsid w:val="003138CE"/>
    <w:rsid w:val="003161A4"/>
    <w:rsid w:val="00316955"/>
    <w:rsid w:val="0031720A"/>
    <w:rsid w:val="00317C9D"/>
    <w:rsid w:val="00317CD2"/>
    <w:rsid w:val="0032078D"/>
    <w:rsid w:val="0032137B"/>
    <w:rsid w:val="00321FA3"/>
    <w:rsid w:val="003227D3"/>
    <w:rsid w:val="00322937"/>
    <w:rsid w:val="00325D98"/>
    <w:rsid w:val="00327A5C"/>
    <w:rsid w:val="0033092C"/>
    <w:rsid w:val="0033122A"/>
    <w:rsid w:val="003315AC"/>
    <w:rsid w:val="003316CE"/>
    <w:rsid w:val="00331932"/>
    <w:rsid w:val="00335B15"/>
    <w:rsid w:val="00335B21"/>
    <w:rsid w:val="00336104"/>
    <w:rsid w:val="00336729"/>
    <w:rsid w:val="0033726D"/>
    <w:rsid w:val="00337CA8"/>
    <w:rsid w:val="0034177C"/>
    <w:rsid w:val="00342345"/>
    <w:rsid w:val="00342C27"/>
    <w:rsid w:val="003432C8"/>
    <w:rsid w:val="003434B3"/>
    <w:rsid w:val="00343536"/>
    <w:rsid w:val="00343CAA"/>
    <w:rsid w:val="00343EFB"/>
    <w:rsid w:val="00344760"/>
    <w:rsid w:val="0034680A"/>
    <w:rsid w:val="00346C62"/>
    <w:rsid w:val="003501E2"/>
    <w:rsid w:val="00351E10"/>
    <w:rsid w:val="003536F6"/>
    <w:rsid w:val="00353DD5"/>
    <w:rsid w:val="00355131"/>
    <w:rsid w:val="00362095"/>
    <w:rsid w:val="00363857"/>
    <w:rsid w:val="00363D59"/>
    <w:rsid w:val="003653C5"/>
    <w:rsid w:val="00365D3A"/>
    <w:rsid w:val="003664FF"/>
    <w:rsid w:val="003670B8"/>
    <w:rsid w:val="003706F2"/>
    <w:rsid w:val="0037124F"/>
    <w:rsid w:val="0037507B"/>
    <w:rsid w:val="00375C7C"/>
    <w:rsid w:val="003770AB"/>
    <w:rsid w:val="00377135"/>
    <w:rsid w:val="00380272"/>
    <w:rsid w:val="00382BAD"/>
    <w:rsid w:val="00384AB4"/>
    <w:rsid w:val="00384DF1"/>
    <w:rsid w:val="00384FF3"/>
    <w:rsid w:val="00386456"/>
    <w:rsid w:val="003865A9"/>
    <w:rsid w:val="00387865"/>
    <w:rsid w:val="0039135E"/>
    <w:rsid w:val="00392F4C"/>
    <w:rsid w:val="00393CAE"/>
    <w:rsid w:val="00394EB5"/>
    <w:rsid w:val="003953B4"/>
    <w:rsid w:val="0039615F"/>
    <w:rsid w:val="00396A29"/>
    <w:rsid w:val="00397FF0"/>
    <w:rsid w:val="003A0878"/>
    <w:rsid w:val="003A1D25"/>
    <w:rsid w:val="003A2447"/>
    <w:rsid w:val="003A2AA1"/>
    <w:rsid w:val="003A3851"/>
    <w:rsid w:val="003A4A8E"/>
    <w:rsid w:val="003A563C"/>
    <w:rsid w:val="003A581E"/>
    <w:rsid w:val="003A6160"/>
    <w:rsid w:val="003A65A5"/>
    <w:rsid w:val="003A72F5"/>
    <w:rsid w:val="003A78E5"/>
    <w:rsid w:val="003B0341"/>
    <w:rsid w:val="003B0EBF"/>
    <w:rsid w:val="003B1E57"/>
    <w:rsid w:val="003B2E4F"/>
    <w:rsid w:val="003B5391"/>
    <w:rsid w:val="003B65D7"/>
    <w:rsid w:val="003B6BD4"/>
    <w:rsid w:val="003B6F4D"/>
    <w:rsid w:val="003B6FE7"/>
    <w:rsid w:val="003C116A"/>
    <w:rsid w:val="003C1AF4"/>
    <w:rsid w:val="003C1CB8"/>
    <w:rsid w:val="003C2550"/>
    <w:rsid w:val="003C287F"/>
    <w:rsid w:val="003C375A"/>
    <w:rsid w:val="003C4D9F"/>
    <w:rsid w:val="003C622C"/>
    <w:rsid w:val="003C6BB6"/>
    <w:rsid w:val="003C73C7"/>
    <w:rsid w:val="003D050B"/>
    <w:rsid w:val="003D0DE5"/>
    <w:rsid w:val="003D0FD5"/>
    <w:rsid w:val="003D1351"/>
    <w:rsid w:val="003D2894"/>
    <w:rsid w:val="003D2A67"/>
    <w:rsid w:val="003D3B2E"/>
    <w:rsid w:val="003D49CB"/>
    <w:rsid w:val="003D6724"/>
    <w:rsid w:val="003D6B8F"/>
    <w:rsid w:val="003D7566"/>
    <w:rsid w:val="003E159D"/>
    <w:rsid w:val="003E2F55"/>
    <w:rsid w:val="003E34DB"/>
    <w:rsid w:val="003E3833"/>
    <w:rsid w:val="003E4A70"/>
    <w:rsid w:val="003E4C48"/>
    <w:rsid w:val="003E4CD9"/>
    <w:rsid w:val="003E54B3"/>
    <w:rsid w:val="003E5780"/>
    <w:rsid w:val="003E5B9F"/>
    <w:rsid w:val="003E6072"/>
    <w:rsid w:val="003E6AB6"/>
    <w:rsid w:val="003E6E0B"/>
    <w:rsid w:val="003E71CD"/>
    <w:rsid w:val="003E7A8B"/>
    <w:rsid w:val="003F300D"/>
    <w:rsid w:val="003F4599"/>
    <w:rsid w:val="003F4F6C"/>
    <w:rsid w:val="003F65F7"/>
    <w:rsid w:val="003F7343"/>
    <w:rsid w:val="00400002"/>
    <w:rsid w:val="00400054"/>
    <w:rsid w:val="00401B31"/>
    <w:rsid w:val="0040202B"/>
    <w:rsid w:val="00402DE1"/>
    <w:rsid w:val="004037C2"/>
    <w:rsid w:val="00404B43"/>
    <w:rsid w:val="00404EBA"/>
    <w:rsid w:val="00405487"/>
    <w:rsid w:val="0040602B"/>
    <w:rsid w:val="00407A7A"/>
    <w:rsid w:val="00407ABC"/>
    <w:rsid w:val="00407F1E"/>
    <w:rsid w:val="00410A88"/>
    <w:rsid w:val="00411317"/>
    <w:rsid w:val="0041259F"/>
    <w:rsid w:val="00412B4D"/>
    <w:rsid w:val="00412C51"/>
    <w:rsid w:val="00412D40"/>
    <w:rsid w:val="00413262"/>
    <w:rsid w:val="0041329C"/>
    <w:rsid w:val="00413FFA"/>
    <w:rsid w:val="00414194"/>
    <w:rsid w:val="00414D9A"/>
    <w:rsid w:val="00415194"/>
    <w:rsid w:val="00415B88"/>
    <w:rsid w:val="00415D32"/>
    <w:rsid w:val="004160A2"/>
    <w:rsid w:val="00416598"/>
    <w:rsid w:val="00416C84"/>
    <w:rsid w:val="004170D7"/>
    <w:rsid w:val="004176F3"/>
    <w:rsid w:val="004177A6"/>
    <w:rsid w:val="00417EFD"/>
    <w:rsid w:val="004200EE"/>
    <w:rsid w:val="00421838"/>
    <w:rsid w:val="00421FCB"/>
    <w:rsid w:val="00422DCA"/>
    <w:rsid w:val="004230B6"/>
    <w:rsid w:val="00423F9F"/>
    <w:rsid w:val="00424ACC"/>
    <w:rsid w:val="00425C43"/>
    <w:rsid w:val="004273FA"/>
    <w:rsid w:val="00430186"/>
    <w:rsid w:val="0043269A"/>
    <w:rsid w:val="004333C2"/>
    <w:rsid w:val="00434787"/>
    <w:rsid w:val="0043683F"/>
    <w:rsid w:val="00436F40"/>
    <w:rsid w:val="00440DB0"/>
    <w:rsid w:val="00440FAD"/>
    <w:rsid w:val="004420AB"/>
    <w:rsid w:val="004422D6"/>
    <w:rsid w:val="00442CE8"/>
    <w:rsid w:val="00442D4D"/>
    <w:rsid w:val="00443D27"/>
    <w:rsid w:val="004444ED"/>
    <w:rsid w:val="00446037"/>
    <w:rsid w:val="0044642F"/>
    <w:rsid w:val="0044772C"/>
    <w:rsid w:val="00450376"/>
    <w:rsid w:val="0045271D"/>
    <w:rsid w:val="00452803"/>
    <w:rsid w:val="004529C6"/>
    <w:rsid w:val="004534D1"/>
    <w:rsid w:val="00454548"/>
    <w:rsid w:val="00454717"/>
    <w:rsid w:val="00455354"/>
    <w:rsid w:val="0045558D"/>
    <w:rsid w:val="00456970"/>
    <w:rsid w:val="00456BB1"/>
    <w:rsid w:val="00456DDB"/>
    <w:rsid w:val="00460111"/>
    <w:rsid w:val="00461E97"/>
    <w:rsid w:val="0046268F"/>
    <w:rsid w:val="00462B10"/>
    <w:rsid w:val="00462C04"/>
    <w:rsid w:val="0046320A"/>
    <w:rsid w:val="004638E2"/>
    <w:rsid w:val="00464030"/>
    <w:rsid w:val="004647F8"/>
    <w:rsid w:val="004647FB"/>
    <w:rsid w:val="00465677"/>
    <w:rsid w:val="00466616"/>
    <w:rsid w:val="00466A0C"/>
    <w:rsid w:val="00470A6A"/>
    <w:rsid w:val="00470D92"/>
    <w:rsid w:val="004734CF"/>
    <w:rsid w:val="00475C5A"/>
    <w:rsid w:val="00475C9C"/>
    <w:rsid w:val="0047676B"/>
    <w:rsid w:val="0047773C"/>
    <w:rsid w:val="00480050"/>
    <w:rsid w:val="004808DE"/>
    <w:rsid w:val="00481AC4"/>
    <w:rsid w:val="00481DC1"/>
    <w:rsid w:val="00482507"/>
    <w:rsid w:val="0048268A"/>
    <w:rsid w:val="004835CA"/>
    <w:rsid w:val="004836F8"/>
    <w:rsid w:val="004836FE"/>
    <w:rsid w:val="0048459A"/>
    <w:rsid w:val="00484E57"/>
    <w:rsid w:val="00484F0F"/>
    <w:rsid w:val="004861B4"/>
    <w:rsid w:val="00486BD0"/>
    <w:rsid w:val="00486D00"/>
    <w:rsid w:val="00487263"/>
    <w:rsid w:val="0048734F"/>
    <w:rsid w:val="0049029D"/>
    <w:rsid w:val="004912A8"/>
    <w:rsid w:val="0049241A"/>
    <w:rsid w:val="00492C1F"/>
    <w:rsid w:val="00492E4C"/>
    <w:rsid w:val="00493E04"/>
    <w:rsid w:val="004940E3"/>
    <w:rsid w:val="004961E5"/>
    <w:rsid w:val="00496664"/>
    <w:rsid w:val="00496786"/>
    <w:rsid w:val="0049695B"/>
    <w:rsid w:val="00496D8F"/>
    <w:rsid w:val="00497463"/>
    <w:rsid w:val="004A054C"/>
    <w:rsid w:val="004A08D1"/>
    <w:rsid w:val="004A16C1"/>
    <w:rsid w:val="004A34D2"/>
    <w:rsid w:val="004A4301"/>
    <w:rsid w:val="004A59B7"/>
    <w:rsid w:val="004A623B"/>
    <w:rsid w:val="004A6A52"/>
    <w:rsid w:val="004B0F0B"/>
    <w:rsid w:val="004B2197"/>
    <w:rsid w:val="004B298A"/>
    <w:rsid w:val="004B465B"/>
    <w:rsid w:val="004B494E"/>
    <w:rsid w:val="004B578D"/>
    <w:rsid w:val="004B5BE7"/>
    <w:rsid w:val="004B5E2D"/>
    <w:rsid w:val="004B6C07"/>
    <w:rsid w:val="004B788E"/>
    <w:rsid w:val="004B7E5D"/>
    <w:rsid w:val="004C07BB"/>
    <w:rsid w:val="004C22F7"/>
    <w:rsid w:val="004C3929"/>
    <w:rsid w:val="004C5EF0"/>
    <w:rsid w:val="004C7226"/>
    <w:rsid w:val="004C7D70"/>
    <w:rsid w:val="004D02F9"/>
    <w:rsid w:val="004D03FE"/>
    <w:rsid w:val="004D0F95"/>
    <w:rsid w:val="004D1CB2"/>
    <w:rsid w:val="004D36AF"/>
    <w:rsid w:val="004D3BD1"/>
    <w:rsid w:val="004D4BA1"/>
    <w:rsid w:val="004D545E"/>
    <w:rsid w:val="004D584D"/>
    <w:rsid w:val="004D6826"/>
    <w:rsid w:val="004E01E5"/>
    <w:rsid w:val="004E023F"/>
    <w:rsid w:val="004E0742"/>
    <w:rsid w:val="004E0C64"/>
    <w:rsid w:val="004E0F6B"/>
    <w:rsid w:val="004E2A35"/>
    <w:rsid w:val="004E3453"/>
    <w:rsid w:val="004E35E8"/>
    <w:rsid w:val="004E40CE"/>
    <w:rsid w:val="004E5B36"/>
    <w:rsid w:val="004E5C75"/>
    <w:rsid w:val="004E6045"/>
    <w:rsid w:val="004E6F43"/>
    <w:rsid w:val="004E7200"/>
    <w:rsid w:val="004F00F2"/>
    <w:rsid w:val="004F0960"/>
    <w:rsid w:val="004F0A5C"/>
    <w:rsid w:val="004F163F"/>
    <w:rsid w:val="004F18A0"/>
    <w:rsid w:val="004F1A08"/>
    <w:rsid w:val="004F3764"/>
    <w:rsid w:val="004F3EEF"/>
    <w:rsid w:val="004F5930"/>
    <w:rsid w:val="004F6121"/>
    <w:rsid w:val="004F66BC"/>
    <w:rsid w:val="004F6AA5"/>
    <w:rsid w:val="004F6C26"/>
    <w:rsid w:val="0050047D"/>
    <w:rsid w:val="0050062F"/>
    <w:rsid w:val="005022A0"/>
    <w:rsid w:val="0050284E"/>
    <w:rsid w:val="00504590"/>
    <w:rsid w:val="00505E35"/>
    <w:rsid w:val="005075CA"/>
    <w:rsid w:val="0051074C"/>
    <w:rsid w:val="00512C4F"/>
    <w:rsid w:val="00513042"/>
    <w:rsid w:val="00513399"/>
    <w:rsid w:val="00513AF2"/>
    <w:rsid w:val="00514575"/>
    <w:rsid w:val="00514C03"/>
    <w:rsid w:val="00514D67"/>
    <w:rsid w:val="00515515"/>
    <w:rsid w:val="00516C5B"/>
    <w:rsid w:val="00517612"/>
    <w:rsid w:val="00517CFB"/>
    <w:rsid w:val="00520899"/>
    <w:rsid w:val="00520922"/>
    <w:rsid w:val="00523903"/>
    <w:rsid w:val="005239B6"/>
    <w:rsid w:val="005246E7"/>
    <w:rsid w:val="00524CC0"/>
    <w:rsid w:val="00524FD2"/>
    <w:rsid w:val="00525621"/>
    <w:rsid w:val="00526431"/>
    <w:rsid w:val="00527E57"/>
    <w:rsid w:val="00530405"/>
    <w:rsid w:val="00530522"/>
    <w:rsid w:val="005305E5"/>
    <w:rsid w:val="00530F38"/>
    <w:rsid w:val="00531F26"/>
    <w:rsid w:val="0053277C"/>
    <w:rsid w:val="005327C0"/>
    <w:rsid w:val="00533101"/>
    <w:rsid w:val="00533CA9"/>
    <w:rsid w:val="00534EFB"/>
    <w:rsid w:val="00534F60"/>
    <w:rsid w:val="00536053"/>
    <w:rsid w:val="005369E6"/>
    <w:rsid w:val="005371AC"/>
    <w:rsid w:val="00537672"/>
    <w:rsid w:val="0053772F"/>
    <w:rsid w:val="00537B77"/>
    <w:rsid w:val="00537DC6"/>
    <w:rsid w:val="005425A2"/>
    <w:rsid w:val="0054275A"/>
    <w:rsid w:val="0054413A"/>
    <w:rsid w:val="00544288"/>
    <w:rsid w:val="005446BB"/>
    <w:rsid w:val="00545208"/>
    <w:rsid w:val="00545E30"/>
    <w:rsid w:val="00546C9B"/>
    <w:rsid w:val="00551598"/>
    <w:rsid w:val="0055162B"/>
    <w:rsid w:val="00551D68"/>
    <w:rsid w:val="00554EBA"/>
    <w:rsid w:val="005551AA"/>
    <w:rsid w:val="0055536D"/>
    <w:rsid w:val="005559B9"/>
    <w:rsid w:val="005564CA"/>
    <w:rsid w:val="00557140"/>
    <w:rsid w:val="00560C87"/>
    <w:rsid w:val="0056182B"/>
    <w:rsid w:val="00561AF3"/>
    <w:rsid w:val="00561E0B"/>
    <w:rsid w:val="00562141"/>
    <w:rsid w:val="00564704"/>
    <w:rsid w:val="00564712"/>
    <w:rsid w:val="005657A8"/>
    <w:rsid w:val="00567AB8"/>
    <w:rsid w:val="00570A26"/>
    <w:rsid w:val="0057132E"/>
    <w:rsid w:val="00572539"/>
    <w:rsid w:val="0057337D"/>
    <w:rsid w:val="00573504"/>
    <w:rsid w:val="00573E51"/>
    <w:rsid w:val="00574708"/>
    <w:rsid w:val="005756AA"/>
    <w:rsid w:val="0057696F"/>
    <w:rsid w:val="0058040C"/>
    <w:rsid w:val="00580D6D"/>
    <w:rsid w:val="005813DE"/>
    <w:rsid w:val="00581796"/>
    <w:rsid w:val="00581B45"/>
    <w:rsid w:val="00582480"/>
    <w:rsid w:val="0058290E"/>
    <w:rsid w:val="00582CAB"/>
    <w:rsid w:val="0058375E"/>
    <w:rsid w:val="00584233"/>
    <w:rsid w:val="005845B1"/>
    <w:rsid w:val="005855AE"/>
    <w:rsid w:val="00585CA8"/>
    <w:rsid w:val="00586412"/>
    <w:rsid w:val="005864B9"/>
    <w:rsid w:val="00586870"/>
    <w:rsid w:val="00590A19"/>
    <w:rsid w:val="00591C03"/>
    <w:rsid w:val="00591E2A"/>
    <w:rsid w:val="005923C4"/>
    <w:rsid w:val="00593F75"/>
    <w:rsid w:val="005940A0"/>
    <w:rsid w:val="00596AF7"/>
    <w:rsid w:val="00596CCE"/>
    <w:rsid w:val="005A1976"/>
    <w:rsid w:val="005A2120"/>
    <w:rsid w:val="005A2501"/>
    <w:rsid w:val="005A252E"/>
    <w:rsid w:val="005A2C80"/>
    <w:rsid w:val="005A3066"/>
    <w:rsid w:val="005A3B35"/>
    <w:rsid w:val="005A3C4B"/>
    <w:rsid w:val="005A3E5A"/>
    <w:rsid w:val="005A43F3"/>
    <w:rsid w:val="005A496F"/>
    <w:rsid w:val="005A4A56"/>
    <w:rsid w:val="005A52CF"/>
    <w:rsid w:val="005A5A3D"/>
    <w:rsid w:val="005A6035"/>
    <w:rsid w:val="005A6B75"/>
    <w:rsid w:val="005A6E00"/>
    <w:rsid w:val="005A7068"/>
    <w:rsid w:val="005A718A"/>
    <w:rsid w:val="005B1151"/>
    <w:rsid w:val="005B12B2"/>
    <w:rsid w:val="005B143B"/>
    <w:rsid w:val="005B1E45"/>
    <w:rsid w:val="005B21C4"/>
    <w:rsid w:val="005B4948"/>
    <w:rsid w:val="005B501D"/>
    <w:rsid w:val="005B54CC"/>
    <w:rsid w:val="005B6253"/>
    <w:rsid w:val="005B74AD"/>
    <w:rsid w:val="005C0429"/>
    <w:rsid w:val="005C1954"/>
    <w:rsid w:val="005C1C0B"/>
    <w:rsid w:val="005C2011"/>
    <w:rsid w:val="005C3921"/>
    <w:rsid w:val="005C5011"/>
    <w:rsid w:val="005C57BA"/>
    <w:rsid w:val="005C5C52"/>
    <w:rsid w:val="005C5D3D"/>
    <w:rsid w:val="005C5DA9"/>
    <w:rsid w:val="005C749D"/>
    <w:rsid w:val="005C7F3E"/>
    <w:rsid w:val="005D2044"/>
    <w:rsid w:val="005D2EB2"/>
    <w:rsid w:val="005D2F48"/>
    <w:rsid w:val="005D464B"/>
    <w:rsid w:val="005D49F0"/>
    <w:rsid w:val="005D51FA"/>
    <w:rsid w:val="005D53E8"/>
    <w:rsid w:val="005D5804"/>
    <w:rsid w:val="005D5A9D"/>
    <w:rsid w:val="005D6651"/>
    <w:rsid w:val="005D691D"/>
    <w:rsid w:val="005D6A72"/>
    <w:rsid w:val="005D791B"/>
    <w:rsid w:val="005D7F92"/>
    <w:rsid w:val="005E1595"/>
    <w:rsid w:val="005E1F1D"/>
    <w:rsid w:val="005E3278"/>
    <w:rsid w:val="005F0370"/>
    <w:rsid w:val="005F305B"/>
    <w:rsid w:val="005F3361"/>
    <w:rsid w:val="005F4481"/>
    <w:rsid w:val="005F472D"/>
    <w:rsid w:val="005F4A58"/>
    <w:rsid w:val="005F5888"/>
    <w:rsid w:val="005F5A18"/>
    <w:rsid w:val="005F6CE2"/>
    <w:rsid w:val="005F72E9"/>
    <w:rsid w:val="00600473"/>
    <w:rsid w:val="00602B45"/>
    <w:rsid w:val="006035F5"/>
    <w:rsid w:val="006047D1"/>
    <w:rsid w:val="00604A55"/>
    <w:rsid w:val="00606908"/>
    <w:rsid w:val="00607A37"/>
    <w:rsid w:val="0061085E"/>
    <w:rsid w:val="00610F55"/>
    <w:rsid w:val="00611398"/>
    <w:rsid w:val="00612322"/>
    <w:rsid w:val="00612D51"/>
    <w:rsid w:val="0061401F"/>
    <w:rsid w:val="00614817"/>
    <w:rsid w:val="00614F52"/>
    <w:rsid w:val="0061591D"/>
    <w:rsid w:val="0061604C"/>
    <w:rsid w:val="00616C2B"/>
    <w:rsid w:val="006178D1"/>
    <w:rsid w:val="00620719"/>
    <w:rsid w:val="006212C9"/>
    <w:rsid w:val="00622470"/>
    <w:rsid w:val="00622725"/>
    <w:rsid w:val="006231AA"/>
    <w:rsid w:val="00623482"/>
    <w:rsid w:val="00623AC2"/>
    <w:rsid w:val="00623E60"/>
    <w:rsid w:val="006266D7"/>
    <w:rsid w:val="006271DB"/>
    <w:rsid w:val="006274AD"/>
    <w:rsid w:val="006274B9"/>
    <w:rsid w:val="00627532"/>
    <w:rsid w:val="006302AA"/>
    <w:rsid w:val="006310C3"/>
    <w:rsid w:val="0063161E"/>
    <w:rsid w:val="00631BB5"/>
    <w:rsid w:val="00631DD0"/>
    <w:rsid w:val="00632201"/>
    <w:rsid w:val="00633DBF"/>
    <w:rsid w:val="00634122"/>
    <w:rsid w:val="00635E32"/>
    <w:rsid w:val="006365DE"/>
    <w:rsid w:val="00637836"/>
    <w:rsid w:val="00637C26"/>
    <w:rsid w:val="00641078"/>
    <w:rsid w:val="00641242"/>
    <w:rsid w:val="006433D5"/>
    <w:rsid w:val="00644C9B"/>
    <w:rsid w:val="00646B20"/>
    <w:rsid w:val="00646D0F"/>
    <w:rsid w:val="00647DCC"/>
    <w:rsid w:val="00647EFA"/>
    <w:rsid w:val="00651C47"/>
    <w:rsid w:val="00652E70"/>
    <w:rsid w:val="00653469"/>
    <w:rsid w:val="00654A38"/>
    <w:rsid w:val="00655301"/>
    <w:rsid w:val="00655371"/>
    <w:rsid w:val="006573EA"/>
    <w:rsid w:val="00660149"/>
    <w:rsid w:val="00661029"/>
    <w:rsid w:val="0066135A"/>
    <w:rsid w:val="0066272D"/>
    <w:rsid w:val="00664351"/>
    <w:rsid w:val="00664B38"/>
    <w:rsid w:val="00664F70"/>
    <w:rsid w:val="00665968"/>
    <w:rsid w:val="00665BF7"/>
    <w:rsid w:val="00666178"/>
    <w:rsid w:val="0066639E"/>
    <w:rsid w:val="00666C72"/>
    <w:rsid w:val="00666E6C"/>
    <w:rsid w:val="00667ED8"/>
    <w:rsid w:val="0067013E"/>
    <w:rsid w:val="0067064C"/>
    <w:rsid w:val="00670B20"/>
    <w:rsid w:val="00670E12"/>
    <w:rsid w:val="00672E80"/>
    <w:rsid w:val="006739E4"/>
    <w:rsid w:val="00673ECF"/>
    <w:rsid w:val="0067426B"/>
    <w:rsid w:val="00674A1B"/>
    <w:rsid w:val="00675210"/>
    <w:rsid w:val="00675392"/>
    <w:rsid w:val="006754F8"/>
    <w:rsid w:val="00675B88"/>
    <w:rsid w:val="00676127"/>
    <w:rsid w:val="00676AED"/>
    <w:rsid w:val="0067762E"/>
    <w:rsid w:val="00677F26"/>
    <w:rsid w:val="006811C9"/>
    <w:rsid w:val="006812CE"/>
    <w:rsid w:val="0068144F"/>
    <w:rsid w:val="00682063"/>
    <w:rsid w:val="00682C89"/>
    <w:rsid w:val="0068553E"/>
    <w:rsid w:val="0068562B"/>
    <w:rsid w:val="00685E7B"/>
    <w:rsid w:val="00686551"/>
    <w:rsid w:val="00690839"/>
    <w:rsid w:val="006908DB"/>
    <w:rsid w:val="00691DE9"/>
    <w:rsid w:val="00691EAA"/>
    <w:rsid w:val="00693772"/>
    <w:rsid w:val="00694160"/>
    <w:rsid w:val="00695C0C"/>
    <w:rsid w:val="00695E3E"/>
    <w:rsid w:val="00696A05"/>
    <w:rsid w:val="00697665"/>
    <w:rsid w:val="00697C9A"/>
    <w:rsid w:val="00697E68"/>
    <w:rsid w:val="006A0274"/>
    <w:rsid w:val="006A072C"/>
    <w:rsid w:val="006A1FBD"/>
    <w:rsid w:val="006A2A43"/>
    <w:rsid w:val="006A2F9A"/>
    <w:rsid w:val="006A34E4"/>
    <w:rsid w:val="006A3A5A"/>
    <w:rsid w:val="006A44CF"/>
    <w:rsid w:val="006A457D"/>
    <w:rsid w:val="006A55EE"/>
    <w:rsid w:val="006A575B"/>
    <w:rsid w:val="006A59DE"/>
    <w:rsid w:val="006A6655"/>
    <w:rsid w:val="006A7CB5"/>
    <w:rsid w:val="006A7FD0"/>
    <w:rsid w:val="006B025C"/>
    <w:rsid w:val="006B2534"/>
    <w:rsid w:val="006B2CB2"/>
    <w:rsid w:val="006B4906"/>
    <w:rsid w:val="006B57C9"/>
    <w:rsid w:val="006B67AC"/>
    <w:rsid w:val="006C003A"/>
    <w:rsid w:val="006C1C19"/>
    <w:rsid w:val="006C37CA"/>
    <w:rsid w:val="006C40D2"/>
    <w:rsid w:val="006C456A"/>
    <w:rsid w:val="006C5B15"/>
    <w:rsid w:val="006C5DCB"/>
    <w:rsid w:val="006D04DA"/>
    <w:rsid w:val="006D1544"/>
    <w:rsid w:val="006D1688"/>
    <w:rsid w:val="006D1FF3"/>
    <w:rsid w:val="006D2C65"/>
    <w:rsid w:val="006D32C6"/>
    <w:rsid w:val="006D360E"/>
    <w:rsid w:val="006D3697"/>
    <w:rsid w:val="006D39D2"/>
    <w:rsid w:val="006D3F2A"/>
    <w:rsid w:val="006D6A12"/>
    <w:rsid w:val="006D712D"/>
    <w:rsid w:val="006D74BF"/>
    <w:rsid w:val="006D7687"/>
    <w:rsid w:val="006D7D1F"/>
    <w:rsid w:val="006D7D8A"/>
    <w:rsid w:val="006E0572"/>
    <w:rsid w:val="006E08EE"/>
    <w:rsid w:val="006E2496"/>
    <w:rsid w:val="006E39D1"/>
    <w:rsid w:val="006E437F"/>
    <w:rsid w:val="006E4D5B"/>
    <w:rsid w:val="006E6000"/>
    <w:rsid w:val="006E602F"/>
    <w:rsid w:val="006E7275"/>
    <w:rsid w:val="006E77B8"/>
    <w:rsid w:val="006F15CC"/>
    <w:rsid w:val="006F4147"/>
    <w:rsid w:val="006F4CB0"/>
    <w:rsid w:val="006F4EE5"/>
    <w:rsid w:val="006F547E"/>
    <w:rsid w:val="006F5490"/>
    <w:rsid w:val="006F5CCF"/>
    <w:rsid w:val="006F6071"/>
    <w:rsid w:val="0070138A"/>
    <w:rsid w:val="0070157E"/>
    <w:rsid w:val="007023EB"/>
    <w:rsid w:val="007030D4"/>
    <w:rsid w:val="00703B61"/>
    <w:rsid w:val="00703E11"/>
    <w:rsid w:val="00704102"/>
    <w:rsid w:val="0070461C"/>
    <w:rsid w:val="00705631"/>
    <w:rsid w:val="00705F62"/>
    <w:rsid w:val="00707ED3"/>
    <w:rsid w:val="007101B7"/>
    <w:rsid w:val="00710668"/>
    <w:rsid w:val="007110F4"/>
    <w:rsid w:val="007112B1"/>
    <w:rsid w:val="0071130F"/>
    <w:rsid w:val="00712714"/>
    <w:rsid w:val="007129AB"/>
    <w:rsid w:val="00712B63"/>
    <w:rsid w:val="00713FC5"/>
    <w:rsid w:val="00715C29"/>
    <w:rsid w:val="00715EAA"/>
    <w:rsid w:val="0071620B"/>
    <w:rsid w:val="00716CAD"/>
    <w:rsid w:val="00717363"/>
    <w:rsid w:val="00717ACB"/>
    <w:rsid w:val="00724635"/>
    <w:rsid w:val="00724902"/>
    <w:rsid w:val="0072554B"/>
    <w:rsid w:val="00725AFD"/>
    <w:rsid w:val="00726603"/>
    <w:rsid w:val="00727DDC"/>
    <w:rsid w:val="00730CD6"/>
    <w:rsid w:val="00730F74"/>
    <w:rsid w:val="0073114B"/>
    <w:rsid w:val="00734723"/>
    <w:rsid w:val="00734952"/>
    <w:rsid w:val="00734990"/>
    <w:rsid w:val="00734FF5"/>
    <w:rsid w:val="00735B78"/>
    <w:rsid w:val="00735DA7"/>
    <w:rsid w:val="007378E0"/>
    <w:rsid w:val="00740529"/>
    <w:rsid w:val="00741358"/>
    <w:rsid w:val="00741626"/>
    <w:rsid w:val="00742DD2"/>
    <w:rsid w:val="007437C6"/>
    <w:rsid w:val="007441A2"/>
    <w:rsid w:val="00744E80"/>
    <w:rsid w:val="00745035"/>
    <w:rsid w:val="007459D0"/>
    <w:rsid w:val="0074623A"/>
    <w:rsid w:val="00746420"/>
    <w:rsid w:val="00746E08"/>
    <w:rsid w:val="00746E3D"/>
    <w:rsid w:val="007473B9"/>
    <w:rsid w:val="00747C96"/>
    <w:rsid w:val="00750075"/>
    <w:rsid w:val="00750382"/>
    <w:rsid w:val="0075094E"/>
    <w:rsid w:val="00750ECB"/>
    <w:rsid w:val="00750FB5"/>
    <w:rsid w:val="00751FFB"/>
    <w:rsid w:val="007522E8"/>
    <w:rsid w:val="00752A32"/>
    <w:rsid w:val="00754A0B"/>
    <w:rsid w:val="007552DB"/>
    <w:rsid w:val="0075647A"/>
    <w:rsid w:val="00756A2F"/>
    <w:rsid w:val="007573E1"/>
    <w:rsid w:val="00757B2D"/>
    <w:rsid w:val="00757D62"/>
    <w:rsid w:val="00760867"/>
    <w:rsid w:val="00760EB6"/>
    <w:rsid w:val="007616DB"/>
    <w:rsid w:val="0076228A"/>
    <w:rsid w:val="007623DF"/>
    <w:rsid w:val="00762440"/>
    <w:rsid w:val="007634AD"/>
    <w:rsid w:val="00764472"/>
    <w:rsid w:val="00767266"/>
    <w:rsid w:val="007672F3"/>
    <w:rsid w:val="007678B1"/>
    <w:rsid w:val="00767FC2"/>
    <w:rsid w:val="007708A8"/>
    <w:rsid w:val="00770950"/>
    <w:rsid w:val="0077380D"/>
    <w:rsid w:val="00773BC8"/>
    <w:rsid w:val="0077466F"/>
    <w:rsid w:val="007752B7"/>
    <w:rsid w:val="007759A8"/>
    <w:rsid w:val="00775D98"/>
    <w:rsid w:val="00776FE5"/>
    <w:rsid w:val="0077731E"/>
    <w:rsid w:val="007774E7"/>
    <w:rsid w:val="00777650"/>
    <w:rsid w:val="0077768C"/>
    <w:rsid w:val="00777FF4"/>
    <w:rsid w:val="00780251"/>
    <w:rsid w:val="00780F32"/>
    <w:rsid w:val="0078122E"/>
    <w:rsid w:val="00781939"/>
    <w:rsid w:val="00781A1B"/>
    <w:rsid w:val="00781D29"/>
    <w:rsid w:val="007825EF"/>
    <w:rsid w:val="00782D2C"/>
    <w:rsid w:val="00786FAD"/>
    <w:rsid w:val="00787F5E"/>
    <w:rsid w:val="00790164"/>
    <w:rsid w:val="00790A24"/>
    <w:rsid w:val="00790A37"/>
    <w:rsid w:val="00790A60"/>
    <w:rsid w:val="00791FF0"/>
    <w:rsid w:val="007923D0"/>
    <w:rsid w:val="007930D3"/>
    <w:rsid w:val="0079381F"/>
    <w:rsid w:val="007948F5"/>
    <w:rsid w:val="00794A54"/>
    <w:rsid w:val="00794BB7"/>
    <w:rsid w:val="00795647"/>
    <w:rsid w:val="007963F6"/>
    <w:rsid w:val="00796E80"/>
    <w:rsid w:val="00797832"/>
    <w:rsid w:val="007979AD"/>
    <w:rsid w:val="00797A9C"/>
    <w:rsid w:val="007A2341"/>
    <w:rsid w:val="007A38A1"/>
    <w:rsid w:val="007A3B52"/>
    <w:rsid w:val="007A3BBE"/>
    <w:rsid w:val="007A4031"/>
    <w:rsid w:val="007A7BBA"/>
    <w:rsid w:val="007B0313"/>
    <w:rsid w:val="007B0854"/>
    <w:rsid w:val="007B1D1B"/>
    <w:rsid w:val="007B32F7"/>
    <w:rsid w:val="007B3659"/>
    <w:rsid w:val="007B4632"/>
    <w:rsid w:val="007B46A2"/>
    <w:rsid w:val="007B4828"/>
    <w:rsid w:val="007B4D4A"/>
    <w:rsid w:val="007B5428"/>
    <w:rsid w:val="007B655A"/>
    <w:rsid w:val="007B68FF"/>
    <w:rsid w:val="007B6AE4"/>
    <w:rsid w:val="007B6C64"/>
    <w:rsid w:val="007B6EC8"/>
    <w:rsid w:val="007B6F81"/>
    <w:rsid w:val="007B7EA2"/>
    <w:rsid w:val="007C097D"/>
    <w:rsid w:val="007C1672"/>
    <w:rsid w:val="007C1D10"/>
    <w:rsid w:val="007C3F3B"/>
    <w:rsid w:val="007C55FF"/>
    <w:rsid w:val="007C6339"/>
    <w:rsid w:val="007C7C43"/>
    <w:rsid w:val="007C7F0D"/>
    <w:rsid w:val="007D1134"/>
    <w:rsid w:val="007D2110"/>
    <w:rsid w:val="007D23F7"/>
    <w:rsid w:val="007D2566"/>
    <w:rsid w:val="007D3693"/>
    <w:rsid w:val="007D481A"/>
    <w:rsid w:val="007D58C5"/>
    <w:rsid w:val="007D5DE8"/>
    <w:rsid w:val="007D6316"/>
    <w:rsid w:val="007D7996"/>
    <w:rsid w:val="007D7CFC"/>
    <w:rsid w:val="007E0B68"/>
    <w:rsid w:val="007E2C36"/>
    <w:rsid w:val="007E350D"/>
    <w:rsid w:val="007E5C4A"/>
    <w:rsid w:val="007E64D4"/>
    <w:rsid w:val="007E69F2"/>
    <w:rsid w:val="007E7432"/>
    <w:rsid w:val="007E74BF"/>
    <w:rsid w:val="007F1394"/>
    <w:rsid w:val="007F14D3"/>
    <w:rsid w:val="007F18F9"/>
    <w:rsid w:val="007F1D9D"/>
    <w:rsid w:val="007F1E28"/>
    <w:rsid w:val="007F1F63"/>
    <w:rsid w:val="007F22A0"/>
    <w:rsid w:val="007F2F90"/>
    <w:rsid w:val="007F32F1"/>
    <w:rsid w:val="007F3320"/>
    <w:rsid w:val="007F3AC1"/>
    <w:rsid w:val="007F4976"/>
    <w:rsid w:val="007F5A56"/>
    <w:rsid w:val="007F616E"/>
    <w:rsid w:val="007F6B46"/>
    <w:rsid w:val="007F72CB"/>
    <w:rsid w:val="007F7635"/>
    <w:rsid w:val="007F785F"/>
    <w:rsid w:val="007F7E36"/>
    <w:rsid w:val="0080150F"/>
    <w:rsid w:val="0080153A"/>
    <w:rsid w:val="008022C9"/>
    <w:rsid w:val="00802F9E"/>
    <w:rsid w:val="00803D9D"/>
    <w:rsid w:val="0080429E"/>
    <w:rsid w:val="008044C7"/>
    <w:rsid w:val="008059C6"/>
    <w:rsid w:val="00805AD7"/>
    <w:rsid w:val="00805BD6"/>
    <w:rsid w:val="00807C35"/>
    <w:rsid w:val="008100F7"/>
    <w:rsid w:val="00810206"/>
    <w:rsid w:val="008124D8"/>
    <w:rsid w:val="0081251B"/>
    <w:rsid w:val="00813A7B"/>
    <w:rsid w:val="00813F04"/>
    <w:rsid w:val="00815BB9"/>
    <w:rsid w:val="00815DA5"/>
    <w:rsid w:val="00816221"/>
    <w:rsid w:val="0081766B"/>
    <w:rsid w:val="00820705"/>
    <w:rsid w:val="00820CBF"/>
    <w:rsid w:val="00820FA8"/>
    <w:rsid w:val="008212FD"/>
    <w:rsid w:val="00821489"/>
    <w:rsid w:val="008217B7"/>
    <w:rsid w:val="0082239B"/>
    <w:rsid w:val="0082292E"/>
    <w:rsid w:val="00822D06"/>
    <w:rsid w:val="0082348D"/>
    <w:rsid w:val="008236BE"/>
    <w:rsid w:val="008241CE"/>
    <w:rsid w:val="00824C79"/>
    <w:rsid w:val="00825240"/>
    <w:rsid w:val="00827CC0"/>
    <w:rsid w:val="00831026"/>
    <w:rsid w:val="0083119B"/>
    <w:rsid w:val="00831BAE"/>
    <w:rsid w:val="00833430"/>
    <w:rsid w:val="0083417F"/>
    <w:rsid w:val="0083487C"/>
    <w:rsid w:val="00834EBA"/>
    <w:rsid w:val="00835143"/>
    <w:rsid w:val="00835741"/>
    <w:rsid w:val="00836E74"/>
    <w:rsid w:val="00836EAB"/>
    <w:rsid w:val="00837937"/>
    <w:rsid w:val="00837D82"/>
    <w:rsid w:val="00840893"/>
    <w:rsid w:val="008423EC"/>
    <w:rsid w:val="00843615"/>
    <w:rsid w:val="00843B57"/>
    <w:rsid w:val="00843D33"/>
    <w:rsid w:val="0084456D"/>
    <w:rsid w:val="00844D4F"/>
    <w:rsid w:val="00845AE3"/>
    <w:rsid w:val="008466A0"/>
    <w:rsid w:val="00847535"/>
    <w:rsid w:val="00847B6D"/>
    <w:rsid w:val="0085092D"/>
    <w:rsid w:val="00850F79"/>
    <w:rsid w:val="0085100B"/>
    <w:rsid w:val="0085304C"/>
    <w:rsid w:val="008557DC"/>
    <w:rsid w:val="00856C06"/>
    <w:rsid w:val="0085790B"/>
    <w:rsid w:val="00857C95"/>
    <w:rsid w:val="00857E78"/>
    <w:rsid w:val="0086122C"/>
    <w:rsid w:val="00861310"/>
    <w:rsid w:val="00861D59"/>
    <w:rsid w:val="00861F53"/>
    <w:rsid w:val="008630A6"/>
    <w:rsid w:val="008630C4"/>
    <w:rsid w:val="00863F8A"/>
    <w:rsid w:val="00863FE3"/>
    <w:rsid w:val="00864241"/>
    <w:rsid w:val="0086468A"/>
    <w:rsid w:val="008650BE"/>
    <w:rsid w:val="0086633B"/>
    <w:rsid w:val="00866931"/>
    <w:rsid w:val="00866A25"/>
    <w:rsid w:val="00867512"/>
    <w:rsid w:val="0087033C"/>
    <w:rsid w:val="008718A2"/>
    <w:rsid w:val="00871E3C"/>
    <w:rsid w:val="00872F97"/>
    <w:rsid w:val="00873C24"/>
    <w:rsid w:val="00874607"/>
    <w:rsid w:val="00874915"/>
    <w:rsid w:val="00874B89"/>
    <w:rsid w:val="00875403"/>
    <w:rsid w:val="00876215"/>
    <w:rsid w:val="00877932"/>
    <w:rsid w:val="00880D97"/>
    <w:rsid w:val="0088106B"/>
    <w:rsid w:val="0088107D"/>
    <w:rsid w:val="00881E64"/>
    <w:rsid w:val="00882E39"/>
    <w:rsid w:val="008850EB"/>
    <w:rsid w:val="00886DF2"/>
    <w:rsid w:val="00886FB9"/>
    <w:rsid w:val="0089061D"/>
    <w:rsid w:val="00890B40"/>
    <w:rsid w:val="0089107B"/>
    <w:rsid w:val="008914AE"/>
    <w:rsid w:val="008919A1"/>
    <w:rsid w:val="008919CF"/>
    <w:rsid w:val="00891F84"/>
    <w:rsid w:val="008928EC"/>
    <w:rsid w:val="008935CF"/>
    <w:rsid w:val="008959C6"/>
    <w:rsid w:val="00896129"/>
    <w:rsid w:val="0089774F"/>
    <w:rsid w:val="00897B8F"/>
    <w:rsid w:val="008A00D9"/>
    <w:rsid w:val="008A1B22"/>
    <w:rsid w:val="008A2A23"/>
    <w:rsid w:val="008A2AF5"/>
    <w:rsid w:val="008A3F9D"/>
    <w:rsid w:val="008A5474"/>
    <w:rsid w:val="008A5C9A"/>
    <w:rsid w:val="008A6A55"/>
    <w:rsid w:val="008A6F6E"/>
    <w:rsid w:val="008A7888"/>
    <w:rsid w:val="008A796E"/>
    <w:rsid w:val="008B0862"/>
    <w:rsid w:val="008B088C"/>
    <w:rsid w:val="008B1BF5"/>
    <w:rsid w:val="008B239C"/>
    <w:rsid w:val="008B263F"/>
    <w:rsid w:val="008B41E7"/>
    <w:rsid w:val="008B459D"/>
    <w:rsid w:val="008B47A6"/>
    <w:rsid w:val="008B672C"/>
    <w:rsid w:val="008C0743"/>
    <w:rsid w:val="008C0B4C"/>
    <w:rsid w:val="008C11F0"/>
    <w:rsid w:val="008C1DBA"/>
    <w:rsid w:val="008C24E7"/>
    <w:rsid w:val="008C2CAC"/>
    <w:rsid w:val="008C3E2A"/>
    <w:rsid w:val="008C45BD"/>
    <w:rsid w:val="008C4B19"/>
    <w:rsid w:val="008C62D4"/>
    <w:rsid w:val="008C725A"/>
    <w:rsid w:val="008D12FF"/>
    <w:rsid w:val="008D18AA"/>
    <w:rsid w:val="008D1A2A"/>
    <w:rsid w:val="008D34E5"/>
    <w:rsid w:val="008D35D9"/>
    <w:rsid w:val="008D3B85"/>
    <w:rsid w:val="008D3F3D"/>
    <w:rsid w:val="008D462D"/>
    <w:rsid w:val="008D66CA"/>
    <w:rsid w:val="008D69B1"/>
    <w:rsid w:val="008E0012"/>
    <w:rsid w:val="008E0CC3"/>
    <w:rsid w:val="008E0DF7"/>
    <w:rsid w:val="008E0FAD"/>
    <w:rsid w:val="008E16E0"/>
    <w:rsid w:val="008E1C15"/>
    <w:rsid w:val="008E44AB"/>
    <w:rsid w:val="008E71E6"/>
    <w:rsid w:val="008E7884"/>
    <w:rsid w:val="008E7D6E"/>
    <w:rsid w:val="008F0015"/>
    <w:rsid w:val="008F1056"/>
    <w:rsid w:val="008F1F41"/>
    <w:rsid w:val="008F2454"/>
    <w:rsid w:val="008F2E8D"/>
    <w:rsid w:val="008F387B"/>
    <w:rsid w:val="008F3DD9"/>
    <w:rsid w:val="008F4814"/>
    <w:rsid w:val="008F4DA6"/>
    <w:rsid w:val="008F538E"/>
    <w:rsid w:val="008F5ABA"/>
    <w:rsid w:val="008F7989"/>
    <w:rsid w:val="008F79F0"/>
    <w:rsid w:val="0090244A"/>
    <w:rsid w:val="00902E5C"/>
    <w:rsid w:val="00904577"/>
    <w:rsid w:val="009046E5"/>
    <w:rsid w:val="009047C5"/>
    <w:rsid w:val="009116CE"/>
    <w:rsid w:val="00911714"/>
    <w:rsid w:val="009136D4"/>
    <w:rsid w:val="0091483F"/>
    <w:rsid w:val="00914B9A"/>
    <w:rsid w:val="00914C3F"/>
    <w:rsid w:val="00914F33"/>
    <w:rsid w:val="00915FCE"/>
    <w:rsid w:val="00916FC8"/>
    <w:rsid w:val="009170D3"/>
    <w:rsid w:val="0091759C"/>
    <w:rsid w:val="00920026"/>
    <w:rsid w:val="009203E2"/>
    <w:rsid w:val="00921805"/>
    <w:rsid w:val="00923396"/>
    <w:rsid w:val="00923934"/>
    <w:rsid w:val="00923F56"/>
    <w:rsid w:val="00925743"/>
    <w:rsid w:val="00926B78"/>
    <w:rsid w:val="00927E8D"/>
    <w:rsid w:val="00927F23"/>
    <w:rsid w:val="009307CD"/>
    <w:rsid w:val="00931451"/>
    <w:rsid w:val="009314FA"/>
    <w:rsid w:val="0093194F"/>
    <w:rsid w:val="00931BF3"/>
    <w:rsid w:val="00933333"/>
    <w:rsid w:val="0093349A"/>
    <w:rsid w:val="00933FCB"/>
    <w:rsid w:val="00934E69"/>
    <w:rsid w:val="00936C93"/>
    <w:rsid w:val="00937401"/>
    <w:rsid w:val="00937D6B"/>
    <w:rsid w:val="00940477"/>
    <w:rsid w:val="00940876"/>
    <w:rsid w:val="00940A53"/>
    <w:rsid w:val="00940F3C"/>
    <w:rsid w:val="009410E0"/>
    <w:rsid w:val="009444B4"/>
    <w:rsid w:val="00946A24"/>
    <w:rsid w:val="00946C60"/>
    <w:rsid w:val="009470D4"/>
    <w:rsid w:val="00947337"/>
    <w:rsid w:val="009533E2"/>
    <w:rsid w:val="0095385A"/>
    <w:rsid w:val="0095780A"/>
    <w:rsid w:val="009579E4"/>
    <w:rsid w:val="00960BDB"/>
    <w:rsid w:val="0096147D"/>
    <w:rsid w:val="00961E5F"/>
    <w:rsid w:val="00961FA8"/>
    <w:rsid w:val="00962157"/>
    <w:rsid w:val="00962A50"/>
    <w:rsid w:val="00964138"/>
    <w:rsid w:val="00964B3F"/>
    <w:rsid w:val="00964C98"/>
    <w:rsid w:val="00965A88"/>
    <w:rsid w:val="00970964"/>
    <w:rsid w:val="00971441"/>
    <w:rsid w:val="009715D4"/>
    <w:rsid w:val="00972993"/>
    <w:rsid w:val="00974B58"/>
    <w:rsid w:val="00975757"/>
    <w:rsid w:val="009761ED"/>
    <w:rsid w:val="0098022F"/>
    <w:rsid w:val="009810DE"/>
    <w:rsid w:val="00982609"/>
    <w:rsid w:val="0098427D"/>
    <w:rsid w:val="00984567"/>
    <w:rsid w:val="009865D5"/>
    <w:rsid w:val="00987C77"/>
    <w:rsid w:val="00990345"/>
    <w:rsid w:val="0099119C"/>
    <w:rsid w:val="0099137A"/>
    <w:rsid w:val="0099211C"/>
    <w:rsid w:val="00995119"/>
    <w:rsid w:val="009953AD"/>
    <w:rsid w:val="00996E1E"/>
    <w:rsid w:val="00997392"/>
    <w:rsid w:val="0099747C"/>
    <w:rsid w:val="0099771C"/>
    <w:rsid w:val="009A01E4"/>
    <w:rsid w:val="009A030E"/>
    <w:rsid w:val="009A0A33"/>
    <w:rsid w:val="009A2435"/>
    <w:rsid w:val="009A38AB"/>
    <w:rsid w:val="009A3D47"/>
    <w:rsid w:val="009A3E03"/>
    <w:rsid w:val="009A5356"/>
    <w:rsid w:val="009A5468"/>
    <w:rsid w:val="009A5D99"/>
    <w:rsid w:val="009A608C"/>
    <w:rsid w:val="009A6FDF"/>
    <w:rsid w:val="009A76D6"/>
    <w:rsid w:val="009B1575"/>
    <w:rsid w:val="009B2E29"/>
    <w:rsid w:val="009B3402"/>
    <w:rsid w:val="009B422F"/>
    <w:rsid w:val="009B46BC"/>
    <w:rsid w:val="009B4D1A"/>
    <w:rsid w:val="009B558B"/>
    <w:rsid w:val="009C05C6"/>
    <w:rsid w:val="009C181C"/>
    <w:rsid w:val="009C28A2"/>
    <w:rsid w:val="009C3239"/>
    <w:rsid w:val="009C3828"/>
    <w:rsid w:val="009C4987"/>
    <w:rsid w:val="009C523F"/>
    <w:rsid w:val="009C59BF"/>
    <w:rsid w:val="009C5E4F"/>
    <w:rsid w:val="009C5F82"/>
    <w:rsid w:val="009C70F8"/>
    <w:rsid w:val="009D0156"/>
    <w:rsid w:val="009D05DA"/>
    <w:rsid w:val="009D1A14"/>
    <w:rsid w:val="009D1E2A"/>
    <w:rsid w:val="009D1FA0"/>
    <w:rsid w:val="009D2BDF"/>
    <w:rsid w:val="009D3736"/>
    <w:rsid w:val="009D5DB2"/>
    <w:rsid w:val="009D5EE8"/>
    <w:rsid w:val="009D604F"/>
    <w:rsid w:val="009D61BB"/>
    <w:rsid w:val="009D68BB"/>
    <w:rsid w:val="009D7ADB"/>
    <w:rsid w:val="009E0703"/>
    <w:rsid w:val="009E0E34"/>
    <w:rsid w:val="009E16DA"/>
    <w:rsid w:val="009E1CD4"/>
    <w:rsid w:val="009E2391"/>
    <w:rsid w:val="009E476A"/>
    <w:rsid w:val="009E4E05"/>
    <w:rsid w:val="009E56FF"/>
    <w:rsid w:val="009E5CB1"/>
    <w:rsid w:val="009E5E56"/>
    <w:rsid w:val="009E61EA"/>
    <w:rsid w:val="009E6FEE"/>
    <w:rsid w:val="009F060F"/>
    <w:rsid w:val="009F0850"/>
    <w:rsid w:val="009F1BDF"/>
    <w:rsid w:val="009F1EAE"/>
    <w:rsid w:val="009F369D"/>
    <w:rsid w:val="009F36FE"/>
    <w:rsid w:val="009F59C2"/>
    <w:rsid w:val="009F5E7F"/>
    <w:rsid w:val="009F76EA"/>
    <w:rsid w:val="009F78EB"/>
    <w:rsid w:val="009F7FEB"/>
    <w:rsid w:val="00A0024C"/>
    <w:rsid w:val="00A0120C"/>
    <w:rsid w:val="00A01852"/>
    <w:rsid w:val="00A0188B"/>
    <w:rsid w:val="00A01E73"/>
    <w:rsid w:val="00A023E7"/>
    <w:rsid w:val="00A02B88"/>
    <w:rsid w:val="00A03160"/>
    <w:rsid w:val="00A036AC"/>
    <w:rsid w:val="00A041BC"/>
    <w:rsid w:val="00A046D2"/>
    <w:rsid w:val="00A04A54"/>
    <w:rsid w:val="00A04B0F"/>
    <w:rsid w:val="00A066C3"/>
    <w:rsid w:val="00A06754"/>
    <w:rsid w:val="00A069E0"/>
    <w:rsid w:val="00A06E4A"/>
    <w:rsid w:val="00A078FB"/>
    <w:rsid w:val="00A1036D"/>
    <w:rsid w:val="00A1069F"/>
    <w:rsid w:val="00A10ACA"/>
    <w:rsid w:val="00A1138C"/>
    <w:rsid w:val="00A12355"/>
    <w:rsid w:val="00A127D2"/>
    <w:rsid w:val="00A143EC"/>
    <w:rsid w:val="00A14B1B"/>
    <w:rsid w:val="00A1500F"/>
    <w:rsid w:val="00A15621"/>
    <w:rsid w:val="00A15670"/>
    <w:rsid w:val="00A157A0"/>
    <w:rsid w:val="00A16809"/>
    <w:rsid w:val="00A17EA2"/>
    <w:rsid w:val="00A20264"/>
    <w:rsid w:val="00A20997"/>
    <w:rsid w:val="00A21454"/>
    <w:rsid w:val="00A22025"/>
    <w:rsid w:val="00A22498"/>
    <w:rsid w:val="00A22571"/>
    <w:rsid w:val="00A22F1E"/>
    <w:rsid w:val="00A237A3"/>
    <w:rsid w:val="00A24560"/>
    <w:rsid w:val="00A25BBB"/>
    <w:rsid w:val="00A30368"/>
    <w:rsid w:val="00A3036C"/>
    <w:rsid w:val="00A30E02"/>
    <w:rsid w:val="00A30F6A"/>
    <w:rsid w:val="00A31658"/>
    <w:rsid w:val="00A31C3E"/>
    <w:rsid w:val="00A34538"/>
    <w:rsid w:val="00A3540F"/>
    <w:rsid w:val="00A35630"/>
    <w:rsid w:val="00A36189"/>
    <w:rsid w:val="00A37E73"/>
    <w:rsid w:val="00A37FB6"/>
    <w:rsid w:val="00A4104A"/>
    <w:rsid w:val="00A41081"/>
    <w:rsid w:val="00A411CA"/>
    <w:rsid w:val="00A42096"/>
    <w:rsid w:val="00A421EF"/>
    <w:rsid w:val="00A426F3"/>
    <w:rsid w:val="00A42FDF"/>
    <w:rsid w:val="00A430A9"/>
    <w:rsid w:val="00A431FE"/>
    <w:rsid w:val="00A438E4"/>
    <w:rsid w:val="00A439E5"/>
    <w:rsid w:val="00A4497A"/>
    <w:rsid w:val="00A44F54"/>
    <w:rsid w:val="00A4542A"/>
    <w:rsid w:val="00A46574"/>
    <w:rsid w:val="00A475C1"/>
    <w:rsid w:val="00A47C58"/>
    <w:rsid w:val="00A50062"/>
    <w:rsid w:val="00A53037"/>
    <w:rsid w:val="00A532B9"/>
    <w:rsid w:val="00A5351D"/>
    <w:rsid w:val="00A53E79"/>
    <w:rsid w:val="00A54031"/>
    <w:rsid w:val="00A542A1"/>
    <w:rsid w:val="00A54A54"/>
    <w:rsid w:val="00A55122"/>
    <w:rsid w:val="00A5592B"/>
    <w:rsid w:val="00A56DE7"/>
    <w:rsid w:val="00A6009E"/>
    <w:rsid w:val="00A60B1F"/>
    <w:rsid w:val="00A62C3A"/>
    <w:rsid w:val="00A63812"/>
    <w:rsid w:val="00A668BA"/>
    <w:rsid w:val="00A66CEA"/>
    <w:rsid w:val="00A66FA7"/>
    <w:rsid w:val="00A70C5C"/>
    <w:rsid w:val="00A71060"/>
    <w:rsid w:val="00A71EA7"/>
    <w:rsid w:val="00A732EE"/>
    <w:rsid w:val="00A73D64"/>
    <w:rsid w:val="00A74216"/>
    <w:rsid w:val="00A74967"/>
    <w:rsid w:val="00A75504"/>
    <w:rsid w:val="00A77168"/>
    <w:rsid w:val="00A77985"/>
    <w:rsid w:val="00A80085"/>
    <w:rsid w:val="00A8043B"/>
    <w:rsid w:val="00A81323"/>
    <w:rsid w:val="00A820CB"/>
    <w:rsid w:val="00A82342"/>
    <w:rsid w:val="00A84443"/>
    <w:rsid w:val="00A8487F"/>
    <w:rsid w:val="00A85762"/>
    <w:rsid w:val="00A8754C"/>
    <w:rsid w:val="00A90AD6"/>
    <w:rsid w:val="00A90F12"/>
    <w:rsid w:val="00A93101"/>
    <w:rsid w:val="00A93223"/>
    <w:rsid w:val="00A9366C"/>
    <w:rsid w:val="00A94293"/>
    <w:rsid w:val="00A94BDE"/>
    <w:rsid w:val="00A94FCA"/>
    <w:rsid w:val="00A96C60"/>
    <w:rsid w:val="00A9740B"/>
    <w:rsid w:val="00A9766C"/>
    <w:rsid w:val="00A977F8"/>
    <w:rsid w:val="00A97C22"/>
    <w:rsid w:val="00AA08E7"/>
    <w:rsid w:val="00AA0A06"/>
    <w:rsid w:val="00AA1351"/>
    <w:rsid w:val="00AA1C84"/>
    <w:rsid w:val="00AA2B1B"/>
    <w:rsid w:val="00AA3D7B"/>
    <w:rsid w:val="00AA42A0"/>
    <w:rsid w:val="00AA442B"/>
    <w:rsid w:val="00AA46A4"/>
    <w:rsid w:val="00AA5779"/>
    <w:rsid w:val="00AA61C7"/>
    <w:rsid w:val="00AA669D"/>
    <w:rsid w:val="00AA6BE1"/>
    <w:rsid w:val="00AA72A5"/>
    <w:rsid w:val="00AA7416"/>
    <w:rsid w:val="00AB03D0"/>
    <w:rsid w:val="00AB14E8"/>
    <w:rsid w:val="00AB1B1D"/>
    <w:rsid w:val="00AB358D"/>
    <w:rsid w:val="00AB37A1"/>
    <w:rsid w:val="00AB3CFD"/>
    <w:rsid w:val="00AB49BC"/>
    <w:rsid w:val="00AB4DEE"/>
    <w:rsid w:val="00AB4E32"/>
    <w:rsid w:val="00AB726C"/>
    <w:rsid w:val="00AB72B4"/>
    <w:rsid w:val="00AC02AA"/>
    <w:rsid w:val="00AC0537"/>
    <w:rsid w:val="00AC0E3B"/>
    <w:rsid w:val="00AC1147"/>
    <w:rsid w:val="00AC2A0B"/>
    <w:rsid w:val="00AC2E53"/>
    <w:rsid w:val="00AC4B20"/>
    <w:rsid w:val="00AD1EFA"/>
    <w:rsid w:val="00AD2072"/>
    <w:rsid w:val="00AD27B1"/>
    <w:rsid w:val="00AD2DBD"/>
    <w:rsid w:val="00AD2FBF"/>
    <w:rsid w:val="00AD4091"/>
    <w:rsid w:val="00AD455D"/>
    <w:rsid w:val="00AD463C"/>
    <w:rsid w:val="00AD4F60"/>
    <w:rsid w:val="00AD5044"/>
    <w:rsid w:val="00AD5114"/>
    <w:rsid w:val="00AD6236"/>
    <w:rsid w:val="00AD7770"/>
    <w:rsid w:val="00AE1990"/>
    <w:rsid w:val="00AE25E8"/>
    <w:rsid w:val="00AE2AD4"/>
    <w:rsid w:val="00AE2CA7"/>
    <w:rsid w:val="00AE2F1D"/>
    <w:rsid w:val="00AE5671"/>
    <w:rsid w:val="00AE6582"/>
    <w:rsid w:val="00AE7686"/>
    <w:rsid w:val="00AE799A"/>
    <w:rsid w:val="00AF0E81"/>
    <w:rsid w:val="00AF117A"/>
    <w:rsid w:val="00AF19DF"/>
    <w:rsid w:val="00AF26CF"/>
    <w:rsid w:val="00AF4E92"/>
    <w:rsid w:val="00AF5C9B"/>
    <w:rsid w:val="00AF5D53"/>
    <w:rsid w:val="00AF5F55"/>
    <w:rsid w:val="00AF644B"/>
    <w:rsid w:val="00AF6CA6"/>
    <w:rsid w:val="00AF6EB6"/>
    <w:rsid w:val="00AF7796"/>
    <w:rsid w:val="00AF77A2"/>
    <w:rsid w:val="00B011A9"/>
    <w:rsid w:val="00B01328"/>
    <w:rsid w:val="00B033F8"/>
    <w:rsid w:val="00B04400"/>
    <w:rsid w:val="00B04835"/>
    <w:rsid w:val="00B05A55"/>
    <w:rsid w:val="00B05DE1"/>
    <w:rsid w:val="00B06595"/>
    <w:rsid w:val="00B10109"/>
    <w:rsid w:val="00B10FD1"/>
    <w:rsid w:val="00B12735"/>
    <w:rsid w:val="00B13E35"/>
    <w:rsid w:val="00B13EC0"/>
    <w:rsid w:val="00B14102"/>
    <w:rsid w:val="00B14D32"/>
    <w:rsid w:val="00B1557C"/>
    <w:rsid w:val="00B155DC"/>
    <w:rsid w:val="00B15766"/>
    <w:rsid w:val="00B1666A"/>
    <w:rsid w:val="00B1686D"/>
    <w:rsid w:val="00B16C66"/>
    <w:rsid w:val="00B17447"/>
    <w:rsid w:val="00B1771D"/>
    <w:rsid w:val="00B20209"/>
    <w:rsid w:val="00B203C9"/>
    <w:rsid w:val="00B221D5"/>
    <w:rsid w:val="00B22E22"/>
    <w:rsid w:val="00B23FD9"/>
    <w:rsid w:val="00B24591"/>
    <w:rsid w:val="00B245D5"/>
    <w:rsid w:val="00B24BE4"/>
    <w:rsid w:val="00B24C36"/>
    <w:rsid w:val="00B24F94"/>
    <w:rsid w:val="00B25126"/>
    <w:rsid w:val="00B25FC3"/>
    <w:rsid w:val="00B275AC"/>
    <w:rsid w:val="00B27875"/>
    <w:rsid w:val="00B3008D"/>
    <w:rsid w:val="00B30E11"/>
    <w:rsid w:val="00B30EEB"/>
    <w:rsid w:val="00B31423"/>
    <w:rsid w:val="00B323E0"/>
    <w:rsid w:val="00B32A17"/>
    <w:rsid w:val="00B3346C"/>
    <w:rsid w:val="00B33C23"/>
    <w:rsid w:val="00B345B4"/>
    <w:rsid w:val="00B348B1"/>
    <w:rsid w:val="00B34A28"/>
    <w:rsid w:val="00B35046"/>
    <w:rsid w:val="00B35B6A"/>
    <w:rsid w:val="00B37657"/>
    <w:rsid w:val="00B37B07"/>
    <w:rsid w:val="00B4046F"/>
    <w:rsid w:val="00B422C0"/>
    <w:rsid w:val="00B426CA"/>
    <w:rsid w:val="00B426E1"/>
    <w:rsid w:val="00B44746"/>
    <w:rsid w:val="00B44854"/>
    <w:rsid w:val="00B4792C"/>
    <w:rsid w:val="00B50CAE"/>
    <w:rsid w:val="00B512AD"/>
    <w:rsid w:val="00B5196C"/>
    <w:rsid w:val="00B525CB"/>
    <w:rsid w:val="00B52697"/>
    <w:rsid w:val="00B52B2A"/>
    <w:rsid w:val="00B54D8F"/>
    <w:rsid w:val="00B56851"/>
    <w:rsid w:val="00B572F7"/>
    <w:rsid w:val="00B57B9D"/>
    <w:rsid w:val="00B57DAF"/>
    <w:rsid w:val="00B6022C"/>
    <w:rsid w:val="00B614F8"/>
    <w:rsid w:val="00B61994"/>
    <w:rsid w:val="00B61FD4"/>
    <w:rsid w:val="00B62F5D"/>
    <w:rsid w:val="00B63872"/>
    <w:rsid w:val="00B63CB2"/>
    <w:rsid w:val="00B64246"/>
    <w:rsid w:val="00B64EDB"/>
    <w:rsid w:val="00B65938"/>
    <w:rsid w:val="00B65C8A"/>
    <w:rsid w:val="00B66109"/>
    <w:rsid w:val="00B66349"/>
    <w:rsid w:val="00B715F9"/>
    <w:rsid w:val="00B7211D"/>
    <w:rsid w:val="00B72B91"/>
    <w:rsid w:val="00B73019"/>
    <w:rsid w:val="00B7315F"/>
    <w:rsid w:val="00B7423D"/>
    <w:rsid w:val="00B74D05"/>
    <w:rsid w:val="00B763EC"/>
    <w:rsid w:val="00B777FA"/>
    <w:rsid w:val="00B77850"/>
    <w:rsid w:val="00B7796B"/>
    <w:rsid w:val="00B81964"/>
    <w:rsid w:val="00B81E6F"/>
    <w:rsid w:val="00B82123"/>
    <w:rsid w:val="00B8225B"/>
    <w:rsid w:val="00B82BB5"/>
    <w:rsid w:val="00B851E4"/>
    <w:rsid w:val="00B854CE"/>
    <w:rsid w:val="00B85681"/>
    <w:rsid w:val="00B86672"/>
    <w:rsid w:val="00B8675F"/>
    <w:rsid w:val="00B86877"/>
    <w:rsid w:val="00B8695D"/>
    <w:rsid w:val="00B86E66"/>
    <w:rsid w:val="00B873BA"/>
    <w:rsid w:val="00B8746F"/>
    <w:rsid w:val="00B87706"/>
    <w:rsid w:val="00B9129E"/>
    <w:rsid w:val="00B91B8E"/>
    <w:rsid w:val="00B92531"/>
    <w:rsid w:val="00B92618"/>
    <w:rsid w:val="00B92B69"/>
    <w:rsid w:val="00B92CC6"/>
    <w:rsid w:val="00B935C9"/>
    <w:rsid w:val="00B93E3D"/>
    <w:rsid w:val="00B95464"/>
    <w:rsid w:val="00B95BCF"/>
    <w:rsid w:val="00B95E3D"/>
    <w:rsid w:val="00B9691F"/>
    <w:rsid w:val="00B976C7"/>
    <w:rsid w:val="00BA0C54"/>
    <w:rsid w:val="00BA0C6B"/>
    <w:rsid w:val="00BA1382"/>
    <w:rsid w:val="00BA20D8"/>
    <w:rsid w:val="00BA22FC"/>
    <w:rsid w:val="00BA2F30"/>
    <w:rsid w:val="00BA4771"/>
    <w:rsid w:val="00BA7370"/>
    <w:rsid w:val="00BA778B"/>
    <w:rsid w:val="00BB0888"/>
    <w:rsid w:val="00BB0E9B"/>
    <w:rsid w:val="00BB2841"/>
    <w:rsid w:val="00BB2DB4"/>
    <w:rsid w:val="00BB300F"/>
    <w:rsid w:val="00BB32C9"/>
    <w:rsid w:val="00BB35C5"/>
    <w:rsid w:val="00BB4C8E"/>
    <w:rsid w:val="00BB57ED"/>
    <w:rsid w:val="00BB5D6E"/>
    <w:rsid w:val="00BB65C3"/>
    <w:rsid w:val="00BB662E"/>
    <w:rsid w:val="00BB6C01"/>
    <w:rsid w:val="00BB6C6A"/>
    <w:rsid w:val="00BB7CD1"/>
    <w:rsid w:val="00BC0AF3"/>
    <w:rsid w:val="00BC17CC"/>
    <w:rsid w:val="00BC2898"/>
    <w:rsid w:val="00BC2928"/>
    <w:rsid w:val="00BC2BB1"/>
    <w:rsid w:val="00BC34A3"/>
    <w:rsid w:val="00BC3FF9"/>
    <w:rsid w:val="00BC4A97"/>
    <w:rsid w:val="00BC68B4"/>
    <w:rsid w:val="00BC693B"/>
    <w:rsid w:val="00BC6C56"/>
    <w:rsid w:val="00BD02CC"/>
    <w:rsid w:val="00BD2063"/>
    <w:rsid w:val="00BD33D9"/>
    <w:rsid w:val="00BD3DEA"/>
    <w:rsid w:val="00BD3E97"/>
    <w:rsid w:val="00BD52FE"/>
    <w:rsid w:val="00BD62CF"/>
    <w:rsid w:val="00BD78FE"/>
    <w:rsid w:val="00BE0767"/>
    <w:rsid w:val="00BE12D7"/>
    <w:rsid w:val="00BE18C4"/>
    <w:rsid w:val="00BE18DA"/>
    <w:rsid w:val="00BE26C0"/>
    <w:rsid w:val="00BE4578"/>
    <w:rsid w:val="00BE47B2"/>
    <w:rsid w:val="00BE48C7"/>
    <w:rsid w:val="00BE4F66"/>
    <w:rsid w:val="00BE5238"/>
    <w:rsid w:val="00BE7257"/>
    <w:rsid w:val="00BF020D"/>
    <w:rsid w:val="00BF1DD2"/>
    <w:rsid w:val="00BF23A3"/>
    <w:rsid w:val="00BF2A7E"/>
    <w:rsid w:val="00BF3331"/>
    <w:rsid w:val="00BF53F1"/>
    <w:rsid w:val="00BF5C05"/>
    <w:rsid w:val="00BF6FC6"/>
    <w:rsid w:val="00BF7C52"/>
    <w:rsid w:val="00BF7F99"/>
    <w:rsid w:val="00C00713"/>
    <w:rsid w:val="00C009A0"/>
    <w:rsid w:val="00C01F74"/>
    <w:rsid w:val="00C02558"/>
    <w:rsid w:val="00C0285F"/>
    <w:rsid w:val="00C0329C"/>
    <w:rsid w:val="00C03305"/>
    <w:rsid w:val="00C03738"/>
    <w:rsid w:val="00C037A6"/>
    <w:rsid w:val="00C04BDB"/>
    <w:rsid w:val="00C06CCF"/>
    <w:rsid w:val="00C1159D"/>
    <w:rsid w:val="00C1233E"/>
    <w:rsid w:val="00C128A3"/>
    <w:rsid w:val="00C12FB3"/>
    <w:rsid w:val="00C1375F"/>
    <w:rsid w:val="00C13D85"/>
    <w:rsid w:val="00C14E82"/>
    <w:rsid w:val="00C14FF6"/>
    <w:rsid w:val="00C15177"/>
    <w:rsid w:val="00C1641B"/>
    <w:rsid w:val="00C165FC"/>
    <w:rsid w:val="00C176D5"/>
    <w:rsid w:val="00C17AD2"/>
    <w:rsid w:val="00C20211"/>
    <w:rsid w:val="00C2082C"/>
    <w:rsid w:val="00C220B6"/>
    <w:rsid w:val="00C22DDE"/>
    <w:rsid w:val="00C2338B"/>
    <w:rsid w:val="00C238F4"/>
    <w:rsid w:val="00C23A99"/>
    <w:rsid w:val="00C245EE"/>
    <w:rsid w:val="00C24B8D"/>
    <w:rsid w:val="00C24BD7"/>
    <w:rsid w:val="00C25813"/>
    <w:rsid w:val="00C27143"/>
    <w:rsid w:val="00C27490"/>
    <w:rsid w:val="00C27D37"/>
    <w:rsid w:val="00C309E8"/>
    <w:rsid w:val="00C31FCD"/>
    <w:rsid w:val="00C32017"/>
    <w:rsid w:val="00C325CD"/>
    <w:rsid w:val="00C3322E"/>
    <w:rsid w:val="00C33B90"/>
    <w:rsid w:val="00C34B5F"/>
    <w:rsid w:val="00C36785"/>
    <w:rsid w:val="00C3711C"/>
    <w:rsid w:val="00C37256"/>
    <w:rsid w:val="00C37A7B"/>
    <w:rsid w:val="00C37FFE"/>
    <w:rsid w:val="00C40B50"/>
    <w:rsid w:val="00C419E3"/>
    <w:rsid w:val="00C41E6A"/>
    <w:rsid w:val="00C42247"/>
    <w:rsid w:val="00C439BE"/>
    <w:rsid w:val="00C4539B"/>
    <w:rsid w:val="00C45466"/>
    <w:rsid w:val="00C455C1"/>
    <w:rsid w:val="00C4581D"/>
    <w:rsid w:val="00C47472"/>
    <w:rsid w:val="00C500F0"/>
    <w:rsid w:val="00C504A7"/>
    <w:rsid w:val="00C506C9"/>
    <w:rsid w:val="00C52D98"/>
    <w:rsid w:val="00C5330C"/>
    <w:rsid w:val="00C54640"/>
    <w:rsid w:val="00C547A6"/>
    <w:rsid w:val="00C54A3A"/>
    <w:rsid w:val="00C55025"/>
    <w:rsid w:val="00C56A67"/>
    <w:rsid w:val="00C56CC2"/>
    <w:rsid w:val="00C57498"/>
    <w:rsid w:val="00C5763C"/>
    <w:rsid w:val="00C5780C"/>
    <w:rsid w:val="00C5796B"/>
    <w:rsid w:val="00C60A92"/>
    <w:rsid w:val="00C619A1"/>
    <w:rsid w:val="00C6305F"/>
    <w:rsid w:val="00C6325B"/>
    <w:rsid w:val="00C63E99"/>
    <w:rsid w:val="00C64A64"/>
    <w:rsid w:val="00C65151"/>
    <w:rsid w:val="00C66119"/>
    <w:rsid w:val="00C66292"/>
    <w:rsid w:val="00C672A3"/>
    <w:rsid w:val="00C672F1"/>
    <w:rsid w:val="00C673D0"/>
    <w:rsid w:val="00C71E2A"/>
    <w:rsid w:val="00C733BA"/>
    <w:rsid w:val="00C8082B"/>
    <w:rsid w:val="00C81A88"/>
    <w:rsid w:val="00C81D46"/>
    <w:rsid w:val="00C82298"/>
    <w:rsid w:val="00C8294F"/>
    <w:rsid w:val="00C833B4"/>
    <w:rsid w:val="00C84284"/>
    <w:rsid w:val="00C8508E"/>
    <w:rsid w:val="00C861FC"/>
    <w:rsid w:val="00C9005E"/>
    <w:rsid w:val="00C90CA9"/>
    <w:rsid w:val="00C917B1"/>
    <w:rsid w:val="00C9193C"/>
    <w:rsid w:val="00C91B77"/>
    <w:rsid w:val="00C920E2"/>
    <w:rsid w:val="00C93765"/>
    <w:rsid w:val="00C93877"/>
    <w:rsid w:val="00C93D8C"/>
    <w:rsid w:val="00C959BD"/>
    <w:rsid w:val="00C96DBF"/>
    <w:rsid w:val="00CA0031"/>
    <w:rsid w:val="00CA0413"/>
    <w:rsid w:val="00CA043A"/>
    <w:rsid w:val="00CA41E7"/>
    <w:rsid w:val="00CA5812"/>
    <w:rsid w:val="00CA5BD4"/>
    <w:rsid w:val="00CA5C14"/>
    <w:rsid w:val="00CA7E7B"/>
    <w:rsid w:val="00CB2D38"/>
    <w:rsid w:val="00CB4137"/>
    <w:rsid w:val="00CB52D0"/>
    <w:rsid w:val="00CB530A"/>
    <w:rsid w:val="00CB5578"/>
    <w:rsid w:val="00CB591C"/>
    <w:rsid w:val="00CB59E3"/>
    <w:rsid w:val="00CB61B3"/>
    <w:rsid w:val="00CB6F83"/>
    <w:rsid w:val="00CB72AE"/>
    <w:rsid w:val="00CC00CD"/>
    <w:rsid w:val="00CC0AF3"/>
    <w:rsid w:val="00CC0BC6"/>
    <w:rsid w:val="00CC0E68"/>
    <w:rsid w:val="00CC2338"/>
    <w:rsid w:val="00CC2514"/>
    <w:rsid w:val="00CC2F69"/>
    <w:rsid w:val="00CC315F"/>
    <w:rsid w:val="00CC3D38"/>
    <w:rsid w:val="00CC40C3"/>
    <w:rsid w:val="00CC4E5D"/>
    <w:rsid w:val="00CC50AE"/>
    <w:rsid w:val="00CC69EC"/>
    <w:rsid w:val="00CC743D"/>
    <w:rsid w:val="00CD050A"/>
    <w:rsid w:val="00CD205D"/>
    <w:rsid w:val="00CD28EC"/>
    <w:rsid w:val="00CD2A22"/>
    <w:rsid w:val="00CD2B50"/>
    <w:rsid w:val="00CD4506"/>
    <w:rsid w:val="00CD4F09"/>
    <w:rsid w:val="00CD520B"/>
    <w:rsid w:val="00CD5822"/>
    <w:rsid w:val="00CD5A1A"/>
    <w:rsid w:val="00CD5F7C"/>
    <w:rsid w:val="00CD7EFA"/>
    <w:rsid w:val="00CE020E"/>
    <w:rsid w:val="00CE0566"/>
    <w:rsid w:val="00CE1CD4"/>
    <w:rsid w:val="00CE2761"/>
    <w:rsid w:val="00CE314E"/>
    <w:rsid w:val="00CE3D5C"/>
    <w:rsid w:val="00CE3E14"/>
    <w:rsid w:val="00CE4362"/>
    <w:rsid w:val="00CE44C7"/>
    <w:rsid w:val="00CE53CC"/>
    <w:rsid w:val="00CE5F10"/>
    <w:rsid w:val="00CE65A7"/>
    <w:rsid w:val="00CE6EC4"/>
    <w:rsid w:val="00CE7F26"/>
    <w:rsid w:val="00CF1E1D"/>
    <w:rsid w:val="00CF35D0"/>
    <w:rsid w:val="00CF3DD5"/>
    <w:rsid w:val="00CF4AF7"/>
    <w:rsid w:val="00CF4D20"/>
    <w:rsid w:val="00CF59B1"/>
    <w:rsid w:val="00CF73F8"/>
    <w:rsid w:val="00CF7928"/>
    <w:rsid w:val="00D00A8E"/>
    <w:rsid w:val="00D00DE0"/>
    <w:rsid w:val="00D012BF"/>
    <w:rsid w:val="00D01760"/>
    <w:rsid w:val="00D0368E"/>
    <w:rsid w:val="00D03D2D"/>
    <w:rsid w:val="00D03E7B"/>
    <w:rsid w:val="00D0401A"/>
    <w:rsid w:val="00D058E9"/>
    <w:rsid w:val="00D1060D"/>
    <w:rsid w:val="00D10E7C"/>
    <w:rsid w:val="00D11182"/>
    <w:rsid w:val="00D11807"/>
    <w:rsid w:val="00D12D82"/>
    <w:rsid w:val="00D1306E"/>
    <w:rsid w:val="00D142EF"/>
    <w:rsid w:val="00D14B5F"/>
    <w:rsid w:val="00D14F23"/>
    <w:rsid w:val="00D16740"/>
    <w:rsid w:val="00D16A8B"/>
    <w:rsid w:val="00D16E39"/>
    <w:rsid w:val="00D17AD8"/>
    <w:rsid w:val="00D2104A"/>
    <w:rsid w:val="00D21BB5"/>
    <w:rsid w:val="00D21FFC"/>
    <w:rsid w:val="00D223B6"/>
    <w:rsid w:val="00D223E8"/>
    <w:rsid w:val="00D22DC8"/>
    <w:rsid w:val="00D2461D"/>
    <w:rsid w:val="00D2531C"/>
    <w:rsid w:val="00D2754F"/>
    <w:rsid w:val="00D279D9"/>
    <w:rsid w:val="00D30453"/>
    <w:rsid w:val="00D312DC"/>
    <w:rsid w:val="00D31B84"/>
    <w:rsid w:val="00D31C6A"/>
    <w:rsid w:val="00D31CC6"/>
    <w:rsid w:val="00D31EDF"/>
    <w:rsid w:val="00D31FF9"/>
    <w:rsid w:val="00D32256"/>
    <w:rsid w:val="00D32A27"/>
    <w:rsid w:val="00D32ABC"/>
    <w:rsid w:val="00D3479A"/>
    <w:rsid w:val="00D349D5"/>
    <w:rsid w:val="00D34F4E"/>
    <w:rsid w:val="00D357F3"/>
    <w:rsid w:val="00D35C0E"/>
    <w:rsid w:val="00D36EEF"/>
    <w:rsid w:val="00D373A8"/>
    <w:rsid w:val="00D37721"/>
    <w:rsid w:val="00D401BE"/>
    <w:rsid w:val="00D40A50"/>
    <w:rsid w:val="00D41858"/>
    <w:rsid w:val="00D422DB"/>
    <w:rsid w:val="00D42AC2"/>
    <w:rsid w:val="00D438B8"/>
    <w:rsid w:val="00D4515F"/>
    <w:rsid w:val="00D466C9"/>
    <w:rsid w:val="00D52E2F"/>
    <w:rsid w:val="00D52F59"/>
    <w:rsid w:val="00D53001"/>
    <w:rsid w:val="00D53E3E"/>
    <w:rsid w:val="00D5616F"/>
    <w:rsid w:val="00D577D3"/>
    <w:rsid w:val="00D57940"/>
    <w:rsid w:val="00D60327"/>
    <w:rsid w:val="00D61526"/>
    <w:rsid w:val="00D61F81"/>
    <w:rsid w:val="00D62BE6"/>
    <w:rsid w:val="00D63766"/>
    <w:rsid w:val="00D63912"/>
    <w:rsid w:val="00D63923"/>
    <w:rsid w:val="00D6451B"/>
    <w:rsid w:val="00D64B57"/>
    <w:rsid w:val="00D656C9"/>
    <w:rsid w:val="00D65DEA"/>
    <w:rsid w:val="00D67BC7"/>
    <w:rsid w:val="00D705D3"/>
    <w:rsid w:val="00D70E00"/>
    <w:rsid w:val="00D715AC"/>
    <w:rsid w:val="00D71851"/>
    <w:rsid w:val="00D718CF"/>
    <w:rsid w:val="00D7251C"/>
    <w:rsid w:val="00D72E9D"/>
    <w:rsid w:val="00D73249"/>
    <w:rsid w:val="00D73419"/>
    <w:rsid w:val="00D73CA9"/>
    <w:rsid w:val="00D73DEC"/>
    <w:rsid w:val="00D74898"/>
    <w:rsid w:val="00D750EA"/>
    <w:rsid w:val="00D751B7"/>
    <w:rsid w:val="00D7524B"/>
    <w:rsid w:val="00D75396"/>
    <w:rsid w:val="00D759C0"/>
    <w:rsid w:val="00D75E99"/>
    <w:rsid w:val="00D766C7"/>
    <w:rsid w:val="00D7692B"/>
    <w:rsid w:val="00D76B1E"/>
    <w:rsid w:val="00D7734F"/>
    <w:rsid w:val="00D8044C"/>
    <w:rsid w:val="00D805D6"/>
    <w:rsid w:val="00D80D4C"/>
    <w:rsid w:val="00D8184D"/>
    <w:rsid w:val="00D81A7B"/>
    <w:rsid w:val="00D8223C"/>
    <w:rsid w:val="00D82CE5"/>
    <w:rsid w:val="00D8342C"/>
    <w:rsid w:val="00D85494"/>
    <w:rsid w:val="00D8616D"/>
    <w:rsid w:val="00D90F4B"/>
    <w:rsid w:val="00D915C8"/>
    <w:rsid w:val="00D9310B"/>
    <w:rsid w:val="00D93726"/>
    <w:rsid w:val="00D93F3E"/>
    <w:rsid w:val="00D9405B"/>
    <w:rsid w:val="00D94DC6"/>
    <w:rsid w:val="00D95145"/>
    <w:rsid w:val="00D967CB"/>
    <w:rsid w:val="00D96EE0"/>
    <w:rsid w:val="00D97BD1"/>
    <w:rsid w:val="00DA06B8"/>
    <w:rsid w:val="00DA2969"/>
    <w:rsid w:val="00DA29B7"/>
    <w:rsid w:val="00DA4F95"/>
    <w:rsid w:val="00DA5120"/>
    <w:rsid w:val="00DA5989"/>
    <w:rsid w:val="00DA5AB1"/>
    <w:rsid w:val="00DA5F9D"/>
    <w:rsid w:val="00DA69B2"/>
    <w:rsid w:val="00DA762D"/>
    <w:rsid w:val="00DA7AD0"/>
    <w:rsid w:val="00DB03CC"/>
    <w:rsid w:val="00DB14F0"/>
    <w:rsid w:val="00DB1745"/>
    <w:rsid w:val="00DB1AFF"/>
    <w:rsid w:val="00DB219A"/>
    <w:rsid w:val="00DB4292"/>
    <w:rsid w:val="00DB7117"/>
    <w:rsid w:val="00DB7760"/>
    <w:rsid w:val="00DB7DD4"/>
    <w:rsid w:val="00DC0954"/>
    <w:rsid w:val="00DC15BA"/>
    <w:rsid w:val="00DC18CD"/>
    <w:rsid w:val="00DC1A68"/>
    <w:rsid w:val="00DC1F2B"/>
    <w:rsid w:val="00DC30B8"/>
    <w:rsid w:val="00DC62E5"/>
    <w:rsid w:val="00DC6F33"/>
    <w:rsid w:val="00DC7349"/>
    <w:rsid w:val="00DD1599"/>
    <w:rsid w:val="00DD1B03"/>
    <w:rsid w:val="00DD2A62"/>
    <w:rsid w:val="00DD2F2F"/>
    <w:rsid w:val="00DD2F7A"/>
    <w:rsid w:val="00DD328D"/>
    <w:rsid w:val="00DD3885"/>
    <w:rsid w:val="00DD3FA3"/>
    <w:rsid w:val="00DD5946"/>
    <w:rsid w:val="00DD5B04"/>
    <w:rsid w:val="00DD5EC6"/>
    <w:rsid w:val="00DD605F"/>
    <w:rsid w:val="00DD735D"/>
    <w:rsid w:val="00DE082D"/>
    <w:rsid w:val="00DE3119"/>
    <w:rsid w:val="00DE3FF0"/>
    <w:rsid w:val="00DE4105"/>
    <w:rsid w:val="00DE5189"/>
    <w:rsid w:val="00DE5CC7"/>
    <w:rsid w:val="00DE69E9"/>
    <w:rsid w:val="00DF0263"/>
    <w:rsid w:val="00DF1E36"/>
    <w:rsid w:val="00DF236B"/>
    <w:rsid w:val="00DF25D3"/>
    <w:rsid w:val="00DF3889"/>
    <w:rsid w:val="00DF3CC9"/>
    <w:rsid w:val="00DF4451"/>
    <w:rsid w:val="00DF461D"/>
    <w:rsid w:val="00DF49FF"/>
    <w:rsid w:val="00DF4FFB"/>
    <w:rsid w:val="00DF5236"/>
    <w:rsid w:val="00DF5CEB"/>
    <w:rsid w:val="00DF651F"/>
    <w:rsid w:val="00DF6F43"/>
    <w:rsid w:val="00DF752F"/>
    <w:rsid w:val="00DF76A2"/>
    <w:rsid w:val="00E02186"/>
    <w:rsid w:val="00E026BB"/>
    <w:rsid w:val="00E027C5"/>
    <w:rsid w:val="00E03124"/>
    <w:rsid w:val="00E03951"/>
    <w:rsid w:val="00E03DB8"/>
    <w:rsid w:val="00E03F1D"/>
    <w:rsid w:val="00E05E70"/>
    <w:rsid w:val="00E064BC"/>
    <w:rsid w:val="00E109DD"/>
    <w:rsid w:val="00E11229"/>
    <w:rsid w:val="00E1280D"/>
    <w:rsid w:val="00E1397F"/>
    <w:rsid w:val="00E13AB8"/>
    <w:rsid w:val="00E1482E"/>
    <w:rsid w:val="00E1699C"/>
    <w:rsid w:val="00E16E75"/>
    <w:rsid w:val="00E23137"/>
    <w:rsid w:val="00E241E9"/>
    <w:rsid w:val="00E257C3"/>
    <w:rsid w:val="00E25CB3"/>
    <w:rsid w:val="00E25DA4"/>
    <w:rsid w:val="00E26CB8"/>
    <w:rsid w:val="00E26FCF"/>
    <w:rsid w:val="00E26FF6"/>
    <w:rsid w:val="00E27165"/>
    <w:rsid w:val="00E3044A"/>
    <w:rsid w:val="00E31A4A"/>
    <w:rsid w:val="00E3332A"/>
    <w:rsid w:val="00E3344A"/>
    <w:rsid w:val="00E33B29"/>
    <w:rsid w:val="00E33B62"/>
    <w:rsid w:val="00E3403D"/>
    <w:rsid w:val="00E34E6C"/>
    <w:rsid w:val="00E353E2"/>
    <w:rsid w:val="00E36345"/>
    <w:rsid w:val="00E36B2F"/>
    <w:rsid w:val="00E36C86"/>
    <w:rsid w:val="00E36CEB"/>
    <w:rsid w:val="00E40430"/>
    <w:rsid w:val="00E40690"/>
    <w:rsid w:val="00E4143A"/>
    <w:rsid w:val="00E424C8"/>
    <w:rsid w:val="00E4251D"/>
    <w:rsid w:val="00E43D00"/>
    <w:rsid w:val="00E445E4"/>
    <w:rsid w:val="00E457CB"/>
    <w:rsid w:val="00E45DE4"/>
    <w:rsid w:val="00E45E63"/>
    <w:rsid w:val="00E50A7B"/>
    <w:rsid w:val="00E510FE"/>
    <w:rsid w:val="00E521AE"/>
    <w:rsid w:val="00E53BCA"/>
    <w:rsid w:val="00E53F02"/>
    <w:rsid w:val="00E54534"/>
    <w:rsid w:val="00E548C3"/>
    <w:rsid w:val="00E54F27"/>
    <w:rsid w:val="00E55FF1"/>
    <w:rsid w:val="00E56090"/>
    <w:rsid w:val="00E565B9"/>
    <w:rsid w:val="00E5733B"/>
    <w:rsid w:val="00E601BE"/>
    <w:rsid w:val="00E60B5F"/>
    <w:rsid w:val="00E60E56"/>
    <w:rsid w:val="00E613AE"/>
    <w:rsid w:val="00E61ABB"/>
    <w:rsid w:val="00E621F9"/>
    <w:rsid w:val="00E623E6"/>
    <w:rsid w:val="00E62936"/>
    <w:rsid w:val="00E630C0"/>
    <w:rsid w:val="00E634E6"/>
    <w:rsid w:val="00E64700"/>
    <w:rsid w:val="00E65074"/>
    <w:rsid w:val="00E65E70"/>
    <w:rsid w:val="00E66087"/>
    <w:rsid w:val="00E66FF9"/>
    <w:rsid w:val="00E67856"/>
    <w:rsid w:val="00E709B8"/>
    <w:rsid w:val="00E724E7"/>
    <w:rsid w:val="00E7347B"/>
    <w:rsid w:val="00E73D03"/>
    <w:rsid w:val="00E77AF5"/>
    <w:rsid w:val="00E802CB"/>
    <w:rsid w:val="00E8296F"/>
    <w:rsid w:val="00E82C1F"/>
    <w:rsid w:val="00E84A71"/>
    <w:rsid w:val="00E86556"/>
    <w:rsid w:val="00E86D35"/>
    <w:rsid w:val="00E86DC2"/>
    <w:rsid w:val="00E9011F"/>
    <w:rsid w:val="00E906EB"/>
    <w:rsid w:val="00E9190D"/>
    <w:rsid w:val="00E92E62"/>
    <w:rsid w:val="00E95018"/>
    <w:rsid w:val="00E95434"/>
    <w:rsid w:val="00E96467"/>
    <w:rsid w:val="00E96948"/>
    <w:rsid w:val="00E9737B"/>
    <w:rsid w:val="00E97A3F"/>
    <w:rsid w:val="00E97F0A"/>
    <w:rsid w:val="00EA00C2"/>
    <w:rsid w:val="00EA0996"/>
    <w:rsid w:val="00EA2744"/>
    <w:rsid w:val="00EA37B9"/>
    <w:rsid w:val="00EA3DC2"/>
    <w:rsid w:val="00EA4757"/>
    <w:rsid w:val="00EA5513"/>
    <w:rsid w:val="00EA560B"/>
    <w:rsid w:val="00EA5669"/>
    <w:rsid w:val="00EA63EF"/>
    <w:rsid w:val="00EA7C5A"/>
    <w:rsid w:val="00EB0A89"/>
    <w:rsid w:val="00EB1910"/>
    <w:rsid w:val="00EB1C11"/>
    <w:rsid w:val="00EB2E97"/>
    <w:rsid w:val="00EB4AE1"/>
    <w:rsid w:val="00EB52F4"/>
    <w:rsid w:val="00EB5779"/>
    <w:rsid w:val="00EB67F1"/>
    <w:rsid w:val="00EB72CD"/>
    <w:rsid w:val="00EB749A"/>
    <w:rsid w:val="00EB76B6"/>
    <w:rsid w:val="00EC05E2"/>
    <w:rsid w:val="00EC0E84"/>
    <w:rsid w:val="00EC16E2"/>
    <w:rsid w:val="00EC1CE7"/>
    <w:rsid w:val="00EC26F1"/>
    <w:rsid w:val="00EC3C94"/>
    <w:rsid w:val="00EC44DF"/>
    <w:rsid w:val="00EC4A40"/>
    <w:rsid w:val="00EC4FB9"/>
    <w:rsid w:val="00EC5393"/>
    <w:rsid w:val="00EC5DA3"/>
    <w:rsid w:val="00EC6014"/>
    <w:rsid w:val="00EC6B3E"/>
    <w:rsid w:val="00EC7637"/>
    <w:rsid w:val="00ED046C"/>
    <w:rsid w:val="00ED053A"/>
    <w:rsid w:val="00ED1F03"/>
    <w:rsid w:val="00ED2D27"/>
    <w:rsid w:val="00ED3347"/>
    <w:rsid w:val="00ED43EE"/>
    <w:rsid w:val="00ED4967"/>
    <w:rsid w:val="00ED4F09"/>
    <w:rsid w:val="00ED5771"/>
    <w:rsid w:val="00ED587F"/>
    <w:rsid w:val="00ED5964"/>
    <w:rsid w:val="00ED72E9"/>
    <w:rsid w:val="00ED7FBC"/>
    <w:rsid w:val="00EE0253"/>
    <w:rsid w:val="00EE0297"/>
    <w:rsid w:val="00EE1668"/>
    <w:rsid w:val="00EE1774"/>
    <w:rsid w:val="00EE366D"/>
    <w:rsid w:val="00EE431B"/>
    <w:rsid w:val="00EE59B5"/>
    <w:rsid w:val="00EE7B54"/>
    <w:rsid w:val="00EE7C88"/>
    <w:rsid w:val="00EF0209"/>
    <w:rsid w:val="00EF1E97"/>
    <w:rsid w:val="00EF2547"/>
    <w:rsid w:val="00EF2B2B"/>
    <w:rsid w:val="00EF2E1C"/>
    <w:rsid w:val="00EF2FD6"/>
    <w:rsid w:val="00EF326A"/>
    <w:rsid w:val="00EF427A"/>
    <w:rsid w:val="00EF45DF"/>
    <w:rsid w:val="00EF4952"/>
    <w:rsid w:val="00EF4A42"/>
    <w:rsid w:val="00EF510C"/>
    <w:rsid w:val="00EF57BC"/>
    <w:rsid w:val="00EF6784"/>
    <w:rsid w:val="00EF6A03"/>
    <w:rsid w:val="00EF6DC2"/>
    <w:rsid w:val="00EF7BF4"/>
    <w:rsid w:val="00F00674"/>
    <w:rsid w:val="00F01657"/>
    <w:rsid w:val="00F02744"/>
    <w:rsid w:val="00F02BFD"/>
    <w:rsid w:val="00F02D25"/>
    <w:rsid w:val="00F04580"/>
    <w:rsid w:val="00F04ECA"/>
    <w:rsid w:val="00F05171"/>
    <w:rsid w:val="00F06E19"/>
    <w:rsid w:val="00F06F84"/>
    <w:rsid w:val="00F076E7"/>
    <w:rsid w:val="00F07AA1"/>
    <w:rsid w:val="00F105AE"/>
    <w:rsid w:val="00F1108B"/>
    <w:rsid w:val="00F11768"/>
    <w:rsid w:val="00F11951"/>
    <w:rsid w:val="00F12262"/>
    <w:rsid w:val="00F12AF8"/>
    <w:rsid w:val="00F148B7"/>
    <w:rsid w:val="00F15505"/>
    <w:rsid w:val="00F15BFF"/>
    <w:rsid w:val="00F213A0"/>
    <w:rsid w:val="00F21D54"/>
    <w:rsid w:val="00F23113"/>
    <w:rsid w:val="00F23255"/>
    <w:rsid w:val="00F24644"/>
    <w:rsid w:val="00F2532E"/>
    <w:rsid w:val="00F30400"/>
    <w:rsid w:val="00F30DFF"/>
    <w:rsid w:val="00F346ED"/>
    <w:rsid w:val="00F34945"/>
    <w:rsid w:val="00F34E1E"/>
    <w:rsid w:val="00F368FF"/>
    <w:rsid w:val="00F37068"/>
    <w:rsid w:val="00F40992"/>
    <w:rsid w:val="00F41596"/>
    <w:rsid w:val="00F41A61"/>
    <w:rsid w:val="00F41D8B"/>
    <w:rsid w:val="00F42121"/>
    <w:rsid w:val="00F428B4"/>
    <w:rsid w:val="00F43064"/>
    <w:rsid w:val="00F4345D"/>
    <w:rsid w:val="00F4387B"/>
    <w:rsid w:val="00F45B91"/>
    <w:rsid w:val="00F46639"/>
    <w:rsid w:val="00F50183"/>
    <w:rsid w:val="00F50D92"/>
    <w:rsid w:val="00F51765"/>
    <w:rsid w:val="00F51A51"/>
    <w:rsid w:val="00F51CB4"/>
    <w:rsid w:val="00F51CFD"/>
    <w:rsid w:val="00F52324"/>
    <w:rsid w:val="00F52C9D"/>
    <w:rsid w:val="00F533F1"/>
    <w:rsid w:val="00F5495F"/>
    <w:rsid w:val="00F55679"/>
    <w:rsid w:val="00F561E3"/>
    <w:rsid w:val="00F565E6"/>
    <w:rsid w:val="00F56AFA"/>
    <w:rsid w:val="00F575E2"/>
    <w:rsid w:val="00F579FF"/>
    <w:rsid w:val="00F600E0"/>
    <w:rsid w:val="00F605EC"/>
    <w:rsid w:val="00F60F60"/>
    <w:rsid w:val="00F624A7"/>
    <w:rsid w:val="00F65A3C"/>
    <w:rsid w:val="00F67D8B"/>
    <w:rsid w:val="00F71397"/>
    <w:rsid w:val="00F72389"/>
    <w:rsid w:val="00F735E5"/>
    <w:rsid w:val="00F73E80"/>
    <w:rsid w:val="00F7469C"/>
    <w:rsid w:val="00F7492E"/>
    <w:rsid w:val="00F749A3"/>
    <w:rsid w:val="00F74AE8"/>
    <w:rsid w:val="00F80466"/>
    <w:rsid w:val="00F80E1C"/>
    <w:rsid w:val="00F840BF"/>
    <w:rsid w:val="00F843DF"/>
    <w:rsid w:val="00F84899"/>
    <w:rsid w:val="00F85585"/>
    <w:rsid w:val="00F859F0"/>
    <w:rsid w:val="00F85CC1"/>
    <w:rsid w:val="00F85DED"/>
    <w:rsid w:val="00F86B5D"/>
    <w:rsid w:val="00F87906"/>
    <w:rsid w:val="00F87C13"/>
    <w:rsid w:val="00F87E29"/>
    <w:rsid w:val="00F87F18"/>
    <w:rsid w:val="00F87F68"/>
    <w:rsid w:val="00F9167D"/>
    <w:rsid w:val="00F91CB2"/>
    <w:rsid w:val="00F921F9"/>
    <w:rsid w:val="00F9289C"/>
    <w:rsid w:val="00F94644"/>
    <w:rsid w:val="00F9537B"/>
    <w:rsid w:val="00F96027"/>
    <w:rsid w:val="00F963FC"/>
    <w:rsid w:val="00FA015F"/>
    <w:rsid w:val="00FA1DA2"/>
    <w:rsid w:val="00FA2EB7"/>
    <w:rsid w:val="00FA347A"/>
    <w:rsid w:val="00FA49B7"/>
    <w:rsid w:val="00FA4A3D"/>
    <w:rsid w:val="00FA5043"/>
    <w:rsid w:val="00FA6F8B"/>
    <w:rsid w:val="00FA7A30"/>
    <w:rsid w:val="00FB033F"/>
    <w:rsid w:val="00FB0E5C"/>
    <w:rsid w:val="00FB1570"/>
    <w:rsid w:val="00FB193B"/>
    <w:rsid w:val="00FB27B7"/>
    <w:rsid w:val="00FB35E3"/>
    <w:rsid w:val="00FB583C"/>
    <w:rsid w:val="00FB630E"/>
    <w:rsid w:val="00FB6738"/>
    <w:rsid w:val="00FB691B"/>
    <w:rsid w:val="00FB731C"/>
    <w:rsid w:val="00FC05A0"/>
    <w:rsid w:val="00FC0811"/>
    <w:rsid w:val="00FC1196"/>
    <w:rsid w:val="00FC15EB"/>
    <w:rsid w:val="00FC18DC"/>
    <w:rsid w:val="00FC1A3E"/>
    <w:rsid w:val="00FC2F73"/>
    <w:rsid w:val="00FC33F1"/>
    <w:rsid w:val="00FC3A9B"/>
    <w:rsid w:val="00FC3AE1"/>
    <w:rsid w:val="00FC3EF4"/>
    <w:rsid w:val="00FC431B"/>
    <w:rsid w:val="00FC434C"/>
    <w:rsid w:val="00FC4FC8"/>
    <w:rsid w:val="00FC5CF4"/>
    <w:rsid w:val="00FC6A39"/>
    <w:rsid w:val="00FC79AB"/>
    <w:rsid w:val="00FC7DAC"/>
    <w:rsid w:val="00FD04AE"/>
    <w:rsid w:val="00FD1994"/>
    <w:rsid w:val="00FD393C"/>
    <w:rsid w:val="00FD4AF3"/>
    <w:rsid w:val="00FD5509"/>
    <w:rsid w:val="00FD798D"/>
    <w:rsid w:val="00FE141E"/>
    <w:rsid w:val="00FE144E"/>
    <w:rsid w:val="00FE2560"/>
    <w:rsid w:val="00FE26BB"/>
    <w:rsid w:val="00FE35D0"/>
    <w:rsid w:val="00FE42ED"/>
    <w:rsid w:val="00FE55A7"/>
    <w:rsid w:val="00FE5C5A"/>
    <w:rsid w:val="00FE6432"/>
    <w:rsid w:val="00FE72A0"/>
    <w:rsid w:val="00FF0050"/>
    <w:rsid w:val="00FF045F"/>
    <w:rsid w:val="00FF13D4"/>
    <w:rsid w:val="00FF3B37"/>
    <w:rsid w:val="00FF3D6F"/>
    <w:rsid w:val="00FF4BD8"/>
    <w:rsid w:val="00FF4D11"/>
    <w:rsid w:val="00FF5214"/>
    <w:rsid w:val="00FF5BFD"/>
    <w:rsid w:val="00FF6095"/>
    <w:rsid w:val="00FF62FE"/>
    <w:rsid w:val="00FF6553"/>
    <w:rsid w:val="00FF72C3"/>
    <w:rsid w:val="00FF7A39"/>
    <w:rsid w:val="00FF7A9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lang w:val="es-ES"/>
    </w:rPr>
  </w:style>
  <w:style w:type="paragraph" w:styleId="Ttulo3">
    <w:name w:val="heading 3"/>
    <w:basedOn w:val="Normal"/>
    <w:next w:val="Normal"/>
    <w:link w:val="Ttulo3Car"/>
    <w:uiPriority w:val="9"/>
    <w:unhideWhenUsed/>
    <w:qFormat/>
    <w:rsid w:val="00095E90"/>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Normal11pt">
    <w:name w:val="Normal + 11 pt"/>
    <w:aliases w:val="Negro,Justificado,Izquierda:  -0,95 cm,Derecha:  0,04 cm"/>
    <w:basedOn w:val="Normal"/>
    <w:uiPriority w:val="99"/>
    <w:rsid w:val="00392F4C"/>
    <w:pPr>
      <w:ind w:left="-540"/>
      <w:jc w:val="both"/>
    </w:pPr>
    <w:rPr>
      <w:rFonts w:ascii="Arial" w:eastAsia="Times New Roman" w:hAnsi="Arial" w:cs="Arial"/>
      <w:color w:val="000000"/>
      <w:sz w:val="22"/>
      <w:lang w:val="es-ES_tradnl" w:eastAsia="es-ES"/>
    </w:rPr>
  </w:style>
  <w:style w:type="character" w:styleId="Textoennegrita">
    <w:name w:val="Strong"/>
    <w:basedOn w:val="Fuentedeprrafopredeter"/>
    <w:uiPriority w:val="22"/>
    <w:qFormat/>
    <w:rsid w:val="00D37721"/>
    <w:rPr>
      <w:b/>
      <w:bCs/>
    </w:rPr>
  </w:style>
  <w:style w:type="character" w:customStyle="1" w:styleId="Ttulo3Car">
    <w:name w:val="Título 3 Car"/>
    <w:basedOn w:val="Fuentedeprrafopredeter"/>
    <w:link w:val="Ttulo3"/>
    <w:uiPriority w:val="9"/>
    <w:rsid w:val="00095E90"/>
    <w:rPr>
      <w:rFonts w:asciiTheme="majorHAnsi" w:eastAsiaTheme="majorEastAsia" w:hAnsiTheme="majorHAnsi" w:cstheme="majorBidi"/>
      <w:color w:val="243F60" w:themeColor="accent1" w:themeShade="7F"/>
      <w:sz w:val="24"/>
      <w:szCs w:val="24"/>
      <w:lang w:val="es-MX"/>
    </w:rPr>
  </w:style>
  <w:style w:type="paragraph" w:customStyle="1" w:styleId="Car1">
    <w:name w:val="Car1"/>
    <w:basedOn w:val="Normal"/>
    <w:next w:val="Textonotapie"/>
    <w:uiPriority w:val="99"/>
    <w:unhideWhenUsed/>
    <w:qFormat/>
    <w:rsid w:val="00612D51"/>
    <w:rPr>
      <w:sz w:val="20"/>
      <w:szCs w:val="20"/>
    </w:rPr>
  </w:style>
  <w:style w:type="paragraph" w:customStyle="1" w:styleId="Appelnotedebasde">
    <w:name w:val="Appel note de bas de..."/>
    <w:basedOn w:val="Normal"/>
    <w:link w:val="Refdenotaalpie"/>
    <w:uiPriority w:val="99"/>
    <w:rsid w:val="00612D51"/>
    <w:pPr>
      <w:spacing w:after="160" w:line="240" w:lineRule="exact"/>
    </w:pPr>
    <w:rPr>
      <w:sz w:val="22"/>
      <w:vertAlign w:val="superscript"/>
      <w:lang w:val="es-CO"/>
    </w:rPr>
  </w:style>
  <w:style w:type="character" w:customStyle="1" w:styleId="NormalWebCar">
    <w:name w:val="Normal (Web) Car"/>
    <w:link w:val="NormalWeb"/>
    <w:uiPriority w:val="99"/>
    <w:rsid w:val="00612D51"/>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98250">
      <w:bodyDiv w:val="1"/>
      <w:marLeft w:val="0"/>
      <w:marRight w:val="0"/>
      <w:marTop w:val="0"/>
      <w:marBottom w:val="0"/>
      <w:divBdr>
        <w:top w:val="none" w:sz="0" w:space="0" w:color="auto"/>
        <w:left w:val="none" w:sz="0" w:space="0" w:color="auto"/>
        <w:bottom w:val="none" w:sz="0" w:space="0" w:color="auto"/>
        <w:right w:val="none" w:sz="0" w:space="0" w:color="auto"/>
      </w:divBdr>
      <w:divsChild>
        <w:div w:id="634333393">
          <w:marLeft w:val="0"/>
          <w:marRight w:val="0"/>
          <w:marTop w:val="0"/>
          <w:marBottom w:val="0"/>
          <w:divBdr>
            <w:top w:val="none" w:sz="0" w:space="0" w:color="auto"/>
            <w:left w:val="none" w:sz="0" w:space="0" w:color="auto"/>
            <w:bottom w:val="none" w:sz="0" w:space="0" w:color="auto"/>
            <w:right w:val="none" w:sz="0" w:space="0" w:color="auto"/>
          </w:divBdr>
          <w:divsChild>
            <w:div w:id="778765617">
              <w:marLeft w:val="0"/>
              <w:marRight w:val="0"/>
              <w:marTop w:val="0"/>
              <w:marBottom w:val="0"/>
              <w:divBdr>
                <w:top w:val="none" w:sz="0" w:space="0" w:color="auto"/>
                <w:left w:val="none" w:sz="0" w:space="0" w:color="auto"/>
                <w:bottom w:val="none" w:sz="0" w:space="0" w:color="auto"/>
                <w:right w:val="none" w:sz="0" w:space="0" w:color="auto"/>
              </w:divBdr>
              <w:divsChild>
                <w:div w:id="84216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649002">
      <w:bodyDiv w:val="1"/>
      <w:marLeft w:val="0"/>
      <w:marRight w:val="0"/>
      <w:marTop w:val="0"/>
      <w:marBottom w:val="0"/>
      <w:divBdr>
        <w:top w:val="none" w:sz="0" w:space="0" w:color="auto"/>
        <w:left w:val="none" w:sz="0" w:space="0" w:color="auto"/>
        <w:bottom w:val="none" w:sz="0" w:space="0" w:color="auto"/>
        <w:right w:val="none" w:sz="0" w:space="0" w:color="auto"/>
      </w:divBdr>
      <w:divsChild>
        <w:div w:id="1177236095">
          <w:marLeft w:val="0"/>
          <w:marRight w:val="0"/>
          <w:marTop w:val="0"/>
          <w:marBottom w:val="0"/>
          <w:divBdr>
            <w:top w:val="none" w:sz="0" w:space="0" w:color="auto"/>
            <w:left w:val="none" w:sz="0" w:space="0" w:color="auto"/>
            <w:bottom w:val="none" w:sz="0" w:space="0" w:color="auto"/>
            <w:right w:val="none" w:sz="0" w:space="0" w:color="auto"/>
          </w:divBdr>
          <w:divsChild>
            <w:div w:id="775057397">
              <w:marLeft w:val="0"/>
              <w:marRight w:val="0"/>
              <w:marTop w:val="0"/>
              <w:marBottom w:val="0"/>
              <w:divBdr>
                <w:top w:val="none" w:sz="0" w:space="0" w:color="auto"/>
                <w:left w:val="none" w:sz="0" w:space="0" w:color="auto"/>
                <w:bottom w:val="none" w:sz="0" w:space="0" w:color="auto"/>
                <w:right w:val="none" w:sz="0" w:space="0" w:color="auto"/>
              </w:divBdr>
              <w:divsChild>
                <w:div w:id="1807625987">
                  <w:marLeft w:val="0"/>
                  <w:marRight w:val="0"/>
                  <w:marTop w:val="0"/>
                  <w:marBottom w:val="0"/>
                  <w:divBdr>
                    <w:top w:val="none" w:sz="0" w:space="0" w:color="auto"/>
                    <w:left w:val="none" w:sz="0" w:space="0" w:color="auto"/>
                    <w:bottom w:val="none" w:sz="0" w:space="0" w:color="auto"/>
                    <w:right w:val="none" w:sz="0" w:space="0" w:color="auto"/>
                  </w:divBdr>
                  <w:divsChild>
                    <w:div w:id="20564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211115716">
      <w:bodyDiv w:val="1"/>
      <w:marLeft w:val="0"/>
      <w:marRight w:val="0"/>
      <w:marTop w:val="0"/>
      <w:marBottom w:val="0"/>
      <w:divBdr>
        <w:top w:val="none" w:sz="0" w:space="0" w:color="auto"/>
        <w:left w:val="none" w:sz="0" w:space="0" w:color="auto"/>
        <w:bottom w:val="none" w:sz="0" w:space="0" w:color="auto"/>
        <w:right w:val="none" w:sz="0" w:space="0" w:color="auto"/>
      </w:divBdr>
      <w:divsChild>
        <w:div w:id="1790008392">
          <w:marLeft w:val="0"/>
          <w:marRight w:val="0"/>
          <w:marTop w:val="0"/>
          <w:marBottom w:val="0"/>
          <w:divBdr>
            <w:top w:val="none" w:sz="0" w:space="0" w:color="auto"/>
            <w:left w:val="none" w:sz="0" w:space="0" w:color="auto"/>
            <w:bottom w:val="none" w:sz="0" w:space="0" w:color="auto"/>
            <w:right w:val="none" w:sz="0" w:space="0" w:color="auto"/>
          </w:divBdr>
          <w:divsChild>
            <w:div w:id="803962645">
              <w:marLeft w:val="0"/>
              <w:marRight w:val="0"/>
              <w:marTop w:val="0"/>
              <w:marBottom w:val="0"/>
              <w:divBdr>
                <w:top w:val="none" w:sz="0" w:space="0" w:color="auto"/>
                <w:left w:val="none" w:sz="0" w:space="0" w:color="auto"/>
                <w:bottom w:val="none" w:sz="0" w:space="0" w:color="auto"/>
                <w:right w:val="none" w:sz="0" w:space="0" w:color="auto"/>
              </w:divBdr>
              <w:divsChild>
                <w:div w:id="1268319086">
                  <w:marLeft w:val="0"/>
                  <w:marRight w:val="0"/>
                  <w:marTop w:val="0"/>
                  <w:marBottom w:val="0"/>
                  <w:divBdr>
                    <w:top w:val="none" w:sz="0" w:space="0" w:color="auto"/>
                    <w:left w:val="none" w:sz="0" w:space="0" w:color="auto"/>
                    <w:bottom w:val="none" w:sz="0" w:space="0" w:color="auto"/>
                    <w:right w:val="none" w:sz="0" w:space="0" w:color="auto"/>
                  </w:divBdr>
                  <w:divsChild>
                    <w:div w:id="1554270155">
                      <w:marLeft w:val="0"/>
                      <w:marRight w:val="0"/>
                      <w:marTop w:val="0"/>
                      <w:marBottom w:val="0"/>
                      <w:divBdr>
                        <w:top w:val="none" w:sz="0" w:space="0" w:color="auto"/>
                        <w:left w:val="none" w:sz="0" w:space="0" w:color="auto"/>
                        <w:bottom w:val="none" w:sz="0" w:space="0" w:color="auto"/>
                        <w:right w:val="none" w:sz="0" w:space="0" w:color="auto"/>
                      </w:divBdr>
                    </w:div>
                  </w:divsChild>
                </w:div>
                <w:div w:id="93404058">
                  <w:marLeft w:val="0"/>
                  <w:marRight w:val="0"/>
                  <w:marTop w:val="0"/>
                  <w:marBottom w:val="0"/>
                  <w:divBdr>
                    <w:top w:val="none" w:sz="0" w:space="0" w:color="auto"/>
                    <w:left w:val="none" w:sz="0" w:space="0" w:color="auto"/>
                    <w:bottom w:val="none" w:sz="0" w:space="0" w:color="auto"/>
                    <w:right w:val="none" w:sz="0" w:space="0" w:color="auto"/>
                  </w:divBdr>
                  <w:divsChild>
                    <w:div w:id="660696078">
                      <w:marLeft w:val="0"/>
                      <w:marRight w:val="0"/>
                      <w:marTop w:val="0"/>
                      <w:marBottom w:val="0"/>
                      <w:divBdr>
                        <w:top w:val="none" w:sz="0" w:space="0" w:color="auto"/>
                        <w:left w:val="none" w:sz="0" w:space="0" w:color="auto"/>
                        <w:bottom w:val="none" w:sz="0" w:space="0" w:color="auto"/>
                        <w:right w:val="none" w:sz="0" w:space="0" w:color="auto"/>
                      </w:divBdr>
                    </w:div>
                  </w:divsChild>
                </w:div>
                <w:div w:id="1891375623">
                  <w:marLeft w:val="0"/>
                  <w:marRight w:val="0"/>
                  <w:marTop w:val="0"/>
                  <w:marBottom w:val="0"/>
                  <w:divBdr>
                    <w:top w:val="none" w:sz="0" w:space="0" w:color="auto"/>
                    <w:left w:val="none" w:sz="0" w:space="0" w:color="auto"/>
                    <w:bottom w:val="none" w:sz="0" w:space="0" w:color="auto"/>
                    <w:right w:val="none" w:sz="0" w:space="0" w:color="auto"/>
                  </w:divBdr>
                  <w:divsChild>
                    <w:div w:id="576399689">
                      <w:marLeft w:val="0"/>
                      <w:marRight w:val="0"/>
                      <w:marTop w:val="0"/>
                      <w:marBottom w:val="0"/>
                      <w:divBdr>
                        <w:top w:val="none" w:sz="0" w:space="0" w:color="auto"/>
                        <w:left w:val="none" w:sz="0" w:space="0" w:color="auto"/>
                        <w:bottom w:val="none" w:sz="0" w:space="0" w:color="auto"/>
                        <w:right w:val="none" w:sz="0" w:space="0" w:color="auto"/>
                      </w:divBdr>
                    </w:div>
                  </w:divsChild>
                </w:div>
                <w:div w:id="2121685280">
                  <w:marLeft w:val="0"/>
                  <w:marRight w:val="0"/>
                  <w:marTop w:val="0"/>
                  <w:marBottom w:val="0"/>
                  <w:divBdr>
                    <w:top w:val="none" w:sz="0" w:space="0" w:color="auto"/>
                    <w:left w:val="none" w:sz="0" w:space="0" w:color="auto"/>
                    <w:bottom w:val="none" w:sz="0" w:space="0" w:color="auto"/>
                    <w:right w:val="none" w:sz="0" w:space="0" w:color="auto"/>
                  </w:divBdr>
                  <w:divsChild>
                    <w:div w:id="227158342">
                      <w:marLeft w:val="0"/>
                      <w:marRight w:val="0"/>
                      <w:marTop w:val="0"/>
                      <w:marBottom w:val="0"/>
                      <w:divBdr>
                        <w:top w:val="none" w:sz="0" w:space="0" w:color="auto"/>
                        <w:left w:val="none" w:sz="0" w:space="0" w:color="auto"/>
                        <w:bottom w:val="none" w:sz="0" w:space="0" w:color="auto"/>
                        <w:right w:val="none" w:sz="0" w:space="0" w:color="auto"/>
                      </w:divBdr>
                    </w:div>
                  </w:divsChild>
                </w:div>
                <w:div w:id="268314609">
                  <w:marLeft w:val="0"/>
                  <w:marRight w:val="0"/>
                  <w:marTop w:val="0"/>
                  <w:marBottom w:val="0"/>
                  <w:divBdr>
                    <w:top w:val="none" w:sz="0" w:space="0" w:color="auto"/>
                    <w:left w:val="none" w:sz="0" w:space="0" w:color="auto"/>
                    <w:bottom w:val="none" w:sz="0" w:space="0" w:color="auto"/>
                    <w:right w:val="none" w:sz="0" w:space="0" w:color="auto"/>
                  </w:divBdr>
                  <w:divsChild>
                    <w:div w:id="1383671557">
                      <w:marLeft w:val="0"/>
                      <w:marRight w:val="0"/>
                      <w:marTop w:val="0"/>
                      <w:marBottom w:val="0"/>
                      <w:divBdr>
                        <w:top w:val="none" w:sz="0" w:space="0" w:color="auto"/>
                        <w:left w:val="none" w:sz="0" w:space="0" w:color="auto"/>
                        <w:bottom w:val="none" w:sz="0" w:space="0" w:color="auto"/>
                        <w:right w:val="none" w:sz="0" w:space="0" w:color="auto"/>
                      </w:divBdr>
                    </w:div>
                  </w:divsChild>
                </w:div>
                <w:div w:id="752439167">
                  <w:marLeft w:val="0"/>
                  <w:marRight w:val="0"/>
                  <w:marTop w:val="0"/>
                  <w:marBottom w:val="0"/>
                  <w:divBdr>
                    <w:top w:val="none" w:sz="0" w:space="0" w:color="auto"/>
                    <w:left w:val="none" w:sz="0" w:space="0" w:color="auto"/>
                    <w:bottom w:val="none" w:sz="0" w:space="0" w:color="auto"/>
                    <w:right w:val="none" w:sz="0" w:space="0" w:color="auto"/>
                  </w:divBdr>
                  <w:divsChild>
                    <w:div w:id="1767727816">
                      <w:marLeft w:val="0"/>
                      <w:marRight w:val="0"/>
                      <w:marTop w:val="0"/>
                      <w:marBottom w:val="0"/>
                      <w:divBdr>
                        <w:top w:val="none" w:sz="0" w:space="0" w:color="auto"/>
                        <w:left w:val="none" w:sz="0" w:space="0" w:color="auto"/>
                        <w:bottom w:val="none" w:sz="0" w:space="0" w:color="auto"/>
                        <w:right w:val="none" w:sz="0" w:space="0" w:color="auto"/>
                      </w:divBdr>
                    </w:div>
                  </w:divsChild>
                </w:div>
                <w:div w:id="577056465">
                  <w:marLeft w:val="0"/>
                  <w:marRight w:val="0"/>
                  <w:marTop w:val="0"/>
                  <w:marBottom w:val="0"/>
                  <w:divBdr>
                    <w:top w:val="none" w:sz="0" w:space="0" w:color="auto"/>
                    <w:left w:val="none" w:sz="0" w:space="0" w:color="auto"/>
                    <w:bottom w:val="none" w:sz="0" w:space="0" w:color="auto"/>
                    <w:right w:val="none" w:sz="0" w:space="0" w:color="auto"/>
                  </w:divBdr>
                  <w:divsChild>
                    <w:div w:id="1613053604">
                      <w:marLeft w:val="0"/>
                      <w:marRight w:val="0"/>
                      <w:marTop w:val="0"/>
                      <w:marBottom w:val="0"/>
                      <w:divBdr>
                        <w:top w:val="none" w:sz="0" w:space="0" w:color="auto"/>
                        <w:left w:val="none" w:sz="0" w:space="0" w:color="auto"/>
                        <w:bottom w:val="none" w:sz="0" w:space="0" w:color="auto"/>
                        <w:right w:val="none" w:sz="0" w:space="0" w:color="auto"/>
                      </w:divBdr>
                    </w:div>
                  </w:divsChild>
                </w:div>
                <w:div w:id="497309497">
                  <w:marLeft w:val="0"/>
                  <w:marRight w:val="0"/>
                  <w:marTop w:val="0"/>
                  <w:marBottom w:val="0"/>
                  <w:divBdr>
                    <w:top w:val="none" w:sz="0" w:space="0" w:color="auto"/>
                    <w:left w:val="none" w:sz="0" w:space="0" w:color="auto"/>
                    <w:bottom w:val="none" w:sz="0" w:space="0" w:color="auto"/>
                    <w:right w:val="none" w:sz="0" w:space="0" w:color="auto"/>
                  </w:divBdr>
                  <w:divsChild>
                    <w:div w:id="761072828">
                      <w:marLeft w:val="0"/>
                      <w:marRight w:val="0"/>
                      <w:marTop w:val="0"/>
                      <w:marBottom w:val="0"/>
                      <w:divBdr>
                        <w:top w:val="none" w:sz="0" w:space="0" w:color="auto"/>
                        <w:left w:val="none" w:sz="0" w:space="0" w:color="auto"/>
                        <w:bottom w:val="none" w:sz="0" w:space="0" w:color="auto"/>
                        <w:right w:val="none" w:sz="0" w:space="0" w:color="auto"/>
                      </w:divBdr>
                    </w:div>
                  </w:divsChild>
                </w:div>
                <w:div w:id="2057467737">
                  <w:marLeft w:val="0"/>
                  <w:marRight w:val="0"/>
                  <w:marTop w:val="0"/>
                  <w:marBottom w:val="0"/>
                  <w:divBdr>
                    <w:top w:val="none" w:sz="0" w:space="0" w:color="auto"/>
                    <w:left w:val="none" w:sz="0" w:space="0" w:color="auto"/>
                    <w:bottom w:val="none" w:sz="0" w:space="0" w:color="auto"/>
                    <w:right w:val="none" w:sz="0" w:space="0" w:color="auto"/>
                  </w:divBdr>
                  <w:divsChild>
                    <w:div w:id="116401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185477">
      <w:bodyDiv w:val="1"/>
      <w:marLeft w:val="0"/>
      <w:marRight w:val="0"/>
      <w:marTop w:val="0"/>
      <w:marBottom w:val="0"/>
      <w:divBdr>
        <w:top w:val="none" w:sz="0" w:space="0" w:color="auto"/>
        <w:left w:val="none" w:sz="0" w:space="0" w:color="auto"/>
        <w:bottom w:val="none" w:sz="0" w:space="0" w:color="auto"/>
        <w:right w:val="none" w:sz="0" w:space="0" w:color="auto"/>
      </w:divBdr>
    </w:div>
    <w:div w:id="125489434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1140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3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6035938">
      <w:bodyDiv w:val="1"/>
      <w:marLeft w:val="0"/>
      <w:marRight w:val="0"/>
      <w:marTop w:val="0"/>
      <w:marBottom w:val="0"/>
      <w:divBdr>
        <w:top w:val="none" w:sz="0" w:space="0" w:color="auto"/>
        <w:left w:val="none" w:sz="0" w:space="0" w:color="auto"/>
        <w:bottom w:val="none" w:sz="0" w:space="0" w:color="auto"/>
        <w:right w:val="none" w:sz="0" w:space="0" w:color="auto"/>
      </w:divBdr>
      <w:divsChild>
        <w:div w:id="11033113">
          <w:marLeft w:val="0"/>
          <w:marRight w:val="0"/>
          <w:marTop w:val="0"/>
          <w:marBottom w:val="0"/>
          <w:divBdr>
            <w:top w:val="none" w:sz="0" w:space="0" w:color="auto"/>
            <w:left w:val="none" w:sz="0" w:space="0" w:color="auto"/>
            <w:bottom w:val="none" w:sz="0" w:space="0" w:color="auto"/>
            <w:right w:val="none" w:sz="0" w:space="0" w:color="auto"/>
          </w:divBdr>
          <w:divsChild>
            <w:div w:id="1779717336">
              <w:marLeft w:val="0"/>
              <w:marRight w:val="0"/>
              <w:marTop w:val="0"/>
              <w:marBottom w:val="0"/>
              <w:divBdr>
                <w:top w:val="none" w:sz="0" w:space="0" w:color="auto"/>
                <w:left w:val="none" w:sz="0" w:space="0" w:color="auto"/>
                <w:bottom w:val="none" w:sz="0" w:space="0" w:color="auto"/>
                <w:right w:val="none" w:sz="0" w:space="0" w:color="auto"/>
              </w:divBdr>
              <w:divsChild>
                <w:div w:id="473720772">
                  <w:marLeft w:val="0"/>
                  <w:marRight w:val="0"/>
                  <w:marTop w:val="0"/>
                  <w:marBottom w:val="0"/>
                  <w:divBdr>
                    <w:top w:val="none" w:sz="0" w:space="0" w:color="auto"/>
                    <w:left w:val="none" w:sz="0" w:space="0" w:color="auto"/>
                    <w:bottom w:val="none" w:sz="0" w:space="0" w:color="auto"/>
                    <w:right w:val="none" w:sz="0" w:space="0" w:color="auto"/>
                  </w:divBdr>
                </w:div>
              </w:divsChild>
            </w:div>
            <w:div w:id="1110514796">
              <w:marLeft w:val="0"/>
              <w:marRight w:val="0"/>
              <w:marTop w:val="0"/>
              <w:marBottom w:val="0"/>
              <w:divBdr>
                <w:top w:val="none" w:sz="0" w:space="0" w:color="auto"/>
                <w:left w:val="none" w:sz="0" w:space="0" w:color="auto"/>
                <w:bottom w:val="none" w:sz="0" w:space="0" w:color="auto"/>
                <w:right w:val="none" w:sz="0" w:space="0" w:color="auto"/>
              </w:divBdr>
              <w:divsChild>
                <w:div w:id="2014214983">
                  <w:marLeft w:val="0"/>
                  <w:marRight w:val="0"/>
                  <w:marTop w:val="0"/>
                  <w:marBottom w:val="0"/>
                  <w:divBdr>
                    <w:top w:val="none" w:sz="0" w:space="0" w:color="auto"/>
                    <w:left w:val="none" w:sz="0" w:space="0" w:color="auto"/>
                    <w:bottom w:val="none" w:sz="0" w:space="0" w:color="auto"/>
                    <w:right w:val="none" w:sz="0" w:space="0" w:color="auto"/>
                  </w:divBdr>
                  <w:divsChild>
                    <w:div w:id="2003120812">
                      <w:marLeft w:val="0"/>
                      <w:marRight w:val="0"/>
                      <w:marTop w:val="0"/>
                      <w:marBottom w:val="0"/>
                      <w:divBdr>
                        <w:top w:val="none" w:sz="0" w:space="0" w:color="auto"/>
                        <w:left w:val="none" w:sz="0" w:space="0" w:color="auto"/>
                        <w:bottom w:val="none" w:sz="0" w:space="0" w:color="auto"/>
                        <w:right w:val="none" w:sz="0" w:space="0" w:color="auto"/>
                      </w:divBdr>
                    </w:div>
                  </w:divsChild>
                </w:div>
                <w:div w:id="493423256">
                  <w:marLeft w:val="0"/>
                  <w:marRight w:val="0"/>
                  <w:marTop w:val="0"/>
                  <w:marBottom w:val="0"/>
                  <w:divBdr>
                    <w:top w:val="none" w:sz="0" w:space="0" w:color="auto"/>
                    <w:left w:val="none" w:sz="0" w:space="0" w:color="auto"/>
                    <w:bottom w:val="none" w:sz="0" w:space="0" w:color="auto"/>
                    <w:right w:val="none" w:sz="0" w:space="0" w:color="auto"/>
                  </w:divBdr>
                  <w:divsChild>
                    <w:div w:id="197739956">
                      <w:marLeft w:val="0"/>
                      <w:marRight w:val="0"/>
                      <w:marTop w:val="0"/>
                      <w:marBottom w:val="0"/>
                      <w:divBdr>
                        <w:top w:val="none" w:sz="0" w:space="0" w:color="auto"/>
                        <w:left w:val="none" w:sz="0" w:space="0" w:color="auto"/>
                        <w:bottom w:val="none" w:sz="0" w:space="0" w:color="auto"/>
                        <w:right w:val="none" w:sz="0" w:space="0" w:color="auto"/>
                      </w:divBdr>
                    </w:div>
                  </w:divsChild>
                </w:div>
                <w:div w:id="99573255">
                  <w:marLeft w:val="0"/>
                  <w:marRight w:val="0"/>
                  <w:marTop w:val="0"/>
                  <w:marBottom w:val="0"/>
                  <w:divBdr>
                    <w:top w:val="none" w:sz="0" w:space="0" w:color="auto"/>
                    <w:left w:val="none" w:sz="0" w:space="0" w:color="auto"/>
                    <w:bottom w:val="none" w:sz="0" w:space="0" w:color="auto"/>
                    <w:right w:val="none" w:sz="0" w:space="0" w:color="auto"/>
                  </w:divBdr>
                  <w:divsChild>
                    <w:div w:id="56632880">
                      <w:marLeft w:val="0"/>
                      <w:marRight w:val="0"/>
                      <w:marTop w:val="0"/>
                      <w:marBottom w:val="0"/>
                      <w:divBdr>
                        <w:top w:val="none" w:sz="0" w:space="0" w:color="auto"/>
                        <w:left w:val="none" w:sz="0" w:space="0" w:color="auto"/>
                        <w:bottom w:val="none" w:sz="0" w:space="0" w:color="auto"/>
                        <w:right w:val="none" w:sz="0" w:space="0" w:color="auto"/>
                      </w:divBdr>
                    </w:div>
                  </w:divsChild>
                </w:div>
                <w:div w:id="1106773336">
                  <w:marLeft w:val="0"/>
                  <w:marRight w:val="0"/>
                  <w:marTop w:val="0"/>
                  <w:marBottom w:val="0"/>
                  <w:divBdr>
                    <w:top w:val="none" w:sz="0" w:space="0" w:color="auto"/>
                    <w:left w:val="none" w:sz="0" w:space="0" w:color="auto"/>
                    <w:bottom w:val="none" w:sz="0" w:space="0" w:color="auto"/>
                    <w:right w:val="none" w:sz="0" w:space="0" w:color="auto"/>
                  </w:divBdr>
                  <w:divsChild>
                    <w:div w:id="1580796120">
                      <w:marLeft w:val="0"/>
                      <w:marRight w:val="0"/>
                      <w:marTop w:val="0"/>
                      <w:marBottom w:val="0"/>
                      <w:divBdr>
                        <w:top w:val="none" w:sz="0" w:space="0" w:color="auto"/>
                        <w:left w:val="none" w:sz="0" w:space="0" w:color="auto"/>
                        <w:bottom w:val="none" w:sz="0" w:space="0" w:color="auto"/>
                        <w:right w:val="none" w:sz="0" w:space="0" w:color="auto"/>
                      </w:divBdr>
                    </w:div>
                  </w:divsChild>
                </w:div>
                <w:div w:id="1646474574">
                  <w:marLeft w:val="0"/>
                  <w:marRight w:val="0"/>
                  <w:marTop w:val="0"/>
                  <w:marBottom w:val="0"/>
                  <w:divBdr>
                    <w:top w:val="none" w:sz="0" w:space="0" w:color="auto"/>
                    <w:left w:val="none" w:sz="0" w:space="0" w:color="auto"/>
                    <w:bottom w:val="none" w:sz="0" w:space="0" w:color="auto"/>
                    <w:right w:val="none" w:sz="0" w:space="0" w:color="auto"/>
                  </w:divBdr>
                  <w:divsChild>
                    <w:div w:id="160195714">
                      <w:marLeft w:val="0"/>
                      <w:marRight w:val="0"/>
                      <w:marTop w:val="0"/>
                      <w:marBottom w:val="0"/>
                      <w:divBdr>
                        <w:top w:val="none" w:sz="0" w:space="0" w:color="auto"/>
                        <w:left w:val="none" w:sz="0" w:space="0" w:color="auto"/>
                        <w:bottom w:val="none" w:sz="0" w:space="0" w:color="auto"/>
                        <w:right w:val="none" w:sz="0" w:space="0" w:color="auto"/>
                      </w:divBdr>
                    </w:div>
                  </w:divsChild>
                </w:div>
                <w:div w:id="1082724670">
                  <w:marLeft w:val="0"/>
                  <w:marRight w:val="0"/>
                  <w:marTop w:val="0"/>
                  <w:marBottom w:val="0"/>
                  <w:divBdr>
                    <w:top w:val="none" w:sz="0" w:space="0" w:color="auto"/>
                    <w:left w:val="none" w:sz="0" w:space="0" w:color="auto"/>
                    <w:bottom w:val="none" w:sz="0" w:space="0" w:color="auto"/>
                    <w:right w:val="none" w:sz="0" w:space="0" w:color="auto"/>
                  </w:divBdr>
                  <w:divsChild>
                    <w:div w:id="55591712">
                      <w:marLeft w:val="0"/>
                      <w:marRight w:val="0"/>
                      <w:marTop w:val="0"/>
                      <w:marBottom w:val="0"/>
                      <w:divBdr>
                        <w:top w:val="none" w:sz="0" w:space="0" w:color="auto"/>
                        <w:left w:val="none" w:sz="0" w:space="0" w:color="auto"/>
                        <w:bottom w:val="none" w:sz="0" w:space="0" w:color="auto"/>
                        <w:right w:val="none" w:sz="0" w:space="0" w:color="auto"/>
                      </w:divBdr>
                    </w:div>
                  </w:divsChild>
                </w:div>
                <w:div w:id="32196959">
                  <w:marLeft w:val="0"/>
                  <w:marRight w:val="0"/>
                  <w:marTop w:val="0"/>
                  <w:marBottom w:val="0"/>
                  <w:divBdr>
                    <w:top w:val="none" w:sz="0" w:space="0" w:color="auto"/>
                    <w:left w:val="none" w:sz="0" w:space="0" w:color="auto"/>
                    <w:bottom w:val="none" w:sz="0" w:space="0" w:color="auto"/>
                    <w:right w:val="none" w:sz="0" w:space="0" w:color="auto"/>
                  </w:divBdr>
                  <w:divsChild>
                    <w:div w:id="189728575">
                      <w:marLeft w:val="0"/>
                      <w:marRight w:val="0"/>
                      <w:marTop w:val="0"/>
                      <w:marBottom w:val="0"/>
                      <w:divBdr>
                        <w:top w:val="none" w:sz="0" w:space="0" w:color="auto"/>
                        <w:left w:val="none" w:sz="0" w:space="0" w:color="auto"/>
                        <w:bottom w:val="none" w:sz="0" w:space="0" w:color="auto"/>
                        <w:right w:val="none" w:sz="0" w:space="0" w:color="auto"/>
                      </w:divBdr>
                    </w:div>
                  </w:divsChild>
                </w:div>
                <w:div w:id="359939070">
                  <w:marLeft w:val="0"/>
                  <w:marRight w:val="0"/>
                  <w:marTop w:val="0"/>
                  <w:marBottom w:val="0"/>
                  <w:divBdr>
                    <w:top w:val="none" w:sz="0" w:space="0" w:color="auto"/>
                    <w:left w:val="none" w:sz="0" w:space="0" w:color="auto"/>
                    <w:bottom w:val="none" w:sz="0" w:space="0" w:color="auto"/>
                    <w:right w:val="none" w:sz="0" w:space="0" w:color="auto"/>
                  </w:divBdr>
                  <w:divsChild>
                    <w:div w:id="1730612529">
                      <w:marLeft w:val="0"/>
                      <w:marRight w:val="0"/>
                      <w:marTop w:val="0"/>
                      <w:marBottom w:val="0"/>
                      <w:divBdr>
                        <w:top w:val="none" w:sz="0" w:space="0" w:color="auto"/>
                        <w:left w:val="none" w:sz="0" w:space="0" w:color="auto"/>
                        <w:bottom w:val="none" w:sz="0" w:space="0" w:color="auto"/>
                        <w:right w:val="none" w:sz="0" w:space="0" w:color="auto"/>
                      </w:divBdr>
                    </w:div>
                  </w:divsChild>
                </w:div>
                <w:div w:id="765225059">
                  <w:marLeft w:val="0"/>
                  <w:marRight w:val="0"/>
                  <w:marTop w:val="0"/>
                  <w:marBottom w:val="0"/>
                  <w:divBdr>
                    <w:top w:val="none" w:sz="0" w:space="0" w:color="auto"/>
                    <w:left w:val="none" w:sz="0" w:space="0" w:color="auto"/>
                    <w:bottom w:val="none" w:sz="0" w:space="0" w:color="auto"/>
                    <w:right w:val="none" w:sz="0" w:space="0" w:color="auto"/>
                  </w:divBdr>
                  <w:divsChild>
                    <w:div w:id="444352505">
                      <w:marLeft w:val="0"/>
                      <w:marRight w:val="0"/>
                      <w:marTop w:val="0"/>
                      <w:marBottom w:val="0"/>
                      <w:divBdr>
                        <w:top w:val="none" w:sz="0" w:space="0" w:color="auto"/>
                        <w:left w:val="none" w:sz="0" w:space="0" w:color="auto"/>
                        <w:bottom w:val="none" w:sz="0" w:space="0" w:color="auto"/>
                        <w:right w:val="none" w:sz="0" w:space="0" w:color="auto"/>
                      </w:divBdr>
                    </w:div>
                  </w:divsChild>
                </w:div>
                <w:div w:id="1574045351">
                  <w:marLeft w:val="0"/>
                  <w:marRight w:val="0"/>
                  <w:marTop w:val="0"/>
                  <w:marBottom w:val="0"/>
                  <w:divBdr>
                    <w:top w:val="none" w:sz="0" w:space="0" w:color="auto"/>
                    <w:left w:val="none" w:sz="0" w:space="0" w:color="auto"/>
                    <w:bottom w:val="none" w:sz="0" w:space="0" w:color="auto"/>
                    <w:right w:val="none" w:sz="0" w:space="0" w:color="auto"/>
                  </w:divBdr>
                  <w:divsChild>
                    <w:div w:id="90541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398112">
              <w:marLeft w:val="0"/>
              <w:marRight w:val="0"/>
              <w:marTop w:val="0"/>
              <w:marBottom w:val="0"/>
              <w:divBdr>
                <w:top w:val="none" w:sz="0" w:space="0" w:color="auto"/>
                <w:left w:val="none" w:sz="0" w:space="0" w:color="auto"/>
                <w:bottom w:val="none" w:sz="0" w:space="0" w:color="auto"/>
                <w:right w:val="none" w:sz="0" w:space="0" w:color="auto"/>
              </w:divBdr>
              <w:divsChild>
                <w:div w:id="1573657248">
                  <w:marLeft w:val="0"/>
                  <w:marRight w:val="0"/>
                  <w:marTop w:val="0"/>
                  <w:marBottom w:val="0"/>
                  <w:divBdr>
                    <w:top w:val="none" w:sz="0" w:space="0" w:color="auto"/>
                    <w:left w:val="none" w:sz="0" w:space="0" w:color="auto"/>
                    <w:bottom w:val="none" w:sz="0" w:space="0" w:color="auto"/>
                    <w:right w:val="none" w:sz="0" w:space="0" w:color="auto"/>
                  </w:divBdr>
                  <w:divsChild>
                    <w:div w:id="2125615943">
                      <w:marLeft w:val="0"/>
                      <w:marRight w:val="0"/>
                      <w:marTop w:val="0"/>
                      <w:marBottom w:val="0"/>
                      <w:divBdr>
                        <w:top w:val="none" w:sz="0" w:space="0" w:color="auto"/>
                        <w:left w:val="none" w:sz="0" w:space="0" w:color="auto"/>
                        <w:bottom w:val="none" w:sz="0" w:space="0" w:color="auto"/>
                        <w:right w:val="none" w:sz="0" w:space="0" w:color="auto"/>
                      </w:divBdr>
                    </w:div>
                  </w:divsChild>
                </w:div>
                <w:div w:id="41952019">
                  <w:marLeft w:val="0"/>
                  <w:marRight w:val="0"/>
                  <w:marTop w:val="0"/>
                  <w:marBottom w:val="0"/>
                  <w:divBdr>
                    <w:top w:val="none" w:sz="0" w:space="0" w:color="auto"/>
                    <w:left w:val="none" w:sz="0" w:space="0" w:color="auto"/>
                    <w:bottom w:val="none" w:sz="0" w:space="0" w:color="auto"/>
                    <w:right w:val="none" w:sz="0" w:space="0" w:color="auto"/>
                  </w:divBdr>
                  <w:divsChild>
                    <w:div w:id="1960607663">
                      <w:marLeft w:val="0"/>
                      <w:marRight w:val="0"/>
                      <w:marTop w:val="0"/>
                      <w:marBottom w:val="0"/>
                      <w:divBdr>
                        <w:top w:val="none" w:sz="0" w:space="0" w:color="auto"/>
                        <w:left w:val="none" w:sz="0" w:space="0" w:color="auto"/>
                        <w:bottom w:val="none" w:sz="0" w:space="0" w:color="auto"/>
                        <w:right w:val="none" w:sz="0" w:space="0" w:color="auto"/>
                      </w:divBdr>
                    </w:div>
                  </w:divsChild>
                </w:div>
                <w:div w:id="1248071690">
                  <w:marLeft w:val="0"/>
                  <w:marRight w:val="0"/>
                  <w:marTop w:val="0"/>
                  <w:marBottom w:val="0"/>
                  <w:divBdr>
                    <w:top w:val="none" w:sz="0" w:space="0" w:color="auto"/>
                    <w:left w:val="none" w:sz="0" w:space="0" w:color="auto"/>
                    <w:bottom w:val="none" w:sz="0" w:space="0" w:color="auto"/>
                    <w:right w:val="none" w:sz="0" w:space="0" w:color="auto"/>
                  </w:divBdr>
                  <w:divsChild>
                    <w:div w:id="414282335">
                      <w:marLeft w:val="0"/>
                      <w:marRight w:val="0"/>
                      <w:marTop w:val="0"/>
                      <w:marBottom w:val="0"/>
                      <w:divBdr>
                        <w:top w:val="none" w:sz="0" w:space="0" w:color="auto"/>
                        <w:left w:val="none" w:sz="0" w:space="0" w:color="auto"/>
                        <w:bottom w:val="none" w:sz="0" w:space="0" w:color="auto"/>
                        <w:right w:val="none" w:sz="0" w:space="0" w:color="auto"/>
                      </w:divBdr>
                    </w:div>
                  </w:divsChild>
                </w:div>
                <w:div w:id="1340160926">
                  <w:marLeft w:val="0"/>
                  <w:marRight w:val="0"/>
                  <w:marTop w:val="0"/>
                  <w:marBottom w:val="0"/>
                  <w:divBdr>
                    <w:top w:val="none" w:sz="0" w:space="0" w:color="auto"/>
                    <w:left w:val="none" w:sz="0" w:space="0" w:color="auto"/>
                    <w:bottom w:val="none" w:sz="0" w:space="0" w:color="auto"/>
                    <w:right w:val="none" w:sz="0" w:space="0" w:color="auto"/>
                  </w:divBdr>
                  <w:divsChild>
                    <w:div w:id="1367831265">
                      <w:marLeft w:val="0"/>
                      <w:marRight w:val="0"/>
                      <w:marTop w:val="0"/>
                      <w:marBottom w:val="0"/>
                      <w:divBdr>
                        <w:top w:val="none" w:sz="0" w:space="0" w:color="auto"/>
                        <w:left w:val="none" w:sz="0" w:space="0" w:color="auto"/>
                        <w:bottom w:val="none" w:sz="0" w:space="0" w:color="auto"/>
                        <w:right w:val="none" w:sz="0" w:space="0" w:color="auto"/>
                      </w:divBdr>
                    </w:div>
                  </w:divsChild>
                </w:div>
                <w:div w:id="424498483">
                  <w:marLeft w:val="0"/>
                  <w:marRight w:val="0"/>
                  <w:marTop w:val="0"/>
                  <w:marBottom w:val="0"/>
                  <w:divBdr>
                    <w:top w:val="none" w:sz="0" w:space="0" w:color="auto"/>
                    <w:left w:val="none" w:sz="0" w:space="0" w:color="auto"/>
                    <w:bottom w:val="none" w:sz="0" w:space="0" w:color="auto"/>
                    <w:right w:val="none" w:sz="0" w:space="0" w:color="auto"/>
                  </w:divBdr>
                  <w:divsChild>
                    <w:div w:id="690256355">
                      <w:marLeft w:val="0"/>
                      <w:marRight w:val="0"/>
                      <w:marTop w:val="0"/>
                      <w:marBottom w:val="0"/>
                      <w:divBdr>
                        <w:top w:val="none" w:sz="0" w:space="0" w:color="auto"/>
                        <w:left w:val="none" w:sz="0" w:space="0" w:color="auto"/>
                        <w:bottom w:val="none" w:sz="0" w:space="0" w:color="auto"/>
                        <w:right w:val="none" w:sz="0" w:space="0" w:color="auto"/>
                      </w:divBdr>
                    </w:div>
                  </w:divsChild>
                </w:div>
                <w:div w:id="912469047">
                  <w:marLeft w:val="0"/>
                  <w:marRight w:val="0"/>
                  <w:marTop w:val="0"/>
                  <w:marBottom w:val="0"/>
                  <w:divBdr>
                    <w:top w:val="none" w:sz="0" w:space="0" w:color="auto"/>
                    <w:left w:val="none" w:sz="0" w:space="0" w:color="auto"/>
                    <w:bottom w:val="none" w:sz="0" w:space="0" w:color="auto"/>
                    <w:right w:val="none" w:sz="0" w:space="0" w:color="auto"/>
                  </w:divBdr>
                  <w:divsChild>
                    <w:div w:id="495656680">
                      <w:marLeft w:val="0"/>
                      <w:marRight w:val="0"/>
                      <w:marTop w:val="0"/>
                      <w:marBottom w:val="0"/>
                      <w:divBdr>
                        <w:top w:val="none" w:sz="0" w:space="0" w:color="auto"/>
                        <w:left w:val="none" w:sz="0" w:space="0" w:color="auto"/>
                        <w:bottom w:val="none" w:sz="0" w:space="0" w:color="auto"/>
                        <w:right w:val="none" w:sz="0" w:space="0" w:color="auto"/>
                      </w:divBdr>
                    </w:div>
                  </w:divsChild>
                </w:div>
                <w:div w:id="354504893">
                  <w:marLeft w:val="0"/>
                  <w:marRight w:val="0"/>
                  <w:marTop w:val="0"/>
                  <w:marBottom w:val="0"/>
                  <w:divBdr>
                    <w:top w:val="none" w:sz="0" w:space="0" w:color="auto"/>
                    <w:left w:val="none" w:sz="0" w:space="0" w:color="auto"/>
                    <w:bottom w:val="none" w:sz="0" w:space="0" w:color="auto"/>
                    <w:right w:val="none" w:sz="0" w:space="0" w:color="auto"/>
                  </w:divBdr>
                  <w:divsChild>
                    <w:div w:id="1640308679">
                      <w:marLeft w:val="0"/>
                      <w:marRight w:val="0"/>
                      <w:marTop w:val="0"/>
                      <w:marBottom w:val="0"/>
                      <w:divBdr>
                        <w:top w:val="none" w:sz="0" w:space="0" w:color="auto"/>
                        <w:left w:val="none" w:sz="0" w:space="0" w:color="auto"/>
                        <w:bottom w:val="none" w:sz="0" w:space="0" w:color="auto"/>
                        <w:right w:val="none" w:sz="0" w:space="0" w:color="auto"/>
                      </w:divBdr>
                    </w:div>
                  </w:divsChild>
                </w:div>
                <w:div w:id="49423755">
                  <w:marLeft w:val="0"/>
                  <w:marRight w:val="0"/>
                  <w:marTop w:val="0"/>
                  <w:marBottom w:val="0"/>
                  <w:divBdr>
                    <w:top w:val="none" w:sz="0" w:space="0" w:color="auto"/>
                    <w:left w:val="none" w:sz="0" w:space="0" w:color="auto"/>
                    <w:bottom w:val="none" w:sz="0" w:space="0" w:color="auto"/>
                    <w:right w:val="none" w:sz="0" w:space="0" w:color="auto"/>
                  </w:divBdr>
                  <w:divsChild>
                    <w:div w:id="2067876132">
                      <w:marLeft w:val="0"/>
                      <w:marRight w:val="0"/>
                      <w:marTop w:val="0"/>
                      <w:marBottom w:val="0"/>
                      <w:divBdr>
                        <w:top w:val="none" w:sz="0" w:space="0" w:color="auto"/>
                        <w:left w:val="none" w:sz="0" w:space="0" w:color="auto"/>
                        <w:bottom w:val="none" w:sz="0" w:space="0" w:color="auto"/>
                        <w:right w:val="none" w:sz="0" w:space="0" w:color="auto"/>
                      </w:divBdr>
                    </w:div>
                  </w:divsChild>
                </w:div>
                <w:div w:id="1851144143">
                  <w:marLeft w:val="0"/>
                  <w:marRight w:val="0"/>
                  <w:marTop w:val="0"/>
                  <w:marBottom w:val="0"/>
                  <w:divBdr>
                    <w:top w:val="none" w:sz="0" w:space="0" w:color="auto"/>
                    <w:left w:val="none" w:sz="0" w:space="0" w:color="auto"/>
                    <w:bottom w:val="none" w:sz="0" w:space="0" w:color="auto"/>
                    <w:right w:val="none" w:sz="0" w:space="0" w:color="auto"/>
                  </w:divBdr>
                  <w:divsChild>
                    <w:div w:id="1702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612530">
          <w:marLeft w:val="0"/>
          <w:marRight w:val="0"/>
          <w:marTop w:val="0"/>
          <w:marBottom w:val="0"/>
          <w:divBdr>
            <w:top w:val="none" w:sz="0" w:space="0" w:color="auto"/>
            <w:left w:val="none" w:sz="0" w:space="0" w:color="auto"/>
            <w:bottom w:val="none" w:sz="0" w:space="0" w:color="auto"/>
            <w:right w:val="none" w:sz="0" w:space="0" w:color="auto"/>
          </w:divBdr>
          <w:divsChild>
            <w:div w:id="2104110778">
              <w:marLeft w:val="0"/>
              <w:marRight w:val="0"/>
              <w:marTop w:val="0"/>
              <w:marBottom w:val="0"/>
              <w:divBdr>
                <w:top w:val="none" w:sz="0" w:space="0" w:color="auto"/>
                <w:left w:val="none" w:sz="0" w:space="0" w:color="auto"/>
                <w:bottom w:val="none" w:sz="0" w:space="0" w:color="auto"/>
                <w:right w:val="none" w:sz="0" w:space="0" w:color="auto"/>
              </w:divBdr>
              <w:divsChild>
                <w:div w:id="60643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9016">
          <w:marLeft w:val="0"/>
          <w:marRight w:val="0"/>
          <w:marTop w:val="0"/>
          <w:marBottom w:val="0"/>
          <w:divBdr>
            <w:top w:val="none" w:sz="0" w:space="0" w:color="auto"/>
            <w:left w:val="none" w:sz="0" w:space="0" w:color="auto"/>
            <w:bottom w:val="none" w:sz="0" w:space="0" w:color="auto"/>
            <w:right w:val="none" w:sz="0" w:space="0" w:color="auto"/>
          </w:divBdr>
          <w:divsChild>
            <w:div w:id="1949384358">
              <w:marLeft w:val="0"/>
              <w:marRight w:val="0"/>
              <w:marTop w:val="0"/>
              <w:marBottom w:val="0"/>
              <w:divBdr>
                <w:top w:val="none" w:sz="0" w:space="0" w:color="auto"/>
                <w:left w:val="none" w:sz="0" w:space="0" w:color="auto"/>
                <w:bottom w:val="none" w:sz="0" w:space="0" w:color="auto"/>
                <w:right w:val="none" w:sz="0" w:space="0" w:color="auto"/>
              </w:divBdr>
              <w:divsChild>
                <w:div w:id="1030105070">
                  <w:marLeft w:val="0"/>
                  <w:marRight w:val="0"/>
                  <w:marTop w:val="0"/>
                  <w:marBottom w:val="0"/>
                  <w:divBdr>
                    <w:top w:val="none" w:sz="0" w:space="0" w:color="auto"/>
                    <w:left w:val="none" w:sz="0" w:space="0" w:color="auto"/>
                    <w:bottom w:val="none" w:sz="0" w:space="0" w:color="auto"/>
                    <w:right w:val="none" w:sz="0" w:space="0" w:color="auto"/>
                  </w:divBdr>
                </w:div>
              </w:divsChild>
            </w:div>
            <w:div w:id="1179464715">
              <w:marLeft w:val="0"/>
              <w:marRight w:val="0"/>
              <w:marTop w:val="0"/>
              <w:marBottom w:val="0"/>
              <w:divBdr>
                <w:top w:val="none" w:sz="0" w:space="0" w:color="auto"/>
                <w:left w:val="none" w:sz="0" w:space="0" w:color="auto"/>
                <w:bottom w:val="none" w:sz="0" w:space="0" w:color="auto"/>
                <w:right w:val="none" w:sz="0" w:space="0" w:color="auto"/>
              </w:divBdr>
              <w:divsChild>
                <w:div w:id="1886871764">
                  <w:marLeft w:val="0"/>
                  <w:marRight w:val="0"/>
                  <w:marTop w:val="0"/>
                  <w:marBottom w:val="0"/>
                  <w:divBdr>
                    <w:top w:val="none" w:sz="0" w:space="0" w:color="auto"/>
                    <w:left w:val="none" w:sz="0" w:space="0" w:color="auto"/>
                    <w:bottom w:val="none" w:sz="0" w:space="0" w:color="auto"/>
                    <w:right w:val="none" w:sz="0" w:space="0" w:color="auto"/>
                  </w:divBdr>
                </w:div>
              </w:divsChild>
            </w:div>
            <w:div w:id="1176531603">
              <w:marLeft w:val="0"/>
              <w:marRight w:val="0"/>
              <w:marTop w:val="0"/>
              <w:marBottom w:val="0"/>
              <w:divBdr>
                <w:top w:val="none" w:sz="0" w:space="0" w:color="auto"/>
                <w:left w:val="none" w:sz="0" w:space="0" w:color="auto"/>
                <w:bottom w:val="none" w:sz="0" w:space="0" w:color="auto"/>
                <w:right w:val="none" w:sz="0" w:space="0" w:color="auto"/>
              </w:divBdr>
              <w:divsChild>
                <w:div w:id="260377212">
                  <w:marLeft w:val="0"/>
                  <w:marRight w:val="0"/>
                  <w:marTop w:val="0"/>
                  <w:marBottom w:val="0"/>
                  <w:divBdr>
                    <w:top w:val="none" w:sz="0" w:space="0" w:color="auto"/>
                    <w:left w:val="none" w:sz="0" w:space="0" w:color="auto"/>
                    <w:bottom w:val="none" w:sz="0" w:space="0" w:color="auto"/>
                    <w:right w:val="none" w:sz="0" w:space="0" w:color="auto"/>
                  </w:divBdr>
                </w:div>
              </w:divsChild>
            </w:div>
            <w:div w:id="1529175624">
              <w:marLeft w:val="0"/>
              <w:marRight w:val="0"/>
              <w:marTop w:val="0"/>
              <w:marBottom w:val="0"/>
              <w:divBdr>
                <w:top w:val="none" w:sz="0" w:space="0" w:color="auto"/>
                <w:left w:val="none" w:sz="0" w:space="0" w:color="auto"/>
                <w:bottom w:val="none" w:sz="0" w:space="0" w:color="auto"/>
                <w:right w:val="none" w:sz="0" w:space="0" w:color="auto"/>
              </w:divBdr>
              <w:divsChild>
                <w:div w:id="172427724">
                  <w:marLeft w:val="0"/>
                  <w:marRight w:val="0"/>
                  <w:marTop w:val="0"/>
                  <w:marBottom w:val="0"/>
                  <w:divBdr>
                    <w:top w:val="none" w:sz="0" w:space="0" w:color="auto"/>
                    <w:left w:val="none" w:sz="0" w:space="0" w:color="auto"/>
                    <w:bottom w:val="none" w:sz="0" w:space="0" w:color="auto"/>
                    <w:right w:val="none" w:sz="0" w:space="0" w:color="auto"/>
                  </w:divBdr>
                </w:div>
              </w:divsChild>
            </w:div>
            <w:div w:id="1087460801">
              <w:marLeft w:val="0"/>
              <w:marRight w:val="0"/>
              <w:marTop w:val="0"/>
              <w:marBottom w:val="0"/>
              <w:divBdr>
                <w:top w:val="none" w:sz="0" w:space="0" w:color="auto"/>
                <w:left w:val="none" w:sz="0" w:space="0" w:color="auto"/>
                <w:bottom w:val="none" w:sz="0" w:space="0" w:color="auto"/>
                <w:right w:val="none" w:sz="0" w:space="0" w:color="auto"/>
              </w:divBdr>
              <w:divsChild>
                <w:div w:id="649483972">
                  <w:marLeft w:val="0"/>
                  <w:marRight w:val="0"/>
                  <w:marTop w:val="0"/>
                  <w:marBottom w:val="0"/>
                  <w:divBdr>
                    <w:top w:val="none" w:sz="0" w:space="0" w:color="auto"/>
                    <w:left w:val="none" w:sz="0" w:space="0" w:color="auto"/>
                    <w:bottom w:val="none" w:sz="0" w:space="0" w:color="auto"/>
                    <w:right w:val="none" w:sz="0" w:space="0" w:color="auto"/>
                  </w:divBdr>
                </w:div>
              </w:divsChild>
            </w:div>
            <w:div w:id="1292204496">
              <w:marLeft w:val="0"/>
              <w:marRight w:val="0"/>
              <w:marTop w:val="0"/>
              <w:marBottom w:val="0"/>
              <w:divBdr>
                <w:top w:val="none" w:sz="0" w:space="0" w:color="auto"/>
                <w:left w:val="none" w:sz="0" w:space="0" w:color="auto"/>
                <w:bottom w:val="none" w:sz="0" w:space="0" w:color="auto"/>
                <w:right w:val="none" w:sz="0" w:space="0" w:color="auto"/>
              </w:divBdr>
              <w:divsChild>
                <w:div w:id="1922254131">
                  <w:marLeft w:val="0"/>
                  <w:marRight w:val="0"/>
                  <w:marTop w:val="0"/>
                  <w:marBottom w:val="0"/>
                  <w:divBdr>
                    <w:top w:val="none" w:sz="0" w:space="0" w:color="auto"/>
                    <w:left w:val="none" w:sz="0" w:space="0" w:color="auto"/>
                    <w:bottom w:val="none" w:sz="0" w:space="0" w:color="auto"/>
                    <w:right w:val="none" w:sz="0" w:space="0" w:color="auto"/>
                  </w:divBdr>
                </w:div>
              </w:divsChild>
            </w:div>
            <w:div w:id="1073816991">
              <w:marLeft w:val="0"/>
              <w:marRight w:val="0"/>
              <w:marTop w:val="0"/>
              <w:marBottom w:val="0"/>
              <w:divBdr>
                <w:top w:val="none" w:sz="0" w:space="0" w:color="auto"/>
                <w:left w:val="none" w:sz="0" w:space="0" w:color="auto"/>
                <w:bottom w:val="none" w:sz="0" w:space="0" w:color="auto"/>
                <w:right w:val="none" w:sz="0" w:space="0" w:color="auto"/>
              </w:divBdr>
              <w:divsChild>
                <w:div w:id="1345938791">
                  <w:marLeft w:val="0"/>
                  <w:marRight w:val="0"/>
                  <w:marTop w:val="0"/>
                  <w:marBottom w:val="0"/>
                  <w:divBdr>
                    <w:top w:val="none" w:sz="0" w:space="0" w:color="auto"/>
                    <w:left w:val="none" w:sz="0" w:space="0" w:color="auto"/>
                    <w:bottom w:val="none" w:sz="0" w:space="0" w:color="auto"/>
                    <w:right w:val="none" w:sz="0" w:space="0" w:color="auto"/>
                  </w:divBdr>
                </w:div>
              </w:divsChild>
            </w:div>
            <w:div w:id="1986423525">
              <w:marLeft w:val="0"/>
              <w:marRight w:val="0"/>
              <w:marTop w:val="0"/>
              <w:marBottom w:val="0"/>
              <w:divBdr>
                <w:top w:val="none" w:sz="0" w:space="0" w:color="auto"/>
                <w:left w:val="none" w:sz="0" w:space="0" w:color="auto"/>
                <w:bottom w:val="none" w:sz="0" w:space="0" w:color="auto"/>
                <w:right w:val="none" w:sz="0" w:space="0" w:color="auto"/>
              </w:divBdr>
              <w:divsChild>
                <w:div w:id="175435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634650">
          <w:marLeft w:val="0"/>
          <w:marRight w:val="0"/>
          <w:marTop w:val="0"/>
          <w:marBottom w:val="0"/>
          <w:divBdr>
            <w:top w:val="none" w:sz="0" w:space="0" w:color="auto"/>
            <w:left w:val="none" w:sz="0" w:space="0" w:color="auto"/>
            <w:bottom w:val="none" w:sz="0" w:space="0" w:color="auto"/>
            <w:right w:val="none" w:sz="0" w:space="0" w:color="auto"/>
          </w:divBdr>
          <w:divsChild>
            <w:div w:id="1360543441">
              <w:marLeft w:val="0"/>
              <w:marRight w:val="0"/>
              <w:marTop w:val="0"/>
              <w:marBottom w:val="0"/>
              <w:divBdr>
                <w:top w:val="none" w:sz="0" w:space="0" w:color="auto"/>
                <w:left w:val="none" w:sz="0" w:space="0" w:color="auto"/>
                <w:bottom w:val="none" w:sz="0" w:space="0" w:color="auto"/>
                <w:right w:val="none" w:sz="0" w:space="0" w:color="auto"/>
              </w:divBdr>
              <w:divsChild>
                <w:div w:id="1383014604">
                  <w:marLeft w:val="0"/>
                  <w:marRight w:val="0"/>
                  <w:marTop w:val="0"/>
                  <w:marBottom w:val="0"/>
                  <w:divBdr>
                    <w:top w:val="none" w:sz="0" w:space="0" w:color="auto"/>
                    <w:left w:val="none" w:sz="0" w:space="0" w:color="auto"/>
                    <w:bottom w:val="none" w:sz="0" w:space="0" w:color="auto"/>
                    <w:right w:val="none" w:sz="0" w:space="0" w:color="auto"/>
                  </w:divBdr>
                </w:div>
              </w:divsChild>
            </w:div>
            <w:div w:id="212348523">
              <w:marLeft w:val="0"/>
              <w:marRight w:val="0"/>
              <w:marTop w:val="0"/>
              <w:marBottom w:val="0"/>
              <w:divBdr>
                <w:top w:val="none" w:sz="0" w:space="0" w:color="auto"/>
                <w:left w:val="none" w:sz="0" w:space="0" w:color="auto"/>
                <w:bottom w:val="none" w:sz="0" w:space="0" w:color="auto"/>
                <w:right w:val="none" w:sz="0" w:space="0" w:color="auto"/>
              </w:divBdr>
              <w:divsChild>
                <w:div w:id="1331831557">
                  <w:marLeft w:val="0"/>
                  <w:marRight w:val="0"/>
                  <w:marTop w:val="0"/>
                  <w:marBottom w:val="0"/>
                  <w:divBdr>
                    <w:top w:val="none" w:sz="0" w:space="0" w:color="auto"/>
                    <w:left w:val="none" w:sz="0" w:space="0" w:color="auto"/>
                    <w:bottom w:val="none" w:sz="0" w:space="0" w:color="auto"/>
                    <w:right w:val="none" w:sz="0" w:space="0" w:color="auto"/>
                  </w:divBdr>
                  <w:divsChild>
                    <w:div w:id="60639179">
                      <w:marLeft w:val="0"/>
                      <w:marRight w:val="0"/>
                      <w:marTop w:val="0"/>
                      <w:marBottom w:val="0"/>
                      <w:divBdr>
                        <w:top w:val="none" w:sz="0" w:space="0" w:color="auto"/>
                        <w:left w:val="none" w:sz="0" w:space="0" w:color="auto"/>
                        <w:bottom w:val="none" w:sz="0" w:space="0" w:color="auto"/>
                        <w:right w:val="none" w:sz="0" w:space="0" w:color="auto"/>
                      </w:divBdr>
                    </w:div>
                  </w:divsChild>
                </w:div>
                <w:div w:id="953093857">
                  <w:marLeft w:val="0"/>
                  <w:marRight w:val="0"/>
                  <w:marTop w:val="0"/>
                  <w:marBottom w:val="0"/>
                  <w:divBdr>
                    <w:top w:val="none" w:sz="0" w:space="0" w:color="auto"/>
                    <w:left w:val="none" w:sz="0" w:space="0" w:color="auto"/>
                    <w:bottom w:val="none" w:sz="0" w:space="0" w:color="auto"/>
                    <w:right w:val="none" w:sz="0" w:space="0" w:color="auto"/>
                  </w:divBdr>
                  <w:divsChild>
                    <w:div w:id="2026858488">
                      <w:marLeft w:val="0"/>
                      <w:marRight w:val="0"/>
                      <w:marTop w:val="0"/>
                      <w:marBottom w:val="0"/>
                      <w:divBdr>
                        <w:top w:val="none" w:sz="0" w:space="0" w:color="auto"/>
                        <w:left w:val="none" w:sz="0" w:space="0" w:color="auto"/>
                        <w:bottom w:val="none" w:sz="0" w:space="0" w:color="auto"/>
                        <w:right w:val="none" w:sz="0" w:space="0" w:color="auto"/>
                      </w:divBdr>
                    </w:div>
                  </w:divsChild>
                </w:div>
                <w:div w:id="270939814">
                  <w:marLeft w:val="0"/>
                  <w:marRight w:val="0"/>
                  <w:marTop w:val="0"/>
                  <w:marBottom w:val="0"/>
                  <w:divBdr>
                    <w:top w:val="none" w:sz="0" w:space="0" w:color="auto"/>
                    <w:left w:val="none" w:sz="0" w:space="0" w:color="auto"/>
                    <w:bottom w:val="none" w:sz="0" w:space="0" w:color="auto"/>
                    <w:right w:val="none" w:sz="0" w:space="0" w:color="auto"/>
                  </w:divBdr>
                  <w:divsChild>
                    <w:div w:id="1331517526">
                      <w:marLeft w:val="0"/>
                      <w:marRight w:val="0"/>
                      <w:marTop w:val="0"/>
                      <w:marBottom w:val="0"/>
                      <w:divBdr>
                        <w:top w:val="none" w:sz="0" w:space="0" w:color="auto"/>
                        <w:left w:val="none" w:sz="0" w:space="0" w:color="auto"/>
                        <w:bottom w:val="none" w:sz="0" w:space="0" w:color="auto"/>
                        <w:right w:val="none" w:sz="0" w:space="0" w:color="auto"/>
                      </w:divBdr>
                    </w:div>
                  </w:divsChild>
                </w:div>
                <w:div w:id="141969433">
                  <w:marLeft w:val="0"/>
                  <w:marRight w:val="0"/>
                  <w:marTop w:val="0"/>
                  <w:marBottom w:val="0"/>
                  <w:divBdr>
                    <w:top w:val="none" w:sz="0" w:space="0" w:color="auto"/>
                    <w:left w:val="none" w:sz="0" w:space="0" w:color="auto"/>
                    <w:bottom w:val="none" w:sz="0" w:space="0" w:color="auto"/>
                    <w:right w:val="none" w:sz="0" w:space="0" w:color="auto"/>
                  </w:divBdr>
                  <w:divsChild>
                    <w:div w:id="161166640">
                      <w:marLeft w:val="0"/>
                      <w:marRight w:val="0"/>
                      <w:marTop w:val="0"/>
                      <w:marBottom w:val="0"/>
                      <w:divBdr>
                        <w:top w:val="none" w:sz="0" w:space="0" w:color="auto"/>
                        <w:left w:val="none" w:sz="0" w:space="0" w:color="auto"/>
                        <w:bottom w:val="none" w:sz="0" w:space="0" w:color="auto"/>
                        <w:right w:val="none" w:sz="0" w:space="0" w:color="auto"/>
                      </w:divBdr>
                    </w:div>
                  </w:divsChild>
                </w:div>
                <w:div w:id="1076628778">
                  <w:marLeft w:val="0"/>
                  <w:marRight w:val="0"/>
                  <w:marTop w:val="0"/>
                  <w:marBottom w:val="0"/>
                  <w:divBdr>
                    <w:top w:val="none" w:sz="0" w:space="0" w:color="auto"/>
                    <w:left w:val="none" w:sz="0" w:space="0" w:color="auto"/>
                    <w:bottom w:val="none" w:sz="0" w:space="0" w:color="auto"/>
                    <w:right w:val="none" w:sz="0" w:space="0" w:color="auto"/>
                  </w:divBdr>
                  <w:divsChild>
                    <w:div w:id="1712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980612">
              <w:marLeft w:val="0"/>
              <w:marRight w:val="0"/>
              <w:marTop w:val="0"/>
              <w:marBottom w:val="0"/>
              <w:divBdr>
                <w:top w:val="none" w:sz="0" w:space="0" w:color="auto"/>
                <w:left w:val="none" w:sz="0" w:space="0" w:color="auto"/>
                <w:bottom w:val="none" w:sz="0" w:space="0" w:color="auto"/>
                <w:right w:val="none" w:sz="0" w:space="0" w:color="auto"/>
              </w:divBdr>
              <w:divsChild>
                <w:div w:id="1122773254">
                  <w:marLeft w:val="0"/>
                  <w:marRight w:val="0"/>
                  <w:marTop w:val="0"/>
                  <w:marBottom w:val="0"/>
                  <w:divBdr>
                    <w:top w:val="none" w:sz="0" w:space="0" w:color="auto"/>
                    <w:left w:val="none" w:sz="0" w:space="0" w:color="auto"/>
                    <w:bottom w:val="none" w:sz="0" w:space="0" w:color="auto"/>
                    <w:right w:val="none" w:sz="0" w:space="0" w:color="auto"/>
                  </w:divBdr>
                </w:div>
              </w:divsChild>
            </w:div>
            <w:div w:id="1471821479">
              <w:marLeft w:val="0"/>
              <w:marRight w:val="0"/>
              <w:marTop w:val="0"/>
              <w:marBottom w:val="0"/>
              <w:divBdr>
                <w:top w:val="none" w:sz="0" w:space="0" w:color="auto"/>
                <w:left w:val="none" w:sz="0" w:space="0" w:color="auto"/>
                <w:bottom w:val="none" w:sz="0" w:space="0" w:color="auto"/>
                <w:right w:val="none" w:sz="0" w:space="0" w:color="auto"/>
              </w:divBdr>
              <w:divsChild>
                <w:div w:id="1188907736">
                  <w:marLeft w:val="0"/>
                  <w:marRight w:val="0"/>
                  <w:marTop w:val="0"/>
                  <w:marBottom w:val="0"/>
                  <w:divBdr>
                    <w:top w:val="none" w:sz="0" w:space="0" w:color="auto"/>
                    <w:left w:val="none" w:sz="0" w:space="0" w:color="auto"/>
                    <w:bottom w:val="none" w:sz="0" w:space="0" w:color="auto"/>
                    <w:right w:val="none" w:sz="0" w:space="0" w:color="auto"/>
                  </w:divBdr>
                </w:div>
              </w:divsChild>
            </w:div>
            <w:div w:id="442725919">
              <w:marLeft w:val="0"/>
              <w:marRight w:val="0"/>
              <w:marTop w:val="0"/>
              <w:marBottom w:val="0"/>
              <w:divBdr>
                <w:top w:val="none" w:sz="0" w:space="0" w:color="auto"/>
                <w:left w:val="none" w:sz="0" w:space="0" w:color="auto"/>
                <w:bottom w:val="none" w:sz="0" w:space="0" w:color="auto"/>
                <w:right w:val="none" w:sz="0" w:space="0" w:color="auto"/>
              </w:divBdr>
              <w:divsChild>
                <w:div w:id="791166587">
                  <w:marLeft w:val="0"/>
                  <w:marRight w:val="0"/>
                  <w:marTop w:val="0"/>
                  <w:marBottom w:val="0"/>
                  <w:divBdr>
                    <w:top w:val="none" w:sz="0" w:space="0" w:color="auto"/>
                    <w:left w:val="none" w:sz="0" w:space="0" w:color="auto"/>
                    <w:bottom w:val="none" w:sz="0" w:space="0" w:color="auto"/>
                    <w:right w:val="none" w:sz="0" w:space="0" w:color="auto"/>
                  </w:divBdr>
                </w:div>
              </w:divsChild>
            </w:div>
            <w:div w:id="1130635376">
              <w:marLeft w:val="0"/>
              <w:marRight w:val="0"/>
              <w:marTop w:val="0"/>
              <w:marBottom w:val="0"/>
              <w:divBdr>
                <w:top w:val="none" w:sz="0" w:space="0" w:color="auto"/>
                <w:left w:val="none" w:sz="0" w:space="0" w:color="auto"/>
                <w:bottom w:val="none" w:sz="0" w:space="0" w:color="auto"/>
                <w:right w:val="none" w:sz="0" w:space="0" w:color="auto"/>
              </w:divBdr>
              <w:divsChild>
                <w:div w:id="485435750">
                  <w:marLeft w:val="0"/>
                  <w:marRight w:val="0"/>
                  <w:marTop w:val="0"/>
                  <w:marBottom w:val="0"/>
                  <w:divBdr>
                    <w:top w:val="none" w:sz="0" w:space="0" w:color="auto"/>
                    <w:left w:val="none" w:sz="0" w:space="0" w:color="auto"/>
                    <w:bottom w:val="none" w:sz="0" w:space="0" w:color="auto"/>
                    <w:right w:val="none" w:sz="0" w:space="0" w:color="auto"/>
                  </w:divBdr>
                </w:div>
              </w:divsChild>
            </w:div>
            <w:div w:id="30958380">
              <w:marLeft w:val="0"/>
              <w:marRight w:val="0"/>
              <w:marTop w:val="0"/>
              <w:marBottom w:val="0"/>
              <w:divBdr>
                <w:top w:val="none" w:sz="0" w:space="0" w:color="auto"/>
                <w:left w:val="none" w:sz="0" w:space="0" w:color="auto"/>
                <w:bottom w:val="none" w:sz="0" w:space="0" w:color="auto"/>
                <w:right w:val="none" w:sz="0" w:space="0" w:color="auto"/>
              </w:divBdr>
              <w:divsChild>
                <w:div w:id="1802723094">
                  <w:marLeft w:val="0"/>
                  <w:marRight w:val="0"/>
                  <w:marTop w:val="0"/>
                  <w:marBottom w:val="0"/>
                  <w:divBdr>
                    <w:top w:val="none" w:sz="0" w:space="0" w:color="auto"/>
                    <w:left w:val="none" w:sz="0" w:space="0" w:color="auto"/>
                    <w:bottom w:val="none" w:sz="0" w:space="0" w:color="auto"/>
                    <w:right w:val="none" w:sz="0" w:space="0" w:color="auto"/>
                  </w:divBdr>
                </w:div>
              </w:divsChild>
            </w:div>
            <w:div w:id="1948536795">
              <w:marLeft w:val="0"/>
              <w:marRight w:val="0"/>
              <w:marTop w:val="0"/>
              <w:marBottom w:val="0"/>
              <w:divBdr>
                <w:top w:val="none" w:sz="0" w:space="0" w:color="auto"/>
                <w:left w:val="none" w:sz="0" w:space="0" w:color="auto"/>
                <w:bottom w:val="none" w:sz="0" w:space="0" w:color="auto"/>
                <w:right w:val="none" w:sz="0" w:space="0" w:color="auto"/>
              </w:divBdr>
              <w:divsChild>
                <w:div w:id="1950089362">
                  <w:marLeft w:val="0"/>
                  <w:marRight w:val="0"/>
                  <w:marTop w:val="0"/>
                  <w:marBottom w:val="0"/>
                  <w:divBdr>
                    <w:top w:val="none" w:sz="0" w:space="0" w:color="auto"/>
                    <w:left w:val="none" w:sz="0" w:space="0" w:color="auto"/>
                    <w:bottom w:val="none" w:sz="0" w:space="0" w:color="auto"/>
                    <w:right w:val="none" w:sz="0" w:space="0" w:color="auto"/>
                  </w:divBdr>
                </w:div>
              </w:divsChild>
            </w:div>
            <w:div w:id="652031358">
              <w:marLeft w:val="0"/>
              <w:marRight w:val="0"/>
              <w:marTop w:val="0"/>
              <w:marBottom w:val="0"/>
              <w:divBdr>
                <w:top w:val="none" w:sz="0" w:space="0" w:color="auto"/>
                <w:left w:val="none" w:sz="0" w:space="0" w:color="auto"/>
                <w:bottom w:val="none" w:sz="0" w:space="0" w:color="auto"/>
                <w:right w:val="none" w:sz="0" w:space="0" w:color="auto"/>
              </w:divBdr>
              <w:divsChild>
                <w:div w:id="720791967">
                  <w:marLeft w:val="0"/>
                  <w:marRight w:val="0"/>
                  <w:marTop w:val="0"/>
                  <w:marBottom w:val="0"/>
                  <w:divBdr>
                    <w:top w:val="none" w:sz="0" w:space="0" w:color="auto"/>
                    <w:left w:val="none" w:sz="0" w:space="0" w:color="auto"/>
                    <w:bottom w:val="none" w:sz="0" w:space="0" w:color="auto"/>
                    <w:right w:val="none" w:sz="0" w:space="0" w:color="auto"/>
                  </w:divBdr>
                </w:div>
              </w:divsChild>
            </w:div>
            <w:div w:id="1108157703">
              <w:marLeft w:val="0"/>
              <w:marRight w:val="0"/>
              <w:marTop w:val="0"/>
              <w:marBottom w:val="0"/>
              <w:divBdr>
                <w:top w:val="none" w:sz="0" w:space="0" w:color="auto"/>
                <w:left w:val="none" w:sz="0" w:space="0" w:color="auto"/>
                <w:bottom w:val="none" w:sz="0" w:space="0" w:color="auto"/>
                <w:right w:val="none" w:sz="0" w:space="0" w:color="auto"/>
              </w:divBdr>
              <w:divsChild>
                <w:div w:id="1267033487">
                  <w:marLeft w:val="0"/>
                  <w:marRight w:val="0"/>
                  <w:marTop w:val="0"/>
                  <w:marBottom w:val="0"/>
                  <w:divBdr>
                    <w:top w:val="none" w:sz="0" w:space="0" w:color="auto"/>
                    <w:left w:val="none" w:sz="0" w:space="0" w:color="auto"/>
                    <w:bottom w:val="none" w:sz="0" w:space="0" w:color="auto"/>
                    <w:right w:val="none" w:sz="0" w:space="0" w:color="auto"/>
                  </w:divBdr>
                </w:div>
              </w:divsChild>
            </w:div>
            <w:div w:id="52123183">
              <w:marLeft w:val="0"/>
              <w:marRight w:val="0"/>
              <w:marTop w:val="0"/>
              <w:marBottom w:val="0"/>
              <w:divBdr>
                <w:top w:val="none" w:sz="0" w:space="0" w:color="auto"/>
                <w:left w:val="none" w:sz="0" w:space="0" w:color="auto"/>
                <w:bottom w:val="none" w:sz="0" w:space="0" w:color="auto"/>
                <w:right w:val="none" w:sz="0" w:space="0" w:color="auto"/>
              </w:divBdr>
              <w:divsChild>
                <w:div w:id="425728899">
                  <w:marLeft w:val="0"/>
                  <w:marRight w:val="0"/>
                  <w:marTop w:val="0"/>
                  <w:marBottom w:val="0"/>
                  <w:divBdr>
                    <w:top w:val="none" w:sz="0" w:space="0" w:color="auto"/>
                    <w:left w:val="none" w:sz="0" w:space="0" w:color="auto"/>
                    <w:bottom w:val="none" w:sz="0" w:space="0" w:color="auto"/>
                    <w:right w:val="none" w:sz="0" w:space="0" w:color="auto"/>
                  </w:divBdr>
                </w:div>
              </w:divsChild>
            </w:div>
            <w:div w:id="1089812702">
              <w:marLeft w:val="0"/>
              <w:marRight w:val="0"/>
              <w:marTop w:val="0"/>
              <w:marBottom w:val="0"/>
              <w:divBdr>
                <w:top w:val="none" w:sz="0" w:space="0" w:color="auto"/>
                <w:left w:val="none" w:sz="0" w:space="0" w:color="auto"/>
                <w:bottom w:val="none" w:sz="0" w:space="0" w:color="auto"/>
                <w:right w:val="none" w:sz="0" w:space="0" w:color="auto"/>
              </w:divBdr>
              <w:divsChild>
                <w:div w:id="1884559330">
                  <w:marLeft w:val="0"/>
                  <w:marRight w:val="0"/>
                  <w:marTop w:val="0"/>
                  <w:marBottom w:val="0"/>
                  <w:divBdr>
                    <w:top w:val="none" w:sz="0" w:space="0" w:color="auto"/>
                    <w:left w:val="none" w:sz="0" w:space="0" w:color="auto"/>
                    <w:bottom w:val="none" w:sz="0" w:space="0" w:color="auto"/>
                    <w:right w:val="none" w:sz="0" w:space="0" w:color="auto"/>
                  </w:divBdr>
                </w:div>
              </w:divsChild>
            </w:div>
            <w:div w:id="2018923498">
              <w:marLeft w:val="0"/>
              <w:marRight w:val="0"/>
              <w:marTop w:val="0"/>
              <w:marBottom w:val="0"/>
              <w:divBdr>
                <w:top w:val="none" w:sz="0" w:space="0" w:color="auto"/>
                <w:left w:val="none" w:sz="0" w:space="0" w:color="auto"/>
                <w:bottom w:val="none" w:sz="0" w:space="0" w:color="auto"/>
                <w:right w:val="none" w:sz="0" w:space="0" w:color="auto"/>
              </w:divBdr>
              <w:divsChild>
                <w:div w:id="1196772100">
                  <w:marLeft w:val="0"/>
                  <w:marRight w:val="0"/>
                  <w:marTop w:val="0"/>
                  <w:marBottom w:val="0"/>
                  <w:divBdr>
                    <w:top w:val="none" w:sz="0" w:space="0" w:color="auto"/>
                    <w:left w:val="none" w:sz="0" w:space="0" w:color="auto"/>
                    <w:bottom w:val="none" w:sz="0" w:space="0" w:color="auto"/>
                    <w:right w:val="none" w:sz="0" w:space="0" w:color="auto"/>
                  </w:divBdr>
                </w:div>
              </w:divsChild>
            </w:div>
            <w:div w:id="1663896056">
              <w:marLeft w:val="0"/>
              <w:marRight w:val="0"/>
              <w:marTop w:val="0"/>
              <w:marBottom w:val="0"/>
              <w:divBdr>
                <w:top w:val="none" w:sz="0" w:space="0" w:color="auto"/>
                <w:left w:val="none" w:sz="0" w:space="0" w:color="auto"/>
                <w:bottom w:val="none" w:sz="0" w:space="0" w:color="auto"/>
                <w:right w:val="none" w:sz="0" w:space="0" w:color="auto"/>
              </w:divBdr>
              <w:divsChild>
                <w:div w:id="1576360752">
                  <w:marLeft w:val="0"/>
                  <w:marRight w:val="0"/>
                  <w:marTop w:val="0"/>
                  <w:marBottom w:val="0"/>
                  <w:divBdr>
                    <w:top w:val="none" w:sz="0" w:space="0" w:color="auto"/>
                    <w:left w:val="none" w:sz="0" w:space="0" w:color="auto"/>
                    <w:bottom w:val="none" w:sz="0" w:space="0" w:color="auto"/>
                    <w:right w:val="none" w:sz="0" w:space="0" w:color="auto"/>
                  </w:divBdr>
                </w:div>
              </w:divsChild>
            </w:div>
            <w:div w:id="2139100372">
              <w:marLeft w:val="0"/>
              <w:marRight w:val="0"/>
              <w:marTop w:val="0"/>
              <w:marBottom w:val="0"/>
              <w:divBdr>
                <w:top w:val="none" w:sz="0" w:space="0" w:color="auto"/>
                <w:left w:val="none" w:sz="0" w:space="0" w:color="auto"/>
                <w:bottom w:val="none" w:sz="0" w:space="0" w:color="auto"/>
                <w:right w:val="none" w:sz="0" w:space="0" w:color="auto"/>
              </w:divBdr>
              <w:divsChild>
                <w:div w:id="17919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170053">
          <w:marLeft w:val="0"/>
          <w:marRight w:val="0"/>
          <w:marTop w:val="0"/>
          <w:marBottom w:val="0"/>
          <w:divBdr>
            <w:top w:val="none" w:sz="0" w:space="0" w:color="auto"/>
            <w:left w:val="none" w:sz="0" w:space="0" w:color="auto"/>
            <w:bottom w:val="none" w:sz="0" w:space="0" w:color="auto"/>
            <w:right w:val="none" w:sz="0" w:space="0" w:color="auto"/>
          </w:divBdr>
          <w:divsChild>
            <w:div w:id="1884826450">
              <w:marLeft w:val="0"/>
              <w:marRight w:val="0"/>
              <w:marTop w:val="0"/>
              <w:marBottom w:val="0"/>
              <w:divBdr>
                <w:top w:val="none" w:sz="0" w:space="0" w:color="auto"/>
                <w:left w:val="none" w:sz="0" w:space="0" w:color="auto"/>
                <w:bottom w:val="none" w:sz="0" w:space="0" w:color="auto"/>
                <w:right w:val="none" w:sz="0" w:space="0" w:color="auto"/>
              </w:divBdr>
              <w:divsChild>
                <w:div w:id="133914934">
                  <w:marLeft w:val="0"/>
                  <w:marRight w:val="0"/>
                  <w:marTop w:val="0"/>
                  <w:marBottom w:val="0"/>
                  <w:divBdr>
                    <w:top w:val="none" w:sz="0" w:space="0" w:color="auto"/>
                    <w:left w:val="none" w:sz="0" w:space="0" w:color="auto"/>
                    <w:bottom w:val="none" w:sz="0" w:space="0" w:color="auto"/>
                    <w:right w:val="none" w:sz="0" w:space="0" w:color="auto"/>
                  </w:divBdr>
                </w:div>
              </w:divsChild>
            </w:div>
            <w:div w:id="1713798112">
              <w:marLeft w:val="0"/>
              <w:marRight w:val="0"/>
              <w:marTop w:val="0"/>
              <w:marBottom w:val="0"/>
              <w:divBdr>
                <w:top w:val="none" w:sz="0" w:space="0" w:color="auto"/>
                <w:left w:val="none" w:sz="0" w:space="0" w:color="auto"/>
                <w:bottom w:val="none" w:sz="0" w:space="0" w:color="auto"/>
                <w:right w:val="none" w:sz="0" w:space="0" w:color="auto"/>
              </w:divBdr>
              <w:divsChild>
                <w:div w:id="133957161">
                  <w:marLeft w:val="0"/>
                  <w:marRight w:val="0"/>
                  <w:marTop w:val="0"/>
                  <w:marBottom w:val="0"/>
                  <w:divBdr>
                    <w:top w:val="none" w:sz="0" w:space="0" w:color="auto"/>
                    <w:left w:val="none" w:sz="0" w:space="0" w:color="auto"/>
                    <w:bottom w:val="none" w:sz="0" w:space="0" w:color="auto"/>
                    <w:right w:val="none" w:sz="0" w:space="0" w:color="auto"/>
                  </w:divBdr>
                </w:div>
              </w:divsChild>
            </w:div>
            <w:div w:id="869269906">
              <w:marLeft w:val="0"/>
              <w:marRight w:val="0"/>
              <w:marTop w:val="0"/>
              <w:marBottom w:val="0"/>
              <w:divBdr>
                <w:top w:val="none" w:sz="0" w:space="0" w:color="auto"/>
                <w:left w:val="none" w:sz="0" w:space="0" w:color="auto"/>
                <w:bottom w:val="none" w:sz="0" w:space="0" w:color="auto"/>
                <w:right w:val="none" w:sz="0" w:space="0" w:color="auto"/>
              </w:divBdr>
              <w:divsChild>
                <w:div w:id="1993218011">
                  <w:marLeft w:val="0"/>
                  <w:marRight w:val="0"/>
                  <w:marTop w:val="0"/>
                  <w:marBottom w:val="0"/>
                  <w:divBdr>
                    <w:top w:val="none" w:sz="0" w:space="0" w:color="auto"/>
                    <w:left w:val="none" w:sz="0" w:space="0" w:color="auto"/>
                    <w:bottom w:val="none" w:sz="0" w:space="0" w:color="auto"/>
                    <w:right w:val="none" w:sz="0" w:space="0" w:color="auto"/>
                  </w:divBdr>
                </w:div>
              </w:divsChild>
            </w:div>
            <w:div w:id="6104800">
              <w:marLeft w:val="0"/>
              <w:marRight w:val="0"/>
              <w:marTop w:val="0"/>
              <w:marBottom w:val="0"/>
              <w:divBdr>
                <w:top w:val="none" w:sz="0" w:space="0" w:color="auto"/>
                <w:left w:val="none" w:sz="0" w:space="0" w:color="auto"/>
                <w:bottom w:val="none" w:sz="0" w:space="0" w:color="auto"/>
                <w:right w:val="none" w:sz="0" w:space="0" w:color="auto"/>
              </w:divBdr>
              <w:divsChild>
                <w:div w:id="1410692251">
                  <w:marLeft w:val="0"/>
                  <w:marRight w:val="0"/>
                  <w:marTop w:val="0"/>
                  <w:marBottom w:val="0"/>
                  <w:divBdr>
                    <w:top w:val="none" w:sz="0" w:space="0" w:color="auto"/>
                    <w:left w:val="none" w:sz="0" w:space="0" w:color="auto"/>
                    <w:bottom w:val="none" w:sz="0" w:space="0" w:color="auto"/>
                    <w:right w:val="none" w:sz="0" w:space="0" w:color="auto"/>
                  </w:divBdr>
                </w:div>
              </w:divsChild>
            </w:div>
            <w:div w:id="1047148950">
              <w:marLeft w:val="0"/>
              <w:marRight w:val="0"/>
              <w:marTop w:val="0"/>
              <w:marBottom w:val="0"/>
              <w:divBdr>
                <w:top w:val="none" w:sz="0" w:space="0" w:color="auto"/>
                <w:left w:val="none" w:sz="0" w:space="0" w:color="auto"/>
                <w:bottom w:val="none" w:sz="0" w:space="0" w:color="auto"/>
                <w:right w:val="none" w:sz="0" w:space="0" w:color="auto"/>
              </w:divBdr>
              <w:divsChild>
                <w:div w:id="7852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853207">
          <w:marLeft w:val="0"/>
          <w:marRight w:val="0"/>
          <w:marTop w:val="0"/>
          <w:marBottom w:val="0"/>
          <w:divBdr>
            <w:top w:val="none" w:sz="0" w:space="0" w:color="auto"/>
            <w:left w:val="none" w:sz="0" w:space="0" w:color="auto"/>
            <w:bottom w:val="none" w:sz="0" w:space="0" w:color="auto"/>
            <w:right w:val="none" w:sz="0" w:space="0" w:color="auto"/>
          </w:divBdr>
          <w:divsChild>
            <w:div w:id="1846701770">
              <w:marLeft w:val="0"/>
              <w:marRight w:val="0"/>
              <w:marTop w:val="0"/>
              <w:marBottom w:val="0"/>
              <w:divBdr>
                <w:top w:val="none" w:sz="0" w:space="0" w:color="auto"/>
                <w:left w:val="none" w:sz="0" w:space="0" w:color="auto"/>
                <w:bottom w:val="none" w:sz="0" w:space="0" w:color="auto"/>
                <w:right w:val="none" w:sz="0" w:space="0" w:color="auto"/>
              </w:divBdr>
              <w:divsChild>
                <w:div w:id="124105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974377">
          <w:marLeft w:val="0"/>
          <w:marRight w:val="0"/>
          <w:marTop w:val="0"/>
          <w:marBottom w:val="0"/>
          <w:divBdr>
            <w:top w:val="none" w:sz="0" w:space="0" w:color="auto"/>
            <w:left w:val="none" w:sz="0" w:space="0" w:color="auto"/>
            <w:bottom w:val="none" w:sz="0" w:space="0" w:color="auto"/>
            <w:right w:val="none" w:sz="0" w:space="0" w:color="auto"/>
          </w:divBdr>
          <w:divsChild>
            <w:div w:id="620233366">
              <w:marLeft w:val="0"/>
              <w:marRight w:val="0"/>
              <w:marTop w:val="0"/>
              <w:marBottom w:val="0"/>
              <w:divBdr>
                <w:top w:val="none" w:sz="0" w:space="0" w:color="auto"/>
                <w:left w:val="none" w:sz="0" w:space="0" w:color="auto"/>
                <w:bottom w:val="none" w:sz="0" w:space="0" w:color="auto"/>
                <w:right w:val="none" w:sz="0" w:space="0" w:color="auto"/>
              </w:divBdr>
              <w:divsChild>
                <w:div w:id="844513903">
                  <w:marLeft w:val="0"/>
                  <w:marRight w:val="0"/>
                  <w:marTop w:val="0"/>
                  <w:marBottom w:val="0"/>
                  <w:divBdr>
                    <w:top w:val="none" w:sz="0" w:space="0" w:color="auto"/>
                    <w:left w:val="none" w:sz="0" w:space="0" w:color="auto"/>
                    <w:bottom w:val="none" w:sz="0" w:space="0" w:color="auto"/>
                    <w:right w:val="none" w:sz="0" w:space="0" w:color="auto"/>
                  </w:divBdr>
                </w:div>
              </w:divsChild>
            </w:div>
            <w:div w:id="999042055">
              <w:marLeft w:val="0"/>
              <w:marRight w:val="0"/>
              <w:marTop w:val="0"/>
              <w:marBottom w:val="0"/>
              <w:divBdr>
                <w:top w:val="none" w:sz="0" w:space="0" w:color="auto"/>
                <w:left w:val="none" w:sz="0" w:space="0" w:color="auto"/>
                <w:bottom w:val="none" w:sz="0" w:space="0" w:color="auto"/>
                <w:right w:val="none" w:sz="0" w:space="0" w:color="auto"/>
              </w:divBdr>
              <w:divsChild>
                <w:div w:id="860432298">
                  <w:marLeft w:val="0"/>
                  <w:marRight w:val="0"/>
                  <w:marTop w:val="0"/>
                  <w:marBottom w:val="0"/>
                  <w:divBdr>
                    <w:top w:val="none" w:sz="0" w:space="0" w:color="auto"/>
                    <w:left w:val="none" w:sz="0" w:space="0" w:color="auto"/>
                    <w:bottom w:val="none" w:sz="0" w:space="0" w:color="auto"/>
                    <w:right w:val="none" w:sz="0" w:space="0" w:color="auto"/>
                  </w:divBdr>
                </w:div>
              </w:divsChild>
            </w:div>
            <w:div w:id="1627156577">
              <w:marLeft w:val="0"/>
              <w:marRight w:val="0"/>
              <w:marTop w:val="0"/>
              <w:marBottom w:val="0"/>
              <w:divBdr>
                <w:top w:val="none" w:sz="0" w:space="0" w:color="auto"/>
                <w:left w:val="none" w:sz="0" w:space="0" w:color="auto"/>
                <w:bottom w:val="none" w:sz="0" w:space="0" w:color="auto"/>
                <w:right w:val="none" w:sz="0" w:space="0" w:color="auto"/>
              </w:divBdr>
              <w:divsChild>
                <w:div w:id="38086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57184">
          <w:marLeft w:val="0"/>
          <w:marRight w:val="0"/>
          <w:marTop w:val="0"/>
          <w:marBottom w:val="0"/>
          <w:divBdr>
            <w:top w:val="none" w:sz="0" w:space="0" w:color="auto"/>
            <w:left w:val="none" w:sz="0" w:space="0" w:color="auto"/>
            <w:bottom w:val="none" w:sz="0" w:space="0" w:color="auto"/>
            <w:right w:val="none" w:sz="0" w:space="0" w:color="auto"/>
          </w:divBdr>
          <w:divsChild>
            <w:div w:id="184176934">
              <w:marLeft w:val="0"/>
              <w:marRight w:val="0"/>
              <w:marTop w:val="0"/>
              <w:marBottom w:val="0"/>
              <w:divBdr>
                <w:top w:val="none" w:sz="0" w:space="0" w:color="auto"/>
                <w:left w:val="none" w:sz="0" w:space="0" w:color="auto"/>
                <w:bottom w:val="none" w:sz="0" w:space="0" w:color="auto"/>
                <w:right w:val="none" w:sz="0" w:space="0" w:color="auto"/>
              </w:divBdr>
              <w:divsChild>
                <w:div w:id="1936287168">
                  <w:marLeft w:val="0"/>
                  <w:marRight w:val="0"/>
                  <w:marTop w:val="0"/>
                  <w:marBottom w:val="0"/>
                  <w:divBdr>
                    <w:top w:val="none" w:sz="0" w:space="0" w:color="auto"/>
                    <w:left w:val="none" w:sz="0" w:space="0" w:color="auto"/>
                    <w:bottom w:val="none" w:sz="0" w:space="0" w:color="auto"/>
                    <w:right w:val="none" w:sz="0" w:space="0" w:color="auto"/>
                  </w:divBdr>
                </w:div>
              </w:divsChild>
            </w:div>
            <w:div w:id="902789287">
              <w:marLeft w:val="0"/>
              <w:marRight w:val="0"/>
              <w:marTop w:val="0"/>
              <w:marBottom w:val="0"/>
              <w:divBdr>
                <w:top w:val="none" w:sz="0" w:space="0" w:color="auto"/>
                <w:left w:val="none" w:sz="0" w:space="0" w:color="auto"/>
                <w:bottom w:val="none" w:sz="0" w:space="0" w:color="auto"/>
                <w:right w:val="none" w:sz="0" w:space="0" w:color="auto"/>
              </w:divBdr>
              <w:divsChild>
                <w:div w:id="1041056345">
                  <w:marLeft w:val="0"/>
                  <w:marRight w:val="0"/>
                  <w:marTop w:val="0"/>
                  <w:marBottom w:val="0"/>
                  <w:divBdr>
                    <w:top w:val="none" w:sz="0" w:space="0" w:color="auto"/>
                    <w:left w:val="none" w:sz="0" w:space="0" w:color="auto"/>
                    <w:bottom w:val="none" w:sz="0" w:space="0" w:color="auto"/>
                    <w:right w:val="none" w:sz="0" w:space="0" w:color="auto"/>
                  </w:divBdr>
                </w:div>
                <w:div w:id="1832717431">
                  <w:marLeft w:val="0"/>
                  <w:marRight w:val="0"/>
                  <w:marTop w:val="0"/>
                  <w:marBottom w:val="0"/>
                  <w:divBdr>
                    <w:top w:val="none" w:sz="0" w:space="0" w:color="auto"/>
                    <w:left w:val="none" w:sz="0" w:space="0" w:color="auto"/>
                    <w:bottom w:val="none" w:sz="0" w:space="0" w:color="auto"/>
                    <w:right w:val="none" w:sz="0" w:space="0" w:color="auto"/>
                  </w:divBdr>
                </w:div>
              </w:divsChild>
            </w:div>
            <w:div w:id="1679379959">
              <w:marLeft w:val="0"/>
              <w:marRight w:val="0"/>
              <w:marTop w:val="0"/>
              <w:marBottom w:val="0"/>
              <w:divBdr>
                <w:top w:val="none" w:sz="0" w:space="0" w:color="auto"/>
                <w:left w:val="none" w:sz="0" w:space="0" w:color="auto"/>
                <w:bottom w:val="none" w:sz="0" w:space="0" w:color="auto"/>
                <w:right w:val="none" w:sz="0" w:space="0" w:color="auto"/>
              </w:divBdr>
              <w:divsChild>
                <w:div w:id="142587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601319">
          <w:marLeft w:val="0"/>
          <w:marRight w:val="0"/>
          <w:marTop w:val="0"/>
          <w:marBottom w:val="0"/>
          <w:divBdr>
            <w:top w:val="none" w:sz="0" w:space="0" w:color="auto"/>
            <w:left w:val="none" w:sz="0" w:space="0" w:color="auto"/>
            <w:bottom w:val="none" w:sz="0" w:space="0" w:color="auto"/>
            <w:right w:val="none" w:sz="0" w:space="0" w:color="auto"/>
          </w:divBdr>
          <w:divsChild>
            <w:div w:id="983047554">
              <w:marLeft w:val="0"/>
              <w:marRight w:val="0"/>
              <w:marTop w:val="0"/>
              <w:marBottom w:val="0"/>
              <w:divBdr>
                <w:top w:val="none" w:sz="0" w:space="0" w:color="auto"/>
                <w:left w:val="none" w:sz="0" w:space="0" w:color="auto"/>
                <w:bottom w:val="none" w:sz="0" w:space="0" w:color="auto"/>
                <w:right w:val="none" w:sz="0" w:space="0" w:color="auto"/>
              </w:divBdr>
              <w:divsChild>
                <w:div w:id="1344044993">
                  <w:marLeft w:val="0"/>
                  <w:marRight w:val="0"/>
                  <w:marTop w:val="0"/>
                  <w:marBottom w:val="0"/>
                  <w:divBdr>
                    <w:top w:val="none" w:sz="0" w:space="0" w:color="auto"/>
                    <w:left w:val="none" w:sz="0" w:space="0" w:color="auto"/>
                    <w:bottom w:val="none" w:sz="0" w:space="0" w:color="auto"/>
                    <w:right w:val="none" w:sz="0" w:space="0" w:color="auto"/>
                  </w:divBdr>
                </w:div>
              </w:divsChild>
            </w:div>
            <w:div w:id="304629416">
              <w:marLeft w:val="0"/>
              <w:marRight w:val="0"/>
              <w:marTop w:val="0"/>
              <w:marBottom w:val="0"/>
              <w:divBdr>
                <w:top w:val="none" w:sz="0" w:space="0" w:color="auto"/>
                <w:left w:val="none" w:sz="0" w:space="0" w:color="auto"/>
                <w:bottom w:val="none" w:sz="0" w:space="0" w:color="auto"/>
                <w:right w:val="none" w:sz="0" w:space="0" w:color="auto"/>
              </w:divBdr>
              <w:divsChild>
                <w:div w:id="426123567">
                  <w:marLeft w:val="0"/>
                  <w:marRight w:val="0"/>
                  <w:marTop w:val="0"/>
                  <w:marBottom w:val="0"/>
                  <w:divBdr>
                    <w:top w:val="none" w:sz="0" w:space="0" w:color="auto"/>
                    <w:left w:val="none" w:sz="0" w:space="0" w:color="auto"/>
                    <w:bottom w:val="none" w:sz="0" w:space="0" w:color="auto"/>
                    <w:right w:val="none" w:sz="0" w:space="0" w:color="auto"/>
                  </w:divBdr>
                </w:div>
              </w:divsChild>
            </w:div>
            <w:div w:id="822745470">
              <w:marLeft w:val="0"/>
              <w:marRight w:val="0"/>
              <w:marTop w:val="0"/>
              <w:marBottom w:val="0"/>
              <w:divBdr>
                <w:top w:val="none" w:sz="0" w:space="0" w:color="auto"/>
                <w:left w:val="none" w:sz="0" w:space="0" w:color="auto"/>
                <w:bottom w:val="none" w:sz="0" w:space="0" w:color="auto"/>
                <w:right w:val="none" w:sz="0" w:space="0" w:color="auto"/>
              </w:divBdr>
              <w:divsChild>
                <w:div w:id="671489457">
                  <w:marLeft w:val="0"/>
                  <w:marRight w:val="0"/>
                  <w:marTop w:val="0"/>
                  <w:marBottom w:val="0"/>
                  <w:divBdr>
                    <w:top w:val="none" w:sz="0" w:space="0" w:color="auto"/>
                    <w:left w:val="none" w:sz="0" w:space="0" w:color="auto"/>
                    <w:bottom w:val="none" w:sz="0" w:space="0" w:color="auto"/>
                    <w:right w:val="none" w:sz="0" w:space="0" w:color="auto"/>
                  </w:divBdr>
                </w:div>
              </w:divsChild>
            </w:div>
            <w:div w:id="1561936027">
              <w:marLeft w:val="0"/>
              <w:marRight w:val="0"/>
              <w:marTop w:val="0"/>
              <w:marBottom w:val="0"/>
              <w:divBdr>
                <w:top w:val="none" w:sz="0" w:space="0" w:color="auto"/>
                <w:left w:val="none" w:sz="0" w:space="0" w:color="auto"/>
                <w:bottom w:val="none" w:sz="0" w:space="0" w:color="auto"/>
                <w:right w:val="none" w:sz="0" w:space="0" w:color="auto"/>
              </w:divBdr>
              <w:divsChild>
                <w:div w:id="15245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35920">
          <w:marLeft w:val="0"/>
          <w:marRight w:val="0"/>
          <w:marTop w:val="0"/>
          <w:marBottom w:val="0"/>
          <w:divBdr>
            <w:top w:val="none" w:sz="0" w:space="0" w:color="auto"/>
            <w:left w:val="none" w:sz="0" w:space="0" w:color="auto"/>
            <w:bottom w:val="none" w:sz="0" w:space="0" w:color="auto"/>
            <w:right w:val="none" w:sz="0" w:space="0" w:color="auto"/>
          </w:divBdr>
          <w:divsChild>
            <w:div w:id="1832408407">
              <w:marLeft w:val="0"/>
              <w:marRight w:val="0"/>
              <w:marTop w:val="0"/>
              <w:marBottom w:val="0"/>
              <w:divBdr>
                <w:top w:val="none" w:sz="0" w:space="0" w:color="auto"/>
                <w:left w:val="none" w:sz="0" w:space="0" w:color="auto"/>
                <w:bottom w:val="none" w:sz="0" w:space="0" w:color="auto"/>
                <w:right w:val="none" w:sz="0" w:space="0" w:color="auto"/>
              </w:divBdr>
              <w:divsChild>
                <w:div w:id="21906189">
                  <w:marLeft w:val="0"/>
                  <w:marRight w:val="0"/>
                  <w:marTop w:val="0"/>
                  <w:marBottom w:val="0"/>
                  <w:divBdr>
                    <w:top w:val="none" w:sz="0" w:space="0" w:color="auto"/>
                    <w:left w:val="none" w:sz="0" w:space="0" w:color="auto"/>
                    <w:bottom w:val="none" w:sz="0" w:space="0" w:color="auto"/>
                    <w:right w:val="none" w:sz="0" w:space="0" w:color="auto"/>
                  </w:divBdr>
                </w:div>
              </w:divsChild>
            </w:div>
            <w:div w:id="605308773">
              <w:marLeft w:val="0"/>
              <w:marRight w:val="0"/>
              <w:marTop w:val="0"/>
              <w:marBottom w:val="0"/>
              <w:divBdr>
                <w:top w:val="none" w:sz="0" w:space="0" w:color="auto"/>
                <w:left w:val="none" w:sz="0" w:space="0" w:color="auto"/>
                <w:bottom w:val="none" w:sz="0" w:space="0" w:color="auto"/>
                <w:right w:val="none" w:sz="0" w:space="0" w:color="auto"/>
              </w:divBdr>
              <w:divsChild>
                <w:div w:id="55514818">
                  <w:marLeft w:val="0"/>
                  <w:marRight w:val="0"/>
                  <w:marTop w:val="0"/>
                  <w:marBottom w:val="0"/>
                  <w:divBdr>
                    <w:top w:val="none" w:sz="0" w:space="0" w:color="auto"/>
                    <w:left w:val="none" w:sz="0" w:space="0" w:color="auto"/>
                    <w:bottom w:val="none" w:sz="0" w:space="0" w:color="auto"/>
                    <w:right w:val="none" w:sz="0" w:space="0" w:color="auto"/>
                  </w:divBdr>
                </w:div>
              </w:divsChild>
            </w:div>
            <w:div w:id="690758863">
              <w:marLeft w:val="0"/>
              <w:marRight w:val="0"/>
              <w:marTop w:val="0"/>
              <w:marBottom w:val="0"/>
              <w:divBdr>
                <w:top w:val="none" w:sz="0" w:space="0" w:color="auto"/>
                <w:left w:val="none" w:sz="0" w:space="0" w:color="auto"/>
                <w:bottom w:val="none" w:sz="0" w:space="0" w:color="auto"/>
                <w:right w:val="none" w:sz="0" w:space="0" w:color="auto"/>
              </w:divBdr>
              <w:divsChild>
                <w:div w:id="33812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676987">
          <w:marLeft w:val="0"/>
          <w:marRight w:val="0"/>
          <w:marTop w:val="0"/>
          <w:marBottom w:val="0"/>
          <w:divBdr>
            <w:top w:val="none" w:sz="0" w:space="0" w:color="auto"/>
            <w:left w:val="none" w:sz="0" w:space="0" w:color="auto"/>
            <w:bottom w:val="none" w:sz="0" w:space="0" w:color="auto"/>
            <w:right w:val="none" w:sz="0" w:space="0" w:color="auto"/>
          </w:divBdr>
          <w:divsChild>
            <w:div w:id="1638102377">
              <w:marLeft w:val="0"/>
              <w:marRight w:val="0"/>
              <w:marTop w:val="0"/>
              <w:marBottom w:val="0"/>
              <w:divBdr>
                <w:top w:val="none" w:sz="0" w:space="0" w:color="auto"/>
                <w:left w:val="none" w:sz="0" w:space="0" w:color="auto"/>
                <w:bottom w:val="none" w:sz="0" w:space="0" w:color="auto"/>
                <w:right w:val="none" w:sz="0" w:space="0" w:color="auto"/>
              </w:divBdr>
              <w:divsChild>
                <w:div w:id="199506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28302">
          <w:marLeft w:val="0"/>
          <w:marRight w:val="0"/>
          <w:marTop w:val="0"/>
          <w:marBottom w:val="0"/>
          <w:divBdr>
            <w:top w:val="none" w:sz="0" w:space="0" w:color="auto"/>
            <w:left w:val="none" w:sz="0" w:space="0" w:color="auto"/>
            <w:bottom w:val="none" w:sz="0" w:space="0" w:color="auto"/>
            <w:right w:val="none" w:sz="0" w:space="0" w:color="auto"/>
          </w:divBdr>
          <w:divsChild>
            <w:div w:id="457458289">
              <w:marLeft w:val="0"/>
              <w:marRight w:val="0"/>
              <w:marTop w:val="0"/>
              <w:marBottom w:val="0"/>
              <w:divBdr>
                <w:top w:val="none" w:sz="0" w:space="0" w:color="auto"/>
                <w:left w:val="none" w:sz="0" w:space="0" w:color="auto"/>
                <w:bottom w:val="none" w:sz="0" w:space="0" w:color="auto"/>
                <w:right w:val="none" w:sz="0" w:space="0" w:color="auto"/>
              </w:divBdr>
              <w:divsChild>
                <w:div w:id="174306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241530">
          <w:marLeft w:val="0"/>
          <w:marRight w:val="0"/>
          <w:marTop w:val="0"/>
          <w:marBottom w:val="0"/>
          <w:divBdr>
            <w:top w:val="none" w:sz="0" w:space="0" w:color="auto"/>
            <w:left w:val="none" w:sz="0" w:space="0" w:color="auto"/>
            <w:bottom w:val="none" w:sz="0" w:space="0" w:color="auto"/>
            <w:right w:val="none" w:sz="0" w:space="0" w:color="auto"/>
          </w:divBdr>
          <w:divsChild>
            <w:div w:id="1152331147">
              <w:marLeft w:val="0"/>
              <w:marRight w:val="0"/>
              <w:marTop w:val="0"/>
              <w:marBottom w:val="0"/>
              <w:divBdr>
                <w:top w:val="none" w:sz="0" w:space="0" w:color="auto"/>
                <w:left w:val="none" w:sz="0" w:space="0" w:color="auto"/>
                <w:bottom w:val="none" w:sz="0" w:space="0" w:color="auto"/>
                <w:right w:val="none" w:sz="0" w:space="0" w:color="auto"/>
              </w:divBdr>
              <w:divsChild>
                <w:div w:id="807817177">
                  <w:marLeft w:val="0"/>
                  <w:marRight w:val="0"/>
                  <w:marTop w:val="0"/>
                  <w:marBottom w:val="0"/>
                  <w:divBdr>
                    <w:top w:val="none" w:sz="0" w:space="0" w:color="auto"/>
                    <w:left w:val="none" w:sz="0" w:space="0" w:color="auto"/>
                    <w:bottom w:val="none" w:sz="0" w:space="0" w:color="auto"/>
                    <w:right w:val="none" w:sz="0" w:space="0" w:color="auto"/>
                  </w:divBdr>
                </w:div>
              </w:divsChild>
            </w:div>
            <w:div w:id="1564872109">
              <w:marLeft w:val="0"/>
              <w:marRight w:val="0"/>
              <w:marTop w:val="0"/>
              <w:marBottom w:val="0"/>
              <w:divBdr>
                <w:top w:val="none" w:sz="0" w:space="0" w:color="auto"/>
                <w:left w:val="none" w:sz="0" w:space="0" w:color="auto"/>
                <w:bottom w:val="none" w:sz="0" w:space="0" w:color="auto"/>
                <w:right w:val="none" w:sz="0" w:space="0" w:color="auto"/>
              </w:divBdr>
              <w:divsChild>
                <w:div w:id="126203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576343">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60081954">
      <w:bodyDiv w:val="1"/>
      <w:marLeft w:val="0"/>
      <w:marRight w:val="0"/>
      <w:marTop w:val="0"/>
      <w:marBottom w:val="0"/>
      <w:divBdr>
        <w:top w:val="none" w:sz="0" w:space="0" w:color="auto"/>
        <w:left w:val="none" w:sz="0" w:space="0" w:color="auto"/>
        <w:bottom w:val="none" w:sz="0" w:space="0" w:color="auto"/>
        <w:right w:val="none" w:sz="0" w:space="0" w:color="auto"/>
      </w:divBdr>
      <w:divsChild>
        <w:div w:id="110828742">
          <w:marLeft w:val="0"/>
          <w:marRight w:val="0"/>
          <w:marTop w:val="0"/>
          <w:marBottom w:val="0"/>
          <w:divBdr>
            <w:top w:val="none" w:sz="0" w:space="0" w:color="auto"/>
            <w:left w:val="none" w:sz="0" w:space="0" w:color="auto"/>
            <w:bottom w:val="none" w:sz="0" w:space="0" w:color="auto"/>
            <w:right w:val="none" w:sz="0" w:space="0" w:color="auto"/>
          </w:divBdr>
          <w:divsChild>
            <w:div w:id="1790203717">
              <w:marLeft w:val="0"/>
              <w:marRight w:val="0"/>
              <w:marTop w:val="0"/>
              <w:marBottom w:val="0"/>
              <w:divBdr>
                <w:top w:val="none" w:sz="0" w:space="0" w:color="auto"/>
                <w:left w:val="none" w:sz="0" w:space="0" w:color="auto"/>
                <w:bottom w:val="none" w:sz="0" w:space="0" w:color="auto"/>
                <w:right w:val="none" w:sz="0" w:space="0" w:color="auto"/>
              </w:divBdr>
              <w:divsChild>
                <w:div w:id="296952559">
                  <w:marLeft w:val="0"/>
                  <w:marRight w:val="0"/>
                  <w:marTop w:val="0"/>
                  <w:marBottom w:val="0"/>
                  <w:divBdr>
                    <w:top w:val="none" w:sz="0" w:space="0" w:color="auto"/>
                    <w:left w:val="none" w:sz="0" w:space="0" w:color="auto"/>
                    <w:bottom w:val="none" w:sz="0" w:space="0" w:color="auto"/>
                    <w:right w:val="none" w:sz="0" w:space="0" w:color="auto"/>
                  </w:divBdr>
                  <w:divsChild>
                    <w:div w:id="724569656">
                      <w:marLeft w:val="0"/>
                      <w:marRight w:val="0"/>
                      <w:marTop w:val="0"/>
                      <w:marBottom w:val="0"/>
                      <w:divBdr>
                        <w:top w:val="none" w:sz="0" w:space="0" w:color="auto"/>
                        <w:left w:val="none" w:sz="0" w:space="0" w:color="auto"/>
                        <w:bottom w:val="none" w:sz="0" w:space="0" w:color="auto"/>
                        <w:right w:val="none" w:sz="0" w:space="0" w:color="auto"/>
                      </w:divBdr>
                    </w:div>
                  </w:divsChild>
                </w:div>
                <w:div w:id="2025208487">
                  <w:marLeft w:val="0"/>
                  <w:marRight w:val="0"/>
                  <w:marTop w:val="0"/>
                  <w:marBottom w:val="0"/>
                  <w:divBdr>
                    <w:top w:val="none" w:sz="0" w:space="0" w:color="auto"/>
                    <w:left w:val="none" w:sz="0" w:space="0" w:color="auto"/>
                    <w:bottom w:val="none" w:sz="0" w:space="0" w:color="auto"/>
                    <w:right w:val="none" w:sz="0" w:space="0" w:color="auto"/>
                  </w:divBdr>
                  <w:divsChild>
                    <w:div w:id="1124690080">
                      <w:marLeft w:val="0"/>
                      <w:marRight w:val="0"/>
                      <w:marTop w:val="0"/>
                      <w:marBottom w:val="0"/>
                      <w:divBdr>
                        <w:top w:val="none" w:sz="0" w:space="0" w:color="auto"/>
                        <w:left w:val="none" w:sz="0" w:space="0" w:color="auto"/>
                        <w:bottom w:val="none" w:sz="0" w:space="0" w:color="auto"/>
                        <w:right w:val="none" w:sz="0" w:space="0" w:color="auto"/>
                      </w:divBdr>
                    </w:div>
                  </w:divsChild>
                </w:div>
                <w:div w:id="1970747965">
                  <w:marLeft w:val="0"/>
                  <w:marRight w:val="0"/>
                  <w:marTop w:val="0"/>
                  <w:marBottom w:val="0"/>
                  <w:divBdr>
                    <w:top w:val="none" w:sz="0" w:space="0" w:color="auto"/>
                    <w:left w:val="none" w:sz="0" w:space="0" w:color="auto"/>
                    <w:bottom w:val="none" w:sz="0" w:space="0" w:color="auto"/>
                    <w:right w:val="none" w:sz="0" w:space="0" w:color="auto"/>
                  </w:divBdr>
                  <w:divsChild>
                    <w:div w:id="546374826">
                      <w:marLeft w:val="0"/>
                      <w:marRight w:val="0"/>
                      <w:marTop w:val="0"/>
                      <w:marBottom w:val="0"/>
                      <w:divBdr>
                        <w:top w:val="none" w:sz="0" w:space="0" w:color="auto"/>
                        <w:left w:val="none" w:sz="0" w:space="0" w:color="auto"/>
                        <w:bottom w:val="none" w:sz="0" w:space="0" w:color="auto"/>
                        <w:right w:val="none" w:sz="0" w:space="0" w:color="auto"/>
                      </w:divBdr>
                    </w:div>
                  </w:divsChild>
                </w:div>
                <w:div w:id="1024748573">
                  <w:marLeft w:val="0"/>
                  <w:marRight w:val="0"/>
                  <w:marTop w:val="0"/>
                  <w:marBottom w:val="0"/>
                  <w:divBdr>
                    <w:top w:val="none" w:sz="0" w:space="0" w:color="auto"/>
                    <w:left w:val="none" w:sz="0" w:space="0" w:color="auto"/>
                    <w:bottom w:val="none" w:sz="0" w:space="0" w:color="auto"/>
                    <w:right w:val="none" w:sz="0" w:space="0" w:color="auto"/>
                  </w:divBdr>
                  <w:divsChild>
                    <w:div w:id="1497111642">
                      <w:marLeft w:val="0"/>
                      <w:marRight w:val="0"/>
                      <w:marTop w:val="0"/>
                      <w:marBottom w:val="0"/>
                      <w:divBdr>
                        <w:top w:val="none" w:sz="0" w:space="0" w:color="auto"/>
                        <w:left w:val="none" w:sz="0" w:space="0" w:color="auto"/>
                        <w:bottom w:val="none" w:sz="0" w:space="0" w:color="auto"/>
                        <w:right w:val="none" w:sz="0" w:space="0" w:color="auto"/>
                      </w:divBdr>
                    </w:div>
                  </w:divsChild>
                </w:div>
                <w:div w:id="445585717">
                  <w:marLeft w:val="0"/>
                  <w:marRight w:val="0"/>
                  <w:marTop w:val="0"/>
                  <w:marBottom w:val="0"/>
                  <w:divBdr>
                    <w:top w:val="none" w:sz="0" w:space="0" w:color="auto"/>
                    <w:left w:val="none" w:sz="0" w:space="0" w:color="auto"/>
                    <w:bottom w:val="none" w:sz="0" w:space="0" w:color="auto"/>
                    <w:right w:val="none" w:sz="0" w:space="0" w:color="auto"/>
                  </w:divBdr>
                  <w:divsChild>
                    <w:div w:id="992292684">
                      <w:marLeft w:val="0"/>
                      <w:marRight w:val="0"/>
                      <w:marTop w:val="0"/>
                      <w:marBottom w:val="0"/>
                      <w:divBdr>
                        <w:top w:val="none" w:sz="0" w:space="0" w:color="auto"/>
                        <w:left w:val="none" w:sz="0" w:space="0" w:color="auto"/>
                        <w:bottom w:val="none" w:sz="0" w:space="0" w:color="auto"/>
                        <w:right w:val="none" w:sz="0" w:space="0" w:color="auto"/>
                      </w:divBdr>
                    </w:div>
                  </w:divsChild>
                </w:div>
                <w:div w:id="1999459036">
                  <w:marLeft w:val="0"/>
                  <w:marRight w:val="0"/>
                  <w:marTop w:val="0"/>
                  <w:marBottom w:val="0"/>
                  <w:divBdr>
                    <w:top w:val="none" w:sz="0" w:space="0" w:color="auto"/>
                    <w:left w:val="none" w:sz="0" w:space="0" w:color="auto"/>
                    <w:bottom w:val="none" w:sz="0" w:space="0" w:color="auto"/>
                    <w:right w:val="none" w:sz="0" w:space="0" w:color="auto"/>
                  </w:divBdr>
                  <w:divsChild>
                    <w:div w:id="276566834">
                      <w:marLeft w:val="0"/>
                      <w:marRight w:val="0"/>
                      <w:marTop w:val="0"/>
                      <w:marBottom w:val="0"/>
                      <w:divBdr>
                        <w:top w:val="none" w:sz="0" w:space="0" w:color="auto"/>
                        <w:left w:val="none" w:sz="0" w:space="0" w:color="auto"/>
                        <w:bottom w:val="none" w:sz="0" w:space="0" w:color="auto"/>
                        <w:right w:val="none" w:sz="0" w:space="0" w:color="auto"/>
                      </w:divBdr>
                    </w:div>
                  </w:divsChild>
                </w:div>
                <w:div w:id="1559242922">
                  <w:marLeft w:val="0"/>
                  <w:marRight w:val="0"/>
                  <w:marTop w:val="0"/>
                  <w:marBottom w:val="0"/>
                  <w:divBdr>
                    <w:top w:val="none" w:sz="0" w:space="0" w:color="auto"/>
                    <w:left w:val="none" w:sz="0" w:space="0" w:color="auto"/>
                    <w:bottom w:val="none" w:sz="0" w:space="0" w:color="auto"/>
                    <w:right w:val="none" w:sz="0" w:space="0" w:color="auto"/>
                  </w:divBdr>
                  <w:divsChild>
                    <w:div w:id="1804881854">
                      <w:marLeft w:val="0"/>
                      <w:marRight w:val="0"/>
                      <w:marTop w:val="0"/>
                      <w:marBottom w:val="0"/>
                      <w:divBdr>
                        <w:top w:val="none" w:sz="0" w:space="0" w:color="auto"/>
                        <w:left w:val="none" w:sz="0" w:space="0" w:color="auto"/>
                        <w:bottom w:val="none" w:sz="0" w:space="0" w:color="auto"/>
                        <w:right w:val="none" w:sz="0" w:space="0" w:color="auto"/>
                      </w:divBdr>
                    </w:div>
                  </w:divsChild>
                </w:div>
                <w:div w:id="1782145524">
                  <w:marLeft w:val="0"/>
                  <w:marRight w:val="0"/>
                  <w:marTop w:val="0"/>
                  <w:marBottom w:val="0"/>
                  <w:divBdr>
                    <w:top w:val="none" w:sz="0" w:space="0" w:color="auto"/>
                    <w:left w:val="none" w:sz="0" w:space="0" w:color="auto"/>
                    <w:bottom w:val="none" w:sz="0" w:space="0" w:color="auto"/>
                    <w:right w:val="none" w:sz="0" w:space="0" w:color="auto"/>
                  </w:divBdr>
                  <w:divsChild>
                    <w:div w:id="681706402">
                      <w:marLeft w:val="0"/>
                      <w:marRight w:val="0"/>
                      <w:marTop w:val="0"/>
                      <w:marBottom w:val="0"/>
                      <w:divBdr>
                        <w:top w:val="none" w:sz="0" w:space="0" w:color="auto"/>
                        <w:left w:val="none" w:sz="0" w:space="0" w:color="auto"/>
                        <w:bottom w:val="none" w:sz="0" w:space="0" w:color="auto"/>
                        <w:right w:val="none" w:sz="0" w:space="0" w:color="auto"/>
                      </w:divBdr>
                    </w:div>
                  </w:divsChild>
                </w:div>
                <w:div w:id="783158292">
                  <w:marLeft w:val="0"/>
                  <w:marRight w:val="0"/>
                  <w:marTop w:val="0"/>
                  <w:marBottom w:val="0"/>
                  <w:divBdr>
                    <w:top w:val="none" w:sz="0" w:space="0" w:color="auto"/>
                    <w:left w:val="none" w:sz="0" w:space="0" w:color="auto"/>
                    <w:bottom w:val="none" w:sz="0" w:space="0" w:color="auto"/>
                    <w:right w:val="none" w:sz="0" w:space="0" w:color="auto"/>
                  </w:divBdr>
                  <w:divsChild>
                    <w:div w:id="161802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6</TotalTime>
  <Pages>17</Pages>
  <Words>6654</Words>
  <Characters>36601</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Andres Santiago Moreno Palomino</cp:lastModifiedBy>
  <cp:revision>11</cp:revision>
  <cp:lastPrinted>2020-01-30T15:05:00Z</cp:lastPrinted>
  <dcterms:created xsi:type="dcterms:W3CDTF">2021-05-10T17:32:00Z</dcterms:created>
  <dcterms:modified xsi:type="dcterms:W3CDTF">2021-05-10T18:05:00Z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