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A43C00"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A43C00">
        <w:rPr>
          <w:rFonts w:ascii="Arial" w:hAnsi="Arial" w:cs="Arial"/>
          <w:bCs/>
          <w:color w:val="000000" w:themeColor="text1"/>
          <w:sz w:val="16"/>
          <w:szCs w:val="16"/>
          <w:lang w:val="es-ES_tradnl" w:eastAsia="es-ES"/>
        </w:rPr>
        <w:t>CCE-DES-FM-17</w:t>
      </w:r>
      <w:bookmarkEnd w:id="0"/>
      <w:bookmarkEnd w:id="1"/>
    </w:p>
    <w:p w14:paraId="55FBD910" w14:textId="77777777" w:rsidR="008536BB" w:rsidRPr="00A43C00" w:rsidRDefault="008536BB" w:rsidP="00B95C30">
      <w:pPr>
        <w:spacing w:line="276" w:lineRule="auto"/>
        <w:jc w:val="both"/>
        <w:rPr>
          <w:rFonts w:ascii="Arial" w:hAnsi="Arial" w:cs="Arial"/>
          <w:noProof/>
          <w:color w:val="000000" w:themeColor="text1"/>
          <w:sz w:val="22"/>
          <w:lang w:val="es-ES_tradnl"/>
        </w:rPr>
      </w:pPr>
    </w:p>
    <w:p w14:paraId="612E8F30" w14:textId="77777777" w:rsidR="00F5160A" w:rsidRPr="001C64F9" w:rsidRDefault="00F5160A" w:rsidP="00F5160A">
      <w:pPr>
        <w:jc w:val="both"/>
        <w:rPr>
          <w:rFonts w:ascii="Arial" w:eastAsia="Calibri" w:hAnsi="Arial" w:cs="Arial"/>
          <w:b/>
          <w:sz w:val="22"/>
          <w:lang w:val="es-ES_tradnl"/>
        </w:rPr>
      </w:pPr>
      <w:r>
        <w:rPr>
          <w:rFonts w:ascii="Arial" w:eastAsia="Calibri" w:hAnsi="Arial" w:cs="Arial"/>
          <w:b/>
          <w:sz w:val="22"/>
          <w:lang w:val="es-ES_tradnl"/>
        </w:rPr>
        <w:t>DOCUMENTOS TIPO</w:t>
      </w:r>
      <w:r w:rsidRPr="001C64F9">
        <w:rPr>
          <w:rFonts w:ascii="Arial" w:eastAsia="Calibri" w:hAnsi="Arial" w:cs="Arial"/>
          <w:b/>
          <w:sz w:val="22"/>
          <w:lang w:val="es-ES_tradnl"/>
        </w:rPr>
        <w:t xml:space="preserve"> </w:t>
      </w:r>
      <w:r w:rsidRPr="001C64F9">
        <w:rPr>
          <w:rFonts w:ascii="Arial" w:eastAsia="Calibri" w:hAnsi="Arial" w:cs="Arial"/>
          <w:b/>
          <w:color w:val="000000" w:themeColor="text1"/>
          <w:sz w:val="22"/>
          <w:lang w:val="es-ES_tradnl"/>
        </w:rPr>
        <w:t>–</w:t>
      </w:r>
      <w:r w:rsidRPr="001C64F9">
        <w:rPr>
          <w:rFonts w:ascii="Arial" w:eastAsia="Calibri" w:hAnsi="Arial" w:cs="Arial"/>
          <w:b/>
          <w:sz w:val="22"/>
          <w:lang w:val="es-ES_tradnl"/>
        </w:rPr>
        <w:t xml:space="preserve"> </w:t>
      </w:r>
      <w:r>
        <w:rPr>
          <w:rFonts w:ascii="Arial" w:eastAsia="Calibri" w:hAnsi="Arial" w:cs="Arial"/>
          <w:b/>
          <w:sz w:val="22"/>
          <w:lang w:val="es-ES_tradnl"/>
        </w:rPr>
        <w:t>Fundamento normativo</w:t>
      </w:r>
      <w:r w:rsidRPr="001C64F9">
        <w:rPr>
          <w:rFonts w:ascii="Arial" w:eastAsia="Calibri" w:hAnsi="Arial" w:cs="Arial"/>
          <w:b/>
          <w:sz w:val="22"/>
          <w:lang w:val="es-ES_tradnl"/>
        </w:rPr>
        <w:t xml:space="preserve"> </w:t>
      </w:r>
      <w:r w:rsidRPr="001C64F9">
        <w:rPr>
          <w:rFonts w:ascii="Arial" w:eastAsia="Calibri" w:hAnsi="Arial" w:cs="Arial"/>
          <w:b/>
          <w:color w:val="000000" w:themeColor="text1"/>
          <w:sz w:val="22"/>
          <w:lang w:val="es-ES_tradnl"/>
        </w:rPr>
        <w:t xml:space="preserve">– </w:t>
      </w:r>
      <w:r>
        <w:rPr>
          <w:rFonts w:ascii="Arial" w:eastAsia="Calibri" w:hAnsi="Arial" w:cs="Arial"/>
          <w:b/>
          <w:sz w:val="22"/>
          <w:lang w:val="es-ES_tradnl"/>
        </w:rPr>
        <w:t>Ley 2022 de 2020</w:t>
      </w:r>
    </w:p>
    <w:p w14:paraId="523818A7" w14:textId="77777777" w:rsidR="00F5160A" w:rsidRDefault="00F5160A" w:rsidP="00F5160A">
      <w:pPr>
        <w:jc w:val="both"/>
        <w:rPr>
          <w:rFonts w:ascii="Arial" w:eastAsia="Calibri" w:hAnsi="Arial" w:cs="Arial"/>
          <w:b/>
          <w:sz w:val="22"/>
          <w:lang w:val="es-ES_tradnl"/>
        </w:rPr>
      </w:pPr>
    </w:p>
    <w:p w14:paraId="13AC3780" w14:textId="77777777" w:rsidR="00AE6FCE" w:rsidRPr="00AE6FCE" w:rsidRDefault="00AE6FCE" w:rsidP="00AE6FCE">
      <w:pPr>
        <w:jc w:val="both"/>
        <w:rPr>
          <w:rFonts w:ascii="Arial" w:eastAsia="Calibri" w:hAnsi="Arial" w:cs="Arial"/>
          <w:sz w:val="20"/>
          <w:szCs w:val="20"/>
          <w:lang w:val="es-ES_tradnl"/>
        </w:rPr>
      </w:pPr>
      <w:r w:rsidRPr="00AE6FCE">
        <w:rPr>
          <w:rFonts w:ascii="Arial" w:eastAsia="Calibri" w:hAnsi="Arial" w:cs="Arial"/>
          <w:sz w:val="20"/>
          <w:szCs w:val="20"/>
          <w:lang w:val="es-ES_tradnl"/>
        </w:rPr>
        <w:t xml:space="preserve">Por otra parte, debe tenerse en cuenta que la Ley 2022 de 2020 fue sancionada por el Presidente de la República el 22 de julio, por lo que su expedición es reciente.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07B1CB2E" w14:textId="77777777" w:rsidR="00AE6FCE" w:rsidRDefault="00AE6FCE" w:rsidP="00AE6FCE">
      <w:pPr>
        <w:jc w:val="both"/>
        <w:rPr>
          <w:rFonts w:ascii="Arial" w:eastAsia="Calibri" w:hAnsi="Arial" w:cs="Arial"/>
          <w:sz w:val="20"/>
          <w:szCs w:val="20"/>
          <w:lang w:val="es-ES_tradnl"/>
        </w:rPr>
      </w:pPr>
    </w:p>
    <w:p w14:paraId="75503721" w14:textId="50207192" w:rsidR="00F5160A" w:rsidRDefault="00AE6FCE" w:rsidP="00AE6FCE">
      <w:pPr>
        <w:jc w:val="both"/>
        <w:rPr>
          <w:rFonts w:ascii="Arial" w:eastAsia="Calibri" w:hAnsi="Arial" w:cs="Arial"/>
          <w:sz w:val="20"/>
          <w:szCs w:val="20"/>
          <w:lang w:val="es-ES_tradnl"/>
        </w:rPr>
      </w:pPr>
      <w:r w:rsidRPr="00AE6FCE">
        <w:rPr>
          <w:rFonts w:ascii="Arial" w:eastAsia="Calibri" w:hAnsi="Arial" w:cs="Arial"/>
          <w:sz w:val="20"/>
          <w:szCs w:val="20"/>
          <w:lang w:val="es-ES_tradnl"/>
        </w:rPr>
        <w:t>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vigencia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así como la Resolución 269 de 2020, «Por la cual se adopta el documento tipo para los procesos de gestión catastral con enfoque multipropósito que se celebren a través de contratos interadministrativos».</w:t>
      </w:r>
    </w:p>
    <w:p w14:paraId="3628A3CB" w14:textId="77777777" w:rsidR="00AE6FCE" w:rsidRDefault="00AE6FCE" w:rsidP="00AE6FCE">
      <w:pPr>
        <w:jc w:val="both"/>
        <w:rPr>
          <w:rFonts w:ascii="Arial" w:eastAsia="Calibri" w:hAnsi="Arial" w:cs="Arial"/>
          <w:sz w:val="20"/>
          <w:szCs w:val="20"/>
          <w:lang w:val="es-ES_tradnl"/>
        </w:rPr>
      </w:pPr>
    </w:p>
    <w:p w14:paraId="215FF25D" w14:textId="77777777" w:rsidR="00F5160A" w:rsidRPr="001C64F9" w:rsidRDefault="00F5160A" w:rsidP="00F5160A">
      <w:pPr>
        <w:jc w:val="both"/>
        <w:rPr>
          <w:rFonts w:ascii="Arial" w:eastAsia="Calibri" w:hAnsi="Arial" w:cs="Arial"/>
          <w:b/>
          <w:sz w:val="22"/>
          <w:lang w:val="es-ES_tradnl"/>
        </w:rPr>
      </w:pPr>
      <w:r>
        <w:rPr>
          <w:rFonts w:ascii="Arial" w:eastAsia="Calibri" w:hAnsi="Arial" w:cs="Arial"/>
          <w:b/>
          <w:sz w:val="22"/>
          <w:lang w:val="es-ES_tradnl"/>
        </w:rPr>
        <w:t xml:space="preserve">INALTERABILIDAD </w:t>
      </w:r>
      <w:r w:rsidRPr="001C64F9">
        <w:rPr>
          <w:rFonts w:ascii="Arial" w:eastAsia="Calibri" w:hAnsi="Arial" w:cs="Arial"/>
          <w:b/>
          <w:color w:val="000000" w:themeColor="text1"/>
          <w:sz w:val="22"/>
          <w:lang w:val="es-ES_tradnl"/>
        </w:rPr>
        <w:t>–</w:t>
      </w:r>
      <w:r w:rsidRPr="001C64F9">
        <w:rPr>
          <w:rFonts w:ascii="Arial" w:eastAsia="Calibri" w:hAnsi="Arial" w:cs="Arial"/>
          <w:b/>
          <w:sz w:val="22"/>
          <w:lang w:val="es-ES_tradnl"/>
        </w:rPr>
        <w:t xml:space="preserve"> </w:t>
      </w:r>
      <w:r>
        <w:rPr>
          <w:rFonts w:ascii="Arial" w:eastAsia="Calibri" w:hAnsi="Arial" w:cs="Arial"/>
          <w:b/>
          <w:sz w:val="22"/>
          <w:lang w:val="es-ES_tradnl"/>
        </w:rPr>
        <w:t>Documentos tipo</w:t>
      </w:r>
      <w:r w:rsidRPr="001C64F9">
        <w:rPr>
          <w:rFonts w:ascii="Arial" w:eastAsia="Calibri" w:hAnsi="Arial" w:cs="Arial"/>
          <w:b/>
          <w:sz w:val="22"/>
          <w:lang w:val="es-ES_tradnl"/>
        </w:rPr>
        <w:t xml:space="preserve"> </w:t>
      </w:r>
      <w:r w:rsidRPr="001C64F9">
        <w:rPr>
          <w:rFonts w:ascii="Arial" w:eastAsia="Calibri" w:hAnsi="Arial" w:cs="Arial"/>
          <w:b/>
          <w:color w:val="000000" w:themeColor="text1"/>
          <w:sz w:val="22"/>
          <w:lang w:val="es-ES_tradnl"/>
        </w:rPr>
        <w:t xml:space="preserve">– </w:t>
      </w:r>
      <w:r>
        <w:rPr>
          <w:rFonts w:ascii="Arial" w:eastAsia="Calibri" w:hAnsi="Arial" w:cs="Arial"/>
          <w:b/>
          <w:sz w:val="22"/>
          <w:lang w:val="es-ES_tradnl"/>
        </w:rPr>
        <w:t xml:space="preserve">Regla vigente </w:t>
      </w:r>
      <w:r w:rsidRPr="001C64F9">
        <w:rPr>
          <w:rFonts w:ascii="Arial" w:eastAsia="Calibri" w:hAnsi="Arial" w:cs="Arial"/>
          <w:b/>
          <w:color w:val="000000" w:themeColor="text1"/>
          <w:sz w:val="22"/>
          <w:lang w:val="es-ES_tradnl"/>
        </w:rPr>
        <w:t>–</w:t>
      </w:r>
      <w:r>
        <w:rPr>
          <w:rFonts w:ascii="Arial" w:eastAsia="Calibri" w:hAnsi="Arial" w:cs="Arial"/>
          <w:b/>
          <w:color w:val="000000" w:themeColor="text1"/>
          <w:sz w:val="22"/>
          <w:lang w:val="es-ES_tradnl"/>
        </w:rPr>
        <w:t xml:space="preserve"> Contenido</w:t>
      </w:r>
    </w:p>
    <w:p w14:paraId="78E1998C" w14:textId="77777777" w:rsidR="00F5160A" w:rsidRDefault="00F5160A" w:rsidP="00F5160A">
      <w:pPr>
        <w:jc w:val="both"/>
        <w:rPr>
          <w:rFonts w:ascii="Arial" w:eastAsia="Calibri" w:hAnsi="Arial" w:cs="Arial"/>
          <w:sz w:val="20"/>
          <w:szCs w:val="20"/>
          <w:lang w:val="es-ES_tradnl"/>
        </w:rPr>
      </w:pPr>
    </w:p>
    <w:p w14:paraId="01CC7FCE" w14:textId="77777777" w:rsidR="00F5160A" w:rsidRPr="00F61217" w:rsidRDefault="00F5160A" w:rsidP="00F5160A">
      <w:pPr>
        <w:jc w:val="both"/>
        <w:rPr>
          <w:rFonts w:ascii="Arial" w:eastAsia="Calibri" w:hAnsi="Arial" w:cs="Arial"/>
          <w:sz w:val="20"/>
          <w:szCs w:val="20"/>
          <w:lang w:val="es-ES_tradnl"/>
        </w:rPr>
      </w:pPr>
      <w:r w:rsidRPr="00F61217">
        <w:rPr>
          <w:rFonts w:ascii="Arial" w:eastAsia="Calibri" w:hAnsi="Arial" w:cs="Arial"/>
          <w:sz w:val="20"/>
          <w:szCs w:val="20"/>
          <w:lang w:val="es-ES_tradnl"/>
        </w:rPr>
        <w:t>Todas las resoluciones</w:t>
      </w:r>
      <w:r>
        <w:rPr>
          <w:rFonts w:ascii="Arial" w:eastAsia="Calibri" w:hAnsi="Arial" w:cs="Arial"/>
          <w:sz w:val="20"/>
          <w:szCs w:val="20"/>
          <w:lang w:val="es-ES_tradnl"/>
        </w:rPr>
        <w:t xml:space="preserve"> </w:t>
      </w:r>
      <w:r w:rsidRPr="00F61217">
        <w:rPr>
          <w:rFonts w:ascii="Arial" w:eastAsia="Calibri" w:hAnsi="Arial" w:cs="Arial"/>
          <w:sz w:val="20"/>
          <w:szCs w:val="20"/>
          <w:lang w:val="es-ES_tradnl"/>
        </w:rPr>
        <w:t xml:space="preserve">expedidas por la Agencia Nacional de Contratación Pública – Colombia Compra Eficiente, mediante las cuales se han adoptado los pliegos tipo, consagran la regla de la inalterabilidad de los Documentos Tipo. Esta prohibición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w:t>
      </w:r>
      <w:r>
        <w:rPr>
          <w:rFonts w:ascii="Arial" w:eastAsia="Calibri" w:hAnsi="Arial" w:cs="Arial"/>
          <w:sz w:val="20"/>
          <w:szCs w:val="20"/>
          <w:lang w:val="es-ES_tradnl"/>
        </w:rPr>
        <w:t>Por lo tanto</w:t>
      </w:r>
      <w:r w:rsidRPr="00F61217">
        <w:rPr>
          <w:rFonts w:ascii="Arial" w:eastAsia="Calibri" w:hAnsi="Arial" w:cs="Arial"/>
          <w:sz w:val="20"/>
          <w:szCs w:val="20"/>
          <w:lang w:val="es-ES_tradnl"/>
        </w:rPr>
        <w:t>, las entidades estatales, al realizar sus procedimientos de selección, solo podrán modificarlos en los aspectos en que los documentos tipo lo permitan.</w:t>
      </w:r>
    </w:p>
    <w:p w14:paraId="1D4FC3B3" w14:textId="77777777" w:rsidR="00F5160A" w:rsidRDefault="00F5160A" w:rsidP="00F5160A">
      <w:pPr>
        <w:jc w:val="both"/>
        <w:rPr>
          <w:rFonts w:ascii="Arial" w:eastAsia="Calibri" w:hAnsi="Arial" w:cs="Arial"/>
          <w:sz w:val="20"/>
          <w:szCs w:val="20"/>
          <w:lang w:val="es-ES_tradnl"/>
        </w:rPr>
      </w:pPr>
    </w:p>
    <w:p w14:paraId="181376E9" w14:textId="5FF25735" w:rsidR="00F5160A" w:rsidRDefault="00F5160A" w:rsidP="00F5160A">
      <w:pPr>
        <w:jc w:val="both"/>
        <w:rPr>
          <w:rFonts w:ascii="Arial" w:eastAsia="Calibri" w:hAnsi="Arial" w:cs="Arial"/>
          <w:sz w:val="20"/>
          <w:szCs w:val="20"/>
          <w:lang w:val="es-ES_tradnl"/>
        </w:rPr>
      </w:pPr>
      <w:r w:rsidRPr="00F61217">
        <w:rPr>
          <w:rFonts w:ascii="Arial" w:eastAsia="Calibri" w:hAnsi="Arial" w:cs="Arial"/>
          <w:sz w:val="20"/>
          <w:szCs w:val="20"/>
          <w:lang w:val="es-ES_tradnl"/>
        </w:rPr>
        <w:t>El fundamento legal vigente de la regla de la inalterabilidad se encuentra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y 594 de 2020, que adicionaron, respectivamente, los artículos 2.2.1.2.6.1.4. y 2.2.1.2.6.3.4 al Decreto 1082 de 2015.</w:t>
      </w:r>
    </w:p>
    <w:p w14:paraId="6F086EEF" w14:textId="5C0EF1FE" w:rsidR="00151C1E" w:rsidRDefault="00151C1E" w:rsidP="00F5160A">
      <w:pPr>
        <w:jc w:val="both"/>
        <w:rPr>
          <w:rFonts w:ascii="Arial" w:eastAsia="Calibri" w:hAnsi="Arial" w:cs="Arial"/>
          <w:sz w:val="20"/>
          <w:szCs w:val="20"/>
          <w:lang w:val="es-ES_tradnl"/>
        </w:rPr>
      </w:pPr>
    </w:p>
    <w:p w14:paraId="3BCB87D4" w14:textId="77777777" w:rsidR="00151C1E" w:rsidRDefault="00151C1E" w:rsidP="00151C1E">
      <w:pPr>
        <w:jc w:val="both"/>
        <w:rPr>
          <w:rFonts w:ascii="Arial" w:eastAsia="Calibri" w:hAnsi="Arial" w:cs="Arial"/>
          <w:b/>
          <w:sz w:val="22"/>
          <w:lang w:val="es-ES_tradnl"/>
        </w:rPr>
      </w:pPr>
    </w:p>
    <w:p w14:paraId="097CDAA8" w14:textId="77777777" w:rsidR="00151C1E" w:rsidRDefault="00151C1E" w:rsidP="00151C1E">
      <w:pPr>
        <w:jc w:val="both"/>
        <w:rPr>
          <w:rFonts w:ascii="Arial" w:eastAsia="Calibri" w:hAnsi="Arial" w:cs="Arial"/>
          <w:b/>
          <w:sz w:val="22"/>
          <w:lang w:val="es-ES_tradnl"/>
        </w:rPr>
      </w:pPr>
    </w:p>
    <w:p w14:paraId="2E8EF02F" w14:textId="0A26B1BA" w:rsidR="00151C1E" w:rsidRPr="001C64F9" w:rsidRDefault="00151C1E" w:rsidP="00151C1E">
      <w:pPr>
        <w:jc w:val="both"/>
        <w:rPr>
          <w:rFonts w:ascii="Arial" w:eastAsia="Calibri" w:hAnsi="Arial" w:cs="Arial"/>
          <w:b/>
          <w:sz w:val="22"/>
          <w:lang w:val="es-ES_tradnl"/>
        </w:rPr>
      </w:pPr>
      <w:r>
        <w:rPr>
          <w:rFonts w:ascii="Arial" w:eastAsia="Calibri" w:hAnsi="Arial" w:cs="Arial"/>
          <w:b/>
          <w:sz w:val="22"/>
          <w:lang w:val="es-ES_tradnl"/>
        </w:rPr>
        <w:t xml:space="preserve">RESOLUCIÓN 256 DE 2020 </w:t>
      </w:r>
      <w:r w:rsidRPr="001C64F9">
        <w:rPr>
          <w:rFonts w:ascii="Arial" w:eastAsia="Calibri" w:hAnsi="Arial" w:cs="Arial"/>
          <w:b/>
          <w:color w:val="000000" w:themeColor="text1"/>
          <w:sz w:val="22"/>
          <w:lang w:val="es-ES_tradnl"/>
        </w:rPr>
        <w:t>–</w:t>
      </w:r>
      <w:r w:rsidRPr="001C64F9">
        <w:rPr>
          <w:rFonts w:ascii="Arial" w:eastAsia="Calibri" w:hAnsi="Arial" w:cs="Arial"/>
          <w:b/>
          <w:sz w:val="22"/>
          <w:lang w:val="es-ES_tradnl"/>
        </w:rPr>
        <w:t xml:space="preserve"> </w:t>
      </w:r>
      <w:r>
        <w:rPr>
          <w:rFonts w:ascii="Arial" w:eastAsia="Calibri" w:hAnsi="Arial" w:cs="Arial"/>
          <w:b/>
          <w:sz w:val="22"/>
          <w:lang w:val="es-ES_tradnl"/>
        </w:rPr>
        <w:t>Documentos tipo</w:t>
      </w:r>
      <w:r w:rsidRPr="001C64F9">
        <w:rPr>
          <w:rFonts w:ascii="Arial" w:eastAsia="Calibri" w:hAnsi="Arial" w:cs="Arial"/>
          <w:b/>
          <w:sz w:val="22"/>
          <w:lang w:val="es-ES_tradnl"/>
        </w:rPr>
        <w:t xml:space="preserve"> </w:t>
      </w:r>
      <w:r w:rsidRPr="001C64F9">
        <w:rPr>
          <w:rFonts w:ascii="Arial" w:eastAsia="Calibri" w:hAnsi="Arial" w:cs="Arial"/>
          <w:b/>
          <w:color w:val="000000" w:themeColor="text1"/>
          <w:sz w:val="22"/>
          <w:lang w:val="es-ES_tradnl"/>
        </w:rPr>
        <w:t xml:space="preserve">– </w:t>
      </w:r>
      <w:r>
        <w:rPr>
          <w:rFonts w:ascii="Arial" w:eastAsia="Calibri" w:hAnsi="Arial" w:cs="Arial"/>
          <w:b/>
          <w:sz w:val="22"/>
          <w:lang w:val="es-ES_tradnl"/>
        </w:rPr>
        <w:t xml:space="preserve">Concurso de méritos </w:t>
      </w:r>
      <w:r w:rsidRPr="001C64F9">
        <w:rPr>
          <w:rFonts w:ascii="Arial" w:eastAsia="Calibri" w:hAnsi="Arial" w:cs="Arial"/>
          <w:b/>
          <w:color w:val="000000" w:themeColor="text1"/>
          <w:sz w:val="22"/>
          <w:lang w:val="es-ES_tradnl"/>
        </w:rPr>
        <w:t>–</w:t>
      </w:r>
      <w:r>
        <w:rPr>
          <w:rFonts w:ascii="Arial" w:eastAsia="Calibri" w:hAnsi="Arial" w:cs="Arial"/>
          <w:b/>
          <w:color w:val="000000" w:themeColor="text1"/>
          <w:sz w:val="22"/>
          <w:lang w:val="es-ES_tradnl"/>
        </w:rPr>
        <w:t xml:space="preserve"> Interventoría </w:t>
      </w:r>
      <w:r w:rsidRPr="001C64F9">
        <w:rPr>
          <w:rFonts w:ascii="Arial" w:eastAsia="Calibri" w:hAnsi="Arial" w:cs="Arial"/>
          <w:b/>
          <w:color w:val="000000" w:themeColor="text1"/>
          <w:sz w:val="22"/>
          <w:lang w:val="es-ES_tradnl"/>
        </w:rPr>
        <w:t>–</w:t>
      </w:r>
      <w:r>
        <w:rPr>
          <w:rFonts w:ascii="Arial" w:eastAsia="Calibri" w:hAnsi="Arial" w:cs="Arial"/>
          <w:b/>
          <w:color w:val="000000" w:themeColor="text1"/>
          <w:sz w:val="22"/>
          <w:lang w:val="es-ES_tradnl"/>
        </w:rPr>
        <w:t xml:space="preserve"> Infraestructura de transporte</w:t>
      </w:r>
    </w:p>
    <w:p w14:paraId="446695D5" w14:textId="687C1457" w:rsidR="00151C1E" w:rsidRDefault="00151C1E" w:rsidP="00F5160A">
      <w:pPr>
        <w:jc w:val="both"/>
        <w:rPr>
          <w:rFonts w:ascii="Arial" w:eastAsia="Calibri" w:hAnsi="Arial" w:cs="Arial"/>
          <w:sz w:val="20"/>
          <w:szCs w:val="20"/>
          <w:lang w:val="es-ES_tradnl"/>
        </w:rPr>
      </w:pPr>
    </w:p>
    <w:p w14:paraId="5DB45793" w14:textId="77777777" w:rsidR="00151C1E" w:rsidRPr="00151C1E" w:rsidRDefault="00151C1E" w:rsidP="00151C1E">
      <w:pPr>
        <w:jc w:val="both"/>
        <w:rPr>
          <w:rFonts w:ascii="Arial" w:eastAsia="Calibri" w:hAnsi="Arial" w:cs="Arial"/>
          <w:sz w:val="20"/>
          <w:szCs w:val="20"/>
          <w:lang w:val="es-ES_tradnl"/>
        </w:rPr>
      </w:pPr>
      <w:r w:rsidRPr="00151C1E">
        <w:rPr>
          <w:rFonts w:ascii="Arial" w:eastAsia="Calibri" w:hAnsi="Arial" w:cs="Arial"/>
          <w:sz w:val="20"/>
          <w:szCs w:val="20"/>
          <w:lang w:val="es-ES_tradnl"/>
        </w:rPr>
        <w:t>En ejercicio de la competencia consagrada en el artículo 1 de la Ley 2022 de 2020, la Agencia Nacional de Contratación Pública – Colombia Compra Eficiente expidió la Resolución No. 256 del 11 de diciembre de 2020, «Por la cual se adoptan los documentos tipo para los procesos de selección de concurso de méritos, para contratar la interventoría de obras públicas de infraestructura de transporte». El artículo 5 de dicha Resolución dispuso que los documentos tipo que adoptó se deben aplicar «a los procedimientos de selección cuyo aviso de convocatoria se publique el 1 de enero de 2021 o en una fecha posterior».</w:t>
      </w:r>
    </w:p>
    <w:p w14:paraId="4EF93969" w14:textId="77777777" w:rsidR="00151C1E" w:rsidRDefault="00151C1E" w:rsidP="00151C1E">
      <w:pPr>
        <w:jc w:val="both"/>
        <w:rPr>
          <w:rFonts w:ascii="Arial" w:eastAsia="Calibri" w:hAnsi="Arial" w:cs="Arial"/>
          <w:sz w:val="20"/>
          <w:szCs w:val="20"/>
          <w:lang w:val="es-ES_tradnl"/>
        </w:rPr>
      </w:pPr>
    </w:p>
    <w:p w14:paraId="6A907B0A" w14:textId="295D19C9" w:rsidR="00151C1E" w:rsidRPr="00151C1E" w:rsidRDefault="00151C1E" w:rsidP="00151C1E">
      <w:pPr>
        <w:jc w:val="both"/>
        <w:rPr>
          <w:rFonts w:ascii="Arial" w:eastAsia="Calibri" w:hAnsi="Arial" w:cs="Arial"/>
          <w:sz w:val="20"/>
          <w:szCs w:val="20"/>
          <w:lang w:val="es-ES_tradnl"/>
        </w:rPr>
      </w:pPr>
      <w:r w:rsidRPr="00151C1E">
        <w:rPr>
          <w:rFonts w:ascii="Arial" w:eastAsia="Calibri" w:hAnsi="Arial" w:cs="Arial"/>
          <w:sz w:val="20"/>
          <w:szCs w:val="20"/>
          <w:lang w:val="es-ES_tradnl"/>
        </w:rPr>
        <w:t xml:space="preserve">Así pues, tanto por el título de la Resolución, como por lo establecido en su artículo 1 –en cuyo texto se lee que los documentos tipo que en ella se adoptan deben aplicarse a «los procesos de selección de interventoría de obra pública de infraestructura de transporte, que se adelanten por la modalidad de concurso de méritos»–, no cabe duda de que los documentos tipo que en dicho reglamento se crean solo rigen para el concurso de méritos dirigido a contratar la interventoría de obra pública de infraestructura de transporte. </w:t>
      </w:r>
    </w:p>
    <w:p w14:paraId="1E5C4820" w14:textId="77777777" w:rsidR="002F3A37" w:rsidRDefault="002F3A37" w:rsidP="00B95C30">
      <w:pPr>
        <w:spacing w:line="276" w:lineRule="auto"/>
        <w:jc w:val="both"/>
        <w:rPr>
          <w:rFonts w:ascii="Arial" w:hAnsi="Arial" w:cs="Arial"/>
          <w:noProof/>
          <w:color w:val="000000" w:themeColor="text1"/>
          <w:sz w:val="22"/>
          <w:lang w:val="es-ES_tradnl"/>
        </w:rPr>
      </w:pPr>
    </w:p>
    <w:p w14:paraId="3DF5A7AA" w14:textId="77777777" w:rsidR="002F3A37" w:rsidRDefault="002F3A37" w:rsidP="00B95C30">
      <w:pPr>
        <w:spacing w:line="276" w:lineRule="auto"/>
        <w:jc w:val="both"/>
        <w:rPr>
          <w:rFonts w:ascii="Arial" w:hAnsi="Arial" w:cs="Arial"/>
          <w:noProof/>
          <w:color w:val="000000" w:themeColor="text1"/>
          <w:sz w:val="22"/>
          <w:lang w:val="es-ES_tradnl"/>
        </w:rPr>
      </w:pPr>
    </w:p>
    <w:p w14:paraId="404B6AC2" w14:textId="77777777" w:rsidR="002F3A37" w:rsidRDefault="002F3A37" w:rsidP="00B95C30">
      <w:pPr>
        <w:spacing w:line="276" w:lineRule="auto"/>
        <w:jc w:val="both"/>
        <w:rPr>
          <w:rFonts w:ascii="Arial" w:hAnsi="Arial" w:cs="Arial"/>
          <w:noProof/>
          <w:color w:val="000000" w:themeColor="text1"/>
          <w:sz w:val="22"/>
          <w:lang w:val="es-ES_tradnl"/>
        </w:rPr>
      </w:pPr>
    </w:p>
    <w:p w14:paraId="71A2E1C9" w14:textId="77777777" w:rsidR="002F3A37" w:rsidRDefault="002F3A37" w:rsidP="00B95C30">
      <w:pPr>
        <w:spacing w:line="276" w:lineRule="auto"/>
        <w:jc w:val="both"/>
        <w:rPr>
          <w:rFonts w:ascii="Arial" w:hAnsi="Arial" w:cs="Arial"/>
          <w:noProof/>
          <w:color w:val="000000" w:themeColor="text1"/>
          <w:sz w:val="22"/>
          <w:lang w:val="es-ES_tradnl"/>
        </w:rPr>
      </w:pPr>
    </w:p>
    <w:p w14:paraId="48A29B1D" w14:textId="77777777" w:rsidR="006C08E4" w:rsidRDefault="006C08E4" w:rsidP="00B95C30">
      <w:pPr>
        <w:spacing w:line="276" w:lineRule="auto"/>
        <w:jc w:val="both"/>
        <w:rPr>
          <w:rFonts w:ascii="Arial" w:hAnsi="Arial" w:cs="Arial"/>
          <w:noProof/>
          <w:color w:val="000000" w:themeColor="text1"/>
          <w:sz w:val="22"/>
          <w:lang w:val="es-ES_tradnl"/>
        </w:rPr>
      </w:pPr>
    </w:p>
    <w:p w14:paraId="0D29D042" w14:textId="2A22FDF4" w:rsidR="00231BEE" w:rsidRDefault="00231BEE" w:rsidP="00B95C30">
      <w:pPr>
        <w:spacing w:line="276" w:lineRule="auto"/>
        <w:jc w:val="both"/>
        <w:rPr>
          <w:rFonts w:ascii="Arial" w:hAnsi="Arial" w:cs="Arial"/>
          <w:noProof/>
          <w:color w:val="000000" w:themeColor="text1"/>
          <w:sz w:val="22"/>
          <w:lang w:val="es-ES_tradnl"/>
        </w:rPr>
      </w:pPr>
    </w:p>
    <w:p w14:paraId="1B753164" w14:textId="34822870" w:rsidR="001D2CB3" w:rsidRDefault="001D2CB3" w:rsidP="00B95C30">
      <w:pPr>
        <w:spacing w:line="276" w:lineRule="auto"/>
        <w:jc w:val="both"/>
        <w:rPr>
          <w:rFonts w:ascii="Arial" w:hAnsi="Arial" w:cs="Arial"/>
          <w:noProof/>
          <w:color w:val="000000" w:themeColor="text1"/>
          <w:sz w:val="22"/>
          <w:lang w:val="es-ES_tradnl"/>
        </w:rPr>
      </w:pPr>
    </w:p>
    <w:p w14:paraId="005625F6" w14:textId="03FAF69C" w:rsidR="00A46973" w:rsidRDefault="00A46973" w:rsidP="00B95C30">
      <w:pPr>
        <w:spacing w:line="276" w:lineRule="auto"/>
        <w:jc w:val="both"/>
        <w:rPr>
          <w:rFonts w:ascii="Arial" w:hAnsi="Arial" w:cs="Arial"/>
          <w:noProof/>
          <w:color w:val="000000" w:themeColor="text1"/>
          <w:sz w:val="22"/>
          <w:lang w:val="es-ES_tradnl"/>
        </w:rPr>
      </w:pPr>
    </w:p>
    <w:p w14:paraId="4DD3608A" w14:textId="02E3FFCB" w:rsidR="00A46973" w:rsidRDefault="00A46973" w:rsidP="00B95C30">
      <w:pPr>
        <w:spacing w:line="276" w:lineRule="auto"/>
        <w:jc w:val="both"/>
        <w:rPr>
          <w:rFonts w:ascii="Arial" w:hAnsi="Arial" w:cs="Arial"/>
          <w:noProof/>
          <w:color w:val="000000" w:themeColor="text1"/>
          <w:sz w:val="22"/>
          <w:lang w:val="es-ES_tradnl"/>
        </w:rPr>
      </w:pPr>
    </w:p>
    <w:p w14:paraId="7FD8BC39" w14:textId="69BCD6A8" w:rsidR="00A46973" w:rsidRDefault="00A46973" w:rsidP="00B95C30">
      <w:pPr>
        <w:spacing w:line="276" w:lineRule="auto"/>
        <w:jc w:val="both"/>
        <w:rPr>
          <w:rFonts w:ascii="Arial" w:hAnsi="Arial" w:cs="Arial"/>
          <w:noProof/>
          <w:color w:val="000000" w:themeColor="text1"/>
          <w:sz w:val="22"/>
          <w:lang w:val="es-ES_tradnl"/>
        </w:rPr>
      </w:pPr>
    </w:p>
    <w:p w14:paraId="0C83E70B" w14:textId="1E4A286B" w:rsidR="00A46973" w:rsidRDefault="00A46973" w:rsidP="00B95C30">
      <w:pPr>
        <w:spacing w:line="276" w:lineRule="auto"/>
        <w:jc w:val="both"/>
        <w:rPr>
          <w:rFonts w:ascii="Arial" w:hAnsi="Arial" w:cs="Arial"/>
          <w:noProof/>
          <w:color w:val="000000" w:themeColor="text1"/>
          <w:sz w:val="22"/>
          <w:lang w:val="es-ES_tradnl"/>
        </w:rPr>
      </w:pPr>
    </w:p>
    <w:p w14:paraId="1DFD6205" w14:textId="64EC29A2" w:rsidR="00A46973" w:rsidRDefault="00A46973" w:rsidP="00B95C30">
      <w:pPr>
        <w:spacing w:line="276" w:lineRule="auto"/>
        <w:jc w:val="both"/>
        <w:rPr>
          <w:rFonts w:ascii="Arial" w:hAnsi="Arial" w:cs="Arial"/>
          <w:noProof/>
          <w:color w:val="000000" w:themeColor="text1"/>
          <w:sz w:val="22"/>
          <w:lang w:val="es-ES_tradnl"/>
        </w:rPr>
      </w:pPr>
    </w:p>
    <w:p w14:paraId="5306107B" w14:textId="018DBD42" w:rsidR="00A46973" w:rsidRDefault="00A46973" w:rsidP="00B95C30">
      <w:pPr>
        <w:spacing w:line="276" w:lineRule="auto"/>
        <w:jc w:val="both"/>
        <w:rPr>
          <w:rFonts w:ascii="Arial" w:hAnsi="Arial" w:cs="Arial"/>
          <w:noProof/>
          <w:color w:val="000000" w:themeColor="text1"/>
          <w:sz w:val="22"/>
          <w:lang w:val="es-ES_tradnl"/>
        </w:rPr>
      </w:pPr>
    </w:p>
    <w:p w14:paraId="35A25057" w14:textId="71395510" w:rsidR="00A46973" w:rsidRDefault="00A46973" w:rsidP="00B95C30">
      <w:pPr>
        <w:spacing w:line="276" w:lineRule="auto"/>
        <w:jc w:val="both"/>
        <w:rPr>
          <w:rFonts w:ascii="Arial" w:hAnsi="Arial" w:cs="Arial"/>
          <w:noProof/>
          <w:color w:val="000000" w:themeColor="text1"/>
          <w:sz w:val="22"/>
          <w:lang w:val="es-ES_tradnl"/>
        </w:rPr>
      </w:pPr>
    </w:p>
    <w:p w14:paraId="3F813CE6" w14:textId="0E3C734F" w:rsidR="00A46973" w:rsidRDefault="00A46973" w:rsidP="00B95C30">
      <w:pPr>
        <w:spacing w:line="276" w:lineRule="auto"/>
        <w:jc w:val="both"/>
        <w:rPr>
          <w:rFonts w:ascii="Arial" w:hAnsi="Arial" w:cs="Arial"/>
          <w:noProof/>
          <w:color w:val="000000" w:themeColor="text1"/>
          <w:sz w:val="22"/>
          <w:lang w:val="es-ES_tradnl"/>
        </w:rPr>
      </w:pPr>
    </w:p>
    <w:p w14:paraId="40205226" w14:textId="05310C1E" w:rsidR="00A46973" w:rsidRDefault="00A46973" w:rsidP="00B95C30">
      <w:pPr>
        <w:spacing w:line="276" w:lineRule="auto"/>
        <w:jc w:val="both"/>
        <w:rPr>
          <w:rFonts w:ascii="Arial" w:hAnsi="Arial" w:cs="Arial"/>
          <w:noProof/>
          <w:color w:val="000000" w:themeColor="text1"/>
          <w:sz w:val="22"/>
          <w:lang w:val="es-ES_tradnl"/>
        </w:rPr>
      </w:pPr>
    </w:p>
    <w:p w14:paraId="45AA9F3C" w14:textId="30EF8119" w:rsidR="00A46973" w:rsidRDefault="00A46973" w:rsidP="00B95C30">
      <w:pPr>
        <w:spacing w:line="276" w:lineRule="auto"/>
        <w:jc w:val="both"/>
        <w:rPr>
          <w:rFonts w:ascii="Arial" w:hAnsi="Arial" w:cs="Arial"/>
          <w:noProof/>
          <w:color w:val="000000" w:themeColor="text1"/>
          <w:sz w:val="22"/>
          <w:lang w:val="es-ES_tradnl"/>
        </w:rPr>
      </w:pPr>
    </w:p>
    <w:p w14:paraId="6F38752B" w14:textId="3EF0C72F" w:rsidR="00A46973" w:rsidRDefault="00A46973" w:rsidP="00B95C30">
      <w:pPr>
        <w:spacing w:line="276" w:lineRule="auto"/>
        <w:jc w:val="both"/>
        <w:rPr>
          <w:rFonts w:ascii="Arial" w:hAnsi="Arial" w:cs="Arial"/>
          <w:noProof/>
          <w:color w:val="000000" w:themeColor="text1"/>
          <w:sz w:val="22"/>
          <w:lang w:val="es-ES_tradnl"/>
        </w:rPr>
      </w:pPr>
    </w:p>
    <w:p w14:paraId="36161EAE" w14:textId="3958EC89" w:rsidR="00A46973" w:rsidRDefault="00A46973" w:rsidP="00B95C30">
      <w:pPr>
        <w:spacing w:line="276" w:lineRule="auto"/>
        <w:jc w:val="both"/>
        <w:rPr>
          <w:rFonts w:ascii="Arial" w:hAnsi="Arial" w:cs="Arial"/>
          <w:noProof/>
          <w:color w:val="000000" w:themeColor="text1"/>
          <w:sz w:val="22"/>
          <w:lang w:val="es-ES_tradnl"/>
        </w:rPr>
      </w:pPr>
    </w:p>
    <w:p w14:paraId="23771405" w14:textId="280E95B2" w:rsidR="00A46973" w:rsidRDefault="00A46973" w:rsidP="00B95C30">
      <w:pPr>
        <w:spacing w:line="276" w:lineRule="auto"/>
        <w:jc w:val="both"/>
        <w:rPr>
          <w:rFonts w:ascii="Arial" w:hAnsi="Arial" w:cs="Arial"/>
          <w:noProof/>
          <w:color w:val="000000" w:themeColor="text1"/>
          <w:sz w:val="22"/>
          <w:lang w:val="es-ES_tradnl"/>
        </w:rPr>
      </w:pPr>
    </w:p>
    <w:p w14:paraId="52918FD3" w14:textId="4702490C" w:rsidR="00A46973" w:rsidRDefault="00A46973" w:rsidP="00B95C30">
      <w:pPr>
        <w:spacing w:line="276" w:lineRule="auto"/>
        <w:jc w:val="both"/>
        <w:rPr>
          <w:rFonts w:ascii="Arial" w:hAnsi="Arial" w:cs="Arial"/>
          <w:noProof/>
          <w:color w:val="000000" w:themeColor="text1"/>
          <w:sz w:val="22"/>
          <w:lang w:val="es-ES_tradnl"/>
        </w:rPr>
      </w:pPr>
    </w:p>
    <w:p w14:paraId="3DB91D69" w14:textId="54BA464A" w:rsidR="00A46973" w:rsidRDefault="00A46973" w:rsidP="00B95C30">
      <w:pPr>
        <w:spacing w:line="276" w:lineRule="auto"/>
        <w:jc w:val="both"/>
        <w:rPr>
          <w:rFonts w:ascii="Arial" w:hAnsi="Arial" w:cs="Arial"/>
          <w:noProof/>
          <w:color w:val="000000" w:themeColor="text1"/>
          <w:sz w:val="22"/>
          <w:lang w:val="es-ES_tradnl"/>
        </w:rPr>
      </w:pPr>
    </w:p>
    <w:p w14:paraId="092757FB" w14:textId="5B996AF7" w:rsidR="00A46973" w:rsidRDefault="00A46973" w:rsidP="00B95C30">
      <w:pPr>
        <w:spacing w:line="276" w:lineRule="auto"/>
        <w:jc w:val="both"/>
        <w:rPr>
          <w:rFonts w:ascii="Arial" w:hAnsi="Arial" w:cs="Arial"/>
          <w:noProof/>
          <w:color w:val="000000" w:themeColor="text1"/>
          <w:sz w:val="22"/>
          <w:lang w:val="es-ES_tradnl"/>
        </w:rPr>
      </w:pPr>
    </w:p>
    <w:p w14:paraId="27A95B86" w14:textId="5A633E80" w:rsidR="00A46973" w:rsidRDefault="00A46973" w:rsidP="00B95C30">
      <w:pPr>
        <w:spacing w:line="276" w:lineRule="auto"/>
        <w:jc w:val="both"/>
        <w:rPr>
          <w:rFonts w:ascii="Arial" w:hAnsi="Arial" w:cs="Arial"/>
          <w:noProof/>
          <w:color w:val="000000" w:themeColor="text1"/>
          <w:sz w:val="22"/>
          <w:lang w:val="es-ES_tradnl"/>
        </w:rPr>
      </w:pPr>
    </w:p>
    <w:p w14:paraId="2C61A4F8" w14:textId="35049889" w:rsidR="00A46973" w:rsidRDefault="00A46973" w:rsidP="00B95C30">
      <w:pPr>
        <w:spacing w:line="276" w:lineRule="auto"/>
        <w:jc w:val="both"/>
        <w:rPr>
          <w:rFonts w:ascii="Arial" w:hAnsi="Arial" w:cs="Arial"/>
          <w:noProof/>
          <w:color w:val="000000" w:themeColor="text1"/>
          <w:sz w:val="22"/>
          <w:lang w:val="es-ES_tradnl"/>
        </w:rPr>
      </w:pPr>
    </w:p>
    <w:p w14:paraId="0C5C962A" w14:textId="77777777" w:rsidR="00A46973" w:rsidRDefault="00A46973" w:rsidP="00B95C30">
      <w:pPr>
        <w:spacing w:line="276" w:lineRule="auto"/>
        <w:jc w:val="both"/>
        <w:rPr>
          <w:rFonts w:ascii="Arial" w:hAnsi="Arial" w:cs="Arial"/>
          <w:noProof/>
          <w:color w:val="000000" w:themeColor="text1"/>
          <w:sz w:val="22"/>
          <w:lang w:val="es-ES_tradnl"/>
        </w:rPr>
      </w:pPr>
    </w:p>
    <w:p w14:paraId="7DD48F49" w14:textId="17D637B4" w:rsidR="00B95C30" w:rsidRDefault="00B95C30" w:rsidP="00B95C30">
      <w:pPr>
        <w:spacing w:line="276" w:lineRule="auto"/>
        <w:jc w:val="both"/>
        <w:rPr>
          <w:rFonts w:ascii="Arial" w:hAnsi="Arial" w:cs="Arial"/>
          <w:b/>
          <w:bCs/>
          <w:noProof/>
          <w:color w:val="000000" w:themeColor="text1"/>
          <w:sz w:val="22"/>
          <w:lang w:val="es-ES_tradnl"/>
        </w:rPr>
      </w:pPr>
      <w:bookmarkStart w:id="2" w:name="_Hlk68876025"/>
      <w:r w:rsidRPr="00A43C00">
        <w:rPr>
          <w:rFonts w:ascii="Arial" w:hAnsi="Arial" w:cs="Arial"/>
          <w:noProof/>
          <w:color w:val="000000" w:themeColor="text1"/>
          <w:sz w:val="22"/>
          <w:lang w:val="es-ES_tradnl"/>
        </w:rPr>
        <w:lastRenderedPageBreak/>
        <w:t>Bogotá D.C.</w:t>
      </w:r>
      <w:bookmarkEnd w:id="2"/>
      <w:r w:rsidRPr="00A43C00">
        <w:rPr>
          <w:rFonts w:ascii="Arial" w:hAnsi="Arial" w:cs="Arial"/>
          <w:noProof/>
          <w:color w:val="000000" w:themeColor="text1"/>
          <w:sz w:val="22"/>
          <w:lang w:val="es-ES_tradnl"/>
        </w:rPr>
        <w:t xml:space="preserve">, </w:t>
      </w:r>
      <w:r w:rsidR="00EF2E17">
        <w:rPr>
          <w:rFonts w:ascii="Arial" w:hAnsi="Arial" w:cs="Arial"/>
          <w:b/>
          <w:bCs/>
          <w:noProof/>
          <w:color w:val="000000" w:themeColor="text1"/>
          <w:sz w:val="22"/>
          <w:lang w:val="es-ES_tradnl"/>
        </w:rPr>
        <w:t>13/04/2021 18:40:09</w:t>
      </w:r>
    </w:p>
    <w:p w14:paraId="3433B333" w14:textId="77777777" w:rsidR="001D2CB3" w:rsidRPr="00FA45D7" w:rsidRDefault="001D2CB3" w:rsidP="00B95C30">
      <w:pPr>
        <w:spacing w:line="276" w:lineRule="auto"/>
        <w:jc w:val="both"/>
        <w:rPr>
          <w:rFonts w:ascii="Arial" w:eastAsia="Calibri" w:hAnsi="Arial" w:cs="Arial"/>
          <w:noProof/>
          <w:color w:val="000000" w:themeColor="text1"/>
          <w:sz w:val="22"/>
          <w:szCs w:val="22"/>
          <w:lang w:val="es-ES_tradnl"/>
        </w:rPr>
      </w:pPr>
    </w:p>
    <w:p w14:paraId="14DB7869" w14:textId="06690B98" w:rsidR="0059561D" w:rsidRDefault="0059561D" w:rsidP="0059561D">
      <w:pPr>
        <w:jc w:val="right"/>
      </w:pPr>
      <w:r>
        <w:fldChar w:fldCharType="begin"/>
      </w:r>
      <w:r>
        <w:instrText xml:space="preserve"> INCLUDEPICTURE "/var/folders/5l/v1rdjm0x1x9416lmbj7_vjt40000gn/T/com.microsoft.Word/WebArchiveCopyPasteTempFiles/page1image1777856" \* MERGEFORMATINET </w:instrText>
      </w:r>
      <w:r>
        <w:fldChar w:fldCharType="separate"/>
      </w:r>
      <w:r>
        <w:rPr>
          <w:noProof/>
        </w:rPr>
        <w:drawing>
          <wp:inline distT="0" distB="0" distL="0" distR="0" wp14:anchorId="35979FD5" wp14:editId="67CB898E">
            <wp:extent cx="2404110" cy="612140"/>
            <wp:effectExtent l="0" t="0" r="0" b="0"/>
            <wp:docPr id="4" name="Imagen 4" descr="page1image1777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77785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4110" cy="612140"/>
                    </a:xfrm>
                    <a:prstGeom prst="rect">
                      <a:avLst/>
                    </a:prstGeom>
                    <a:noFill/>
                    <a:ln>
                      <a:noFill/>
                    </a:ln>
                  </pic:spPr>
                </pic:pic>
              </a:graphicData>
            </a:graphic>
          </wp:inline>
        </w:drawing>
      </w:r>
      <w:r>
        <w:fldChar w:fldCharType="end"/>
      </w:r>
    </w:p>
    <w:p w14:paraId="6A8A869B" w14:textId="65E47156" w:rsidR="00B95C30" w:rsidRDefault="00B95C30" w:rsidP="00B95C30">
      <w:pPr>
        <w:jc w:val="both"/>
        <w:rPr>
          <w:rFonts w:ascii="Arial" w:hAnsi="Arial" w:cs="Arial"/>
          <w:b/>
          <w:color w:val="000000" w:themeColor="text1"/>
          <w:sz w:val="22"/>
          <w:lang w:val="es-ES_tradnl"/>
        </w:rPr>
      </w:pPr>
    </w:p>
    <w:p w14:paraId="07DCD95F" w14:textId="77777777" w:rsidR="001D2CB3" w:rsidRPr="00A43C00" w:rsidRDefault="001D2CB3" w:rsidP="00B95C30">
      <w:pPr>
        <w:jc w:val="both"/>
        <w:rPr>
          <w:rFonts w:ascii="Arial" w:hAnsi="Arial" w:cs="Arial"/>
          <w:b/>
          <w:color w:val="000000" w:themeColor="text1"/>
          <w:sz w:val="22"/>
          <w:lang w:val="es-ES_tradnl"/>
        </w:rPr>
      </w:pPr>
    </w:p>
    <w:p w14:paraId="5F5AE9EF" w14:textId="1866EACF" w:rsidR="00B95C30" w:rsidRPr="00A43C00" w:rsidRDefault="00B95C30" w:rsidP="00B95C30">
      <w:pPr>
        <w:jc w:val="both"/>
        <w:rPr>
          <w:rFonts w:ascii="Arial" w:eastAsia="Calibri" w:hAnsi="Arial" w:cs="Arial"/>
          <w:color w:val="000000" w:themeColor="text1"/>
          <w:sz w:val="22"/>
          <w:lang w:val="es-ES_tradnl"/>
        </w:rPr>
      </w:pPr>
      <w:r w:rsidRPr="00A43C00">
        <w:rPr>
          <w:rFonts w:ascii="Arial" w:eastAsia="Calibri" w:hAnsi="Arial" w:cs="Arial"/>
          <w:color w:val="000000" w:themeColor="text1"/>
          <w:sz w:val="22"/>
          <w:lang w:val="es-ES_tradnl"/>
        </w:rPr>
        <w:t>Señor</w:t>
      </w:r>
    </w:p>
    <w:p w14:paraId="3DCD58CE" w14:textId="5645C640" w:rsidR="00B95C30" w:rsidRPr="00A43C00" w:rsidRDefault="001D2CB3" w:rsidP="00B95C30">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Alexander</w:t>
      </w:r>
      <w:r w:rsidR="001C2394">
        <w:rPr>
          <w:rFonts w:ascii="Arial" w:eastAsia="Calibri" w:hAnsi="Arial" w:cs="Arial"/>
          <w:b/>
          <w:color w:val="000000" w:themeColor="text1"/>
          <w:sz w:val="22"/>
          <w:lang w:val="es-ES_tradnl"/>
        </w:rPr>
        <w:t xml:space="preserve"> Mendoza Sánchez</w:t>
      </w:r>
    </w:p>
    <w:p w14:paraId="3F3D1203" w14:textId="45E18BD8" w:rsidR="00B95C30" w:rsidRPr="00A43C00" w:rsidRDefault="001D2CB3" w:rsidP="00B95C30">
      <w:pPr>
        <w:jc w:val="both"/>
        <w:rPr>
          <w:rFonts w:ascii="Arial" w:eastAsia="Calibri" w:hAnsi="Arial" w:cs="Arial"/>
          <w:color w:val="000000" w:themeColor="text1"/>
          <w:sz w:val="22"/>
          <w:lang w:val="es-ES_tradnl"/>
        </w:rPr>
      </w:pPr>
      <w:r w:rsidRPr="001D2CB3">
        <w:rPr>
          <w:rFonts w:ascii="Arial" w:eastAsia="Calibri" w:hAnsi="Arial" w:cs="Arial"/>
          <w:color w:val="000000" w:themeColor="text1"/>
          <w:sz w:val="22"/>
          <w:lang w:val="es-ES_tradnl"/>
        </w:rPr>
        <w:t>Bogotá D.C.</w:t>
      </w:r>
    </w:p>
    <w:p w14:paraId="24E8D2A9" w14:textId="1CCDB599" w:rsidR="00B95C30" w:rsidRDefault="00B95C30" w:rsidP="00B95C30">
      <w:pPr>
        <w:jc w:val="both"/>
        <w:rPr>
          <w:rFonts w:ascii="Arial" w:eastAsia="Calibri" w:hAnsi="Arial" w:cs="Arial"/>
          <w:color w:val="000000" w:themeColor="text1"/>
          <w:sz w:val="22"/>
          <w:lang w:val="es-ES_tradnl"/>
        </w:rPr>
      </w:pPr>
    </w:p>
    <w:p w14:paraId="1ABC6356" w14:textId="77777777" w:rsidR="001D2CB3" w:rsidRPr="00A43C00" w:rsidRDefault="001D2CB3" w:rsidP="00B95C30">
      <w:pPr>
        <w:jc w:val="both"/>
        <w:rPr>
          <w:rFonts w:ascii="Arial" w:eastAsia="Calibri" w:hAnsi="Arial" w:cs="Arial"/>
          <w:color w:val="000000" w:themeColor="text1"/>
          <w:sz w:val="22"/>
          <w:lang w:val="es-ES_tradnl"/>
        </w:rPr>
      </w:pPr>
    </w:p>
    <w:p w14:paraId="12E66182" w14:textId="242740C3" w:rsidR="00B95C30" w:rsidRPr="00A43C00" w:rsidRDefault="001D2CB3" w:rsidP="00FA45D7">
      <w:pPr>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                                            </w:t>
      </w:r>
      <w:r w:rsidR="00B95C30" w:rsidRPr="009D7BB6">
        <w:rPr>
          <w:rFonts w:ascii="Arial" w:eastAsia="Calibri" w:hAnsi="Arial" w:cs="Arial"/>
          <w:b/>
          <w:bCs/>
          <w:color w:val="000000" w:themeColor="text1"/>
          <w:sz w:val="22"/>
          <w:lang w:val="es-ES_tradnl"/>
        </w:rPr>
        <w:t xml:space="preserve">Concepto C ‒ </w:t>
      </w:r>
      <w:r w:rsidR="009D7BB6" w:rsidRPr="009D7BB6">
        <w:rPr>
          <w:rFonts w:ascii="Arial" w:eastAsia="Calibri" w:hAnsi="Arial" w:cs="Arial"/>
          <w:b/>
          <w:bCs/>
          <w:color w:val="000000" w:themeColor="text1"/>
          <w:sz w:val="22"/>
          <w:lang w:val="es-ES_tradnl"/>
        </w:rPr>
        <w:t>157</w:t>
      </w:r>
      <w:r w:rsidR="00B95C30" w:rsidRPr="009D7BB6">
        <w:rPr>
          <w:rFonts w:ascii="Arial" w:eastAsia="Calibri" w:hAnsi="Arial" w:cs="Arial"/>
          <w:b/>
          <w:bCs/>
          <w:color w:val="000000" w:themeColor="text1"/>
          <w:sz w:val="22"/>
          <w:lang w:val="es-ES_tradnl"/>
        </w:rPr>
        <w:t xml:space="preserve"> de 202</w:t>
      </w:r>
      <w:r w:rsidR="00C56976" w:rsidRPr="009D7BB6">
        <w:rPr>
          <w:rFonts w:ascii="Arial" w:eastAsia="Calibri" w:hAnsi="Arial" w:cs="Arial"/>
          <w:b/>
          <w:bCs/>
          <w:color w:val="000000" w:themeColor="text1"/>
          <w:sz w:val="22"/>
          <w:lang w:val="es-ES_tradnl"/>
        </w:rPr>
        <w:t>1</w:t>
      </w:r>
    </w:p>
    <w:p w14:paraId="1BD594F9" w14:textId="77777777" w:rsidR="00B95C30" w:rsidRPr="00A43C00"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A43C00" w14:paraId="19DFC051" w14:textId="77777777" w:rsidTr="002442D4">
        <w:tc>
          <w:tcPr>
            <w:tcW w:w="2689" w:type="dxa"/>
          </w:tcPr>
          <w:p w14:paraId="6BC0D1AC" w14:textId="77777777" w:rsidR="00B95C30" w:rsidRPr="00A43C00" w:rsidRDefault="00B95C30" w:rsidP="002442D4">
            <w:pPr>
              <w:jc w:val="both"/>
              <w:rPr>
                <w:rFonts w:ascii="Arial" w:eastAsia="Calibri" w:hAnsi="Arial" w:cs="Arial"/>
                <w:color w:val="000000" w:themeColor="text1"/>
                <w:sz w:val="22"/>
                <w:lang w:val="es-ES_tradnl"/>
              </w:rPr>
            </w:pPr>
            <w:r w:rsidRPr="00A43C00">
              <w:rPr>
                <w:rFonts w:ascii="Arial" w:eastAsia="Calibri" w:hAnsi="Arial" w:cs="Arial"/>
                <w:b/>
                <w:color w:val="000000" w:themeColor="text1"/>
                <w:sz w:val="22"/>
                <w:lang w:val="es-ES_tradnl"/>
              </w:rPr>
              <w:t>Temas:</w:t>
            </w:r>
            <w:r w:rsidRPr="00A43C00">
              <w:rPr>
                <w:rFonts w:ascii="Arial" w:eastAsia="Calibri" w:hAnsi="Arial" w:cs="Arial"/>
                <w:color w:val="000000" w:themeColor="text1"/>
                <w:sz w:val="22"/>
                <w:lang w:val="es-ES_tradnl"/>
              </w:rPr>
              <w:t xml:space="preserve">                                      </w:t>
            </w:r>
          </w:p>
        </w:tc>
        <w:tc>
          <w:tcPr>
            <w:tcW w:w="6237" w:type="dxa"/>
          </w:tcPr>
          <w:p w14:paraId="5F389CAF" w14:textId="595F4685" w:rsidR="00B95C30" w:rsidRPr="006C08E4" w:rsidRDefault="006C08E4" w:rsidP="0038512F">
            <w:pPr>
              <w:pStyle w:val="Sinespaciado"/>
              <w:jc w:val="both"/>
              <w:rPr>
                <w:rFonts w:ascii="Arial" w:hAnsi="Arial" w:cs="Arial"/>
                <w:bCs/>
                <w:sz w:val="22"/>
                <w:lang w:val="es-ES_tradnl"/>
              </w:rPr>
            </w:pPr>
            <w:r w:rsidRPr="006C08E4">
              <w:rPr>
                <w:rFonts w:ascii="Arial" w:eastAsia="Calibri" w:hAnsi="Arial" w:cs="Arial"/>
                <w:bCs/>
                <w:sz w:val="22"/>
                <w:lang w:val="es-ES_tradnl"/>
              </w:rPr>
              <w:t xml:space="preserve">DOCUMENTOS TIPO – Fundamento normativo – Ley 2022 de 2020 </w:t>
            </w:r>
            <w:r w:rsidR="00B76F9D" w:rsidRPr="006C08E4">
              <w:rPr>
                <w:rFonts w:ascii="Arial" w:eastAsia="Calibri" w:hAnsi="Arial" w:cs="Arial"/>
                <w:bCs/>
                <w:sz w:val="22"/>
                <w:lang w:val="es-ES_tradnl"/>
              </w:rPr>
              <w:t>/</w:t>
            </w:r>
            <w:r w:rsidRPr="006C08E4">
              <w:rPr>
                <w:rFonts w:ascii="Arial" w:eastAsia="Calibri" w:hAnsi="Arial" w:cs="Arial"/>
                <w:bCs/>
                <w:sz w:val="22"/>
                <w:lang w:val="es-ES_tradnl"/>
              </w:rPr>
              <w:t xml:space="preserve"> INALTERABILIDAD – Documentos tipo – Regla vigente – Contenido / RESOLUCIÓN 256 DE 2020 – Documentos tipo – Concurso de méritos – Interventoría – Infraestructura de transporte</w:t>
            </w:r>
            <w:r w:rsidR="002E7F03" w:rsidRPr="006C08E4">
              <w:rPr>
                <w:rFonts w:ascii="Arial" w:eastAsia="Calibri" w:hAnsi="Arial" w:cs="Arial"/>
                <w:sz w:val="22"/>
                <w:lang w:val="es-ES_tradnl"/>
              </w:rPr>
              <w:t>.</w:t>
            </w:r>
          </w:p>
        </w:tc>
      </w:tr>
      <w:tr w:rsidR="00B95C30" w:rsidRPr="00A43C00" w14:paraId="27CD52AB" w14:textId="77777777" w:rsidTr="002442D4">
        <w:tc>
          <w:tcPr>
            <w:tcW w:w="2689" w:type="dxa"/>
          </w:tcPr>
          <w:p w14:paraId="37E195A1" w14:textId="4C368209" w:rsidR="00B95C30" w:rsidRPr="00A43C00" w:rsidRDefault="00B95C30" w:rsidP="002442D4">
            <w:pPr>
              <w:spacing w:before="120"/>
              <w:jc w:val="both"/>
              <w:rPr>
                <w:rFonts w:ascii="Arial" w:eastAsia="Calibri" w:hAnsi="Arial" w:cs="Arial"/>
                <w:b/>
                <w:color w:val="000000" w:themeColor="text1"/>
                <w:sz w:val="22"/>
                <w:lang w:val="es-ES_tradnl"/>
              </w:rPr>
            </w:pPr>
            <w:r w:rsidRPr="00A43C00">
              <w:rPr>
                <w:rFonts w:ascii="Arial" w:eastAsia="Calibri" w:hAnsi="Arial" w:cs="Arial"/>
                <w:b/>
                <w:color w:val="000000" w:themeColor="text1"/>
                <w:sz w:val="22"/>
                <w:lang w:val="es-ES_tradnl"/>
              </w:rPr>
              <w:t>Radicación:</w:t>
            </w:r>
            <w:r w:rsidRPr="00A43C00">
              <w:rPr>
                <w:rFonts w:ascii="Arial" w:eastAsia="Calibri" w:hAnsi="Arial" w:cs="Arial"/>
                <w:color w:val="000000" w:themeColor="text1"/>
                <w:sz w:val="22"/>
                <w:lang w:val="es-ES_tradnl"/>
              </w:rPr>
              <w:t xml:space="preserve">                              </w:t>
            </w:r>
          </w:p>
        </w:tc>
        <w:tc>
          <w:tcPr>
            <w:tcW w:w="6237" w:type="dxa"/>
          </w:tcPr>
          <w:p w14:paraId="64360FC9" w14:textId="7DF13CAB" w:rsidR="00B95C30" w:rsidRPr="00A43C00" w:rsidRDefault="00B95C30" w:rsidP="002442D4">
            <w:pPr>
              <w:spacing w:before="120"/>
              <w:jc w:val="both"/>
              <w:rPr>
                <w:rFonts w:ascii="Arial" w:eastAsia="Calibri" w:hAnsi="Arial" w:cs="Arial"/>
                <w:color w:val="000000" w:themeColor="text1"/>
                <w:sz w:val="22"/>
                <w:lang w:val="es-ES_tradnl"/>
              </w:rPr>
            </w:pPr>
            <w:r w:rsidRPr="00A43C00">
              <w:rPr>
                <w:rFonts w:ascii="Arial" w:eastAsia="Calibri" w:hAnsi="Arial" w:cs="Arial"/>
                <w:color w:val="000000" w:themeColor="text1"/>
                <w:sz w:val="22"/>
                <w:lang w:val="es-ES_tradnl"/>
              </w:rPr>
              <w:t xml:space="preserve">Respuesta a consulta # </w:t>
            </w:r>
            <w:r w:rsidR="00EC5C42" w:rsidRPr="00EC5C42">
              <w:rPr>
                <w:rFonts w:ascii="Arial" w:eastAsia="Calibri" w:hAnsi="Arial" w:cs="Arial"/>
                <w:color w:val="000000" w:themeColor="text1"/>
                <w:sz w:val="22"/>
                <w:lang w:val="es-ES_tradnl"/>
              </w:rPr>
              <w:t>P20210301001669</w:t>
            </w:r>
          </w:p>
          <w:p w14:paraId="09088B1B" w14:textId="77777777" w:rsidR="00B95C30" w:rsidRPr="00A43C00" w:rsidRDefault="00B95C30" w:rsidP="002442D4">
            <w:pPr>
              <w:spacing w:before="120"/>
              <w:jc w:val="both"/>
              <w:rPr>
                <w:rFonts w:ascii="Arial" w:eastAsia="Calibri" w:hAnsi="Arial" w:cs="Arial"/>
                <w:color w:val="000000" w:themeColor="text1"/>
                <w:sz w:val="22"/>
                <w:lang w:val="es-ES_tradnl"/>
              </w:rPr>
            </w:pPr>
            <w:r w:rsidRPr="00A43C00">
              <w:rPr>
                <w:rFonts w:ascii="Arial" w:eastAsia="Calibri" w:hAnsi="Arial" w:cs="Arial"/>
                <w:color w:val="000000" w:themeColor="text1"/>
                <w:sz w:val="22"/>
                <w:lang w:val="es-ES_tradnl"/>
              </w:rPr>
              <w:t xml:space="preserve"> </w:t>
            </w:r>
          </w:p>
        </w:tc>
      </w:tr>
    </w:tbl>
    <w:p w14:paraId="1CF4AEA0" w14:textId="7055E707" w:rsidR="003C3339" w:rsidRPr="00A43C00" w:rsidRDefault="003C3339" w:rsidP="003C3339">
      <w:pPr>
        <w:jc w:val="both"/>
        <w:rPr>
          <w:rFonts w:ascii="Arial" w:eastAsia="Calibri" w:hAnsi="Arial" w:cs="Arial"/>
          <w:color w:val="000000" w:themeColor="text1"/>
          <w:sz w:val="22"/>
          <w:lang w:val="es-ES_tradnl"/>
        </w:rPr>
      </w:pPr>
      <w:r w:rsidRPr="00A43C00">
        <w:rPr>
          <w:rFonts w:ascii="Arial" w:eastAsia="Calibri" w:hAnsi="Arial" w:cs="Arial"/>
          <w:color w:val="000000" w:themeColor="text1"/>
          <w:sz w:val="22"/>
          <w:lang w:val="es-ES_tradnl"/>
        </w:rPr>
        <w:t>Estimad</w:t>
      </w:r>
      <w:r w:rsidR="00367A7A">
        <w:rPr>
          <w:rFonts w:ascii="Arial" w:eastAsia="Calibri" w:hAnsi="Arial" w:cs="Arial"/>
          <w:color w:val="000000" w:themeColor="text1"/>
          <w:sz w:val="22"/>
          <w:lang w:val="es-ES_tradnl"/>
        </w:rPr>
        <w:t>o</w:t>
      </w:r>
      <w:r w:rsidRPr="00A43C00">
        <w:rPr>
          <w:rFonts w:ascii="Arial" w:eastAsia="Calibri" w:hAnsi="Arial" w:cs="Arial"/>
          <w:color w:val="000000" w:themeColor="text1"/>
          <w:sz w:val="22"/>
          <w:lang w:val="es-ES_tradnl"/>
        </w:rPr>
        <w:t xml:space="preserve"> </w:t>
      </w:r>
      <w:r w:rsidR="00677E9C" w:rsidRPr="00A43C00">
        <w:rPr>
          <w:rFonts w:ascii="Arial" w:eastAsia="Calibri" w:hAnsi="Arial" w:cs="Arial"/>
          <w:color w:val="000000" w:themeColor="text1"/>
          <w:sz w:val="22"/>
          <w:lang w:val="es-ES_tradnl"/>
        </w:rPr>
        <w:t xml:space="preserve">señor </w:t>
      </w:r>
      <w:r w:rsidR="00367A7A">
        <w:rPr>
          <w:rFonts w:ascii="Arial" w:eastAsia="Calibri" w:hAnsi="Arial" w:cs="Arial"/>
          <w:color w:val="000000" w:themeColor="text1"/>
          <w:sz w:val="22"/>
          <w:lang w:val="es-ES_tradnl"/>
        </w:rPr>
        <w:t>Mendoza</w:t>
      </w:r>
      <w:r w:rsidRPr="00A43C00">
        <w:rPr>
          <w:rFonts w:ascii="Arial" w:eastAsia="Calibri" w:hAnsi="Arial" w:cs="Arial"/>
          <w:color w:val="000000" w:themeColor="text1"/>
          <w:sz w:val="22"/>
          <w:lang w:val="es-ES_tradnl"/>
        </w:rPr>
        <w:t>:</w:t>
      </w:r>
    </w:p>
    <w:p w14:paraId="1EAE5543" w14:textId="77777777" w:rsidR="00DD5B04" w:rsidRPr="00A43C00" w:rsidRDefault="00DD5B04" w:rsidP="00DF76A2">
      <w:pPr>
        <w:jc w:val="both"/>
        <w:rPr>
          <w:rFonts w:ascii="Arial" w:eastAsia="Calibri" w:hAnsi="Arial" w:cs="Arial"/>
          <w:color w:val="000000" w:themeColor="text1"/>
          <w:sz w:val="22"/>
          <w:lang w:val="es-ES_tradnl"/>
        </w:rPr>
      </w:pPr>
    </w:p>
    <w:p w14:paraId="2109B2D3" w14:textId="77070201" w:rsidR="00DD5B04" w:rsidRPr="00A43C00" w:rsidRDefault="00DD5B04" w:rsidP="00DF76A2">
      <w:pPr>
        <w:spacing w:line="276" w:lineRule="auto"/>
        <w:jc w:val="both"/>
        <w:rPr>
          <w:rFonts w:ascii="Arial" w:eastAsia="Calibri" w:hAnsi="Arial" w:cs="Arial"/>
          <w:color w:val="000000" w:themeColor="text1"/>
          <w:sz w:val="22"/>
          <w:lang w:val="es-ES_tradnl"/>
        </w:rPr>
      </w:pPr>
      <w:r w:rsidRPr="00A43C00">
        <w:rPr>
          <w:rFonts w:ascii="Arial" w:eastAsia="Calibri" w:hAnsi="Arial" w:cs="Arial"/>
          <w:color w:val="000000" w:themeColor="text1"/>
          <w:sz w:val="22"/>
          <w:lang w:val="es-ES_tradnl"/>
        </w:rPr>
        <w:t>En ejercicio de la competencia otorgada por el numeral 8 del artículo 11 y el numeral 5 del artículo 3 del Decreto Ley 4170 de 2011,</w:t>
      </w:r>
      <w:r w:rsidR="006A0F2B">
        <w:rPr>
          <w:rFonts w:ascii="Arial" w:eastAsia="Calibri" w:hAnsi="Arial" w:cs="Arial"/>
          <w:color w:val="000000" w:themeColor="text1"/>
          <w:sz w:val="22"/>
          <w:lang w:val="es-ES_tradnl"/>
        </w:rPr>
        <w:t xml:space="preserve"> </w:t>
      </w:r>
      <w:r w:rsidRPr="00A43C00">
        <w:rPr>
          <w:rFonts w:ascii="Arial" w:eastAsia="Calibri" w:hAnsi="Arial" w:cs="Arial"/>
          <w:color w:val="000000" w:themeColor="text1"/>
          <w:sz w:val="22"/>
          <w:lang w:val="es-ES_tradnl"/>
        </w:rPr>
        <w:t>la Agencia Nacional de Contratación Pública ― Colombia Compra Eficiente</w:t>
      </w:r>
      <w:r w:rsidR="008C3C57" w:rsidRPr="00A43C00">
        <w:rPr>
          <w:rFonts w:ascii="Arial" w:eastAsia="Calibri" w:hAnsi="Arial" w:cs="Arial"/>
          <w:color w:val="000000" w:themeColor="text1"/>
          <w:sz w:val="22"/>
          <w:lang w:val="es-ES_tradnl"/>
        </w:rPr>
        <w:t xml:space="preserve"> </w:t>
      </w:r>
      <w:r w:rsidRPr="00A43C00">
        <w:rPr>
          <w:rFonts w:ascii="Arial" w:eastAsia="Calibri" w:hAnsi="Arial" w:cs="Arial"/>
          <w:color w:val="000000" w:themeColor="text1"/>
          <w:sz w:val="22"/>
          <w:lang w:val="es-ES_tradnl"/>
        </w:rPr>
        <w:t xml:space="preserve">responde su consulta del </w:t>
      </w:r>
      <w:r w:rsidR="00367A7A">
        <w:rPr>
          <w:rFonts w:ascii="Arial" w:eastAsia="Calibri" w:hAnsi="Arial" w:cs="Arial"/>
          <w:color w:val="000000" w:themeColor="text1"/>
          <w:sz w:val="22"/>
          <w:lang w:val="es-ES_tradnl"/>
        </w:rPr>
        <w:t>1</w:t>
      </w:r>
      <w:r w:rsidR="00FD4AF3" w:rsidRPr="00A43C00">
        <w:rPr>
          <w:rFonts w:ascii="Arial" w:eastAsia="Calibri" w:hAnsi="Arial" w:cs="Arial"/>
          <w:color w:val="000000" w:themeColor="text1"/>
          <w:sz w:val="22"/>
          <w:lang w:val="es-ES_tradnl"/>
        </w:rPr>
        <w:t xml:space="preserve"> de </w:t>
      </w:r>
      <w:r w:rsidR="00367A7A">
        <w:rPr>
          <w:rFonts w:ascii="Arial" w:eastAsia="Calibri" w:hAnsi="Arial" w:cs="Arial"/>
          <w:color w:val="000000" w:themeColor="text1"/>
          <w:sz w:val="22"/>
          <w:lang w:val="es-ES_tradnl"/>
        </w:rPr>
        <w:t>marzo</w:t>
      </w:r>
      <w:r w:rsidRPr="00A43C00">
        <w:rPr>
          <w:rFonts w:ascii="Arial" w:eastAsia="Calibri" w:hAnsi="Arial" w:cs="Arial"/>
          <w:color w:val="000000" w:themeColor="text1"/>
          <w:sz w:val="22"/>
          <w:lang w:val="es-ES_tradnl"/>
        </w:rPr>
        <w:t xml:space="preserve"> del</w:t>
      </w:r>
      <w:r w:rsidR="007E74BF" w:rsidRPr="00A43C00">
        <w:rPr>
          <w:rFonts w:ascii="Arial" w:eastAsia="Calibri" w:hAnsi="Arial" w:cs="Arial"/>
          <w:color w:val="000000" w:themeColor="text1"/>
          <w:sz w:val="22"/>
          <w:lang w:val="es-ES_tradnl"/>
        </w:rPr>
        <w:t xml:space="preserve"> </w:t>
      </w:r>
      <w:r w:rsidRPr="00A43C00">
        <w:rPr>
          <w:rFonts w:ascii="Arial" w:eastAsia="Calibri" w:hAnsi="Arial" w:cs="Arial"/>
          <w:color w:val="000000" w:themeColor="text1"/>
          <w:sz w:val="22"/>
          <w:lang w:val="es-ES_tradnl"/>
        </w:rPr>
        <w:t>202</w:t>
      </w:r>
      <w:r w:rsidR="004673A8" w:rsidRPr="00A43C00">
        <w:rPr>
          <w:rFonts w:ascii="Arial" w:eastAsia="Calibri" w:hAnsi="Arial" w:cs="Arial"/>
          <w:color w:val="000000" w:themeColor="text1"/>
          <w:sz w:val="22"/>
          <w:lang w:val="es-ES_tradnl"/>
        </w:rPr>
        <w:t>1</w:t>
      </w:r>
      <w:r w:rsidR="008C3C57" w:rsidRPr="00A43C00">
        <w:rPr>
          <w:rFonts w:ascii="Arial" w:eastAsia="Calibri" w:hAnsi="Arial" w:cs="Arial"/>
          <w:color w:val="000000" w:themeColor="text1"/>
          <w:sz w:val="22"/>
          <w:lang w:val="es-ES_tradnl"/>
        </w:rPr>
        <w:t>.</w:t>
      </w:r>
    </w:p>
    <w:p w14:paraId="0C1E0712" w14:textId="77777777" w:rsidR="00DD5B04" w:rsidRPr="00A43C0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A43C0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43C00">
        <w:rPr>
          <w:rFonts w:ascii="Arial" w:eastAsia="Calibri" w:hAnsi="Arial" w:cs="Arial"/>
          <w:b/>
          <w:color w:val="000000" w:themeColor="text1"/>
          <w:sz w:val="22"/>
          <w:lang w:val="es-ES_tradnl"/>
        </w:rPr>
        <w:t xml:space="preserve">Problema planteado </w:t>
      </w:r>
    </w:p>
    <w:p w14:paraId="224B43D3" w14:textId="77777777" w:rsidR="00DD5B04" w:rsidRPr="00A43C0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18F1ED6C" w:rsidR="00443B55" w:rsidRPr="00A43C00" w:rsidRDefault="00DD5B04" w:rsidP="0099583D">
      <w:pPr>
        <w:spacing w:line="276" w:lineRule="auto"/>
        <w:jc w:val="both"/>
        <w:rPr>
          <w:rFonts w:ascii="Arial" w:hAnsi="Arial" w:cs="Arial"/>
          <w:color w:val="000000" w:themeColor="text1"/>
          <w:sz w:val="22"/>
          <w:lang w:val="es-ES_tradnl"/>
        </w:rPr>
      </w:pPr>
      <w:r w:rsidRPr="00A43C00">
        <w:rPr>
          <w:rFonts w:ascii="Arial" w:hAnsi="Arial" w:cs="Arial"/>
          <w:color w:val="000000" w:themeColor="text1"/>
          <w:sz w:val="22"/>
          <w:lang w:val="es-ES_tradnl"/>
        </w:rPr>
        <w:t xml:space="preserve">Usted </w:t>
      </w:r>
      <w:r w:rsidR="001D2CB3">
        <w:rPr>
          <w:rFonts w:ascii="Arial" w:hAnsi="Arial" w:cs="Arial"/>
          <w:color w:val="000000" w:themeColor="text1"/>
          <w:sz w:val="22"/>
          <w:lang w:val="es-ES_tradnl"/>
        </w:rPr>
        <w:t>realiza</w:t>
      </w:r>
      <w:r w:rsidR="001D2CB3" w:rsidRPr="00A43C00">
        <w:rPr>
          <w:rFonts w:ascii="Arial" w:hAnsi="Arial" w:cs="Arial"/>
          <w:color w:val="000000" w:themeColor="text1"/>
          <w:sz w:val="22"/>
          <w:lang w:val="es-ES_tradnl"/>
        </w:rPr>
        <w:t xml:space="preserve"> </w:t>
      </w:r>
      <w:r w:rsidR="006D46A3" w:rsidRPr="00A43C00">
        <w:rPr>
          <w:rFonts w:ascii="Arial" w:hAnsi="Arial" w:cs="Arial"/>
          <w:color w:val="000000" w:themeColor="text1"/>
          <w:sz w:val="22"/>
          <w:lang w:val="es-ES_tradnl"/>
        </w:rPr>
        <w:t xml:space="preserve">la siguiente </w:t>
      </w:r>
      <w:r w:rsidR="00B46915" w:rsidRPr="00A43C00">
        <w:rPr>
          <w:rFonts w:ascii="Arial" w:hAnsi="Arial" w:cs="Arial"/>
          <w:color w:val="000000" w:themeColor="text1"/>
          <w:sz w:val="22"/>
          <w:lang w:val="es-ES_tradnl"/>
        </w:rPr>
        <w:t>consulta</w:t>
      </w:r>
      <w:r w:rsidR="000314BD" w:rsidRPr="00A43C00">
        <w:rPr>
          <w:rFonts w:ascii="Arial" w:hAnsi="Arial" w:cs="Arial"/>
          <w:color w:val="000000" w:themeColor="text1"/>
          <w:sz w:val="22"/>
          <w:lang w:val="es-ES_tradnl"/>
        </w:rPr>
        <w:t>:</w:t>
      </w:r>
      <w:r w:rsidR="007E18DF" w:rsidRPr="00A43C00">
        <w:rPr>
          <w:rFonts w:ascii="Arial" w:hAnsi="Arial" w:cs="Arial"/>
          <w:color w:val="000000" w:themeColor="text1"/>
          <w:sz w:val="22"/>
          <w:lang w:val="es-ES_tradnl"/>
        </w:rPr>
        <w:t xml:space="preserve"> </w:t>
      </w:r>
    </w:p>
    <w:p w14:paraId="559EE20C" w14:textId="77777777" w:rsidR="00443B55" w:rsidRPr="00A43C00" w:rsidRDefault="00443B55" w:rsidP="0099583D">
      <w:pPr>
        <w:spacing w:line="276" w:lineRule="auto"/>
        <w:jc w:val="both"/>
        <w:rPr>
          <w:rFonts w:ascii="Arial" w:hAnsi="Arial" w:cs="Arial"/>
          <w:color w:val="000000" w:themeColor="text1"/>
          <w:sz w:val="22"/>
          <w:lang w:val="es-ES_tradnl"/>
        </w:rPr>
      </w:pPr>
    </w:p>
    <w:p w14:paraId="4543564C" w14:textId="6DE0F901" w:rsidR="00AB4C02" w:rsidRDefault="003C2546" w:rsidP="00FA45D7">
      <w:pPr>
        <w:spacing w:after="120"/>
        <w:ind w:left="709" w:right="709"/>
        <w:jc w:val="both"/>
        <w:rPr>
          <w:rFonts w:ascii="Arial" w:hAnsi="Arial" w:cs="Arial"/>
          <w:color w:val="000000" w:themeColor="text1"/>
          <w:sz w:val="21"/>
          <w:szCs w:val="21"/>
          <w:lang w:val="es-ES_tradnl"/>
        </w:rPr>
      </w:pPr>
      <w:r w:rsidRPr="00A43C00">
        <w:rPr>
          <w:rFonts w:ascii="Arial" w:hAnsi="Arial" w:cs="Arial"/>
          <w:color w:val="000000" w:themeColor="text1"/>
          <w:sz w:val="21"/>
          <w:szCs w:val="21"/>
          <w:lang w:val="es-ES_tradnl"/>
        </w:rPr>
        <w:t>«</w:t>
      </w:r>
      <w:r w:rsidR="00AB4C02" w:rsidRPr="00AB4C02">
        <w:rPr>
          <w:rFonts w:ascii="Arial" w:hAnsi="Arial" w:cs="Arial"/>
          <w:color w:val="000000" w:themeColor="text1"/>
          <w:sz w:val="21"/>
          <w:szCs w:val="21"/>
          <w:lang w:val="es-ES_tradnl"/>
        </w:rPr>
        <w:t>MEDIANTE LA RESOLUCIÓN NO. 256-2020</w:t>
      </w:r>
      <w:r w:rsidR="005365FF">
        <w:rPr>
          <w:rFonts w:ascii="Arial" w:hAnsi="Arial" w:cs="Arial"/>
          <w:color w:val="000000" w:themeColor="text1"/>
          <w:sz w:val="21"/>
          <w:szCs w:val="21"/>
          <w:lang w:val="es-ES_tradnl"/>
        </w:rPr>
        <w:t xml:space="preserve"> </w:t>
      </w:r>
      <w:r w:rsidR="00AB4C02" w:rsidRPr="00AB4C02">
        <w:rPr>
          <w:rFonts w:ascii="Arial" w:hAnsi="Arial" w:cs="Arial"/>
          <w:color w:val="000000" w:themeColor="text1"/>
          <w:sz w:val="21"/>
          <w:szCs w:val="21"/>
          <w:lang w:val="es-ES_tradnl"/>
        </w:rPr>
        <w:t>"Por la cual se adoptan los</w:t>
      </w:r>
      <w:r w:rsidR="00AB4C02">
        <w:rPr>
          <w:rFonts w:ascii="Arial" w:hAnsi="Arial" w:cs="Arial"/>
          <w:color w:val="000000" w:themeColor="text1"/>
          <w:sz w:val="21"/>
          <w:szCs w:val="21"/>
          <w:lang w:val="es-ES_tradnl"/>
        </w:rPr>
        <w:t xml:space="preserve"> </w:t>
      </w:r>
      <w:r w:rsidR="00AB4C02" w:rsidRPr="00AB4C02">
        <w:rPr>
          <w:rFonts w:ascii="Arial" w:hAnsi="Arial" w:cs="Arial"/>
          <w:color w:val="000000" w:themeColor="text1"/>
          <w:sz w:val="21"/>
          <w:szCs w:val="21"/>
          <w:lang w:val="es-ES_tradnl"/>
        </w:rPr>
        <w:t>documentos tipo para los procesos de selección de concurso de méritos, para contratar la interventoría de obras públicas de infraestructura de transporte"</w:t>
      </w:r>
      <w:r w:rsidR="00AB4C02">
        <w:rPr>
          <w:rFonts w:ascii="Arial" w:hAnsi="Arial" w:cs="Arial"/>
          <w:color w:val="000000" w:themeColor="text1"/>
          <w:sz w:val="21"/>
          <w:szCs w:val="21"/>
          <w:lang w:val="es-ES_tradnl"/>
        </w:rPr>
        <w:t xml:space="preserve"> </w:t>
      </w:r>
      <w:r w:rsidR="00AB4C02" w:rsidRPr="00AB4C02">
        <w:rPr>
          <w:rFonts w:ascii="Arial" w:hAnsi="Arial" w:cs="Arial"/>
          <w:color w:val="000000" w:themeColor="text1"/>
          <w:sz w:val="21"/>
          <w:szCs w:val="21"/>
          <w:lang w:val="es-ES_tradnl"/>
        </w:rPr>
        <w:t>el articulo  1 del acto administrativo establece:</w:t>
      </w:r>
    </w:p>
    <w:p w14:paraId="365C9402" w14:textId="7DB99EB2" w:rsidR="00AB4C02" w:rsidRPr="00AB4C02" w:rsidRDefault="005365FF" w:rsidP="00FA45D7">
      <w:pPr>
        <w:spacing w:after="120"/>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00AB4C02" w:rsidRPr="00AB4C02">
        <w:rPr>
          <w:rFonts w:ascii="Arial" w:hAnsi="Arial" w:cs="Arial"/>
          <w:color w:val="000000" w:themeColor="text1"/>
          <w:sz w:val="21"/>
          <w:szCs w:val="21"/>
          <w:lang w:val="es-ES_tradnl"/>
        </w:rPr>
        <w:t xml:space="preserve">Artículo 1. Objeto. Adóptese los documentos tipo para los procesos de selección de interventoría de obra pública de infraestructura de transporte, que se adelanten por la modalidad de concurso de méritos.   </w:t>
      </w:r>
    </w:p>
    <w:p w14:paraId="5031071C" w14:textId="1501C714" w:rsidR="00AB4C02" w:rsidRDefault="005365FF" w:rsidP="00FA45D7">
      <w:pPr>
        <w:spacing w:after="120"/>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00AB4C02" w:rsidRPr="00AB4C02">
        <w:rPr>
          <w:rFonts w:ascii="Arial" w:hAnsi="Arial" w:cs="Arial"/>
          <w:color w:val="000000" w:themeColor="text1"/>
          <w:sz w:val="21"/>
          <w:szCs w:val="21"/>
          <w:lang w:val="es-ES_tradnl"/>
        </w:rPr>
        <w:t>Ahora bien, mediante concepto Colombia Compra eficiente ha dicho.</w:t>
      </w:r>
    </w:p>
    <w:p w14:paraId="689456AB" w14:textId="0F631DFB" w:rsidR="005365FF" w:rsidRDefault="005365FF" w:rsidP="00FA45D7">
      <w:pPr>
        <w:spacing w:after="120"/>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00AB4C02" w:rsidRPr="00AB4C02">
        <w:rPr>
          <w:rFonts w:ascii="Arial" w:hAnsi="Arial" w:cs="Arial"/>
          <w:color w:val="000000" w:themeColor="text1"/>
          <w:sz w:val="21"/>
          <w:szCs w:val="21"/>
          <w:lang w:val="es-ES_tradnl"/>
        </w:rPr>
        <w:t xml:space="preserve">Las modalidades de selección de concurso de méritos y de mínima cuantía concurren cuando: (a) el presupuesto del Proceso de Contratación es menor o igual que la mínima cuantía de la Entidad Estatal: y (b) el objeto del Proceso de </w:t>
      </w:r>
      <w:r w:rsidR="00AB4C02" w:rsidRPr="00AB4C02">
        <w:rPr>
          <w:rFonts w:ascii="Arial" w:hAnsi="Arial" w:cs="Arial"/>
          <w:color w:val="000000" w:themeColor="text1"/>
          <w:sz w:val="21"/>
          <w:szCs w:val="21"/>
          <w:lang w:val="es-ES_tradnl"/>
        </w:rPr>
        <w:lastRenderedPageBreak/>
        <w:t>Contratación es la selección de consultores o proyectos (numeral 3 del artículo 2 de la Ley 1150 de 2007).</w:t>
      </w:r>
    </w:p>
    <w:p w14:paraId="3F1B354B" w14:textId="02B489E8" w:rsidR="00AB4C02" w:rsidRPr="00AB4C02" w:rsidRDefault="005365FF" w:rsidP="00FA45D7">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00AB4C02" w:rsidRPr="00AB4C02">
        <w:rPr>
          <w:rFonts w:ascii="Arial" w:hAnsi="Arial" w:cs="Arial"/>
          <w:color w:val="000000" w:themeColor="text1"/>
          <w:sz w:val="21"/>
          <w:szCs w:val="21"/>
          <w:lang w:val="es-ES_tradnl"/>
        </w:rPr>
        <w:t>Dado que la selección de mínima cuantía es especial para cualquier objeto y que la selección de mínima cuantía permite obtener una mayor economía en el trámite del Proceso de Contratación, en caso de concurrencia del concurso de méritos y de mínima cuantía, Colombia Compra Eficiente considera que la modalidad de selección aplicable es la de mínima cuantía.</w:t>
      </w:r>
    </w:p>
    <w:p w14:paraId="0E17EF11" w14:textId="02BA31AD" w:rsidR="0006089F" w:rsidRDefault="005365FF" w:rsidP="00FA45D7">
      <w:pPr>
        <w:spacing w:after="120"/>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p>
    <w:p w14:paraId="174FF3B2" w14:textId="77777777" w:rsidR="007F16C0" w:rsidRDefault="0006089F" w:rsidP="00AB4C02">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007F16C0">
        <w:rPr>
          <w:rFonts w:ascii="Arial" w:hAnsi="Arial" w:cs="Arial"/>
          <w:color w:val="000000" w:themeColor="text1"/>
          <w:sz w:val="21"/>
          <w:szCs w:val="21"/>
          <w:lang w:val="es-ES_tradnl"/>
        </w:rPr>
        <w:t>CONSULTA</w:t>
      </w:r>
    </w:p>
    <w:p w14:paraId="7A239EB1" w14:textId="64A7E02C" w:rsidR="007C34A9" w:rsidRPr="00A43C00" w:rsidRDefault="00AB4C02" w:rsidP="00AB4C02">
      <w:pPr>
        <w:ind w:left="709" w:right="709"/>
        <w:jc w:val="both"/>
        <w:rPr>
          <w:rFonts w:ascii="Arial" w:hAnsi="Arial" w:cs="Arial"/>
          <w:color w:val="000000" w:themeColor="text1"/>
          <w:sz w:val="21"/>
          <w:szCs w:val="21"/>
          <w:lang w:val="es-ES_tradnl"/>
        </w:rPr>
      </w:pPr>
      <w:r w:rsidRPr="00AB4C02">
        <w:rPr>
          <w:rFonts w:ascii="Arial" w:hAnsi="Arial" w:cs="Arial"/>
          <w:color w:val="000000" w:themeColor="text1"/>
          <w:sz w:val="21"/>
          <w:szCs w:val="21"/>
          <w:lang w:val="es-ES_tradnl"/>
        </w:rPr>
        <w:t xml:space="preserve">El pliego tipo establecido en la </w:t>
      </w:r>
      <w:r w:rsidR="004E5AA8" w:rsidRPr="00AB4C02">
        <w:rPr>
          <w:rFonts w:ascii="Arial" w:hAnsi="Arial" w:cs="Arial"/>
          <w:color w:val="000000" w:themeColor="text1"/>
          <w:sz w:val="21"/>
          <w:szCs w:val="21"/>
          <w:lang w:val="es-ES_tradnl"/>
        </w:rPr>
        <w:t>resolución</w:t>
      </w:r>
      <w:r w:rsidRPr="00AB4C02">
        <w:rPr>
          <w:rFonts w:ascii="Arial" w:hAnsi="Arial" w:cs="Arial"/>
          <w:color w:val="000000" w:themeColor="text1"/>
          <w:sz w:val="21"/>
          <w:szCs w:val="21"/>
          <w:lang w:val="es-ES_tradnl"/>
        </w:rPr>
        <w:t xml:space="preserve"> N</w:t>
      </w:r>
      <w:r w:rsidR="004E5AA8">
        <w:rPr>
          <w:rFonts w:ascii="Arial" w:hAnsi="Arial" w:cs="Arial"/>
          <w:color w:val="000000" w:themeColor="text1"/>
          <w:sz w:val="21"/>
          <w:szCs w:val="21"/>
          <w:lang w:val="es-ES_tradnl"/>
        </w:rPr>
        <w:t>o</w:t>
      </w:r>
      <w:r w:rsidRPr="00AB4C02">
        <w:rPr>
          <w:rFonts w:ascii="Arial" w:hAnsi="Arial" w:cs="Arial"/>
          <w:color w:val="000000" w:themeColor="text1"/>
          <w:sz w:val="21"/>
          <w:szCs w:val="21"/>
          <w:lang w:val="es-ES_tradnl"/>
        </w:rPr>
        <w:t xml:space="preserve">. 256 de 2020 aplica para los procesos que buscan contratar la </w:t>
      </w:r>
      <w:r w:rsidR="004E5AA8" w:rsidRPr="00AB4C02">
        <w:rPr>
          <w:rFonts w:ascii="Arial" w:hAnsi="Arial" w:cs="Arial"/>
          <w:color w:val="000000" w:themeColor="text1"/>
          <w:sz w:val="21"/>
          <w:szCs w:val="21"/>
          <w:lang w:val="es-ES_tradnl"/>
        </w:rPr>
        <w:t>interventoría</w:t>
      </w:r>
      <w:r w:rsidRPr="00AB4C02">
        <w:rPr>
          <w:rFonts w:ascii="Arial" w:hAnsi="Arial" w:cs="Arial"/>
          <w:color w:val="000000" w:themeColor="text1"/>
          <w:sz w:val="21"/>
          <w:szCs w:val="21"/>
          <w:lang w:val="es-ES_tradnl"/>
        </w:rPr>
        <w:t xml:space="preserve"> que se adelantan mediante la </w:t>
      </w:r>
      <w:r w:rsidR="004E5AA8" w:rsidRPr="00AB4C02">
        <w:rPr>
          <w:rFonts w:ascii="Arial" w:hAnsi="Arial" w:cs="Arial"/>
          <w:color w:val="000000" w:themeColor="text1"/>
          <w:sz w:val="21"/>
          <w:szCs w:val="21"/>
          <w:lang w:val="es-ES_tradnl"/>
        </w:rPr>
        <w:t>modalidad</w:t>
      </w:r>
      <w:r w:rsidRPr="00AB4C02">
        <w:rPr>
          <w:rFonts w:ascii="Arial" w:hAnsi="Arial" w:cs="Arial"/>
          <w:color w:val="000000" w:themeColor="text1"/>
          <w:sz w:val="21"/>
          <w:szCs w:val="21"/>
          <w:lang w:val="es-ES_tradnl"/>
        </w:rPr>
        <w:t xml:space="preserve"> de </w:t>
      </w:r>
      <w:r w:rsidR="004E5AA8" w:rsidRPr="00AB4C02">
        <w:rPr>
          <w:rFonts w:ascii="Arial" w:hAnsi="Arial" w:cs="Arial"/>
          <w:color w:val="000000" w:themeColor="text1"/>
          <w:sz w:val="21"/>
          <w:szCs w:val="21"/>
          <w:lang w:val="es-ES_tradnl"/>
        </w:rPr>
        <w:t>mínima</w:t>
      </w:r>
      <w:r w:rsidRPr="00AB4C02">
        <w:rPr>
          <w:rFonts w:ascii="Arial" w:hAnsi="Arial" w:cs="Arial"/>
          <w:color w:val="000000" w:themeColor="text1"/>
          <w:sz w:val="21"/>
          <w:szCs w:val="21"/>
          <w:lang w:val="es-ES_tradnl"/>
        </w:rPr>
        <w:t xml:space="preserve"> </w:t>
      </w:r>
      <w:r w:rsidR="004E5AA8" w:rsidRPr="00AB4C02">
        <w:rPr>
          <w:rFonts w:ascii="Arial" w:hAnsi="Arial" w:cs="Arial"/>
          <w:color w:val="000000" w:themeColor="text1"/>
          <w:sz w:val="21"/>
          <w:szCs w:val="21"/>
          <w:lang w:val="es-ES_tradnl"/>
        </w:rPr>
        <w:t>cuantía</w:t>
      </w:r>
      <w:r w:rsidR="0050703E" w:rsidRPr="00A43C00">
        <w:rPr>
          <w:rFonts w:ascii="Arial" w:hAnsi="Arial" w:cs="Arial"/>
          <w:color w:val="000000" w:themeColor="text1"/>
          <w:sz w:val="21"/>
          <w:szCs w:val="21"/>
          <w:lang w:val="es-ES_tradnl"/>
        </w:rPr>
        <w:t>»</w:t>
      </w:r>
      <w:r w:rsidR="00EA5051">
        <w:rPr>
          <w:rFonts w:ascii="Arial" w:hAnsi="Arial" w:cs="Arial"/>
          <w:color w:val="000000" w:themeColor="text1"/>
          <w:sz w:val="21"/>
          <w:szCs w:val="21"/>
          <w:lang w:val="es-ES_tradnl"/>
        </w:rPr>
        <w:t xml:space="preserve"> (sic)</w:t>
      </w:r>
      <w:r w:rsidR="0050703E" w:rsidRPr="00A43C00">
        <w:rPr>
          <w:rFonts w:ascii="Arial" w:hAnsi="Arial" w:cs="Arial"/>
          <w:color w:val="000000" w:themeColor="text1"/>
          <w:sz w:val="21"/>
          <w:szCs w:val="21"/>
          <w:lang w:val="es-ES_tradnl"/>
        </w:rPr>
        <w:t>.</w:t>
      </w:r>
    </w:p>
    <w:p w14:paraId="1D0C9BCC" w14:textId="77777777" w:rsidR="0050703E" w:rsidRPr="00A43C00" w:rsidRDefault="0050703E" w:rsidP="0050703E">
      <w:pPr>
        <w:ind w:left="709" w:right="709"/>
        <w:jc w:val="both"/>
        <w:rPr>
          <w:rFonts w:ascii="Arial" w:hAnsi="Arial" w:cs="Arial"/>
          <w:color w:val="000000" w:themeColor="text1"/>
          <w:sz w:val="22"/>
          <w:lang w:val="es-ES_tradnl"/>
        </w:rPr>
      </w:pPr>
    </w:p>
    <w:p w14:paraId="124D2DCA" w14:textId="77777777" w:rsidR="00DD5B04" w:rsidRPr="00A43C0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A43C00">
        <w:rPr>
          <w:rFonts w:ascii="Arial" w:eastAsia="Calibri" w:hAnsi="Arial" w:cs="Arial"/>
          <w:b/>
          <w:color w:val="000000" w:themeColor="text1"/>
          <w:sz w:val="22"/>
          <w:lang w:val="es-ES_tradnl"/>
        </w:rPr>
        <w:t>Consideraciones</w:t>
      </w:r>
    </w:p>
    <w:p w14:paraId="7D050D2E" w14:textId="77777777" w:rsidR="00435703" w:rsidRPr="00A43C00" w:rsidRDefault="00435703" w:rsidP="00DF76A2">
      <w:pPr>
        <w:spacing w:line="276" w:lineRule="auto"/>
        <w:jc w:val="both"/>
        <w:rPr>
          <w:rFonts w:ascii="Arial" w:eastAsia="Calibri" w:hAnsi="Arial" w:cs="Arial"/>
          <w:color w:val="000000" w:themeColor="text1"/>
          <w:sz w:val="22"/>
          <w:szCs w:val="22"/>
          <w:lang w:val="es-ES_tradnl"/>
        </w:rPr>
      </w:pPr>
    </w:p>
    <w:p w14:paraId="2F3B50F2" w14:textId="3C107471" w:rsidR="00937F58" w:rsidRPr="008918A2" w:rsidRDefault="00937F58" w:rsidP="00937F58">
      <w:pPr>
        <w:spacing w:line="276" w:lineRule="auto"/>
        <w:jc w:val="both"/>
        <w:rPr>
          <w:rFonts w:ascii="Arial" w:eastAsia="Calibri" w:hAnsi="Arial" w:cs="Arial"/>
          <w:color w:val="000000" w:themeColor="text1"/>
          <w:sz w:val="22"/>
          <w:szCs w:val="22"/>
          <w:lang w:val="es-ES_tradnl"/>
        </w:rPr>
      </w:pPr>
      <w:r w:rsidRPr="008918A2">
        <w:rPr>
          <w:rFonts w:ascii="Arial" w:eastAsia="Calibri" w:hAnsi="Arial" w:cs="Arial"/>
          <w:color w:val="000000" w:themeColor="text1"/>
          <w:sz w:val="22"/>
          <w:szCs w:val="22"/>
          <w:lang w:val="es-ES_tradnl"/>
        </w:rPr>
        <w:t xml:space="preserve">Para responder la consulta, se analizarán los siguientes temas: i) fundamento normativo de los </w:t>
      </w:r>
      <w:r>
        <w:rPr>
          <w:rFonts w:ascii="Arial" w:eastAsia="Calibri" w:hAnsi="Arial" w:cs="Arial"/>
          <w:color w:val="000000" w:themeColor="text1"/>
          <w:sz w:val="22"/>
          <w:szCs w:val="22"/>
          <w:lang w:val="es-ES_tradnl"/>
        </w:rPr>
        <w:t>documentos tipo</w:t>
      </w:r>
      <w:r w:rsidRPr="008918A2">
        <w:rPr>
          <w:rFonts w:ascii="Arial" w:eastAsia="Calibri" w:hAnsi="Arial" w:cs="Arial"/>
          <w:color w:val="000000" w:themeColor="text1"/>
          <w:sz w:val="22"/>
          <w:szCs w:val="22"/>
          <w:lang w:val="es-ES_tradnl"/>
        </w:rPr>
        <w:t xml:space="preserve"> adoptados hasta la actualidad, ii) alcance de la regla de la inalterabilidad de los </w:t>
      </w:r>
      <w:r>
        <w:rPr>
          <w:rFonts w:ascii="Arial" w:eastAsia="Calibri" w:hAnsi="Arial" w:cs="Arial"/>
          <w:color w:val="000000" w:themeColor="text1"/>
          <w:sz w:val="22"/>
          <w:szCs w:val="22"/>
          <w:lang w:val="es-ES_tradnl"/>
        </w:rPr>
        <w:t>documentos tipo</w:t>
      </w:r>
      <w:r w:rsidRPr="008918A2">
        <w:rPr>
          <w:rFonts w:ascii="Arial" w:eastAsia="Calibri" w:hAnsi="Arial" w:cs="Arial"/>
          <w:color w:val="000000" w:themeColor="text1"/>
          <w:sz w:val="22"/>
          <w:szCs w:val="22"/>
          <w:lang w:val="es-ES_tradnl"/>
        </w:rPr>
        <w:t xml:space="preserve"> </w:t>
      </w:r>
      <w:r w:rsidR="006C08E4" w:rsidRPr="006C08E4">
        <w:rPr>
          <w:rFonts w:ascii="Arial" w:eastAsia="Calibri" w:hAnsi="Arial" w:cs="Arial"/>
          <w:color w:val="000000" w:themeColor="text1"/>
          <w:sz w:val="22"/>
          <w:szCs w:val="22"/>
          <w:lang w:val="es-ES_tradnl"/>
        </w:rPr>
        <w:t>y</w:t>
      </w:r>
      <w:r w:rsidRPr="006C08E4">
        <w:rPr>
          <w:rFonts w:ascii="Arial" w:eastAsia="Calibri" w:hAnsi="Arial" w:cs="Arial"/>
          <w:color w:val="000000" w:themeColor="text1"/>
          <w:sz w:val="22"/>
          <w:szCs w:val="22"/>
          <w:lang w:val="es-ES_tradnl"/>
        </w:rPr>
        <w:t xml:space="preserve"> iii) </w:t>
      </w:r>
      <w:r w:rsidR="006C08E4">
        <w:rPr>
          <w:rFonts w:ascii="Arial" w:eastAsia="Calibri" w:hAnsi="Arial" w:cs="Arial"/>
          <w:color w:val="000000" w:themeColor="text1"/>
          <w:sz w:val="22"/>
          <w:szCs w:val="22"/>
          <w:lang w:val="es-ES_tradnl"/>
        </w:rPr>
        <w:t>a</w:t>
      </w:r>
      <w:r w:rsidR="006C08E4" w:rsidRPr="006C08E4">
        <w:rPr>
          <w:rFonts w:ascii="Arial" w:eastAsia="Calibri" w:hAnsi="Arial" w:cs="Arial"/>
          <w:color w:val="000000" w:themeColor="text1"/>
          <w:sz w:val="22"/>
          <w:szCs w:val="22"/>
          <w:lang w:val="es-ES_tradnl"/>
        </w:rPr>
        <w:t>lcance de la Resolución No. 256 de 2020 y de los documentos tipo adoptados en virtud de ella.</w:t>
      </w:r>
      <w:r w:rsidR="007D0E8D">
        <w:rPr>
          <w:rFonts w:ascii="Arial" w:eastAsia="Calibri" w:hAnsi="Arial" w:cs="Arial"/>
          <w:color w:val="000000" w:themeColor="text1"/>
          <w:sz w:val="22"/>
          <w:szCs w:val="22"/>
          <w:lang w:val="es-ES_tradnl"/>
        </w:rPr>
        <w:t xml:space="preserve"> En este último punto se estudiará la</w:t>
      </w:r>
      <w:r w:rsidR="006C08E4" w:rsidRPr="006C08E4">
        <w:rPr>
          <w:rFonts w:ascii="Arial" w:eastAsia="Calibri" w:hAnsi="Arial" w:cs="Arial"/>
          <w:color w:val="000000" w:themeColor="text1"/>
          <w:sz w:val="22"/>
          <w:szCs w:val="22"/>
          <w:lang w:val="es-ES_tradnl"/>
        </w:rPr>
        <w:t xml:space="preserve"> </w:t>
      </w:r>
      <w:r w:rsidR="007D0E8D">
        <w:rPr>
          <w:rFonts w:ascii="Arial" w:eastAsia="Calibri" w:hAnsi="Arial" w:cs="Arial"/>
          <w:color w:val="000000" w:themeColor="text1"/>
          <w:sz w:val="22"/>
          <w:szCs w:val="22"/>
          <w:lang w:val="es-ES_tradnl"/>
        </w:rPr>
        <w:t>v</w:t>
      </w:r>
      <w:r w:rsidR="006C08E4" w:rsidRPr="006C08E4">
        <w:rPr>
          <w:rFonts w:ascii="Arial" w:eastAsia="Calibri" w:hAnsi="Arial" w:cs="Arial"/>
          <w:color w:val="000000" w:themeColor="text1"/>
          <w:sz w:val="22"/>
          <w:szCs w:val="22"/>
          <w:lang w:val="es-ES_tradnl"/>
        </w:rPr>
        <w:t xml:space="preserve">igencia de la regla de la inalterabilidad </w:t>
      </w:r>
      <w:r w:rsidR="00A3535E">
        <w:rPr>
          <w:rFonts w:ascii="Arial" w:eastAsia="Calibri" w:hAnsi="Arial" w:cs="Arial"/>
          <w:color w:val="000000" w:themeColor="text1"/>
          <w:sz w:val="22"/>
          <w:szCs w:val="22"/>
          <w:lang w:val="es-ES_tradnl"/>
        </w:rPr>
        <w:t>y la</w:t>
      </w:r>
      <w:r w:rsidR="006C08E4" w:rsidRPr="006C08E4">
        <w:rPr>
          <w:rFonts w:ascii="Arial" w:eastAsia="Calibri" w:hAnsi="Arial" w:cs="Arial"/>
          <w:color w:val="000000" w:themeColor="text1"/>
          <w:sz w:val="22"/>
          <w:szCs w:val="22"/>
          <w:lang w:val="es-ES_tradnl"/>
        </w:rPr>
        <w:t xml:space="preserve"> </w:t>
      </w:r>
      <w:r w:rsidR="00A3535E">
        <w:rPr>
          <w:rFonts w:ascii="Arial" w:eastAsia="Calibri" w:hAnsi="Arial" w:cs="Arial"/>
          <w:color w:val="000000" w:themeColor="text1"/>
          <w:sz w:val="22"/>
          <w:szCs w:val="22"/>
          <w:lang w:val="es-ES_tradnl"/>
        </w:rPr>
        <w:t>inaplicabilidad</w:t>
      </w:r>
      <w:r w:rsidR="006C08E4" w:rsidRPr="006C08E4">
        <w:rPr>
          <w:rFonts w:ascii="Arial" w:eastAsia="Calibri" w:hAnsi="Arial" w:cs="Arial"/>
          <w:color w:val="000000" w:themeColor="text1"/>
          <w:sz w:val="22"/>
          <w:szCs w:val="22"/>
          <w:lang w:val="es-ES_tradnl"/>
        </w:rPr>
        <w:t xml:space="preserve"> de </w:t>
      </w:r>
      <w:r w:rsidR="001D2CB3">
        <w:rPr>
          <w:rFonts w:ascii="Arial" w:eastAsia="Calibri" w:hAnsi="Arial" w:cs="Arial"/>
          <w:color w:val="000000" w:themeColor="text1"/>
          <w:sz w:val="22"/>
          <w:szCs w:val="22"/>
          <w:lang w:val="es-ES_tradnl"/>
        </w:rPr>
        <w:t>la resolución citada a</w:t>
      </w:r>
      <w:r w:rsidR="006C08E4" w:rsidRPr="006C08E4">
        <w:rPr>
          <w:rFonts w:ascii="Arial" w:eastAsia="Calibri" w:hAnsi="Arial" w:cs="Arial"/>
          <w:color w:val="000000" w:themeColor="text1"/>
          <w:sz w:val="22"/>
          <w:szCs w:val="22"/>
          <w:lang w:val="es-ES_tradnl"/>
        </w:rPr>
        <w:t xml:space="preserve"> la contratación de la interventoría por la modalidad de mínima cuantía</w:t>
      </w:r>
      <w:r w:rsidR="006C08E4">
        <w:rPr>
          <w:rFonts w:ascii="Arial" w:eastAsia="Calibri" w:hAnsi="Arial" w:cs="Arial"/>
          <w:color w:val="000000" w:themeColor="text1"/>
          <w:sz w:val="22"/>
          <w:szCs w:val="22"/>
          <w:lang w:val="es-ES_tradnl"/>
        </w:rPr>
        <w:t>.</w:t>
      </w:r>
      <w:r w:rsidRPr="008918A2">
        <w:rPr>
          <w:rFonts w:ascii="Arial" w:eastAsia="Calibri" w:hAnsi="Arial" w:cs="Arial"/>
          <w:color w:val="000000" w:themeColor="text1"/>
          <w:sz w:val="22"/>
          <w:szCs w:val="22"/>
          <w:lang w:val="es-ES_tradnl"/>
        </w:rPr>
        <w:t xml:space="preserve"> </w:t>
      </w:r>
    </w:p>
    <w:p w14:paraId="119D2849" w14:textId="728C6F4B" w:rsidR="00937F58" w:rsidRPr="008918A2" w:rsidRDefault="00937F58" w:rsidP="00937F58">
      <w:pPr>
        <w:spacing w:before="120" w:line="276" w:lineRule="auto"/>
        <w:ind w:firstLine="709"/>
        <w:jc w:val="both"/>
        <w:rPr>
          <w:rFonts w:ascii="Arial" w:eastAsia="Calibri" w:hAnsi="Arial" w:cs="Arial"/>
          <w:noProof/>
          <w:color w:val="000000" w:themeColor="text1"/>
          <w:sz w:val="22"/>
          <w:lang w:val="es-ES_tradnl"/>
        </w:rPr>
      </w:pPr>
      <w:r w:rsidRPr="008918A2">
        <w:rPr>
          <w:rFonts w:ascii="Arial" w:hAnsi="Arial" w:cs="Arial"/>
          <w:noProof/>
          <w:color w:val="000000" w:themeColor="text1"/>
          <w:sz w:val="22"/>
          <w:lang w:val="es-ES_tradnl"/>
        </w:rPr>
        <w:t xml:space="preserve">La Agencia Nacional de Contratación Pública – Colombia Compra Eficiente se pronunció sobre </w:t>
      </w:r>
      <w:r w:rsidRPr="008918A2">
        <w:rPr>
          <w:rFonts w:ascii="Arial" w:eastAsia="Arial" w:hAnsi="Arial" w:cs="Arial"/>
          <w:color w:val="000000"/>
          <w:sz w:val="22"/>
          <w:lang w:val="es-ES_tradnl"/>
        </w:rPr>
        <w:t xml:space="preserve">los pliegos de condiciones tipo en la contratación estatal, así como su inalterabilidad, entre otros, en los siguientes conceptos: </w:t>
      </w:r>
      <w:r w:rsidRPr="008918A2">
        <w:rPr>
          <w:rFonts w:ascii="Arial" w:eastAsia="Arial" w:hAnsi="Arial" w:cs="Arial"/>
          <w:sz w:val="22"/>
          <w:lang w:val="es-ES_tradnl"/>
        </w:rPr>
        <w:t>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 C-570 del 27 de agosto de 2020, C-713 del 2 de diciembre de 2020</w:t>
      </w:r>
      <w:r w:rsidR="0064763F">
        <w:rPr>
          <w:rFonts w:ascii="Arial" w:eastAsia="Arial" w:hAnsi="Arial" w:cs="Arial"/>
          <w:sz w:val="22"/>
          <w:lang w:val="es-ES_tradnl"/>
        </w:rPr>
        <w:t xml:space="preserve">, </w:t>
      </w:r>
      <w:r w:rsidRPr="008918A2">
        <w:rPr>
          <w:rFonts w:ascii="Arial" w:eastAsia="Arial" w:hAnsi="Arial" w:cs="Arial"/>
          <w:sz w:val="22"/>
          <w:lang w:val="es-ES_tradnl"/>
        </w:rPr>
        <w:t>C-744 del 22 de diciembre de 2020</w:t>
      </w:r>
      <w:r w:rsidR="0064763F">
        <w:rPr>
          <w:rFonts w:ascii="Arial" w:eastAsia="Arial" w:hAnsi="Arial" w:cs="Arial"/>
          <w:sz w:val="22"/>
          <w:lang w:val="es-ES_tradnl"/>
        </w:rPr>
        <w:t xml:space="preserve">, </w:t>
      </w:r>
      <w:r>
        <w:rPr>
          <w:rFonts w:ascii="Arial" w:eastAsia="Arial" w:hAnsi="Arial" w:cs="Arial"/>
          <w:sz w:val="22"/>
          <w:lang w:val="es-ES_tradnl"/>
        </w:rPr>
        <w:t>C-789 del 19 de enero de 2021</w:t>
      </w:r>
      <w:r w:rsidR="0064763F">
        <w:rPr>
          <w:rFonts w:ascii="Arial" w:eastAsia="Arial" w:hAnsi="Arial" w:cs="Arial"/>
          <w:sz w:val="22"/>
          <w:lang w:val="es-ES_tradnl"/>
        </w:rPr>
        <w:t xml:space="preserve"> y </w:t>
      </w:r>
      <w:r w:rsidR="00823FEA">
        <w:rPr>
          <w:rFonts w:ascii="Arial" w:eastAsia="Arial" w:hAnsi="Arial" w:cs="Arial"/>
          <w:sz w:val="22"/>
          <w:lang w:val="es-ES_tradnl"/>
        </w:rPr>
        <w:t>C-031 del 1 de febrero de 2021</w:t>
      </w:r>
      <w:r>
        <w:rPr>
          <w:rFonts w:ascii="Arial" w:eastAsia="Arial" w:hAnsi="Arial" w:cs="Arial"/>
          <w:sz w:val="22"/>
          <w:lang w:val="es-ES_tradnl"/>
        </w:rPr>
        <w:t xml:space="preserve">. </w:t>
      </w:r>
      <w:r w:rsidR="00F07CCE">
        <w:rPr>
          <w:rFonts w:ascii="Arial" w:eastAsia="Arial" w:hAnsi="Arial" w:cs="Arial"/>
          <w:sz w:val="22"/>
          <w:lang w:val="es-ES_tradnl"/>
        </w:rPr>
        <w:t xml:space="preserve">Además, la concurrencia entre la mínima cuantía y otras modalidades de selección fue estudiada en el concepto </w:t>
      </w:r>
      <w:r w:rsidR="00231BEE">
        <w:rPr>
          <w:rFonts w:ascii="Arial" w:eastAsia="Arial" w:hAnsi="Arial" w:cs="Arial"/>
          <w:sz w:val="22"/>
          <w:lang w:val="es-ES_tradnl"/>
        </w:rPr>
        <w:t xml:space="preserve">C-108 del 3 de marzo de 2020. </w:t>
      </w:r>
      <w:r w:rsidRPr="008918A2">
        <w:rPr>
          <w:rFonts w:ascii="Arial" w:eastAsia="Arial" w:hAnsi="Arial" w:cs="Arial"/>
          <w:sz w:val="22"/>
          <w:lang w:val="es-ES_tradnl"/>
        </w:rPr>
        <w:t xml:space="preserve">Las ideas expuestas en dichas oportunidades se reiterarán a continuación y se complementarán en lo pertinente. </w:t>
      </w:r>
      <w:r w:rsidRPr="008918A2">
        <w:rPr>
          <w:rFonts w:ascii="Arial" w:eastAsia="Arial" w:hAnsi="Arial" w:cs="Arial"/>
          <w:color w:val="000000"/>
          <w:sz w:val="22"/>
          <w:lang w:val="es-ES_tradnl"/>
        </w:rPr>
        <w:t xml:space="preserve">   </w:t>
      </w:r>
    </w:p>
    <w:p w14:paraId="29A74B44" w14:textId="77777777" w:rsidR="00231BEE" w:rsidRDefault="00231BEE" w:rsidP="00937F58">
      <w:pPr>
        <w:spacing w:line="276" w:lineRule="auto"/>
        <w:jc w:val="both"/>
        <w:rPr>
          <w:rFonts w:ascii="Arial" w:eastAsia="Arial" w:hAnsi="Arial" w:cs="Arial"/>
          <w:b/>
          <w:bCs/>
          <w:color w:val="000000"/>
          <w:sz w:val="22"/>
          <w:lang w:val="es-ES_tradnl"/>
        </w:rPr>
      </w:pPr>
    </w:p>
    <w:p w14:paraId="2AEFC464" w14:textId="11FF4281" w:rsidR="00937F58" w:rsidRPr="008918A2" w:rsidRDefault="00937F58" w:rsidP="00937F58">
      <w:pPr>
        <w:spacing w:line="276" w:lineRule="auto"/>
        <w:jc w:val="both"/>
        <w:rPr>
          <w:rFonts w:ascii="Arial" w:eastAsia="Arial" w:hAnsi="Arial" w:cs="Arial"/>
          <w:b/>
          <w:bCs/>
          <w:color w:val="000000"/>
          <w:sz w:val="22"/>
          <w:lang w:val="es-ES_tradnl"/>
        </w:rPr>
      </w:pPr>
      <w:r w:rsidRPr="008918A2">
        <w:rPr>
          <w:rFonts w:ascii="Arial" w:eastAsia="Arial" w:hAnsi="Arial" w:cs="Arial"/>
          <w:b/>
          <w:bCs/>
          <w:color w:val="000000"/>
          <w:sz w:val="22"/>
          <w:lang w:val="es-ES_tradnl"/>
        </w:rPr>
        <w:t xml:space="preserve">2.1. Fundamento normativo de los </w:t>
      </w:r>
      <w:r>
        <w:rPr>
          <w:rFonts w:ascii="Arial" w:eastAsia="Arial" w:hAnsi="Arial" w:cs="Arial"/>
          <w:b/>
          <w:bCs/>
          <w:color w:val="000000"/>
          <w:sz w:val="22"/>
          <w:lang w:val="es-ES_tradnl"/>
        </w:rPr>
        <w:t>documentos tipo</w:t>
      </w:r>
      <w:r w:rsidRPr="008918A2">
        <w:rPr>
          <w:rFonts w:ascii="Arial" w:eastAsia="Arial" w:hAnsi="Arial" w:cs="Arial"/>
          <w:b/>
          <w:bCs/>
          <w:color w:val="000000"/>
          <w:sz w:val="22"/>
          <w:lang w:val="es-ES_tradnl"/>
        </w:rPr>
        <w:t xml:space="preserve"> adoptados hasta la actualidad</w:t>
      </w:r>
    </w:p>
    <w:p w14:paraId="4B4E0991" w14:textId="77777777" w:rsidR="00937F58" w:rsidRPr="008918A2" w:rsidRDefault="00937F58" w:rsidP="00937F58">
      <w:pPr>
        <w:spacing w:line="276" w:lineRule="auto"/>
        <w:jc w:val="both"/>
        <w:rPr>
          <w:rFonts w:ascii="Arial" w:eastAsia="Arial" w:hAnsi="Arial" w:cs="Arial"/>
          <w:b/>
          <w:bCs/>
          <w:color w:val="000000"/>
          <w:sz w:val="22"/>
          <w:lang w:val="es-ES_tradnl"/>
        </w:rPr>
      </w:pPr>
    </w:p>
    <w:p w14:paraId="0BD1E655" w14:textId="77777777" w:rsidR="00937F58" w:rsidRPr="008918A2" w:rsidRDefault="00937F58" w:rsidP="00937F58">
      <w:pPr>
        <w:spacing w:after="120" w:line="276" w:lineRule="auto"/>
        <w:jc w:val="both"/>
        <w:rPr>
          <w:rFonts w:ascii="Arial" w:eastAsia="Calibri" w:hAnsi="Arial" w:cs="Arial"/>
          <w:color w:val="000000"/>
          <w:sz w:val="22"/>
          <w:lang w:val="es-ES_tradnl"/>
        </w:rPr>
      </w:pPr>
      <w:r w:rsidRPr="008918A2">
        <w:rPr>
          <w:rFonts w:ascii="Arial" w:eastAsia="Calibri" w:hAnsi="Arial" w:cs="Arial"/>
          <w:color w:val="000000"/>
          <w:sz w:val="22"/>
          <w:lang w:val="es-ES_tradnl"/>
        </w:rPr>
        <w:t>La adopción de los documentos tipo obligatorios en el ordenamiento jurídico colombiano se incluyó por primera vez en el parágrafo 3 del artículo 2 de la Ley 1150 de 2007</w:t>
      </w:r>
      <w:r w:rsidRPr="008918A2">
        <w:rPr>
          <w:rStyle w:val="Refdenotaalpie"/>
          <w:rFonts w:ascii="Arial" w:eastAsia="Calibri" w:hAnsi="Arial" w:cs="Arial"/>
          <w:color w:val="000000"/>
          <w:sz w:val="22"/>
          <w:lang w:val="es-ES_tradnl"/>
        </w:rPr>
        <w:footnoteReference w:id="2"/>
      </w:r>
      <w:r w:rsidRPr="008918A2">
        <w:rPr>
          <w:rFonts w:ascii="Arial" w:eastAsia="Calibri" w:hAnsi="Arial" w:cs="Arial"/>
          <w:color w:val="000000"/>
          <w:sz w:val="22"/>
          <w:lang w:val="es-ES_tradnl"/>
        </w:rPr>
        <w:t xml:space="preserve">, que facultó </w:t>
      </w:r>
      <w:r w:rsidRPr="008918A2">
        <w:rPr>
          <w:rFonts w:ascii="Arial" w:eastAsia="Calibri" w:hAnsi="Arial" w:cs="Arial"/>
          <w:color w:val="000000"/>
          <w:sz w:val="22"/>
          <w:lang w:val="es-ES_tradnl"/>
        </w:rPr>
        <w:lastRenderedPageBreak/>
        <w:t xml:space="preserve">al gobierno nacional para expedirlos, pero solo cuando se tratara de la adquisición o suministro de bienes y servicios de características técnicas uniformes y de común utilización. Sin embargo, esta facultad no ha sido ejercida hasta la actualidad. </w:t>
      </w:r>
    </w:p>
    <w:p w14:paraId="0E7DF883" w14:textId="77777777" w:rsidR="00937F58" w:rsidRPr="008918A2" w:rsidRDefault="00937F58" w:rsidP="00937F58">
      <w:pPr>
        <w:spacing w:line="276" w:lineRule="auto"/>
        <w:ind w:firstLine="708"/>
        <w:jc w:val="both"/>
        <w:rPr>
          <w:rFonts w:ascii="Arial" w:eastAsia="Calibri" w:hAnsi="Arial" w:cs="Arial"/>
          <w:color w:val="000000"/>
          <w:sz w:val="22"/>
          <w:lang w:val="es-ES_tradnl"/>
        </w:rPr>
      </w:pPr>
      <w:r w:rsidRPr="008918A2">
        <w:rPr>
          <w:rFonts w:ascii="Arial" w:eastAsia="Calibri" w:hAnsi="Arial" w:cs="Arial"/>
          <w:color w:val="000000"/>
          <w:sz w:val="22"/>
          <w:lang w:val="es-ES_tradnl"/>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Ahora bien, en virtud de la Ley 1882 de 2018 se expidieron varios documentos tipo para el sector de infraestructura de transporte y, por tanto, es importante explicar el proceso previsto en dicho cuerpo normativo. </w:t>
      </w:r>
    </w:p>
    <w:p w14:paraId="11B384D2" w14:textId="77777777" w:rsidR="00937F58" w:rsidRPr="008918A2" w:rsidRDefault="00937F58" w:rsidP="00937F58">
      <w:pPr>
        <w:spacing w:before="120" w:after="120" w:line="276" w:lineRule="auto"/>
        <w:ind w:firstLine="708"/>
        <w:jc w:val="both"/>
        <w:rPr>
          <w:rFonts w:ascii="Arial" w:eastAsia="Calibri" w:hAnsi="Arial" w:cs="Arial"/>
          <w:color w:val="000000"/>
          <w:sz w:val="22"/>
          <w:lang w:val="es-ES_tradnl"/>
        </w:rPr>
      </w:pPr>
      <w:r w:rsidRPr="008918A2">
        <w:rPr>
          <w:rFonts w:ascii="Arial" w:eastAsia="Calibri" w:hAnsi="Arial" w:cs="Arial"/>
          <w:color w:val="000000"/>
          <w:sz w:val="22"/>
          <w:lang w:val="es-ES_tradnl"/>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8918A2">
        <w:rPr>
          <w:rStyle w:val="Refdenotaalpie"/>
          <w:rFonts w:ascii="Arial" w:eastAsia="Calibri" w:hAnsi="Arial" w:cs="Arial"/>
          <w:color w:val="000000"/>
          <w:sz w:val="22"/>
          <w:lang w:val="es-ES_tradnl"/>
        </w:rPr>
        <w:footnoteReference w:id="3"/>
      </w:r>
      <w:r w:rsidRPr="008918A2">
        <w:rPr>
          <w:rFonts w:ascii="Arial" w:eastAsia="Calibri" w:hAnsi="Arial" w:cs="Arial"/>
          <w:color w:val="000000"/>
          <w:sz w:val="22"/>
          <w:lang w:val="es-ES_tradnl"/>
        </w:rPr>
        <w:t>.</w:t>
      </w:r>
    </w:p>
    <w:p w14:paraId="2EFB2DDA" w14:textId="77777777" w:rsidR="00937F58" w:rsidRPr="008918A2" w:rsidRDefault="00937F58" w:rsidP="00937F58">
      <w:pPr>
        <w:spacing w:before="120" w:after="120" w:line="276" w:lineRule="auto"/>
        <w:jc w:val="both"/>
        <w:rPr>
          <w:rFonts w:ascii="Arial" w:eastAsia="Calibri" w:hAnsi="Arial" w:cs="Arial"/>
          <w:color w:val="000000"/>
          <w:sz w:val="22"/>
          <w:lang w:val="es-ES_tradnl"/>
        </w:rPr>
      </w:pPr>
      <w:r w:rsidRPr="008918A2">
        <w:rPr>
          <w:rFonts w:ascii="Arial" w:eastAsia="Calibri" w:hAnsi="Arial" w:cs="Arial"/>
          <w:color w:val="000000"/>
          <w:sz w:val="22"/>
          <w:lang w:val="es-ES_tradnl"/>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w:t>
      </w:r>
      <w:r w:rsidRPr="008918A2">
        <w:rPr>
          <w:rFonts w:ascii="Arial" w:eastAsia="Calibri" w:hAnsi="Arial" w:cs="Arial"/>
          <w:color w:val="000000"/>
          <w:sz w:val="22"/>
          <w:lang w:val="es-ES_tradnl"/>
        </w:rPr>
        <w:lastRenderedPageBreak/>
        <w:t xml:space="preserve">gobierno para adoptar los documentos tipo cuando lo considerara necesario en relación con otros contratos o procesos de selección. </w:t>
      </w:r>
    </w:p>
    <w:p w14:paraId="751ADB8F" w14:textId="5A965C0A" w:rsidR="00937F58" w:rsidRPr="008918A2" w:rsidRDefault="00937F58" w:rsidP="00937F58">
      <w:pPr>
        <w:spacing w:before="120" w:after="120" w:line="276" w:lineRule="auto"/>
        <w:jc w:val="both"/>
        <w:rPr>
          <w:rFonts w:ascii="Arial" w:eastAsia="Calibri" w:hAnsi="Arial" w:cs="Arial"/>
          <w:color w:val="000000"/>
          <w:sz w:val="22"/>
          <w:lang w:val="es-ES_tradnl"/>
        </w:rPr>
      </w:pPr>
      <w:r w:rsidRPr="008918A2">
        <w:rPr>
          <w:rFonts w:ascii="Arial" w:eastAsia="Calibri" w:hAnsi="Arial" w:cs="Arial"/>
          <w:color w:val="000000"/>
          <w:sz w:val="22"/>
          <w:lang w:val="es-ES_tradnl"/>
        </w:rPr>
        <w:tab/>
        <w:t>De la norma descrita se concluía lo siguiente: i) la adopción de los documentos tipo estaba en cabeza del gobierno nacional</w:t>
      </w:r>
      <w:r w:rsidR="001D2CB3">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ii) </w:t>
      </w:r>
      <w:r w:rsidR="001D2CB3">
        <w:rPr>
          <w:rFonts w:ascii="Arial" w:eastAsia="Calibri" w:hAnsi="Arial" w:cs="Arial"/>
          <w:color w:val="000000"/>
          <w:sz w:val="22"/>
          <w:lang w:val="es-ES_tradnl"/>
        </w:rPr>
        <w:t>e</w:t>
      </w:r>
      <w:r w:rsidRPr="008918A2">
        <w:rPr>
          <w:rFonts w:ascii="Arial" w:eastAsia="Calibri" w:hAnsi="Arial" w:cs="Arial"/>
          <w:color w:val="000000"/>
          <w:sz w:val="22"/>
          <w:lang w:val="es-ES_tradnl"/>
        </w:rPr>
        <w:t>stos debían relacionarse con procesos de obra públicas, interventoría para las obras públicas, interventoría para consultoría de estudios y diseños y, finalmente, consultoría en ingeniería para obras</w:t>
      </w:r>
      <w:r w:rsidR="001D2CB3">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iii) </w:t>
      </w:r>
      <w:r w:rsidR="001D2CB3">
        <w:rPr>
          <w:rFonts w:ascii="Arial" w:eastAsia="Calibri" w:hAnsi="Arial" w:cs="Arial"/>
          <w:color w:val="000000"/>
          <w:sz w:val="22"/>
          <w:lang w:val="es-ES_tradnl"/>
        </w:rPr>
        <w:t>e</w:t>
      </w:r>
      <w:r w:rsidRPr="008918A2">
        <w:rPr>
          <w:rFonts w:ascii="Arial" w:eastAsia="Calibri" w:hAnsi="Arial" w:cs="Arial"/>
          <w:color w:val="000000"/>
          <w:sz w:val="22"/>
          <w:lang w:val="es-ES_tradnl"/>
        </w:rPr>
        <w:t>ran de obligatorio cumplimiento por parte de todas las entidades sometidas al Estatuto General de Contratación de la Administración Pública</w:t>
      </w:r>
      <w:r w:rsidR="001D2CB3">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iv) </w:t>
      </w:r>
      <w:r w:rsidR="001D2CB3">
        <w:rPr>
          <w:rFonts w:ascii="Arial" w:eastAsia="Calibri" w:hAnsi="Arial" w:cs="Arial"/>
          <w:color w:val="000000"/>
          <w:sz w:val="22"/>
          <w:lang w:val="es-ES_tradnl"/>
        </w:rPr>
        <w:t>e</w:t>
      </w:r>
      <w:r w:rsidRPr="008918A2">
        <w:rPr>
          <w:rFonts w:ascii="Arial" w:eastAsia="Calibri" w:hAnsi="Arial" w:cs="Arial"/>
          <w:color w:val="000000"/>
          <w:sz w:val="22"/>
          <w:lang w:val="es-ES_tradnl"/>
        </w:rPr>
        <w:t>n los documentos tipo se indicarían las condiciones generales de los requisitos habilitantes, así como los factores técnicos y económicos de escogencia, según correspondiera para cada modalidad de selección</w:t>
      </w:r>
      <w:r w:rsidR="001D2CB3">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v) </w:t>
      </w:r>
      <w:r w:rsidR="001D2CB3">
        <w:rPr>
          <w:rFonts w:ascii="Arial" w:eastAsia="Calibri" w:hAnsi="Arial" w:cs="Arial"/>
          <w:color w:val="000000"/>
          <w:sz w:val="22"/>
          <w:lang w:val="es-ES_tradnl"/>
        </w:rPr>
        <w:t>e</w:t>
      </w:r>
      <w:r>
        <w:rPr>
          <w:rFonts w:ascii="Arial" w:eastAsia="Calibri" w:hAnsi="Arial" w:cs="Arial"/>
          <w:color w:val="000000"/>
          <w:sz w:val="22"/>
          <w:lang w:val="es-ES_tradnl"/>
        </w:rPr>
        <w:t>l</w:t>
      </w:r>
      <w:r w:rsidRPr="008918A2">
        <w:rPr>
          <w:rFonts w:ascii="Arial" w:eastAsia="Calibri" w:hAnsi="Arial" w:cs="Arial"/>
          <w:color w:val="000000"/>
          <w:sz w:val="22"/>
          <w:lang w:val="es-ES_tradnl"/>
        </w:rPr>
        <w:t xml:space="preserve"> gobierno nacional tenía la facultad de adoptar documentos tipo en otros contratos o procesos de selección</w:t>
      </w:r>
      <w:r w:rsidR="001D2CB3">
        <w:rPr>
          <w:rFonts w:ascii="Arial" w:eastAsia="Calibri" w:hAnsi="Arial" w:cs="Arial"/>
          <w:color w:val="000000"/>
          <w:sz w:val="22"/>
          <w:lang w:val="es-ES_tradnl"/>
        </w:rPr>
        <w:t>; p</w:t>
      </w:r>
      <w:r w:rsidRPr="008918A2">
        <w:rPr>
          <w:rFonts w:ascii="Arial" w:eastAsia="Calibri" w:hAnsi="Arial" w:cs="Arial"/>
          <w:color w:val="000000"/>
          <w:sz w:val="22"/>
          <w:lang w:val="es-ES_tradnl"/>
        </w:rPr>
        <w:t xml:space="preserve">or último, vi) los documentos tipo serían adoptados por categorías de acuerdo con la cuantía de la contratación. </w:t>
      </w:r>
    </w:p>
    <w:p w14:paraId="2265F536" w14:textId="5555DA4D" w:rsidR="00937F58" w:rsidRPr="008918A2" w:rsidRDefault="00937F58" w:rsidP="00937F58">
      <w:pPr>
        <w:spacing w:before="120" w:after="120" w:line="276" w:lineRule="auto"/>
        <w:jc w:val="both"/>
        <w:rPr>
          <w:rFonts w:ascii="Arial" w:eastAsia="Calibri" w:hAnsi="Arial" w:cs="Arial"/>
          <w:color w:val="000000"/>
          <w:sz w:val="22"/>
          <w:lang w:val="es-ES_tradnl"/>
        </w:rPr>
      </w:pPr>
      <w:r w:rsidRPr="008918A2">
        <w:rPr>
          <w:rFonts w:ascii="Arial" w:eastAsia="Calibri" w:hAnsi="Arial" w:cs="Arial"/>
          <w:color w:val="000000"/>
          <w:sz w:val="22"/>
          <w:lang w:val="es-ES_tradnl"/>
        </w:rPr>
        <w:tab/>
        <w:t xml:space="preserve">Esta norma fue estudiada por la Corte Constitucional en la </w:t>
      </w:r>
      <w:r w:rsidR="001D2CB3">
        <w:rPr>
          <w:rFonts w:ascii="Arial" w:eastAsia="Calibri" w:hAnsi="Arial" w:cs="Arial"/>
          <w:color w:val="000000"/>
          <w:sz w:val="22"/>
          <w:lang w:val="es-ES_tradnl"/>
        </w:rPr>
        <w:t>S</w:t>
      </w:r>
      <w:r w:rsidRPr="008918A2">
        <w:rPr>
          <w:rFonts w:ascii="Arial" w:eastAsia="Calibri" w:hAnsi="Arial" w:cs="Arial"/>
          <w:color w:val="000000"/>
          <w:sz w:val="22"/>
          <w:lang w:val="es-ES_tradnl"/>
        </w:rPr>
        <w:t xml:space="preserve">entencia C-119 de 2020. Al respecto, indicó que la adopción de los documentos tipo no afectaba la autonomía de las entidades territoriales, en cuanto la estandarización se predicaba únicamente de los requisitos habilitantes </w:t>
      </w:r>
      <w:bookmarkStart w:id="3" w:name="_Hlk48665985"/>
      <w:r w:rsidRPr="008918A2">
        <w:rPr>
          <w:rFonts w:ascii="Arial" w:eastAsia="Calibri" w:hAnsi="Arial" w:cs="Arial"/>
          <w:color w:val="000000"/>
          <w:sz w:val="22"/>
          <w:lang w:val="es-ES_tradnl"/>
        </w:rPr>
        <w:t>y los criterios de escogencia, elementos propios del procedimiento de selección del contratista, materia en la que existe reserva de ley y que no se encuentra atribuida a la regulación de las entidades territoriales</w:t>
      </w:r>
      <w:bookmarkEnd w:id="3"/>
      <w:r w:rsidRPr="008918A2">
        <w:rPr>
          <w:rFonts w:ascii="Arial" w:eastAsia="Calibri" w:hAnsi="Arial" w:cs="Arial"/>
          <w:color w:val="000000"/>
          <w:sz w:val="22"/>
          <w:lang w:val="es-ES_tradnl"/>
        </w:rPr>
        <w:t>. De igual manera, se establece que esta autonomía se garantiza con la identificación autónoma de sus necesidades y la configuración de los elementos del contrato</w:t>
      </w:r>
      <w:r w:rsidRPr="008918A2">
        <w:rPr>
          <w:rStyle w:val="Refdenotaalpie"/>
          <w:rFonts w:ascii="Arial" w:eastAsia="Calibri" w:hAnsi="Arial" w:cs="Arial"/>
          <w:color w:val="000000"/>
          <w:sz w:val="22"/>
          <w:lang w:val="es-ES_tradnl"/>
        </w:rPr>
        <w:footnoteReference w:id="4"/>
      </w:r>
      <w:r w:rsidRPr="008918A2">
        <w:rPr>
          <w:rFonts w:ascii="Arial" w:eastAsia="Calibri" w:hAnsi="Arial" w:cs="Arial"/>
          <w:color w:val="000000"/>
          <w:sz w:val="22"/>
          <w:lang w:val="es-ES_tradnl"/>
        </w:rPr>
        <w:t>.</w:t>
      </w:r>
    </w:p>
    <w:p w14:paraId="3C7CE0A0" w14:textId="77777777" w:rsidR="00937F58" w:rsidRPr="008918A2" w:rsidRDefault="00937F58" w:rsidP="00937F58">
      <w:pPr>
        <w:spacing w:before="120" w:after="120" w:line="276" w:lineRule="auto"/>
        <w:jc w:val="both"/>
        <w:rPr>
          <w:rFonts w:ascii="Arial" w:eastAsia="Calibri" w:hAnsi="Arial" w:cs="Arial"/>
          <w:color w:val="000000"/>
          <w:sz w:val="22"/>
          <w:lang w:val="es-ES_tradnl"/>
        </w:rPr>
      </w:pPr>
      <w:r w:rsidRPr="008918A2">
        <w:rPr>
          <w:rFonts w:ascii="Arial" w:eastAsia="Calibri" w:hAnsi="Arial" w:cs="Arial"/>
          <w:color w:val="000000"/>
          <w:sz w:val="22"/>
          <w:lang w:val="es-ES_tradnl"/>
        </w:rPr>
        <w:tab/>
        <w:t xml:space="preserve">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w:t>
      </w:r>
      <w:r>
        <w:rPr>
          <w:rFonts w:ascii="Arial" w:eastAsia="Calibri" w:hAnsi="Arial" w:cs="Arial"/>
          <w:color w:val="000000"/>
          <w:sz w:val="22"/>
          <w:lang w:val="es-ES_tradnl"/>
        </w:rPr>
        <w:t>iniciar</w:t>
      </w:r>
      <w:r w:rsidRPr="008918A2">
        <w:rPr>
          <w:rFonts w:ascii="Arial" w:eastAsia="Calibri" w:hAnsi="Arial" w:cs="Arial"/>
          <w:color w:val="000000"/>
          <w:sz w:val="22"/>
          <w:lang w:val="es-ES_tradnl"/>
        </w:rPr>
        <w:t xml:space="preserve"> un proceso de convocatoria para satisfacer sus necesidades para la adquisición de un bien</w:t>
      </w:r>
      <w:r>
        <w:rPr>
          <w:rFonts w:ascii="Arial" w:eastAsia="Calibri" w:hAnsi="Arial" w:cs="Arial"/>
          <w:color w:val="000000"/>
          <w:sz w:val="22"/>
          <w:lang w:val="es-ES_tradnl"/>
        </w:rPr>
        <w:t>, obra</w:t>
      </w:r>
      <w:r w:rsidRPr="008918A2">
        <w:rPr>
          <w:rFonts w:ascii="Arial" w:eastAsia="Calibri" w:hAnsi="Arial" w:cs="Arial"/>
          <w:color w:val="000000"/>
          <w:sz w:val="22"/>
          <w:lang w:val="es-ES_tradnl"/>
        </w:rPr>
        <w:t xml:space="preserve"> o servicio</w:t>
      </w:r>
      <w:r>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y además se incluyen en la minuta del contrato las condiciones particulares del negocio jurídico a celebrar.</w:t>
      </w:r>
    </w:p>
    <w:p w14:paraId="1347ED7D" w14:textId="77777777" w:rsidR="00596E88" w:rsidRDefault="00937F58" w:rsidP="00937F58">
      <w:pPr>
        <w:spacing w:before="120" w:after="120" w:line="276" w:lineRule="auto"/>
        <w:jc w:val="both"/>
        <w:rPr>
          <w:rFonts w:ascii="Arial" w:eastAsia="Calibri" w:hAnsi="Arial" w:cs="Arial"/>
          <w:sz w:val="22"/>
          <w:szCs w:val="22"/>
          <w:lang w:val="es-ES_tradnl" w:eastAsia="en-US"/>
        </w:rPr>
      </w:pPr>
      <w:r w:rsidRPr="008918A2">
        <w:rPr>
          <w:rFonts w:ascii="Arial" w:eastAsia="Calibri" w:hAnsi="Arial" w:cs="Arial"/>
          <w:color w:val="000000"/>
          <w:sz w:val="22"/>
          <w:szCs w:val="22"/>
          <w:lang w:val="es-ES_tradnl"/>
        </w:rPr>
        <w:lastRenderedPageBreak/>
        <w:tab/>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w:t>
      </w:r>
      <w:r w:rsidRPr="008918A2">
        <w:rPr>
          <w:rFonts w:ascii="Arial" w:eastAsia="Calibri" w:hAnsi="Arial" w:cs="Arial"/>
          <w:sz w:val="22"/>
          <w:szCs w:val="22"/>
          <w:lang w:val="es-ES_tradnl" w:eastAsia="en-US"/>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1DC222F5" w14:textId="1DD1C38E" w:rsidR="00937F58" w:rsidRPr="008918A2" w:rsidRDefault="00937F58" w:rsidP="00A56F12">
      <w:pPr>
        <w:spacing w:before="120" w:after="120" w:line="276" w:lineRule="auto"/>
        <w:ind w:firstLine="708"/>
        <w:jc w:val="both"/>
        <w:rPr>
          <w:rFonts w:ascii="Arial" w:eastAsia="Calibri" w:hAnsi="Arial" w:cs="Arial"/>
          <w:color w:val="000000"/>
          <w:sz w:val="22"/>
          <w:szCs w:val="22"/>
          <w:lang w:val="es-ES_tradnl"/>
        </w:rPr>
      </w:pPr>
      <w:r w:rsidRPr="008918A2">
        <w:rPr>
          <w:rFonts w:ascii="Arial" w:eastAsia="Calibri" w:hAnsi="Arial" w:cs="Arial"/>
          <w:sz w:val="22"/>
          <w:szCs w:val="22"/>
          <w:lang w:val="es-ES_tradnl" w:eastAsia="en-US"/>
        </w:rPr>
        <w:t>Luego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8918A2" w:rsidDel="00A434AB">
        <w:rPr>
          <w:rFonts w:ascii="Arial" w:eastAsia="Calibri" w:hAnsi="Arial" w:cs="Arial"/>
          <w:sz w:val="22"/>
          <w:szCs w:val="22"/>
          <w:lang w:val="es-ES_tradnl" w:eastAsia="en-US"/>
        </w:rPr>
        <w:t xml:space="preserve"> </w:t>
      </w:r>
      <w:r w:rsidRPr="008918A2">
        <w:rPr>
          <w:rFonts w:ascii="Arial" w:eastAsia="Calibri" w:hAnsi="Arial" w:cs="Arial"/>
          <w:sz w:val="22"/>
          <w:szCs w:val="22"/>
          <w:lang w:val="es-ES_tradnl" w:eastAsia="en-US"/>
        </w:rPr>
        <w:t xml:space="preserve">de infraestructura de transporte que se surtieran por la modalidad de mínima cuantía. Estos documentos fueron implementados y desarrollados por la Agencia Nacional de Contratación Pública </w:t>
      </w:r>
      <w:bookmarkStart w:id="4" w:name="_Hlk37841850"/>
      <w:r w:rsidRPr="008918A2">
        <w:rPr>
          <w:rFonts w:ascii="Arial" w:eastAsia="Calibri" w:hAnsi="Arial" w:cs="Arial"/>
          <w:sz w:val="22"/>
          <w:szCs w:val="22"/>
          <w:lang w:val="es-ES_tradnl" w:eastAsia="en-US"/>
        </w:rPr>
        <w:t xml:space="preserve">– Colombia Compra Eficiente, </w:t>
      </w:r>
      <w:bookmarkEnd w:id="4"/>
      <w:r w:rsidRPr="008918A2">
        <w:rPr>
          <w:rFonts w:ascii="Arial" w:eastAsia="Calibri" w:hAnsi="Arial" w:cs="Arial"/>
          <w:sz w:val="22"/>
          <w:szCs w:val="22"/>
          <w:lang w:val="es-ES_tradnl" w:eastAsia="en-US"/>
        </w:rPr>
        <w:t>por medio de la Resolución 1798 de 1 de abril de 2019 –derogada por la Resolución 045 del 14 de febrero de 2020–, la Resolución 044 del 14 de febrero de 2020 y la Resolución 094 del 21 de mayo de 2020.</w:t>
      </w:r>
    </w:p>
    <w:p w14:paraId="3BC3D9C3" w14:textId="5D06E688" w:rsidR="00937F58" w:rsidRDefault="00937F58" w:rsidP="00937F58">
      <w:pPr>
        <w:pStyle w:val="Normal11pt"/>
        <w:spacing w:before="120" w:line="276" w:lineRule="auto"/>
        <w:ind w:left="0" w:firstLine="709"/>
        <w:rPr>
          <w:rFonts w:eastAsia="Calibri"/>
          <w:color w:val="000000" w:themeColor="text1"/>
        </w:rPr>
      </w:pPr>
      <w:r w:rsidRPr="008918A2">
        <w:rPr>
          <w:rFonts w:eastAsia="Calibri"/>
          <w:color w:val="000000" w:themeColor="text1"/>
        </w:rPr>
        <w:t>Por otra parte</w:t>
      </w:r>
      <w:r w:rsidRPr="008918A2">
        <w:rPr>
          <w:rFonts w:eastAsia="Calibri"/>
          <w:i/>
          <w:iCs/>
          <w:color w:val="000000" w:themeColor="text1"/>
        </w:rPr>
        <w:t>,</w:t>
      </w:r>
      <w:r w:rsidRPr="008918A2">
        <w:rPr>
          <w:rFonts w:eastAsia="Calibri"/>
          <w:color w:val="000000" w:themeColor="text1"/>
        </w:rPr>
        <w:t xml:space="preserve"> debe tenerse en cuenta que la Ley 2022 de 2020 fue sancionada por el Presidente de la República el 22 de julio, por lo que su expedición es reciente. En este sentido, con la finalidad de realizar un desarrollo armónico y ajustado a la ley que otorga esta competencia, la Agencia Nacional de Contratación Pública expidió la Resolución 160 del 15 de septiembre de 2020</w:t>
      </w:r>
      <w:r w:rsidR="0010006F">
        <w:rPr>
          <w:rFonts w:eastAsia="Calibri"/>
          <w:color w:val="000000" w:themeColor="text1"/>
        </w:rPr>
        <w:t>,</w:t>
      </w:r>
      <w:r w:rsidRPr="008918A2">
        <w:rPr>
          <w:rFonts w:eastAsia="Calibri"/>
          <w:color w:val="000000" w:themeColor="text1"/>
        </w:rPr>
        <w:t xml:space="preserve">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6385CFA0" w14:textId="1BB4EB7C" w:rsidR="00937F58" w:rsidRPr="008918A2" w:rsidRDefault="00937F58" w:rsidP="00937F58">
      <w:pPr>
        <w:pStyle w:val="Normal11pt"/>
        <w:spacing w:before="120" w:line="276" w:lineRule="auto"/>
        <w:ind w:left="0" w:firstLine="709"/>
        <w:rPr>
          <w:rFonts w:eastAsia="Calibri"/>
          <w:color w:val="000000" w:themeColor="text1"/>
        </w:rPr>
      </w:pPr>
      <w:r w:rsidRPr="008918A2">
        <w:rPr>
          <w:rFonts w:eastAsia="Calibri"/>
          <w:color w:val="000000" w:themeColor="text1"/>
        </w:rPr>
        <w:t>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vigencia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w:t>
      </w:r>
      <w:r w:rsidR="0010006F">
        <w:rPr>
          <w:rFonts w:eastAsia="Calibri"/>
          <w:color w:val="000000" w:themeColor="text1"/>
        </w:rPr>
        <w:t>;</w:t>
      </w:r>
      <w:r w:rsidRPr="008918A2">
        <w:rPr>
          <w:rFonts w:eastAsia="Calibri"/>
          <w:color w:val="000000" w:themeColor="text1"/>
        </w:rPr>
        <w:t xml:space="preserve"> la Resolución 249 de 2020, «Por la cual se adoptan los documentos tipo para los procesos de licitación pública para obras de infraestructura de agua potable y saneamiento básico en la modalidad llave en mano»</w:t>
      </w:r>
      <w:r w:rsidR="0010006F">
        <w:rPr>
          <w:rFonts w:eastAsia="Calibri"/>
          <w:color w:val="000000" w:themeColor="text1"/>
        </w:rPr>
        <w:t>;</w:t>
      </w:r>
      <w:r w:rsidRPr="008918A2">
        <w:rPr>
          <w:rFonts w:eastAsia="Calibri"/>
          <w:color w:val="000000" w:themeColor="text1"/>
        </w:rPr>
        <w:t xml:space="preserve"> </w:t>
      </w:r>
      <w:r w:rsidR="0010006F">
        <w:rPr>
          <w:rFonts w:eastAsia="Calibri"/>
          <w:color w:val="000000" w:themeColor="text1"/>
        </w:rPr>
        <w:t>así como</w:t>
      </w:r>
      <w:r w:rsidR="0010006F" w:rsidRPr="008918A2">
        <w:rPr>
          <w:rFonts w:eastAsia="Calibri"/>
          <w:color w:val="000000" w:themeColor="text1"/>
        </w:rPr>
        <w:t xml:space="preserve"> </w:t>
      </w:r>
      <w:r w:rsidRPr="008918A2">
        <w:rPr>
          <w:rFonts w:eastAsia="Calibri"/>
          <w:color w:val="000000" w:themeColor="text1"/>
        </w:rPr>
        <w:t xml:space="preserve">la Resolución 269 de 2020, </w:t>
      </w:r>
      <w:r w:rsidRPr="008918A2">
        <w:rPr>
          <w:rFonts w:eastAsia="Calibri"/>
          <w:color w:val="000000" w:themeColor="text1"/>
        </w:rPr>
        <w:lastRenderedPageBreak/>
        <w:t>«Por la cual se adopta el documento tipo para los procesos de gestión catastral con enfoque multipropósito que se celebren a través de contratos interadministrativos».</w:t>
      </w:r>
    </w:p>
    <w:p w14:paraId="1F7B1966" w14:textId="77777777" w:rsidR="00937F58" w:rsidRPr="008918A2" w:rsidRDefault="00937F58" w:rsidP="00937F58">
      <w:pPr>
        <w:pStyle w:val="Normal11pt"/>
        <w:spacing w:before="120" w:line="276" w:lineRule="auto"/>
        <w:ind w:left="0" w:firstLine="709"/>
        <w:rPr>
          <w:rFonts w:eastAsia="Calibri"/>
          <w:color w:val="000000" w:themeColor="text1"/>
        </w:rPr>
      </w:pPr>
      <w:r w:rsidRPr="008918A2">
        <w:rPr>
          <w:rFonts w:eastAsia="Calibri"/>
          <w:color w:val="000000" w:themeColor="text1"/>
        </w:rPr>
        <w:t xml:space="preserve">En síntesis, hasta el momento se han expedido los siguientes documentos tipo que son obligatorios para todas las entidades sometidas al Estatuto General de Contratación de la Administración Pública: </w:t>
      </w:r>
    </w:p>
    <w:p w14:paraId="508A2396" w14:textId="77777777" w:rsidR="00937F58" w:rsidRPr="008918A2" w:rsidRDefault="00937F58" w:rsidP="00937F58">
      <w:pPr>
        <w:pStyle w:val="Normal11pt"/>
        <w:spacing w:before="120" w:line="276" w:lineRule="auto"/>
        <w:ind w:left="0" w:firstLine="709"/>
        <w:rPr>
          <w:rFonts w:eastAsia="Calibri"/>
          <w:color w:val="000000" w:themeColor="text1"/>
        </w:rPr>
      </w:pPr>
      <w:r w:rsidRPr="008918A2">
        <w:rPr>
          <w:rFonts w:eastAsia="Calibri"/>
          <w:color w:val="000000" w:themeColor="text1"/>
        </w:rPr>
        <w:t xml:space="preserve">i) Documentos tipo para licitación de obra pública de infraestructura de transporte –versión 1–, obligatorios para los procesos cuyo aviso de convocatoria se haya publicado desde el 1 de abril de 2019. </w:t>
      </w:r>
    </w:p>
    <w:p w14:paraId="5E8420E9" w14:textId="77777777" w:rsidR="00937F58" w:rsidRPr="008918A2" w:rsidRDefault="00937F58" w:rsidP="00937F58">
      <w:pPr>
        <w:pStyle w:val="Normal11pt"/>
        <w:spacing w:before="120" w:line="276" w:lineRule="auto"/>
        <w:ind w:left="0" w:firstLine="709"/>
        <w:rPr>
          <w:rFonts w:eastAsia="Calibri"/>
          <w:color w:val="000000" w:themeColor="text1"/>
        </w:rPr>
      </w:pPr>
      <w:r w:rsidRPr="008918A2">
        <w:rPr>
          <w:rFonts w:eastAsia="Calibri"/>
          <w:color w:val="000000" w:themeColor="text1"/>
        </w:rPr>
        <w:t>ii) Documentos tipo para licitación de obra pública de infraestructura de transporte –versión 2–, obligatorios para los procesos cuyo aviso de convocatoria se haya publicado desde el 10 de marzo de 2020.</w:t>
      </w:r>
    </w:p>
    <w:p w14:paraId="0DEF684F" w14:textId="77777777" w:rsidR="00937F58" w:rsidRPr="008918A2" w:rsidRDefault="00937F58" w:rsidP="00937F58">
      <w:pPr>
        <w:pStyle w:val="Normal11pt"/>
        <w:spacing w:before="120" w:line="276" w:lineRule="auto"/>
        <w:ind w:left="0" w:firstLine="709"/>
        <w:rPr>
          <w:rFonts w:eastAsia="Calibri"/>
          <w:color w:val="000000" w:themeColor="text1"/>
        </w:rPr>
      </w:pPr>
      <w:r w:rsidRPr="008918A2">
        <w:rPr>
          <w:rFonts w:eastAsia="Calibri"/>
          <w:color w:val="000000" w:themeColor="text1"/>
        </w:rPr>
        <w:t>iii) Documentos tipo para licitación de obra pública de infraestructura de transporte –versión 3–, obligatorios para los procesos cuyo aviso de convocatoria se haya publicado desde el 1 de enero de 2021.</w:t>
      </w:r>
    </w:p>
    <w:p w14:paraId="34815420" w14:textId="77777777" w:rsidR="00937F58" w:rsidRPr="008918A2" w:rsidRDefault="00937F58" w:rsidP="00937F58">
      <w:pPr>
        <w:pStyle w:val="Normal11pt"/>
        <w:spacing w:before="120" w:line="276" w:lineRule="auto"/>
        <w:ind w:left="0" w:firstLine="709"/>
        <w:rPr>
          <w:rFonts w:eastAsia="Calibri"/>
          <w:color w:val="000000" w:themeColor="text1"/>
        </w:rPr>
      </w:pPr>
      <w:r w:rsidRPr="008918A2">
        <w:rPr>
          <w:rFonts w:eastAsia="Calibri"/>
          <w:color w:val="000000" w:themeColor="text1"/>
        </w:rPr>
        <w:t>iv) Documentos tipo para procesos de selección abreviada de menor cuantía de infraestructura de transporte –versión 1–, obligatorios para los procesos cuyo aviso de convocatoria se haya publicado desde el 17 de febrero de 2020.</w:t>
      </w:r>
    </w:p>
    <w:p w14:paraId="608516A8" w14:textId="77777777" w:rsidR="00937F58" w:rsidRPr="008918A2" w:rsidRDefault="00937F58" w:rsidP="00937F58">
      <w:pPr>
        <w:pStyle w:val="Normal11pt"/>
        <w:spacing w:before="120" w:line="276" w:lineRule="auto"/>
        <w:ind w:left="0" w:firstLine="709"/>
        <w:rPr>
          <w:rFonts w:eastAsia="Calibri"/>
          <w:color w:val="000000" w:themeColor="text1"/>
        </w:rPr>
      </w:pPr>
      <w:r w:rsidRPr="008918A2">
        <w:rPr>
          <w:rFonts w:eastAsia="Calibri"/>
          <w:color w:val="000000" w:themeColor="text1"/>
        </w:rPr>
        <w:t xml:space="preserve">v) Documentos tipo para procesos de selección abreviada de menor cuantía de infraestructura de transporte –versión 2–, obligatorios para los procesos cuyo aviso de convocatoria se haya publicado desde el 1 de enero de 2021. </w:t>
      </w:r>
    </w:p>
    <w:p w14:paraId="6CC30C5C" w14:textId="77777777" w:rsidR="00937F58" w:rsidRPr="008918A2" w:rsidRDefault="00937F58" w:rsidP="00937F58">
      <w:pPr>
        <w:pStyle w:val="Normal11pt"/>
        <w:spacing w:before="120" w:line="276" w:lineRule="auto"/>
        <w:ind w:left="0" w:firstLine="709"/>
        <w:rPr>
          <w:rFonts w:eastAsia="Calibri"/>
          <w:color w:val="000000" w:themeColor="text1"/>
        </w:rPr>
      </w:pPr>
      <w:r w:rsidRPr="008918A2">
        <w:rPr>
          <w:rFonts w:eastAsia="Calibri"/>
          <w:color w:val="000000" w:themeColor="text1"/>
        </w:rPr>
        <w:t>vi) Documentos tipo para procesos de mínima cuantía de infraestructura de transporte, obligatorios para los procesos cuya invitación pública se haya publicado a partir del 10 de junio de 2020.</w:t>
      </w:r>
    </w:p>
    <w:p w14:paraId="11BE23C1" w14:textId="77777777" w:rsidR="00937F58" w:rsidRPr="008918A2" w:rsidRDefault="00937F58" w:rsidP="00937F58">
      <w:pPr>
        <w:pStyle w:val="Normal11pt"/>
        <w:spacing w:before="120" w:line="276" w:lineRule="auto"/>
        <w:ind w:left="0" w:firstLine="709"/>
        <w:rPr>
          <w:rFonts w:eastAsia="Calibri"/>
          <w:color w:val="000000" w:themeColor="text1"/>
        </w:rPr>
      </w:pPr>
      <w:r w:rsidRPr="008918A2">
        <w:rPr>
          <w:rFonts w:eastAsia="Calibri"/>
          <w:color w:val="000000" w:themeColor="text1"/>
        </w:rPr>
        <w:t>vii) Documentos tipo para procesos de concurso de méritos para contratar la interventoría de obras públicas de infraestructura de transporte, obligatorios para los procesos cuyo aviso de convocatoria se haya publicado desde el 1 de enero de 2021.</w:t>
      </w:r>
    </w:p>
    <w:p w14:paraId="466E602E" w14:textId="77777777" w:rsidR="00937F58" w:rsidRPr="008918A2" w:rsidRDefault="00937F58" w:rsidP="00937F58">
      <w:pPr>
        <w:pStyle w:val="Normal11pt"/>
        <w:spacing w:before="120" w:line="276" w:lineRule="auto"/>
        <w:ind w:left="0" w:firstLine="709"/>
        <w:rPr>
          <w:rFonts w:eastAsia="Calibri"/>
          <w:color w:val="000000" w:themeColor="text1"/>
        </w:rPr>
      </w:pPr>
      <w:r w:rsidRPr="008918A2">
        <w:rPr>
          <w:rFonts w:eastAsia="Calibri"/>
          <w:color w:val="000000" w:themeColor="text1"/>
        </w:rPr>
        <w:t>viii) Documentos tipo para procesos de licitación pública para obras de infraestructura de agua potable y saneamiento básico, obligatorios para los procesos cuyo aviso de convocatoria se haya publicado desde el 11 de diciembre de 2020.</w:t>
      </w:r>
    </w:p>
    <w:p w14:paraId="136C9FFA" w14:textId="77777777" w:rsidR="00937F58" w:rsidRPr="008918A2" w:rsidRDefault="00937F58" w:rsidP="00937F58">
      <w:pPr>
        <w:pStyle w:val="Normal11pt"/>
        <w:spacing w:before="120" w:line="276" w:lineRule="auto"/>
        <w:ind w:left="0" w:firstLine="709"/>
        <w:rPr>
          <w:rFonts w:eastAsia="Calibri"/>
          <w:color w:val="000000" w:themeColor="text1"/>
        </w:rPr>
      </w:pPr>
      <w:r w:rsidRPr="008918A2">
        <w:rPr>
          <w:rFonts w:eastAsia="Calibri"/>
          <w:color w:val="000000" w:themeColor="text1"/>
        </w:rPr>
        <w:t>ix)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4941F670" w14:textId="77777777" w:rsidR="00937F58" w:rsidRPr="008918A2" w:rsidRDefault="00937F58" w:rsidP="00937F58">
      <w:pPr>
        <w:pStyle w:val="Normal11pt"/>
        <w:spacing w:before="120" w:line="276" w:lineRule="auto"/>
        <w:ind w:left="0" w:firstLine="709"/>
        <w:rPr>
          <w:rFonts w:eastAsia="Calibri"/>
          <w:color w:val="000000" w:themeColor="text1"/>
        </w:rPr>
      </w:pPr>
      <w:r w:rsidRPr="008918A2">
        <w:rPr>
          <w:rFonts w:eastAsia="Calibri"/>
          <w:color w:val="000000" w:themeColor="text1"/>
        </w:rPr>
        <w:t>x) Documentos tipo para procesos de gestión catastral con enfoque multipropósito que se celebren a través de contratos interadministrativos, a partir del 1 de febrero de 2021.</w:t>
      </w:r>
    </w:p>
    <w:p w14:paraId="0297FE82" w14:textId="77777777" w:rsidR="00937F58" w:rsidRPr="008918A2" w:rsidRDefault="00937F58" w:rsidP="00937F58">
      <w:pPr>
        <w:pStyle w:val="Normal11pt"/>
        <w:spacing w:before="120" w:line="276" w:lineRule="auto"/>
        <w:ind w:left="0" w:firstLine="709"/>
        <w:rPr>
          <w:rFonts w:eastAsia="Calibri"/>
          <w:lang w:eastAsia="en-US"/>
        </w:rPr>
      </w:pPr>
      <w:r w:rsidRPr="008918A2">
        <w:rPr>
          <w:rFonts w:eastAsia="Calibri"/>
          <w:color w:val="000000" w:themeColor="text1"/>
        </w:rPr>
        <w:lastRenderedPageBreak/>
        <w:t>Cabe aclarar que la Agencia Nacional de Contratación Pública sigue avanzando en la expedición de nuevos documentos tipo. Sin embargo, debe tenerse en cuenta que estos exigen un minucioso desarrollo en el cual se consideran las observaciones de las entidades técnicas y especializadas, con la finalidad de expedir documentos tipo que contengan las mejores prácticas contractuales que procuren el adecuado desarrollo de los principios que rigen la contratación pública.</w:t>
      </w:r>
    </w:p>
    <w:p w14:paraId="1C0B7036" w14:textId="77777777" w:rsidR="00937F58" w:rsidRPr="008918A2" w:rsidRDefault="00937F58" w:rsidP="00937F58">
      <w:pPr>
        <w:tabs>
          <w:tab w:val="left" w:pos="0"/>
        </w:tabs>
        <w:spacing w:line="276" w:lineRule="auto"/>
        <w:jc w:val="both"/>
        <w:rPr>
          <w:rFonts w:ascii="Arial" w:eastAsia="Calibri" w:hAnsi="Arial" w:cs="Arial"/>
          <w:b/>
          <w:color w:val="000000" w:themeColor="text1"/>
          <w:sz w:val="22"/>
          <w:lang w:val="es-ES_tradnl"/>
        </w:rPr>
      </w:pPr>
    </w:p>
    <w:p w14:paraId="7DDC76D2" w14:textId="77777777" w:rsidR="00937F58" w:rsidRPr="008918A2" w:rsidRDefault="00937F58" w:rsidP="00937F58">
      <w:pPr>
        <w:spacing w:line="276" w:lineRule="auto"/>
        <w:jc w:val="both"/>
        <w:rPr>
          <w:rFonts w:ascii="Arial" w:eastAsia="Arial" w:hAnsi="Arial" w:cs="Arial"/>
          <w:b/>
          <w:bCs/>
          <w:color w:val="000000"/>
          <w:sz w:val="22"/>
          <w:lang w:val="es-ES_tradnl"/>
        </w:rPr>
      </w:pPr>
      <w:r w:rsidRPr="008918A2">
        <w:rPr>
          <w:rFonts w:ascii="Arial" w:eastAsia="Arial" w:hAnsi="Arial" w:cs="Arial"/>
          <w:b/>
          <w:bCs/>
          <w:color w:val="000000"/>
          <w:sz w:val="22"/>
          <w:lang w:val="es-ES_tradnl"/>
        </w:rPr>
        <w:t xml:space="preserve">2.2. Alcance de la regla de la inalterabilidad de los </w:t>
      </w:r>
      <w:r>
        <w:rPr>
          <w:rFonts w:ascii="Arial" w:eastAsia="Arial" w:hAnsi="Arial" w:cs="Arial"/>
          <w:b/>
          <w:bCs/>
          <w:color w:val="000000"/>
          <w:sz w:val="22"/>
          <w:lang w:val="es-ES_tradnl"/>
        </w:rPr>
        <w:t>documentos</w:t>
      </w:r>
      <w:r w:rsidRPr="008918A2">
        <w:rPr>
          <w:rFonts w:ascii="Arial" w:eastAsia="Arial" w:hAnsi="Arial" w:cs="Arial"/>
          <w:b/>
          <w:bCs/>
          <w:color w:val="000000"/>
          <w:sz w:val="22"/>
          <w:lang w:val="es-ES_tradnl"/>
        </w:rPr>
        <w:t xml:space="preserve"> tipo </w:t>
      </w:r>
    </w:p>
    <w:p w14:paraId="0DC757C5" w14:textId="77777777" w:rsidR="00937F58" w:rsidRPr="008918A2" w:rsidRDefault="00937F58" w:rsidP="00937F58">
      <w:pPr>
        <w:tabs>
          <w:tab w:val="left" w:pos="0"/>
        </w:tabs>
        <w:spacing w:line="276" w:lineRule="auto"/>
        <w:jc w:val="both"/>
        <w:rPr>
          <w:rFonts w:ascii="Arial" w:eastAsia="Calibri" w:hAnsi="Arial" w:cs="Arial"/>
          <w:b/>
          <w:color w:val="000000" w:themeColor="text1"/>
          <w:sz w:val="22"/>
          <w:lang w:val="es-ES_tradnl"/>
        </w:rPr>
      </w:pPr>
    </w:p>
    <w:p w14:paraId="337ECF3F" w14:textId="285934F0" w:rsidR="00937F58" w:rsidRPr="008918A2" w:rsidRDefault="00937F58" w:rsidP="00937F58">
      <w:pPr>
        <w:spacing w:line="276" w:lineRule="auto"/>
        <w:jc w:val="both"/>
        <w:rPr>
          <w:rFonts w:ascii="Arial" w:hAnsi="Arial" w:cs="Arial"/>
          <w:sz w:val="22"/>
          <w:shd w:val="clear" w:color="auto" w:fill="FFFFFF"/>
          <w:lang w:val="es-ES_tradnl"/>
        </w:rPr>
      </w:pPr>
      <w:r w:rsidRPr="008918A2">
        <w:rPr>
          <w:rFonts w:ascii="Arial" w:hAnsi="Arial" w:cs="Arial"/>
          <w:sz w:val="22"/>
          <w:shd w:val="clear" w:color="auto" w:fill="FFFFFF"/>
          <w:lang w:val="es-ES_tradnl"/>
        </w:rPr>
        <w:t xml:space="preserve">Todas las resoluciones expedidas por la Agencia Nacional de Contratación Pública – Colombia Compra Eficiente, mediante las cuales se han adoptado los </w:t>
      </w:r>
      <w:r>
        <w:rPr>
          <w:rFonts w:ascii="Arial" w:hAnsi="Arial" w:cs="Arial"/>
          <w:sz w:val="22"/>
          <w:shd w:val="clear" w:color="auto" w:fill="FFFFFF"/>
          <w:lang w:val="es-ES_tradnl"/>
        </w:rPr>
        <w:t>documentos</w:t>
      </w:r>
      <w:r w:rsidRPr="008918A2">
        <w:rPr>
          <w:rFonts w:ascii="Arial" w:hAnsi="Arial" w:cs="Arial"/>
          <w:sz w:val="22"/>
          <w:shd w:val="clear" w:color="auto" w:fill="FFFFFF"/>
          <w:lang w:val="es-ES_tradnl"/>
        </w:rPr>
        <w:t xml:space="preserve"> tipo, consagran la regla de la inalterabilidad</w:t>
      </w:r>
      <w:r w:rsidR="0010006F" w:rsidRPr="008918A2">
        <w:rPr>
          <w:rStyle w:val="Refdenotaalpie"/>
          <w:rFonts w:ascii="Arial" w:hAnsi="Arial" w:cs="Arial"/>
          <w:sz w:val="22"/>
          <w:shd w:val="clear" w:color="auto" w:fill="FFFFFF"/>
          <w:lang w:val="es-ES_tradnl"/>
        </w:rPr>
        <w:footnoteReference w:id="5"/>
      </w:r>
      <w:r w:rsidRPr="008918A2">
        <w:rPr>
          <w:rFonts w:ascii="Arial" w:hAnsi="Arial" w:cs="Arial"/>
          <w:sz w:val="22"/>
          <w:shd w:val="clear" w:color="auto" w:fill="FFFFFF"/>
          <w:lang w:val="es-ES_tradnl"/>
        </w:rPr>
        <w:t xml:space="preserve">. Esta prohibición consiste en que las entidades estatales no pueden incluir o modificar en los </w:t>
      </w:r>
      <w:r w:rsidRPr="008918A2">
        <w:rPr>
          <w:rFonts w:ascii="Arial" w:hAnsi="Arial" w:cs="Arial"/>
          <w:i/>
          <w:iCs/>
          <w:sz w:val="22"/>
          <w:shd w:val="clear" w:color="auto" w:fill="FFFFFF"/>
          <w:lang w:val="es-ES_tradnl"/>
        </w:rPr>
        <w:t>Documentos del Proceso</w:t>
      </w:r>
      <w:r w:rsidRPr="008918A2">
        <w:rPr>
          <w:rFonts w:ascii="Arial" w:hAnsi="Arial" w:cs="Arial"/>
          <w:sz w:val="22"/>
          <w:shd w:val="clear" w:color="auto" w:fill="FFFFFF"/>
          <w:lang w:val="es-ES_tradnl"/>
        </w:rPr>
        <w:t xml:space="preserve"> las condiciones habilitantes, los factores técnicos y económicos de escogencia y los sistemas de ponderación distintos a los señalados en los </w:t>
      </w:r>
      <w:r w:rsidR="0010006F" w:rsidRPr="008918A2">
        <w:rPr>
          <w:rFonts w:ascii="Arial" w:hAnsi="Arial" w:cs="Arial"/>
          <w:sz w:val="22"/>
          <w:shd w:val="clear" w:color="auto" w:fill="FFFFFF"/>
          <w:lang w:val="es-ES_tradnl"/>
        </w:rPr>
        <w:t>documentos tipo</w:t>
      </w:r>
      <w:r w:rsidRPr="008918A2">
        <w:rPr>
          <w:rFonts w:ascii="Arial" w:hAnsi="Arial" w:cs="Arial"/>
          <w:sz w:val="22"/>
          <w:shd w:val="clear" w:color="auto" w:fill="FFFFFF"/>
          <w:lang w:val="es-ES_tradnl"/>
        </w:rPr>
        <w:t xml:space="preserve">. En consecuencia, las condiciones establecidas </w:t>
      </w:r>
      <w:r>
        <w:rPr>
          <w:rFonts w:ascii="Arial" w:hAnsi="Arial" w:cs="Arial"/>
          <w:sz w:val="22"/>
          <w:shd w:val="clear" w:color="auto" w:fill="FFFFFF"/>
          <w:lang w:val="es-ES_tradnl"/>
        </w:rPr>
        <w:t>en dichos documentos</w:t>
      </w:r>
      <w:r w:rsidRPr="008918A2">
        <w:rPr>
          <w:rFonts w:ascii="Arial" w:hAnsi="Arial" w:cs="Arial"/>
          <w:sz w:val="22"/>
          <w:shd w:val="clear" w:color="auto" w:fill="FFFFFF"/>
          <w:lang w:val="es-ES_tradnl"/>
        </w:rPr>
        <w:t xml:space="preserve">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22E183F2" w14:textId="0150B45B" w:rsidR="00937F58" w:rsidRPr="008918A2" w:rsidRDefault="00937F58" w:rsidP="00937F58">
      <w:pPr>
        <w:spacing w:before="120" w:line="276" w:lineRule="auto"/>
        <w:ind w:firstLine="709"/>
        <w:jc w:val="both"/>
        <w:rPr>
          <w:rFonts w:ascii="Arial" w:hAnsi="Arial" w:cs="Arial"/>
          <w:sz w:val="22"/>
          <w:szCs w:val="22"/>
          <w:shd w:val="clear" w:color="auto" w:fill="FFFFFF"/>
          <w:lang w:val="es-ES_tradnl"/>
        </w:rPr>
      </w:pPr>
      <w:r w:rsidRPr="008918A2">
        <w:rPr>
          <w:rFonts w:ascii="Arial" w:hAnsi="Arial" w:cs="Arial"/>
          <w:sz w:val="22"/>
          <w:szCs w:val="22"/>
          <w:shd w:val="clear" w:color="auto" w:fill="FFFFFF"/>
          <w:lang w:val="es-ES_tradnl"/>
        </w:rPr>
        <w:t xml:space="preserve">El fundamento legal vigente de la regla de la </w:t>
      </w:r>
      <w:r w:rsidRPr="008918A2">
        <w:rPr>
          <w:rFonts w:ascii="Arial" w:hAnsi="Arial" w:cs="Arial"/>
          <w:sz w:val="22"/>
          <w:shd w:val="clear" w:color="auto" w:fill="FFFFFF"/>
          <w:lang w:val="es-ES_tradnl"/>
        </w:rPr>
        <w:t xml:space="preserve">inalterabilidad </w:t>
      </w:r>
      <w:r w:rsidRPr="008918A2">
        <w:rPr>
          <w:rFonts w:ascii="Arial" w:hAnsi="Arial" w:cs="Arial"/>
          <w:sz w:val="22"/>
          <w:szCs w:val="22"/>
          <w:shd w:val="clear" w:color="auto" w:fill="FFFFFF"/>
          <w:lang w:val="es-ES_tradnl"/>
        </w:rPr>
        <w:t>se encuentra en el artículo 1 de la Ley 2022 de 2020, según el cual «</w:t>
      </w:r>
      <w:r w:rsidRPr="008918A2">
        <w:rPr>
          <w:rFonts w:ascii="Arial" w:hAnsi="Arial" w:cs="Arial"/>
          <w:sz w:val="22"/>
          <w:szCs w:val="22"/>
          <w:lang w:val="es-ES_tradnl"/>
        </w:rPr>
        <w:t xml:space="preserve">[…] </w:t>
      </w:r>
      <w:r w:rsidRPr="008918A2">
        <w:rPr>
          <w:rFonts w:ascii="Arial" w:hAnsi="Arial" w:cs="Arial"/>
          <w:sz w:val="22"/>
          <w:szCs w:val="22"/>
          <w:shd w:val="clear" w:color="auto" w:fill="FFFFFF"/>
          <w:lang w:val="es-ES_tradnl"/>
        </w:rPr>
        <w:t xml:space="preserve">serán de obligatorio cumplimiento en la actividad contractual de todas las entidades sometidas al Estatuto General de Contratación de la Administración Pública». Pero eso no significa que antes no rigiera, pues así también lo disponía el artículo 4 de la Ley 1882 de 2018. </w:t>
      </w:r>
      <w:r>
        <w:rPr>
          <w:rFonts w:ascii="Arial" w:hAnsi="Arial" w:cs="Arial"/>
          <w:sz w:val="22"/>
          <w:szCs w:val="22"/>
          <w:shd w:val="clear" w:color="auto" w:fill="FFFFFF"/>
          <w:lang w:val="es-ES_tradnl"/>
        </w:rPr>
        <w:t>Incluso p</w:t>
      </w:r>
      <w:r w:rsidRPr="008918A2">
        <w:rPr>
          <w:rFonts w:ascii="Arial" w:hAnsi="Arial" w:cs="Arial"/>
          <w:sz w:val="22"/>
          <w:szCs w:val="22"/>
          <w:shd w:val="clear" w:color="auto" w:fill="FFFFFF"/>
          <w:lang w:val="es-ES_tradnl"/>
        </w:rPr>
        <w:t xml:space="preserve">or vía reglamentaria también </w:t>
      </w:r>
      <w:r w:rsidR="0010006F">
        <w:rPr>
          <w:rFonts w:ascii="Arial" w:hAnsi="Arial" w:cs="Arial"/>
          <w:sz w:val="22"/>
          <w:szCs w:val="22"/>
          <w:shd w:val="clear" w:color="auto" w:fill="FFFFFF"/>
          <w:lang w:val="es-ES_tradnl"/>
        </w:rPr>
        <w:t>se dispuso</w:t>
      </w:r>
      <w:r w:rsidRPr="008918A2">
        <w:rPr>
          <w:rFonts w:ascii="Arial" w:hAnsi="Arial" w:cs="Arial"/>
          <w:sz w:val="22"/>
          <w:szCs w:val="22"/>
          <w:shd w:val="clear" w:color="auto" w:fill="FFFFFF"/>
          <w:lang w:val="es-ES_tradnl"/>
        </w:rPr>
        <w:t xml:space="preserve"> el carácter inmodificable de los pliegos tipo en el artículo 1 de los Decretos 342 de 2019 y 594 de 2020, que adicionaron, respectivamente, los artículos 2.2.1.2.6.1.4. y 2.2.1.2.6.3.4 al Decreto 1082 de 2015.</w:t>
      </w:r>
    </w:p>
    <w:p w14:paraId="408FAF82" w14:textId="3E7F9447" w:rsidR="00937F58" w:rsidRDefault="00937F58" w:rsidP="00937F58">
      <w:pPr>
        <w:spacing w:before="120" w:line="276" w:lineRule="auto"/>
        <w:ind w:firstLine="709"/>
        <w:jc w:val="both"/>
        <w:rPr>
          <w:rFonts w:ascii="Arial" w:hAnsi="Arial" w:cs="Arial"/>
          <w:sz w:val="22"/>
          <w:szCs w:val="22"/>
          <w:shd w:val="clear" w:color="auto" w:fill="FFFFFF"/>
          <w:lang w:val="es-ES_tradnl"/>
        </w:rPr>
      </w:pPr>
      <w:r w:rsidRPr="008918A2">
        <w:rPr>
          <w:rFonts w:ascii="Arial" w:hAnsi="Arial" w:cs="Arial"/>
          <w:sz w:val="22"/>
          <w:szCs w:val="22"/>
          <w:shd w:val="clear" w:color="auto" w:fill="FFFFFF"/>
          <w:lang w:val="es-ES_tradnl"/>
        </w:rPr>
        <w:t>En este orden de ideas, no cabe duda de que está vigente la regla de la inalterabilidad de los documentos tipo. Lo anterior por cuanto las diferentes disposiciones normativas que se han expedido ratifica</w:t>
      </w:r>
      <w:r w:rsidR="0010006F">
        <w:rPr>
          <w:rFonts w:ascii="Arial" w:hAnsi="Arial" w:cs="Arial"/>
          <w:sz w:val="22"/>
          <w:szCs w:val="22"/>
          <w:shd w:val="clear" w:color="auto" w:fill="FFFFFF"/>
          <w:lang w:val="es-ES_tradnl"/>
        </w:rPr>
        <w:t>n</w:t>
      </w:r>
      <w:r w:rsidRPr="008918A2">
        <w:rPr>
          <w:rFonts w:ascii="Arial" w:hAnsi="Arial" w:cs="Arial"/>
          <w:sz w:val="22"/>
          <w:szCs w:val="22"/>
          <w:shd w:val="clear" w:color="auto" w:fill="FFFFFF"/>
          <w:lang w:val="es-ES_tradnl"/>
        </w:rPr>
        <w:t xml:space="preserve"> </w:t>
      </w:r>
      <w:r w:rsidR="0010006F">
        <w:rPr>
          <w:rFonts w:ascii="Arial" w:hAnsi="Arial" w:cs="Arial"/>
          <w:sz w:val="22"/>
          <w:szCs w:val="22"/>
          <w:shd w:val="clear" w:color="auto" w:fill="FFFFFF"/>
          <w:lang w:val="es-ES_tradnl"/>
        </w:rPr>
        <w:t>esta</w:t>
      </w:r>
      <w:r w:rsidRPr="008918A2">
        <w:rPr>
          <w:rFonts w:ascii="Arial" w:hAnsi="Arial" w:cs="Arial"/>
          <w:sz w:val="22"/>
          <w:szCs w:val="22"/>
          <w:shd w:val="clear" w:color="auto" w:fill="FFFFFF"/>
          <w:lang w:val="es-ES_tradnl"/>
        </w:rPr>
        <w:t xml:space="preserve"> regla, como ha sucedido con el artículo 1 de la Ley 2022 de 2020 y con las resoluciones </w:t>
      </w:r>
      <w:r w:rsidR="0010006F">
        <w:rPr>
          <w:rFonts w:ascii="Arial" w:hAnsi="Arial" w:cs="Arial"/>
          <w:sz w:val="22"/>
          <w:szCs w:val="22"/>
          <w:shd w:val="clear" w:color="auto" w:fill="FFFFFF"/>
          <w:lang w:val="es-ES_tradnl"/>
        </w:rPr>
        <w:t>expedidas por</w:t>
      </w:r>
      <w:r w:rsidRPr="008918A2">
        <w:rPr>
          <w:rFonts w:ascii="Arial" w:hAnsi="Arial" w:cs="Arial"/>
          <w:sz w:val="22"/>
          <w:szCs w:val="22"/>
          <w:shd w:val="clear" w:color="auto" w:fill="FFFFFF"/>
          <w:lang w:val="es-ES_tradnl"/>
        </w:rPr>
        <w:t xml:space="preserve"> la Agencia Nacional de Contratación Pública – Colombia Compra Eficiente.</w:t>
      </w:r>
    </w:p>
    <w:p w14:paraId="24B15CF1" w14:textId="77777777" w:rsidR="006F5F09" w:rsidRDefault="006F5F09" w:rsidP="006F5F09">
      <w:pPr>
        <w:spacing w:line="276" w:lineRule="auto"/>
        <w:jc w:val="both"/>
        <w:rPr>
          <w:rFonts w:ascii="Arial" w:hAnsi="Arial" w:cs="Arial"/>
          <w:b/>
          <w:bCs/>
          <w:sz w:val="22"/>
          <w:szCs w:val="22"/>
          <w:shd w:val="clear" w:color="auto" w:fill="FFFFFF"/>
          <w:lang w:val="es-ES_tradnl"/>
        </w:rPr>
      </w:pPr>
    </w:p>
    <w:p w14:paraId="51163506" w14:textId="3456FB78" w:rsidR="006F5F09" w:rsidRPr="006F5F09" w:rsidRDefault="006F5F09" w:rsidP="006F5F09">
      <w:pPr>
        <w:spacing w:line="276" w:lineRule="auto"/>
        <w:jc w:val="both"/>
        <w:rPr>
          <w:rFonts w:ascii="Arial" w:hAnsi="Arial" w:cs="Arial"/>
          <w:b/>
          <w:bCs/>
          <w:sz w:val="22"/>
          <w:szCs w:val="22"/>
          <w:shd w:val="clear" w:color="auto" w:fill="FFFFFF"/>
          <w:lang w:val="es-ES_tradnl"/>
        </w:rPr>
      </w:pPr>
      <w:r w:rsidRPr="006F5F09">
        <w:rPr>
          <w:rFonts w:ascii="Arial" w:hAnsi="Arial" w:cs="Arial"/>
          <w:b/>
          <w:bCs/>
          <w:sz w:val="22"/>
          <w:szCs w:val="22"/>
          <w:shd w:val="clear" w:color="auto" w:fill="FFFFFF"/>
          <w:lang w:val="es-ES_tradnl"/>
        </w:rPr>
        <w:lastRenderedPageBreak/>
        <w:t xml:space="preserve">2.3. </w:t>
      </w:r>
      <w:r>
        <w:rPr>
          <w:rFonts w:ascii="Arial" w:hAnsi="Arial" w:cs="Arial"/>
          <w:b/>
          <w:bCs/>
          <w:sz w:val="22"/>
          <w:szCs w:val="22"/>
          <w:shd w:val="clear" w:color="auto" w:fill="FFFFFF"/>
          <w:lang w:val="es-ES_tradnl"/>
        </w:rPr>
        <w:t xml:space="preserve">Alcance de la Resolución </w:t>
      </w:r>
      <w:r w:rsidR="00C20CC6">
        <w:rPr>
          <w:rFonts w:ascii="Arial" w:hAnsi="Arial" w:cs="Arial"/>
          <w:b/>
          <w:bCs/>
          <w:sz w:val="22"/>
          <w:szCs w:val="22"/>
          <w:shd w:val="clear" w:color="auto" w:fill="FFFFFF"/>
          <w:lang w:val="es-ES_tradnl"/>
        </w:rPr>
        <w:t>No. 256 de 2020 y de los documentos tipo adoptados en virtud de ella</w:t>
      </w:r>
      <w:r w:rsidR="0010006F">
        <w:rPr>
          <w:rFonts w:ascii="Arial" w:hAnsi="Arial" w:cs="Arial"/>
          <w:b/>
          <w:bCs/>
          <w:sz w:val="22"/>
          <w:szCs w:val="22"/>
          <w:shd w:val="clear" w:color="auto" w:fill="FFFFFF"/>
          <w:lang w:val="es-ES_tradnl"/>
        </w:rPr>
        <w:t xml:space="preserve">: </w:t>
      </w:r>
      <w:r w:rsidR="00A3535E">
        <w:rPr>
          <w:rFonts w:ascii="Arial" w:hAnsi="Arial" w:cs="Arial"/>
          <w:b/>
          <w:bCs/>
          <w:sz w:val="22"/>
          <w:szCs w:val="22"/>
          <w:shd w:val="clear" w:color="auto" w:fill="FFFFFF"/>
          <w:lang w:val="es-ES_tradnl"/>
        </w:rPr>
        <w:t>inaplicabilidad</w:t>
      </w:r>
      <w:r w:rsidR="00C20CC6">
        <w:rPr>
          <w:rFonts w:ascii="Arial" w:hAnsi="Arial" w:cs="Arial"/>
          <w:b/>
          <w:bCs/>
          <w:sz w:val="22"/>
          <w:szCs w:val="22"/>
          <w:shd w:val="clear" w:color="auto" w:fill="FFFFFF"/>
          <w:lang w:val="es-ES_tradnl"/>
        </w:rPr>
        <w:t xml:space="preserve"> </w:t>
      </w:r>
      <w:r w:rsidR="007E496E">
        <w:rPr>
          <w:rFonts w:ascii="Arial" w:hAnsi="Arial" w:cs="Arial"/>
          <w:b/>
          <w:bCs/>
          <w:sz w:val="22"/>
          <w:szCs w:val="22"/>
          <w:shd w:val="clear" w:color="auto" w:fill="FFFFFF"/>
          <w:lang w:val="es-ES_tradnl"/>
        </w:rPr>
        <w:t>de dicha Resolución a la</w:t>
      </w:r>
      <w:r w:rsidR="00C20CC6">
        <w:rPr>
          <w:rFonts w:ascii="Arial" w:hAnsi="Arial" w:cs="Arial"/>
          <w:b/>
          <w:bCs/>
          <w:sz w:val="22"/>
          <w:szCs w:val="22"/>
          <w:shd w:val="clear" w:color="auto" w:fill="FFFFFF"/>
          <w:lang w:val="es-ES_tradnl"/>
        </w:rPr>
        <w:t xml:space="preserve"> contratación de </w:t>
      </w:r>
      <w:r w:rsidR="00895E8C">
        <w:rPr>
          <w:rFonts w:ascii="Arial" w:hAnsi="Arial" w:cs="Arial"/>
          <w:b/>
          <w:bCs/>
          <w:sz w:val="22"/>
          <w:szCs w:val="22"/>
          <w:shd w:val="clear" w:color="auto" w:fill="FFFFFF"/>
          <w:lang w:val="es-ES_tradnl"/>
        </w:rPr>
        <w:t xml:space="preserve">la </w:t>
      </w:r>
      <w:r w:rsidR="00C20CC6">
        <w:rPr>
          <w:rFonts w:ascii="Arial" w:hAnsi="Arial" w:cs="Arial"/>
          <w:b/>
          <w:bCs/>
          <w:sz w:val="22"/>
          <w:szCs w:val="22"/>
          <w:shd w:val="clear" w:color="auto" w:fill="FFFFFF"/>
          <w:lang w:val="es-ES_tradnl"/>
        </w:rPr>
        <w:t>interventoría por la modalidad de mínima cuantía</w:t>
      </w:r>
    </w:p>
    <w:p w14:paraId="4B54F07C" w14:textId="703D4902" w:rsidR="004D1C27" w:rsidRDefault="004D1C27" w:rsidP="004D1C27">
      <w:pPr>
        <w:spacing w:line="276" w:lineRule="auto"/>
        <w:jc w:val="both"/>
        <w:rPr>
          <w:rFonts w:ascii="Arial" w:hAnsi="Arial" w:cs="Arial"/>
          <w:sz w:val="22"/>
          <w:lang w:val="es-ES_tradnl"/>
        </w:rPr>
      </w:pPr>
    </w:p>
    <w:p w14:paraId="41A0584C" w14:textId="1E5D9E6E" w:rsidR="00850F44" w:rsidRDefault="003E7890" w:rsidP="004D1C27">
      <w:pPr>
        <w:spacing w:line="276" w:lineRule="auto"/>
        <w:jc w:val="both"/>
        <w:rPr>
          <w:rFonts w:ascii="Arial" w:hAnsi="Arial" w:cs="Arial"/>
          <w:sz w:val="22"/>
          <w:lang w:val="es-ES_tradnl"/>
        </w:rPr>
      </w:pPr>
      <w:r>
        <w:rPr>
          <w:rFonts w:ascii="Arial" w:hAnsi="Arial" w:cs="Arial"/>
          <w:sz w:val="22"/>
          <w:lang w:val="es-ES_tradnl"/>
        </w:rPr>
        <w:t xml:space="preserve">En ejercicio de la competencia </w:t>
      </w:r>
      <w:r w:rsidR="0010006F">
        <w:rPr>
          <w:rFonts w:ascii="Arial" w:hAnsi="Arial" w:cs="Arial"/>
          <w:sz w:val="22"/>
          <w:lang w:val="es-ES_tradnl"/>
        </w:rPr>
        <w:t>d</w:t>
      </w:r>
      <w:r>
        <w:rPr>
          <w:rFonts w:ascii="Arial" w:hAnsi="Arial" w:cs="Arial"/>
          <w:sz w:val="22"/>
          <w:lang w:val="es-ES_tradnl"/>
        </w:rPr>
        <w:t>el artículo 1 de la Ley 2022 de 2020, la Agencia Nacional de Contratación Pública – Colombia Compra Eficiente expidió la Resolución No. 256</w:t>
      </w:r>
      <w:r w:rsidR="00410497">
        <w:rPr>
          <w:rFonts w:ascii="Arial" w:hAnsi="Arial" w:cs="Arial"/>
          <w:sz w:val="22"/>
          <w:lang w:val="es-ES_tradnl"/>
        </w:rPr>
        <w:t xml:space="preserve"> del 11 de diciembre de 2020, «Por la cual se adoptan los documentos tipo para los procesos de selección de concurso de méritos, para contratar la interventoría de obras públicas de infraestructura de transporte». El artículo </w:t>
      </w:r>
      <w:r w:rsidR="00375627">
        <w:rPr>
          <w:rFonts w:ascii="Arial" w:hAnsi="Arial" w:cs="Arial"/>
          <w:sz w:val="22"/>
          <w:lang w:val="es-ES_tradnl"/>
        </w:rPr>
        <w:t>5 de dicha Resolución dispuso que los documentos tipo que adoptó</w:t>
      </w:r>
      <w:r w:rsidR="00EE4BA1">
        <w:rPr>
          <w:rFonts w:ascii="Arial" w:hAnsi="Arial" w:cs="Arial"/>
          <w:sz w:val="22"/>
          <w:lang w:val="es-ES_tradnl"/>
        </w:rPr>
        <w:t xml:space="preserve"> se deben aplicar «</w:t>
      </w:r>
      <w:r w:rsidR="00EE4BA1" w:rsidRPr="00EE4BA1">
        <w:rPr>
          <w:rFonts w:ascii="Arial" w:hAnsi="Arial" w:cs="Arial"/>
          <w:sz w:val="22"/>
          <w:lang w:val="es-ES_tradnl"/>
        </w:rPr>
        <w:t>a los procedimientos de selección cuyo aviso de convocatoria se publique el 1 de enero de 2021 o en una fecha posterior</w:t>
      </w:r>
      <w:r w:rsidR="00EE4BA1">
        <w:rPr>
          <w:rFonts w:ascii="Arial" w:hAnsi="Arial" w:cs="Arial"/>
          <w:sz w:val="22"/>
          <w:lang w:val="es-ES_tradnl"/>
        </w:rPr>
        <w:t>»</w:t>
      </w:r>
      <w:r w:rsidR="00EE4BA1" w:rsidRPr="00EE4BA1">
        <w:rPr>
          <w:rFonts w:ascii="Arial" w:hAnsi="Arial" w:cs="Arial"/>
          <w:sz w:val="22"/>
          <w:lang w:val="es-ES_tradnl"/>
        </w:rPr>
        <w:t>.</w:t>
      </w:r>
    </w:p>
    <w:p w14:paraId="7A26C244" w14:textId="211238C6" w:rsidR="007E496E" w:rsidRDefault="00850F44" w:rsidP="00850F44">
      <w:pPr>
        <w:spacing w:before="120" w:line="276" w:lineRule="auto"/>
        <w:ind w:firstLine="709"/>
        <w:jc w:val="both"/>
        <w:rPr>
          <w:rFonts w:ascii="Arial" w:hAnsi="Arial" w:cs="Arial"/>
          <w:sz w:val="22"/>
          <w:lang w:val="es-ES_tradnl"/>
        </w:rPr>
      </w:pPr>
      <w:r>
        <w:rPr>
          <w:rFonts w:ascii="Arial" w:hAnsi="Arial" w:cs="Arial"/>
          <w:sz w:val="22"/>
          <w:lang w:val="es-ES_tradnl"/>
        </w:rPr>
        <w:t xml:space="preserve">Así, tanto por el título de la Resolución, como por lo </w:t>
      </w:r>
      <w:r w:rsidR="00435FAF">
        <w:rPr>
          <w:rFonts w:ascii="Arial" w:hAnsi="Arial" w:cs="Arial"/>
          <w:sz w:val="22"/>
          <w:lang w:val="es-ES_tradnl"/>
        </w:rPr>
        <w:t>establecido en</w:t>
      </w:r>
      <w:r>
        <w:rPr>
          <w:rFonts w:ascii="Arial" w:hAnsi="Arial" w:cs="Arial"/>
          <w:sz w:val="22"/>
          <w:lang w:val="es-ES_tradnl"/>
        </w:rPr>
        <w:t xml:space="preserve"> su artículo 1</w:t>
      </w:r>
      <w:r w:rsidR="00110F7C">
        <w:rPr>
          <w:rFonts w:ascii="Arial" w:hAnsi="Arial" w:cs="Arial"/>
          <w:sz w:val="22"/>
          <w:lang w:val="es-ES_tradnl"/>
        </w:rPr>
        <w:t xml:space="preserve"> –en cuyo texto se lee que </w:t>
      </w:r>
      <w:r w:rsidR="00110F7C" w:rsidRPr="00110F7C">
        <w:rPr>
          <w:rFonts w:ascii="Arial" w:hAnsi="Arial" w:cs="Arial"/>
          <w:sz w:val="22"/>
          <w:lang w:val="es-ES_tradnl"/>
        </w:rPr>
        <w:t>los documentos tipo</w:t>
      </w:r>
      <w:r w:rsidR="00110F7C">
        <w:rPr>
          <w:rFonts w:ascii="Arial" w:hAnsi="Arial" w:cs="Arial"/>
          <w:sz w:val="22"/>
          <w:lang w:val="es-ES_tradnl"/>
        </w:rPr>
        <w:t xml:space="preserve"> que en ella se adoptan</w:t>
      </w:r>
      <w:r w:rsidR="00110F7C" w:rsidRPr="00110F7C">
        <w:rPr>
          <w:rFonts w:ascii="Arial" w:hAnsi="Arial" w:cs="Arial"/>
          <w:sz w:val="22"/>
          <w:lang w:val="es-ES_tradnl"/>
        </w:rPr>
        <w:t xml:space="preserve"> </w:t>
      </w:r>
      <w:r w:rsidR="00110F7C">
        <w:rPr>
          <w:rFonts w:ascii="Arial" w:hAnsi="Arial" w:cs="Arial"/>
          <w:sz w:val="22"/>
          <w:lang w:val="es-ES_tradnl"/>
        </w:rPr>
        <w:t xml:space="preserve">deben aplicarse </w:t>
      </w:r>
      <w:r w:rsidR="00EF2388">
        <w:rPr>
          <w:rFonts w:ascii="Arial" w:hAnsi="Arial" w:cs="Arial"/>
          <w:sz w:val="22"/>
          <w:lang w:val="es-ES_tradnl"/>
        </w:rPr>
        <w:t xml:space="preserve">a </w:t>
      </w:r>
      <w:r w:rsidR="00110F7C">
        <w:rPr>
          <w:rFonts w:ascii="Arial" w:hAnsi="Arial" w:cs="Arial"/>
          <w:sz w:val="22"/>
          <w:lang w:val="es-ES_tradnl"/>
        </w:rPr>
        <w:t>«</w:t>
      </w:r>
      <w:r w:rsidR="00110F7C" w:rsidRPr="00110F7C">
        <w:rPr>
          <w:rFonts w:ascii="Arial" w:hAnsi="Arial" w:cs="Arial"/>
          <w:sz w:val="22"/>
          <w:lang w:val="es-ES_tradnl"/>
        </w:rPr>
        <w:t>los procesos de selección de interventoría de obra pública de infraestructura de transporte, que se adelanten por la modalidad de concurso de méritos</w:t>
      </w:r>
      <w:r w:rsidR="00110F7C">
        <w:rPr>
          <w:rFonts w:ascii="Arial" w:hAnsi="Arial" w:cs="Arial"/>
          <w:sz w:val="22"/>
          <w:lang w:val="es-ES_tradnl"/>
        </w:rPr>
        <w:t>»–</w:t>
      </w:r>
      <w:r w:rsidR="00EF2388">
        <w:rPr>
          <w:rFonts w:ascii="Arial" w:hAnsi="Arial" w:cs="Arial"/>
          <w:sz w:val="22"/>
          <w:lang w:val="es-ES_tradnl"/>
        </w:rPr>
        <w:t xml:space="preserve">, no cabe duda de que los documentos tipo que en dicho reglamento se </w:t>
      </w:r>
      <w:r w:rsidR="008E6401">
        <w:rPr>
          <w:rFonts w:ascii="Arial" w:hAnsi="Arial" w:cs="Arial"/>
          <w:sz w:val="22"/>
          <w:lang w:val="es-ES_tradnl"/>
        </w:rPr>
        <w:t>crean</w:t>
      </w:r>
      <w:r w:rsidR="00A10AAD">
        <w:rPr>
          <w:rFonts w:ascii="Arial" w:hAnsi="Arial" w:cs="Arial"/>
          <w:sz w:val="22"/>
          <w:lang w:val="es-ES_tradnl"/>
        </w:rPr>
        <w:t xml:space="preserve"> solo rigen para el concurso de méritos dirigido a contratar la interventoría</w:t>
      </w:r>
      <w:r w:rsidR="00303771">
        <w:rPr>
          <w:rFonts w:ascii="Arial" w:hAnsi="Arial" w:cs="Arial"/>
          <w:sz w:val="22"/>
          <w:lang w:val="es-ES_tradnl"/>
        </w:rPr>
        <w:t xml:space="preserve"> </w:t>
      </w:r>
      <w:r w:rsidR="00A10AAD">
        <w:rPr>
          <w:rFonts w:ascii="Arial" w:hAnsi="Arial" w:cs="Arial"/>
          <w:sz w:val="22"/>
          <w:lang w:val="es-ES_tradnl"/>
        </w:rPr>
        <w:t>de obra pública de infraestructura de transporte.</w:t>
      </w:r>
      <w:r w:rsidR="00EF2388">
        <w:rPr>
          <w:rFonts w:ascii="Arial" w:hAnsi="Arial" w:cs="Arial"/>
          <w:sz w:val="22"/>
          <w:lang w:val="es-ES_tradnl"/>
        </w:rPr>
        <w:t xml:space="preserve"> </w:t>
      </w:r>
      <w:r w:rsidR="00A10AAD">
        <w:rPr>
          <w:rFonts w:ascii="Arial" w:hAnsi="Arial" w:cs="Arial"/>
          <w:sz w:val="22"/>
          <w:lang w:val="es-ES_tradnl"/>
        </w:rPr>
        <w:t xml:space="preserve">Por consiguiente, </w:t>
      </w:r>
      <w:r w:rsidR="00EF2388">
        <w:rPr>
          <w:rFonts w:ascii="Arial" w:hAnsi="Arial" w:cs="Arial"/>
          <w:sz w:val="22"/>
          <w:lang w:val="es-ES_tradnl"/>
        </w:rPr>
        <w:t xml:space="preserve">no son aplicables a los procesos de selección de </w:t>
      </w:r>
      <w:r w:rsidR="00EF2388" w:rsidRPr="00FF0FA2">
        <w:rPr>
          <w:rFonts w:ascii="Arial" w:hAnsi="Arial" w:cs="Arial"/>
          <w:i/>
          <w:iCs/>
          <w:sz w:val="22"/>
          <w:lang w:val="es-ES_tradnl"/>
        </w:rPr>
        <w:t>mínima cuantía</w:t>
      </w:r>
      <w:r w:rsidR="00EF2388">
        <w:rPr>
          <w:rFonts w:ascii="Arial" w:hAnsi="Arial" w:cs="Arial"/>
          <w:sz w:val="22"/>
          <w:lang w:val="es-ES_tradnl"/>
        </w:rPr>
        <w:t xml:space="preserve"> </w:t>
      </w:r>
      <w:r w:rsidR="00596E88">
        <w:rPr>
          <w:rFonts w:ascii="Arial" w:hAnsi="Arial" w:cs="Arial"/>
          <w:sz w:val="22"/>
          <w:lang w:val="es-ES_tradnl"/>
        </w:rPr>
        <w:t>mediante</w:t>
      </w:r>
      <w:r w:rsidR="00EF2388">
        <w:rPr>
          <w:rFonts w:ascii="Arial" w:hAnsi="Arial" w:cs="Arial"/>
          <w:sz w:val="22"/>
          <w:lang w:val="es-ES_tradnl"/>
        </w:rPr>
        <w:t xml:space="preserve"> los cuales </w:t>
      </w:r>
      <w:r w:rsidR="00FF0FA2">
        <w:rPr>
          <w:rFonts w:ascii="Arial" w:hAnsi="Arial" w:cs="Arial"/>
          <w:sz w:val="22"/>
          <w:lang w:val="es-ES_tradnl"/>
        </w:rPr>
        <w:t>se efectúe la contratación de interventoría de obra pública de infraestructura de transporte.</w:t>
      </w:r>
    </w:p>
    <w:p w14:paraId="34A6E9C2" w14:textId="59D8C7E5" w:rsidR="00C20E1E" w:rsidRDefault="00C20E1E" w:rsidP="00F9375C">
      <w:pPr>
        <w:spacing w:before="120" w:line="276" w:lineRule="auto"/>
        <w:ind w:firstLine="709"/>
        <w:jc w:val="both"/>
        <w:rPr>
          <w:rFonts w:ascii="Arial" w:hAnsi="Arial" w:cs="Arial"/>
          <w:sz w:val="22"/>
          <w:lang w:val="es-ES_tradnl"/>
        </w:rPr>
      </w:pPr>
      <w:r>
        <w:rPr>
          <w:rFonts w:ascii="Arial" w:hAnsi="Arial" w:cs="Arial"/>
          <w:sz w:val="22"/>
          <w:lang w:val="es-ES_tradnl"/>
        </w:rPr>
        <w:t>Dos</w:t>
      </w:r>
      <w:r w:rsidR="0010006F">
        <w:rPr>
          <w:rFonts w:ascii="Arial" w:hAnsi="Arial" w:cs="Arial"/>
          <w:sz w:val="22"/>
          <w:lang w:val="es-ES_tradnl"/>
        </w:rPr>
        <w:t xml:space="preserve"> (2)</w:t>
      </w:r>
      <w:r>
        <w:rPr>
          <w:rFonts w:ascii="Arial" w:hAnsi="Arial" w:cs="Arial"/>
          <w:sz w:val="22"/>
          <w:lang w:val="es-ES_tradnl"/>
        </w:rPr>
        <w:t xml:space="preserve"> argumentos adicionales apoyan la tesis señalada anteriormente. </w:t>
      </w:r>
      <w:r w:rsidRPr="00FC0BAC">
        <w:rPr>
          <w:rFonts w:ascii="Arial" w:hAnsi="Arial" w:cs="Arial"/>
          <w:i/>
          <w:iCs/>
          <w:sz w:val="22"/>
          <w:lang w:val="es-ES_tradnl"/>
        </w:rPr>
        <w:t>En primer lugar</w:t>
      </w:r>
      <w:r>
        <w:rPr>
          <w:rFonts w:ascii="Arial" w:hAnsi="Arial" w:cs="Arial"/>
          <w:sz w:val="22"/>
          <w:lang w:val="es-ES_tradnl"/>
        </w:rPr>
        <w:t>, la memoria justificativa</w:t>
      </w:r>
      <w:r w:rsidR="007B4BA9">
        <w:rPr>
          <w:rFonts w:ascii="Arial" w:hAnsi="Arial" w:cs="Arial"/>
          <w:sz w:val="22"/>
          <w:lang w:val="es-ES_tradnl"/>
        </w:rPr>
        <w:t xml:space="preserve"> del proyecto que se convirtió en la Resolución No. 256 del 11 de diciembre de 2020</w:t>
      </w:r>
      <w:r w:rsidR="002A4E9D">
        <w:rPr>
          <w:rFonts w:ascii="Arial" w:hAnsi="Arial" w:cs="Arial"/>
          <w:sz w:val="22"/>
          <w:lang w:val="es-ES_tradnl"/>
        </w:rPr>
        <w:t xml:space="preserve"> </w:t>
      </w:r>
      <w:r w:rsidR="0010006F">
        <w:rPr>
          <w:rFonts w:ascii="Arial" w:hAnsi="Arial" w:cs="Arial"/>
          <w:sz w:val="22"/>
          <w:lang w:val="es-ES_tradnl"/>
        </w:rPr>
        <w:t xml:space="preserve">explicó </w:t>
      </w:r>
      <w:r w:rsidR="002A4E9D">
        <w:rPr>
          <w:rFonts w:ascii="Arial" w:hAnsi="Arial" w:cs="Arial"/>
          <w:sz w:val="22"/>
          <w:lang w:val="es-ES_tradnl"/>
        </w:rPr>
        <w:t xml:space="preserve">en </w:t>
      </w:r>
      <w:r w:rsidR="00247F95">
        <w:rPr>
          <w:rFonts w:ascii="Arial" w:hAnsi="Arial" w:cs="Arial"/>
          <w:sz w:val="22"/>
          <w:lang w:val="es-ES_tradnl"/>
        </w:rPr>
        <w:t>el numeral 7, referido a la estructura de la Resolución</w:t>
      </w:r>
      <w:r w:rsidR="0010006F">
        <w:rPr>
          <w:rFonts w:ascii="Arial" w:hAnsi="Arial" w:cs="Arial"/>
          <w:sz w:val="22"/>
          <w:lang w:val="es-ES_tradnl"/>
        </w:rPr>
        <w:t>, que</w:t>
      </w:r>
      <w:r w:rsidR="00191473">
        <w:rPr>
          <w:rFonts w:ascii="Arial" w:hAnsi="Arial" w:cs="Arial"/>
          <w:sz w:val="22"/>
          <w:lang w:val="es-ES_tradnl"/>
        </w:rPr>
        <w:t xml:space="preserve"> </w:t>
      </w:r>
      <w:r w:rsidR="00247F95">
        <w:rPr>
          <w:rFonts w:ascii="Arial" w:hAnsi="Arial" w:cs="Arial"/>
          <w:sz w:val="22"/>
          <w:lang w:val="es-ES_tradnl"/>
        </w:rPr>
        <w:t>«</w:t>
      </w:r>
      <w:r w:rsidR="00C533F2" w:rsidRPr="00C533F2">
        <w:rPr>
          <w:rFonts w:ascii="Arial" w:hAnsi="Arial" w:cs="Arial"/>
          <w:sz w:val="22"/>
          <w:lang w:val="es-ES_tradnl"/>
        </w:rPr>
        <w:t>Teniendo en cuenta el tema sobre el que recaen los documentos tipo, en el artículo 1 se</w:t>
      </w:r>
      <w:r w:rsidR="00C533F2">
        <w:rPr>
          <w:rFonts w:ascii="Arial" w:hAnsi="Arial" w:cs="Arial"/>
          <w:sz w:val="22"/>
          <w:lang w:val="es-ES_tradnl"/>
        </w:rPr>
        <w:t xml:space="preserve"> </w:t>
      </w:r>
      <w:r w:rsidR="00C533F2" w:rsidRPr="00C533F2">
        <w:rPr>
          <w:rFonts w:ascii="Arial" w:hAnsi="Arial" w:cs="Arial"/>
          <w:sz w:val="22"/>
          <w:lang w:val="es-ES_tradnl"/>
        </w:rPr>
        <w:t>indica que el objeto de la resolución es adoptar los documentos tipo para los procesos</w:t>
      </w:r>
      <w:r w:rsidR="00C533F2">
        <w:rPr>
          <w:rFonts w:ascii="Arial" w:hAnsi="Arial" w:cs="Arial"/>
          <w:sz w:val="22"/>
          <w:lang w:val="es-ES_tradnl"/>
        </w:rPr>
        <w:t xml:space="preserve"> </w:t>
      </w:r>
      <w:r w:rsidR="00C533F2" w:rsidRPr="00C533F2">
        <w:rPr>
          <w:rFonts w:ascii="Arial" w:hAnsi="Arial" w:cs="Arial"/>
          <w:sz w:val="22"/>
          <w:lang w:val="es-ES_tradnl"/>
        </w:rPr>
        <w:t>de selección de interventoría de obra pública de infraestructura de transporte que se</w:t>
      </w:r>
      <w:r w:rsidR="00C533F2">
        <w:rPr>
          <w:rFonts w:ascii="Arial" w:hAnsi="Arial" w:cs="Arial"/>
          <w:sz w:val="22"/>
          <w:lang w:val="es-ES_tradnl"/>
        </w:rPr>
        <w:t xml:space="preserve"> </w:t>
      </w:r>
      <w:r w:rsidR="00C533F2" w:rsidRPr="00C533F2">
        <w:rPr>
          <w:rFonts w:ascii="Arial" w:hAnsi="Arial" w:cs="Arial"/>
          <w:sz w:val="22"/>
          <w:lang w:val="es-ES_tradnl"/>
        </w:rPr>
        <w:t>adelanten por la modalidad de concurso de méritos</w:t>
      </w:r>
      <w:r w:rsidR="00C533F2">
        <w:rPr>
          <w:rFonts w:ascii="Arial" w:hAnsi="Arial" w:cs="Arial"/>
          <w:sz w:val="22"/>
          <w:lang w:val="es-ES_tradnl"/>
        </w:rPr>
        <w:t>»</w:t>
      </w:r>
      <w:r w:rsidR="007D20BB">
        <w:rPr>
          <w:rStyle w:val="Refdenotaalpie"/>
          <w:rFonts w:ascii="Arial" w:hAnsi="Arial" w:cs="Arial"/>
          <w:sz w:val="22"/>
          <w:lang w:val="es-ES_tradnl"/>
        </w:rPr>
        <w:footnoteReference w:id="6"/>
      </w:r>
      <w:r w:rsidR="00C533F2" w:rsidRPr="00C533F2">
        <w:rPr>
          <w:rFonts w:ascii="Arial" w:hAnsi="Arial" w:cs="Arial"/>
          <w:sz w:val="22"/>
          <w:lang w:val="es-ES_tradnl"/>
        </w:rPr>
        <w:t>.</w:t>
      </w:r>
      <w:r w:rsidR="005270E8">
        <w:rPr>
          <w:rFonts w:ascii="Arial" w:hAnsi="Arial" w:cs="Arial"/>
          <w:sz w:val="22"/>
          <w:lang w:val="es-ES_tradnl"/>
        </w:rPr>
        <w:t xml:space="preserve"> Por otra parte, el numeral </w:t>
      </w:r>
      <w:r w:rsidR="004C3BDA">
        <w:rPr>
          <w:rFonts w:ascii="Arial" w:hAnsi="Arial" w:cs="Arial"/>
          <w:sz w:val="22"/>
          <w:lang w:val="es-ES_tradnl"/>
        </w:rPr>
        <w:t xml:space="preserve">9 de la misma memoria explica que </w:t>
      </w:r>
      <w:r w:rsidR="00F9375C">
        <w:rPr>
          <w:rFonts w:ascii="Arial" w:hAnsi="Arial" w:cs="Arial"/>
          <w:sz w:val="22"/>
          <w:lang w:val="es-ES_tradnl"/>
        </w:rPr>
        <w:t>«</w:t>
      </w:r>
      <w:r w:rsidR="00F9375C" w:rsidRPr="00F9375C">
        <w:rPr>
          <w:rFonts w:ascii="Arial" w:hAnsi="Arial" w:cs="Arial"/>
          <w:sz w:val="22"/>
          <w:lang w:val="es-ES_tradnl"/>
        </w:rPr>
        <w:t>Los documentos objeto de la resolución serán</w:t>
      </w:r>
      <w:r w:rsidR="00F9375C">
        <w:rPr>
          <w:rFonts w:ascii="Arial" w:hAnsi="Arial" w:cs="Arial"/>
          <w:sz w:val="22"/>
          <w:lang w:val="es-ES_tradnl"/>
        </w:rPr>
        <w:t xml:space="preserve"> </w:t>
      </w:r>
      <w:r w:rsidR="00F9375C" w:rsidRPr="00F9375C">
        <w:rPr>
          <w:rFonts w:ascii="Arial" w:hAnsi="Arial" w:cs="Arial"/>
          <w:sz w:val="22"/>
          <w:lang w:val="es-ES_tradnl"/>
        </w:rPr>
        <w:t>aplicados para</w:t>
      </w:r>
      <w:r w:rsidR="00F9375C">
        <w:rPr>
          <w:rFonts w:ascii="Arial" w:hAnsi="Arial" w:cs="Arial"/>
          <w:sz w:val="22"/>
          <w:lang w:val="es-ES_tradnl"/>
        </w:rPr>
        <w:t xml:space="preserve"> </w:t>
      </w:r>
      <w:r w:rsidR="00F9375C" w:rsidRPr="00F9375C">
        <w:rPr>
          <w:rFonts w:ascii="Arial" w:hAnsi="Arial" w:cs="Arial"/>
          <w:sz w:val="22"/>
          <w:lang w:val="es-ES_tradnl"/>
        </w:rPr>
        <w:t>los contratos de interventoría de obra pública de infraestructura de</w:t>
      </w:r>
      <w:r w:rsidR="00F9375C">
        <w:rPr>
          <w:rFonts w:ascii="Arial" w:hAnsi="Arial" w:cs="Arial"/>
          <w:sz w:val="22"/>
          <w:lang w:val="es-ES_tradnl"/>
        </w:rPr>
        <w:t xml:space="preserve"> </w:t>
      </w:r>
      <w:r w:rsidR="00F9375C" w:rsidRPr="00F9375C">
        <w:rPr>
          <w:rFonts w:ascii="Arial" w:hAnsi="Arial" w:cs="Arial"/>
          <w:sz w:val="22"/>
          <w:lang w:val="es-ES_tradnl"/>
        </w:rPr>
        <w:t>transporte, que se realicen en la modalidad de concurso de méritos</w:t>
      </w:r>
      <w:r w:rsidR="00F9375C">
        <w:rPr>
          <w:rFonts w:ascii="Arial" w:hAnsi="Arial" w:cs="Arial"/>
          <w:sz w:val="22"/>
          <w:lang w:val="es-ES_tradnl"/>
        </w:rPr>
        <w:t>»</w:t>
      </w:r>
      <w:r w:rsidR="00F9375C">
        <w:rPr>
          <w:rStyle w:val="Refdenotaalpie"/>
          <w:rFonts w:ascii="Arial" w:hAnsi="Arial" w:cs="Arial"/>
          <w:sz w:val="22"/>
          <w:lang w:val="es-ES_tradnl"/>
        </w:rPr>
        <w:footnoteReference w:id="7"/>
      </w:r>
      <w:r w:rsidR="00F9375C">
        <w:rPr>
          <w:rFonts w:ascii="Arial" w:hAnsi="Arial" w:cs="Arial"/>
          <w:sz w:val="22"/>
          <w:lang w:val="es-ES_tradnl"/>
        </w:rPr>
        <w:t>.</w:t>
      </w:r>
    </w:p>
    <w:p w14:paraId="47F9BCD2" w14:textId="50A0ADE7" w:rsidR="008D7119" w:rsidRDefault="005B0293">
      <w:pPr>
        <w:spacing w:before="120" w:line="276" w:lineRule="auto"/>
        <w:ind w:firstLine="709"/>
        <w:jc w:val="both"/>
        <w:rPr>
          <w:rFonts w:ascii="Arial" w:hAnsi="Arial" w:cs="Arial"/>
          <w:sz w:val="22"/>
          <w:lang w:val="es-ES_tradnl"/>
        </w:rPr>
      </w:pPr>
      <w:r w:rsidRPr="00FC0BAC">
        <w:rPr>
          <w:rFonts w:ascii="Arial" w:hAnsi="Arial" w:cs="Arial"/>
          <w:i/>
          <w:iCs/>
          <w:sz w:val="22"/>
          <w:lang w:val="es-ES_tradnl"/>
        </w:rPr>
        <w:t>En segundo lugar</w:t>
      </w:r>
      <w:r>
        <w:rPr>
          <w:rFonts w:ascii="Arial" w:hAnsi="Arial" w:cs="Arial"/>
          <w:sz w:val="22"/>
          <w:lang w:val="es-ES_tradnl"/>
        </w:rPr>
        <w:t>, si se revisan los documentos tipo adoptados por la Resolución</w:t>
      </w:r>
      <w:r w:rsidR="00107FBF">
        <w:rPr>
          <w:rFonts w:ascii="Arial" w:hAnsi="Arial" w:cs="Arial"/>
          <w:sz w:val="22"/>
          <w:lang w:val="es-ES_tradnl"/>
        </w:rPr>
        <w:t xml:space="preserve"> No. 256 del 11 de diciembre de 2020 </w:t>
      </w:r>
      <w:r>
        <w:rPr>
          <w:rFonts w:ascii="Arial" w:hAnsi="Arial" w:cs="Arial"/>
          <w:sz w:val="22"/>
          <w:lang w:val="es-ES_tradnl"/>
        </w:rPr>
        <w:t>–</w:t>
      </w:r>
      <w:r w:rsidR="00844CA4">
        <w:rPr>
          <w:rFonts w:ascii="Arial" w:hAnsi="Arial" w:cs="Arial"/>
          <w:sz w:val="22"/>
          <w:lang w:val="es-ES_tradnl"/>
        </w:rPr>
        <w:t>es decir, tanto el documento base, como</w:t>
      </w:r>
      <w:r w:rsidR="00ED4862">
        <w:rPr>
          <w:rFonts w:ascii="Arial" w:hAnsi="Arial" w:cs="Arial"/>
          <w:sz w:val="22"/>
          <w:lang w:val="es-ES_tradnl"/>
        </w:rPr>
        <w:t xml:space="preserve"> los anexos, los formatos, </w:t>
      </w:r>
      <w:r w:rsidR="00287D71">
        <w:rPr>
          <w:rFonts w:ascii="Arial" w:hAnsi="Arial" w:cs="Arial"/>
          <w:sz w:val="22"/>
          <w:lang w:val="es-ES_tradnl"/>
        </w:rPr>
        <w:t>las matrices y el formulario–, se puede evidenci</w:t>
      </w:r>
      <w:r w:rsidR="009903A7">
        <w:rPr>
          <w:rFonts w:ascii="Arial" w:hAnsi="Arial" w:cs="Arial"/>
          <w:sz w:val="22"/>
          <w:lang w:val="es-ES_tradnl"/>
        </w:rPr>
        <w:t xml:space="preserve">ar que están estructurados para la modalidad de selección de </w:t>
      </w:r>
      <w:r w:rsidR="009903A7" w:rsidRPr="00703B19">
        <w:rPr>
          <w:rFonts w:ascii="Arial" w:hAnsi="Arial" w:cs="Arial"/>
          <w:i/>
          <w:iCs/>
          <w:sz w:val="22"/>
          <w:lang w:val="es-ES_tradnl"/>
        </w:rPr>
        <w:t>concurso de méritos</w:t>
      </w:r>
      <w:r w:rsidR="003056D2">
        <w:rPr>
          <w:rFonts w:ascii="Arial" w:hAnsi="Arial" w:cs="Arial"/>
          <w:sz w:val="22"/>
          <w:lang w:val="es-ES_tradnl"/>
        </w:rPr>
        <w:t>, procedimiento que se diferencia</w:t>
      </w:r>
      <w:r w:rsidR="00703B19">
        <w:rPr>
          <w:rFonts w:ascii="Arial" w:hAnsi="Arial" w:cs="Arial"/>
          <w:sz w:val="22"/>
          <w:lang w:val="es-ES_tradnl"/>
        </w:rPr>
        <w:t xml:space="preserve"> </w:t>
      </w:r>
      <w:r w:rsidR="003056D2">
        <w:rPr>
          <w:rFonts w:ascii="Arial" w:hAnsi="Arial" w:cs="Arial"/>
          <w:sz w:val="22"/>
          <w:lang w:val="es-ES_tradnl"/>
        </w:rPr>
        <w:lastRenderedPageBreak/>
        <w:t>considerablemente de</w:t>
      </w:r>
      <w:r w:rsidR="0010006F">
        <w:rPr>
          <w:rFonts w:ascii="Arial" w:hAnsi="Arial" w:cs="Arial"/>
          <w:sz w:val="22"/>
          <w:lang w:val="es-ES_tradnl"/>
        </w:rPr>
        <w:t xml:space="preserve"> la</w:t>
      </w:r>
      <w:r w:rsidR="003056D2">
        <w:rPr>
          <w:rFonts w:ascii="Arial" w:hAnsi="Arial" w:cs="Arial"/>
          <w:sz w:val="22"/>
          <w:lang w:val="es-ES_tradnl"/>
        </w:rPr>
        <w:t xml:space="preserve"> mínima cuantía</w:t>
      </w:r>
      <w:r w:rsidR="00957CC5">
        <w:rPr>
          <w:rStyle w:val="Refdenotaalpie"/>
          <w:rFonts w:ascii="Arial" w:hAnsi="Arial" w:cs="Arial"/>
          <w:sz w:val="22"/>
          <w:lang w:val="es-ES_tradnl"/>
        </w:rPr>
        <w:footnoteReference w:id="8"/>
      </w:r>
      <w:r w:rsidR="008211FE">
        <w:rPr>
          <w:rFonts w:ascii="Arial" w:hAnsi="Arial" w:cs="Arial"/>
          <w:sz w:val="22"/>
          <w:lang w:val="es-ES_tradnl"/>
        </w:rPr>
        <w:t>.</w:t>
      </w:r>
      <w:r w:rsidR="00DF2919">
        <w:rPr>
          <w:rFonts w:ascii="Arial" w:hAnsi="Arial" w:cs="Arial"/>
          <w:sz w:val="22"/>
          <w:lang w:val="es-ES_tradnl"/>
        </w:rPr>
        <w:t xml:space="preserve"> Los documentos tipo tienen en cuenta estas diferencias, porque</w:t>
      </w:r>
      <w:r w:rsidR="0055583B">
        <w:rPr>
          <w:rFonts w:ascii="Arial" w:hAnsi="Arial" w:cs="Arial"/>
          <w:sz w:val="22"/>
          <w:lang w:val="es-ES_tradnl"/>
        </w:rPr>
        <w:t xml:space="preserve"> definen</w:t>
      </w:r>
      <w:r w:rsidR="00703B19">
        <w:rPr>
          <w:rFonts w:ascii="Arial" w:hAnsi="Arial" w:cs="Arial"/>
          <w:sz w:val="22"/>
          <w:lang w:val="es-ES_tradnl"/>
        </w:rPr>
        <w:t xml:space="preserve"> para el </w:t>
      </w:r>
      <w:r w:rsidR="00703B19">
        <w:rPr>
          <w:rFonts w:ascii="Arial" w:hAnsi="Arial" w:cs="Arial"/>
          <w:i/>
          <w:iCs/>
          <w:sz w:val="22"/>
          <w:lang w:val="es-ES_tradnl"/>
        </w:rPr>
        <w:t>concurso de méritos</w:t>
      </w:r>
      <w:r w:rsidR="008B2686">
        <w:rPr>
          <w:rFonts w:ascii="Arial" w:hAnsi="Arial" w:cs="Arial"/>
          <w:sz w:val="22"/>
          <w:lang w:val="es-ES_tradnl"/>
        </w:rPr>
        <w:t xml:space="preserve"> </w:t>
      </w:r>
      <w:r w:rsidR="0055583B">
        <w:rPr>
          <w:rFonts w:ascii="Arial" w:hAnsi="Arial" w:cs="Arial"/>
          <w:sz w:val="22"/>
          <w:lang w:val="es-ES_tradnl"/>
        </w:rPr>
        <w:t>aspectos como los criterios de evaluación</w:t>
      </w:r>
      <w:r w:rsidR="00703B19">
        <w:rPr>
          <w:rFonts w:ascii="Arial" w:hAnsi="Arial" w:cs="Arial"/>
          <w:sz w:val="22"/>
          <w:lang w:val="es-ES_tradnl"/>
        </w:rPr>
        <w:t xml:space="preserve"> </w:t>
      </w:r>
      <w:r w:rsidR="0055583B">
        <w:rPr>
          <w:rFonts w:ascii="Arial" w:hAnsi="Arial" w:cs="Arial"/>
          <w:sz w:val="22"/>
          <w:lang w:val="es-ES_tradnl"/>
        </w:rPr>
        <w:t>–</w:t>
      </w:r>
      <w:r w:rsidR="00BD7C55">
        <w:rPr>
          <w:rFonts w:ascii="Arial" w:hAnsi="Arial" w:cs="Arial"/>
          <w:sz w:val="22"/>
          <w:lang w:val="es-ES_tradnl"/>
        </w:rPr>
        <w:t>capítulo IV del documento base–</w:t>
      </w:r>
      <w:r w:rsidR="00EF1FAB">
        <w:rPr>
          <w:rFonts w:ascii="Arial" w:hAnsi="Arial" w:cs="Arial"/>
          <w:sz w:val="22"/>
          <w:lang w:val="es-ES_tradnl"/>
        </w:rPr>
        <w:t xml:space="preserve"> y </w:t>
      </w:r>
      <w:r w:rsidR="00285E33">
        <w:rPr>
          <w:rFonts w:ascii="Arial" w:hAnsi="Arial" w:cs="Arial"/>
          <w:sz w:val="22"/>
          <w:lang w:val="es-ES_tradnl"/>
        </w:rPr>
        <w:t>el cronograma del proceso</w:t>
      </w:r>
      <w:r w:rsidR="00703B19">
        <w:rPr>
          <w:rFonts w:ascii="Arial" w:hAnsi="Arial" w:cs="Arial"/>
          <w:sz w:val="22"/>
          <w:lang w:val="es-ES_tradnl"/>
        </w:rPr>
        <w:t xml:space="preserve"> </w:t>
      </w:r>
      <w:r w:rsidR="00285E33">
        <w:rPr>
          <w:rFonts w:ascii="Arial" w:hAnsi="Arial" w:cs="Arial"/>
          <w:sz w:val="22"/>
          <w:lang w:val="es-ES_tradnl"/>
        </w:rPr>
        <w:t>–anexo 2–</w:t>
      </w:r>
      <w:r w:rsidR="006271CF">
        <w:rPr>
          <w:rFonts w:ascii="Arial" w:hAnsi="Arial" w:cs="Arial"/>
          <w:sz w:val="22"/>
          <w:lang w:val="es-ES_tradnl"/>
        </w:rPr>
        <w:t>. Los documentos tipo implementados en virtud de la Resolución No. 256 del 11 de diciembre de 2020 incluso emplean conceptos que son extraños a la modalidad de mínima cuantía –porque no se aplican a esta–, como los siguientes: proyecto de pliego de condiciones, pliego de condiciones, aviso de convocatoria</w:t>
      </w:r>
      <w:r w:rsidR="00147BED">
        <w:rPr>
          <w:rFonts w:ascii="Arial" w:hAnsi="Arial" w:cs="Arial"/>
          <w:sz w:val="22"/>
          <w:lang w:val="es-ES_tradnl"/>
        </w:rPr>
        <w:t>, acto administrativo de adjudicación, entre otros</w:t>
      </w:r>
      <w:r w:rsidR="00587229">
        <w:rPr>
          <w:rFonts w:ascii="Arial" w:hAnsi="Arial" w:cs="Arial"/>
          <w:sz w:val="22"/>
          <w:lang w:val="es-ES_tradnl"/>
        </w:rPr>
        <w:t>.</w:t>
      </w:r>
      <w:r w:rsidR="00A628ED">
        <w:rPr>
          <w:rFonts w:ascii="Arial" w:hAnsi="Arial" w:cs="Arial"/>
          <w:sz w:val="22"/>
          <w:lang w:val="es-ES_tradnl"/>
        </w:rPr>
        <w:t xml:space="preserve"> </w:t>
      </w:r>
    </w:p>
    <w:p w14:paraId="07E621C4" w14:textId="3785DA3C" w:rsidR="00E15AB1" w:rsidRDefault="00C94D3B" w:rsidP="00FC0BAC">
      <w:pPr>
        <w:spacing w:before="120" w:after="120" w:line="276" w:lineRule="auto"/>
        <w:ind w:firstLine="709"/>
        <w:jc w:val="both"/>
      </w:pPr>
      <w:r>
        <w:rPr>
          <w:rFonts w:ascii="Arial" w:hAnsi="Arial" w:cs="Arial"/>
          <w:sz w:val="22"/>
          <w:lang w:val="es-ES_tradnl"/>
        </w:rPr>
        <w:t>E</w:t>
      </w:r>
      <w:r w:rsidR="006E6F90">
        <w:rPr>
          <w:rFonts w:ascii="Arial" w:hAnsi="Arial" w:cs="Arial"/>
          <w:sz w:val="22"/>
          <w:lang w:val="es-ES_tradnl"/>
        </w:rPr>
        <w:t xml:space="preserve">s cierto </w:t>
      </w:r>
      <w:r>
        <w:rPr>
          <w:rFonts w:ascii="Arial" w:hAnsi="Arial" w:cs="Arial"/>
          <w:sz w:val="22"/>
          <w:lang w:val="es-ES_tradnl"/>
        </w:rPr>
        <w:t xml:space="preserve">que </w:t>
      </w:r>
      <w:r w:rsidR="0083261D">
        <w:rPr>
          <w:rFonts w:ascii="Arial" w:hAnsi="Arial" w:cs="Arial"/>
          <w:sz w:val="22"/>
          <w:lang w:val="es-ES_tradnl"/>
        </w:rPr>
        <w:t>el numeral 05, literal B</w:t>
      </w:r>
      <w:r w:rsidR="008D7119">
        <w:rPr>
          <w:rFonts w:ascii="Arial" w:hAnsi="Arial" w:cs="Arial"/>
          <w:sz w:val="22"/>
          <w:lang w:val="es-ES_tradnl"/>
        </w:rPr>
        <w:t>, del</w:t>
      </w:r>
      <w:r w:rsidR="0083261D">
        <w:rPr>
          <w:rFonts w:ascii="Arial" w:hAnsi="Arial" w:cs="Arial"/>
          <w:sz w:val="22"/>
          <w:lang w:val="es-ES_tradnl"/>
        </w:rPr>
        <w:t xml:space="preserve"> </w:t>
      </w:r>
      <w:r w:rsidR="006E0079">
        <w:rPr>
          <w:rFonts w:ascii="Arial" w:hAnsi="Arial" w:cs="Arial"/>
          <w:sz w:val="22"/>
          <w:lang w:val="es-ES_tradnl"/>
        </w:rPr>
        <w:t>«</w:t>
      </w:r>
      <w:r w:rsidR="006E6F90">
        <w:rPr>
          <w:rFonts w:ascii="Arial" w:hAnsi="Arial" w:cs="Arial"/>
          <w:sz w:val="22"/>
          <w:lang w:val="es-ES_tradnl"/>
        </w:rPr>
        <w:t xml:space="preserve">Manual </w:t>
      </w:r>
      <w:r w:rsidR="006E0079">
        <w:rPr>
          <w:rFonts w:ascii="Arial" w:hAnsi="Arial" w:cs="Arial"/>
          <w:sz w:val="22"/>
          <w:lang w:val="es-ES_tradnl"/>
        </w:rPr>
        <w:t>de la modalidad de selección de mínima cuantía»</w:t>
      </w:r>
      <w:r>
        <w:rPr>
          <w:rFonts w:ascii="Arial" w:hAnsi="Arial" w:cs="Arial"/>
          <w:sz w:val="22"/>
          <w:lang w:val="es-ES_tradnl"/>
        </w:rPr>
        <w:t>,</w:t>
      </w:r>
      <w:r w:rsidR="006E0079">
        <w:rPr>
          <w:rFonts w:ascii="Arial" w:hAnsi="Arial" w:cs="Arial"/>
          <w:sz w:val="22"/>
          <w:lang w:val="es-ES_tradnl"/>
        </w:rPr>
        <w:t xml:space="preserve"> publicado por la Agencia Nacional de Contratación Pública – Colombia Compra Eficiente,</w:t>
      </w:r>
      <w:r w:rsidR="0083261D">
        <w:rPr>
          <w:rFonts w:ascii="Arial" w:hAnsi="Arial" w:cs="Arial"/>
          <w:sz w:val="22"/>
          <w:lang w:val="es-ES_tradnl"/>
        </w:rPr>
        <w:t xml:space="preserve"> </w:t>
      </w:r>
      <w:r w:rsidR="00BB6721">
        <w:rPr>
          <w:rFonts w:ascii="Arial" w:hAnsi="Arial" w:cs="Arial"/>
          <w:sz w:val="22"/>
          <w:lang w:val="es-ES_tradnl"/>
        </w:rPr>
        <w:t>expresa</w:t>
      </w:r>
      <w:r w:rsidR="006E0079">
        <w:rPr>
          <w:rFonts w:ascii="Arial" w:hAnsi="Arial" w:cs="Arial"/>
          <w:sz w:val="22"/>
          <w:lang w:val="es-ES_tradnl"/>
        </w:rPr>
        <w:t xml:space="preserve"> </w:t>
      </w:r>
      <w:r>
        <w:rPr>
          <w:rFonts w:ascii="Arial" w:hAnsi="Arial" w:cs="Arial"/>
          <w:sz w:val="22"/>
          <w:lang w:val="es-ES_tradnl"/>
        </w:rPr>
        <w:t>que</w:t>
      </w:r>
      <w:r w:rsidR="008D7119">
        <w:rPr>
          <w:rFonts w:ascii="Arial" w:hAnsi="Arial" w:cs="Arial"/>
          <w:sz w:val="21"/>
          <w:szCs w:val="21"/>
          <w:lang w:val="es-ES_tradnl"/>
        </w:rPr>
        <w:t xml:space="preserve"> «</w:t>
      </w:r>
      <w:r w:rsidRPr="00C94D3B">
        <w:rPr>
          <w:rFonts w:ascii="Arial" w:hAnsi="Arial" w:cs="Arial"/>
          <w:sz w:val="21"/>
          <w:szCs w:val="21"/>
          <w:lang w:val="es-ES_tradnl"/>
        </w:rPr>
        <w:t>Dado que la selección de mínima cuantía es especial para cualquier objeto contractual, de conformidad con el inciso primero del artículo 94 de la Ley 1474 de 2011, en caso de concurrencia entre el concurso de méritos y la mínima cuantía, la modalidad de selección aplicable es la de mínima cuantía</w:t>
      </w:r>
      <w:r w:rsidR="008D7119">
        <w:rPr>
          <w:rFonts w:ascii="Arial" w:hAnsi="Arial" w:cs="Arial"/>
          <w:sz w:val="21"/>
          <w:szCs w:val="21"/>
          <w:lang w:val="es-ES_tradnl"/>
        </w:rPr>
        <w:t>»</w:t>
      </w:r>
      <w:r w:rsidR="00093D14">
        <w:rPr>
          <w:rStyle w:val="Refdenotaalpie"/>
          <w:rFonts w:ascii="Arial" w:hAnsi="Arial" w:cs="Arial"/>
          <w:sz w:val="21"/>
          <w:szCs w:val="21"/>
          <w:lang w:val="es-ES_tradnl"/>
        </w:rPr>
        <w:footnoteReference w:id="9"/>
      </w:r>
      <w:r w:rsidRPr="00C94D3B">
        <w:rPr>
          <w:rFonts w:ascii="Arial" w:hAnsi="Arial" w:cs="Arial"/>
          <w:sz w:val="21"/>
          <w:szCs w:val="21"/>
          <w:lang w:val="es-ES_tradnl"/>
        </w:rPr>
        <w:t xml:space="preserve">. </w:t>
      </w:r>
    </w:p>
    <w:p w14:paraId="18CC33B4" w14:textId="4AB7535A" w:rsidR="00D31F0A" w:rsidRDefault="00230552" w:rsidP="00E15AB1">
      <w:pPr>
        <w:pStyle w:val="Normal11pt"/>
        <w:spacing w:line="276" w:lineRule="auto"/>
        <w:ind w:left="0" w:firstLine="709"/>
      </w:pPr>
      <w:r>
        <w:t xml:space="preserve">De igual forma, es cierto </w:t>
      </w:r>
      <w:r w:rsidR="00CD43B3">
        <w:t>que esta</w:t>
      </w:r>
      <w:r w:rsidR="00D31F0A">
        <w:t xml:space="preserve"> ha sido la interpretación del Consejo de Estado, que</w:t>
      </w:r>
      <w:r w:rsidR="00E15AB1">
        <w:t xml:space="preserve"> al estudiar la concurrencia entre la mínima cuantía y otras modalidades de selección –incluido el </w:t>
      </w:r>
      <w:r w:rsidR="004E10F5">
        <w:t xml:space="preserve">concurso de méritos para la selección de </w:t>
      </w:r>
      <w:r w:rsidR="004E10F5" w:rsidRPr="00471D8F">
        <w:rPr>
          <w:i/>
          <w:iCs/>
        </w:rPr>
        <w:t>consultores</w:t>
      </w:r>
      <w:r w:rsidR="004E10F5">
        <w:t xml:space="preserve">, entre los cuales se encuentran los </w:t>
      </w:r>
      <w:r w:rsidR="004E10F5" w:rsidRPr="00471D8F">
        <w:rPr>
          <w:i/>
          <w:iCs/>
        </w:rPr>
        <w:t>interventores</w:t>
      </w:r>
      <w:r w:rsidR="004E10F5">
        <w:t xml:space="preserve">, al tenor del artículo 32, numeral </w:t>
      </w:r>
      <w:r w:rsidR="00F12256">
        <w:t>2 de la Ley 80 de 1993</w:t>
      </w:r>
      <w:r w:rsidR="00F12256">
        <w:rPr>
          <w:rStyle w:val="Refdenotaalpie"/>
        </w:rPr>
        <w:footnoteReference w:id="10"/>
      </w:r>
      <w:r w:rsidR="00F12256">
        <w:t>–, ha concluido que:</w:t>
      </w:r>
    </w:p>
    <w:p w14:paraId="33657541" w14:textId="77777777" w:rsidR="00E15AB1" w:rsidRDefault="00E15AB1" w:rsidP="00E15AB1">
      <w:pPr>
        <w:ind w:left="709" w:right="709"/>
        <w:jc w:val="both"/>
        <w:rPr>
          <w:rFonts w:ascii="Arial" w:hAnsi="Arial" w:cs="Arial"/>
          <w:sz w:val="21"/>
          <w:szCs w:val="21"/>
          <w:lang w:val="es-ES_tradnl"/>
        </w:rPr>
      </w:pPr>
    </w:p>
    <w:p w14:paraId="24D6A438" w14:textId="760589BF" w:rsidR="007C3BFC" w:rsidRPr="00E15AB1" w:rsidRDefault="007C3BFC" w:rsidP="00E15AB1">
      <w:pPr>
        <w:ind w:left="709" w:right="709"/>
        <w:jc w:val="both"/>
        <w:rPr>
          <w:rFonts w:ascii="Arial" w:hAnsi="Arial" w:cs="Arial"/>
          <w:sz w:val="21"/>
          <w:szCs w:val="21"/>
          <w:lang w:val="es-ES_tradnl"/>
        </w:rPr>
      </w:pPr>
      <w:r w:rsidRPr="00E15AB1">
        <w:rPr>
          <w:rFonts w:ascii="Arial" w:hAnsi="Arial" w:cs="Arial"/>
          <w:sz w:val="21"/>
          <w:szCs w:val="21"/>
          <w:lang w:val="es-ES_tradnl"/>
        </w:rPr>
        <w:t xml:space="preserve">[…], cuando el monto de la contratación sea equivalente a la mínima cuantía de la entidad estatal, pero, concomitante a ello, esta última (la entidad) advierta que </w:t>
      </w:r>
      <w:r w:rsidRPr="00E15AB1">
        <w:rPr>
          <w:rFonts w:ascii="Arial" w:hAnsi="Arial" w:cs="Arial"/>
          <w:sz w:val="21"/>
          <w:szCs w:val="21"/>
          <w:lang w:val="es-ES_tradnl"/>
        </w:rPr>
        <w:lastRenderedPageBreak/>
        <w:t xml:space="preserve">también aplica alguna modalidad de selección específica (dadas las condiciones especiales del objeto), ella debe acudir al procedimiento establecido para la mínima cuantía; así, por ejemplo, si la administración necesita contratar la prestación de servicios de salud (supuesto que se enmarca en el trámite de selección abreviada), pero el valor del contrato no excede del 10% de la menor cuantía de la entidad, este último será el criterio que se debe tener en cuenta para la escogencia del contratista; por tanto, el procedimiento que debe seguirse será el de mínima cuantía, independientemente –se insiste– del objeto a contratar. </w:t>
      </w:r>
      <w:r w:rsidRPr="00262881">
        <w:rPr>
          <w:rFonts w:ascii="Arial" w:hAnsi="Arial" w:cs="Arial"/>
          <w:i/>
          <w:iCs/>
          <w:sz w:val="21"/>
          <w:szCs w:val="21"/>
          <w:lang w:val="es-ES_tradnl"/>
        </w:rPr>
        <w:t>Lo mismo se aplica cuando se necesita contratar una consultor</w:t>
      </w:r>
      <w:r w:rsidR="00E15AB1" w:rsidRPr="00262881">
        <w:rPr>
          <w:rFonts w:ascii="Arial" w:hAnsi="Arial" w:cs="Arial"/>
          <w:i/>
          <w:iCs/>
          <w:sz w:val="21"/>
          <w:szCs w:val="21"/>
          <w:lang w:val="es-ES_tradnl"/>
        </w:rPr>
        <w:t>ía</w:t>
      </w:r>
      <w:r w:rsidRPr="00E15AB1">
        <w:rPr>
          <w:rFonts w:ascii="Arial" w:hAnsi="Arial" w:cs="Arial"/>
          <w:sz w:val="21"/>
          <w:szCs w:val="21"/>
          <w:lang w:val="es-ES_tradnl"/>
        </w:rPr>
        <w:t xml:space="preserve"> o </w:t>
      </w:r>
      <w:r w:rsidR="00E15AB1" w:rsidRPr="00E15AB1">
        <w:rPr>
          <w:rFonts w:ascii="Arial" w:hAnsi="Arial" w:cs="Arial"/>
          <w:sz w:val="21"/>
          <w:szCs w:val="21"/>
          <w:lang w:val="es-ES_tradnl"/>
        </w:rPr>
        <w:t xml:space="preserve">adquirir </w:t>
      </w:r>
      <w:r w:rsidRPr="00E15AB1">
        <w:rPr>
          <w:rFonts w:ascii="Arial" w:hAnsi="Arial" w:cs="Arial"/>
          <w:sz w:val="21"/>
          <w:szCs w:val="21"/>
          <w:lang w:val="es-ES_tradnl"/>
        </w:rPr>
        <w:t xml:space="preserve">bienes o servicios de características </w:t>
      </w:r>
      <w:r w:rsidR="00E15AB1" w:rsidRPr="00E15AB1">
        <w:rPr>
          <w:rFonts w:ascii="Arial" w:hAnsi="Arial" w:cs="Arial"/>
          <w:sz w:val="21"/>
          <w:szCs w:val="21"/>
          <w:lang w:val="es-ES_tradnl"/>
        </w:rPr>
        <w:t>t</w:t>
      </w:r>
      <w:r w:rsidRPr="00E15AB1">
        <w:rPr>
          <w:rFonts w:ascii="Arial" w:hAnsi="Arial" w:cs="Arial"/>
          <w:sz w:val="21"/>
          <w:szCs w:val="21"/>
          <w:lang w:val="es-ES_tradnl"/>
        </w:rPr>
        <w:t>écnicas uniformes y de común</w:t>
      </w:r>
      <w:r w:rsidR="00E15AB1" w:rsidRPr="00E15AB1">
        <w:rPr>
          <w:rFonts w:ascii="Arial" w:hAnsi="Arial" w:cs="Arial"/>
          <w:sz w:val="21"/>
          <w:szCs w:val="21"/>
          <w:lang w:val="es-ES_tradnl"/>
        </w:rPr>
        <w:t xml:space="preserve"> </w:t>
      </w:r>
      <w:r w:rsidRPr="00E15AB1">
        <w:rPr>
          <w:rFonts w:ascii="Arial" w:hAnsi="Arial" w:cs="Arial"/>
          <w:sz w:val="21"/>
          <w:szCs w:val="21"/>
          <w:lang w:val="es-ES_tradnl"/>
        </w:rPr>
        <w:t>utilización, entre otros, siempre que el costo de la contratación no supere la</w:t>
      </w:r>
      <w:r w:rsidR="00E15AB1" w:rsidRPr="00E15AB1">
        <w:rPr>
          <w:rFonts w:ascii="Arial" w:hAnsi="Arial" w:cs="Arial"/>
          <w:sz w:val="21"/>
          <w:szCs w:val="21"/>
          <w:lang w:val="es-ES_tradnl"/>
        </w:rPr>
        <w:t xml:space="preserve"> </w:t>
      </w:r>
      <w:r w:rsidRPr="00E15AB1">
        <w:rPr>
          <w:rFonts w:ascii="Arial" w:hAnsi="Arial" w:cs="Arial"/>
          <w:sz w:val="21"/>
          <w:szCs w:val="21"/>
          <w:lang w:val="es-ES_tradnl"/>
        </w:rPr>
        <w:t>mínima cuantía de la entidad</w:t>
      </w:r>
      <w:r w:rsidR="00E15AB1" w:rsidRPr="00E15AB1">
        <w:rPr>
          <w:rStyle w:val="Refdenotaalpie"/>
          <w:rFonts w:ascii="Arial" w:hAnsi="Arial" w:cs="Arial"/>
          <w:sz w:val="21"/>
          <w:szCs w:val="21"/>
        </w:rPr>
        <w:footnoteReference w:id="11"/>
      </w:r>
      <w:r w:rsidR="00262881">
        <w:rPr>
          <w:rFonts w:ascii="Arial" w:hAnsi="Arial" w:cs="Arial"/>
          <w:sz w:val="21"/>
          <w:szCs w:val="21"/>
          <w:lang w:val="es-ES_tradnl"/>
        </w:rPr>
        <w:t xml:space="preserve"> (cursiva fuera de texto)</w:t>
      </w:r>
      <w:r w:rsidRPr="00E15AB1">
        <w:rPr>
          <w:rFonts w:ascii="Arial" w:hAnsi="Arial" w:cs="Arial"/>
          <w:sz w:val="21"/>
          <w:szCs w:val="21"/>
          <w:lang w:val="es-ES_tradnl"/>
        </w:rPr>
        <w:t>.</w:t>
      </w:r>
    </w:p>
    <w:p w14:paraId="3A025A13" w14:textId="77777777" w:rsidR="00E15AB1" w:rsidRDefault="00E15AB1" w:rsidP="00E15AB1">
      <w:pPr>
        <w:pStyle w:val="Normal11pt"/>
        <w:spacing w:line="276" w:lineRule="auto"/>
        <w:ind w:left="0" w:firstLine="709"/>
      </w:pPr>
    </w:p>
    <w:p w14:paraId="1088D8D0" w14:textId="4651CE91" w:rsidR="00270D1D" w:rsidRDefault="00DF084C" w:rsidP="00FC0BAC">
      <w:pPr>
        <w:pStyle w:val="Normal11pt"/>
        <w:spacing w:after="120" w:line="276" w:lineRule="auto"/>
        <w:ind w:left="0" w:firstLine="709"/>
      </w:pPr>
      <w:r>
        <w:t xml:space="preserve">Sin embargo, no es menos cierto que </w:t>
      </w:r>
      <w:r w:rsidR="00A628ED">
        <w:t>en virtud</w:t>
      </w:r>
      <w:r w:rsidR="00B01C36">
        <w:t xml:space="preserve"> de</w:t>
      </w:r>
      <w:r w:rsidR="009D474E">
        <w:t xml:space="preserve"> </w:t>
      </w:r>
      <w:r w:rsidR="00B01C36">
        <w:t>l</w:t>
      </w:r>
      <w:r w:rsidR="009D474E">
        <w:t>a Ley 2022 de 2020 y el</w:t>
      </w:r>
      <w:r w:rsidR="00B01C36">
        <w:t xml:space="preserve"> artículo </w:t>
      </w:r>
      <w:r w:rsidR="007D2CDA">
        <w:t>1</w:t>
      </w:r>
      <w:r w:rsidR="00B01C36">
        <w:t xml:space="preserve"> de la Resolución No. 256 del 11 de diciembre </w:t>
      </w:r>
      <w:r w:rsidR="00A628ED">
        <w:t>de 2020</w:t>
      </w:r>
      <w:r w:rsidR="00B01C36">
        <w:t>,</w:t>
      </w:r>
      <w:r w:rsidR="008D7119">
        <w:t xml:space="preserve"> los documentos tipo adoptados mediante este acto administrativo únicamente son obligatorios para la interventoría de obras públicas de infraestructura de transporte por concurso de méritos</w:t>
      </w:r>
      <w:r w:rsidR="000B6C36">
        <w:t>.</w:t>
      </w:r>
      <w:r w:rsidR="00935504">
        <w:t xml:space="preserve"> </w:t>
      </w:r>
      <w:r w:rsidR="008D7119">
        <w:t xml:space="preserve">De esta </w:t>
      </w:r>
      <w:r w:rsidR="00270D1D">
        <w:t>manera,</w:t>
      </w:r>
      <w:r w:rsidR="008D7119">
        <w:t xml:space="preserve"> aunque no son obligatorios para los contratos de </w:t>
      </w:r>
      <w:r w:rsidR="00270D1D">
        <w:t xml:space="preserve">interventoría adelantados por mínima cuantía, nada obsta para que –sin desconocer las diferencias entre ambos procedimientos de selección– se adopten potestativamente los documentos tipo citados como criterio de buena práctica contractual, haciendo las adaptaciones pertinentes para la contratación </w:t>
      </w:r>
      <w:r w:rsidR="00270D1D">
        <w:rPr>
          <w:rFonts w:eastAsia="Calibri"/>
          <w:bCs/>
          <w:color w:val="000000" w:themeColor="text1"/>
        </w:rPr>
        <w:t>cuyo valor no exced</w:t>
      </w:r>
      <w:r w:rsidR="00846D14">
        <w:rPr>
          <w:rFonts w:eastAsia="Calibri"/>
          <w:bCs/>
          <w:color w:val="000000" w:themeColor="text1"/>
        </w:rPr>
        <w:t>a</w:t>
      </w:r>
      <w:r w:rsidR="00270D1D">
        <w:rPr>
          <w:rFonts w:eastAsia="Calibri"/>
          <w:bCs/>
          <w:color w:val="000000" w:themeColor="text1"/>
        </w:rPr>
        <w:t xml:space="preserve"> el diez por ciento –10%– de la menor cuantía</w:t>
      </w:r>
      <w:r w:rsidR="00642188">
        <w:t xml:space="preserve">. </w:t>
      </w:r>
    </w:p>
    <w:p w14:paraId="5AB3223C" w14:textId="00C20437" w:rsidR="00B41FD1" w:rsidRPr="008918A2" w:rsidRDefault="009D474E" w:rsidP="00E15AB1">
      <w:pPr>
        <w:pStyle w:val="Normal11pt"/>
        <w:spacing w:line="276" w:lineRule="auto"/>
        <w:ind w:left="0" w:firstLine="709"/>
        <w:rPr>
          <w:rFonts w:eastAsia="Calibri"/>
          <w:color w:val="000000" w:themeColor="text1"/>
        </w:rPr>
      </w:pPr>
      <w:r>
        <w:t xml:space="preserve">En todo caso, para la modalidad de mínima cuantía, es necesario precisar que </w:t>
      </w:r>
      <w:r w:rsidR="00642188">
        <w:t>hasta el momento solo ha</w:t>
      </w:r>
      <w:r>
        <w:t>n</w:t>
      </w:r>
      <w:r w:rsidR="00642188">
        <w:t xml:space="preserve"> expedido documentos tipo</w:t>
      </w:r>
      <w:r w:rsidR="00B41FD1">
        <w:t xml:space="preserve"> </w:t>
      </w:r>
      <w:r w:rsidR="00B41FD1" w:rsidRPr="008918A2">
        <w:rPr>
          <w:rFonts w:eastAsia="Calibri"/>
          <w:color w:val="000000" w:themeColor="text1"/>
        </w:rPr>
        <w:t xml:space="preserve">para procesos </w:t>
      </w:r>
      <w:r w:rsidR="00353765">
        <w:rPr>
          <w:rFonts w:eastAsia="Calibri"/>
          <w:color w:val="000000" w:themeColor="text1"/>
        </w:rPr>
        <w:t xml:space="preserve">de </w:t>
      </w:r>
      <w:r w:rsidR="00353765" w:rsidRPr="00093D14">
        <w:rPr>
          <w:rFonts w:eastAsia="Calibri"/>
          <w:i/>
          <w:iCs/>
          <w:color w:val="000000" w:themeColor="text1"/>
        </w:rPr>
        <w:t>obra pública</w:t>
      </w:r>
      <w:r w:rsidR="00353765">
        <w:rPr>
          <w:rFonts w:eastAsia="Calibri"/>
          <w:color w:val="000000" w:themeColor="text1"/>
        </w:rPr>
        <w:t xml:space="preserve"> </w:t>
      </w:r>
      <w:r w:rsidR="000A1576">
        <w:rPr>
          <w:rFonts w:eastAsia="Calibri"/>
          <w:color w:val="000000" w:themeColor="text1"/>
        </w:rPr>
        <w:t xml:space="preserve">de </w:t>
      </w:r>
      <w:r w:rsidR="000A1576" w:rsidRPr="008918A2">
        <w:rPr>
          <w:rFonts w:eastAsia="Calibri"/>
          <w:color w:val="000000" w:themeColor="text1"/>
        </w:rPr>
        <w:t>infraestructura de transporte</w:t>
      </w:r>
      <w:r w:rsidR="00093D14">
        <w:rPr>
          <w:rFonts w:eastAsia="Calibri"/>
          <w:color w:val="000000" w:themeColor="text1"/>
        </w:rPr>
        <w:t xml:space="preserve">, </w:t>
      </w:r>
      <w:r w:rsidR="00150795">
        <w:rPr>
          <w:rFonts w:eastAsia="Calibri"/>
          <w:color w:val="000000" w:themeColor="text1"/>
        </w:rPr>
        <w:t xml:space="preserve">los cuales fueron </w:t>
      </w:r>
      <w:r w:rsidR="00093D14">
        <w:rPr>
          <w:rFonts w:eastAsia="Calibri"/>
          <w:color w:val="000000" w:themeColor="text1"/>
        </w:rPr>
        <w:t>adoptados mediante la Resolución No. 094 de 2020</w:t>
      </w:r>
      <w:r w:rsidR="00093D14">
        <w:rPr>
          <w:rStyle w:val="Refdenotaalpie"/>
          <w:rFonts w:eastAsia="Calibri"/>
          <w:color w:val="000000" w:themeColor="text1"/>
        </w:rPr>
        <w:footnoteReference w:id="12"/>
      </w:r>
      <w:r>
        <w:rPr>
          <w:rFonts w:eastAsia="Calibri"/>
          <w:color w:val="000000" w:themeColor="text1"/>
        </w:rPr>
        <w:t>. En todo caso,</w:t>
      </w:r>
      <w:r w:rsidR="00150795">
        <w:rPr>
          <w:rFonts w:eastAsia="Calibri"/>
          <w:color w:val="000000" w:themeColor="text1"/>
        </w:rPr>
        <w:t xml:space="preserve"> no se descarta la posibilidad de implementarlos más adelante en otros eventos de mínima cuantía</w:t>
      </w:r>
      <w:r w:rsidR="00093D14">
        <w:rPr>
          <w:rFonts w:eastAsia="Calibri"/>
          <w:color w:val="000000" w:themeColor="text1"/>
        </w:rPr>
        <w:t>.</w:t>
      </w:r>
    </w:p>
    <w:p w14:paraId="16AE7F4B" w14:textId="44A1F3B5" w:rsidR="003E7890" w:rsidRDefault="00642188" w:rsidP="00611EAA">
      <w:pPr>
        <w:spacing w:line="276" w:lineRule="auto"/>
        <w:ind w:firstLine="709"/>
        <w:jc w:val="both"/>
        <w:rPr>
          <w:rFonts w:ascii="Arial" w:hAnsi="Arial" w:cs="Arial"/>
          <w:sz w:val="22"/>
          <w:lang w:val="es-ES_tradnl"/>
        </w:rPr>
      </w:pPr>
      <w:r>
        <w:rPr>
          <w:rFonts w:ascii="Arial" w:hAnsi="Arial" w:cs="Arial"/>
          <w:sz w:val="22"/>
          <w:lang w:val="es-ES_tradnl"/>
        </w:rPr>
        <w:t xml:space="preserve">  </w:t>
      </w:r>
      <w:r w:rsidR="000B6C36">
        <w:rPr>
          <w:rFonts w:ascii="Arial" w:hAnsi="Arial" w:cs="Arial"/>
          <w:sz w:val="22"/>
          <w:lang w:val="es-ES_tradnl"/>
        </w:rPr>
        <w:t xml:space="preserve"> </w:t>
      </w:r>
      <w:r w:rsidR="00B01C36">
        <w:rPr>
          <w:rFonts w:ascii="Arial" w:hAnsi="Arial" w:cs="Arial"/>
          <w:sz w:val="22"/>
          <w:lang w:val="es-ES_tradnl"/>
        </w:rPr>
        <w:t xml:space="preserve">  </w:t>
      </w:r>
      <w:r w:rsidR="00E51129">
        <w:rPr>
          <w:rFonts w:ascii="Arial" w:hAnsi="Arial" w:cs="Arial"/>
          <w:sz w:val="22"/>
          <w:lang w:val="es-ES_tradnl"/>
        </w:rPr>
        <w:t xml:space="preserve"> </w:t>
      </w:r>
    </w:p>
    <w:p w14:paraId="37CA9805" w14:textId="2944B15C" w:rsidR="00DD5B04" w:rsidRPr="004D1C27" w:rsidRDefault="004177A6" w:rsidP="004D1C27">
      <w:pPr>
        <w:spacing w:line="276" w:lineRule="auto"/>
        <w:jc w:val="both"/>
        <w:rPr>
          <w:rFonts w:ascii="Arial" w:hAnsi="Arial" w:cs="Arial"/>
          <w:sz w:val="22"/>
          <w:lang w:val="es-ES_tradnl"/>
        </w:rPr>
      </w:pPr>
      <w:r w:rsidRPr="00A43C00">
        <w:rPr>
          <w:rFonts w:ascii="Arial" w:eastAsia="Calibri" w:hAnsi="Arial" w:cs="Arial"/>
          <w:b/>
          <w:color w:val="000000" w:themeColor="text1"/>
          <w:sz w:val="22"/>
          <w:lang w:val="es-ES_tradnl"/>
        </w:rPr>
        <w:t>3</w:t>
      </w:r>
      <w:r w:rsidR="00B011A9" w:rsidRPr="00A43C00">
        <w:rPr>
          <w:rFonts w:ascii="Arial" w:eastAsia="Calibri" w:hAnsi="Arial" w:cs="Arial"/>
          <w:b/>
          <w:color w:val="000000" w:themeColor="text1"/>
          <w:sz w:val="22"/>
          <w:lang w:val="es-ES_tradnl"/>
        </w:rPr>
        <w:t xml:space="preserve">. </w:t>
      </w:r>
      <w:r w:rsidR="00DD5B04" w:rsidRPr="00A43C00">
        <w:rPr>
          <w:rFonts w:ascii="Arial" w:eastAsia="Calibri" w:hAnsi="Arial" w:cs="Arial"/>
          <w:b/>
          <w:color w:val="000000" w:themeColor="text1"/>
          <w:sz w:val="22"/>
          <w:lang w:val="es-ES_tradnl"/>
        </w:rPr>
        <w:t>Respuest</w:t>
      </w:r>
      <w:r w:rsidR="00BF0E64" w:rsidRPr="00A43C00">
        <w:rPr>
          <w:rFonts w:ascii="Arial" w:eastAsia="Calibri" w:hAnsi="Arial" w:cs="Arial"/>
          <w:b/>
          <w:color w:val="000000" w:themeColor="text1"/>
          <w:sz w:val="22"/>
          <w:lang w:val="es-ES_tradnl"/>
        </w:rPr>
        <w:t>a</w:t>
      </w:r>
    </w:p>
    <w:p w14:paraId="0B74D5B8" w14:textId="7F0A7F13" w:rsidR="00C4581D" w:rsidRPr="00A43C00" w:rsidRDefault="00C4581D" w:rsidP="00510DE9">
      <w:pPr>
        <w:tabs>
          <w:tab w:val="left" w:pos="0"/>
        </w:tabs>
        <w:jc w:val="both"/>
        <w:rPr>
          <w:rFonts w:ascii="Arial" w:eastAsia="Calibri" w:hAnsi="Arial" w:cs="Arial"/>
          <w:color w:val="000000" w:themeColor="text1"/>
          <w:sz w:val="22"/>
          <w:lang w:val="es-ES_tradnl"/>
        </w:rPr>
      </w:pPr>
    </w:p>
    <w:p w14:paraId="1B9DA5F0" w14:textId="6402DD9F" w:rsidR="0006089F" w:rsidRDefault="0006089F" w:rsidP="00FC0BAC">
      <w:pPr>
        <w:spacing w:after="120"/>
        <w:ind w:left="709" w:right="709"/>
        <w:jc w:val="both"/>
        <w:rPr>
          <w:rFonts w:ascii="Arial" w:hAnsi="Arial" w:cs="Arial"/>
          <w:color w:val="000000" w:themeColor="text1"/>
          <w:sz w:val="21"/>
          <w:szCs w:val="21"/>
          <w:lang w:val="es-ES_tradnl"/>
        </w:rPr>
      </w:pPr>
      <w:r w:rsidRPr="00A43C00">
        <w:rPr>
          <w:rFonts w:ascii="Arial" w:hAnsi="Arial" w:cs="Arial"/>
          <w:color w:val="000000" w:themeColor="text1"/>
          <w:sz w:val="21"/>
          <w:szCs w:val="21"/>
          <w:lang w:val="es-ES_tradnl"/>
        </w:rPr>
        <w:t>«</w:t>
      </w:r>
      <w:r w:rsidRPr="00AB4C02">
        <w:rPr>
          <w:rFonts w:ascii="Arial" w:hAnsi="Arial" w:cs="Arial"/>
          <w:color w:val="000000" w:themeColor="text1"/>
          <w:sz w:val="21"/>
          <w:szCs w:val="21"/>
          <w:lang w:val="es-ES_tradnl"/>
        </w:rPr>
        <w:t>MEDIANTE LA RESOLUCIÓN NO. 256-2020</w:t>
      </w:r>
      <w:r>
        <w:rPr>
          <w:rFonts w:ascii="Arial" w:hAnsi="Arial" w:cs="Arial"/>
          <w:color w:val="000000" w:themeColor="text1"/>
          <w:sz w:val="21"/>
          <w:szCs w:val="21"/>
          <w:lang w:val="es-ES_tradnl"/>
        </w:rPr>
        <w:t xml:space="preserve"> </w:t>
      </w:r>
      <w:r w:rsidRPr="00AB4C02">
        <w:rPr>
          <w:rFonts w:ascii="Arial" w:hAnsi="Arial" w:cs="Arial"/>
          <w:color w:val="000000" w:themeColor="text1"/>
          <w:sz w:val="21"/>
          <w:szCs w:val="21"/>
          <w:lang w:val="es-ES_tradnl"/>
        </w:rPr>
        <w:t>"Por la cual se adoptan los</w:t>
      </w:r>
      <w:r>
        <w:rPr>
          <w:rFonts w:ascii="Arial" w:hAnsi="Arial" w:cs="Arial"/>
          <w:color w:val="000000" w:themeColor="text1"/>
          <w:sz w:val="21"/>
          <w:szCs w:val="21"/>
          <w:lang w:val="es-ES_tradnl"/>
        </w:rPr>
        <w:t xml:space="preserve"> </w:t>
      </w:r>
      <w:r w:rsidRPr="00AB4C02">
        <w:rPr>
          <w:rFonts w:ascii="Arial" w:hAnsi="Arial" w:cs="Arial"/>
          <w:color w:val="000000" w:themeColor="text1"/>
          <w:sz w:val="21"/>
          <w:szCs w:val="21"/>
          <w:lang w:val="es-ES_tradnl"/>
        </w:rPr>
        <w:t>documentos tipo para los procesos de selección de concurso de méritos, para contratar la interventoría de obras públicas de infraestructura de transporte"</w:t>
      </w:r>
      <w:r>
        <w:rPr>
          <w:rFonts w:ascii="Arial" w:hAnsi="Arial" w:cs="Arial"/>
          <w:color w:val="000000" w:themeColor="text1"/>
          <w:sz w:val="21"/>
          <w:szCs w:val="21"/>
          <w:lang w:val="es-ES_tradnl"/>
        </w:rPr>
        <w:t xml:space="preserve"> </w:t>
      </w:r>
      <w:r w:rsidRPr="00AB4C02">
        <w:rPr>
          <w:rFonts w:ascii="Arial" w:hAnsi="Arial" w:cs="Arial"/>
          <w:color w:val="000000" w:themeColor="text1"/>
          <w:sz w:val="21"/>
          <w:szCs w:val="21"/>
          <w:lang w:val="es-ES_tradnl"/>
        </w:rPr>
        <w:t>el articulo  1 del acto administrativo establece:</w:t>
      </w:r>
    </w:p>
    <w:p w14:paraId="654AF087" w14:textId="79652260" w:rsidR="0006089F" w:rsidRPr="00AB4C02" w:rsidRDefault="0006089F" w:rsidP="00FC0BAC">
      <w:pPr>
        <w:spacing w:after="120"/>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AB4C02">
        <w:rPr>
          <w:rFonts w:ascii="Arial" w:hAnsi="Arial" w:cs="Arial"/>
          <w:color w:val="000000" w:themeColor="text1"/>
          <w:sz w:val="21"/>
          <w:szCs w:val="21"/>
          <w:lang w:val="es-ES_tradnl"/>
        </w:rPr>
        <w:t xml:space="preserve">Artículo 1. Objeto. Adóptese los documentos tipo para los procesos de selección de interventoría de obra pública de infraestructura de transporte, que se adelanten por la modalidad de concurso de méritos.   </w:t>
      </w:r>
    </w:p>
    <w:p w14:paraId="4B3F979E" w14:textId="5F555B0F" w:rsidR="0006089F" w:rsidRDefault="0006089F" w:rsidP="00FC0BAC">
      <w:pPr>
        <w:spacing w:after="120"/>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lastRenderedPageBreak/>
        <w:t>»</w:t>
      </w:r>
      <w:r w:rsidRPr="00AB4C02">
        <w:rPr>
          <w:rFonts w:ascii="Arial" w:hAnsi="Arial" w:cs="Arial"/>
          <w:color w:val="000000" w:themeColor="text1"/>
          <w:sz w:val="21"/>
          <w:szCs w:val="21"/>
          <w:lang w:val="es-ES_tradnl"/>
        </w:rPr>
        <w:t>Ahora bien, mediante concepto Colombia Compra eficiente ha dicho.</w:t>
      </w:r>
    </w:p>
    <w:p w14:paraId="132C9714" w14:textId="6BC8A012" w:rsidR="0006089F" w:rsidRDefault="0006089F" w:rsidP="00FC0BAC">
      <w:pPr>
        <w:spacing w:after="120"/>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AB4C02">
        <w:rPr>
          <w:rFonts w:ascii="Arial" w:hAnsi="Arial" w:cs="Arial"/>
          <w:color w:val="000000" w:themeColor="text1"/>
          <w:sz w:val="21"/>
          <w:szCs w:val="21"/>
          <w:lang w:val="es-ES_tradnl"/>
        </w:rPr>
        <w:t>Las modalidades de selección de concurso de méritos y de mínima cuantía concurren cuando: (a) el presupuesto del Proceso de Contratación es menor o igual que la mínima cuantía de la Entidad Estatal: y (b) el objeto del Proceso de Contratación es la selección de consultores o proyectos (numeral 3 del artículo 2 de la Ley 1150 de 2007).</w:t>
      </w:r>
    </w:p>
    <w:p w14:paraId="66CC436F" w14:textId="38E6BA3C" w:rsidR="0006089F" w:rsidRPr="00AB4C02" w:rsidRDefault="0006089F" w:rsidP="00FC0BAC">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AB4C02">
        <w:rPr>
          <w:rFonts w:ascii="Arial" w:hAnsi="Arial" w:cs="Arial"/>
          <w:color w:val="000000" w:themeColor="text1"/>
          <w:sz w:val="21"/>
          <w:szCs w:val="21"/>
          <w:lang w:val="es-ES_tradnl"/>
        </w:rPr>
        <w:t>Dado que la selección de mínima cuantía es especial para cualquier objeto y que la selección de mínima cuantía permite obtener una mayor economía en el trámite del Proceso de Contratación, en caso de concurrencia del concurso de méritos y de mínima cuantía, Colombia Compra Eficiente considera que la modalidad de selección aplicable es la de mínima cuantía.</w:t>
      </w:r>
    </w:p>
    <w:p w14:paraId="5A7B10B7" w14:textId="5E289162" w:rsidR="0006089F" w:rsidRDefault="0006089F" w:rsidP="00FC0BAC">
      <w:pPr>
        <w:spacing w:after="120"/>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p>
    <w:p w14:paraId="3E3D278E" w14:textId="77777777" w:rsidR="0006089F" w:rsidRPr="00A43C00" w:rsidRDefault="0006089F" w:rsidP="0006089F">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AB4C02">
        <w:rPr>
          <w:rFonts w:ascii="Arial" w:hAnsi="Arial" w:cs="Arial"/>
          <w:color w:val="000000" w:themeColor="text1"/>
          <w:sz w:val="21"/>
          <w:szCs w:val="21"/>
          <w:lang w:val="es-ES_tradnl"/>
        </w:rPr>
        <w:t>El pliego tipo establecido en la resolución N</w:t>
      </w:r>
      <w:r>
        <w:rPr>
          <w:rFonts w:ascii="Arial" w:hAnsi="Arial" w:cs="Arial"/>
          <w:color w:val="000000" w:themeColor="text1"/>
          <w:sz w:val="21"/>
          <w:szCs w:val="21"/>
          <w:lang w:val="es-ES_tradnl"/>
        </w:rPr>
        <w:t>o</w:t>
      </w:r>
      <w:r w:rsidRPr="00AB4C02">
        <w:rPr>
          <w:rFonts w:ascii="Arial" w:hAnsi="Arial" w:cs="Arial"/>
          <w:color w:val="000000" w:themeColor="text1"/>
          <w:sz w:val="21"/>
          <w:szCs w:val="21"/>
          <w:lang w:val="es-ES_tradnl"/>
        </w:rPr>
        <w:t>. 256 de 2020 aplica para los procesos que buscan contratar la interventoría que se adelantan mediante la modalidad de mínima cuantía</w:t>
      </w:r>
      <w:r w:rsidRPr="00A43C00">
        <w:rPr>
          <w:rFonts w:ascii="Arial" w:hAnsi="Arial" w:cs="Arial"/>
          <w:color w:val="000000" w:themeColor="text1"/>
          <w:sz w:val="21"/>
          <w:szCs w:val="21"/>
          <w:lang w:val="es-ES_tradnl"/>
        </w:rPr>
        <w:t>»</w:t>
      </w:r>
      <w:r>
        <w:rPr>
          <w:rFonts w:ascii="Arial" w:hAnsi="Arial" w:cs="Arial"/>
          <w:color w:val="000000" w:themeColor="text1"/>
          <w:sz w:val="21"/>
          <w:szCs w:val="21"/>
          <w:lang w:val="es-ES_tradnl"/>
        </w:rPr>
        <w:t xml:space="preserve"> (sic)</w:t>
      </w:r>
      <w:r w:rsidRPr="00A43C00">
        <w:rPr>
          <w:rFonts w:ascii="Arial" w:hAnsi="Arial" w:cs="Arial"/>
          <w:color w:val="000000" w:themeColor="text1"/>
          <w:sz w:val="21"/>
          <w:szCs w:val="21"/>
          <w:lang w:val="es-ES_tradnl"/>
        </w:rPr>
        <w:t>.</w:t>
      </w:r>
    </w:p>
    <w:p w14:paraId="5DC4F1AA" w14:textId="619F642D" w:rsidR="00BF0E64" w:rsidRPr="00FC0BAC" w:rsidRDefault="00BF0E64" w:rsidP="00FC0BAC">
      <w:pPr>
        <w:spacing w:line="276" w:lineRule="auto"/>
        <w:ind w:right="709"/>
        <w:jc w:val="both"/>
        <w:rPr>
          <w:rFonts w:ascii="Arial" w:hAnsi="Arial" w:cs="Arial"/>
          <w:color w:val="000000" w:themeColor="text1"/>
          <w:sz w:val="22"/>
          <w:szCs w:val="22"/>
          <w:lang w:val="es-ES_tradnl"/>
        </w:rPr>
      </w:pPr>
    </w:p>
    <w:p w14:paraId="25682D9E" w14:textId="305A075C" w:rsidR="00F168A8" w:rsidRDefault="001F25CA" w:rsidP="00FC0BAC">
      <w:pPr>
        <w:spacing w:line="276" w:lineRule="auto"/>
        <w:jc w:val="both"/>
        <w:rPr>
          <w:rFonts w:ascii="Arial" w:hAnsi="Arial" w:cs="Arial"/>
          <w:sz w:val="22"/>
          <w:lang w:val="es-ES_tradnl"/>
        </w:rPr>
      </w:pPr>
      <w:bookmarkStart w:id="5" w:name="_Hlk64308251"/>
      <w:r w:rsidRPr="001F25CA">
        <w:rPr>
          <w:rFonts w:ascii="Arial" w:eastAsia="Calibri" w:hAnsi="Arial" w:cs="Arial"/>
          <w:color w:val="000000" w:themeColor="text1"/>
          <w:sz w:val="22"/>
          <w:szCs w:val="22"/>
          <w:lang w:val="es-ES_tradnl"/>
        </w:rPr>
        <w:t>Los documentos tipo adoptados</w:t>
      </w:r>
      <w:r>
        <w:rPr>
          <w:rFonts w:ascii="Arial" w:eastAsia="Calibri" w:hAnsi="Arial" w:cs="Arial"/>
          <w:color w:val="000000" w:themeColor="text1"/>
          <w:sz w:val="22"/>
          <w:szCs w:val="22"/>
          <w:lang w:val="es-ES_tradnl"/>
        </w:rPr>
        <w:t xml:space="preserve"> por la Resolución </w:t>
      </w:r>
      <w:r>
        <w:rPr>
          <w:rFonts w:ascii="Arial" w:hAnsi="Arial" w:cs="Arial"/>
          <w:sz w:val="22"/>
          <w:lang w:val="es-ES_tradnl"/>
        </w:rPr>
        <w:t>No. 256 del 11 de diciembre de 2011</w:t>
      </w:r>
      <w:r w:rsidR="00BE42D6">
        <w:rPr>
          <w:rFonts w:ascii="Arial" w:hAnsi="Arial" w:cs="Arial"/>
          <w:sz w:val="22"/>
          <w:lang w:val="es-ES_tradnl"/>
        </w:rPr>
        <w:t xml:space="preserve"> solo se deben emplear para </w:t>
      </w:r>
      <w:r w:rsidR="00BE42D6" w:rsidRPr="00BE42D6">
        <w:rPr>
          <w:rFonts w:ascii="Arial" w:hAnsi="Arial" w:cs="Arial"/>
          <w:sz w:val="22"/>
          <w:lang w:val="es-ES_tradnl"/>
        </w:rPr>
        <w:t>los procesos de selección de interventoría de obra pública de infraestructura de transporte, que se adelanten por la modalidad de concurso de méritos.</w:t>
      </w:r>
      <w:r w:rsidR="00BE42D6">
        <w:rPr>
          <w:rFonts w:ascii="Arial" w:hAnsi="Arial" w:cs="Arial"/>
          <w:sz w:val="22"/>
          <w:lang w:val="es-ES_tradnl"/>
        </w:rPr>
        <w:t xml:space="preserve"> </w:t>
      </w:r>
      <w:r w:rsidR="0033563B" w:rsidRPr="0033563B">
        <w:rPr>
          <w:rFonts w:ascii="Arial" w:hAnsi="Arial" w:cs="Arial"/>
          <w:sz w:val="22"/>
          <w:lang w:val="es-ES_tradnl"/>
        </w:rPr>
        <w:t xml:space="preserve">De esta manera, aunque no son obligatorios para los contratos de interventoría adelantados por mínima cuantía, nada obsta para que –sin desconocer las diferencias entre ambos procedimientos de selección– se adopten </w:t>
      </w:r>
      <w:r w:rsidR="003D465C">
        <w:rPr>
          <w:rFonts w:ascii="Arial" w:hAnsi="Arial" w:cs="Arial"/>
          <w:sz w:val="22"/>
          <w:lang w:val="es-ES_tradnl"/>
        </w:rPr>
        <w:t>discrecionalmente</w:t>
      </w:r>
      <w:r w:rsidR="0033563B" w:rsidRPr="0033563B">
        <w:rPr>
          <w:rFonts w:ascii="Arial" w:hAnsi="Arial" w:cs="Arial"/>
          <w:sz w:val="22"/>
          <w:lang w:val="es-ES_tradnl"/>
        </w:rPr>
        <w:t xml:space="preserve"> los documentos tipo citados como criterio de buena práctica contractual, haciendo las adaptaciones pertinentes para la contratación cuyo valor no exceda el diez por ciento –10%– de la menor cuantía</w:t>
      </w:r>
      <w:r w:rsidR="00F168A8">
        <w:rPr>
          <w:rFonts w:ascii="Arial" w:hAnsi="Arial" w:cs="Arial"/>
          <w:sz w:val="22"/>
          <w:lang w:val="es-ES_tradnl"/>
        </w:rPr>
        <w:t>.</w:t>
      </w:r>
    </w:p>
    <w:bookmarkEnd w:id="5"/>
    <w:p w14:paraId="3AD2F734" w14:textId="77777777" w:rsidR="00083452" w:rsidRPr="00955021" w:rsidRDefault="00083452" w:rsidP="00FC0BAC">
      <w:pPr>
        <w:spacing w:after="120"/>
        <w:ind w:right="709"/>
        <w:jc w:val="both"/>
        <w:rPr>
          <w:rFonts w:ascii="Arial" w:hAnsi="Arial" w:cs="Arial"/>
          <w:color w:val="000000" w:themeColor="text1"/>
          <w:sz w:val="21"/>
          <w:szCs w:val="21"/>
          <w:lang w:val="es-ES_tradnl"/>
        </w:rPr>
      </w:pPr>
    </w:p>
    <w:p w14:paraId="7B2C921D" w14:textId="0383AF9A" w:rsidR="00DD5B04" w:rsidRPr="00A43C00" w:rsidRDefault="00DD5B04" w:rsidP="00DF76A2">
      <w:pPr>
        <w:spacing w:line="276" w:lineRule="auto"/>
        <w:jc w:val="both"/>
        <w:rPr>
          <w:rFonts w:ascii="Arial" w:hAnsi="Arial" w:cs="Arial"/>
          <w:color w:val="000000" w:themeColor="text1"/>
          <w:sz w:val="22"/>
          <w:lang w:val="es-ES_tradnl"/>
        </w:rPr>
      </w:pPr>
      <w:r w:rsidRPr="00A43C00">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A43C00"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A43C00"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43C00">
        <w:rPr>
          <w:rFonts w:ascii="Arial" w:hAnsi="Arial" w:cs="Arial"/>
          <w:color w:val="000000" w:themeColor="text1"/>
          <w:sz w:val="22"/>
          <w:szCs w:val="22"/>
          <w:lang w:val="es-ES_tradnl"/>
        </w:rPr>
        <w:t>Atentamente,</w:t>
      </w:r>
    </w:p>
    <w:p w14:paraId="692FC307" w14:textId="210AA6B5" w:rsidR="00921304" w:rsidRPr="00A43C00"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254AD3DC" w:rsidR="00921304" w:rsidRPr="00A43C00" w:rsidRDefault="00F1546F"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42AE5998" wp14:editId="35AFE6B3">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5CBAE239" w14:textId="77777777" w:rsidR="00425C43" w:rsidRPr="00A43C00" w:rsidRDefault="00425C43" w:rsidP="00B37657">
      <w:pPr>
        <w:jc w:val="center"/>
        <w:rPr>
          <w:rFonts w:ascii="Arial" w:hAnsi="Arial" w:cs="Arial"/>
          <w:color w:val="000000" w:themeColor="text1"/>
          <w:sz w:val="18"/>
          <w:szCs w:val="20"/>
          <w:lang w:val="es-ES_tradnl" w:eastAsia="es-CO"/>
        </w:rPr>
      </w:pPr>
    </w:p>
    <w:p w14:paraId="49730030" w14:textId="217D35F3" w:rsidR="00DD5B04" w:rsidRPr="00A43C00"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A43C00" w14:paraId="0C7DC5F7" w14:textId="77777777" w:rsidTr="00083F1B">
        <w:trPr>
          <w:trHeight w:val="315"/>
        </w:trPr>
        <w:tc>
          <w:tcPr>
            <w:tcW w:w="812" w:type="dxa"/>
            <w:vAlign w:val="center"/>
            <w:hideMark/>
          </w:tcPr>
          <w:p w14:paraId="5BDB1AC9" w14:textId="77777777" w:rsidR="00DD5B04" w:rsidRPr="00A43C00" w:rsidRDefault="00DD5B04" w:rsidP="00DF76A2">
            <w:pPr>
              <w:jc w:val="both"/>
              <w:rPr>
                <w:rFonts w:ascii="Arial" w:hAnsi="Arial" w:cs="Arial"/>
                <w:color w:val="000000" w:themeColor="text1"/>
                <w:sz w:val="16"/>
                <w:szCs w:val="16"/>
                <w:lang w:val="es-ES_tradnl" w:eastAsia="es-ES"/>
              </w:rPr>
            </w:pPr>
            <w:r w:rsidRPr="00A43C00">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A43C00" w:rsidRDefault="00DD5B04" w:rsidP="00DF76A2">
            <w:pPr>
              <w:jc w:val="both"/>
              <w:rPr>
                <w:rFonts w:ascii="Arial" w:hAnsi="Arial" w:cs="Arial"/>
                <w:color w:val="000000" w:themeColor="text1"/>
                <w:sz w:val="16"/>
                <w:szCs w:val="16"/>
                <w:lang w:val="es-ES_tradnl" w:eastAsia="es-ES"/>
              </w:rPr>
            </w:pPr>
            <w:r w:rsidRPr="00A43C00">
              <w:rPr>
                <w:rFonts w:ascii="Arial" w:hAnsi="Arial" w:cs="Arial"/>
                <w:color w:val="000000" w:themeColor="text1"/>
                <w:sz w:val="16"/>
                <w:szCs w:val="16"/>
                <w:lang w:val="es-ES_tradnl" w:eastAsia="es-ES"/>
              </w:rPr>
              <w:t>Cristian Andrés Díaz Díez</w:t>
            </w:r>
          </w:p>
          <w:p w14:paraId="240C71FD" w14:textId="31312C95" w:rsidR="00DD5B04" w:rsidRPr="00A43C00" w:rsidRDefault="00DD5B04" w:rsidP="00DF76A2">
            <w:pPr>
              <w:jc w:val="both"/>
              <w:rPr>
                <w:rFonts w:ascii="Arial" w:hAnsi="Arial" w:cs="Arial"/>
                <w:color w:val="000000" w:themeColor="text1"/>
                <w:sz w:val="16"/>
                <w:szCs w:val="16"/>
                <w:lang w:val="es-ES_tradnl" w:eastAsia="es-ES"/>
              </w:rPr>
            </w:pPr>
            <w:r w:rsidRPr="00A43C00">
              <w:rPr>
                <w:rFonts w:ascii="Arial" w:hAnsi="Arial" w:cs="Arial"/>
                <w:color w:val="000000" w:themeColor="text1"/>
                <w:sz w:val="16"/>
                <w:szCs w:val="16"/>
                <w:lang w:val="es-ES_tradnl" w:eastAsia="es-ES"/>
              </w:rPr>
              <w:t>Contratista</w:t>
            </w:r>
            <w:r w:rsidR="00FF0050" w:rsidRPr="00A43C00">
              <w:rPr>
                <w:rFonts w:ascii="Arial" w:hAnsi="Arial" w:cs="Arial"/>
                <w:color w:val="000000" w:themeColor="text1"/>
                <w:sz w:val="16"/>
                <w:szCs w:val="16"/>
                <w:lang w:val="es-ES_tradnl" w:eastAsia="es-ES"/>
              </w:rPr>
              <w:t xml:space="preserve"> de la </w:t>
            </w:r>
            <w:r w:rsidRPr="00A43C00">
              <w:rPr>
                <w:rFonts w:ascii="Arial" w:hAnsi="Arial" w:cs="Arial"/>
                <w:color w:val="000000" w:themeColor="text1"/>
                <w:sz w:val="16"/>
                <w:szCs w:val="16"/>
                <w:lang w:val="es-ES_tradnl" w:eastAsia="es-ES"/>
              </w:rPr>
              <w:t>Subdirección de Gestión Contractual</w:t>
            </w:r>
          </w:p>
        </w:tc>
      </w:tr>
      <w:tr w:rsidR="00DD5B04" w:rsidRPr="00A43C00" w14:paraId="2F8FD650" w14:textId="77777777" w:rsidTr="00083F1B">
        <w:trPr>
          <w:trHeight w:val="330"/>
        </w:trPr>
        <w:tc>
          <w:tcPr>
            <w:tcW w:w="812" w:type="dxa"/>
            <w:vAlign w:val="center"/>
            <w:hideMark/>
          </w:tcPr>
          <w:p w14:paraId="50203A0B" w14:textId="77777777" w:rsidR="00DD5B04" w:rsidRPr="00A43C00" w:rsidRDefault="00DD5B04" w:rsidP="00DF76A2">
            <w:pPr>
              <w:jc w:val="both"/>
              <w:rPr>
                <w:rFonts w:ascii="Arial" w:hAnsi="Arial" w:cs="Arial"/>
                <w:color w:val="000000" w:themeColor="text1"/>
                <w:sz w:val="16"/>
                <w:szCs w:val="16"/>
                <w:lang w:val="es-ES_tradnl" w:eastAsia="es-ES"/>
              </w:rPr>
            </w:pPr>
            <w:r w:rsidRPr="00A43C00">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B487F64" w14:textId="77777777" w:rsidR="00995B3A" w:rsidRPr="00C440B6" w:rsidRDefault="00995B3A" w:rsidP="00995B3A">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Juan David Montoya Penagos</w:t>
            </w:r>
          </w:p>
          <w:p w14:paraId="130B3228" w14:textId="174BE431" w:rsidR="00DD5B04" w:rsidRPr="00A43C00" w:rsidRDefault="00995B3A" w:rsidP="00995B3A">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Gestor T1</w:t>
            </w:r>
            <w:r>
              <w:rPr>
                <w:rFonts w:ascii="Arial" w:hAnsi="Arial" w:cs="Arial"/>
                <w:color w:val="000000" w:themeColor="text1"/>
                <w:sz w:val="16"/>
                <w:szCs w:val="16"/>
                <w:lang w:val="es-ES_tradnl" w:eastAsia="es-ES"/>
              </w:rPr>
              <w:t>-</w:t>
            </w:r>
            <w:r w:rsidRPr="00C440B6">
              <w:rPr>
                <w:rFonts w:ascii="Arial" w:hAnsi="Arial" w:cs="Arial"/>
                <w:color w:val="000000" w:themeColor="text1"/>
                <w:sz w:val="16"/>
                <w:szCs w:val="16"/>
                <w:lang w:val="es-ES_tradnl" w:eastAsia="es-ES"/>
              </w:rPr>
              <w:t>15</w:t>
            </w:r>
            <w:r>
              <w:rPr>
                <w:rFonts w:ascii="Arial" w:hAnsi="Arial" w:cs="Arial"/>
                <w:color w:val="000000" w:themeColor="text1"/>
                <w:sz w:val="16"/>
                <w:szCs w:val="16"/>
                <w:lang w:val="es-ES_tradnl" w:eastAsia="es-ES"/>
              </w:rPr>
              <w:t xml:space="preserve"> de la </w:t>
            </w:r>
            <w:r w:rsidRPr="005F5694">
              <w:rPr>
                <w:rFonts w:ascii="Arial" w:hAnsi="Arial" w:cs="Arial"/>
                <w:color w:val="000000" w:themeColor="text1"/>
                <w:sz w:val="16"/>
                <w:szCs w:val="16"/>
                <w:lang w:val="es-ES_tradnl" w:eastAsia="es-ES"/>
              </w:rPr>
              <w:t>Subdirección de Gestión Contractual</w:t>
            </w:r>
          </w:p>
        </w:tc>
      </w:tr>
      <w:tr w:rsidR="00DD5B04" w:rsidRPr="00A43C00" w14:paraId="0FCBCA4A" w14:textId="77777777" w:rsidTr="00083F1B">
        <w:trPr>
          <w:trHeight w:val="300"/>
        </w:trPr>
        <w:tc>
          <w:tcPr>
            <w:tcW w:w="812" w:type="dxa"/>
            <w:vAlign w:val="center"/>
            <w:hideMark/>
          </w:tcPr>
          <w:p w14:paraId="3C1D943A" w14:textId="77777777" w:rsidR="00DD5B04" w:rsidRPr="00A43C00" w:rsidRDefault="00DD5B04" w:rsidP="00DF76A2">
            <w:pPr>
              <w:jc w:val="both"/>
              <w:rPr>
                <w:rFonts w:ascii="Arial" w:hAnsi="Arial" w:cs="Arial"/>
                <w:color w:val="000000" w:themeColor="text1"/>
                <w:sz w:val="16"/>
                <w:szCs w:val="16"/>
                <w:lang w:val="es-ES_tradnl" w:eastAsia="es-ES"/>
              </w:rPr>
            </w:pPr>
            <w:r w:rsidRPr="00A43C00">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D3DFAA" w14:textId="77777777" w:rsidR="00134E7E" w:rsidRPr="00A43C00" w:rsidRDefault="00134E7E" w:rsidP="00134E7E">
            <w:pPr>
              <w:jc w:val="both"/>
              <w:rPr>
                <w:rFonts w:ascii="Arial" w:hAnsi="Arial" w:cs="Arial"/>
                <w:color w:val="000000" w:themeColor="text1"/>
                <w:sz w:val="16"/>
                <w:szCs w:val="16"/>
                <w:lang w:val="es-ES_tradnl" w:eastAsia="es-ES"/>
              </w:rPr>
            </w:pPr>
            <w:r w:rsidRPr="00A43C00">
              <w:rPr>
                <w:rFonts w:ascii="Arial" w:hAnsi="Arial" w:cs="Arial"/>
                <w:color w:val="000000" w:themeColor="text1"/>
                <w:sz w:val="16"/>
                <w:szCs w:val="16"/>
                <w:lang w:val="es-ES_tradnl" w:eastAsia="es-ES"/>
              </w:rPr>
              <w:t>Jorge Augusto Tirado Navarro</w:t>
            </w:r>
          </w:p>
          <w:p w14:paraId="1ADC483B" w14:textId="1C385A7F" w:rsidR="00DD5B04" w:rsidRPr="00A43C00" w:rsidRDefault="00134E7E" w:rsidP="00134E7E">
            <w:pPr>
              <w:jc w:val="both"/>
              <w:rPr>
                <w:rFonts w:ascii="Arial" w:hAnsi="Arial" w:cs="Arial"/>
                <w:color w:val="000000" w:themeColor="text1"/>
                <w:sz w:val="16"/>
                <w:szCs w:val="16"/>
                <w:lang w:val="es-ES_tradnl" w:eastAsia="es-ES"/>
              </w:rPr>
            </w:pPr>
            <w:r w:rsidRPr="00A43C00">
              <w:rPr>
                <w:rFonts w:ascii="Arial" w:hAnsi="Arial" w:cs="Arial"/>
                <w:color w:val="000000" w:themeColor="text1"/>
                <w:sz w:val="16"/>
                <w:szCs w:val="16"/>
                <w:lang w:val="es-ES_tradnl" w:eastAsia="es-ES"/>
              </w:rPr>
              <w:t>Subdirector de Gestión Contractual ANCP – CCE</w:t>
            </w:r>
          </w:p>
        </w:tc>
      </w:tr>
    </w:tbl>
    <w:p w14:paraId="35B56F46" w14:textId="77777777" w:rsidR="00746E08" w:rsidRPr="00A43C00" w:rsidRDefault="00746E08" w:rsidP="00215B8E">
      <w:pPr>
        <w:jc w:val="both"/>
        <w:rPr>
          <w:rFonts w:ascii="Arial" w:hAnsi="Arial" w:cs="Arial"/>
          <w:lang w:val="es-ES_tradnl"/>
        </w:rPr>
      </w:pPr>
    </w:p>
    <w:sectPr w:rsidR="00746E08" w:rsidRPr="00A43C00"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5DA2A6" w14:textId="77777777" w:rsidR="00F1744F" w:rsidRDefault="00F1744F">
      <w:r>
        <w:separator/>
      </w:r>
    </w:p>
  </w:endnote>
  <w:endnote w:type="continuationSeparator" w:id="0">
    <w:p w14:paraId="77FCBB8D" w14:textId="77777777" w:rsidR="00F1744F" w:rsidRDefault="00F1744F">
      <w:r>
        <w:continuationSeparator/>
      </w:r>
    </w:p>
  </w:endnote>
  <w:endnote w:type="continuationNotice" w:id="1">
    <w:p w14:paraId="5446810A" w14:textId="77777777" w:rsidR="00F1744F" w:rsidRDefault="00F174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6A59DE" w:rsidRDefault="006A59DE" w:rsidP="00322937">
    <w:pPr>
      <w:pStyle w:val="Sinespaciado"/>
      <w:jc w:val="right"/>
      <w:rPr>
        <w:rFonts w:ascii="Arial" w:hAnsi="Arial" w:cs="Arial"/>
        <w:sz w:val="18"/>
        <w:szCs w:val="18"/>
      </w:rPr>
    </w:pPr>
  </w:p>
  <w:p w14:paraId="7A3785F3" w14:textId="2EF28465" w:rsidR="006A59DE" w:rsidRPr="008217B7" w:rsidRDefault="006A59D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6A59DE" w:rsidRDefault="006A59DE"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A59DE" w:rsidRDefault="006A59DE" w:rsidP="007B0854">
    <w:pPr>
      <w:pStyle w:val="Piedepgina"/>
      <w:jc w:val="center"/>
      <w:rPr>
        <w:lang w:val="es-ES"/>
      </w:rPr>
    </w:pPr>
  </w:p>
  <w:p w14:paraId="6C0EFC49" w14:textId="77777777" w:rsidR="006A59DE" w:rsidRPr="007B0854" w:rsidRDefault="006A59D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5A339F" w14:textId="77777777" w:rsidR="00F1744F" w:rsidRDefault="00F1744F">
      <w:r>
        <w:separator/>
      </w:r>
    </w:p>
  </w:footnote>
  <w:footnote w:type="continuationSeparator" w:id="0">
    <w:p w14:paraId="6E644C33" w14:textId="77777777" w:rsidR="00F1744F" w:rsidRDefault="00F1744F">
      <w:r>
        <w:continuationSeparator/>
      </w:r>
    </w:p>
  </w:footnote>
  <w:footnote w:type="continuationNotice" w:id="1">
    <w:p w14:paraId="6FA55A2A" w14:textId="77777777" w:rsidR="00F1744F" w:rsidRDefault="00F1744F"/>
  </w:footnote>
  <w:footnote w:id="2">
    <w:p w14:paraId="634CEAD6" w14:textId="77777777" w:rsidR="00937F58" w:rsidRPr="00F12256" w:rsidRDefault="00937F58" w:rsidP="00F12256">
      <w:pPr>
        <w:pStyle w:val="Textonotapie"/>
        <w:ind w:firstLine="709"/>
        <w:jc w:val="both"/>
        <w:rPr>
          <w:rFonts w:ascii="Arial" w:hAnsi="Arial" w:cs="Arial"/>
          <w:sz w:val="19"/>
          <w:szCs w:val="19"/>
        </w:rPr>
      </w:pPr>
      <w:r w:rsidRPr="00F12256">
        <w:rPr>
          <w:rStyle w:val="Refdenotaalpie"/>
          <w:rFonts w:ascii="Arial" w:hAnsi="Arial" w:cs="Arial"/>
          <w:sz w:val="19"/>
          <w:szCs w:val="19"/>
        </w:rPr>
        <w:footnoteRef/>
      </w:r>
      <w:r w:rsidRPr="00F12256">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18DA0111" w14:textId="77777777" w:rsidR="00937F58" w:rsidRPr="00F12256" w:rsidRDefault="00937F58" w:rsidP="00F12256">
      <w:pPr>
        <w:pStyle w:val="Textonotapie"/>
        <w:ind w:firstLine="709"/>
        <w:jc w:val="both"/>
        <w:rPr>
          <w:rFonts w:ascii="Arial" w:hAnsi="Arial" w:cs="Arial"/>
          <w:sz w:val="19"/>
          <w:szCs w:val="19"/>
          <w:lang w:val="es-CO"/>
        </w:rPr>
      </w:pPr>
    </w:p>
  </w:footnote>
  <w:footnote w:id="3">
    <w:p w14:paraId="7E679D2C" w14:textId="77777777" w:rsidR="00937F58" w:rsidRPr="00F12256" w:rsidRDefault="00937F58" w:rsidP="00F12256">
      <w:pPr>
        <w:pStyle w:val="Textonotapie"/>
        <w:ind w:firstLine="709"/>
        <w:jc w:val="both"/>
        <w:rPr>
          <w:rFonts w:ascii="Arial" w:hAnsi="Arial" w:cs="Arial"/>
          <w:sz w:val="19"/>
          <w:szCs w:val="19"/>
        </w:rPr>
      </w:pPr>
      <w:r w:rsidRPr="00F12256">
        <w:rPr>
          <w:rStyle w:val="Refdenotaalpie"/>
          <w:rFonts w:ascii="Arial" w:hAnsi="Arial" w:cs="Arial"/>
          <w:sz w:val="19"/>
          <w:szCs w:val="19"/>
        </w:rPr>
        <w:footnoteRef/>
      </w:r>
      <w:r w:rsidRPr="00F12256">
        <w:rPr>
          <w:rFonts w:ascii="Arial" w:hAnsi="Arial" w:cs="Arial"/>
          <w:sz w:val="19"/>
          <w:szCs w:val="19"/>
        </w:rPr>
        <w:t xml:space="preserve"> </w:t>
      </w:r>
      <w:r w:rsidRPr="00F12256">
        <w:rPr>
          <w:rFonts w:ascii="Arial" w:hAnsi="Arial" w:cs="Arial"/>
          <w:sz w:val="19"/>
          <w:szCs w:val="19"/>
          <w:lang w:val="es-CO"/>
        </w:rPr>
        <w:t xml:space="preserve">Ley 1882 de 2018: «Artículo 4. </w:t>
      </w:r>
      <w:r w:rsidRPr="00F12256">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6805A36F" w14:textId="77777777" w:rsidR="00937F58" w:rsidRPr="00F12256" w:rsidRDefault="00937F58" w:rsidP="00F12256">
      <w:pPr>
        <w:pStyle w:val="Textonotapie"/>
        <w:ind w:firstLine="709"/>
        <w:jc w:val="both"/>
        <w:rPr>
          <w:rFonts w:ascii="Arial" w:hAnsi="Arial" w:cs="Arial"/>
          <w:sz w:val="19"/>
          <w:szCs w:val="19"/>
          <w:lang w:val="es-CO"/>
        </w:rPr>
      </w:pPr>
      <w:r w:rsidRPr="00F12256">
        <w:rPr>
          <w:rFonts w:ascii="Arial" w:hAnsi="Arial" w:cs="Arial"/>
          <w:sz w:val="19"/>
          <w:szCs w:val="19"/>
          <w:lang w:val="es-CO"/>
        </w:rPr>
        <w:t>»La facultad de adoptar documentos tipo la tendrá el Gobierno nacional, cuando lo considere necesario, en relación con otros contratos o procesos de selección.</w:t>
      </w:r>
    </w:p>
    <w:p w14:paraId="3B5BBC4E" w14:textId="77777777" w:rsidR="00937F58" w:rsidRPr="00F12256" w:rsidRDefault="00937F58" w:rsidP="00F12256">
      <w:pPr>
        <w:pStyle w:val="Textonotapie"/>
        <w:ind w:firstLine="709"/>
        <w:jc w:val="both"/>
        <w:rPr>
          <w:rFonts w:ascii="Arial" w:hAnsi="Arial" w:cs="Arial"/>
          <w:sz w:val="19"/>
          <w:szCs w:val="19"/>
          <w:lang w:val="es-CO"/>
        </w:rPr>
      </w:pPr>
      <w:r w:rsidRPr="00F12256">
        <w:rPr>
          <w:rFonts w:ascii="Arial" w:hAnsi="Arial" w:cs="Arial"/>
          <w:sz w:val="19"/>
          <w:szCs w:val="19"/>
          <w:lang w:val="es-CO"/>
        </w:rPr>
        <w:t>»Los pliegos tipo se adoptarán por categorías de acuerdo con la cuantía de la contratación, según la reglamentación que expida el Gobierno nacional».</w:t>
      </w:r>
    </w:p>
    <w:p w14:paraId="4953D427" w14:textId="77777777" w:rsidR="00937F58" w:rsidRPr="00F12256" w:rsidRDefault="00937F58" w:rsidP="00F12256">
      <w:pPr>
        <w:pStyle w:val="Textonotapie"/>
        <w:ind w:firstLine="709"/>
        <w:jc w:val="both"/>
        <w:rPr>
          <w:rFonts w:ascii="Arial" w:hAnsi="Arial" w:cs="Arial"/>
          <w:sz w:val="19"/>
          <w:szCs w:val="19"/>
          <w:lang w:val="es-CO"/>
        </w:rPr>
      </w:pPr>
    </w:p>
  </w:footnote>
  <w:footnote w:id="4">
    <w:p w14:paraId="2FFEB183" w14:textId="77777777" w:rsidR="00937F58" w:rsidRPr="00F12256" w:rsidRDefault="00937F58" w:rsidP="00F12256">
      <w:pPr>
        <w:pStyle w:val="Textonotapie"/>
        <w:ind w:firstLine="709"/>
        <w:jc w:val="both"/>
        <w:rPr>
          <w:rFonts w:ascii="Arial" w:hAnsi="Arial" w:cs="Arial"/>
          <w:sz w:val="19"/>
          <w:szCs w:val="19"/>
        </w:rPr>
      </w:pPr>
      <w:r w:rsidRPr="00F12256">
        <w:rPr>
          <w:rStyle w:val="Refdenotaalpie"/>
          <w:rFonts w:ascii="Arial" w:hAnsi="Arial" w:cs="Arial"/>
          <w:sz w:val="19"/>
          <w:szCs w:val="19"/>
        </w:rPr>
        <w:footnoteRef/>
      </w:r>
      <w:r w:rsidRPr="00F12256">
        <w:rPr>
          <w:rFonts w:ascii="Arial" w:hAnsi="Arial" w:cs="Arial"/>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58ECC428" w14:textId="77777777" w:rsidR="00937F58" w:rsidRPr="00F12256" w:rsidRDefault="00937F58" w:rsidP="00F12256">
      <w:pPr>
        <w:pStyle w:val="Textonotapie"/>
        <w:ind w:firstLine="709"/>
        <w:jc w:val="both"/>
        <w:rPr>
          <w:rFonts w:ascii="Arial" w:hAnsi="Arial" w:cs="Arial"/>
          <w:sz w:val="19"/>
          <w:szCs w:val="19"/>
        </w:rPr>
      </w:pPr>
    </w:p>
  </w:footnote>
  <w:footnote w:id="5">
    <w:p w14:paraId="580DF3A9" w14:textId="77777777" w:rsidR="0010006F" w:rsidRPr="00F12256" w:rsidRDefault="0010006F" w:rsidP="0010006F">
      <w:pPr>
        <w:pStyle w:val="Textonotapie"/>
        <w:ind w:firstLine="709"/>
        <w:jc w:val="both"/>
        <w:rPr>
          <w:rFonts w:ascii="Arial" w:hAnsi="Arial" w:cs="Arial"/>
          <w:sz w:val="19"/>
          <w:szCs w:val="19"/>
          <w:lang w:val="es-ES"/>
        </w:rPr>
      </w:pPr>
      <w:r w:rsidRPr="00F12256">
        <w:rPr>
          <w:rStyle w:val="Refdenotaalpie"/>
          <w:rFonts w:ascii="Arial" w:hAnsi="Arial" w:cs="Arial"/>
          <w:sz w:val="19"/>
          <w:szCs w:val="19"/>
        </w:rPr>
        <w:footnoteRef/>
      </w:r>
      <w:r w:rsidRPr="00F12256">
        <w:rPr>
          <w:rFonts w:ascii="Arial" w:hAnsi="Arial" w:cs="Arial"/>
          <w:sz w:val="19"/>
          <w:szCs w:val="19"/>
        </w:rPr>
        <w:t xml:space="preserve"> </w:t>
      </w:r>
      <w:r w:rsidRPr="00F12256">
        <w:rPr>
          <w:rFonts w:ascii="Arial" w:hAnsi="Arial" w:cs="Arial"/>
          <w:sz w:val="19"/>
          <w:szCs w:val="19"/>
          <w:lang w:val="es-ES"/>
        </w:rPr>
        <w:t>En cuanto a las resoluciones vigentes, dicha regla se observa en el artículo 3 de las Resoluciones 240, 241, 248, 249, 256 y 269 de 2020, así como en el artículo 2 de la Resolución 094 de 2020.</w:t>
      </w:r>
    </w:p>
  </w:footnote>
  <w:footnote w:id="6">
    <w:p w14:paraId="38B8FB35" w14:textId="011B4709" w:rsidR="007D20BB" w:rsidRPr="00F12256" w:rsidRDefault="007D20BB" w:rsidP="00F12256">
      <w:pPr>
        <w:pStyle w:val="Textonotapie"/>
        <w:ind w:firstLine="709"/>
        <w:jc w:val="both"/>
        <w:rPr>
          <w:rFonts w:ascii="Arial" w:hAnsi="Arial" w:cs="Arial"/>
          <w:sz w:val="19"/>
          <w:szCs w:val="19"/>
          <w:lang w:val="es-ES"/>
        </w:rPr>
      </w:pPr>
      <w:r w:rsidRPr="00F12256">
        <w:rPr>
          <w:rStyle w:val="Refdenotaalpie"/>
          <w:rFonts w:ascii="Arial" w:hAnsi="Arial" w:cs="Arial"/>
          <w:sz w:val="19"/>
          <w:szCs w:val="19"/>
        </w:rPr>
        <w:footnoteRef/>
      </w:r>
      <w:r w:rsidRPr="00F12256">
        <w:rPr>
          <w:rFonts w:ascii="Arial" w:hAnsi="Arial" w:cs="Arial"/>
          <w:sz w:val="19"/>
          <w:szCs w:val="19"/>
        </w:rPr>
        <w:t xml:space="preserve"> </w:t>
      </w:r>
      <w:r w:rsidRPr="00F12256">
        <w:rPr>
          <w:rFonts w:ascii="Arial" w:hAnsi="Arial" w:cs="Arial"/>
          <w:sz w:val="19"/>
          <w:szCs w:val="19"/>
          <w:lang w:val="es-ES"/>
        </w:rPr>
        <w:t>La memoria justificativa puede consultarse aquí: https://www.colombiacompra.gov.co/sites/cce_public/files/files_2020/memoria_justificativa_resolucion_256_de_2020.pdf</w:t>
      </w:r>
    </w:p>
  </w:footnote>
  <w:footnote w:id="7">
    <w:p w14:paraId="437693FE" w14:textId="77777777" w:rsidR="00792E15" w:rsidRPr="00F12256" w:rsidRDefault="00792E15" w:rsidP="00F12256">
      <w:pPr>
        <w:pStyle w:val="Textonotapie"/>
        <w:ind w:firstLine="709"/>
        <w:jc w:val="both"/>
        <w:rPr>
          <w:rFonts w:ascii="Arial" w:hAnsi="Arial" w:cs="Arial"/>
          <w:sz w:val="19"/>
          <w:szCs w:val="19"/>
        </w:rPr>
      </w:pPr>
    </w:p>
    <w:p w14:paraId="15162006" w14:textId="58C61DEB" w:rsidR="00F9375C" w:rsidRPr="00F12256" w:rsidRDefault="00F9375C" w:rsidP="00F12256">
      <w:pPr>
        <w:pStyle w:val="Textonotapie"/>
        <w:ind w:firstLine="709"/>
        <w:jc w:val="both"/>
        <w:rPr>
          <w:rFonts w:ascii="Arial" w:hAnsi="Arial" w:cs="Arial"/>
          <w:sz w:val="19"/>
          <w:szCs w:val="19"/>
          <w:lang w:val="es-ES"/>
        </w:rPr>
      </w:pPr>
      <w:r w:rsidRPr="00F12256">
        <w:rPr>
          <w:rStyle w:val="Refdenotaalpie"/>
          <w:rFonts w:ascii="Arial" w:hAnsi="Arial" w:cs="Arial"/>
          <w:sz w:val="19"/>
          <w:szCs w:val="19"/>
        </w:rPr>
        <w:footnoteRef/>
      </w:r>
      <w:r w:rsidRPr="00F12256">
        <w:rPr>
          <w:rFonts w:ascii="Arial" w:hAnsi="Arial" w:cs="Arial"/>
          <w:sz w:val="19"/>
          <w:szCs w:val="19"/>
        </w:rPr>
        <w:t xml:space="preserve"> </w:t>
      </w:r>
      <w:r w:rsidRPr="00F12256">
        <w:rPr>
          <w:rFonts w:ascii="Arial" w:hAnsi="Arial" w:cs="Arial"/>
          <w:sz w:val="19"/>
          <w:szCs w:val="19"/>
          <w:lang w:val="es-ES"/>
        </w:rPr>
        <w:t>Ibíd.</w:t>
      </w:r>
    </w:p>
  </w:footnote>
  <w:footnote w:id="8">
    <w:p w14:paraId="3CBEBFB3" w14:textId="37184606" w:rsidR="00792E15" w:rsidRPr="00F12256" w:rsidRDefault="00957CC5" w:rsidP="00F12256">
      <w:pPr>
        <w:pStyle w:val="Textonotapie"/>
        <w:ind w:firstLine="709"/>
        <w:jc w:val="both"/>
        <w:rPr>
          <w:rFonts w:ascii="Arial" w:hAnsi="Arial" w:cs="Arial"/>
          <w:sz w:val="19"/>
          <w:szCs w:val="19"/>
          <w:lang w:val="es-ES"/>
        </w:rPr>
      </w:pPr>
      <w:r w:rsidRPr="00F12256">
        <w:rPr>
          <w:rStyle w:val="Refdenotaalpie"/>
          <w:rFonts w:ascii="Arial" w:hAnsi="Arial" w:cs="Arial"/>
          <w:sz w:val="19"/>
          <w:szCs w:val="19"/>
        </w:rPr>
        <w:footnoteRef/>
      </w:r>
      <w:r w:rsidRPr="00F12256">
        <w:rPr>
          <w:rFonts w:ascii="Arial" w:hAnsi="Arial" w:cs="Arial"/>
          <w:sz w:val="19"/>
          <w:szCs w:val="19"/>
        </w:rPr>
        <w:t xml:space="preserve"> </w:t>
      </w:r>
      <w:r w:rsidRPr="00F12256">
        <w:rPr>
          <w:rFonts w:ascii="Arial" w:hAnsi="Arial" w:cs="Arial"/>
          <w:sz w:val="19"/>
          <w:szCs w:val="19"/>
          <w:lang w:val="es-ES"/>
        </w:rPr>
        <w:t>En efecto, mientras que la modalidad de mínima cuantía exige que la entidad estatal</w:t>
      </w:r>
      <w:r w:rsidR="00BB68DA" w:rsidRPr="00F12256">
        <w:rPr>
          <w:rFonts w:ascii="Arial" w:hAnsi="Arial" w:cs="Arial"/>
          <w:sz w:val="19"/>
          <w:szCs w:val="19"/>
          <w:lang w:val="es-ES"/>
        </w:rPr>
        <w:t xml:space="preserve"> publique una invitación por un término no inferior a un día hábil –según lo establece el artículo 2, numeral 5 de la Ley 1150 de 2007, modificado por el artículo </w:t>
      </w:r>
      <w:r w:rsidR="00792E15" w:rsidRPr="00F12256">
        <w:rPr>
          <w:rFonts w:ascii="Arial" w:hAnsi="Arial" w:cs="Arial"/>
          <w:sz w:val="19"/>
          <w:szCs w:val="19"/>
          <w:lang w:val="es-ES"/>
        </w:rPr>
        <w:t>30 de la Ley 2069 de 2020–, el procedimiento del concurso de méritos, de conformidad con el artículo 2.2.1.2.1.3.2. del Decreto 1082 de 2015, debe desarrollarse así: «Además de las reglas generales previstas en la ley y en el presente título, las siguientes reglas son aplicables al concurso de méritos abierto o con precalificación:</w:t>
      </w:r>
    </w:p>
    <w:p w14:paraId="3A7C3E52" w14:textId="74B986DB" w:rsidR="00792E15" w:rsidRPr="00F12256" w:rsidRDefault="00792E15" w:rsidP="00F12256">
      <w:pPr>
        <w:pStyle w:val="Textonotapie"/>
        <w:ind w:firstLine="709"/>
        <w:jc w:val="both"/>
        <w:rPr>
          <w:rFonts w:ascii="Arial" w:hAnsi="Arial" w:cs="Arial"/>
          <w:sz w:val="19"/>
          <w:szCs w:val="19"/>
          <w:lang w:val="es-ES"/>
        </w:rPr>
      </w:pPr>
      <w:r w:rsidRPr="00F12256">
        <w:rPr>
          <w:rFonts w:ascii="Arial" w:hAnsi="Arial" w:cs="Arial"/>
          <w:sz w:val="19"/>
          <w:szCs w:val="19"/>
          <w:lang w:val="es-ES"/>
        </w:rPr>
        <w:t>»1. La Entidad Estatal en los pliegos de condiciones debe indicar la forma como calificará, entre otros, los siguientes criterios: a) la experiencia del interesado y del equipo de trabajo, y b) la formación académica y las publicaciones técnicas y científicas del equipo de trabajo.</w:t>
      </w:r>
    </w:p>
    <w:p w14:paraId="3F14926A" w14:textId="56C77630" w:rsidR="00957CC5" w:rsidRDefault="00792E15" w:rsidP="00F12256">
      <w:pPr>
        <w:pStyle w:val="Textonotapie"/>
        <w:ind w:firstLine="709"/>
        <w:jc w:val="both"/>
        <w:rPr>
          <w:rFonts w:ascii="Arial" w:hAnsi="Arial" w:cs="Arial"/>
          <w:sz w:val="19"/>
          <w:szCs w:val="19"/>
          <w:lang w:val="es-ES"/>
        </w:rPr>
      </w:pPr>
      <w:r w:rsidRPr="00F12256">
        <w:rPr>
          <w:rFonts w:ascii="Arial" w:hAnsi="Arial" w:cs="Arial"/>
          <w:sz w:val="19"/>
          <w:szCs w:val="19"/>
          <w:lang w:val="es-ES"/>
        </w:rPr>
        <w:t>»2. La Entidad Estatal debe publicar durante tres (3) días hábiles el informe de evaluación, el cual debe contener la calificación técnica y el orden de elegibilidad».</w:t>
      </w:r>
    </w:p>
    <w:p w14:paraId="3D0DF8A3" w14:textId="77777777" w:rsidR="00DA293A" w:rsidRPr="00F12256" w:rsidRDefault="00DA293A" w:rsidP="00F12256">
      <w:pPr>
        <w:pStyle w:val="Textonotapie"/>
        <w:ind w:firstLine="709"/>
        <w:jc w:val="both"/>
        <w:rPr>
          <w:rFonts w:ascii="Arial" w:hAnsi="Arial" w:cs="Arial"/>
          <w:sz w:val="19"/>
          <w:szCs w:val="19"/>
          <w:lang w:val="es-CO"/>
        </w:rPr>
      </w:pPr>
    </w:p>
  </w:footnote>
  <w:footnote w:id="9">
    <w:p w14:paraId="58179118" w14:textId="4905CCA1" w:rsidR="00093D14" w:rsidRPr="00F12256" w:rsidRDefault="00093D14" w:rsidP="00F12256">
      <w:pPr>
        <w:pStyle w:val="Textonotapie"/>
        <w:ind w:firstLine="709"/>
        <w:jc w:val="both"/>
        <w:rPr>
          <w:rFonts w:ascii="Arial" w:hAnsi="Arial" w:cs="Arial"/>
          <w:sz w:val="19"/>
          <w:szCs w:val="19"/>
        </w:rPr>
      </w:pPr>
      <w:r w:rsidRPr="00F12256">
        <w:rPr>
          <w:rStyle w:val="Refdenotaalpie"/>
          <w:rFonts w:ascii="Arial" w:hAnsi="Arial" w:cs="Arial"/>
          <w:sz w:val="19"/>
          <w:szCs w:val="19"/>
        </w:rPr>
        <w:footnoteRef/>
      </w:r>
      <w:r w:rsidR="00EA56A9" w:rsidRPr="00F12256">
        <w:rPr>
          <w:rFonts w:ascii="Arial" w:hAnsi="Arial" w:cs="Arial"/>
          <w:sz w:val="19"/>
          <w:szCs w:val="19"/>
        </w:rPr>
        <w:t>https://www.colombiacompra.gov.co/sites/cce_public/files/cce_documents/manual_de_la_modalidad_de_seleccion_de_minima_cuantia.pdf</w:t>
      </w:r>
    </w:p>
  </w:footnote>
  <w:footnote w:id="10">
    <w:p w14:paraId="1A041C97" w14:textId="2454AC68" w:rsidR="00F12256" w:rsidRPr="00F12256" w:rsidRDefault="00F12256" w:rsidP="00F12256">
      <w:pPr>
        <w:pStyle w:val="Textonotapie"/>
        <w:ind w:firstLine="709"/>
        <w:jc w:val="both"/>
        <w:rPr>
          <w:rFonts w:ascii="Arial" w:hAnsi="Arial" w:cs="Arial"/>
          <w:sz w:val="19"/>
          <w:szCs w:val="19"/>
          <w:lang w:val="es-ES"/>
        </w:rPr>
      </w:pPr>
      <w:r w:rsidRPr="00F12256">
        <w:rPr>
          <w:rStyle w:val="Refdenotaalpie"/>
          <w:rFonts w:ascii="Arial" w:hAnsi="Arial" w:cs="Arial"/>
          <w:sz w:val="19"/>
          <w:szCs w:val="19"/>
        </w:rPr>
        <w:footnoteRef/>
      </w:r>
      <w:r w:rsidRPr="00F12256">
        <w:rPr>
          <w:rFonts w:ascii="Arial" w:hAnsi="Arial" w:cs="Arial"/>
          <w:sz w:val="19"/>
          <w:szCs w:val="19"/>
        </w:rPr>
        <w:t xml:space="preserve"> </w:t>
      </w:r>
      <w:r w:rsidRPr="00F12256">
        <w:rPr>
          <w:rFonts w:ascii="Arial" w:hAnsi="Arial" w:cs="Arial"/>
          <w:sz w:val="19"/>
          <w:szCs w:val="19"/>
          <w:lang w:val="es-ES"/>
        </w:rPr>
        <w:t>Este numeral dispone: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FDCC816" w14:textId="2EE6F495" w:rsidR="00F12256" w:rsidRPr="00F12256" w:rsidRDefault="00F12256" w:rsidP="00F12256">
      <w:pPr>
        <w:pStyle w:val="Textonotapie"/>
        <w:ind w:firstLine="709"/>
        <w:jc w:val="both"/>
        <w:rPr>
          <w:rFonts w:ascii="Arial" w:hAnsi="Arial" w:cs="Arial"/>
          <w:sz w:val="19"/>
          <w:szCs w:val="19"/>
          <w:lang w:val="es-ES"/>
        </w:rPr>
      </w:pPr>
      <w:r w:rsidRPr="00F12256">
        <w:rPr>
          <w:rFonts w:ascii="Arial" w:hAnsi="Arial" w:cs="Arial"/>
          <w:sz w:val="19"/>
          <w:szCs w:val="19"/>
          <w:lang w:val="es-ES"/>
        </w:rPr>
        <w:t>»Son también contratos de consultoría los que tienen por objeto la interventoría, asesoría, gerencia de obra o de proyectos, dirección, programación y la ejecución de diseños, planos, anteproyectos y proyectos.</w:t>
      </w:r>
    </w:p>
    <w:p w14:paraId="0533C8CE" w14:textId="0FC5186B" w:rsidR="00F12256" w:rsidRPr="00F12256" w:rsidRDefault="00F12256" w:rsidP="00F12256">
      <w:pPr>
        <w:pStyle w:val="Textonotapie"/>
        <w:ind w:firstLine="709"/>
        <w:jc w:val="both"/>
        <w:rPr>
          <w:rFonts w:ascii="Arial" w:hAnsi="Arial" w:cs="Arial"/>
          <w:sz w:val="19"/>
          <w:szCs w:val="19"/>
          <w:lang w:val="es-CO"/>
        </w:rPr>
      </w:pPr>
      <w:r w:rsidRPr="00F12256">
        <w:rPr>
          <w:rFonts w:ascii="Arial" w:hAnsi="Arial" w:cs="Arial"/>
          <w:sz w:val="19"/>
          <w:szCs w:val="19"/>
          <w:lang w:val="es-ES"/>
        </w:rPr>
        <w:t>»Ninguna orden del interventor de una obra podrá darse verbalmente. Es obligatorio para el interventor entregar por escrito sus órdenes o sugerencias y ellas deben enmarcarse dentro de los términos del respectivo contrato».</w:t>
      </w:r>
    </w:p>
  </w:footnote>
  <w:footnote w:id="11">
    <w:p w14:paraId="075E60AF" w14:textId="77777777" w:rsidR="00E15AB1" w:rsidRPr="00F12256" w:rsidRDefault="00E15AB1" w:rsidP="00F12256">
      <w:pPr>
        <w:pStyle w:val="Textonotapie"/>
        <w:ind w:firstLine="709"/>
        <w:jc w:val="both"/>
        <w:rPr>
          <w:rFonts w:ascii="Arial" w:hAnsi="Arial" w:cs="Arial"/>
          <w:color w:val="000000" w:themeColor="text1"/>
          <w:sz w:val="19"/>
          <w:szCs w:val="19"/>
          <w:lang w:val="es-ES"/>
        </w:rPr>
      </w:pPr>
      <w:r w:rsidRPr="00F12256">
        <w:rPr>
          <w:rStyle w:val="Refdenotaalpie"/>
          <w:rFonts w:ascii="Arial" w:hAnsi="Arial" w:cs="Arial"/>
          <w:sz w:val="19"/>
          <w:szCs w:val="19"/>
        </w:rPr>
        <w:footnoteRef/>
      </w:r>
      <w:r w:rsidRPr="00F12256">
        <w:rPr>
          <w:rFonts w:ascii="Arial" w:hAnsi="Arial" w:cs="Arial"/>
          <w:sz w:val="19"/>
          <w:szCs w:val="19"/>
        </w:rPr>
        <w:t xml:space="preserve"> </w:t>
      </w:r>
      <w:r w:rsidRPr="00F12256">
        <w:rPr>
          <w:rFonts w:ascii="Arial" w:hAnsi="Arial" w:cs="Arial"/>
          <w:color w:val="000000" w:themeColor="text1"/>
          <w:sz w:val="19"/>
          <w:szCs w:val="19"/>
          <w:lang w:val="es-ES"/>
        </w:rPr>
        <w:t xml:space="preserve">Consejo de Estado. Sección Tercera. Subsección A. Auto del 29 de marzo de 2017. </w:t>
      </w:r>
      <w:proofErr w:type="spellStart"/>
      <w:r w:rsidRPr="00F12256">
        <w:rPr>
          <w:rFonts w:ascii="Arial" w:hAnsi="Arial" w:cs="Arial"/>
          <w:color w:val="000000" w:themeColor="text1"/>
          <w:sz w:val="19"/>
          <w:szCs w:val="19"/>
          <w:lang w:val="es-ES"/>
        </w:rPr>
        <w:t>Exp</w:t>
      </w:r>
      <w:proofErr w:type="spellEnd"/>
      <w:r w:rsidRPr="00F12256">
        <w:rPr>
          <w:rFonts w:ascii="Arial" w:hAnsi="Arial" w:cs="Arial"/>
          <w:color w:val="000000" w:themeColor="text1"/>
          <w:sz w:val="19"/>
          <w:szCs w:val="19"/>
          <w:lang w:val="es-ES"/>
        </w:rPr>
        <w:t>. 56307. Consejero: Carlos Alberto Zambrano Barrera.</w:t>
      </w:r>
    </w:p>
    <w:p w14:paraId="4AAFC87B" w14:textId="77777777" w:rsidR="00E15AB1" w:rsidRPr="00F12256" w:rsidRDefault="00E15AB1" w:rsidP="00F12256">
      <w:pPr>
        <w:pStyle w:val="Textonotapie"/>
        <w:ind w:firstLine="709"/>
        <w:jc w:val="both"/>
        <w:rPr>
          <w:rFonts w:ascii="Arial" w:hAnsi="Arial" w:cs="Arial"/>
          <w:sz w:val="19"/>
          <w:szCs w:val="19"/>
        </w:rPr>
      </w:pPr>
    </w:p>
  </w:footnote>
  <w:footnote w:id="12">
    <w:p w14:paraId="016C6A48" w14:textId="43C2913F" w:rsidR="00093D14" w:rsidRPr="00F12256" w:rsidRDefault="00093D14" w:rsidP="00F12256">
      <w:pPr>
        <w:pStyle w:val="Textonotapie"/>
        <w:ind w:firstLine="709"/>
        <w:jc w:val="both"/>
        <w:rPr>
          <w:rFonts w:ascii="Arial" w:hAnsi="Arial" w:cs="Arial"/>
          <w:sz w:val="19"/>
          <w:szCs w:val="19"/>
        </w:rPr>
      </w:pPr>
      <w:r w:rsidRPr="00F12256">
        <w:rPr>
          <w:rStyle w:val="Refdenotaalpie"/>
          <w:rFonts w:ascii="Arial" w:hAnsi="Arial" w:cs="Arial"/>
          <w:sz w:val="19"/>
          <w:szCs w:val="19"/>
        </w:rPr>
        <w:footnoteRef/>
      </w:r>
      <w:r w:rsidRPr="00F12256">
        <w:rPr>
          <w:rFonts w:ascii="Arial" w:hAnsi="Arial" w:cs="Arial"/>
          <w:sz w:val="19"/>
          <w:szCs w:val="19"/>
        </w:rPr>
        <w:t>https://www.colombiacompra.gov.co/sites/cce_public/files/cce_documentos/resolucion_094_de_2020.pdf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6A59DE" w:rsidRDefault="006A59DE">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4023316"/>
    <w:multiLevelType w:val="multilevel"/>
    <w:tmpl w:val="27FE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1"/>
  </w:num>
  <w:num w:numId="2">
    <w:abstractNumId w:val="9"/>
  </w:num>
  <w:num w:numId="3">
    <w:abstractNumId w:val="14"/>
  </w:num>
  <w:num w:numId="4">
    <w:abstractNumId w:val="17"/>
  </w:num>
  <w:num w:numId="5">
    <w:abstractNumId w:val="2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0"/>
  </w:num>
  <w:num w:numId="9">
    <w:abstractNumId w:val="4"/>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3"/>
  </w:num>
  <w:num w:numId="14">
    <w:abstractNumId w:val="8"/>
  </w:num>
  <w:num w:numId="1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15"/>
  </w:num>
  <w:num w:numId="19">
    <w:abstractNumId w:val="3"/>
  </w:num>
  <w:num w:numId="20">
    <w:abstractNumId w:val="24"/>
  </w:num>
  <w:num w:numId="21">
    <w:abstractNumId w:val="16"/>
  </w:num>
  <w:num w:numId="22">
    <w:abstractNumId w:val="6"/>
  </w:num>
  <w:num w:numId="23">
    <w:abstractNumId w:val="5"/>
  </w:num>
  <w:num w:numId="24">
    <w:abstractNumId w:val="22"/>
  </w:num>
  <w:num w:numId="25">
    <w:abstractNumId w:val="18"/>
  </w:num>
  <w:num w:numId="26">
    <w:abstractNumId w:val="25"/>
  </w:num>
  <w:num w:numId="27">
    <w:abstractNumId w:val="7"/>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78"/>
  <w:proofState w:spelling="clean"/>
  <w:attachedTemplate r:id="rId1"/>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FFD"/>
    <w:rsid w:val="00002027"/>
    <w:rsid w:val="000020FE"/>
    <w:rsid w:val="00002173"/>
    <w:rsid w:val="000031A8"/>
    <w:rsid w:val="00003C5C"/>
    <w:rsid w:val="000040D7"/>
    <w:rsid w:val="00004556"/>
    <w:rsid w:val="000051AF"/>
    <w:rsid w:val="000059D3"/>
    <w:rsid w:val="00005B6D"/>
    <w:rsid w:val="0000600A"/>
    <w:rsid w:val="00006081"/>
    <w:rsid w:val="00007564"/>
    <w:rsid w:val="00007750"/>
    <w:rsid w:val="000077FD"/>
    <w:rsid w:val="00007E37"/>
    <w:rsid w:val="00010C40"/>
    <w:rsid w:val="000112B4"/>
    <w:rsid w:val="00011DCC"/>
    <w:rsid w:val="00012532"/>
    <w:rsid w:val="00012B9E"/>
    <w:rsid w:val="00012FBA"/>
    <w:rsid w:val="00013C6B"/>
    <w:rsid w:val="0001406B"/>
    <w:rsid w:val="000143F8"/>
    <w:rsid w:val="00014624"/>
    <w:rsid w:val="00015B44"/>
    <w:rsid w:val="00015CEE"/>
    <w:rsid w:val="00016081"/>
    <w:rsid w:val="000165AC"/>
    <w:rsid w:val="00016651"/>
    <w:rsid w:val="00016FE3"/>
    <w:rsid w:val="000171A2"/>
    <w:rsid w:val="00017B65"/>
    <w:rsid w:val="00020158"/>
    <w:rsid w:val="000207E0"/>
    <w:rsid w:val="000209E2"/>
    <w:rsid w:val="00020F8F"/>
    <w:rsid w:val="00021A95"/>
    <w:rsid w:val="0002256F"/>
    <w:rsid w:val="00023746"/>
    <w:rsid w:val="00023DAE"/>
    <w:rsid w:val="00024896"/>
    <w:rsid w:val="00025D0A"/>
    <w:rsid w:val="000263F0"/>
    <w:rsid w:val="00026407"/>
    <w:rsid w:val="00026608"/>
    <w:rsid w:val="00027787"/>
    <w:rsid w:val="000278D2"/>
    <w:rsid w:val="0003095C"/>
    <w:rsid w:val="00030BD4"/>
    <w:rsid w:val="00031158"/>
    <w:rsid w:val="00031364"/>
    <w:rsid w:val="000314BD"/>
    <w:rsid w:val="000315E1"/>
    <w:rsid w:val="00031FF6"/>
    <w:rsid w:val="0003236E"/>
    <w:rsid w:val="0003339A"/>
    <w:rsid w:val="0003370C"/>
    <w:rsid w:val="000341F2"/>
    <w:rsid w:val="000343F8"/>
    <w:rsid w:val="00035046"/>
    <w:rsid w:val="000351F2"/>
    <w:rsid w:val="00036E03"/>
    <w:rsid w:val="000406DB"/>
    <w:rsid w:val="0004094D"/>
    <w:rsid w:val="00041029"/>
    <w:rsid w:val="0004149B"/>
    <w:rsid w:val="00042961"/>
    <w:rsid w:val="00042C25"/>
    <w:rsid w:val="00042D03"/>
    <w:rsid w:val="00043086"/>
    <w:rsid w:val="000430A0"/>
    <w:rsid w:val="00043D3B"/>
    <w:rsid w:val="0004418C"/>
    <w:rsid w:val="00044204"/>
    <w:rsid w:val="000449D4"/>
    <w:rsid w:val="00045A00"/>
    <w:rsid w:val="0004610D"/>
    <w:rsid w:val="000463B5"/>
    <w:rsid w:val="00046717"/>
    <w:rsid w:val="00046A63"/>
    <w:rsid w:val="00046C09"/>
    <w:rsid w:val="0004716A"/>
    <w:rsid w:val="00047385"/>
    <w:rsid w:val="000473E8"/>
    <w:rsid w:val="00047F84"/>
    <w:rsid w:val="000504DE"/>
    <w:rsid w:val="00051074"/>
    <w:rsid w:val="000526F0"/>
    <w:rsid w:val="0005273D"/>
    <w:rsid w:val="00052B79"/>
    <w:rsid w:val="00052EA0"/>
    <w:rsid w:val="000536A7"/>
    <w:rsid w:val="000536E3"/>
    <w:rsid w:val="00053896"/>
    <w:rsid w:val="0005463D"/>
    <w:rsid w:val="0005474D"/>
    <w:rsid w:val="00055CB9"/>
    <w:rsid w:val="00056CD0"/>
    <w:rsid w:val="00056F66"/>
    <w:rsid w:val="0005702F"/>
    <w:rsid w:val="0006089F"/>
    <w:rsid w:val="00061010"/>
    <w:rsid w:val="00061D06"/>
    <w:rsid w:val="00062CDD"/>
    <w:rsid w:val="000635D9"/>
    <w:rsid w:val="000640AF"/>
    <w:rsid w:val="00064940"/>
    <w:rsid w:val="00064CAE"/>
    <w:rsid w:val="00064DB7"/>
    <w:rsid w:val="00064FA7"/>
    <w:rsid w:val="00065195"/>
    <w:rsid w:val="0006533E"/>
    <w:rsid w:val="0006536C"/>
    <w:rsid w:val="00070AF1"/>
    <w:rsid w:val="000714DE"/>
    <w:rsid w:val="0007254F"/>
    <w:rsid w:val="0007331E"/>
    <w:rsid w:val="00073C30"/>
    <w:rsid w:val="00074305"/>
    <w:rsid w:val="000744D0"/>
    <w:rsid w:val="00074B2A"/>
    <w:rsid w:val="00074EEE"/>
    <w:rsid w:val="000753D5"/>
    <w:rsid w:val="00075B3E"/>
    <w:rsid w:val="00076456"/>
    <w:rsid w:val="00077173"/>
    <w:rsid w:val="0007719D"/>
    <w:rsid w:val="0007779B"/>
    <w:rsid w:val="000777E7"/>
    <w:rsid w:val="0007790A"/>
    <w:rsid w:val="0008017B"/>
    <w:rsid w:val="000808C5"/>
    <w:rsid w:val="00080ACD"/>
    <w:rsid w:val="000811ED"/>
    <w:rsid w:val="00081D62"/>
    <w:rsid w:val="00082B74"/>
    <w:rsid w:val="00083099"/>
    <w:rsid w:val="00083452"/>
    <w:rsid w:val="00083B4A"/>
    <w:rsid w:val="00083EDC"/>
    <w:rsid w:val="000842BE"/>
    <w:rsid w:val="00084B97"/>
    <w:rsid w:val="0008510E"/>
    <w:rsid w:val="000852D8"/>
    <w:rsid w:val="000856DE"/>
    <w:rsid w:val="00085F17"/>
    <w:rsid w:val="00085FB0"/>
    <w:rsid w:val="00085FB3"/>
    <w:rsid w:val="0008686B"/>
    <w:rsid w:val="00086B2A"/>
    <w:rsid w:val="00086ED2"/>
    <w:rsid w:val="000874F7"/>
    <w:rsid w:val="000914D6"/>
    <w:rsid w:val="00091569"/>
    <w:rsid w:val="00092CDB"/>
    <w:rsid w:val="00092DCA"/>
    <w:rsid w:val="00093D14"/>
    <w:rsid w:val="000942EB"/>
    <w:rsid w:val="00095B70"/>
    <w:rsid w:val="0009617E"/>
    <w:rsid w:val="0009628D"/>
    <w:rsid w:val="0009670F"/>
    <w:rsid w:val="00097342"/>
    <w:rsid w:val="000979CF"/>
    <w:rsid w:val="00097FCD"/>
    <w:rsid w:val="000A03C8"/>
    <w:rsid w:val="000A05F2"/>
    <w:rsid w:val="000A06C4"/>
    <w:rsid w:val="000A0861"/>
    <w:rsid w:val="000A0ED1"/>
    <w:rsid w:val="000A12DB"/>
    <w:rsid w:val="000A1576"/>
    <w:rsid w:val="000A17C8"/>
    <w:rsid w:val="000A1B74"/>
    <w:rsid w:val="000A20D7"/>
    <w:rsid w:val="000A2128"/>
    <w:rsid w:val="000A362F"/>
    <w:rsid w:val="000A3B49"/>
    <w:rsid w:val="000A47E6"/>
    <w:rsid w:val="000A52C0"/>
    <w:rsid w:val="000A5AAF"/>
    <w:rsid w:val="000A5F97"/>
    <w:rsid w:val="000A648E"/>
    <w:rsid w:val="000A73BB"/>
    <w:rsid w:val="000A7EF4"/>
    <w:rsid w:val="000B0A15"/>
    <w:rsid w:val="000B103F"/>
    <w:rsid w:val="000B1437"/>
    <w:rsid w:val="000B1470"/>
    <w:rsid w:val="000B244D"/>
    <w:rsid w:val="000B2570"/>
    <w:rsid w:val="000B2B86"/>
    <w:rsid w:val="000B3051"/>
    <w:rsid w:val="000B419B"/>
    <w:rsid w:val="000B5781"/>
    <w:rsid w:val="000B5CB1"/>
    <w:rsid w:val="000B6C36"/>
    <w:rsid w:val="000B6D08"/>
    <w:rsid w:val="000C0185"/>
    <w:rsid w:val="000C0F81"/>
    <w:rsid w:val="000C128D"/>
    <w:rsid w:val="000C17A3"/>
    <w:rsid w:val="000C1D4B"/>
    <w:rsid w:val="000C2DC4"/>
    <w:rsid w:val="000C3260"/>
    <w:rsid w:val="000C3B77"/>
    <w:rsid w:val="000C3F6D"/>
    <w:rsid w:val="000C4F49"/>
    <w:rsid w:val="000C5861"/>
    <w:rsid w:val="000C5BDE"/>
    <w:rsid w:val="000C639D"/>
    <w:rsid w:val="000C6946"/>
    <w:rsid w:val="000C6C31"/>
    <w:rsid w:val="000C6DBC"/>
    <w:rsid w:val="000C6F79"/>
    <w:rsid w:val="000C7476"/>
    <w:rsid w:val="000C7711"/>
    <w:rsid w:val="000C7AA2"/>
    <w:rsid w:val="000D0462"/>
    <w:rsid w:val="000D053D"/>
    <w:rsid w:val="000D0ED2"/>
    <w:rsid w:val="000D1CEB"/>
    <w:rsid w:val="000D2563"/>
    <w:rsid w:val="000D25BF"/>
    <w:rsid w:val="000D3282"/>
    <w:rsid w:val="000D3FDC"/>
    <w:rsid w:val="000D490B"/>
    <w:rsid w:val="000D4E38"/>
    <w:rsid w:val="000D50DB"/>
    <w:rsid w:val="000D5EF9"/>
    <w:rsid w:val="000D6288"/>
    <w:rsid w:val="000D7541"/>
    <w:rsid w:val="000D75E1"/>
    <w:rsid w:val="000D79F4"/>
    <w:rsid w:val="000E047D"/>
    <w:rsid w:val="000E056A"/>
    <w:rsid w:val="000E22CF"/>
    <w:rsid w:val="000E2977"/>
    <w:rsid w:val="000E2CC0"/>
    <w:rsid w:val="000E30AC"/>
    <w:rsid w:val="000E3B46"/>
    <w:rsid w:val="000E3E11"/>
    <w:rsid w:val="000E40A7"/>
    <w:rsid w:val="000E4596"/>
    <w:rsid w:val="000E5768"/>
    <w:rsid w:val="000E5843"/>
    <w:rsid w:val="000E5E20"/>
    <w:rsid w:val="000E6139"/>
    <w:rsid w:val="000E6BE1"/>
    <w:rsid w:val="000E7E0B"/>
    <w:rsid w:val="000F0136"/>
    <w:rsid w:val="000F078A"/>
    <w:rsid w:val="000F122D"/>
    <w:rsid w:val="000F1450"/>
    <w:rsid w:val="000F14E8"/>
    <w:rsid w:val="000F1BBD"/>
    <w:rsid w:val="000F290F"/>
    <w:rsid w:val="000F4403"/>
    <w:rsid w:val="000F4702"/>
    <w:rsid w:val="000F480B"/>
    <w:rsid w:val="000F4E17"/>
    <w:rsid w:val="000F5D2E"/>
    <w:rsid w:val="000F6578"/>
    <w:rsid w:val="000F7E8F"/>
    <w:rsid w:val="000F7FBB"/>
    <w:rsid w:val="0010006F"/>
    <w:rsid w:val="001000FB"/>
    <w:rsid w:val="00100A9E"/>
    <w:rsid w:val="00100F6A"/>
    <w:rsid w:val="00102605"/>
    <w:rsid w:val="00102686"/>
    <w:rsid w:val="00102745"/>
    <w:rsid w:val="00103795"/>
    <w:rsid w:val="00103915"/>
    <w:rsid w:val="00103EA0"/>
    <w:rsid w:val="00104F1C"/>
    <w:rsid w:val="001051E5"/>
    <w:rsid w:val="00105A74"/>
    <w:rsid w:val="00105ACB"/>
    <w:rsid w:val="00105AEF"/>
    <w:rsid w:val="00106259"/>
    <w:rsid w:val="001068EB"/>
    <w:rsid w:val="001078CE"/>
    <w:rsid w:val="00107FBF"/>
    <w:rsid w:val="00110F61"/>
    <w:rsid w:val="00110F7C"/>
    <w:rsid w:val="001111BD"/>
    <w:rsid w:val="0011165A"/>
    <w:rsid w:val="001116C6"/>
    <w:rsid w:val="00111B2B"/>
    <w:rsid w:val="00112774"/>
    <w:rsid w:val="00112B2E"/>
    <w:rsid w:val="00112B7F"/>
    <w:rsid w:val="00113003"/>
    <w:rsid w:val="00113062"/>
    <w:rsid w:val="00113657"/>
    <w:rsid w:val="00113705"/>
    <w:rsid w:val="00113975"/>
    <w:rsid w:val="00113CFC"/>
    <w:rsid w:val="00113FEA"/>
    <w:rsid w:val="00114631"/>
    <w:rsid w:val="00114A22"/>
    <w:rsid w:val="00114E9D"/>
    <w:rsid w:val="0011507B"/>
    <w:rsid w:val="0011627A"/>
    <w:rsid w:val="00116328"/>
    <w:rsid w:val="001163CF"/>
    <w:rsid w:val="001174C9"/>
    <w:rsid w:val="00117E69"/>
    <w:rsid w:val="001204D2"/>
    <w:rsid w:val="00121103"/>
    <w:rsid w:val="001215B2"/>
    <w:rsid w:val="00121BAB"/>
    <w:rsid w:val="00121E3C"/>
    <w:rsid w:val="00122B23"/>
    <w:rsid w:val="00122B7E"/>
    <w:rsid w:val="00123FB5"/>
    <w:rsid w:val="0012400F"/>
    <w:rsid w:val="001249DC"/>
    <w:rsid w:val="0012572D"/>
    <w:rsid w:val="00125BED"/>
    <w:rsid w:val="00125C59"/>
    <w:rsid w:val="00125D4F"/>
    <w:rsid w:val="00125DDE"/>
    <w:rsid w:val="00127004"/>
    <w:rsid w:val="00127AF2"/>
    <w:rsid w:val="00127EDC"/>
    <w:rsid w:val="00127F6D"/>
    <w:rsid w:val="00127FF6"/>
    <w:rsid w:val="00130355"/>
    <w:rsid w:val="00130365"/>
    <w:rsid w:val="00131B5A"/>
    <w:rsid w:val="00131CA8"/>
    <w:rsid w:val="00132C30"/>
    <w:rsid w:val="00132EFD"/>
    <w:rsid w:val="00133AED"/>
    <w:rsid w:val="00134E09"/>
    <w:rsid w:val="00134E7E"/>
    <w:rsid w:val="00135DB9"/>
    <w:rsid w:val="001360C5"/>
    <w:rsid w:val="00136394"/>
    <w:rsid w:val="0013695C"/>
    <w:rsid w:val="00136BF7"/>
    <w:rsid w:val="001378B9"/>
    <w:rsid w:val="00137FFA"/>
    <w:rsid w:val="00140109"/>
    <w:rsid w:val="0014029B"/>
    <w:rsid w:val="00140464"/>
    <w:rsid w:val="00140A4F"/>
    <w:rsid w:val="001413AB"/>
    <w:rsid w:val="00141DBF"/>
    <w:rsid w:val="00142EFD"/>
    <w:rsid w:val="00142F55"/>
    <w:rsid w:val="00144335"/>
    <w:rsid w:val="001446FC"/>
    <w:rsid w:val="0014502F"/>
    <w:rsid w:val="00145282"/>
    <w:rsid w:val="001453B0"/>
    <w:rsid w:val="001454D9"/>
    <w:rsid w:val="00145D8E"/>
    <w:rsid w:val="00146083"/>
    <w:rsid w:val="001462F7"/>
    <w:rsid w:val="00147BED"/>
    <w:rsid w:val="00147F35"/>
    <w:rsid w:val="00150005"/>
    <w:rsid w:val="00150795"/>
    <w:rsid w:val="001518D7"/>
    <w:rsid w:val="00151AEB"/>
    <w:rsid w:val="00151B99"/>
    <w:rsid w:val="00151C1E"/>
    <w:rsid w:val="001521B2"/>
    <w:rsid w:val="00152EDD"/>
    <w:rsid w:val="00153491"/>
    <w:rsid w:val="0015361C"/>
    <w:rsid w:val="0015372F"/>
    <w:rsid w:val="00153BFB"/>
    <w:rsid w:val="0015407E"/>
    <w:rsid w:val="0015448E"/>
    <w:rsid w:val="00154A6F"/>
    <w:rsid w:val="00155D08"/>
    <w:rsid w:val="00156BE5"/>
    <w:rsid w:val="00157232"/>
    <w:rsid w:val="00160401"/>
    <w:rsid w:val="00160D4E"/>
    <w:rsid w:val="00160DF9"/>
    <w:rsid w:val="00161DDA"/>
    <w:rsid w:val="00161E62"/>
    <w:rsid w:val="00161F1C"/>
    <w:rsid w:val="0016200B"/>
    <w:rsid w:val="00162013"/>
    <w:rsid w:val="0016229A"/>
    <w:rsid w:val="00163D7A"/>
    <w:rsid w:val="00163E3A"/>
    <w:rsid w:val="00164281"/>
    <w:rsid w:val="00165703"/>
    <w:rsid w:val="0016685F"/>
    <w:rsid w:val="0016712F"/>
    <w:rsid w:val="00167503"/>
    <w:rsid w:val="001676A9"/>
    <w:rsid w:val="00167A15"/>
    <w:rsid w:val="00167A50"/>
    <w:rsid w:val="00167DF5"/>
    <w:rsid w:val="00170001"/>
    <w:rsid w:val="00172198"/>
    <w:rsid w:val="001722A3"/>
    <w:rsid w:val="00172612"/>
    <w:rsid w:val="00172817"/>
    <w:rsid w:val="00172944"/>
    <w:rsid w:val="001734E3"/>
    <w:rsid w:val="001742BF"/>
    <w:rsid w:val="001747DB"/>
    <w:rsid w:val="00175E49"/>
    <w:rsid w:val="0017649F"/>
    <w:rsid w:val="001764FD"/>
    <w:rsid w:val="0017655D"/>
    <w:rsid w:val="001805C1"/>
    <w:rsid w:val="001807B6"/>
    <w:rsid w:val="00180A2E"/>
    <w:rsid w:val="001813AF"/>
    <w:rsid w:val="001829CD"/>
    <w:rsid w:val="00182F01"/>
    <w:rsid w:val="00183FCD"/>
    <w:rsid w:val="00184F27"/>
    <w:rsid w:val="0018519B"/>
    <w:rsid w:val="00185966"/>
    <w:rsid w:val="00185A2D"/>
    <w:rsid w:val="00185AFE"/>
    <w:rsid w:val="00185BE0"/>
    <w:rsid w:val="00185E78"/>
    <w:rsid w:val="00187061"/>
    <w:rsid w:val="00187177"/>
    <w:rsid w:val="00187ABD"/>
    <w:rsid w:val="001904E3"/>
    <w:rsid w:val="0019087A"/>
    <w:rsid w:val="00191473"/>
    <w:rsid w:val="00191C5A"/>
    <w:rsid w:val="00191CEB"/>
    <w:rsid w:val="00191E63"/>
    <w:rsid w:val="00192531"/>
    <w:rsid w:val="0019258A"/>
    <w:rsid w:val="00192D68"/>
    <w:rsid w:val="0019388B"/>
    <w:rsid w:val="00193B9A"/>
    <w:rsid w:val="001940ED"/>
    <w:rsid w:val="001946AE"/>
    <w:rsid w:val="001946D5"/>
    <w:rsid w:val="00194804"/>
    <w:rsid w:val="00194E8C"/>
    <w:rsid w:val="001962EC"/>
    <w:rsid w:val="001963DD"/>
    <w:rsid w:val="001965DB"/>
    <w:rsid w:val="00196D01"/>
    <w:rsid w:val="00196DC9"/>
    <w:rsid w:val="00196E95"/>
    <w:rsid w:val="00197CF9"/>
    <w:rsid w:val="001A0236"/>
    <w:rsid w:val="001A0427"/>
    <w:rsid w:val="001A0930"/>
    <w:rsid w:val="001A0AF8"/>
    <w:rsid w:val="001A18D5"/>
    <w:rsid w:val="001A1A38"/>
    <w:rsid w:val="001A1BE0"/>
    <w:rsid w:val="001A1D4A"/>
    <w:rsid w:val="001A3011"/>
    <w:rsid w:val="001A32CA"/>
    <w:rsid w:val="001A4A9B"/>
    <w:rsid w:val="001A4DAF"/>
    <w:rsid w:val="001A54CD"/>
    <w:rsid w:val="001A66DF"/>
    <w:rsid w:val="001A67D0"/>
    <w:rsid w:val="001A6863"/>
    <w:rsid w:val="001A7591"/>
    <w:rsid w:val="001A75B1"/>
    <w:rsid w:val="001A7B06"/>
    <w:rsid w:val="001B0366"/>
    <w:rsid w:val="001B0444"/>
    <w:rsid w:val="001B096B"/>
    <w:rsid w:val="001B0F9F"/>
    <w:rsid w:val="001B0FAA"/>
    <w:rsid w:val="001B123C"/>
    <w:rsid w:val="001B1A0D"/>
    <w:rsid w:val="001B1BF1"/>
    <w:rsid w:val="001B1C97"/>
    <w:rsid w:val="001B2456"/>
    <w:rsid w:val="001B246B"/>
    <w:rsid w:val="001B255B"/>
    <w:rsid w:val="001B449C"/>
    <w:rsid w:val="001B4AA2"/>
    <w:rsid w:val="001B4ADE"/>
    <w:rsid w:val="001B5EF8"/>
    <w:rsid w:val="001B615D"/>
    <w:rsid w:val="001C07C6"/>
    <w:rsid w:val="001C19CD"/>
    <w:rsid w:val="001C22D5"/>
    <w:rsid w:val="001C2394"/>
    <w:rsid w:val="001C2515"/>
    <w:rsid w:val="001C26FB"/>
    <w:rsid w:val="001C2BE4"/>
    <w:rsid w:val="001C33C1"/>
    <w:rsid w:val="001C3E30"/>
    <w:rsid w:val="001C3E5C"/>
    <w:rsid w:val="001C5072"/>
    <w:rsid w:val="001C5B2A"/>
    <w:rsid w:val="001C600B"/>
    <w:rsid w:val="001C6898"/>
    <w:rsid w:val="001C6DD8"/>
    <w:rsid w:val="001C6DFF"/>
    <w:rsid w:val="001C7C7B"/>
    <w:rsid w:val="001D068D"/>
    <w:rsid w:val="001D12D1"/>
    <w:rsid w:val="001D15DF"/>
    <w:rsid w:val="001D2CB3"/>
    <w:rsid w:val="001D30F3"/>
    <w:rsid w:val="001D31A0"/>
    <w:rsid w:val="001D338E"/>
    <w:rsid w:val="001D4F13"/>
    <w:rsid w:val="001D56E9"/>
    <w:rsid w:val="001D5922"/>
    <w:rsid w:val="001D5EE1"/>
    <w:rsid w:val="001D796A"/>
    <w:rsid w:val="001D7A84"/>
    <w:rsid w:val="001D7C79"/>
    <w:rsid w:val="001E003B"/>
    <w:rsid w:val="001E12FF"/>
    <w:rsid w:val="001E1CC4"/>
    <w:rsid w:val="001E1D38"/>
    <w:rsid w:val="001E28A0"/>
    <w:rsid w:val="001E2ECF"/>
    <w:rsid w:val="001E3F3C"/>
    <w:rsid w:val="001E4258"/>
    <w:rsid w:val="001E44EA"/>
    <w:rsid w:val="001E5AEF"/>
    <w:rsid w:val="001E5D6A"/>
    <w:rsid w:val="001E6A94"/>
    <w:rsid w:val="001E70FB"/>
    <w:rsid w:val="001E780A"/>
    <w:rsid w:val="001F0FA0"/>
    <w:rsid w:val="001F1349"/>
    <w:rsid w:val="001F1863"/>
    <w:rsid w:val="001F2356"/>
    <w:rsid w:val="001F25CA"/>
    <w:rsid w:val="001F2A68"/>
    <w:rsid w:val="001F4773"/>
    <w:rsid w:val="001F5008"/>
    <w:rsid w:val="001F51A9"/>
    <w:rsid w:val="001F56AA"/>
    <w:rsid w:val="001F58AA"/>
    <w:rsid w:val="001F5A4E"/>
    <w:rsid w:val="001F5EF6"/>
    <w:rsid w:val="001F657F"/>
    <w:rsid w:val="001F6FB6"/>
    <w:rsid w:val="001F72BB"/>
    <w:rsid w:val="001F7978"/>
    <w:rsid w:val="001F7A0E"/>
    <w:rsid w:val="0020022E"/>
    <w:rsid w:val="0020054E"/>
    <w:rsid w:val="00201260"/>
    <w:rsid w:val="00201AC4"/>
    <w:rsid w:val="00201F1E"/>
    <w:rsid w:val="0020299B"/>
    <w:rsid w:val="00202E44"/>
    <w:rsid w:val="002037AA"/>
    <w:rsid w:val="00203FE3"/>
    <w:rsid w:val="002042D8"/>
    <w:rsid w:val="00204515"/>
    <w:rsid w:val="00204A2E"/>
    <w:rsid w:val="00204BF5"/>
    <w:rsid w:val="00204E6B"/>
    <w:rsid w:val="00204EF3"/>
    <w:rsid w:val="002053EF"/>
    <w:rsid w:val="002058D4"/>
    <w:rsid w:val="0020632A"/>
    <w:rsid w:val="0020697F"/>
    <w:rsid w:val="002110EB"/>
    <w:rsid w:val="00211338"/>
    <w:rsid w:val="00211388"/>
    <w:rsid w:val="0021148C"/>
    <w:rsid w:val="00211694"/>
    <w:rsid w:val="0021201A"/>
    <w:rsid w:val="002138FE"/>
    <w:rsid w:val="00213A1F"/>
    <w:rsid w:val="00213C63"/>
    <w:rsid w:val="00214502"/>
    <w:rsid w:val="00214741"/>
    <w:rsid w:val="0021539A"/>
    <w:rsid w:val="00215852"/>
    <w:rsid w:val="00215B8E"/>
    <w:rsid w:val="00216264"/>
    <w:rsid w:val="002176B6"/>
    <w:rsid w:val="0021792D"/>
    <w:rsid w:val="00217DB8"/>
    <w:rsid w:val="002202CE"/>
    <w:rsid w:val="0022032A"/>
    <w:rsid w:val="0022194E"/>
    <w:rsid w:val="002220B1"/>
    <w:rsid w:val="002221CE"/>
    <w:rsid w:val="00222BE8"/>
    <w:rsid w:val="00223102"/>
    <w:rsid w:val="002232CB"/>
    <w:rsid w:val="00224022"/>
    <w:rsid w:val="00224A66"/>
    <w:rsid w:val="00226055"/>
    <w:rsid w:val="0022613F"/>
    <w:rsid w:val="00226236"/>
    <w:rsid w:val="002269B2"/>
    <w:rsid w:val="002270C9"/>
    <w:rsid w:val="00227A8B"/>
    <w:rsid w:val="00230552"/>
    <w:rsid w:val="0023146B"/>
    <w:rsid w:val="002315A0"/>
    <w:rsid w:val="0023161C"/>
    <w:rsid w:val="00231748"/>
    <w:rsid w:val="00231AE0"/>
    <w:rsid w:val="00231BEE"/>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378C1"/>
    <w:rsid w:val="0023798D"/>
    <w:rsid w:val="0024019A"/>
    <w:rsid w:val="00241146"/>
    <w:rsid w:val="0024120F"/>
    <w:rsid w:val="0024131D"/>
    <w:rsid w:val="002415B8"/>
    <w:rsid w:val="00242D62"/>
    <w:rsid w:val="002430BF"/>
    <w:rsid w:val="002430D0"/>
    <w:rsid w:val="002431D7"/>
    <w:rsid w:val="00244058"/>
    <w:rsid w:val="002451C6"/>
    <w:rsid w:val="00245718"/>
    <w:rsid w:val="00245E07"/>
    <w:rsid w:val="00246AEC"/>
    <w:rsid w:val="00247712"/>
    <w:rsid w:val="00247874"/>
    <w:rsid w:val="00247F95"/>
    <w:rsid w:val="00250EC6"/>
    <w:rsid w:val="002515C7"/>
    <w:rsid w:val="00251866"/>
    <w:rsid w:val="00251A9F"/>
    <w:rsid w:val="00252492"/>
    <w:rsid w:val="00252B35"/>
    <w:rsid w:val="0025316D"/>
    <w:rsid w:val="00253A02"/>
    <w:rsid w:val="00253B81"/>
    <w:rsid w:val="002554DE"/>
    <w:rsid w:val="00255575"/>
    <w:rsid w:val="00255E11"/>
    <w:rsid w:val="00256835"/>
    <w:rsid w:val="002569F0"/>
    <w:rsid w:val="00256E1A"/>
    <w:rsid w:val="00256ECF"/>
    <w:rsid w:val="00257730"/>
    <w:rsid w:val="00257999"/>
    <w:rsid w:val="002604AA"/>
    <w:rsid w:val="0026129B"/>
    <w:rsid w:val="00261560"/>
    <w:rsid w:val="00261715"/>
    <w:rsid w:val="00261CF9"/>
    <w:rsid w:val="00261EC0"/>
    <w:rsid w:val="0026231B"/>
    <w:rsid w:val="00262881"/>
    <w:rsid w:val="00263101"/>
    <w:rsid w:val="002631D1"/>
    <w:rsid w:val="00263201"/>
    <w:rsid w:val="00263224"/>
    <w:rsid w:val="002634CA"/>
    <w:rsid w:val="00263A37"/>
    <w:rsid w:val="0026478A"/>
    <w:rsid w:val="0026480D"/>
    <w:rsid w:val="002653A6"/>
    <w:rsid w:val="00265D28"/>
    <w:rsid w:val="002661F1"/>
    <w:rsid w:val="00266DB6"/>
    <w:rsid w:val="00270802"/>
    <w:rsid w:val="00270D1D"/>
    <w:rsid w:val="002711A4"/>
    <w:rsid w:val="00271ECB"/>
    <w:rsid w:val="00271F13"/>
    <w:rsid w:val="0027278E"/>
    <w:rsid w:val="0027482E"/>
    <w:rsid w:val="00274DB5"/>
    <w:rsid w:val="00275423"/>
    <w:rsid w:val="0027580E"/>
    <w:rsid w:val="00275BB1"/>
    <w:rsid w:val="00277933"/>
    <w:rsid w:val="00277F8D"/>
    <w:rsid w:val="00277FA7"/>
    <w:rsid w:val="00280046"/>
    <w:rsid w:val="00280B4F"/>
    <w:rsid w:val="00280F3D"/>
    <w:rsid w:val="0028106A"/>
    <w:rsid w:val="00281EB4"/>
    <w:rsid w:val="0028308E"/>
    <w:rsid w:val="002834E9"/>
    <w:rsid w:val="00283975"/>
    <w:rsid w:val="00283A52"/>
    <w:rsid w:val="00283C5E"/>
    <w:rsid w:val="00283E26"/>
    <w:rsid w:val="0028428F"/>
    <w:rsid w:val="00284CFC"/>
    <w:rsid w:val="00285832"/>
    <w:rsid w:val="00285969"/>
    <w:rsid w:val="00285E33"/>
    <w:rsid w:val="0028663B"/>
    <w:rsid w:val="00286CEC"/>
    <w:rsid w:val="002870F9"/>
    <w:rsid w:val="002871A9"/>
    <w:rsid w:val="00287505"/>
    <w:rsid w:val="00287D71"/>
    <w:rsid w:val="00290781"/>
    <w:rsid w:val="00291784"/>
    <w:rsid w:val="002920DF"/>
    <w:rsid w:val="0029273C"/>
    <w:rsid w:val="002929BB"/>
    <w:rsid w:val="00294368"/>
    <w:rsid w:val="00294B78"/>
    <w:rsid w:val="00295416"/>
    <w:rsid w:val="00295949"/>
    <w:rsid w:val="0029624A"/>
    <w:rsid w:val="00296922"/>
    <w:rsid w:val="00297098"/>
    <w:rsid w:val="002A05D4"/>
    <w:rsid w:val="002A06DB"/>
    <w:rsid w:val="002A09FF"/>
    <w:rsid w:val="002A0E60"/>
    <w:rsid w:val="002A1A58"/>
    <w:rsid w:val="002A1B02"/>
    <w:rsid w:val="002A1C53"/>
    <w:rsid w:val="002A244B"/>
    <w:rsid w:val="002A28FC"/>
    <w:rsid w:val="002A2B44"/>
    <w:rsid w:val="002A2EA5"/>
    <w:rsid w:val="002A3D94"/>
    <w:rsid w:val="002A4736"/>
    <w:rsid w:val="002A4A93"/>
    <w:rsid w:val="002A4B1C"/>
    <w:rsid w:val="002A4E9D"/>
    <w:rsid w:val="002A55FE"/>
    <w:rsid w:val="002A6AFB"/>
    <w:rsid w:val="002A733D"/>
    <w:rsid w:val="002A774A"/>
    <w:rsid w:val="002A78F3"/>
    <w:rsid w:val="002A7E5C"/>
    <w:rsid w:val="002A7F6D"/>
    <w:rsid w:val="002B1342"/>
    <w:rsid w:val="002B1F83"/>
    <w:rsid w:val="002B27C8"/>
    <w:rsid w:val="002B2A7F"/>
    <w:rsid w:val="002B330B"/>
    <w:rsid w:val="002B39BE"/>
    <w:rsid w:val="002B438C"/>
    <w:rsid w:val="002B48DB"/>
    <w:rsid w:val="002B4B34"/>
    <w:rsid w:val="002B51B0"/>
    <w:rsid w:val="002B541A"/>
    <w:rsid w:val="002B5EAB"/>
    <w:rsid w:val="002B6407"/>
    <w:rsid w:val="002B6416"/>
    <w:rsid w:val="002B6459"/>
    <w:rsid w:val="002B7014"/>
    <w:rsid w:val="002B73B0"/>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D0845"/>
    <w:rsid w:val="002D0933"/>
    <w:rsid w:val="002D0CE3"/>
    <w:rsid w:val="002D19BB"/>
    <w:rsid w:val="002D1A9B"/>
    <w:rsid w:val="002D20F8"/>
    <w:rsid w:val="002D22BD"/>
    <w:rsid w:val="002D22C5"/>
    <w:rsid w:val="002D3003"/>
    <w:rsid w:val="002D302A"/>
    <w:rsid w:val="002D3552"/>
    <w:rsid w:val="002D36C6"/>
    <w:rsid w:val="002D3749"/>
    <w:rsid w:val="002D37C1"/>
    <w:rsid w:val="002D3822"/>
    <w:rsid w:val="002D444B"/>
    <w:rsid w:val="002D4A45"/>
    <w:rsid w:val="002D4B42"/>
    <w:rsid w:val="002D4B43"/>
    <w:rsid w:val="002D56D7"/>
    <w:rsid w:val="002D5A10"/>
    <w:rsid w:val="002D5A1B"/>
    <w:rsid w:val="002D65BC"/>
    <w:rsid w:val="002D6960"/>
    <w:rsid w:val="002D6A45"/>
    <w:rsid w:val="002E055C"/>
    <w:rsid w:val="002E0774"/>
    <w:rsid w:val="002E1050"/>
    <w:rsid w:val="002E107E"/>
    <w:rsid w:val="002E18E5"/>
    <w:rsid w:val="002E1953"/>
    <w:rsid w:val="002E2CB5"/>
    <w:rsid w:val="002E2D7D"/>
    <w:rsid w:val="002E32D0"/>
    <w:rsid w:val="002E372E"/>
    <w:rsid w:val="002E3D76"/>
    <w:rsid w:val="002E40A1"/>
    <w:rsid w:val="002E48EC"/>
    <w:rsid w:val="002E4B44"/>
    <w:rsid w:val="002E4ECB"/>
    <w:rsid w:val="002E4F23"/>
    <w:rsid w:val="002E635A"/>
    <w:rsid w:val="002E6D68"/>
    <w:rsid w:val="002E7847"/>
    <w:rsid w:val="002E7F03"/>
    <w:rsid w:val="002F0073"/>
    <w:rsid w:val="002F1C3F"/>
    <w:rsid w:val="002F1C67"/>
    <w:rsid w:val="002F240B"/>
    <w:rsid w:val="002F26B7"/>
    <w:rsid w:val="002F2F50"/>
    <w:rsid w:val="002F33EC"/>
    <w:rsid w:val="002F34E3"/>
    <w:rsid w:val="002F3601"/>
    <w:rsid w:val="002F3A37"/>
    <w:rsid w:val="002F45F6"/>
    <w:rsid w:val="002F4B0A"/>
    <w:rsid w:val="002F5A6F"/>
    <w:rsid w:val="002F692F"/>
    <w:rsid w:val="002F7B66"/>
    <w:rsid w:val="00300CB4"/>
    <w:rsid w:val="00300E24"/>
    <w:rsid w:val="003033BA"/>
    <w:rsid w:val="00303771"/>
    <w:rsid w:val="00303C19"/>
    <w:rsid w:val="003043A3"/>
    <w:rsid w:val="00304BD4"/>
    <w:rsid w:val="0030500A"/>
    <w:rsid w:val="003052EB"/>
    <w:rsid w:val="003056D2"/>
    <w:rsid w:val="00305FCB"/>
    <w:rsid w:val="003063C3"/>
    <w:rsid w:val="003069DC"/>
    <w:rsid w:val="00306B44"/>
    <w:rsid w:val="00307BE8"/>
    <w:rsid w:val="00307C44"/>
    <w:rsid w:val="0031088E"/>
    <w:rsid w:val="00310D01"/>
    <w:rsid w:val="00311376"/>
    <w:rsid w:val="00311A1F"/>
    <w:rsid w:val="00311B47"/>
    <w:rsid w:val="00311D52"/>
    <w:rsid w:val="00312015"/>
    <w:rsid w:val="00312190"/>
    <w:rsid w:val="003125E0"/>
    <w:rsid w:val="0031271D"/>
    <w:rsid w:val="003129FB"/>
    <w:rsid w:val="003132BB"/>
    <w:rsid w:val="00313337"/>
    <w:rsid w:val="00313447"/>
    <w:rsid w:val="00313748"/>
    <w:rsid w:val="00313EA3"/>
    <w:rsid w:val="00315365"/>
    <w:rsid w:val="00315457"/>
    <w:rsid w:val="003161A4"/>
    <w:rsid w:val="00316955"/>
    <w:rsid w:val="0031720A"/>
    <w:rsid w:val="0031749B"/>
    <w:rsid w:val="003174E5"/>
    <w:rsid w:val="00317C9D"/>
    <w:rsid w:val="00317CD2"/>
    <w:rsid w:val="00317D99"/>
    <w:rsid w:val="0032078D"/>
    <w:rsid w:val="00320ADF"/>
    <w:rsid w:val="0032137B"/>
    <w:rsid w:val="00321BD6"/>
    <w:rsid w:val="00321FA3"/>
    <w:rsid w:val="003227D3"/>
    <w:rsid w:val="00322937"/>
    <w:rsid w:val="00323881"/>
    <w:rsid w:val="003247ED"/>
    <w:rsid w:val="003251A8"/>
    <w:rsid w:val="003254B1"/>
    <w:rsid w:val="00325D98"/>
    <w:rsid w:val="0032682A"/>
    <w:rsid w:val="00327A5C"/>
    <w:rsid w:val="0033092C"/>
    <w:rsid w:val="0033122A"/>
    <w:rsid w:val="003315AC"/>
    <w:rsid w:val="00331932"/>
    <w:rsid w:val="00332382"/>
    <w:rsid w:val="00332453"/>
    <w:rsid w:val="0033251B"/>
    <w:rsid w:val="00332F8C"/>
    <w:rsid w:val="00332FCC"/>
    <w:rsid w:val="00333196"/>
    <w:rsid w:val="00333A88"/>
    <w:rsid w:val="0033563B"/>
    <w:rsid w:val="00335B15"/>
    <w:rsid w:val="00335B21"/>
    <w:rsid w:val="00335D3F"/>
    <w:rsid w:val="00336104"/>
    <w:rsid w:val="00336155"/>
    <w:rsid w:val="0033672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680A"/>
    <w:rsid w:val="00346C62"/>
    <w:rsid w:val="00347202"/>
    <w:rsid w:val="0034778E"/>
    <w:rsid w:val="00347A5A"/>
    <w:rsid w:val="003501E2"/>
    <w:rsid w:val="00351E10"/>
    <w:rsid w:val="003533F4"/>
    <w:rsid w:val="003536F6"/>
    <w:rsid w:val="00353765"/>
    <w:rsid w:val="00353DD5"/>
    <w:rsid w:val="00355131"/>
    <w:rsid w:val="00355C52"/>
    <w:rsid w:val="00355F74"/>
    <w:rsid w:val="003560DB"/>
    <w:rsid w:val="003564DB"/>
    <w:rsid w:val="00356F87"/>
    <w:rsid w:val="00360CF3"/>
    <w:rsid w:val="00361A59"/>
    <w:rsid w:val="00363348"/>
    <w:rsid w:val="0036366B"/>
    <w:rsid w:val="00363857"/>
    <w:rsid w:val="00363D59"/>
    <w:rsid w:val="003640F7"/>
    <w:rsid w:val="00365D3A"/>
    <w:rsid w:val="00366314"/>
    <w:rsid w:val="003664FF"/>
    <w:rsid w:val="00366BD2"/>
    <w:rsid w:val="003670B8"/>
    <w:rsid w:val="00367519"/>
    <w:rsid w:val="00367A7A"/>
    <w:rsid w:val="003704A3"/>
    <w:rsid w:val="003706F2"/>
    <w:rsid w:val="0037124F"/>
    <w:rsid w:val="003722B3"/>
    <w:rsid w:val="003724CE"/>
    <w:rsid w:val="00373827"/>
    <w:rsid w:val="0037401C"/>
    <w:rsid w:val="00374D49"/>
    <w:rsid w:val="0037507B"/>
    <w:rsid w:val="00375179"/>
    <w:rsid w:val="00375627"/>
    <w:rsid w:val="00375C7C"/>
    <w:rsid w:val="00376D16"/>
    <w:rsid w:val="00377027"/>
    <w:rsid w:val="00377135"/>
    <w:rsid w:val="00380272"/>
    <w:rsid w:val="003805DB"/>
    <w:rsid w:val="003811F4"/>
    <w:rsid w:val="0038152A"/>
    <w:rsid w:val="00382BAD"/>
    <w:rsid w:val="00382F03"/>
    <w:rsid w:val="003835FD"/>
    <w:rsid w:val="00384DF1"/>
    <w:rsid w:val="00384FF3"/>
    <w:rsid w:val="0038512F"/>
    <w:rsid w:val="00385BC4"/>
    <w:rsid w:val="00386456"/>
    <w:rsid w:val="003865A9"/>
    <w:rsid w:val="0039092B"/>
    <w:rsid w:val="00390DB1"/>
    <w:rsid w:val="00390F32"/>
    <w:rsid w:val="0039135E"/>
    <w:rsid w:val="0039319C"/>
    <w:rsid w:val="00393577"/>
    <w:rsid w:val="00393CAE"/>
    <w:rsid w:val="003945F4"/>
    <w:rsid w:val="00394849"/>
    <w:rsid w:val="00394EB5"/>
    <w:rsid w:val="00394F19"/>
    <w:rsid w:val="003953B4"/>
    <w:rsid w:val="0039615F"/>
    <w:rsid w:val="003966A0"/>
    <w:rsid w:val="00396A29"/>
    <w:rsid w:val="00397FF0"/>
    <w:rsid w:val="003A0878"/>
    <w:rsid w:val="003A1561"/>
    <w:rsid w:val="003A1D25"/>
    <w:rsid w:val="003A22A2"/>
    <w:rsid w:val="003A2447"/>
    <w:rsid w:val="003A2AA1"/>
    <w:rsid w:val="003A31A5"/>
    <w:rsid w:val="003A329A"/>
    <w:rsid w:val="003A3491"/>
    <w:rsid w:val="003A3603"/>
    <w:rsid w:val="003A3851"/>
    <w:rsid w:val="003A39DD"/>
    <w:rsid w:val="003A4199"/>
    <w:rsid w:val="003A4A8E"/>
    <w:rsid w:val="003A563C"/>
    <w:rsid w:val="003A581E"/>
    <w:rsid w:val="003A6160"/>
    <w:rsid w:val="003A65A5"/>
    <w:rsid w:val="003A72F5"/>
    <w:rsid w:val="003A73EE"/>
    <w:rsid w:val="003A78E5"/>
    <w:rsid w:val="003B0341"/>
    <w:rsid w:val="003B0A10"/>
    <w:rsid w:val="003B1E57"/>
    <w:rsid w:val="003B29D4"/>
    <w:rsid w:val="003B2B6C"/>
    <w:rsid w:val="003B2EF3"/>
    <w:rsid w:val="003B4A4D"/>
    <w:rsid w:val="003B4DA9"/>
    <w:rsid w:val="003B534F"/>
    <w:rsid w:val="003B5391"/>
    <w:rsid w:val="003B58CE"/>
    <w:rsid w:val="003B65D7"/>
    <w:rsid w:val="003B65E0"/>
    <w:rsid w:val="003B6BD4"/>
    <w:rsid w:val="003B6F4D"/>
    <w:rsid w:val="003B6FE7"/>
    <w:rsid w:val="003C0D1F"/>
    <w:rsid w:val="003C116A"/>
    <w:rsid w:val="003C1AF4"/>
    <w:rsid w:val="003C1C9C"/>
    <w:rsid w:val="003C1CB8"/>
    <w:rsid w:val="003C22DA"/>
    <w:rsid w:val="003C2546"/>
    <w:rsid w:val="003C2550"/>
    <w:rsid w:val="003C287F"/>
    <w:rsid w:val="003C3339"/>
    <w:rsid w:val="003C375A"/>
    <w:rsid w:val="003C4D9F"/>
    <w:rsid w:val="003C5247"/>
    <w:rsid w:val="003C622C"/>
    <w:rsid w:val="003C64C7"/>
    <w:rsid w:val="003C6505"/>
    <w:rsid w:val="003C65A6"/>
    <w:rsid w:val="003C6CDC"/>
    <w:rsid w:val="003C73C7"/>
    <w:rsid w:val="003C7CFB"/>
    <w:rsid w:val="003D0236"/>
    <w:rsid w:val="003D050B"/>
    <w:rsid w:val="003D0B98"/>
    <w:rsid w:val="003D0C38"/>
    <w:rsid w:val="003D0C3C"/>
    <w:rsid w:val="003D0DE5"/>
    <w:rsid w:val="003D1351"/>
    <w:rsid w:val="003D21C1"/>
    <w:rsid w:val="003D3B15"/>
    <w:rsid w:val="003D3B2E"/>
    <w:rsid w:val="003D4101"/>
    <w:rsid w:val="003D465C"/>
    <w:rsid w:val="003D484D"/>
    <w:rsid w:val="003D49CB"/>
    <w:rsid w:val="003D6B8F"/>
    <w:rsid w:val="003D7566"/>
    <w:rsid w:val="003D7FB3"/>
    <w:rsid w:val="003E0224"/>
    <w:rsid w:val="003E09BB"/>
    <w:rsid w:val="003E159D"/>
    <w:rsid w:val="003E20EA"/>
    <w:rsid w:val="003E210C"/>
    <w:rsid w:val="003E2F55"/>
    <w:rsid w:val="003E3239"/>
    <w:rsid w:val="003E32C3"/>
    <w:rsid w:val="003E34DB"/>
    <w:rsid w:val="003E3833"/>
    <w:rsid w:val="003E3AF9"/>
    <w:rsid w:val="003E4170"/>
    <w:rsid w:val="003E4A70"/>
    <w:rsid w:val="003E4C48"/>
    <w:rsid w:val="003E4CD9"/>
    <w:rsid w:val="003E52C2"/>
    <w:rsid w:val="003E54B3"/>
    <w:rsid w:val="003E5780"/>
    <w:rsid w:val="003E5B9F"/>
    <w:rsid w:val="003E6072"/>
    <w:rsid w:val="003E6AB6"/>
    <w:rsid w:val="003E6E0B"/>
    <w:rsid w:val="003E71CD"/>
    <w:rsid w:val="003E72F0"/>
    <w:rsid w:val="003E7890"/>
    <w:rsid w:val="003E78DA"/>
    <w:rsid w:val="003E7A8B"/>
    <w:rsid w:val="003F060E"/>
    <w:rsid w:val="003F0F7F"/>
    <w:rsid w:val="003F115C"/>
    <w:rsid w:val="003F155A"/>
    <w:rsid w:val="003F16E9"/>
    <w:rsid w:val="003F300D"/>
    <w:rsid w:val="003F391F"/>
    <w:rsid w:val="003F4599"/>
    <w:rsid w:val="003F45E1"/>
    <w:rsid w:val="003F4F6C"/>
    <w:rsid w:val="003F559E"/>
    <w:rsid w:val="003F6181"/>
    <w:rsid w:val="003F6BFC"/>
    <w:rsid w:val="003F7343"/>
    <w:rsid w:val="00400002"/>
    <w:rsid w:val="00400054"/>
    <w:rsid w:val="004016A3"/>
    <w:rsid w:val="00401B31"/>
    <w:rsid w:val="0040202B"/>
    <w:rsid w:val="0040279A"/>
    <w:rsid w:val="00402DE1"/>
    <w:rsid w:val="00402EEB"/>
    <w:rsid w:val="004037C2"/>
    <w:rsid w:val="00403DF5"/>
    <w:rsid w:val="00404041"/>
    <w:rsid w:val="004047DF"/>
    <w:rsid w:val="00404B43"/>
    <w:rsid w:val="00404C61"/>
    <w:rsid w:val="00405487"/>
    <w:rsid w:val="00405B8A"/>
    <w:rsid w:val="0040602B"/>
    <w:rsid w:val="00406DF5"/>
    <w:rsid w:val="00406F35"/>
    <w:rsid w:val="00407A7A"/>
    <w:rsid w:val="00407ABC"/>
    <w:rsid w:val="00407F1E"/>
    <w:rsid w:val="00410497"/>
    <w:rsid w:val="004107C1"/>
    <w:rsid w:val="00410A88"/>
    <w:rsid w:val="00411317"/>
    <w:rsid w:val="00411692"/>
    <w:rsid w:val="00411A9E"/>
    <w:rsid w:val="0041259F"/>
    <w:rsid w:val="00412B4D"/>
    <w:rsid w:val="00412C51"/>
    <w:rsid w:val="00413262"/>
    <w:rsid w:val="0041329C"/>
    <w:rsid w:val="00413920"/>
    <w:rsid w:val="004139F4"/>
    <w:rsid w:val="00413FFA"/>
    <w:rsid w:val="00414229"/>
    <w:rsid w:val="00414246"/>
    <w:rsid w:val="00414D9A"/>
    <w:rsid w:val="00415194"/>
    <w:rsid w:val="00415816"/>
    <w:rsid w:val="00415B88"/>
    <w:rsid w:val="00415D32"/>
    <w:rsid w:val="004160A2"/>
    <w:rsid w:val="00416CB0"/>
    <w:rsid w:val="004170D7"/>
    <w:rsid w:val="004177A6"/>
    <w:rsid w:val="00417C23"/>
    <w:rsid w:val="00417EFD"/>
    <w:rsid w:val="004200EE"/>
    <w:rsid w:val="004209D2"/>
    <w:rsid w:val="00420D6E"/>
    <w:rsid w:val="0042158C"/>
    <w:rsid w:val="00421BD2"/>
    <w:rsid w:val="00421E00"/>
    <w:rsid w:val="00421FCB"/>
    <w:rsid w:val="00422DCA"/>
    <w:rsid w:val="00423562"/>
    <w:rsid w:val="004236BF"/>
    <w:rsid w:val="00423F9F"/>
    <w:rsid w:val="00424AB2"/>
    <w:rsid w:val="00425C43"/>
    <w:rsid w:val="004273FA"/>
    <w:rsid w:val="004275A7"/>
    <w:rsid w:val="00430186"/>
    <w:rsid w:val="00430682"/>
    <w:rsid w:val="00431017"/>
    <w:rsid w:val="00431C0B"/>
    <w:rsid w:val="0043269A"/>
    <w:rsid w:val="004333C2"/>
    <w:rsid w:val="00434787"/>
    <w:rsid w:val="00434C13"/>
    <w:rsid w:val="00434C2C"/>
    <w:rsid w:val="004351CF"/>
    <w:rsid w:val="00435703"/>
    <w:rsid w:val="00435BD5"/>
    <w:rsid w:val="00435FAF"/>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4D"/>
    <w:rsid w:val="0044374D"/>
    <w:rsid w:val="00443B55"/>
    <w:rsid w:val="00443D27"/>
    <w:rsid w:val="0044500B"/>
    <w:rsid w:val="00446037"/>
    <w:rsid w:val="00446268"/>
    <w:rsid w:val="0044642F"/>
    <w:rsid w:val="0044772C"/>
    <w:rsid w:val="00447D53"/>
    <w:rsid w:val="00450846"/>
    <w:rsid w:val="00451A52"/>
    <w:rsid w:val="0045271D"/>
    <w:rsid w:val="00452755"/>
    <w:rsid w:val="00452803"/>
    <w:rsid w:val="004529C6"/>
    <w:rsid w:val="00452EAD"/>
    <w:rsid w:val="004533D1"/>
    <w:rsid w:val="004534D1"/>
    <w:rsid w:val="00454548"/>
    <w:rsid w:val="00454717"/>
    <w:rsid w:val="00454AFE"/>
    <w:rsid w:val="00455004"/>
    <w:rsid w:val="00455047"/>
    <w:rsid w:val="00455354"/>
    <w:rsid w:val="0045558D"/>
    <w:rsid w:val="00455B70"/>
    <w:rsid w:val="00455BD3"/>
    <w:rsid w:val="00456970"/>
    <w:rsid w:val="00456BB1"/>
    <w:rsid w:val="00456CD4"/>
    <w:rsid w:val="00456DDB"/>
    <w:rsid w:val="00457031"/>
    <w:rsid w:val="00460915"/>
    <w:rsid w:val="00460946"/>
    <w:rsid w:val="00460CCD"/>
    <w:rsid w:val="004614A9"/>
    <w:rsid w:val="00461E97"/>
    <w:rsid w:val="0046268F"/>
    <w:rsid w:val="0046284F"/>
    <w:rsid w:val="00462B10"/>
    <w:rsid w:val="00462C04"/>
    <w:rsid w:val="0046320A"/>
    <w:rsid w:val="004632E2"/>
    <w:rsid w:val="00463473"/>
    <w:rsid w:val="004638E2"/>
    <w:rsid w:val="00464030"/>
    <w:rsid w:val="004647F8"/>
    <w:rsid w:val="004647FB"/>
    <w:rsid w:val="00465347"/>
    <w:rsid w:val="00465677"/>
    <w:rsid w:val="00466616"/>
    <w:rsid w:val="00466A0C"/>
    <w:rsid w:val="00466A53"/>
    <w:rsid w:val="004673A8"/>
    <w:rsid w:val="0046753A"/>
    <w:rsid w:val="00467D4E"/>
    <w:rsid w:val="00467EF2"/>
    <w:rsid w:val="0047098A"/>
    <w:rsid w:val="00470A6A"/>
    <w:rsid w:val="00470D73"/>
    <w:rsid w:val="00470D92"/>
    <w:rsid w:val="00471D8F"/>
    <w:rsid w:val="00471DF7"/>
    <w:rsid w:val="004734CF"/>
    <w:rsid w:val="004737EA"/>
    <w:rsid w:val="00475C5A"/>
    <w:rsid w:val="00475C9C"/>
    <w:rsid w:val="0047676B"/>
    <w:rsid w:val="0047773C"/>
    <w:rsid w:val="00477C5F"/>
    <w:rsid w:val="00480050"/>
    <w:rsid w:val="0048011C"/>
    <w:rsid w:val="004808DE"/>
    <w:rsid w:val="00481AC4"/>
    <w:rsid w:val="00481DC1"/>
    <w:rsid w:val="00482507"/>
    <w:rsid w:val="0048268A"/>
    <w:rsid w:val="00483123"/>
    <w:rsid w:val="004835CA"/>
    <w:rsid w:val="004836F8"/>
    <w:rsid w:val="004836FE"/>
    <w:rsid w:val="00484F0F"/>
    <w:rsid w:val="00484F40"/>
    <w:rsid w:val="0048540C"/>
    <w:rsid w:val="004861B4"/>
    <w:rsid w:val="00486BD0"/>
    <w:rsid w:val="00486D00"/>
    <w:rsid w:val="00487263"/>
    <w:rsid w:val="0048734F"/>
    <w:rsid w:val="0049029D"/>
    <w:rsid w:val="0049030C"/>
    <w:rsid w:val="004903C0"/>
    <w:rsid w:val="0049114B"/>
    <w:rsid w:val="004912A8"/>
    <w:rsid w:val="00491577"/>
    <w:rsid w:val="0049196A"/>
    <w:rsid w:val="0049196E"/>
    <w:rsid w:val="00491B54"/>
    <w:rsid w:val="0049241A"/>
    <w:rsid w:val="00492C1F"/>
    <w:rsid w:val="00492E4C"/>
    <w:rsid w:val="00493664"/>
    <w:rsid w:val="00493E04"/>
    <w:rsid w:val="004940E3"/>
    <w:rsid w:val="004951A1"/>
    <w:rsid w:val="0049530F"/>
    <w:rsid w:val="004957D0"/>
    <w:rsid w:val="00496664"/>
    <w:rsid w:val="00496786"/>
    <w:rsid w:val="0049695B"/>
    <w:rsid w:val="00496B9C"/>
    <w:rsid w:val="00496D8F"/>
    <w:rsid w:val="00497463"/>
    <w:rsid w:val="004978F6"/>
    <w:rsid w:val="004A054C"/>
    <w:rsid w:val="004A08D1"/>
    <w:rsid w:val="004A16C1"/>
    <w:rsid w:val="004A1CE2"/>
    <w:rsid w:val="004A34D2"/>
    <w:rsid w:val="004A4301"/>
    <w:rsid w:val="004A4D93"/>
    <w:rsid w:val="004A58EE"/>
    <w:rsid w:val="004A59B7"/>
    <w:rsid w:val="004A6051"/>
    <w:rsid w:val="004A623B"/>
    <w:rsid w:val="004A6A04"/>
    <w:rsid w:val="004A6A52"/>
    <w:rsid w:val="004B0A44"/>
    <w:rsid w:val="004B0F0B"/>
    <w:rsid w:val="004B2197"/>
    <w:rsid w:val="004B298A"/>
    <w:rsid w:val="004B34C4"/>
    <w:rsid w:val="004B50CB"/>
    <w:rsid w:val="004B578D"/>
    <w:rsid w:val="004B5BE7"/>
    <w:rsid w:val="004B5E2D"/>
    <w:rsid w:val="004B66CD"/>
    <w:rsid w:val="004B6C07"/>
    <w:rsid w:val="004B74D3"/>
    <w:rsid w:val="004B788E"/>
    <w:rsid w:val="004B7E5D"/>
    <w:rsid w:val="004C2180"/>
    <w:rsid w:val="004C22F7"/>
    <w:rsid w:val="004C2B27"/>
    <w:rsid w:val="004C3219"/>
    <w:rsid w:val="004C3929"/>
    <w:rsid w:val="004C3BDA"/>
    <w:rsid w:val="004C5212"/>
    <w:rsid w:val="004C580A"/>
    <w:rsid w:val="004C5EF0"/>
    <w:rsid w:val="004C64C9"/>
    <w:rsid w:val="004C7226"/>
    <w:rsid w:val="004C74C9"/>
    <w:rsid w:val="004C7915"/>
    <w:rsid w:val="004C7D70"/>
    <w:rsid w:val="004D02F9"/>
    <w:rsid w:val="004D03FE"/>
    <w:rsid w:val="004D0446"/>
    <w:rsid w:val="004D06A3"/>
    <w:rsid w:val="004D0F95"/>
    <w:rsid w:val="004D106A"/>
    <w:rsid w:val="004D1335"/>
    <w:rsid w:val="004D1C27"/>
    <w:rsid w:val="004D1C7E"/>
    <w:rsid w:val="004D245A"/>
    <w:rsid w:val="004D31EE"/>
    <w:rsid w:val="004D36AF"/>
    <w:rsid w:val="004D3BD1"/>
    <w:rsid w:val="004D4720"/>
    <w:rsid w:val="004D4BA1"/>
    <w:rsid w:val="004D4EC1"/>
    <w:rsid w:val="004D584D"/>
    <w:rsid w:val="004D5A7E"/>
    <w:rsid w:val="004D5CD1"/>
    <w:rsid w:val="004D6120"/>
    <w:rsid w:val="004D6826"/>
    <w:rsid w:val="004D6D7F"/>
    <w:rsid w:val="004E023F"/>
    <w:rsid w:val="004E0546"/>
    <w:rsid w:val="004E0742"/>
    <w:rsid w:val="004E0C64"/>
    <w:rsid w:val="004E0F6B"/>
    <w:rsid w:val="004E10F5"/>
    <w:rsid w:val="004E1545"/>
    <w:rsid w:val="004E1F1C"/>
    <w:rsid w:val="004E2A35"/>
    <w:rsid w:val="004E40CE"/>
    <w:rsid w:val="004E5736"/>
    <w:rsid w:val="004E5A3C"/>
    <w:rsid w:val="004E5AA8"/>
    <w:rsid w:val="004E5B36"/>
    <w:rsid w:val="004E5D5D"/>
    <w:rsid w:val="004E6045"/>
    <w:rsid w:val="004E6F43"/>
    <w:rsid w:val="004E7200"/>
    <w:rsid w:val="004E787E"/>
    <w:rsid w:val="004F0960"/>
    <w:rsid w:val="004F0A5C"/>
    <w:rsid w:val="004F163F"/>
    <w:rsid w:val="004F18A0"/>
    <w:rsid w:val="004F1A08"/>
    <w:rsid w:val="004F2B64"/>
    <w:rsid w:val="004F31B8"/>
    <w:rsid w:val="004F375E"/>
    <w:rsid w:val="004F3764"/>
    <w:rsid w:val="004F3C90"/>
    <w:rsid w:val="004F3DB4"/>
    <w:rsid w:val="004F3EEF"/>
    <w:rsid w:val="004F5180"/>
    <w:rsid w:val="004F57C9"/>
    <w:rsid w:val="004F5930"/>
    <w:rsid w:val="004F5970"/>
    <w:rsid w:val="004F5F0C"/>
    <w:rsid w:val="004F5F46"/>
    <w:rsid w:val="004F6121"/>
    <w:rsid w:val="004F6161"/>
    <w:rsid w:val="004F66BC"/>
    <w:rsid w:val="004F6B63"/>
    <w:rsid w:val="004F6C26"/>
    <w:rsid w:val="004F7AC9"/>
    <w:rsid w:val="005005F2"/>
    <w:rsid w:val="0050062F"/>
    <w:rsid w:val="00500E74"/>
    <w:rsid w:val="0050160F"/>
    <w:rsid w:val="0050284E"/>
    <w:rsid w:val="00502993"/>
    <w:rsid w:val="0050306F"/>
    <w:rsid w:val="00505DCB"/>
    <w:rsid w:val="0050703E"/>
    <w:rsid w:val="005075CA"/>
    <w:rsid w:val="00507B06"/>
    <w:rsid w:val="00507BF1"/>
    <w:rsid w:val="0051047A"/>
    <w:rsid w:val="0051074C"/>
    <w:rsid w:val="00510DE9"/>
    <w:rsid w:val="00510F21"/>
    <w:rsid w:val="005111E2"/>
    <w:rsid w:val="00511231"/>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899"/>
    <w:rsid w:val="00520922"/>
    <w:rsid w:val="005209FC"/>
    <w:rsid w:val="00521A30"/>
    <w:rsid w:val="005224E5"/>
    <w:rsid w:val="00523903"/>
    <w:rsid w:val="005239B6"/>
    <w:rsid w:val="00523C45"/>
    <w:rsid w:val="00524165"/>
    <w:rsid w:val="005246E7"/>
    <w:rsid w:val="00524B08"/>
    <w:rsid w:val="00524C38"/>
    <w:rsid w:val="00524FD2"/>
    <w:rsid w:val="00525621"/>
    <w:rsid w:val="005257E5"/>
    <w:rsid w:val="00526431"/>
    <w:rsid w:val="00527015"/>
    <w:rsid w:val="005270E8"/>
    <w:rsid w:val="00527532"/>
    <w:rsid w:val="00527703"/>
    <w:rsid w:val="00527DEB"/>
    <w:rsid w:val="00527E57"/>
    <w:rsid w:val="00527F2C"/>
    <w:rsid w:val="00530405"/>
    <w:rsid w:val="00530522"/>
    <w:rsid w:val="005305E5"/>
    <w:rsid w:val="00530CBA"/>
    <w:rsid w:val="00530F38"/>
    <w:rsid w:val="00531F26"/>
    <w:rsid w:val="00532299"/>
    <w:rsid w:val="0053277C"/>
    <w:rsid w:val="005327C0"/>
    <w:rsid w:val="00532E9B"/>
    <w:rsid w:val="00533101"/>
    <w:rsid w:val="00533CA9"/>
    <w:rsid w:val="00533D28"/>
    <w:rsid w:val="005346AD"/>
    <w:rsid w:val="005346BC"/>
    <w:rsid w:val="00534EFB"/>
    <w:rsid w:val="00534F60"/>
    <w:rsid w:val="0053536C"/>
    <w:rsid w:val="005357F1"/>
    <w:rsid w:val="00536053"/>
    <w:rsid w:val="005365FF"/>
    <w:rsid w:val="00536985"/>
    <w:rsid w:val="005369E6"/>
    <w:rsid w:val="005371AC"/>
    <w:rsid w:val="00537672"/>
    <w:rsid w:val="0053772F"/>
    <w:rsid w:val="00537B77"/>
    <w:rsid w:val="005403D6"/>
    <w:rsid w:val="00540C4C"/>
    <w:rsid w:val="00541469"/>
    <w:rsid w:val="00541571"/>
    <w:rsid w:val="00541B1F"/>
    <w:rsid w:val="0054275A"/>
    <w:rsid w:val="005428B8"/>
    <w:rsid w:val="00542BD7"/>
    <w:rsid w:val="00543084"/>
    <w:rsid w:val="00543314"/>
    <w:rsid w:val="00543584"/>
    <w:rsid w:val="00543A9E"/>
    <w:rsid w:val="0054413A"/>
    <w:rsid w:val="00544288"/>
    <w:rsid w:val="005446BB"/>
    <w:rsid w:val="005448C8"/>
    <w:rsid w:val="00544DA5"/>
    <w:rsid w:val="00544F43"/>
    <w:rsid w:val="00545E30"/>
    <w:rsid w:val="00545EA3"/>
    <w:rsid w:val="00546C9B"/>
    <w:rsid w:val="00547BF6"/>
    <w:rsid w:val="00547FB3"/>
    <w:rsid w:val="00551098"/>
    <w:rsid w:val="00551598"/>
    <w:rsid w:val="0055162B"/>
    <w:rsid w:val="00551BFF"/>
    <w:rsid w:val="00551D68"/>
    <w:rsid w:val="00551DFF"/>
    <w:rsid w:val="005525C9"/>
    <w:rsid w:val="00552B3E"/>
    <w:rsid w:val="00554D57"/>
    <w:rsid w:val="005551AA"/>
    <w:rsid w:val="0055583B"/>
    <w:rsid w:val="0055636A"/>
    <w:rsid w:val="005564CA"/>
    <w:rsid w:val="005568EA"/>
    <w:rsid w:val="00557140"/>
    <w:rsid w:val="00557984"/>
    <w:rsid w:val="00560C87"/>
    <w:rsid w:val="00560F51"/>
    <w:rsid w:val="00561249"/>
    <w:rsid w:val="0056182B"/>
    <w:rsid w:val="00561AF3"/>
    <w:rsid w:val="00561E0B"/>
    <w:rsid w:val="00562141"/>
    <w:rsid w:val="0056296E"/>
    <w:rsid w:val="00562D86"/>
    <w:rsid w:val="00563784"/>
    <w:rsid w:val="00564704"/>
    <w:rsid w:val="00564712"/>
    <w:rsid w:val="0056524A"/>
    <w:rsid w:val="005657A8"/>
    <w:rsid w:val="00565952"/>
    <w:rsid w:val="00566866"/>
    <w:rsid w:val="00566E76"/>
    <w:rsid w:val="005670A5"/>
    <w:rsid w:val="00567285"/>
    <w:rsid w:val="00567723"/>
    <w:rsid w:val="0056772D"/>
    <w:rsid w:val="00567AB8"/>
    <w:rsid w:val="005707E3"/>
    <w:rsid w:val="00570A26"/>
    <w:rsid w:val="00570CFD"/>
    <w:rsid w:val="00571872"/>
    <w:rsid w:val="0057221F"/>
    <w:rsid w:val="00572539"/>
    <w:rsid w:val="00573355"/>
    <w:rsid w:val="0057337D"/>
    <w:rsid w:val="00573504"/>
    <w:rsid w:val="00573BA3"/>
    <w:rsid w:val="00573C8C"/>
    <w:rsid w:val="005745F3"/>
    <w:rsid w:val="00574708"/>
    <w:rsid w:val="00574D81"/>
    <w:rsid w:val="005756AA"/>
    <w:rsid w:val="0057696F"/>
    <w:rsid w:val="005774FE"/>
    <w:rsid w:val="0058040C"/>
    <w:rsid w:val="00580D6D"/>
    <w:rsid w:val="005813DE"/>
    <w:rsid w:val="00581796"/>
    <w:rsid w:val="00581B45"/>
    <w:rsid w:val="00582480"/>
    <w:rsid w:val="00582805"/>
    <w:rsid w:val="0058290E"/>
    <w:rsid w:val="00582CAB"/>
    <w:rsid w:val="00582D08"/>
    <w:rsid w:val="00582FA6"/>
    <w:rsid w:val="0058375E"/>
    <w:rsid w:val="0058378C"/>
    <w:rsid w:val="00584233"/>
    <w:rsid w:val="005842D0"/>
    <w:rsid w:val="005845FB"/>
    <w:rsid w:val="005855AE"/>
    <w:rsid w:val="00585829"/>
    <w:rsid w:val="00585CA8"/>
    <w:rsid w:val="00586412"/>
    <w:rsid w:val="005864B9"/>
    <w:rsid w:val="005866C4"/>
    <w:rsid w:val="00587229"/>
    <w:rsid w:val="00590F1A"/>
    <w:rsid w:val="00591C03"/>
    <w:rsid w:val="00591D9E"/>
    <w:rsid w:val="00591E2A"/>
    <w:rsid w:val="005923C4"/>
    <w:rsid w:val="00592981"/>
    <w:rsid w:val="00593EA2"/>
    <w:rsid w:val="00593F75"/>
    <w:rsid w:val="005940A0"/>
    <w:rsid w:val="0059429A"/>
    <w:rsid w:val="00594462"/>
    <w:rsid w:val="00594CBE"/>
    <w:rsid w:val="0059561D"/>
    <w:rsid w:val="00596AF7"/>
    <w:rsid w:val="00596CCE"/>
    <w:rsid w:val="00596E88"/>
    <w:rsid w:val="005A1976"/>
    <w:rsid w:val="005A2120"/>
    <w:rsid w:val="005A2501"/>
    <w:rsid w:val="005A2C80"/>
    <w:rsid w:val="005A3066"/>
    <w:rsid w:val="005A3B35"/>
    <w:rsid w:val="005A3C4B"/>
    <w:rsid w:val="005A3E5A"/>
    <w:rsid w:val="005A43F3"/>
    <w:rsid w:val="005A485D"/>
    <w:rsid w:val="005A496F"/>
    <w:rsid w:val="005A4A56"/>
    <w:rsid w:val="005A5608"/>
    <w:rsid w:val="005A5A3D"/>
    <w:rsid w:val="005A6035"/>
    <w:rsid w:val="005A6B75"/>
    <w:rsid w:val="005A6E00"/>
    <w:rsid w:val="005A718A"/>
    <w:rsid w:val="005A7752"/>
    <w:rsid w:val="005A7885"/>
    <w:rsid w:val="005B0293"/>
    <w:rsid w:val="005B10DC"/>
    <w:rsid w:val="005B12B2"/>
    <w:rsid w:val="005B143B"/>
    <w:rsid w:val="005B19BD"/>
    <w:rsid w:val="005B1E45"/>
    <w:rsid w:val="005B21C4"/>
    <w:rsid w:val="005B2A28"/>
    <w:rsid w:val="005B3621"/>
    <w:rsid w:val="005B4948"/>
    <w:rsid w:val="005B501D"/>
    <w:rsid w:val="005B54CC"/>
    <w:rsid w:val="005B74AD"/>
    <w:rsid w:val="005B7E96"/>
    <w:rsid w:val="005C0429"/>
    <w:rsid w:val="005C084F"/>
    <w:rsid w:val="005C0968"/>
    <w:rsid w:val="005C0EE9"/>
    <w:rsid w:val="005C16A8"/>
    <w:rsid w:val="005C1716"/>
    <w:rsid w:val="005C1954"/>
    <w:rsid w:val="005C1C0B"/>
    <w:rsid w:val="005C2011"/>
    <w:rsid w:val="005C3EA3"/>
    <w:rsid w:val="005C44DE"/>
    <w:rsid w:val="005C5011"/>
    <w:rsid w:val="005C5241"/>
    <w:rsid w:val="005C529E"/>
    <w:rsid w:val="005C57BA"/>
    <w:rsid w:val="005C5C52"/>
    <w:rsid w:val="005C5D3D"/>
    <w:rsid w:val="005C5EC1"/>
    <w:rsid w:val="005C5F05"/>
    <w:rsid w:val="005C6186"/>
    <w:rsid w:val="005C7E45"/>
    <w:rsid w:val="005C7F3E"/>
    <w:rsid w:val="005D06D3"/>
    <w:rsid w:val="005D0C3B"/>
    <w:rsid w:val="005D1051"/>
    <w:rsid w:val="005D1606"/>
    <w:rsid w:val="005D2044"/>
    <w:rsid w:val="005D2917"/>
    <w:rsid w:val="005D2EB2"/>
    <w:rsid w:val="005D2F48"/>
    <w:rsid w:val="005D3B32"/>
    <w:rsid w:val="005D4643"/>
    <w:rsid w:val="005D464B"/>
    <w:rsid w:val="005D466F"/>
    <w:rsid w:val="005D49F0"/>
    <w:rsid w:val="005D51F7"/>
    <w:rsid w:val="005D51FA"/>
    <w:rsid w:val="005D53E8"/>
    <w:rsid w:val="005D5A9D"/>
    <w:rsid w:val="005D6651"/>
    <w:rsid w:val="005D6675"/>
    <w:rsid w:val="005D691D"/>
    <w:rsid w:val="005D6A72"/>
    <w:rsid w:val="005D6F38"/>
    <w:rsid w:val="005D7279"/>
    <w:rsid w:val="005D791B"/>
    <w:rsid w:val="005D7CF2"/>
    <w:rsid w:val="005D7E2D"/>
    <w:rsid w:val="005D7F92"/>
    <w:rsid w:val="005E0D7B"/>
    <w:rsid w:val="005E1595"/>
    <w:rsid w:val="005E182D"/>
    <w:rsid w:val="005E1F1D"/>
    <w:rsid w:val="005E273D"/>
    <w:rsid w:val="005E30AC"/>
    <w:rsid w:val="005E3278"/>
    <w:rsid w:val="005E3456"/>
    <w:rsid w:val="005E363B"/>
    <w:rsid w:val="005E3736"/>
    <w:rsid w:val="005F1FA9"/>
    <w:rsid w:val="005F287D"/>
    <w:rsid w:val="005F305B"/>
    <w:rsid w:val="005F3081"/>
    <w:rsid w:val="005F3361"/>
    <w:rsid w:val="005F3B47"/>
    <w:rsid w:val="005F4481"/>
    <w:rsid w:val="005F47AC"/>
    <w:rsid w:val="005F49AF"/>
    <w:rsid w:val="005F4A58"/>
    <w:rsid w:val="005F54DF"/>
    <w:rsid w:val="005F5888"/>
    <w:rsid w:val="005F5984"/>
    <w:rsid w:val="005F5EAB"/>
    <w:rsid w:val="005F6CE2"/>
    <w:rsid w:val="005F6F24"/>
    <w:rsid w:val="005F72E9"/>
    <w:rsid w:val="005F780B"/>
    <w:rsid w:val="005F7FA1"/>
    <w:rsid w:val="00600473"/>
    <w:rsid w:val="0060139A"/>
    <w:rsid w:val="006013C9"/>
    <w:rsid w:val="00602B45"/>
    <w:rsid w:val="006032AB"/>
    <w:rsid w:val="00603499"/>
    <w:rsid w:val="006035F5"/>
    <w:rsid w:val="00603CC2"/>
    <w:rsid w:val="006047D1"/>
    <w:rsid w:val="00604A55"/>
    <w:rsid w:val="00604D4E"/>
    <w:rsid w:val="00604E3E"/>
    <w:rsid w:val="00604EFB"/>
    <w:rsid w:val="00605AC3"/>
    <w:rsid w:val="00606908"/>
    <w:rsid w:val="00607996"/>
    <w:rsid w:val="00607A37"/>
    <w:rsid w:val="00607E0A"/>
    <w:rsid w:val="00607E9F"/>
    <w:rsid w:val="0061085E"/>
    <w:rsid w:val="00611398"/>
    <w:rsid w:val="00611EAA"/>
    <w:rsid w:val="00612322"/>
    <w:rsid w:val="006123C0"/>
    <w:rsid w:val="00612DF1"/>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20719"/>
    <w:rsid w:val="006212C9"/>
    <w:rsid w:val="00621D0C"/>
    <w:rsid w:val="00622470"/>
    <w:rsid w:val="00622725"/>
    <w:rsid w:val="0062296B"/>
    <w:rsid w:val="006231AA"/>
    <w:rsid w:val="00623482"/>
    <w:rsid w:val="00623AC2"/>
    <w:rsid w:val="00623EBC"/>
    <w:rsid w:val="0062452A"/>
    <w:rsid w:val="006266D7"/>
    <w:rsid w:val="00626D42"/>
    <w:rsid w:val="00626EE3"/>
    <w:rsid w:val="006271CF"/>
    <w:rsid w:val="006274AD"/>
    <w:rsid w:val="00627519"/>
    <w:rsid w:val="00627532"/>
    <w:rsid w:val="006302AA"/>
    <w:rsid w:val="006310C3"/>
    <w:rsid w:val="0063161E"/>
    <w:rsid w:val="00631660"/>
    <w:rsid w:val="00631908"/>
    <w:rsid w:val="00631BB5"/>
    <w:rsid w:val="00631DD0"/>
    <w:rsid w:val="00633DBF"/>
    <w:rsid w:val="00634122"/>
    <w:rsid w:val="00634261"/>
    <w:rsid w:val="00635E32"/>
    <w:rsid w:val="006360FC"/>
    <w:rsid w:val="006364DB"/>
    <w:rsid w:val="006365DE"/>
    <w:rsid w:val="00636BE4"/>
    <w:rsid w:val="00636F88"/>
    <w:rsid w:val="0063732C"/>
    <w:rsid w:val="00637802"/>
    <w:rsid w:val="00637836"/>
    <w:rsid w:val="00637C26"/>
    <w:rsid w:val="00637F44"/>
    <w:rsid w:val="00640084"/>
    <w:rsid w:val="00641078"/>
    <w:rsid w:val="00641242"/>
    <w:rsid w:val="00642188"/>
    <w:rsid w:val="006424AA"/>
    <w:rsid w:val="00642A32"/>
    <w:rsid w:val="006433D5"/>
    <w:rsid w:val="00643412"/>
    <w:rsid w:val="00645C53"/>
    <w:rsid w:val="00645CEB"/>
    <w:rsid w:val="00645E6E"/>
    <w:rsid w:val="00646B20"/>
    <w:rsid w:val="00646D0F"/>
    <w:rsid w:val="0064763F"/>
    <w:rsid w:val="00647A36"/>
    <w:rsid w:val="00647DCC"/>
    <w:rsid w:val="00647EFA"/>
    <w:rsid w:val="00647F14"/>
    <w:rsid w:val="00650027"/>
    <w:rsid w:val="00651501"/>
    <w:rsid w:val="00651B9C"/>
    <w:rsid w:val="00651C47"/>
    <w:rsid w:val="00652E70"/>
    <w:rsid w:val="0065339A"/>
    <w:rsid w:val="00653469"/>
    <w:rsid w:val="00654A38"/>
    <w:rsid w:val="00655301"/>
    <w:rsid w:val="00655371"/>
    <w:rsid w:val="00655507"/>
    <w:rsid w:val="00656C4B"/>
    <w:rsid w:val="006573EA"/>
    <w:rsid w:val="0066073F"/>
    <w:rsid w:val="006608ED"/>
    <w:rsid w:val="00660D2A"/>
    <w:rsid w:val="00661029"/>
    <w:rsid w:val="0066135A"/>
    <w:rsid w:val="00661A38"/>
    <w:rsid w:val="0066272D"/>
    <w:rsid w:val="00662E58"/>
    <w:rsid w:val="00662F39"/>
    <w:rsid w:val="0066339A"/>
    <w:rsid w:val="006635A0"/>
    <w:rsid w:val="00664351"/>
    <w:rsid w:val="00665875"/>
    <w:rsid w:val="00665968"/>
    <w:rsid w:val="00665BF7"/>
    <w:rsid w:val="00666027"/>
    <w:rsid w:val="00666178"/>
    <w:rsid w:val="0066639E"/>
    <w:rsid w:val="00666473"/>
    <w:rsid w:val="00666C72"/>
    <w:rsid w:val="00666E6C"/>
    <w:rsid w:val="0066707F"/>
    <w:rsid w:val="00667ED8"/>
    <w:rsid w:val="00670298"/>
    <w:rsid w:val="0067064C"/>
    <w:rsid w:val="00670B20"/>
    <w:rsid w:val="00670E12"/>
    <w:rsid w:val="00670F27"/>
    <w:rsid w:val="00672E80"/>
    <w:rsid w:val="0067333F"/>
    <w:rsid w:val="006739E4"/>
    <w:rsid w:val="00673ECF"/>
    <w:rsid w:val="0067426B"/>
    <w:rsid w:val="00674A1B"/>
    <w:rsid w:val="00674F1C"/>
    <w:rsid w:val="006754F8"/>
    <w:rsid w:val="00675BD6"/>
    <w:rsid w:val="00676127"/>
    <w:rsid w:val="00676AED"/>
    <w:rsid w:val="00677E9C"/>
    <w:rsid w:val="00677F26"/>
    <w:rsid w:val="006800EE"/>
    <w:rsid w:val="006802A7"/>
    <w:rsid w:val="006811C9"/>
    <w:rsid w:val="006812CE"/>
    <w:rsid w:val="006826C1"/>
    <w:rsid w:val="00682C89"/>
    <w:rsid w:val="006832B8"/>
    <w:rsid w:val="006837B2"/>
    <w:rsid w:val="00683800"/>
    <w:rsid w:val="006839E9"/>
    <w:rsid w:val="00684462"/>
    <w:rsid w:val="00684C8A"/>
    <w:rsid w:val="00684CF5"/>
    <w:rsid w:val="0068553E"/>
    <w:rsid w:val="00685E7B"/>
    <w:rsid w:val="00686551"/>
    <w:rsid w:val="00686CAB"/>
    <w:rsid w:val="00686E4D"/>
    <w:rsid w:val="0068717F"/>
    <w:rsid w:val="0068719A"/>
    <w:rsid w:val="0068730C"/>
    <w:rsid w:val="00687504"/>
    <w:rsid w:val="00687A14"/>
    <w:rsid w:val="00687A8C"/>
    <w:rsid w:val="00690839"/>
    <w:rsid w:val="006908DB"/>
    <w:rsid w:val="00690DE9"/>
    <w:rsid w:val="00691DE9"/>
    <w:rsid w:val="00691EAA"/>
    <w:rsid w:val="00692245"/>
    <w:rsid w:val="00692FFA"/>
    <w:rsid w:val="00693772"/>
    <w:rsid w:val="00693984"/>
    <w:rsid w:val="00693B77"/>
    <w:rsid w:val="00694160"/>
    <w:rsid w:val="006959A5"/>
    <w:rsid w:val="00695C0C"/>
    <w:rsid w:val="00696736"/>
    <w:rsid w:val="00696A05"/>
    <w:rsid w:val="00697665"/>
    <w:rsid w:val="006979BF"/>
    <w:rsid w:val="00697C9A"/>
    <w:rsid w:val="00697E68"/>
    <w:rsid w:val="00697FC1"/>
    <w:rsid w:val="006A0274"/>
    <w:rsid w:val="006A0F2B"/>
    <w:rsid w:val="006A103E"/>
    <w:rsid w:val="006A27BC"/>
    <w:rsid w:val="006A2A43"/>
    <w:rsid w:val="006A2BF1"/>
    <w:rsid w:val="006A2C3A"/>
    <w:rsid w:val="006A2F9A"/>
    <w:rsid w:val="006A34E4"/>
    <w:rsid w:val="006A3A5A"/>
    <w:rsid w:val="006A44CF"/>
    <w:rsid w:val="006A457D"/>
    <w:rsid w:val="006A4C06"/>
    <w:rsid w:val="006A4C33"/>
    <w:rsid w:val="006A55EE"/>
    <w:rsid w:val="006A575B"/>
    <w:rsid w:val="006A59DE"/>
    <w:rsid w:val="006A64C6"/>
    <w:rsid w:val="006A6655"/>
    <w:rsid w:val="006A6BF9"/>
    <w:rsid w:val="006A7CB5"/>
    <w:rsid w:val="006A7FD0"/>
    <w:rsid w:val="006B00E4"/>
    <w:rsid w:val="006B025C"/>
    <w:rsid w:val="006B08ED"/>
    <w:rsid w:val="006B2534"/>
    <w:rsid w:val="006B2CB2"/>
    <w:rsid w:val="006B347D"/>
    <w:rsid w:val="006B3E19"/>
    <w:rsid w:val="006B4488"/>
    <w:rsid w:val="006B49FC"/>
    <w:rsid w:val="006B50C4"/>
    <w:rsid w:val="006B53AE"/>
    <w:rsid w:val="006B58B4"/>
    <w:rsid w:val="006B67AC"/>
    <w:rsid w:val="006B6DB3"/>
    <w:rsid w:val="006B786A"/>
    <w:rsid w:val="006B7A03"/>
    <w:rsid w:val="006B7A67"/>
    <w:rsid w:val="006B7D67"/>
    <w:rsid w:val="006B7E4E"/>
    <w:rsid w:val="006C003A"/>
    <w:rsid w:val="006C074F"/>
    <w:rsid w:val="006C08E4"/>
    <w:rsid w:val="006C107C"/>
    <w:rsid w:val="006C1EA0"/>
    <w:rsid w:val="006C2454"/>
    <w:rsid w:val="006C2551"/>
    <w:rsid w:val="006C37CA"/>
    <w:rsid w:val="006C40D2"/>
    <w:rsid w:val="006C4BBD"/>
    <w:rsid w:val="006C4C26"/>
    <w:rsid w:val="006C5B15"/>
    <w:rsid w:val="006C5D00"/>
    <w:rsid w:val="006C5D32"/>
    <w:rsid w:val="006C5DCB"/>
    <w:rsid w:val="006C6475"/>
    <w:rsid w:val="006C70C4"/>
    <w:rsid w:val="006C724E"/>
    <w:rsid w:val="006C741F"/>
    <w:rsid w:val="006D04DA"/>
    <w:rsid w:val="006D10F6"/>
    <w:rsid w:val="006D1544"/>
    <w:rsid w:val="006D1688"/>
    <w:rsid w:val="006D1DD3"/>
    <w:rsid w:val="006D1FF3"/>
    <w:rsid w:val="006D2C65"/>
    <w:rsid w:val="006D2DE3"/>
    <w:rsid w:val="006D32C6"/>
    <w:rsid w:val="006D3491"/>
    <w:rsid w:val="006D360E"/>
    <w:rsid w:val="006D3697"/>
    <w:rsid w:val="006D39D2"/>
    <w:rsid w:val="006D3F2A"/>
    <w:rsid w:val="006D4370"/>
    <w:rsid w:val="006D46A3"/>
    <w:rsid w:val="006D62E0"/>
    <w:rsid w:val="006D658F"/>
    <w:rsid w:val="006D6A12"/>
    <w:rsid w:val="006D712D"/>
    <w:rsid w:val="006D7687"/>
    <w:rsid w:val="006D7D1F"/>
    <w:rsid w:val="006D7D8A"/>
    <w:rsid w:val="006E0079"/>
    <w:rsid w:val="006E0572"/>
    <w:rsid w:val="006E05D8"/>
    <w:rsid w:val="006E08EE"/>
    <w:rsid w:val="006E155A"/>
    <w:rsid w:val="006E2C34"/>
    <w:rsid w:val="006E359B"/>
    <w:rsid w:val="006E39D1"/>
    <w:rsid w:val="006E3B05"/>
    <w:rsid w:val="006E437F"/>
    <w:rsid w:val="006E4D5B"/>
    <w:rsid w:val="006E602F"/>
    <w:rsid w:val="006E6720"/>
    <w:rsid w:val="006E6F90"/>
    <w:rsid w:val="006E7275"/>
    <w:rsid w:val="006E77B8"/>
    <w:rsid w:val="006F13BA"/>
    <w:rsid w:val="006F15CC"/>
    <w:rsid w:val="006F15F6"/>
    <w:rsid w:val="006F1F32"/>
    <w:rsid w:val="006F36EA"/>
    <w:rsid w:val="006F4147"/>
    <w:rsid w:val="006F4315"/>
    <w:rsid w:val="006F4CB0"/>
    <w:rsid w:val="006F4F78"/>
    <w:rsid w:val="006F547E"/>
    <w:rsid w:val="006F5CCF"/>
    <w:rsid w:val="006F5F09"/>
    <w:rsid w:val="006F6F04"/>
    <w:rsid w:val="006F71F5"/>
    <w:rsid w:val="00700610"/>
    <w:rsid w:val="00700B9C"/>
    <w:rsid w:val="0070138A"/>
    <w:rsid w:val="0070157E"/>
    <w:rsid w:val="007030D4"/>
    <w:rsid w:val="00703279"/>
    <w:rsid w:val="00703B19"/>
    <w:rsid w:val="00703B61"/>
    <w:rsid w:val="00703E11"/>
    <w:rsid w:val="00704102"/>
    <w:rsid w:val="0070437C"/>
    <w:rsid w:val="0070461C"/>
    <w:rsid w:val="00705631"/>
    <w:rsid w:val="00705818"/>
    <w:rsid w:val="00705F62"/>
    <w:rsid w:val="0070773F"/>
    <w:rsid w:val="007078BD"/>
    <w:rsid w:val="00707ED3"/>
    <w:rsid w:val="007101B7"/>
    <w:rsid w:val="00710668"/>
    <w:rsid w:val="007110F4"/>
    <w:rsid w:val="007112B1"/>
    <w:rsid w:val="0071130F"/>
    <w:rsid w:val="00712714"/>
    <w:rsid w:val="007129AB"/>
    <w:rsid w:val="00712B63"/>
    <w:rsid w:val="00713526"/>
    <w:rsid w:val="00713FC5"/>
    <w:rsid w:val="00714DCA"/>
    <w:rsid w:val="00715BBF"/>
    <w:rsid w:val="00715C29"/>
    <w:rsid w:val="00715CBD"/>
    <w:rsid w:val="00715EAA"/>
    <w:rsid w:val="00716CAD"/>
    <w:rsid w:val="00716F18"/>
    <w:rsid w:val="00717363"/>
    <w:rsid w:val="00717786"/>
    <w:rsid w:val="00717ACB"/>
    <w:rsid w:val="0072138B"/>
    <w:rsid w:val="00721BFF"/>
    <w:rsid w:val="00723475"/>
    <w:rsid w:val="007236C4"/>
    <w:rsid w:val="007242A2"/>
    <w:rsid w:val="00724635"/>
    <w:rsid w:val="00724F21"/>
    <w:rsid w:val="00725134"/>
    <w:rsid w:val="0072554B"/>
    <w:rsid w:val="00725AFD"/>
    <w:rsid w:val="00726603"/>
    <w:rsid w:val="007270EF"/>
    <w:rsid w:val="00727B1D"/>
    <w:rsid w:val="00727DDC"/>
    <w:rsid w:val="00730CD6"/>
    <w:rsid w:val="00730F74"/>
    <w:rsid w:val="0073114B"/>
    <w:rsid w:val="00732151"/>
    <w:rsid w:val="007339EC"/>
    <w:rsid w:val="00734236"/>
    <w:rsid w:val="00734952"/>
    <w:rsid w:val="00734990"/>
    <w:rsid w:val="00734FF5"/>
    <w:rsid w:val="007356B8"/>
    <w:rsid w:val="00735B78"/>
    <w:rsid w:val="00735DA7"/>
    <w:rsid w:val="007368B4"/>
    <w:rsid w:val="007378E0"/>
    <w:rsid w:val="00737D92"/>
    <w:rsid w:val="00740529"/>
    <w:rsid w:val="00740876"/>
    <w:rsid w:val="00741358"/>
    <w:rsid w:val="00741626"/>
    <w:rsid w:val="00742332"/>
    <w:rsid w:val="00742886"/>
    <w:rsid w:val="00742DD2"/>
    <w:rsid w:val="00742F60"/>
    <w:rsid w:val="007437C6"/>
    <w:rsid w:val="007441A2"/>
    <w:rsid w:val="00744E80"/>
    <w:rsid w:val="00745035"/>
    <w:rsid w:val="0074531C"/>
    <w:rsid w:val="00745547"/>
    <w:rsid w:val="007459D0"/>
    <w:rsid w:val="0074608B"/>
    <w:rsid w:val="0074623A"/>
    <w:rsid w:val="00746420"/>
    <w:rsid w:val="00746A60"/>
    <w:rsid w:val="00746E04"/>
    <w:rsid w:val="00746E08"/>
    <w:rsid w:val="00746E3D"/>
    <w:rsid w:val="007473B9"/>
    <w:rsid w:val="0074740B"/>
    <w:rsid w:val="00747C96"/>
    <w:rsid w:val="00750075"/>
    <w:rsid w:val="007502EC"/>
    <w:rsid w:val="00750382"/>
    <w:rsid w:val="0075041E"/>
    <w:rsid w:val="0075094E"/>
    <w:rsid w:val="00750FA8"/>
    <w:rsid w:val="00750FB5"/>
    <w:rsid w:val="007520F0"/>
    <w:rsid w:val="007522E8"/>
    <w:rsid w:val="00753BAC"/>
    <w:rsid w:val="00754A0B"/>
    <w:rsid w:val="00754DFE"/>
    <w:rsid w:val="007552DB"/>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9B7"/>
    <w:rsid w:val="00762E60"/>
    <w:rsid w:val="007634AD"/>
    <w:rsid w:val="0076445F"/>
    <w:rsid w:val="00764EC5"/>
    <w:rsid w:val="00766ECC"/>
    <w:rsid w:val="007672F3"/>
    <w:rsid w:val="007677B5"/>
    <w:rsid w:val="007678B1"/>
    <w:rsid w:val="007708A8"/>
    <w:rsid w:val="00770D6E"/>
    <w:rsid w:val="0077184A"/>
    <w:rsid w:val="00772100"/>
    <w:rsid w:val="00772275"/>
    <w:rsid w:val="007734E4"/>
    <w:rsid w:val="0077380D"/>
    <w:rsid w:val="00773BC8"/>
    <w:rsid w:val="0077466F"/>
    <w:rsid w:val="007752B7"/>
    <w:rsid w:val="00775597"/>
    <w:rsid w:val="007757DC"/>
    <w:rsid w:val="007759A8"/>
    <w:rsid w:val="00775C27"/>
    <w:rsid w:val="00775D98"/>
    <w:rsid w:val="0077644C"/>
    <w:rsid w:val="00776FE5"/>
    <w:rsid w:val="00777101"/>
    <w:rsid w:val="007774E7"/>
    <w:rsid w:val="0077768C"/>
    <w:rsid w:val="00777696"/>
    <w:rsid w:val="00777FF4"/>
    <w:rsid w:val="00780251"/>
    <w:rsid w:val="007804FE"/>
    <w:rsid w:val="00780AFD"/>
    <w:rsid w:val="00780F32"/>
    <w:rsid w:val="0078122E"/>
    <w:rsid w:val="00781939"/>
    <w:rsid w:val="00781D29"/>
    <w:rsid w:val="007825EF"/>
    <w:rsid w:val="0078286B"/>
    <w:rsid w:val="00782D2C"/>
    <w:rsid w:val="00782FC2"/>
    <w:rsid w:val="0078328D"/>
    <w:rsid w:val="0078347A"/>
    <w:rsid w:val="007842D6"/>
    <w:rsid w:val="00784FC4"/>
    <w:rsid w:val="00785353"/>
    <w:rsid w:val="00785BBB"/>
    <w:rsid w:val="00786937"/>
    <w:rsid w:val="00786FAD"/>
    <w:rsid w:val="00787D90"/>
    <w:rsid w:val="00787F5E"/>
    <w:rsid w:val="00790164"/>
    <w:rsid w:val="00790A24"/>
    <w:rsid w:val="00790A37"/>
    <w:rsid w:val="00790A60"/>
    <w:rsid w:val="0079146D"/>
    <w:rsid w:val="00791C32"/>
    <w:rsid w:val="00791FF0"/>
    <w:rsid w:val="007923D0"/>
    <w:rsid w:val="00792E15"/>
    <w:rsid w:val="007930D3"/>
    <w:rsid w:val="0079381F"/>
    <w:rsid w:val="00793A57"/>
    <w:rsid w:val="00793B2E"/>
    <w:rsid w:val="007948F5"/>
    <w:rsid w:val="00795647"/>
    <w:rsid w:val="007963F6"/>
    <w:rsid w:val="007968B8"/>
    <w:rsid w:val="00796AFE"/>
    <w:rsid w:val="00796DC8"/>
    <w:rsid w:val="00796E80"/>
    <w:rsid w:val="0079744F"/>
    <w:rsid w:val="007979AD"/>
    <w:rsid w:val="00797A9C"/>
    <w:rsid w:val="007A00FA"/>
    <w:rsid w:val="007A0EAB"/>
    <w:rsid w:val="007A0FEC"/>
    <w:rsid w:val="007A2341"/>
    <w:rsid w:val="007A2754"/>
    <w:rsid w:val="007A38A1"/>
    <w:rsid w:val="007A3BBE"/>
    <w:rsid w:val="007A4766"/>
    <w:rsid w:val="007A5747"/>
    <w:rsid w:val="007A5947"/>
    <w:rsid w:val="007A5C22"/>
    <w:rsid w:val="007A5DB3"/>
    <w:rsid w:val="007A717B"/>
    <w:rsid w:val="007B0313"/>
    <w:rsid w:val="007B0854"/>
    <w:rsid w:val="007B0E48"/>
    <w:rsid w:val="007B1162"/>
    <w:rsid w:val="007B1A0E"/>
    <w:rsid w:val="007B1D1B"/>
    <w:rsid w:val="007B303E"/>
    <w:rsid w:val="007B32C0"/>
    <w:rsid w:val="007B32F7"/>
    <w:rsid w:val="007B3659"/>
    <w:rsid w:val="007B38B5"/>
    <w:rsid w:val="007B3BF3"/>
    <w:rsid w:val="007B431B"/>
    <w:rsid w:val="007B4558"/>
    <w:rsid w:val="007B4632"/>
    <w:rsid w:val="007B46A2"/>
    <w:rsid w:val="007B4828"/>
    <w:rsid w:val="007B4B2D"/>
    <w:rsid w:val="007B4BA9"/>
    <w:rsid w:val="007B4D4A"/>
    <w:rsid w:val="007B513D"/>
    <w:rsid w:val="007B53DA"/>
    <w:rsid w:val="007B5428"/>
    <w:rsid w:val="007B59B7"/>
    <w:rsid w:val="007B6C64"/>
    <w:rsid w:val="007B6EC8"/>
    <w:rsid w:val="007B6F81"/>
    <w:rsid w:val="007B7EA2"/>
    <w:rsid w:val="007C097D"/>
    <w:rsid w:val="007C0AF2"/>
    <w:rsid w:val="007C0AFD"/>
    <w:rsid w:val="007C11CE"/>
    <w:rsid w:val="007C1672"/>
    <w:rsid w:val="007C312A"/>
    <w:rsid w:val="007C34A9"/>
    <w:rsid w:val="007C3570"/>
    <w:rsid w:val="007C3BFC"/>
    <w:rsid w:val="007C3F3B"/>
    <w:rsid w:val="007C4241"/>
    <w:rsid w:val="007C425E"/>
    <w:rsid w:val="007C55FF"/>
    <w:rsid w:val="007C59E6"/>
    <w:rsid w:val="007C6339"/>
    <w:rsid w:val="007C6A4D"/>
    <w:rsid w:val="007C753F"/>
    <w:rsid w:val="007C7C43"/>
    <w:rsid w:val="007C7F0D"/>
    <w:rsid w:val="007D06E3"/>
    <w:rsid w:val="007D0E8D"/>
    <w:rsid w:val="007D1134"/>
    <w:rsid w:val="007D17F0"/>
    <w:rsid w:val="007D20BB"/>
    <w:rsid w:val="007D23F7"/>
    <w:rsid w:val="007D2566"/>
    <w:rsid w:val="007D2C18"/>
    <w:rsid w:val="007D2CDA"/>
    <w:rsid w:val="007D2D74"/>
    <w:rsid w:val="007D3693"/>
    <w:rsid w:val="007D3C6D"/>
    <w:rsid w:val="007D3EE2"/>
    <w:rsid w:val="007D42D3"/>
    <w:rsid w:val="007D481A"/>
    <w:rsid w:val="007D4ED0"/>
    <w:rsid w:val="007D5648"/>
    <w:rsid w:val="007D58C5"/>
    <w:rsid w:val="007D5DE8"/>
    <w:rsid w:val="007D7CFC"/>
    <w:rsid w:val="007E0812"/>
    <w:rsid w:val="007E18DF"/>
    <w:rsid w:val="007E2C36"/>
    <w:rsid w:val="007E3309"/>
    <w:rsid w:val="007E350D"/>
    <w:rsid w:val="007E3A0A"/>
    <w:rsid w:val="007E3ACA"/>
    <w:rsid w:val="007E496E"/>
    <w:rsid w:val="007E564D"/>
    <w:rsid w:val="007E5C4A"/>
    <w:rsid w:val="007E64D4"/>
    <w:rsid w:val="007E66E9"/>
    <w:rsid w:val="007E69F2"/>
    <w:rsid w:val="007E7432"/>
    <w:rsid w:val="007E74BF"/>
    <w:rsid w:val="007F14D3"/>
    <w:rsid w:val="007F16C0"/>
    <w:rsid w:val="007F1D9D"/>
    <w:rsid w:val="007F1E28"/>
    <w:rsid w:val="007F1F63"/>
    <w:rsid w:val="007F22A0"/>
    <w:rsid w:val="007F2903"/>
    <w:rsid w:val="007F2F90"/>
    <w:rsid w:val="007F3320"/>
    <w:rsid w:val="007F3AC1"/>
    <w:rsid w:val="007F4976"/>
    <w:rsid w:val="007F52AF"/>
    <w:rsid w:val="007F5A56"/>
    <w:rsid w:val="007F616E"/>
    <w:rsid w:val="007F6790"/>
    <w:rsid w:val="007F6B46"/>
    <w:rsid w:val="007F72CB"/>
    <w:rsid w:val="007F736A"/>
    <w:rsid w:val="007F7635"/>
    <w:rsid w:val="007F785F"/>
    <w:rsid w:val="007F7961"/>
    <w:rsid w:val="007F7AF6"/>
    <w:rsid w:val="007F7E36"/>
    <w:rsid w:val="00800E6D"/>
    <w:rsid w:val="008014D9"/>
    <w:rsid w:val="0080150F"/>
    <w:rsid w:val="0080153A"/>
    <w:rsid w:val="00801A2A"/>
    <w:rsid w:val="00801C48"/>
    <w:rsid w:val="00802041"/>
    <w:rsid w:val="008022C9"/>
    <w:rsid w:val="00802605"/>
    <w:rsid w:val="00802F9E"/>
    <w:rsid w:val="00803700"/>
    <w:rsid w:val="0080375D"/>
    <w:rsid w:val="00803D9D"/>
    <w:rsid w:val="0080543F"/>
    <w:rsid w:val="008059C6"/>
    <w:rsid w:val="00805AD7"/>
    <w:rsid w:val="00805BD6"/>
    <w:rsid w:val="00805DE3"/>
    <w:rsid w:val="00807C35"/>
    <w:rsid w:val="00807F35"/>
    <w:rsid w:val="00807F69"/>
    <w:rsid w:val="008100F7"/>
    <w:rsid w:val="00810206"/>
    <w:rsid w:val="00811898"/>
    <w:rsid w:val="00811AC2"/>
    <w:rsid w:val="00811CDC"/>
    <w:rsid w:val="008124D8"/>
    <w:rsid w:val="0081250A"/>
    <w:rsid w:val="00813A7B"/>
    <w:rsid w:val="00813F04"/>
    <w:rsid w:val="0081513E"/>
    <w:rsid w:val="00815DA5"/>
    <w:rsid w:val="00816221"/>
    <w:rsid w:val="00817063"/>
    <w:rsid w:val="0081766B"/>
    <w:rsid w:val="00820705"/>
    <w:rsid w:val="00820842"/>
    <w:rsid w:val="00820BA7"/>
    <w:rsid w:val="00820CBF"/>
    <w:rsid w:val="00820DBC"/>
    <w:rsid w:val="00820FA8"/>
    <w:rsid w:val="008211FE"/>
    <w:rsid w:val="008212FD"/>
    <w:rsid w:val="00821489"/>
    <w:rsid w:val="008217B7"/>
    <w:rsid w:val="00822257"/>
    <w:rsid w:val="0082239B"/>
    <w:rsid w:val="0082292E"/>
    <w:rsid w:val="00822D06"/>
    <w:rsid w:val="00822EC4"/>
    <w:rsid w:val="0082348D"/>
    <w:rsid w:val="008236BE"/>
    <w:rsid w:val="00823FEA"/>
    <w:rsid w:val="008241CE"/>
    <w:rsid w:val="00825240"/>
    <w:rsid w:val="00825595"/>
    <w:rsid w:val="00825B43"/>
    <w:rsid w:val="00826F71"/>
    <w:rsid w:val="00827818"/>
    <w:rsid w:val="00827CC0"/>
    <w:rsid w:val="00830D29"/>
    <w:rsid w:val="00831026"/>
    <w:rsid w:val="0083119B"/>
    <w:rsid w:val="00831BAE"/>
    <w:rsid w:val="00832216"/>
    <w:rsid w:val="0083261D"/>
    <w:rsid w:val="00832CD0"/>
    <w:rsid w:val="00832F8C"/>
    <w:rsid w:val="00833430"/>
    <w:rsid w:val="0083382A"/>
    <w:rsid w:val="00834128"/>
    <w:rsid w:val="0083417F"/>
    <w:rsid w:val="00834A0D"/>
    <w:rsid w:val="00835143"/>
    <w:rsid w:val="0083569B"/>
    <w:rsid w:val="00835741"/>
    <w:rsid w:val="00836E74"/>
    <w:rsid w:val="00836EAB"/>
    <w:rsid w:val="00836FDF"/>
    <w:rsid w:val="008375B1"/>
    <w:rsid w:val="00837673"/>
    <w:rsid w:val="00837937"/>
    <w:rsid w:val="00837D82"/>
    <w:rsid w:val="00840893"/>
    <w:rsid w:val="00840E88"/>
    <w:rsid w:val="008410D3"/>
    <w:rsid w:val="0084120E"/>
    <w:rsid w:val="008423EC"/>
    <w:rsid w:val="008429A6"/>
    <w:rsid w:val="00843615"/>
    <w:rsid w:val="00843698"/>
    <w:rsid w:val="00843A4B"/>
    <w:rsid w:val="00843B57"/>
    <w:rsid w:val="00843B60"/>
    <w:rsid w:val="00843D33"/>
    <w:rsid w:val="008440DF"/>
    <w:rsid w:val="008444F0"/>
    <w:rsid w:val="00844CA4"/>
    <w:rsid w:val="00844D4F"/>
    <w:rsid w:val="00845AE3"/>
    <w:rsid w:val="008466A0"/>
    <w:rsid w:val="00846D14"/>
    <w:rsid w:val="00847535"/>
    <w:rsid w:val="00847B6D"/>
    <w:rsid w:val="0085092D"/>
    <w:rsid w:val="00850C79"/>
    <w:rsid w:val="00850D82"/>
    <w:rsid w:val="00850F44"/>
    <w:rsid w:val="00850F79"/>
    <w:rsid w:val="0085100B"/>
    <w:rsid w:val="00852C43"/>
    <w:rsid w:val="0085304C"/>
    <w:rsid w:val="008536BB"/>
    <w:rsid w:val="00853A3C"/>
    <w:rsid w:val="008548CA"/>
    <w:rsid w:val="00856B9F"/>
    <w:rsid w:val="00856C06"/>
    <w:rsid w:val="008578B1"/>
    <w:rsid w:val="0085790B"/>
    <w:rsid w:val="008579B9"/>
    <w:rsid w:val="00857C95"/>
    <w:rsid w:val="00857E78"/>
    <w:rsid w:val="00860AEF"/>
    <w:rsid w:val="00860B18"/>
    <w:rsid w:val="00860D5E"/>
    <w:rsid w:val="0086122C"/>
    <w:rsid w:val="00861310"/>
    <w:rsid w:val="00861E75"/>
    <w:rsid w:val="00861F53"/>
    <w:rsid w:val="0086289E"/>
    <w:rsid w:val="008629CB"/>
    <w:rsid w:val="0086394E"/>
    <w:rsid w:val="00863F8A"/>
    <w:rsid w:val="00863FE3"/>
    <w:rsid w:val="00864241"/>
    <w:rsid w:val="0086468A"/>
    <w:rsid w:val="008650BE"/>
    <w:rsid w:val="0086633B"/>
    <w:rsid w:val="00866495"/>
    <w:rsid w:val="00866881"/>
    <w:rsid w:val="00866931"/>
    <w:rsid w:val="00867512"/>
    <w:rsid w:val="008678A3"/>
    <w:rsid w:val="00867C13"/>
    <w:rsid w:val="00867C1D"/>
    <w:rsid w:val="0087033C"/>
    <w:rsid w:val="00870B93"/>
    <w:rsid w:val="008715ED"/>
    <w:rsid w:val="008717D8"/>
    <w:rsid w:val="00871E3C"/>
    <w:rsid w:val="00872CC1"/>
    <w:rsid w:val="00872F97"/>
    <w:rsid w:val="00874607"/>
    <w:rsid w:val="00874915"/>
    <w:rsid w:val="00874B89"/>
    <w:rsid w:val="00875403"/>
    <w:rsid w:val="00875434"/>
    <w:rsid w:val="00875C1F"/>
    <w:rsid w:val="00876215"/>
    <w:rsid w:val="0087646C"/>
    <w:rsid w:val="00876815"/>
    <w:rsid w:val="00877932"/>
    <w:rsid w:val="008808C7"/>
    <w:rsid w:val="0088106B"/>
    <w:rsid w:val="0088107D"/>
    <w:rsid w:val="00881E64"/>
    <w:rsid w:val="00882D24"/>
    <w:rsid w:val="00882E39"/>
    <w:rsid w:val="008850EB"/>
    <w:rsid w:val="00885228"/>
    <w:rsid w:val="00886114"/>
    <w:rsid w:val="00886C32"/>
    <w:rsid w:val="00886DF2"/>
    <w:rsid w:val="00886FB9"/>
    <w:rsid w:val="00887057"/>
    <w:rsid w:val="00887080"/>
    <w:rsid w:val="00887C79"/>
    <w:rsid w:val="00887E72"/>
    <w:rsid w:val="0089107B"/>
    <w:rsid w:val="008913CC"/>
    <w:rsid w:val="008914AE"/>
    <w:rsid w:val="008919CF"/>
    <w:rsid w:val="00891F84"/>
    <w:rsid w:val="008928EC"/>
    <w:rsid w:val="00892E5D"/>
    <w:rsid w:val="008935CF"/>
    <w:rsid w:val="0089436B"/>
    <w:rsid w:val="00894436"/>
    <w:rsid w:val="0089494C"/>
    <w:rsid w:val="00894BB1"/>
    <w:rsid w:val="008951D0"/>
    <w:rsid w:val="00895828"/>
    <w:rsid w:val="0089582D"/>
    <w:rsid w:val="008959C6"/>
    <w:rsid w:val="00895E8C"/>
    <w:rsid w:val="0089606D"/>
    <w:rsid w:val="00896129"/>
    <w:rsid w:val="00896316"/>
    <w:rsid w:val="0089774F"/>
    <w:rsid w:val="00897875"/>
    <w:rsid w:val="00897B8F"/>
    <w:rsid w:val="008A00D9"/>
    <w:rsid w:val="008A07D5"/>
    <w:rsid w:val="008A15D3"/>
    <w:rsid w:val="008A1FB7"/>
    <w:rsid w:val="008A229A"/>
    <w:rsid w:val="008A2A23"/>
    <w:rsid w:val="008A2AF5"/>
    <w:rsid w:val="008A2B5A"/>
    <w:rsid w:val="008A3F9D"/>
    <w:rsid w:val="008A4B42"/>
    <w:rsid w:val="008A5474"/>
    <w:rsid w:val="008A5C9A"/>
    <w:rsid w:val="008A6005"/>
    <w:rsid w:val="008A614F"/>
    <w:rsid w:val="008A6A55"/>
    <w:rsid w:val="008A6DF0"/>
    <w:rsid w:val="008A6F6E"/>
    <w:rsid w:val="008A73C4"/>
    <w:rsid w:val="008A7888"/>
    <w:rsid w:val="008A796E"/>
    <w:rsid w:val="008B0862"/>
    <w:rsid w:val="008B088C"/>
    <w:rsid w:val="008B1BF5"/>
    <w:rsid w:val="008B263F"/>
    <w:rsid w:val="008B2686"/>
    <w:rsid w:val="008B3045"/>
    <w:rsid w:val="008B47A6"/>
    <w:rsid w:val="008B672C"/>
    <w:rsid w:val="008C065F"/>
    <w:rsid w:val="008C0743"/>
    <w:rsid w:val="008C0B4C"/>
    <w:rsid w:val="008C0D9F"/>
    <w:rsid w:val="008C11F0"/>
    <w:rsid w:val="008C1DBA"/>
    <w:rsid w:val="008C24E7"/>
    <w:rsid w:val="008C2500"/>
    <w:rsid w:val="008C2CAC"/>
    <w:rsid w:val="008C2E00"/>
    <w:rsid w:val="008C3C57"/>
    <w:rsid w:val="008C3E2A"/>
    <w:rsid w:val="008C45BD"/>
    <w:rsid w:val="008C4B19"/>
    <w:rsid w:val="008C515F"/>
    <w:rsid w:val="008C62D4"/>
    <w:rsid w:val="008C6B89"/>
    <w:rsid w:val="008C6CBF"/>
    <w:rsid w:val="008C7436"/>
    <w:rsid w:val="008D18AA"/>
    <w:rsid w:val="008D1A2A"/>
    <w:rsid w:val="008D1ADE"/>
    <w:rsid w:val="008D35D9"/>
    <w:rsid w:val="008D3B85"/>
    <w:rsid w:val="008D462D"/>
    <w:rsid w:val="008D47E6"/>
    <w:rsid w:val="008D560B"/>
    <w:rsid w:val="008D6084"/>
    <w:rsid w:val="008D64AC"/>
    <w:rsid w:val="008D66CA"/>
    <w:rsid w:val="008D69B1"/>
    <w:rsid w:val="008D7119"/>
    <w:rsid w:val="008D7338"/>
    <w:rsid w:val="008D785E"/>
    <w:rsid w:val="008E0012"/>
    <w:rsid w:val="008E0DF7"/>
    <w:rsid w:val="008E0FAD"/>
    <w:rsid w:val="008E11E4"/>
    <w:rsid w:val="008E1252"/>
    <w:rsid w:val="008E1347"/>
    <w:rsid w:val="008E16E0"/>
    <w:rsid w:val="008E1C15"/>
    <w:rsid w:val="008E1C9A"/>
    <w:rsid w:val="008E28BD"/>
    <w:rsid w:val="008E30C4"/>
    <w:rsid w:val="008E38B4"/>
    <w:rsid w:val="008E3BA4"/>
    <w:rsid w:val="008E44AB"/>
    <w:rsid w:val="008E5179"/>
    <w:rsid w:val="008E57FE"/>
    <w:rsid w:val="008E6226"/>
    <w:rsid w:val="008E6401"/>
    <w:rsid w:val="008E6598"/>
    <w:rsid w:val="008E6CC2"/>
    <w:rsid w:val="008E7214"/>
    <w:rsid w:val="008E7884"/>
    <w:rsid w:val="008E7D6E"/>
    <w:rsid w:val="008F1056"/>
    <w:rsid w:val="008F2E8D"/>
    <w:rsid w:val="008F361D"/>
    <w:rsid w:val="008F387B"/>
    <w:rsid w:val="008F3952"/>
    <w:rsid w:val="008F3DD9"/>
    <w:rsid w:val="008F4814"/>
    <w:rsid w:val="008F4DA6"/>
    <w:rsid w:val="008F538E"/>
    <w:rsid w:val="008F5A20"/>
    <w:rsid w:val="008F5ABA"/>
    <w:rsid w:val="008F71AB"/>
    <w:rsid w:val="008F7905"/>
    <w:rsid w:val="008F7989"/>
    <w:rsid w:val="00901F1D"/>
    <w:rsid w:val="009020B3"/>
    <w:rsid w:val="009028E8"/>
    <w:rsid w:val="00902E5C"/>
    <w:rsid w:val="0090363E"/>
    <w:rsid w:val="009046E5"/>
    <w:rsid w:val="009047C5"/>
    <w:rsid w:val="00910683"/>
    <w:rsid w:val="00910E00"/>
    <w:rsid w:val="009116CE"/>
    <w:rsid w:val="00911714"/>
    <w:rsid w:val="00911D04"/>
    <w:rsid w:val="00911EFF"/>
    <w:rsid w:val="009136D4"/>
    <w:rsid w:val="00914B9A"/>
    <w:rsid w:val="00914C3F"/>
    <w:rsid w:val="00914F33"/>
    <w:rsid w:val="00915FCE"/>
    <w:rsid w:val="00916AFE"/>
    <w:rsid w:val="00916FC8"/>
    <w:rsid w:val="009170D3"/>
    <w:rsid w:val="0091759C"/>
    <w:rsid w:val="00920026"/>
    <w:rsid w:val="009203E2"/>
    <w:rsid w:val="00920F61"/>
    <w:rsid w:val="00921304"/>
    <w:rsid w:val="00921395"/>
    <w:rsid w:val="00921805"/>
    <w:rsid w:val="00921BFC"/>
    <w:rsid w:val="00921E63"/>
    <w:rsid w:val="00923396"/>
    <w:rsid w:val="00923534"/>
    <w:rsid w:val="00923F56"/>
    <w:rsid w:val="00925346"/>
    <w:rsid w:val="00925743"/>
    <w:rsid w:val="0092579F"/>
    <w:rsid w:val="00927E8D"/>
    <w:rsid w:val="00927F23"/>
    <w:rsid w:val="009307CD"/>
    <w:rsid w:val="00931365"/>
    <w:rsid w:val="00931451"/>
    <w:rsid w:val="009314FA"/>
    <w:rsid w:val="0093194F"/>
    <w:rsid w:val="00931BF3"/>
    <w:rsid w:val="00931C55"/>
    <w:rsid w:val="00933333"/>
    <w:rsid w:val="0093349A"/>
    <w:rsid w:val="009338BA"/>
    <w:rsid w:val="00933FCB"/>
    <w:rsid w:val="00934CEC"/>
    <w:rsid w:val="00934E69"/>
    <w:rsid w:val="00935504"/>
    <w:rsid w:val="00935E70"/>
    <w:rsid w:val="0093609A"/>
    <w:rsid w:val="0093644A"/>
    <w:rsid w:val="00937401"/>
    <w:rsid w:val="009375AD"/>
    <w:rsid w:val="009376FB"/>
    <w:rsid w:val="00937D6B"/>
    <w:rsid w:val="00937F58"/>
    <w:rsid w:val="00940477"/>
    <w:rsid w:val="00940876"/>
    <w:rsid w:val="00940A53"/>
    <w:rsid w:val="00940F3C"/>
    <w:rsid w:val="009410E0"/>
    <w:rsid w:val="009413C0"/>
    <w:rsid w:val="009415BB"/>
    <w:rsid w:val="00941FA9"/>
    <w:rsid w:val="009444B4"/>
    <w:rsid w:val="00944644"/>
    <w:rsid w:val="00944C27"/>
    <w:rsid w:val="00946603"/>
    <w:rsid w:val="00946A24"/>
    <w:rsid w:val="009470D4"/>
    <w:rsid w:val="00947337"/>
    <w:rsid w:val="00947E6E"/>
    <w:rsid w:val="00950ABC"/>
    <w:rsid w:val="009512FA"/>
    <w:rsid w:val="009516A9"/>
    <w:rsid w:val="00951E57"/>
    <w:rsid w:val="00952505"/>
    <w:rsid w:val="00953018"/>
    <w:rsid w:val="009533E2"/>
    <w:rsid w:val="00953554"/>
    <w:rsid w:val="0095385A"/>
    <w:rsid w:val="00953F49"/>
    <w:rsid w:val="00955021"/>
    <w:rsid w:val="0095780A"/>
    <w:rsid w:val="009578C3"/>
    <w:rsid w:val="009579E4"/>
    <w:rsid w:val="00957AA4"/>
    <w:rsid w:val="00957ACB"/>
    <w:rsid w:val="00957CC5"/>
    <w:rsid w:val="00957F27"/>
    <w:rsid w:val="00960156"/>
    <w:rsid w:val="00960BDB"/>
    <w:rsid w:val="00960D2E"/>
    <w:rsid w:val="0096105C"/>
    <w:rsid w:val="0096147D"/>
    <w:rsid w:val="00961D53"/>
    <w:rsid w:val="00961E5F"/>
    <w:rsid w:val="009625C6"/>
    <w:rsid w:val="009629B5"/>
    <w:rsid w:val="00962A50"/>
    <w:rsid w:val="0096409A"/>
    <w:rsid w:val="00964138"/>
    <w:rsid w:val="009648D6"/>
    <w:rsid w:val="00964B3F"/>
    <w:rsid w:val="00964C98"/>
    <w:rsid w:val="00965DAF"/>
    <w:rsid w:val="00965DF2"/>
    <w:rsid w:val="009710E5"/>
    <w:rsid w:val="00971441"/>
    <w:rsid w:val="009715D4"/>
    <w:rsid w:val="0097179A"/>
    <w:rsid w:val="009732A4"/>
    <w:rsid w:val="009739A8"/>
    <w:rsid w:val="00973C05"/>
    <w:rsid w:val="0097494E"/>
    <w:rsid w:val="00974999"/>
    <w:rsid w:val="00974B58"/>
    <w:rsid w:val="00975445"/>
    <w:rsid w:val="009761ED"/>
    <w:rsid w:val="0097769A"/>
    <w:rsid w:val="00980206"/>
    <w:rsid w:val="0098022F"/>
    <w:rsid w:val="00980EAB"/>
    <w:rsid w:val="009810DE"/>
    <w:rsid w:val="00981B91"/>
    <w:rsid w:val="00981DFC"/>
    <w:rsid w:val="009822D7"/>
    <w:rsid w:val="009827E6"/>
    <w:rsid w:val="00982F84"/>
    <w:rsid w:val="0098427D"/>
    <w:rsid w:val="00984567"/>
    <w:rsid w:val="00984B16"/>
    <w:rsid w:val="00985102"/>
    <w:rsid w:val="009854BC"/>
    <w:rsid w:val="00985DF5"/>
    <w:rsid w:val="0098606C"/>
    <w:rsid w:val="009865D5"/>
    <w:rsid w:val="00986DF4"/>
    <w:rsid w:val="009876F2"/>
    <w:rsid w:val="00987C77"/>
    <w:rsid w:val="00987FED"/>
    <w:rsid w:val="00990345"/>
    <w:rsid w:val="00990395"/>
    <w:rsid w:val="009903A7"/>
    <w:rsid w:val="0099042D"/>
    <w:rsid w:val="00990701"/>
    <w:rsid w:val="0099119C"/>
    <w:rsid w:val="0099137A"/>
    <w:rsid w:val="0099211C"/>
    <w:rsid w:val="0099349E"/>
    <w:rsid w:val="00993B78"/>
    <w:rsid w:val="00993DBE"/>
    <w:rsid w:val="00994C7D"/>
    <w:rsid w:val="00995119"/>
    <w:rsid w:val="0099531F"/>
    <w:rsid w:val="009953AD"/>
    <w:rsid w:val="0099583D"/>
    <w:rsid w:val="00995B3A"/>
    <w:rsid w:val="00996020"/>
    <w:rsid w:val="00996992"/>
    <w:rsid w:val="00996E1E"/>
    <w:rsid w:val="00997148"/>
    <w:rsid w:val="00997392"/>
    <w:rsid w:val="0099747C"/>
    <w:rsid w:val="0099771C"/>
    <w:rsid w:val="009A01E4"/>
    <w:rsid w:val="009A0917"/>
    <w:rsid w:val="009A0A33"/>
    <w:rsid w:val="009A1351"/>
    <w:rsid w:val="009A2435"/>
    <w:rsid w:val="009A254A"/>
    <w:rsid w:val="009A35DC"/>
    <w:rsid w:val="009A38AB"/>
    <w:rsid w:val="009A39DD"/>
    <w:rsid w:val="009A3D47"/>
    <w:rsid w:val="009A4D63"/>
    <w:rsid w:val="009A5356"/>
    <w:rsid w:val="009A5468"/>
    <w:rsid w:val="009A5D99"/>
    <w:rsid w:val="009A608C"/>
    <w:rsid w:val="009A6FDF"/>
    <w:rsid w:val="009A715F"/>
    <w:rsid w:val="009A76D6"/>
    <w:rsid w:val="009B2374"/>
    <w:rsid w:val="009B2A8C"/>
    <w:rsid w:val="009B2E29"/>
    <w:rsid w:val="009B3163"/>
    <w:rsid w:val="009B422F"/>
    <w:rsid w:val="009B46BC"/>
    <w:rsid w:val="009B4D1A"/>
    <w:rsid w:val="009B4D85"/>
    <w:rsid w:val="009B502F"/>
    <w:rsid w:val="009B558B"/>
    <w:rsid w:val="009B5F29"/>
    <w:rsid w:val="009B6A34"/>
    <w:rsid w:val="009B6D21"/>
    <w:rsid w:val="009B707D"/>
    <w:rsid w:val="009B78ED"/>
    <w:rsid w:val="009C181C"/>
    <w:rsid w:val="009C1A44"/>
    <w:rsid w:val="009C1C7F"/>
    <w:rsid w:val="009C1EC7"/>
    <w:rsid w:val="009C28A2"/>
    <w:rsid w:val="009C3239"/>
    <w:rsid w:val="009C37CE"/>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2FA"/>
    <w:rsid w:val="009C75FC"/>
    <w:rsid w:val="009C78A3"/>
    <w:rsid w:val="009C7E68"/>
    <w:rsid w:val="009D00D7"/>
    <w:rsid w:val="009D0156"/>
    <w:rsid w:val="009D05DA"/>
    <w:rsid w:val="009D07AE"/>
    <w:rsid w:val="009D11F6"/>
    <w:rsid w:val="009D1A14"/>
    <w:rsid w:val="009D1E2A"/>
    <w:rsid w:val="009D1FA0"/>
    <w:rsid w:val="009D2BDF"/>
    <w:rsid w:val="009D3736"/>
    <w:rsid w:val="009D3C84"/>
    <w:rsid w:val="009D4529"/>
    <w:rsid w:val="009D474E"/>
    <w:rsid w:val="009D604F"/>
    <w:rsid w:val="009D61BB"/>
    <w:rsid w:val="009D6410"/>
    <w:rsid w:val="009D68BB"/>
    <w:rsid w:val="009D70C2"/>
    <w:rsid w:val="009D7ADB"/>
    <w:rsid w:val="009D7B33"/>
    <w:rsid w:val="009D7BB6"/>
    <w:rsid w:val="009E06C3"/>
    <w:rsid w:val="009E0703"/>
    <w:rsid w:val="009E1035"/>
    <w:rsid w:val="009E16DA"/>
    <w:rsid w:val="009E1CD4"/>
    <w:rsid w:val="009E2391"/>
    <w:rsid w:val="009E2EF9"/>
    <w:rsid w:val="009E34A5"/>
    <w:rsid w:val="009E4648"/>
    <w:rsid w:val="009E476A"/>
    <w:rsid w:val="009E4E05"/>
    <w:rsid w:val="009E56FF"/>
    <w:rsid w:val="009E5CB1"/>
    <w:rsid w:val="009E5E56"/>
    <w:rsid w:val="009E61EA"/>
    <w:rsid w:val="009E6343"/>
    <w:rsid w:val="009E6990"/>
    <w:rsid w:val="009E6FEE"/>
    <w:rsid w:val="009F00B9"/>
    <w:rsid w:val="009F060F"/>
    <w:rsid w:val="009F0781"/>
    <w:rsid w:val="009F0850"/>
    <w:rsid w:val="009F1BDF"/>
    <w:rsid w:val="009F1EAE"/>
    <w:rsid w:val="009F369D"/>
    <w:rsid w:val="009F36FE"/>
    <w:rsid w:val="009F4990"/>
    <w:rsid w:val="009F4F25"/>
    <w:rsid w:val="009F59C2"/>
    <w:rsid w:val="009F5A5A"/>
    <w:rsid w:val="009F7263"/>
    <w:rsid w:val="009F76EA"/>
    <w:rsid w:val="009F78EB"/>
    <w:rsid w:val="009F7F32"/>
    <w:rsid w:val="009F7FEB"/>
    <w:rsid w:val="00A003D5"/>
    <w:rsid w:val="00A01852"/>
    <w:rsid w:val="00A0188B"/>
    <w:rsid w:val="00A01E73"/>
    <w:rsid w:val="00A023E7"/>
    <w:rsid w:val="00A02B88"/>
    <w:rsid w:val="00A03160"/>
    <w:rsid w:val="00A036AC"/>
    <w:rsid w:val="00A03C54"/>
    <w:rsid w:val="00A03DE5"/>
    <w:rsid w:val="00A041BC"/>
    <w:rsid w:val="00A0447F"/>
    <w:rsid w:val="00A046D2"/>
    <w:rsid w:val="00A04A54"/>
    <w:rsid w:val="00A05B4B"/>
    <w:rsid w:val="00A066C3"/>
    <w:rsid w:val="00A06754"/>
    <w:rsid w:val="00A069E0"/>
    <w:rsid w:val="00A06E4A"/>
    <w:rsid w:val="00A06EE8"/>
    <w:rsid w:val="00A070E9"/>
    <w:rsid w:val="00A078FB"/>
    <w:rsid w:val="00A1036D"/>
    <w:rsid w:val="00A1069F"/>
    <w:rsid w:val="00A10AAD"/>
    <w:rsid w:val="00A10ACA"/>
    <w:rsid w:val="00A10D08"/>
    <w:rsid w:val="00A11E78"/>
    <w:rsid w:val="00A12355"/>
    <w:rsid w:val="00A127D2"/>
    <w:rsid w:val="00A13CF5"/>
    <w:rsid w:val="00A143EC"/>
    <w:rsid w:val="00A149E8"/>
    <w:rsid w:val="00A1500F"/>
    <w:rsid w:val="00A15621"/>
    <w:rsid w:val="00A15670"/>
    <w:rsid w:val="00A157A0"/>
    <w:rsid w:val="00A1585B"/>
    <w:rsid w:val="00A15C19"/>
    <w:rsid w:val="00A15FE9"/>
    <w:rsid w:val="00A16052"/>
    <w:rsid w:val="00A16809"/>
    <w:rsid w:val="00A17769"/>
    <w:rsid w:val="00A17EA2"/>
    <w:rsid w:val="00A20264"/>
    <w:rsid w:val="00A20997"/>
    <w:rsid w:val="00A213DD"/>
    <w:rsid w:val="00A21454"/>
    <w:rsid w:val="00A216CE"/>
    <w:rsid w:val="00A22025"/>
    <w:rsid w:val="00A22498"/>
    <w:rsid w:val="00A22571"/>
    <w:rsid w:val="00A2298D"/>
    <w:rsid w:val="00A24560"/>
    <w:rsid w:val="00A25B0F"/>
    <w:rsid w:val="00A25BBB"/>
    <w:rsid w:val="00A27207"/>
    <w:rsid w:val="00A27FB6"/>
    <w:rsid w:val="00A30121"/>
    <w:rsid w:val="00A30368"/>
    <w:rsid w:val="00A3043A"/>
    <w:rsid w:val="00A30E02"/>
    <w:rsid w:val="00A30F6A"/>
    <w:rsid w:val="00A31C3E"/>
    <w:rsid w:val="00A32D39"/>
    <w:rsid w:val="00A34538"/>
    <w:rsid w:val="00A34677"/>
    <w:rsid w:val="00A3535E"/>
    <w:rsid w:val="00A3540F"/>
    <w:rsid w:val="00A35630"/>
    <w:rsid w:val="00A35914"/>
    <w:rsid w:val="00A36189"/>
    <w:rsid w:val="00A37E73"/>
    <w:rsid w:val="00A37FB6"/>
    <w:rsid w:val="00A409E2"/>
    <w:rsid w:val="00A4104A"/>
    <w:rsid w:val="00A41081"/>
    <w:rsid w:val="00A411CA"/>
    <w:rsid w:val="00A4195B"/>
    <w:rsid w:val="00A42080"/>
    <w:rsid w:val="00A42096"/>
    <w:rsid w:val="00A426F3"/>
    <w:rsid w:val="00A42E8D"/>
    <w:rsid w:val="00A42FDF"/>
    <w:rsid w:val="00A430A9"/>
    <w:rsid w:val="00A431FE"/>
    <w:rsid w:val="00A439E5"/>
    <w:rsid w:val="00A43C00"/>
    <w:rsid w:val="00A4497A"/>
    <w:rsid w:val="00A44BE8"/>
    <w:rsid w:val="00A44C96"/>
    <w:rsid w:val="00A44CDD"/>
    <w:rsid w:val="00A44F54"/>
    <w:rsid w:val="00A45346"/>
    <w:rsid w:val="00A45EC5"/>
    <w:rsid w:val="00A45F9B"/>
    <w:rsid w:val="00A46574"/>
    <w:rsid w:val="00A46973"/>
    <w:rsid w:val="00A475BC"/>
    <w:rsid w:val="00A500B1"/>
    <w:rsid w:val="00A52A53"/>
    <w:rsid w:val="00A52EE5"/>
    <w:rsid w:val="00A53037"/>
    <w:rsid w:val="00A532B9"/>
    <w:rsid w:val="00A5351D"/>
    <w:rsid w:val="00A53E79"/>
    <w:rsid w:val="00A54031"/>
    <w:rsid w:val="00A5426D"/>
    <w:rsid w:val="00A5471D"/>
    <w:rsid w:val="00A548FA"/>
    <w:rsid w:val="00A54FC2"/>
    <w:rsid w:val="00A55122"/>
    <w:rsid w:val="00A55CEA"/>
    <w:rsid w:val="00A56BBF"/>
    <w:rsid w:val="00A56DE7"/>
    <w:rsid w:val="00A56F12"/>
    <w:rsid w:val="00A57EB2"/>
    <w:rsid w:val="00A6009E"/>
    <w:rsid w:val="00A60265"/>
    <w:rsid w:val="00A60B1F"/>
    <w:rsid w:val="00A613E5"/>
    <w:rsid w:val="00A61C60"/>
    <w:rsid w:val="00A62589"/>
    <w:rsid w:val="00A628ED"/>
    <w:rsid w:val="00A62AD0"/>
    <w:rsid w:val="00A62C3A"/>
    <w:rsid w:val="00A6319C"/>
    <w:rsid w:val="00A63812"/>
    <w:rsid w:val="00A63DF7"/>
    <w:rsid w:val="00A6454D"/>
    <w:rsid w:val="00A64F18"/>
    <w:rsid w:val="00A64F2F"/>
    <w:rsid w:val="00A65505"/>
    <w:rsid w:val="00A6611E"/>
    <w:rsid w:val="00A6634D"/>
    <w:rsid w:val="00A668BA"/>
    <w:rsid w:val="00A66FA7"/>
    <w:rsid w:val="00A67E16"/>
    <w:rsid w:val="00A67E2C"/>
    <w:rsid w:val="00A67EB1"/>
    <w:rsid w:val="00A703CC"/>
    <w:rsid w:val="00A70C5C"/>
    <w:rsid w:val="00A710A2"/>
    <w:rsid w:val="00A719D1"/>
    <w:rsid w:val="00A71EA7"/>
    <w:rsid w:val="00A730AD"/>
    <w:rsid w:val="00A73855"/>
    <w:rsid w:val="00A73D64"/>
    <w:rsid w:val="00A74216"/>
    <w:rsid w:val="00A7434D"/>
    <w:rsid w:val="00A744B4"/>
    <w:rsid w:val="00A751E3"/>
    <w:rsid w:val="00A75504"/>
    <w:rsid w:val="00A75FD7"/>
    <w:rsid w:val="00A77168"/>
    <w:rsid w:val="00A7723B"/>
    <w:rsid w:val="00A7793C"/>
    <w:rsid w:val="00A77D21"/>
    <w:rsid w:val="00A77FDE"/>
    <w:rsid w:val="00A80085"/>
    <w:rsid w:val="00A8043B"/>
    <w:rsid w:val="00A80DA0"/>
    <w:rsid w:val="00A81323"/>
    <w:rsid w:val="00A820CB"/>
    <w:rsid w:val="00A82342"/>
    <w:rsid w:val="00A83BEF"/>
    <w:rsid w:val="00A84443"/>
    <w:rsid w:val="00A8487F"/>
    <w:rsid w:val="00A849A3"/>
    <w:rsid w:val="00A84A0E"/>
    <w:rsid w:val="00A86E0B"/>
    <w:rsid w:val="00A874BB"/>
    <w:rsid w:val="00A90F12"/>
    <w:rsid w:val="00A91DAA"/>
    <w:rsid w:val="00A93101"/>
    <w:rsid w:val="00A9413E"/>
    <w:rsid w:val="00A94281"/>
    <w:rsid w:val="00A94293"/>
    <w:rsid w:val="00A9496E"/>
    <w:rsid w:val="00A949F0"/>
    <w:rsid w:val="00A94BDE"/>
    <w:rsid w:val="00A94FCA"/>
    <w:rsid w:val="00A95E4C"/>
    <w:rsid w:val="00A96568"/>
    <w:rsid w:val="00A96C60"/>
    <w:rsid w:val="00A9740B"/>
    <w:rsid w:val="00A9766C"/>
    <w:rsid w:val="00A977F8"/>
    <w:rsid w:val="00A979DB"/>
    <w:rsid w:val="00A97C93"/>
    <w:rsid w:val="00A97E85"/>
    <w:rsid w:val="00AA08E7"/>
    <w:rsid w:val="00AA0A06"/>
    <w:rsid w:val="00AA1351"/>
    <w:rsid w:val="00AA184C"/>
    <w:rsid w:val="00AA1C84"/>
    <w:rsid w:val="00AA20FA"/>
    <w:rsid w:val="00AA3D7B"/>
    <w:rsid w:val="00AA42A0"/>
    <w:rsid w:val="00AA442B"/>
    <w:rsid w:val="00AA46A4"/>
    <w:rsid w:val="00AA568B"/>
    <w:rsid w:val="00AA5779"/>
    <w:rsid w:val="00AA58A1"/>
    <w:rsid w:val="00AA59B5"/>
    <w:rsid w:val="00AA61C7"/>
    <w:rsid w:val="00AA669D"/>
    <w:rsid w:val="00AA66ED"/>
    <w:rsid w:val="00AA6B59"/>
    <w:rsid w:val="00AA6BE1"/>
    <w:rsid w:val="00AA7416"/>
    <w:rsid w:val="00AA7A60"/>
    <w:rsid w:val="00AA7B42"/>
    <w:rsid w:val="00AB041C"/>
    <w:rsid w:val="00AB14E8"/>
    <w:rsid w:val="00AB1B1D"/>
    <w:rsid w:val="00AB2216"/>
    <w:rsid w:val="00AB358D"/>
    <w:rsid w:val="00AB37A1"/>
    <w:rsid w:val="00AB3BAD"/>
    <w:rsid w:val="00AB3CFD"/>
    <w:rsid w:val="00AB4244"/>
    <w:rsid w:val="00AB49BC"/>
    <w:rsid w:val="00AB4C02"/>
    <w:rsid w:val="00AB4DEE"/>
    <w:rsid w:val="00AB4E32"/>
    <w:rsid w:val="00AB5C19"/>
    <w:rsid w:val="00AB724B"/>
    <w:rsid w:val="00AB726C"/>
    <w:rsid w:val="00AB72B4"/>
    <w:rsid w:val="00AC02AA"/>
    <w:rsid w:val="00AC0537"/>
    <w:rsid w:val="00AC0A84"/>
    <w:rsid w:val="00AC1508"/>
    <w:rsid w:val="00AC2A0B"/>
    <w:rsid w:val="00AC2BEE"/>
    <w:rsid w:val="00AC2E53"/>
    <w:rsid w:val="00AC484F"/>
    <w:rsid w:val="00AC4B20"/>
    <w:rsid w:val="00AC56F2"/>
    <w:rsid w:val="00AC71C3"/>
    <w:rsid w:val="00AC7212"/>
    <w:rsid w:val="00AD09F7"/>
    <w:rsid w:val="00AD11E3"/>
    <w:rsid w:val="00AD1EFA"/>
    <w:rsid w:val="00AD2072"/>
    <w:rsid w:val="00AD2DBD"/>
    <w:rsid w:val="00AD2FBF"/>
    <w:rsid w:val="00AD340E"/>
    <w:rsid w:val="00AD3E34"/>
    <w:rsid w:val="00AD455D"/>
    <w:rsid w:val="00AD463C"/>
    <w:rsid w:val="00AD4F60"/>
    <w:rsid w:val="00AD5044"/>
    <w:rsid w:val="00AD5114"/>
    <w:rsid w:val="00AD6236"/>
    <w:rsid w:val="00AD69D5"/>
    <w:rsid w:val="00AD6FD3"/>
    <w:rsid w:val="00AD7619"/>
    <w:rsid w:val="00AD7770"/>
    <w:rsid w:val="00AE1772"/>
    <w:rsid w:val="00AE1990"/>
    <w:rsid w:val="00AE1D23"/>
    <w:rsid w:val="00AE20E5"/>
    <w:rsid w:val="00AE25C0"/>
    <w:rsid w:val="00AE25E8"/>
    <w:rsid w:val="00AE2AD4"/>
    <w:rsid w:val="00AE2CA7"/>
    <w:rsid w:val="00AE2F1D"/>
    <w:rsid w:val="00AE4C81"/>
    <w:rsid w:val="00AE586F"/>
    <w:rsid w:val="00AE6582"/>
    <w:rsid w:val="00AE6DC5"/>
    <w:rsid w:val="00AE6FCE"/>
    <w:rsid w:val="00AE7686"/>
    <w:rsid w:val="00AE799A"/>
    <w:rsid w:val="00AF041E"/>
    <w:rsid w:val="00AF0E81"/>
    <w:rsid w:val="00AF117A"/>
    <w:rsid w:val="00AF16CA"/>
    <w:rsid w:val="00AF186E"/>
    <w:rsid w:val="00AF19DF"/>
    <w:rsid w:val="00AF1D41"/>
    <w:rsid w:val="00AF26CF"/>
    <w:rsid w:val="00AF344D"/>
    <w:rsid w:val="00AF39B3"/>
    <w:rsid w:val="00AF3E1D"/>
    <w:rsid w:val="00AF4402"/>
    <w:rsid w:val="00AF450F"/>
    <w:rsid w:val="00AF4639"/>
    <w:rsid w:val="00AF4E92"/>
    <w:rsid w:val="00AF554B"/>
    <w:rsid w:val="00AF5C9B"/>
    <w:rsid w:val="00AF5CED"/>
    <w:rsid w:val="00AF5D53"/>
    <w:rsid w:val="00AF5E2D"/>
    <w:rsid w:val="00AF644B"/>
    <w:rsid w:val="00AF69EB"/>
    <w:rsid w:val="00AF6CA6"/>
    <w:rsid w:val="00AF6EB6"/>
    <w:rsid w:val="00AF7796"/>
    <w:rsid w:val="00AF7E9B"/>
    <w:rsid w:val="00B00199"/>
    <w:rsid w:val="00B011A7"/>
    <w:rsid w:val="00B011A9"/>
    <w:rsid w:val="00B01BAF"/>
    <w:rsid w:val="00B01C36"/>
    <w:rsid w:val="00B024ED"/>
    <w:rsid w:val="00B026B8"/>
    <w:rsid w:val="00B02EB3"/>
    <w:rsid w:val="00B02FCB"/>
    <w:rsid w:val="00B033F8"/>
    <w:rsid w:val="00B03C1E"/>
    <w:rsid w:val="00B04400"/>
    <w:rsid w:val="00B04835"/>
    <w:rsid w:val="00B05A55"/>
    <w:rsid w:val="00B05DE1"/>
    <w:rsid w:val="00B06595"/>
    <w:rsid w:val="00B10109"/>
    <w:rsid w:val="00B10776"/>
    <w:rsid w:val="00B1085E"/>
    <w:rsid w:val="00B10FD1"/>
    <w:rsid w:val="00B119AE"/>
    <w:rsid w:val="00B1219D"/>
    <w:rsid w:val="00B12469"/>
    <w:rsid w:val="00B12735"/>
    <w:rsid w:val="00B12F44"/>
    <w:rsid w:val="00B13C48"/>
    <w:rsid w:val="00B13E35"/>
    <w:rsid w:val="00B13EC0"/>
    <w:rsid w:val="00B14102"/>
    <w:rsid w:val="00B14D32"/>
    <w:rsid w:val="00B1557C"/>
    <w:rsid w:val="00B155DC"/>
    <w:rsid w:val="00B15766"/>
    <w:rsid w:val="00B15E4A"/>
    <w:rsid w:val="00B1666A"/>
    <w:rsid w:val="00B1686D"/>
    <w:rsid w:val="00B16BF7"/>
    <w:rsid w:val="00B17129"/>
    <w:rsid w:val="00B1741D"/>
    <w:rsid w:val="00B17447"/>
    <w:rsid w:val="00B1771D"/>
    <w:rsid w:val="00B17B91"/>
    <w:rsid w:val="00B20209"/>
    <w:rsid w:val="00B203C9"/>
    <w:rsid w:val="00B2088D"/>
    <w:rsid w:val="00B208FF"/>
    <w:rsid w:val="00B20943"/>
    <w:rsid w:val="00B22E22"/>
    <w:rsid w:val="00B22F5F"/>
    <w:rsid w:val="00B231D9"/>
    <w:rsid w:val="00B23813"/>
    <w:rsid w:val="00B23FD9"/>
    <w:rsid w:val="00B24591"/>
    <w:rsid w:val="00B245D5"/>
    <w:rsid w:val="00B245EF"/>
    <w:rsid w:val="00B24C36"/>
    <w:rsid w:val="00B24F94"/>
    <w:rsid w:val="00B25126"/>
    <w:rsid w:val="00B25A52"/>
    <w:rsid w:val="00B25FC3"/>
    <w:rsid w:val="00B27875"/>
    <w:rsid w:val="00B27BB5"/>
    <w:rsid w:val="00B3008D"/>
    <w:rsid w:val="00B30E11"/>
    <w:rsid w:val="00B30EAE"/>
    <w:rsid w:val="00B30EEB"/>
    <w:rsid w:val="00B31423"/>
    <w:rsid w:val="00B319B1"/>
    <w:rsid w:val="00B323E0"/>
    <w:rsid w:val="00B32DC0"/>
    <w:rsid w:val="00B3346C"/>
    <w:rsid w:val="00B335E1"/>
    <w:rsid w:val="00B335E4"/>
    <w:rsid w:val="00B33C23"/>
    <w:rsid w:val="00B34408"/>
    <w:rsid w:val="00B345B4"/>
    <w:rsid w:val="00B348B1"/>
    <w:rsid w:val="00B34A28"/>
    <w:rsid w:val="00B35046"/>
    <w:rsid w:val="00B35B6A"/>
    <w:rsid w:val="00B35BFD"/>
    <w:rsid w:val="00B35C51"/>
    <w:rsid w:val="00B35DAA"/>
    <w:rsid w:val="00B36D2B"/>
    <w:rsid w:val="00B37657"/>
    <w:rsid w:val="00B37AFD"/>
    <w:rsid w:val="00B37B07"/>
    <w:rsid w:val="00B4046F"/>
    <w:rsid w:val="00B406B3"/>
    <w:rsid w:val="00B40A36"/>
    <w:rsid w:val="00B40DCB"/>
    <w:rsid w:val="00B41D39"/>
    <w:rsid w:val="00B41FD1"/>
    <w:rsid w:val="00B422C0"/>
    <w:rsid w:val="00B426CA"/>
    <w:rsid w:val="00B426E1"/>
    <w:rsid w:val="00B42F6D"/>
    <w:rsid w:val="00B43449"/>
    <w:rsid w:val="00B4387A"/>
    <w:rsid w:val="00B43DA1"/>
    <w:rsid w:val="00B44746"/>
    <w:rsid w:val="00B44854"/>
    <w:rsid w:val="00B44BA5"/>
    <w:rsid w:val="00B458D0"/>
    <w:rsid w:val="00B4661B"/>
    <w:rsid w:val="00B46915"/>
    <w:rsid w:val="00B4792C"/>
    <w:rsid w:val="00B50CAE"/>
    <w:rsid w:val="00B50E01"/>
    <w:rsid w:val="00B512AD"/>
    <w:rsid w:val="00B5196C"/>
    <w:rsid w:val="00B525CB"/>
    <w:rsid w:val="00B52697"/>
    <w:rsid w:val="00B52FA2"/>
    <w:rsid w:val="00B54D8F"/>
    <w:rsid w:val="00B55857"/>
    <w:rsid w:val="00B55C69"/>
    <w:rsid w:val="00B56851"/>
    <w:rsid w:val="00B569D4"/>
    <w:rsid w:val="00B56BA8"/>
    <w:rsid w:val="00B56D6E"/>
    <w:rsid w:val="00B572F7"/>
    <w:rsid w:val="00B57B9D"/>
    <w:rsid w:val="00B57DAF"/>
    <w:rsid w:val="00B60094"/>
    <w:rsid w:val="00B6022C"/>
    <w:rsid w:val="00B614F8"/>
    <w:rsid w:val="00B61994"/>
    <w:rsid w:val="00B61FD4"/>
    <w:rsid w:val="00B62880"/>
    <w:rsid w:val="00B63872"/>
    <w:rsid w:val="00B63CB2"/>
    <w:rsid w:val="00B63D3B"/>
    <w:rsid w:val="00B64246"/>
    <w:rsid w:val="00B64EDB"/>
    <w:rsid w:val="00B65938"/>
    <w:rsid w:val="00B65C8A"/>
    <w:rsid w:val="00B65CE2"/>
    <w:rsid w:val="00B660AD"/>
    <w:rsid w:val="00B66109"/>
    <w:rsid w:val="00B66349"/>
    <w:rsid w:val="00B66CB4"/>
    <w:rsid w:val="00B67903"/>
    <w:rsid w:val="00B67FBF"/>
    <w:rsid w:val="00B70832"/>
    <w:rsid w:val="00B71376"/>
    <w:rsid w:val="00B71617"/>
    <w:rsid w:val="00B716D7"/>
    <w:rsid w:val="00B72110"/>
    <w:rsid w:val="00B72B91"/>
    <w:rsid w:val="00B73019"/>
    <w:rsid w:val="00B7315F"/>
    <w:rsid w:val="00B7323A"/>
    <w:rsid w:val="00B7353B"/>
    <w:rsid w:val="00B737FB"/>
    <w:rsid w:val="00B73E5D"/>
    <w:rsid w:val="00B73EF3"/>
    <w:rsid w:val="00B7423D"/>
    <w:rsid w:val="00B74D05"/>
    <w:rsid w:val="00B75893"/>
    <w:rsid w:val="00B766DC"/>
    <w:rsid w:val="00B76F9D"/>
    <w:rsid w:val="00B777FA"/>
    <w:rsid w:val="00B77850"/>
    <w:rsid w:val="00B7796B"/>
    <w:rsid w:val="00B80C72"/>
    <w:rsid w:val="00B81964"/>
    <w:rsid w:val="00B81E6F"/>
    <w:rsid w:val="00B82123"/>
    <w:rsid w:val="00B8225B"/>
    <w:rsid w:val="00B82BB5"/>
    <w:rsid w:val="00B83182"/>
    <w:rsid w:val="00B839F0"/>
    <w:rsid w:val="00B851E4"/>
    <w:rsid w:val="00B854CE"/>
    <w:rsid w:val="00B85681"/>
    <w:rsid w:val="00B857EB"/>
    <w:rsid w:val="00B86162"/>
    <w:rsid w:val="00B86877"/>
    <w:rsid w:val="00B8695D"/>
    <w:rsid w:val="00B86A0C"/>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D2F"/>
    <w:rsid w:val="00B95E3D"/>
    <w:rsid w:val="00B9691F"/>
    <w:rsid w:val="00B96EEC"/>
    <w:rsid w:val="00B97392"/>
    <w:rsid w:val="00B976C7"/>
    <w:rsid w:val="00BA0B40"/>
    <w:rsid w:val="00BA0C54"/>
    <w:rsid w:val="00BA1382"/>
    <w:rsid w:val="00BA15E3"/>
    <w:rsid w:val="00BA1A8C"/>
    <w:rsid w:val="00BA20D8"/>
    <w:rsid w:val="00BA22FC"/>
    <w:rsid w:val="00BA2C2A"/>
    <w:rsid w:val="00BA2F30"/>
    <w:rsid w:val="00BA3982"/>
    <w:rsid w:val="00BA4771"/>
    <w:rsid w:val="00BA5027"/>
    <w:rsid w:val="00BA59F2"/>
    <w:rsid w:val="00BA665B"/>
    <w:rsid w:val="00BA686B"/>
    <w:rsid w:val="00BA6FE8"/>
    <w:rsid w:val="00BA732D"/>
    <w:rsid w:val="00BA7370"/>
    <w:rsid w:val="00BA778B"/>
    <w:rsid w:val="00BB04A0"/>
    <w:rsid w:val="00BB0888"/>
    <w:rsid w:val="00BB0DF1"/>
    <w:rsid w:val="00BB0E9B"/>
    <w:rsid w:val="00BB1251"/>
    <w:rsid w:val="00BB1F02"/>
    <w:rsid w:val="00BB2268"/>
    <w:rsid w:val="00BB2841"/>
    <w:rsid w:val="00BB2A74"/>
    <w:rsid w:val="00BB300F"/>
    <w:rsid w:val="00BB32C9"/>
    <w:rsid w:val="00BB35C5"/>
    <w:rsid w:val="00BB4293"/>
    <w:rsid w:val="00BB4C8E"/>
    <w:rsid w:val="00BB57ED"/>
    <w:rsid w:val="00BB65C3"/>
    <w:rsid w:val="00BB662E"/>
    <w:rsid w:val="00BB6721"/>
    <w:rsid w:val="00BB67A9"/>
    <w:rsid w:val="00BB68DA"/>
    <w:rsid w:val="00BB6C01"/>
    <w:rsid w:val="00BB748C"/>
    <w:rsid w:val="00BB7942"/>
    <w:rsid w:val="00BB7CD1"/>
    <w:rsid w:val="00BC0F33"/>
    <w:rsid w:val="00BC14A7"/>
    <w:rsid w:val="00BC17CC"/>
    <w:rsid w:val="00BC2898"/>
    <w:rsid w:val="00BC2928"/>
    <w:rsid w:val="00BC29BD"/>
    <w:rsid w:val="00BC2BB1"/>
    <w:rsid w:val="00BC34A3"/>
    <w:rsid w:val="00BC3FF9"/>
    <w:rsid w:val="00BC4112"/>
    <w:rsid w:val="00BC4834"/>
    <w:rsid w:val="00BC4A97"/>
    <w:rsid w:val="00BC4E15"/>
    <w:rsid w:val="00BC520E"/>
    <w:rsid w:val="00BC5A25"/>
    <w:rsid w:val="00BC5FDD"/>
    <w:rsid w:val="00BC68B4"/>
    <w:rsid w:val="00BD0140"/>
    <w:rsid w:val="00BD02CC"/>
    <w:rsid w:val="00BD0611"/>
    <w:rsid w:val="00BD088E"/>
    <w:rsid w:val="00BD0F18"/>
    <w:rsid w:val="00BD115F"/>
    <w:rsid w:val="00BD2063"/>
    <w:rsid w:val="00BD33D9"/>
    <w:rsid w:val="00BD38C5"/>
    <w:rsid w:val="00BD3DEA"/>
    <w:rsid w:val="00BD3E97"/>
    <w:rsid w:val="00BD40E4"/>
    <w:rsid w:val="00BD48E5"/>
    <w:rsid w:val="00BD52FE"/>
    <w:rsid w:val="00BD59CA"/>
    <w:rsid w:val="00BD62CF"/>
    <w:rsid w:val="00BD654F"/>
    <w:rsid w:val="00BD67B2"/>
    <w:rsid w:val="00BD68E2"/>
    <w:rsid w:val="00BD76E5"/>
    <w:rsid w:val="00BD78FE"/>
    <w:rsid w:val="00BD7C55"/>
    <w:rsid w:val="00BD7D10"/>
    <w:rsid w:val="00BE0149"/>
    <w:rsid w:val="00BE0767"/>
    <w:rsid w:val="00BE12D7"/>
    <w:rsid w:val="00BE1372"/>
    <w:rsid w:val="00BE1775"/>
    <w:rsid w:val="00BE18DA"/>
    <w:rsid w:val="00BE26C0"/>
    <w:rsid w:val="00BE3442"/>
    <w:rsid w:val="00BE37CD"/>
    <w:rsid w:val="00BE42D6"/>
    <w:rsid w:val="00BE47B2"/>
    <w:rsid w:val="00BE48C7"/>
    <w:rsid w:val="00BE4C4F"/>
    <w:rsid w:val="00BE4F66"/>
    <w:rsid w:val="00BE5238"/>
    <w:rsid w:val="00BE6074"/>
    <w:rsid w:val="00BE6938"/>
    <w:rsid w:val="00BE7257"/>
    <w:rsid w:val="00BF020D"/>
    <w:rsid w:val="00BF0609"/>
    <w:rsid w:val="00BF0E64"/>
    <w:rsid w:val="00BF0EE8"/>
    <w:rsid w:val="00BF1DD2"/>
    <w:rsid w:val="00BF22BF"/>
    <w:rsid w:val="00BF23A3"/>
    <w:rsid w:val="00BF2A7E"/>
    <w:rsid w:val="00BF3331"/>
    <w:rsid w:val="00BF3A45"/>
    <w:rsid w:val="00BF436F"/>
    <w:rsid w:val="00BF4484"/>
    <w:rsid w:val="00BF5C05"/>
    <w:rsid w:val="00BF6FC6"/>
    <w:rsid w:val="00BF7C52"/>
    <w:rsid w:val="00BF7D44"/>
    <w:rsid w:val="00BF7F99"/>
    <w:rsid w:val="00C00713"/>
    <w:rsid w:val="00C009A0"/>
    <w:rsid w:val="00C01F74"/>
    <w:rsid w:val="00C02558"/>
    <w:rsid w:val="00C0285F"/>
    <w:rsid w:val="00C02A1D"/>
    <w:rsid w:val="00C02F35"/>
    <w:rsid w:val="00C03305"/>
    <w:rsid w:val="00C03515"/>
    <w:rsid w:val="00C03738"/>
    <w:rsid w:val="00C037A6"/>
    <w:rsid w:val="00C039F8"/>
    <w:rsid w:val="00C043F5"/>
    <w:rsid w:val="00C044E3"/>
    <w:rsid w:val="00C04607"/>
    <w:rsid w:val="00C04BDB"/>
    <w:rsid w:val="00C052C6"/>
    <w:rsid w:val="00C05A61"/>
    <w:rsid w:val="00C05AD5"/>
    <w:rsid w:val="00C05FEE"/>
    <w:rsid w:val="00C06CCF"/>
    <w:rsid w:val="00C0794D"/>
    <w:rsid w:val="00C10B33"/>
    <w:rsid w:val="00C10E78"/>
    <w:rsid w:val="00C1159D"/>
    <w:rsid w:val="00C1233E"/>
    <w:rsid w:val="00C123F6"/>
    <w:rsid w:val="00C12FB3"/>
    <w:rsid w:val="00C138BC"/>
    <w:rsid w:val="00C13D85"/>
    <w:rsid w:val="00C14639"/>
    <w:rsid w:val="00C14E82"/>
    <w:rsid w:val="00C14FF6"/>
    <w:rsid w:val="00C15A85"/>
    <w:rsid w:val="00C1637C"/>
    <w:rsid w:val="00C1641B"/>
    <w:rsid w:val="00C165FC"/>
    <w:rsid w:val="00C176D5"/>
    <w:rsid w:val="00C17D24"/>
    <w:rsid w:val="00C2082C"/>
    <w:rsid w:val="00C20CC6"/>
    <w:rsid w:val="00C20E1E"/>
    <w:rsid w:val="00C20EB0"/>
    <w:rsid w:val="00C21004"/>
    <w:rsid w:val="00C21005"/>
    <w:rsid w:val="00C2136E"/>
    <w:rsid w:val="00C220B6"/>
    <w:rsid w:val="00C22D7C"/>
    <w:rsid w:val="00C22DDE"/>
    <w:rsid w:val="00C2338B"/>
    <w:rsid w:val="00C233CE"/>
    <w:rsid w:val="00C237DD"/>
    <w:rsid w:val="00C238F4"/>
    <w:rsid w:val="00C23A99"/>
    <w:rsid w:val="00C23FBF"/>
    <w:rsid w:val="00C245EE"/>
    <w:rsid w:val="00C24AE1"/>
    <w:rsid w:val="00C24B8D"/>
    <w:rsid w:val="00C24BD7"/>
    <w:rsid w:val="00C25813"/>
    <w:rsid w:val="00C26D76"/>
    <w:rsid w:val="00C27143"/>
    <w:rsid w:val="00C272CE"/>
    <w:rsid w:val="00C27490"/>
    <w:rsid w:val="00C27712"/>
    <w:rsid w:val="00C27D37"/>
    <w:rsid w:val="00C309E8"/>
    <w:rsid w:val="00C32017"/>
    <w:rsid w:val="00C32571"/>
    <w:rsid w:val="00C325CD"/>
    <w:rsid w:val="00C3322E"/>
    <w:rsid w:val="00C337F5"/>
    <w:rsid w:val="00C33B90"/>
    <w:rsid w:val="00C34161"/>
    <w:rsid w:val="00C34B5F"/>
    <w:rsid w:val="00C358D4"/>
    <w:rsid w:val="00C36462"/>
    <w:rsid w:val="00C365C6"/>
    <w:rsid w:val="00C366F4"/>
    <w:rsid w:val="00C36785"/>
    <w:rsid w:val="00C3711C"/>
    <w:rsid w:val="00C37256"/>
    <w:rsid w:val="00C37A7B"/>
    <w:rsid w:val="00C37FFE"/>
    <w:rsid w:val="00C40B50"/>
    <w:rsid w:val="00C419E3"/>
    <w:rsid w:val="00C419F4"/>
    <w:rsid w:val="00C41E6A"/>
    <w:rsid w:val="00C42247"/>
    <w:rsid w:val="00C439BE"/>
    <w:rsid w:val="00C44622"/>
    <w:rsid w:val="00C4494B"/>
    <w:rsid w:val="00C4539B"/>
    <w:rsid w:val="00C45466"/>
    <w:rsid w:val="00C455C1"/>
    <w:rsid w:val="00C4581D"/>
    <w:rsid w:val="00C47472"/>
    <w:rsid w:val="00C500F0"/>
    <w:rsid w:val="00C504A7"/>
    <w:rsid w:val="00C506C9"/>
    <w:rsid w:val="00C50A16"/>
    <w:rsid w:val="00C50AFD"/>
    <w:rsid w:val="00C51C9A"/>
    <w:rsid w:val="00C52C68"/>
    <w:rsid w:val="00C52D98"/>
    <w:rsid w:val="00C52DA1"/>
    <w:rsid w:val="00C533F2"/>
    <w:rsid w:val="00C53D24"/>
    <w:rsid w:val="00C54640"/>
    <w:rsid w:val="00C547A6"/>
    <w:rsid w:val="00C54A3A"/>
    <w:rsid w:val="00C55B52"/>
    <w:rsid w:val="00C55C32"/>
    <w:rsid w:val="00C56976"/>
    <w:rsid w:val="00C56A67"/>
    <w:rsid w:val="00C56CC2"/>
    <w:rsid w:val="00C57498"/>
    <w:rsid w:val="00C5763C"/>
    <w:rsid w:val="00C5780C"/>
    <w:rsid w:val="00C5796B"/>
    <w:rsid w:val="00C612C4"/>
    <w:rsid w:val="00C619A1"/>
    <w:rsid w:val="00C62370"/>
    <w:rsid w:val="00C62BBB"/>
    <w:rsid w:val="00C6305F"/>
    <w:rsid w:val="00C6325B"/>
    <w:rsid w:val="00C63E99"/>
    <w:rsid w:val="00C649B8"/>
    <w:rsid w:val="00C64A64"/>
    <w:rsid w:val="00C65151"/>
    <w:rsid w:val="00C657F4"/>
    <w:rsid w:val="00C6598D"/>
    <w:rsid w:val="00C660FE"/>
    <w:rsid w:val="00C66119"/>
    <w:rsid w:val="00C66292"/>
    <w:rsid w:val="00C66D0A"/>
    <w:rsid w:val="00C672A3"/>
    <w:rsid w:val="00C672F1"/>
    <w:rsid w:val="00C673D0"/>
    <w:rsid w:val="00C6742E"/>
    <w:rsid w:val="00C67B0B"/>
    <w:rsid w:val="00C70012"/>
    <w:rsid w:val="00C708AA"/>
    <w:rsid w:val="00C71E2A"/>
    <w:rsid w:val="00C733BA"/>
    <w:rsid w:val="00C7595C"/>
    <w:rsid w:val="00C760DC"/>
    <w:rsid w:val="00C8082B"/>
    <w:rsid w:val="00C81A88"/>
    <w:rsid w:val="00C81AE5"/>
    <w:rsid w:val="00C81D46"/>
    <w:rsid w:val="00C82298"/>
    <w:rsid w:val="00C833B4"/>
    <w:rsid w:val="00C84284"/>
    <w:rsid w:val="00C84E33"/>
    <w:rsid w:val="00C85D99"/>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2DD4"/>
    <w:rsid w:val="00C93765"/>
    <w:rsid w:val="00C93877"/>
    <w:rsid w:val="00C93D8C"/>
    <w:rsid w:val="00C93E07"/>
    <w:rsid w:val="00C946CC"/>
    <w:rsid w:val="00C94D3B"/>
    <w:rsid w:val="00C959BD"/>
    <w:rsid w:val="00C95DFE"/>
    <w:rsid w:val="00C95F44"/>
    <w:rsid w:val="00C96D1B"/>
    <w:rsid w:val="00C97106"/>
    <w:rsid w:val="00C978D4"/>
    <w:rsid w:val="00CA0031"/>
    <w:rsid w:val="00CA0413"/>
    <w:rsid w:val="00CA043A"/>
    <w:rsid w:val="00CA0E51"/>
    <w:rsid w:val="00CA1691"/>
    <w:rsid w:val="00CA2738"/>
    <w:rsid w:val="00CA2D2E"/>
    <w:rsid w:val="00CA41E7"/>
    <w:rsid w:val="00CA4A99"/>
    <w:rsid w:val="00CA5520"/>
    <w:rsid w:val="00CA5812"/>
    <w:rsid w:val="00CA5BD4"/>
    <w:rsid w:val="00CA5C14"/>
    <w:rsid w:val="00CA7500"/>
    <w:rsid w:val="00CA76FC"/>
    <w:rsid w:val="00CA7E7B"/>
    <w:rsid w:val="00CB0236"/>
    <w:rsid w:val="00CB0DC1"/>
    <w:rsid w:val="00CB1969"/>
    <w:rsid w:val="00CB19E3"/>
    <w:rsid w:val="00CB2C3A"/>
    <w:rsid w:val="00CB2D38"/>
    <w:rsid w:val="00CB4137"/>
    <w:rsid w:val="00CB4A29"/>
    <w:rsid w:val="00CB52D0"/>
    <w:rsid w:val="00CB5578"/>
    <w:rsid w:val="00CB5671"/>
    <w:rsid w:val="00CB591C"/>
    <w:rsid w:val="00CB5943"/>
    <w:rsid w:val="00CB61B3"/>
    <w:rsid w:val="00CB6F83"/>
    <w:rsid w:val="00CB72AE"/>
    <w:rsid w:val="00CC00CD"/>
    <w:rsid w:val="00CC0579"/>
    <w:rsid w:val="00CC0AF3"/>
    <w:rsid w:val="00CC0BC6"/>
    <w:rsid w:val="00CC0E68"/>
    <w:rsid w:val="00CC1780"/>
    <w:rsid w:val="00CC194E"/>
    <w:rsid w:val="00CC1ED2"/>
    <w:rsid w:val="00CC21AC"/>
    <w:rsid w:val="00CC232E"/>
    <w:rsid w:val="00CC2514"/>
    <w:rsid w:val="00CC2B1A"/>
    <w:rsid w:val="00CC2D34"/>
    <w:rsid w:val="00CC2F69"/>
    <w:rsid w:val="00CC315F"/>
    <w:rsid w:val="00CC3D38"/>
    <w:rsid w:val="00CC40C3"/>
    <w:rsid w:val="00CC4E5D"/>
    <w:rsid w:val="00CC50AE"/>
    <w:rsid w:val="00CC5FFE"/>
    <w:rsid w:val="00CC61B7"/>
    <w:rsid w:val="00CC61CA"/>
    <w:rsid w:val="00CC64DE"/>
    <w:rsid w:val="00CC69EC"/>
    <w:rsid w:val="00CC6DF1"/>
    <w:rsid w:val="00CC71D3"/>
    <w:rsid w:val="00CC743D"/>
    <w:rsid w:val="00CC7A62"/>
    <w:rsid w:val="00CD050A"/>
    <w:rsid w:val="00CD1017"/>
    <w:rsid w:val="00CD205D"/>
    <w:rsid w:val="00CD2A22"/>
    <w:rsid w:val="00CD2B50"/>
    <w:rsid w:val="00CD2FD9"/>
    <w:rsid w:val="00CD3172"/>
    <w:rsid w:val="00CD4357"/>
    <w:rsid w:val="00CD43B3"/>
    <w:rsid w:val="00CD4506"/>
    <w:rsid w:val="00CD520B"/>
    <w:rsid w:val="00CD592E"/>
    <w:rsid w:val="00CD5982"/>
    <w:rsid w:val="00CD5A1A"/>
    <w:rsid w:val="00CD7EFA"/>
    <w:rsid w:val="00CE020E"/>
    <w:rsid w:val="00CE0566"/>
    <w:rsid w:val="00CE1CD4"/>
    <w:rsid w:val="00CE207C"/>
    <w:rsid w:val="00CE2761"/>
    <w:rsid w:val="00CE28FC"/>
    <w:rsid w:val="00CE314E"/>
    <w:rsid w:val="00CE3D5C"/>
    <w:rsid w:val="00CE3E09"/>
    <w:rsid w:val="00CE3E14"/>
    <w:rsid w:val="00CE44C7"/>
    <w:rsid w:val="00CE53CC"/>
    <w:rsid w:val="00CE559D"/>
    <w:rsid w:val="00CE65A7"/>
    <w:rsid w:val="00CE68FE"/>
    <w:rsid w:val="00CE69CC"/>
    <w:rsid w:val="00CE6DAF"/>
    <w:rsid w:val="00CE6EC4"/>
    <w:rsid w:val="00CE7F26"/>
    <w:rsid w:val="00CF0A8D"/>
    <w:rsid w:val="00CF1226"/>
    <w:rsid w:val="00CF1ABB"/>
    <w:rsid w:val="00CF1E1D"/>
    <w:rsid w:val="00CF23A0"/>
    <w:rsid w:val="00CF24FE"/>
    <w:rsid w:val="00CF287F"/>
    <w:rsid w:val="00CF35D0"/>
    <w:rsid w:val="00CF3B57"/>
    <w:rsid w:val="00CF3DD5"/>
    <w:rsid w:val="00CF481B"/>
    <w:rsid w:val="00CF4AF7"/>
    <w:rsid w:val="00CF4D20"/>
    <w:rsid w:val="00CF73F8"/>
    <w:rsid w:val="00CF7928"/>
    <w:rsid w:val="00CF7CA2"/>
    <w:rsid w:val="00D00684"/>
    <w:rsid w:val="00D00911"/>
    <w:rsid w:val="00D00A8E"/>
    <w:rsid w:val="00D00DE0"/>
    <w:rsid w:val="00D00F79"/>
    <w:rsid w:val="00D012BF"/>
    <w:rsid w:val="00D01760"/>
    <w:rsid w:val="00D030BD"/>
    <w:rsid w:val="00D0368E"/>
    <w:rsid w:val="00D0393E"/>
    <w:rsid w:val="00D03AC3"/>
    <w:rsid w:val="00D03D2D"/>
    <w:rsid w:val="00D03E7B"/>
    <w:rsid w:val="00D0401A"/>
    <w:rsid w:val="00D0469C"/>
    <w:rsid w:val="00D046C1"/>
    <w:rsid w:val="00D047E0"/>
    <w:rsid w:val="00D04B9F"/>
    <w:rsid w:val="00D04E8D"/>
    <w:rsid w:val="00D04FFB"/>
    <w:rsid w:val="00D055FE"/>
    <w:rsid w:val="00D058E9"/>
    <w:rsid w:val="00D0612A"/>
    <w:rsid w:val="00D06E6B"/>
    <w:rsid w:val="00D07315"/>
    <w:rsid w:val="00D1060D"/>
    <w:rsid w:val="00D10E7C"/>
    <w:rsid w:val="00D11182"/>
    <w:rsid w:val="00D1137B"/>
    <w:rsid w:val="00D11807"/>
    <w:rsid w:val="00D11DB3"/>
    <w:rsid w:val="00D12D82"/>
    <w:rsid w:val="00D12F77"/>
    <w:rsid w:val="00D1306E"/>
    <w:rsid w:val="00D134CD"/>
    <w:rsid w:val="00D14B5F"/>
    <w:rsid w:val="00D14E13"/>
    <w:rsid w:val="00D14F23"/>
    <w:rsid w:val="00D160F6"/>
    <w:rsid w:val="00D16740"/>
    <w:rsid w:val="00D16A8B"/>
    <w:rsid w:val="00D16E39"/>
    <w:rsid w:val="00D172A4"/>
    <w:rsid w:val="00D17951"/>
    <w:rsid w:val="00D17AD8"/>
    <w:rsid w:val="00D2104A"/>
    <w:rsid w:val="00D21BB5"/>
    <w:rsid w:val="00D21FFC"/>
    <w:rsid w:val="00D223B6"/>
    <w:rsid w:val="00D223E8"/>
    <w:rsid w:val="00D224E1"/>
    <w:rsid w:val="00D22DC8"/>
    <w:rsid w:val="00D2477B"/>
    <w:rsid w:val="00D2522A"/>
    <w:rsid w:val="00D2531C"/>
    <w:rsid w:val="00D2553E"/>
    <w:rsid w:val="00D25CFA"/>
    <w:rsid w:val="00D2742F"/>
    <w:rsid w:val="00D2754F"/>
    <w:rsid w:val="00D277C5"/>
    <w:rsid w:val="00D279D9"/>
    <w:rsid w:val="00D312DC"/>
    <w:rsid w:val="00D31B84"/>
    <w:rsid w:val="00D31C6A"/>
    <w:rsid w:val="00D31EDF"/>
    <w:rsid w:val="00D31F0A"/>
    <w:rsid w:val="00D31FF9"/>
    <w:rsid w:val="00D32149"/>
    <w:rsid w:val="00D32256"/>
    <w:rsid w:val="00D32A27"/>
    <w:rsid w:val="00D32ABC"/>
    <w:rsid w:val="00D33FA4"/>
    <w:rsid w:val="00D34B25"/>
    <w:rsid w:val="00D34F4E"/>
    <w:rsid w:val="00D357F3"/>
    <w:rsid w:val="00D35C0E"/>
    <w:rsid w:val="00D373A8"/>
    <w:rsid w:val="00D379A5"/>
    <w:rsid w:val="00D401BE"/>
    <w:rsid w:val="00D4043A"/>
    <w:rsid w:val="00D40DB0"/>
    <w:rsid w:val="00D41093"/>
    <w:rsid w:val="00D410DC"/>
    <w:rsid w:val="00D416D5"/>
    <w:rsid w:val="00D41858"/>
    <w:rsid w:val="00D422DB"/>
    <w:rsid w:val="00D42303"/>
    <w:rsid w:val="00D42314"/>
    <w:rsid w:val="00D42AC2"/>
    <w:rsid w:val="00D44498"/>
    <w:rsid w:val="00D4498E"/>
    <w:rsid w:val="00D4515F"/>
    <w:rsid w:val="00D451E8"/>
    <w:rsid w:val="00D46185"/>
    <w:rsid w:val="00D466C9"/>
    <w:rsid w:val="00D47275"/>
    <w:rsid w:val="00D50689"/>
    <w:rsid w:val="00D51064"/>
    <w:rsid w:val="00D517F6"/>
    <w:rsid w:val="00D51E15"/>
    <w:rsid w:val="00D5210F"/>
    <w:rsid w:val="00D52B7E"/>
    <w:rsid w:val="00D52E2F"/>
    <w:rsid w:val="00D52F59"/>
    <w:rsid w:val="00D53445"/>
    <w:rsid w:val="00D53DD0"/>
    <w:rsid w:val="00D53E3E"/>
    <w:rsid w:val="00D54620"/>
    <w:rsid w:val="00D54FEE"/>
    <w:rsid w:val="00D55904"/>
    <w:rsid w:val="00D5616F"/>
    <w:rsid w:val="00D57940"/>
    <w:rsid w:val="00D60327"/>
    <w:rsid w:val="00D61384"/>
    <w:rsid w:val="00D61526"/>
    <w:rsid w:val="00D61F81"/>
    <w:rsid w:val="00D6276C"/>
    <w:rsid w:val="00D62BE6"/>
    <w:rsid w:val="00D63766"/>
    <w:rsid w:val="00D63912"/>
    <w:rsid w:val="00D63923"/>
    <w:rsid w:val="00D6451B"/>
    <w:rsid w:val="00D64B57"/>
    <w:rsid w:val="00D651A1"/>
    <w:rsid w:val="00D65DEA"/>
    <w:rsid w:val="00D66579"/>
    <w:rsid w:val="00D676D3"/>
    <w:rsid w:val="00D67B06"/>
    <w:rsid w:val="00D67BC7"/>
    <w:rsid w:val="00D67DAF"/>
    <w:rsid w:val="00D701F1"/>
    <w:rsid w:val="00D705D3"/>
    <w:rsid w:val="00D70E00"/>
    <w:rsid w:val="00D70F7C"/>
    <w:rsid w:val="00D715AC"/>
    <w:rsid w:val="00D71851"/>
    <w:rsid w:val="00D718CF"/>
    <w:rsid w:val="00D71A81"/>
    <w:rsid w:val="00D71ACF"/>
    <w:rsid w:val="00D728F5"/>
    <w:rsid w:val="00D72E9D"/>
    <w:rsid w:val="00D73249"/>
    <w:rsid w:val="00D73419"/>
    <w:rsid w:val="00D73CA9"/>
    <w:rsid w:val="00D751B7"/>
    <w:rsid w:val="00D7524B"/>
    <w:rsid w:val="00D75396"/>
    <w:rsid w:val="00D759C0"/>
    <w:rsid w:val="00D75E99"/>
    <w:rsid w:val="00D765CE"/>
    <w:rsid w:val="00D766C7"/>
    <w:rsid w:val="00D76901"/>
    <w:rsid w:val="00D7692B"/>
    <w:rsid w:val="00D7734F"/>
    <w:rsid w:val="00D8044C"/>
    <w:rsid w:val="00D805D6"/>
    <w:rsid w:val="00D8075E"/>
    <w:rsid w:val="00D80860"/>
    <w:rsid w:val="00D80D4C"/>
    <w:rsid w:val="00D8184D"/>
    <w:rsid w:val="00D81A7B"/>
    <w:rsid w:val="00D8223C"/>
    <w:rsid w:val="00D82B57"/>
    <w:rsid w:val="00D82CE5"/>
    <w:rsid w:val="00D8318E"/>
    <w:rsid w:val="00D831E3"/>
    <w:rsid w:val="00D8342C"/>
    <w:rsid w:val="00D85494"/>
    <w:rsid w:val="00D8582C"/>
    <w:rsid w:val="00D858B1"/>
    <w:rsid w:val="00D85D61"/>
    <w:rsid w:val="00D8616D"/>
    <w:rsid w:val="00D86363"/>
    <w:rsid w:val="00D866CA"/>
    <w:rsid w:val="00D8711B"/>
    <w:rsid w:val="00D87384"/>
    <w:rsid w:val="00D87AE8"/>
    <w:rsid w:val="00D9052A"/>
    <w:rsid w:val="00D90683"/>
    <w:rsid w:val="00D90B2A"/>
    <w:rsid w:val="00D91391"/>
    <w:rsid w:val="00D91483"/>
    <w:rsid w:val="00D915C8"/>
    <w:rsid w:val="00D9310B"/>
    <w:rsid w:val="00D931F3"/>
    <w:rsid w:val="00D93726"/>
    <w:rsid w:val="00D93F3E"/>
    <w:rsid w:val="00D9405B"/>
    <w:rsid w:val="00D94942"/>
    <w:rsid w:val="00D95145"/>
    <w:rsid w:val="00D951DA"/>
    <w:rsid w:val="00D95360"/>
    <w:rsid w:val="00D96594"/>
    <w:rsid w:val="00D967CB"/>
    <w:rsid w:val="00D968D4"/>
    <w:rsid w:val="00D96EE0"/>
    <w:rsid w:val="00D97ACE"/>
    <w:rsid w:val="00D97BD1"/>
    <w:rsid w:val="00D97DAD"/>
    <w:rsid w:val="00DA06B8"/>
    <w:rsid w:val="00DA14A9"/>
    <w:rsid w:val="00DA2862"/>
    <w:rsid w:val="00DA286D"/>
    <w:rsid w:val="00DA293A"/>
    <w:rsid w:val="00DA2969"/>
    <w:rsid w:val="00DA29B7"/>
    <w:rsid w:val="00DA337C"/>
    <w:rsid w:val="00DA385C"/>
    <w:rsid w:val="00DA4842"/>
    <w:rsid w:val="00DA5989"/>
    <w:rsid w:val="00DA5AB1"/>
    <w:rsid w:val="00DA5F9D"/>
    <w:rsid w:val="00DA5FFB"/>
    <w:rsid w:val="00DA69B2"/>
    <w:rsid w:val="00DA7462"/>
    <w:rsid w:val="00DA7AD0"/>
    <w:rsid w:val="00DB02D7"/>
    <w:rsid w:val="00DB03CC"/>
    <w:rsid w:val="00DB12D4"/>
    <w:rsid w:val="00DB14F0"/>
    <w:rsid w:val="00DB1745"/>
    <w:rsid w:val="00DB19BB"/>
    <w:rsid w:val="00DB1AFF"/>
    <w:rsid w:val="00DB219A"/>
    <w:rsid w:val="00DB23DD"/>
    <w:rsid w:val="00DB3165"/>
    <w:rsid w:val="00DB4292"/>
    <w:rsid w:val="00DB5023"/>
    <w:rsid w:val="00DB629E"/>
    <w:rsid w:val="00DB6381"/>
    <w:rsid w:val="00DB6E46"/>
    <w:rsid w:val="00DB7117"/>
    <w:rsid w:val="00DB7760"/>
    <w:rsid w:val="00DB7DD4"/>
    <w:rsid w:val="00DC00B4"/>
    <w:rsid w:val="00DC0954"/>
    <w:rsid w:val="00DC0DF8"/>
    <w:rsid w:val="00DC15BA"/>
    <w:rsid w:val="00DC18CD"/>
    <w:rsid w:val="00DC1A68"/>
    <w:rsid w:val="00DC1E82"/>
    <w:rsid w:val="00DC30B8"/>
    <w:rsid w:val="00DC478F"/>
    <w:rsid w:val="00DC62E5"/>
    <w:rsid w:val="00DC6D70"/>
    <w:rsid w:val="00DC6F33"/>
    <w:rsid w:val="00DC7349"/>
    <w:rsid w:val="00DD14D8"/>
    <w:rsid w:val="00DD1599"/>
    <w:rsid w:val="00DD1B03"/>
    <w:rsid w:val="00DD1E43"/>
    <w:rsid w:val="00DD2A62"/>
    <w:rsid w:val="00DD2C78"/>
    <w:rsid w:val="00DD2F2F"/>
    <w:rsid w:val="00DD2F7A"/>
    <w:rsid w:val="00DD3885"/>
    <w:rsid w:val="00DD5808"/>
    <w:rsid w:val="00DD5946"/>
    <w:rsid w:val="00DD5B04"/>
    <w:rsid w:val="00DD5DAE"/>
    <w:rsid w:val="00DD5EC6"/>
    <w:rsid w:val="00DD605F"/>
    <w:rsid w:val="00DD6141"/>
    <w:rsid w:val="00DD72A0"/>
    <w:rsid w:val="00DD735D"/>
    <w:rsid w:val="00DE0159"/>
    <w:rsid w:val="00DE064A"/>
    <w:rsid w:val="00DE082D"/>
    <w:rsid w:val="00DE1410"/>
    <w:rsid w:val="00DE14A6"/>
    <w:rsid w:val="00DE20C6"/>
    <w:rsid w:val="00DE3119"/>
    <w:rsid w:val="00DE3FF0"/>
    <w:rsid w:val="00DE4105"/>
    <w:rsid w:val="00DE41C4"/>
    <w:rsid w:val="00DE5189"/>
    <w:rsid w:val="00DE7108"/>
    <w:rsid w:val="00DE78D1"/>
    <w:rsid w:val="00DE78FF"/>
    <w:rsid w:val="00DF0263"/>
    <w:rsid w:val="00DF084C"/>
    <w:rsid w:val="00DF0EB4"/>
    <w:rsid w:val="00DF158B"/>
    <w:rsid w:val="00DF193C"/>
    <w:rsid w:val="00DF1D63"/>
    <w:rsid w:val="00DF1E36"/>
    <w:rsid w:val="00DF236B"/>
    <w:rsid w:val="00DF2919"/>
    <w:rsid w:val="00DF2A91"/>
    <w:rsid w:val="00DF3889"/>
    <w:rsid w:val="00DF3CC9"/>
    <w:rsid w:val="00DF4451"/>
    <w:rsid w:val="00DF49FF"/>
    <w:rsid w:val="00DF4FFB"/>
    <w:rsid w:val="00DF5015"/>
    <w:rsid w:val="00DF5236"/>
    <w:rsid w:val="00DF651F"/>
    <w:rsid w:val="00DF6F43"/>
    <w:rsid w:val="00DF752F"/>
    <w:rsid w:val="00DF76A2"/>
    <w:rsid w:val="00DF7B87"/>
    <w:rsid w:val="00E00B7A"/>
    <w:rsid w:val="00E01FDD"/>
    <w:rsid w:val="00E02186"/>
    <w:rsid w:val="00E026BB"/>
    <w:rsid w:val="00E027C5"/>
    <w:rsid w:val="00E03124"/>
    <w:rsid w:val="00E031C3"/>
    <w:rsid w:val="00E03951"/>
    <w:rsid w:val="00E03DB8"/>
    <w:rsid w:val="00E03F17"/>
    <w:rsid w:val="00E0420C"/>
    <w:rsid w:val="00E04230"/>
    <w:rsid w:val="00E04EDD"/>
    <w:rsid w:val="00E055C2"/>
    <w:rsid w:val="00E05E70"/>
    <w:rsid w:val="00E064BC"/>
    <w:rsid w:val="00E065C9"/>
    <w:rsid w:val="00E07225"/>
    <w:rsid w:val="00E076B4"/>
    <w:rsid w:val="00E07B55"/>
    <w:rsid w:val="00E10579"/>
    <w:rsid w:val="00E109DD"/>
    <w:rsid w:val="00E11229"/>
    <w:rsid w:val="00E114CA"/>
    <w:rsid w:val="00E11FE2"/>
    <w:rsid w:val="00E1397F"/>
    <w:rsid w:val="00E13AB8"/>
    <w:rsid w:val="00E1482E"/>
    <w:rsid w:val="00E153AE"/>
    <w:rsid w:val="00E15AB1"/>
    <w:rsid w:val="00E16382"/>
    <w:rsid w:val="00E1699C"/>
    <w:rsid w:val="00E16E75"/>
    <w:rsid w:val="00E1714E"/>
    <w:rsid w:val="00E1746D"/>
    <w:rsid w:val="00E2012A"/>
    <w:rsid w:val="00E205A2"/>
    <w:rsid w:val="00E20BA4"/>
    <w:rsid w:val="00E2302A"/>
    <w:rsid w:val="00E23137"/>
    <w:rsid w:val="00E23980"/>
    <w:rsid w:val="00E241E9"/>
    <w:rsid w:val="00E257C3"/>
    <w:rsid w:val="00E25CB3"/>
    <w:rsid w:val="00E25DA4"/>
    <w:rsid w:val="00E26237"/>
    <w:rsid w:val="00E26CB8"/>
    <w:rsid w:val="00E26D16"/>
    <w:rsid w:val="00E26FCF"/>
    <w:rsid w:val="00E27165"/>
    <w:rsid w:val="00E275D9"/>
    <w:rsid w:val="00E27801"/>
    <w:rsid w:val="00E27988"/>
    <w:rsid w:val="00E3044A"/>
    <w:rsid w:val="00E30E49"/>
    <w:rsid w:val="00E3174A"/>
    <w:rsid w:val="00E31A4A"/>
    <w:rsid w:val="00E3344A"/>
    <w:rsid w:val="00E33B29"/>
    <w:rsid w:val="00E33B62"/>
    <w:rsid w:val="00E3403D"/>
    <w:rsid w:val="00E344BD"/>
    <w:rsid w:val="00E34E6C"/>
    <w:rsid w:val="00E353E2"/>
    <w:rsid w:val="00E36345"/>
    <w:rsid w:val="00E368BD"/>
    <w:rsid w:val="00E36C86"/>
    <w:rsid w:val="00E36CEB"/>
    <w:rsid w:val="00E37387"/>
    <w:rsid w:val="00E37A28"/>
    <w:rsid w:val="00E40430"/>
    <w:rsid w:val="00E40690"/>
    <w:rsid w:val="00E40AEB"/>
    <w:rsid w:val="00E4143A"/>
    <w:rsid w:val="00E424C8"/>
    <w:rsid w:val="00E4251D"/>
    <w:rsid w:val="00E43D00"/>
    <w:rsid w:val="00E443B4"/>
    <w:rsid w:val="00E445E4"/>
    <w:rsid w:val="00E457CB"/>
    <w:rsid w:val="00E45D47"/>
    <w:rsid w:val="00E45DE4"/>
    <w:rsid w:val="00E45E63"/>
    <w:rsid w:val="00E462F0"/>
    <w:rsid w:val="00E46BBC"/>
    <w:rsid w:val="00E4759C"/>
    <w:rsid w:val="00E50A7B"/>
    <w:rsid w:val="00E50B0B"/>
    <w:rsid w:val="00E510FE"/>
    <w:rsid w:val="00E51129"/>
    <w:rsid w:val="00E516C7"/>
    <w:rsid w:val="00E51E25"/>
    <w:rsid w:val="00E5205B"/>
    <w:rsid w:val="00E521AE"/>
    <w:rsid w:val="00E52212"/>
    <w:rsid w:val="00E529A3"/>
    <w:rsid w:val="00E53A21"/>
    <w:rsid w:val="00E53BCA"/>
    <w:rsid w:val="00E53DE2"/>
    <w:rsid w:val="00E53F02"/>
    <w:rsid w:val="00E54534"/>
    <w:rsid w:val="00E548C3"/>
    <w:rsid w:val="00E54C5A"/>
    <w:rsid w:val="00E54F27"/>
    <w:rsid w:val="00E55E1C"/>
    <w:rsid w:val="00E55FF1"/>
    <w:rsid w:val="00E56090"/>
    <w:rsid w:val="00E565B9"/>
    <w:rsid w:val="00E56E7B"/>
    <w:rsid w:val="00E5733B"/>
    <w:rsid w:val="00E5756C"/>
    <w:rsid w:val="00E57811"/>
    <w:rsid w:val="00E5798B"/>
    <w:rsid w:val="00E601BE"/>
    <w:rsid w:val="00E60B5F"/>
    <w:rsid w:val="00E613AE"/>
    <w:rsid w:val="00E61429"/>
    <w:rsid w:val="00E61ABB"/>
    <w:rsid w:val="00E61FD7"/>
    <w:rsid w:val="00E620B6"/>
    <w:rsid w:val="00E623E6"/>
    <w:rsid w:val="00E630C0"/>
    <w:rsid w:val="00E63107"/>
    <w:rsid w:val="00E6312C"/>
    <w:rsid w:val="00E634E6"/>
    <w:rsid w:val="00E63DCE"/>
    <w:rsid w:val="00E6453E"/>
    <w:rsid w:val="00E64700"/>
    <w:rsid w:val="00E64854"/>
    <w:rsid w:val="00E65074"/>
    <w:rsid w:val="00E6526E"/>
    <w:rsid w:val="00E65E70"/>
    <w:rsid w:val="00E66087"/>
    <w:rsid w:val="00E66A24"/>
    <w:rsid w:val="00E66D79"/>
    <w:rsid w:val="00E66FF9"/>
    <w:rsid w:val="00E6706F"/>
    <w:rsid w:val="00E67856"/>
    <w:rsid w:val="00E679C8"/>
    <w:rsid w:val="00E70314"/>
    <w:rsid w:val="00E724E7"/>
    <w:rsid w:val="00E72B41"/>
    <w:rsid w:val="00E7347B"/>
    <w:rsid w:val="00E73792"/>
    <w:rsid w:val="00E73D03"/>
    <w:rsid w:val="00E74040"/>
    <w:rsid w:val="00E7471C"/>
    <w:rsid w:val="00E7498A"/>
    <w:rsid w:val="00E7514E"/>
    <w:rsid w:val="00E76537"/>
    <w:rsid w:val="00E77784"/>
    <w:rsid w:val="00E77937"/>
    <w:rsid w:val="00E77AF5"/>
    <w:rsid w:val="00E81925"/>
    <w:rsid w:val="00E823F9"/>
    <w:rsid w:val="00E82C1F"/>
    <w:rsid w:val="00E83671"/>
    <w:rsid w:val="00E840EE"/>
    <w:rsid w:val="00E84A71"/>
    <w:rsid w:val="00E85170"/>
    <w:rsid w:val="00E86556"/>
    <w:rsid w:val="00E86D35"/>
    <w:rsid w:val="00E86DC2"/>
    <w:rsid w:val="00E86E32"/>
    <w:rsid w:val="00E86F2E"/>
    <w:rsid w:val="00E8732E"/>
    <w:rsid w:val="00E8744A"/>
    <w:rsid w:val="00E87E9C"/>
    <w:rsid w:val="00E9011F"/>
    <w:rsid w:val="00E906EB"/>
    <w:rsid w:val="00E90A66"/>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BCE"/>
    <w:rsid w:val="00EA1155"/>
    <w:rsid w:val="00EA2744"/>
    <w:rsid w:val="00EA37B9"/>
    <w:rsid w:val="00EA39F7"/>
    <w:rsid w:val="00EA3DC2"/>
    <w:rsid w:val="00EA434E"/>
    <w:rsid w:val="00EA4757"/>
    <w:rsid w:val="00EA5051"/>
    <w:rsid w:val="00EA560B"/>
    <w:rsid w:val="00EA5669"/>
    <w:rsid w:val="00EA56A9"/>
    <w:rsid w:val="00EA5CC6"/>
    <w:rsid w:val="00EA63EF"/>
    <w:rsid w:val="00EB0A89"/>
    <w:rsid w:val="00EB1573"/>
    <w:rsid w:val="00EB1910"/>
    <w:rsid w:val="00EB2D83"/>
    <w:rsid w:val="00EB2E97"/>
    <w:rsid w:val="00EB3416"/>
    <w:rsid w:val="00EB48E9"/>
    <w:rsid w:val="00EB4AE1"/>
    <w:rsid w:val="00EB52F4"/>
    <w:rsid w:val="00EB5694"/>
    <w:rsid w:val="00EB5779"/>
    <w:rsid w:val="00EB5D2F"/>
    <w:rsid w:val="00EB66C3"/>
    <w:rsid w:val="00EB67F1"/>
    <w:rsid w:val="00EB72CD"/>
    <w:rsid w:val="00EB749A"/>
    <w:rsid w:val="00EB76B6"/>
    <w:rsid w:val="00EB7D8A"/>
    <w:rsid w:val="00EC05E2"/>
    <w:rsid w:val="00EC08AC"/>
    <w:rsid w:val="00EC0B18"/>
    <w:rsid w:val="00EC0E84"/>
    <w:rsid w:val="00EC16E2"/>
    <w:rsid w:val="00EC1CE7"/>
    <w:rsid w:val="00EC26F1"/>
    <w:rsid w:val="00EC3C94"/>
    <w:rsid w:val="00EC44DF"/>
    <w:rsid w:val="00EC4FB9"/>
    <w:rsid w:val="00EC5393"/>
    <w:rsid w:val="00EC5741"/>
    <w:rsid w:val="00EC5C42"/>
    <w:rsid w:val="00EC5DA3"/>
    <w:rsid w:val="00EC6014"/>
    <w:rsid w:val="00EC6656"/>
    <w:rsid w:val="00EC6B3E"/>
    <w:rsid w:val="00EC73DE"/>
    <w:rsid w:val="00EC7637"/>
    <w:rsid w:val="00EC7CF2"/>
    <w:rsid w:val="00ED046C"/>
    <w:rsid w:val="00ED053A"/>
    <w:rsid w:val="00ED1220"/>
    <w:rsid w:val="00ED15DF"/>
    <w:rsid w:val="00ED1F03"/>
    <w:rsid w:val="00ED2932"/>
    <w:rsid w:val="00ED2D27"/>
    <w:rsid w:val="00ED3347"/>
    <w:rsid w:val="00ED3441"/>
    <w:rsid w:val="00ED3860"/>
    <w:rsid w:val="00ED3954"/>
    <w:rsid w:val="00ED43A2"/>
    <w:rsid w:val="00ED4862"/>
    <w:rsid w:val="00ED4967"/>
    <w:rsid w:val="00ED5140"/>
    <w:rsid w:val="00ED538C"/>
    <w:rsid w:val="00ED5771"/>
    <w:rsid w:val="00ED587F"/>
    <w:rsid w:val="00ED5964"/>
    <w:rsid w:val="00ED6147"/>
    <w:rsid w:val="00ED623F"/>
    <w:rsid w:val="00ED63A5"/>
    <w:rsid w:val="00ED6828"/>
    <w:rsid w:val="00ED69BA"/>
    <w:rsid w:val="00ED6D1A"/>
    <w:rsid w:val="00ED6D86"/>
    <w:rsid w:val="00ED72E9"/>
    <w:rsid w:val="00ED732E"/>
    <w:rsid w:val="00ED77F0"/>
    <w:rsid w:val="00ED7C60"/>
    <w:rsid w:val="00ED7FBC"/>
    <w:rsid w:val="00EE0253"/>
    <w:rsid w:val="00EE0297"/>
    <w:rsid w:val="00EE1258"/>
    <w:rsid w:val="00EE13DA"/>
    <w:rsid w:val="00EE1668"/>
    <w:rsid w:val="00EE1EDB"/>
    <w:rsid w:val="00EE24E2"/>
    <w:rsid w:val="00EE366D"/>
    <w:rsid w:val="00EE4BA1"/>
    <w:rsid w:val="00EE4CDF"/>
    <w:rsid w:val="00EE5454"/>
    <w:rsid w:val="00EE59B5"/>
    <w:rsid w:val="00EE5FB7"/>
    <w:rsid w:val="00EE6783"/>
    <w:rsid w:val="00EE7B54"/>
    <w:rsid w:val="00EE7C47"/>
    <w:rsid w:val="00EE7C88"/>
    <w:rsid w:val="00EE7C8B"/>
    <w:rsid w:val="00EF0209"/>
    <w:rsid w:val="00EF05C0"/>
    <w:rsid w:val="00EF0EA4"/>
    <w:rsid w:val="00EF1E97"/>
    <w:rsid w:val="00EF1FAB"/>
    <w:rsid w:val="00EF21E6"/>
    <w:rsid w:val="00EF2388"/>
    <w:rsid w:val="00EF2436"/>
    <w:rsid w:val="00EF2547"/>
    <w:rsid w:val="00EF296B"/>
    <w:rsid w:val="00EF2B2B"/>
    <w:rsid w:val="00EF2E17"/>
    <w:rsid w:val="00EF2E1C"/>
    <w:rsid w:val="00EF2FD6"/>
    <w:rsid w:val="00EF326A"/>
    <w:rsid w:val="00EF38B3"/>
    <w:rsid w:val="00EF3ECF"/>
    <w:rsid w:val="00EF427A"/>
    <w:rsid w:val="00EF45DF"/>
    <w:rsid w:val="00EF4701"/>
    <w:rsid w:val="00EF477D"/>
    <w:rsid w:val="00EF4952"/>
    <w:rsid w:val="00EF498F"/>
    <w:rsid w:val="00EF4A42"/>
    <w:rsid w:val="00EF510C"/>
    <w:rsid w:val="00EF55C4"/>
    <w:rsid w:val="00EF57BC"/>
    <w:rsid w:val="00EF6784"/>
    <w:rsid w:val="00EF688A"/>
    <w:rsid w:val="00EF6A03"/>
    <w:rsid w:val="00EF6DC2"/>
    <w:rsid w:val="00EF7506"/>
    <w:rsid w:val="00EF7BF4"/>
    <w:rsid w:val="00F0012F"/>
    <w:rsid w:val="00F0030F"/>
    <w:rsid w:val="00F00674"/>
    <w:rsid w:val="00F01657"/>
    <w:rsid w:val="00F01E67"/>
    <w:rsid w:val="00F02744"/>
    <w:rsid w:val="00F02BFD"/>
    <w:rsid w:val="00F02D25"/>
    <w:rsid w:val="00F03C3D"/>
    <w:rsid w:val="00F03D42"/>
    <w:rsid w:val="00F0435D"/>
    <w:rsid w:val="00F04580"/>
    <w:rsid w:val="00F04ECA"/>
    <w:rsid w:val="00F04F8B"/>
    <w:rsid w:val="00F06E19"/>
    <w:rsid w:val="00F06F84"/>
    <w:rsid w:val="00F076E7"/>
    <w:rsid w:val="00F07AA1"/>
    <w:rsid w:val="00F07CCE"/>
    <w:rsid w:val="00F105AE"/>
    <w:rsid w:val="00F10618"/>
    <w:rsid w:val="00F1108B"/>
    <w:rsid w:val="00F114FA"/>
    <w:rsid w:val="00F11768"/>
    <w:rsid w:val="00F11951"/>
    <w:rsid w:val="00F12256"/>
    <w:rsid w:val="00F12262"/>
    <w:rsid w:val="00F12564"/>
    <w:rsid w:val="00F12AF8"/>
    <w:rsid w:val="00F12C52"/>
    <w:rsid w:val="00F13E62"/>
    <w:rsid w:val="00F148B7"/>
    <w:rsid w:val="00F14EA9"/>
    <w:rsid w:val="00F1546F"/>
    <w:rsid w:val="00F15505"/>
    <w:rsid w:val="00F15BFF"/>
    <w:rsid w:val="00F168A8"/>
    <w:rsid w:val="00F16E4F"/>
    <w:rsid w:val="00F17244"/>
    <w:rsid w:val="00F1744F"/>
    <w:rsid w:val="00F213A0"/>
    <w:rsid w:val="00F21D54"/>
    <w:rsid w:val="00F21EF4"/>
    <w:rsid w:val="00F23113"/>
    <w:rsid w:val="00F23255"/>
    <w:rsid w:val="00F23393"/>
    <w:rsid w:val="00F23759"/>
    <w:rsid w:val="00F24644"/>
    <w:rsid w:val="00F25947"/>
    <w:rsid w:val="00F262D6"/>
    <w:rsid w:val="00F26F33"/>
    <w:rsid w:val="00F2748A"/>
    <w:rsid w:val="00F27A2B"/>
    <w:rsid w:val="00F300A8"/>
    <w:rsid w:val="00F302C6"/>
    <w:rsid w:val="00F30400"/>
    <w:rsid w:val="00F3079E"/>
    <w:rsid w:val="00F31BEF"/>
    <w:rsid w:val="00F33968"/>
    <w:rsid w:val="00F3399B"/>
    <w:rsid w:val="00F33F4B"/>
    <w:rsid w:val="00F346ED"/>
    <w:rsid w:val="00F34945"/>
    <w:rsid w:val="00F34E1E"/>
    <w:rsid w:val="00F3570C"/>
    <w:rsid w:val="00F363A4"/>
    <w:rsid w:val="00F36765"/>
    <w:rsid w:val="00F368FF"/>
    <w:rsid w:val="00F37068"/>
    <w:rsid w:val="00F37D3C"/>
    <w:rsid w:val="00F37F3F"/>
    <w:rsid w:val="00F40992"/>
    <w:rsid w:val="00F40F72"/>
    <w:rsid w:val="00F40FD8"/>
    <w:rsid w:val="00F41596"/>
    <w:rsid w:val="00F41D8B"/>
    <w:rsid w:val="00F42121"/>
    <w:rsid w:val="00F424B3"/>
    <w:rsid w:val="00F428B1"/>
    <w:rsid w:val="00F428B4"/>
    <w:rsid w:val="00F4345D"/>
    <w:rsid w:val="00F4387B"/>
    <w:rsid w:val="00F448EE"/>
    <w:rsid w:val="00F451D4"/>
    <w:rsid w:val="00F45921"/>
    <w:rsid w:val="00F45B91"/>
    <w:rsid w:val="00F46639"/>
    <w:rsid w:val="00F46DBB"/>
    <w:rsid w:val="00F476FD"/>
    <w:rsid w:val="00F47716"/>
    <w:rsid w:val="00F50183"/>
    <w:rsid w:val="00F50D92"/>
    <w:rsid w:val="00F5160A"/>
    <w:rsid w:val="00F51765"/>
    <w:rsid w:val="00F51A51"/>
    <w:rsid w:val="00F51BC6"/>
    <w:rsid w:val="00F51CB4"/>
    <w:rsid w:val="00F52324"/>
    <w:rsid w:val="00F52950"/>
    <w:rsid w:val="00F52C9D"/>
    <w:rsid w:val="00F533F1"/>
    <w:rsid w:val="00F55679"/>
    <w:rsid w:val="00F561E3"/>
    <w:rsid w:val="00F565E6"/>
    <w:rsid w:val="00F56AFA"/>
    <w:rsid w:val="00F575E2"/>
    <w:rsid w:val="00F579FF"/>
    <w:rsid w:val="00F600E0"/>
    <w:rsid w:val="00F605EC"/>
    <w:rsid w:val="00F60F60"/>
    <w:rsid w:val="00F612CE"/>
    <w:rsid w:val="00F6133C"/>
    <w:rsid w:val="00F623D7"/>
    <w:rsid w:val="00F624A7"/>
    <w:rsid w:val="00F62AB6"/>
    <w:rsid w:val="00F64933"/>
    <w:rsid w:val="00F65A3C"/>
    <w:rsid w:val="00F65CF6"/>
    <w:rsid w:val="00F65D0E"/>
    <w:rsid w:val="00F66282"/>
    <w:rsid w:val="00F6639E"/>
    <w:rsid w:val="00F670E9"/>
    <w:rsid w:val="00F67AF1"/>
    <w:rsid w:val="00F67D8B"/>
    <w:rsid w:val="00F701C5"/>
    <w:rsid w:val="00F70961"/>
    <w:rsid w:val="00F70A8F"/>
    <w:rsid w:val="00F70E36"/>
    <w:rsid w:val="00F71397"/>
    <w:rsid w:val="00F72389"/>
    <w:rsid w:val="00F72516"/>
    <w:rsid w:val="00F72FB4"/>
    <w:rsid w:val="00F735E5"/>
    <w:rsid w:val="00F73E80"/>
    <w:rsid w:val="00F7469C"/>
    <w:rsid w:val="00F7492E"/>
    <w:rsid w:val="00F74945"/>
    <w:rsid w:val="00F749A3"/>
    <w:rsid w:val="00F74AE8"/>
    <w:rsid w:val="00F76C11"/>
    <w:rsid w:val="00F77021"/>
    <w:rsid w:val="00F7724A"/>
    <w:rsid w:val="00F77E61"/>
    <w:rsid w:val="00F77E9A"/>
    <w:rsid w:val="00F80221"/>
    <w:rsid w:val="00F80C81"/>
    <w:rsid w:val="00F81265"/>
    <w:rsid w:val="00F815AC"/>
    <w:rsid w:val="00F8187D"/>
    <w:rsid w:val="00F83B33"/>
    <w:rsid w:val="00F83CAE"/>
    <w:rsid w:val="00F840BF"/>
    <w:rsid w:val="00F8427A"/>
    <w:rsid w:val="00F843DF"/>
    <w:rsid w:val="00F84899"/>
    <w:rsid w:val="00F85585"/>
    <w:rsid w:val="00F859F0"/>
    <w:rsid w:val="00F85CC1"/>
    <w:rsid w:val="00F86B5D"/>
    <w:rsid w:val="00F875E1"/>
    <w:rsid w:val="00F87634"/>
    <w:rsid w:val="00F87C13"/>
    <w:rsid w:val="00F87C5A"/>
    <w:rsid w:val="00F87E29"/>
    <w:rsid w:val="00F87F18"/>
    <w:rsid w:val="00F87F68"/>
    <w:rsid w:val="00F90C4D"/>
    <w:rsid w:val="00F9167D"/>
    <w:rsid w:val="00F91CB2"/>
    <w:rsid w:val="00F9232A"/>
    <w:rsid w:val="00F927E8"/>
    <w:rsid w:val="00F9289C"/>
    <w:rsid w:val="00F9374A"/>
    <w:rsid w:val="00F9375C"/>
    <w:rsid w:val="00F93DBC"/>
    <w:rsid w:val="00F93E41"/>
    <w:rsid w:val="00F94644"/>
    <w:rsid w:val="00F952E4"/>
    <w:rsid w:val="00F9537B"/>
    <w:rsid w:val="00F963FC"/>
    <w:rsid w:val="00F97CF1"/>
    <w:rsid w:val="00FA015F"/>
    <w:rsid w:val="00FA0160"/>
    <w:rsid w:val="00FA0FAC"/>
    <w:rsid w:val="00FA10F7"/>
    <w:rsid w:val="00FA1DA2"/>
    <w:rsid w:val="00FA1E83"/>
    <w:rsid w:val="00FA3414"/>
    <w:rsid w:val="00FA347A"/>
    <w:rsid w:val="00FA3CDE"/>
    <w:rsid w:val="00FA40FC"/>
    <w:rsid w:val="00FA45D7"/>
    <w:rsid w:val="00FA49B7"/>
    <w:rsid w:val="00FA5043"/>
    <w:rsid w:val="00FA6F8B"/>
    <w:rsid w:val="00FA727C"/>
    <w:rsid w:val="00FA7A30"/>
    <w:rsid w:val="00FB033F"/>
    <w:rsid w:val="00FB12E3"/>
    <w:rsid w:val="00FB1570"/>
    <w:rsid w:val="00FB193B"/>
    <w:rsid w:val="00FB1FBC"/>
    <w:rsid w:val="00FB27B7"/>
    <w:rsid w:val="00FB35E3"/>
    <w:rsid w:val="00FB4C98"/>
    <w:rsid w:val="00FB4CE3"/>
    <w:rsid w:val="00FB583C"/>
    <w:rsid w:val="00FB630E"/>
    <w:rsid w:val="00FB6738"/>
    <w:rsid w:val="00FB691B"/>
    <w:rsid w:val="00FB6BE6"/>
    <w:rsid w:val="00FB731C"/>
    <w:rsid w:val="00FB7628"/>
    <w:rsid w:val="00FC05A0"/>
    <w:rsid w:val="00FC0811"/>
    <w:rsid w:val="00FC0BAC"/>
    <w:rsid w:val="00FC1196"/>
    <w:rsid w:val="00FC15EB"/>
    <w:rsid w:val="00FC162C"/>
    <w:rsid w:val="00FC18DC"/>
    <w:rsid w:val="00FC1ABF"/>
    <w:rsid w:val="00FC2477"/>
    <w:rsid w:val="00FC28D0"/>
    <w:rsid w:val="00FC2AC4"/>
    <w:rsid w:val="00FC2CAC"/>
    <w:rsid w:val="00FC2F73"/>
    <w:rsid w:val="00FC3A9B"/>
    <w:rsid w:val="00FC3AE1"/>
    <w:rsid w:val="00FC3DFC"/>
    <w:rsid w:val="00FC3EF4"/>
    <w:rsid w:val="00FC431B"/>
    <w:rsid w:val="00FC434C"/>
    <w:rsid w:val="00FC472C"/>
    <w:rsid w:val="00FC4FDF"/>
    <w:rsid w:val="00FC5CF4"/>
    <w:rsid w:val="00FC5D64"/>
    <w:rsid w:val="00FC6A39"/>
    <w:rsid w:val="00FC7176"/>
    <w:rsid w:val="00FC76A9"/>
    <w:rsid w:val="00FC79AB"/>
    <w:rsid w:val="00FC7BE7"/>
    <w:rsid w:val="00FC7D25"/>
    <w:rsid w:val="00FC7DAC"/>
    <w:rsid w:val="00FD005D"/>
    <w:rsid w:val="00FD023A"/>
    <w:rsid w:val="00FD04AE"/>
    <w:rsid w:val="00FD0DFA"/>
    <w:rsid w:val="00FD128D"/>
    <w:rsid w:val="00FD1890"/>
    <w:rsid w:val="00FD1994"/>
    <w:rsid w:val="00FD3508"/>
    <w:rsid w:val="00FD393C"/>
    <w:rsid w:val="00FD3AFF"/>
    <w:rsid w:val="00FD43BB"/>
    <w:rsid w:val="00FD48CD"/>
    <w:rsid w:val="00FD4AF3"/>
    <w:rsid w:val="00FD798D"/>
    <w:rsid w:val="00FE141E"/>
    <w:rsid w:val="00FE144E"/>
    <w:rsid w:val="00FE1768"/>
    <w:rsid w:val="00FE24F4"/>
    <w:rsid w:val="00FE2560"/>
    <w:rsid w:val="00FE35D0"/>
    <w:rsid w:val="00FE42ED"/>
    <w:rsid w:val="00FE4E06"/>
    <w:rsid w:val="00FE55A7"/>
    <w:rsid w:val="00FE5C5A"/>
    <w:rsid w:val="00FE6432"/>
    <w:rsid w:val="00FE72A0"/>
    <w:rsid w:val="00FE76F9"/>
    <w:rsid w:val="00FF0050"/>
    <w:rsid w:val="00FF045F"/>
    <w:rsid w:val="00FF0FA2"/>
    <w:rsid w:val="00FF13D4"/>
    <w:rsid w:val="00FF2053"/>
    <w:rsid w:val="00FF3B37"/>
    <w:rsid w:val="00FF3CC7"/>
    <w:rsid w:val="00FF3D6F"/>
    <w:rsid w:val="00FF4489"/>
    <w:rsid w:val="00FF4BD8"/>
    <w:rsid w:val="00FF4D11"/>
    <w:rsid w:val="00FF5214"/>
    <w:rsid w:val="00FF596E"/>
    <w:rsid w:val="00FF5B59"/>
    <w:rsid w:val="00FF5BFD"/>
    <w:rsid w:val="00FF6095"/>
    <w:rsid w:val="00FF62FE"/>
    <w:rsid w:val="00FF6553"/>
    <w:rsid w:val="00FF7086"/>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561D"/>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paragraph" w:customStyle="1" w:styleId="Normal11pt">
    <w:name w:val="Normal + 11 pt"/>
    <w:aliases w:val="Negro,Justificado,Izquierda:  -0,95 cm,Derecha:  0,04 cm"/>
    <w:basedOn w:val="Normal"/>
    <w:uiPriority w:val="99"/>
    <w:rsid w:val="00937F58"/>
    <w:pPr>
      <w:ind w:left="-540"/>
      <w:jc w:val="both"/>
    </w:pPr>
    <w:rPr>
      <w:rFonts w:ascii="Arial" w:hAnsi="Arial" w:cs="Arial"/>
      <w:color w:val="000000"/>
      <w:sz w:val="22"/>
      <w:szCs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0005835">
      <w:bodyDiv w:val="1"/>
      <w:marLeft w:val="0"/>
      <w:marRight w:val="0"/>
      <w:marTop w:val="0"/>
      <w:marBottom w:val="0"/>
      <w:divBdr>
        <w:top w:val="none" w:sz="0" w:space="0" w:color="auto"/>
        <w:left w:val="none" w:sz="0" w:space="0" w:color="auto"/>
        <w:bottom w:val="none" w:sz="0" w:space="0" w:color="auto"/>
        <w:right w:val="none" w:sz="0" w:space="0" w:color="auto"/>
      </w:divBdr>
      <w:divsChild>
        <w:div w:id="763763083">
          <w:marLeft w:val="0"/>
          <w:marRight w:val="0"/>
          <w:marTop w:val="0"/>
          <w:marBottom w:val="0"/>
          <w:divBdr>
            <w:top w:val="none" w:sz="0" w:space="0" w:color="auto"/>
            <w:left w:val="none" w:sz="0" w:space="0" w:color="auto"/>
            <w:bottom w:val="none" w:sz="0" w:space="0" w:color="auto"/>
            <w:right w:val="none" w:sz="0" w:space="0" w:color="auto"/>
          </w:divBdr>
          <w:divsChild>
            <w:div w:id="1275402606">
              <w:marLeft w:val="0"/>
              <w:marRight w:val="0"/>
              <w:marTop w:val="0"/>
              <w:marBottom w:val="0"/>
              <w:divBdr>
                <w:top w:val="none" w:sz="0" w:space="0" w:color="auto"/>
                <w:left w:val="none" w:sz="0" w:space="0" w:color="auto"/>
                <w:bottom w:val="none" w:sz="0" w:space="0" w:color="auto"/>
                <w:right w:val="none" w:sz="0" w:space="0" w:color="auto"/>
              </w:divBdr>
              <w:divsChild>
                <w:div w:id="1182431883">
                  <w:marLeft w:val="0"/>
                  <w:marRight w:val="0"/>
                  <w:marTop w:val="0"/>
                  <w:marBottom w:val="0"/>
                  <w:divBdr>
                    <w:top w:val="none" w:sz="0" w:space="0" w:color="auto"/>
                    <w:left w:val="none" w:sz="0" w:space="0" w:color="auto"/>
                    <w:bottom w:val="none" w:sz="0" w:space="0" w:color="auto"/>
                    <w:right w:val="none" w:sz="0" w:space="0" w:color="auto"/>
                  </w:divBdr>
                  <w:divsChild>
                    <w:div w:id="110966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14384">
      <w:bodyDiv w:val="1"/>
      <w:marLeft w:val="0"/>
      <w:marRight w:val="0"/>
      <w:marTop w:val="0"/>
      <w:marBottom w:val="0"/>
      <w:divBdr>
        <w:top w:val="none" w:sz="0" w:space="0" w:color="auto"/>
        <w:left w:val="none" w:sz="0" w:space="0" w:color="auto"/>
        <w:bottom w:val="none" w:sz="0" w:space="0" w:color="auto"/>
        <w:right w:val="none" w:sz="0" w:space="0" w:color="auto"/>
      </w:divBdr>
    </w:div>
    <w:div w:id="102893522">
      <w:bodyDiv w:val="1"/>
      <w:marLeft w:val="0"/>
      <w:marRight w:val="0"/>
      <w:marTop w:val="0"/>
      <w:marBottom w:val="0"/>
      <w:divBdr>
        <w:top w:val="none" w:sz="0" w:space="0" w:color="auto"/>
        <w:left w:val="none" w:sz="0" w:space="0" w:color="auto"/>
        <w:bottom w:val="none" w:sz="0" w:space="0" w:color="auto"/>
        <w:right w:val="none" w:sz="0" w:space="0" w:color="auto"/>
      </w:divBdr>
      <w:divsChild>
        <w:div w:id="532960165">
          <w:marLeft w:val="0"/>
          <w:marRight w:val="0"/>
          <w:marTop w:val="0"/>
          <w:marBottom w:val="0"/>
          <w:divBdr>
            <w:top w:val="none" w:sz="0" w:space="0" w:color="auto"/>
            <w:left w:val="none" w:sz="0" w:space="0" w:color="auto"/>
            <w:bottom w:val="none" w:sz="0" w:space="0" w:color="auto"/>
            <w:right w:val="none" w:sz="0" w:space="0" w:color="auto"/>
          </w:divBdr>
          <w:divsChild>
            <w:div w:id="25982521">
              <w:marLeft w:val="0"/>
              <w:marRight w:val="0"/>
              <w:marTop w:val="0"/>
              <w:marBottom w:val="0"/>
              <w:divBdr>
                <w:top w:val="none" w:sz="0" w:space="0" w:color="auto"/>
                <w:left w:val="none" w:sz="0" w:space="0" w:color="auto"/>
                <w:bottom w:val="none" w:sz="0" w:space="0" w:color="auto"/>
                <w:right w:val="none" w:sz="0" w:space="0" w:color="auto"/>
              </w:divBdr>
              <w:divsChild>
                <w:div w:id="214080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0456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325728">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09193269">
      <w:bodyDiv w:val="1"/>
      <w:marLeft w:val="0"/>
      <w:marRight w:val="0"/>
      <w:marTop w:val="0"/>
      <w:marBottom w:val="0"/>
      <w:divBdr>
        <w:top w:val="none" w:sz="0" w:space="0" w:color="auto"/>
        <w:left w:val="none" w:sz="0" w:space="0" w:color="auto"/>
        <w:bottom w:val="none" w:sz="0" w:space="0" w:color="auto"/>
        <w:right w:val="none" w:sz="0" w:space="0" w:color="auto"/>
      </w:divBdr>
    </w:div>
    <w:div w:id="227614776">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953258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5574301">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83268">
      <w:bodyDiv w:val="1"/>
      <w:marLeft w:val="0"/>
      <w:marRight w:val="0"/>
      <w:marTop w:val="0"/>
      <w:marBottom w:val="0"/>
      <w:divBdr>
        <w:top w:val="none" w:sz="0" w:space="0" w:color="auto"/>
        <w:left w:val="none" w:sz="0" w:space="0" w:color="auto"/>
        <w:bottom w:val="none" w:sz="0" w:space="0" w:color="auto"/>
        <w:right w:val="none" w:sz="0" w:space="0" w:color="auto"/>
      </w:divBdr>
    </w:div>
    <w:div w:id="42194841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846707">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2896448">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318777">
      <w:bodyDiv w:val="1"/>
      <w:marLeft w:val="0"/>
      <w:marRight w:val="0"/>
      <w:marTop w:val="0"/>
      <w:marBottom w:val="0"/>
      <w:divBdr>
        <w:top w:val="none" w:sz="0" w:space="0" w:color="auto"/>
        <w:left w:val="none" w:sz="0" w:space="0" w:color="auto"/>
        <w:bottom w:val="none" w:sz="0" w:space="0" w:color="auto"/>
        <w:right w:val="none" w:sz="0" w:space="0" w:color="auto"/>
      </w:divBdr>
      <w:divsChild>
        <w:div w:id="823011068">
          <w:marLeft w:val="0"/>
          <w:marRight w:val="0"/>
          <w:marTop w:val="0"/>
          <w:marBottom w:val="0"/>
          <w:divBdr>
            <w:top w:val="none" w:sz="0" w:space="0" w:color="auto"/>
            <w:left w:val="none" w:sz="0" w:space="0" w:color="auto"/>
            <w:bottom w:val="none" w:sz="0" w:space="0" w:color="auto"/>
            <w:right w:val="none" w:sz="0" w:space="0" w:color="auto"/>
          </w:divBdr>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493387">
      <w:bodyDiv w:val="1"/>
      <w:marLeft w:val="0"/>
      <w:marRight w:val="0"/>
      <w:marTop w:val="0"/>
      <w:marBottom w:val="0"/>
      <w:divBdr>
        <w:top w:val="none" w:sz="0" w:space="0" w:color="auto"/>
        <w:left w:val="none" w:sz="0" w:space="0" w:color="auto"/>
        <w:bottom w:val="none" w:sz="0" w:space="0" w:color="auto"/>
        <w:right w:val="none" w:sz="0" w:space="0" w:color="auto"/>
      </w:divBdr>
      <w:divsChild>
        <w:div w:id="298262778">
          <w:marLeft w:val="0"/>
          <w:marRight w:val="0"/>
          <w:marTop w:val="0"/>
          <w:marBottom w:val="0"/>
          <w:divBdr>
            <w:top w:val="none" w:sz="0" w:space="0" w:color="auto"/>
            <w:left w:val="none" w:sz="0" w:space="0" w:color="auto"/>
            <w:bottom w:val="none" w:sz="0" w:space="0" w:color="auto"/>
            <w:right w:val="none" w:sz="0" w:space="0" w:color="auto"/>
          </w:divBdr>
          <w:divsChild>
            <w:div w:id="1028213796">
              <w:marLeft w:val="0"/>
              <w:marRight w:val="0"/>
              <w:marTop w:val="0"/>
              <w:marBottom w:val="0"/>
              <w:divBdr>
                <w:top w:val="none" w:sz="0" w:space="0" w:color="auto"/>
                <w:left w:val="none" w:sz="0" w:space="0" w:color="auto"/>
                <w:bottom w:val="none" w:sz="0" w:space="0" w:color="auto"/>
                <w:right w:val="none" w:sz="0" w:space="0" w:color="auto"/>
              </w:divBdr>
              <w:divsChild>
                <w:div w:id="1352607621">
                  <w:marLeft w:val="0"/>
                  <w:marRight w:val="0"/>
                  <w:marTop w:val="0"/>
                  <w:marBottom w:val="0"/>
                  <w:divBdr>
                    <w:top w:val="none" w:sz="0" w:space="0" w:color="auto"/>
                    <w:left w:val="none" w:sz="0" w:space="0" w:color="auto"/>
                    <w:bottom w:val="none" w:sz="0" w:space="0" w:color="auto"/>
                    <w:right w:val="none" w:sz="0" w:space="0" w:color="auto"/>
                  </w:divBdr>
                  <w:divsChild>
                    <w:div w:id="133218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3001256">
      <w:bodyDiv w:val="1"/>
      <w:marLeft w:val="0"/>
      <w:marRight w:val="0"/>
      <w:marTop w:val="0"/>
      <w:marBottom w:val="0"/>
      <w:divBdr>
        <w:top w:val="none" w:sz="0" w:space="0" w:color="auto"/>
        <w:left w:val="none" w:sz="0" w:space="0" w:color="auto"/>
        <w:bottom w:val="none" w:sz="0" w:space="0" w:color="auto"/>
        <w:right w:val="none" w:sz="0" w:space="0" w:color="auto"/>
      </w:divBdr>
    </w:div>
    <w:div w:id="69835963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8767226">
      <w:bodyDiv w:val="1"/>
      <w:marLeft w:val="0"/>
      <w:marRight w:val="0"/>
      <w:marTop w:val="0"/>
      <w:marBottom w:val="0"/>
      <w:divBdr>
        <w:top w:val="none" w:sz="0" w:space="0" w:color="auto"/>
        <w:left w:val="none" w:sz="0" w:space="0" w:color="auto"/>
        <w:bottom w:val="none" w:sz="0" w:space="0" w:color="auto"/>
        <w:right w:val="none" w:sz="0" w:space="0" w:color="auto"/>
      </w:divBdr>
    </w:div>
    <w:div w:id="784075727">
      <w:bodyDiv w:val="1"/>
      <w:marLeft w:val="0"/>
      <w:marRight w:val="0"/>
      <w:marTop w:val="0"/>
      <w:marBottom w:val="0"/>
      <w:divBdr>
        <w:top w:val="none" w:sz="0" w:space="0" w:color="auto"/>
        <w:left w:val="none" w:sz="0" w:space="0" w:color="auto"/>
        <w:bottom w:val="none" w:sz="0" w:space="0" w:color="auto"/>
        <w:right w:val="none" w:sz="0" w:space="0" w:color="auto"/>
      </w:divBdr>
      <w:divsChild>
        <w:div w:id="1422146355">
          <w:marLeft w:val="0"/>
          <w:marRight w:val="0"/>
          <w:marTop w:val="0"/>
          <w:marBottom w:val="0"/>
          <w:divBdr>
            <w:top w:val="none" w:sz="0" w:space="0" w:color="auto"/>
            <w:left w:val="none" w:sz="0" w:space="0" w:color="auto"/>
            <w:bottom w:val="none" w:sz="0" w:space="0" w:color="auto"/>
            <w:right w:val="none" w:sz="0" w:space="0" w:color="auto"/>
          </w:divBdr>
          <w:divsChild>
            <w:div w:id="1420909987">
              <w:marLeft w:val="0"/>
              <w:marRight w:val="0"/>
              <w:marTop w:val="0"/>
              <w:marBottom w:val="0"/>
              <w:divBdr>
                <w:top w:val="none" w:sz="0" w:space="0" w:color="auto"/>
                <w:left w:val="none" w:sz="0" w:space="0" w:color="auto"/>
                <w:bottom w:val="none" w:sz="0" w:space="0" w:color="auto"/>
                <w:right w:val="none" w:sz="0" w:space="0" w:color="auto"/>
              </w:divBdr>
              <w:divsChild>
                <w:div w:id="5741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718301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3722940">
      <w:bodyDiv w:val="1"/>
      <w:marLeft w:val="0"/>
      <w:marRight w:val="0"/>
      <w:marTop w:val="0"/>
      <w:marBottom w:val="0"/>
      <w:divBdr>
        <w:top w:val="none" w:sz="0" w:space="0" w:color="auto"/>
        <w:left w:val="none" w:sz="0" w:space="0" w:color="auto"/>
        <w:bottom w:val="none" w:sz="0" w:space="0" w:color="auto"/>
        <w:right w:val="none" w:sz="0" w:space="0" w:color="auto"/>
      </w:divBdr>
      <w:divsChild>
        <w:div w:id="184365488">
          <w:marLeft w:val="0"/>
          <w:marRight w:val="0"/>
          <w:marTop w:val="0"/>
          <w:marBottom w:val="0"/>
          <w:divBdr>
            <w:top w:val="none" w:sz="0" w:space="0" w:color="auto"/>
            <w:left w:val="none" w:sz="0" w:space="0" w:color="auto"/>
            <w:bottom w:val="none" w:sz="0" w:space="0" w:color="auto"/>
            <w:right w:val="none" w:sz="0" w:space="0" w:color="auto"/>
          </w:divBdr>
          <w:divsChild>
            <w:div w:id="1422988793">
              <w:marLeft w:val="0"/>
              <w:marRight w:val="0"/>
              <w:marTop w:val="0"/>
              <w:marBottom w:val="0"/>
              <w:divBdr>
                <w:top w:val="none" w:sz="0" w:space="0" w:color="auto"/>
                <w:left w:val="none" w:sz="0" w:space="0" w:color="auto"/>
                <w:bottom w:val="none" w:sz="0" w:space="0" w:color="auto"/>
                <w:right w:val="none" w:sz="0" w:space="0" w:color="auto"/>
              </w:divBdr>
              <w:divsChild>
                <w:div w:id="112010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765846">
      <w:bodyDiv w:val="1"/>
      <w:marLeft w:val="0"/>
      <w:marRight w:val="0"/>
      <w:marTop w:val="0"/>
      <w:marBottom w:val="0"/>
      <w:divBdr>
        <w:top w:val="none" w:sz="0" w:space="0" w:color="auto"/>
        <w:left w:val="none" w:sz="0" w:space="0" w:color="auto"/>
        <w:bottom w:val="none" w:sz="0" w:space="0" w:color="auto"/>
        <w:right w:val="none" w:sz="0" w:space="0" w:color="auto"/>
      </w:divBdr>
      <w:divsChild>
        <w:div w:id="802963909">
          <w:marLeft w:val="0"/>
          <w:marRight w:val="0"/>
          <w:marTop w:val="0"/>
          <w:marBottom w:val="0"/>
          <w:divBdr>
            <w:top w:val="none" w:sz="0" w:space="0" w:color="auto"/>
            <w:left w:val="none" w:sz="0" w:space="0" w:color="auto"/>
            <w:bottom w:val="none" w:sz="0" w:space="0" w:color="auto"/>
            <w:right w:val="none" w:sz="0" w:space="0" w:color="auto"/>
          </w:divBdr>
          <w:divsChild>
            <w:div w:id="383720271">
              <w:marLeft w:val="0"/>
              <w:marRight w:val="0"/>
              <w:marTop w:val="0"/>
              <w:marBottom w:val="0"/>
              <w:divBdr>
                <w:top w:val="none" w:sz="0" w:space="0" w:color="auto"/>
                <w:left w:val="none" w:sz="0" w:space="0" w:color="auto"/>
                <w:bottom w:val="none" w:sz="0" w:space="0" w:color="auto"/>
                <w:right w:val="none" w:sz="0" w:space="0" w:color="auto"/>
              </w:divBdr>
              <w:divsChild>
                <w:div w:id="122722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0158280">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6107953">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882345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7714898">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041595">
      <w:bodyDiv w:val="1"/>
      <w:marLeft w:val="0"/>
      <w:marRight w:val="0"/>
      <w:marTop w:val="0"/>
      <w:marBottom w:val="0"/>
      <w:divBdr>
        <w:top w:val="none" w:sz="0" w:space="0" w:color="auto"/>
        <w:left w:val="none" w:sz="0" w:space="0" w:color="auto"/>
        <w:bottom w:val="none" w:sz="0" w:space="0" w:color="auto"/>
        <w:right w:val="none" w:sz="0" w:space="0" w:color="auto"/>
      </w:divBdr>
      <w:divsChild>
        <w:div w:id="2105297757">
          <w:marLeft w:val="0"/>
          <w:marRight w:val="0"/>
          <w:marTop w:val="0"/>
          <w:marBottom w:val="0"/>
          <w:divBdr>
            <w:top w:val="none" w:sz="0" w:space="0" w:color="auto"/>
            <w:left w:val="none" w:sz="0" w:space="0" w:color="auto"/>
            <w:bottom w:val="none" w:sz="0" w:space="0" w:color="auto"/>
            <w:right w:val="none" w:sz="0" w:space="0" w:color="auto"/>
          </w:divBdr>
          <w:divsChild>
            <w:div w:id="1312759413">
              <w:marLeft w:val="0"/>
              <w:marRight w:val="0"/>
              <w:marTop w:val="0"/>
              <w:marBottom w:val="0"/>
              <w:divBdr>
                <w:top w:val="none" w:sz="0" w:space="0" w:color="auto"/>
                <w:left w:val="none" w:sz="0" w:space="0" w:color="auto"/>
                <w:bottom w:val="none" w:sz="0" w:space="0" w:color="auto"/>
                <w:right w:val="none" w:sz="0" w:space="0" w:color="auto"/>
              </w:divBdr>
              <w:divsChild>
                <w:div w:id="104945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036390">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2164866">
      <w:bodyDiv w:val="1"/>
      <w:marLeft w:val="0"/>
      <w:marRight w:val="0"/>
      <w:marTop w:val="0"/>
      <w:marBottom w:val="0"/>
      <w:divBdr>
        <w:top w:val="none" w:sz="0" w:space="0" w:color="auto"/>
        <w:left w:val="none" w:sz="0" w:space="0" w:color="auto"/>
        <w:bottom w:val="none" w:sz="0" w:space="0" w:color="auto"/>
        <w:right w:val="none" w:sz="0" w:space="0" w:color="auto"/>
      </w:divBdr>
      <w:divsChild>
        <w:div w:id="296760689">
          <w:marLeft w:val="0"/>
          <w:marRight w:val="0"/>
          <w:marTop w:val="0"/>
          <w:marBottom w:val="0"/>
          <w:divBdr>
            <w:top w:val="none" w:sz="0" w:space="0" w:color="auto"/>
            <w:left w:val="none" w:sz="0" w:space="0" w:color="auto"/>
            <w:bottom w:val="none" w:sz="0" w:space="0" w:color="auto"/>
            <w:right w:val="none" w:sz="0" w:space="0" w:color="auto"/>
          </w:divBdr>
          <w:divsChild>
            <w:div w:id="1073745745">
              <w:marLeft w:val="0"/>
              <w:marRight w:val="0"/>
              <w:marTop w:val="0"/>
              <w:marBottom w:val="0"/>
              <w:divBdr>
                <w:top w:val="none" w:sz="0" w:space="0" w:color="auto"/>
                <w:left w:val="none" w:sz="0" w:space="0" w:color="auto"/>
                <w:bottom w:val="none" w:sz="0" w:space="0" w:color="auto"/>
                <w:right w:val="none" w:sz="0" w:space="0" w:color="auto"/>
              </w:divBdr>
              <w:divsChild>
                <w:div w:id="259144006">
                  <w:marLeft w:val="0"/>
                  <w:marRight w:val="0"/>
                  <w:marTop w:val="0"/>
                  <w:marBottom w:val="0"/>
                  <w:divBdr>
                    <w:top w:val="none" w:sz="0" w:space="0" w:color="auto"/>
                    <w:left w:val="none" w:sz="0" w:space="0" w:color="auto"/>
                    <w:bottom w:val="none" w:sz="0" w:space="0" w:color="auto"/>
                    <w:right w:val="none" w:sz="0" w:space="0" w:color="auto"/>
                  </w:divBdr>
                  <w:divsChild>
                    <w:div w:id="50228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6309266">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7140971">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6209857">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47393420">
      <w:bodyDiv w:val="1"/>
      <w:marLeft w:val="0"/>
      <w:marRight w:val="0"/>
      <w:marTop w:val="0"/>
      <w:marBottom w:val="0"/>
      <w:divBdr>
        <w:top w:val="none" w:sz="0" w:space="0" w:color="auto"/>
        <w:left w:val="none" w:sz="0" w:space="0" w:color="auto"/>
        <w:bottom w:val="none" w:sz="0" w:space="0" w:color="auto"/>
        <w:right w:val="none" w:sz="0" w:space="0" w:color="auto"/>
      </w:divBdr>
      <w:divsChild>
        <w:div w:id="867252968">
          <w:marLeft w:val="0"/>
          <w:marRight w:val="0"/>
          <w:marTop w:val="0"/>
          <w:marBottom w:val="0"/>
          <w:divBdr>
            <w:top w:val="none" w:sz="0" w:space="0" w:color="auto"/>
            <w:left w:val="none" w:sz="0" w:space="0" w:color="auto"/>
            <w:bottom w:val="none" w:sz="0" w:space="0" w:color="auto"/>
            <w:right w:val="none" w:sz="0" w:space="0" w:color="auto"/>
          </w:divBdr>
          <w:divsChild>
            <w:div w:id="1451439246">
              <w:marLeft w:val="0"/>
              <w:marRight w:val="0"/>
              <w:marTop w:val="0"/>
              <w:marBottom w:val="0"/>
              <w:divBdr>
                <w:top w:val="none" w:sz="0" w:space="0" w:color="auto"/>
                <w:left w:val="none" w:sz="0" w:space="0" w:color="auto"/>
                <w:bottom w:val="none" w:sz="0" w:space="0" w:color="auto"/>
                <w:right w:val="none" w:sz="0" w:space="0" w:color="auto"/>
              </w:divBdr>
              <w:divsChild>
                <w:div w:id="181155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777202">
      <w:bodyDiv w:val="1"/>
      <w:marLeft w:val="0"/>
      <w:marRight w:val="0"/>
      <w:marTop w:val="0"/>
      <w:marBottom w:val="0"/>
      <w:divBdr>
        <w:top w:val="none" w:sz="0" w:space="0" w:color="auto"/>
        <w:left w:val="none" w:sz="0" w:space="0" w:color="auto"/>
        <w:bottom w:val="none" w:sz="0" w:space="0" w:color="auto"/>
        <w:right w:val="none" w:sz="0" w:space="0" w:color="auto"/>
      </w:divBdr>
      <w:divsChild>
        <w:div w:id="1548105905">
          <w:marLeft w:val="0"/>
          <w:marRight w:val="0"/>
          <w:marTop w:val="0"/>
          <w:marBottom w:val="0"/>
          <w:divBdr>
            <w:top w:val="none" w:sz="0" w:space="0" w:color="auto"/>
            <w:left w:val="none" w:sz="0" w:space="0" w:color="auto"/>
            <w:bottom w:val="none" w:sz="0" w:space="0" w:color="auto"/>
            <w:right w:val="none" w:sz="0" w:space="0" w:color="auto"/>
          </w:divBdr>
          <w:divsChild>
            <w:div w:id="1053508095">
              <w:marLeft w:val="0"/>
              <w:marRight w:val="0"/>
              <w:marTop w:val="0"/>
              <w:marBottom w:val="0"/>
              <w:divBdr>
                <w:top w:val="none" w:sz="0" w:space="0" w:color="auto"/>
                <w:left w:val="none" w:sz="0" w:space="0" w:color="auto"/>
                <w:bottom w:val="none" w:sz="0" w:space="0" w:color="auto"/>
                <w:right w:val="none" w:sz="0" w:space="0" w:color="auto"/>
              </w:divBdr>
              <w:divsChild>
                <w:div w:id="109544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8358661">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201450">
      <w:bodyDiv w:val="1"/>
      <w:marLeft w:val="0"/>
      <w:marRight w:val="0"/>
      <w:marTop w:val="0"/>
      <w:marBottom w:val="0"/>
      <w:divBdr>
        <w:top w:val="none" w:sz="0" w:space="0" w:color="auto"/>
        <w:left w:val="none" w:sz="0" w:space="0" w:color="auto"/>
        <w:bottom w:val="none" w:sz="0" w:space="0" w:color="auto"/>
        <w:right w:val="none" w:sz="0" w:space="0" w:color="auto"/>
      </w:divBdr>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1440094">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3356704">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6211031">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341715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7972508">
      <w:bodyDiv w:val="1"/>
      <w:marLeft w:val="0"/>
      <w:marRight w:val="0"/>
      <w:marTop w:val="0"/>
      <w:marBottom w:val="0"/>
      <w:divBdr>
        <w:top w:val="none" w:sz="0" w:space="0" w:color="auto"/>
        <w:left w:val="none" w:sz="0" w:space="0" w:color="auto"/>
        <w:bottom w:val="none" w:sz="0" w:space="0" w:color="auto"/>
        <w:right w:val="none" w:sz="0" w:space="0" w:color="auto"/>
      </w:divBdr>
    </w:div>
    <w:div w:id="1994260761">
      <w:bodyDiv w:val="1"/>
      <w:marLeft w:val="0"/>
      <w:marRight w:val="0"/>
      <w:marTop w:val="0"/>
      <w:marBottom w:val="0"/>
      <w:divBdr>
        <w:top w:val="none" w:sz="0" w:space="0" w:color="auto"/>
        <w:left w:val="none" w:sz="0" w:space="0" w:color="auto"/>
        <w:bottom w:val="none" w:sz="0" w:space="0" w:color="auto"/>
        <w:right w:val="none" w:sz="0" w:space="0" w:color="auto"/>
      </w:divBdr>
      <w:divsChild>
        <w:div w:id="104422062">
          <w:marLeft w:val="0"/>
          <w:marRight w:val="0"/>
          <w:marTop w:val="0"/>
          <w:marBottom w:val="0"/>
          <w:divBdr>
            <w:top w:val="none" w:sz="0" w:space="0" w:color="auto"/>
            <w:left w:val="none" w:sz="0" w:space="0" w:color="auto"/>
            <w:bottom w:val="none" w:sz="0" w:space="0" w:color="auto"/>
            <w:right w:val="none" w:sz="0" w:space="0" w:color="auto"/>
          </w:divBdr>
          <w:divsChild>
            <w:div w:id="391932008">
              <w:marLeft w:val="0"/>
              <w:marRight w:val="0"/>
              <w:marTop w:val="0"/>
              <w:marBottom w:val="0"/>
              <w:divBdr>
                <w:top w:val="none" w:sz="0" w:space="0" w:color="auto"/>
                <w:left w:val="none" w:sz="0" w:space="0" w:color="auto"/>
                <w:bottom w:val="none" w:sz="0" w:space="0" w:color="auto"/>
                <w:right w:val="none" w:sz="0" w:space="0" w:color="auto"/>
              </w:divBdr>
              <w:divsChild>
                <w:div w:id="545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5916025">
      <w:bodyDiv w:val="1"/>
      <w:marLeft w:val="0"/>
      <w:marRight w:val="0"/>
      <w:marTop w:val="0"/>
      <w:marBottom w:val="0"/>
      <w:divBdr>
        <w:top w:val="none" w:sz="0" w:space="0" w:color="auto"/>
        <w:left w:val="none" w:sz="0" w:space="0" w:color="auto"/>
        <w:bottom w:val="none" w:sz="0" w:space="0" w:color="auto"/>
        <w:right w:val="none" w:sz="0" w:space="0" w:color="auto"/>
      </w:divBdr>
      <w:divsChild>
        <w:div w:id="783884610">
          <w:marLeft w:val="0"/>
          <w:marRight w:val="0"/>
          <w:marTop w:val="0"/>
          <w:marBottom w:val="0"/>
          <w:divBdr>
            <w:top w:val="none" w:sz="0" w:space="0" w:color="auto"/>
            <w:left w:val="none" w:sz="0" w:space="0" w:color="auto"/>
            <w:bottom w:val="none" w:sz="0" w:space="0" w:color="auto"/>
            <w:right w:val="none" w:sz="0" w:space="0" w:color="auto"/>
          </w:divBdr>
          <w:divsChild>
            <w:div w:id="1107458244">
              <w:marLeft w:val="0"/>
              <w:marRight w:val="0"/>
              <w:marTop w:val="0"/>
              <w:marBottom w:val="0"/>
              <w:divBdr>
                <w:top w:val="none" w:sz="0" w:space="0" w:color="auto"/>
                <w:left w:val="none" w:sz="0" w:space="0" w:color="auto"/>
                <w:bottom w:val="none" w:sz="0" w:space="0" w:color="auto"/>
                <w:right w:val="none" w:sz="0" w:space="0" w:color="auto"/>
              </w:divBdr>
              <w:divsChild>
                <w:div w:id="159128880">
                  <w:marLeft w:val="0"/>
                  <w:marRight w:val="0"/>
                  <w:marTop w:val="0"/>
                  <w:marBottom w:val="0"/>
                  <w:divBdr>
                    <w:top w:val="none" w:sz="0" w:space="0" w:color="auto"/>
                    <w:left w:val="none" w:sz="0" w:space="0" w:color="auto"/>
                    <w:bottom w:val="none" w:sz="0" w:space="0" w:color="auto"/>
                    <w:right w:val="none" w:sz="0" w:space="0" w:color="auto"/>
                  </w:divBdr>
                  <w:divsChild>
                    <w:div w:id="668993830">
                      <w:marLeft w:val="0"/>
                      <w:marRight w:val="0"/>
                      <w:marTop w:val="0"/>
                      <w:marBottom w:val="0"/>
                      <w:divBdr>
                        <w:top w:val="none" w:sz="0" w:space="0" w:color="auto"/>
                        <w:left w:val="none" w:sz="0" w:space="0" w:color="auto"/>
                        <w:bottom w:val="none" w:sz="0" w:space="0" w:color="auto"/>
                        <w:right w:val="none" w:sz="0" w:space="0" w:color="auto"/>
                      </w:divBdr>
                      <w:divsChild>
                        <w:div w:id="1273974727">
                          <w:marLeft w:val="0"/>
                          <w:marRight w:val="0"/>
                          <w:marTop w:val="0"/>
                          <w:marBottom w:val="0"/>
                          <w:divBdr>
                            <w:top w:val="none" w:sz="0" w:space="0" w:color="auto"/>
                            <w:left w:val="none" w:sz="0" w:space="0" w:color="auto"/>
                            <w:bottom w:val="none" w:sz="0" w:space="0" w:color="auto"/>
                            <w:right w:val="none" w:sz="0" w:space="0" w:color="auto"/>
                          </w:divBdr>
                          <w:divsChild>
                            <w:div w:id="64645695">
                              <w:marLeft w:val="0"/>
                              <w:marRight w:val="0"/>
                              <w:marTop w:val="0"/>
                              <w:marBottom w:val="0"/>
                              <w:divBdr>
                                <w:top w:val="none" w:sz="0" w:space="0" w:color="auto"/>
                                <w:left w:val="none" w:sz="0" w:space="0" w:color="auto"/>
                                <w:bottom w:val="none" w:sz="0" w:space="0" w:color="auto"/>
                                <w:right w:val="none" w:sz="0" w:space="0" w:color="auto"/>
                              </w:divBdr>
                            </w:div>
                            <w:div w:id="190261289">
                              <w:marLeft w:val="0"/>
                              <w:marRight w:val="0"/>
                              <w:marTop w:val="0"/>
                              <w:marBottom w:val="0"/>
                              <w:divBdr>
                                <w:top w:val="none" w:sz="0" w:space="0" w:color="auto"/>
                                <w:left w:val="none" w:sz="0" w:space="0" w:color="auto"/>
                                <w:bottom w:val="none" w:sz="0" w:space="0" w:color="auto"/>
                                <w:right w:val="none" w:sz="0" w:space="0" w:color="auto"/>
                              </w:divBdr>
                            </w:div>
                            <w:div w:id="770782831">
                              <w:marLeft w:val="0"/>
                              <w:marRight w:val="0"/>
                              <w:marTop w:val="0"/>
                              <w:marBottom w:val="0"/>
                              <w:divBdr>
                                <w:top w:val="none" w:sz="0" w:space="0" w:color="auto"/>
                                <w:left w:val="none" w:sz="0" w:space="0" w:color="auto"/>
                                <w:bottom w:val="none" w:sz="0" w:space="0" w:color="auto"/>
                                <w:right w:val="none" w:sz="0" w:space="0" w:color="auto"/>
                              </w:divBdr>
                            </w:div>
                            <w:div w:id="139239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4766162">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886401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33</TotalTime>
  <Pages>14</Pages>
  <Words>4778</Words>
  <Characters>26279</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30996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51</cp:revision>
  <cp:lastPrinted>2020-01-30T15:05:00Z</cp:lastPrinted>
  <dcterms:created xsi:type="dcterms:W3CDTF">2021-04-13T22:07:00Z</dcterms:created>
  <dcterms:modified xsi:type="dcterms:W3CDTF">2021-04-13T23:42:00Z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