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46BEE" w14:textId="77777777" w:rsidR="001B7209" w:rsidRPr="00647468" w:rsidRDefault="001B7209" w:rsidP="00647468">
      <w:pPr>
        <w:spacing w:line="240" w:lineRule="auto"/>
        <w:jc w:val="both"/>
        <w:rPr>
          <w:rFonts w:ascii="Century Gothic" w:hAnsi="Century Gothic" w:cs="Arial"/>
          <w:b/>
          <w:bCs/>
          <w:sz w:val="20"/>
          <w:szCs w:val="20"/>
          <w:lang w:val="es-ES_tradnl"/>
        </w:rPr>
      </w:pPr>
      <w:r w:rsidRPr="00647468">
        <w:rPr>
          <w:rFonts w:ascii="Century Gothic" w:hAnsi="Century Gothic" w:cs="Arial"/>
          <w:b/>
          <w:bCs/>
          <w:sz w:val="20"/>
          <w:szCs w:val="20"/>
          <w:lang w:val="es-ES_tradnl"/>
        </w:rPr>
        <w:t>ANTICIPO – Regulación normativa</w:t>
      </w:r>
    </w:p>
    <w:p w14:paraId="74F14FEB" w14:textId="77777777" w:rsidR="001B7209" w:rsidRPr="00647468" w:rsidRDefault="001B7209" w:rsidP="00647468">
      <w:pPr>
        <w:spacing w:line="240" w:lineRule="auto"/>
        <w:jc w:val="both"/>
        <w:rPr>
          <w:rFonts w:ascii="Century Gothic" w:hAnsi="Century Gothic"/>
          <w:sz w:val="20"/>
          <w:szCs w:val="20"/>
        </w:rPr>
      </w:pPr>
      <w:r w:rsidRPr="00647468">
        <w:rPr>
          <w:rFonts w:ascii="Century Gothic" w:hAnsi="Century Gothic"/>
          <w:sz w:val="20"/>
          <w:szCs w:val="20"/>
        </w:rPr>
        <w:t xml:space="preserve">En materia de contratación pública, la figura del anticipo está prevista en dos (2) normas: el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w:t>
      </w:r>
    </w:p>
    <w:p w14:paraId="1EE489C5" w14:textId="4C33A943" w:rsidR="001B7209" w:rsidRPr="00647468" w:rsidRDefault="001B7209" w:rsidP="00647468">
      <w:pPr>
        <w:spacing w:line="240" w:lineRule="auto"/>
        <w:jc w:val="both"/>
        <w:rPr>
          <w:rFonts w:ascii="Century Gothic" w:hAnsi="Century Gothic" w:cs="Arial"/>
          <w:b/>
          <w:bCs/>
          <w:sz w:val="20"/>
          <w:szCs w:val="20"/>
          <w:lang w:val="es-ES_tradnl"/>
        </w:rPr>
      </w:pPr>
      <w:r w:rsidRPr="00647468">
        <w:rPr>
          <w:rFonts w:ascii="Century Gothic" w:hAnsi="Century Gothic"/>
          <w:sz w:val="20"/>
          <w:szCs w:val="20"/>
        </w:rPr>
        <w:t>Por su parte, el artículo 91 de la Ley 1474 de 2011 consagra una regla especial para el manejo del anticipo. Según esta disposición, el contratista tiene la obligación de constituir una fiducia o un patrimonio autónomo irrevocable para el manejo de los recursos que reciba a título de anticipo, cuando se pacte en contratos de obra, concesión, salud, o en todos aquellos que se realicen por licitación pública, “salvo que el contrato sea de menor o mínima cuantía”. Lo anterior, con el fin de garantizar que se destinen exclusivamente a la ejecución del contrato</w:t>
      </w:r>
    </w:p>
    <w:p w14:paraId="32C0602F" w14:textId="77777777" w:rsidR="001B7209" w:rsidRPr="00647468" w:rsidRDefault="001B7209" w:rsidP="00647468">
      <w:pPr>
        <w:spacing w:line="240" w:lineRule="auto"/>
        <w:jc w:val="both"/>
        <w:rPr>
          <w:rFonts w:ascii="Century Gothic" w:hAnsi="Century Gothic" w:cs="Arial"/>
          <w:b/>
          <w:bCs/>
          <w:sz w:val="20"/>
          <w:szCs w:val="20"/>
        </w:rPr>
      </w:pPr>
      <w:r w:rsidRPr="00647468">
        <w:rPr>
          <w:rFonts w:ascii="Century Gothic" w:hAnsi="Century Gothic" w:cs="Arial"/>
          <w:b/>
          <w:bCs/>
          <w:sz w:val="20"/>
          <w:szCs w:val="20"/>
        </w:rPr>
        <w:t xml:space="preserve">ANTICIPO – Definición jurisprudencial </w:t>
      </w:r>
    </w:p>
    <w:p w14:paraId="53A7375C" w14:textId="77777777" w:rsidR="001B7209" w:rsidRPr="00647468" w:rsidRDefault="001B7209" w:rsidP="00647468">
      <w:pPr>
        <w:spacing w:line="240" w:lineRule="auto"/>
        <w:jc w:val="both"/>
        <w:rPr>
          <w:rFonts w:ascii="Century Gothic" w:hAnsi="Century Gothic"/>
          <w:sz w:val="20"/>
          <w:szCs w:val="20"/>
        </w:rPr>
      </w:pPr>
      <w:r w:rsidRPr="00647468">
        <w:rPr>
          <w:rFonts w:ascii="Century Gothic" w:hAnsi="Century Gothic"/>
          <w:sz w:val="20"/>
          <w:szCs w:val="20"/>
        </w:rPr>
        <w:t>El Consejo de Estado se refirió al anticipo como “un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p>
    <w:p w14:paraId="69A90DB4" w14:textId="77777777" w:rsidR="001B7209" w:rsidRPr="00647468" w:rsidRDefault="001B7209" w:rsidP="00647468">
      <w:pPr>
        <w:spacing w:line="240" w:lineRule="auto"/>
        <w:jc w:val="both"/>
        <w:rPr>
          <w:rFonts w:ascii="Century Gothic" w:hAnsi="Century Gothic"/>
          <w:sz w:val="20"/>
          <w:szCs w:val="20"/>
        </w:rPr>
      </w:pPr>
      <w:r w:rsidRPr="00647468">
        <w:rPr>
          <w:rFonts w:ascii="Century Gothic" w:hAnsi="Century Gothic"/>
          <w:sz w:val="20"/>
          <w:szCs w:val="20"/>
        </w:rPr>
        <w:t xml:space="preserve">Sobre la calidad de recurso público del anticipo, la jurisprudencia ha reiterado que “dicho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 Igualmente, explica que el anticipo, al facilitar al contratista la financiación de los bienes y servicios que se le han encargado, es un factor determinante para impulsar la ejecución del contrato. Este también es el entendimiento de la doctrina, que ha considerado el anticipo como un dinero entregado al contratista que debe cancelarse mediante descuentos parciales, siendo una práctica común que permite impulsar la ejecución del contrato. </w:t>
      </w:r>
    </w:p>
    <w:p w14:paraId="0E613227" w14:textId="4504F147" w:rsidR="001B7209" w:rsidRPr="00647468" w:rsidRDefault="001B7209" w:rsidP="00647468">
      <w:pPr>
        <w:spacing w:line="240" w:lineRule="auto"/>
        <w:jc w:val="both"/>
        <w:rPr>
          <w:rFonts w:ascii="Century Gothic" w:hAnsi="Century Gothic" w:cs="Arial"/>
          <w:b/>
          <w:bCs/>
          <w:sz w:val="20"/>
          <w:szCs w:val="20"/>
        </w:rPr>
      </w:pPr>
      <w:r w:rsidRPr="00647468">
        <w:rPr>
          <w:rFonts w:ascii="Century Gothic" w:hAnsi="Century Gothic"/>
          <w:sz w:val="20"/>
          <w:szCs w:val="20"/>
        </w:rPr>
        <w:t>Así, de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p>
    <w:p w14:paraId="1176B857" w14:textId="77777777" w:rsidR="001B7209" w:rsidRPr="00647468" w:rsidRDefault="001B7209" w:rsidP="00647468">
      <w:pPr>
        <w:spacing w:line="240" w:lineRule="auto"/>
        <w:jc w:val="both"/>
        <w:rPr>
          <w:rFonts w:ascii="Century Gothic" w:hAnsi="Century Gothic" w:cs="Arial"/>
          <w:b/>
          <w:bCs/>
          <w:sz w:val="20"/>
          <w:szCs w:val="20"/>
        </w:rPr>
      </w:pPr>
      <w:r w:rsidRPr="00647468">
        <w:rPr>
          <w:rFonts w:ascii="Century Gothic" w:hAnsi="Century Gothic" w:cs="Arial"/>
          <w:b/>
          <w:bCs/>
          <w:sz w:val="20"/>
          <w:szCs w:val="20"/>
        </w:rPr>
        <w:t>ANTICIPO – Autonomía de la voluntad – Derechos y obligaciones recíprocos</w:t>
      </w:r>
    </w:p>
    <w:p w14:paraId="284EDD10" w14:textId="77777777" w:rsidR="001B7209" w:rsidRPr="00647468" w:rsidRDefault="001B7209" w:rsidP="00647468">
      <w:pPr>
        <w:spacing w:line="240" w:lineRule="auto"/>
        <w:jc w:val="both"/>
        <w:rPr>
          <w:rFonts w:ascii="Century Gothic" w:hAnsi="Century Gothic"/>
          <w:sz w:val="20"/>
          <w:szCs w:val="20"/>
        </w:rPr>
      </w:pPr>
      <w:r w:rsidRPr="00647468">
        <w:rPr>
          <w:rFonts w:ascii="Century Gothic" w:hAnsi="Century Gothic"/>
          <w:sz w:val="20"/>
          <w:szCs w:val="20"/>
        </w:rPr>
        <w:lastRenderedPageBreak/>
        <w:t xml:space="preserve">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cincuenta por ciento (50%) del valor del contrato–, el plazo de amortización, las condiciones necesarias para su exigibilidad, así como todas las obligaciones para su correcta inversión. </w:t>
      </w:r>
    </w:p>
    <w:p w14:paraId="5A8C7596" w14:textId="5E6A1FB2" w:rsidR="001B7209" w:rsidRPr="00647468" w:rsidRDefault="001B7209" w:rsidP="00647468">
      <w:pPr>
        <w:spacing w:line="240" w:lineRule="auto"/>
        <w:jc w:val="both"/>
        <w:rPr>
          <w:rFonts w:ascii="Century Gothic" w:hAnsi="Century Gothic" w:cs="Arial"/>
          <w:b/>
          <w:bCs/>
          <w:sz w:val="20"/>
          <w:szCs w:val="20"/>
        </w:rPr>
      </w:pPr>
      <w:r w:rsidRPr="00647468">
        <w:rPr>
          <w:rFonts w:ascii="Century Gothic" w:hAnsi="Century Gothic"/>
          <w:sz w:val="20"/>
          <w:szCs w:val="20"/>
        </w:rPr>
        <w:t>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De hecho, el Estatuto General de Contratación de la Administración Pública dispone como única limitación el valor máximo que puede desembolsar la entidad para pactar el anticipo.</w:t>
      </w:r>
    </w:p>
    <w:p w14:paraId="7806BF71" w14:textId="128A93E3" w:rsidR="001B7209" w:rsidRPr="00647468" w:rsidRDefault="001B7209" w:rsidP="00647468">
      <w:pPr>
        <w:spacing w:line="240" w:lineRule="auto"/>
        <w:jc w:val="both"/>
        <w:rPr>
          <w:rFonts w:ascii="Century Gothic" w:hAnsi="Century Gothic" w:cs="Arial"/>
          <w:b/>
          <w:bCs/>
          <w:sz w:val="20"/>
          <w:szCs w:val="20"/>
        </w:rPr>
      </w:pPr>
      <w:r w:rsidRPr="00647468">
        <w:rPr>
          <w:rFonts w:ascii="Century Gothic" w:hAnsi="Century Gothic" w:cs="Arial"/>
          <w:b/>
          <w:bCs/>
          <w:sz w:val="20"/>
          <w:szCs w:val="20"/>
        </w:rPr>
        <w:t>CONSTITUCIÓN DE FIDUCIA O PATRIMONIO AUTÓNOMO IRREVOCABLE – Artículo 91 ley 1474 de 2011- Contratos aplicables.</w:t>
      </w:r>
    </w:p>
    <w:p w14:paraId="5E832983" w14:textId="7E07DCDF" w:rsidR="00647468" w:rsidRPr="00647468" w:rsidRDefault="00647468" w:rsidP="00647468">
      <w:pPr>
        <w:spacing w:line="240" w:lineRule="auto"/>
        <w:jc w:val="both"/>
        <w:rPr>
          <w:rFonts w:ascii="Century Gothic" w:hAnsi="Century Gothic"/>
          <w:sz w:val="20"/>
          <w:szCs w:val="20"/>
        </w:rPr>
      </w:pPr>
      <w:r w:rsidRPr="00647468">
        <w:rPr>
          <w:rFonts w:ascii="Century Gothic" w:hAnsi="Century Gothic"/>
          <w:sz w:val="20"/>
          <w:szCs w:val="20"/>
        </w:rPr>
        <w:t>Es evidente entonces que para ciertos tipos de contratos la Ley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solventar los costos iniciales de la ejecución, de acuerdo con las condiciones pactadas.</w:t>
      </w:r>
    </w:p>
    <w:p w14:paraId="5CDF3644" w14:textId="7A31AB3D" w:rsidR="00647468" w:rsidRPr="00647468" w:rsidRDefault="00647468" w:rsidP="00647468">
      <w:pPr>
        <w:spacing w:line="240" w:lineRule="auto"/>
        <w:jc w:val="both"/>
        <w:rPr>
          <w:rFonts w:ascii="Century Gothic" w:hAnsi="Century Gothic"/>
          <w:sz w:val="20"/>
          <w:szCs w:val="20"/>
        </w:rPr>
      </w:pPr>
      <w:r w:rsidRPr="00647468">
        <w:rPr>
          <w:rFonts w:ascii="Century Gothic" w:hAnsi="Century Gothic"/>
          <w:sz w:val="20"/>
          <w:szCs w:val="20"/>
        </w:rPr>
        <w:t xml:space="preserve">En ese sentido, es claro que 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ii) concesión, iii) salud y </w:t>
      </w:r>
      <w:proofErr w:type="spellStart"/>
      <w:r w:rsidRPr="00647468">
        <w:rPr>
          <w:rFonts w:ascii="Century Gothic" w:hAnsi="Century Gothic"/>
          <w:sz w:val="20"/>
          <w:szCs w:val="20"/>
        </w:rPr>
        <w:t>iv</w:t>
      </w:r>
      <w:proofErr w:type="spellEnd"/>
      <w:r w:rsidRPr="00647468">
        <w:rPr>
          <w:rFonts w:ascii="Century Gothic" w:hAnsi="Century Gothic"/>
          <w:sz w:val="20"/>
          <w:szCs w:val="20"/>
        </w:rPr>
        <w:t xml:space="preserve">) los contratos derivados de un proceso de licitación pública. </w:t>
      </w:r>
    </w:p>
    <w:p w14:paraId="248A4627" w14:textId="728113BD" w:rsidR="00647468" w:rsidRPr="00647468" w:rsidRDefault="00647468" w:rsidP="00647468">
      <w:pPr>
        <w:spacing w:line="240" w:lineRule="auto"/>
        <w:jc w:val="both"/>
        <w:rPr>
          <w:rFonts w:ascii="Century Gothic" w:hAnsi="Century Gothic" w:cs="Arial"/>
          <w:b/>
          <w:bCs/>
          <w:sz w:val="20"/>
          <w:szCs w:val="20"/>
        </w:rPr>
      </w:pPr>
      <w:r w:rsidRPr="00647468">
        <w:rPr>
          <w:rFonts w:ascii="Century Gothic" w:hAnsi="Century Gothic"/>
          <w:sz w:val="20"/>
          <w:szCs w:val="20"/>
        </w:rPr>
        <w:t>Aunque la norma menciona de manera general que en los cuatro casos anteriores se debe constituir patrimonio autónomo irrevocable o fiducia para el manejo del anticipo, la norma también determina una excepción de su aplicación para los cuatro tipos de contratos cuya disposición resulta obligatoria. Ello es así, por cuanto la expresión “salvo que el contrato sea de menor o mínima cuantía”, describe que, a pesar de las enunciaciones anteriores, dicha disposición imperativa no aplica en el supuesto de hecho de que la cuantía del contrato no resulte ser de mayor cuantía, sin discriminar modalidad de selección mediante la cual se celebre dichos contratos.</w:t>
      </w:r>
    </w:p>
    <w:p w14:paraId="263B4E5D" w14:textId="0C60C8DF" w:rsidR="001B7209" w:rsidRDefault="001B7209">
      <w:pPr>
        <w:rPr>
          <w:rFonts w:ascii="Century Gothic" w:hAnsi="Century Gothic" w:cs="Arial"/>
        </w:rPr>
      </w:pPr>
      <w:r>
        <w:rPr>
          <w:rFonts w:ascii="Century Gothic" w:hAnsi="Century Gothic" w:cs="Arial"/>
        </w:rPr>
        <w:br w:type="page"/>
      </w:r>
    </w:p>
    <w:p w14:paraId="3FE2184B" w14:textId="1E9DC92C" w:rsidR="00E245AB" w:rsidRPr="001B7209" w:rsidRDefault="001B7209" w:rsidP="00E245AB">
      <w:pPr>
        <w:spacing w:after="0"/>
        <w:rPr>
          <w:rFonts w:ascii="Century Gothic" w:hAnsi="Century Gothic" w:cs="Arial"/>
        </w:rPr>
      </w:pPr>
      <w:r w:rsidRPr="001B7209">
        <w:rPr>
          <w:rFonts w:ascii="Century Gothic" w:hAnsi="Century Gothic"/>
          <w:noProof/>
        </w:rPr>
        <w:lastRenderedPageBreak/>
        <w:drawing>
          <wp:anchor distT="0" distB="0" distL="114300" distR="114300" simplePos="0" relativeHeight="251658240" behindDoc="1" locked="0" layoutInCell="1" allowOverlap="1" wp14:anchorId="719429E2" wp14:editId="621A3AD7">
            <wp:simplePos x="0" y="0"/>
            <wp:positionH relativeFrom="column">
              <wp:posOffset>3101340</wp:posOffset>
            </wp:positionH>
            <wp:positionV relativeFrom="paragraph">
              <wp:posOffset>7620</wp:posOffset>
            </wp:positionV>
            <wp:extent cx="2895600" cy="857250"/>
            <wp:effectExtent l="0" t="0" r="0" b="0"/>
            <wp:wrapNone/>
            <wp:docPr id="16023366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33662"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95600" cy="857250"/>
                    </a:xfrm>
                    <a:prstGeom prst="rect">
                      <a:avLst/>
                    </a:prstGeom>
                  </pic:spPr>
                </pic:pic>
              </a:graphicData>
            </a:graphic>
          </wp:anchor>
        </w:drawing>
      </w:r>
      <w:r w:rsidR="00E245AB" w:rsidRPr="001B7209">
        <w:rPr>
          <w:rFonts w:ascii="Century Gothic" w:hAnsi="Century Gothic" w:cs="Arial"/>
        </w:rPr>
        <w:t>Bogotá D.C.,</w:t>
      </w:r>
      <w:r w:rsidRPr="001B7209">
        <w:rPr>
          <w:rFonts w:ascii="Century Gothic" w:hAnsi="Century Gothic" w:cs="Arial"/>
        </w:rPr>
        <w:t xml:space="preserve"> 10 de agosto de 2023</w:t>
      </w:r>
      <w:r w:rsidR="00E245AB" w:rsidRPr="001B7209">
        <w:rPr>
          <w:rFonts w:ascii="Century Gothic" w:hAnsi="Century Gothic" w:cs="Arial"/>
        </w:rPr>
        <w:tab/>
      </w:r>
    </w:p>
    <w:p w14:paraId="5FCADBF9" w14:textId="77777777" w:rsidR="00E245AB" w:rsidRPr="001B7209" w:rsidRDefault="00E245AB" w:rsidP="00E245AB">
      <w:pPr>
        <w:spacing w:after="0"/>
        <w:rPr>
          <w:rFonts w:ascii="Century Gothic" w:hAnsi="Century Gothic" w:cs="Arial"/>
        </w:rPr>
      </w:pPr>
    </w:p>
    <w:p w14:paraId="0465BA6D" w14:textId="77777777" w:rsidR="00E245AB" w:rsidRPr="001B7209" w:rsidRDefault="00E245AB" w:rsidP="00E245AB">
      <w:pPr>
        <w:spacing w:after="0"/>
        <w:rPr>
          <w:rFonts w:ascii="Century Gothic" w:hAnsi="Century Gothic" w:cs="Arial"/>
        </w:rPr>
      </w:pPr>
    </w:p>
    <w:p w14:paraId="66A9132E" w14:textId="32F13072" w:rsidR="00E271CA" w:rsidRPr="001B7209" w:rsidRDefault="00400548" w:rsidP="002C3309">
      <w:pPr>
        <w:spacing w:after="0"/>
        <w:rPr>
          <w:rFonts w:ascii="Century Gothic" w:hAnsi="Century Gothic" w:cs="Arial"/>
        </w:rPr>
      </w:pPr>
      <w:r w:rsidRPr="001B7209">
        <w:rPr>
          <w:rFonts w:ascii="Century Gothic" w:hAnsi="Century Gothic" w:cs="Arial"/>
          <w:lang w:val="es-MX"/>
        </w:rPr>
        <w:t xml:space="preserve">Señor </w:t>
      </w:r>
    </w:p>
    <w:p w14:paraId="7F51BE33" w14:textId="670E1493" w:rsidR="00E271CA" w:rsidRPr="001B7209" w:rsidRDefault="00DF4C12" w:rsidP="00E271CA">
      <w:pPr>
        <w:spacing w:after="0" w:line="276" w:lineRule="auto"/>
        <w:jc w:val="both"/>
        <w:rPr>
          <w:rFonts w:ascii="Century Gothic" w:hAnsi="Century Gothic" w:cs="Arial"/>
          <w:b/>
        </w:rPr>
      </w:pPr>
      <w:r w:rsidRPr="001B7209">
        <w:rPr>
          <w:rFonts w:ascii="Century Gothic" w:hAnsi="Century Gothic" w:cs="Arial"/>
          <w:b/>
        </w:rPr>
        <w:t>Juan David Peláez Henao</w:t>
      </w:r>
    </w:p>
    <w:p w14:paraId="11D9B7B0" w14:textId="21E75735" w:rsidR="00E271CA" w:rsidRPr="001B7209" w:rsidRDefault="00DF4C12" w:rsidP="00E271CA">
      <w:pPr>
        <w:spacing w:after="0" w:line="276" w:lineRule="auto"/>
        <w:jc w:val="both"/>
        <w:rPr>
          <w:rFonts w:ascii="Century Gothic" w:hAnsi="Century Gothic" w:cs="Arial"/>
          <w:color w:val="000000" w:themeColor="text1"/>
        </w:rPr>
      </w:pPr>
      <w:r w:rsidRPr="001B7209">
        <w:rPr>
          <w:rFonts w:ascii="Century Gothic" w:hAnsi="Century Gothic" w:cs="Arial"/>
          <w:color w:val="000000" w:themeColor="text1"/>
        </w:rPr>
        <w:t>Pereira</w:t>
      </w:r>
      <w:r w:rsidR="00E271CA" w:rsidRPr="001B7209">
        <w:rPr>
          <w:rFonts w:ascii="Century Gothic" w:hAnsi="Century Gothic" w:cs="Arial"/>
          <w:color w:val="000000" w:themeColor="text1"/>
        </w:rPr>
        <w:t xml:space="preserve">, </w:t>
      </w:r>
      <w:r w:rsidR="007E558C" w:rsidRPr="001B7209">
        <w:rPr>
          <w:rFonts w:ascii="Century Gothic" w:hAnsi="Century Gothic" w:cs="Arial"/>
          <w:color w:val="000000" w:themeColor="text1"/>
        </w:rPr>
        <w:t>Risaralda</w:t>
      </w:r>
    </w:p>
    <w:p w14:paraId="68689202" w14:textId="77777777" w:rsidR="00E271CA" w:rsidRPr="001B7209" w:rsidRDefault="00E271CA" w:rsidP="00E271CA">
      <w:pPr>
        <w:spacing w:line="276" w:lineRule="auto"/>
        <w:jc w:val="both"/>
        <w:rPr>
          <w:rFonts w:ascii="Century Gothic" w:hAnsi="Century Gothic" w:cs="Arial"/>
          <w:color w:val="000000" w:themeColor="text1"/>
        </w:rPr>
      </w:pPr>
    </w:p>
    <w:p w14:paraId="0EB643FA" w14:textId="6E621C74" w:rsidR="00E271CA" w:rsidRPr="001B7209" w:rsidRDefault="00E271CA" w:rsidP="00E271CA">
      <w:pPr>
        <w:spacing w:line="276" w:lineRule="auto"/>
        <w:ind w:firstLine="2694"/>
        <w:jc w:val="both"/>
        <w:outlineLvl w:val="0"/>
        <w:rPr>
          <w:rFonts w:ascii="Century Gothic" w:hAnsi="Century Gothic" w:cs="Arial"/>
          <w:b/>
        </w:rPr>
      </w:pPr>
      <w:r w:rsidRPr="001B7209">
        <w:rPr>
          <w:rFonts w:ascii="Century Gothic" w:hAnsi="Century Gothic" w:cs="Arial"/>
          <w:b/>
        </w:rPr>
        <w:t xml:space="preserve">Concepto C – </w:t>
      </w:r>
      <w:r w:rsidR="007E558C" w:rsidRPr="001B7209">
        <w:rPr>
          <w:rFonts w:ascii="Century Gothic" w:hAnsi="Century Gothic" w:cs="Arial"/>
          <w:b/>
        </w:rPr>
        <w:t>157</w:t>
      </w:r>
      <w:r w:rsidRPr="001B7209">
        <w:rPr>
          <w:rFonts w:ascii="Century Gothic" w:hAnsi="Century Gothic" w:cs="Arial"/>
          <w:b/>
        </w:rPr>
        <w:t xml:space="preserve"> de 2023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271CA" w:rsidRPr="001B7209" w14:paraId="17F63C27" w14:textId="77777777" w:rsidTr="00254C6E">
        <w:tc>
          <w:tcPr>
            <w:tcW w:w="2689" w:type="dxa"/>
            <w:hideMark/>
          </w:tcPr>
          <w:p w14:paraId="015A7ADB" w14:textId="77777777" w:rsidR="00E271CA" w:rsidRPr="001B7209" w:rsidRDefault="00E271CA" w:rsidP="00254C6E">
            <w:pPr>
              <w:jc w:val="both"/>
              <w:rPr>
                <w:rFonts w:ascii="Century Gothic" w:hAnsi="Century Gothic" w:cs="Arial"/>
              </w:rPr>
            </w:pPr>
            <w:r w:rsidRPr="001B7209">
              <w:rPr>
                <w:rFonts w:ascii="Century Gothic" w:hAnsi="Century Gothic" w:cs="Arial"/>
                <w:b/>
              </w:rPr>
              <w:t>Temas:</w:t>
            </w:r>
            <w:r w:rsidRPr="001B7209">
              <w:rPr>
                <w:rFonts w:ascii="Century Gothic" w:hAnsi="Century Gothic" w:cs="Arial"/>
              </w:rPr>
              <w:t xml:space="preserve">           </w:t>
            </w:r>
          </w:p>
          <w:p w14:paraId="0727DD68" w14:textId="77777777" w:rsidR="00E271CA" w:rsidRPr="001B7209" w:rsidRDefault="00E271CA" w:rsidP="00254C6E">
            <w:pPr>
              <w:jc w:val="both"/>
              <w:rPr>
                <w:rFonts w:ascii="Century Gothic" w:hAnsi="Century Gothic" w:cs="Arial"/>
              </w:rPr>
            </w:pPr>
            <w:r w:rsidRPr="001B7209">
              <w:rPr>
                <w:rFonts w:ascii="Century Gothic" w:hAnsi="Century Gothic" w:cs="Arial"/>
              </w:rPr>
              <w:t xml:space="preserve">                           </w:t>
            </w:r>
          </w:p>
        </w:tc>
        <w:tc>
          <w:tcPr>
            <w:tcW w:w="6237" w:type="dxa"/>
            <w:hideMark/>
          </w:tcPr>
          <w:p w14:paraId="1F659AF4" w14:textId="77777777" w:rsidR="00E271CA" w:rsidRPr="001B7209" w:rsidRDefault="00E271CA" w:rsidP="00254C6E">
            <w:pPr>
              <w:jc w:val="both"/>
              <w:outlineLvl w:val="0"/>
              <w:rPr>
                <w:rFonts w:ascii="Century Gothic" w:hAnsi="Century Gothic" w:cs="Arial"/>
              </w:rPr>
            </w:pPr>
            <w:r w:rsidRPr="001B7209">
              <w:rPr>
                <w:rFonts w:ascii="Century Gothic" w:hAnsi="Century Gothic" w:cs="Arial"/>
                <w:lang w:val="es-ES_tradnl"/>
              </w:rPr>
              <w:t xml:space="preserve">ANTICIPO – Regulación normativa </w:t>
            </w:r>
            <w:r w:rsidRPr="001B7209">
              <w:rPr>
                <w:rFonts w:ascii="Century Gothic" w:hAnsi="Century Gothic" w:cs="Arial"/>
              </w:rPr>
              <w:t xml:space="preserve">/ ANTICIPO – Definición jurisprudencial / ANTICIPO – Autonomía de la voluntad – Derechos y obligaciones recíprocos / CONSTITUCIÓN DE FIDUCIA O PATRIMONIO AUTÓNOMO IRREVOCABLE – Artículo 91 ley 1474 de 2011- Contratos aplicables. </w:t>
            </w:r>
          </w:p>
        </w:tc>
      </w:tr>
      <w:tr w:rsidR="00E271CA" w:rsidRPr="001B7209" w14:paraId="747CF278" w14:textId="77777777" w:rsidTr="00254C6E">
        <w:trPr>
          <w:trHeight w:val="215"/>
        </w:trPr>
        <w:tc>
          <w:tcPr>
            <w:tcW w:w="2689" w:type="dxa"/>
          </w:tcPr>
          <w:p w14:paraId="5C6E5428" w14:textId="77777777" w:rsidR="00E271CA" w:rsidRPr="001B7209" w:rsidRDefault="00E271CA" w:rsidP="00254C6E">
            <w:pPr>
              <w:spacing w:before="120"/>
              <w:jc w:val="both"/>
              <w:rPr>
                <w:rFonts w:ascii="Century Gothic" w:hAnsi="Century Gothic" w:cs="Arial"/>
                <w:b/>
              </w:rPr>
            </w:pPr>
            <w:r w:rsidRPr="001B7209">
              <w:rPr>
                <w:rFonts w:ascii="Century Gothic" w:hAnsi="Century Gothic" w:cs="Arial"/>
                <w:b/>
              </w:rPr>
              <w:t>Radicación:</w:t>
            </w:r>
            <w:r w:rsidRPr="001B7209">
              <w:rPr>
                <w:rFonts w:ascii="Century Gothic" w:hAnsi="Century Gothic" w:cs="Arial"/>
              </w:rPr>
              <w:t xml:space="preserve">                              </w:t>
            </w:r>
          </w:p>
        </w:tc>
        <w:tc>
          <w:tcPr>
            <w:tcW w:w="6237" w:type="dxa"/>
          </w:tcPr>
          <w:p w14:paraId="0F9F7CA1" w14:textId="4E632A65" w:rsidR="00E271CA" w:rsidRPr="001B7209" w:rsidRDefault="00E271CA" w:rsidP="00254C6E">
            <w:pPr>
              <w:spacing w:before="120"/>
              <w:jc w:val="both"/>
              <w:rPr>
                <w:rFonts w:ascii="Century Gothic" w:hAnsi="Century Gothic" w:cs="Arial"/>
              </w:rPr>
            </w:pPr>
            <w:r w:rsidRPr="001B7209">
              <w:rPr>
                <w:rFonts w:ascii="Century Gothic" w:hAnsi="Century Gothic" w:cs="Arial"/>
              </w:rPr>
              <w:t xml:space="preserve">Respuesta a consulta </w:t>
            </w:r>
            <w:r w:rsidR="00CF69B9" w:rsidRPr="001B7209">
              <w:rPr>
                <w:rFonts w:ascii="Century Gothic" w:hAnsi="Century Gothic" w:cs="Arial"/>
              </w:rPr>
              <w:t>P20230621012526</w:t>
            </w:r>
          </w:p>
        </w:tc>
      </w:tr>
    </w:tbl>
    <w:p w14:paraId="1B202097" w14:textId="77777777" w:rsidR="00BE6367" w:rsidRPr="001B7209" w:rsidRDefault="00BE6367" w:rsidP="00E271CA">
      <w:pPr>
        <w:pStyle w:val="Textoindependiente"/>
        <w:spacing w:before="7" w:line="276" w:lineRule="auto"/>
        <w:jc w:val="both"/>
        <w:rPr>
          <w:rFonts w:ascii="Century Gothic" w:hAnsi="Century Gothic" w:cs="Arial"/>
          <w:sz w:val="22"/>
          <w:szCs w:val="22"/>
        </w:rPr>
      </w:pPr>
    </w:p>
    <w:p w14:paraId="4F72EBE0" w14:textId="2431874B" w:rsidR="00E271CA" w:rsidRPr="001B7209" w:rsidRDefault="00E271CA" w:rsidP="00E271CA">
      <w:pPr>
        <w:pStyle w:val="Textoindependiente"/>
        <w:spacing w:before="7" w:line="276" w:lineRule="auto"/>
        <w:jc w:val="both"/>
        <w:rPr>
          <w:rFonts w:ascii="Century Gothic" w:eastAsiaTheme="minorHAnsi" w:hAnsi="Century Gothic" w:cs="Arial"/>
          <w:sz w:val="22"/>
          <w:szCs w:val="22"/>
        </w:rPr>
      </w:pPr>
      <w:r w:rsidRPr="001B7209">
        <w:rPr>
          <w:rFonts w:ascii="Century Gothic" w:hAnsi="Century Gothic" w:cs="Arial"/>
          <w:sz w:val="22"/>
          <w:szCs w:val="22"/>
        </w:rPr>
        <w:t xml:space="preserve">Estimado señor </w:t>
      </w:r>
      <w:r w:rsidR="000A0373" w:rsidRPr="001B7209">
        <w:rPr>
          <w:rFonts w:ascii="Century Gothic" w:eastAsiaTheme="minorHAnsi" w:hAnsi="Century Gothic" w:cs="Arial"/>
          <w:sz w:val="22"/>
          <w:szCs w:val="22"/>
        </w:rPr>
        <w:t>Peláez</w:t>
      </w:r>
      <w:r w:rsidRPr="001B7209">
        <w:rPr>
          <w:rFonts w:ascii="Century Gothic" w:eastAsiaTheme="minorHAnsi" w:hAnsi="Century Gothic" w:cs="Arial"/>
          <w:sz w:val="22"/>
          <w:szCs w:val="22"/>
        </w:rPr>
        <w:t xml:space="preserve">, </w:t>
      </w:r>
    </w:p>
    <w:p w14:paraId="06CFD575" w14:textId="4DF97351" w:rsidR="00E271CA" w:rsidRPr="001B7209" w:rsidRDefault="00E271CA" w:rsidP="00E271CA">
      <w:pPr>
        <w:spacing w:line="276" w:lineRule="auto"/>
        <w:jc w:val="both"/>
        <w:rPr>
          <w:rFonts w:ascii="Century Gothic" w:hAnsi="Century Gothic" w:cs="Arial"/>
        </w:rPr>
      </w:pPr>
      <w:r w:rsidRPr="001B7209">
        <w:rPr>
          <w:rFonts w:ascii="Century Gothic" w:hAnsi="Century Gothic" w:cs="Arial"/>
        </w:rPr>
        <w:t xml:space="preserve">En ejercicio de la competencia otorgada por el numeral 8 del artículo 11 y el numeral 5 del artículo 3 del Decreto Ley 4170 de 2011, la Agencia Nacional de Contratación Pública− Colombia Compra Eficiente responde su consulta de fecha </w:t>
      </w:r>
      <w:r w:rsidR="00C01198" w:rsidRPr="001B7209">
        <w:rPr>
          <w:rFonts w:ascii="Century Gothic" w:hAnsi="Century Gothic" w:cs="Arial"/>
        </w:rPr>
        <w:t>21 de</w:t>
      </w:r>
      <w:r w:rsidR="00F64F2B" w:rsidRPr="001B7209">
        <w:rPr>
          <w:rFonts w:ascii="Century Gothic" w:hAnsi="Century Gothic" w:cs="Arial"/>
        </w:rPr>
        <w:t xml:space="preserve"> junio</w:t>
      </w:r>
      <w:r w:rsidRPr="001B7209">
        <w:rPr>
          <w:rFonts w:ascii="Century Gothic" w:hAnsi="Century Gothic" w:cs="Arial"/>
        </w:rPr>
        <w:t xml:space="preserve"> de 202</w:t>
      </w:r>
      <w:r w:rsidR="00F64F2B" w:rsidRPr="001B7209">
        <w:rPr>
          <w:rFonts w:ascii="Century Gothic" w:hAnsi="Century Gothic" w:cs="Arial"/>
        </w:rPr>
        <w:t>3</w:t>
      </w:r>
      <w:r w:rsidRPr="001B7209">
        <w:rPr>
          <w:rFonts w:ascii="Century Gothic" w:hAnsi="Century Gothic" w:cs="Arial"/>
        </w:rPr>
        <w:t>.</w:t>
      </w:r>
    </w:p>
    <w:p w14:paraId="6E3C9E40" w14:textId="77777777" w:rsidR="00E271CA" w:rsidRPr="001B7209" w:rsidRDefault="00E271CA" w:rsidP="00E271CA">
      <w:pPr>
        <w:pStyle w:val="Ttulo1"/>
        <w:numPr>
          <w:ilvl w:val="0"/>
          <w:numId w:val="6"/>
        </w:numPr>
        <w:tabs>
          <w:tab w:val="num" w:pos="360"/>
          <w:tab w:val="left" w:pos="586"/>
        </w:tabs>
        <w:spacing w:before="0" w:line="276" w:lineRule="auto"/>
        <w:ind w:left="286" w:hanging="286"/>
        <w:jc w:val="both"/>
        <w:rPr>
          <w:rFonts w:ascii="Century Gothic" w:hAnsi="Century Gothic"/>
        </w:rPr>
      </w:pPr>
      <w:r w:rsidRPr="001B7209">
        <w:rPr>
          <w:rFonts w:ascii="Century Gothic" w:hAnsi="Century Gothic"/>
        </w:rPr>
        <w:t>Problema</w:t>
      </w:r>
      <w:r w:rsidRPr="001B7209">
        <w:rPr>
          <w:rFonts w:ascii="Century Gothic" w:hAnsi="Century Gothic"/>
          <w:spacing w:val="-2"/>
        </w:rPr>
        <w:t xml:space="preserve"> </w:t>
      </w:r>
      <w:r w:rsidRPr="001B7209">
        <w:rPr>
          <w:rFonts w:ascii="Century Gothic" w:hAnsi="Century Gothic"/>
        </w:rPr>
        <w:t>planteado</w:t>
      </w:r>
    </w:p>
    <w:p w14:paraId="268FF8A9" w14:textId="77777777" w:rsidR="00E271CA" w:rsidRPr="001B7209" w:rsidRDefault="00E271CA" w:rsidP="00E271CA">
      <w:pPr>
        <w:adjustRightInd w:val="0"/>
        <w:spacing w:after="0" w:line="276" w:lineRule="auto"/>
        <w:jc w:val="both"/>
        <w:rPr>
          <w:rFonts w:ascii="Century Gothic" w:hAnsi="Century Gothic" w:cs="Arial"/>
        </w:rPr>
      </w:pPr>
    </w:p>
    <w:p w14:paraId="7C432529" w14:textId="580A8077" w:rsidR="00E271CA" w:rsidRPr="001B7209" w:rsidRDefault="00E271CA" w:rsidP="00E271CA">
      <w:pPr>
        <w:adjustRightInd w:val="0"/>
        <w:spacing w:line="276" w:lineRule="auto"/>
        <w:jc w:val="both"/>
        <w:rPr>
          <w:rFonts w:ascii="Century Gothic" w:hAnsi="Century Gothic" w:cs="Arial"/>
        </w:rPr>
      </w:pPr>
      <w:r w:rsidRPr="001B7209">
        <w:rPr>
          <w:rFonts w:ascii="Century Gothic" w:hAnsi="Century Gothic" w:cs="Arial"/>
        </w:rPr>
        <w:t xml:space="preserve">Usted formula </w:t>
      </w:r>
      <w:r w:rsidR="00F64F2B" w:rsidRPr="001B7209">
        <w:rPr>
          <w:rFonts w:ascii="Century Gothic" w:hAnsi="Century Gothic" w:cs="Arial"/>
        </w:rPr>
        <w:t>con base en el concepto C-825 de 2022 emitido por la Agencia</w:t>
      </w:r>
      <w:r w:rsidR="00EA443C" w:rsidRPr="001B7209">
        <w:rPr>
          <w:rFonts w:ascii="Century Gothic" w:hAnsi="Century Gothic" w:cs="Arial"/>
        </w:rPr>
        <w:t xml:space="preserve">, </w:t>
      </w:r>
      <w:r w:rsidRPr="001B7209">
        <w:rPr>
          <w:rFonts w:ascii="Century Gothic" w:hAnsi="Century Gothic" w:cs="Arial"/>
        </w:rPr>
        <w:t>la</w:t>
      </w:r>
      <w:r w:rsidR="00BE1D1B" w:rsidRPr="001B7209">
        <w:rPr>
          <w:rFonts w:ascii="Century Gothic" w:hAnsi="Century Gothic" w:cs="Arial"/>
        </w:rPr>
        <w:t>s</w:t>
      </w:r>
      <w:r w:rsidRPr="001B7209">
        <w:rPr>
          <w:rFonts w:ascii="Century Gothic" w:hAnsi="Century Gothic" w:cs="Arial"/>
        </w:rPr>
        <w:t xml:space="preserve"> siguiente</w:t>
      </w:r>
      <w:r w:rsidR="00BE1D1B" w:rsidRPr="001B7209">
        <w:rPr>
          <w:rFonts w:ascii="Century Gothic" w:hAnsi="Century Gothic" w:cs="Arial"/>
        </w:rPr>
        <w:t>s</w:t>
      </w:r>
      <w:r w:rsidRPr="001B7209">
        <w:rPr>
          <w:rFonts w:ascii="Century Gothic" w:hAnsi="Century Gothic" w:cs="Arial"/>
        </w:rPr>
        <w:t xml:space="preserve"> consulta</w:t>
      </w:r>
      <w:r w:rsidR="00487FE9" w:rsidRPr="001B7209">
        <w:rPr>
          <w:rFonts w:ascii="Century Gothic" w:hAnsi="Century Gothic" w:cs="Arial"/>
        </w:rPr>
        <w:t>s</w:t>
      </w:r>
      <w:r w:rsidRPr="001B7209">
        <w:rPr>
          <w:rFonts w:ascii="Century Gothic" w:hAnsi="Century Gothic" w:cs="Arial"/>
        </w:rPr>
        <w:t xml:space="preserve">: </w:t>
      </w:r>
    </w:p>
    <w:p w14:paraId="291F00D1" w14:textId="7D8ACF6D" w:rsidR="00FC6D5B" w:rsidRPr="001B7209" w:rsidRDefault="00487FE9" w:rsidP="002B752F">
      <w:pPr>
        <w:adjustRightInd w:val="0"/>
        <w:spacing w:line="240" w:lineRule="auto"/>
        <w:ind w:left="709" w:right="709"/>
        <w:jc w:val="both"/>
        <w:rPr>
          <w:rFonts w:ascii="Century Gothic" w:hAnsi="Century Gothic" w:cs="Arial"/>
          <w:sz w:val="21"/>
          <w:szCs w:val="21"/>
        </w:rPr>
      </w:pPr>
      <w:r w:rsidRPr="001B7209">
        <w:rPr>
          <w:rFonts w:ascii="Century Gothic" w:hAnsi="Century Gothic" w:cs="Arial"/>
          <w:sz w:val="21"/>
          <w:szCs w:val="21"/>
        </w:rPr>
        <w:t>“</w:t>
      </w:r>
      <w:r w:rsidR="009F6A1E" w:rsidRPr="001B7209">
        <w:rPr>
          <w:rFonts w:ascii="Century Gothic" w:hAnsi="Century Gothic" w:cs="Arial"/>
          <w:sz w:val="21"/>
          <w:szCs w:val="21"/>
        </w:rPr>
        <w:t xml:space="preserve">(…) </w:t>
      </w:r>
      <w:r w:rsidR="00FC6D5B" w:rsidRPr="001B7209">
        <w:rPr>
          <w:rFonts w:ascii="Century Gothic" w:hAnsi="Century Gothic" w:cs="Arial"/>
          <w:sz w:val="21"/>
          <w:szCs w:val="21"/>
        </w:rPr>
        <w:t>A priori de la interpretación que se puede hacer del texto normativo, es que la</w:t>
      </w:r>
      <w:r w:rsidR="00203F35" w:rsidRPr="001B7209">
        <w:rPr>
          <w:rFonts w:ascii="Century Gothic" w:hAnsi="Century Gothic" w:cs="Arial"/>
          <w:sz w:val="21"/>
          <w:szCs w:val="21"/>
        </w:rPr>
        <w:t xml:space="preserve"> </w:t>
      </w:r>
      <w:r w:rsidR="00FC6D5B" w:rsidRPr="001B7209">
        <w:rPr>
          <w:rFonts w:ascii="Century Gothic" w:hAnsi="Century Gothic" w:cs="Arial"/>
          <w:sz w:val="21"/>
          <w:szCs w:val="21"/>
        </w:rPr>
        <w:t xml:space="preserve">fiducia para el manejo del </w:t>
      </w:r>
      <w:proofErr w:type="spellStart"/>
      <w:r w:rsidR="00FC6D5B" w:rsidRPr="001B7209">
        <w:rPr>
          <w:rFonts w:ascii="Century Gothic" w:hAnsi="Century Gothic" w:cs="Arial"/>
          <w:sz w:val="21"/>
          <w:szCs w:val="21"/>
        </w:rPr>
        <w:t>aniticpo</w:t>
      </w:r>
      <w:proofErr w:type="spellEnd"/>
      <w:r w:rsidR="00FC6D5B" w:rsidRPr="001B7209">
        <w:rPr>
          <w:rFonts w:ascii="Century Gothic" w:hAnsi="Century Gothic" w:cs="Arial"/>
          <w:sz w:val="21"/>
          <w:szCs w:val="21"/>
        </w:rPr>
        <w:t xml:space="preserve"> es aplicable a contratos de obra, concesión y salud</w:t>
      </w:r>
      <w:r w:rsidR="00C8408B" w:rsidRPr="001B7209">
        <w:rPr>
          <w:rFonts w:ascii="Century Gothic" w:hAnsi="Century Gothic" w:cs="Arial"/>
          <w:sz w:val="21"/>
          <w:szCs w:val="21"/>
        </w:rPr>
        <w:t xml:space="preserve"> </w:t>
      </w:r>
      <w:r w:rsidR="00FC6D5B" w:rsidRPr="001B7209">
        <w:rPr>
          <w:rFonts w:ascii="Century Gothic" w:hAnsi="Century Gothic" w:cs="Arial"/>
          <w:sz w:val="21"/>
          <w:szCs w:val="21"/>
        </w:rPr>
        <w:t>sin importar la modalidad de contratación y también para aquellos contratos sin</w:t>
      </w:r>
      <w:r w:rsidR="00EA5100" w:rsidRPr="001B7209">
        <w:rPr>
          <w:rFonts w:ascii="Century Gothic" w:hAnsi="Century Gothic" w:cs="Arial"/>
          <w:sz w:val="21"/>
          <w:szCs w:val="21"/>
        </w:rPr>
        <w:t xml:space="preserve"> </w:t>
      </w:r>
      <w:r w:rsidR="00FC6D5B" w:rsidRPr="001B7209">
        <w:rPr>
          <w:rFonts w:ascii="Century Gothic" w:hAnsi="Century Gothic" w:cs="Arial"/>
          <w:sz w:val="21"/>
          <w:szCs w:val="21"/>
        </w:rPr>
        <w:t xml:space="preserve">importar la </w:t>
      </w:r>
      <w:proofErr w:type="spellStart"/>
      <w:r w:rsidR="00FC6D5B" w:rsidRPr="001B7209">
        <w:rPr>
          <w:rFonts w:ascii="Century Gothic" w:hAnsi="Century Gothic" w:cs="Arial"/>
          <w:sz w:val="21"/>
          <w:szCs w:val="21"/>
        </w:rPr>
        <w:t>tipologica</w:t>
      </w:r>
      <w:proofErr w:type="spellEnd"/>
      <w:r w:rsidR="00FC6D5B" w:rsidRPr="001B7209">
        <w:rPr>
          <w:rFonts w:ascii="Century Gothic" w:hAnsi="Century Gothic" w:cs="Arial"/>
          <w:sz w:val="21"/>
          <w:szCs w:val="21"/>
        </w:rPr>
        <w:t xml:space="preserve"> contractual que sean gestionados por Licitación pública. Es</w:t>
      </w:r>
      <w:r w:rsidR="00EA5100" w:rsidRPr="001B7209">
        <w:rPr>
          <w:rFonts w:ascii="Century Gothic" w:hAnsi="Century Gothic" w:cs="Arial"/>
          <w:sz w:val="21"/>
          <w:szCs w:val="21"/>
        </w:rPr>
        <w:t xml:space="preserve"> </w:t>
      </w:r>
      <w:r w:rsidR="00FC6D5B" w:rsidRPr="001B7209">
        <w:rPr>
          <w:rFonts w:ascii="Century Gothic" w:hAnsi="Century Gothic" w:cs="Arial"/>
          <w:sz w:val="21"/>
          <w:szCs w:val="21"/>
        </w:rPr>
        <w:t>correcta dicha interpretación?</w:t>
      </w:r>
    </w:p>
    <w:p w14:paraId="684C1E5C" w14:textId="4972D252" w:rsidR="00CD17DC" w:rsidRPr="001B7209" w:rsidRDefault="00FC6D5B" w:rsidP="002B752F">
      <w:pPr>
        <w:adjustRightInd w:val="0"/>
        <w:spacing w:line="240" w:lineRule="auto"/>
        <w:ind w:left="709" w:right="709"/>
        <w:jc w:val="both"/>
        <w:rPr>
          <w:rFonts w:ascii="Century Gothic" w:hAnsi="Century Gothic" w:cs="Arial"/>
          <w:sz w:val="21"/>
          <w:szCs w:val="21"/>
        </w:rPr>
      </w:pPr>
      <w:r w:rsidRPr="001B7209">
        <w:rPr>
          <w:rFonts w:ascii="Century Gothic" w:hAnsi="Century Gothic" w:cs="Arial"/>
          <w:sz w:val="21"/>
          <w:szCs w:val="21"/>
        </w:rPr>
        <w:t xml:space="preserve">La segunda parte de la consulta, </w:t>
      </w:r>
      <w:proofErr w:type="spellStart"/>
      <w:r w:rsidRPr="001B7209">
        <w:rPr>
          <w:rFonts w:ascii="Century Gothic" w:hAnsi="Century Gothic" w:cs="Arial"/>
          <w:sz w:val="21"/>
          <w:szCs w:val="21"/>
        </w:rPr>
        <w:t>esta</w:t>
      </w:r>
      <w:proofErr w:type="spellEnd"/>
      <w:r w:rsidRPr="001B7209">
        <w:rPr>
          <w:rFonts w:ascii="Century Gothic" w:hAnsi="Century Gothic" w:cs="Arial"/>
          <w:sz w:val="21"/>
          <w:szCs w:val="21"/>
        </w:rPr>
        <w:t xml:space="preserve"> asociada a la salvedad descrita en el artículo 91</w:t>
      </w:r>
      <w:r w:rsidR="00EA5100" w:rsidRPr="001B7209">
        <w:rPr>
          <w:rFonts w:ascii="Century Gothic" w:hAnsi="Century Gothic" w:cs="Arial"/>
          <w:sz w:val="21"/>
          <w:szCs w:val="21"/>
        </w:rPr>
        <w:t xml:space="preserve"> </w:t>
      </w:r>
      <w:r w:rsidRPr="001B7209">
        <w:rPr>
          <w:rFonts w:ascii="Century Gothic" w:hAnsi="Century Gothic" w:cs="Arial"/>
          <w:sz w:val="21"/>
          <w:szCs w:val="21"/>
        </w:rPr>
        <w:t>de la Ley 1474 de 2011, la cual estima de manera somera que la fiducia para el manejo</w:t>
      </w:r>
      <w:r w:rsidR="00CD17DC" w:rsidRPr="001B7209">
        <w:rPr>
          <w:rFonts w:ascii="Century Gothic" w:hAnsi="Century Gothic" w:cs="Arial"/>
          <w:sz w:val="21"/>
          <w:szCs w:val="21"/>
        </w:rPr>
        <w:t xml:space="preserve"> del anticipo en los casos de contratos de obra, concesión y salud no es obligatoria</w:t>
      </w:r>
      <w:r w:rsidR="00EA5100" w:rsidRPr="001B7209">
        <w:rPr>
          <w:rFonts w:ascii="Century Gothic" w:hAnsi="Century Gothic" w:cs="Arial"/>
          <w:sz w:val="21"/>
          <w:szCs w:val="21"/>
        </w:rPr>
        <w:t xml:space="preserve"> </w:t>
      </w:r>
      <w:r w:rsidR="00CD17DC" w:rsidRPr="001B7209">
        <w:rPr>
          <w:rFonts w:ascii="Century Gothic" w:hAnsi="Century Gothic" w:cs="Arial"/>
          <w:sz w:val="21"/>
          <w:szCs w:val="21"/>
        </w:rPr>
        <w:t xml:space="preserve">cuando dichos contratos se </w:t>
      </w:r>
      <w:r w:rsidR="00CD17DC" w:rsidRPr="001B7209">
        <w:rPr>
          <w:rFonts w:ascii="Century Gothic" w:hAnsi="Century Gothic" w:cs="Arial"/>
          <w:sz w:val="21"/>
          <w:szCs w:val="21"/>
        </w:rPr>
        <w:lastRenderedPageBreak/>
        <w:t xml:space="preserve">gestionan a </w:t>
      </w:r>
      <w:proofErr w:type="spellStart"/>
      <w:r w:rsidR="00CD17DC" w:rsidRPr="001B7209">
        <w:rPr>
          <w:rFonts w:ascii="Century Gothic" w:hAnsi="Century Gothic" w:cs="Arial"/>
          <w:sz w:val="21"/>
          <w:szCs w:val="21"/>
        </w:rPr>
        <w:t>traves</w:t>
      </w:r>
      <w:proofErr w:type="spellEnd"/>
      <w:r w:rsidR="00CD17DC" w:rsidRPr="001B7209">
        <w:rPr>
          <w:rFonts w:ascii="Century Gothic" w:hAnsi="Century Gothic" w:cs="Arial"/>
          <w:sz w:val="21"/>
          <w:szCs w:val="21"/>
        </w:rPr>
        <w:t xml:space="preserve"> de procesos de selección en la</w:t>
      </w:r>
      <w:r w:rsidR="001F09ED" w:rsidRPr="001B7209">
        <w:rPr>
          <w:rFonts w:ascii="Century Gothic" w:hAnsi="Century Gothic" w:cs="Arial"/>
          <w:sz w:val="21"/>
          <w:szCs w:val="21"/>
        </w:rPr>
        <w:t xml:space="preserve"> </w:t>
      </w:r>
      <w:r w:rsidR="00CD17DC" w:rsidRPr="001B7209">
        <w:rPr>
          <w:rFonts w:ascii="Century Gothic" w:hAnsi="Century Gothic" w:cs="Arial"/>
          <w:sz w:val="21"/>
          <w:szCs w:val="21"/>
        </w:rPr>
        <w:t>modalidad de menor y mínima cuantía. Es correcta esta interpretación?</w:t>
      </w:r>
    </w:p>
    <w:p w14:paraId="36F597D2" w14:textId="5B479E36" w:rsidR="00E271CA" w:rsidRPr="001B7209" w:rsidRDefault="00CD17DC" w:rsidP="001429AA">
      <w:pPr>
        <w:adjustRightInd w:val="0"/>
        <w:spacing w:after="0" w:line="240" w:lineRule="auto"/>
        <w:ind w:left="709" w:right="709"/>
        <w:jc w:val="both"/>
        <w:rPr>
          <w:rFonts w:ascii="Century Gothic" w:hAnsi="Century Gothic" w:cs="Arial"/>
          <w:sz w:val="21"/>
          <w:szCs w:val="21"/>
        </w:rPr>
      </w:pPr>
      <w:r w:rsidRPr="001B7209">
        <w:rPr>
          <w:rFonts w:ascii="Century Gothic" w:hAnsi="Century Gothic" w:cs="Arial"/>
          <w:sz w:val="21"/>
          <w:szCs w:val="21"/>
        </w:rPr>
        <w:t>Si el artículo 91 de la Ley 1474 de 2011 de manera taxativa expresa que no aplica la</w:t>
      </w:r>
      <w:r w:rsidR="002F3B24" w:rsidRPr="001B7209">
        <w:rPr>
          <w:rFonts w:ascii="Century Gothic" w:hAnsi="Century Gothic" w:cs="Arial"/>
          <w:sz w:val="21"/>
          <w:szCs w:val="21"/>
        </w:rPr>
        <w:t xml:space="preserve"> </w:t>
      </w:r>
      <w:r w:rsidRPr="001B7209">
        <w:rPr>
          <w:rFonts w:ascii="Century Gothic" w:hAnsi="Century Gothic" w:cs="Arial"/>
          <w:sz w:val="21"/>
          <w:szCs w:val="21"/>
        </w:rPr>
        <w:t>obligatoriedad de la fiducia para el manejo del anticipo en los contratos de obra, salud</w:t>
      </w:r>
      <w:r w:rsidR="002B752F" w:rsidRPr="001B7209">
        <w:rPr>
          <w:rFonts w:ascii="Century Gothic" w:hAnsi="Century Gothic" w:cs="Arial"/>
          <w:sz w:val="21"/>
          <w:szCs w:val="21"/>
        </w:rPr>
        <w:t xml:space="preserve"> </w:t>
      </w:r>
      <w:r w:rsidRPr="001B7209">
        <w:rPr>
          <w:rFonts w:ascii="Century Gothic" w:hAnsi="Century Gothic" w:cs="Arial"/>
          <w:sz w:val="21"/>
          <w:szCs w:val="21"/>
        </w:rPr>
        <w:t xml:space="preserve">y </w:t>
      </w:r>
      <w:proofErr w:type="spellStart"/>
      <w:r w:rsidRPr="001B7209">
        <w:rPr>
          <w:rFonts w:ascii="Century Gothic" w:hAnsi="Century Gothic" w:cs="Arial"/>
          <w:sz w:val="21"/>
          <w:szCs w:val="21"/>
        </w:rPr>
        <w:t>concesion</w:t>
      </w:r>
      <w:proofErr w:type="spellEnd"/>
      <w:r w:rsidRPr="001B7209">
        <w:rPr>
          <w:rFonts w:ascii="Century Gothic" w:hAnsi="Century Gothic" w:cs="Arial"/>
          <w:sz w:val="21"/>
          <w:szCs w:val="21"/>
        </w:rPr>
        <w:t xml:space="preserve"> que sean gestionados a </w:t>
      </w:r>
      <w:proofErr w:type="spellStart"/>
      <w:r w:rsidRPr="001B7209">
        <w:rPr>
          <w:rFonts w:ascii="Century Gothic" w:hAnsi="Century Gothic" w:cs="Arial"/>
          <w:sz w:val="21"/>
          <w:szCs w:val="21"/>
        </w:rPr>
        <w:t>tráves</w:t>
      </w:r>
      <w:proofErr w:type="spellEnd"/>
      <w:r w:rsidRPr="001B7209">
        <w:rPr>
          <w:rFonts w:ascii="Century Gothic" w:hAnsi="Century Gothic" w:cs="Arial"/>
          <w:sz w:val="21"/>
          <w:szCs w:val="21"/>
        </w:rPr>
        <w:t xml:space="preserve"> de la modalidad de </w:t>
      </w:r>
      <w:proofErr w:type="spellStart"/>
      <w:r w:rsidRPr="001B7209">
        <w:rPr>
          <w:rFonts w:ascii="Century Gothic" w:hAnsi="Century Gothic" w:cs="Arial"/>
          <w:sz w:val="21"/>
          <w:szCs w:val="21"/>
        </w:rPr>
        <w:t>minima</w:t>
      </w:r>
      <w:proofErr w:type="spellEnd"/>
      <w:r w:rsidRPr="001B7209">
        <w:rPr>
          <w:rFonts w:ascii="Century Gothic" w:hAnsi="Century Gothic" w:cs="Arial"/>
          <w:sz w:val="21"/>
          <w:szCs w:val="21"/>
        </w:rPr>
        <w:t xml:space="preserve"> y menor</w:t>
      </w:r>
      <w:r w:rsidR="002B752F" w:rsidRPr="001B7209">
        <w:rPr>
          <w:rFonts w:ascii="Century Gothic" w:hAnsi="Century Gothic" w:cs="Arial"/>
          <w:sz w:val="21"/>
          <w:szCs w:val="21"/>
        </w:rPr>
        <w:t xml:space="preserve"> </w:t>
      </w:r>
      <w:r w:rsidRPr="001B7209">
        <w:rPr>
          <w:rFonts w:ascii="Century Gothic" w:hAnsi="Century Gothic" w:cs="Arial"/>
          <w:sz w:val="21"/>
          <w:szCs w:val="21"/>
        </w:rPr>
        <w:t xml:space="preserve">cuantía, quiere esto </w:t>
      </w:r>
      <w:proofErr w:type="gramStart"/>
      <w:r w:rsidRPr="001B7209">
        <w:rPr>
          <w:rFonts w:ascii="Century Gothic" w:hAnsi="Century Gothic" w:cs="Arial"/>
          <w:sz w:val="21"/>
          <w:szCs w:val="21"/>
        </w:rPr>
        <w:t>decir ,</w:t>
      </w:r>
      <w:proofErr w:type="gramEnd"/>
      <w:r w:rsidRPr="001B7209">
        <w:rPr>
          <w:rFonts w:ascii="Century Gothic" w:hAnsi="Century Gothic" w:cs="Arial"/>
          <w:sz w:val="21"/>
          <w:szCs w:val="21"/>
        </w:rPr>
        <w:t xml:space="preserve"> que en los contratos de obra, salud y concesión que sean</w:t>
      </w:r>
      <w:r w:rsidR="002B752F" w:rsidRPr="001B7209">
        <w:rPr>
          <w:rFonts w:ascii="Century Gothic" w:hAnsi="Century Gothic" w:cs="Arial"/>
          <w:sz w:val="21"/>
          <w:szCs w:val="21"/>
        </w:rPr>
        <w:t xml:space="preserve"> </w:t>
      </w:r>
      <w:r w:rsidRPr="001B7209">
        <w:rPr>
          <w:rFonts w:ascii="Century Gothic" w:hAnsi="Century Gothic" w:cs="Arial"/>
          <w:sz w:val="21"/>
          <w:szCs w:val="21"/>
        </w:rPr>
        <w:t xml:space="preserve">gestionados a través de la modalidad de </w:t>
      </w:r>
      <w:proofErr w:type="spellStart"/>
      <w:r w:rsidRPr="001B7209">
        <w:rPr>
          <w:rFonts w:ascii="Century Gothic" w:hAnsi="Century Gothic" w:cs="Arial"/>
          <w:sz w:val="21"/>
          <w:szCs w:val="21"/>
        </w:rPr>
        <w:t>contración</w:t>
      </w:r>
      <w:proofErr w:type="spellEnd"/>
      <w:r w:rsidRPr="001B7209">
        <w:rPr>
          <w:rFonts w:ascii="Century Gothic" w:hAnsi="Century Gothic" w:cs="Arial"/>
          <w:sz w:val="21"/>
          <w:szCs w:val="21"/>
        </w:rPr>
        <w:t xml:space="preserve"> directa o contratos</w:t>
      </w:r>
      <w:r w:rsidR="002B752F" w:rsidRPr="001B7209">
        <w:rPr>
          <w:rFonts w:ascii="Century Gothic" w:hAnsi="Century Gothic" w:cs="Arial"/>
          <w:sz w:val="21"/>
          <w:szCs w:val="21"/>
        </w:rPr>
        <w:t xml:space="preserve"> </w:t>
      </w:r>
      <w:r w:rsidRPr="001B7209">
        <w:rPr>
          <w:rFonts w:ascii="Century Gothic" w:hAnsi="Century Gothic" w:cs="Arial"/>
          <w:sz w:val="21"/>
          <w:szCs w:val="21"/>
        </w:rPr>
        <w:t>interadministrativos dicha fiducia es obligatoria para el manejo del anticipo. Es correcta</w:t>
      </w:r>
      <w:r w:rsidR="002B752F" w:rsidRPr="001B7209">
        <w:rPr>
          <w:rFonts w:ascii="Century Gothic" w:hAnsi="Century Gothic" w:cs="Arial"/>
          <w:sz w:val="21"/>
          <w:szCs w:val="21"/>
        </w:rPr>
        <w:t xml:space="preserve"> </w:t>
      </w:r>
      <w:r w:rsidRPr="001B7209">
        <w:rPr>
          <w:rFonts w:ascii="Century Gothic" w:hAnsi="Century Gothic" w:cs="Arial"/>
          <w:sz w:val="21"/>
          <w:szCs w:val="21"/>
        </w:rPr>
        <w:t>esta interpretación</w:t>
      </w:r>
      <w:r w:rsidR="00487FE9" w:rsidRPr="001B7209">
        <w:rPr>
          <w:rFonts w:ascii="Century Gothic" w:hAnsi="Century Gothic" w:cs="Arial"/>
          <w:sz w:val="21"/>
          <w:szCs w:val="21"/>
        </w:rPr>
        <w:t>”</w:t>
      </w:r>
      <w:r w:rsidR="00E271CA" w:rsidRPr="001B7209">
        <w:rPr>
          <w:rFonts w:ascii="Century Gothic" w:hAnsi="Century Gothic" w:cs="Arial"/>
          <w:sz w:val="21"/>
          <w:szCs w:val="21"/>
        </w:rPr>
        <w:t xml:space="preserve"> (Sic). </w:t>
      </w:r>
    </w:p>
    <w:p w14:paraId="21798C37" w14:textId="77777777" w:rsidR="001429AA" w:rsidRPr="001B7209" w:rsidRDefault="001429AA" w:rsidP="00212A11">
      <w:pPr>
        <w:adjustRightInd w:val="0"/>
        <w:spacing w:after="0" w:line="240" w:lineRule="auto"/>
        <w:ind w:left="709" w:right="709"/>
        <w:jc w:val="both"/>
        <w:rPr>
          <w:rFonts w:ascii="Century Gothic" w:hAnsi="Century Gothic" w:cs="Arial"/>
          <w:sz w:val="21"/>
          <w:szCs w:val="21"/>
        </w:rPr>
      </w:pPr>
    </w:p>
    <w:p w14:paraId="06CE2BEF" w14:textId="77777777" w:rsidR="00E271CA" w:rsidRPr="001B7209" w:rsidRDefault="00E271CA" w:rsidP="00E271CA">
      <w:pPr>
        <w:pStyle w:val="Ttulo1"/>
        <w:numPr>
          <w:ilvl w:val="0"/>
          <w:numId w:val="6"/>
        </w:numPr>
        <w:tabs>
          <w:tab w:val="num" w:pos="360"/>
          <w:tab w:val="left" w:pos="586"/>
        </w:tabs>
        <w:spacing w:before="0" w:after="240" w:line="276" w:lineRule="auto"/>
        <w:ind w:left="286" w:hanging="286"/>
        <w:jc w:val="both"/>
        <w:rPr>
          <w:rFonts w:ascii="Century Gothic" w:hAnsi="Century Gothic"/>
        </w:rPr>
      </w:pPr>
      <w:r w:rsidRPr="001B7209">
        <w:rPr>
          <w:rFonts w:ascii="Century Gothic" w:hAnsi="Century Gothic"/>
        </w:rPr>
        <w:t>Consideraciones</w:t>
      </w:r>
    </w:p>
    <w:p w14:paraId="2E781EBB" w14:textId="07111148" w:rsidR="00E271CA" w:rsidRPr="001B7209" w:rsidRDefault="00E271CA" w:rsidP="00212A11">
      <w:pPr>
        <w:spacing w:after="120" w:line="276" w:lineRule="auto"/>
        <w:jc w:val="both"/>
        <w:rPr>
          <w:rFonts w:ascii="Century Gothic" w:hAnsi="Century Gothic" w:cs="Arial"/>
          <w:color w:val="000000" w:themeColor="text1"/>
          <w:u w:val="single"/>
        </w:rPr>
      </w:pPr>
      <w:r w:rsidRPr="001B7209">
        <w:rPr>
          <w:rFonts w:ascii="Century Gothic" w:hAnsi="Century Gothic" w:cs="Arial"/>
          <w:color w:val="000000" w:themeColor="text1"/>
          <w:lang w:val="es-ES_tradnl"/>
        </w:rPr>
        <w:t>La Subdirección de Gestión Contractual responderá la consulta, luego de analizar los siguientes temas:</w:t>
      </w:r>
      <w:r w:rsidRPr="001B7209">
        <w:rPr>
          <w:rFonts w:ascii="Century Gothic" w:eastAsia="Times New Roman" w:hAnsi="Century Gothic" w:cs="Arial"/>
          <w:color w:val="000000" w:themeColor="text1"/>
        </w:rPr>
        <w:t xml:space="preserve"> i) Competencia consultiva de la Agencia Nacional de Contratación Pública – Colombia Compra Eficiente; ii) </w:t>
      </w:r>
      <w:r w:rsidRPr="001B7209">
        <w:rPr>
          <w:rFonts w:ascii="Century Gothic" w:hAnsi="Century Gothic" w:cs="Arial"/>
          <w:color w:val="000000" w:themeColor="text1"/>
        </w:rPr>
        <w:t>naturaleza jurídica del anticipo; y ii</w:t>
      </w:r>
      <w:r w:rsidR="00385D6A" w:rsidRPr="001B7209">
        <w:rPr>
          <w:rFonts w:ascii="Century Gothic" w:hAnsi="Century Gothic" w:cs="Arial"/>
          <w:color w:val="000000" w:themeColor="text1"/>
        </w:rPr>
        <w:t>i</w:t>
      </w:r>
      <w:r w:rsidRPr="001B7209">
        <w:rPr>
          <w:rFonts w:ascii="Century Gothic" w:hAnsi="Century Gothic" w:cs="Arial"/>
          <w:color w:val="000000" w:themeColor="text1"/>
        </w:rPr>
        <w:t>) el ámbito de aplicación del artículo 91 de la Ley 1474 de 2011.</w:t>
      </w:r>
    </w:p>
    <w:p w14:paraId="513FBA88" w14:textId="3C7BA646" w:rsidR="00E271CA" w:rsidRPr="001B7209" w:rsidRDefault="00E271CA" w:rsidP="00E271CA">
      <w:pPr>
        <w:spacing w:before="120" w:line="276" w:lineRule="auto"/>
        <w:ind w:firstLine="851"/>
        <w:jc w:val="both"/>
        <w:rPr>
          <w:rFonts w:ascii="Century Gothic" w:hAnsi="Century Gothic" w:cs="Arial"/>
          <w:color w:val="000000" w:themeColor="text1"/>
        </w:rPr>
      </w:pPr>
      <w:r w:rsidRPr="001B7209">
        <w:rPr>
          <w:rFonts w:ascii="Century Gothic" w:hAnsi="Century Gothic" w:cs="Arial"/>
        </w:rPr>
        <w:t>La Agencia Nacional de Contratación Pública – Colombia Compra Eficiente en los conceptos con radicados números 4201714000000768 del 10 de marzo de 2017, 4201713000000879 del 24 de marzo de 2017, 4201713000002621 del 27 de julio de 2017,  4201714000004176 del 28 de agosto de 2017, 4201714000005628 del 11 de diciembre de 2017, 4201814000000698 del 14 de abril de 2018, C-049 del 21 de febrero de 2020, C-209 del 16 de marzo de 2020, C-693 del 25 de noviembre de 2020, C-731 del 14 de diciembre de 2020, C-154 del 18 de mayo de 2021, C-842 del 7 de diciembre de 2022, C-825 del 28 de diciembre de 2022</w:t>
      </w:r>
      <w:r w:rsidR="000A7E3B" w:rsidRPr="001B7209">
        <w:rPr>
          <w:rFonts w:ascii="Century Gothic" w:hAnsi="Century Gothic" w:cs="Arial"/>
        </w:rPr>
        <w:t>,</w:t>
      </w:r>
      <w:r w:rsidRPr="001B7209">
        <w:rPr>
          <w:rFonts w:ascii="Century Gothic" w:hAnsi="Century Gothic" w:cs="Arial"/>
        </w:rPr>
        <w:t xml:space="preserve"> C-033 de 27 de febrero de 2023</w:t>
      </w:r>
      <w:r w:rsidR="000A7E3B" w:rsidRPr="001B7209">
        <w:rPr>
          <w:rFonts w:ascii="Century Gothic" w:hAnsi="Century Gothic" w:cs="Arial"/>
        </w:rPr>
        <w:t>,</w:t>
      </w:r>
      <w:r w:rsidR="004D14F6" w:rsidRPr="001B7209">
        <w:rPr>
          <w:rFonts w:ascii="Century Gothic" w:hAnsi="Century Gothic" w:cs="Arial"/>
        </w:rPr>
        <w:t xml:space="preserve"> </w:t>
      </w:r>
      <w:r w:rsidR="00C95736" w:rsidRPr="001B7209">
        <w:rPr>
          <w:rFonts w:ascii="Century Gothic" w:hAnsi="Century Gothic" w:cs="Arial"/>
        </w:rPr>
        <w:t xml:space="preserve">C-003 </w:t>
      </w:r>
      <w:r w:rsidR="00132EB1" w:rsidRPr="001B7209">
        <w:rPr>
          <w:rFonts w:ascii="Century Gothic" w:hAnsi="Century Gothic" w:cs="Arial"/>
        </w:rPr>
        <w:t xml:space="preserve">de 13 de marzo de 2023, </w:t>
      </w:r>
      <w:r w:rsidR="004D14F6" w:rsidRPr="001B7209">
        <w:rPr>
          <w:rFonts w:ascii="Century Gothic" w:hAnsi="Century Gothic" w:cs="Arial"/>
        </w:rPr>
        <w:t>C-037 del 5 de abril de 2023</w:t>
      </w:r>
      <w:r w:rsidR="00CC7945" w:rsidRPr="001B7209">
        <w:rPr>
          <w:rFonts w:ascii="Century Gothic" w:hAnsi="Century Gothic" w:cs="Arial"/>
        </w:rPr>
        <w:t xml:space="preserve"> </w:t>
      </w:r>
      <w:r w:rsidR="00132EB1" w:rsidRPr="001B7209">
        <w:rPr>
          <w:rFonts w:ascii="Century Gothic" w:hAnsi="Century Gothic" w:cs="Arial"/>
        </w:rPr>
        <w:t>y C-109 de 10 de mayo de 2023</w:t>
      </w:r>
      <w:r w:rsidR="004516B3" w:rsidRPr="001B7209">
        <w:rPr>
          <w:rStyle w:val="Refdenotaalpie"/>
          <w:rFonts w:ascii="Century Gothic" w:hAnsi="Century Gothic" w:cs="Arial"/>
        </w:rPr>
        <w:footnoteReference w:id="2"/>
      </w:r>
      <w:r w:rsidR="00132EB1" w:rsidRPr="001B7209">
        <w:rPr>
          <w:rFonts w:ascii="Century Gothic" w:hAnsi="Century Gothic" w:cs="Arial"/>
        </w:rPr>
        <w:t xml:space="preserve">, </w:t>
      </w:r>
      <w:r w:rsidRPr="001B7209">
        <w:rPr>
          <w:rFonts w:ascii="Century Gothic" w:hAnsi="Century Gothic" w:cs="Arial"/>
        </w:rPr>
        <w:t>se abordó el análisis y estudio de la facultad de las entidades estatales para pactar la entrega de anticipos en los contratos estatales y el ámbito de aplicación del artículo 91 de la Ley 1474 de 2011</w:t>
      </w:r>
      <w:r w:rsidRPr="001B7209">
        <w:rPr>
          <w:rFonts w:ascii="Century Gothic" w:hAnsi="Century Gothic" w:cs="Arial"/>
          <w:color w:val="000000" w:themeColor="text1"/>
        </w:rPr>
        <w:t>. La tesis propuesta en dichos conceptos se expone a continuación y se complementa en lo pertinente</w:t>
      </w:r>
      <w:r w:rsidR="00922F0B" w:rsidRPr="001B7209">
        <w:rPr>
          <w:rFonts w:ascii="Century Gothic" w:hAnsi="Century Gothic" w:cs="Arial"/>
          <w:color w:val="000000" w:themeColor="text1"/>
        </w:rPr>
        <w:t>.</w:t>
      </w:r>
    </w:p>
    <w:p w14:paraId="14E3E201" w14:textId="75513736" w:rsidR="00E271CA" w:rsidRPr="001B7209" w:rsidRDefault="00E271CA" w:rsidP="00E271CA">
      <w:pPr>
        <w:spacing w:line="276" w:lineRule="auto"/>
        <w:jc w:val="both"/>
        <w:rPr>
          <w:rFonts w:ascii="Century Gothic" w:eastAsia="Calibri" w:hAnsi="Century Gothic" w:cs="Arial"/>
          <w:b/>
        </w:rPr>
      </w:pPr>
      <w:r w:rsidRPr="001B7209">
        <w:rPr>
          <w:rFonts w:ascii="Century Gothic" w:eastAsia="Calibri" w:hAnsi="Century Gothic" w:cs="Arial"/>
          <w:b/>
        </w:rPr>
        <w:t>2.1 Competencia consultiva de la Agencia Nacional de Contratación Pública – Colombia Compra Eficiente</w:t>
      </w:r>
      <w:r w:rsidR="00695943" w:rsidRPr="001B7209">
        <w:rPr>
          <w:rFonts w:ascii="Century Gothic" w:eastAsia="Calibri" w:hAnsi="Century Gothic" w:cs="Arial"/>
          <w:b/>
        </w:rPr>
        <w:t>. Reiteración de Línea</w:t>
      </w:r>
      <w:r w:rsidR="005A2F91" w:rsidRPr="001B7209">
        <w:rPr>
          <w:rFonts w:ascii="Century Gothic" w:eastAsia="Calibri" w:hAnsi="Century Gothic" w:cs="Arial"/>
          <w:b/>
        </w:rPr>
        <w:t>.</w:t>
      </w:r>
    </w:p>
    <w:p w14:paraId="0561F7BD" w14:textId="77777777" w:rsidR="00E271CA" w:rsidRPr="001B7209" w:rsidRDefault="00E271CA" w:rsidP="00E271CA">
      <w:pPr>
        <w:tabs>
          <w:tab w:val="left" w:pos="426"/>
        </w:tabs>
        <w:spacing w:before="120" w:line="276" w:lineRule="auto"/>
        <w:jc w:val="both"/>
        <w:rPr>
          <w:rFonts w:ascii="Century Gothic" w:eastAsia="Times New Roman" w:hAnsi="Century Gothic" w:cs="Arial"/>
          <w:color w:val="000000"/>
          <w:lang w:eastAsia="es-MX"/>
        </w:rPr>
      </w:pPr>
      <w:r w:rsidRPr="001B7209">
        <w:rPr>
          <w:rFonts w:ascii="Century Gothic" w:eastAsia="Times New Roman" w:hAnsi="Century Gothic" w:cs="Arial"/>
          <w:color w:val="000000"/>
          <w:lang w:eastAsia="es-MX"/>
        </w:rPr>
        <w:t xml:space="preserve">En ejercicio de las competencias consagradas en el numeral 5 del artículo 3 y numeral 8, 12, del artículo 11 del Decreto 4170 de 2011, la Agencia Nacional de </w:t>
      </w:r>
      <w:r w:rsidRPr="001B7209">
        <w:rPr>
          <w:rFonts w:ascii="Century Gothic" w:eastAsia="Times New Roman" w:hAnsi="Century Gothic" w:cs="Arial"/>
          <w:color w:val="000000"/>
          <w:lang w:eastAsia="es-MX"/>
        </w:rPr>
        <w:lastRenderedPageBreak/>
        <w:t xml:space="preserve">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1B7209">
        <w:rPr>
          <w:rFonts w:ascii="Century Gothic" w:eastAsia="Calibri" w:hAnsi="Century Gothic" w:cs="Arial"/>
          <w:color w:val="000000"/>
          <w:lang w:eastAsia="es-MX"/>
        </w:rPr>
        <w:t> </w:t>
      </w:r>
    </w:p>
    <w:p w14:paraId="1A69CA0E" w14:textId="3F0221E5" w:rsidR="00E271CA" w:rsidRPr="001B7209" w:rsidRDefault="00E271CA" w:rsidP="00E271CA">
      <w:pPr>
        <w:tabs>
          <w:tab w:val="left" w:pos="426"/>
        </w:tabs>
        <w:spacing w:line="240" w:lineRule="auto"/>
        <w:ind w:left="709" w:right="709"/>
        <w:jc w:val="both"/>
        <w:rPr>
          <w:rFonts w:ascii="Century Gothic" w:eastAsia="Times New Roman" w:hAnsi="Century Gothic" w:cs="Arial"/>
          <w:color w:val="000000"/>
          <w:sz w:val="21"/>
          <w:szCs w:val="21"/>
          <w:lang w:eastAsia="es-MX"/>
        </w:rPr>
      </w:pPr>
      <w:r w:rsidRPr="001B7209">
        <w:rPr>
          <w:rFonts w:ascii="Century Gothic" w:eastAsia="Calibri" w:hAnsi="Century Gothic" w:cs="Arial"/>
          <w:color w:val="000000"/>
          <w:sz w:val="21"/>
          <w:szCs w:val="21"/>
          <w:lang w:eastAsia="es-MX"/>
        </w:rPr>
        <w:t> </w:t>
      </w:r>
      <w:proofErr w:type="gramStart"/>
      <w:r w:rsidR="00487FE9" w:rsidRPr="001B7209">
        <w:rPr>
          <w:rFonts w:ascii="Century Gothic" w:eastAsia="Times New Roman" w:hAnsi="Century Gothic" w:cs="Arial"/>
          <w:color w:val="000000"/>
          <w:sz w:val="21"/>
          <w:szCs w:val="21"/>
          <w:lang w:eastAsia="es-MX"/>
        </w:rPr>
        <w:t>”</w:t>
      </w:r>
      <w:r w:rsidRPr="001B7209">
        <w:rPr>
          <w:rFonts w:ascii="Century Gothic" w:eastAsia="Times New Roman" w:hAnsi="Century Gothic" w:cs="Arial"/>
          <w:color w:val="000000"/>
          <w:sz w:val="21"/>
          <w:szCs w:val="21"/>
          <w:lang w:eastAsia="es-MX"/>
        </w:rPr>
        <w:t>Artículo</w:t>
      </w:r>
      <w:proofErr w:type="gramEnd"/>
      <w:r w:rsidRPr="001B7209">
        <w:rPr>
          <w:rFonts w:ascii="Century Gothic" w:eastAsia="Times New Roman" w:hAnsi="Century Gothic" w:cs="Arial"/>
          <w:color w:val="000000"/>
          <w:sz w:val="21"/>
          <w:szCs w:val="21"/>
          <w:lang w:eastAsia="es-MX"/>
        </w:rPr>
        <w:t xml:space="preserve"> 28. Alcance de los conceptos. Salvo disposición legal en contrario, los conceptos emitidos por las autoridades como respuestas a peticiones realizadas en ejercicio del derecho a formular consultas no serán de obligatorio cumplimiento o ejecución</w:t>
      </w:r>
      <w:r w:rsidR="00487FE9" w:rsidRPr="001B7209">
        <w:rPr>
          <w:rFonts w:ascii="Century Gothic" w:eastAsia="Calibri" w:hAnsi="Century Gothic" w:cs="Arial"/>
          <w:color w:val="000000"/>
          <w:sz w:val="21"/>
          <w:szCs w:val="21"/>
          <w:lang w:eastAsia="es-MX"/>
        </w:rPr>
        <w:t>”</w:t>
      </w:r>
      <w:r w:rsidRPr="001B7209">
        <w:rPr>
          <w:rFonts w:ascii="Century Gothic" w:eastAsia="Calibri" w:hAnsi="Century Gothic" w:cs="Arial"/>
          <w:color w:val="000000"/>
          <w:sz w:val="21"/>
          <w:szCs w:val="21"/>
          <w:lang w:eastAsia="es-MX"/>
        </w:rPr>
        <w:t>. </w:t>
      </w:r>
    </w:p>
    <w:p w14:paraId="67793DFF" w14:textId="77777777" w:rsidR="00E271CA" w:rsidRPr="001B7209" w:rsidRDefault="00E271CA" w:rsidP="00E271CA">
      <w:pPr>
        <w:tabs>
          <w:tab w:val="left" w:pos="426"/>
        </w:tabs>
        <w:spacing w:before="120" w:after="120" w:line="276" w:lineRule="auto"/>
        <w:jc w:val="both"/>
        <w:rPr>
          <w:rFonts w:ascii="Century Gothic" w:eastAsia="Times New Roman" w:hAnsi="Century Gothic" w:cs="Arial"/>
          <w:color w:val="000000"/>
          <w:lang w:eastAsia="es-MX"/>
        </w:rPr>
      </w:pPr>
      <w:r w:rsidRPr="001B7209">
        <w:rPr>
          <w:rFonts w:ascii="Century Gothic" w:eastAsia="Calibri" w:hAnsi="Century Gothic" w:cs="Arial"/>
          <w:color w:val="000000"/>
          <w:lang w:eastAsia="es-MX"/>
        </w:rPr>
        <w:t> </w:t>
      </w:r>
      <w:r w:rsidRPr="001B7209">
        <w:rPr>
          <w:rFonts w:ascii="Century Gothic" w:eastAsia="Calibri" w:hAnsi="Century Gothic" w:cs="Arial"/>
          <w:color w:val="000000"/>
          <w:lang w:eastAsia="es-MX"/>
        </w:rPr>
        <w:tab/>
      </w:r>
      <w:r w:rsidRPr="001B7209">
        <w:rPr>
          <w:rFonts w:ascii="Century Gothic" w:eastAsia="Calibri" w:hAnsi="Century Gothic" w:cs="Arial"/>
          <w:color w:val="000000"/>
          <w:lang w:eastAsia="es-MX"/>
        </w:rPr>
        <w:tab/>
      </w:r>
      <w:r w:rsidRPr="001B7209">
        <w:rPr>
          <w:rFonts w:ascii="Century Gothic" w:eastAsia="Times New Roman" w:hAnsi="Century Gothic" w:cs="Arial"/>
          <w:color w:val="000000"/>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1B7209">
        <w:rPr>
          <w:rFonts w:ascii="Century Gothic" w:eastAsia="Calibri" w:hAnsi="Century Gothic" w:cs="Arial"/>
          <w:color w:val="000000"/>
          <w:lang w:eastAsia="es-MX"/>
        </w:rPr>
        <w:t> </w:t>
      </w:r>
    </w:p>
    <w:p w14:paraId="314C4158" w14:textId="77777777" w:rsidR="00E271CA" w:rsidRPr="001B7209" w:rsidRDefault="00E271CA" w:rsidP="00E271CA">
      <w:pPr>
        <w:spacing w:before="120" w:line="276" w:lineRule="auto"/>
        <w:ind w:firstLine="708"/>
        <w:jc w:val="both"/>
        <w:rPr>
          <w:rFonts w:ascii="Century Gothic" w:eastAsia="Times New Roman" w:hAnsi="Century Gothic" w:cs="Arial"/>
          <w:color w:val="000000"/>
          <w:lang w:eastAsia="es-MX"/>
        </w:rPr>
      </w:pPr>
      <w:r w:rsidRPr="001B7209">
        <w:rPr>
          <w:rFonts w:ascii="Century Gothic" w:eastAsia="Times New Roman" w:hAnsi="Century Gothic" w:cs="Arial"/>
          <w:color w:val="000000"/>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1B7209">
        <w:rPr>
          <w:rFonts w:ascii="Century Gothic" w:eastAsia="Calibri" w:hAnsi="Century Gothic" w:cs="Arial"/>
          <w:color w:val="000000"/>
          <w:lang w:eastAsia="es-MX"/>
        </w:rPr>
        <w:t> </w:t>
      </w:r>
    </w:p>
    <w:p w14:paraId="5573A169" w14:textId="7F6B0487" w:rsidR="00E271CA" w:rsidRPr="001B7209" w:rsidRDefault="00E271CA" w:rsidP="00E271CA">
      <w:pPr>
        <w:tabs>
          <w:tab w:val="left" w:pos="709"/>
        </w:tabs>
        <w:spacing w:before="120" w:line="276" w:lineRule="auto"/>
        <w:jc w:val="both"/>
        <w:rPr>
          <w:rFonts w:ascii="Century Gothic" w:eastAsia="Times New Roman" w:hAnsi="Century Gothic" w:cs="Arial"/>
          <w:color w:val="000000"/>
          <w:lang w:eastAsia="es-MX"/>
        </w:rPr>
      </w:pPr>
      <w:r w:rsidRPr="001B7209">
        <w:rPr>
          <w:rFonts w:ascii="Century Gothic" w:eastAsia="Times New Roman" w:hAnsi="Century Gothic" w:cs="Arial"/>
          <w:color w:val="000000"/>
          <w:shd w:val="clear" w:color="auto" w:fill="FFFFFF"/>
          <w:lang w:eastAsia="es-MX"/>
        </w:rPr>
        <w:tab/>
        <w:t>En concordancia con ello, es importante resaltar que e</w:t>
      </w:r>
      <w:r w:rsidRPr="001B7209">
        <w:rPr>
          <w:rFonts w:ascii="Century Gothic" w:eastAsia="Times New Roman" w:hAnsi="Century Gothic" w:cs="Arial"/>
          <w:color w:val="000000"/>
          <w:lang w:eastAsia="es-MX"/>
        </w:rPr>
        <w:t>sta posición es compartida por varias entidades públicas que ejercen similar función. Por ejemplo, la Procuraduría General de la Nación</w:t>
      </w:r>
      <w:r w:rsidRPr="001B7209">
        <w:rPr>
          <w:rFonts w:ascii="Century Gothic" w:eastAsia="Times New Roman" w:hAnsi="Century Gothic" w:cs="Arial"/>
          <w:color w:val="000000"/>
          <w:vertAlign w:val="superscript"/>
          <w:lang w:eastAsia="es-MX"/>
        </w:rPr>
        <w:footnoteReference w:id="3"/>
      </w:r>
      <w:r w:rsidRPr="001B7209">
        <w:rPr>
          <w:rFonts w:ascii="Century Gothic" w:eastAsia="Times New Roman" w:hAnsi="Century Gothic" w:cs="Arial"/>
          <w:color w:val="000000"/>
          <w:lang w:eastAsia="es-MX"/>
        </w:rPr>
        <w:t xml:space="preserve"> aclaró que el concepto </w:t>
      </w:r>
      <w:r w:rsidR="00487FE9" w:rsidRPr="001B7209">
        <w:rPr>
          <w:rFonts w:ascii="Century Gothic" w:eastAsia="Times New Roman" w:hAnsi="Century Gothic" w:cs="Arial"/>
          <w:color w:val="000000"/>
          <w:lang w:eastAsia="es-MX"/>
        </w:rPr>
        <w:t>“</w:t>
      </w:r>
      <w:r w:rsidRPr="001B7209">
        <w:rPr>
          <w:rFonts w:ascii="Century Gothic" w:eastAsia="Times New Roman" w:hAnsi="Century Gothic" w:cs="Arial"/>
          <w:color w:val="000000"/>
          <w:lang w:eastAsia="es-MX"/>
        </w:rPr>
        <w:t>sólo constituye un criterio auxiliar de interpretación y que no tiene carácter vinculante de acuerdo con lo dispuesto en los artículos 230 de la Constitución Política, 5° de la Ley 153 de 1887 y 28 de la ley 1437 de 2011</w:t>
      </w:r>
      <w:r w:rsidR="00487FE9" w:rsidRPr="001B7209">
        <w:rPr>
          <w:rFonts w:ascii="Century Gothic" w:eastAsia="Times New Roman" w:hAnsi="Century Gothic" w:cs="Arial"/>
          <w:color w:val="000000"/>
          <w:lang w:eastAsia="es-MX"/>
        </w:rPr>
        <w:t>”</w:t>
      </w:r>
      <w:r w:rsidRPr="001B7209">
        <w:rPr>
          <w:rFonts w:ascii="Century Gothic" w:eastAsia="Times New Roman" w:hAnsi="Century Gothic" w:cs="Arial"/>
          <w:color w:val="000000"/>
          <w:lang w:eastAsia="es-MX"/>
        </w:rPr>
        <w:t>. Igualmente, en concepto del año 2017, la Contraloría General</w:t>
      </w:r>
      <w:r w:rsidRPr="001B7209">
        <w:rPr>
          <w:rFonts w:ascii="Century Gothic" w:eastAsia="Times New Roman" w:hAnsi="Century Gothic" w:cs="Arial"/>
          <w:color w:val="000000"/>
          <w:vertAlign w:val="superscript"/>
          <w:lang w:eastAsia="es-MX"/>
        </w:rPr>
        <w:footnoteReference w:id="4"/>
      </w:r>
      <w:r w:rsidRPr="001B7209">
        <w:rPr>
          <w:rFonts w:ascii="Century Gothic" w:eastAsia="Times New Roman" w:hAnsi="Century Gothic" w:cs="Arial"/>
          <w:color w:val="000000"/>
          <w:lang w:eastAsia="es-MX"/>
        </w:rPr>
        <w:t xml:space="preserve"> de la República precisó que los </w:t>
      </w:r>
      <w:r w:rsidR="00487FE9" w:rsidRPr="001B7209">
        <w:rPr>
          <w:rFonts w:ascii="Century Gothic" w:eastAsia="Times New Roman" w:hAnsi="Century Gothic" w:cs="Arial"/>
          <w:i/>
          <w:color w:val="000000"/>
          <w:lang w:eastAsia="es-MX"/>
        </w:rPr>
        <w:t>“</w:t>
      </w:r>
      <w:r w:rsidRPr="001B7209">
        <w:rPr>
          <w:rFonts w:ascii="Century Gothic" w:eastAsia="Times New Roman" w:hAnsi="Century Gothic" w:cs="Arial"/>
          <w:i/>
          <w:color w:val="000000"/>
          <w:lang w:eastAsia="es-MX"/>
        </w:rPr>
        <w:t xml:space="preserve">[…] conceptos emitidos por la Oficina Jurídica de la Contraloría General de la República, son orientaciones de carácter general que […] no son de obligatorio cumplimiento o ejecución, ni tienen </w:t>
      </w:r>
      <w:r w:rsidRPr="001B7209">
        <w:rPr>
          <w:rFonts w:ascii="Century Gothic" w:eastAsia="Times New Roman" w:hAnsi="Century Gothic" w:cs="Arial"/>
          <w:i/>
          <w:color w:val="000000"/>
          <w:lang w:eastAsia="es-MX"/>
        </w:rPr>
        <w:lastRenderedPageBreak/>
        <w:t>el carácter de fuente normativa y sólo pueden ser utilizados para facilitar la interpretación y aplicación de las normas jurídicas vigentes […]</w:t>
      </w:r>
      <w:r w:rsidR="00487FE9" w:rsidRPr="001B7209">
        <w:rPr>
          <w:rFonts w:ascii="Century Gothic" w:eastAsia="Times New Roman" w:hAnsi="Century Gothic" w:cs="Arial"/>
          <w:i/>
          <w:color w:val="000000"/>
          <w:lang w:eastAsia="es-MX"/>
        </w:rPr>
        <w:t>”</w:t>
      </w:r>
      <w:r w:rsidRPr="001B7209">
        <w:rPr>
          <w:rFonts w:ascii="Century Gothic" w:eastAsia="Times New Roman" w:hAnsi="Century Gothic" w:cs="Arial"/>
          <w:i/>
          <w:color w:val="000000"/>
          <w:lang w:eastAsia="es-MX"/>
        </w:rPr>
        <w:t>.</w:t>
      </w:r>
      <w:r w:rsidRPr="001B7209">
        <w:rPr>
          <w:rFonts w:ascii="Century Gothic" w:eastAsia="Calibri" w:hAnsi="Century Gothic" w:cs="Arial"/>
          <w:color w:val="000000"/>
          <w:lang w:eastAsia="es-MX"/>
        </w:rPr>
        <w:t> </w:t>
      </w:r>
    </w:p>
    <w:p w14:paraId="50042E2F" w14:textId="77777777" w:rsidR="00E271CA" w:rsidRPr="001B7209" w:rsidRDefault="00E271CA" w:rsidP="00E271CA">
      <w:pPr>
        <w:tabs>
          <w:tab w:val="left" w:pos="709"/>
        </w:tabs>
        <w:spacing w:before="120" w:line="276" w:lineRule="auto"/>
        <w:jc w:val="both"/>
        <w:rPr>
          <w:rFonts w:ascii="Century Gothic" w:eastAsia="Times New Roman" w:hAnsi="Century Gothic" w:cs="Arial"/>
          <w:color w:val="000000"/>
          <w:lang w:eastAsia="es-MX"/>
        </w:rPr>
      </w:pPr>
      <w:r w:rsidRPr="001B7209">
        <w:rPr>
          <w:rFonts w:ascii="Century Gothic" w:eastAsia="Calibri" w:hAnsi="Century Gothic" w:cs="Arial"/>
          <w:color w:val="000000"/>
          <w:lang w:eastAsia="es-MX"/>
        </w:rPr>
        <w:tab/>
      </w:r>
      <w:r w:rsidRPr="001B7209">
        <w:rPr>
          <w:rFonts w:ascii="Century Gothic" w:eastAsia="Times New Roman" w:hAnsi="Century Gothic" w:cs="Arial"/>
          <w:color w:val="000000"/>
          <w:lang w:eastAsia="es-MX"/>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1B7209">
        <w:rPr>
          <w:rFonts w:ascii="Century Gothic" w:eastAsia="Times New Roman" w:hAnsi="Century Gothic" w:cs="Arial"/>
          <w:color w:val="000000"/>
          <w:vertAlign w:val="superscript"/>
          <w:lang w:eastAsia="es-MX"/>
        </w:rPr>
        <w:footnoteReference w:id="5"/>
      </w:r>
      <w:r w:rsidRPr="001B7209">
        <w:rPr>
          <w:rFonts w:ascii="Century Gothic" w:eastAsia="Times New Roman" w:hAnsi="Century Gothic" w:cs="Arial"/>
          <w:color w:val="000000"/>
          <w:lang w:eastAsia="es-MX"/>
        </w:rPr>
        <w:t xml:space="preserve">. </w:t>
      </w:r>
    </w:p>
    <w:p w14:paraId="4B6C9046" w14:textId="77777777" w:rsidR="00E271CA" w:rsidRPr="001B7209" w:rsidRDefault="00E271CA" w:rsidP="00E271CA">
      <w:pPr>
        <w:spacing w:before="120" w:after="120" w:line="276" w:lineRule="auto"/>
        <w:ind w:firstLine="709"/>
        <w:jc w:val="both"/>
        <w:rPr>
          <w:rFonts w:ascii="Century Gothic" w:eastAsia="Times New Roman" w:hAnsi="Century Gothic" w:cs="Arial"/>
          <w:color w:val="000000"/>
          <w:lang w:eastAsia="es-MX"/>
        </w:rPr>
      </w:pPr>
      <w:r w:rsidRPr="001B7209">
        <w:rPr>
          <w:rFonts w:ascii="Century Gothic" w:eastAsia="Times New Roman" w:hAnsi="Century Gothic" w:cs="Arial"/>
          <w:color w:val="000000"/>
          <w:lang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1EE7A70C" w14:textId="6C91A4E4" w:rsidR="00E271CA" w:rsidRPr="001B7209" w:rsidRDefault="00E271CA" w:rsidP="00E271CA">
      <w:pPr>
        <w:spacing w:line="276" w:lineRule="auto"/>
        <w:ind w:firstLine="708"/>
        <w:jc w:val="both"/>
        <w:rPr>
          <w:rFonts w:ascii="Century Gothic" w:eastAsia="Times New Roman" w:hAnsi="Century Gothic" w:cs="Arial"/>
          <w:color w:val="000000"/>
          <w:szCs w:val="24"/>
          <w:lang w:eastAsia="es-MX"/>
        </w:rPr>
      </w:pPr>
      <w:r w:rsidRPr="001B7209">
        <w:rPr>
          <w:rFonts w:ascii="Century Gothic" w:eastAsia="Times New Roman" w:hAnsi="Century Gothic" w:cs="Arial"/>
          <w:color w:val="000000"/>
          <w:lang w:eastAsia="es-MX"/>
        </w:rPr>
        <w:t xml:space="preserve">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w:t>
      </w:r>
      <w:r w:rsidR="00487FE9" w:rsidRPr="001B7209">
        <w:rPr>
          <w:rFonts w:ascii="Century Gothic" w:eastAsia="Times New Roman" w:hAnsi="Century Gothic" w:cs="Arial"/>
          <w:color w:val="000000"/>
          <w:lang w:eastAsia="es-MX"/>
        </w:rPr>
        <w:t>“</w:t>
      </w:r>
      <w:r w:rsidRPr="001B7209">
        <w:rPr>
          <w:rFonts w:ascii="Century Gothic" w:eastAsia="Times New Roman" w:hAnsi="Century Gothic" w:cs="Arial"/>
          <w:color w:val="000000"/>
          <w:lang w:eastAsia="es-MX"/>
        </w:rPr>
        <w:t>no serán de obligatorio cumplimiento o ejecución</w:t>
      </w:r>
      <w:r w:rsidR="00487FE9" w:rsidRPr="001B7209">
        <w:rPr>
          <w:rFonts w:ascii="Century Gothic" w:eastAsia="Times New Roman" w:hAnsi="Century Gothic" w:cs="Arial"/>
          <w:color w:val="000000"/>
          <w:lang w:eastAsia="es-MX"/>
        </w:rPr>
        <w:t>”</w:t>
      </w:r>
      <w:r w:rsidRPr="001B7209">
        <w:rPr>
          <w:rFonts w:ascii="Century Gothic" w:eastAsia="Times New Roman" w:hAnsi="Century Gothic" w:cs="Arial"/>
          <w:color w:val="000000"/>
          <w:lang w:eastAsia="es-MX"/>
        </w:rPr>
        <w:t>.</w:t>
      </w:r>
    </w:p>
    <w:p w14:paraId="38003421" w14:textId="5F19F134" w:rsidR="00E271CA" w:rsidRPr="001B7209" w:rsidRDefault="00E271CA" w:rsidP="00E271CA">
      <w:pPr>
        <w:tabs>
          <w:tab w:val="left" w:pos="0"/>
        </w:tabs>
        <w:spacing w:line="276" w:lineRule="auto"/>
        <w:jc w:val="both"/>
        <w:rPr>
          <w:rFonts w:ascii="Century Gothic" w:hAnsi="Century Gothic" w:cs="Arial"/>
          <w:b/>
          <w:color w:val="000000"/>
          <w:lang w:eastAsia="en-GB"/>
        </w:rPr>
      </w:pPr>
      <w:r w:rsidRPr="001B7209">
        <w:rPr>
          <w:rFonts w:ascii="Century Gothic" w:hAnsi="Century Gothic" w:cs="Arial"/>
          <w:b/>
          <w:color w:val="000000"/>
          <w:lang w:eastAsia="en-GB"/>
        </w:rPr>
        <w:t>2.</w:t>
      </w:r>
      <w:r w:rsidR="00EC6E26" w:rsidRPr="001B7209">
        <w:rPr>
          <w:rFonts w:ascii="Century Gothic" w:hAnsi="Century Gothic" w:cs="Arial"/>
          <w:b/>
          <w:color w:val="000000"/>
          <w:lang w:eastAsia="en-GB"/>
        </w:rPr>
        <w:t>2</w:t>
      </w:r>
      <w:r w:rsidRPr="001B7209">
        <w:rPr>
          <w:rFonts w:ascii="Century Gothic" w:hAnsi="Century Gothic" w:cs="Arial"/>
          <w:b/>
          <w:color w:val="000000"/>
          <w:lang w:eastAsia="en-GB"/>
        </w:rPr>
        <w:t xml:space="preserve">. </w:t>
      </w:r>
      <w:r w:rsidRPr="001B7209">
        <w:rPr>
          <w:rFonts w:ascii="Century Gothic" w:hAnsi="Century Gothic" w:cs="Arial"/>
          <w:b/>
          <w:color w:val="000000" w:themeColor="text1"/>
        </w:rPr>
        <w:t>Naturaleza jurídica del anticipo</w:t>
      </w:r>
      <w:r w:rsidR="00670815" w:rsidRPr="001B7209">
        <w:rPr>
          <w:rFonts w:ascii="Century Gothic" w:hAnsi="Century Gothic" w:cs="Arial"/>
          <w:b/>
          <w:color w:val="000000" w:themeColor="text1"/>
        </w:rPr>
        <w:t>. Reiteración de línea</w:t>
      </w:r>
    </w:p>
    <w:p w14:paraId="7ADC9560" w14:textId="1B1D51CC" w:rsidR="00E271CA" w:rsidRPr="001B7209" w:rsidRDefault="00E271CA" w:rsidP="00E271CA">
      <w:pPr>
        <w:tabs>
          <w:tab w:val="left" w:pos="0"/>
        </w:tabs>
        <w:spacing w:line="276" w:lineRule="auto"/>
        <w:jc w:val="both"/>
        <w:rPr>
          <w:rFonts w:ascii="Century Gothic" w:hAnsi="Century Gothic" w:cs="Arial"/>
          <w:color w:val="000000" w:themeColor="text1"/>
        </w:rPr>
      </w:pPr>
      <w:r w:rsidRPr="001B7209">
        <w:rPr>
          <w:rFonts w:ascii="Century Gothic" w:hAnsi="Century Gothic" w:cs="Arial"/>
          <w:color w:val="000000"/>
          <w:lang w:eastAsia="en-GB"/>
        </w:rPr>
        <w:lastRenderedPageBreak/>
        <w:t>En materia de contratación pública, la figura del anticipo está prevista en dos (2) normas: el</w:t>
      </w:r>
      <w:r w:rsidRPr="001B7209">
        <w:rPr>
          <w:rFonts w:ascii="Century Gothic" w:hAnsi="Century Gothic" w:cs="Arial"/>
          <w:color w:val="000000" w:themeColor="text1"/>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w:t>
      </w:r>
      <w:r w:rsidR="00487FE9" w:rsidRPr="001B7209">
        <w:rPr>
          <w:rFonts w:ascii="Century Gothic" w:hAnsi="Century Gothic" w:cs="Arial"/>
          <w:color w:val="000000" w:themeColor="text1"/>
        </w:rPr>
        <w:t>“</w:t>
      </w:r>
      <w:r w:rsidRPr="001B7209">
        <w:rPr>
          <w:rFonts w:ascii="Century Gothic" w:hAnsi="Century Gothic" w:cs="Arial"/>
          <w:color w:val="000000" w:themeColor="text1"/>
        </w:rPr>
        <w:t>En los contratos que celebren las entidades estatales se podrá pactar el pago anticipado y la entrega de anticipos, pero su monto no podrá exceder del cincuenta por ciento (50%) del valor del respectivo contrato</w:t>
      </w:r>
      <w:r w:rsidR="00487FE9" w:rsidRPr="001B7209">
        <w:rPr>
          <w:rFonts w:ascii="Century Gothic" w:hAnsi="Century Gothic" w:cs="Arial"/>
          <w:color w:val="000000" w:themeColor="text1"/>
        </w:rPr>
        <w:t>”</w:t>
      </w:r>
      <w:r w:rsidRPr="001B7209">
        <w:rPr>
          <w:rFonts w:ascii="Century Gothic" w:hAnsi="Century Gothic" w:cs="Arial"/>
          <w:color w:val="000000" w:themeColor="text1"/>
        </w:rPr>
        <w:t xml:space="preserve">. </w:t>
      </w:r>
    </w:p>
    <w:p w14:paraId="7B5B7756" w14:textId="46A576BD" w:rsidR="00E271CA" w:rsidRPr="001B7209" w:rsidRDefault="00E271CA" w:rsidP="00E271CA">
      <w:pPr>
        <w:tabs>
          <w:tab w:val="left" w:pos="0"/>
        </w:tabs>
        <w:spacing w:before="120" w:line="276" w:lineRule="auto"/>
        <w:ind w:firstLine="709"/>
        <w:jc w:val="both"/>
        <w:rPr>
          <w:rFonts w:ascii="Century Gothic" w:hAnsi="Century Gothic" w:cs="Arial"/>
          <w:color w:val="000000" w:themeColor="text1"/>
        </w:rPr>
      </w:pPr>
      <w:r w:rsidRPr="001B7209">
        <w:rPr>
          <w:rFonts w:ascii="Century Gothic" w:hAnsi="Century Gothic" w:cs="Arial"/>
          <w:color w:val="000000" w:themeColor="text1"/>
        </w:rPr>
        <w:t xml:space="preserve">Por su parte, el artículo 91 de la Ley 1474 de 2011 consagra una regla especial para el manejo del anticipo. Según esta disposición, el contratista tiene la obligación de constituir una fiducia o un patrimonio autónomo irrevocable para el manejo de los recursos que reciba a título de anticipo, cuando se pacte en contratos de obra, concesión, salud, o en todos aquellos que se realicen por licitación pública, </w:t>
      </w:r>
      <w:r w:rsidR="00487FE9" w:rsidRPr="001B7209">
        <w:rPr>
          <w:rFonts w:ascii="Century Gothic" w:hAnsi="Century Gothic" w:cs="Arial"/>
          <w:i/>
          <w:color w:val="000000" w:themeColor="text1"/>
        </w:rPr>
        <w:t>“</w:t>
      </w:r>
      <w:r w:rsidRPr="001B7209">
        <w:rPr>
          <w:rFonts w:ascii="Century Gothic" w:hAnsi="Century Gothic" w:cs="Arial"/>
          <w:i/>
          <w:color w:val="000000" w:themeColor="text1"/>
        </w:rPr>
        <w:t>salvo que el contrato sea de menor o mínima cuantía</w:t>
      </w:r>
      <w:r w:rsidR="00487FE9" w:rsidRPr="001B7209">
        <w:rPr>
          <w:rFonts w:ascii="Century Gothic" w:hAnsi="Century Gothic" w:cs="Arial"/>
          <w:color w:val="000000" w:themeColor="text1"/>
        </w:rPr>
        <w:t>”</w:t>
      </w:r>
      <w:r w:rsidRPr="001B7209">
        <w:rPr>
          <w:rFonts w:ascii="Century Gothic" w:hAnsi="Century Gothic" w:cs="Arial"/>
          <w:color w:val="000000" w:themeColor="text1"/>
        </w:rPr>
        <w:t>. Lo anterior, con el fin de garantizar que se destinen exclusivamente a la ejecución del contrato.</w:t>
      </w:r>
    </w:p>
    <w:p w14:paraId="7EFE1AFF" w14:textId="3EFB09CD" w:rsidR="00E271CA" w:rsidRPr="001B7209" w:rsidRDefault="00E271CA" w:rsidP="00E271CA">
      <w:pPr>
        <w:tabs>
          <w:tab w:val="left" w:pos="0"/>
        </w:tabs>
        <w:spacing w:before="120" w:line="276" w:lineRule="auto"/>
        <w:ind w:firstLine="709"/>
        <w:jc w:val="both"/>
        <w:rPr>
          <w:rFonts w:ascii="Century Gothic" w:hAnsi="Century Gothic" w:cs="Arial"/>
          <w:vertAlign w:val="superscript"/>
        </w:rPr>
      </w:pPr>
      <w:r w:rsidRPr="001B7209">
        <w:rPr>
          <w:rFonts w:ascii="Century Gothic" w:hAnsi="Century Gothic" w:cs="Arial"/>
        </w:rPr>
        <w:t>Aunque las normas citadas no definen el anticipo, el Consejo de Estado ha precisado su naturaleza jurídica fijando parámetros para su aplicación</w:t>
      </w:r>
      <w:r w:rsidRPr="001B7209">
        <w:rPr>
          <w:rFonts w:ascii="Century Gothic" w:hAnsi="Century Gothic" w:cs="Arial"/>
          <w:vertAlign w:val="superscript"/>
        </w:rPr>
        <w:footnoteReference w:id="6"/>
      </w:r>
      <w:r w:rsidRPr="001B7209">
        <w:rPr>
          <w:rFonts w:ascii="Century Gothic" w:hAnsi="Century Gothic" w:cs="Arial"/>
        </w:rPr>
        <w:t xml:space="preserve">. En uno de sus pronunciamientos más recientes, el Consejo de Estado se refirió al anticipo como </w:t>
      </w:r>
      <w:r w:rsidR="00487FE9" w:rsidRPr="001B7209">
        <w:rPr>
          <w:rFonts w:ascii="Century Gothic" w:hAnsi="Century Gothic" w:cs="Arial"/>
          <w:color w:val="000000" w:themeColor="text1"/>
        </w:rPr>
        <w:t>“</w:t>
      </w:r>
      <w:r w:rsidRPr="001B7209">
        <w:rPr>
          <w:rFonts w:ascii="Century Gothic" w:hAnsi="Century Gothic" w:cs="Arial"/>
        </w:rPr>
        <w:t>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00487FE9" w:rsidRPr="001B7209">
        <w:rPr>
          <w:rFonts w:ascii="Century Gothic" w:hAnsi="Century Gothic" w:cs="Arial"/>
          <w:color w:val="000000" w:themeColor="text1"/>
        </w:rPr>
        <w:t>”</w:t>
      </w:r>
      <w:r w:rsidRPr="001B7209">
        <w:rPr>
          <w:rFonts w:ascii="Century Gothic" w:hAnsi="Century Gothic" w:cs="Arial"/>
          <w:vertAlign w:val="superscript"/>
        </w:rPr>
        <w:footnoteReference w:id="7"/>
      </w:r>
      <w:r w:rsidRPr="001B7209">
        <w:rPr>
          <w:rFonts w:ascii="Century Gothic" w:hAnsi="Century Gothic" w:cs="Arial"/>
          <w:color w:val="000000" w:themeColor="text1"/>
        </w:rPr>
        <w:t>.</w:t>
      </w:r>
    </w:p>
    <w:p w14:paraId="755E931B" w14:textId="7337F422" w:rsidR="00E271CA" w:rsidRPr="001B7209" w:rsidRDefault="00E271CA" w:rsidP="00E271CA">
      <w:pPr>
        <w:spacing w:before="120" w:line="276" w:lineRule="auto"/>
        <w:ind w:firstLine="708"/>
        <w:jc w:val="both"/>
        <w:rPr>
          <w:rFonts w:ascii="Century Gothic" w:hAnsi="Century Gothic" w:cs="Arial"/>
        </w:rPr>
      </w:pPr>
      <w:r w:rsidRPr="001B7209">
        <w:rPr>
          <w:rFonts w:ascii="Century Gothic" w:hAnsi="Century Gothic" w:cs="Arial"/>
        </w:rPr>
        <w:lastRenderedPageBreak/>
        <w:t xml:space="preserve">Sobre la calidad de recurso público del anticipo, la jurisprudencia ha reiterado que </w:t>
      </w:r>
      <w:r w:rsidR="00487FE9" w:rsidRPr="001B7209">
        <w:rPr>
          <w:rFonts w:ascii="Century Gothic" w:hAnsi="Century Gothic" w:cs="Arial"/>
          <w:color w:val="000000" w:themeColor="text1"/>
        </w:rPr>
        <w:t>“</w:t>
      </w:r>
      <w:r w:rsidRPr="001B7209">
        <w:rPr>
          <w:rFonts w:ascii="Century Gothic" w:hAnsi="Century Gothic" w:cs="Arial"/>
        </w:rPr>
        <w:t>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00487FE9" w:rsidRPr="001B7209">
        <w:rPr>
          <w:rFonts w:ascii="Century Gothic" w:hAnsi="Century Gothic" w:cs="Arial"/>
          <w:color w:val="000000" w:themeColor="text1"/>
        </w:rPr>
        <w:t>”</w:t>
      </w:r>
      <w:r w:rsidRPr="001B7209">
        <w:rPr>
          <w:rFonts w:ascii="Century Gothic" w:hAnsi="Century Gothic" w:cs="Arial"/>
          <w:vertAlign w:val="superscript"/>
        </w:rPr>
        <w:footnoteReference w:id="8"/>
      </w:r>
      <w:r w:rsidRPr="001B7209">
        <w:rPr>
          <w:rFonts w:ascii="Century Gothic" w:hAnsi="Century Gothic" w:cs="Arial"/>
        </w:rPr>
        <w:t>. Igualmente, explica que el anticipo, al facilitar al contratista la financiación de los bienes y servicios que se le han encargado, es un factor determinante para impulsar la ejecución del contrato</w:t>
      </w:r>
      <w:r w:rsidRPr="001B7209">
        <w:rPr>
          <w:rFonts w:ascii="Century Gothic" w:hAnsi="Century Gothic" w:cs="Arial"/>
          <w:vertAlign w:val="superscript"/>
        </w:rPr>
        <w:footnoteReference w:id="9"/>
      </w:r>
      <w:r w:rsidRPr="001B7209">
        <w:rPr>
          <w:rFonts w:ascii="Century Gothic" w:hAnsi="Century Gothic" w:cs="Arial"/>
        </w:rPr>
        <w:t>. Este también es el entendimiento de la doctrina</w:t>
      </w:r>
      <w:r w:rsidRPr="001B7209">
        <w:rPr>
          <w:rFonts w:ascii="Century Gothic" w:hAnsi="Century Gothic" w:cs="Arial"/>
          <w:color w:val="000000" w:themeColor="text1"/>
        </w:rPr>
        <w:t>,</w:t>
      </w:r>
      <w:r w:rsidRPr="001B7209">
        <w:rPr>
          <w:rFonts w:ascii="Century Gothic" w:hAnsi="Century Gothic" w:cs="Arial"/>
        </w:rPr>
        <w:t xml:space="preserve"> que ha considerado el anticipo como un dinero entregado al contratista que debe cancelarse mediante descuentos parciales, siendo una práctica común que permite impulsar la ejecución del contrato</w:t>
      </w:r>
      <w:r w:rsidRPr="001B7209">
        <w:rPr>
          <w:rFonts w:ascii="Century Gothic" w:hAnsi="Century Gothic" w:cs="Arial"/>
          <w:vertAlign w:val="superscript"/>
        </w:rPr>
        <w:footnoteReference w:id="10"/>
      </w:r>
      <w:r w:rsidRPr="001B7209">
        <w:rPr>
          <w:rFonts w:ascii="Century Gothic" w:hAnsi="Century Gothic" w:cs="Arial"/>
        </w:rPr>
        <w:t xml:space="preserve">. </w:t>
      </w:r>
    </w:p>
    <w:p w14:paraId="483E775B" w14:textId="77777777" w:rsidR="00E271CA" w:rsidRPr="001B7209" w:rsidRDefault="00E271CA" w:rsidP="00E271CA">
      <w:pPr>
        <w:spacing w:before="120" w:line="276" w:lineRule="auto"/>
        <w:ind w:firstLine="708"/>
        <w:jc w:val="both"/>
        <w:rPr>
          <w:rFonts w:ascii="Century Gothic" w:hAnsi="Century Gothic" w:cs="Arial"/>
          <w:color w:val="000000" w:themeColor="text1"/>
        </w:rPr>
      </w:pPr>
      <w:r w:rsidRPr="001B7209">
        <w:rPr>
          <w:rFonts w:ascii="Century Gothic" w:hAnsi="Century Gothic" w:cs="Arial"/>
          <w:color w:val="000000" w:themeColor="text1"/>
        </w:rPr>
        <w:t xml:space="preserve">Así, de acuerdo con las consideraciones de la jurisprudencia y la doctrina, el anticipo es </w:t>
      </w:r>
      <w:r w:rsidRPr="001B7209">
        <w:rPr>
          <w:rFonts w:ascii="Century Gothic" w:hAnsi="Century Gothic" w:cs="Arial"/>
        </w:rPr>
        <w:t>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p>
    <w:p w14:paraId="1F75C457" w14:textId="77777777" w:rsidR="00E271CA" w:rsidRPr="001B7209" w:rsidRDefault="00E271CA" w:rsidP="00E271CA">
      <w:pPr>
        <w:spacing w:before="120" w:line="276" w:lineRule="auto"/>
        <w:ind w:firstLine="709"/>
        <w:jc w:val="both"/>
        <w:rPr>
          <w:rFonts w:ascii="Century Gothic" w:hAnsi="Century Gothic" w:cs="Arial"/>
        </w:rPr>
      </w:pPr>
      <w:r w:rsidRPr="001B7209">
        <w:rPr>
          <w:rFonts w:ascii="Century Gothic" w:hAnsi="Century Gothic" w:cs="Arial"/>
          <w:color w:val="000000" w:themeColor="text1"/>
        </w:rPr>
        <w:lastRenderedPageBreak/>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De esta manera, el Consejo de Estado explica lo siguiente: </w:t>
      </w:r>
    </w:p>
    <w:p w14:paraId="03F9EEC3" w14:textId="729F4206" w:rsidR="00E271CA" w:rsidRPr="001B7209" w:rsidRDefault="00487FE9" w:rsidP="00E271CA">
      <w:pPr>
        <w:spacing w:line="240" w:lineRule="auto"/>
        <w:ind w:left="709" w:right="709"/>
        <w:jc w:val="both"/>
        <w:rPr>
          <w:rFonts w:ascii="Century Gothic" w:hAnsi="Century Gothic" w:cs="Arial"/>
          <w:sz w:val="21"/>
          <w:szCs w:val="21"/>
        </w:rPr>
      </w:pPr>
      <w:r w:rsidRPr="001B7209">
        <w:rPr>
          <w:rFonts w:ascii="Century Gothic" w:hAnsi="Century Gothic" w:cs="Arial"/>
          <w:color w:val="000000" w:themeColor="text1"/>
        </w:rPr>
        <w:t>“</w:t>
      </w:r>
      <w:r w:rsidR="00E271CA" w:rsidRPr="001B7209">
        <w:rPr>
          <w:rFonts w:ascii="Century Gothic" w:hAnsi="Century Gothic" w:cs="Arial"/>
          <w:sz w:val="21"/>
          <w:szCs w:val="21"/>
        </w:rPr>
        <w:t xml:space="preserve">[…]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00E271CA" w:rsidRPr="001B7209">
        <w:rPr>
          <w:rFonts w:ascii="Century Gothic" w:hAnsi="Century Gothic" w:cs="Arial"/>
          <w:sz w:val="21"/>
          <w:szCs w:val="21"/>
        </w:rPr>
        <w:t>etc</w:t>
      </w:r>
      <w:proofErr w:type="spellEnd"/>
      <w:r w:rsidR="00E271CA" w:rsidRPr="001B7209">
        <w:rPr>
          <w:rFonts w:ascii="Century Gothic" w:hAnsi="Century Gothic" w:cs="Arial"/>
          <w:sz w:val="21"/>
          <w:szCs w:val="21"/>
        </w:rPr>
        <w:t>).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00E271CA" w:rsidRPr="001B7209">
        <w:rPr>
          <w:rFonts w:ascii="Century Gothic" w:hAnsi="Century Gothic" w:cs="Arial"/>
          <w:b/>
          <w:sz w:val="21"/>
          <w:szCs w:val="21"/>
        </w:rPr>
        <w:t xml:space="preserve">, </w:t>
      </w:r>
      <w:r w:rsidR="00E271CA" w:rsidRPr="001B7209">
        <w:rPr>
          <w:rFonts w:ascii="Century Gothic" w:hAnsi="Century Gothic" w:cs="Arial"/>
          <w:sz w:val="21"/>
          <w:szCs w:val="21"/>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1B7209">
        <w:rPr>
          <w:rFonts w:ascii="Century Gothic" w:hAnsi="Century Gothic" w:cs="Arial"/>
          <w:color w:val="000000" w:themeColor="text1"/>
        </w:rPr>
        <w:t>”</w:t>
      </w:r>
      <w:r w:rsidR="00E271CA" w:rsidRPr="001B7209">
        <w:rPr>
          <w:rFonts w:ascii="Century Gothic" w:hAnsi="Century Gothic" w:cs="Arial"/>
          <w:sz w:val="21"/>
          <w:szCs w:val="21"/>
          <w:vertAlign w:val="superscript"/>
        </w:rPr>
        <w:footnoteReference w:id="11"/>
      </w:r>
    </w:p>
    <w:p w14:paraId="26496850" w14:textId="77777777" w:rsidR="00E271CA" w:rsidRPr="001B7209" w:rsidRDefault="00E271CA" w:rsidP="00E271CA">
      <w:pPr>
        <w:tabs>
          <w:tab w:val="left" w:pos="0"/>
        </w:tabs>
        <w:spacing w:line="276" w:lineRule="auto"/>
        <w:ind w:firstLine="709"/>
        <w:jc w:val="both"/>
        <w:rPr>
          <w:rFonts w:ascii="Century Gothic" w:hAnsi="Century Gothic" w:cs="Arial"/>
        </w:rPr>
      </w:pPr>
      <w:r w:rsidRPr="001B7209">
        <w:rPr>
          <w:rFonts w:ascii="Century Gothic" w:hAnsi="Century Gothic" w:cs="Arial"/>
        </w:rPr>
        <w:t>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cincuenta por ciento (50%) del valor del contrato–, el plazo de amortización, las condiciones necesarias para su exigibilidad, así como todas las obligaciones para su correcta inversión.</w:t>
      </w:r>
    </w:p>
    <w:p w14:paraId="693384C0" w14:textId="77777777" w:rsidR="00E271CA" w:rsidRPr="001B7209" w:rsidRDefault="00E271CA" w:rsidP="00E271CA">
      <w:pPr>
        <w:tabs>
          <w:tab w:val="left" w:pos="0"/>
        </w:tabs>
        <w:spacing w:before="120" w:line="276" w:lineRule="auto"/>
        <w:ind w:firstLine="709"/>
        <w:jc w:val="both"/>
        <w:rPr>
          <w:rFonts w:ascii="Century Gothic" w:hAnsi="Century Gothic" w:cs="Arial"/>
          <w:color w:val="000000" w:themeColor="text1"/>
        </w:rPr>
      </w:pPr>
      <w:r w:rsidRPr="001B7209">
        <w:rPr>
          <w:rFonts w:ascii="Century Gothic" w:hAnsi="Century Gothic" w:cs="Aria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1B7209">
        <w:rPr>
          <w:rFonts w:ascii="Century Gothic" w:hAnsi="Century Gothic" w:cs="Arial"/>
          <w:color w:val="000000" w:themeColor="text1"/>
        </w:rPr>
        <w:t xml:space="preserve">De hecho, el Estatuto </w:t>
      </w:r>
      <w:r w:rsidRPr="001B7209">
        <w:rPr>
          <w:rFonts w:ascii="Century Gothic" w:hAnsi="Century Gothic" w:cs="Arial"/>
          <w:color w:val="000000" w:themeColor="text1"/>
        </w:rPr>
        <w:lastRenderedPageBreak/>
        <w:t xml:space="preserve">General de Contratación de la Administración Pública dispone como única limitación el valor máximo que puede desembolsar la entidad para pactar el anticipo. </w:t>
      </w:r>
    </w:p>
    <w:p w14:paraId="7878A2B9" w14:textId="77777777" w:rsidR="00E271CA" w:rsidRPr="001B7209" w:rsidRDefault="00E271CA" w:rsidP="00E271CA">
      <w:pPr>
        <w:spacing w:before="120" w:after="120" w:line="276" w:lineRule="auto"/>
        <w:ind w:firstLine="709"/>
        <w:jc w:val="both"/>
        <w:rPr>
          <w:rFonts w:ascii="Century Gothic" w:hAnsi="Century Gothic" w:cs="Arial"/>
        </w:rPr>
      </w:pPr>
      <w:r w:rsidRPr="001B7209">
        <w:rPr>
          <w:rFonts w:ascii="Century Gothic" w:hAnsi="Century Gothic" w:cs="Arial"/>
          <w:color w:val="000000" w:themeColor="text1"/>
        </w:rPr>
        <w:t xml:space="preserve">Del análisis realizado se desprende que los recursos entregados al contratista en calidad de anticipo son recursos públicos. Por tanto, corresponde a la entidad </w:t>
      </w:r>
      <w:r w:rsidRPr="001B7209">
        <w:rPr>
          <w:rFonts w:ascii="Century Gothic" w:hAnsi="Century Gothic" w:cs="Arial"/>
        </w:rPr>
        <w:t>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 circunstancias que deben ser objeto de cobertura: i) la no inversión del anticipo; ii) el uso indebido del anticipo; y iii) la apropiación indebida de los recursos recibidos en calidad de anticipo</w:t>
      </w:r>
      <w:r w:rsidRPr="001B7209">
        <w:rPr>
          <w:rFonts w:ascii="Century Gothic" w:hAnsi="Century Gothic" w:cs="Arial"/>
          <w:vertAlign w:val="superscript"/>
        </w:rPr>
        <w:footnoteReference w:id="12"/>
      </w:r>
      <w:r w:rsidRPr="001B7209">
        <w:rPr>
          <w:rFonts w:ascii="Century Gothic" w:hAnsi="Century Gothic" w:cs="Arial"/>
        </w:rPr>
        <w:t xml:space="preserve">. </w:t>
      </w:r>
    </w:p>
    <w:p w14:paraId="47077F67" w14:textId="027B05FD" w:rsidR="00E271CA" w:rsidRPr="001B7209" w:rsidRDefault="00E271CA" w:rsidP="00E271CA">
      <w:pPr>
        <w:spacing w:line="276" w:lineRule="auto"/>
        <w:jc w:val="both"/>
        <w:rPr>
          <w:rFonts w:ascii="Century Gothic" w:hAnsi="Century Gothic" w:cs="Arial"/>
          <w:b/>
          <w:color w:val="000000" w:themeColor="text1"/>
          <w:u w:val="single"/>
        </w:rPr>
      </w:pPr>
      <w:r w:rsidRPr="001B7209">
        <w:rPr>
          <w:rFonts w:ascii="Century Gothic" w:eastAsia="Times New Roman" w:hAnsi="Century Gothic" w:cs="Arial"/>
          <w:b/>
          <w:color w:val="000000" w:themeColor="text1"/>
        </w:rPr>
        <w:lastRenderedPageBreak/>
        <w:t>2.</w:t>
      </w:r>
      <w:r w:rsidR="002A5AAC" w:rsidRPr="001B7209">
        <w:rPr>
          <w:rFonts w:ascii="Century Gothic" w:eastAsia="Times New Roman" w:hAnsi="Century Gothic" w:cs="Arial"/>
          <w:b/>
          <w:color w:val="000000" w:themeColor="text1"/>
        </w:rPr>
        <w:t>3</w:t>
      </w:r>
      <w:r w:rsidRPr="001B7209">
        <w:rPr>
          <w:rFonts w:ascii="Century Gothic" w:eastAsia="Times New Roman" w:hAnsi="Century Gothic" w:cs="Arial"/>
          <w:b/>
          <w:color w:val="000000" w:themeColor="text1"/>
        </w:rPr>
        <w:t xml:space="preserve">. </w:t>
      </w:r>
      <w:r w:rsidRPr="001B7209">
        <w:rPr>
          <w:rFonts w:ascii="Century Gothic" w:hAnsi="Century Gothic" w:cs="Arial"/>
          <w:b/>
          <w:color w:val="000000" w:themeColor="text1"/>
        </w:rPr>
        <w:t>Ámbito de aplicación del artículo 91 de la Ley 1474 de 2011</w:t>
      </w:r>
    </w:p>
    <w:p w14:paraId="05AF775A" w14:textId="77777777" w:rsidR="00E271CA" w:rsidRPr="001B7209" w:rsidRDefault="00E271CA" w:rsidP="00E271CA">
      <w:pPr>
        <w:spacing w:line="276" w:lineRule="auto"/>
        <w:jc w:val="both"/>
        <w:rPr>
          <w:rFonts w:ascii="Century Gothic" w:hAnsi="Century Gothic" w:cs="Arial"/>
          <w:color w:val="000000" w:themeColor="text1"/>
          <w:lang w:val="es-ES_tradnl"/>
        </w:rPr>
      </w:pPr>
      <w:r w:rsidRPr="001B7209">
        <w:rPr>
          <w:rFonts w:ascii="Century Gothic" w:hAnsi="Century Gothic" w:cs="Arial"/>
          <w:color w:val="000000" w:themeColor="text1"/>
          <w:lang w:val="es-ES_tradnl"/>
        </w:rPr>
        <w:t xml:space="preserve">Como se expuso en el acápite anterior, una de las normas que regula el anticipo en materia de contratación estatal es el artículo 91 de la Ley 1474 de 2011. Esta norma dispone lo siguiente: </w:t>
      </w:r>
    </w:p>
    <w:p w14:paraId="37825E82" w14:textId="1D1139C3" w:rsidR="00E271CA" w:rsidRPr="001B7209" w:rsidRDefault="00487FE9" w:rsidP="00C75F75">
      <w:pPr>
        <w:spacing w:after="120" w:line="240" w:lineRule="auto"/>
        <w:ind w:left="709" w:right="709"/>
        <w:jc w:val="both"/>
        <w:rPr>
          <w:rFonts w:ascii="Century Gothic" w:hAnsi="Century Gothic" w:cs="Arial"/>
          <w:sz w:val="21"/>
          <w:szCs w:val="21"/>
        </w:rPr>
      </w:pPr>
      <w:r w:rsidRPr="001B7209">
        <w:rPr>
          <w:rFonts w:ascii="Century Gothic" w:hAnsi="Century Gothic" w:cs="Arial"/>
          <w:sz w:val="21"/>
          <w:szCs w:val="21"/>
        </w:rPr>
        <w:t>“</w:t>
      </w:r>
      <w:r w:rsidR="00E271CA" w:rsidRPr="001B7209">
        <w:rPr>
          <w:rFonts w:ascii="Century Gothic" w:hAnsi="Century Gothic" w:cs="Arial"/>
          <w:sz w:val="21"/>
          <w:szCs w:val="21"/>
        </w:rPr>
        <w:t xml:space="preserve">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w:t>
      </w:r>
      <w:r w:rsidR="00E271CA" w:rsidRPr="001B7209">
        <w:rPr>
          <w:rFonts w:ascii="Century Gothic" w:hAnsi="Century Gothic" w:cs="Arial"/>
          <w:i/>
          <w:sz w:val="21"/>
          <w:szCs w:val="21"/>
        </w:rPr>
        <w:t>salvo que el contrato sea de menor o mínima cuantía.</w:t>
      </w:r>
    </w:p>
    <w:p w14:paraId="1F707E84" w14:textId="4C0EAF98" w:rsidR="00E271CA" w:rsidRPr="001B7209" w:rsidRDefault="00E271CA" w:rsidP="00C75F75">
      <w:pPr>
        <w:spacing w:line="240" w:lineRule="auto"/>
        <w:ind w:left="709" w:right="709"/>
        <w:jc w:val="both"/>
        <w:rPr>
          <w:rFonts w:ascii="Century Gothic" w:hAnsi="Century Gothic" w:cs="Arial"/>
          <w:sz w:val="21"/>
          <w:szCs w:val="21"/>
        </w:rPr>
      </w:pPr>
      <w:r w:rsidRPr="001B7209">
        <w:rPr>
          <w:rFonts w:ascii="Century Gothic" w:hAnsi="Century Gothic" w:cs="Arial"/>
          <w:sz w:val="21"/>
          <w:szCs w:val="21"/>
        </w:rPr>
        <w:t>El costo de la comisión fiduciaria será cubierto directamente por el contratista.</w:t>
      </w:r>
      <w:r w:rsidR="00487FE9" w:rsidRPr="001B7209">
        <w:rPr>
          <w:rFonts w:ascii="Century Gothic" w:hAnsi="Century Gothic" w:cs="Arial"/>
          <w:sz w:val="21"/>
          <w:szCs w:val="21"/>
        </w:rPr>
        <w:t>”</w:t>
      </w:r>
      <w:r w:rsidRPr="001B7209">
        <w:rPr>
          <w:rFonts w:ascii="Century Gothic" w:hAnsi="Century Gothic" w:cs="Arial"/>
          <w:sz w:val="20"/>
          <w:szCs w:val="20"/>
          <w:lang w:val="es-ES_tradnl"/>
        </w:rPr>
        <w:t xml:space="preserve"> [Énfasis fuera de texto]</w:t>
      </w:r>
    </w:p>
    <w:p w14:paraId="39B246E6" w14:textId="77777777" w:rsidR="00E271CA" w:rsidRPr="001B7209" w:rsidRDefault="00E271CA" w:rsidP="00E271CA">
      <w:pPr>
        <w:spacing w:line="276" w:lineRule="auto"/>
        <w:ind w:firstLine="709"/>
        <w:jc w:val="both"/>
        <w:rPr>
          <w:rFonts w:ascii="Century Gothic" w:hAnsi="Century Gothic" w:cs="Arial"/>
          <w:color w:val="000000" w:themeColor="text1"/>
          <w:lang w:val="es-ES_tradnl"/>
        </w:rPr>
      </w:pPr>
      <w:r w:rsidRPr="001B7209">
        <w:rPr>
          <w:rFonts w:ascii="Century Gothic" w:hAnsi="Century Gothic" w:cs="Arial"/>
          <w:color w:val="000000" w:themeColor="text1"/>
          <w:lang w:val="es-ES_tradnl"/>
        </w:rPr>
        <w:t>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w:t>
      </w:r>
      <w:r w:rsidRPr="001B7209">
        <w:rPr>
          <w:rFonts w:ascii="Century Gothic" w:hAnsi="Century Gothic" w:cs="Arial"/>
          <w:color w:val="000000" w:themeColor="text1"/>
          <w:vertAlign w:val="superscript"/>
          <w:lang w:val="es-ES_tradnl"/>
        </w:rPr>
        <w:footnoteReference w:id="13"/>
      </w:r>
      <w:r w:rsidRPr="001B7209">
        <w:rPr>
          <w:rFonts w:ascii="Century Gothic" w:hAnsi="Century Gothic" w:cs="Arial"/>
          <w:color w:val="000000" w:themeColor="text1"/>
          <w:lang w:val="es-ES_tradnl"/>
        </w:rPr>
        <w:t xml:space="preserve">. </w:t>
      </w:r>
    </w:p>
    <w:p w14:paraId="0756C132" w14:textId="77777777" w:rsidR="00E271CA" w:rsidRPr="001B7209" w:rsidRDefault="00E271CA" w:rsidP="00E271CA">
      <w:pPr>
        <w:spacing w:before="120" w:line="276" w:lineRule="auto"/>
        <w:ind w:firstLine="709"/>
        <w:jc w:val="both"/>
        <w:rPr>
          <w:rFonts w:ascii="Century Gothic" w:hAnsi="Century Gothic" w:cs="Arial"/>
          <w:color w:val="000000" w:themeColor="text1"/>
          <w:lang w:val="es-ES_tradnl"/>
        </w:rPr>
      </w:pPr>
      <w:r w:rsidRPr="001B7209">
        <w:rPr>
          <w:rFonts w:ascii="Century Gothic" w:hAnsi="Century Gothic" w:cs="Arial"/>
          <w:color w:val="000000" w:themeColor="text1"/>
          <w:lang w:val="es-ES_tradnl"/>
        </w:rPr>
        <w:t xml:space="preserve">Lo anterior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w:t>
      </w:r>
      <w:r w:rsidRPr="001B7209">
        <w:rPr>
          <w:rFonts w:ascii="Century Gothic" w:hAnsi="Century Gothic" w:cs="Arial"/>
          <w:color w:val="000000" w:themeColor="text1"/>
          <w:lang w:val="es-ES_tradnl"/>
        </w:rPr>
        <w:lastRenderedPageBreak/>
        <w:t>contrato</w:t>
      </w:r>
      <w:r w:rsidRPr="001B7209">
        <w:rPr>
          <w:rFonts w:ascii="Century Gothic" w:hAnsi="Century Gothic" w:cs="Arial"/>
          <w:color w:val="000000" w:themeColor="text1"/>
          <w:vertAlign w:val="superscript"/>
          <w:lang w:val="es-ES_tradnl"/>
        </w:rPr>
        <w:footnoteReference w:id="14"/>
      </w:r>
      <w:r w:rsidRPr="001B7209">
        <w:rPr>
          <w:rFonts w:ascii="Century Gothic" w:hAnsi="Century Gothic" w:cs="Arial"/>
          <w:color w:val="000000" w:themeColor="text1"/>
          <w:lang w:val="es-ES_tradnl"/>
        </w:rPr>
        <w:t xml:space="preserve">.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Entidad Estatal. </w:t>
      </w:r>
    </w:p>
    <w:p w14:paraId="263E5443" w14:textId="361D6CE4" w:rsidR="00E271CA" w:rsidRPr="001B7209" w:rsidRDefault="00E271CA" w:rsidP="00C75F75">
      <w:pPr>
        <w:spacing w:line="276" w:lineRule="auto"/>
        <w:ind w:firstLine="708"/>
        <w:jc w:val="both"/>
        <w:rPr>
          <w:rFonts w:ascii="Century Gothic" w:hAnsi="Century Gothic" w:cs="Arial"/>
          <w:color w:val="000000" w:themeColor="text1"/>
        </w:rPr>
      </w:pPr>
      <w:r w:rsidRPr="001B7209">
        <w:rPr>
          <w:rFonts w:ascii="Century Gothic" w:hAnsi="Century Gothic" w:cs="Arial"/>
          <w:color w:val="000000" w:themeColor="text1"/>
          <w:lang w:val="es-ES_tradnl"/>
        </w:rPr>
        <w:t xml:space="preserve">Por su parte, </w:t>
      </w:r>
      <w:r w:rsidR="00B91438" w:rsidRPr="001B7209">
        <w:rPr>
          <w:rFonts w:ascii="Century Gothic" w:hAnsi="Century Gothic" w:cs="Arial"/>
          <w:color w:val="000000" w:themeColor="text1"/>
          <w:lang w:val="es-ES_tradnl"/>
        </w:rPr>
        <w:t>la Agencia</w:t>
      </w:r>
      <w:r w:rsidRPr="001B7209">
        <w:rPr>
          <w:rFonts w:ascii="Century Gothic" w:hAnsi="Century Gothic" w:cs="Arial"/>
          <w:color w:val="000000" w:themeColor="text1"/>
          <w:lang w:val="es-ES_tradnl"/>
        </w:rPr>
        <w:t xml:space="preserve"> expidió la </w:t>
      </w:r>
      <w:r w:rsidR="00487FE9" w:rsidRPr="001B7209">
        <w:rPr>
          <w:rFonts w:ascii="Century Gothic" w:hAnsi="Century Gothic" w:cs="Arial"/>
          <w:color w:val="000000" w:themeColor="text1"/>
        </w:rPr>
        <w:t>“</w:t>
      </w:r>
      <w:r w:rsidRPr="001B7209">
        <w:rPr>
          <w:rFonts w:ascii="Century Gothic" w:hAnsi="Century Gothic" w:cs="Arial"/>
          <w:i/>
          <w:color w:val="000000" w:themeColor="text1"/>
          <w:lang w:val="es-ES_tradnl"/>
        </w:rPr>
        <w:t>Guía para el manejo de anticipos mediante contrato de fiducia irrevocable</w:t>
      </w:r>
      <w:r w:rsidR="00487FE9" w:rsidRPr="001B7209">
        <w:rPr>
          <w:rFonts w:ascii="Century Gothic" w:hAnsi="Century Gothic" w:cs="Arial"/>
          <w:i/>
          <w:color w:val="000000" w:themeColor="text1"/>
        </w:rPr>
        <w:t>”</w:t>
      </w:r>
      <w:r w:rsidRPr="001B7209">
        <w:rPr>
          <w:rFonts w:ascii="Century Gothic" w:hAnsi="Century Gothic" w:cs="Arial"/>
          <w:i/>
          <w:color w:val="000000" w:themeColor="text1"/>
          <w:vertAlign w:val="superscript"/>
        </w:rPr>
        <w:footnoteReference w:id="15"/>
      </w:r>
      <w:r w:rsidRPr="001B7209">
        <w:rPr>
          <w:rFonts w:ascii="Century Gothic" w:hAnsi="Century Gothic" w:cs="Arial"/>
          <w:i/>
          <w:color w:val="000000" w:themeColor="text1"/>
        </w:rPr>
        <w:t>,</w:t>
      </w:r>
      <w:r w:rsidRPr="001B7209">
        <w:rPr>
          <w:rFonts w:ascii="Century Gothic" w:hAnsi="Century Gothic" w:cs="Arial"/>
          <w:color w:val="000000" w:themeColor="text1"/>
        </w:rPr>
        <w:t xml:space="preserve"> que </w:t>
      </w:r>
      <w:r w:rsidRPr="001B7209">
        <w:rPr>
          <w:rFonts w:ascii="Century Gothic" w:hAnsi="Century Gothic" w:cs="Arial"/>
          <w:color w:val="000000" w:themeColor="text1"/>
          <w:lang w:val="es-ES_tradnl"/>
        </w:rPr>
        <w:t xml:space="preserve">tiene como objetivo establecer lineamientos sobre el contrato de fiducia para el manejo de anticipos. En esta </w:t>
      </w:r>
      <w:r w:rsidR="00817107" w:rsidRPr="001B7209">
        <w:rPr>
          <w:rFonts w:ascii="Century Gothic" w:hAnsi="Century Gothic" w:cs="Arial"/>
          <w:color w:val="000000" w:themeColor="text1"/>
          <w:lang w:val="es-ES_tradnl"/>
        </w:rPr>
        <w:t xml:space="preserve">guía </w:t>
      </w:r>
      <w:r w:rsidRPr="001B7209">
        <w:rPr>
          <w:rFonts w:ascii="Century Gothic" w:hAnsi="Century Gothic" w:cs="Arial"/>
          <w:color w:val="000000" w:themeColor="text1"/>
          <w:lang w:val="es-ES_tradnl"/>
        </w:rPr>
        <w:t xml:space="preserve">se explica que </w:t>
      </w:r>
      <w:r w:rsidR="00487FE9" w:rsidRPr="001B7209">
        <w:rPr>
          <w:rFonts w:ascii="Century Gothic" w:hAnsi="Century Gothic" w:cs="Arial"/>
          <w:color w:val="000000" w:themeColor="text1"/>
        </w:rPr>
        <w:t>“</w:t>
      </w:r>
      <w:r w:rsidRPr="001B7209">
        <w:rPr>
          <w:rFonts w:ascii="Century Gothic" w:hAnsi="Century Gothic" w:cs="Arial"/>
          <w:color w:val="000000" w:themeColor="text1"/>
        </w:rPr>
        <w:t>el patrimonio autónomo para manejo de anticipos tiene como finalidad: (i) la correcta y adecuada inversión y administración del anticipo y, (ii) el reintegro de los recursos del anticipo a la Entidad Estatal cuando declara la caducidad, incumplimiento o terminación del contrato estatal o cuando se presenta la nulidad del contrato estatal</w:t>
      </w:r>
      <w:r w:rsidR="00487FE9" w:rsidRPr="001B7209">
        <w:rPr>
          <w:rFonts w:ascii="Century Gothic" w:hAnsi="Century Gothic" w:cs="Arial"/>
          <w:color w:val="000000" w:themeColor="text1"/>
        </w:rPr>
        <w:t>”</w:t>
      </w:r>
      <w:r w:rsidRPr="001B7209">
        <w:rPr>
          <w:rFonts w:ascii="Century Gothic" w:hAnsi="Century Gothic" w:cs="Arial"/>
          <w:color w:val="000000" w:themeColor="text1"/>
        </w:rPr>
        <w:t xml:space="preserve">. Además, indica que, el contratista debe constituir un contrato de fiducia mercantil irrevocable para el manejo de los recursos que recibe a título de anticipo en </w:t>
      </w:r>
      <w:r w:rsidR="00487FE9" w:rsidRPr="001B7209">
        <w:rPr>
          <w:rFonts w:ascii="Century Gothic" w:hAnsi="Century Gothic" w:cs="Arial"/>
          <w:color w:val="000000" w:themeColor="text1"/>
        </w:rPr>
        <w:t>“</w:t>
      </w:r>
      <w:r w:rsidRPr="001B7209">
        <w:rPr>
          <w:rFonts w:ascii="Century Gothic" w:hAnsi="Century Gothic" w:cs="Arial"/>
          <w:color w:val="000000" w:themeColor="text1"/>
        </w:rPr>
        <w:t xml:space="preserve">los contratos de obra, concesión, salud y los que se realicen por licitación pública y </w:t>
      </w:r>
      <w:r w:rsidRPr="001B7209">
        <w:rPr>
          <w:rFonts w:ascii="Century Gothic" w:hAnsi="Century Gothic" w:cs="Arial"/>
          <w:i/>
          <w:color w:val="000000" w:themeColor="text1"/>
        </w:rPr>
        <w:t xml:space="preserve">siempre que </w:t>
      </w:r>
      <w:r w:rsidRPr="001B7209">
        <w:rPr>
          <w:rFonts w:ascii="Century Gothic" w:hAnsi="Century Gothic" w:cs="Arial"/>
          <w:color w:val="000000" w:themeColor="text1"/>
        </w:rPr>
        <w:t>no sean de menor o mínima cuantía</w:t>
      </w:r>
      <w:r w:rsidR="00487FE9" w:rsidRPr="001B7209">
        <w:rPr>
          <w:rFonts w:ascii="Century Gothic" w:hAnsi="Century Gothic" w:cs="Arial"/>
          <w:i/>
          <w:color w:val="000000" w:themeColor="text1"/>
        </w:rPr>
        <w:t>”</w:t>
      </w:r>
      <w:r w:rsidRPr="001B7209">
        <w:rPr>
          <w:rFonts w:ascii="Century Gothic" w:hAnsi="Century Gothic" w:cs="Arial"/>
          <w:i/>
          <w:color w:val="000000" w:themeColor="text1"/>
        </w:rPr>
        <w:t xml:space="preserve"> </w:t>
      </w:r>
      <w:r w:rsidRPr="001B7209">
        <w:rPr>
          <w:rFonts w:ascii="Century Gothic" w:hAnsi="Century Gothic" w:cs="Arial"/>
          <w:sz w:val="20"/>
          <w:szCs w:val="20"/>
          <w:lang w:val="es-ES_tradnl"/>
        </w:rPr>
        <w:t>[</w:t>
      </w:r>
      <w:r w:rsidRPr="001B7209">
        <w:rPr>
          <w:rFonts w:ascii="Century Gothic" w:hAnsi="Century Gothic" w:cs="Arial"/>
          <w:lang w:val="es-ES_tradnl"/>
        </w:rPr>
        <w:t>Énfasis fuera de texto</w:t>
      </w:r>
      <w:r w:rsidRPr="001B7209">
        <w:rPr>
          <w:rFonts w:ascii="Century Gothic" w:hAnsi="Century Gothic" w:cs="Arial"/>
          <w:sz w:val="20"/>
          <w:szCs w:val="20"/>
          <w:lang w:val="es-ES_tradnl"/>
        </w:rPr>
        <w:t>]</w:t>
      </w:r>
      <w:r w:rsidRPr="001B7209">
        <w:rPr>
          <w:rFonts w:ascii="Century Gothic" w:hAnsi="Century Gothic" w:cs="Arial"/>
          <w:color w:val="000000" w:themeColor="text1"/>
        </w:rPr>
        <w:t xml:space="preserve">. Igualmente, expone las condiciones para administrar los recursos del patrimonio autónomo, las obligaciones principales de la fiduciaria, el manejo de los excedentes, entre otros. </w:t>
      </w:r>
    </w:p>
    <w:p w14:paraId="4033518D" w14:textId="77777777" w:rsidR="00E271CA" w:rsidRPr="001B7209" w:rsidRDefault="00E271CA" w:rsidP="00E271CA">
      <w:pPr>
        <w:spacing w:before="120" w:line="276" w:lineRule="auto"/>
        <w:ind w:firstLine="709"/>
        <w:jc w:val="both"/>
        <w:rPr>
          <w:rFonts w:ascii="Century Gothic" w:hAnsi="Century Gothic" w:cs="Arial"/>
        </w:rPr>
      </w:pPr>
      <w:r w:rsidRPr="001B7209">
        <w:rPr>
          <w:rFonts w:ascii="Century Gothic" w:hAnsi="Century Gothic" w:cs="Arial"/>
          <w:color w:val="000000" w:themeColor="text1"/>
          <w:lang w:val="es-ES_tradnl"/>
        </w:rPr>
        <w:t xml:space="preserve">Es evidente entonces que para ciertos tipos de contratos la Ley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w:t>
      </w:r>
      <w:r w:rsidRPr="001B7209">
        <w:rPr>
          <w:rFonts w:ascii="Century Gothic" w:hAnsi="Century Gothic" w:cs="Arial"/>
        </w:rPr>
        <w:t xml:space="preserve">solventar los costos iniciales de la ejecución, de acuerdo con las condiciones pactadas. </w:t>
      </w:r>
    </w:p>
    <w:p w14:paraId="0BCC6571" w14:textId="77777777" w:rsidR="00E271CA" w:rsidRPr="001B7209" w:rsidRDefault="00E271CA" w:rsidP="00E271CA">
      <w:pPr>
        <w:spacing w:before="120" w:line="276" w:lineRule="auto"/>
        <w:ind w:firstLine="709"/>
        <w:jc w:val="both"/>
        <w:rPr>
          <w:rFonts w:ascii="Century Gothic" w:hAnsi="Century Gothic" w:cs="Arial"/>
        </w:rPr>
      </w:pPr>
      <w:r w:rsidRPr="001B7209">
        <w:rPr>
          <w:rFonts w:ascii="Century Gothic" w:hAnsi="Century Gothic" w:cs="Arial"/>
        </w:rPr>
        <w:t xml:space="preserve">En ese sentido, es claro que el artículo 91 de la Ley 1474 de 2011 determina el ámbito de aplicación, al enumerar los casos en los cuales es deber del contratista constituir un patrimonio autónomo o una fiducia para administrar los recursos del </w:t>
      </w:r>
      <w:r w:rsidRPr="001B7209">
        <w:rPr>
          <w:rFonts w:ascii="Century Gothic" w:hAnsi="Century Gothic" w:cs="Arial"/>
        </w:rPr>
        <w:lastRenderedPageBreak/>
        <w:t xml:space="preserve">anticipo. Para tales efectos, se establecen los siguientes contratos: i) obra, ii) concesión, iii) salud y </w:t>
      </w:r>
      <w:proofErr w:type="spellStart"/>
      <w:r w:rsidRPr="001B7209">
        <w:rPr>
          <w:rFonts w:ascii="Century Gothic" w:hAnsi="Century Gothic" w:cs="Arial"/>
        </w:rPr>
        <w:t>iv</w:t>
      </w:r>
      <w:proofErr w:type="spellEnd"/>
      <w:r w:rsidRPr="001B7209">
        <w:rPr>
          <w:rFonts w:ascii="Century Gothic" w:hAnsi="Century Gothic" w:cs="Arial"/>
        </w:rPr>
        <w:t xml:space="preserve">) los contratos derivados de un proceso de licitación pública. </w:t>
      </w:r>
    </w:p>
    <w:p w14:paraId="3B5C6403" w14:textId="76650F5A" w:rsidR="00E271CA" w:rsidRPr="001B7209" w:rsidRDefault="00E271CA" w:rsidP="00E271CA">
      <w:pPr>
        <w:spacing w:before="120" w:line="276" w:lineRule="auto"/>
        <w:ind w:firstLine="709"/>
        <w:jc w:val="both"/>
        <w:rPr>
          <w:rFonts w:ascii="Century Gothic" w:hAnsi="Century Gothic" w:cs="Arial"/>
        </w:rPr>
      </w:pPr>
      <w:r w:rsidRPr="001B7209">
        <w:rPr>
          <w:rFonts w:ascii="Century Gothic" w:hAnsi="Century Gothic" w:cs="Arial"/>
        </w:rPr>
        <w:t xml:space="preserve">Aunque la norma menciona </w:t>
      </w:r>
      <w:r w:rsidR="00842138" w:rsidRPr="001B7209">
        <w:rPr>
          <w:rFonts w:ascii="Century Gothic" w:hAnsi="Century Gothic" w:cs="Arial"/>
        </w:rPr>
        <w:t xml:space="preserve">de manera general que en los cuatro casos anteriores se debe constituir patrimonio autónomo </w:t>
      </w:r>
      <w:r w:rsidR="005C476F" w:rsidRPr="001B7209">
        <w:rPr>
          <w:rFonts w:ascii="Century Gothic" w:hAnsi="Century Gothic" w:cs="Arial"/>
        </w:rPr>
        <w:t xml:space="preserve">irrevocable o fiducia </w:t>
      </w:r>
      <w:r w:rsidR="001268D0" w:rsidRPr="001B7209">
        <w:rPr>
          <w:rFonts w:ascii="Century Gothic" w:hAnsi="Century Gothic" w:cs="Arial"/>
        </w:rPr>
        <w:t xml:space="preserve">para el manejo del anticipo, </w:t>
      </w:r>
      <w:r w:rsidRPr="001B7209">
        <w:rPr>
          <w:rFonts w:ascii="Century Gothic" w:hAnsi="Century Gothic" w:cs="Arial"/>
        </w:rPr>
        <w:t xml:space="preserve">la </w:t>
      </w:r>
      <w:r w:rsidR="001268D0" w:rsidRPr="001B7209">
        <w:rPr>
          <w:rFonts w:ascii="Century Gothic" w:hAnsi="Century Gothic" w:cs="Arial"/>
        </w:rPr>
        <w:t xml:space="preserve">norma </w:t>
      </w:r>
      <w:r w:rsidRPr="001B7209">
        <w:rPr>
          <w:rFonts w:ascii="Century Gothic" w:hAnsi="Century Gothic" w:cs="Arial"/>
        </w:rPr>
        <w:t xml:space="preserve">también determina una excepción de su aplicación para los </w:t>
      </w:r>
      <w:r w:rsidR="008C4A72" w:rsidRPr="001B7209">
        <w:rPr>
          <w:rFonts w:ascii="Century Gothic" w:hAnsi="Century Gothic" w:cs="Arial"/>
        </w:rPr>
        <w:t xml:space="preserve">cuatro </w:t>
      </w:r>
      <w:r w:rsidRPr="001B7209">
        <w:rPr>
          <w:rFonts w:ascii="Century Gothic" w:hAnsi="Century Gothic" w:cs="Arial"/>
        </w:rPr>
        <w:t xml:space="preserve">tipos de contratos cuya disposición resulta obligatoria. Ello es así, por cuanto la expresión </w:t>
      </w:r>
      <w:r w:rsidR="00487FE9" w:rsidRPr="001B7209">
        <w:rPr>
          <w:rFonts w:ascii="Century Gothic" w:hAnsi="Century Gothic" w:cs="Arial"/>
          <w:color w:val="000000" w:themeColor="text1"/>
        </w:rPr>
        <w:t>“</w:t>
      </w:r>
      <w:r w:rsidRPr="001B7209">
        <w:rPr>
          <w:rFonts w:ascii="Century Gothic" w:hAnsi="Century Gothic" w:cs="Arial"/>
          <w:i/>
          <w:sz w:val="21"/>
          <w:szCs w:val="21"/>
        </w:rPr>
        <w:t>salvo que el contrato sea de menor o mínima cuantía</w:t>
      </w:r>
      <w:r w:rsidR="00487FE9" w:rsidRPr="001B7209">
        <w:rPr>
          <w:rFonts w:ascii="Century Gothic" w:hAnsi="Century Gothic" w:cs="Arial"/>
          <w:color w:val="000000" w:themeColor="text1"/>
        </w:rPr>
        <w:t>”</w:t>
      </w:r>
      <w:r w:rsidRPr="001B7209">
        <w:rPr>
          <w:rFonts w:ascii="Century Gothic" w:hAnsi="Century Gothic" w:cs="Arial"/>
          <w:color w:val="000000" w:themeColor="text1"/>
        </w:rPr>
        <w:t>, describe que, a pesar de las enunciaciones anteriores, dicha disposición imperativa no aplica en el supuesto de hecho de que la cuantía del contrato no resulte ser de mayor cuantía</w:t>
      </w:r>
      <w:r w:rsidR="00A80FC7" w:rsidRPr="001B7209">
        <w:rPr>
          <w:rFonts w:ascii="Century Gothic" w:hAnsi="Century Gothic" w:cs="Arial"/>
          <w:color w:val="000000" w:themeColor="text1"/>
        </w:rPr>
        <w:t>, sin discriminar modalidad de selección</w:t>
      </w:r>
      <w:r w:rsidR="005C476F" w:rsidRPr="001B7209">
        <w:rPr>
          <w:rFonts w:ascii="Century Gothic" w:hAnsi="Century Gothic" w:cs="Arial"/>
          <w:color w:val="000000" w:themeColor="text1"/>
        </w:rPr>
        <w:t xml:space="preserve"> mediante la cual se celebre dichos contratos</w:t>
      </w:r>
      <w:r w:rsidRPr="001B7209">
        <w:rPr>
          <w:rFonts w:ascii="Century Gothic" w:hAnsi="Century Gothic" w:cs="Arial"/>
          <w:color w:val="000000" w:themeColor="text1"/>
        </w:rPr>
        <w:t xml:space="preserve">. </w:t>
      </w:r>
    </w:p>
    <w:p w14:paraId="5438CCD1" w14:textId="0790EBB1" w:rsidR="00E271CA" w:rsidRPr="001B7209" w:rsidRDefault="00E271CA" w:rsidP="00D42B22">
      <w:pPr>
        <w:spacing w:line="276" w:lineRule="auto"/>
        <w:ind w:firstLine="709"/>
        <w:jc w:val="both"/>
        <w:rPr>
          <w:rStyle w:val="normaltextrun"/>
          <w:rFonts w:ascii="Century Gothic" w:hAnsi="Century Gothic" w:cs="Arial"/>
          <w:sz w:val="21"/>
          <w:szCs w:val="21"/>
          <w:lang w:val="es-MX"/>
        </w:rPr>
      </w:pPr>
      <w:r w:rsidRPr="001B7209">
        <w:rPr>
          <w:rFonts w:ascii="Century Gothic" w:hAnsi="Century Gothic" w:cs="Arial"/>
        </w:rPr>
        <w:t>Teniendo en cuenta las consideraciones desarrolladas en relación con la obligación de constituir una fiducia o un patrimonio autónomo irrevocable para el manejo de los recursos que reciba a título de anticipo, en relación la</w:t>
      </w:r>
      <w:r w:rsidR="00412E47" w:rsidRPr="001B7209">
        <w:rPr>
          <w:rFonts w:ascii="Century Gothic" w:hAnsi="Century Gothic" w:cs="Arial"/>
        </w:rPr>
        <w:t>s</w:t>
      </w:r>
      <w:r w:rsidRPr="001B7209">
        <w:rPr>
          <w:rFonts w:ascii="Century Gothic" w:hAnsi="Century Gothic" w:cs="Arial"/>
        </w:rPr>
        <w:t xml:space="preserve"> pregunta</w:t>
      </w:r>
      <w:r w:rsidR="00412E47" w:rsidRPr="001B7209">
        <w:rPr>
          <w:rFonts w:ascii="Century Gothic" w:hAnsi="Century Gothic" w:cs="Arial"/>
        </w:rPr>
        <w:t>s</w:t>
      </w:r>
      <w:r w:rsidRPr="001B7209">
        <w:rPr>
          <w:rFonts w:ascii="Century Gothic" w:hAnsi="Century Gothic" w:cs="Arial"/>
        </w:rPr>
        <w:t xml:space="preserve"> planteada</w:t>
      </w:r>
      <w:r w:rsidR="00412E47" w:rsidRPr="001B7209">
        <w:rPr>
          <w:rFonts w:ascii="Century Gothic" w:hAnsi="Century Gothic" w:cs="Arial"/>
        </w:rPr>
        <w:t>s</w:t>
      </w:r>
      <w:r w:rsidRPr="001B7209">
        <w:rPr>
          <w:rFonts w:ascii="Century Gothic" w:hAnsi="Century Gothic" w:cs="Arial"/>
        </w:rPr>
        <w:t xml:space="preserve"> en su solicitud es pertinente mencionar que la Agencia Nacional de Contratación Pública – Colombia Compra Eficiente en los conceptos C-049 del 21 de febrero de 2020, C-209 del 16 de marzo de 2020, C-693 del 25 de noviembre de 2020, C-154 del 18 de mayo de 2021</w:t>
      </w:r>
      <w:r w:rsidR="00412E47" w:rsidRPr="001B7209">
        <w:rPr>
          <w:rFonts w:ascii="Century Gothic" w:hAnsi="Century Gothic" w:cs="Arial"/>
        </w:rPr>
        <w:t>,</w:t>
      </w:r>
      <w:r w:rsidRPr="001B7209">
        <w:rPr>
          <w:rFonts w:ascii="Century Gothic" w:hAnsi="Century Gothic" w:cs="Arial"/>
        </w:rPr>
        <w:t xml:space="preserve"> C-825 del 28 de diciembre de 2022</w:t>
      </w:r>
      <w:r w:rsidR="00412E47" w:rsidRPr="001B7209">
        <w:rPr>
          <w:rFonts w:ascii="Century Gothic" w:hAnsi="Century Gothic" w:cs="Arial"/>
        </w:rPr>
        <w:t xml:space="preserve"> y C- 003 de 13 de ma</w:t>
      </w:r>
      <w:r w:rsidR="00973869" w:rsidRPr="001B7209">
        <w:rPr>
          <w:rFonts w:ascii="Century Gothic" w:hAnsi="Century Gothic" w:cs="Arial"/>
        </w:rPr>
        <w:t>rzo de 2023</w:t>
      </w:r>
      <w:r w:rsidRPr="001B7209">
        <w:rPr>
          <w:rFonts w:ascii="Century Gothic" w:hAnsi="Century Gothic" w:cs="Arial"/>
        </w:rPr>
        <w:t xml:space="preserve">, sobre la expresión  </w:t>
      </w:r>
      <w:r w:rsidR="00487FE9" w:rsidRPr="001B7209">
        <w:rPr>
          <w:rFonts w:ascii="Century Gothic" w:hAnsi="Century Gothic" w:cs="Arial"/>
          <w:color w:val="000000" w:themeColor="text1"/>
        </w:rPr>
        <w:t>“</w:t>
      </w:r>
      <w:r w:rsidRPr="001B7209">
        <w:rPr>
          <w:rFonts w:ascii="Century Gothic" w:hAnsi="Century Gothic" w:cs="Arial"/>
          <w:i/>
          <w:sz w:val="21"/>
          <w:szCs w:val="21"/>
        </w:rPr>
        <w:t>salvo que el contrato sea de menor o mínima cuantía</w:t>
      </w:r>
      <w:r w:rsidR="00487FE9" w:rsidRPr="001B7209">
        <w:rPr>
          <w:rFonts w:ascii="Century Gothic" w:hAnsi="Century Gothic" w:cs="Arial"/>
          <w:color w:val="000000" w:themeColor="text1"/>
        </w:rPr>
        <w:t>”</w:t>
      </w:r>
      <w:r w:rsidRPr="001B7209">
        <w:rPr>
          <w:rFonts w:ascii="Century Gothic" w:hAnsi="Century Gothic" w:cs="Arial"/>
          <w:color w:val="000000" w:themeColor="text1"/>
        </w:rPr>
        <w:t xml:space="preserve"> contenida en la parte final del artículo </w:t>
      </w:r>
      <w:r w:rsidRPr="001B7209">
        <w:rPr>
          <w:rFonts w:ascii="Century Gothic" w:hAnsi="Century Gothic" w:cs="Arial"/>
        </w:rPr>
        <w:t>91 de la Ley 1474 de 2011</w:t>
      </w:r>
      <w:r w:rsidRPr="001B7209">
        <w:rPr>
          <w:rFonts w:ascii="Century Gothic" w:hAnsi="Century Gothic" w:cs="Arial"/>
          <w:color w:val="000000" w:themeColor="text1"/>
        </w:rPr>
        <w:t xml:space="preserve">, </w:t>
      </w:r>
      <w:r w:rsidRPr="001B7209">
        <w:rPr>
          <w:rFonts w:ascii="Century Gothic" w:hAnsi="Century Gothic" w:cs="Arial"/>
        </w:rPr>
        <w:t>se ha pronunciado e</w:t>
      </w:r>
      <w:r w:rsidR="009F06BD" w:rsidRPr="001B7209">
        <w:rPr>
          <w:rFonts w:ascii="Century Gothic" w:hAnsi="Century Gothic" w:cs="Arial"/>
        </w:rPr>
        <w:t xml:space="preserve">n el sentido de indicar que </w:t>
      </w:r>
      <w:r w:rsidR="00D42B22" w:rsidRPr="001B7209">
        <w:rPr>
          <w:rFonts w:ascii="Century Gothic" w:hAnsi="Century Gothic" w:cs="Arial"/>
        </w:rPr>
        <w:t xml:space="preserve">dicha excepción implica que la </w:t>
      </w:r>
      <w:r w:rsidRPr="001B7209">
        <w:rPr>
          <w:rStyle w:val="normaltextrun"/>
          <w:rFonts w:ascii="Century Gothic" w:hAnsi="Century Gothic" w:cs="Arial"/>
          <w:sz w:val="21"/>
          <w:szCs w:val="21"/>
          <w:lang w:val="es-MX"/>
        </w:rPr>
        <w:t xml:space="preserve">obligación se aplica a los contratos de obra, concesión, salud, o los que se realicen por licitación pública, </w:t>
      </w:r>
      <w:r w:rsidRPr="001B7209">
        <w:rPr>
          <w:rStyle w:val="normaltextrun"/>
          <w:rFonts w:ascii="Century Gothic" w:hAnsi="Century Gothic" w:cs="Arial"/>
          <w:i/>
          <w:sz w:val="21"/>
          <w:szCs w:val="21"/>
          <w:lang w:val="es-MX"/>
        </w:rPr>
        <w:t>salvo que los mismos</w:t>
      </w:r>
      <w:r w:rsidRPr="001B7209">
        <w:rPr>
          <w:rStyle w:val="normaltextrun"/>
          <w:rFonts w:ascii="Century Gothic" w:hAnsi="Century Gothic" w:cs="Arial"/>
          <w:sz w:val="21"/>
          <w:szCs w:val="21"/>
          <w:lang w:val="es-MX"/>
        </w:rPr>
        <w:t xml:space="preserve"> sean de menor o mínima cuantía</w:t>
      </w:r>
      <w:r w:rsidR="00294204" w:rsidRPr="001B7209">
        <w:rPr>
          <w:rStyle w:val="normaltextrun"/>
          <w:rFonts w:ascii="Century Gothic" w:hAnsi="Century Gothic" w:cs="Arial"/>
          <w:sz w:val="21"/>
          <w:szCs w:val="21"/>
          <w:lang w:val="es-MX"/>
        </w:rPr>
        <w:t>, sin tener en cuenta la modalidad de selección por la que se suscribió el contrato así:</w:t>
      </w:r>
    </w:p>
    <w:p w14:paraId="2D7D5DF7" w14:textId="0565B1D0" w:rsidR="00D42B22" w:rsidRPr="001B7209" w:rsidRDefault="007C6805" w:rsidP="00294204">
      <w:pPr>
        <w:spacing w:after="120" w:line="240" w:lineRule="auto"/>
        <w:ind w:left="709" w:right="709"/>
        <w:jc w:val="both"/>
        <w:rPr>
          <w:rFonts w:ascii="Century Gothic" w:hAnsi="Century Gothic" w:cs="Arial"/>
          <w:sz w:val="21"/>
          <w:szCs w:val="21"/>
        </w:rPr>
      </w:pPr>
      <w:r w:rsidRPr="001B7209">
        <w:rPr>
          <w:rFonts w:ascii="Century Gothic" w:hAnsi="Century Gothic" w:cs="Arial"/>
          <w:sz w:val="21"/>
          <w:szCs w:val="21"/>
          <w:lang w:val="es-MX"/>
        </w:rPr>
        <w:t>“</w:t>
      </w:r>
      <w:r w:rsidR="00D42B22" w:rsidRPr="001B7209">
        <w:rPr>
          <w:rFonts w:ascii="Century Gothic" w:hAnsi="Century Gothic" w:cs="Arial"/>
          <w:sz w:val="21"/>
          <w:szCs w:val="21"/>
        </w:rPr>
        <w:t xml:space="preserve">En consideración a lo enunciado previamente, el ejercicio interpretativo que esta Agencia ha mantenido sobre la sobre la expresión </w:t>
      </w:r>
      <w:r w:rsidR="00D42B22" w:rsidRPr="001B7209">
        <w:rPr>
          <w:rFonts w:ascii="Century Gothic" w:hAnsi="Century Gothic" w:cs="Arial"/>
          <w:color w:val="000000" w:themeColor="text1"/>
          <w:sz w:val="21"/>
          <w:szCs w:val="21"/>
        </w:rPr>
        <w:t>“</w:t>
      </w:r>
      <w:r w:rsidR="00D42B22" w:rsidRPr="001B7209">
        <w:rPr>
          <w:rFonts w:ascii="Century Gothic" w:hAnsi="Century Gothic" w:cs="Arial"/>
          <w:i/>
          <w:sz w:val="21"/>
          <w:szCs w:val="21"/>
        </w:rPr>
        <w:t>salvo que el contrato sea de menor o mínima cuantía</w:t>
      </w:r>
      <w:r w:rsidR="00D42B22" w:rsidRPr="001B7209">
        <w:rPr>
          <w:rFonts w:ascii="Century Gothic" w:hAnsi="Century Gothic" w:cs="Arial"/>
          <w:color w:val="000000" w:themeColor="text1"/>
          <w:sz w:val="21"/>
          <w:szCs w:val="21"/>
        </w:rPr>
        <w:t xml:space="preserve">” contenida en la parte final del artículo </w:t>
      </w:r>
      <w:r w:rsidR="00D42B22" w:rsidRPr="001B7209">
        <w:rPr>
          <w:rFonts w:ascii="Century Gothic" w:hAnsi="Century Gothic" w:cs="Arial"/>
          <w:sz w:val="21"/>
          <w:szCs w:val="21"/>
        </w:rPr>
        <w:t>91 de la Ley 1474 de 2011</w:t>
      </w:r>
      <w:r w:rsidR="00D42B22" w:rsidRPr="001B7209">
        <w:rPr>
          <w:rFonts w:ascii="Century Gothic" w:hAnsi="Century Gothic" w:cs="Arial"/>
          <w:color w:val="000000" w:themeColor="text1"/>
          <w:sz w:val="21"/>
          <w:szCs w:val="21"/>
        </w:rPr>
        <w:t xml:space="preserve">, ha sido la de entender que </w:t>
      </w:r>
      <w:r w:rsidR="00D42B22" w:rsidRPr="001B7209">
        <w:rPr>
          <w:rFonts w:ascii="Century Gothic" w:hAnsi="Century Gothic" w:cs="Arial"/>
          <w:sz w:val="21"/>
          <w:szCs w:val="21"/>
        </w:rPr>
        <w:t>en los contratos cuya cuantía resulte ser de mínima o menor cuantía no será obligatoria la constitución de un patrimonio autónomo o una fiducia para administrar los recursos del anticipo, así haya surgido a través de un proceso de selección por licitación pública.</w:t>
      </w:r>
      <w:r w:rsidRPr="001B7209">
        <w:rPr>
          <w:rFonts w:ascii="Century Gothic" w:hAnsi="Century Gothic" w:cs="Arial"/>
          <w:sz w:val="21"/>
          <w:szCs w:val="21"/>
        </w:rPr>
        <w:t>”</w:t>
      </w:r>
      <w:r w:rsidRPr="001B7209">
        <w:rPr>
          <w:rStyle w:val="Refdenotaalpie"/>
          <w:rFonts w:ascii="Century Gothic" w:hAnsi="Century Gothic" w:cs="Arial"/>
          <w:sz w:val="21"/>
          <w:szCs w:val="21"/>
        </w:rPr>
        <w:footnoteReference w:id="16"/>
      </w:r>
    </w:p>
    <w:p w14:paraId="221641D9" w14:textId="45D0115D" w:rsidR="00E271CA" w:rsidRPr="001B7209" w:rsidRDefault="00E271CA" w:rsidP="00526662">
      <w:pPr>
        <w:spacing w:line="276" w:lineRule="auto"/>
        <w:ind w:firstLine="708"/>
        <w:jc w:val="both"/>
        <w:rPr>
          <w:rFonts w:ascii="Century Gothic" w:hAnsi="Century Gothic" w:cs="Arial"/>
          <w:color w:val="000000" w:themeColor="text1"/>
        </w:rPr>
      </w:pPr>
      <w:r w:rsidRPr="001B7209">
        <w:rPr>
          <w:rFonts w:ascii="Century Gothic" w:hAnsi="Century Gothic" w:cs="Arial"/>
        </w:rPr>
        <w:t>De igual forma, la postura adoptada en los conceptos emitidos por esta Agencia en relación</w:t>
      </w:r>
      <w:r w:rsidR="0051765B" w:rsidRPr="001B7209">
        <w:rPr>
          <w:rFonts w:ascii="Century Gothic" w:hAnsi="Century Gothic" w:cs="Arial"/>
        </w:rPr>
        <w:t xml:space="preserve"> con sus</w:t>
      </w:r>
      <w:r w:rsidRPr="001B7209">
        <w:rPr>
          <w:rFonts w:ascii="Century Gothic" w:hAnsi="Century Gothic" w:cs="Arial"/>
        </w:rPr>
        <w:t xml:space="preserve"> pregunta</w:t>
      </w:r>
      <w:r w:rsidR="0051765B" w:rsidRPr="001B7209">
        <w:rPr>
          <w:rFonts w:ascii="Century Gothic" w:hAnsi="Century Gothic" w:cs="Arial"/>
        </w:rPr>
        <w:t>s</w:t>
      </w:r>
      <w:r w:rsidRPr="001B7209">
        <w:rPr>
          <w:rFonts w:ascii="Century Gothic" w:hAnsi="Century Gothic" w:cs="Arial"/>
        </w:rPr>
        <w:t xml:space="preserve"> es la misma que contiene la </w:t>
      </w:r>
      <w:r w:rsidR="00487FE9" w:rsidRPr="001B7209">
        <w:rPr>
          <w:rFonts w:ascii="Century Gothic" w:hAnsi="Century Gothic" w:cs="Arial"/>
          <w:sz w:val="21"/>
          <w:szCs w:val="21"/>
        </w:rPr>
        <w:t>“</w:t>
      </w:r>
      <w:r w:rsidRPr="001B7209">
        <w:rPr>
          <w:rFonts w:ascii="Century Gothic" w:hAnsi="Century Gothic" w:cs="Arial"/>
          <w:i/>
          <w:color w:val="000000" w:themeColor="text1"/>
          <w:lang w:val="es-ES_tradnl"/>
        </w:rPr>
        <w:t>Guía para el manejo de anticipos mediante contrato de fiducia irrevocable</w:t>
      </w:r>
      <w:r w:rsidR="00487FE9" w:rsidRPr="001B7209">
        <w:rPr>
          <w:rFonts w:ascii="Century Gothic" w:hAnsi="Century Gothic" w:cs="Arial"/>
          <w:i/>
          <w:color w:val="000000" w:themeColor="text1"/>
        </w:rPr>
        <w:t>”</w:t>
      </w:r>
      <w:r w:rsidRPr="001B7209">
        <w:rPr>
          <w:rFonts w:ascii="Century Gothic" w:hAnsi="Century Gothic" w:cs="Arial"/>
          <w:i/>
          <w:color w:val="000000" w:themeColor="text1"/>
        </w:rPr>
        <w:t xml:space="preserve">, </w:t>
      </w:r>
      <w:r w:rsidRPr="001B7209">
        <w:rPr>
          <w:rFonts w:ascii="Century Gothic" w:hAnsi="Century Gothic" w:cs="Arial"/>
          <w:color w:val="000000" w:themeColor="text1"/>
        </w:rPr>
        <w:t xml:space="preserve">al indicar que, el </w:t>
      </w:r>
      <w:r w:rsidRPr="001B7209">
        <w:rPr>
          <w:rFonts w:ascii="Century Gothic" w:hAnsi="Century Gothic" w:cs="Arial"/>
          <w:color w:val="000000" w:themeColor="text1"/>
        </w:rPr>
        <w:lastRenderedPageBreak/>
        <w:t xml:space="preserve">contratista debe constituir un contrato de fiducia mercantil irrevocable para el manejo de los recursos que recibe a título de anticipo en </w:t>
      </w:r>
      <w:r w:rsidR="00487FE9" w:rsidRPr="001B7209">
        <w:rPr>
          <w:rFonts w:ascii="Century Gothic" w:hAnsi="Century Gothic" w:cs="Arial"/>
          <w:color w:val="000000" w:themeColor="text1"/>
        </w:rPr>
        <w:t>“</w:t>
      </w:r>
      <w:r w:rsidRPr="001B7209">
        <w:rPr>
          <w:rFonts w:ascii="Century Gothic" w:hAnsi="Century Gothic" w:cs="Arial"/>
          <w:color w:val="000000" w:themeColor="text1"/>
        </w:rPr>
        <w:t xml:space="preserve">los contratos de obra, concesión, salud y los que se realicen por licitación pública y </w:t>
      </w:r>
      <w:r w:rsidRPr="001B7209">
        <w:rPr>
          <w:rFonts w:ascii="Century Gothic" w:hAnsi="Century Gothic" w:cs="Arial"/>
          <w:i/>
          <w:color w:val="000000" w:themeColor="text1"/>
        </w:rPr>
        <w:t xml:space="preserve">siempre que </w:t>
      </w:r>
      <w:r w:rsidRPr="001B7209">
        <w:rPr>
          <w:rFonts w:ascii="Century Gothic" w:hAnsi="Century Gothic" w:cs="Arial"/>
          <w:color w:val="000000" w:themeColor="text1"/>
        </w:rPr>
        <w:t>no sean de menor o mínima cuantía</w:t>
      </w:r>
      <w:r w:rsidR="00487FE9" w:rsidRPr="001B7209">
        <w:rPr>
          <w:rFonts w:ascii="Century Gothic" w:hAnsi="Century Gothic" w:cs="Arial"/>
          <w:i/>
          <w:color w:val="000000" w:themeColor="text1"/>
        </w:rPr>
        <w:t>”</w:t>
      </w:r>
      <w:r w:rsidRPr="001B7209">
        <w:rPr>
          <w:rFonts w:ascii="Century Gothic" w:hAnsi="Century Gothic" w:cs="Arial"/>
          <w:i/>
          <w:color w:val="000000" w:themeColor="text1"/>
        </w:rPr>
        <w:t xml:space="preserve"> </w:t>
      </w:r>
      <w:r w:rsidRPr="001B7209">
        <w:rPr>
          <w:rFonts w:ascii="Century Gothic" w:hAnsi="Century Gothic" w:cs="Arial"/>
          <w:lang w:val="es-ES_tradnl"/>
        </w:rPr>
        <w:t>[Énfasis fuera de texto]</w:t>
      </w:r>
      <w:r w:rsidRPr="001B7209">
        <w:rPr>
          <w:rFonts w:ascii="Century Gothic" w:hAnsi="Century Gothic" w:cs="Arial"/>
          <w:color w:val="000000" w:themeColor="text1"/>
        </w:rPr>
        <w:t>.</w:t>
      </w:r>
    </w:p>
    <w:p w14:paraId="4AE8E617" w14:textId="59CFD742" w:rsidR="00E271CA" w:rsidRPr="001B7209" w:rsidRDefault="00E271CA" w:rsidP="00E271CA">
      <w:pPr>
        <w:spacing w:before="120" w:line="276" w:lineRule="auto"/>
        <w:ind w:firstLine="709"/>
        <w:jc w:val="both"/>
        <w:rPr>
          <w:rFonts w:ascii="Century Gothic" w:hAnsi="Century Gothic" w:cs="Arial"/>
          <w:color w:val="000000" w:themeColor="text1"/>
        </w:rPr>
      </w:pPr>
      <w:r w:rsidRPr="001B7209">
        <w:rPr>
          <w:rFonts w:ascii="Century Gothic" w:hAnsi="Century Gothic" w:cs="Arial"/>
        </w:rPr>
        <w:t xml:space="preserve">Ahora bien, el artículo 26 y siguientes del Código Civil contiene las reglas de interpretación que deben observar los jueces y los funcionarios públicos, en la aplicación de las leyes con el fin de aplicar su verdadero sentido, denominada </w:t>
      </w:r>
      <w:r w:rsidR="00487FE9" w:rsidRPr="001B7209">
        <w:rPr>
          <w:rFonts w:ascii="Century Gothic" w:hAnsi="Century Gothic" w:cs="Arial"/>
          <w:sz w:val="21"/>
          <w:szCs w:val="21"/>
        </w:rPr>
        <w:t>“</w:t>
      </w:r>
      <w:r w:rsidRPr="001B7209">
        <w:rPr>
          <w:rFonts w:ascii="Century Gothic" w:hAnsi="Century Gothic" w:cs="Arial"/>
        </w:rPr>
        <w:t>interpretación por vía de doctrina</w:t>
      </w:r>
      <w:r w:rsidR="00487FE9" w:rsidRPr="001B7209">
        <w:rPr>
          <w:rFonts w:ascii="Century Gothic" w:hAnsi="Century Gothic" w:cs="Arial"/>
          <w:color w:val="000000" w:themeColor="text1"/>
        </w:rPr>
        <w:t>”</w:t>
      </w:r>
      <w:r w:rsidRPr="001B7209">
        <w:rPr>
          <w:rStyle w:val="Refdenotaalpie"/>
          <w:rFonts w:ascii="Century Gothic" w:hAnsi="Century Gothic" w:cs="Arial"/>
          <w:color w:val="000000" w:themeColor="text1"/>
        </w:rPr>
        <w:footnoteReference w:id="17"/>
      </w:r>
      <w:r w:rsidRPr="001B7209">
        <w:rPr>
          <w:rFonts w:ascii="Century Gothic" w:hAnsi="Century Gothic" w:cs="Arial"/>
          <w:color w:val="000000" w:themeColor="text1"/>
        </w:rPr>
        <w:t>. Las primeras dos reglas de interpretación incorporadas son las siguientes:</w:t>
      </w:r>
    </w:p>
    <w:p w14:paraId="63CFEC66" w14:textId="171AE969" w:rsidR="00E271CA" w:rsidRPr="001B7209" w:rsidRDefault="00487FE9" w:rsidP="00E271CA">
      <w:pPr>
        <w:spacing w:before="120" w:line="240" w:lineRule="auto"/>
        <w:ind w:left="709" w:right="709"/>
        <w:jc w:val="both"/>
        <w:rPr>
          <w:rFonts w:ascii="Century Gothic" w:hAnsi="Century Gothic" w:cs="Arial"/>
          <w:sz w:val="21"/>
          <w:szCs w:val="21"/>
        </w:rPr>
      </w:pPr>
      <w:r w:rsidRPr="001B7209">
        <w:rPr>
          <w:rFonts w:ascii="Century Gothic" w:hAnsi="Century Gothic" w:cs="Arial"/>
          <w:sz w:val="21"/>
          <w:szCs w:val="21"/>
        </w:rPr>
        <w:t>“</w:t>
      </w:r>
      <w:r w:rsidR="00E271CA" w:rsidRPr="001B7209">
        <w:rPr>
          <w:rFonts w:ascii="Century Gothic" w:hAnsi="Century Gothic" w:cs="Arial"/>
          <w:sz w:val="21"/>
          <w:szCs w:val="21"/>
        </w:rPr>
        <w:t>ARTICULO 27. &lt;INTERPRETACION GRAMATICAL&gt;. Cuando el sentido de la ley sea claro, no se desatenderá su tenor literal a pretexto de consultar su espíritu.</w:t>
      </w:r>
    </w:p>
    <w:p w14:paraId="3AAD0269" w14:textId="77777777" w:rsidR="00E271CA" w:rsidRPr="001B7209" w:rsidRDefault="00E271CA" w:rsidP="00E271CA">
      <w:pPr>
        <w:spacing w:before="120" w:line="240" w:lineRule="auto"/>
        <w:ind w:left="709" w:right="709"/>
        <w:jc w:val="both"/>
        <w:rPr>
          <w:rFonts w:ascii="Century Gothic" w:hAnsi="Century Gothic" w:cs="Arial"/>
          <w:sz w:val="21"/>
          <w:szCs w:val="21"/>
        </w:rPr>
      </w:pPr>
      <w:r w:rsidRPr="001B7209">
        <w:rPr>
          <w:rFonts w:ascii="Century Gothic" w:hAnsi="Century Gothic" w:cs="Arial"/>
          <w:sz w:val="21"/>
          <w:szCs w:val="21"/>
        </w:rPr>
        <w:t>Pero bien se puede, para interpretar una expresión oscura de la ley, recurrir a su intención o espíritu, claramente manifestados en ella misma o en la historia fidedigna de su establecimiento.</w:t>
      </w:r>
    </w:p>
    <w:p w14:paraId="1A424B91" w14:textId="316D5B57" w:rsidR="00E271CA" w:rsidRPr="001B7209" w:rsidRDefault="00E271CA" w:rsidP="004C04C8">
      <w:pPr>
        <w:spacing w:before="120" w:after="0" w:line="240" w:lineRule="auto"/>
        <w:ind w:left="709" w:right="709"/>
        <w:jc w:val="both"/>
        <w:rPr>
          <w:rFonts w:ascii="Century Gothic" w:hAnsi="Century Gothic" w:cs="Arial"/>
          <w:color w:val="000000" w:themeColor="text1"/>
        </w:rPr>
      </w:pPr>
      <w:r w:rsidRPr="001B7209">
        <w:rPr>
          <w:rFonts w:ascii="Century Gothic" w:hAnsi="Century Gothic" w:cs="Arial"/>
          <w:sz w:val="21"/>
          <w:szCs w:val="21"/>
        </w:rPr>
        <w:t>ARTICULO 28. &lt;SIGNIFICADO DE LAS PALABRAS&gt;. Las palabras de la ley se entenderán en su sentido natural y obvio, según el uso general de las mismas palabras; pero cuando el legislador las haya definido expresamente para ciertas materias, se les dará en éstas su significado legal.</w:t>
      </w:r>
      <w:r w:rsidR="00487FE9" w:rsidRPr="001B7209">
        <w:rPr>
          <w:rFonts w:ascii="Century Gothic" w:hAnsi="Century Gothic" w:cs="Arial"/>
          <w:color w:val="000000" w:themeColor="text1"/>
        </w:rPr>
        <w:t>”</w:t>
      </w:r>
      <w:r w:rsidRPr="001B7209">
        <w:rPr>
          <w:rStyle w:val="Refdenotaalpie"/>
          <w:rFonts w:ascii="Century Gothic" w:hAnsi="Century Gothic" w:cs="Arial"/>
          <w:color w:val="000000" w:themeColor="text1"/>
        </w:rPr>
        <w:footnoteReference w:id="18"/>
      </w:r>
    </w:p>
    <w:p w14:paraId="27DA0B49" w14:textId="77777777" w:rsidR="004C04C8" w:rsidRPr="001B7209" w:rsidRDefault="004C04C8" w:rsidP="00212A11">
      <w:pPr>
        <w:spacing w:before="120" w:after="0" w:line="240" w:lineRule="auto"/>
        <w:ind w:left="709" w:right="709"/>
        <w:jc w:val="both"/>
        <w:rPr>
          <w:rFonts w:ascii="Century Gothic" w:hAnsi="Century Gothic" w:cs="Arial"/>
          <w:sz w:val="21"/>
          <w:szCs w:val="21"/>
        </w:rPr>
      </w:pPr>
    </w:p>
    <w:p w14:paraId="7C59AFD8" w14:textId="5843859A" w:rsidR="00E271CA" w:rsidRPr="001B7209" w:rsidRDefault="00E271CA" w:rsidP="00E271CA">
      <w:pPr>
        <w:spacing w:after="120" w:line="276" w:lineRule="auto"/>
        <w:ind w:firstLine="708"/>
        <w:jc w:val="both"/>
        <w:rPr>
          <w:rFonts w:ascii="Century Gothic" w:hAnsi="Century Gothic" w:cs="Arial"/>
          <w:i/>
        </w:rPr>
      </w:pPr>
      <w:r w:rsidRPr="001B7209">
        <w:rPr>
          <w:rFonts w:ascii="Century Gothic" w:hAnsi="Century Gothic" w:cs="Arial"/>
        </w:rPr>
        <w:t xml:space="preserve">Teniendo en cuenta las reglas interpretativas mencionadas con anterioridad, y en orden a responder </w:t>
      </w:r>
      <w:r w:rsidR="00CC4E77" w:rsidRPr="001B7209">
        <w:rPr>
          <w:rFonts w:ascii="Century Gothic" w:hAnsi="Century Gothic" w:cs="Arial"/>
        </w:rPr>
        <w:t>sus consultas</w:t>
      </w:r>
      <w:r w:rsidRPr="001B7209">
        <w:rPr>
          <w:rFonts w:ascii="Century Gothic" w:hAnsi="Century Gothic" w:cs="Arial"/>
        </w:rPr>
        <w:t xml:space="preserve">, resulta necesario aplicar el aforismo </w:t>
      </w:r>
      <w:r w:rsidRPr="001B7209">
        <w:rPr>
          <w:rFonts w:ascii="Century Gothic" w:hAnsi="Century Gothic" w:cs="Arial"/>
          <w:i/>
        </w:rPr>
        <w:t xml:space="preserve">in </w:t>
      </w:r>
      <w:proofErr w:type="spellStart"/>
      <w:r w:rsidRPr="001B7209">
        <w:rPr>
          <w:rFonts w:ascii="Century Gothic" w:hAnsi="Century Gothic" w:cs="Arial"/>
          <w:i/>
        </w:rPr>
        <w:t>claris</w:t>
      </w:r>
      <w:proofErr w:type="spellEnd"/>
      <w:r w:rsidRPr="001B7209">
        <w:rPr>
          <w:rFonts w:ascii="Century Gothic" w:hAnsi="Century Gothic" w:cs="Arial"/>
          <w:i/>
        </w:rPr>
        <w:t xml:space="preserve"> non </w:t>
      </w:r>
      <w:proofErr w:type="spellStart"/>
      <w:r w:rsidRPr="001B7209">
        <w:rPr>
          <w:rFonts w:ascii="Century Gothic" w:hAnsi="Century Gothic" w:cs="Arial"/>
          <w:i/>
        </w:rPr>
        <w:t>fit</w:t>
      </w:r>
      <w:proofErr w:type="spellEnd"/>
      <w:r w:rsidRPr="001B7209">
        <w:rPr>
          <w:rFonts w:ascii="Century Gothic" w:hAnsi="Century Gothic" w:cs="Arial"/>
          <w:i/>
        </w:rPr>
        <w:t xml:space="preserve"> </w:t>
      </w:r>
      <w:proofErr w:type="spellStart"/>
      <w:r w:rsidRPr="001B7209">
        <w:rPr>
          <w:rFonts w:ascii="Century Gothic" w:hAnsi="Century Gothic" w:cs="Arial"/>
          <w:i/>
        </w:rPr>
        <w:t>interpretatio</w:t>
      </w:r>
      <w:proofErr w:type="spellEnd"/>
      <w:r w:rsidRPr="001B7209">
        <w:rPr>
          <w:rFonts w:ascii="Century Gothic" w:hAnsi="Century Gothic" w:cs="Arial"/>
        </w:rPr>
        <w:t xml:space="preserve">, que es el reflejo de lo enunciado en el artículo 27 y 28 anteriormente citados, pues desde un criterio interpretativo de esta Agencia el </w:t>
      </w:r>
      <w:r w:rsidRPr="001B7209">
        <w:rPr>
          <w:rFonts w:ascii="Century Gothic" w:hAnsi="Century Gothic" w:cs="Arial"/>
          <w:color w:val="000000" w:themeColor="text1"/>
        </w:rPr>
        <w:t xml:space="preserve">artículo </w:t>
      </w:r>
      <w:r w:rsidRPr="001B7209">
        <w:rPr>
          <w:rFonts w:ascii="Century Gothic" w:hAnsi="Century Gothic" w:cs="Arial"/>
        </w:rPr>
        <w:t xml:space="preserve">91 de la Ley 1474 de 2011 no contiene una expresión oscura, si no por lo contrario, es clara en señalar que en los contratos cuya cuantía resulte ser de mínima o menor cuantía no será obligatoria la constitución de un patrimonio autónomo </w:t>
      </w:r>
      <w:r w:rsidR="00D74B52" w:rsidRPr="001B7209">
        <w:rPr>
          <w:rFonts w:ascii="Century Gothic" w:hAnsi="Century Gothic" w:cs="Arial"/>
        </w:rPr>
        <w:t xml:space="preserve">irrevocable </w:t>
      </w:r>
      <w:r w:rsidRPr="001B7209">
        <w:rPr>
          <w:rFonts w:ascii="Century Gothic" w:hAnsi="Century Gothic" w:cs="Arial"/>
        </w:rPr>
        <w:t>o una fiducia para administrar los recursos del anticipo, así haya surgido a través de un proceso de selección por licitación pública</w:t>
      </w:r>
      <w:r w:rsidR="00F02D29" w:rsidRPr="001B7209">
        <w:rPr>
          <w:rFonts w:ascii="Century Gothic" w:hAnsi="Century Gothic" w:cs="Arial"/>
        </w:rPr>
        <w:t xml:space="preserve"> o a través de otras modalidades de selección</w:t>
      </w:r>
      <w:r w:rsidRPr="001B7209">
        <w:rPr>
          <w:rFonts w:ascii="Century Gothic" w:hAnsi="Century Gothic" w:cs="Arial"/>
        </w:rPr>
        <w:t>.</w:t>
      </w:r>
    </w:p>
    <w:p w14:paraId="17BBFE30" w14:textId="77777777" w:rsidR="00E271CA" w:rsidRPr="001B7209" w:rsidRDefault="00E271CA" w:rsidP="00E271CA">
      <w:pPr>
        <w:tabs>
          <w:tab w:val="left" w:pos="0"/>
        </w:tabs>
        <w:spacing w:before="120" w:after="120" w:line="276" w:lineRule="auto"/>
        <w:ind w:firstLine="709"/>
        <w:jc w:val="both"/>
        <w:rPr>
          <w:rFonts w:ascii="Century Gothic" w:hAnsi="Century Gothic" w:cs="Arial"/>
        </w:rPr>
      </w:pPr>
      <w:r w:rsidRPr="001B7209">
        <w:rPr>
          <w:rFonts w:ascii="Century Gothic" w:hAnsi="Century Gothic" w:cs="Arial"/>
        </w:rPr>
        <w:lastRenderedPageBreak/>
        <w:t xml:space="preserve"> En todo caso, </w:t>
      </w:r>
      <w:r w:rsidRPr="001B7209">
        <w:rPr>
          <w:rFonts w:ascii="Century Gothic" w:hAnsi="Century Gothic" w:cs="Arial"/>
          <w:color w:val="000000" w:themeColor="text1"/>
        </w:rPr>
        <w:t xml:space="preserve">la Entidad Estatal y el contratista podrán disponer en dichos contratos de menor y mínima cuantía, en ejercicio de la autonomía de la voluntad, las condiciones que consideren convenientes para otorgar el anticipo de acuerdo con las normas civiles, siempre que no contraríen los parámetros normativos y los principios de la actividad contractual. No obstante, se reitera la importancia de analizar y justificar en cada caso la pertinencia y conveniencia de entregar al contratista recursos en calidad de anticipo. De esta forma, </w:t>
      </w:r>
      <w:r w:rsidRPr="001B7209">
        <w:rPr>
          <w:rFonts w:ascii="Century Gothic" w:hAnsi="Century Gothic" w:cs="Arial"/>
        </w:rPr>
        <w:t xml:space="preserve">debe ser la administración quien determine la viabilidad o no, de la entrega de un anticipó y de la obligación de adoptar las medidas necesarias y razonables para asegurar el buen manejo y la correcta inversión del anticipo, entre las que se encuentra la constitución obligatoria de la garantía respectiva.  </w:t>
      </w:r>
    </w:p>
    <w:p w14:paraId="22132FB6" w14:textId="77777777" w:rsidR="00E271CA" w:rsidRPr="001B7209" w:rsidRDefault="00E271CA" w:rsidP="00E271CA">
      <w:pPr>
        <w:spacing w:line="276" w:lineRule="auto"/>
        <w:jc w:val="both"/>
        <w:rPr>
          <w:rFonts w:ascii="Century Gothic" w:hAnsi="Century Gothic" w:cs="Arial"/>
          <w:b/>
          <w:color w:val="000000" w:themeColor="text1"/>
        </w:rPr>
      </w:pPr>
      <w:r w:rsidRPr="001B7209">
        <w:rPr>
          <w:rFonts w:ascii="Century Gothic" w:hAnsi="Century Gothic" w:cs="Arial"/>
          <w:b/>
          <w:color w:val="000000" w:themeColor="text1"/>
        </w:rPr>
        <w:t>3. Respuesta</w:t>
      </w:r>
    </w:p>
    <w:p w14:paraId="1261416A" w14:textId="0C6E4814" w:rsidR="00662D2F" w:rsidRPr="001B7209" w:rsidRDefault="00662D2F" w:rsidP="00DB0FD2">
      <w:pPr>
        <w:adjustRightInd w:val="0"/>
        <w:spacing w:line="240" w:lineRule="auto"/>
        <w:ind w:left="709" w:right="709"/>
        <w:jc w:val="both"/>
        <w:rPr>
          <w:rFonts w:ascii="Century Gothic" w:hAnsi="Century Gothic" w:cs="Arial"/>
          <w:sz w:val="21"/>
          <w:szCs w:val="21"/>
        </w:rPr>
      </w:pPr>
      <w:r w:rsidRPr="001B7209">
        <w:rPr>
          <w:rFonts w:ascii="Century Gothic" w:hAnsi="Century Gothic" w:cs="Arial"/>
          <w:sz w:val="21"/>
          <w:szCs w:val="21"/>
        </w:rPr>
        <w:t xml:space="preserve">“(…) A priori de la interpretación que se puede hacer del texto normativo, es que la fiducia para el manejo del </w:t>
      </w:r>
      <w:proofErr w:type="spellStart"/>
      <w:r w:rsidRPr="001B7209">
        <w:rPr>
          <w:rFonts w:ascii="Century Gothic" w:hAnsi="Century Gothic" w:cs="Arial"/>
          <w:sz w:val="21"/>
          <w:szCs w:val="21"/>
        </w:rPr>
        <w:t>aniticpo</w:t>
      </w:r>
      <w:proofErr w:type="spellEnd"/>
      <w:r w:rsidRPr="001B7209">
        <w:rPr>
          <w:rFonts w:ascii="Century Gothic" w:hAnsi="Century Gothic" w:cs="Arial"/>
          <w:sz w:val="21"/>
          <w:szCs w:val="21"/>
        </w:rPr>
        <w:t xml:space="preserve"> es aplicable a contratos de obra, concesión y salud sin importar la modalidad de contratación y también para aquellos contratos sin importar la </w:t>
      </w:r>
      <w:proofErr w:type="spellStart"/>
      <w:r w:rsidRPr="001B7209">
        <w:rPr>
          <w:rFonts w:ascii="Century Gothic" w:hAnsi="Century Gothic" w:cs="Arial"/>
          <w:sz w:val="21"/>
          <w:szCs w:val="21"/>
        </w:rPr>
        <w:t>tipologica</w:t>
      </w:r>
      <w:proofErr w:type="spellEnd"/>
      <w:r w:rsidRPr="001B7209">
        <w:rPr>
          <w:rFonts w:ascii="Century Gothic" w:hAnsi="Century Gothic" w:cs="Arial"/>
          <w:sz w:val="21"/>
          <w:szCs w:val="21"/>
        </w:rPr>
        <w:t xml:space="preserve"> contractual que sean gestionados por Licitación pública. Es correcta dicha interpretación?</w:t>
      </w:r>
    </w:p>
    <w:p w14:paraId="02C2DD4E" w14:textId="77777777" w:rsidR="00012514" w:rsidRPr="001B7209" w:rsidRDefault="004C0122" w:rsidP="00DB0FD2">
      <w:pPr>
        <w:adjustRightInd w:val="0"/>
        <w:spacing w:line="240" w:lineRule="auto"/>
        <w:ind w:left="709" w:right="709"/>
        <w:jc w:val="both"/>
        <w:rPr>
          <w:rFonts w:ascii="Century Gothic" w:hAnsi="Century Gothic" w:cs="Arial"/>
          <w:sz w:val="21"/>
          <w:szCs w:val="21"/>
        </w:rPr>
      </w:pPr>
      <w:r w:rsidRPr="001B7209">
        <w:rPr>
          <w:rFonts w:ascii="Century Gothic" w:hAnsi="Century Gothic" w:cs="Arial"/>
          <w:sz w:val="21"/>
          <w:szCs w:val="21"/>
        </w:rPr>
        <w:t xml:space="preserve">La segunda parte de la consulta, </w:t>
      </w:r>
      <w:proofErr w:type="spellStart"/>
      <w:r w:rsidRPr="001B7209">
        <w:rPr>
          <w:rFonts w:ascii="Century Gothic" w:hAnsi="Century Gothic" w:cs="Arial"/>
          <w:sz w:val="21"/>
          <w:szCs w:val="21"/>
        </w:rPr>
        <w:t>esta</w:t>
      </w:r>
      <w:proofErr w:type="spellEnd"/>
      <w:r w:rsidRPr="001B7209">
        <w:rPr>
          <w:rFonts w:ascii="Century Gothic" w:hAnsi="Century Gothic" w:cs="Arial"/>
          <w:sz w:val="21"/>
          <w:szCs w:val="21"/>
        </w:rPr>
        <w:t xml:space="preserve"> asociada a la salvedad descrita en el artículo 91 de la Ley 1474 de 2011, la cual estima de manera somera que la fiducia para el manejo del anticipo en los casos de contratos de obra, concesión y salud no es obligatoria cuando dichos contratos se gestionan a </w:t>
      </w:r>
      <w:proofErr w:type="spellStart"/>
      <w:r w:rsidRPr="001B7209">
        <w:rPr>
          <w:rFonts w:ascii="Century Gothic" w:hAnsi="Century Gothic" w:cs="Arial"/>
          <w:sz w:val="21"/>
          <w:szCs w:val="21"/>
        </w:rPr>
        <w:t>traves</w:t>
      </w:r>
      <w:proofErr w:type="spellEnd"/>
      <w:r w:rsidRPr="001B7209">
        <w:rPr>
          <w:rFonts w:ascii="Century Gothic" w:hAnsi="Century Gothic" w:cs="Arial"/>
          <w:sz w:val="21"/>
          <w:szCs w:val="21"/>
        </w:rPr>
        <w:t xml:space="preserve"> de procesos de selección en la modalidad de menor y mínima cuantía. Es correcta esta interpretación?”</w:t>
      </w:r>
    </w:p>
    <w:p w14:paraId="08B09FA1" w14:textId="77777777" w:rsidR="00012514" w:rsidRPr="001B7209" w:rsidRDefault="00012514" w:rsidP="00012514">
      <w:pPr>
        <w:adjustRightInd w:val="0"/>
        <w:spacing w:line="240" w:lineRule="auto"/>
        <w:ind w:left="709" w:right="709"/>
        <w:jc w:val="both"/>
        <w:rPr>
          <w:rFonts w:ascii="Century Gothic" w:hAnsi="Century Gothic" w:cs="Arial"/>
          <w:sz w:val="21"/>
          <w:szCs w:val="21"/>
        </w:rPr>
      </w:pPr>
      <w:r w:rsidRPr="001B7209">
        <w:rPr>
          <w:rFonts w:ascii="Century Gothic" w:hAnsi="Century Gothic" w:cs="Arial"/>
          <w:sz w:val="21"/>
          <w:szCs w:val="21"/>
        </w:rPr>
        <w:t xml:space="preserve">“Si el artículo 91 de la Ley 1474 de 2011 de manera taxativa expresa que no aplica la obligatoriedad de la fiducia para el manejo del anticipo en los contratos de obra, salud y </w:t>
      </w:r>
      <w:proofErr w:type="spellStart"/>
      <w:r w:rsidRPr="001B7209">
        <w:rPr>
          <w:rFonts w:ascii="Century Gothic" w:hAnsi="Century Gothic" w:cs="Arial"/>
          <w:sz w:val="21"/>
          <w:szCs w:val="21"/>
        </w:rPr>
        <w:t>concesion</w:t>
      </w:r>
      <w:proofErr w:type="spellEnd"/>
      <w:r w:rsidRPr="001B7209">
        <w:rPr>
          <w:rFonts w:ascii="Century Gothic" w:hAnsi="Century Gothic" w:cs="Arial"/>
          <w:sz w:val="21"/>
          <w:szCs w:val="21"/>
        </w:rPr>
        <w:t xml:space="preserve"> que sean gestionados a </w:t>
      </w:r>
      <w:proofErr w:type="spellStart"/>
      <w:r w:rsidRPr="001B7209">
        <w:rPr>
          <w:rFonts w:ascii="Century Gothic" w:hAnsi="Century Gothic" w:cs="Arial"/>
          <w:sz w:val="21"/>
          <w:szCs w:val="21"/>
        </w:rPr>
        <w:t>tráves</w:t>
      </w:r>
      <w:proofErr w:type="spellEnd"/>
      <w:r w:rsidRPr="001B7209">
        <w:rPr>
          <w:rFonts w:ascii="Century Gothic" w:hAnsi="Century Gothic" w:cs="Arial"/>
          <w:sz w:val="21"/>
          <w:szCs w:val="21"/>
        </w:rPr>
        <w:t xml:space="preserve"> de la modalidad de </w:t>
      </w:r>
      <w:proofErr w:type="spellStart"/>
      <w:r w:rsidRPr="001B7209">
        <w:rPr>
          <w:rFonts w:ascii="Century Gothic" w:hAnsi="Century Gothic" w:cs="Arial"/>
          <w:sz w:val="21"/>
          <w:szCs w:val="21"/>
        </w:rPr>
        <w:t>minima</w:t>
      </w:r>
      <w:proofErr w:type="spellEnd"/>
      <w:r w:rsidRPr="001B7209">
        <w:rPr>
          <w:rFonts w:ascii="Century Gothic" w:hAnsi="Century Gothic" w:cs="Arial"/>
          <w:sz w:val="21"/>
          <w:szCs w:val="21"/>
        </w:rPr>
        <w:t xml:space="preserve"> y menor cuantía, quiere esto </w:t>
      </w:r>
      <w:proofErr w:type="gramStart"/>
      <w:r w:rsidRPr="001B7209">
        <w:rPr>
          <w:rFonts w:ascii="Century Gothic" w:hAnsi="Century Gothic" w:cs="Arial"/>
          <w:sz w:val="21"/>
          <w:szCs w:val="21"/>
        </w:rPr>
        <w:t>decir ,</w:t>
      </w:r>
      <w:proofErr w:type="gramEnd"/>
      <w:r w:rsidRPr="001B7209">
        <w:rPr>
          <w:rFonts w:ascii="Century Gothic" w:hAnsi="Century Gothic" w:cs="Arial"/>
          <w:sz w:val="21"/>
          <w:szCs w:val="21"/>
        </w:rPr>
        <w:t xml:space="preserve"> que en los contratos de obra, salud y concesión que sean gestionados a través de la modalidad de </w:t>
      </w:r>
      <w:proofErr w:type="spellStart"/>
      <w:r w:rsidRPr="001B7209">
        <w:rPr>
          <w:rFonts w:ascii="Century Gothic" w:hAnsi="Century Gothic" w:cs="Arial"/>
          <w:sz w:val="21"/>
          <w:szCs w:val="21"/>
        </w:rPr>
        <w:t>contración</w:t>
      </w:r>
      <w:proofErr w:type="spellEnd"/>
      <w:r w:rsidRPr="001B7209">
        <w:rPr>
          <w:rFonts w:ascii="Century Gothic" w:hAnsi="Century Gothic" w:cs="Arial"/>
          <w:sz w:val="21"/>
          <w:szCs w:val="21"/>
        </w:rPr>
        <w:t xml:space="preserve"> directa o contratos interadministrativos dicha fiducia es obligatoria para el manejo del anticipo. Es correcta esta interpretación” (Sic).”</w:t>
      </w:r>
    </w:p>
    <w:p w14:paraId="684BBF8F" w14:textId="159E5A95" w:rsidR="000C2D09" w:rsidRPr="001B7209" w:rsidRDefault="000C2D09" w:rsidP="00E37F0A">
      <w:pPr>
        <w:spacing w:before="120" w:line="276" w:lineRule="auto"/>
        <w:jc w:val="both"/>
        <w:rPr>
          <w:rFonts w:ascii="Century Gothic" w:hAnsi="Century Gothic" w:cs="Arial"/>
        </w:rPr>
      </w:pPr>
      <w:r w:rsidRPr="001B7209">
        <w:rPr>
          <w:rFonts w:ascii="Century Gothic" w:hAnsi="Century Gothic" w:cs="Arial"/>
        </w:rPr>
        <w:t xml:space="preserve">En consideración a lo enunciado previamente, </w:t>
      </w:r>
      <w:r w:rsidR="00FE5538" w:rsidRPr="001B7209">
        <w:rPr>
          <w:rFonts w:ascii="Century Gothic" w:hAnsi="Century Gothic" w:cs="Arial"/>
        </w:rPr>
        <w:t>la interpretación</w:t>
      </w:r>
      <w:r w:rsidRPr="001B7209">
        <w:rPr>
          <w:rFonts w:ascii="Century Gothic" w:hAnsi="Century Gothic" w:cs="Arial"/>
        </w:rPr>
        <w:t xml:space="preserve"> </w:t>
      </w:r>
      <w:r w:rsidR="000D7D82" w:rsidRPr="001B7209">
        <w:rPr>
          <w:rFonts w:ascii="Century Gothic" w:hAnsi="Century Gothic" w:cs="Arial"/>
        </w:rPr>
        <w:t>que</w:t>
      </w:r>
      <w:r w:rsidR="00143AE3" w:rsidRPr="001B7209">
        <w:rPr>
          <w:rFonts w:ascii="Century Gothic" w:hAnsi="Century Gothic" w:cs="Arial"/>
        </w:rPr>
        <w:t xml:space="preserve"> la</w:t>
      </w:r>
      <w:r w:rsidRPr="001B7209">
        <w:rPr>
          <w:rFonts w:ascii="Century Gothic" w:hAnsi="Century Gothic" w:cs="Arial"/>
        </w:rPr>
        <w:t xml:space="preserve"> Agencia </w:t>
      </w:r>
      <w:r w:rsidR="001922C8" w:rsidRPr="001B7209">
        <w:rPr>
          <w:rFonts w:ascii="Century Gothic" w:hAnsi="Century Gothic" w:cs="Arial"/>
        </w:rPr>
        <w:t xml:space="preserve">ha sostenido </w:t>
      </w:r>
      <w:r w:rsidR="00FE5538" w:rsidRPr="001B7209">
        <w:rPr>
          <w:rFonts w:ascii="Century Gothic" w:hAnsi="Century Gothic" w:cs="Arial"/>
        </w:rPr>
        <w:t>sobre</w:t>
      </w:r>
      <w:r w:rsidR="002663AF" w:rsidRPr="001B7209">
        <w:rPr>
          <w:rFonts w:ascii="Century Gothic" w:hAnsi="Century Gothic" w:cs="Arial"/>
        </w:rPr>
        <w:t xml:space="preserve"> </w:t>
      </w:r>
      <w:r w:rsidR="00A94912" w:rsidRPr="001B7209">
        <w:rPr>
          <w:rFonts w:ascii="Century Gothic" w:hAnsi="Century Gothic" w:cs="Arial"/>
        </w:rPr>
        <w:t>el artículo 91 de la Ley 1474 de 2011</w:t>
      </w:r>
      <w:r w:rsidR="00FB1245" w:rsidRPr="001B7209">
        <w:rPr>
          <w:rFonts w:ascii="Century Gothic" w:hAnsi="Century Gothic" w:cs="Arial"/>
        </w:rPr>
        <w:t xml:space="preserve"> ha sido clara en señalar que e</w:t>
      </w:r>
      <w:r w:rsidR="003B4723" w:rsidRPr="001B7209">
        <w:rPr>
          <w:rFonts w:ascii="Century Gothic" w:hAnsi="Century Gothic" w:cs="Arial"/>
        </w:rPr>
        <w:t xml:space="preserve">s obligatorio </w:t>
      </w:r>
      <w:r w:rsidR="00A94912" w:rsidRPr="001B7209">
        <w:rPr>
          <w:rFonts w:ascii="Century Gothic" w:hAnsi="Century Gothic" w:cs="Arial"/>
        </w:rPr>
        <w:t>constituir un patrimonio autónomo o una fiducia para administrar los recursos del anticipo</w:t>
      </w:r>
      <w:r w:rsidR="003B4723" w:rsidRPr="001B7209">
        <w:rPr>
          <w:rFonts w:ascii="Century Gothic" w:hAnsi="Century Gothic" w:cs="Arial"/>
        </w:rPr>
        <w:t xml:space="preserve"> en los contratos de</w:t>
      </w:r>
      <w:r w:rsidR="00E37F0A" w:rsidRPr="001B7209">
        <w:rPr>
          <w:rFonts w:ascii="Century Gothic" w:hAnsi="Century Gothic" w:cs="Arial"/>
        </w:rPr>
        <w:t xml:space="preserve">: i) </w:t>
      </w:r>
      <w:r w:rsidR="00A94912" w:rsidRPr="001B7209">
        <w:rPr>
          <w:rFonts w:ascii="Century Gothic" w:hAnsi="Century Gothic" w:cs="Arial"/>
        </w:rPr>
        <w:t>obra, ii) concesión, iii) salud</w:t>
      </w:r>
      <w:r w:rsidR="00CF0ECD" w:rsidRPr="001B7209">
        <w:rPr>
          <w:rFonts w:ascii="Century Gothic" w:hAnsi="Century Gothic" w:cs="Arial"/>
        </w:rPr>
        <w:t xml:space="preserve">, </w:t>
      </w:r>
      <w:r w:rsidR="00A94912" w:rsidRPr="001B7209">
        <w:rPr>
          <w:rFonts w:ascii="Century Gothic" w:hAnsi="Century Gothic" w:cs="Arial"/>
        </w:rPr>
        <w:t>y</w:t>
      </w:r>
      <w:r w:rsidR="00CF0ECD" w:rsidRPr="001B7209">
        <w:rPr>
          <w:rFonts w:ascii="Century Gothic" w:hAnsi="Century Gothic" w:cs="Arial"/>
        </w:rPr>
        <w:t>,</w:t>
      </w:r>
      <w:r w:rsidR="00A94912" w:rsidRPr="001B7209">
        <w:rPr>
          <w:rFonts w:ascii="Century Gothic" w:hAnsi="Century Gothic" w:cs="Arial"/>
        </w:rPr>
        <w:t xml:space="preserve"> </w:t>
      </w:r>
      <w:proofErr w:type="spellStart"/>
      <w:r w:rsidR="00A94912" w:rsidRPr="001B7209">
        <w:rPr>
          <w:rFonts w:ascii="Century Gothic" w:hAnsi="Century Gothic" w:cs="Arial"/>
        </w:rPr>
        <w:t>iv</w:t>
      </w:r>
      <w:proofErr w:type="spellEnd"/>
      <w:r w:rsidR="00A94912" w:rsidRPr="001B7209">
        <w:rPr>
          <w:rFonts w:ascii="Century Gothic" w:hAnsi="Century Gothic" w:cs="Arial"/>
        </w:rPr>
        <w:t>) los contratos derivados de un proceso de licitación pública</w:t>
      </w:r>
      <w:r w:rsidR="000D7D82" w:rsidRPr="001B7209">
        <w:rPr>
          <w:rFonts w:ascii="Century Gothic" w:hAnsi="Century Gothic" w:cs="Arial"/>
        </w:rPr>
        <w:t>,</w:t>
      </w:r>
      <w:r w:rsidR="008C12C6" w:rsidRPr="001B7209">
        <w:rPr>
          <w:rFonts w:ascii="Century Gothic" w:hAnsi="Century Gothic" w:cs="Arial"/>
        </w:rPr>
        <w:t xml:space="preserve"> </w:t>
      </w:r>
      <w:r w:rsidR="00983A7B" w:rsidRPr="001B7209">
        <w:rPr>
          <w:rFonts w:ascii="Century Gothic" w:hAnsi="Century Gothic" w:cs="Arial"/>
        </w:rPr>
        <w:t>siempre que</w:t>
      </w:r>
      <w:r w:rsidR="00CF0ECD" w:rsidRPr="001B7209">
        <w:rPr>
          <w:rFonts w:ascii="Century Gothic" w:hAnsi="Century Gothic" w:cs="Arial"/>
        </w:rPr>
        <w:t>,</w:t>
      </w:r>
      <w:r w:rsidR="00983A7B" w:rsidRPr="001B7209">
        <w:rPr>
          <w:rFonts w:ascii="Century Gothic" w:hAnsi="Century Gothic" w:cs="Arial"/>
        </w:rPr>
        <w:t xml:space="preserve"> en estos cuatros supuestos</w:t>
      </w:r>
      <w:r w:rsidR="00CF0ECD" w:rsidRPr="001B7209">
        <w:rPr>
          <w:rFonts w:ascii="Century Gothic" w:hAnsi="Century Gothic" w:cs="Arial"/>
        </w:rPr>
        <w:t>,</w:t>
      </w:r>
      <w:r w:rsidR="00983A7B" w:rsidRPr="001B7209">
        <w:rPr>
          <w:rFonts w:ascii="Century Gothic" w:hAnsi="Century Gothic" w:cs="Arial"/>
        </w:rPr>
        <w:t xml:space="preserve"> el contrato no sea de</w:t>
      </w:r>
      <w:r w:rsidR="001922C8" w:rsidRPr="001B7209">
        <w:rPr>
          <w:rFonts w:ascii="Century Gothic" w:hAnsi="Century Gothic" w:cs="Arial"/>
          <w:color w:val="000000" w:themeColor="text1"/>
        </w:rPr>
        <w:t xml:space="preserve"> menor o mínima cuantía</w:t>
      </w:r>
      <w:r w:rsidR="008C12C6" w:rsidRPr="001B7209">
        <w:rPr>
          <w:rFonts w:ascii="Century Gothic" w:hAnsi="Century Gothic" w:cs="Arial"/>
          <w:color w:val="000000" w:themeColor="text1"/>
        </w:rPr>
        <w:t>.</w:t>
      </w:r>
      <w:r w:rsidR="001922C8" w:rsidRPr="001B7209">
        <w:rPr>
          <w:rFonts w:ascii="Century Gothic" w:hAnsi="Century Gothic" w:cs="Arial"/>
          <w:color w:val="000000" w:themeColor="text1"/>
        </w:rPr>
        <w:t xml:space="preserve"> </w:t>
      </w:r>
      <w:r w:rsidR="00E37F0A" w:rsidRPr="001B7209">
        <w:rPr>
          <w:rFonts w:ascii="Century Gothic" w:hAnsi="Century Gothic" w:cs="Arial"/>
          <w:color w:val="000000" w:themeColor="text1"/>
        </w:rPr>
        <w:t>En ese sentido</w:t>
      </w:r>
      <w:r w:rsidR="00FF1753" w:rsidRPr="001B7209">
        <w:rPr>
          <w:rFonts w:ascii="Century Gothic" w:hAnsi="Century Gothic" w:cs="Arial"/>
          <w:color w:val="000000" w:themeColor="text1"/>
        </w:rPr>
        <w:t xml:space="preserve">, </w:t>
      </w:r>
      <w:r w:rsidR="00FF1753" w:rsidRPr="001B7209">
        <w:rPr>
          <w:rFonts w:ascii="Century Gothic" w:hAnsi="Century Gothic" w:cs="Arial"/>
          <w:color w:val="000000" w:themeColor="text1"/>
        </w:rPr>
        <w:lastRenderedPageBreak/>
        <w:t>cuando la</w:t>
      </w:r>
      <w:r w:rsidRPr="001B7209">
        <w:rPr>
          <w:rFonts w:ascii="Century Gothic" w:hAnsi="Century Gothic" w:cs="Arial"/>
        </w:rPr>
        <w:t xml:space="preserve"> cuantía </w:t>
      </w:r>
      <w:r w:rsidR="00FF1753" w:rsidRPr="001B7209">
        <w:rPr>
          <w:rFonts w:ascii="Century Gothic" w:hAnsi="Century Gothic" w:cs="Arial"/>
        </w:rPr>
        <w:t xml:space="preserve">de un contrato </w:t>
      </w:r>
      <w:r w:rsidRPr="001B7209">
        <w:rPr>
          <w:rFonts w:ascii="Century Gothic" w:hAnsi="Century Gothic" w:cs="Arial"/>
        </w:rPr>
        <w:t>resulte ser de mínima o menor cuantía</w:t>
      </w:r>
      <w:r w:rsidR="00FF1753" w:rsidRPr="001B7209">
        <w:rPr>
          <w:rFonts w:ascii="Century Gothic" w:hAnsi="Century Gothic" w:cs="Arial"/>
        </w:rPr>
        <w:t>, ind</w:t>
      </w:r>
      <w:r w:rsidR="00A0454D" w:rsidRPr="001B7209">
        <w:rPr>
          <w:rFonts w:ascii="Century Gothic" w:hAnsi="Century Gothic" w:cs="Arial"/>
        </w:rPr>
        <w:t>ependientemente de la modalidad de selección por la que surge,</w:t>
      </w:r>
      <w:r w:rsidRPr="001B7209">
        <w:rPr>
          <w:rFonts w:ascii="Century Gothic" w:hAnsi="Century Gothic" w:cs="Arial"/>
        </w:rPr>
        <w:t xml:space="preserve"> no será obligatoria la constitución de un patrimonio autónomo o una fiducia para administrar los recursos del anticipo, así haya surgido a través de un proceso de selección por licitación pública</w:t>
      </w:r>
      <w:r w:rsidR="008C12C6" w:rsidRPr="001B7209">
        <w:rPr>
          <w:rFonts w:ascii="Century Gothic" w:hAnsi="Century Gothic" w:cs="Arial"/>
        </w:rPr>
        <w:t xml:space="preserve"> u otra modalidad</w:t>
      </w:r>
      <w:r w:rsidRPr="001B7209">
        <w:rPr>
          <w:rFonts w:ascii="Century Gothic" w:hAnsi="Century Gothic" w:cs="Arial"/>
        </w:rPr>
        <w:t>.</w:t>
      </w:r>
    </w:p>
    <w:p w14:paraId="72187F01" w14:textId="33ACE25E" w:rsidR="0009141C" w:rsidRPr="001B7209" w:rsidRDefault="0009141C" w:rsidP="00012514">
      <w:pPr>
        <w:adjustRightInd w:val="0"/>
        <w:spacing w:line="276" w:lineRule="auto"/>
        <w:ind w:firstLine="708"/>
        <w:jc w:val="both"/>
        <w:rPr>
          <w:rFonts w:ascii="Century Gothic" w:hAnsi="Century Gothic" w:cs="Arial"/>
        </w:rPr>
      </w:pPr>
      <w:r w:rsidRPr="001B7209">
        <w:rPr>
          <w:rFonts w:ascii="Century Gothic" w:hAnsi="Century Gothic" w:cs="Arial"/>
        </w:rPr>
        <w:t xml:space="preserve">En ese sentido, </w:t>
      </w:r>
      <w:r w:rsidR="00732A1B" w:rsidRPr="001B7209">
        <w:rPr>
          <w:rFonts w:ascii="Century Gothic" w:hAnsi="Century Gothic" w:cs="Arial"/>
        </w:rPr>
        <w:t>frente a su</w:t>
      </w:r>
      <w:r w:rsidR="0013118D" w:rsidRPr="001B7209">
        <w:rPr>
          <w:rFonts w:ascii="Century Gothic" w:hAnsi="Century Gothic" w:cs="Arial"/>
        </w:rPr>
        <w:t>s interrogantes</w:t>
      </w:r>
      <w:r w:rsidR="00C424CA" w:rsidRPr="001B7209">
        <w:rPr>
          <w:rFonts w:ascii="Century Gothic" w:hAnsi="Century Gothic" w:cs="Arial"/>
        </w:rPr>
        <w:t>,</w:t>
      </w:r>
      <w:r w:rsidR="0013118D" w:rsidRPr="001B7209">
        <w:rPr>
          <w:rFonts w:ascii="Century Gothic" w:hAnsi="Century Gothic" w:cs="Arial"/>
        </w:rPr>
        <w:t xml:space="preserve"> </w:t>
      </w:r>
      <w:r w:rsidR="00732A1B" w:rsidRPr="001B7209">
        <w:rPr>
          <w:rFonts w:ascii="Century Gothic" w:hAnsi="Century Gothic" w:cs="Arial"/>
        </w:rPr>
        <w:t>es acertado afirmar</w:t>
      </w:r>
      <w:r w:rsidR="00023322" w:rsidRPr="001B7209">
        <w:rPr>
          <w:rFonts w:ascii="Century Gothic" w:hAnsi="Century Gothic" w:cs="Arial"/>
        </w:rPr>
        <w:t xml:space="preserve"> las siguientes interpretaciones: 1) </w:t>
      </w:r>
      <w:r w:rsidRPr="001B7209">
        <w:rPr>
          <w:rFonts w:ascii="Century Gothic" w:hAnsi="Century Gothic" w:cs="Arial"/>
        </w:rPr>
        <w:t>la fiducia</w:t>
      </w:r>
      <w:r w:rsidR="00732A1B" w:rsidRPr="001B7209">
        <w:rPr>
          <w:rFonts w:ascii="Century Gothic" w:hAnsi="Century Gothic" w:cs="Arial"/>
        </w:rPr>
        <w:t xml:space="preserve"> o el patrimonio autónomo</w:t>
      </w:r>
      <w:r w:rsidRPr="001B7209">
        <w:rPr>
          <w:rFonts w:ascii="Century Gothic" w:hAnsi="Century Gothic" w:cs="Arial"/>
        </w:rPr>
        <w:t xml:space="preserve"> para el manejo d</w:t>
      </w:r>
      <w:r w:rsidR="00732A1B" w:rsidRPr="001B7209">
        <w:rPr>
          <w:rFonts w:ascii="Century Gothic" w:hAnsi="Century Gothic" w:cs="Arial"/>
        </w:rPr>
        <w:t>e los recursos del</w:t>
      </w:r>
      <w:r w:rsidRPr="001B7209">
        <w:rPr>
          <w:rFonts w:ascii="Century Gothic" w:hAnsi="Century Gothic" w:cs="Arial"/>
        </w:rPr>
        <w:t xml:space="preserve"> </w:t>
      </w:r>
      <w:r w:rsidR="00732A1B" w:rsidRPr="001B7209">
        <w:rPr>
          <w:rFonts w:ascii="Century Gothic" w:hAnsi="Century Gothic" w:cs="Arial"/>
        </w:rPr>
        <w:t>anticipo</w:t>
      </w:r>
      <w:r w:rsidRPr="001B7209">
        <w:rPr>
          <w:rFonts w:ascii="Century Gothic" w:hAnsi="Century Gothic" w:cs="Arial"/>
        </w:rPr>
        <w:t xml:space="preserve"> es aplicable a contratos de obra, concesión y salud sin importar la modalidad de contratación y también para aquellos contratos sin importar la </w:t>
      </w:r>
      <w:r w:rsidR="00732A1B" w:rsidRPr="001B7209">
        <w:rPr>
          <w:rFonts w:ascii="Century Gothic" w:hAnsi="Century Gothic" w:cs="Arial"/>
        </w:rPr>
        <w:t>tipológica</w:t>
      </w:r>
      <w:r w:rsidRPr="001B7209">
        <w:rPr>
          <w:rFonts w:ascii="Century Gothic" w:hAnsi="Century Gothic" w:cs="Arial"/>
        </w:rPr>
        <w:t xml:space="preserve"> contractual que sean gestionados por Licitación pública</w:t>
      </w:r>
      <w:r w:rsidR="00732A1B" w:rsidRPr="001B7209">
        <w:rPr>
          <w:rFonts w:ascii="Century Gothic" w:hAnsi="Century Gothic" w:cs="Arial"/>
        </w:rPr>
        <w:t xml:space="preserve">, </w:t>
      </w:r>
      <w:r w:rsidR="00D21DB1" w:rsidRPr="001B7209">
        <w:rPr>
          <w:rFonts w:ascii="Century Gothic" w:hAnsi="Century Gothic" w:cs="Arial"/>
          <w:i/>
        </w:rPr>
        <w:t>siempre y cuando</w:t>
      </w:r>
      <w:r w:rsidR="00D21DB1" w:rsidRPr="001B7209">
        <w:rPr>
          <w:rFonts w:ascii="Century Gothic" w:hAnsi="Century Gothic" w:cs="Arial"/>
        </w:rPr>
        <w:t xml:space="preserve"> aquellos contratos </w:t>
      </w:r>
      <w:r w:rsidR="007F4E5C" w:rsidRPr="001B7209">
        <w:rPr>
          <w:rFonts w:ascii="Century Gothic" w:hAnsi="Century Gothic" w:cs="Arial"/>
        </w:rPr>
        <w:t>a celebrar</w:t>
      </w:r>
      <w:r w:rsidR="00D21DB1" w:rsidRPr="001B7209">
        <w:rPr>
          <w:rFonts w:ascii="Century Gothic" w:hAnsi="Century Gothic" w:cs="Arial"/>
        </w:rPr>
        <w:t xml:space="preserve"> no resulten ser de mínima o menor cuantía</w:t>
      </w:r>
      <w:r w:rsidR="004171F3" w:rsidRPr="001B7209">
        <w:rPr>
          <w:rFonts w:ascii="Century Gothic" w:hAnsi="Century Gothic" w:cs="Arial"/>
        </w:rPr>
        <w:t xml:space="preserve">; ii) la fiducia o el patrimonio autónomo para el manejo de los recursos del anticipo en los casos de contratos de obra, concesión y salud no es obligatoria cuando dichos contratos se gestionan a través de procesos de selección en la modalidad de menor y mínima cuantía, pues el contrato que se llegue a celebrar estaría en curso en la excepción general contemplada en el artículo 91 de la Ley 1474 de 2011; iii) </w:t>
      </w:r>
      <w:r w:rsidR="000A6A18" w:rsidRPr="001B7209">
        <w:rPr>
          <w:rFonts w:ascii="Century Gothic" w:hAnsi="Century Gothic" w:cs="Arial"/>
        </w:rPr>
        <w:t xml:space="preserve">es posible que </w:t>
      </w:r>
      <w:r w:rsidR="006A5F5B" w:rsidRPr="001B7209">
        <w:rPr>
          <w:rFonts w:ascii="Century Gothic" w:hAnsi="Century Gothic" w:cs="Arial"/>
        </w:rPr>
        <w:t>mediante licitación pública se termine celebrando un contrato de meno</w:t>
      </w:r>
      <w:r w:rsidR="007F4E5C" w:rsidRPr="001B7209">
        <w:rPr>
          <w:rFonts w:ascii="Century Gothic" w:hAnsi="Century Gothic" w:cs="Arial"/>
        </w:rPr>
        <w:t>r</w:t>
      </w:r>
      <w:r w:rsidR="006A5F5B" w:rsidRPr="001B7209">
        <w:rPr>
          <w:rFonts w:ascii="Century Gothic" w:hAnsi="Century Gothic" w:cs="Arial"/>
        </w:rPr>
        <w:t xml:space="preserve"> o mínima cuantía, por ejemplo en caso de lotes o grupos</w:t>
      </w:r>
      <w:r w:rsidR="000548F2" w:rsidRPr="001B7209">
        <w:rPr>
          <w:rFonts w:ascii="Century Gothic" w:hAnsi="Century Gothic" w:cs="Arial"/>
        </w:rPr>
        <w:t xml:space="preserve"> que impliquen la celebración individual de contratos</w:t>
      </w:r>
      <w:r w:rsidR="007F4E5C" w:rsidRPr="001B7209">
        <w:rPr>
          <w:rFonts w:ascii="Century Gothic" w:hAnsi="Century Gothic" w:cs="Arial"/>
        </w:rPr>
        <w:t xml:space="preserve"> </w:t>
      </w:r>
      <w:r w:rsidR="00B7539B" w:rsidRPr="001B7209">
        <w:rPr>
          <w:rFonts w:ascii="Century Gothic" w:hAnsi="Century Gothic" w:cs="Arial"/>
        </w:rPr>
        <w:t>a distintos o al mismo proponente, entre otras posibilidades que se puede dar en los procesos de contratación</w:t>
      </w:r>
      <w:r w:rsidR="000A6A18" w:rsidRPr="001B7209">
        <w:rPr>
          <w:rFonts w:ascii="Century Gothic" w:hAnsi="Century Gothic" w:cs="Arial"/>
        </w:rPr>
        <w:t xml:space="preserve">, que </w:t>
      </w:r>
      <w:r w:rsidR="00F81F9B" w:rsidRPr="001B7209">
        <w:rPr>
          <w:rFonts w:ascii="Century Gothic" w:hAnsi="Century Gothic" w:cs="Arial"/>
        </w:rPr>
        <w:t xml:space="preserve">estarían en curso en la excepción general contemplada en el artículo 91 de la Ley 1474 de 2011; </w:t>
      </w:r>
      <w:proofErr w:type="spellStart"/>
      <w:r w:rsidR="00F81F9B" w:rsidRPr="001B7209">
        <w:rPr>
          <w:rFonts w:ascii="Century Gothic" w:hAnsi="Century Gothic" w:cs="Arial"/>
        </w:rPr>
        <w:t>iv</w:t>
      </w:r>
      <w:proofErr w:type="spellEnd"/>
      <w:r w:rsidR="00F81F9B" w:rsidRPr="001B7209">
        <w:rPr>
          <w:rFonts w:ascii="Century Gothic" w:hAnsi="Century Gothic" w:cs="Arial"/>
        </w:rPr>
        <w:t>) en los</w:t>
      </w:r>
      <w:r w:rsidR="0091288E" w:rsidRPr="001B7209">
        <w:rPr>
          <w:rFonts w:ascii="Century Gothic" w:hAnsi="Century Gothic" w:cs="Arial"/>
        </w:rPr>
        <w:t xml:space="preserve"> </w:t>
      </w:r>
      <w:r w:rsidR="00F81F9B" w:rsidRPr="001B7209">
        <w:rPr>
          <w:rFonts w:ascii="Century Gothic" w:hAnsi="Century Gothic" w:cs="Arial"/>
        </w:rPr>
        <w:t xml:space="preserve">contratos de obra, salud y </w:t>
      </w:r>
      <w:r w:rsidR="0091288E" w:rsidRPr="001B7209">
        <w:rPr>
          <w:rFonts w:ascii="Century Gothic" w:hAnsi="Century Gothic" w:cs="Arial"/>
        </w:rPr>
        <w:t>concesión</w:t>
      </w:r>
      <w:r w:rsidR="00F81F9B" w:rsidRPr="001B7209">
        <w:rPr>
          <w:rFonts w:ascii="Century Gothic" w:hAnsi="Century Gothic" w:cs="Arial"/>
        </w:rPr>
        <w:t xml:space="preserve"> que sean gestionados a </w:t>
      </w:r>
      <w:r w:rsidR="0091288E" w:rsidRPr="001B7209">
        <w:rPr>
          <w:rFonts w:ascii="Century Gothic" w:hAnsi="Century Gothic" w:cs="Arial"/>
        </w:rPr>
        <w:t>través</w:t>
      </w:r>
      <w:r w:rsidR="00F81F9B" w:rsidRPr="001B7209">
        <w:rPr>
          <w:rFonts w:ascii="Century Gothic" w:hAnsi="Century Gothic" w:cs="Arial"/>
        </w:rPr>
        <w:t xml:space="preserve"> de la modalidad de </w:t>
      </w:r>
      <w:r w:rsidR="0091288E" w:rsidRPr="001B7209">
        <w:rPr>
          <w:rFonts w:ascii="Century Gothic" w:hAnsi="Century Gothic" w:cs="Arial"/>
        </w:rPr>
        <w:t xml:space="preserve">contratación directa, </w:t>
      </w:r>
      <w:r w:rsidR="00411625" w:rsidRPr="001B7209">
        <w:rPr>
          <w:rFonts w:ascii="Century Gothic" w:hAnsi="Century Gothic" w:cs="Arial"/>
        </w:rPr>
        <w:t>será obligatoria la constitución de fiducia o  patrimonio autónomo para el manejo de los recursos del anticipo en los casos en que dichos contratos sean de mayor cuantía.</w:t>
      </w:r>
    </w:p>
    <w:p w14:paraId="2405EF26" w14:textId="77777777" w:rsidR="00E271CA" w:rsidRPr="001B7209" w:rsidRDefault="00E271CA" w:rsidP="00012514">
      <w:pPr>
        <w:tabs>
          <w:tab w:val="left" w:pos="0"/>
        </w:tabs>
        <w:spacing w:before="120" w:after="0" w:line="276" w:lineRule="auto"/>
        <w:ind w:firstLine="709"/>
        <w:jc w:val="both"/>
        <w:rPr>
          <w:rFonts w:ascii="Century Gothic" w:hAnsi="Century Gothic" w:cs="Arial"/>
          <w:i/>
        </w:rPr>
      </w:pPr>
      <w:r w:rsidRPr="001B7209">
        <w:rPr>
          <w:rFonts w:ascii="Century Gothic" w:hAnsi="Century Gothic" w:cs="Arial"/>
          <w:color w:val="000000" w:themeColor="text1"/>
        </w:rPr>
        <w:t xml:space="preserve">A su vez, resulta pertinente reiterar que la Entidad Estatal debe analizar y justificar en cada caso la pertinencia y conveniencia de entregar al contratista recursos en calidad de anticipo y </w:t>
      </w:r>
      <w:r w:rsidRPr="001B7209">
        <w:rPr>
          <w:rFonts w:ascii="Century Gothic" w:hAnsi="Century Gothic" w:cs="Arial"/>
        </w:rPr>
        <w:t>la obligación de adoptar las medidas necesarias y razonables para asegurar el buen manejo y la correcta inversión del anticipo, entre las que se encuentra la constitución obligatoria de la garantía respectiva</w:t>
      </w:r>
      <w:r w:rsidRPr="001B7209">
        <w:rPr>
          <w:rFonts w:ascii="Century Gothic" w:hAnsi="Century Gothic" w:cs="Arial"/>
          <w:color w:val="000000" w:themeColor="text1"/>
        </w:rPr>
        <w:t xml:space="preserve">. </w:t>
      </w:r>
      <w:r w:rsidRPr="001B7209">
        <w:rPr>
          <w:rFonts w:ascii="Century Gothic" w:hAnsi="Century Gothic" w:cs="Arial"/>
        </w:rPr>
        <w:t xml:space="preserve">En todo caso, </w:t>
      </w:r>
      <w:r w:rsidRPr="001B7209">
        <w:rPr>
          <w:rFonts w:ascii="Century Gothic" w:hAnsi="Century Gothic" w:cs="Arial"/>
          <w:color w:val="000000" w:themeColor="text1"/>
        </w:rPr>
        <w:t xml:space="preserve">la entidad y el contratista podrán disponer, en ejercicio de la autonomía de la voluntad, las condiciones que consideren convenientes para otorgar el anticipo de acuerdo con las normas civiles, siempre que no contraríen los parámetros normativos y los principios de la actividad contractual. </w:t>
      </w:r>
    </w:p>
    <w:p w14:paraId="12B4555B" w14:textId="77777777" w:rsidR="00E271CA" w:rsidRPr="001B7209" w:rsidRDefault="00E271CA" w:rsidP="00012514">
      <w:pPr>
        <w:spacing w:after="0" w:line="276" w:lineRule="auto"/>
        <w:jc w:val="both"/>
        <w:rPr>
          <w:rFonts w:ascii="Century Gothic" w:hAnsi="Century Gothic" w:cs="Arial"/>
        </w:rPr>
      </w:pPr>
    </w:p>
    <w:p w14:paraId="2B3B41A7" w14:textId="77777777" w:rsidR="00E271CA" w:rsidRPr="001B7209" w:rsidRDefault="00E271CA" w:rsidP="00E271CA">
      <w:pPr>
        <w:spacing w:line="276" w:lineRule="auto"/>
        <w:jc w:val="both"/>
        <w:rPr>
          <w:rFonts w:ascii="Century Gothic" w:hAnsi="Century Gothic" w:cs="Arial"/>
          <w:lang w:val="es-ES_tradnl"/>
        </w:rPr>
      </w:pPr>
      <w:r w:rsidRPr="001B7209">
        <w:rPr>
          <w:rFonts w:ascii="Century Gothic" w:hAnsi="Century Gothic" w:cs="Arial"/>
          <w:lang w:val="es-ES_tradn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B5262FC" w14:textId="77777777" w:rsidR="00E271CA" w:rsidRPr="001B7209" w:rsidRDefault="00E271CA" w:rsidP="00E271CA">
      <w:pPr>
        <w:tabs>
          <w:tab w:val="left" w:pos="426"/>
        </w:tabs>
        <w:spacing w:before="120" w:after="120" w:line="276" w:lineRule="auto"/>
        <w:jc w:val="both"/>
        <w:rPr>
          <w:rFonts w:ascii="Century Gothic" w:eastAsia="Times New Roman" w:hAnsi="Century Gothic" w:cs="Arial"/>
          <w:color w:val="000000" w:themeColor="text1"/>
        </w:rPr>
      </w:pPr>
    </w:p>
    <w:p w14:paraId="42AC23AE" w14:textId="77777777" w:rsidR="00E271CA" w:rsidRPr="001B7209" w:rsidRDefault="00E271CA" w:rsidP="00E271CA">
      <w:pPr>
        <w:tabs>
          <w:tab w:val="left" w:pos="426"/>
        </w:tabs>
        <w:spacing w:before="120" w:line="276" w:lineRule="auto"/>
        <w:jc w:val="both"/>
        <w:rPr>
          <w:rFonts w:ascii="Century Gothic" w:eastAsia="Times New Roman" w:hAnsi="Century Gothic" w:cs="Arial"/>
          <w:color w:val="000000" w:themeColor="text1"/>
        </w:rPr>
      </w:pPr>
      <w:r w:rsidRPr="001B7209">
        <w:rPr>
          <w:rFonts w:ascii="Century Gothic" w:eastAsia="Times New Roman" w:hAnsi="Century Gothic" w:cs="Arial"/>
          <w:color w:val="000000" w:themeColor="text1"/>
        </w:rPr>
        <w:t>Atentamente,</w:t>
      </w:r>
    </w:p>
    <w:p w14:paraId="60E1A4A6" w14:textId="2C7F49E5" w:rsidR="00E271CA" w:rsidRPr="001B7209" w:rsidRDefault="001B7209" w:rsidP="00E271CA">
      <w:pPr>
        <w:jc w:val="center"/>
        <w:rPr>
          <w:rFonts w:ascii="Century Gothic" w:eastAsia="Times New Roman" w:hAnsi="Century Gothic" w:cs="Arial"/>
          <w:lang w:eastAsia="es-CO"/>
        </w:rPr>
      </w:pPr>
      <w:r w:rsidRPr="001B7209">
        <w:rPr>
          <w:rFonts w:ascii="Century Gothic" w:hAnsi="Century Gothic"/>
          <w:noProof/>
        </w:rPr>
        <w:drawing>
          <wp:inline distT="0" distB="0" distL="0" distR="0" wp14:anchorId="2A42AD42" wp14:editId="5AFD995D">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E271CA" w:rsidRPr="001B7209" w14:paraId="76B33343" w14:textId="77777777" w:rsidTr="00254C6E">
        <w:trPr>
          <w:trHeight w:val="409"/>
        </w:trPr>
        <w:tc>
          <w:tcPr>
            <w:tcW w:w="817" w:type="dxa"/>
            <w:tcBorders>
              <w:top w:val="nil"/>
              <w:left w:val="nil"/>
              <w:bottom w:val="nil"/>
              <w:right w:val="nil"/>
            </w:tcBorders>
            <w:vAlign w:val="center"/>
            <w:hideMark/>
          </w:tcPr>
          <w:p w14:paraId="4B76575C" w14:textId="77777777" w:rsidR="00E271CA" w:rsidRPr="001B7209" w:rsidRDefault="00E271CA" w:rsidP="00254C6E">
            <w:pPr>
              <w:spacing w:after="0" w:line="240" w:lineRule="auto"/>
              <w:jc w:val="both"/>
              <w:rPr>
                <w:rFonts w:ascii="Century Gothic" w:hAnsi="Century Gothic" w:cs="Arial"/>
                <w:sz w:val="16"/>
                <w:szCs w:val="16"/>
              </w:rPr>
            </w:pPr>
            <w:r w:rsidRPr="001B7209">
              <w:rPr>
                <w:rFonts w:ascii="Century Gothic" w:hAnsi="Century Gothic" w:cs="Arial"/>
                <w:sz w:val="16"/>
                <w:szCs w:val="16"/>
              </w:rPr>
              <w:t>Elaboró: </w:t>
            </w:r>
          </w:p>
        </w:tc>
        <w:tc>
          <w:tcPr>
            <w:tcW w:w="4937" w:type="dxa"/>
            <w:tcBorders>
              <w:top w:val="nil"/>
              <w:left w:val="nil"/>
              <w:bottom w:val="dotted" w:sz="6" w:space="0" w:color="7F7F7F"/>
              <w:right w:val="nil"/>
            </w:tcBorders>
            <w:vAlign w:val="center"/>
            <w:hideMark/>
          </w:tcPr>
          <w:p w14:paraId="16024336" w14:textId="77777777" w:rsidR="00E271CA" w:rsidRPr="001B7209" w:rsidRDefault="00E271CA" w:rsidP="00254C6E">
            <w:pPr>
              <w:spacing w:after="0" w:line="240" w:lineRule="auto"/>
              <w:jc w:val="both"/>
              <w:rPr>
                <w:rFonts w:ascii="Century Gothic" w:hAnsi="Century Gothic" w:cs="Arial"/>
                <w:sz w:val="16"/>
                <w:szCs w:val="16"/>
              </w:rPr>
            </w:pPr>
            <w:r w:rsidRPr="001B7209">
              <w:rPr>
                <w:rFonts w:ascii="Century Gothic" w:hAnsi="Century Gothic" w:cs="Arial"/>
                <w:sz w:val="16"/>
                <w:szCs w:val="16"/>
              </w:rPr>
              <w:t>Any Alejandra Tovar Castillo</w:t>
            </w:r>
          </w:p>
          <w:p w14:paraId="6FD91979" w14:textId="77777777" w:rsidR="00E271CA" w:rsidRPr="001B7209" w:rsidRDefault="00E271CA" w:rsidP="00254C6E">
            <w:pPr>
              <w:spacing w:after="0" w:line="240" w:lineRule="auto"/>
              <w:jc w:val="both"/>
              <w:rPr>
                <w:rFonts w:ascii="Century Gothic" w:hAnsi="Century Gothic" w:cs="Arial"/>
                <w:sz w:val="16"/>
                <w:szCs w:val="16"/>
              </w:rPr>
            </w:pPr>
            <w:r w:rsidRPr="001B7209">
              <w:rPr>
                <w:rFonts w:ascii="Century Gothic" w:hAnsi="Century Gothic" w:cs="Arial"/>
                <w:sz w:val="16"/>
                <w:szCs w:val="16"/>
              </w:rPr>
              <w:t>Contratista de la Subdirección de Gestión Contractual</w:t>
            </w:r>
          </w:p>
        </w:tc>
      </w:tr>
      <w:tr w:rsidR="00E271CA" w:rsidRPr="001B7209" w14:paraId="0E5CD114" w14:textId="77777777" w:rsidTr="00254C6E">
        <w:trPr>
          <w:trHeight w:val="409"/>
        </w:trPr>
        <w:tc>
          <w:tcPr>
            <w:tcW w:w="817" w:type="dxa"/>
            <w:tcBorders>
              <w:top w:val="nil"/>
              <w:left w:val="nil"/>
              <w:bottom w:val="nil"/>
              <w:right w:val="nil"/>
            </w:tcBorders>
            <w:vAlign w:val="center"/>
            <w:hideMark/>
          </w:tcPr>
          <w:p w14:paraId="53C2785E" w14:textId="77777777" w:rsidR="00E271CA" w:rsidRPr="001B7209" w:rsidRDefault="00E271CA" w:rsidP="00254C6E">
            <w:pPr>
              <w:spacing w:after="0" w:line="240" w:lineRule="auto"/>
              <w:jc w:val="both"/>
              <w:rPr>
                <w:rFonts w:ascii="Century Gothic" w:hAnsi="Century Gothic" w:cs="Arial"/>
                <w:sz w:val="16"/>
                <w:szCs w:val="16"/>
              </w:rPr>
            </w:pPr>
            <w:r w:rsidRPr="001B7209">
              <w:rPr>
                <w:rFonts w:ascii="Century Gothic" w:hAnsi="Century Gothic" w:cs="Arial"/>
                <w:sz w:val="16"/>
                <w:szCs w:val="16"/>
              </w:rPr>
              <w:t>Revisó: </w:t>
            </w:r>
          </w:p>
        </w:tc>
        <w:tc>
          <w:tcPr>
            <w:tcW w:w="4937" w:type="dxa"/>
            <w:tcBorders>
              <w:top w:val="dotted" w:sz="6" w:space="0" w:color="7F7F7F"/>
              <w:left w:val="nil"/>
              <w:bottom w:val="dotted" w:sz="6" w:space="0" w:color="7F7F7F"/>
              <w:right w:val="nil"/>
            </w:tcBorders>
            <w:vAlign w:val="center"/>
            <w:hideMark/>
          </w:tcPr>
          <w:p w14:paraId="66907EB2" w14:textId="77777777" w:rsidR="00E271CA" w:rsidRPr="001B7209" w:rsidRDefault="00E271CA" w:rsidP="00254C6E">
            <w:pPr>
              <w:spacing w:after="0" w:line="240" w:lineRule="auto"/>
              <w:jc w:val="both"/>
              <w:rPr>
                <w:rFonts w:ascii="Century Gothic" w:hAnsi="Century Gothic" w:cs="Arial"/>
                <w:sz w:val="16"/>
                <w:szCs w:val="16"/>
              </w:rPr>
            </w:pPr>
            <w:r w:rsidRPr="001B7209">
              <w:rPr>
                <w:rFonts w:ascii="Century Gothic" w:hAnsi="Century Gothic" w:cs="Arial"/>
                <w:sz w:val="16"/>
                <w:szCs w:val="16"/>
              </w:rPr>
              <w:t>Alejandro Sarmiento Cantillo</w:t>
            </w:r>
          </w:p>
          <w:p w14:paraId="5059569E" w14:textId="77777777" w:rsidR="00E271CA" w:rsidRPr="001B7209" w:rsidRDefault="00E271CA" w:rsidP="00254C6E">
            <w:pPr>
              <w:spacing w:after="0" w:line="240" w:lineRule="auto"/>
              <w:jc w:val="both"/>
              <w:rPr>
                <w:rFonts w:ascii="Century Gothic" w:hAnsi="Century Gothic" w:cs="Arial"/>
                <w:sz w:val="16"/>
                <w:szCs w:val="16"/>
              </w:rPr>
            </w:pPr>
            <w:r w:rsidRPr="001B7209">
              <w:rPr>
                <w:rFonts w:ascii="Century Gothic" w:hAnsi="Century Gothic" w:cs="Arial"/>
                <w:sz w:val="16"/>
                <w:szCs w:val="16"/>
              </w:rPr>
              <w:t xml:space="preserve">Gestor T1 </w:t>
            </w:r>
            <w:r w:rsidRPr="001B7209">
              <w:rPr>
                <w:rFonts w:ascii="Arial" w:hAnsi="Arial" w:cs="Arial"/>
                <w:sz w:val="16"/>
                <w:szCs w:val="16"/>
              </w:rPr>
              <w:t>‒</w:t>
            </w:r>
            <w:r w:rsidRPr="001B7209">
              <w:rPr>
                <w:rFonts w:ascii="Century Gothic" w:hAnsi="Century Gothic" w:cs="Arial"/>
                <w:sz w:val="16"/>
                <w:szCs w:val="16"/>
              </w:rPr>
              <w:t xml:space="preserve"> 15 de la Subdirección de Gestión Contractual</w:t>
            </w:r>
          </w:p>
        </w:tc>
      </w:tr>
      <w:tr w:rsidR="00E271CA" w:rsidRPr="001B7209" w14:paraId="42D1CCCD" w14:textId="77777777" w:rsidTr="00254C6E">
        <w:trPr>
          <w:trHeight w:val="389"/>
        </w:trPr>
        <w:tc>
          <w:tcPr>
            <w:tcW w:w="817" w:type="dxa"/>
            <w:tcBorders>
              <w:top w:val="nil"/>
              <w:left w:val="nil"/>
              <w:bottom w:val="nil"/>
              <w:right w:val="nil"/>
            </w:tcBorders>
            <w:vAlign w:val="center"/>
            <w:hideMark/>
          </w:tcPr>
          <w:p w14:paraId="19CDB267" w14:textId="77777777" w:rsidR="00E271CA" w:rsidRPr="001B7209" w:rsidRDefault="00E271CA" w:rsidP="00254C6E">
            <w:pPr>
              <w:spacing w:after="0" w:line="240" w:lineRule="auto"/>
              <w:jc w:val="both"/>
              <w:rPr>
                <w:rFonts w:ascii="Century Gothic" w:hAnsi="Century Gothic" w:cs="Arial"/>
                <w:sz w:val="16"/>
                <w:szCs w:val="16"/>
              </w:rPr>
            </w:pPr>
            <w:r w:rsidRPr="001B7209">
              <w:rPr>
                <w:rFonts w:ascii="Century Gothic" w:hAnsi="Century Gothic" w:cs="Arial"/>
                <w:sz w:val="16"/>
                <w:szCs w:val="16"/>
              </w:rPr>
              <w:t>Aprobó: </w:t>
            </w:r>
          </w:p>
        </w:tc>
        <w:tc>
          <w:tcPr>
            <w:tcW w:w="4937" w:type="dxa"/>
            <w:tcBorders>
              <w:top w:val="dotted" w:sz="6" w:space="0" w:color="7F7F7F"/>
              <w:left w:val="nil"/>
              <w:bottom w:val="dotted" w:sz="6" w:space="0" w:color="7F7F7F"/>
              <w:right w:val="nil"/>
            </w:tcBorders>
            <w:vAlign w:val="center"/>
            <w:hideMark/>
          </w:tcPr>
          <w:p w14:paraId="0341CD7F" w14:textId="77777777" w:rsidR="00E271CA" w:rsidRPr="001B7209" w:rsidRDefault="00E271CA" w:rsidP="00254C6E">
            <w:pPr>
              <w:spacing w:after="0" w:line="240" w:lineRule="auto"/>
              <w:jc w:val="both"/>
              <w:rPr>
                <w:rFonts w:ascii="Century Gothic" w:hAnsi="Century Gothic" w:cs="Arial"/>
                <w:sz w:val="16"/>
                <w:szCs w:val="16"/>
              </w:rPr>
            </w:pPr>
            <w:r w:rsidRPr="001B7209">
              <w:rPr>
                <w:rFonts w:ascii="Century Gothic" w:hAnsi="Century Gothic" w:cs="Arial"/>
                <w:sz w:val="16"/>
                <w:szCs w:val="16"/>
              </w:rPr>
              <w:t>Nohelia del Carmen Zawady Palacio</w:t>
            </w:r>
          </w:p>
          <w:p w14:paraId="0E753DD5" w14:textId="77777777" w:rsidR="00E271CA" w:rsidRPr="001B7209" w:rsidRDefault="00E271CA" w:rsidP="00254C6E">
            <w:pPr>
              <w:spacing w:after="0" w:line="240" w:lineRule="auto"/>
              <w:jc w:val="both"/>
              <w:rPr>
                <w:rFonts w:ascii="Century Gothic" w:hAnsi="Century Gothic" w:cs="Arial"/>
                <w:sz w:val="16"/>
                <w:szCs w:val="16"/>
              </w:rPr>
            </w:pPr>
            <w:r w:rsidRPr="001B7209">
              <w:rPr>
                <w:rFonts w:ascii="Century Gothic" w:hAnsi="Century Gothic" w:cs="Arial"/>
                <w:sz w:val="16"/>
                <w:szCs w:val="16"/>
              </w:rPr>
              <w:t>Subdirectora de Gestión Contractual ANCP - CCE</w:t>
            </w:r>
          </w:p>
        </w:tc>
      </w:tr>
    </w:tbl>
    <w:p w14:paraId="0F293BF4" w14:textId="0304319F" w:rsidR="00127233" w:rsidRPr="001B7209" w:rsidRDefault="00127233" w:rsidP="00E271CA">
      <w:pPr>
        <w:spacing w:after="0"/>
        <w:rPr>
          <w:rFonts w:ascii="Century Gothic" w:hAnsi="Century Gothic" w:cs="Arial"/>
        </w:rPr>
      </w:pPr>
    </w:p>
    <w:sectPr w:rsidR="00127233" w:rsidRPr="001B7209"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3203D" w14:textId="77777777" w:rsidR="00333093" w:rsidRDefault="00333093" w:rsidP="004A1847">
      <w:pPr>
        <w:spacing w:after="0" w:line="240" w:lineRule="auto"/>
      </w:pPr>
      <w:r>
        <w:separator/>
      </w:r>
    </w:p>
  </w:endnote>
  <w:endnote w:type="continuationSeparator" w:id="0">
    <w:p w14:paraId="4D0EF03A" w14:textId="77777777" w:rsidR="00333093" w:rsidRDefault="00333093" w:rsidP="004A1847">
      <w:pPr>
        <w:spacing w:after="0" w:line="240" w:lineRule="auto"/>
      </w:pPr>
      <w:r>
        <w:continuationSeparator/>
      </w:r>
    </w:p>
  </w:endnote>
  <w:endnote w:type="continuationNotice" w:id="1">
    <w:p w14:paraId="3DB3DF72" w14:textId="77777777" w:rsidR="00333093" w:rsidRDefault="003330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8969C" w14:textId="77777777" w:rsidR="00333093" w:rsidRDefault="00333093" w:rsidP="004A1847">
      <w:pPr>
        <w:spacing w:after="0" w:line="240" w:lineRule="auto"/>
      </w:pPr>
      <w:r>
        <w:separator/>
      </w:r>
    </w:p>
  </w:footnote>
  <w:footnote w:type="continuationSeparator" w:id="0">
    <w:p w14:paraId="60A8F21D" w14:textId="77777777" w:rsidR="00333093" w:rsidRDefault="00333093" w:rsidP="004A1847">
      <w:pPr>
        <w:spacing w:after="0" w:line="240" w:lineRule="auto"/>
      </w:pPr>
      <w:r>
        <w:continuationSeparator/>
      </w:r>
    </w:p>
  </w:footnote>
  <w:footnote w:type="continuationNotice" w:id="1">
    <w:p w14:paraId="2F01936A" w14:textId="77777777" w:rsidR="00333093" w:rsidRDefault="00333093">
      <w:pPr>
        <w:spacing w:after="0" w:line="240" w:lineRule="auto"/>
      </w:pPr>
    </w:p>
  </w:footnote>
  <w:footnote w:id="2">
    <w:p w14:paraId="341D87D2" w14:textId="25B5D12C" w:rsidR="004516B3" w:rsidRPr="001B7209" w:rsidRDefault="004516B3" w:rsidP="00212A11">
      <w:pPr>
        <w:pStyle w:val="Textonotapie"/>
        <w:ind w:firstLine="708"/>
        <w:jc w:val="both"/>
        <w:rPr>
          <w:rFonts w:ascii="Century Gothic" w:hAnsi="Century Gothic" w:cs="Arial"/>
          <w:sz w:val="18"/>
          <w:szCs w:val="18"/>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1B7209">
          <w:rPr>
            <w:rStyle w:val="Hipervnculo"/>
            <w:rFonts w:ascii="Century Gothic" w:hAnsi="Century Gothic" w:cs="Arial"/>
            <w:sz w:val="18"/>
            <w:szCs w:val="18"/>
          </w:rPr>
          <w:t>https://relatoria.colombiacompra.gov.co/busqueda/conceptos</w:t>
        </w:r>
      </w:hyperlink>
      <w:r w:rsidRPr="001B7209">
        <w:rPr>
          <w:rStyle w:val="Hipervnculo"/>
          <w:rFonts w:ascii="Century Gothic" w:hAnsi="Century Gothic" w:cs="Arial"/>
          <w:sz w:val="18"/>
          <w:szCs w:val="18"/>
        </w:rPr>
        <w:t xml:space="preserve">. </w:t>
      </w:r>
      <w:r w:rsidRPr="001B7209">
        <w:rPr>
          <w:rFonts w:ascii="Century Gothic" w:hAnsi="Century Gothic" w:cs="Arial"/>
          <w:sz w:val="18"/>
          <w:szCs w:val="18"/>
          <w:shd w:val="clear" w:color="auto" w:fill="E6E6E6"/>
        </w:rPr>
        <w:t xml:space="preserve"> </w:t>
      </w:r>
    </w:p>
  </w:footnote>
  <w:footnote w:id="3">
    <w:p w14:paraId="1E07E4B2" w14:textId="77777777" w:rsidR="00E271CA" w:rsidRPr="001B7209" w:rsidRDefault="00E271CA" w:rsidP="00A40F1C">
      <w:pPr>
        <w:pStyle w:val="Textonotapie"/>
        <w:ind w:firstLine="708"/>
        <w:jc w:val="both"/>
        <w:rPr>
          <w:rFonts w:ascii="Century Gothic" w:hAnsi="Century Gothic" w:cs="Arial"/>
          <w:color w:val="000000"/>
          <w:sz w:val="18"/>
          <w:szCs w:val="18"/>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w:t>
      </w:r>
      <w:r w:rsidRPr="001B7209">
        <w:rPr>
          <w:rFonts w:ascii="Century Gothic" w:hAnsi="Century Gothic" w:cs="Arial"/>
          <w:color w:val="000000"/>
          <w:sz w:val="18"/>
          <w:szCs w:val="18"/>
        </w:rPr>
        <w:t xml:space="preserve">Procuraduría General de la Nación. Concepto del 15 de octubre de 2014. Procuraduría </w:t>
      </w:r>
      <w:r w:rsidRPr="001B7209">
        <w:rPr>
          <w:rFonts w:ascii="Century Gothic" w:hAnsi="Century Gothic" w:cs="Arial"/>
          <w:color w:val="000000"/>
          <w:sz w:val="18"/>
          <w:szCs w:val="18"/>
        </w:rPr>
        <w:t>Delegada para Asuntos Disciplinarios. Radicado PAD C-114-2014.</w:t>
      </w:r>
    </w:p>
    <w:p w14:paraId="2FDD4A19" w14:textId="77777777" w:rsidR="00E271CA" w:rsidRPr="001B7209" w:rsidRDefault="00E271CA" w:rsidP="00A40F1C">
      <w:pPr>
        <w:pStyle w:val="Textonotapie"/>
        <w:ind w:firstLine="708"/>
        <w:jc w:val="both"/>
        <w:rPr>
          <w:rFonts w:ascii="Century Gothic" w:hAnsi="Century Gothic" w:cs="Arial"/>
          <w:sz w:val="18"/>
          <w:szCs w:val="18"/>
          <w:lang w:val="es-ES"/>
        </w:rPr>
      </w:pPr>
    </w:p>
  </w:footnote>
  <w:footnote w:id="4">
    <w:p w14:paraId="0EE6BB67" w14:textId="65B2984C" w:rsidR="00E271CA" w:rsidRPr="001B7209" w:rsidRDefault="00E271CA" w:rsidP="00A40F1C">
      <w:pPr>
        <w:pStyle w:val="Textonotapie"/>
        <w:ind w:firstLine="708"/>
        <w:jc w:val="both"/>
        <w:rPr>
          <w:rFonts w:ascii="Century Gothic" w:hAnsi="Century Gothic" w:cs="Arial"/>
          <w:sz w:val="18"/>
          <w:szCs w:val="18"/>
          <w:lang w:val="es-ES"/>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w:t>
      </w:r>
      <w:r w:rsidRPr="001B7209">
        <w:rPr>
          <w:rFonts w:ascii="Century Gothic" w:hAnsi="Century Gothic" w:cs="Arial"/>
          <w:color w:val="000000"/>
          <w:sz w:val="18"/>
          <w:szCs w:val="18"/>
        </w:rPr>
        <w:t>Contraloría General de la República. Oficina Jurídica. Concepto 80112-OJ-008 2017.</w:t>
      </w:r>
    </w:p>
  </w:footnote>
  <w:footnote w:id="5">
    <w:p w14:paraId="44B02826" w14:textId="77777777" w:rsidR="00E271CA" w:rsidRPr="001B7209" w:rsidRDefault="00E271CA" w:rsidP="00A40F1C">
      <w:pPr>
        <w:pStyle w:val="Textonotapie"/>
        <w:ind w:firstLine="708"/>
        <w:jc w:val="both"/>
        <w:rPr>
          <w:rFonts w:ascii="Century Gothic" w:hAnsi="Century Gothic" w:cs="Arial"/>
          <w:sz w:val="18"/>
          <w:szCs w:val="18"/>
          <w:lang w:val="es-ES"/>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w:t>
      </w:r>
      <w:r w:rsidRPr="001B7209">
        <w:rPr>
          <w:rFonts w:ascii="Century Gothic" w:hAnsi="Century Gothic" w:cs="Arial"/>
          <w:color w:val="000000"/>
          <w:sz w:val="18"/>
          <w:szCs w:val="18"/>
        </w:rPr>
        <w:t>ARBOLEDA PERDOMO, Enrique José. Comentarios al Nuevo Código de Procedimiento Administrativo y de lo Contencioso Administrativo (2ª ed.). Editorial Legis. Bogotá. 2012. p. 59</w:t>
      </w:r>
    </w:p>
  </w:footnote>
  <w:footnote w:id="6">
    <w:p w14:paraId="35010974" w14:textId="186022BE" w:rsidR="00E271CA" w:rsidRPr="001B7209" w:rsidRDefault="00E271CA" w:rsidP="00A40F1C">
      <w:pPr>
        <w:pStyle w:val="Textonotapie"/>
        <w:ind w:firstLine="709"/>
        <w:jc w:val="both"/>
        <w:rPr>
          <w:rFonts w:ascii="Century Gothic" w:hAnsi="Century Gothic" w:cs="Arial"/>
          <w:sz w:val="18"/>
          <w:szCs w:val="18"/>
        </w:rPr>
      </w:pPr>
      <w:r w:rsidRPr="001B7209">
        <w:rPr>
          <w:rStyle w:val="Refdenotaalpie"/>
          <w:rFonts w:ascii="Century Gothic" w:hAnsi="Century Gothic" w:cs="Arial"/>
          <w:sz w:val="18"/>
          <w:szCs w:val="18"/>
        </w:rPr>
        <w:footnoteRef/>
      </w:r>
      <w:r w:rsidR="00487FE9" w:rsidRPr="001B7209">
        <w:rPr>
          <w:rFonts w:ascii="Century Gothic" w:hAnsi="Century Gothic" w:cs="Arial"/>
          <w:color w:val="000000" w:themeColor="text1"/>
          <w:sz w:val="18"/>
          <w:szCs w:val="18"/>
        </w:rPr>
        <w:t>“</w:t>
      </w:r>
      <w:r w:rsidRPr="001B7209">
        <w:rPr>
          <w:rFonts w:ascii="Century Gothic" w:hAnsi="Century Gothic" w:cs="Arial"/>
          <w:sz w:val="18"/>
          <w:szCs w:val="18"/>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00A40F1C" w:rsidRPr="001B7209">
        <w:rPr>
          <w:rFonts w:ascii="Century Gothic" w:hAnsi="Century Gothic" w:cs="Arial"/>
          <w:color w:val="000000" w:themeColor="text1"/>
          <w:sz w:val="18"/>
          <w:szCs w:val="18"/>
        </w:rPr>
        <w:t>”</w:t>
      </w:r>
      <w:r w:rsidRPr="001B7209">
        <w:rPr>
          <w:rFonts w:ascii="Century Gothic" w:hAnsi="Century Gothic" w:cs="Arial"/>
          <w:color w:val="000000" w:themeColor="text1"/>
          <w:sz w:val="18"/>
          <w:szCs w:val="18"/>
        </w:rPr>
        <w:t>.</w:t>
      </w:r>
      <w:r w:rsidRPr="001B7209">
        <w:rPr>
          <w:rFonts w:ascii="Century Gothic" w:hAnsi="Century Gothic" w:cs="Arial"/>
          <w:sz w:val="18"/>
          <w:szCs w:val="18"/>
        </w:rPr>
        <w:t xml:space="preserve"> Citado en CONSEJO DE ESTADO. Sala de lo Contencioso Administrativo. Sección Tercera – Subsección A. Sentencia del 16 de mayo de 2019. Rad. (40102). C.P: María Adriana Marín [cita No. 35]. </w:t>
      </w:r>
    </w:p>
    <w:p w14:paraId="2C25B801" w14:textId="77777777" w:rsidR="00521D71" w:rsidRPr="001B7209" w:rsidRDefault="00521D71" w:rsidP="00A40F1C">
      <w:pPr>
        <w:pStyle w:val="Textonotapie"/>
        <w:ind w:firstLine="709"/>
        <w:jc w:val="both"/>
        <w:rPr>
          <w:rFonts w:ascii="Century Gothic" w:hAnsi="Century Gothic" w:cs="Arial"/>
          <w:sz w:val="18"/>
          <w:szCs w:val="18"/>
        </w:rPr>
      </w:pPr>
    </w:p>
  </w:footnote>
  <w:footnote w:id="7">
    <w:p w14:paraId="03D48435" w14:textId="77777777" w:rsidR="00E271CA" w:rsidRPr="001B7209" w:rsidRDefault="00E271CA" w:rsidP="00922F0B">
      <w:pPr>
        <w:pStyle w:val="Textonotapie"/>
        <w:ind w:firstLine="709"/>
        <w:jc w:val="both"/>
        <w:rPr>
          <w:rFonts w:ascii="Century Gothic" w:hAnsi="Century Gothic" w:cs="Arial"/>
          <w:sz w:val="18"/>
          <w:szCs w:val="18"/>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CONSEJO DE ESTADO. Sala de lo Contencioso Administrativo. Sección Tercera – Subsección A. Sentencia del 16 de mayo de 2019. Rad. (40102). C.P: María Adriana Marín</w:t>
      </w:r>
    </w:p>
    <w:p w14:paraId="007BCA5E" w14:textId="77777777" w:rsidR="00E271CA" w:rsidRPr="001B7209" w:rsidRDefault="00E271CA" w:rsidP="00A40F1C">
      <w:pPr>
        <w:pStyle w:val="Textonotapie"/>
        <w:ind w:firstLine="709"/>
        <w:jc w:val="both"/>
        <w:rPr>
          <w:rFonts w:ascii="Century Gothic" w:hAnsi="Century Gothic" w:cs="Arial"/>
          <w:sz w:val="18"/>
          <w:szCs w:val="18"/>
        </w:rPr>
      </w:pPr>
    </w:p>
  </w:footnote>
  <w:footnote w:id="8">
    <w:p w14:paraId="0AE0894C" w14:textId="77777777" w:rsidR="00E271CA" w:rsidRPr="001B7209" w:rsidRDefault="00E271CA" w:rsidP="00A40F1C">
      <w:pPr>
        <w:pStyle w:val="Textonotapie"/>
        <w:ind w:firstLine="709"/>
        <w:jc w:val="both"/>
        <w:rPr>
          <w:rFonts w:ascii="Century Gothic" w:hAnsi="Century Gothic" w:cs="Arial"/>
          <w:sz w:val="18"/>
          <w:szCs w:val="18"/>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CONSEJO DE ESTADO. Sala de lo Contencioso Administrativo. Sección Tercera – Subsección C. Sentencia del 2 de octubre del 2020. Rad. 63644. CP. Jaime Enrique Rodríguez Nava. </w:t>
      </w:r>
    </w:p>
    <w:p w14:paraId="3C91CCA4" w14:textId="77777777" w:rsidR="007351B0" w:rsidRPr="001B7209" w:rsidRDefault="007351B0" w:rsidP="00A40F1C">
      <w:pPr>
        <w:pStyle w:val="Textonotapie"/>
        <w:ind w:firstLine="709"/>
        <w:jc w:val="both"/>
        <w:rPr>
          <w:rFonts w:ascii="Century Gothic" w:hAnsi="Century Gothic" w:cs="Arial"/>
          <w:sz w:val="18"/>
          <w:szCs w:val="18"/>
          <w:lang w:val="es-CO"/>
        </w:rPr>
      </w:pPr>
    </w:p>
  </w:footnote>
  <w:footnote w:id="9">
    <w:p w14:paraId="62FFEA3F" w14:textId="77777777" w:rsidR="00E271CA" w:rsidRPr="001B7209" w:rsidRDefault="00E271CA" w:rsidP="00A40F1C">
      <w:pPr>
        <w:pStyle w:val="Textonotapie"/>
        <w:ind w:firstLine="709"/>
        <w:jc w:val="both"/>
        <w:rPr>
          <w:rFonts w:ascii="Century Gothic" w:hAnsi="Century Gothic" w:cs="Arial"/>
          <w:color w:val="000000" w:themeColor="text1"/>
          <w:sz w:val="18"/>
          <w:szCs w:val="18"/>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w:t>
      </w:r>
      <w:r w:rsidRPr="001B7209">
        <w:rPr>
          <w:rFonts w:ascii="Century Gothic" w:hAnsi="Century Gothic" w:cs="Arial"/>
          <w:color w:val="000000" w:themeColor="text1"/>
          <w:sz w:val="18"/>
          <w:szCs w:val="18"/>
        </w:rPr>
        <w:t xml:space="preserve">CONSEJO DE ESTADO. Sección Tercera. Sentencia de 22 de junio de 2001. </w:t>
      </w:r>
      <w:r w:rsidRPr="001B7209">
        <w:rPr>
          <w:rFonts w:ascii="Century Gothic" w:hAnsi="Century Gothic" w:cs="Arial"/>
          <w:color w:val="000000" w:themeColor="text1"/>
          <w:sz w:val="18"/>
          <w:szCs w:val="18"/>
        </w:rPr>
        <w:t>Exp. 13436, C.P. Ricardo Hoyos Duque</w:t>
      </w:r>
    </w:p>
    <w:p w14:paraId="0F946DD7" w14:textId="77777777" w:rsidR="001A44E3" w:rsidRPr="001B7209" w:rsidRDefault="001A44E3" w:rsidP="00A40F1C">
      <w:pPr>
        <w:pStyle w:val="Textonotapie"/>
        <w:ind w:firstLine="709"/>
        <w:jc w:val="both"/>
        <w:rPr>
          <w:rFonts w:ascii="Century Gothic" w:hAnsi="Century Gothic" w:cs="Arial"/>
          <w:sz w:val="18"/>
          <w:szCs w:val="18"/>
        </w:rPr>
      </w:pPr>
    </w:p>
  </w:footnote>
  <w:footnote w:id="10">
    <w:p w14:paraId="0ECA513A" w14:textId="554D6787" w:rsidR="00E271CA" w:rsidRPr="001B7209" w:rsidRDefault="00E271CA" w:rsidP="00922F0B">
      <w:pPr>
        <w:pStyle w:val="Textonotapie"/>
        <w:ind w:firstLine="709"/>
        <w:jc w:val="both"/>
        <w:rPr>
          <w:rFonts w:ascii="Century Gothic" w:hAnsi="Century Gothic" w:cs="Arial"/>
          <w:sz w:val="18"/>
          <w:szCs w:val="18"/>
        </w:rPr>
      </w:pPr>
      <w:r w:rsidRPr="001B7209">
        <w:rPr>
          <w:rStyle w:val="Refdenotaalpie"/>
          <w:rFonts w:ascii="Century Gothic" w:hAnsi="Century Gothic" w:cs="Arial"/>
          <w:sz w:val="18"/>
          <w:szCs w:val="18"/>
        </w:rPr>
        <w:footnoteRef/>
      </w:r>
      <w:r w:rsidR="00487FE9" w:rsidRPr="001B7209">
        <w:rPr>
          <w:rFonts w:ascii="Century Gothic" w:hAnsi="Century Gothic" w:cs="Arial"/>
          <w:sz w:val="18"/>
          <w:szCs w:val="18"/>
        </w:rPr>
        <w:t>“</w:t>
      </w:r>
      <w:r w:rsidRPr="001B7209">
        <w:rPr>
          <w:rFonts w:ascii="Century Gothic" w:hAnsi="Century Gothic" w:cs="Arial"/>
          <w:sz w:val="18"/>
          <w:szCs w:val="18"/>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00A40F1C" w:rsidRPr="001B7209">
        <w:rPr>
          <w:rFonts w:ascii="Century Gothic" w:eastAsia="Calibri" w:hAnsi="Century Gothic" w:cs="Arial"/>
          <w:color w:val="000000" w:themeColor="text1"/>
          <w:sz w:val="18"/>
          <w:szCs w:val="18"/>
        </w:rPr>
        <w:t>”</w:t>
      </w:r>
      <w:r w:rsidRPr="001B7209">
        <w:rPr>
          <w:rFonts w:ascii="Century Gothic" w:eastAsia="Calibri" w:hAnsi="Century Gothic" w:cs="Arial"/>
          <w:color w:val="000000" w:themeColor="text1"/>
          <w:sz w:val="18"/>
          <w:szCs w:val="18"/>
        </w:rPr>
        <w:t xml:space="preserve"> (</w:t>
      </w:r>
      <w:r w:rsidRPr="001B7209">
        <w:rPr>
          <w:rFonts w:ascii="Century Gothic" w:hAnsi="Century Gothic" w:cs="Arial"/>
          <w:sz w:val="18"/>
          <w:szCs w:val="18"/>
        </w:rPr>
        <w:t xml:space="preserve">EXPÓSITO VÉLEZ, Juan Carlos. Forma y contenido del contrato estatal. Bogotá: Universidad Externado de Colombia, 2013, p. 165-166). De igual manera, se ha expuesto que </w:t>
      </w:r>
      <w:r w:rsidR="00487FE9" w:rsidRPr="001B7209">
        <w:rPr>
          <w:rFonts w:ascii="Century Gothic" w:hAnsi="Century Gothic" w:cs="Arial"/>
          <w:sz w:val="18"/>
          <w:szCs w:val="18"/>
        </w:rPr>
        <w:t>“</w:t>
      </w:r>
      <w:r w:rsidRPr="001B7209">
        <w:rPr>
          <w:rFonts w:ascii="Century Gothic" w:hAnsi="Century Gothic" w:cs="Arial"/>
          <w:sz w:val="18"/>
          <w:szCs w:val="18"/>
        </w:rPr>
        <w:t>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00A40F1C" w:rsidRPr="001B7209">
        <w:rPr>
          <w:rFonts w:ascii="Century Gothic" w:eastAsia="Calibri" w:hAnsi="Century Gothic" w:cs="Arial"/>
          <w:color w:val="000000" w:themeColor="text1"/>
          <w:sz w:val="18"/>
          <w:szCs w:val="18"/>
        </w:rPr>
        <w:t>”</w:t>
      </w:r>
      <w:r w:rsidRPr="001B7209">
        <w:rPr>
          <w:rFonts w:ascii="Century Gothic" w:hAnsi="Century Gothic" w:cs="Arial"/>
          <w:sz w:val="18"/>
          <w:szCs w:val="18"/>
        </w:rPr>
        <w:t xml:space="preserve"> (MATALLANA CAMACHO, Ernesto. Manual de Contratación de la Administración Pública. Reforma de la Ley 80 de 1993. Bogotá: Universidad Externado de Colombia, 4 ed., 2015, p. 921 y </w:t>
      </w:r>
      <w:r w:rsidRPr="001B7209">
        <w:rPr>
          <w:rFonts w:ascii="Century Gothic" w:hAnsi="Century Gothic" w:cs="Arial"/>
          <w:sz w:val="18"/>
          <w:szCs w:val="18"/>
        </w:rPr>
        <w:t>ss).</w:t>
      </w:r>
    </w:p>
    <w:p w14:paraId="58DCF0A8" w14:textId="77777777" w:rsidR="00E271CA" w:rsidRPr="001B7209" w:rsidRDefault="00E271CA" w:rsidP="00A40F1C">
      <w:pPr>
        <w:pStyle w:val="Textonotapie"/>
        <w:ind w:firstLine="709"/>
        <w:jc w:val="both"/>
        <w:rPr>
          <w:rFonts w:ascii="Century Gothic" w:hAnsi="Century Gothic" w:cs="Arial"/>
          <w:sz w:val="18"/>
          <w:szCs w:val="18"/>
        </w:rPr>
      </w:pPr>
    </w:p>
  </w:footnote>
  <w:footnote w:id="11">
    <w:p w14:paraId="029AC57D" w14:textId="77777777" w:rsidR="00E271CA" w:rsidRPr="001B7209" w:rsidRDefault="00E271CA" w:rsidP="00A40F1C">
      <w:pPr>
        <w:spacing w:after="0" w:line="240" w:lineRule="auto"/>
        <w:ind w:firstLine="709"/>
        <w:jc w:val="both"/>
        <w:rPr>
          <w:rFonts w:ascii="Century Gothic" w:hAnsi="Century Gothic" w:cs="Arial"/>
          <w:sz w:val="18"/>
          <w:szCs w:val="18"/>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CONSEJO DE ESTADO. Sala Plena de lo Contencioso Administrativo. Sentencia del 8 de agosto de 2001. </w:t>
      </w:r>
      <w:r w:rsidRPr="001B7209">
        <w:rPr>
          <w:rFonts w:ascii="Century Gothic" w:hAnsi="Century Gothic" w:cs="Arial"/>
          <w:sz w:val="18"/>
          <w:szCs w:val="18"/>
        </w:rPr>
        <w:t>Exp. AC-10966 - AC-11274. Consejero Ponente: Reinaldo Chavarro Buriticá.</w:t>
      </w:r>
    </w:p>
  </w:footnote>
  <w:footnote w:id="12">
    <w:p w14:paraId="0696EE5B" w14:textId="77777777" w:rsidR="00E271CA" w:rsidRPr="001B7209" w:rsidRDefault="00E271CA" w:rsidP="00A40F1C">
      <w:pPr>
        <w:pStyle w:val="Sinespaciado"/>
        <w:ind w:firstLine="708"/>
        <w:jc w:val="both"/>
        <w:rPr>
          <w:rFonts w:ascii="Century Gothic" w:hAnsi="Century Gothic" w:cs="Arial"/>
          <w:sz w:val="18"/>
          <w:szCs w:val="18"/>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ARTÍCULO 2.2.1.2.3.1.7. Garantía de cumplimiento. La garantía de cumplimiento del contrato debe cubrir:</w:t>
      </w:r>
    </w:p>
    <w:p w14:paraId="6742D766" w14:textId="6952B62E"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1. Buen manejo y correcta inversión del anticipo. Este amparo cubre los perjuicios sufridos por la Entidad Estatal con ocasión de: (i) la no inversión del anticipo; (</w:t>
      </w:r>
      <w:r w:rsidRPr="001B7209">
        <w:rPr>
          <w:rFonts w:ascii="Century Gothic" w:hAnsi="Century Gothic" w:cs="Arial"/>
          <w:sz w:val="18"/>
          <w:szCs w:val="18"/>
        </w:rPr>
        <w:t>ii) el uso indebido del anticipo; y (iii) la apropiación indebida de los recursos recibidos en calidad de anticipo.</w:t>
      </w:r>
    </w:p>
    <w:p w14:paraId="0A4E59B0" w14:textId="2523DF06"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2. Devolución del pago anticipado. Este amparo cubre los perjuicios sufridos por la Entidad Estatal por la no devolución total o parcial del dinero entregado al contratista a título de pago anticipado, cuando a ello hubiere lugar.</w:t>
      </w:r>
    </w:p>
    <w:p w14:paraId="7AD35FDE" w14:textId="6C2FBAA0"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3. Cumplimiento del contrato. Este amparo cubre a la Entidad Estatal de los perjuicios derivados de:</w:t>
      </w:r>
    </w:p>
    <w:p w14:paraId="1A11CAED" w14:textId="7E1776F8"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3.1. El incumplimiento total o parcial del contrato, cuando el incumplimiento es imputable al contratista;</w:t>
      </w:r>
    </w:p>
    <w:p w14:paraId="37A2A291" w14:textId="653C0931"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3.2. El cumplimiento tardío o defectuoso del contrato, cuando el incumplimiento es imputable al contratista;</w:t>
      </w:r>
    </w:p>
    <w:p w14:paraId="75435E8D" w14:textId="4B399BCE"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3.3. Los daños imputables al contratista por entregas parciales de la obra, cuando el contrato no prevé entregas parciales; y</w:t>
      </w:r>
    </w:p>
    <w:p w14:paraId="348F4B2C" w14:textId="7C1B031A"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3.4. El pago del valor de las multas y de la cláusula penal pecuniaria.</w:t>
      </w:r>
    </w:p>
    <w:p w14:paraId="7843ABE0" w14:textId="3352F169"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5725A8DC" w14:textId="10041174"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La Entidad Estatal no debe exigir una garantía para cubrir este Riesgo en los contratos que se ejecuten fuera del territorio nacional con personal contratado bajo un régimen jurídico distinto al colombiano.</w:t>
      </w:r>
    </w:p>
    <w:p w14:paraId="5ACBDCC2" w14:textId="071E4D7C"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5. Estabilidad y calidad de la obra. Este amparo cubre a la Entidad Estatal de los perjuicios ocasionados por cualquier tipo de daño o deterioro, imputable al contratista, sufrido por la obra entregada a satisfacción.</w:t>
      </w:r>
    </w:p>
    <w:p w14:paraId="59E0DA56" w14:textId="308F4652"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6. Calidad del servicio. Este amparo cubre a la Entidad Estatal por los perjuicios derivados de la deficiente calidad del servicio prestado.</w:t>
      </w:r>
    </w:p>
    <w:p w14:paraId="2225099C" w14:textId="03897B14" w:rsidR="00E271CA" w:rsidRPr="001B7209" w:rsidRDefault="00E271CA" w:rsidP="00A40F1C">
      <w:pPr>
        <w:pStyle w:val="Sinespaciado"/>
        <w:ind w:firstLine="708"/>
        <w:jc w:val="both"/>
        <w:rPr>
          <w:rFonts w:ascii="Century Gothic" w:hAnsi="Century Gothic" w:cs="Arial"/>
          <w:sz w:val="18"/>
          <w:szCs w:val="18"/>
        </w:rPr>
      </w:pPr>
      <w:r w:rsidRPr="001B7209">
        <w:rPr>
          <w:rFonts w:ascii="Century Gothic" w:hAnsi="Century Gothic" w:cs="Arial"/>
          <w:sz w:val="18"/>
          <w:szCs w:val="18"/>
        </w:rPr>
        <w:t>7. Calidad y correcto funcionamiento de los bienes. Este amparo debe cubrir la calidad y el correcto funcionamiento de los bienes que recibe la Entidad Estatal en cumplimiento de un contrato.</w:t>
      </w:r>
    </w:p>
    <w:p w14:paraId="01EE5C86" w14:textId="206EC050" w:rsidR="00E271CA" w:rsidRPr="001B7209" w:rsidRDefault="00487FE9" w:rsidP="00A40F1C">
      <w:pPr>
        <w:pStyle w:val="Sinespaciado"/>
        <w:ind w:firstLine="708"/>
        <w:jc w:val="both"/>
        <w:rPr>
          <w:rFonts w:ascii="Century Gothic" w:hAnsi="Century Gothic" w:cs="Arial"/>
          <w:sz w:val="18"/>
          <w:szCs w:val="18"/>
        </w:rPr>
      </w:pPr>
      <w:r w:rsidRPr="001B7209">
        <w:rPr>
          <w:rFonts w:ascii="Century Gothic" w:eastAsia="Calibri" w:hAnsi="Century Gothic" w:cs="Arial"/>
          <w:sz w:val="18"/>
          <w:szCs w:val="18"/>
          <w:lang w:val="es-ES"/>
        </w:rPr>
        <w:t>“</w:t>
      </w:r>
      <w:r w:rsidR="00E271CA" w:rsidRPr="001B7209">
        <w:rPr>
          <w:rFonts w:ascii="Century Gothic" w:hAnsi="Century Gothic" w:cs="Arial"/>
          <w:sz w:val="18"/>
          <w:szCs w:val="18"/>
        </w:rPr>
        <w:t>8. Los demás incumplimientos de obligaciones que la Entidad Estatal considere deben ser amparados de manera proporcional y acorde a la naturaleza del contrato.</w:t>
      </w:r>
    </w:p>
    <w:p w14:paraId="0DB6FF5E" w14:textId="77777777" w:rsidR="00A87575" w:rsidRPr="001B7209" w:rsidRDefault="00A87575" w:rsidP="00A40F1C">
      <w:pPr>
        <w:pStyle w:val="Sinespaciado"/>
        <w:ind w:firstLine="708"/>
        <w:jc w:val="both"/>
        <w:rPr>
          <w:rFonts w:ascii="Century Gothic" w:hAnsi="Century Gothic" w:cs="Arial"/>
          <w:sz w:val="18"/>
          <w:szCs w:val="18"/>
          <w:lang w:val="es-CO"/>
        </w:rPr>
      </w:pPr>
    </w:p>
  </w:footnote>
  <w:footnote w:id="13">
    <w:p w14:paraId="306032A8" w14:textId="1BD0C30F" w:rsidR="00E271CA" w:rsidRPr="001B7209" w:rsidRDefault="00E271CA" w:rsidP="00A40F1C">
      <w:pPr>
        <w:pStyle w:val="NormalWeb"/>
        <w:shd w:val="clear" w:color="auto" w:fill="FFFFFF"/>
        <w:spacing w:before="0" w:beforeAutospacing="0" w:after="0" w:afterAutospacing="0"/>
        <w:ind w:firstLine="709"/>
        <w:jc w:val="both"/>
        <w:rPr>
          <w:rFonts w:ascii="Century Gothic" w:hAnsi="Century Gothic" w:cs="Arial"/>
          <w:sz w:val="18"/>
          <w:szCs w:val="18"/>
        </w:rPr>
      </w:pPr>
      <w:r w:rsidRPr="001B7209">
        <w:rPr>
          <w:rStyle w:val="Refdenotaalpie"/>
          <w:rFonts w:ascii="Century Gothic" w:hAnsi="Century Gothic" w:cs="Arial"/>
          <w:sz w:val="18"/>
          <w:szCs w:val="18"/>
        </w:rPr>
        <w:footnoteRef/>
      </w:r>
      <w:r w:rsidR="00487FE9" w:rsidRPr="001B7209">
        <w:rPr>
          <w:rFonts w:ascii="Century Gothic" w:eastAsia="Calibri" w:hAnsi="Century Gothic" w:cs="Arial"/>
          <w:sz w:val="18"/>
          <w:szCs w:val="18"/>
        </w:rPr>
        <w:t>“</w:t>
      </w:r>
      <w:r w:rsidRPr="001B7209">
        <w:rPr>
          <w:rFonts w:ascii="Century Gothic" w:hAnsi="Century Gothic" w:cs="Arial"/>
          <w:sz w:val="18"/>
          <w:szCs w:val="18"/>
        </w:rPr>
        <w:t>Artículo 2.2.1.1.2.4.1.</w:t>
      </w:r>
      <w:r w:rsidRPr="001B7209">
        <w:rPr>
          <w:rFonts w:ascii="Century Gothic" w:hAnsi="Century Gothic" w:cs="Arial"/>
          <w:i/>
          <w:sz w:val="18"/>
          <w:szCs w:val="18"/>
        </w:rPr>
        <w:t> </w:t>
      </w:r>
      <w:r w:rsidRPr="001B7209">
        <w:rPr>
          <w:rFonts w:ascii="Century Gothic" w:hAnsi="Century Gothic" w:cs="Arial"/>
          <w:sz w:val="18"/>
          <w:szCs w:val="18"/>
        </w:rPr>
        <w:t>Patrimonio autónomo para el manejo de anticipos.</w:t>
      </w:r>
      <w:r w:rsidRPr="001B7209">
        <w:rPr>
          <w:rFonts w:ascii="Century Gothic" w:hAnsi="Century Gothic" w:cs="Arial"/>
          <w:i/>
          <w:sz w:val="18"/>
          <w:szCs w:val="18"/>
        </w:rPr>
        <w:t> </w:t>
      </w:r>
      <w:r w:rsidRPr="001B7209">
        <w:rPr>
          <w:rFonts w:ascii="Century Gothic" w:hAnsi="Century Gothic" w:cs="Arial"/>
          <w:sz w:val="18"/>
          <w:szCs w:val="18"/>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758436CA" w14:textId="406F82E1" w:rsidR="00E271CA" w:rsidRPr="001B7209" w:rsidRDefault="00E271CA" w:rsidP="00A40F1C">
      <w:pPr>
        <w:pStyle w:val="NormalWeb"/>
        <w:shd w:val="clear" w:color="auto" w:fill="FFFFFF"/>
        <w:spacing w:before="0" w:beforeAutospacing="0" w:after="0" w:afterAutospacing="0"/>
        <w:ind w:firstLine="709"/>
        <w:jc w:val="both"/>
        <w:rPr>
          <w:rFonts w:ascii="Century Gothic" w:hAnsi="Century Gothic" w:cs="Arial"/>
          <w:sz w:val="18"/>
          <w:szCs w:val="18"/>
        </w:rPr>
      </w:pPr>
      <w:r w:rsidRPr="001B7209">
        <w:rPr>
          <w:rFonts w:ascii="Century Gothic" w:hAnsi="Century Gothic" w:cs="Arial"/>
          <w:sz w:val="18"/>
          <w:szCs w:val="18"/>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6C36D978" w14:textId="10FCC164" w:rsidR="00E271CA" w:rsidRPr="001B7209" w:rsidRDefault="00E271CA" w:rsidP="00A40F1C">
      <w:pPr>
        <w:pStyle w:val="NormalWeb"/>
        <w:shd w:val="clear" w:color="auto" w:fill="FFFFFF"/>
        <w:spacing w:before="0" w:beforeAutospacing="0" w:after="0" w:afterAutospacing="0"/>
        <w:ind w:firstLine="709"/>
        <w:jc w:val="both"/>
        <w:rPr>
          <w:rFonts w:ascii="Century Gothic" w:hAnsi="Century Gothic" w:cs="Arial"/>
          <w:sz w:val="18"/>
          <w:szCs w:val="18"/>
        </w:rPr>
      </w:pPr>
      <w:r w:rsidRPr="001B7209">
        <w:rPr>
          <w:rFonts w:ascii="Century Gothic" w:hAnsi="Century Gothic" w:cs="Arial"/>
          <w:sz w:val="18"/>
          <w:szCs w:val="18"/>
        </w:rPr>
        <w:t>En los pliegos de condiciones, la Entidad Estatal debe establecer los términos y condiciones de la administración del anticipo a través del patrimonio autónomo.</w:t>
      </w:r>
    </w:p>
    <w:p w14:paraId="66BB247B" w14:textId="4BACA458" w:rsidR="00E271CA" w:rsidRPr="001B7209" w:rsidRDefault="00E271CA" w:rsidP="00A40F1C">
      <w:pPr>
        <w:pStyle w:val="NormalWeb"/>
        <w:shd w:val="clear" w:color="auto" w:fill="FFFFFF"/>
        <w:spacing w:before="0" w:beforeAutospacing="0" w:after="0" w:afterAutospacing="0"/>
        <w:ind w:firstLine="709"/>
        <w:jc w:val="both"/>
        <w:rPr>
          <w:rFonts w:ascii="Century Gothic" w:hAnsi="Century Gothic" w:cs="Arial"/>
          <w:sz w:val="18"/>
          <w:szCs w:val="18"/>
        </w:rPr>
      </w:pPr>
      <w:r w:rsidRPr="001B7209">
        <w:rPr>
          <w:rFonts w:ascii="Century Gothic" w:hAnsi="Century Gothic" w:cs="Arial"/>
          <w:sz w:val="18"/>
          <w:szCs w:val="18"/>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sidR="00A40F1C" w:rsidRPr="001B7209">
        <w:rPr>
          <w:rFonts w:ascii="Century Gothic" w:eastAsia="Calibri" w:hAnsi="Century Gothic" w:cs="Arial"/>
          <w:sz w:val="18"/>
          <w:szCs w:val="18"/>
        </w:rPr>
        <w:t>”</w:t>
      </w:r>
      <w:r w:rsidRPr="001B7209">
        <w:rPr>
          <w:rFonts w:ascii="Century Gothic" w:eastAsia="Calibri" w:hAnsi="Century Gothic" w:cs="Arial"/>
          <w:sz w:val="18"/>
          <w:szCs w:val="18"/>
        </w:rPr>
        <w:t>.</w:t>
      </w:r>
    </w:p>
  </w:footnote>
  <w:footnote w:id="14">
    <w:p w14:paraId="34737207" w14:textId="77777777" w:rsidR="00E271CA" w:rsidRPr="001B7209" w:rsidRDefault="00E271CA" w:rsidP="00A40F1C">
      <w:pPr>
        <w:pStyle w:val="Textonotapie"/>
        <w:ind w:firstLine="709"/>
        <w:jc w:val="both"/>
        <w:rPr>
          <w:rFonts w:ascii="Century Gothic" w:hAnsi="Century Gothic" w:cs="Arial"/>
          <w:sz w:val="18"/>
          <w:szCs w:val="18"/>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Sobre el particular, se puede consultar la exposición de motivos de la Ley 1474 de 2011, Gaceta 607 del 2010, disponible en:  </w:t>
      </w:r>
      <w:hyperlink r:id="rId2" w:history="1">
        <w:r w:rsidRPr="001B7209">
          <w:rPr>
            <w:rStyle w:val="Hipervnculo"/>
            <w:rFonts w:ascii="Century Gothic" w:hAnsi="Century Gothic" w:cs="Arial"/>
            <w:sz w:val="18"/>
            <w:szCs w:val="18"/>
          </w:rPr>
          <w:t>http://svrpubindc.imprenta.gov.co/senado/index.xhtml;jsessionid=b3ba7213a248bacd37376ffcedca</w:t>
        </w:r>
      </w:hyperlink>
      <w:r w:rsidRPr="001B7209">
        <w:rPr>
          <w:rStyle w:val="Hipervnculo"/>
          <w:rFonts w:ascii="Century Gothic" w:hAnsi="Century Gothic" w:cs="Arial"/>
          <w:sz w:val="18"/>
          <w:szCs w:val="18"/>
        </w:rPr>
        <w:t xml:space="preserve"> </w:t>
      </w:r>
      <w:r w:rsidRPr="001B7209">
        <w:rPr>
          <w:rFonts w:ascii="Century Gothic" w:hAnsi="Century Gothic" w:cs="Arial"/>
          <w:sz w:val="18"/>
          <w:szCs w:val="18"/>
        </w:rPr>
        <w:t xml:space="preserve"> </w:t>
      </w:r>
    </w:p>
  </w:footnote>
  <w:footnote w:id="15">
    <w:p w14:paraId="4BEA4D3C" w14:textId="77777777" w:rsidR="00E271CA" w:rsidRPr="001B7209" w:rsidRDefault="00E271CA" w:rsidP="00A40F1C">
      <w:pPr>
        <w:pStyle w:val="Sinespaciado"/>
        <w:ind w:firstLine="708"/>
        <w:jc w:val="both"/>
        <w:rPr>
          <w:rFonts w:ascii="Century Gothic" w:hAnsi="Century Gothic" w:cs="Arial"/>
          <w:sz w:val="18"/>
          <w:szCs w:val="18"/>
          <w:lang w:val="es-ES"/>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w:t>
      </w:r>
      <w:r w:rsidRPr="001B7209">
        <w:rPr>
          <w:rFonts w:ascii="Century Gothic" w:hAnsi="Century Gothic" w:cs="Arial"/>
          <w:sz w:val="18"/>
          <w:szCs w:val="18"/>
          <w:lang w:val="es-ES"/>
        </w:rPr>
        <w:t xml:space="preserve">La Guía para el manejo de anticipos mediante contrato de fiducia irrevocable puede ser consultada en: </w:t>
      </w:r>
      <w:hyperlink r:id="rId3" w:history="1">
        <w:r w:rsidRPr="001B7209">
          <w:rPr>
            <w:rStyle w:val="Hipervnculo"/>
            <w:rFonts w:ascii="Century Gothic" w:hAnsi="Century Gothic" w:cs="Arial"/>
            <w:sz w:val="18"/>
            <w:szCs w:val="18"/>
            <w:lang w:val="es-ES"/>
          </w:rPr>
          <w:t>https://www.colombiacompra.gov.co/sites/cce_public/files/cce_documents/cce_guia_manejo_anticipos.pdf</w:t>
        </w:r>
      </w:hyperlink>
      <w:r w:rsidRPr="001B7209">
        <w:rPr>
          <w:rFonts w:ascii="Century Gothic" w:hAnsi="Century Gothic" w:cs="Arial"/>
          <w:sz w:val="18"/>
          <w:szCs w:val="18"/>
          <w:lang w:val="es-ES"/>
        </w:rPr>
        <w:t xml:space="preserve"> </w:t>
      </w:r>
    </w:p>
  </w:footnote>
  <w:footnote w:id="16">
    <w:p w14:paraId="29633C26" w14:textId="0AC80841" w:rsidR="007C6805" w:rsidRPr="001B7209" w:rsidRDefault="007C6805" w:rsidP="00212A11">
      <w:pPr>
        <w:pStyle w:val="Textonotapie"/>
        <w:ind w:firstLine="708"/>
        <w:jc w:val="both"/>
        <w:rPr>
          <w:rFonts w:ascii="Century Gothic" w:hAnsi="Century Gothic" w:cs="Arial"/>
          <w:sz w:val="18"/>
          <w:szCs w:val="18"/>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Ver concepto C-003 de 13 de marzo de 2023 emitido por la ANCP-CCE</w:t>
      </w:r>
    </w:p>
  </w:footnote>
  <w:footnote w:id="17">
    <w:p w14:paraId="76A1D6B4" w14:textId="5EF8FD4C" w:rsidR="00E271CA" w:rsidRPr="001B7209" w:rsidRDefault="00E271CA" w:rsidP="00A40F1C">
      <w:pPr>
        <w:pStyle w:val="Textonotapie"/>
        <w:ind w:firstLine="708"/>
        <w:jc w:val="both"/>
        <w:rPr>
          <w:rFonts w:ascii="Century Gothic" w:hAnsi="Century Gothic" w:cs="Arial"/>
          <w:sz w:val="18"/>
          <w:szCs w:val="18"/>
          <w:lang w:val="es-ES_tradnl"/>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Ver también, F. SAVIGNY, </w:t>
      </w:r>
      <w:r w:rsidR="00487FE9" w:rsidRPr="001B7209">
        <w:rPr>
          <w:rFonts w:ascii="Century Gothic" w:hAnsi="Century Gothic" w:cs="Arial"/>
          <w:i/>
          <w:sz w:val="18"/>
          <w:szCs w:val="18"/>
        </w:rPr>
        <w:t>“</w:t>
      </w:r>
      <w:r w:rsidRPr="001B7209">
        <w:rPr>
          <w:rFonts w:ascii="Century Gothic" w:hAnsi="Century Gothic" w:cs="Arial"/>
          <w:i/>
          <w:sz w:val="18"/>
          <w:szCs w:val="18"/>
        </w:rPr>
        <w:t>Sistema del derecho romano actual</w:t>
      </w:r>
      <w:r w:rsidR="00A40F1C" w:rsidRPr="001B7209">
        <w:rPr>
          <w:rFonts w:ascii="Century Gothic" w:hAnsi="Century Gothic" w:cs="Arial"/>
          <w:i/>
          <w:sz w:val="18"/>
          <w:szCs w:val="18"/>
        </w:rPr>
        <w:t>”</w:t>
      </w:r>
      <w:r w:rsidRPr="001B7209">
        <w:rPr>
          <w:rFonts w:ascii="Century Gothic" w:hAnsi="Century Gothic" w:cs="Arial"/>
          <w:i/>
          <w:sz w:val="18"/>
          <w:szCs w:val="18"/>
        </w:rPr>
        <w:t>,</w:t>
      </w:r>
      <w:r w:rsidRPr="001B7209">
        <w:rPr>
          <w:rFonts w:ascii="Century Gothic" w:hAnsi="Century Gothic" w:cs="Arial"/>
          <w:sz w:val="18"/>
          <w:szCs w:val="18"/>
        </w:rPr>
        <w:t xml:space="preserve"> referente en torno a la interpretación de la Ley, específicamente cuando señala: </w:t>
      </w:r>
      <w:r w:rsidR="00487FE9" w:rsidRPr="001B7209">
        <w:rPr>
          <w:rFonts w:ascii="Century Gothic" w:hAnsi="Century Gothic" w:cs="Arial"/>
          <w:sz w:val="18"/>
          <w:szCs w:val="18"/>
        </w:rPr>
        <w:t>“</w:t>
      </w:r>
      <w:r w:rsidRPr="001B7209">
        <w:rPr>
          <w:rFonts w:ascii="Century Gothic" w:hAnsi="Century Gothic" w:cs="Arial"/>
          <w:sz w:val="18"/>
          <w:szCs w:val="18"/>
        </w:rPr>
        <w:t xml:space="preserve">Se notará, por lo dicho hasta ahora, la interpretación de la Ley en dada difiere de la interpretación de cualquier otro pensamiento expresado por el lenguaje </w:t>
      </w:r>
      <w:r w:rsidRPr="001B7209">
        <w:rPr>
          <w:rFonts w:ascii="Century Gothic" w:hAnsi="Century Gothic" w:cs="Arial"/>
          <w:sz w:val="18"/>
          <w:szCs w:val="18"/>
          <w:lang w:val="es-ES_tradnl"/>
        </w:rPr>
        <w:t>[…]</w:t>
      </w:r>
      <w:r w:rsidRPr="001B7209">
        <w:rPr>
          <w:rFonts w:ascii="Century Gothic" w:hAnsi="Century Gothic" w:cs="Arial"/>
          <w:color w:val="000000" w:themeColor="text1"/>
          <w:sz w:val="18"/>
          <w:szCs w:val="18"/>
          <w:lang w:val="es-ES_tradnl"/>
        </w:rPr>
        <w:t xml:space="preserve"> Cuatro elementos se distinguen en ella, a saber: el gramatical, el lógico, el histórico y el sistemático.</w:t>
      </w:r>
      <w:r w:rsidRPr="001B7209">
        <w:rPr>
          <w:rFonts w:ascii="Century Gothic" w:hAnsi="Century Gothic" w:cs="Arial"/>
          <w:sz w:val="18"/>
          <w:szCs w:val="18"/>
          <w:lang w:val="es-ES_tradnl"/>
        </w:rPr>
        <w:t xml:space="preserve"> […] El estudio de estos cuatro elementos agota el contenido de la Ley.</w:t>
      </w:r>
    </w:p>
  </w:footnote>
  <w:footnote w:id="18">
    <w:p w14:paraId="39B6A469" w14:textId="77777777" w:rsidR="00E271CA" w:rsidRPr="001B7209" w:rsidRDefault="00E271CA" w:rsidP="00A40F1C">
      <w:pPr>
        <w:pStyle w:val="Textonotapie"/>
        <w:ind w:firstLine="708"/>
        <w:jc w:val="both"/>
        <w:rPr>
          <w:rFonts w:ascii="Century Gothic" w:hAnsi="Century Gothic" w:cs="Arial"/>
          <w:sz w:val="18"/>
          <w:szCs w:val="18"/>
          <w:lang w:val="es-CO"/>
        </w:rPr>
      </w:pPr>
      <w:r w:rsidRPr="001B7209">
        <w:rPr>
          <w:rStyle w:val="Refdenotaalpie"/>
          <w:rFonts w:ascii="Century Gothic" w:hAnsi="Century Gothic" w:cs="Arial"/>
          <w:sz w:val="18"/>
          <w:szCs w:val="18"/>
        </w:rPr>
        <w:footnoteRef/>
      </w:r>
      <w:r w:rsidRPr="001B7209">
        <w:rPr>
          <w:rFonts w:ascii="Century Gothic" w:hAnsi="Century Gothic" w:cs="Arial"/>
          <w:sz w:val="18"/>
          <w:szCs w:val="18"/>
        </w:rPr>
        <w:t xml:space="preserve"> </w:t>
      </w:r>
      <w:r w:rsidRPr="001B7209">
        <w:rPr>
          <w:rStyle w:val="baj"/>
          <w:rFonts w:ascii="Century Gothic" w:hAnsi="Century Gothic" w:cs="Arial"/>
          <w:sz w:val="18"/>
          <w:szCs w:val="18"/>
        </w:rPr>
        <w:t>Ley 84 de 1873, artículo 27 y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2AE016A"/>
    <w:multiLevelType w:val="multilevel"/>
    <w:tmpl w:val="96C69084"/>
    <w:lvl w:ilvl="0">
      <w:start w:val="1"/>
      <w:numFmt w:val="decimal"/>
      <w:lvlText w:val="%1."/>
      <w:lvlJc w:val="left"/>
      <w:pPr>
        <w:ind w:left="585" w:hanging="285"/>
      </w:pPr>
      <w:rPr>
        <w:rFonts w:ascii="Arial" w:eastAsia="Arial" w:hAnsi="Arial" w:cs="Arial" w:hint="default"/>
        <w:b/>
        <w:bCs/>
        <w:color w:val="auto"/>
        <w:spacing w:val="-21"/>
        <w:w w:val="100"/>
        <w:sz w:val="22"/>
        <w:szCs w:val="22"/>
        <w:lang w:val="es-ES" w:eastAsia="en-US" w:bidi="ar-SA"/>
      </w:rPr>
    </w:lvl>
    <w:lvl w:ilvl="1">
      <w:start w:val="1"/>
      <w:numFmt w:val="decimal"/>
      <w:lvlText w:val="%1.%2."/>
      <w:lvlJc w:val="left"/>
      <w:pPr>
        <w:ind w:left="725" w:hanging="425"/>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700" w:hanging="425"/>
      </w:pPr>
      <w:rPr>
        <w:rFonts w:hint="default"/>
        <w:lang w:val="es-ES" w:eastAsia="en-US" w:bidi="ar-SA"/>
      </w:rPr>
    </w:lvl>
    <w:lvl w:ilvl="3">
      <w:numFmt w:val="bullet"/>
      <w:lvlText w:val="•"/>
      <w:lvlJc w:val="left"/>
      <w:pPr>
        <w:ind w:left="2680" w:hanging="425"/>
      </w:pPr>
      <w:rPr>
        <w:rFonts w:hint="default"/>
        <w:lang w:val="es-ES" w:eastAsia="en-US" w:bidi="ar-SA"/>
      </w:rPr>
    </w:lvl>
    <w:lvl w:ilvl="4">
      <w:numFmt w:val="bullet"/>
      <w:lvlText w:val="•"/>
      <w:lvlJc w:val="left"/>
      <w:pPr>
        <w:ind w:left="3660" w:hanging="425"/>
      </w:pPr>
      <w:rPr>
        <w:rFonts w:hint="default"/>
        <w:lang w:val="es-ES" w:eastAsia="en-US" w:bidi="ar-SA"/>
      </w:rPr>
    </w:lvl>
    <w:lvl w:ilvl="5">
      <w:numFmt w:val="bullet"/>
      <w:lvlText w:val="•"/>
      <w:lvlJc w:val="left"/>
      <w:pPr>
        <w:ind w:left="4640" w:hanging="425"/>
      </w:pPr>
      <w:rPr>
        <w:rFonts w:hint="default"/>
        <w:lang w:val="es-ES" w:eastAsia="en-US" w:bidi="ar-SA"/>
      </w:rPr>
    </w:lvl>
    <w:lvl w:ilvl="6">
      <w:numFmt w:val="bullet"/>
      <w:lvlText w:val="•"/>
      <w:lvlJc w:val="left"/>
      <w:pPr>
        <w:ind w:left="5620" w:hanging="425"/>
      </w:pPr>
      <w:rPr>
        <w:rFonts w:hint="default"/>
        <w:lang w:val="es-ES" w:eastAsia="en-US" w:bidi="ar-SA"/>
      </w:rPr>
    </w:lvl>
    <w:lvl w:ilvl="7">
      <w:numFmt w:val="bullet"/>
      <w:lvlText w:val="•"/>
      <w:lvlJc w:val="left"/>
      <w:pPr>
        <w:ind w:left="6600" w:hanging="425"/>
      </w:pPr>
      <w:rPr>
        <w:rFonts w:hint="default"/>
        <w:lang w:val="es-ES" w:eastAsia="en-US" w:bidi="ar-SA"/>
      </w:rPr>
    </w:lvl>
    <w:lvl w:ilvl="8">
      <w:numFmt w:val="bullet"/>
      <w:lvlText w:val="•"/>
      <w:lvlJc w:val="left"/>
      <w:pPr>
        <w:ind w:left="7580" w:hanging="425"/>
      </w:pPr>
      <w:rPr>
        <w:rFonts w:hint="default"/>
        <w:lang w:val="es-ES" w:eastAsia="en-US" w:bidi="ar-SA"/>
      </w:r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 w:numId="6" w16cid:durableId="12598274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514"/>
    <w:rsid w:val="00022AB4"/>
    <w:rsid w:val="00023322"/>
    <w:rsid w:val="000548F2"/>
    <w:rsid w:val="0009141C"/>
    <w:rsid w:val="000942C7"/>
    <w:rsid w:val="000A0373"/>
    <w:rsid w:val="000A683E"/>
    <w:rsid w:val="000A6A18"/>
    <w:rsid w:val="000A7E3B"/>
    <w:rsid w:val="000B19B9"/>
    <w:rsid w:val="000C0B05"/>
    <w:rsid w:val="000C2D09"/>
    <w:rsid w:val="000D0334"/>
    <w:rsid w:val="000D7D82"/>
    <w:rsid w:val="000E0C54"/>
    <w:rsid w:val="000F6486"/>
    <w:rsid w:val="00125105"/>
    <w:rsid w:val="001268D0"/>
    <w:rsid w:val="00127233"/>
    <w:rsid w:val="0013118D"/>
    <w:rsid w:val="00132EB1"/>
    <w:rsid w:val="001429AA"/>
    <w:rsid w:val="00143AE3"/>
    <w:rsid w:val="001922C8"/>
    <w:rsid w:val="001A44E3"/>
    <w:rsid w:val="001B7209"/>
    <w:rsid w:val="001E4177"/>
    <w:rsid w:val="001F09ED"/>
    <w:rsid w:val="00203F35"/>
    <w:rsid w:val="00212A11"/>
    <w:rsid w:val="002663AF"/>
    <w:rsid w:val="00294204"/>
    <w:rsid w:val="002951A0"/>
    <w:rsid w:val="002962BC"/>
    <w:rsid w:val="002A093D"/>
    <w:rsid w:val="002A49AC"/>
    <w:rsid w:val="002A5AAC"/>
    <w:rsid w:val="002A64FD"/>
    <w:rsid w:val="002B752F"/>
    <w:rsid w:val="002C3309"/>
    <w:rsid w:val="002C7A84"/>
    <w:rsid w:val="002F3B24"/>
    <w:rsid w:val="00333093"/>
    <w:rsid w:val="003448F4"/>
    <w:rsid w:val="00381686"/>
    <w:rsid w:val="00385D6A"/>
    <w:rsid w:val="003A779E"/>
    <w:rsid w:val="003B4723"/>
    <w:rsid w:val="003D0F4D"/>
    <w:rsid w:val="003E0499"/>
    <w:rsid w:val="003F3941"/>
    <w:rsid w:val="00400548"/>
    <w:rsid w:val="00411625"/>
    <w:rsid w:val="00412E47"/>
    <w:rsid w:val="004171F3"/>
    <w:rsid w:val="00417223"/>
    <w:rsid w:val="004516B3"/>
    <w:rsid w:val="004703C9"/>
    <w:rsid w:val="00487FE9"/>
    <w:rsid w:val="004A1847"/>
    <w:rsid w:val="004A305D"/>
    <w:rsid w:val="004C0122"/>
    <w:rsid w:val="004C04C8"/>
    <w:rsid w:val="004D14F6"/>
    <w:rsid w:val="004F21C4"/>
    <w:rsid w:val="004F685F"/>
    <w:rsid w:val="0051765B"/>
    <w:rsid w:val="00521D71"/>
    <w:rsid w:val="00526662"/>
    <w:rsid w:val="005566E8"/>
    <w:rsid w:val="00574867"/>
    <w:rsid w:val="005A2F91"/>
    <w:rsid w:val="005C476F"/>
    <w:rsid w:val="005C5CDC"/>
    <w:rsid w:val="005D476C"/>
    <w:rsid w:val="006219F8"/>
    <w:rsid w:val="00647468"/>
    <w:rsid w:val="00662D2F"/>
    <w:rsid w:val="00665D70"/>
    <w:rsid w:val="00670815"/>
    <w:rsid w:val="00694AA7"/>
    <w:rsid w:val="00695943"/>
    <w:rsid w:val="006A12E9"/>
    <w:rsid w:val="006A5F5B"/>
    <w:rsid w:val="00706C16"/>
    <w:rsid w:val="00710422"/>
    <w:rsid w:val="00732A1B"/>
    <w:rsid w:val="007351B0"/>
    <w:rsid w:val="00756841"/>
    <w:rsid w:val="007649AB"/>
    <w:rsid w:val="007833AC"/>
    <w:rsid w:val="007B7171"/>
    <w:rsid w:val="007C3DC2"/>
    <w:rsid w:val="007C6805"/>
    <w:rsid w:val="007D23B3"/>
    <w:rsid w:val="007D32E6"/>
    <w:rsid w:val="007E5497"/>
    <w:rsid w:val="007E558C"/>
    <w:rsid w:val="007F4E5C"/>
    <w:rsid w:val="00806F5F"/>
    <w:rsid w:val="00817107"/>
    <w:rsid w:val="00820278"/>
    <w:rsid w:val="00842138"/>
    <w:rsid w:val="008843B6"/>
    <w:rsid w:val="00891928"/>
    <w:rsid w:val="008A446D"/>
    <w:rsid w:val="008C12C6"/>
    <w:rsid w:val="008C4A72"/>
    <w:rsid w:val="008F0EA7"/>
    <w:rsid w:val="0091288E"/>
    <w:rsid w:val="00922F0B"/>
    <w:rsid w:val="00923EEF"/>
    <w:rsid w:val="009419F9"/>
    <w:rsid w:val="00961B09"/>
    <w:rsid w:val="00965334"/>
    <w:rsid w:val="0097093E"/>
    <w:rsid w:val="00973869"/>
    <w:rsid w:val="00983A7B"/>
    <w:rsid w:val="009C71FA"/>
    <w:rsid w:val="009C72E7"/>
    <w:rsid w:val="009F06BD"/>
    <w:rsid w:val="009F6A1E"/>
    <w:rsid w:val="00A0454D"/>
    <w:rsid w:val="00A04C37"/>
    <w:rsid w:val="00A17F13"/>
    <w:rsid w:val="00A20739"/>
    <w:rsid w:val="00A33C78"/>
    <w:rsid w:val="00A40F1C"/>
    <w:rsid w:val="00A80FC7"/>
    <w:rsid w:val="00A87575"/>
    <w:rsid w:val="00A94912"/>
    <w:rsid w:val="00AB0ADB"/>
    <w:rsid w:val="00AE25BE"/>
    <w:rsid w:val="00AE2CF4"/>
    <w:rsid w:val="00B72CD3"/>
    <w:rsid w:val="00B72FFF"/>
    <w:rsid w:val="00B7539B"/>
    <w:rsid w:val="00B91438"/>
    <w:rsid w:val="00BC16CD"/>
    <w:rsid w:val="00BD7F72"/>
    <w:rsid w:val="00BE1D1B"/>
    <w:rsid w:val="00BE6367"/>
    <w:rsid w:val="00C01198"/>
    <w:rsid w:val="00C04FB3"/>
    <w:rsid w:val="00C26905"/>
    <w:rsid w:val="00C330EB"/>
    <w:rsid w:val="00C424CA"/>
    <w:rsid w:val="00C754BE"/>
    <w:rsid w:val="00C75F75"/>
    <w:rsid w:val="00C8408B"/>
    <w:rsid w:val="00C95736"/>
    <w:rsid w:val="00CB6357"/>
    <w:rsid w:val="00CC1B26"/>
    <w:rsid w:val="00CC4E77"/>
    <w:rsid w:val="00CC7945"/>
    <w:rsid w:val="00CD17DC"/>
    <w:rsid w:val="00CF0ECD"/>
    <w:rsid w:val="00CF69B9"/>
    <w:rsid w:val="00D21DB1"/>
    <w:rsid w:val="00D423A2"/>
    <w:rsid w:val="00D42B22"/>
    <w:rsid w:val="00D63AC2"/>
    <w:rsid w:val="00D7383B"/>
    <w:rsid w:val="00D74B52"/>
    <w:rsid w:val="00DA231B"/>
    <w:rsid w:val="00DB0FD2"/>
    <w:rsid w:val="00DF4C12"/>
    <w:rsid w:val="00E043FE"/>
    <w:rsid w:val="00E16408"/>
    <w:rsid w:val="00E20894"/>
    <w:rsid w:val="00E245AB"/>
    <w:rsid w:val="00E271CA"/>
    <w:rsid w:val="00E37F0A"/>
    <w:rsid w:val="00E50AFE"/>
    <w:rsid w:val="00E571E0"/>
    <w:rsid w:val="00E771DC"/>
    <w:rsid w:val="00E8408F"/>
    <w:rsid w:val="00E849BC"/>
    <w:rsid w:val="00E8772A"/>
    <w:rsid w:val="00E90F6B"/>
    <w:rsid w:val="00E92C27"/>
    <w:rsid w:val="00EA0E3D"/>
    <w:rsid w:val="00EA443C"/>
    <w:rsid w:val="00EA5100"/>
    <w:rsid w:val="00EC6E26"/>
    <w:rsid w:val="00EE1AA8"/>
    <w:rsid w:val="00F02D29"/>
    <w:rsid w:val="00F045BF"/>
    <w:rsid w:val="00F204AB"/>
    <w:rsid w:val="00F31EDC"/>
    <w:rsid w:val="00F5664F"/>
    <w:rsid w:val="00F64F2B"/>
    <w:rsid w:val="00F76AFC"/>
    <w:rsid w:val="00F81F9B"/>
    <w:rsid w:val="00FB1245"/>
    <w:rsid w:val="00FB5DD1"/>
    <w:rsid w:val="00FC2B5D"/>
    <w:rsid w:val="00FC6D5B"/>
    <w:rsid w:val="00FE5538"/>
    <w:rsid w:val="00FF1449"/>
    <w:rsid w:val="00FF1753"/>
    <w:rsid w:val="5411EC76"/>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E271CA"/>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Ttulo1Car">
    <w:name w:val="Título 1 Car"/>
    <w:basedOn w:val="Fuentedeprrafopredeter"/>
    <w:link w:val="Ttulo1"/>
    <w:uiPriority w:val="9"/>
    <w:rsid w:val="00E271CA"/>
    <w:rPr>
      <w:rFonts w:ascii="Arial" w:eastAsia="Arial" w:hAnsi="Arial" w:cs="Arial"/>
      <w:b/>
      <w:bCs/>
      <w:lang w:val="es-ES"/>
    </w:rPr>
  </w:style>
  <w:style w:type="paragraph" w:customStyle="1" w:styleId="Appelnotedebasde">
    <w:name w:val="Appel note de bas de..."/>
    <w:basedOn w:val="Normal"/>
    <w:link w:val="Refdenotaalpie"/>
    <w:rsid w:val="00E271CA"/>
    <w:pPr>
      <w:spacing w:line="240" w:lineRule="exact"/>
      <w:jc w:val="both"/>
    </w:pPr>
    <w:rPr>
      <w:vertAlign w:val="superscript"/>
    </w:rPr>
  </w:style>
  <w:style w:type="paragraph" w:styleId="Textoindependiente">
    <w:name w:val="Body Text"/>
    <w:basedOn w:val="Normal"/>
    <w:link w:val="TextoindependienteCar"/>
    <w:uiPriority w:val="99"/>
    <w:semiHidden/>
    <w:unhideWhenUsed/>
    <w:rsid w:val="00E271C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E271CA"/>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E271C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E271CA"/>
    <w:rPr>
      <w:rFonts w:ascii="Times New Roman" w:eastAsia="Times New Roman" w:hAnsi="Times New Roman" w:cs="Times New Roman"/>
      <w:sz w:val="24"/>
      <w:szCs w:val="24"/>
      <w:lang w:eastAsia="es-CO"/>
    </w:rPr>
  </w:style>
  <w:style w:type="paragraph" w:styleId="Sinespaciado">
    <w:name w:val="No Spacing"/>
    <w:aliases w:val="No Indent"/>
    <w:link w:val="SinespaciadoCar"/>
    <w:uiPriority w:val="1"/>
    <w:qFormat/>
    <w:rsid w:val="00E271CA"/>
    <w:pPr>
      <w:spacing w:after="0" w:line="240" w:lineRule="auto"/>
    </w:pPr>
    <w:rPr>
      <w:sz w:val="24"/>
      <w:lang w:val="es-MX"/>
    </w:rPr>
  </w:style>
  <w:style w:type="character" w:customStyle="1" w:styleId="SinespaciadoCar">
    <w:name w:val="Sin espaciado Car"/>
    <w:aliases w:val="No Indent Car"/>
    <w:link w:val="Sinespaciado"/>
    <w:uiPriority w:val="1"/>
    <w:rsid w:val="00E271CA"/>
    <w:rPr>
      <w:sz w:val="24"/>
      <w:lang w:val="es-MX"/>
    </w:rPr>
  </w:style>
  <w:style w:type="character" w:customStyle="1" w:styleId="baj">
    <w:name w:val="b_aj"/>
    <w:basedOn w:val="Fuentedeprrafopredeter"/>
    <w:rsid w:val="00E271CA"/>
  </w:style>
  <w:style w:type="paragraph" w:styleId="Revisin">
    <w:name w:val="Revision"/>
    <w:hidden/>
    <w:uiPriority w:val="99"/>
    <w:semiHidden/>
    <w:rsid w:val="00E849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8950">
      <w:bodyDiv w:val="1"/>
      <w:marLeft w:val="0"/>
      <w:marRight w:val="0"/>
      <w:marTop w:val="0"/>
      <w:marBottom w:val="0"/>
      <w:divBdr>
        <w:top w:val="none" w:sz="0" w:space="0" w:color="auto"/>
        <w:left w:val="none" w:sz="0" w:space="0" w:color="auto"/>
        <w:bottom w:val="none" w:sz="0" w:space="0" w:color="auto"/>
        <w:right w:val="none" w:sz="0" w:space="0" w:color="auto"/>
      </w:divBdr>
      <w:divsChild>
        <w:div w:id="30154174">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sites/cce_public/files/cce_documents/cce_guia_manejo_anticipos.pdf" TargetMode="External"/><Relationship Id="rId2" Type="http://schemas.openxmlformats.org/officeDocument/2006/relationships/hyperlink" Target="http://svrpubindc.imprenta.gov.co/senado/index.xhtml;jsessionid=b3ba7213a248bacd37376ffcedca"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549B4-7608-4DF6-8DBC-460F1F47F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846AEA4-E2D6-4058-88E0-9D436ED70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5488</Words>
  <Characters>30190</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2023-11-14T20:48:00Z</dcterms:created>
  <dcterms:modified xsi:type="dcterms:W3CDTF">2023-11-14T20:48:00Z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