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593851" w14:textId="77777777" w:rsidR="00FF786B" w:rsidRPr="00F86AD5" w:rsidRDefault="00FF786B" w:rsidP="00033B5B">
      <w:pPr>
        <w:spacing w:before="120" w:after="0" w:line="276" w:lineRule="auto"/>
        <w:jc w:val="both"/>
        <w:textAlignment w:val="baseline"/>
        <w:rPr>
          <w:rFonts w:ascii="Verdana" w:hAnsi="Verdana"/>
          <w:b/>
          <w:bCs/>
        </w:rPr>
      </w:pPr>
      <w:bookmarkStart w:id="0" w:name="_Hlk143780582"/>
      <w:r w:rsidRPr="00F86AD5">
        <w:rPr>
          <w:rFonts w:ascii="Verdana" w:hAnsi="Verdana"/>
          <w:b/>
          <w:bCs/>
        </w:rPr>
        <w:t xml:space="preserve">CESIÓN DEL CONTRATO ESTATAL – Noción  </w:t>
      </w:r>
    </w:p>
    <w:p w14:paraId="75D247ED" w14:textId="77777777" w:rsidR="00033B5B" w:rsidRPr="00F86AD5" w:rsidRDefault="00033B5B" w:rsidP="00033B5B">
      <w:pPr>
        <w:spacing w:after="20" w:line="276" w:lineRule="auto"/>
        <w:jc w:val="both"/>
        <w:rPr>
          <w:rFonts w:ascii="Verdana" w:hAnsi="Verdana" w:cs="Arial"/>
          <w:color w:val="000000" w:themeColor="text1"/>
          <w:sz w:val="20"/>
          <w:szCs w:val="20"/>
          <w:highlight w:val="yellow"/>
          <w:lang w:val="es-ES"/>
        </w:rPr>
      </w:pPr>
    </w:p>
    <w:p w14:paraId="1F1E3A66" w14:textId="77777777" w:rsidR="00F86AD5" w:rsidRPr="00F86AD5" w:rsidRDefault="00F86AD5" w:rsidP="00033B5B">
      <w:pPr>
        <w:spacing w:after="20" w:line="276" w:lineRule="auto"/>
        <w:jc w:val="both"/>
        <w:rPr>
          <w:rFonts w:ascii="Verdana" w:eastAsia="Calibri" w:hAnsi="Verdana" w:cs="Arial"/>
          <w:color w:val="000000" w:themeColor="text1"/>
          <w:sz w:val="20"/>
          <w:szCs w:val="20"/>
          <w:lang w:val="es-ES"/>
        </w:rPr>
      </w:pPr>
      <w:r w:rsidRPr="00F86AD5">
        <w:rPr>
          <w:rFonts w:ascii="Verdana" w:eastAsia="Calibri" w:hAnsi="Verdana" w:cs="Arial"/>
          <w:color w:val="000000" w:themeColor="text1"/>
          <w:sz w:val="20"/>
          <w:szCs w:val="20"/>
          <w:lang w:val="es-ES"/>
        </w:rPr>
        <w:t>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encuentra en la relación con el cedido (…)”. Por otro, “(…) es la transferencia de la posición contractual de un contratante a otro sujeto, que le encuentra en la relación con la contraparte (…)”. De esta manera, concurren tres (3) sujetos: i) el cedente, esto es, el contratista inicial; ii) el cesionario, es decir, quien asume total o parcialmente los derechos y obligaciones de este último; y iii) el cedido que, en el caso de los contratos estatales, sería la entidad suscribiente. 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w:t>
      </w:r>
    </w:p>
    <w:p w14:paraId="65B312B9" w14:textId="77777777" w:rsidR="00F86AD5" w:rsidRPr="00F86AD5" w:rsidRDefault="00F86AD5" w:rsidP="00033B5B">
      <w:pPr>
        <w:spacing w:after="20" w:line="276" w:lineRule="auto"/>
        <w:jc w:val="both"/>
        <w:rPr>
          <w:rFonts w:ascii="Verdana" w:hAnsi="Verdana" w:cs="Arial"/>
          <w:color w:val="000000" w:themeColor="text1"/>
          <w:sz w:val="20"/>
          <w:szCs w:val="20"/>
          <w:highlight w:val="yellow"/>
          <w:lang w:val="es-ES"/>
        </w:rPr>
      </w:pPr>
    </w:p>
    <w:p w14:paraId="21E241D7" w14:textId="77777777" w:rsidR="00033B5B" w:rsidRPr="00F86AD5" w:rsidRDefault="00F86AD5" w:rsidP="00033B5B">
      <w:pPr>
        <w:spacing w:after="20"/>
        <w:jc w:val="both"/>
        <w:rPr>
          <w:rFonts w:ascii="Verdana" w:eastAsia="Calibri" w:hAnsi="Verdana" w:cs="Arial"/>
          <w:b/>
          <w:bCs/>
          <w:lang w:val="es-ES" w:eastAsia="es-ES"/>
        </w:rPr>
      </w:pPr>
      <w:r w:rsidRPr="00F86AD5">
        <w:rPr>
          <w:rFonts w:ascii="Verdana" w:eastAsia="Calibri" w:hAnsi="Verdana" w:cs="Arial"/>
          <w:b/>
          <w:bCs/>
          <w:lang w:val="es-ES" w:eastAsia="es-ES"/>
        </w:rPr>
        <w:t>CESIÓN DEL CONTRATO ESTATAL – Requisitos – Restricciones</w:t>
      </w:r>
    </w:p>
    <w:p w14:paraId="00048789" w14:textId="77777777" w:rsidR="00F86AD5" w:rsidRPr="00F86AD5" w:rsidRDefault="00F86AD5" w:rsidP="00033B5B">
      <w:pPr>
        <w:spacing w:after="20"/>
        <w:jc w:val="both"/>
        <w:rPr>
          <w:rFonts w:ascii="Verdana" w:eastAsia="Calibri" w:hAnsi="Verdana" w:cs="Arial"/>
          <w:b/>
          <w:bCs/>
          <w:sz w:val="20"/>
          <w:szCs w:val="20"/>
          <w:highlight w:val="yellow"/>
          <w:lang w:val="es-ES" w:eastAsia="es-ES"/>
        </w:rPr>
      </w:pPr>
    </w:p>
    <w:p w14:paraId="48D04F9C" w14:textId="77777777" w:rsidR="00F86AD5" w:rsidRPr="00F86AD5" w:rsidRDefault="00F86AD5" w:rsidP="00F86AD5">
      <w:pPr>
        <w:jc w:val="both"/>
        <w:rPr>
          <w:rFonts w:ascii="Verdana" w:eastAsia="Calibri" w:hAnsi="Verdana" w:cs="Arial"/>
          <w:color w:val="000000" w:themeColor="text1"/>
          <w:sz w:val="20"/>
          <w:szCs w:val="20"/>
          <w:lang w:val="es-ES"/>
        </w:rPr>
      </w:pPr>
      <w:r w:rsidRPr="00F86AD5">
        <w:rPr>
          <w:rFonts w:ascii="Verdana" w:eastAsia="Calibri" w:hAnsi="Verdana" w:cs="Arial"/>
          <w:color w:val="000000" w:themeColor="text1"/>
          <w:sz w:val="20"/>
          <w:szCs w:val="20"/>
          <w:lang w:val="es-ES"/>
        </w:rPr>
        <w:t>Por lo demás, el Consejo de Estado ha precisado como requisitos de la cesión del contrato estatal los siguientes: i) debe recaer en un tercero; ii) el cesionario debe tener capacidad jurídica para continuar con la ejecución del objeto contractual y no estar incurso en causales de inhabilidad e incompatibilidad para contratar; y iii) el cesionario debe contar con capacidad técnica, económica y financiera suficientes para el cumplimiento de las obligaciones emanadas del contrato cedido.</w:t>
      </w:r>
    </w:p>
    <w:p w14:paraId="7A8B0064" w14:textId="77777777" w:rsidR="00F86AD5" w:rsidRPr="00F86AD5" w:rsidRDefault="00F86AD5" w:rsidP="00F86AD5">
      <w:pPr>
        <w:jc w:val="both"/>
        <w:rPr>
          <w:rStyle w:val="eop"/>
          <w:rFonts w:ascii="Verdana" w:hAnsi="Verdana"/>
          <w:color w:val="000000"/>
          <w:shd w:val="clear" w:color="auto" w:fill="FFFFFF"/>
        </w:rPr>
      </w:pPr>
      <w:r w:rsidRPr="00F86AD5">
        <w:rPr>
          <w:rStyle w:val="normaltextrun"/>
          <w:rFonts w:ascii="Verdana" w:hAnsi="Verdana"/>
          <w:b/>
          <w:bCs/>
          <w:color w:val="000000"/>
          <w:shd w:val="clear" w:color="auto" w:fill="FFFFFF"/>
          <w:lang w:val="es-ES"/>
        </w:rPr>
        <w:t>CONSORCIOS Y UNIONES TEMPORALES – Ausencia de personería jurídica – falta de capacidad como cesionarios</w:t>
      </w:r>
      <w:r w:rsidRPr="00F86AD5">
        <w:rPr>
          <w:rStyle w:val="eop"/>
          <w:rFonts w:ascii="Verdana" w:hAnsi="Verdana"/>
          <w:color w:val="000000"/>
          <w:shd w:val="clear" w:color="auto" w:fill="FFFFFF"/>
        </w:rPr>
        <w:t> </w:t>
      </w:r>
    </w:p>
    <w:p w14:paraId="419AF989" w14:textId="77777777" w:rsidR="00F86AD5" w:rsidRPr="00F86AD5" w:rsidRDefault="00F86AD5" w:rsidP="00F86AD5">
      <w:pPr>
        <w:jc w:val="both"/>
        <w:rPr>
          <w:rFonts w:ascii="Verdana" w:hAnsi="Verdana" w:cs="Arial"/>
          <w:color w:val="000000" w:themeColor="text1"/>
          <w:sz w:val="20"/>
        </w:rPr>
      </w:pPr>
      <w:r w:rsidRPr="00F86AD5">
        <w:rPr>
          <w:rFonts w:ascii="Verdana" w:eastAsia="Calibri" w:hAnsi="Verdana" w:cs="Arial"/>
          <w:bCs/>
          <w:color w:val="000000" w:themeColor="text1"/>
          <w:sz w:val="20"/>
          <w:lang w:val="es-ES"/>
        </w:rPr>
        <w:t>Como se observa, el artículo citado señala que el consorcio o la unión temporal se da “cuando dos o más personas en forma conjunta presentan una misma propuesta para la adjudicación, celebración y ejecución de un contrato (…)”.</w:t>
      </w:r>
      <w:r w:rsidRPr="00F86AD5">
        <w:rPr>
          <w:rFonts w:ascii="Verdana" w:hAnsi="Verdana" w:cs="Arial"/>
          <w:color w:val="000000" w:themeColor="text1"/>
          <w:sz w:val="20"/>
        </w:rPr>
        <w:t xml:space="preserve">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7163C453" w14:textId="77777777" w:rsidR="00F86AD5" w:rsidRPr="00F86AD5" w:rsidRDefault="00F86AD5" w:rsidP="00F86AD5">
      <w:pPr>
        <w:jc w:val="both"/>
        <w:rPr>
          <w:rFonts w:ascii="Verdana" w:hAnsi="Verdana" w:cs="Arial"/>
          <w:color w:val="000000" w:themeColor="text1"/>
        </w:rPr>
      </w:pPr>
      <w:r w:rsidRPr="00F86AD5">
        <w:rPr>
          <w:rFonts w:ascii="Verdana" w:hAnsi="Verdana" w:cs="Arial"/>
          <w:color w:val="000000" w:themeColor="text1"/>
          <w:sz w:val="20"/>
        </w:rPr>
        <w:t xml:space="preserve">(…) La capacidad jurídica de los proponentes plurales se limita al campo de la contratación estatal de las entidades sometidas al EGCAP, es decir, a las relaciones en consorcios y las uniones temporales con las entidades estatales del artículo 2 de la Ley 80 de 1993. Esta precisión es importante, porque la habilitación de los numerales 6 y 7 del artículo 7 </w:t>
      </w:r>
      <w:r w:rsidRPr="00F86AD5">
        <w:rPr>
          <w:rFonts w:ascii="Verdana" w:hAnsi="Verdana" w:cs="Arial"/>
          <w:i/>
          <w:iCs/>
          <w:color w:val="000000" w:themeColor="text1"/>
          <w:sz w:val="20"/>
        </w:rPr>
        <w:t>ibidem</w:t>
      </w:r>
      <w:r w:rsidRPr="00F86AD5">
        <w:rPr>
          <w:rFonts w:ascii="Verdana" w:hAnsi="Verdana" w:cs="Arial"/>
          <w:color w:val="000000" w:themeColor="text1"/>
          <w:sz w:val="20"/>
        </w:rPr>
        <w:t xml:space="preserve"> no les otorgan capacidad respecto a las relaciones entre </w:t>
      </w:r>
      <w:r w:rsidRPr="00F86AD5">
        <w:rPr>
          <w:rFonts w:ascii="Verdana" w:hAnsi="Verdana" w:cs="Arial"/>
          <w:color w:val="000000" w:themeColor="text1"/>
          <w:sz w:val="20"/>
        </w:rPr>
        <w:lastRenderedPageBreak/>
        <w:t xml:space="preserve">particulares, como las que surgen entre el cedente y el cesionario del contrato. Como este último debe ser un tercero, es indispensable la personalidad jurídica. </w:t>
      </w:r>
      <w:r w:rsidRPr="00F86AD5">
        <w:rPr>
          <w:rFonts w:ascii="Verdana" w:hAnsi="Verdana" w:cs="Arial"/>
          <w:color w:val="000000" w:themeColor="text1"/>
        </w:rPr>
        <w:t xml:space="preserve">(…) </w:t>
      </w:r>
    </w:p>
    <w:p w14:paraId="1B6F8FE7" w14:textId="77777777" w:rsidR="00F86AD5" w:rsidRPr="00F86AD5" w:rsidRDefault="00F86AD5" w:rsidP="00F86AD5">
      <w:pPr>
        <w:jc w:val="both"/>
        <w:rPr>
          <w:rFonts w:ascii="Verdana" w:hAnsi="Verdana"/>
        </w:rPr>
      </w:pPr>
      <w:r>
        <w:rPr>
          <w:rStyle w:val="normaltextrun"/>
          <w:rFonts w:ascii="Verdana" w:hAnsi="Verdana"/>
          <w:b/>
          <w:bCs/>
          <w:color w:val="000000"/>
          <w:shd w:val="clear" w:color="auto" w:fill="FFFFFF"/>
          <w:lang w:val="es-ES"/>
        </w:rPr>
        <w:t>SECOP II</w:t>
      </w:r>
      <w:r w:rsidRPr="00F86AD5">
        <w:rPr>
          <w:rStyle w:val="normaltextrun"/>
          <w:rFonts w:ascii="Verdana" w:hAnsi="Verdana"/>
          <w:b/>
          <w:bCs/>
          <w:color w:val="000000"/>
          <w:shd w:val="clear" w:color="auto" w:fill="FFFFFF"/>
          <w:lang w:val="es-ES"/>
        </w:rPr>
        <w:t xml:space="preserve"> – </w:t>
      </w:r>
      <w:r>
        <w:rPr>
          <w:rStyle w:val="normaltextrun"/>
          <w:rFonts w:ascii="Verdana" w:hAnsi="Verdana"/>
          <w:b/>
          <w:bCs/>
          <w:color w:val="000000"/>
          <w:shd w:val="clear" w:color="auto" w:fill="FFFFFF"/>
          <w:lang w:val="es-ES"/>
        </w:rPr>
        <w:t>Modificación de los contratos</w:t>
      </w:r>
    </w:p>
    <w:p w14:paraId="21F04C30" w14:textId="77777777" w:rsidR="00F86AD5" w:rsidRPr="00F86AD5" w:rsidRDefault="00F86AD5" w:rsidP="00F86AD5">
      <w:pPr>
        <w:spacing w:after="0" w:line="276" w:lineRule="auto"/>
        <w:ind w:right="49"/>
        <w:jc w:val="both"/>
        <w:rPr>
          <w:rFonts w:ascii="Verdana" w:hAnsi="Verdana" w:cs="Arial"/>
          <w:color w:val="000000" w:themeColor="text1"/>
          <w:sz w:val="20"/>
        </w:rPr>
      </w:pPr>
      <w:r w:rsidRPr="00F86AD5">
        <w:rPr>
          <w:rFonts w:ascii="Verdana" w:hAnsi="Verdana" w:cs="Arial"/>
          <w:color w:val="000000" w:themeColor="text1"/>
          <w:sz w:val="20"/>
        </w:rPr>
        <w:t>En razón a lo anterior, las modificaciones al contrato deberán estar firmadas electrónicamente en el SECOP II por quien tenga capacidad para obligar a la entidad y al contratista. De esta manera, dentro de la plataforma quien se inscribe obtiene una firma electrónica con su usuario y contraseña, la cual es personal e intransferible, y obliga por medio de esta firma a quien suscriba el contrato, o a la persona a la que el firmante representa.</w:t>
      </w:r>
    </w:p>
    <w:p w14:paraId="1AA79AEA" w14:textId="77777777" w:rsidR="00F86AD5" w:rsidRPr="00F86AD5" w:rsidRDefault="00F86AD5" w:rsidP="00F86AD5">
      <w:pPr>
        <w:spacing w:after="0" w:line="276" w:lineRule="auto"/>
        <w:ind w:left="1134" w:right="49"/>
        <w:jc w:val="both"/>
        <w:rPr>
          <w:rFonts w:ascii="Verdana" w:hAnsi="Verdana" w:cs="Arial"/>
          <w:color w:val="000000" w:themeColor="text1"/>
          <w:sz w:val="20"/>
        </w:rPr>
      </w:pPr>
    </w:p>
    <w:p w14:paraId="2AEED5CE" w14:textId="77777777" w:rsidR="00F86AD5" w:rsidRPr="00F86AD5" w:rsidRDefault="00F86AD5" w:rsidP="00F86AD5">
      <w:pPr>
        <w:spacing w:after="0" w:line="276" w:lineRule="auto"/>
        <w:ind w:right="49"/>
        <w:jc w:val="both"/>
        <w:rPr>
          <w:rFonts w:ascii="Verdana" w:hAnsi="Verdana" w:cs="Arial"/>
          <w:color w:val="000000" w:themeColor="text1"/>
          <w:sz w:val="20"/>
        </w:rPr>
      </w:pPr>
      <w:r w:rsidRPr="00F86AD5">
        <w:rPr>
          <w:rFonts w:ascii="Verdana" w:hAnsi="Verdana" w:cs="Arial"/>
          <w:color w:val="000000" w:themeColor="text1"/>
          <w:sz w:val="20"/>
        </w:rPr>
        <w:t xml:space="preserve">Tenga en cuenta que, la plataforma SECOP II, no tiene ningún tipo de restricción técnica frente a la cesión de contratos a determinado tipo de cuenta proveedor. </w:t>
      </w:r>
    </w:p>
    <w:p w14:paraId="278D0EAA" w14:textId="77777777" w:rsidR="00F86AD5" w:rsidRPr="00F86AD5" w:rsidRDefault="00F86AD5" w:rsidP="00F86AD5">
      <w:pPr>
        <w:jc w:val="both"/>
        <w:rPr>
          <w:rFonts w:ascii="Verdana" w:hAnsi="Verdana"/>
        </w:rPr>
      </w:pPr>
    </w:p>
    <w:p w14:paraId="69784687" w14:textId="77777777" w:rsidR="00033B5B" w:rsidRPr="00F86AD5" w:rsidRDefault="00033B5B" w:rsidP="00F86AD5">
      <w:pPr>
        <w:jc w:val="both"/>
        <w:rPr>
          <w:rFonts w:ascii="Verdana" w:hAnsi="Verdana"/>
        </w:rPr>
      </w:pPr>
      <w:r w:rsidRPr="00F86AD5">
        <w:rPr>
          <w:rFonts w:ascii="Verdana" w:hAnsi="Verdana"/>
        </w:rPr>
        <w:br w:type="page"/>
      </w:r>
    </w:p>
    <w:p w14:paraId="5A0E847B" w14:textId="77777777" w:rsidR="006A5B46" w:rsidRDefault="00890AA3" w:rsidP="006A5B46">
      <w:pPr>
        <w:spacing w:after="0"/>
        <w:rPr>
          <w:rFonts w:ascii="Verdana" w:hAnsi="Verdana"/>
        </w:rPr>
      </w:pPr>
      <w:r w:rsidRPr="00890AA3">
        <w:rPr>
          <w:rFonts w:ascii="Verdana" w:hAnsi="Verdana"/>
        </w:rPr>
        <w:lastRenderedPageBreak/>
        <w:t>Bogotá D.C., 23 Julio 2024</w:t>
      </w:r>
      <w:r w:rsidR="00891928" w:rsidRPr="00F86AD5">
        <w:rPr>
          <w:rFonts w:ascii="Verdana" w:hAnsi="Verdana"/>
        </w:rPr>
        <w:tab/>
      </w:r>
    </w:p>
    <w:p w14:paraId="5E1DB018" w14:textId="6B5C96B5" w:rsidR="00C544F7" w:rsidRPr="00F86AD5" w:rsidRDefault="00890AA3" w:rsidP="006A5B46">
      <w:pPr>
        <w:spacing w:after="0"/>
        <w:rPr>
          <w:rFonts w:ascii="Verdana" w:hAnsi="Verdana"/>
        </w:rPr>
      </w:pPr>
      <w:r w:rsidRPr="00890AA3">
        <w:rPr>
          <w:rFonts w:ascii="Verdana" w:hAnsi="Verdana"/>
          <w:noProof/>
        </w:rPr>
        <w:drawing>
          <wp:anchor distT="0" distB="0" distL="114300" distR="114300" simplePos="0" relativeHeight="251658240" behindDoc="0" locked="0" layoutInCell="1" allowOverlap="1" wp14:anchorId="1BA75BC4" wp14:editId="34969AE5">
            <wp:simplePos x="0" y="0"/>
            <wp:positionH relativeFrom="column">
              <wp:posOffset>3091815</wp:posOffset>
            </wp:positionH>
            <wp:positionV relativeFrom="paragraph">
              <wp:posOffset>4445</wp:posOffset>
            </wp:positionV>
            <wp:extent cx="2523506" cy="698966"/>
            <wp:effectExtent l="0" t="0" r="0" b="635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3506" cy="698966"/>
                    </a:xfrm>
                    <a:prstGeom prst="rect">
                      <a:avLst/>
                    </a:prstGeom>
                    <a:noFill/>
                    <a:ln>
                      <a:noFill/>
                    </a:ln>
                  </pic:spPr>
                </pic:pic>
              </a:graphicData>
            </a:graphic>
          </wp:anchor>
        </w:drawing>
      </w:r>
    </w:p>
    <w:p w14:paraId="259F34B2" w14:textId="77777777" w:rsidR="00033B5B" w:rsidRPr="00F86AD5" w:rsidRDefault="00033B5B" w:rsidP="00033B5B">
      <w:pPr>
        <w:spacing w:after="0" w:line="240" w:lineRule="auto"/>
        <w:jc w:val="both"/>
        <w:rPr>
          <w:rFonts w:ascii="Verdana" w:eastAsia="Calibri" w:hAnsi="Verdana" w:cs="Arial"/>
          <w:lang w:val="es-ES" w:eastAsia="es-ES"/>
        </w:rPr>
      </w:pPr>
      <w:r w:rsidRPr="00F86AD5">
        <w:rPr>
          <w:rFonts w:ascii="Verdana" w:eastAsia="Calibri" w:hAnsi="Verdana" w:cs="Arial"/>
          <w:lang w:val="es-ES" w:eastAsia="es-ES"/>
        </w:rPr>
        <w:t>Señor</w:t>
      </w:r>
    </w:p>
    <w:p w14:paraId="67B55AEA" w14:textId="77777777" w:rsidR="00F661EB" w:rsidRPr="00F86AD5" w:rsidRDefault="00F661EB" w:rsidP="00033B5B">
      <w:pPr>
        <w:spacing w:after="0" w:line="240" w:lineRule="auto"/>
        <w:jc w:val="both"/>
        <w:rPr>
          <w:rFonts w:ascii="Verdana" w:eastAsia="Calibri" w:hAnsi="Verdana" w:cs="Arial"/>
          <w:b/>
          <w:bCs/>
          <w:lang w:val="es-ES" w:eastAsia="es-ES"/>
        </w:rPr>
      </w:pPr>
      <w:r w:rsidRPr="00F86AD5">
        <w:rPr>
          <w:rFonts w:ascii="Verdana" w:eastAsia="Calibri" w:hAnsi="Verdana" w:cs="Arial"/>
          <w:b/>
          <w:bCs/>
          <w:lang w:val="es-ES" w:eastAsia="es-ES"/>
        </w:rPr>
        <w:t>MIGUEL ALEJANDRO PINZON AGUILAR</w:t>
      </w:r>
    </w:p>
    <w:p w14:paraId="336DC370" w14:textId="77777777" w:rsidR="00F661EB" w:rsidRPr="00F86AD5" w:rsidRDefault="00F661EB" w:rsidP="00033B5B">
      <w:pPr>
        <w:spacing w:after="0" w:line="240" w:lineRule="auto"/>
        <w:jc w:val="both"/>
        <w:rPr>
          <w:rFonts w:ascii="Verdana" w:hAnsi="Verdana"/>
        </w:rPr>
      </w:pPr>
      <w:r w:rsidRPr="00F86AD5">
        <w:rPr>
          <w:rFonts w:ascii="Verdana" w:hAnsi="Verdana"/>
        </w:rPr>
        <w:t>CONSORCIOMAPA3@GMAIL.COM</w:t>
      </w:r>
    </w:p>
    <w:p w14:paraId="14EF5FE7" w14:textId="77777777" w:rsidR="00033B5B" w:rsidRPr="00F86AD5" w:rsidRDefault="00F661EB" w:rsidP="00033B5B">
      <w:pPr>
        <w:spacing w:after="0" w:line="240" w:lineRule="auto"/>
        <w:jc w:val="both"/>
        <w:rPr>
          <w:rFonts w:ascii="Verdana" w:eastAsia="Calibri" w:hAnsi="Verdana" w:cs="Arial"/>
          <w:szCs w:val="24"/>
          <w:lang w:val="es-ES_tradnl" w:eastAsia="es-ES_tradnl"/>
        </w:rPr>
      </w:pPr>
      <w:r w:rsidRPr="00F86AD5">
        <w:rPr>
          <w:rFonts w:ascii="Verdana" w:eastAsia="Calibri" w:hAnsi="Verdana" w:cs="Arial"/>
          <w:szCs w:val="24"/>
          <w:lang w:val="es-ES_tradnl" w:eastAsia="es-ES_tradnl"/>
        </w:rPr>
        <w:t>Boyacá, Tunja</w:t>
      </w:r>
    </w:p>
    <w:p w14:paraId="3E3EEDF2" w14:textId="77777777" w:rsidR="00033B5B" w:rsidRPr="00F86AD5" w:rsidRDefault="00033B5B" w:rsidP="00033B5B">
      <w:pPr>
        <w:spacing w:after="0" w:line="240" w:lineRule="auto"/>
        <w:jc w:val="both"/>
        <w:rPr>
          <w:rFonts w:ascii="Verdana" w:eastAsia="Calibri" w:hAnsi="Verdana" w:cs="Arial"/>
          <w:szCs w:val="24"/>
          <w:lang w:val="es-ES_tradnl" w:eastAsia="es-ES_tradnl"/>
        </w:rPr>
      </w:pPr>
    </w:p>
    <w:p w14:paraId="0F3B2C44" w14:textId="77777777" w:rsidR="00033B5B" w:rsidRPr="00F86AD5" w:rsidRDefault="00033B5B" w:rsidP="00033B5B">
      <w:pPr>
        <w:spacing w:after="0" w:line="240" w:lineRule="auto"/>
        <w:ind w:left="2694"/>
        <w:jc w:val="both"/>
        <w:rPr>
          <w:rFonts w:ascii="Verdana" w:eastAsia="Calibri" w:hAnsi="Verdana" w:cs="Arial"/>
          <w:szCs w:val="24"/>
          <w:lang w:val="es-ES_tradnl" w:eastAsia="es-ES_tradnl"/>
        </w:rPr>
      </w:pPr>
      <w:r w:rsidRPr="00F86AD5">
        <w:rPr>
          <w:rFonts w:ascii="Verdana" w:eastAsia="Calibri" w:hAnsi="Verdana" w:cs="Arial"/>
          <w:szCs w:val="24"/>
          <w:lang w:val="es-ES_tradnl" w:eastAsia="es-ES_tradnl"/>
        </w:rPr>
        <w:t>Concepto C –</w:t>
      </w:r>
      <w:r w:rsidR="00F661EB" w:rsidRPr="00F86AD5">
        <w:rPr>
          <w:rFonts w:ascii="Verdana" w:eastAsia="Calibri" w:hAnsi="Verdana" w:cs="Arial"/>
          <w:szCs w:val="24"/>
          <w:lang w:val="es-ES_tradnl" w:eastAsia="es-ES_tradnl"/>
        </w:rPr>
        <w:t>157</w:t>
      </w:r>
      <w:r w:rsidRPr="00F86AD5">
        <w:rPr>
          <w:rFonts w:ascii="Verdana" w:eastAsia="Calibri" w:hAnsi="Verdana" w:cs="Arial"/>
          <w:szCs w:val="24"/>
          <w:lang w:val="es-ES_tradnl" w:eastAsia="es-ES_tradnl"/>
        </w:rPr>
        <w:t xml:space="preserve"> de 2024</w:t>
      </w:r>
    </w:p>
    <w:p w14:paraId="6C1DEDE3" w14:textId="77777777" w:rsidR="00033B5B" w:rsidRPr="00F86AD5" w:rsidRDefault="00033B5B" w:rsidP="00033B5B">
      <w:pPr>
        <w:spacing w:after="0" w:line="240" w:lineRule="auto"/>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033B5B" w:rsidRPr="00F86AD5" w14:paraId="01EB34AC" w14:textId="77777777" w:rsidTr="00033B5B">
        <w:trPr>
          <w:trHeight w:val="884"/>
        </w:trPr>
        <w:tc>
          <w:tcPr>
            <w:tcW w:w="2689" w:type="dxa"/>
            <w:hideMark/>
          </w:tcPr>
          <w:p w14:paraId="533C1EB7" w14:textId="77777777" w:rsidR="00033B5B" w:rsidRPr="00F86AD5" w:rsidRDefault="00033B5B">
            <w:pPr>
              <w:jc w:val="both"/>
              <w:rPr>
                <w:rFonts w:ascii="Verdana" w:eastAsia="Calibri" w:hAnsi="Verdana" w:cs="Arial"/>
                <w:szCs w:val="24"/>
                <w:lang w:val="es-ES_tradnl" w:eastAsia="es-ES_tradnl"/>
              </w:rPr>
            </w:pPr>
            <w:r w:rsidRPr="00F86AD5">
              <w:rPr>
                <w:rFonts w:ascii="Verdana" w:eastAsia="Calibri" w:hAnsi="Verdana" w:cs="Arial"/>
                <w:szCs w:val="24"/>
                <w:lang w:val="es-ES_tradnl" w:eastAsia="es-ES_tradnl"/>
              </w:rPr>
              <w:t xml:space="preserve">Temas:                   </w:t>
            </w:r>
          </w:p>
        </w:tc>
        <w:tc>
          <w:tcPr>
            <w:tcW w:w="6237" w:type="dxa"/>
            <w:hideMark/>
          </w:tcPr>
          <w:p w14:paraId="4473390F" w14:textId="77777777" w:rsidR="00033B5B" w:rsidRPr="00513E22" w:rsidRDefault="00513E22">
            <w:pPr>
              <w:jc w:val="both"/>
              <w:rPr>
                <w:rFonts w:ascii="Verdana" w:eastAsia="Calibri" w:hAnsi="Verdana" w:cs="Arial"/>
                <w:highlight w:val="yellow"/>
                <w:lang w:val="es-ES" w:eastAsia="es-ES"/>
              </w:rPr>
            </w:pPr>
            <w:r w:rsidRPr="00513E22">
              <w:rPr>
                <w:rFonts w:ascii="Verdana" w:eastAsia="Calibri" w:hAnsi="Verdana" w:cs="Arial"/>
                <w:lang w:val="es-ES" w:eastAsia="es-ES"/>
              </w:rPr>
              <w:t>CESIÓN DEL CONTRATO ESTATAL – Noción/</w:t>
            </w:r>
            <w:r w:rsidRPr="00513E22">
              <w:rPr>
                <w:rFonts w:ascii="Verdana" w:hAnsi="Verdana"/>
              </w:rPr>
              <w:t xml:space="preserve"> </w:t>
            </w:r>
            <w:r w:rsidRPr="00513E22">
              <w:rPr>
                <w:rFonts w:ascii="Verdana" w:eastAsia="Calibri" w:hAnsi="Verdana" w:cs="Arial"/>
                <w:lang w:val="es-ES" w:eastAsia="es-ES"/>
              </w:rPr>
              <w:t>CESIÓN DEL CONTRATO ESTATAL – Requisitos – Restricciones/</w:t>
            </w:r>
            <w:r w:rsidRPr="00513E22">
              <w:rPr>
                <w:rFonts w:ascii="Verdana" w:eastAsia="Calibri" w:hAnsi="Verdana" w:cs="Arial"/>
                <w:lang w:eastAsia="es-ES"/>
              </w:rPr>
              <w:t xml:space="preserve"> CONSORCIOS Y UNIONES TEMPORALES – Ausencia de personería jurídica – falta de capacidad como cesionarios/</w:t>
            </w:r>
            <w:r w:rsidRPr="00513E22">
              <w:rPr>
                <w:rFonts w:ascii="Verdana" w:hAnsi="Verdana"/>
              </w:rPr>
              <w:t xml:space="preserve"> </w:t>
            </w:r>
            <w:r w:rsidRPr="00513E22">
              <w:rPr>
                <w:rFonts w:ascii="Verdana" w:eastAsia="Calibri" w:hAnsi="Verdana" w:cs="Arial"/>
                <w:lang w:eastAsia="es-ES"/>
              </w:rPr>
              <w:t>SECOP II – Modificación de los contratos</w:t>
            </w:r>
            <w:r w:rsidRPr="00513E22">
              <w:rPr>
                <w:rFonts w:ascii="Verdana" w:eastAsia="Calibri" w:hAnsi="Verdana" w:cs="Arial"/>
                <w:lang w:val="es-ES" w:eastAsia="es-ES"/>
              </w:rPr>
              <w:t xml:space="preserve">  </w:t>
            </w:r>
          </w:p>
        </w:tc>
        <w:tc>
          <w:tcPr>
            <w:tcW w:w="6237" w:type="dxa"/>
          </w:tcPr>
          <w:p w14:paraId="1360C17B" w14:textId="77777777" w:rsidR="00033B5B" w:rsidRPr="00F86AD5" w:rsidRDefault="00033B5B">
            <w:pPr>
              <w:jc w:val="both"/>
              <w:rPr>
                <w:rFonts w:ascii="Verdana" w:hAnsi="Verdana" w:cs="Arial"/>
                <w:highlight w:val="yellow"/>
                <w:lang w:val="es-ES"/>
              </w:rPr>
            </w:pPr>
          </w:p>
        </w:tc>
      </w:tr>
      <w:tr w:rsidR="00033B5B" w:rsidRPr="00F86AD5" w14:paraId="0CE90ED0" w14:textId="77777777" w:rsidTr="00033B5B">
        <w:tc>
          <w:tcPr>
            <w:tcW w:w="2689" w:type="dxa"/>
            <w:hideMark/>
          </w:tcPr>
          <w:p w14:paraId="37506BAC" w14:textId="77777777" w:rsidR="00033B5B" w:rsidRPr="00F86AD5" w:rsidRDefault="00033B5B">
            <w:pPr>
              <w:spacing w:before="120"/>
              <w:jc w:val="both"/>
              <w:rPr>
                <w:rFonts w:ascii="Verdana" w:eastAsia="Calibri" w:hAnsi="Verdana" w:cs="Arial"/>
                <w:szCs w:val="24"/>
                <w:lang w:val="es-ES_tradnl" w:eastAsia="es-ES_tradnl"/>
              </w:rPr>
            </w:pPr>
            <w:r w:rsidRPr="00F86AD5">
              <w:rPr>
                <w:rFonts w:ascii="Verdana" w:eastAsia="Calibri" w:hAnsi="Verdana" w:cs="Arial"/>
                <w:szCs w:val="24"/>
                <w:lang w:val="es-ES_tradnl" w:eastAsia="es-ES_tradnl"/>
              </w:rPr>
              <w:t xml:space="preserve">Radicación:               </w:t>
            </w:r>
          </w:p>
        </w:tc>
        <w:tc>
          <w:tcPr>
            <w:tcW w:w="6237" w:type="dxa"/>
            <w:hideMark/>
          </w:tcPr>
          <w:p w14:paraId="233F8060" w14:textId="77777777" w:rsidR="00033B5B" w:rsidRPr="00F86AD5" w:rsidRDefault="00033B5B">
            <w:pPr>
              <w:spacing w:before="120"/>
              <w:jc w:val="both"/>
              <w:rPr>
                <w:rFonts w:ascii="Verdana" w:eastAsia="Calibri" w:hAnsi="Verdana" w:cs="Arial"/>
                <w:szCs w:val="24"/>
                <w:lang w:val="es-ES_tradnl" w:eastAsia="es-ES_tradnl"/>
              </w:rPr>
            </w:pPr>
            <w:r w:rsidRPr="00F86AD5">
              <w:rPr>
                <w:rFonts w:ascii="Verdana" w:eastAsia="Calibri" w:hAnsi="Verdana" w:cs="Arial"/>
                <w:szCs w:val="24"/>
                <w:lang w:val="es-ES_tradnl" w:eastAsia="es-ES_tradnl"/>
              </w:rPr>
              <w:t xml:space="preserve">Respuesta a consulta con radicado No. </w:t>
            </w:r>
            <w:r w:rsidR="00F661EB" w:rsidRPr="00F86AD5">
              <w:rPr>
                <w:rFonts w:ascii="Verdana" w:eastAsia="Calibri" w:hAnsi="Verdana" w:cs="Arial"/>
                <w:szCs w:val="24"/>
                <w:lang w:val="es-ES_tradnl" w:eastAsia="es-ES_tradnl"/>
              </w:rPr>
              <w:t>P20240606005874</w:t>
            </w:r>
          </w:p>
        </w:tc>
        <w:tc>
          <w:tcPr>
            <w:tcW w:w="6237" w:type="dxa"/>
          </w:tcPr>
          <w:p w14:paraId="562CBA04" w14:textId="77777777" w:rsidR="00033B5B" w:rsidRPr="00F86AD5" w:rsidRDefault="00033B5B">
            <w:pPr>
              <w:spacing w:before="120"/>
              <w:jc w:val="both"/>
              <w:rPr>
                <w:rFonts w:ascii="Verdana" w:eastAsia="Calibri" w:hAnsi="Verdana" w:cs="Arial"/>
                <w:szCs w:val="24"/>
                <w:lang w:val="es-ES_tradnl" w:eastAsia="es-ES_tradnl"/>
              </w:rPr>
            </w:pPr>
          </w:p>
        </w:tc>
      </w:tr>
    </w:tbl>
    <w:p w14:paraId="63E9EF7E" w14:textId="77777777" w:rsidR="00033B5B" w:rsidRPr="00F86AD5" w:rsidRDefault="00033B5B" w:rsidP="00033B5B">
      <w:pPr>
        <w:spacing w:after="0" w:line="240" w:lineRule="auto"/>
        <w:jc w:val="both"/>
        <w:rPr>
          <w:rFonts w:ascii="Verdana" w:eastAsia="Calibri" w:hAnsi="Verdana" w:cs="Arial"/>
          <w:szCs w:val="24"/>
          <w:lang w:val="es-ES_tradnl" w:eastAsia="es-ES_tradnl"/>
        </w:rPr>
      </w:pPr>
    </w:p>
    <w:p w14:paraId="20959BE1" w14:textId="77777777" w:rsidR="00033B5B" w:rsidRPr="00F86AD5" w:rsidRDefault="00033B5B" w:rsidP="00033B5B">
      <w:pPr>
        <w:spacing w:after="0" w:line="240" w:lineRule="auto"/>
        <w:jc w:val="both"/>
        <w:rPr>
          <w:rFonts w:ascii="Verdana" w:eastAsia="Calibri" w:hAnsi="Verdana" w:cs="Arial"/>
          <w:lang w:val="es-ES" w:eastAsia="es-ES"/>
        </w:rPr>
      </w:pPr>
      <w:r w:rsidRPr="00F86AD5">
        <w:rPr>
          <w:rFonts w:ascii="Verdana" w:eastAsia="Calibri" w:hAnsi="Verdana" w:cs="Arial"/>
          <w:lang w:val="es-ES" w:eastAsia="es-ES"/>
        </w:rPr>
        <w:t>Estimad</w:t>
      </w:r>
      <w:r w:rsidR="00F661EB" w:rsidRPr="00F86AD5">
        <w:rPr>
          <w:rFonts w:ascii="Verdana" w:eastAsia="Calibri" w:hAnsi="Verdana" w:cs="Arial"/>
          <w:lang w:val="es-ES" w:eastAsia="es-ES"/>
        </w:rPr>
        <w:t>o</w:t>
      </w:r>
      <w:r w:rsidRPr="00F86AD5">
        <w:rPr>
          <w:rFonts w:ascii="Verdana" w:eastAsia="Calibri" w:hAnsi="Verdana" w:cs="Arial"/>
          <w:lang w:val="es-ES" w:eastAsia="es-ES"/>
        </w:rPr>
        <w:t xml:space="preserve"> señor </w:t>
      </w:r>
      <w:r w:rsidR="00F661EB" w:rsidRPr="00F86AD5">
        <w:rPr>
          <w:rFonts w:ascii="Verdana" w:eastAsia="Calibri" w:hAnsi="Verdana" w:cs="Arial"/>
          <w:lang w:val="es-ES" w:eastAsia="es-ES"/>
        </w:rPr>
        <w:t>Pinzon</w:t>
      </w:r>
      <w:r w:rsidRPr="00F86AD5">
        <w:rPr>
          <w:rFonts w:ascii="Verdana" w:eastAsia="Calibri" w:hAnsi="Verdana" w:cs="Arial"/>
          <w:lang w:val="es-ES" w:eastAsia="es-ES"/>
        </w:rPr>
        <w:t xml:space="preserve">: </w:t>
      </w:r>
    </w:p>
    <w:p w14:paraId="2689B7D1" w14:textId="77777777" w:rsidR="00033B5B" w:rsidRPr="00F86AD5" w:rsidRDefault="00033B5B" w:rsidP="00033B5B">
      <w:pPr>
        <w:spacing w:after="0" w:line="240" w:lineRule="auto"/>
        <w:jc w:val="both"/>
        <w:rPr>
          <w:rFonts w:ascii="Verdana" w:eastAsia="Calibri" w:hAnsi="Verdana" w:cs="Arial"/>
          <w:lang w:val="es-ES" w:eastAsia="es-ES"/>
        </w:rPr>
      </w:pPr>
    </w:p>
    <w:p w14:paraId="0C5DA5CB" w14:textId="77777777" w:rsidR="00033B5B" w:rsidRPr="00F86AD5" w:rsidRDefault="00033B5B" w:rsidP="00033B5B">
      <w:pPr>
        <w:spacing w:after="120" w:line="276" w:lineRule="auto"/>
        <w:jc w:val="both"/>
        <w:rPr>
          <w:rFonts w:ascii="Verdana" w:eastAsia="Calibri" w:hAnsi="Verdana" w:cs="Arial"/>
          <w:lang w:val="es-ES" w:eastAsia="es-ES"/>
        </w:rPr>
      </w:pPr>
      <w:r w:rsidRPr="00F86AD5">
        <w:rPr>
          <w:rFonts w:ascii="Verdana" w:eastAsia="Calibri" w:hAnsi="Verdana" w:cs="Arial"/>
          <w:lang w:val="es-ES" w:eastAsia="es-ES"/>
        </w:rPr>
        <w:t>En ejercicio de la competencia otorgada por los artículos 3, numeral 5º, y 11, numeral 8º, del Decreto Ley 4170 de 2011,</w:t>
      </w:r>
      <w:r w:rsidRPr="00F86AD5">
        <w:rPr>
          <w:rFonts w:ascii="Verdana" w:eastAsia="Arial MT" w:hAnsi="Verdana" w:cs="Arial MT"/>
          <w:lang w:val="es-ES" w:eastAsia="es-ES"/>
        </w:rPr>
        <w:t xml:space="preserve"> </w:t>
      </w:r>
      <w:r w:rsidRPr="00F86AD5">
        <w:rPr>
          <w:rFonts w:ascii="Verdana" w:eastAsia="Calibri" w:hAnsi="Verdana" w:cs="Arial"/>
          <w:lang w:val="es-ES" w:eastAsia="es-ES"/>
        </w:rPr>
        <w:t xml:space="preserve">la Agencia Nacional de Contratación Pública – Colombia Compra Eficiente– responde su solicitud de consulta del </w:t>
      </w:r>
      <w:r w:rsidR="00F661EB" w:rsidRPr="00F86AD5">
        <w:rPr>
          <w:rFonts w:ascii="Verdana" w:eastAsia="Calibri" w:hAnsi="Verdana" w:cs="Arial"/>
          <w:lang w:val="es-ES" w:eastAsia="es-ES"/>
        </w:rPr>
        <w:t>06</w:t>
      </w:r>
      <w:r w:rsidRPr="00F86AD5">
        <w:rPr>
          <w:rFonts w:ascii="Verdana" w:eastAsia="Calibri" w:hAnsi="Verdana" w:cs="Arial"/>
          <w:lang w:val="es-ES" w:eastAsia="es-ES"/>
        </w:rPr>
        <w:t xml:space="preserve"> de </w:t>
      </w:r>
      <w:r w:rsidR="00F661EB" w:rsidRPr="00F86AD5">
        <w:rPr>
          <w:rFonts w:ascii="Verdana" w:eastAsia="Calibri" w:hAnsi="Verdana" w:cs="Arial"/>
          <w:lang w:val="es-ES" w:eastAsia="es-ES"/>
        </w:rPr>
        <w:t>junio</w:t>
      </w:r>
      <w:r w:rsidRPr="00F86AD5">
        <w:rPr>
          <w:rFonts w:ascii="Verdana" w:eastAsia="Calibri" w:hAnsi="Verdana" w:cs="Arial"/>
          <w:lang w:val="es-ES" w:eastAsia="es-ES"/>
        </w:rPr>
        <w:t xml:space="preserve"> de 2024. En la cual manifiesta lo siguiente:</w:t>
      </w:r>
    </w:p>
    <w:p w14:paraId="7FAE208D" w14:textId="77777777" w:rsidR="00033B5B" w:rsidRPr="00F86AD5" w:rsidRDefault="00033B5B" w:rsidP="00033B5B">
      <w:pPr>
        <w:spacing w:after="120" w:line="276" w:lineRule="auto"/>
        <w:jc w:val="both"/>
        <w:rPr>
          <w:rFonts w:ascii="Verdana" w:eastAsia="Calibri" w:hAnsi="Verdana" w:cs="Arial"/>
          <w:lang w:val="es-ES" w:eastAsia="es-ES"/>
        </w:rPr>
      </w:pPr>
    </w:p>
    <w:p w14:paraId="5623D02F" w14:textId="77777777" w:rsidR="00033B5B" w:rsidRPr="00F86AD5" w:rsidRDefault="00F661EB" w:rsidP="00033B5B">
      <w:pPr>
        <w:spacing w:after="0" w:line="240" w:lineRule="auto"/>
        <w:ind w:left="709" w:right="709"/>
        <w:jc w:val="both"/>
        <w:rPr>
          <w:rFonts w:ascii="Verdana" w:eastAsia="Calibri" w:hAnsi="Verdana" w:cs="Arial"/>
          <w:sz w:val="20"/>
          <w:szCs w:val="20"/>
          <w:lang w:val="es-ES" w:eastAsia="es-ES"/>
        </w:rPr>
      </w:pPr>
      <w:r w:rsidRPr="00F86AD5">
        <w:rPr>
          <w:rFonts w:ascii="Verdana" w:eastAsia="Calibri" w:hAnsi="Verdana" w:cs="Arial"/>
          <w:sz w:val="20"/>
          <w:szCs w:val="20"/>
          <w:lang w:val="es-ES" w:eastAsia="es-ES"/>
        </w:rPr>
        <w:t>“1. La cesión de contratos, a pesar de estar permitida por el Estatuto General de Contratación Pública y mediando autorización de la entidad contratante, ¿debe adicionalmente contar con aprobación o visto bueno de CCE?</w:t>
      </w:r>
    </w:p>
    <w:p w14:paraId="36F68ACB" w14:textId="77777777" w:rsidR="00F661EB" w:rsidRPr="00F86AD5" w:rsidRDefault="00F661EB" w:rsidP="00033B5B">
      <w:pPr>
        <w:spacing w:after="0" w:line="240" w:lineRule="auto"/>
        <w:ind w:left="709" w:right="709"/>
        <w:jc w:val="both"/>
        <w:rPr>
          <w:rFonts w:ascii="Verdana" w:eastAsia="Calibri" w:hAnsi="Verdana" w:cs="Arial"/>
          <w:sz w:val="20"/>
          <w:szCs w:val="20"/>
          <w:lang w:val="es-ES" w:eastAsia="es-ES"/>
        </w:rPr>
      </w:pPr>
    </w:p>
    <w:p w14:paraId="2B3760EB" w14:textId="77777777" w:rsidR="00F661EB" w:rsidRPr="00F86AD5" w:rsidRDefault="00F661EB" w:rsidP="00033B5B">
      <w:pPr>
        <w:spacing w:after="0" w:line="240" w:lineRule="auto"/>
        <w:ind w:left="709" w:right="709"/>
        <w:jc w:val="both"/>
        <w:rPr>
          <w:rFonts w:ascii="Verdana" w:eastAsia="Calibri" w:hAnsi="Verdana" w:cs="Arial"/>
          <w:sz w:val="20"/>
          <w:szCs w:val="20"/>
          <w:lang w:val="es-ES" w:eastAsia="es-ES"/>
        </w:rPr>
      </w:pPr>
      <w:r w:rsidRPr="00F86AD5">
        <w:rPr>
          <w:rFonts w:ascii="Verdana" w:eastAsia="Calibri" w:hAnsi="Verdana" w:cs="Arial"/>
          <w:sz w:val="20"/>
          <w:szCs w:val="20"/>
          <w:lang w:val="es-ES" w:eastAsia="es-ES"/>
        </w:rPr>
        <w:t>2. ¿Cuándo el contrato celebrado ha sido adelantado por medio de la plataforma del SECOP II es imposible técnicamente realizar la cesión de este a un Consorcio o Unión Temporal a pesar de que la entidad contratante autoriza la cesión? ¿La plataforma no está diseñada para esta clase de cesiones?</w:t>
      </w:r>
    </w:p>
    <w:p w14:paraId="068DE2AE" w14:textId="77777777" w:rsidR="00F661EB" w:rsidRPr="00F86AD5" w:rsidRDefault="00F661EB" w:rsidP="00033B5B">
      <w:pPr>
        <w:spacing w:after="0" w:line="240" w:lineRule="auto"/>
        <w:ind w:left="709" w:right="709"/>
        <w:jc w:val="both"/>
        <w:rPr>
          <w:rFonts w:ascii="Verdana" w:eastAsia="Calibri" w:hAnsi="Verdana" w:cs="Arial"/>
          <w:sz w:val="20"/>
          <w:szCs w:val="20"/>
          <w:lang w:val="es-ES" w:eastAsia="es-ES"/>
        </w:rPr>
      </w:pPr>
    </w:p>
    <w:p w14:paraId="0C3DCF62" w14:textId="77777777" w:rsidR="00F661EB" w:rsidRPr="00F86AD5" w:rsidRDefault="00F661EB" w:rsidP="00F661EB">
      <w:pPr>
        <w:spacing w:after="0" w:line="240" w:lineRule="auto"/>
        <w:ind w:left="709" w:right="709"/>
        <w:jc w:val="both"/>
        <w:rPr>
          <w:rFonts w:ascii="Verdana" w:eastAsia="Calibri" w:hAnsi="Verdana" w:cs="Arial"/>
          <w:sz w:val="20"/>
          <w:szCs w:val="20"/>
          <w:lang w:val="es-ES" w:eastAsia="es-ES"/>
        </w:rPr>
      </w:pPr>
      <w:r w:rsidRPr="00F86AD5">
        <w:rPr>
          <w:rFonts w:ascii="Verdana" w:eastAsia="Calibri" w:hAnsi="Verdana" w:cs="Arial"/>
          <w:sz w:val="20"/>
          <w:szCs w:val="20"/>
          <w:lang w:val="es-ES" w:eastAsia="es-ES"/>
        </w:rPr>
        <w:t>3. En caso afirmativo que la plataforma no se encuentre técnicamente disponible o habilitada para hacer estar clase de cesiones a un cesionario (UT – CONSORCIO), cual es el conducto regular o la solución técnica planteada por CCE para proceder con la cesión del contrato, como quiera no puede impedirse o limitarse la cesión de contratos por las limitaciones existentes en plataforma, lo cual, implicaría la nugatoria de las herramientas contractuales por temas de índole netamente técnico.</w:t>
      </w:r>
    </w:p>
    <w:p w14:paraId="3A498F7C" w14:textId="77777777" w:rsidR="00F661EB" w:rsidRPr="00F86AD5" w:rsidRDefault="00F661EB" w:rsidP="00F661EB">
      <w:pPr>
        <w:spacing w:after="0" w:line="240" w:lineRule="auto"/>
        <w:ind w:left="709" w:right="709"/>
        <w:jc w:val="both"/>
        <w:rPr>
          <w:rFonts w:ascii="Verdana" w:eastAsia="Calibri" w:hAnsi="Verdana" w:cs="Arial"/>
          <w:sz w:val="20"/>
          <w:szCs w:val="20"/>
          <w:lang w:val="es-ES" w:eastAsia="es-ES"/>
        </w:rPr>
      </w:pPr>
    </w:p>
    <w:p w14:paraId="33125A52" w14:textId="77777777" w:rsidR="00F661EB" w:rsidRPr="00F86AD5" w:rsidRDefault="00F661EB" w:rsidP="00F661EB">
      <w:pPr>
        <w:spacing w:after="0" w:line="240" w:lineRule="auto"/>
        <w:ind w:left="709" w:right="709"/>
        <w:jc w:val="both"/>
        <w:rPr>
          <w:rFonts w:ascii="Verdana" w:eastAsia="Calibri" w:hAnsi="Verdana" w:cs="Arial"/>
          <w:sz w:val="20"/>
          <w:szCs w:val="20"/>
          <w:lang w:val="es-ES" w:eastAsia="es-ES"/>
        </w:rPr>
      </w:pPr>
      <w:r w:rsidRPr="00F86AD5">
        <w:rPr>
          <w:rFonts w:ascii="Verdana" w:eastAsia="Calibri" w:hAnsi="Verdana" w:cs="Arial"/>
          <w:sz w:val="20"/>
          <w:szCs w:val="20"/>
          <w:lang w:val="es-ES" w:eastAsia="es-ES"/>
        </w:rPr>
        <w:lastRenderedPageBreak/>
        <w:t>Agradecemos su atención y colaboración en la resolución de nuestras inquietudes, como quiera que la Entidad contratante CSJ, justifica que la no cesión.”</w:t>
      </w:r>
    </w:p>
    <w:p w14:paraId="621FC032" w14:textId="77777777" w:rsidR="00033B5B" w:rsidRPr="00F86AD5" w:rsidRDefault="00033B5B" w:rsidP="00033B5B">
      <w:pPr>
        <w:spacing w:after="0" w:line="240" w:lineRule="auto"/>
        <w:ind w:left="709" w:right="709"/>
        <w:jc w:val="both"/>
        <w:rPr>
          <w:rFonts w:ascii="Verdana" w:eastAsia="Calibri" w:hAnsi="Verdana" w:cs="Arial"/>
          <w:lang w:val="es-ES_tradnl" w:eastAsia="es-ES_tradnl"/>
        </w:rPr>
      </w:pPr>
    </w:p>
    <w:p w14:paraId="771D3825" w14:textId="77777777" w:rsidR="00033B5B" w:rsidRPr="00F86AD5" w:rsidRDefault="00033B5B" w:rsidP="00033B5B">
      <w:pPr>
        <w:spacing w:after="120" w:line="276" w:lineRule="auto"/>
        <w:jc w:val="both"/>
        <w:rPr>
          <w:rFonts w:ascii="Verdana" w:eastAsia="Calibri" w:hAnsi="Verdana" w:cs="Arial"/>
          <w:lang w:val="es-ES" w:eastAsia="es-ES"/>
        </w:rPr>
      </w:pPr>
      <w:r w:rsidRPr="00F86AD5">
        <w:rPr>
          <w:rFonts w:ascii="Verdana" w:eastAsia="Calibri" w:hAnsi="Verdana" w:cs="Arial"/>
          <w:lang w:val="es-ES_tradnl" w:eastAsia="es-ES_tradnl"/>
        </w:rPr>
        <w:tab/>
      </w:r>
      <w:r w:rsidRPr="00F86AD5">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36FFD88E" w14:textId="77777777" w:rsidR="00033B5B" w:rsidRPr="00F86AD5" w:rsidRDefault="00033B5B" w:rsidP="00033B5B">
      <w:pPr>
        <w:spacing w:after="120" w:line="276" w:lineRule="auto"/>
        <w:jc w:val="both"/>
        <w:rPr>
          <w:rFonts w:ascii="Verdana" w:eastAsia="Calibri" w:hAnsi="Verdana" w:cs="Arial"/>
          <w:lang w:val="es-ES" w:eastAsia="es-ES"/>
        </w:rPr>
      </w:pPr>
      <w:r w:rsidRPr="00F86AD5">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102395D5" w14:textId="77777777" w:rsidR="00033B5B" w:rsidRPr="00F86AD5" w:rsidRDefault="00033B5B" w:rsidP="00033B5B">
      <w:pPr>
        <w:spacing w:after="120" w:line="276" w:lineRule="auto"/>
        <w:jc w:val="both"/>
        <w:rPr>
          <w:rFonts w:ascii="Verdana" w:eastAsia="Calibri" w:hAnsi="Verdana" w:cs="Arial"/>
          <w:lang w:val="es-ES" w:eastAsia="es-ES"/>
        </w:rPr>
      </w:pPr>
    </w:p>
    <w:p w14:paraId="4037C27A" w14:textId="77777777" w:rsidR="00033B5B" w:rsidRPr="00F86AD5" w:rsidRDefault="00033B5B" w:rsidP="00033B5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F86AD5">
        <w:rPr>
          <w:rFonts w:ascii="Verdana" w:eastAsia="Century Gothic" w:hAnsi="Verdana" w:cs="Century Gothic"/>
          <w:b/>
          <w:bCs/>
        </w:rPr>
        <w:t>Problema planteado:</w:t>
      </w:r>
    </w:p>
    <w:p w14:paraId="362CA1B4" w14:textId="77777777" w:rsidR="00033B5B" w:rsidRPr="00F86AD5" w:rsidRDefault="00033B5B" w:rsidP="00033B5B">
      <w:pPr>
        <w:spacing w:line="276" w:lineRule="auto"/>
        <w:jc w:val="both"/>
        <w:rPr>
          <w:rFonts w:ascii="Verdana" w:eastAsia="Century Gothic" w:hAnsi="Verdana" w:cs="Century Gothic"/>
        </w:rPr>
      </w:pPr>
    </w:p>
    <w:p w14:paraId="694458FE" w14:textId="77777777" w:rsidR="003F3DAE" w:rsidRPr="00F86AD5" w:rsidRDefault="00033B5B" w:rsidP="00033B5B">
      <w:pPr>
        <w:spacing w:line="276" w:lineRule="auto"/>
        <w:jc w:val="both"/>
        <w:rPr>
          <w:rFonts w:ascii="Verdana" w:eastAsia="Century Gothic" w:hAnsi="Verdana" w:cs="Century Gothic"/>
        </w:rPr>
      </w:pPr>
      <w:r w:rsidRPr="00F86AD5">
        <w:rPr>
          <w:rFonts w:ascii="Verdana" w:eastAsia="Century Gothic" w:hAnsi="Verdana" w:cs="Century Gothic"/>
        </w:rPr>
        <w:t xml:space="preserve">De acuerdo con el contenido de su solicitud, esta Agencia resolverá los siguientes problemas jurídicos: 1. </w:t>
      </w:r>
      <w:r w:rsidR="00F661EB" w:rsidRPr="00F86AD5">
        <w:rPr>
          <w:rFonts w:ascii="Verdana" w:eastAsia="Century Gothic" w:hAnsi="Verdana" w:cs="Century Gothic"/>
        </w:rPr>
        <w:t>¿</w:t>
      </w:r>
      <w:r w:rsidR="00D01C41" w:rsidRPr="00F86AD5">
        <w:rPr>
          <w:rFonts w:ascii="Verdana" w:eastAsia="Century Gothic" w:hAnsi="Verdana" w:cs="Century Gothic"/>
        </w:rPr>
        <w:t xml:space="preserve">se requiere autorización por parte de la Agencia Nacional Colombia Compra Eficiente para </w:t>
      </w:r>
      <w:r w:rsidR="00090298" w:rsidRPr="00F86AD5">
        <w:rPr>
          <w:rFonts w:ascii="Verdana" w:eastAsia="Century Gothic" w:hAnsi="Verdana" w:cs="Century Gothic"/>
        </w:rPr>
        <w:t>celebrar la cesión de un contrato estatal</w:t>
      </w:r>
      <w:r w:rsidRPr="00F86AD5">
        <w:rPr>
          <w:rFonts w:ascii="Verdana" w:eastAsia="Century Gothic" w:hAnsi="Verdana" w:cs="Century Gothic"/>
        </w:rPr>
        <w:t>?</w:t>
      </w:r>
      <w:r w:rsidR="003F3DAE" w:rsidRPr="00F86AD5">
        <w:rPr>
          <w:rFonts w:ascii="Verdana" w:eastAsia="Century Gothic" w:hAnsi="Verdana" w:cs="Century Gothic"/>
        </w:rPr>
        <w:t xml:space="preserve"> y</w:t>
      </w:r>
      <w:r w:rsidRPr="00F86AD5">
        <w:rPr>
          <w:rFonts w:ascii="Verdana" w:eastAsia="Century Gothic" w:hAnsi="Verdana" w:cs="Century Gothic"/>
        </w:rPr>
        <w:t xml:space="preserve"> 2. </w:t>
      </w:r>
      <w:r w:rsidR="0043737D" w:rsidRPr="00F86AD5">
        <w:rPr>
          <w:rFonts w:ascii="Verdana" w:eastAsia="Century Gothic" w:hAnsi="Verdana" w:cs="Century Gothic"/>
        </w:rPr>
        <w:t xml:space="preserve">¿Cuándo el contrato celebrado ha sido adelantado por medio de la plataforma del SECOP II </w:t>
      </w:r>
      <w:r w:rsidR="006448CD" w:rsidRPr="00F86AD5">
        <w:rPr>
          <w:rFonts w:ascii="Verdana" w:eastAsia="Century Gothic" w:hAnsi="Verdana" w:cs="Century Gothic"/>
        </w:rPr>
        <w:t xml:space="preserve">se puede </w:t>
      </w:r>
      <w:r w:rsidR="0043737D" w:rsidRPr="00F86AD5">
        <w:rPr>
          <w:rFonts w:ascii="Verdana" w:eastAsia="Century Gothic" w:hAnsi="Verdana" w:cs="Century Gothic"/>
        </w:rPr>
        <w:t xml:space="preserve">la cesión de este a un Consorcio o Unión Temporal? </w:t>
      </w:r>
    </w:p>
    <w:p w14:paraId="7E1709F9" w14:textId="77777777" w:rsidR="00033B5B" w:rsidRPr="00F86AD5" w:rsidRDefault="00033B5B" w:rsidP="00033B5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F86AD5">
        <w:rPr>
          <w:rFonts w:ascii="Verdana" w:eastAsia="Century Gothic" w:hAnsi="Verdana" w:cs="Century Gothic"/>
          <w:b/>
          <w:bCs/>
        </w:rPr>
        <w:t>Respuesta:</w:t>
      </w:r>
    </w:p>
    <w:p w14:paraId="54E67F68" w14:textId="77777777" w:rsidR="00033B5B" w:rsidRPr="00F86AD5" w:rsidRDefault="00033B5B" w:rsidP="00033B5B">
      <w:pPr>
        <w:spacing w:line="276" w:lineRule="auto"/>
        <w:jc w:val="both"/>
        <w:rPr>
          <w:rFonts w:ascii="Verdana" w:eastAsia="Calibri" w:hAnsi="Verdana" w:cs="Arial"/>
          <w:color w:val="000000" w:themeColor="text1"/>
          <w:lang w:val="es-ES"/>
        </w:rPr>
      </w:pPr>
    </w:p>
    <w:p w14:paraId="29B28CA1" w14:textId="77777777" w:rsidR="0075368F" w:rsidRPr="00DD43D0" w:rsidRDefault="0075368F" w:rsidP="0075368F">
      <w:pPr>
        <w:spacing w:line="276" w:lineRule="auto"/>
        <w:jc w:val="both"/>
        <w:rPr>
          <w:rFonts w:ascii="Verdana" w:eastAsia="Calibri" w:hAnsi="Verdana" w:cs="Arial"/>
          <w:lang w:val="es-ES" w:eastAsia="es-ES"/>
        </w:rPr>
      </w:pPr>
      <w:r w:rsidRPr="00DD43D0">
        <w:rPr>
          <w:rFonts w:ascii="Verdana" w:eastAsia="Calibri" w:hAnsi="Verdana" w:cs="Arial"/>
          <w:color w:val="000000" w:themeColor="text1"/>
          <w:lang w:val="es-ES"/>
        </w:rPr>
        <w:t xml:space="preserve">Respecto al primer interrogante, es pertinente indicar que la Agencia Nacional de Contratación Pública-Colombia Compra Eficiente, actúa únicamente como administradora del SECOP y la Tienda Virtual, y no tiene bajo su competencia la autorización o aprobación de la cesión de los contratos celebrados por parte de </w:t>
      </w:r>
      <w:r w:rsidRPr="00DD43D0">
        <w:rPr>
          <w:rFonts w:ascii="Verdana" w:eastAsia="Calibri" w:hAnsi="Verdana" w:cs="Arial"/>
          <w:color w:val="000000" w:themeColor="text1"/>
          <w:lang w:val="es-ES"/>
        </w:rPr>
        <w:lastRenderedPageBreak/>
        <w:t xml:space="preserve">las entidades sometidas al Estatuto General de Contratación de la Administración Pública-EGCAP. </w:t>
      </w:r>
      <w:r w:rsidRPr="00DD43D0">
        <w:rPr>
          <w:rFonts w:ascii="Verdana" w:eastAsia="Calibri" w:hAnsi="Verdana" w:cs="Arial"/>
          <w:lang w:val="es-ES" w:eastAsia="es-ES"/>
        </w:rPr>
        <w:t>En ejercicio de la competencia otorgada por los artículos 3, numeral 5º, y 11, numeral 8º, del Decreto Ley 4170 de 2011,</w:t>
      </w:r>
      <w:r w:rsidRPr="00DD43D0">
        <w:rPr>
          <w:rFonts w:ascii="Verdana" w:eastAsia="Arial MT" w:hAnsi="Verdana" w:cs="Arial MT"/>
          <w:lang w:val="es-ES" w:eastAsia="es-ES"/>
        </w:rPr>
        <w:t xml:space="preserve"> </w:t>
      </w:r>
      <w:r w:rsidRPr="00DD43D0">
        <w:rPr>
          <w:rFonts w:ascii="Verdana" w:eastAsia="Calibri" w:hAnsi="Verdana" w:cs="Arial"/>
          <w:lang w:val="es-ES" w:eastAsia="es-ES"/>
        </w:rPr>
        <w:t xml:space="preserve">la Agencia Nacional de Contratación Pública – Colombia Compra Eficiente- no le corresponde realizar impulso a las actuaciones contractuales de las entidades compradoras que cargan información de los contratos en trámite, puesto que son ellas las que manejan su usuario y contraseña.  </w:t>
      </w:r>
    </w:p>
    <w:p w14:paraId="41C9B9C8" w14:textId="1FB62EA2" w:rsidR="0075368F" w:rsidRPr="00DD43D0" w:rsidRDefault="0075368F" w:rsidP="0075368F">
      <w:pPr>
        <w:spacing w:line="276" w:lineRule="auto"/>
        <w:jc w:val="both"/>
        <w:rPr>
          <w:rFonts w:ascii="Verdana" w:eastAsia="Calibri" w:hAnsi="Verdana" w:cs="Arial"/>
          <w:color w:val="000000" w:themeColor="text1"/>
          <w:lang w:val="es-ES"/>
        </w:rPr>
      </w:pPr>
      <w:r w:rsidRPr="00DD43D0">
        <w:rPr>
          <w:rFonts w:ascii="Verdana" w:eastAsia="Calibri" w:hAnsi="Verdana" w:cs="Arial"/>
          <w:lang w:val="es-ES" w:eastAsia="es-ES"/>
        </w:rPr>
        <w:t xml:space="preserve">A través de su ingreso al portal transaccional, las entidades estatales aceptan, rechazan, modifican, o realizan cualquier cambio al proceso de contratación a través de los diferentes roles registrados en el Sistema Electrónico de Contratación Pública, por lo que le corresponde a estas realizar el análisis jurídico de aceptación de la cesión del contrato estatal en virtud de sus facultades </w:t>
      </w:r>
      <w:r w:rsidR="000D18AE" w:rsidRPr="00DD43D0">
        <w:rPr>
          <w:rFonts w:ascii="Verdana" w:eastAsia="Calibri" w:hAnsi="Verdana" w:cs="Arial"/>
          <w:lang w:val="es-ES" w:eastAsia="es-ES"/>
        </w:rPr>
        <w:t>discrecionales</w:t>
      </w:r>
      <w:r w:rsidRPr="00DD43D0">
        <w:rPr>
          <w:rFonts w:ascii="Verdana" w:eastAsia="Calibri" w:hAnsi="Verdana" w:cs="Arial"/>
          <w:lang w:val="es-ES" w:eastAsia="es-ES"/>
        </w:rPr>
        <w:t xml:space="preserve"> sin desconocer los requisitos habilitantes por los que fue escogido el contratista y precisando que una de las características del contrato estatal en especial el derivado de un proceso competitivo es ser “</w:t>
      </w:r>
      <w:proofErr w:type="spellStart"/>
      <w:r w:rsidRPr="00DD43D0">
        <w:rPr>
          <w:rFonts w:ascii="Verdana" w:eastAsia="Calibri" w:hAnsi="Verdana" w:cs="Arial"/>
          <w:lang w:val="es-ES" w:eastAsia="es-ES"/>
        </w:rPr>
        <w:t>intuitu</w:t>
      </w:r>
      <w:proofErr w:type="spellEnd"/>
      <w:r w:rsidRPr="00DD43D0">
        <w:rPr>
          <w:rFonts w:ascii="Verdana" w:eastAsia="Calibri" w:hAnsi="Verdana" w:cs="Arial"/>
          <w:lang w:val="es-ES" w:eastAsia="es-ES"/>
        </w:rPr>
        <w:t xml:space="preserve"> </w:t>
      </w:r>
      <w:proofErr w:type="spellStart"/>
      <w:r w:rsidRPr="00DD43D0">
        <w:rPr>
          <w:rFonts w:ascii="Verdana" w:eastAsia="Calibri" w:hAnsi="Verdana" w:cs="Arial"/>
          <w:lang w:val="es-ES" w:eastAsia="es-ES"/>
        </w:rPr>
        <w:t>personae</w:t>
      </w:r>
      <w:proofErr w:type="spellEnd"/>
      <w:r w:rsidRPr="00DD43D0">
        <w:rPr>
          <w:rFonts w:ascii="Verdana" w:eastAsia="Calibri" w:hAnsi="Verdana" w:cs="Arial"/>
          <w:lang w:val="es-ES" w:eastAsia="es-ES"/>
        </w:rPr>
        <w:t xml:space="preserve">”. </w:t>
      </w:r>
    </w:p>
    <w:p w14:paraId="72E8F775" w14:textId="54E79421" w:rsidR="0075368F" w:rsidRPr="00DD43D0" w:rsidRDefault="0075368F" w:rsidP="0075368F">
      <w:pPr>
        <w:spacing w:line="276" w:lineRule="auto"/>
        <w:jc w:val="both"/>
        <w:rPr>
          <w:rFonts w:ascii="Verdana" w:eastAsia="Calibri" w:hAnsi="Verdana" w:cs="Arial"/>
          <w:color w:val="000000" w:themeColor="text1"/>
          <w:lang w:val="es-ES"/>
        </w:rPr>
      </w:pPr>
      <w:r w:rsidRPr="00DD43D0">
        <w:rPr>
          <w:rFonts w:ascii="Verdana" w:eastAsia="Calibri" w:hAnsi="Verdana" w:cs="Arial"/>
          <w:color w:val="000000" w:themeColor="text1"/>
          <w:lang w:val="es-ES"/>
        </w:rPr>
        <w:t xml:space="preserve">Ahora bien, de manera general, en relación con los requisitos para la autorización de la cesión del contrato estatal, </w:t>
      </w:r>
      <w:r w:rsidRPr="00DD43D0">
        <w:rPr>
          <w:rFonts w:ascii="Verdana" w:eastAsia="Calibri" w:hAnsi="Verdana" w:cs="Arial"/>
          <w:color w:val="000000" w:themeColor="text1"/>
        </w:rPr>
        <w:t>el Consejo de Estado</w:t>
      </w:r>
      <w:r w:rsidRPr="00DD43D0">
        <w:rPr>
          <w:rStyle w:val="Refdenotaalpie"/>
          <w:rFonts w:ascii="Verdana" w:eastAsia="Calibri" w:hAnsi="Verdana" w:cs="Arial"/>
          <w:color w:val="000000" w:themeColor="text1"/>
        </w:rPr>
        <w:footnoteReference w:id="2"/>
      </w:r>
      <w:r w:rsidRPr="00DD43D0">
        <w:rPr>
          <w:rFonts w:ascii="Verdana" w:eastAsia="Calibri" w:hAnsi="Verdana" w:cs="Arial"/>
          <w:color w:val="000000" w:themeColor="text1"/>
        </w:rPr>
        <w:t xml:space="preserve"> ha precisado los siguientes: i) debe recaer en un tercero; ii) el cesionario debe tener capacidad jurídica para continuar con la ejecución del objeto contractual y no estar incurso en causales de inhabilidad e incompatibilidad para contratar; y iii) el cesionario debe contar con capacidad técnica, económica y financiera suficientes para el cumplimiento de las obligaciones emanadas del contrato cedido.</w:t>
      </w:r>
      <w:r w:rsidRPr="00DD43D0">
        <w:rPr>
          <w:rFonts w:ascii="Verdana" w:eastAsia="Calibri" w:hAnsi="Verdana" w:cs="Arial"/>
          <w:color w:val="000000" w:themeColor="text1"/>
          <w:lang w:val="es-ES"/>
        </w:rPr>
        <w:tab/>
      </w:r>
    </w:p>
    <w:p w14:paraId="6E6A407B" w14:textId="77777777" w:rsidR="0075368F" w:rsidRPr="00DD43D0" w:rsidRDefault="0075368F" w:rsidP="0075368F">
      <w:pPr>
        <w:spacing w:line="276" w:lineRule="auto"/>
        <w:jc w:val="both"/>
        <w:rPr>
          <w:rFonts w:ascii="Verdana" w:eastAsia="Calibri" w:hAnsi="Verdana" w:cs="Arial"/>
          <w:color w:val="000000" w:themeColor="text1"/>
          <w:lang w:val="es-ES"/>
        </w:rPr>
      </w:pPr>
      <w:r w:rsidRPr="00DD43D0">
        <w:rPr>
          <w:rFonts w:ascii="Verdana" w:eastAsia="Calibri" w:hAnsi="Verdana" w:cs="Arial"/>
          <w:color w:val="000000" w:themeColor="text1"/>
          <w:lang w:val="es-ES"/>
        </w:rPr>
        <w:t xml:space="preserve">Respecto al segundo interrogante, se insiste que esta agencia no resuelve casos particulares de los operadores en el mercado de la compra pública sino asuntos generales relacionados con la contratación. En ese orden de ideas, verificada la plataforma SECOP II, no tiene ningún tipo de restricción  técnica, operacional o tecnológica frente a la cesión de contratos a determinado tipo de cuenta proveedor. </w:t>
      </w:r>
    </w:p>
    <w:p w14:paraId="7D38ADFC" w14:textId="77777777" w:rsidR="0075368F" w:rsidRPr="00DD43D0" w:rsidRDefault="0075368F" w:rsidP="007C08AD">
      <w:pPr>
        <w:spacing w:line="276" w:lineRule="auto"/>
        <w:jc w:val="both"/>
        <w:rPr>
          <w:rFonts w:ascii="Verdana" w:eastAsia="Calibri" w:hAnsi="Verdana" w:cs="Arial"/>
          <w:color w:val="000000" w:themeColor="text1"/>
          <w:lang w:val="es-ES"/>
        </w:rPr>
      </w:pPr>
      <w:r w:rsidRPr="00DD43D0">
        <w:rPr>
          <w:rFonts w:ascii="Verdana" w:eastAsia="Calibri" w:hAnsi="Verdana" w:cs="Arial"/>
          <w:color w:val="000000" w:themeColor="text1"/>
          <w:lang w:val="es-ES"/>
        </w:rPr>
        <w:t xml:space="preserve">Sin embargo, se señala que las autoridades fueron dotadas de autonomía administrativa para el ejercicio de las funciones y competencias que en virtud del principio de legalidad les fueron atribuidas por el ordenamiento jurídico. Por esa razón, como responsables de su actividad contractual en sus diferentes </w:t>
      </w:r>
      <w:r w:rsidRPr="00DD43D0">
        <w:rPr>
          <w:rFonts w:ascii="Verdana" w:eastAsia="Calibri" w:hAnsi="Verdana" w:cs="Arial"/>
          <w:color w:val="000000" w:themeColor="text1"/>
          <w:lang w:val="es-ES"/>
        </w:rPr>
        <w:lastRenderedPageBreak/>
        <w:t>etapas y conforme al régimen jurídico de contratación que les resulta aplicable, les corresponde adoptar las decisiones y adelantar las actuaciones que estimen pertinentes al momento de aprobar la cesión de un contrato estatal en concordancia con su Manual de Contratación.</w:t>
      </w:r>
    </w:p>
    <w:p w14:paraId="02778DC5" w14:textId="77777777" w:rsidR="00033B5B" w:rsidRPr="00F86AD5" w:rsidRDefault="00033B5B" w:rsidP="00033B5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F86AD5">
        <w:rPr>
          <w:rFonts w:ascii="Verdana" w:eastAsia="Century Gothic" w:hAnsi="Verdana" w:cs="Century Gothic"/>
          <w:b/>
          <w:bCs/>
        </w:rPr>
        <w:t>Razones de la respuesta:</w:t>
      </w:r>
    </w:p>
    <w:p w14:paraId="3F865D5D" w14:textId="77777777" w:rsidR="00033B5B" w:rsidRPr="00F86AD5" w:rsidRDefault="00033B5B" w:rsidP="00033B5B">
      <w:pPr>
        <w:spacing w:after="0" w:line="276" w:lineRule="auto"/>
        <w:jc w:val="both"/>
        <w:rPr>
          <w:rFonts w:ascii="Verdana" w:eastAsia="Calibri" w:hAnsi="Verdana" w:cs="Arial"/>
          <w:lang w:val="es-ES" w:eastAsia="es-ES"/>
        </w:rPr>
      </w:pPr>
    </w:p>
    <w:p w14:paraId="20B8855E" w14:textId="77777777" w:rsidR="00033B5B" w:rsidRPr="00F86AD5" w:rsidRDefault="00033B5B" w:rsidP="00033B5B">
      <w:pPr>
        <w:spacing w:after="0" w:line="276" w:lineRule="auto"/>
        <w:jc w:val="both"/>
        <w:rPr>
          <w:rFonts w:ascii="Verdana" w:eastAsia="Calibri" w:hAnsi="Verdana" w:cs="Arial"/>
          <w:lang w:val="es-ES"/>
        </w:rPr>
      </w:pPr>
      <w:r w:rsidRPr="00F86AD5">
        <w:rPr>
          <w:rFonts w:ascii="Verdana" w:eastAsia="Calibri" w:hAnsi="Verdana" w:cs="Arial"/>
          <w:lang w:val="es-ES"/>
        </w:rPr>
        <w:t xml:space="preserve">Lo anterior se sustenta en las siguientes consideraciones: </w:t>
      </w:r>
    </w:p>
    <w:p w14:paraId="61E123B0" w14:textId="77777777" w:rsidR="00A62207" w:rsidRPr="00F86AD5" w:rsidRDefault="00A62207" w:rsidP="00F67133">
      <w:pPr>
        <w:spacing w:after="120" w:line="276" w:lineRule="auto"/>
        <w:jc w:val="both"/>
        <w:rPr>
          <w:rFonts w:ascii="Verdana" w:eastAsia="Calibri" w:hAnsi="Verdana" w:cs="Arial"/>
          <w:bCs/>
          <w:color w:val="000000" w:themeColor="text1"/>
        </w:rPr>
      </w:pPr>
    </w:p>
    <w:p w14:paraId="15230E27" w14:textId="3779BDC8" w:rsidR="0075368F" w:rsidRPr="00DD43D0" w:rsidRDefault="0075368F" w:rsidP="0075368F">
      <w:pPr>
        <w:pStyle w:val="Prrafodelista"/>
        <w:numPr>
          <w:ilvl w:val="0"/>
          <w:numId w:val="18"/>
        </w:numPr>
        <w:spacing w:after="120" w:line="276" w:lineRule="auto"/>
        <w:ind w:left="851"/>
        <w:jc w:val="both"/>
        <w:rPr>
          <w:rFonts w:ascii="Verdana" w:eastAsia="Calibri" w:hAnsi="Verdana" w:cs="Arial"/>
          <w:color w:val="000000" w:themeColor="text1"/>
        </w:rPr>
      </w:pPr>
      <w:r w:rsidRPr="00DD43D0">
        <w:rPr>
          <w:rFonts w:ascii="Verdana" w:eastAsia="Calibri" w:hAnsi="Verdana" w:cs="Arial"/>
          <w:color w:val="000000" w:themeColor="text1"/>
        </w:rPr>
        <w:t>La cesión de contrato es la figura jurídica que</w:t>
      </w:r>
      <w:r w:rsidRPr="00DD43D0">
        <w:rPr>
          <w:rFonts w:ascii="Verdana" w:eastAsia="Calibri" w:hAnsi="Verdana" w:cs="Arial"/>
          <w:color w:val="000000" w:themeColor="text1"/>
          <w:lang w:val="es-CO"/>
        </w:rPr>
        <w:t xml:space="preserve"> permite el traspaso de los derechos y obligaciones que emanan de un contrato; de tal manera que, un tercero ajeno a la relación inicial ocupa el lugar del contratista y se obliga a continuar dando cumplimiento </w:t>
      </w:r>
      <w:r w:rsidRPr="00DD43D0">
        <w:rPr>
          <w:rFonts w:ascii="Verdana" w:eastAsia="Calibri" w:hAnsi="Verdana" w:cs="Arial"/>
          <w:color w:val="000000" w:themeColor="text1"/>
        </w:rPr>
        <w:t>a la totalidad de las obligaciones derivadas del contrato. Es decir, un tercero, se subroga en los derechos y obligaciones del cedente, por medio de la modificación del contrato estatal originario</w:t>
      </w:r>
      <w:r w:rsidR="00DF0C19">
        <w:rPr>
          <w:rFonts w:ascii="Verdana" w:eastAsia="Calibri" w:hAnsi="Verdana" w:cs="Arial"/>
          <w:color w:val="000000" w:themeColor="text1"/>
        </w:rPr>
        <w:t>.</w:t>
      </w:r>
    </w:p>
    <w:p w14:paraId="7CE2A144" w14:textId="77777777" w:rsidR="0075368F" w:rsidRPr="00DD43D0" w:rsidRDefault="0075368F" w:rsidP="0075368F">
      <w:pPr>
        <w:pStyle w:val="Prrafodelista"/>
        <w:spacing w:after="120" w:line="276" w:lineRule="auto"/>
        <w:ind w:left="851"/>
        <w:jc w:val="both"/>
        <w:rPr>
          <w:rFonts w:ascii="Verdana" w:eastAsia="Calibri" w:hAnsi="Verdana" w:cs="Arial"/>
          <w:color w:val="000000" w:themeColor="text1"/>
        </w:rPr>
      </w:pPr>
    </w:p>
    <w:p w14:paraId="1D51A943" w14:textId="77777777" w:rsidR="0075368F" w:rsidRPr="00DD43D0" w:rsidRDefault="0075368F" w:rsidP="0075368F">
      <w:pPr>
        <w:pStyle w:val="Prrafodelista"/>
        <w:numPr>
          <w:ilvl w:val="0"/>
          <w:numId w:val="18"/>
        </w:numPr>
        <w:spacing w:after="0" w:line="276" w:lineRule="auto"/>
        <w:ind w:left="851"/>
        <w:jc w:val="both"/>
        <w:rPr>
          <w:rFonts w:ascii="Verdana" w:eastAsia="Calibri" w:hAnsi="Verdana" w:cs="Arial"/>
          <w:color w:val="000000" w:themeColor="text1"/>
        </w:rPr>
      </w:pPr>
      <w:r w:rsidRPr="00DD43D0">
        <w:rPr>
          <w:rFonts w:ascii="Verdana" w:eastAsia="Calibri" w:hAnsi="Verdana" w:cs="Arial"/>
          <w:color w:val="000000" w:themeColor="text1"/>
        </w:rPr>
        <w:t>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encuentra en la relación con el cedido (…)”</w:t>
      </w:r>
      <w:r w:rsidRPr="00DD43D0">
        <w:rPr>
          <w:rStyle w:val="Refdenotaalpie"/>
          <w:rFonts w:ascii="Verdana" w:eastAsia="Calibri" w:hAnsi="Verdana" w:cs="Arial"/>
          <w:color w:val="000000" w:themeColor="text1"/>
        </w:rPr>
        <w:footnoteReference w:id="3"/>
      </w:r>
      <w:r w:rsidRPr="00DD43D0">
        <w:rPr>
          <w:rFonts w:ascii="Verdana" w:eastAsia="Calibri" w:hAnsi="Verdana" w:cs="Arial"/>
          <w:color w:val="000000" w:themeColor="text1"/>
        </w:rPr>
        <w:t>. Por otro, “(…) es la transferencia de la posición contractual de un contratante a otro sujeto, que le encuentra en la relación con la contraparte (…)”</w:t>
      </w:r>
      <w:r w:rsidRPr="00DD43D0">
        <w:rPr>
          <w:rStyle w:val="Refdenotaalpie"/>
          <w:rFonts w:ascii="Verdana" w:eastAsia="Calibri" w:hAnsi="Verdana" w:cs="Arial"/>
          <w:color w:val="000000" w:themeColor="text1"/>
        </w:rPr>
        <w:footnoteReference w:id="4"/>
      </w:r>
      <w:r w:rsidRPr="00DD43D0">
        <w:rPr>
          <w:rFonts w:ascii="Verdana" w:eastAsia="Calibri" w:hAnsi="Verdana" w:cs="Arial"/>
          <w:color w:val="000000" w:themeColor="text1"/>
        </w:rPr>
        <w:t xml:space="preserve">. </w:t>
      </w:r>
    </w:p>
    <w:p w14:paraId="60D7370B" w14:textId="77777777" w:rsidR="0075368F" w:rsidRPr="00DD43D0" w:rsidRDefault="0075368F" w:rsidP="0075368F">
      <w:pPr>
        <w:pStyle w:val="Prrafodelista"/>
        <w:ind w:left="851"/>
        <w:rPr>
          <w:rFonts w:ascii="Verdana" w:eastAsia="Calibri" w:hAnsi="Verdana" w:cs="Arial"/>
          <w:color w:val="000000" w:themeColor="text1"/>
        </w:rPr>
      </w:pPr>
    </w:p>
    <w:p w14:paraId="3B679AAE" w14:textId="77777777" w:rsidR="0075368F" w:rsidRDefault="0075368F" w:rsidP="0075368F">
      <w:pPr>
        <w:pStyle w:val="Prrafodelista"/>
        <w:numPr>
          <w:ilvl w:val="0"/>
          <w:numId w:val="28"/>
        </w:numPr>
        <w:spacing w:after="120" w:line="276" w:lineRule="auto"/>
        <w:ind w:left="851"/>
        <w:jc w:val="both"/>
        <w:rPr>
          <w:rFonts w:ascii="Verdana" w:hAnsi="Verdana" w:cs="Arial"/>
          <w:color w:val="000000" w:themeColor="text1"/>
        </w:rPr>
      </w:pPr>
      <w:r w:rsidRPr="00DD43D0">
        <w:rPr>
          <w:rFonts w:ascii="Verdana" w:eastAsia="Calibri" w:hAnsi="Verdana" w:cs="Arial"/>
          <w:color w:val="000000" w:themeColor="text1"/>
        </w:rPr>
        <w:t xml:space="preserve">En la Cesión de los contratos, </w:t>
      </w:r>
      <w:r w:rsidRPr="00DD43D0">
        <w:rPr>
          <w:rFonts w:ascii="Verdana" w:hAnsi="Verdana" w:cs="Arial"/>
          <w:color w:val="000000" w:themeColor="text1"/>
        </w:rPr>
        <w:t>concurren tres (3) sujetos: i) el cedente, esto es, el contratista inicial; ii) el cesionario, es decir, quien asume total o parcialmente los derechos y obligaciones de este último; y iii) el cedido que, en el caso de los contratos estatales, sería la entidad suscribiente.</w:t>
      </w:r>
    </w:p>
    <w:p w14:paraId="10A5DE74" w14:textId="77777777" w:rsidR="0075368F" w:rsidRPr="00DD43D0" w:rsidRDefault="0075368F" w:rsidP="0075368F">
      <w:pPr>
        <w:pStyle w:val="Prrafodelista"/>
        <w:spacing w:after="120" w:line="276" w:lineRule="auto"/>
        <w:ind w:left="851"/>
        <w:jc w:val="both"/>
        <w:rPr>
          <w:rFonts w:ascii="Verdana" w:hAnsi="Verdana" w:cs="Arial"/>
          <w:color w:val="000000" w:themeColor="text1"/>
        </w:rPr>
      </w:pPr>
    </w:p>
    <w:p w14:paraId="4653C86E" w14:textId="513E88D3" w:rsidR="0075368F" w:rsidRDefault="0075368F" w:rsidP="0075368F">
      <w:pPr>
        <w:pStyle w:val="Prrafodelista"/>
        <w:numPr>
          <w:ilvl w:val="0"/>
          <w:numId w:val="28"/>
        </w:numPr>
        <w:spacing w:after="120" w:line="276" w:lineRule="auto"/>
        <w:ind w:left="851"/>
        <w:jc w:val="both"/>
        <w:rPr>
          <w:rFonts w:ascii="Verdana" w:eastAsia="Calibri" w:hAnsi="Verdana"/>
          <w:lang w:val="es-CO"/>
        </w:rPr>
      </w:pPr>
      <w:r w:rsidRPr="00E25381">
        <w:rPr>
          <w:rFonts w:ascii="Verdana" w:eastAsia="Calibri" w:hAnsi="Verdana" w:cs="Arial"/>
          <w:color w:val="000000" w:themeColor="text1"/>
        </w:rPr>
        <w:t>Tratándose</w:t>
      </w:r>
      <w:r w:rsidRPr="00DD43D0">
        <w:rPr>
          <w:rFonts w:ascii="Verdana" w:eastAsia="Calibri" w:hAnsi="Verdana"/>
          <w:lang w:val="es-CO"/>
        </w:rPr>
        <w:t xml:space="preserve"> de la cesión de contratos estatales, conforme a la regulación del EGCAP, confluyen una mixtura entre el derecho público y privado en su regulación. En efecto</w:t>
      </w:r>
      <w:r w:rsidR="00217629">
        <w:rPr>
          <w:rStyle w:val="Refdenotaalpie"/>
          <w:rFonts w:ascii="Verdana" w:eastAsia="Calibri" w:hAnsi="Verdana"/>
          <w:lang w:val="es-CO"/>
        </w:rPr>
        <w:footnoteReference w:id="5"/>
      </w:r>
      <w:r w:rsidRPr="00DD43D0">
        <w:rPr>
          <w:rFonts w:ascii="Verdana" w:eastAsia="Calibri" w:hAnsi="Verdana"/>
          <w:lang w:val="es-CO"/>
        </w:rPr>
        <w:t>:</w:t>
      </w:r>
    </w:p>
    <w:p w14:paraId="2EE3605F" w14:textId="77777777" w:rsidR="007F2C5B" w:rsidRPr="007F2C5B" w:rsidRDefault="007F2C5B" w:rsidP="007F2C5B">
      <w:pPr>
        <w:pStyle w:val="Prrafodelista"/>
        <w:rPr>
          <w:rFonts w:ascii="Verdana" w:eastAsia="Calibri" w:hAnsi="Verdana"/>
          <w:lang w:val="es-CO"/>
        </w:rPr>
      </w:pPr>
    </w:p>
    <w:p w14:paraId="1D8FC0C7" w14:textId="77777777" w:rsidR="007F2C5B" w:rsidRPr="00DD43D0" w:rsidRDefault="007F2C5B" w:rsidP="007F2C5B">
      <w:pPr>
        <w:pStyle w:val="Prrafodelista"/>
        <w:spacing w:after="120" w:line="276" w:lineRule="auto"/>
        <w:ind w:left="851"/>
        <w:jc w:val="both"/>
        <w:rPr>
          <w:rFonts w:ascii="Verdana" w:eastAsia="Calibri" w:hAnsi="Verdana"/>
          <w:lang w:val="es-CO"/>
        </w:rPr>
      </w:pPr>
    </w:p>
    <w:p w14:paraId="173CF7F5" w14:textId="1327878D" w:rsidR="0075368F" w:rsidRPr="00DD43D0" w:rsidRDefault="0075368F" w:rsidP="0075368F">
      <w:pPr>
        <w:pStyle w:val="Prrafodelista"/>
        <w:jc w:val="both"/>
        <w:rPr>
          <w:rFonts w:ascii="Verdana" w:eastAsia="Calibri" w:hAnsi="Verdana"/>
        </w:rPr>
      </w:pPr>
      <w:r w:rsidRPr="00DD43D0">
        <w:rPr>
          <w:rFonts w:ascii="Verdana" w:eastAsia="Calibri" w:hAnsi="Verdana"/>
        </w:rPr>
        <w:t>i) los contratos estatales se regirán por las normas comerciales y civiles pertinentes, salvo en lo concerniente a las materias particularmente reguladas en dicha ley, de acuerdo con lo prescrito en el inciso primero del artículo 13 de la Ley 80 de 1993</w:t>
      </w:r>
      <w:r>
        <w:rPr>
          <w:rStyle w:val="Refdenotaalpie"/>
          <w:rFonts w:ascii="Verdana" w:eastAsia="Calibri" w:hAnsi="Verdana"/>
        </w:rPr>
        <w:footnoteReference w:id="6"/>
      </w:r>
      <w:r w:rsidRPr="00DD43D0">
        <w:rPr>
          <w:rFonts w:ascii="Verdana" w:eastAsia="Calibri" w:hAnsi="Verdana"/>
        </w:rPr>
        <w:t>, por lo que deben observarse en primer término las disposiciones establecidas en el EGCAP;</w:t>
      </w:r>
    </w:p>
    <w:p w14:paraId="19013D3C" w14:textId="77777777" w:rsidR="0075368F" w:rsidRPr="00DD43D0" w:rsidRDefault="0075368F" w:rsidP="0075368F">
      <w:pPr>
        <w:pStyle w:val="Prrafodelista"/>
        <w:jc w:val="both"/>
        <w:rPr>
          <w:rFonts w:ascii="Verdana" w:eastAsia="Calibri" w:hAnsi="Verdana"/>
        </w:rPr>
      </w:pPr>
      <w:r w:rsidRPr="00DD43D0">
        <w:rPr>
          <w:rFonts w:ascii="Verdana" w:eastAsia="Calibri" w:hAnsi="Verdana"/>
        </w:rPr>
        <w:t xml:space="preserve">ii) corresponderán como actos jurídicos bilaterales generadores de obligaciones, entre otros, a los previstos en el derecho privado, en los términos del artículo 32 </w:t>
      </w:r>
      <w:r w:rsidRPr="00DD43D0">
        <w:rPr>
          <w:rFonts w:ascii="Verdana" w:eastAsia="Calibri" w:hAnsi="Verdana"/>
          <w:i/>
          <w:iCs/>
        </w:rPr>
        <w:t>ibidem</w:t>
      </w:r>
      <w:r w:rsidRPr="00DD43D0">
        <w:rPr>
          <w:rFonts w:ascii="Verdana" w:eastAsia="Calibri" w:hAnsi="Verdana"/>
        </w:rPr>
        <w:t>; y</w:t>
      </w:r>
    </w:p>
    <w:p w14:paraId="5F96E85C" w14:textId="77777777" w:rsidR="0075368F" w:rsidRPr="00DD43D0" w:rsidRDefault="0075368F" w:rsidP="0075368F">
      <w:pPr>
        <w:pStyle w:val="Prrafodelista"/>
        <w:jc w:val="both"/>
        <w:rPr>
          <w:rFonts w:ascii="Verdana" w:eastAsia="Calibri" w:hAnsi="Verdana"/>
        </w:rPr>
      </w:pPr>
      <w:r w:rsidRPr="00DD43D0">
        <w:rPr>
          <w:rFonts w:ascii="Verdana" w:eastAsia="Calibri" w:hAnsi="Verdana"/>
        </w:rPr>
        <w:t xml:space="preserve">iii) contendrán las estipulaciones que, de acuerdo con las normas civiles, comerciales y las previstas en esta ley, correspondan a su esencia y naturaleza, conforme a lo dispuesto por el artículo 40 </w:t>
      </w:r>
      <w:r w:rsidRPr="00DD43D0">
        <w:rPr>
          <w:rFonts w:ascii="Verdana" w:eastAsia="Calibri" w:hAnsi="Verdana"/>
          <w:i/>
          <w:iCs/>
        </w:rPr>
        <w:t>ibidem</w:t>
      </w:r>
      <w:r w:rsidRPr="00DD43D0">
        <w:rPr>
          <w:rFonts w:ascii="Verdana" w:eastAsia="Calibri" w:hAnsi="Verdana"/>
        </w:rPr>
        <w:t xml:space="preserve">. </w:t>
      </w:r>
    </w:p>
    <w:p w14:paraId="3B5CE8CA" w14:textId="77777777" w:rsidR="0075368F" w:rsidRPr="00DD43D0" w:rsidRDefault="0075368F" w:rsidP="0075368F">
      <w:pPr>
        <w:pStyle w:val="Prrafodelista"/>
        <w:spacing w:after="120" w:line="276" w:lineRule="auto"/>
        <w:jc w:val="both"/>
        <w:rPr>
          <w:rFonts w:ascii="Verdana" w:eastAsia="Calibri" w:hAnsi="Verdana" w:cs="Arial"/>
          <w:color w:val="000000" w:themeColor="text1"/>
        </w:rPr>
      </w:pPr>
    </w:p>
    <w:p w14:paraId="2A631517" w14:textId="45FEB5D4" w:rsidR="0075368F" w:rsidRDefault="0075368F" w:rsidP="00BF3074">
      <w:pPr>
        <w:pStyle w:val="Prrafodelista"/>
        <w:numPr>
          <w:ilvl w:val="0"/>
          <w:numId w:val="19"/>
        </w:numPr>
        <w:spacing w:after="120" w:line="276" w:lineRule="auto"/>
        <w:jc w:val="both"/>
        <w:rPr>
          <w:rFonts w:ascii="Verdana" w:eastAsia="Calibri" w:hAnsi="Verdana" w:cs="Arial"/>
          <w:color w:val="000000" w:themeColor="text1"/>
        </w:rPr>
      </w:pPr>
      <w:r w:rsidRPr="00DD43D0">
        <w:rPr>
          <w:rFonts w:ascii="Verdana" w:eastAsia="Calibri" w:hAnsi="Verdana" w:cs="Arial"/>
          <w:color w:val="000000" w:themeColor="text1"/>
        </w:rPr>
        <w:t>En ese sentido, es pertinente indicar que cuando no se encuentren en la Ley 80 de 1993 disposiciones que permitan desarrollar la cesión del contrato estatal, se aplicará el Decreto Ley 410 de 1971 en las normas que rigen la cesión del contrato contenidas en sus artículos 887 y siguientes del Código de Comercio.</w:t>
      </w:r>
    </w:p>
    <w:p w14:paraId="2499B010" w14:textId="77777777" w:rsidR="00BF3074" w:rsidRPr="00BF3074" w:rsidRDefault="00BF3074" w:rsidP="00BF3074">
      <w:pPr>
        <w:pStyle w:val="Prrafodelista"/>
        <w:spacing w:after="120" w:line="276" w:lineRule="auto"/>
        <w:jc w:val="both"/>
        <w:rPr>
          <w:rFonts w:ascii="Verdana" w:eastAsia="Calibri" w:hAnsi="Verdana" w:cs="Arial"/>
          <w:color w:val="000000" w:themeColor="text1"/>
        </w:rPr>
      </w:pPr>
    </w:p>
    <w:p w14:paraId="362CD538" w14:textId="31C56378" w:rsidR="0075368F" w:rsidRPr="00DD43D0" w:rsidRDefault="0075368F" w:rsidP="0075368F">
      <w:pPr>
        <w:pStyle w:val="Prrafodelista"/>
        <w:numPr>
          <w:ilvl w:val="0"/>
          <w:numId w:val="19"/>
        </w:numPr>
        <w:spacing w:after="120" w:line="276" w:lineRule="auto"/>
        <w:jc w:val="both"/>
        <w:rPr>
          <w:rFonts w:ascii="Verdana" w:eastAsia="Calibri" w:hAnsi="Verdana" w:cs="Arial"/>
          <w:color w:val="000000" w:themeColor="text1"/>
        </w:rPr>
      </w:pPr>
      <w:r w:rsidRPr="00E25381">
        <w:rPr>
          <w:rFonts w:ascii="Verdana" w:eastAsia="Calibri" w:hAnsi="Verdana" w:cs="Arial"/>
          <w:color w:val="000000" w:themeColor="text1"/>
        </w:rPr>
        <w:t xml:space="preserve">Ahora bien, el inciso tercero del artículo 41 </w:t>
      </w:r>
      <w:r w:rsidR="00BF3074" w:rsidRPr="00E25381">
        <w:rPr>
          <w:rFonts w:ascii="Verdana" w:eastAsia="Calibri" w:hAnsi="Verdana" w:cs="Arial"/>
          <w:color w:val="000000" w:themeColor="text1"/>
        </w:rPr>
        <w:t>de la</w:t>
      </w:r>
      <w:r w:rsidRPr="00E25381">
        <w:rPr>
          <w:rFonts w:ascii="Verdana" w:eastAsia="Calibri" w:hAnsi="Verdana" w:cs="Arial"/>
          <w:color w:val="000000" w:themeColor="text1"/>
        </w:rPr>
        <w:t xml:space="preserve"> Ley 80 de 1993 prescribe</w:t>
      </w:r>
      <w:r w:rsidRPr="00DD43D0">
        <w:rPr>
          <w:rFonts w:ascii="Verdana" w:eastAsia="Calibri" w:hAnsi="Verdana" w:cs="Arial"/>
          <w:color w:val="000000" w:themeColor="text1"/>
        </w:rPr>
        <w:t xml:space="preserve"> que “Los contratos estatales son </w:t>
      </w:r>
      <w:r w:rsidRPr="00DD43D0">
        <w:rPr>
          <w:rFonts w:ascii="Verdana" w:eastAsia="Calibri" w:hAnsi="Verdana" w:cs="Arial"/>
          <w:i/>
          <w:iCs/>
          <w:color w:val="000000" w:themeColor="text1"/>
        </w:rPr>
        <w:t xml:space="preserve">intuito </w:t>
      </w:r>
      <w:proofErr w:type="spellStart"/>
      <w:r w:rsidRPr="00DD43D0">
        <w:rPr>
          <w:rFonts w:ascii="Verdana" w:eastAsia="Calibri" w:hAnsi="Verdana" w:cs="Arial"/>
          <w:i/>
          <w:iCs/>
          <w:color w:val="000000" w:themeColor="text1"/>
        </w:rPr>
        <w:t>personae</w:t>
      </w:r>
      <w:proofErr w:type="spellEnd"/>
      <w:r w:rsidRPr="00DD43D0">
        <w:rPr>
          <w:rFonts w:ascii="Verdana" w:eastAsia="Calibri" w:hAnsi="Verdana" w:cs="Arial"/>
          <w:color w:val="000000" w:themeColor="text1"/>
        </w:rPr>
        <w:t xml:space="preserve"> y, en consecuencia, una vez celebrados no podrán cederse sin previa autorización escrita de la entidad contratante”. Esta norma contiene una prohibición general –</w:t>
      </w:r>
      <w:r w:rsidRPr="00DD43D0">
        <w:rPr>
          <w:rFonts w:ascii="Verdana" w:eastAsia="Calibri" w:hAnsi="Verdana" w:cs="Arial"/>
          <w:i/>
          <w:iCs/>
          <w:color w:val="000000" w:themeColor="text1"/>
        </w:rPr>
        <w:t>faceta negativa</w:t>
      </w:r>
      <w:r w:rsidRPr="00DD43D0">
        <w:rPr>
          <w:rFonts w:ascii="Verdana" w:eastAsia="Calibri" w:hAnsi="Verdana" w:cs="Arial"/>
          <w:color w:val="000000" w:themeColor="text1"/>
        </w:rPr>
        <w:t>– y una autorización excepcional –</w:t>
      </w:r>
      <w:r w:rsidRPr="00DD43D0">
        <w:rPr>
          <w:rFonts w:ascii="Verdana" w:eastAsia="Calibri" w:hAnsi="Verdana" w:cs="Arial"/>
          <w:i/>
          <w:iCs/>
          <w:color w:val="000000" w:themeColor="text1"/>
        </w:rPr>
        <w:t>faceta positiva</w:t>
      </w:r>
      <w:r w:rsidRPr="00DD43D0">
        <w:rPr>
          <w:rFonts w:ascii="Verdana" w:eastAsia="Calibri" w:hAnsi="Verdana" w:cs="Arial"/>
          <w:color w:val="000000" w:themeColor="text1"/>
        </w:rPr>
        <w:t>–.</w:t>
      </w:r>
    </w:p>
    <w:p w14:paraId="70FC9238" w14:textId="77777777" w:rsidR="0075368F" w:rsidRPr="00DD43D0" w:rsidRDefault="0075368F" w:rsidP="0075368F">
      <w:pPr>
        <w:pStyle w:val="Prrafodelista"/>
        <w:tabs>
          <w:tab w:val="left" w:pos="709"/>
        </w:tabs>
        <w:spacing w:after="120" w:line="276" w:lineRule="auto"/>
        <w:jc w:val="both"/>
        <w:rPr>
          <w:rFonts w:ascii="Verdana" w:eastAsia="Calibri" w:hAnsi="Verdana" w:cs="Arial"/>
          <w:color w:val="000000" w:themeColor="text1"/>
        </w:rPr>
      </w:pPr>
    </w:p>
    <w:p w14:paraId="2482561F" w14:textId="77777777" w:rsidR="0075368F" w:rsidRPr="00DD43D0" w:rsidRDefault="0075368F" w:rsidP="0075368F">
      <w:pPr>
        <w:pStyle w:val="Prrafodelista"/>
        <w:numPr>
          <w:ilvl w:val="0"/>
          <w:numId w:val="19"/>
        </w:numPr>
        <w:tabs>
          <w:tab w:val="left" w:pos="709"/>
        </w:tabs>
        <w:spacing w:after="120" w:line="276" w:lineRule="auto"/>
        <w:jc w:val="both"/>
        <w:rPr>
          <w:rFonts w:ascii="Verdana" w:eastAsia="Calibri" w:hAnsi="Verdana" w:cs="Arial"/>
          <w:bCs/>
          <w:color w:val="000000" w:themeColor="text1"/>
        </w:rPr>
      </w:pPr>
      <w:r w:rsidRPr="00DD43D0">
        <w:rPr>
          <w:rFonts w:ascii="Verdana" w:eastAsia="Calibri" w:hAnsi="Verdana" w:cs="Arial"/>
          <w:bCs/>
          <w:color w:val="000000" w:themeColor="text1"/>
        </w:rPr>
        <w:t xml:space="preserve">En lo que respecta a la </w:t>
      </w:r>
      <w:r w:rsidRPr="00DD43D0">
        <w:rPr>
          <w:rFonts w:ascii="Verdana" w:eastAsia="Calibri" w:hAnsi="Verdana" w:cs="Arial"/>
          <w:bCs/>
          <w:i/>
          <w:iCs/>
          <w:color w:val="000000" w:themeColor="text1"/>
        </w:rPr>
        <w:t>faceta negativa</w:t>
      </w:r>
      <w:r w:rsidRPr="00DD43D0">
        <w:rPr>
          <w:rFonts w:ascii="Verdana" w:eastAsia="Calibri" w:hAnsi="Verdana" w:cs="Arial"/>
          <w:bCs/>
          <w:color w:val="000000" w:themeColor="text1"/>
        </w:rPr>
        <w:t xml:space="preserve">, el artículo 41 del Estatuto General ordena que el contrato se ejecute con quien inicialmente se celebró el acuerdo de voluntades, pues es la persona que –de acuerdo con los criterios definidos en el proceso de selección y que permitieron realizar la selección– resulta idónea para cumplir con las obligaciones. De esta manera, la prohibición contenida en la norma citada es uno de los elementos de la naturaleza del contrato estatal, pues –conforme a lo previsto en el artículo 1501 del Código Civil– es de aquellos “(…) que no </w:t>
      </w:r>
      <w:r w:rsidRPr="00DD43D0">
        <w:rPr>
          <w:rFonts w:ascii="Verdana" w:eastAsia="Calibri" w:hAnsi="Verdana" w:cs="Arial"/>
          <w:bCs/>
          <w:color w:val="000000" w:themeColor="text1"/>
        </w:rPr>
        <w:lastRenderedPageBreak/>
        <w:t>siendo esenciales en él, se entienden pertenecerle, sin necesidad de una cláusula especial. (…)”</w:t>
      </w:r>
      <w:r w:rsidRPr="00DD43D0">
        <w:rPr>
          <w:rStyle w:val="Refdenotaalpie"/>
          <w:rFonts w:ascii="Verdana" w:eastAsia="Calibri" w:hAnsi="Verdana" w:cs="Arial"/>
          <w:bCs/>
          <w:color w:val="000000" w:themeColor="text1"/>
        </w:rPr>
        <w:footnoteReference w:id="7"/>
      </w:r>
      <w:r w:rsidRPr="00DD43D0">
        <w:rPr>
          <w:rFonts w:ascii="Verdana" w:eastAsia="Calibri" w:hAnsi="Verdana" w:cs="Arial"/>
          <w:bCs/>
          <w:color w:val="000000" w:themeColor="text1"/>
        </w:rPr>
        <w:t xml:space="preserve">. </w:t>
      </w:r>
    </w:p>
    <w:p w14:paraId="372EACC4" w14:textId="77777777" w:rsidR="0075368F" w:rsidRPr="00DD43D0" w:rsidRDefault="0075368F" w:rsidP="0075368F">
      <w:pPr>
        <w:pStyle w:val="Prrafodelista"/>
        <w:rPr>
          <w:rFonts w:ascii="Verdana" w:eastAsia="Calibri" w:hAnsi="Verdana" w:cs="Arial"/>
          <w:bCs/>
          <w:color w:val="000000" w:themeColor="text1"/>
        </w:rPr>
      </w:pPr>
    </w:p>
    <w:p w14:paraId="14A6BC50" w14:textId="77777777" w:rsidR="0075368F" w:rsidRDefault="0075368F" w:rsidP="0075368F">
      <w:pPr>
        <w:pStyle w:val="Prrafodelista"/>
        <w:numPr>
          <w:ilvl w:val="0"/>
          <w:numId w:val="19"/>
        </w:numPr>
        <w:tabs>
          <w:tab w:val="left" w:pos="709"/>
        </w:tabs>
        <w:spacing w:after="120" w:line="276" w:lineRule="auto"/>
        <w:jc w:val="both"/>
        <w:rPr>
          <w:rFonts w:ascii="Verdana" w:eastAsia="Calibri" w:hAnsi="Verdana" w:cs="Arial"/>
          <w:bCs/>
          <w:color w:val="000000" w:themeColor="text1"/>
        </w:rPr>
      </w:pPr>
      <w:r w:rsidRPr="00DD43D0">
        <w:rPr>
          <w:rFonts w:ascii="Verdana" w:eastAsia="Calibri" w:hAnsi="Verdana" w:cs="Arial"/>
          <w:bCs/>
          <w:color w:val="000000" w:themeColor="text1"/>
        </w:rPr>
        <w:t xml:space="preserve"> </w:t>
      </w:r>
      <w:r w:rsidR="00F67133" w:rsidRPr="00F86AD5">
        <w:rPr>
          <w:rFonts w:ascii="Verdana" w:eastAsia="Calibri" w:hAnsi="Verdana" w:cs="Arial"/>
          <w:bCs/>
          <w:color w:val="000000" w:themeColor="text1"/>
        </w:rPr>
        <w:t xml:space="preserve">En su </w:t>
      </w:r>
      <w:r w:rsidR="00F67133" w:rsidRPr="00F86AD5">
        <w:rPr>
          <w:rFonts w:ascii="Verdana" w:eastAsia="Calibri" w:hAnsi="Verdana" w:cs="Arial"/>
          <w:bCs/>
          <w:i/>
          <w:iCs/>
          <w:color w:val="000000" w:themeColor="text1"/>
        </w:rPr>
        <w:t>faceta positiva</w:t>
      </w:r>
      <w:r w:rsidR="00F67133" w:rsidRPr="00F86AD5">
        <w:rPr>
          <w:rFonts w:ascii="Verdana" w:eastAsia="Calibri" w:hAnsi="Verdana" w:cs="Arial"/>
          <w:bCs/>
          <w:color w:val="000000" w:themeColor="text1"/>
        </w:rPr>
        <w:t>, la Ley 80 de 1993 permite excepcionalmente la cesión del contrato estatal siempre que exista autorización previa escrita de la entidad contratante. Por ello, “</w:t>
      </w:r>
      <w:r w:rsidR="003D4374" w:rsidRPr="00F86AD5">
        <w:rPr>
          <w:rFonts w:ascii="Verdana" w:eastAsia="Calibri" w:hAnsi="Verdana" w:cs="Arial"/>
          <w:bCs/>
          <w:color w:val="000000" w:themeColor="text1"/>
        </w:rPr>
        <w:t>(</w:t>
      </w:r>
      <w:r w:rsidR="00F67133" w:rsidRPr="00F86AD5">
        <w:rPr>
          <w:rFonts w:ascii="Verdana" w:eastAsia="Calibri" w:hAnsi="Verdana" w:cs="Arial"/>
          <w:bCs/>
          <w:color w:val="000000" w:themeColor="text1"/>
        </w:rPr>
        <w:t>…</w:t>
      </w:r>
      <w:r w:rsidR="003D4374" w:rsidRPr="00F86AD5">
        <w:rPr>
          <w:rFonts w:ascii="Verdana" w:eastAsia="Calibri" w:hAnsi="Verdana" w:cs="Arial"/>
          <w:bCs/>
          <w:color w:val="000000" w:themeColor="text1"/>
        </w:rPr>
        <w:t>)</w:t>
      </w:r>
      <w:r w:rsidR="00F67133" w:rsidRPr="00F86AD5">
        <w:rPr>
          <w:rFonts w:ascii="Verdana" w:eastAsia="Calibri" w:hAnsi="Verdana" w:cs="Arial"/>
          <w:bCs/>
          <w:color w:val="000000" w:themeColor="text1"/>
        </w:rPr>
        <w:t xml:space="preserve"> El cocontratante que ‘</w:t>
      </w:r>
      <w:r w:rsidR="00F67133" w:rsidRPr="00F86AD5">
        <w:rPr>
          <w:rFonts w:ascii="Verdana" w:eastAsia="Calibri" w:hAnsi="Verdana" w:cs="Arial"/>
          <w:bCs/>
          <w:i/>
          <w:iCs/>
          <w:color w:val="000000" w:themeColor="text1"/>
        </w:rPr>
        <w:t>ceda</w:t>
      </w:r>
      <w:r w:rsidR="00F67133" w:rsidRPr="00F86AD5">
        <w:rPr>
          <w:rFonts w:ascii="Verdana" w:eastAsia="Calibri" w:hAnsi="Verdana" w:cs="Arial"/>
          <w:bCs/>
          <w:color w:val="000000" w:themeColor="text1"/>
        </w:rPr>
        <w:t>’ el contrato sin estar autorizado para ello incurre en grave responsabilidad: su actitud implica ‘</w:t>
      </w:r>
      <w:r w:rsidR="00F67133" w:rsidRPr="00F86AD5">
        <w:rPr>
          <w:rFonts w:ascii="Verdana" w:eastAsia="Calibri" w:hAnsi="Verdana" w:cs="Arial"/>
          <w:bCs/>
          <w:i/>
          <w:iCs/>
          <w:color w:val="000000" w:themeColor="text1"/>
        </w:rPr>
        <w:t>incumplimiento</w:t>
      </w:r>
      <w:r w:rsidR="00F67133" w:rsidRPr="00F86AD5">
        <w:rPr>
          <w:rFonts w:ascii="Verdana" w:eastAsia="Calibri" w:hAnsi="Verdana" w:cs="Arial"/>
          <w:bCs/>
          <w:color w:val="000000" w:themeColor="text1"/>
        </w:rPr>
        <w:t xml:space="preserve">’ del contrato; de ahí que esa cesión ilícita no resulte oponible a la Administración Pública </w:t>
      </w:r>
      <w:r w:rsidR="003D4374" w:rsidRPr="00F86AD5">
        <w:rPr>
          <w:rFonts w:ascii="Verdana" w:eastAsia="Calibri" w:hAnsi="Verdana" w:cs="Arial"/>
          <w:bCs/>
          <w:color w:val="000000" w:themeColor="text1"/>
        </w:rPr>
        <w:t>(</w:t>
      </w:r>
      <w:r w:rsidR="00F67133" w:rsidRPr="00F86AD5">
        <w:rPr>
          <w:rFonts w:ascii="Verdana" w:eastAsia="Calibri" w:hAnsi="Verdana" w:cs="Arial"/>
          <w:bCs/>
          <w:color w:val="000000" w:themeColor="text1"/>
        </w:rPr>
        <w:t>…</w:t>
      </w:r>
      <w:r w:rsidR="003D4374" w:rsidRPr="00F86AD5">
        <w:rPr>
          <w:rFonts w:ascii="Verdana" w:eastAsia="Calibri" w:hAnsi="Verdana" w:cs="Arial"/>
          <w:bCs/>
          <w:color w:val="000000" w:themeColor="text1"/>
        </w:rPr>
        <w:t>)</w:t>
      </w:r>
      <w:r w:rsidR="00F67133" w:rsidRPr="00F86AD5">
        <w:rPr>
          <w:rFonts w:ascii="Verdana" w:eastAsia="Calibri" w:hAnsi="Verdana" w:cs="Arial"/>
          <w:bCs/>
          <w:color w:val="000000" w:themeColor="text1"/>
        </w:rPr>
        <w:t>”</w:t>
      </w:r>
      <w:r w:rsidR="00F67133" w:rsidRPr="00F86AD5">
        <w:rPr>
          <w:rStyle w:val="Refdenotaalpie"/>
          <w:rFonts w:ascii="Verdana" w:eastAsia="Calibri" w:hAnsi="Verdana" w:cs="Arial"/>
          <w:bCs/>
          <w:color w:val="000000" w:themeColor="text1"/>
        </w:rPr>
        <w:footnoteReference w:id="8"/>
      </w:r>
      <w:r w:rsidR="00F67133" w:rsidRPr="00F86AD5">
        <w:rPr>
          <w:rFonts w:ascii="Verdana" w:eastAsia="Calibri" w:hAnsi="Verdana" w:cs="Arial"/>
          <w:bCs/>
          <w:color w:val="000000" w:themeColor="text1"/>
        </w:rPr>
        <w:t xml:space="preserve">. Este requisito introduce un elemento especial que no está previsto en el Código de Comercio, pues en el derecho privado –salvo las excepciones previstas en la ley– la cesión requiere el acuerdo de voluntades entre el cedente y el cesionario, sin que medie la aceptación del contratante cedido. </w:t>
      </w:r>
    </w:p>
    <w:p w14:paraId="5B930C1F" w14:textId="77777777" w:rsidR="0075368F" w:rsidRPr="00E25381" w:rsidRDefault="0075368F" w:rsidP="0075368F">
      <w:pPr>
        <w:pStyle w:val="Prrafodelista"/>
        <w:rPr>
          <w:rFonts w:ascii="Verdana" w:eastAsia="Calibri" w:hAnsi="Verdana" w:cs="Arial"/>
          <w:bCs/>
          <w:color w:val="000000" w:themeColor="text1"/>
        </w:rPr>
      </w:pPr>
    </w:p>
    <w:p w14:paraId="3344F0E8" w14:textId="77777777" w:rsidR="00F67133" w:rsidRPr="00F86AD5" w:rsidRDefault="00F67133" w:rsidP="0075368F">
      <w:pPr>
        <w:pStyle w:val="Prrafodelista"/>
        <w:numPr>
          <w:ilvl w:val="0"/>
          <w:numId w:val="19"/>
        </w:numPr>
        <w:tabs>
          <w:tab w:val="left" w:pos="709"/>
        </w:tabs>
        <w:spacing w:after="120" w:line="276" w:lineRule="auto"/>
        <w:jc w:val="both"/>
        <w:rPr>
          <w:rFonts w:ascii="Verdana" w:eastAsia="Calibri" w:hAnsi="Verdana" w:cs="Arial"/>
          <w:bCs/>
          <w:color w:val="000000" w:themeColor="text1"/>
        </w:rPr>
      </w:pPr>
      <w:r w:rsidRPr="00F86AD5">
        <w:rPr>
          <w:rFonts w:ascii="Verdana" w:eastAsia="Calibri" w:hAnsi="Verdana" w:cs="Arial"/>
          <w:color w:val="000000" w:themeColor="text1"/>
        </w:rPr>
        <w:t>En relación con lo anterior la doctrina define la cesión en los contratos estatales de la siguiente manera:</w:t>
      </w:r>
    </w:p>
    <w:p w14:paraId="76DAC07B" w14:textId="77777777" w:rsidR="00F67133" w:rsidRPr="00F86AD5" w:rsidRDefault="00F67133" w:rsidP="00F67133">
      <w:pPr>
        <w:spacing w:after="0" w:line="276" w:lineRule="auto"/>
        <w:ind w:firstLine="708"/>
        <w:jc w:val="both"/>
        <w:rPr>
          <w:rFonts w:ascii="Verdana" w:eastAsia="Calibri" w:hAnsi="Verdana" w:cs="Arial"/>
          <w:color w:val="000000" w:themeColor="text1"/>
        </w:rPr>
      </w:pPr>
      <w:r w:rsidRPr="00F86AD5">
        <w:rPr>
          <w:rFonts w:ascii="Verdana" w:eastAsia="Calibri" w:hAnsi="Verdana" w:cs="Arial"/>
          <w:color w:val="000000" w:themeColor="text1"/>
        </w:rPr>
        <w:t xml:space="preserve"> </w:t>
      </w:r>
    </w:p>
    <w:p w14:paraId="41172479" w14:textId="77777777" w:rsidR="00F67133" w:rsidRPr="00F86AD5" w:rsidRDefault="00F67133" w:rsidP="00F67133">
      <w:pPr>
        <w:spacing w:after="0" w:line="240" w:lineRule="auto"/>
        <w:ind w:left="709" w:right="709"/>
        <w:jc w:val="both"/>
        <w:rPr>
          <w:rFonts w:ascii="Verdana" w:eastAsia="Calibri" w:hAnsi="Verdana" w:cs="Arial"/>
          <w:color w:val="000000" w:themeColor="text1"/>
          <w:sz w:val="21"/>
          <w:szCs w:val="21"/>
        </w:rPr>
      </w:pPr>
      <w:r w:rsidRPr="00F86AD5">
        <w:rPr>
          <w:rFonts w:ascii="Verdana" w:eastAsia="Calibri" w:hAnsi="Verdana" w:cs="Arial"/>
          <w:color w:val="000000" w:themeColor="text1"/>
          <w:sz w:val="21"/>
          <w:szCs w:val="21"/>
        </w:rPr>
        <w:t>“</w:t>
      </w:r>
      <w:r w:rsidRPr="00513E22">
        <w:rPr>
          <w:rFonts w:ascii="Verdana" w:eastAsia="Calibri" w:hAnsi="Verdana" w:cs="Arial"/>
          <w:color w:val="000000" w:themeColor="text1"/>
          <w:sz w:val="20"/>
          <w:szCs w:val="21"/>
        </w:rPr>
        <w:t xml:space="preserve">La cesión en la contratación estatal supone, previa autorización de la entidad contratante, la sustitución </w:t>
      </w:r>
      <w:r w:rsidRPr="00513E22">
        <w:rPr>
          <w:rFonts w:ascii="Verdana" w:eastAsia="Calibri" w:hAnsi="Verdana" w:cs="Arial"/>
          <w:i/>
          <w:iCs/>
          <w:color w:val="000000" w:themeColor="text1"/>
          <w:sz w:val="20"/>
          <w:szCs w:val="21"/>
        </w:rPr>
        <w:t>in genere</w:t>
      </w:r>
      <w:r w:rsidRPr="00513E22">
        <w:rPr>
          <w:rFonts w:ascii="Verdana" w:eastAsia="Calibri" w:hAnsi="Verdana" w:cs="Arial"/>
          <w:color w:val="000000" w:themeColor="text1"/>
          <w:sz w:val="20"/>
          <w:szCs w:val="21"/>
        </w:rPr>
        <w:t xml:space="preserve">, total o parcial, de una de las partes de la relación jurídica (contratante o contratista) por un tercero, que se subroga en los derechos y obligaciones de aquella, por medio de la modificación del contrato estatal originario. La cesión posibilita el reemplazo total o parcial de una parte en su posición contractual originaria, sin que sea precisa la transferencia individual de cuantos derechos y obligaciones conforman la universalidad jurídica a ceder </w:t>
      </w:r>
      <w:r w:rsidR="003D4374" w:rsidRPr="00F86AD5">
        <w:rPr>
          <w:rFonts w:ascii="Verdana" w:eastAsia="Calibri" w:hAnsi="Verdana" w:cs="Arial"/>
          <w:color w:val="000000" w:themeColor="text1"/>
          <w:sz w:val="21"/>
          <w:szCs w:val="21"/>
        </w:rPr>
        <w:t>(</w:t>
      </w:r>
      <w:r w:rsidRPr="00F86AD5">
        <w:rPr>
          <w:rFonts w:ascii="Verdana" w:eastAsia="Calibri" w:hAnsi="Verdana" w:cs="Arial"/>
          <w:color w:val="000000" w:themeColor="text1"/>
          <w:sz w:val="21"/>
          <w:szCs w:val="21"/>
        </w:rPr>
        <w:t>…</w:t>
      </w:r>
      <w:r w:rsidR="003D4374" w:rsidRPr="00F86AD5">
        <w:rPr>
          <w:rFonts w:ascii="Verdana" w:eastAsia="Calibri" w:hAnsi="Verdana" w:cs="Arial"/>
          <w:color w:val="000000" w:themeColor="text1"/>
          <w:sz w:val="21"/>
          <w:szCs w:val="21"/>
        </w:rPr>
        <w:t>)</w:t>
      </w:r>
      <w:r w:rsidRPr="00F86AD5">
        <w:rPr>
          <w:rFonts w:ascii="Verdana" w:eastAsia="Calibri" w:hAnsi="Verdana" w:cs="Arial"/>
          <w:color w:val="000000" w:themeColor="text1"/>
          <w:sz w:val="21"/>
          <w:szCs w:val="21"/>
        </w:rPr>
        <w:t>”</w:t>
      </w:r>
      <w:r w:rsidRPr="00F86AD5">
        <w:rPr>
          <w:rStyle w:val="Refdenotaalpie"/>
          <w:rFonts w:ascii="Verdana" w:hAnsi="Verdana" w:cs="Arial"/>
          <w:color w:val="000000" w:themeColor="text1"/>
          <w:sz w:val="21"/>
          <w:szCs w:val="21"/>
        </w:rPr>
        <w:footnoteReference w:id="9"/>
      </w:r>
      <w:r w:rsidRPr="00F86AD5">
        <w:rPr>
          <w:rFonts w:ascii="Verdana" w:eastAsia="Calibri" w:hAnsi="Verdana" w:cs="Arial"/>
          <w:color w:val="000000" w:themeColor="text1"/>
          <w:sz w:val="21"/>
          <w:szCs w:val="21"/>
        </w:rPr>
        <w:t>.</w:t>
      </w:r>
    </w:p>
    <w:p w14:paraId="2FDEFE1D" w14:textId="77777777" w:rsidR="00F67133" w:rsidRPr="00F86AD5" w:rsidRDefault="00F67133" w:rsidP="00F67133">
      <w:pPr>
        <w:spacing w:after="0" w:line="276" w:lineRule="auto"/>
        <w:jc w:val="both"/>
        <w:rPr>
          <w:rFonts w:ascii="Verdana" w:eastAsia="Calibri" w:hAnsi="Verdana" w:cs="Arial"/>
          <w:color w:val="000000" w:themeColor="text1"/>
        </w:rPr>
      </w:pPr>
    </w:p>
    <w:p w14:paraId="18C7754E" w14:textId="77777777" w:rsidR="0075368F" w:rsidRDefault="0075368F" w:rsidP="0075368F">
      <w:pPr>
        <w:pStyle w:val="Prrafodelista"/>
        <w:numPr>
          <w:ilvl w:val="0"/>
          <w:numId w:val="20"/>
        </w:numPr>
        <w:spacing w:after="120" w:line="276" w:lineRule="auto"/>
        <w:jc w:val="both"/>
        <w:rPr>
          <w:rFonts w:ascii="Verdana" w:eastAsia="Calibri" w:hAnsi="Verdana" w:cs="Arial"/>
          <w:bCs/>
          <w:color w:val="000000" w:themeColor="text1"/>
        </w:rPr>
      </w:pPr>
      <w:r w:rsidRPr="00DD43D0">
        <w:rPr>
          <w:rFonts w:ascii="Verdana" w:eastAsia="Calibri" w:hAnsi="Verdana" w:cs="Arial"/>
          <w:bCs/>
          <w:color w:val="000000" w:themeColor="text1"/>
        </w:rPr>
        <w:t xml:space="preserve">De tal manera que, una vez autorizada la cesión del contrato por la entidad cedida, esta forma de cesión requiere la suscripción de un contrato entre el cedente y el cesionario, por lo que es bilateral en la medida en que requiere un acuerdo voluntades. Con fundamento en el </w:t>
      </w:r>
      <w:r w:rsidRPr="00DD43D0">
        <w:rPr>
          <w:rFonts w:ascii="Verdana" w:eastAsia="Calibri" w:hAnsi="Verdana" w:cs="Arial"/>
          <w:bCs/>
          <w:color w:val="000000" w:themeColor="text1"/>
        </w:rPr>
        <w:lastRenderedPageBreak/>
        <w:t>mismo, el cesionario reemplaza –en todo o en parte– al contratista cedente en la ejecución del contrato estatal, respondiendo por el cumplimiento de las obligaciones frente a la Administración.</w:t>
      </w:r>
      <w:r w:rsidRPr="00DD43D0">
        <w:rPr>
          <w:rFonts w:ascii="Verdana" w:hAnsi="Verdana"/>
        </w:rPr>
        <w:t xml:space="preserve"> </w:t>
      </w:r>
      <w:r w:rsidRPr="00DD43D0">
        <w:rPr>
          <w:rFonts w:ascii="Verdana" w:eastAsia="Calibri" w:hAnsi="Verdana" w:cs="Arial"/>
          <w:bCs/>
          <w:color w:val="000000" w:themeColor="text1"/>
        </w:rPr>
        <w:t xml:space="preserve">El inciso primero del artículo 888 del Código de Comercio señala que “La sustitución podrá hacerse por escrito o verbalmente, según que el contrato conste o no por escrito”; no obstante,  el contrato estatal es solemne en los términos de los artículos 39 y 41 de la Ley 80 de 1993, y por lo tanto se debe ceder de forma escrita. </w:t>
      </w:r>
    </w:p>
    <w:p w14:paraId="36EBF1DA" w14:textId="77777777" w:rsidR="0075368F" w:rsidRPr="00DD43D0" w:rsidRDefault="0075368F" w:rsidP="0075368F">
      <w:pPr>
        <w:pStyle w:val="Prrafodelista"/>
        <w:spacing w:after="120" w:line="276" w:lineRule="auto"/>
        <w:jc w:val="both"/>
        <w:rPr>
          <w:rFonts w:ascii="Verdana" w:eastAsia="Calibri" w:hAnsi="Verdana" w:cs="Arial"/>
          <w:bCs/>
          <w:color w:val="000000" w:themeColor="text1"/>
        </w:rPr>
      </w:pPr>
    </w:p>
    <w:p w14:paraId="14A9FABC" w14:textId="77777777" w:rsidR="0075368F" w:rsidRPr="00DD43D0" w:rsidRDefault="0075368F" w:rsidP="0075368F">
      <w:pPr>
        <w:pStyle w:val="Prrafodelista"/>
        <w:numPr>
          <w:ilvl w:val="0"/>
          <w:numId w:val="20"/>
        </w:numPr>
        <w:tabs>
          <w:tab w:val="left" w:pos="709"/>
        </w:tabs>
        <w:spacing w:after="120" w:line="276" w:lineRule="auto"/>
        <w:jc w:val="both"/>
        <w:rPr>
          <w:rFonts w:ascii="Verdana" w:eastAsia="Calibri" w:hAnsi="Verdana" w:cs="Arial"/>
          <w:color w:val="000000" w:themeColor="text1"/>
        </w:rPr>
      </w:pPr>
      <w:r w:rsidRPr="00DD43D0">
        <w:rPr>
          <w:rFonts w:ascii="Verdana" w:eastAsia="Calibri" w:hAnsi="Verdana" w:cs="Arial"/>
          <w:color w:val="000000" w:themeColor="text1"/>
        </w:rPr>
        <w:t>El Consejo de Estado</w:t>
      </w:r>
      <w:r w:rsidRPr="00DD43D0">
        <w:rPr>
          <w:rStyle w:val="Refdenotaalpie"/>
          <w:rFonts w:ascii="Verdana" w:eastAsia="Calibri" w:hAnsi="Verdana" w:cs="Arial"/>
          <w:color w:val="000000" w:themeColor="text1"/>
        </w:rPr>
        <w:footnoteReference w:id="10"/>
      </w:r>
      <w:r w:rsidRPr="00DD43D0">
        <w:rPr>
          <w:rFonts w:ascii="Verdana" w:eastAsia="Calibri" w:hAnsi="Verdana" w:cs="Arial"/>
          <w:color w:val="000000" w:themeColor="text1"/>
        </w:rPr>
        <w:t xml:space="preserve"> ha precisado como requisitos de autorización de la cesión del contrato estatal los siguientes: </w:t>
      </w:r>
    </w:p>
    <w:p w14:paraId="5804BD29" w14:textId="77777777" w:rsidR="0075368F" w:rsidRPr="00DD43D0" w:rsidRDefault="0075368F" w:rsidP="0075368F">
      <w:pPr>
        <w:pStyle w:val="Prrafodelista"/>
        <w:numPr>
          <w:ilvl w:val="0"/>
          <w:numId w:val="21"/>
        </w:numPr>
        <w:tabs>
          <w:tab w:val="left" w:pos="709"/>
        </w:tabs>
        <w:spacing w:after="120" w:line="276" w:lineRule="auto"/>
        <w:jc w:val="both"/>
        <w:rPr>
          <w:rFonts w:ascii="Verdana" w:eastAsia="Calibri" w:hAnsi="Verdana" w:cs="Arial"/>
          <w:color w:val="000000" w:themeColor="text1"/>
        </w:rPr>
      </w:pPr>
      <w:r w:rsidRPr="00DD43D0">
        <w:rPr>
          <w:rFonts w:ascii="Verdana" w:eastAsia="Calibri" w:hAnsi="Verdana" w:cs="Arial"/>
          <w:color w:val="000000" w:themeColor="text1"/>
        </w:rPr>
        <w:t>Debe recaer en un tercero;</w:t>
      </w:r>
    </w:p>
    <w:p w14:paraId="48D9B6F2" w14:textId="77777777" w:rsidR="0075368F" w:rsidRPr="00DD43D0" w:rsidRDefault="0075368F" w:rsidP="0075368F">
      <w:pPr>
        <w:pStyle w:val="Prrafodelista"/>
        <w:numPr>
          <w:ilvl w:val="0"/>
          <w:numId w:val="21"/>
        </w:numPr>
        <w:tabs>
          <w:tab w:val="left" w:pos="709"/>
        </w:tabs>
        <w:spacing w:after="120" w:line="276" w:lineRule="auto"/>
        <w:jc w:val="both"/>
        <w:rPr>
          <w:rFonts w:ascii="Verdana" w:eastAsia="Calibri" w:hAnsi="Verdana" w:cs="Arial"/>
          <w:color w:val="000000" w:themeColor="text1"/>
        </w:rPr>
      </w:pPr>
      <w:r w:rsidRPr="00DD43D0">
        <w:rPr>
          <w:rFonts w:ascii="Verdana" w:eastAsia="Calibri" w:hAnsi="Verdana" w:cs="Arial"/>
          <w:color w:val="000000" w:themeColor="text1"/>
        </w:rPr>
        <w:t xml:space="preserve"> El cesionario debe tener capacidad jurídica para continuar con la ejecución del objeto contractual y no estar incurso en causales de inhabilidad e incompatibilidad para contratar; y</w:t>
      </w:r>
    </w:p>
    <w:p w14:paraId="634C2EB7" w14:textId="77777777" w:rsidR="0075368F" w:rsidRPr="00DD43D0" w:rsidRDefault="0075368F" w:rsidP="0075368F">
      <w:pPr>
        <w:pStyle w:val="Prrafodelista"/>
        <w:numPr>
          <w:ilvl w:val="0"/>
          <w:numId w:val="21"/>
        </w:numPr>
        <w:tabs>
          <w:tab w:val="left" w:pos="709"/>
        </w:tabs>
        <w:spacing w:after="120" w:line="276" w:lineRule="auto"/>
        <w:jc w:val="both"/>
        <w:rPr>
          <w:rFonts w:ascii="Verdana" w:eastAsia="Calibri" w:hAnsi="Verdana" w:cs="Arial"/>
          <w:color w:val="000000" w:themeColor="text1"/>
        </w:rPr>
      </w:pPr>
      <w:r w:rsidRPr="00DD43D0">
        <w:rPr>
          <w:rFonts w:ascii="Verdana" w:eastAsia="Calibri" w:hAnsi="Verdana" w:cs="Arial"/>
          <w:color w:val="000000" w:themeColor="text1"/>
        </w:rPr>
        <w:t>El cesionario debe contar con capacidad técnica, económica y financiera suficientes para el cumplimiento de las obligaciones emanadas del contrato cedido.</w:t>
      </w:r>
    </w:p>
    <w:p w14:paraId="7CA90349" w14:textId="77777777" w:rsidR="0075368F" w:rsidRPr="00DD43D0" w:rsidRDefault="0075368F" w:rsidP="0075368F">
      <w:pPr>
        <w:pStyle w:val="Prrafodelista"/>
        <w:tabs>
          <w:tab w:val="left" w:pos="709"/>
        </w:tabs>
        <w:spacing w:after="120" w:line="276" w:lineRule="auto"/>
        <w:ind w:left="1440"/>
        <w:jc w:val="both"/>
        <w:rPr>
          <w:rFonts w:ascii="Verdana" w:eastAsia="Calibri" w:hAnsi="Verdana" w:cs="Arial"/>
          <w:color w:val="000000" w:themeColor="text1"/>
        </w:rPr>
      </w:pPr>
    </w:p>
    <w:p w14:paraId="7AEFFB6E" w14:textId="77777777" w:rsidR="0075368F" w:rsidRDefault="0075368F" w:rsidP="0075368F">
      <w:pPr>
        <w:pStyle w:val="Prrafodelista"/>
        <w:numPr>
          <w:ilvl w:val="0"/>
          <w:numId w:val="22"/>
        </w:numPr>
        <w:tabs>
          <w:tab w:val="left" w:pos="709"/>
        </w:tabs>
        <w:spacing w:after="120" w:line="276" w:lineRule="auto"/>
        <w:jc w:val="both"/>
        <w:rPr>
          <w:rFonts w:ascii="Verdana" w:eastAsia="Calibri" w:hAnsi="Verdana" w:cs="Arial"/>
          <w:color w:val="000000" w:themeColor="text1"/>
        </w:rPr>
      </w:pPr>
      <w:r w:rsidRPr="00DD43D0">
        <w:rPr>
          <w:rFonts w:ascii="Verdana" w:eastAsia="Calibri" w:hAnsi="Verdana" w:cs="Arial"/>
          <w:color w:val="000000" w:themeColor="text1"/>
        </w:rPr>
        <w:t>En ese sentido,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 ya que “(…) el proceso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r w:rsidRPr="00DD43D0">
        <w:rPr>
          <w:rStyle w:val="Refdenotaalpie"/>
          <w:rFonts w:ascii="Verdana" w:eastAsia="Calibri" w:hAnsi="Verdana" w:cs="Arial"/>
          <w:color w:val="000000" w:themeColor="text1"/>
        </w:rPr>
        <w:footnoteReference w:id="11"/>
      </w:r>
    </w:p>
    <w:p w14:paraId="638DAB29" w14:textId="77777777" w:rsidR="0075368F" w:rsidRPr="00DD43D0" w:rsidRDefault="0075368F" w:rsidP="0075368F">
      <w:pPr>
        <w:pStyle w:val="Prrafodelista"/>
        <w:tabs>
          <w:tab w:val="left" w:pos="709"/>
        </w:tabs>
        <w:spacing w:after="120" w:line="276" w:lineRule="auto"/>
        <w:jc w:val="both"/>
        <w:rPr>
          <w:rFonts w:ascii="Verdana" w:eastAsia="Calibri" w:hAnsi="Verdana" w:cs="Arial"/>
          <w:color w:val="000000" w:themeColor="text1"/>
        </w:rPr>
      </w:pPr>
    </w:p>
    <w:p w14:paraId="4CEC3C01" w14:textId="77777777" w:rsidR="0075368F" w:rsidRPr="00DD43D0" w:rsidRDefault="0075368F" w:rsidP="0075368F">
      <w:pPr>
        <w:pStyle w:val="Prrafodelista"/>
        <w:numPr>
          <w:ilvl w:val="0"/>
          <w:numId w:val="22"/>
        </w:numPr>
        <w:tabs>
          <w:tab w:val="left" w:pos="709"/>
        </w:tabs>
        <w:spacing w:after="120" w:line="276" w:lineRule="auto"/>
        <w:jc w:val="both"/>
        <w:rPr>
          <w:rFonts w:ascii="Verdana" w:eastAsia="Calibri" w:hAnsi="Verdana" w:cs="Arial"/>
          <w:color w:val="000000" w:themeColor="text1"/>
        </w:rPr>
      </w:pPr>
      <w:r w:rsidRPr="00DD43D0">
        <w:rPr>
          <w:rFonts w:ascii="Verdana" w:hAnsi="Verdana" w:cs="Arial"/>
          <w:color w:val="000000" w:themeColor="text1"/>
        </w:rPr>
        <w:t xml:space="preserve">Es por eso que, en  el contrato de cesión, el cesionario reemplaza –en todo o en parte– al contratista cedente en la ejecución del contrato estatal, respondiendo por el cumplimiento de las obligaciones frente a la </w:t>
      </w:r>
      <w:r w:rsidRPr="00DD43D0">
        <w:rPr>
          <w:rFonts w:ascii="Verdana" w:hAnsi="Verdana" w:cs="Arial"/>
          <w:color w:val="000000" w:themeColor="text1"/>
        </w:rPr>
        <w:lastRenderedPageBreak/>
        <w:t>Administración. En consecuencia, es deber tanto de las entidades estatales como del contratista cedente y cesionario garantizar que la aseguradora actualice la nueva información con el fin de mantener los amparos, coberturas  y suficiencias requeridas en la etapa precontractual, por tanto una vez actualizada requerirá aprobación de la entidad estatal.</w:t>
      </w:r>
    </w:p>
    <w:p w14:paraId="1DC6D2B9" w14:textId="77777777" w:rsidR="0075368F" w:rsidRPr="00DD43D0" w:rsidRDefault="0075368F" w:rsidP="0075368F">
      <w:pPr>
        <w:pStyle w:val="Prrafodelista"/>
        <w:tabs>
          <w:tab w:val="left" w:pos="709"/>
        </w:tabs>
        <w:spacing w:after="120" w:line="276" w:lineRule="auto"/>
        <w:jc w:val="both"/>
        <w:rPr>
          <w:rFonts w:ascii="Verdana" w:eastAsia="Calibri" w:hAnsi="Verdana" w:cs="Arial"/>
          <w:color w:val="000000" w:themeColor="text1"/>
        </w:rPr>
      </w:pPr>
    </w:p>
    <w:p w14:paraId="6F8ECD4F" w14:textId="77777777" w:rsidR="0075368F" w:rsidRPr="00DD43D0" w:rsidRDefault="0075368F" w:rsidP="0075368F">
      <w:pPr>
        <w:pStyle w:val="Prrafodelista"/>
        <w:numPr>
          <w:ilvl w:val="0"/>
          <w:numId w:val="22"/>
        </w:numPr>
        <w:tabs>
          <w:tab w:val="left" w:pos="709"/>
        </w:tabs>
        <w:spacing w:after="120" w:line="276" w:lineRule="auto"/>
        <w:jc w:val="both"/>
        <w:rPr>
          <w:rFonts w:ascii="Verdana" w:eastAsia="Calibri" w:hAnsi="Verdana" w:cs="Arial"/>
          <w:color w:val="000000" w:themeColor="text1"/>
        </w:rPr>
      </w:pPr>
      <w:r w:rsidRPr="00DD43D0">
        <w:rPr>
          <w:rFonts w:ascii="Verdana" w:eastAsia="Calibri" w:hAnsi="Verdana" w:cs="Arial"/>
          <w:color w:val="000000" w:themeColor="text1"/>
        </w:rPr>
        <w:t>De tal manera que, la entidad estatal en el trámite de autorización de una cesión está obligada a respetar los criterios normativos que resulten aplicables al proceso de contratación, entre otros, los principios de transparencia, selección objetiva e igualdad, a fin de evitar la afectación del erario público por aprobar una cesión sin el cumplimiento de los requisitos de idoneidad del cesionario.</w:t>
      </w:r>
    </w:p>
    <w:p w14:paraId="54674230" w14:textId="77777777" w:rsidR="0075368F" w:rsidRPr="00DD43D0" w:rsidRDefault="0075368F" w:rsidP="0075368F">
      <w:pPr>
        <w:spacing w:after="0" w:line="276" w:lineRule="auto"/>
        <w:jc w:val="both"/>
        <w:rPr>
          <w:rFonts w:ascii="Verdana" w:hAnsi="Verdana" w:cs="Arial"/>
          <w:color w:val="000000" w:themeColor="text1"/>
        </w:rPr>
      </w:pPr>
    </w:p>
    <w:p w14:paraId="18631A42" w14:textId="77777777" w:rsidR="0075368F" w:rsidRPr="00E25381" w:rsidRDefault="0075368F" w:rsidP="0075368F">
      <w:pPr>
        <w:pStyle w:val="Prrafodelista"/>
        <w:numPr>
          <w:ilvl w:val="0"/>
          <w:numId w:val="23"/>
        </w:numPr>
        <w:spacing w:after="0" w:line="276" w:lineRule="auto"/>
        <w:jc w:val="both"/>
        <w:rPr>
          <w:rFonts w:ascii="Verdana" w:hAnsi="Verdana" w:cs="Arial"/>
          <w:color w:val="000000" w:themeColor="text1"/>
        </w:rPr>
      </w:pPr>
      <w:r w:rsidRPr="00DD43D0">
        <w:rPr>
          <w:rFonts w:ascii="Verdana" w:hAnsi="Verdana" w:cs="Arial"/>
          <w:color w:val="000000" w:themeColor="text1"/>
        </w:rPr>
        <w:t>Por otro lado,  referente a la forma en como los oferentes participan en</w:t>
      </w:r>
      <w:r w:rsidRPr="00DD43D0">
        <w:rPr>
          <w:rFonts w:ascii="Verdana" w:hAnsi="Verdana" w:cs="Arial"/>
          <w:lang w:val="es-ES_tradnl"/>
        </w:rPr>
        <w:t xml:space="preserve"> los procesos de selección, es pertinente indicar que se puede realizar de manera singular, es decir, como persona natural o personal jurídica, y de me manera plural a través de consorcios o uniones temporales.</w:t>
      </w:r>
    </w:p>
    <w:p w14:paraId="2CF32241" w14:textId="77777777" w:rsidR="0075368F" w:rsidRPr="00DD43D0" w:rsidRDefault="0075368F" w:rsidP="0075368F">
      <w:pPr>
        <w:pStyle w:val="Prrafodelista"/>
        <w:spacing w:after="0" w:line="276" w:lineRule="auto"/>
        <w:jc w:val="both"/>
        <w:rPr>
          <w:rFonts w:ascii="Verdana" w:hAnsi="Verdana" w:cs="Arial"/>
          <w:color w:val="000000" w:themeColor="text1"/>
        </w:rPr>
      </w:pPr>
    </w:p>
    <w:p w14:paraId="0675EE02" w14:textId="598B2AF1" w:rsidR="0075368F" w:rsidRDefault="00F67133" w:rsidP="0075368F">
      <w:pPr>
        <w:pStyle w:val="Prrafodelista"/>
        <w:numPr>
          <w:ilvl w:val="0"/>
          <w:numId w:val="23"/>
        </w:numPr>
        <w:spacing w:after="0" w:line="276" w:lineRule="auto"/>
        <w:jc w:val="both"/>
        <w:rPr>
          <w:rFonts w:ascii="Verdana" w:eastAsia="Calibri" w:hAnsi="Verdana" w:cs="Arial"/>
          <w:bCs/>
          <w:color w:val="000000" w:themeColor="text1"/>
        </w:rPr>
      </w:pPr>
      <w:r w:rsidRPr="00DD43D0">
        <w:rPr>
          <w:rFonts w:ascii="Verdana" w:eastAsia="Calibri" w:hAnsi="Verdana" w:cs="Arial"/>
          <w:color w:val="000000" w:themeColor="text1"/>
        </w:rPr>
        <w:t xml:space="preserve">La capacidad para </w:t>
      </w:r>
      <w:r w:rsidR="00A70DAA" w:rsidRPr="00DD43D0">
        <w:rPr>
          <w:rFonts w:ascii="Verdana" w:eastAsia="Calibri" w:hAnsi="Verdana" w:cs="Arial"/>
          <w:color w:val="000000" w:themeColor="text1"/>
        </w:rPr>
        <w:t>contratar</w:t>
      </w:r>
      <w:r w:rsidRPr="00DD43D0">
        <w:rPr>
          <w:rFonts w:ascii="Verdana" w:eastAsia="Calibri" w:hAnsi="Verdana" w:cs="Arial"/>
          <w:color w:val="000000" w:themeColor="text1"/>
        </w:rPr>
        <w:t xml:space="preserve"> se consideró por mucho tiempo uno de los atributos de la personalidad reservado, </w:t>
      </w:r>
      <w:r w:rsidR="0075368F" w:rsidRPr="00DD43D0">
        <w:rPr>
          <w:rFonts w:ascii="Verdana" w:eastAsia="Calibri" w:hAnsi="Verdana" w:cs="Arial"/>
          <w:bCs/>
          <w:color w:val="000000" w:themeColor="text1"/>
        </w:rPr>
        <w:t>a las personas jurídicas y naturales.</w:t>
      </w:r>
      <w:r w:rsidRPr="00DD43D0">
        <w:rPr>
          <w:rFonts w:ascii="Verdana" w:eastAsia="Calibri" w:hAnsi="Verdana" w:cs="Arial"/>
          <w:color w:val="000000" w:themeColor="text1"/>
        </w:rPr>
        <w:t xml:space="preserve"> No obstante, el progreso en las formas negociales y asociativas hizo necesario reconocer nuevas estructuras plurales y otorgarles ciertos atributos que tradicionalmente habían estado reservados a las personas jurídicas</w:t>
      </w:r>
      <w:r w:rsidR="0075368F" w:rsidRPr="00DD43D0">
        <w:rPr>
          <w:rFonts w:ascii="Verdana" w:eastAsia="Calibri" w:hAnsi="Verdana" w:cs="Arial"/>
          <w:bCs/>
          <w:color w:val="000000" w:themeColor="text1"/>
        </w:rPr>
        <w:t>, tal es precisamente el caso de la capacidad para contratar otorgada a los consorcios y uniones temporales.</w:t>
      </w:r>
    </w:p>
    <w:p w14:paraId="753886C2" w14:textId="77777777" w:rsidR="0075368F" w:rsidRPr="00E25381" w:rsidRDefault="0075368F" w:rsidP="0075368F">
      <w:pPr>
        <w:pStyle w:val="Prrafodelista"/>
        <w:rPr>
          <w:rFonts w:ascii="Verdana" w:eastAsia="Calibri" w:hAnsi="Verdana" w:cs="Arial"/>
          <w:bCs/>
          <w:color w:val="000000" w:themeColor="text1"/>
        </w:rPr>
      </w:pPr>
    </w:p>
    <w:p w14:paraId="1496BDFC" w14:textId="77777777" w:rsidR="00F67133" w:rsidRPr="00F86AD5" w:rsidRDefault="00F67133" w:rsidP="0075368F">
      <w:pPr>
        <w:pStyle w:val="Prrafodelista"/>
        <w:numPr>
          <w:ilvl w:val="0"/>
          <w:numId w:val="23"/>
        </w:numPr>
        <w:spacing w:after="0" w:line="276" w:lineRule="auto"/>
        <w:jc w:val="both"/>
        <w:rPr>
          <w:rFonts w:ascii="Verdana" w:eastAsia="Calibri" w:hAnsi="Verdana" w:cs="Arial"/>
          <w:bCs/>
          <w:color w:val="000000" w:themeColor="text1"/>
        </w:rPr>
      </w:pPr>
      <w:r w:rsidRPr="00DD43D0">
        <w:rPr>
          <w:rFonts w:ascii="Verdana" w:eastAsia="Calibri" w:hAnsi="Verdana" w:cs="Arial"/>
          <w:color w:val="000000" w:themeColor="text1"/>
        </w:rPr>
        <w:t>En este sentido, la Corte Constitucional ha sostenido:</w:t>
      </w:r>
    </w:p>
    <w:p w14:paraId="7603299C" w14:textId="77777777" w:rsidR="00F67133" w:rsidRPr="00F86AD5" w:rsidRDefault="00F67133" w:rsidP="00F67133">
      <w:pPr>
        <w:spacing w:after="0" w:line="276" w:lineRule="auto"/>
        <w:jc w:val="both"/>
        <w:rPr>
          <w:rFonts w:ascii="Verdana" w:eastAsia="Calibri" w:hAnsi="Verdana" w:cs="Arial"/>
          <w:bCs/>
          <w:color w:val="000000" w:themeColor="text1"/>
          <w:lang w:val="es-ES"/>
        </w:rPr>
      </w:pPr>
    </w:p>
    <w:p w14:paraId="7260474C" w14:textId="77777777" w:rsidR="00F67133" w:rsidRPr="00513E22" w:rsidRDefault="00F67133" w:rsidP="00F67133">
      <w:pPr>
        <w:spacing w:after="0" w:line="240" w:lineRule="auto"/>
        <w:ind w:left="709" w:right="709"/>
        <w:jc w:val="both"/>
        <w:rPr>
          <w:rFonts w:ascii="Verdana" w:eastAsia="Calibri" w:hAnsi="Verdana" w:cs="Arial"/>
          <w:bCs/>
          <w:color w:val="000000" w:themeColor="text1"/>
          <w:sz w:val="20"/>
          <w:szCs w:val="21"/>
        </w:rPr>
      </w:pPr>
      <w:r w:rsidRPr="00F86AD5">
        <w:rPr>
          <w:rFonts w:ascii="Verdana" w:eastAsia="Calibri" w:hAnsi="Verdana" w:cs="Arial"/>
          <w:bCs/>
          <w:color w:val="000000" w:themeColor="text1"/>
          <w:sz w:val="21"/>
          <w:szCs w:val="21"/>
        </w:rPr>
        <w:t>“</w:t>
      </w:r>
      <w:r w:rsidRPr="00513E22">
        <w:rPr>
          <w:rFonts w:ascii="Verdana" w:eastAsia="Calibri" w:hAnsi="Verdana" w:cs="Arial"/>
          <w:bCs/>
          <w:color w:val="000000" w:themeColor="text1"/>
          <w:sz w:val="20"/>
          <w:szCs w:val="21"/>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r w:rsidR="0075368F" w:rsidRPr="00DD43D0">
        <w:rPr>
          <w:rFonts w:ascii="Verdana" w:eastAsia="Calibri" w:hAnsi="Verdana" w:cs="Arial"/>
          <w:bCs/>
          <w:color w:val="000000" w:themeColor="text1"/>
          <w:sz w:val="20"/>
          <w:szCs w:val="21"/>
        </w:rPr>
        <w:t>.(…)</w:t>
      </w:r>
    </w:p>
    <w:p w14:paraId="729C11BD" w14:textId="77777777" w:rsidR="00F67133" w:rsidRPr="00F86AD5" w:rsidRDefault="00F67133" w:rsidP="00F67133">
      <w:pPr>
        <w:spacing w:after="0" w:line="240" w:lineRule="auto"/>
        <w:ind w:left="709" w:right="709"/>
        <w:jc w:val="both"/>
        <w:rPr>
          <w:rFonts w:ascii="Verdana" w:eastAsia="Calibri" w:hAnsi="Verdana" w:cs="Arial"/>
          <w:bCs/>
          <w:color w:val="000000" w:themeColor="text1"/>
          <w:sz w:val="21"/>
          <w:szCs w:val="21"/>
        </w:rPr>
      </w:pPr>
      <w:r w:rsidRPr="00513E22">
        <w:rPr>
          <w:rFonts w:ascii="Verdana" w:eastAsia="Calibri" w:hAnsi="Verdana" w:cs="Arial"/>
          <w:bCs/>
          <w:color w:val="000000" w:themeColor="text1"/>
          <w:sz w:val="20"/>
          <w:szCs w:val="21"/>
        </w:rPr>
        <w:t xml:space="preserve">En torno a la capacidad contractual de los consorcios y uniones temporales la jurisprudencia constitucional ha expresado que el Estatuto de contratación les reconoce este atributo sin exigirles como condición de su </w:t>
      </w:r>
      <w:r w:rsidRPr="00513E22">
        <w:rPr>
          <w:rFonts w:ascii="Verdana" w:eastAsia="Calibri" w:hAnsi="Verdana" w:cs="Arial"/>
          <w:bCs/>
          <w:color w:val="000000" w:themeColor="text1"/>
          <w:sz w:val="20"/>
          <w:szCs w:val="21"/>
        </w:rPr>
        <w:lastRenderedPageBreak/>
        <w:t>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F86AD5">
        <w:rPr>
          <w:rFonts w:ascii="Verdana" w:eastAsia="Calibri" w:hAnsi="Verdana" w:cs="Arial"/>
          <w:bCs/>
          <w:color w:val="000000" w:themeColor="text1"/>
          <w:sz w:val="21"/>
          <w:szCs w:val="21"/>
        </w:rPr>
        <w:t>”</w:t>
      </w:r>
      <w:r w:rsidRPr="00F86AD5">
        <w:rPr>
          <w:rStyle w:val="Refdenotaalpie"/>
          <w:rFonts w:ascii="Verdana" w:eastAsia="Calibri" w:hAnsi="Verdana" w:cs="Arial"/>
          <w:bCs/>
          <w:color w:val="000000" w:themeColor="text1"/>
          <w:sz w:val="21"/>
          <w:szCs w:val="21"/>
        </w:rPr>
        <w:footnoteReference w:id="12"/>
      </w:r>
      <w:r w:rsidRPr="00F86AD5">
        <w:rPr>
          <w:rFonts w:ascii="Verdana" w:eastAsia="Calibri" w:hAnsi="Verdana" w:cs="Arial"/>
          <w:bCs/>
          <w:color w:val="000000" w:themeColor="text1"/>
          <w:sz w:val="21"/>
          <w:szCs w:val="21"/>
        </w:rPr>
        <w:t>.</w:t>
      </w:r>
    </w:p>
    <w:p w14:paraId="6861657C" w14:textId="77777777" w:rsidR="00F67133" w:rsidRPr="00F86AD5" w:rsidRDefault="00F67133" w:rsidP="00F67133">
      <w:pPr>
        <w:spacing w:after="0"/>
        <w:ind w:left="720" w:right="730"/>
        <w:jc w:val="both"/>
        <w:rPr>
          <w:rFonts w:ascii="Verdana" w:eastAsia="Calibri" w:hAnsi="Verdana" w:cs="Arial"/>
          <w:bCs/>
          <w:color w:val="000000" w:themeColor="text1"/>
          <w:sz w:val="21"/>
          <w:szCs w:val="21"/>
        </w:rPr>
      </w:pPr>
    </w:p>
    <w:p w14:paraId="7B7F408D" w14:textId="77777777" w:rsidR="00F67133" w:rsidRDefault="00F67133" w:rsidP="0075368F">
      <w:pPr>
        <w:pStyle w:val="Prrafodelista"/>
        <w:numPr>
          <w:ilvl w:val="0"/>
          <w:numId w:val="24"/>
        </w:numPr>
        <w:spacing w:after="120" w:line="276" w:lineRule="auto"/>
        <w:jc w:val="both"/>
        <w:rPr>
          <w:rFonts w:ascii="Verdana" w:eastAsia="Calibri" w:hAnsi="Verdana" w:cs="Arial"/>
          <w:color w:val="000000" w:themeColor="text1"/>
        </w:rPr>
      </w:pPr>
      <w:bookmarkStart w:id="1" w:name="_Hlk135067740"/>
      <w:r w:rsidRPr="00DD43D0">
        <w:rPr>
          <w:rFonts w:ascii="Verdana" w:eastAsia="Calibri" w:hAnsi="Verdana" w:cs="Arial"/>
          <w:color w:val="000000" w:themeColor="text1"/>
        </w:rPr>
        <w:t xml:space="preserve">La Corte Constitucional destaca, de un lado, que las estructuras plurales son el reconocimiento de una realidad negocial en materia de contratación estatal, y del otro, que esta colaboración económica entre sujetos de derecho permite la materialización de los fines del estado, al facilitar la efectiva ejecución de los contratos. </w:t>
      </w:r>
    </w:p>
    <w:bookmarkEnd w:id="1"/>
    <w:p w14:paraId="5BDC60C0" w14:textId="77777777" w:rsidR="0075368F" w:rsidRPr="00DD43D0" w:rsidRDefault="0075368F" w:rsidP="0075368F">
      <w:pPr>
        <w:pStyle w:val="Prrafodelista"/>
        <w:spacing w:after="120" w:line="276" w:lineRule="auto"/>
        <w:jc w:val="both"/>
        <w:rPr>
          <w:rFonts w:ascii="Verdana" w:eastAsia="Calibri" w:hAnsi="Verdana" w:cs="Arial"/>
          <w:bCs/>
          <w:color w:val="000000" w:themeColor="text1"/>
        </w:rPr>
      </w:pPr>
    </w:p>
    <w:p w14:paraId="30788596" w14:textId="336FBF8D" w:rsidR="0075368F" w:rsidRPr="00DD43D0" w:rsidRDefault="0075368F" w:rsidP="0075368F">
      <w:pPr>
        <w:pStyle w:val="Prrafodelista"/>
        <w:numPr>
          <w:ilvl w:val="0"/>
          <w:numId w:val="24"/>
        </w:numPr>
        <w:spacing w:after="120" w:line="276" w:lineRule="auto"/>
        <w:jc w:val="both"/>
        <w:rPr>
          <w:rFonts w:ascii="Verdana" w:hAnsi="Verdana"/>
        </w:rPr>
      </w:pPr>
      <w:r w:rsidRPr="00DD43D0">
        <w:rPr>
          <w:rFonts w:ascii="Verdana" w:hAnsi="Verdana" w:cs="Arial"/>
        </w:rPr>
        <w:t xml:space="preserve">Ahora bien, los consorcios y las uniones temporales no son personas jurídicas </w:t>
      </w:r>
      <w:r w:rsidR="00BA03CF" w:rsidRPr="00DD43D0">
        <w:rPr>
          <w:rFonts w:ascii="Verdana" w:hAnsi="Verdana" w:cs="Arial"/>
        </w:rPr>
        <w:t>y su</w:t>
      </w:r>
      <w:r w:rsidRPr="00DD43D0">
        <w:rPr>
          <w:rFonts w:ascii="Verdana" w:hAnsi="Verdana" w:cs="Arial"/>
        </w:rPr>
        <w:t xml:space="preserve"> creación depende de un acuerdo en el que concurre la voluntad de sus integrantes para regular: su objeto, la participación de los miembros, las obligaciones frente al proyecto, su responsabilidad, la forma en que regirán sus relaciones internas y el relacionamiento con la entidad contratante, mediante la designación de un representante.  Lo anterior de conformidad con el artículo 7 de la Ley 80 de 1993. </w:t>
      </w:r>
    </w:p>
    <w:p w14:paraId="1AA98B2F" w14:textId="77777777" w:rsidR="00F67133" w:rsidRPr="00513E22" w:rsidRDefault="0075368F" w:rsidP="00F67133">
      <w:pPr>
        <w:spacing w:after="0" w:line="240" w:lineRule="auto"/>
        <w:ind w:left="709" w:right="709"/>
        <w:jc w:val="both"/>
        <w:rPr>
          <w:rFonts w:ascii="Verdana" w:eastAsia="Calibri" w:hAnsi="Verdana" w:cs="Arial"/>
          <w:bCs/>
          <w:color w:val="000000" w:themeColor="text1"/>
          <w:sz w:val="20"/>
          <w:lang w:val="es-ES"/>
        </w:rPr>
      </w:pPr>
      <w:r w:rsidRPr="00DD43D0" w:rsidDel="00A75FF0">
        <w:rPr>
          <w:rFonts w:ascii="Verdana" w:hAnsi="Verdana" w:cs="Arial"/>
        </w:rPr>
        <w:t xml:space="preserve"> </w:t>
      </w:r>
      <w:r w:rsidR="00F67133" w:rsidRPr="00F86AD5">
        <w:rPr>
          <w:rFonts w:ascii="Verdana" w:eastAsia="Calibri" w:hAnsi="Verdana" w:cs="Arial"/>
          <w:bCs/>
          <w:color w:val="000000" w:themeColor="text1"/>
          <w:sz w:val="21"/>
          <w:lang w:val="es-ES"/>
        </w:rPr>
        <w:t>“</w:t>
      </w:r>
      <w:r w:rsidR="00F67133" w:rsidRPr="00513E22">
        <w:rPr>
          <w:rFonts w:ascii="Verdana" w:eastAsia="Calibri" w:hAnsi="Verdana" w:cs="Arial"/>
          <w:bCs/>
          <w:color w:val="000000" w:themeColor="text1"/>
          <w:sz w:val="20"/>
          <w:lang w:val="es-ES"/>
        </w:rPr>
        <w:t>Artículo 7º.- ENTIDADES A CONTRATAR. Artículo modificado por el artículo 3 de la Ley 2160 de 2021. Para los efectos de esta Ley se entiende por:</w:t>
      </w:r>
    </w:p>
    <w:p w14:paraId="754D4CAF" w14:textId="77777777" w:rsidR="00F67133" w:rsidRPr="00513E22" w:rsidRDefault="00FF786B" w:rsidP="00F67133">
      <w:pPr>
        <w:spacing w:after="120" w:line="240" w:lineRule="auto"/>
        <w:ind w:left="709" w:right="709"/>
        <w:jc w:val="both"/>
        <w:rPr>
          <w:rFonts w:ascii="Verdana" w:eastAsia="Calibri" w:hAnsi="Verdana" w:cs="Arial"/>
          <w:bCs/>
          <w:color w:val="000000" w:themeColor="text1"/>
          <w:sz w:val="20"/>
          <w:lang w:val="es-ES"/>
        </w:rPr>
      </w:pPr>
      <w:r w:rsidRPr="00513E22">
        <w:rPr>
          <w:rFonts w:ascii="Verdana" w:eastAsia="Calibri" w:hAnsi="Verdana" w:cs="Arial"/>
          <w:bCs/>
          <w:color w:val="000000" w:themeColor="text1"/>
          <w:sz w:val="20"/>
          <w:lang w:val="es-ES"/>
        </w:rPr>
        <w:t>(</w:t>
      </w:r>
      <w:r w:rsidR="00F67133" w:rsidRPr="00513E22">
        <w:rPr>
          <w:rFonts w:ascii="Verdana" w:eastAsia="Calibri" w:hAnsi="Verdana" w:cs="Arial"/>
          <w:bCs/>
          <w:color w:val="000000" w:themeColor="text1"/>
          <w:sz w:val="20"/>
          <w:lang w:val="es-ES"/>
        </w:rPr>
        <w:t>…</w:t>
      </w:r>
      <w:r w:rsidRPr="00513E22">
        <w:rPr>
          <w:rFonts w:ascii="Verdana" w:eastAsia="Calibri" w:hAnsi="Verdana" w:cs="Arial"/>
          <w:bCs/>
          <w:color w:val="000000" w:themeColor="text1"/>
          <w:sz w:val="20"/>
          <w:lang w:val="es-ES"/>
        </w:rPr>
        <w:t>)</w:t>
      </w:r>
    </w:p>
    <w:p w14:paraId="3183C1C6" w14:textId="77777777" w:rsidR="00F67133" w:rsidRPr="00513E22" w:rsidRDefault="00F67133" w:rsidP="00F67133">
      <w:pPr>
        <w:spacing w:after="120" w:line="240" w:lineRule="auto"/>
        <w:ind w:left="709" w:right="709"/>
        <w:jc w:val="both"/>
        <w:rPr>
          <w:rFonts w:ascii="Verdana" w:eastAsia="Calibri" w:hAnsi="Verdana" w:cs="Arial"/>
          <w:bCs/>
          <w:color w:val="000000" w:themeColor="text1"/>
          <w:sz w:val="20"/>
          <w:lang w:val="es-ES"/>
        </w:rPr>
      </w:pPr>
      <w:r w:rsidRPr="00513E22">
        <w:rPr>
          <w:rFonts w:ascii="Verdana" w:eastAsia="Calibri" w:hAnsi="Verdana" w:cs="Arial"/>
          <w:bCs/>
          <w:color w:val="000000" w:themeColor="text1"/>
          <w:sz w:val="20"/>
          <w:lang w:val="es-ES"/>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26AD877F" w14:textId="77777777" w:rsidR="00F67133" w:rsidRPr="00513E22" w:rsidRDefault="00F67133" w:rsidP="00F67133">
      <w:pPr>
        <w:spacing w:after="0" w:line="240" w:lineRule="auto"/>
        <w:ind w:left="709" w:right="709"/>
        <w:jc w:val="both"/>
        <w:rPr>
          <w:rFonts w:ascii="Verdana" w:eastAsia="Calibri" w:hAnsi="Verdana" w:cs="Arial"/>
          <w:bCs/>
          <w:color w:val="000000" w:themeColor="text1"/>
          <w:sz w:val="20"/>
          <w:lang w:val="es-ES"/>
        </w:rPr>
      </w:pPr>
      <w:r w:rsidRPr="00513E22">
        <w:rPr>
          <w:rFonts w:ascii="Verdana" w:eastAsia="Calibri" w:hAnsi="Verdana" w:cs="Arial"/>
          <w:bCs/>
          <w:color w:val="000000" w:themeColor="text1"/>
          <w:sz w:val="20"/>
          <w:lang w:val="es-ES"/>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6A33E050" w14:textId="77777777" w:rsidR="00F67133" w:rsidRPr="00513E22" w:rsidRDefault="00FF786B" w:rsidP="00F67133">
      <w:pPr>
        <w:spacing w:after="120" w:line="240" w:lineRule="auto"/>
        <w:ind w:left="709" w:right="709"/>
        <w:jc w:val="both"/>
        <w:rPr>
          <w:rFonts w:ascii="Verdana" w:eastAsia="Calibri" w:hAnsi="Verdana" w:cs="Arial"/>
          <w:bCs/>
          <w:color w:val="000000" w:themeColor="text1"/>
          <w:sz w:val="20"/>
          <w:lang w:val="es-ES"/>
        </w:rPr>
      </w:pPr>
      <w:r w:rsidRPr="00513E22">
        <w:rPr>
          <w:rFonts w:ascii="Verdana" w:eastAsia="Calibri" w:hAnsi="Verdana" w:cs="Arial"/>
          <w:bCs/>
          <w:color w:val="000000" w:themeColor="text1"/>
          <w:sz w:val="20"/>
          <w:lang w:val="es-ES"/>
        </w:rPr>
        <w:t>(</w:t>
      </w:r>
      <w:r w:rsidR="00F67133" w:rsidRPr="00513E22">
        <w:rPr>
          <w:rFonts w:ascii="Verdana" w:eastAsia="Calibri" w:hAnsi="Verdana" w:cs="Arial"/>
          <w:bCs/>
          <w:color w:val="000000" w:themeColor="text1"/>
          <w:sz w:val="20"/>
          <w:lang w:val="es-ES"/>
        </w:rPr>
        <w:t>…</w:t>
      </w:r>
      <w:r w:rsidRPr="00513E22">
        <w:rPr>
          <w:rFonts w:ascii="Verdana" w:eastAsia="Calibri" w:hAnsi="Verdana" w:cs="Arial"/>
          <w:bCs/>
          <w:color w:val="000000" w:themeColor="text1"/>
          <w:sz w:val="20"/>
          <w:lang w:val="es-ES"/>
        </w:rPr>
        <w:t>)</w:t>
      </w:r>
    </w:p>
    <w:p w14:paraId="63313A59" w14:textId="77777777" w:rsidR="00F67133" w:rsidRPr="00513E22" w:rsidRDefault="00F67133" w:rsidP="00F67133">
      <w:pPr>
        <w:spacing w:after="120" w:line="240" w:lineRule="auto"/>
        <w:ind w:left="709" w:right="709"/>
        <w:jc w:val="both"/>
        <w:rPr>
          <w:rFonts w:ascii="Verdana" w:eastAsia="Calibri" w:hAnsi="Verdana" w:cs="Arial"/>
          <w:bCs/>
          <w:color w:val="000000" w:themeColor="text1"/>
          <w:sz w:val="20"/>
          <w:lang w:val="es-ES"/>
        </w:rPr>
      </w:pPr>
      <w:r w:rsidRPr="00513E22">
        <w:rPr>
          <w:rFonts w:ascii="Verdana" w:eastAsia="Calibri" w:hAnsi="Verdana" w:cs="Arial"/>
          <w:bCs/>
          <w:color w:val="000000" w:themeColor="text1"/>
          <w:sz w:val="20"/>
          <w:lang w:val="es-ES"/>
        </w:rPr>
        <w:lastRenderedPageBreak/>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729847A3" w14:textId="77777777" w:rsidR="00F67133" w:rsidRPr="00F86AD5" w:rsidRDefault="00F67133" w:rsidP="00F67133">
      <w:pPr>
        <w:spacing w:after="0" w:line="240" w:lineRule="auto"/>
        <w:ind w:left="709" w:right="709"/>
        <w:jc w:val="both"/>
        <w:rPr>
          <w:rFonts w:ascii="Verdana" w:eastAsia="Calibri" w:hAnsi="Verdana" w:cs="Arial"/>
          <w:bCs/>
          <w:color w:val="000000" w:themeColor="text1"/>
          <w:sz w:val="21"/>
          <w:lang w:val="es-ES"/>
        </w:rPr>
      </w:pPr>
      <w:r w:rsidRPr="00513E22">
        <w:rPr>
          <w:rFonts w:ascii="Verdana" w:eastAsia="Calibri" w:hAnsi="Verdana" w:cs="Arial"/>
          <w:bCs/>
          <w:color w:val="000000" w:themeColor="text1"/>
          <w:sz w:val="20"/>
          <w:lang w:val="es-ES"/>
        </w:rPr>
        <w:t>Los miembros del consorcio y de la unión temporal deberán designar la persona que, para todos los efectos, representará al consorcio o unión temporal y señalarán las reglas básicas que regulen las relaciones entre ellos y su responsabilidad.</w:t>
      </w:r>
      <w:r w:rsidR="009D7037" w:rsidRPr="00F86AD5">
        <w:rPr>
          <w:rFonts w:ascii="Verdana" w:eastAsia="Calibri" w:hAnsi="Verdana" w:cs="Arial"/>
          <w:bCs/>
          <w:color w:val="000000" w:themeColor="text1"/>
          <w:sz w:val="21"/>
          <w:lang w:val="es-ES"/>
        </w:rPr>
        <w:t>(</w:t>
      </w:r>
      <w:r w:rsidRPr="00F86AD5">
        <w:rPr>
          <w:rFonts w:ascii="Verdana" w:eastAsia="Calibri" w:hAnsi="Verdana" w:cs="Arial"/>
          <w:bCs/>
          <w:color w:val="000000" w:themeColor="text1"/>
          <w:sz w:val="21"/>
          <w:lang w:val="es-ES"/>
        </w:rPr>
        <w:t>…</w:t>
      </w:r>
      <w:r w:rsidR="009D7037" w:rsidRPr="00F86AD5">
        <w:rPr>
          <w:rFonts w:ascii="Verdana" w:eastAsia="Calibri" w:hAnsi="Verdana" w:cs="Arial"/>
          <w:bCs/>
          <w:color w:val="000000" w:themeColor="text1"/>
          <w:sz w:val="21"/>
          <w:lang w:val="es-ES"/>
        </w:rPr>
        <w:t>)</w:t>
      </w:r>
      <w:r w:rsidRPr="00F86AD5">
        <w:rPr>
          <w:rFonts w:ascii="Verdana" w:eastAsia="Calibri" w:hAnsi="Verdana" w:cs="Arial"/>
          <w:bCs/>
          <w:color w:val="000000" w:themeColor="text1"/>
          <w:sz w:val="21"/>
          <w:lang w:val="es-ES"/>
        </w:rPr>
        <w:t>”.</w:t>
      </w:r>
    </w:p>
    <w:p w14:paraId="57013A37" w14:textId="77777777" w:rsidR="00F67133" w:rsidRPr="00DD43D0" w:rsidRDefault="00F67133" w:rsidP="0075368F">
      <w:pPr>
        <w:spacing w:after="0" w:line="240" w:lineRule="auto"/>
        <w:ind w:left="709" w:right="709"/>
        <w:jc w:val="both"/>
        <w:rPr>
          <w:rFonts w:ascii="Verdana" w:eastAsia="Calibri" w:hAnsi="Verdana" w:cs="Arial"/>
          <w:color w:val="000000" w:themeColor="text1"/>
          <w:sz w:val="21"/>
          <w:lang w:val="es-ES"/>
        </w:rPr>
      </w:pPr>
    </w:p>
    <w:p w14:paraId="65232F83" w14:textId="5B71E606" w:rsidR="0075368F" w:rsidRDefault="0075368F" w:rsidP="0075368F">
      <w:pPr>
        <w:pStyle w:val="Prrafodelista"/>
        <w:numPr>
          <w:ilvl w:val="0"/>
          <w:numId w:val="25"/>
        </w:numPr>
        <w:spacing w:after="120" w:line="276" w:lineRule="auto"/>
        <w:ind w:left="709" w:hanging="283"/>
        <w:jc w:val="both"/>
        <w:rPr>
          <w:rFonts w:ascii="Verdana" w:hAnsi="Verdana" w:cs="Arial"/>
          <w:color w:val="000000" w:themeColor="text1"/>
        </w:rPr>
      </w:pPr>
      <w:r w:rsidRPr="00DD43D0">
        <w:rPr>
          <w:rFonts w:ascii="Verdana" w:eastAsia="Calibri" w:hAnsi="Verdana" w:cs="Arial"/>
          <w:bCs/>
          <w:color w:val="000000" w:themeColor="text1"/>
        </w:rPr>
        <w:t xml:space="preserve">De acuerdo con la norma </w:t>
      </w:r>
      <w:r w:rsidR="00BA03CF" w:rsidRPr="00DD43D0">
        <w:rPr>
          <w:rFonts w:ascii="Verdana" w:eastAsia="Calibri" w:hAnsi="Verdana" w:cs="Arial"/>
          <w:bCs/>
          <w:color w:val="000000" w:themeColor="text1"/>
        </w:rPr>
        <w:t xml:space="preserve">anterior, </w:t>
      </w:r>
      <w:r w:rsidR="00BA03CF" w:rsidRPr="00DD43D0">
        <w:rPr>
          <w:rFonts w:ascii="Verdana" w:hAnsi="Verdana" w:cs="Arial"/>
          <w:color w:val="000000" w:themeColor="text1"/>
        </w:rPr>
        <w:t>la</w:t>
      </w:r>
      <w:r w:rsidRPr="00DD43D0">
        <w:rPr>
          <w:rFonts w:ascii="Verdana" w:hAnsi="Verdana" w:cs="Arial"/>
          <w:color w:val="000000" w:themeColor="text1"/>
        </w:rPr>
        <w:t xml:space="preserve"> capacidad de los consorcios y las uniones temporales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11E2A523" w14:textId="77777777" w:rsidR="0075368F" w:rsidRPr="00DD43D0" w:rsidRDefault="0075368F" w:rsidP="0075368F">
      <w:pPr>
        <w:pStyle w:val="Prrafodelista"/>
        <w:spacing w:after="120" w:line="276" w:lineRule="auto"/>
        <w:ind w:left="709"/>
        <w:jc w:val="both"/>
        <w:rPr>
          <w:rFonts w:ascii="Verdana" w:hAnsi="Verdana" w:cs="Arial"/>
          <w:color w:val="000000" w:themeColor="text1"/>
        </w:rPr>
      </w:pPr>
    </w:p>
    <w:p w14:paraId="3EE5DC73" w14:textId="77777777" w:rsidR="0075368F" w:rsidRDefault="0075368F" w:rsidP="0075368F">
      <w:pPr>
        <w:pStyle w:val="Prrafodelista"/>
        <w:numPr>
          <w:ilvl w:val="0"/>
          <w:numId w:val="25"/>
        </w:numPr>
        <w:spacing w:after="120" w:line="276" w:lineRule="auto"/>
        <w:ind w:left="709" w:hanging="283"/>
        <w:jc w:val="both"/>
        <w:rPr>
          <w:rFonts w:ascii="Verdana" w:hAnsi="Verdana" w:cs="Arial"/>
          <w:color w:val="000000" w:themeColor="text1"/>
        </w:rPr>
      </w:pPr>
      <w:r w:rsidRPr="00E25381">
        <w:rPr>
          <w:rFonts w:ascii="Verdana" w:hAnsi="Verdana" w:cs="Arial"/>
          <w:color w:val="000000" w:themeColor="text1"/>
        </w:rPr>
        <w:t>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w:t>
      </w:r>
    </w:p>
    <w:p w14:paraId="1346EC1D" w14:textId="77777777" w:rsidR="0075368F" w:rsidRPr="00E25381" w:rsidRDefault="0075368F" w:rsidP="0075368F">
      <w:pPr>
        <w:pStyle w:val="Prrafodelista"/>
        <w:rPr>
          <w:rFonts w:ascii="Verdana" w:hAnsi="Verdana" w:cs="Arial"/>
          <w:color w:val="000000" w:themeColor="text1"/>
        </w:rPr>
      </w:pPr>
    </w:p>
    <w:p w14:paraId="22DCE130" w14:textId="77777777" w:rsidR="0075368F" w:rsidRDefault="0075368F" w:rsidP="0075368F">
      <w:pPr>
        <w:pStyle w:val="Prrafodelista"/>
        <w:numPr>
          <w:ilvl w:val="0"/>
          <w:numId w:val="25"/>
        </w:numPr>
        <w:spacing w:after="120" w:line="276" w:lineRule="auto"/>
        <w:ind w:left="709" w:hanging="283"/>
        <w:jc w:val="both"/>
        <w:rPr>
          <w:rFonts w:ascii="Verdana" w:hAnsi="Verdana" w:cs="Arial"/>
          <w:color w:val="000000" w:themeColor="text1"/>
        </w:rPr>
      </w:pPr>
      <w:r w:rsidRPr="00E25381">
        <w:rPr>
          <w:rFonts w:ascii="Verdana" w:hAnsi="Verdana" w:cs="Arial"/>
          <w:color w:val="000000" w:themeColor="text1"/>
        </w:rPr>
        <w:t xml:space="preserve">En estricto sentido, la capacidad jurídica de los proponentes plurales se limita al campo de la contratación estatal de las entidades sometidas al EGCAP, es decir, a las relaciones en consorcios y las uniones temporales con las entidades estatales del artículo 2 de la Ley 80 de 1993. Esta precisión es importante, porque la habilitación de los numerales 6 y 7 del artículo 7 de la Ley 80 de 1993 no les otorgan capacidad respecto a las relaciones entre particulares, como las que surgen entre el cedente y el cesionario del contrato. </w:t>
      </w:r>
    </w:p>
    <w:p w14:paraId="0EB7C150" w14:textId="77777777" w:rsidR="0075368F" w:rsidRPr="00E25381" w:rsidRDefault="0075368F" w:rsidP="0075368F">
      <w:pPr>
        <w:pStyle w:val="Prrafodelista"/>
        <w:rPr>
          <w:rFonts w:ascii="Verdana" w:hAnsi="Verdana" w:cs="Arial"/>
          <w:color w:val="000000" w:themeColor="text1"/>
        </w:rPr>
      </w:pPr>
    </w:p>
    <w:p w14:paraId="3A7FC97E" w14:textId="77777777" w:rsidR="0075368F" w:rsidRPr="00DD43D0" w:rsidRDefault="0075368F" w:rsidP="0075368F">
      <w:pPr>
        <w:pStyle w:val="Prrafodelista"/>
        <w:numPr>
          <w:ilvl w:val="0"/>
          <w:numId w:val="25"/>
        </w:numPr>
        <w:spacing w:after="0" w:line="276" w:lineRule="auto"/>
        <w:ind w:left="709" w:hanging="283"/>
        <w:jc w:val="both"/>
        <w:rPr>
          <w:rFonts w:ascii="Verdana" w:hAnsi="Verdana" w:cs="Arial"/>
          <w:color w:val="000000" w:themeColor="text1"/>
        </w:rPr>
      </w:pPr>
      <w:r w:rsidRPr="00DD43D0">
        <w:rPr>
          <w:rFonts w:ascii="Verdana" w:hAnsi="Verdana" w:cs="Arial"/>
          <w:color w:val="000000" w:themeColor="text1"/>
        </w:rPr>
        <w:t>En ese sentido, los numerales 6 y 7 de la norma ibidem como se indicó previamente, al no otorgar capacidad a los proponentes plurales para ser cesionarios, esta solo operará al existir habilitación legal para que los contratistas cedan su posición contractual a los consorcios o uniones temporales, cuando:</w:t>
      </w:r>
    </w:p>
    <w:p w14:paraId="5361BFCA" w14:textId="77777777" w:rsidR="0075368F" w:rsidRPr="00DD43D0" w:rsidRDefault="0075368F" w:rsidP="0075368F">
      <w:pPr>
        <w:pStyle w:val="Prrafodelista"/>
        <w:spacing w:after="0" w:line="276" w:lineRule="auto"/>
        <w:ind w:left="1425"/>
        <w:jc w:val="both"/>
        <w:rPr>
          <w:rFonts w:ascii="Verdana" w:hAnsi="Verdana" w:cs="Arial"/>
          <w:color w:val="000000" w:themeColor="text1"/>
        </w:rPr>
      </w:pPr>
    </w:p>
    <w:p w14:paraId="68077A21" w14:textId="77777777" w:rsidR="0075368F" w:rsidRPr="00DD43D0" w:rsidRDefault="0075368F" w:rsidP="0075368F">
      <w:pPr>
        <w:pStyle w:val="Prrafodelista"/>
        <w:numPr>
          <w:ilvl w:val="0"/>
          <w:numId w:val="26"/>
        </w:numPr>
        <w:spacing w:after="0" w:line="276" w:lineRule="auto"/>
        <w:ind w:left="1276"/>
        <w:jc w:val="both"/>
        <w:rPr>
          <w:rFonts w:ascii="Verdana" w:hAnsi="Verdana" w:cs="Arial"/>
          <w:color w:val="000000" w:themeColor="text1"/>
        </w:rPr>
      </w:pPr>
      <w:r w:rsidRPr="00DD43D0">
        <w:rPr>
          <w:rFonts w:ascii="Verdana" w:hAnsi="Verdana" w:cs="Arial"/>
          <w:color w:val="000000" w:themeColor="text1"/>
        </w:rPr>
        <w:t>Durante la ejecución el contratista no se encuentre en capacidad de ejecutar el contrato, la cesión garantiza la preservación del contrato estatal.</w:t>
      </w:r>
    </w:p>
    <w:p w14:paraId="01E5245A" w14:textId="1FD37BB0" w:rsidR="0075368F" w:rsidRPr="00DD43D0" w:rsidRDefault="0075368F" w:rsidP="0075368F">
      <w:pPr>
        <w:pStyle w:val="Prrafodelista"/>
        <w:numPr>
          <w:ilvl w:val="0"/>
          <w:numId w:val="26"/>
        </w:numPr>
        <w:spacing w:after="0" w:line="276" w:lineRule="auto"/>
        <w:ind w:left="1276"/>
        <w:jc w:val="both"/>
        <w:rPr>
          <w:rFonts w:ascii="Verdana" w:hAnsi="Verdana" w:cs="Arial"/>
          <w:color w:val="000000" w:themeColor="text1"/>
        </w:rPr>
      </w:pPr>
      <w:r w:rsidRPr="00DD43D0">
        <w:rPr>
          <w:rFonts w:ascii="Verdana" w:hAnsi="Verdana" w:cs="Arial"/>
          <w:color w:val="000000" w:themeColor="text1"/>
        </w:rPr>
        <w:t xml:space="preserve">Al contratista, miembro de consorcio o unión temporal, le sobreviene una inhabilidad o </w:t>
      </w:r>
      <w:r w:rsidR="00526738" w:rsidRPr="00DD43D0">
        <w:rPr>
          <w:rFonts w:ascii="Verdana" w:hAnsi="Verdana" w:cs="Arial"/>
          <w:color w:val="000000" w:themeColor="text1"/>
        </w:rPr>
        <w:t>incompatibilidad, deberá</w:t>
      </w:r>
      <w:r w:rsidRPr="00DD43D0">
        <w:rPr>
          <w:rFonts w:ascii="Verdana" w:hAnsi="Verdana" w:cs="Arial"/>
          <w:color w:val="000000" w:themeColor="text1"/>
        </w:rPr>
        <w:t xml:space="preserve"> ceder el contrato o su participación según sea el caso  a un tercero. (Artículo 9° de la Ley 80 de 1993)</w:t>
      </w:r>
    </w:p>
    <w:p w14:paraId="4EB0346F" w14:textId="77777777" w:rsidR="0075368F" w:rsidRPr="00DD43D0" w:rsidRDefault="0075368F" w:rsidP="0075368F">
      <w:pPr>
        <w:pStyle w:val="Prrafodelista"/>
        <w:numPr>
          <w:ilvl w:val="0"/>
          <w:numId w:val="26"/>
        </w:numPr>
        <w:spacing w:after="0" w:line="276" w:lineRule="auto"/>
        <w:ind w:left="1276"/>
        <w:jc w:val="both"/>
        <w:rPr>
          <w:rFonts w:ascii="Verdana" w:hAnsi="Verdana" w:cs="Arial"/>
          <w:color w:val="000000" w:themeColor="text1"/>
        </w:rPr>
      </w:pPr>
      <w:r w:rsidRPr="00DD43D0">
        <w:rPr>
          <w:rFonts w:ascii="Verdana" w:hAnsi="Verdana" w:cs="Arial"/>
          <w:color w:val="000000" w:themeColor="text1"/>
        </w:rPr>
        <w:t>El contratista es condenado por delitos contra la administración pública o sancionado administrativamente por actos de corrupción, la entidad ordenará la cesión unilateral mediante acto administrativo motivado. Parágrafo 1° del Artículo 9° de Ley 80 de 1993.</w:t>
      </w:r>
    </w:p>
    <w:p w14:paraId="58D878D1" w14:textId="77777777" w:rsidR="0075368F" w:rsidRPr="00DD43D0" w:rsidRDefault="0075368F" w:rsidP="0075368F">
      <w:pPr>
        <w:spacing w:after="0" w:line="276" w:lineRule="auto"/>
        <w:jc w:val="both"/>
        <w:rPr>
          <w:rFonts w:ascii="Verdana" w:hAnsi="Verdana" w:cs="Arial"/>
          <w:color w:val="000000" w:themeColor="text1"/>
        </w:rPr>
      </w:pPr>
    </w:p>
    <w:p w14:paraId="039FC963" w14:textId="77777777" w:rsidR="0075368F" w:rsidRPr="00DD43D0" w:rsidRDefault="0075368F" w:rsidP="0075368F">
      <w:pPr>
        <w:pStyle w:val="Prrafodelista"/>
        <w:numPr>
          <w:ilvl w:val="0"/>
          <w:numId w:val="27"/>
        </w:numPr>
        <w:spacing w:after="0" w:line="276" w:lineRule="auto"/>
        <w:jc w:val="both"/>
        <w:rPr>
          <w:rFonts w:ascii="Verdana" w:hAnsi="Verdana" w:cs="Arial"/>
          <w:color w:val="000000" w:themeColor="text1"/>
        </w:rPr>
      </w:pPr>
      <w:r w:rsidRPr="00DD43D0">
        <w:rPr>
          <w:rFonts w:ascii="Verdana" w:hAnsi="Verdana" w:cs="Arial"/>
          <w:color w:val="000000" w:themeColor="text1"/>
        </w:rPr>
        <w:t>De tal manera que, al final le corresponderá a la Administración evaluar de forma objetiva si el cedente se encuentra inmerso dentro de causales que permitan ceder el contrato, aplicando entonces los principios de la contratación estatal y manual de contratación, dando cumplimiento al pliego de condiciones y al contrato mismo.</w:t>
      </w:r>
    </w:p>
    <w:p w14:paraId="23FD9E2D" w14:textId="77777777" w:rsidR="0075368F" w:rsidRPr="00DD43D0" w:rsidRDefault="0075368F" w:rsidP="0075368F">
      <w:pPr>
        <w:spacing w:after="0" w:line="276" w:lineRule="auto"/>
        <w:jc w:val="both"/>
        <w:rPr>
          <w:rFonts w:ascii="Verdana" w:hAnsi="Verdana" w:cs="Arial"/>
          <w:color w:val="000000" w:themeColor="text1"/>
        </w:rPr>
      </w:pPr>
    </w:p>
    <w:p w14:paraId="53A9FB90" w14:textId="77777777" w:rsidR="00D2527F" w:rsidRPr="00F86AD5" w:rsidRDefault="0075368F" w:rsidP="0075368F">
      <w:pPr>
        <w:pStyle w:val="Prrafodelista"/>
        <w:numPr>
          <w:ilvl w:val="0"/>
          <w:numId w:val="27"/>
        </w:numPr>
        <w:spacing w:after="0" w:line="276" w:lineRule="auto"/>
        <w:jc w:val="both"/>
        <w:rPr>
          <w:rFonts w:ascii="Verdana" w:hAnsi="Verdana" w:cs="Arial"/>
          <w:color w:val="000000" w:themeColor="text1"/>
        </w:rPr>
      </w:pPr>
      <w:r w:rsidRPr="00DD43D0">
        <w:rPr>
          <w:rFonts w:ascii="Verdana" w:hAnsi="Verdana" w:cs="Arial"/>
          <w:color w:val="000000" w:themeColor="text1"/>
        </w:rPr>
        <w:t>Finalmente, respecto a las modificaciones en la plataforma SECOP II, frente a las cesiones del contrato</w:t>
      </w:r>
      <w:r w:rsidR="00D2527F" w:rsidRPr="00F86AD5">
        <w:rPr>
          <w:rFonts w:ascii="Verdana" w:hAnsi="Verdana" w:cs="Arial"/>
          <w:color w:val="000000" w:themeColor="text1"/>
        </w:rPr>
        <w:t xml:space="preserve">, es preciso acudir a lo señalado en el documento expedido por parte de la Subdirección de Información y Desarrollo Tecnológico de la Agencia Nacional Colombia Compra Eficiente, en donde hace mención a las modificaciones del contrato de SECOP II, de la siguiente manera: </w:t>
      </w:r>
    </w:p>
    <w:p w14:paraId="3B24ADA3" w14:textId="77777777" w:rsidR="00D2527F" w:rsidRPr="00F86AD5" w:rsidRDefault="00D2527F" w:rsidP="00F67133">
      <w:pPr>
        <w:spacing w:after="0" w:line="276" w:lineRule="auto"/>
        <w:jc w:val="both"/>
        <w:rPr>
          <w:rFonts w:ascii="Verdana" w:hAnsi="Verdana" w:cs="Arial"/>
          <w:color w:val="000000" w:themeColor="text1"/>
        </w:rPr>
      </w:pPr>
    </w:p>
    <w:p w14:paraId="09261664" w14:textId="77777777" w:rsidR="00D2527F" w:rsidRPr="00F86AD5" w:rsidRDefault="00D2527F" w:rsidP="00D2527F">
      <w:pPr>
        <w:spacing w:after="0" w:line="276" w:lineRule="auto"/>
        <w:ind w:left="1134" w:right="900"/>
        <w:jc w:val="both"/>
        <w:rPr>
          <w:rFonts w:ascii="Verdana" w:hAnsi="Verdana" w:cs="Arial"/>
          <w:i/>
          <w:iCs/>
          <w:color w:val="000000" w:themeColor="text1"/>
          <w:sz w:val="20"/>
        </w:rPr>
      </w:pPr>
      <w:r w:rsidRPr="00F86AD5">
        <w:rPr>
          <w:rFonts w:ascii="Verdana" w:hAnsi="Verdana" w:cs="Arial"/>
          <w:iCs/>
          <w:color w:val="000000" w:themeColor="text1"/>
        </w:rPr>
        <w:t xml:space="preserve">(…) </w:t>
      </w:r>
      <w:r w:rsidRPr="00F86AD5">
        <w:rPr>
          <w:rFonts w:ascii="Verdana" w:hAnsi="Verdana" w:cs="Arial"/>
          <w:i/>
          <w:iCs/>
          <w:color w:val="000000" w:themeColor="text1"/>
          <w:sz w:val="20"/>
        </w:rPr>
        <w:t>Así las cosas, cuando la entidad realice la cesión en SECOP II, la plataforma le solicitará en primer lugar, justificar esta acción y, por ende, genera la posibilidad de relacionar al nuevo contratista. Una vez hecha la modificación correspondiente, la entidad estatal deberá correr traslado a la cuenta del nuevo proveedor, que, acompañados de la firma electrónica, constituirán una modificación al contrato electrónico, la cual tendrá plena validez y fuerza probatoria. A su vez, es necesario por parte de la entidad: publicar la cesión, por medio del botón “publicar modificación”.</w:t>
      </w:r>
    </w:p>
    <w:p w14:paraId="1535BB72" w14:textId="77777777" w:rsidR="00D2527F" w:rsidRPr="00F86AD5" w:rsidRDefault="00D2527F" w:rsidP="00D2527F">
      <w:pPr>
        <w:spacing w:after="0" w:line="276" w:lineRule="auto"/>
        <w:ind w:left="1134" w:right="900"/>
        <w:jc w:val="both"/>
        <w:rPr>
          <w:rFonts w:ascii="Verdana" w:hAnsi="Verdana" w:cs="Arial"/>
          <w:i/>
          <w:iCs/>
          <w:color w:val="000000" w:themeColor="text1"/>
          <w:sz w:val="20"/>
        </w:rPr>
      </w:pPr>
    </w:p>
    <w:p w14:paraId="4964B1F8" w14:textId="77777777" w:rsidR="00D2527F" w:rsidRPr="00F86AD5" w:rsidRDefault="00D2527F" w:rsidP="00D2527F">
      <w:pPr>
        <w:spacing w:after="0" w:line="276" w:lineRule="auto"/>
        <w:ind w:left="1134" w:right="900"/>
        <w:jc w:val="both"/>
        <w:rPr>
          <w:rFonts w:ascii="Verdana" w:hAnsi="Verdana" w:cs="Arial"/>
          <w:i/>
          <w:iCs/>
          <w:color w:val="000000" w:themeColor="text1"/>
          <w:sz w:val="20"/>
        </w:rPr>
      </w:pPr>
      <w:r w:rsidRPr="00F86AD5">
        <w:rPr>
          <w:rFonts w:ascii="Verdana" w:hAnsi="Verdana" w:cs="Arial"/>
          <w:i/>
          <w:iCs/>
          <w:color w:val="000000" w:themeColor="text1"/>
          <w:sz w:val="20"/>
        </w:rPr>
        <w:t xml:space="preserve">En razón a lo anterior, las modificaciones al contrato deberán estar firmadas electrónicamente en el SECOP II por quien tenga capacidad para obligar a la entidad y al contratista. De esta manera, dentro de </w:t>
      </w:r>
      <w:r w:rsidRPr="00F86AD5">
        <w:rPr>
          <w:rFonts w:ascii="Verdana" w:hAnsi="Verdana" w:cs="Arial"/>
          <w:i/>
          <w:iCs/>
          <w:color w:val="000000" w:themeColor="text1"/>
          <w:sz w:val="20"/>
        </w:rPr>
        <w:lastRenderedPageBreak/>
        <w:t>la plataforma quien se inscribe obtiene una firma electrónica con su usuario y contraseña, la cual es personal e intransferible, y obliga por medio de esta firma a quien suscriba el contrato, o a la persona a la que el firmante representa.</w:t>
      </w:r>
    </w:p>
    <w:p w14:paraId="370C61B8" w14:textId="77777777" w:rsidR="00D2527F" w:rsidRPr="00F86AD5" w:rsidRDefault="00D2527F" w:rsidP="00D2527F">
      <w:pPr>
        <w:spacing w:after="0" w:line="276" w:lineRule="auto"/>
        <w:ind w:left="1134" w:right="900"/>
        <w:jc w:val="both"/>
        <w:rPr>
          <w:rFonts w:ascii="Verdana" w:hAnsi="Verdana" w:cs="Arial"/>
          <w:i/>
          <w:iCs/>
          <w:color w:val="000000" w:themeColor="text1"/>
          <w:sz w:val="20"/>
        </w:rPr>
      </w:pPr>
    </w:p>
    <w:p w14:paraId="710D9586" w14:textId="77777777" w:rsidR="00D2527F" w:rsidRPr="00F86AD5" w:rsidRDefault="00D2527F" w:rsidP="00D2527F">
      <w:pPr>
        <w:spacing w:after="0" w:line="276" w:lineRule="auto"/>
        <w:ind w:left="1134" w:right="900"/>
        <w:jc w:val="both"/>
        <w:rPr>
          <w:rFonts w:ascii="Verdana" w:hAnsi="Verdana" w:cs="Arial"/>
          <w:i/>
          <w:iCs/>
          <w:color w:val="000000" w:themeColor="text1"/>
          <w:sz w:val="20"/>
        </w:rPr>
      </w:pPr>
      <w:r w:rsidRPr="00F86AD5">
        <w:rPr>
          <w:rFonts w:ascii="Verdana" w:hAnsi="Verdana" w:cs="Arial"/>
          <w:i/>
          <w:iCs/>
          <w:color w:val="000000" w:themeColor="text1"/>
          <w:sz w:val="20"/>
        </w:rPr>
        <w:t xml:space="preserve">Tenga en cuenta que, la plataforma SECOP II, no tiene ningún tipo de restricción técnica frente a la cesión de contratos a determinado tipo de cuenta proveedor. </w:t>
      </w:r>
    </w:p>
    <w:p w14:paraId="312E3309" w14:textId="77777777" w:rsidR="00D2527F" w:rsidRPr="00F86AD5" w:rsidRDefault="00D2527F" w:rsidP="00D2527F">
      <w:pPr>
        <w:spacing w:after="0" w:line="276" w:lineRule="auto"/>
        <w:ind w:left="1134" w:right="900"/>
        <w:jc w:val="both"/>
        <w:rPr>
          <w:rFonts w:ascii="Verdana" w:hAnsi="Verdana" w:cs="Arial"/>
          <w:i/>
          <w:iCs/>
          <w:color w:val="000000" w:themeColor="text1"/>
          <w:sz w:val="20"/>
        </w:rPr>
      </w:pPr>
    </w:p>
    <w:p w14:paraId="5468B5C3" w14:textId="77777777" w:rsidR="00D2527F" w:rsidRPr="00F86AD5" w:rsidRDefault="00D2527F" w:rsidP="00D2527F">
      <w:pPr>
        <w:spacing w:after="0" w:line="276" w:lineRule="auto"/>
        <w:ind w:left="1134" w:right="900"/>
        <w:jc w:val="both"/>
        <w:rPr>
          <w:rFonts w:ascii="Verdana" w:hAnsi="Verdana" w:cs="Arial"/>
          <w:i/>
          <w:iCs/>
          <w:color w:val="000000" w:themeColor="text1"/>
          <w:sz w:val="20"/>
        </w:rPr>
      </w:pPr>
      <w:r w:rsidRPr="00F86AD5">
        <w:rPr>
          <w:rFonts w:ascii="Verdana" w:hAnsi="Verdana" w:cs="Arial"/>
          <w:i/>
          <w:iCs/>
          <w:color w:val="000000" w:themeColor="text1"/>
          <w:sz w:val="20"/>
        </w:rPr>
        <w:t xml:space="preserve">Sin embargo, es bueno señalar que las autoridades fueron dotadas de autonomía administrativa para el ejercicio de las funciones y competencias que en virtud del principio de legalidad les fueron atribuidas por el ordenamiento jurídico. Por esa razón, como responsables de su actividad contractual y conforme al régimen jurídico de contratación que les resulta aplicable, les corresponde adoptar las decisiones y adelantar las actuaciones que estimen pertinentes para desarrollar dicha actividad. </w:t>
      </w:r>
    </w:p>
    <w:p w14:paraId="5011DD58" w14:textId="77777777" w:rsidR="00D2527F" w:rsidRPr="00F86AD5" w:rsidRDefault="00D2527F" w:rsidP="00D2527F">
      <w:pPr>
        <w:spacing w:after="0" w:line="276" w:lineRule="auto"/>
        <w:ind w:left="1134" w:right="900"/>
        <w:jc w:val="both"/>
        <w:rPr>
          <w:rFonts w:ascii="Verdana" w:hAnsi="Verdana" w:cs="Arial"/>
          <w:i/>
          <w:iCs/>
          <w:color w:val="000000" w:themeColor="text1"/>
          <w:sz w:val="20"/>
        </w:rPr>
      </w:pPr>
    </w:p>
    <w:p w14:paraId="58655B33" w14:textId="77777777" w:rsidR="00D2527F" w:rsidRPr="00F86AD5" w:rsidRDefault="00D2527F" w:rsidP="00D2527F">
      <w:pPr>
        <w:spacing w:after="0" w:line="276" w:lineRule="auto"/>
        <w:ind w:left="1134" w:right="900"/>
        <w:jc w:val="both"/>
        <w:rPr>
          <w:rFonts w:ascii="Verdana" w:hAnsi="Verdana" w:cs="Arial"/>
          <w:iCs/>
          <w:color w:val="000000" w:themeColor="text1"/>
        </w:rPr>
      </w:pPr>
      <w:r w:rsidRPr="00F86AD5">
        <w:rPr>
          <w:rFonts w:ascii="Verdana" w:hAnsi="Verdana" w:cs="Arial"/>
          <w:i/>
          <w:iCs/>
          <w:color w:val="000000" w:themeColor="text1"/>
          <w:sz w:val="20"/>
        </w:rPr>
        <w:t>Finalmente, resulta importante aclarar que, esta Agencia actúa únicamente como administradora del SECOP, más no es responsable de las acciones u omisiones de los Usuarios en la plataforma. Siendo así, debe resaltarse que la responsabilidad por la publicación de la información contractual corresponde únicamente a la Entidad Estatal contratante y por ende es decisión de esta tomar las medidas necesarias y asumir acciones o consecuencias que correspondan y se deriven por el incumplimiento de un deber legal</w:t>
      </w:r>
      <w:r w:rsidRPr="00F86AD5">
        <w:rPr>
          <w:rFonts w:ascii="Verdana" w:hAnsi="Verdana" w:cs="Arial"/>
          <w:i/>
          <w:iCs/>
          <w:color w:val="000000" w:themeColor="text1"/>
        </w:rPr>
        <w:t>.</w:t>
      </w:r>
      <w:r w:rsidRPr="00F86AD5">
        <w:rPr>
          <w:rStyle w:val="Refdenotaalpie"/>
          <w:rFonts w:ascii="Verdana" w:hAnsi="Verdana" w:cs="Arial"/>
          <w:i/>
          <w:iCs/>
          <w:color w:val="000000" w:themeColor="text1"/>
        </w:rPr>
        <w:footnoteReference w:id="13"/>
      </w:r>
      <w:r w:rsidRPr="00F86AD5">
        <w:rPr>
          <w:rFonts w:ascii="Verdana" w:hAnsi="Verdana" w:cs="Arial"/>
          <w:i/>
          <w:iCs/>
          <w:color w:val="000000" w:themeColor="text1"/>
        </w:rPr>
        <w:t xml:space="preserve"> </w:t>
      </w:r>
      <w:r w:rsidRPr="00F86AD5">
        <w:rPr>
          <w:rFonts w:ascii="Verdana" w:hAnsi="Verdana" w:cs="Arial"/>
          <w:iCs/>
          <w:color w:val="000000" w:themeColor="text1"/>
        </w:rPr>
        <w:t>(…)</w:t>
      </w:r>
    </w:p>
    <w:p w14:paraId="43689263" w14:textId="77777777" w:rsidR="00D2527F" w:rsidRPr="00F86AD5" w:rsidRDefault="00D2527F" w:rsidP="00D2527F">
      <w:pPr>
        <w:spacing w:after="0" w:line="276" w:lineRule="auto"/>
        <w:ind w:left="1134" w:right="900"/>
        <w:jc w:val="both"/>
        <w:rPr>
          <w:rFonts w:ascii="Verdana" w:hAnsi="Verdana" w:cs="Arial"/>
          <w:iCs/>
          <w:color w:val="000000" w:themeColor="text1"/>
        </w:rPr>
      </w:pPr>
    </w:p>
    <w:p w14:paraId="1DC4B828" w14:textId="77777777" w:rsidR="00D2527F" w:rsidRPr="00F86AD5" w:rsidRDefault="00D2527F" w:rsidP="00276FFC">
      <w:pPr>
        <w:ind w:right="49"/>
        <w:jc w:val="both"/>
        <w:rPr>
          <w:rFonts w:ascii="Verdana" w:hAnsi="Verdana"/>
        </w:rPr>
      </w:pPr>
      <w:r w:rsidRPr="00F86AD5">
        <w:rPr>
          <w:rFonts w:ascii="Verdana" w:hAnsi="Verdana"/>
        </w:rPr>
        <w:t>Teniendo en cuenta lo anterior, se precisa que dentro de la plataforma no existe ningún tipo de restricción técnica frente a la cesión de contratos a determinado tipo de cuenta proveedor, y a su vez esta Agencia actúa únicamente como administradora del SECOP, más no es responsable de las acciones u omisiones de los Usuarios en la plataforma.</w:t>
      </w:r>
    </w:p>
    <w:p w14:paraId="1F1C6C06" w14:textId="77777777" w:rsidR="00033B5B" w:rsidRPr="00F86AD5" w:rsidRDefault="00033B5B" w:rsidP="00033B5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F86AD5">
        <w:rPr>
          <w:rFonts w:ascii="Verdana" w:eastAsia="Century Gothic" w:hAnsi="Verdana" w:cs="Century Gothic"/>
          <w:b/>
          <w:bCs/>
        </w:rPr>
        <w:t>Referencias normativas, jurisprudenciales y otras fuentes:</w:t>
      </w:r>
    </w:p>
    <w:p w14:paraId="2068E82A" w14:textId="77777777" w:rsidR="00033B5B" w:rsidRPr="00F86AD5" w:rsidRDefault="00033B5B" w:rsidP="00033B5B">
      <w:pPr>
        <w:spacing w:before="120" w:after="0" w:line="276" w:lineRule="auto"/>
        <w:ind w:right="709"/>
        <w:jc w:val="both"/>
        <w:textAlignment w:val="baseline"/>
        <w:rPr>
          <w:rFonts w:ascii="Verdana" w:eastAsia="Times New Roman" w:hAnsi="Verdana" w:cs="Arial"/>
          <w:bCs/>
          <w:lang w:val="es-ES_tradnl" w:eastAsia="es-CO"/>
        </w:rPr>
      </w:pPr>
    </w:p>
    <w:p w14:paraId="739F5FC2" w14:textId="77777777" w:rsidR="00E62E4B" w:rsidRPr="00F86AD5" w:rsidRDefault="00033B5B" w:rsidP="00033B5B">
      <w:pPr>
        <w:pStyle w:val="Prrafodelista"/>
        <w:numPr>
          <w:ilvl w:val="0"/>
          <w:numId w:val="17"/>
        </w:numPr>
        <w:spacing w:line="276" w:lineRule="auto"/>
        <w:ind w:right="709"/>
        <w:jc w:val="both"/>
        <w:rPr>
          <w:rFonts w:ascii="Verdana" w:hAnsi="Verdana" w:cs="Arial"/>
          <w:color w:val="000000" w:themeColor="text1"/>
          <w:lang w:val="es-ES_tradnl"/>
        </w:rPr>
      </w:pPr>
      <w:r w:rsidRPr="00F86AD5">
        <w:rPr>
          <w:rFonts w:ascii="Verdana" w:hAnsi="Verdana" w:cs="Arial"/>
          <w:color w:val="000000" w:themeColor="text1"/>
          <w:lang w:val="es-ES_tradnl"/>
        </w:rPr>
        <w:t xml:space="preserve">Artículo </w:t>
      </w:r>
      <w:r w:rsidR="00E62E4B" w:rsidRPr="00F86AD5">
        <w:rPr>
          <w:rFonts w:ascii="Verdana" w:hAnsi="Verdana" w:cs="Arial"/>
          <w:color w:val="000000" w:themeColor="text1"/>
          <w:lang w:val="es-ES_tradnl"/>
        </w:rPr>
        <w:t>887, 895, 896</w:t>
      </w:r>
      <w:r w:rsidRPr="00F86AD5">
        <w:rPr>
          <w:rFonts w:ascii="Verdana" w:hAnsi="Verdana" w:cs="Arial"/>
          <w:color w:val="000000" w:themeColor="text1"/>
          <w:lang w:val="es-ES_tradnl"/>
        </w:rPr>
        <w:t xml:space="preserve"> </w:t>
      </w:r>
      <w:r w:rsidR="00E62E4B" w:rsidRPr="00F86AD5">
        <w:rPr>
          <w:rFonts w:ascii="Verdana" w:hAnsi="Verdana" w:cs="Arial"/>
          <w:color w:val="000000" w:themeColor="text1"/>
          <w:lang w:val="es-ES_tradnl"/>
        </w:rPr>
        <w:t>del Código de Comercio</w:t>
      </w:r>
      <w:r w:rsidRPr="00F86AD5">
        <w:rPr>
          <w:rFonts w:ascii="Verdana" w:hAnsi="Verdana" w:cs="Arial"/>
          <w:color w:val="000000" w:themeColor="text1"/>
          <w:lang w:val="es-ES_tradnl"/>
        </w:rPr>
        <w:t xml:space="preserve">. </w:t>
      </w:r>
      <w:hyperlink r:id="rId12" w:history="1">
        <w:r w:rsidR="00E62E4B" w:rsidRPr="00F86AD5">
          <w:rPr>
            <w:rStyle w:val="Hipervnculo"/>
            <w:rFonts w:ascii="Verdana" w:hAnsi="Verdana" w:cs="Arial"/>
            <w:lang w:val="es-ES_tradnl"/>
          </w:rPr>
          <w:t>https://relatoria.colombiacompra.gov.co/normativa/codigo-de-comercio-decreto-410-de-1971/</w:t>
        </w:r>
      </w:hyperlink>
    </w:p>
    <w:p w14:paraId="442980C6" w14:textId="77777777" w:rsidR="00E62E4B" w:rsidRPr="00F86AD5" w:rsidRDefault="00E62E4B" w:rsidP="00E62E4B">
      <w:pPr>
        <w:pStyle w:val="Prrafodelista"/>
        <w:spacing w:line="276" w:lineRule="auto"/>
        <w:ind w:right="709"/>
        <w:jc w:val="both"/>
        <w:rPr>
          <w:rFonts w:ascii="Verdana" w:hAnsi="Verdana" w:cs="Arial"/>
          <w:color w:val="000000" w:themeColor="text1"/>
          <w:lang w:val="es-ES_tradnl"/>
        </w:rPr>
      </w:pPr>
    </w:p>
    <w:p w14:paraId="073E09F8" w14:textId="77777777" w:rsidR="00033B5B" w:rsidRPr="00F86AD5" w:rsidRDefault="00E62E4B" w:rsidP="00033B5B">
      <w:pPr>
        <w:pStyle w:val="Prrafodelista"/>
        <w:numPr>
          <w:ilvl w:val="0"/>
          <w:numId w:val="17"/>
        </w:numPr>
        <w:spacing w:line="276" w:lineRule="auto"/>
        <w:ind w:right="709"/>
        <w:jc w:val="both"/>
        <w:rPr>
          <w:rFonts w:ascii="Verdana" w:hAnsi="Verdana" w:cs="Arial"/>
          <w:color w:val="000000" w:themeColor="text1"/>
          <w:lang w:val="es-ES_tradnl"/>
        </w:rPr>
      </w:pPr>
      <w:r w:rsidRPr="00F86AD5">
        <w:rPr>
          <w:rFonts w:ascii="Verdana" w:hAnsi="Verdana" w:cs="Arial"/>
          <w:lang w:val="es-ES_tradnl"/>
        </w:rPr>
        <w:t xml:space="preserve">Artículo 1501 del Código Civil  </w:t>
      </w:r>
      <w:hyperlink r:id="rId13" w:history="1">
        <w:r w:rsidRPr="00F86AD5">
          <w:rPr>
            <w:rStyle w:val="Hipervnculo"/>
            <w:rFonts w:ascii="Verdana" w:hAnsi="Verdana" w:cs="Arial"/>
            <w:lang w:val="es-ES_tradnl"/>
          </w:rPr>
          <w:t>https://relatoria.colombiacompra.gov.co/normativa/codigo-civil-ley-84-de-1873/</w:t>
        </w:r>
      </w:hyperlink>
    </w:p>
    <w:p w14:paraId="721120FE" w14:textId="77777777" w:rsidR="00E62E4B" w:rsidRPr="00F86AD5" w:rsidRDefault="00E62E4B" w:rsidP="00E62E4B">
      <w:pPr>
        <w:pStyle w:val="Prrafodelista"/>
        <w:rPr>
          <w:rFonts w:ascii="Verdana" w:hAnsi="Verdana" w:cs="Arial"/>
          <w:color w:val="000000" w:themeColor="text1"/>
          <w:lang w:val="es-ES_tradnl"/>
        </w:rPr>
      </w:pPr>
    </w:p>
    <w:p w14:paraId="162BAF6E" w14:textId="77777777" w:rsidR="00AD1836" w:rsidRPr="00F86AD5" w:rsidRDefault="00AD1836" w:rsidP="00AD1836">
      <w:pPr>
        <w:pStyle w:val="Prrafodelista"/>
        <w:numPr>
          <w:ilvl w:val="0"/>
          <w:numId w:val="17"/>
        </w:numPr>
        <w:spacing w:line="276" w:lineRule="auto"/>
        <w:ind w:right="709"/>
        <w:jc w:val="both"/>
        <w:rPr>
          <w:rFonts w:ascii="Verdana" w:hAnsi="Verdana" w:cs="Arial"/>
          <w:color w:val="000000" w:themeColor="text1"/>
          <w:lang w:val="es-ES_tradnl"/>
        </w:rPr>
      </w:pPr>
      <w:r w:rsidRPr="00F86AD5">
        <w:rPr>
          <w:rFonts w:ascii="Verdana" w:hAnsi="Verdana" w:cs="Arial"/>
          <w:color w:val="000000" w:themeColor="text1"/>
          <w:lang w:val="es-ES_tradnl"/>
        </w:rPr>
        <w:t>Artículo</w:t>
      </w:r>
      <w:r w:rsidR="00C942FE" w:rsidRPr="00F86AD5">
        <w:rPr>
          <w:rFonts w:ascii="Verdana" w:hAnsi="Verdana" w:cs="Arial"/>
          <w:color w:val="000000" w:themeColor="text1"/>
          <w:lang w:val="es-ES_tradnl"/>
        </w:rPr>
        <w:t xml:space="preserve"> 1 de la</w:t>
      </w:r>
      <w:r w:rsidRPr="00F86AD5">
        <w:rPr>
          <w:rFonts w:ascii="Verdana" w:hAnsi="Verdana" w:cs="Arial"/>
          <w:color w:val="000000" w:themeColor="text1"/>
          <w:lang w:val="es-ES_tradnl"/>
        </w:rPr>
        <w:t xml:space="preserve"> </w:t>
      </w:r>
      <w:r w:rsidR="00C942FE" w:rsidRPr="00F86AD5">
        <w:rPr>
          <w:rFonts w:ascii="Verdana" w:eastAsia="Calibri" w:hAnsi="Verdana" w:cs="Arial"/>
          <w:lang w:val="es-MX"/>
        </w:rPr>
        <w:t>Ley 2160 de 2021</w:t>
      </w:r>
      <w:r w:rsidRPr="00F86AD5">
        <w:rPr>
          <w:rFonts w:ascii="Verdana" w:hAnsi="Verdana" w:cs="Arial"/>
          <w:color w:val="000000" w:themeColor="text1"/>
          <w:lang w:val="es-ES_tradnl"/>
        </w:rPr>
        <w:t xml:space="preserve">. </w:t>
      </w:r>
      <w:hyperlink r:id="rId14" w:history="1">
        <w:r w:rsidR="00C942FE" w:rsidRPr="00F86AD5">
          <w:rPr>
            <w:rStyle w:val="Hipervnculo"/>
            <w:rFonts w:ascii="Verdana" w:hAnsi="Verdana" w:cs="Arial"/>
            <w:lang w:val="es-ES_tradnl"/>
          </w:rPr>
          <w:t>https://relatoria.colombiacompra.gov.co/normativa/ley-2160-de-2021/</w:t>
        </w:r>
      </w:hyperlink>
    </w:p>
    <w:p w14:paraId="24F5CBE1" w14:textId="77777777" w:rsidR="00FF786B" w:rsidRPr="00F86AD5" w:rsidRDefault="00FF786B" w:rsidP="00FF786B">
      <w:pPr>
        <w:pStyle w:val="Prrafodelista"/>
        <w:rPr>
          <w:rFonts w:ascii="Verdana" w:hAnsi="Verdana" w:cs="Arial"/>
          <w:color w:val="000000" w:themeColor="text1"/>
          <w:lang w:val="es-ES_tradnl"/>
        </w:rPr>
      </w:pPr>
    </w:p>
    <w:p w14:paraId="049B4411" w14:textId="77777777" w:rsidR="00FF786B" w:rsidRPr="00F86AD5" w:rsidRDefault="00FF786B" w:rsidP="00AD1836">
      <w:pPr>
        <w:pStyle w:val="Prrafodelista"/>
        <w:numPr>
          <w:ilvl w:val="0"/>
          <w:numId w:val="17"/>
        </w:numPr>
        <w:spacing w:line="276" w:lineRule="auto"/>
        <w:ind w:right="709"/>
        <w:jc w:val="both"/>
        <w:rPr>
          <w:rFonts w:ascii="Verdana" w:hAnsi="Verdana" w:cs="Arial"/>
          <w:color w:val="000000" w:themeColor="text1"/>
          <w:lang w:val="es-ES_tradnl"/>
        </w:rPr>
      </w:pPr>
      <w:r w:rsidRPr="00F86AD5">
        <w:rPr>
          <w:rFonts w:ascii="Verdana" w:hAnsi="Verdana" w:cs="Arial"/>
          <w:color w:val="000000" w:themeColor="text1"/>
          <w:lang w:val="es-ES_tradnl"/>
        </w:rPr>
        <w:t>Corte Constitucional Sentencia C-949 del 5 de septiembre de 2001.</w:t>
      </w:r>
      <w:r w:rsidRPr="00F86AD5">
        <w:rPr>
          <w:rFonts w:ascii="Verdana" w:hAnsi="Verdana"/>
        </w:rPr>
        <w:t xml:space="preserve"> </w:t>
      </w:r>
      <w:hyperlink r:id="rId15" w:history="1">
        <w:r w:rsidRPr="00F86AD5">
          <w:rPr>
            <w:rStyle w:val="Hipervnculo"/>
            <w:rFonts w:ascii="Verdana" w:hAnsi="Verdana" w:cs="Arial"/>
            <w:lang w:val="es-ES_tradnl"/>
          </w:rPr>
          <w:t>https://www.corteconstitucional.gov.co/relatoria/2001/C-949-01.htm</w:t>
        </w:r>
      </w:hyperlink>
    </w:p>
    <w:p w14:paraId="538F0509" w14:textId="77777777" w:rsidR="00FF786B" w:rsidRPr="00F86AD5" w:rsidRDefault="00FF786B" w:rsidP="00FF786B">
      <w:pPr>
        <w:pStyle w:val="Prrafodelista"/>
        <w:rPr>
          <w:rFonts w:ascii="Verdana" w:hAnsi="Verdana" w:cs="Arial"/>
          <w:color w:val="000000" w:themeColor="text1"/>
          <w:lang w:val="es-ES_tradnl"/>
        </w:rPr>
      </w:pPr>
    </w:p>
    <w:p w14:paraId="30C10156" w14:textId="77777777" w:rsidR="00FF786B" w:rsidRPr="00F86AD5" w:rsidRDefault="00FF786B" w:rsidP="00AD1836">
      <w:pPr>
        <w:pStyle w:val="Prrafodelista"/>
        <w:numPr>
          <w:ilvl w:val="0"/>
          <w:numId w:val="17"/>
        </w:numPr>
        <w:spacing w:line="276" w:lineRule="auto"/>
        <w:ind w:right="709"/>
        <w:jc w:val="both"/>
        <w:rPr>
          <w:rFonts w:ascii="Verdana" w:hAnsi="Verdana" w:cs="Arial"/>
          <w:color w:val="000000" w:themeColor="text1"/>
          <w:lang w:val="es-ES_tradnl"/>
        </w:rPr>
      </w:pPr>
      <w:r w:rsidRPr="00F86AD5">
        <w:rPr>
          <w:rFonts w:ascii="Verdana" w:hAnsi="Verdana" w:cs="Arial"/>
          <w:color w:val="000000" w:themeColor="text1"/>
          <w:lang w:val="es-ES_tradnl"/>
        </w:rPr>
        <w:t xml:space="preserve">Consejo de Estado, Sección Tercera, Sentencia del 13 de marzo de 2015, Rad. 1999-03028, Numero Interno: 31619. </w:t>
      </w:r>
      <w:hyperlink r:id="rId16" w:history="1">
        <w:r w:rsidRPr="00F86AD5">
          <w:rPr>
            <w:rStyle w:val="Hipervnculo"/>
            <w:rFonts w:ascii="Verdana" w:hAnsi="Verdana" w:cs="Arial"/>
            <w:lang w:val="es-ES_tradnl"/>
          </w:rPr>
          <w:t>https://relatoria.colombiacompra.gov.co/providencias/73001-23-31-000-1999-03028-01_31619/</w:t>
        </w:r>
      </w:hyperlink>
    </w:p>
    <w:p w14:paraId="775D1CA0" w14:textId="77777777" w:rsidR="00FF786B" w:rsidRPr="00F86AD5" w:rsidRDefault="00FF786B" w:rsidP="00FF786B">
      <w:pPr>
        <w:pStyle w:val="Prrafodelista"/>
        <w:spacing w:line="276" w:lineRule="auto"/>
        <w:ind w:right="709"/>
        <w:jc w:val="both"/>
        <w:rPr>
          <w:rFonts w:ascii="Verdana" w:hAnsi="Verdana" w:cs="Arial"/>
          <w:color w:val="000000" w:themeColor="text1"/>
          <w:lang w:val="es-ES_tradnl"/>
        </w:rPr>
      </w:pPr>
    </w:p>
    <w:p w14:paraId="4A2024E7" w14:textId="77777777" w:rsidR="00033B5B" w:rsidRPr="00F86AD5" w:rsidRDefault="00033B5B" w:rsidP="00033B5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F86AD5">
        <w:rPr>
          <w:rFonts w:ascii="Verdana" w:eastAsia="Century Gothic" w:hAnsi="Verdana" w:cs="Century Gothic"/>
          <w:b/>
          <w:bCs/>
        </w:rPr>
        <w:t>Doctrina de la Agencia Nacional de Contratación Pública:</w:t>
      </w:r>
    </w:p>
    <w:p w14:paraId="4E3498A5" w14:textId="77777777" w:rsidR="00033B5B" w:rsidRPr="00F86AD5" w:rsidRDefault="00033B5B" w:rsidP="00033B5B">
      <w:pPr>
        <w:widowControl w:val="0"/>
        <w:autoSpaceDE w:val="0"/>
        <w:autoSpaceDN w:val="0"/>
        <w:spacing w:after="0" w:line="276" w:lineRule="auto"/>
        <w:jc w:val="both"/>
        <w:rPr>
          <w:rFonts w:ascii="Verdana" w:eastAsia="Calibri" w:hAnsi="Verdana" w:cs="Arial"/>
          <w:lang w:val="es-ES" w:eastAsia="es-ES"/>
        </w:rPr>
      </w:pPr>
    </w:p>
    <w:p w14:paraId="52D0CCE7" w14:textId="77777777" w:rsidR="00276FFC" w:rsidRPr="00F86AD5" w:rsidRDefault="00033B5B" w:rsidP="00033B5B">
      <w:pPr>
        <w:widowControl w:val="0"/>
        <w:autoSpaceDE w:val="0"/>
        <w:autoSpaceDN w:val="0"/>
        <w:spacing w:after="0" w:line="276" w:lineRule="auto"/>
        <w:jc w:val="both"/>
        <w:rPr>
          <w:rFonts w:ascii="Verdana" w:eastAsia="Calibri" w:hAnsi="Verdana" w:cs="Arial"/>
          <w:lang w:val="es-ES" w:eastAsia="es-ES"/>
        </w:rPr>
      </w:pPr>
      <w:r w:rsidRPr="00F86AD5">
        <w:rPr>
          <w:rFonts w:ascii="Verdana" w:eastAsia="Calibri" w:hAnsi="Verdana" w:cs="Arial"/>
          <w:lang w:val="es-ES" w:eastAsia="es-ES"/>
        </w:rPr>
        <w:t xml:space="preserve">Sobre </w:t>
      </w:r>
      <w:r w:rsidR="00276FFC" w:rsidRPr="00F86AD5">
        <w:rPr>
          <w:rFonts w:ascii="Verdana" w:eastAsia="Calibri" w:hAnsi="Verdana" w:cs="Arial"/>
          <w:lang w:val="es-ES" w:eastAsia="es-ES"/>
        </w:rPr>
        <w:t xml:space="preserve">el régimen jurídico de la sesión del contrato estatal, </w:t>
      </w:r>
      <w:r w:rsidRPr="00F86AD5">
        <w:rPr>
          <w:rFonts w:ascii="Verdana" w:eastAsia="Calibri" w:hAnsi="Verdana" w:cs="Arial"/>
          <w:lang w:val="es-ES" w:eastAsia="es-ES"/>
        </w:rPr>
        <w:t xml:space="preserve">se pronunció esta Subdirección </w:t>
      </w:r>
      <w:r w:rsidR="00276FFC" w:rsidRPr="00F86AD5">
        <w:rPr>
          <w:rFonts w:ascii="Verdana" w:eastAsia="Calibri" w:hAnsi="Verdana" w:cs="Arial"/>
          <w:lang w:val="es-ES" w:eastAsia="es-ES"/>
        </w:rPr>
        <w:t>en los Conceptos 4201913000007643 y 4201913000007669 del 26 de diciembre de 2019, así como en los Conceptos C-551 del 24 de septiembre de 2020, C-572 del 27 de agosto de 2020, C-582 del 28 de agosto de 2020, C-385 del 20 de agosto de 2021, C-069 del 24 de abril de 2023; a su vez se ha pronunciado sobre los proponentes plurales en los Conceptos 4201913000007643 del 26 de diciembre de 2019, C-343 del 17 de junio de 2020, C-518 del 9 de septiembre de 2020, C-614 del 5 de octubre de 2022, C-882 del 21 de diciembre de 2022, C-172 del 6 de junio de 2023, C-032 del 16 de abril de 2024 y C-100 del 12 de junio de 2024.</w:t>
      </w:r>
    </w:p>
    <w:p w14:paraId="2F51A764" w14:textId="77777777" w:rsidR="00033B5B" w:rsidRDefault="00033B5B" w:rsidP="0075368F">
      <w:pPr>
        <w:widowControl w:val="0"/>
        <w:autoSpaceDE w:val="0"/>
        <w:autoSpaceDN w:val="0"/>
        <w:spacing w:after="0" w:line="276" w:lineRule="auto"/>
        <w:ind w:firstLine="708"/>
        <w:jc w:val="both"/>
        <w:rPr>
          <w:rStyle w:val="normaltextrun"/>
          <w:rFonts w:ascii="Verdana" w:hAnsi="Verdana" w:cs="Arial"/>
          <w:color w:val="FF0000"/>
          <w:shd w:val="clear" w:color="auto" w:fill="FFFFFF"/>
        </w:rPr>
      </w:pPr>
    </w:p>
    <w:p w14:paraId="6A8F6943" w14:textId="77777777" w:rsidR="0075368F" w:rsidRPr="0046413E" w:rsidRDefault="0075368F" w:rsidP="0075368F">
      <w:pPr>
        <w:widowControl w:val="0"/>
        <w:autoSpaceDE w:val="0"/>
        <w:autoSpaceDN w:val="0"/>
        <w:spacing w:after="0" w:line="276" w:lineRule="auto"/>
        <w:jc w:val="both"/>
        <w:rPr>
          <w:rFonts w:ascii="Verdana" w:hAnsi="Verdana" w:cs="Arial"/>
          <w:shd w:val="clear" w:color="auto" w:fill="FFFFFF"/>
          <w:lang w:val="es-ES"/>
        </w:rPr>
      </w:pPr>
      <w:r w:rsidRPr="0046413E">
        <w:rPr>
          <w:rFonts w:ascii="Verdana" w:hAnsi="Verdana" w:cs="Arial"/>
          <w:shd w:val="clear" w:color="auto" w:fill="FFFFFF"/>
          <w:lang w:val="es-ES"/>
        </w:rPr>
        <w:t xml:space="preserve">También le invitamos a consultar las versiones I y II de 2024 del Boletín de Relatoría de la Subdirección de Gestión Contractual, los cuales puede descargar en la página web de la Agencia: </w:t>
      </w:r>
      <w:hyperlink r:id="rId17" w:history="1">
        <w:hyperlink r:id="rId18" w:history="1">
          <w:r w:rsidRPr="0046413E">
            <w:rPr>
              <w:rFonts w:ascii="Verdana" w:hAnsi="Verdana" w:cs="Arial"/>
              <w:color w:val="0563C1" w:themeColor="hyperlink"/>
              <w:u w:val="single"/>
              <w:shd w:val="clear" w:color="auto" w:fill="FFFFFF"/>
              <w:lang w:val="es-ES"/>
            </w:rPr>
            <w:t>https://www.colombiacompra.gov.co/sala-de-prensa/boletin-digital</w:t>
          </w:r>
        </w:hyperlink>
      </w:hyperlink>
      <w:r w:rsidRPr="0046413E">
        <w:rPr>
          <w:rFonts w:ascii="Verdana" w:hAnsi="Verdana" w:cs="Arial"/>
          <w:shd w:val="clear" w:color="auto" w:fill="FFFFFF"/>
          <w:lang w:val="es-ES"/>
        </w:rPr>
        <w:t>.</w:t>
      </w:r>
    </w:p>
    <w:p w14:paraId="1AC6298D" w14:textId="77777777" w:rsidR="0075368F" w:rsidRPr="0046413E" w:rsidRDefault="0075368F" w:rsidP="0075368F">
      <w:pPr>
        <w:widowControl w:val="0"/>
        <w:autoSpaceDE w:val="0"/>
        <w:autoSpaceDN w:val="0"/>
        <w:spacing w:after="0" w:line="276" w:lineRule="auto"/>
        <w:jc w:val="both"/>
        <w:rPr>
          <w:rFonts w:ascii="Verdana" w:hAnsi="Verdana" w:cs="Arial"/>
          <w:shd w:val="clear" w:color="auto" w:fill="FFFFFF"/>
          <w:lang w:val="es-ES"/>
        </w:rPr>
      </w:pPr>
    </w:p>
    <w:p w14:paraId="3F34C384" w14:textId="77777777" w:rsidR="0075368F" w:rsidRPr="0046413E" w:rsidRDefault="0075368F" w:rsidP="0075368F">
      <w:pPr>
        <w:spacing w:after="0" w:line="240" w:lineRule="auto"/>
        <w:jc w:val="both"/>
        <w:rPr>
          <w:rFonts w:ascii="Verdana" w:hAnsi="Verdana"/>
        </w:rPr>
      </w:pPr>
      <w:r w:rsidRPr="0046413E">
        <w:rPr>
          <w:rFonts w:ascii="Verdana" w:hAnsi="Verdana"/>
        </w:rPr>
        <w:t xml:space="preserve">Por último, lo invitamos a seguirnos en las redes sociales en las cuales se difunde información institucional: </w:t>
      </w:r>
    </w:p>
    <w:p w14:paraId="663D68C1" w14:textId="77777777" w:rsidR="0075368F" w:rsidRPr="0046413E" w:rsidRDefault="0075368F" w:rsidP="0075368F">
      <w:pPr>
        <w:spacing w:after="0" w:line="240" w:lineRule="auto"/>
        <w:jc w:val="both"/>
        <w:rPr>
          <w:rFonts w:ascii="Verdana" w:hAnsi="Verdana"/>
        </w:rPr>
      </w:pPr>
    </w:p>
    <w:p w14:paraId="5CE8B118" w14:textId="77777777" w:rsidR="0075368F" w:rsidRPr="0046413E" w:rsidRDefault="0075368F" w:rsidP="0075368F">
      <w:pPr>
        <w:spacing w:after="0" w:line="240" w:lineRule="auto"/>
        <w:jc w:val="both"/>
        <w:rPr>
          <w:rFonts w:ascii="Verdana" w:hAnsi="Verdana"/>
        </w:rPr>
      </w:pPr>
      <w:r w:rsidRPr="0046413E">
        <w:rPr>
          <w:rFonts w:ascii="Verdana" w:hAnsi="Verdana"/>
        </w:rPr>
        <w:lastRenderedPageBreak/>
        <w:t xml:space="preserve">Twitter: </w:t>
      </w:r>
      <w:r w:rsidRPr="0046413E">
        <w:rPr>
          <w:rFonts w:ascii="Verdana" w:hAnsi="Verdana"/>
          <w:color w:val="4472C4" w:themeColor="accent1"/>
          <w:u w:val="single"/>
        </w:rPr>
        <w:t>@colombiacompra</w:t>
      </w:r>
      <w:r w:rsidRPr="0046413E">
        <w:rPr>
          <w:rFonts w:ascii="Verdana" w:hAnsi="Verdana"/>
          <w:color w:val="4472C4" w:themeColor="accent1"/>
        </w:rPr>
        <w:t xml:space="preserve"> </w:t>
      </w:r>
    </w:p>
    <w:p w14:paraId="65DEBEA8" w14:textId="77777777" w:rsidR="0075368F" w:rsidRPr="0046413E" w:rsidRDefault="0075368F" w:rsidP="0075368F">
      <w:pPr>
        <w:spacing w:after="0" w:line="240" w:lineRule="auto"/>
        <w:jc w:val="both"/>
        <w:rPr>
          <w:rFonts w:ascii="Verdana" w:hAnsi="Verdana"/>
        </w:rPr>
      </w:pPr>
      <w:r w:rsidRPr="0046413E">
        <w:rPr>
          <w:rFonts w:ascii="Verdana" w:hAnsi="Verdana"/>
        </w:rPr>
        <w:t xml:space="preserve">Facebook: </w:t>
      </w:r>
      <w:r w:rsidRPr="0046413E">
        <w:rPr>
          <w:rFonts w:ascii="Verdana" w:hAnsi="Verdana"/>
          <w:color w:val="4472C4" w:themeColor="accent1"/>
          <w:u w:val="single"/>
        </w:rPr>
        <w:t>ColombiaCompraEficiente</w:t>
      </w:r>
    </w:p>
    <w:p w14:paraId="2D45242D" w14:textId="77777777" w:rsidR="0075368F" w:rsidRPr="0046413E" w:rsidRDefault="0075368F" w:rsidP="0075368F">
      <w:pPr>
        <w:spacing w:after="0" w:line="240" w:lineRule="auto"/>
        <w:jc w:val="both"/>
        <w:rPr>
          <w:rFonts w:ascii="Verdana" w:hAnsi="Verdana"/>
        </w:rPr>
      </w:pPr>
      <w:r w:rsidRPr="0046413E">
        <w:rPr>
          <w:rFonts w:ascii="Verdana" w:hAnsi="Verdana"/>
        </w:rPr>
        <w:t xml:space="preserve">LinkedIn: </w:t>
      </w:r>
      <w:r w:rsidRPr="0046413E">
        <w:rPr>
          <w:rFonts w:ascii="Verdana" w:hAnsi="Verdana"/>
          <w:color w:val="4472C4" w:themeColor="accent1"/>
          <w:u w:val="single"/>
        </w:rPr>
        <w:t>Agencia Nacional de Contratación Pública - Colombia Compra Eficiente</w:t>
      </w:r>
      <w:r w:rsidRPr="0046413E">
        <w:rPr>
          <w:rFonts w:ascii="Verdana" w:hAnsi="Verdana"/>
          <w:color w:val="4472C4" w:themeColor="accent1"/>
        </w:rPr>
        <w:t xml:space="preserve"> </w:t>
      </w:r>
      <w:r w:rsidRPr="0046413E">
        <w:rPr>
          <w:rFonts w:ascii="Verdana" w:hAnsi="Verdana"/>
        </w:rPr>
        <w:t xml:space="preserve">Instagram: </w:t>
      </w:r>
      <w:r w:rsidRPr="0046413E">
        <w:rPr>
          <w:rFonts w:ascii="Verdana" w:hAnsi="Verdana"/>
          <w:color w:val="4472C4" w:themeColor="accent1"/>
          <w:u w:val="single"/>
        </w:rPr>
        <w:t>@colombiacompraeficiente_cce</w:t>
      </w:r>
    </w:p>
    <w:p w14:paraId="50899076" w14:textId="77777777" w:rsidR="00033B5B" w:rsidRPr="0046413E" w:rsidRDefault="00033B5B" w:rsidP="0075368F">
      <w:pPr>
        <w:widowControl w:val="0"/>
        <w:autoSpaceDE w:val="0"/>
        <w:autoSpaceDN w:val="0"/>
        <w:spacing w:after="0" w:line="276" w:lineRule="auto"/>
        <w:jc w:val="both"/>
        <w:rPr>
          <w:rFonts w:ascii="Verdana" w:hAnsi="Verdana" w:cs="Arial"/>
        </w:rPr>
      </w:pPr>
    </w:p>
    <w:p w14:paraId="4877EEF6" w14:textId="77777777" w:rsidR="00033B5B" w:rsidRPr="00F86AD5" w:rsidRDefault="00033B5B" w:rsidP="00033B5B">
      <w:pPr>
        <w:spacing w:before="120" w:after="0" w:line="276" w:lineRule="auto"/>
        <w:jc w:val="both"/>
        <w:textAlignment w:val="baseline"/>
        <w:rPr>
          <w:rFonts w:ascii="Verdana" w:eastAsia="Times New Roman" w:hAnsi="Verdana"/>
          <w:bCs/>
          <w:lang w:val="es-ES_tradnl" w:eastAsia="es-CO"/>
        </w:rPr>
      </w:pPr>
      <w:r w:rsidRPr="00F86AD5">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C172304" w14:textId="77777777" w:rsidR="00033B5B" w:rsidRDefault="00033B5B" w:rsidP="00033B5B">
      <w:pPr>
        <w:spacing w:after="0" w:line="240" w:lineRule="auto"/>
        <w:rPr>
          <w:rFonts w:ascii="Verdana" w:eastAsia="Times New Roman" w:hAnsi="Verdana" w:cs="Arial"/>
          <w:lang w:eastAsia="es-CO"/>
        </w:rPr>
      </w:pPr>
    </w:p>
    <w:p w14:paraId="5EA72D83" w14:textId="77777777" w:rsidR="00033B5B" w:rsidRPr="00F86AD5" w:rsidRDefault="00033B5B" w:rsidP="00033B5B">
      <w:pPr>
        <w:spacing w:after="0" w:line="240" w:lineRule="auto"/>
        <w:rPr>
          <w:rFonts w:ascii="Verdana" w:eastAsia="Times New Roman" w:hAnsi="Verdana" w:cs="Arial"/>
          <w:lang w:eastAsia="es-CO"/>
        </w:rPr>
      </w:pPr>
      <w:r w:rsidRPr="00F86AD5">
        <w:rPr>
          <w:rFonts w:ascii="Verdana" w:eastAsia="Times New Roman" w:hAnsi="Verdana" w:cs="Arial"/>
          <w:lang w:eastAsia="es-CO"/>
        </w:rPr>
        <w:t>Atentamente,</w:t>
      </w:r>
    </w:p>
    <w:p w14:paraId="4E89EB5B" w14:textId="77777777" w:rsidR="00033B5B" w:rsidRPr="00F86AD5" w:rsidRDefault="00033B5B" w:rsidP="00033B5B">
      <w:pPr>
        <w:spacing w:after="0" w:line="276" w:lineRule="auto"/>
        <w:jc w:val="center"/>
        <w:rPr>
          <w:rFonts w:ascii="Verdana" w:eastAsia="Times New Roman" w:hAnsi="Verdana" w:cs="Arial"/>
          <w:color w:val="000000"/>
          <w:lang w:val="es-ES_tradnl" w:eastAsia="es-CO"/>
        </w:rPr>
      </w:pPr>
    </w:p>
    <w:p w14:paraId="1C16EA10" w14:textId="77777777" w:rsidR="00033B5B" w:rsidRPr="00F86AD5" w:rsidRDefault="00033B5B" w:rsidP="00033B5B">
      <w:pPr>
        <w:spacing w:after="0" w:line="276" w:lineRule="auto"/>
        <w:jc w:val="center"/>
        <w:rPr>
          <w:rFonts w:ascii="Verdana" w:eastAsia="Times New Roman" w:hAnsi="Verdana" w:cs="Arial"/>
          <w:color w:val="000000"/>
          <w:lang w:val="es-ES_tradnl" w:eastAsia="es-CO"/>
        </w:rPr>
      </w:pPr>
    </w:p>
    <w:p w14:paraId="361E1FC9" w14:textId="392BF2D9" w:rsidR="00276FFC" w:rsidRPr="00F86AD5" w:rsidRDefault="00C544F7" w:rsidP="00033B5B">
      <w:pPr>
        <w:spacing w:after="0" w:line="276" w:lineRule="auto"/>
        <w:jc w:val="center"/>
        <w:rPr>
          <w:rFonts w:ascii="Verdana" w:eastAsia="Times New Roman" w:hAnsi="Verdana" w:cs="Arial"/>
          <w:color w:val="000000"/>
          <w:lang w:val="es-ES_tradnl" w:eastAsia="es-CO"/>
        </w:rPr>
      </w:pPr>
      <w:r w:rsidRPr="002C3AD6">
        <w:rPr>
          <w:rFonts w:ascii="Century Gothic" w:hAnsi="Century Gothic"/>
          <w:noProof/>
        </w:rPr>
        <w:drawing>
          <wp:inline distT="0" distB="0" distL="0" distR="0" wp14:anchorId="66104260" wp14:editId="18CF4B06">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p w14:paraId="3CB62FCC" w14:textId="77777777" w:rsidR="00033B5B" w:rsidRPr="00F86AD5" w:rsidRDefault="00033B5B" w:rsidP="00033B5B">
      <w:pPr>
        <w:spacing w:after="0" w:line="276" w:lineRule="auto"/>
        <w:jc w:val="center"/>
        <w:rPr>
          <w:rFonts w:ascii="Verdana" w:eastAsia="Times New Roman" w:hAnsi="Verdana" w:cs="Arial"/>
          <w:color w:val="000000"/>
          <w:lang w:val="es-ES_tradnl" w:eastAsia="es-CO"/>
        </w:rPr>
      </w:pPr>
    </w:p>
    <w:p w14:paraId="34546D6B" w14:textId="77777777" w:rsidR="00033B5B" w:rsidRPr="00F86AD5" w:rsidRDefault="00033B5B" w:rsidP="00033B5B">
      <w:pPr>
        <w:spacing w:after="0" w:line="276" w:lineRule="auto"/>
        <w:jc w:val="center"/>
        <w:rPr>
          <w:rFonts w:ascii="Verdana" w:eastAsia="Times New Roman" w:hAnsi="Verdana" w:cs="Arial"/>
          <w:color w:val="000000"/>
          <w:sz w:val="18"/>
          <w:szCs w:val="18"/>
          <w:lang w:val="es-ES"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033B5B" w:rsidRPr="00F86AD5" w14:paraId="693EDBE3" w14:textId="77777777" w:rsidTr="00033B5B">
        <w:trPr>
          <w:trHeight w:val="409"/>
        </w:trPr>
        <w:tc>
          <w:tcPr>
            <w:tcW w:w="817" w:type="dxa"/>
            <w:tcBorders>
              <w:top w:val="nil"/>
              <w:left w:val="nil"/>
              <w:bottom w:val="nil"/>
              <w:right w:val="nil"/>
            </w:tcBorders>
            <w:vAlign w:val="center"/>
            <w:hideMark/>
          </w:tcPr>
          <w:p w14:paraId="25F66037" w14:textId="77777777" w:rsidR="00033B5B" w:rsidRPr="00F86AD5" w:rsidRDefault="00033B5B">
            <w:pPr>
              <w:spacing w:after="0" w:line="240" w:lineRule="auto"/>
              <w:jc w:val="both"/>
              <w:rPr>
                <w:rFonts w:ascii="Verdana" w:hAnsi="Verdana" w:cs="Arial"/>
                <w:sz w:val="16"/>
                <w:szCs w:val="16"/>
              </w:rPr>
            </w:pPr>
            <w:r w:rsidRPr="00F86AD5">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77D5D640" w14:textId="77777777" w:rsidR="00033B5B" w:rsidRPr="00F86AD5" w:rsidRDefault="00033B5B">
            <w:pPr>
              <w:spacing w:after="0" w:line="240" w:lineRule="auto"/>
              <w:jc w:val="both"/>
              <w:rPr>
                <w:rFonts w:ascii="Verdana" w:hAnsi="Verdana" w:cs="Arial"/>
                <w:sz w:val="16"/>
                <w:szCs w:val="16"/>
              </w:rPr>
            </w:pPr>
            <w:r w:rsidRPr="00F86AD5">
              <w:rPr>
                <w:rFonts w:ascii="Verdana" w:hAnsi="Verdana" w:cs="Arial"/>
                <w:sz w:val="16"/>
                <w:szCs w:val="16"/>
              </w:rPr>
              <w:t>Gustavo Hinestroza Martínez</w:t>
            </w:r>
          </w:p>
          <w:p w14:paraId="61893EE6" w14:textId="77777777" w:rsidR="00033B5B" w:rsidRPr="00F86AD5" w:rsidRDefault="00033B5B">
            <w:pPr>
              <w:spacing w:after="0" w:line="240" w:lineRule="auto"/>
              <w:jc w:val="both"/>
              <w:rPr>
                <w:rFonts w:ascii="Verdana" w:hAnsi="Verdana" w:cs="Arial"/>
                <w:sz w:val="16"/>
                <w:szCs w:val="16"/>
              </w:rPr>
            </w:pPr>
            <w:r w:rsidRPr="00F86AD5">
              <w:rPr>
                <w:rFonts w:ascii="Verdana" w:hAnsi="Verdana" w:cs="Arial"/>
                <w:sz w:val="16"/>
                <w:szCs w:val="16"/>
              </w:rPr>
              <w:t>Contratista de la Subdirección de Gestión Contractual</w:t>
            </w:r>
          </w:p>
        </w:tc>
      </w:tr>
      <w:tr w:rsidR="00033B5B" w:rsidRPr="00F86AD5" w14:paraId="7A1E454B" w14:textId="77777777" w:rsidTr="00033B5B">
        <w:trPr>
          <w:trHeight w:val="409"/>
        </w:trPr>
        <w:tc>
          <w:tcPr>
            <w:tcW w:w="817" w:type="dxa"/>
            <w:tcBorders>
              <w:top w:val="nil"/>
              <w:left w:val="nil"/>
              <w:bottom w:val="nil"/>
              <w:right w:val="nil"/>
            </w:tcBorders>
            <w:vAlign w:val="center"/>
            <w:hideMark/>
          </w:tcPr>
          <w:p w14:paraId="2B86879B" w14:textId="77777777" w:rsidR="00033B5B" w:rsidRPr="00F86AD5" w:rsidRDefault="00033B5B">
            <w:pPr>
              <w:spacing w:after="0"/>
              <w:jc w:val="both"/>
              <w:rPr>
                <w:rFonts w:ascii="Verdana" w:hAnsi="Verdana" w:cs="Arial"/>
                <w:sz w:val="16"/>
                <w:szCs w:val="16"/>
              </w:rPr>
            </w:pPr>
            <w:r w:rsidRPr="00F86AD5">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30D0D9D" w14:textId="77777777" w:rsidR="00033B5B" w:rsidRPr="00F86AD5" w:rsidRDefault="00033B5B">
            <w:pPr>
              <w:spacing w:after="0" w:line="276" w:lineRule="auto"/>
              <w:textAlignment w:val="baseline"/>
              <w:rPr>
                <w:rFonts w:ascii="Verdana" w:eastAsia="Times New Roman" w:hAnsi="Verdana" w:cstheme="minorHAnsi"/>
                <w:sz w:val="16"/>
                <w:szCs w:val="16"/>
                <w:lang w:eastAsia="es-CO"/>
              </w:rPr>
            </w:pPr>
            <w:r w:rsidRPr="00F86AD5">
              <w:rPr>
                <w:rFonts w:ascii="Verdana" w:eastAsia="Times New Roman" w:hAnsi="Verdana" w:cstheme="minorHAnsi"/>
                <w:sz w:val="16"/>
                <w:szCs w:val="16"/>
                <w:lang w:eastAsia="es-CO"/>
              </w:rPr>
              <w:t>Cielo Victoria González Meza</w:t>
            </w:r>
          </w:p>
          <w:p w14:paraId="06D024BE" w14:textId="77777777" w:rsidR="00033B5B" w:rsidRPr="00F86AD5" w:rsidRDefault="00033B5B">
            <w:pPr>
              <w:spacing w:after="0" w:line="240" w:lineRule="auto"/>
              <w:jc w:val="both"/>
              <w:rPr>
                <w:rFonts w:ascii="Verdana" w:hAnsi="Verdana" w:cs="Arial"/>
                <w:sz w:val="16"/>
                <w:szCs w:val="16"/>
              </w:rPr>
            </w:pPr>
            <w:r w:rsidRPr="00F86AD5">
              <w:rPr>
                <w:rFonts w:ascii="Verdana" w:eastAsia="Times New Roman" w:hAnsi="Verdana" w:cstheme="minorHAnsi"/>
                <w:sz w:val="16"/>
                <w:szCs w:val="16"/>
                <w:lang w:val="es-ES" w:eastAsia="es-ES"/>
              </w:rPr>
              <w:t>Contratista de la Subdirección de Gestión Contractual</w:t>
            </w:r>
          </w:p>
        </w:tc>
      </w:tr>
      <w:tr w:rsidR="00033B5B" w:rsidRPr="00F86AD5" w14:paraId="53C00277" w14:textId="77777777" w:rsidTr="00033B5B">
        <w:trPr>
          <w:trHeight w:val="389"/>
        </w:trPr>
        <w:tc>
          <w:tcPr>
            <w:tcW w:w="817" w:type="dxa"/>
            <w:tcBorders>
              <w:top w:val="nil"/>
              <w:left w:val="nil"/>
              <w:bottom w:val="nil"/>
              <w:right w:val="nil"/>
            </w:tcBorders>
            <w:vAlign w:val="center"/>
            <w:hideMark/>
          </w:tcPr>
          <w:p w14:paraId="765537E4" w14:textId="77777777" w:rsidR="00033B5B" w:rsidRPr="00F86AD5" w:rsidRDefault="00033B5B">
            <w:pPr>
              <w:spacing w:after="0" w:line="240" w:lineRule="auto"/>
              <w:jc w:val="both"/>
              <w:rPr>
                <w:rFonts w:ascii="Verdana" w:hAnsi="Verdana" w:cs="Arial"/>
                <w:sz w:val="16"/>
                <w:szCs w:val="16"/>
              </w:rPr>
            </w:pPr>
            <w:r w:rsidRPr="00F86AD5">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E4E2A87" w14:textId="77777777" w:rsidR="00033B5B" w:rsidRPr="00F86AD5" w:rsidRDefault="00033B5B">
            <w:pPr>
              <w:spacing w:after="0"/>
              <w:rPr>
                <w:rFonts w:ascii="Verdana" w:eastAsia="Calibri" w:hAnsi="Verdana" w:cs="Arial"/>
                <w:sz w:val="16"/>
                <w:szCs w:val="16"/>
                <w:lang w:val="pt-BR" w:eastAsia="es-ES"/>
              </w:rPr>
            </w:pPr>
            <w:r w:rsidRPr="00F86AD5">
              <w:rPr>
                <w:rFonts w:ascii="Verdana" w:eastAsia="Calibri" w:hAnsi="Verdana" w:cs="Arial"/>
                <w:sz w:val="16"/>
                <w:szCs w:val="16"/>
                <w:lang w:val="pt-BR" w:eastAsia="es-ES"/>
              </w:rPr>
              <w:t>Carolina Quintero Gacharná</w:t>
            </w:r>
          </w:p>
          <w:p w14:paraId="57C24AE4" w14:textId="77777777" w:rsidR="00033B5B" w:rsidRPr="00F86AD5" w:rsidRDefault="00033B5B">
            <w:pPr>
              <w:spacing w:after="0" w:line="240" w:lineRule="auto"/>
              <w:jc w:val="both"/>
              <w:rPr>
                <w:rFonts w:ascii="Verdana" w:hAnsi="Verdana" w:cs="Arial"/>
                <w:sz w:val="16"/>
                <w:szCs w:val="16"/>
              </w:rPr>
            </w:pPr>
            <w:r w:rsidRPr="00F86AD5">
              <w:rPr>
                <w:rFonts w:ascii="Verdana" w:hAnsi="Verdana" w:cs="Arial"/>
                <w:sz w:val="16"/>
                <w:szCs w:val="16"/>
              </w:rPr>
              <w:t>Subdirectora de Gestión Contractual ANCP – CCE</w:t>
            </w:r>
          </w:p>
        </w:tc>
      </w:tr>
    </w:tbl>
    <w:p w14:paraId="082B6FD1" w14:textId="77777777" w:rsidR="002707A2" w:rsidRPr="00F86AD5" w:rsidRDefault="002707A2" w:rsidP="00E245AB">
      <w:pPr>
        <w:spacing w:after="0"/>
        <w:jc w:val="both"/>
        <w:rPr>
          <w:rStyle w:val="Hipervnculo"/>
          <w:rFonts w:ascii="Verdana" w:hAnsi="Verdana"/>
        </w:rPr>
      </w:pPr>
    </w:p>
    <w:p w14:paraId="056D5D93" w14:textId="77777777" w:rsidR="002707A2" w:rsidRPr="00F86AD5" w:rsidRDefault="002707A2" w:rsidP="00E245AB">
      <w:pPr>
        <w:spacing w:after="0"/>
        <w:jc w:val="both"/>
        <w:rPr>
          <w:rStyle w:val="Hipervnculo"/>
          <w:rFonts w:ascii="Verdana" w:hAnsi="Verdana"/>
        </w:rPr>
      </w:pPr>
    </w:p>
    <w:p w14:paraId="4FAB902A" w14:textId="77777777" w:rsidR="002707A2" w:rsidRPr="00F86AD5" w:rsidRDefault="00276FFC" w:rsidP="00E245AB">
      <w:pPr>
        <w:spacing w:after="0"/>
        <w:jc w:val="both"/>
        <w:rPr>
          <w:rFonts w:ascii="Verdana" w:hAnsi="Verdana" w:cs="Arial"/>
          <w:sz w:val="16"/>
          <w:szCs w:val="16"/>
        </w:rPr>
      </w:pPr>
      <w:r w:rsidRPr="00F86AD5">
        <w:rPr>
          <w:rFonts w:ascii="Verdana" w:hAnsi="Verdana" w:cs="Arial"/>
          <w:sz w:val="16"/>
          <w:szCs w:val="16"/>
        </w:rPr>
        <w:t>Se Anexa: 1 PDF Respuesta parcial de la consulta con número de radicado P20240606005874 del 19 de julio de 2024</w:t>
      </w:r>
    </w:p>
    <w:p w14:paraId="03C68B34" w14:textId="77777777" w:rsidR="002707A2" w:rsidRPr="00F86AD5" w:rsidRDefault="002707A2" w:rsidP="00E245AB">
      <w:pPr>
        <w:spacing w:after="0"/>
        <w:jc w:val="both"/>
        <w:rPr>
          <w:rStyle w:val="Hipervnculo"/>
          <w:rFonts w:ascii="Verdana" w:hAnsi="Verdana"/>
        </w:rPr>
      </w:pPr>
    </w:p>
    <w:bookmarkEnd w:id="0"/>
    <w:p w14:paraId="77E9D2B2" w14:textId="77777777" w:rsidR="00322A85" w:rsidRPr="00F86AD5" w:rsidRDefault="00322A85" w:rsidP="00322A85">
      <w:pPr>
        <w:spacing w:after="0" w:line="240" w:lineRule="auto"/>
        <w:textAlignment w:val="baseline"/>
        <w:rPr>
          <w:rFonts w:ascii="Verdana" w:eastAsia="Times New Roman" w:hAnsi="Verdana" w:cs="Segoe UI"/>
          <w:sz w:val="18"/>
          <w:szCs w:val="18"/>
          <w:lang w:eastAsia="es-CO"/>
        </w:rPr>
      </w:pPr>
      <w:r w:rsidRPr="00F86AD5">
        <w:rPr>
          <w:rFonts w:ascii="Verdana" w:eastAsia="Times New Roman" w:hAnsi="Verdana" w:cs="Segoe UI"/>
          <w:color w:val="404040"/>
          <w:lang w:eastAsia="es-CO"/>
        </w:rPr>
        <w:t> </w:t>
      </w:r>
    </w:p>
    <w:p w14:paraId="03AC20F8" w14:textId="77777777" w:rsidR="00322A85" w:rsidRPr="00F86AD5" w:rsidRDefault="00322A85" w:rsidP="00322A85">
      <w:pPr>
        <w:spacing w:after="0" w:line="240" w:lineRule="auto"/>
        <w:jc w:val="both"/>
        <w:textAlignment w:val="baseline"/>
        <w:rPr>
          <w:rFonts w:ascii="Verdana" w:eastAsia="Times New Roman" w:hAnsi="Verdana" w:cs="Segoe UI"/>
          <w:sz w:val="18"/>
          <w:szCs w:val="18"/>
          <w:lang w:eastAsia="es-CO"/>
        </w:rPr>
      </w:pPr>
      <w:r w:rsidRPr="00F86AD5">
        <w:rPr>
          <w:rFonts w:ascii="Verdana" w:eastAsia="Times New Roman" w:hAnsi="Verdana" w:cs="Segoe UI"/>
          <w:lang w:eastAsia="es-CO"/>
        </w:rPr>
        <w:t>  </w:t>
      </w:r>
    </w:p>
    <w:p w14:paraId="7D797DB7" w14:textId="77777777" w:rsidR="0075368F" w:rsidRPr="00DD43D0" w:rsidRDefault="0075368F" w:rsidP="0075368F">
      <w:pPr>
        <w:spacing w:after="0"/>
        <w:jc w:val="both"/>
        <w:rPr>
          <w:rFonts w:ascii="Verdana" w:hAnsi="Verdana"/>
        </w:rPr>
      </w:pPr>
    </w:p>
    <w:p w14:paraId="0F293BF4" w14:textId="7BBFAB11" w:rsidR="00127233" w:rsidRPr="0075368F" w:rsidRDefault="00127233" w:rsidP="0075368F"/>
    <w:sectPr w:rsidR="00127233" w:rsidRPr="0075368F"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5A67F6" w14:textId="77777777" w:rsidR="003541A4" w:rsidRDefault="003541A4" w:rsidP="004A1847">
      <w:pPr>
        <w:spacing w:after="0" w:line="240" w:lineRule="auto"/>
      </w:pPr>
      <w:r>
        <w:separator/>
      </w:r>
    </w:p>
  </w:endnote>
  <w:endnote w:type="continuationSeparator" w:id="0">
    <w:p w14:paraId="1A8D4EF0" w14:textId="77777777" w:rsidR="003541A4" w:rsidRDefault="003541A4" w:rsidP="004A1847">
      <w:pPr>
        <w:spacing w:after="0" w:line="240" w:lineRule="auto"/>
      </w:pPr>
      <w:r>
        <w:continuationSeparator/>
      </w:r>
    </w:p>
  </w:endnote>
  <w:endnote w:type="continuationNotice" w:id="1">
    <w:p w14:paraId="11DD73D7" w14:textId="77777777" w:rsidR="003541A4" w:rsidRDefault="003541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989DB4" w14:textId="77777777" w:rsidR="003541A4" w:rsidRDefault="003541A4" w:rsidP="004A1847">
      <w:pPr>
        <w:spacing w:after="0" w:line="240" w:lineRule="auto"/>
      </w:pPr>
      <w:r>
        <w:separator/>
      </w:r>
    </w:p>
  </w:footnote>
  <w:footnote w:type="continuationSeparator" w:id="0">
    <w:p w14:paraId="666CE922" w14:textId="77777777" w:rsidR="003541A4" w:rsidRDefault="003541A4" w:rsidP="004A1847">
      <w:pPr>
        <w:spacing w:after="0" w:line="240" w:lineRule="auto"/>
      </w:pPr>
      <w:r>
        <w:continuationSeparator/>
      </w:r>
    </w:p>
  </w:footnote>
  <w:footnote w:type="continuationNotice" w:id="1">
    <w:p w14:paraId="47BEE56F" w14:textId="77777777" w:rsidR="003541A4" w:rsidRDefault="003541A4">
      <w:pPr>
        <w:spacing w:after="0" w:line="240" w:lineRule="auto"/>
      </w:pPr>
    </w:p>
  </w:footnote>
  <w:footnote w:id="2">
    <w:p w14:paraId="11955FDC" w14:textId="77777777" w:rsidR="0075368F" w:rsidRDefault="0075368F" w:rsidP="0075368F">
      <w:pPr>
        <w:pStyle w:val="Textonotapie"/>
        <w:rPr>
          <w:rFonts w:ascii="Century Gothic" w:hAnsi="Century Gothic" w:cs="Arial"/>
          <w:sz w:val="16"/>
          <w:szCs w:val="16"/>
          <w:lang w:val="es-ES"/>
        </w:rPr>
      </w:pPr>
      <w:r>
        <w:rPr>
          <w:rStyle w:val="Refdenotaalpie"/>
        </w:rPr>
        <w:footnoteRef/>
      </w:r>
      <w:r>
        <w:t xml:space="preserve"> </w:t>
      </w:r>
      <w:r w:rsidRPr="00367101">
        <w:rPr>
          <w:rFonts w:ascii="Century Gothic" w:hAnsi="Century Gothic" w:cs="Arial"/>
          <w:sz w:val="16"/>
          <w:szCs w:val="16"/>
          <w:lang w:val="es-ES"/>
        </w:rPr>
        <w:t>Consejo de Estado, Sección Tercera, Sentencia del 16 de marzo de 2015, Rad. 1999-03028, M.P. Jaime Orlando Santofimio Gamboa.</w:t>
      </w:r>
    </w:p>
    <w:p w14:paraId="2A8B3FC8" w14:textId="77777777" w:rsidR="0075368F" w:rsidRPr="00DD43D0" w:rsidRDefault="0075368F" w:rsidP="0075368F">
      <w:pPr>
        <w:pStyle w:val="Textonotapie"/>
        <w:rPr>
          <w:lang w:val="es-ES"/>
        </w:rPr>
      </w:pPr>
    </w:p>
  </w:footnote>
  <w:footnote w:id="3">
    <w:p w14:paraId="0A473F99" w14:textId="77777777" w:rsidR="0075368F" w:rsidRPr="00E62E4B" w:rsidRDefault="0075368F" w:rsidP="00217629">
      <w:pPr>
        <w:pStyle w:val="Textonotapie"/>
        <w:jc w:val="both"/>
        <w:rPr>
          <w:rFonts w:ascii="Verdana" w:hAnsi="Verdana" w:cs="Arial"/>
          <w:sz w:val="16"/>
          <w:szCs w:val="16"/>
        </w:rPr>
      </w:pPr>
      <w:r w:rsidRPr="00E62E4B">
        <w:rPr>
          <w:rStyle w:val="Refdenotaalpie"/>
          <w:rFonts w:ascii="Verdana" w:hAnsi="Verdana" w:cs="Arial"/>
          <w:sz w:val="16"/>
          <w:szCs w:val="16"/>
        </w:rPr>
        <w:footnoteRef/>
      </w:r>
      <w:r w:rsidRPr="00E62E4B">
        <w:rPr>
          <w:rFonts w:ascii="Verdana" w:hAnsi="Verdana" w:cs="Arial"/>
          <w:sz w:val="16"/>
          <w:szCs w:val="16"/>
        </w:rPr>
        <w:t xml:space="preserve"> ROPPO, Vincenzo. El contrato. Lima: Gaceta Jurídica, 2009. p. 547.</w:t>
      </w:r>
    </w:p>
  </w:footnote>
  <w:footnote w:id="4">
    <w:p w14:paraId="6A5F82A2" w14:textId="77777777" w:rsidR="0075368F" w:rsidRPr="00E62E4B" w:rsidRDefault="0075368F" w:rsidP="00217629">
      <w:pPr>
        <w:pStyle w:val="Textonotapie"/>
        <w:jc w:val="both"/>
        <w:rPr>
          <w:rFonts w:ascii="Verdana" w:hAnsi="Verdana" w:cs="Arial"/>
          <w:sz w:val="16"/>
          <w:szCs w:val="16"/>
        </w:rPr>
      </w:pPr>
      <w:r w:rsidRPr="00E62E4B">
        <w:rPr>
          <w:rStyle w:val="Refdenotaalpie"/>
          <w:rFonts w:ascii="Verdana" w:hAnsi="Verdana" w:cs="Arial"/>
          <w:sz w:val="16"/>
          <w:szCs w:val="16"/>
        </w:rPr>
        <w:footnoteRef/>
      </w:r>
      <w:r w:rsidRPr="00E62E4B">
        <w:rPr>
          <w:rFonts w:ascii="Verdana" w:hAnsi="Verdana" w:cs="Arial"/>
          <w:sz w:val="16"/>
          <w:szCs w:val="16"/>
        </w:rPr>
        <w:t xml:space="preserve"> </w:t>
      </w:r>
      <w:r w:rsidRPr="00E62E4B">
        <w:rPr>
          <w:rFonts w:ascii="Verdana" w:hAnsi="Verdana" w:cs="Arial"/>
          <w:i/>
          <w:iCs/>
          <w:sz w:val="16"/>
          <w:szCs w:val="16"/>
        </w:rPr>
        <w:t>Ibidem</w:t>
      </w:r>
      <w:r w:rsidRPr="00E62E4B">
        <w:rPr>
          <w:rFonts w:ascii="Verdana" w:hAnsi="Verdana" w:cs="Arial"/>
          <w:sz w:val="16"/>
          <w:szCs w:val="16"/>
        </w:rPr>
        <w:t>.</w:t>
      </w:r>
    </w:p>
  </w:footnote>
  <w:footnote w:id="5">
    <w:p w14:paraId="6713EE5A" w14:textId="23B57AB1" w:rsidR="00217629" w:rsidRPr="00217629" w:rsidRDefault="00217629" w:rsidP="00C376DE">
      <w:pPr>
        <w:pStyle w:val="Textonotapie"/>
        <w:jc w:val="both"/>
        <w:rPr>
          <w:lang w:val="es-ES"/>
        </w:rPr>
      </w:pPr>
      <w:r>
        <w:rPr>
          <w:rStyle w:val="Refdenotaalpie"/>
        </w:rPr>
        <w:footnoteRef/>
      </w:r>
      <w:r>
        <w:t xml:space="preserve"> Concepto C 100-2024 </w:t>
      </w:r>
      <w:r w:rsidR="00C376DE">
        <w:t xml:space="preserve">Expedido por la Agencia Nacional de Compra Pública Colombia Compra Eficiente, el cual puede ser consultado en  </w:t>
      </w:r>
      <w:r w:rsidRPr="00217629">
        <w:t>https://relatoria.colombiacompra.gov.co/</w:t>
      </w:r>
    </w:p>
  </w:footnote>
  <w:footnote w:id="6">
    <w:p w14:paraId="6D236793" w14:textId="77777777" w:rsidR="0075368F" w:rsidRPr="00DD43D0" w:rsidRDefault="0075368F" w:rsidP="0075368F">
      <w:pPr>
        <w:pStyle w:val="Textonotapie"/>
        <w:ind w:firstLine="708"/>
        <w:rPr>
          <w:lang w:val="es-ES"/>
        </w:rPr>
      </w:pPr>
      <w:r>
        <w:rPr>
          <w:rStyle w:val="Refdenotaalpie"/>
        </w:rPr>
        <w:footnoteRef/>
      </w:r>
      <w:r>
        <w:t xml:space="preserve"> </w:t>
      </w:r>
      <w:r w:rsidRPr="00E25381">
        <w:rPr>
          <w:rFonts w:ascii="Verdana" w:hAnsi="Verdana"/>
          <w:sz w:val="16"/>
        </w:rPr>
        <w:t>Ley 80 de 1993 artículo 13: Los contratos que celebren las entidades a que se refiere el artículo 2o. del presente estatuto se regirán por las disposiciones comerciales y civiles pertinentes, salvo en las materias particularmente reguladas en esta ley.</w:t>
      </w:r>
    </w:p>
  </w:footnote>
  <w:footnote w:id="7">
    <w:p w14:paraId="024973BC" w14:textId="77777777" w:rsidR="0075368F" w:rsidRPr="00E62E4B" w:rsidRDefault="0075368F" w:rsidP="0075368F">
      <w:pPr>
        <w:pStyle w:val="Textonotapie"/>
        <w:ind w:firstLine="708"/>
        <w:jc w:val="both"/>
        <w:rPr>
          <w:rFonts w:ascii="Verdana" w:hAnsi="Verdana" w:cs="Arial"/>
          <w:sz w:val="16"/>
          <w:szCs w:val="16"/>
        </w:rPr>
      </w:pPr>
      <w:r w:rsidRPr="00E62E4B">
        <w:rPr>
          <w:rStyle w:val="Refdenotaalpie"/>
          <w:rFonts w:ascii="Verdana" w:hAnsi="Verdana" w:cs="Arial"/>
          <w:sz w:val="16"/>
          <w:szCs w:val="16"/>
        </w:rPr>
        <w:footnoteRef/>
      </w:r>
      <w:r w:rsidRPr="00E62E4B">
        <w:rPr>
          <w:rFonts w:ascii="Verdana" w:hAnsi="Verdana" w:cs="Arial"/>
          <w:sz w:val="16"/>
          <w:szCs w:val="16"/>
        </w:rPr>
        <w:t xml:space="preserve"> No en vano, “Quien contrata con la administración debe reunir condiciones previas, acreditadas por muy distintos medios, relativas a su capacidad técnica, financiera e incluso moral. De esas personas se ha seleccionado aquella que resulta la más conveniente para el caso, y esa persona no puede ser reemplazada por otra, por la sola decisión de ese cocontratante.</w:t>
      </w:r>
    </w:p>
    <w:p w14:paraId="56E99430" w14:textId="77777777" w:rsidR="0075368F" w:rsidRPr="00E62E4B" w:rsidRDefault="0075368F" w:rsidP="0075368F">
      <w:pPr>
        <w:pStyle w:val="Textonotapie"/>
        <w:ind w:firstLine="708"/>
        <w:jc w:val="both"/>
        <w:rPr>
          <w:rFonts w:ascii="Verdana" w:hAnsi="Verdana" w:cs="Arial"/>
          <w:sz w:val="16"/>
          <w:szCs w:val="16"/>
        </w:rPr>
      </w:pPr>
      <w:r w:rsidRPr="00E62E4B">
        <w:rPr>
          <w:rFonts w:ascii="Verdana" w:hAnsi="Verdana" w:cs="Arial"/>
          <w:sz w:val="16"/>
          <w:szCs w:val="16"/>
        </w:rPr>
        <w:t>De ahí que el principio del cumplimiento personal de sus obligaciones por el cocontratante particular es una exigencia del contrato administrativo que resulta de su naturaleza, por lo que su aplicación es ineludible, aun en los casos en que no existen cláusulas expresas que impongan esa prestación personal o que prohíban la cesión o trasferencia del contrato o la subcontratación” (ESCOLA, Jorge. Tratado integral de los contratos administrativos. Volumen I. Buenos Aires: Depalma, 2012. p. 424).</w:t>
      </w:r>
    </w:p>
  </w:footnote>
  <w:footnote w:id="8">
    <w:p w14:paraId="59E6EBAD" w14:textId="77777777" w:rsidR="00F67133" w:rsidRDefault="00F67133" w:rsidP="00F67133">
      <w:pPr>
        <w:pStyle w:val="Textonotapie"/>
        <w:ind w:firstLine="708"/>
        <w:jc w:val="both"/>
        <w:rPr>
          <w:rFonts w:ascii="Verdana" w:hAnsi="Verdana" w:cs="Arial"/>
          <w:sz w:val="16"/>
          <w:szCs w:val="16"/>
        </w:rPr>
      </w:pPr>
      <w:r w:rsidRPr="00E62E4B">
        <w:rPr>
          <w:rStyle w:val="Refdenotaalpie"/>
          <w:rFonts w:ascii="Verdana" w:hAnsi="Verdana" w:cs="Arial"/>
          <w:sz w:val="16"/>
          <w:szCs w:val="16"/>
        </w:rPr>
        <w:footnoteRef/>
      </w:r>
      <w:r w:rsidRPr="00E62E4B">
        <w:rPr>
          <w:rFonts w:ascii="Verdana" w:hAnsi="Verdana" w:cs="Arial"/>
          <w:sz w:val="16"/>
          <w:szCs w:val="16"/>
        </w:rPr>
        <w:t xml:space="preserve"> MARIENHOFF, Miguel S. Tratado de derecho administrativo. Tomo IIIA. Cuarta Edición. Buenos Aires: Abeledo Perrot, 1998. p. 318. Énfasis dentro del texto.</w:t>
      </w:r>
    </w:p>
    <w:p w14:paraId="0AEC2E75" w14:textId="77777777" w:rsidR="00E62E4B" w:rsidRPr="00E62E4B" w:rsidRDefault="00E62E4B" w:rsidP="00F67133">
      <w:pPr>
        <w:pStyle w:val="Textonotapie"/>
        <w:ind w:firstLine="708"/>
        <w:jc w:val="both"/>
        <w:rPr>
          <w:rFonts w:ascii="Verdana" w:hAnsi="Verdana" w:cs="Arial"/>
          <w:sz w:val="16"/>
          <w:szCs w:val="16"/>
          <w:lang w:val="es-ES"/>
        </w:rPr>
      </w:pPr>
    </w:p>
  </w:footnote>
  <w:footnote w:id="9">
    <w:p w14:paraId="21BEF37B" w14:textId="77777777" w:rsidR="00F67133" w:rsidRPr="00E62E4B" w:rsidRDefault="00F67133" w:rsidP="00F67133">
      <w:pPr>
        <w:pStyle w:val="Textonotapie"/>
        <w:ind w:firstLine="708"/>
        <w:jc w:val="both"/>
        <w:rPr>
          <w:rFonts w:ascii="Verdana" w:hAnsi="Verdana" w:cs="Arial"/>
          <w:sz w:val="16"/>
          <w:szCs w:val="16"/>
        </w:rPr>
      </w:pPr>
      <w:r w:rsidRPr="00E62E4B">
        <w:rPr>
          <w:rStyle w:val="Refdenotaalpie"/>
          <w:rFonts w:ascii="Verdana" w:hAnsi="Verdana" w:cs="Arial"/>
          <w:sz w:val="16"/>
          <w:szCs w:val="16"/>
        </w:rPr>
        <w:footnoteRef/>
      </w:r>
      <w:r w:rsidRPr="00E62E4B">
        <w:rPr>
          <w:rFonts w:ascii="Verdana" w:hAnsi="Verdana" w:cs="Arial"/>
          <w:sz w:val="16"/>
          <w:szCs w:val="16"/>
        </w:rPr>
        <w:t xml:space="preserve"> RAMÍREZ GRISALES, Richard. La cesión. Serie: Las cláusulas del contrato estatal. Medellín: Centro de Estudios de Derecho Administrativo –CEDA– y Librería Jurídica Sánchez R., 2014. pp. 71-72.</w:t>
      </w:r>
    </w:p>
  </w:footnote>
  <w:footnote w:id="10">
    <w:p w14:paraId="358F7945" w14:textId="29BE9864" w:rsidR="0075368F" w:rsidRDefault="0075368F" w:rsidP="0075368F">
      <w:pPr>
        <w:pStyle w:val="Textonotapie"/>
        <w:ind w:firstLine="708"/>
        <w:rPr>
          <w:rFonts w:ascii="Verdana" w:hAnsi="Verdana" w:cs="Arial"/>
          <w:sz w:val="16"/>
          <w:szCs w:val="16"/>
          <w:lang w:val="es-ES"/>
        </w:rPr>
      </w:pPr>
      <w:r>
        <w:rPr>
          <w:rStyle w:val="Refdenotaalpie"/>
        </w:rPr>
        <w:footnoteRef/>
      </w:r>
      <w:r>
        <w:t xml:space="preserve"> </w:t>
      </w:r>
      <w:r w:rsidRPr="00E62E4B">
        <w:rPr>
          <w:rFonts w:ascii="Verdana" w:hAnsi="Verdana" w:cs="Arial"/>
          <w:sz w:val="16"/>
          <w:szCs w:val="16"/>
          <w:lang w:val="es-ES"/>
        </w:rPr>
        <w:t xml:space="preserve">Consejo de Estado, Sección Tercera, Sentencia del </w:t>
      </w:r>
      <w:r>
        <w:rPr>
          <w:rFonts w:ascii="Verdana" w:hAnsi="Verdana" w:cs="Arial"/>
          <w:sz w:val="16"/>
          <w:szCs w:val="16"/>
          <w:lang w:val="es-ES"/>
        </w:rPr>
        <w:t>13</w:t>
      </w:r>
      <w:r w:rsidRPr="00E62E4B">
        <w:rPr>
          <w:rFonts w:ascii="Verdana" w:hAnsi="Verdana" w:cs="Arial"/>
          <w:sz w:val="16"/>
          <w:szCs w:val="16"/>
          <w:lang w:val="es-ES"/>
        </w:rPr>
        <w:t xml:space="preserve"> de marzo de 2015, Rad. 1999-03028,</w:t>
      </w:r>
      <w:r>
        <w:rPr>
          <w:rFonts w:ascii="Verdana" w:hAnsi="Verdana" w:cs="Arial"/>
          <w:sz w:val="16"/>
          <w:szCs w:val="16"/>
          <w:lang w:val="es-ES"/>
        </w:rPr>
        <w:t xml:space="preserve"> Numero Interno: 31619.</w:t>
      </w:r>
      <w:r w:rsidRPr="00E62E4B">
        <w:rPr>
          <w:rFonts w:ascii="Verdana" w:hAnsi="Verdana" w:cs="Arial"/>
          <w:sz w:val="16"/>
          <w:szCs w:val="16"/>
          <w:lang w:val="es-ES"/>
        </w:rPr>
        <w:t xml:space="preserve"> M.P. Jaime Orlando Santofimio Gamboa.</w:t>
      </w:r>
    </w:p>
    <w:p w14:paraId="0FE8FB4A" w14:textId="77777777" w:rsidR="0075368F" w:rsidRPr="00DD43D0" w:rsidRDefault="0075368F" w:rsidP="0075368F">
      <w:pPr>
        <w:pStyle w:val="Textonotapie"/>
        <w:ind w:firstLine="708"/>
        <w:rPr>
          <w:lang w:val="es-ES"/>
        </w:rPr>
      </w:pPr>
    </w:p>
  </w:footnote>
  <w:footnote w:id="11">
    <w:p w14:paraId="5C2C1FC3" w14:textId="77777777" w:rsidR="0075368F" w:rsidRPr="00E62E4B" w:rsidRDefault="0075368F" w:rsidP="0075368F">
      <w:pPr>
        <w:pStyle w:val="Textonotapie"/>
        <w:ind w:firstLine="709"/>
        <w:jc w:val="both"/>
        <w:rPr>
          <w:rFonts w:ascii="Verdana" w:hAnsi="Verdana" w:cs="Arial"/>
          <w:sz w:val="16"/>
          <w:szCs w:val="16"/>
          <w:lang w:val="es-ES"/>
        </w:rPr>
      </w:pPr>
      <w:r w:rsidRPr="00E62E4B">
        <w:rPr>
          <w:rStyle w:val="Refdenotaalpie"/>
          <w:rFonts w:ascii="Verdana" w:hAnsi="Verdana" w:cs="Arial"/>
          <w:sz w:val="16"/>
          <w:szCs w:val="16"/>
        </w:rPr>
        <w:footnoteRef/>
      </w:r>
      <w:r w:rsidRPr="00E62E4B">
        <w:rPr>
          <w:rFonts w:ascii="Verdana" w:hAnsi="Verdana" w:cs="Arial"/>
          <w:sz w:val="16"/>
          <w:szCs w:val="16"/>
        </w:rPr>
        <w:t xml:space="preserve"> </w:t>
      </w:r>
      <w:r w:rsidRPr="00E62E4B">
        <w:rPr>
          <w:rFonts w:ascii="Verdana" w:hAnsi="Verdana" w:cs="Arial"/>
          <w:sz w:val="16"/>
          <w:szCs w:val="16"/>
          <w:lang w:val="es-ES"/>
        </w:rPr>
        <w:t xml:space="preserve">Consejo de Estado, Sección Tercera, Sentencia del </w:t>
      </w:r>
      <w:r>
        <w:rPr>
          <w:rFonts w:ascii="Verdana" w:hAnsi="Verdana" w:cs="Arial"/>
          <w:sz w:val="16"/>
          <w:szCs w:val="16"/>
          <w:lang w:val="es-ES"/>
        </w:rPr>
        <w:t>13</w:t>
      </w:r>
      <w:r w:rsidRPr="00E62E4B">
        <w:rPr>
          <w:rFonts w:ascii="Verdana" w:hAnsi="Verdana" w:cs="Arial"/>
          <w:sz w:val="16"/>
          <w:szCs w:val="16"/>
          <w:lang w:val="es-ES"/>
        </w:rPr>
        <w:t xml:space="preserve"> de marzo de 2015, Rad. 1999-03028,</w:t>
      </w:r>
      <w:r>
        <w:rPr>
          <w:rFonts w:ascii="Verdana" w:hAnsi="Verdana" w:cs="Arial"/>
          <w:sz w:val="16"/>
          <w:szCs w:val="16"/>
          <w:lang w:val="es-ES"/>
        </w:rPr>
        <w:t xml:space="preserve"> Numero Interno: 31619.</w:t>
      </w:r>
      <w:r w:rsidRPr="00E62E4B">
        <w:rPr>
          <w:rFonts w:ascii="Verdana" w:hAnsi="Verdana" w:cs="Arial"/>
          <w:sz w:val="16"/>
          <w:szCs w:val="16"/>
          <w:lang w:val="es-ES"/>
        </w:rPr>
        <w:t xml:space="preserve"> M.P. Jaime Orlando Santofimio Gamboa.</w:t>
      </w:r>
    </w:p>
  </w:footnote>
  <w:footnote w:id="12">
    <w:p w14:paraId="23CB518F" w14:textId="77777777" w:rsidR="00F67133" w:rsidRPr="00E62E4B" w:rsidRDefault="00F67133" w:rsidP="00F67133">
      <w:pPr>
        <w:pStyle w:val="Textonotapie"/>
        <w:ind w:firstLine="720"/>
        <w:jc w:val="both"/>
        <w:rPr>
          <w:rFonts w:ascii="Verdana" w:hAnsi="Verdana" w:cs="Arial"/>
          <w:sz w:val="16"/>
          <w:szCs w:val="16"/>
        </w:rPr>
      </w:pPr>
      <w:r w:rsidRPr="00E62E4B">
        <w:rPr>
          <w:rStyle w:val="Refdenotaalpie"/>
          <w:rFonts w:ascii="Verdana" w:hAnsi="Verdana" w:cs="Arial"/>
          <w:sz w:val="16"/>
          <w:szCs w:val="16"/>
        </w:rPr>
        <w:footnoteRef/>
      </w:r>
      <w:r w:rsidRPr="00E62E4B">
        <w:rPr>
          <w:rFonts w:ascii="Verdana" w:hAnsi="Verdana" w:cs="Arial"/>
          <w:sz w:val="16"/>
          <w:szCs w:val="16"/>
        </w:rPr>
        <w:t xml:space="preserve"> CORTE CONSTITUCIONAL. Sentencia C-949 del 5 de septiembre de 2001. M.P. Clara Inés Vargas Hernández.  </w:t>
      </w:r>
    </w:p>
  </w:footnote>
  <w:footnote w:id="13">
    <w:p w14:paraId="4A04ACFF" w14:textId="77777777" w:rsidR="00D2527F" w:rsidRPr="00E62E4B" w:rsidRDefault="00D2527F" w:rsidP="00D2527F">
      <w:pPr>
        <w:pStyle w:val="Textonotapie"/>
        <w:ind w:firstLine="707"/>
        <w:rPr>
          <w:rFonts w:ascii="Verdana" w:hAnsi="Verdana"/>
          <w:lang w:val="es-ES"/>
        </w:rPr>
      </w:pPr>
      <w:r w:rsidRPr="00E62E4B">
        <w:rPr>
          <w:rStyle w:val="Refdenotaalpie"/>
          <w:rFonts w:ascii="Verdana" w:hAnsi="Verdana"/>
        </w:rPr>
        <w:footnoteRef/>
      </w:r>
      <w:r w:rsidRPr="00E62E4B">
        <w:rPr>
          <w:rFonts w:ascii="Verdana" w:hAnsi="Verdana"/>
        </w:rPr>
        <w:t xml:space="preserve"> </w:t>
      </w:r>
      <w:r w:rsidRPr="00FF786B">
        <w:rPr>
          <w:rFonts w:ascii="Verdana" w:hAnsi="Verdana"/>
          <w:sz w:val="16"/>
        </w:rPr>
        <w:t>Respuesta parcial de la consulta con número de radicado P20240606005874 del 19 de julio de 2024. Subdirección de Información y Desarrollo Tecnológico. Agencia Nacional de Contratación Pública - Colombia Compra Eficiente.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D2234A"/>
    <w:multiLevelType w:val="hybridMultilevel"/>
    <w:tmpl w:val="A274C166"/>
    <w:lvl w:ilvl="0" w:tplc="240A0001">
      <w:start w:val="1"/>
      <w:numFmt w:val="bullet"/>
      <w:lvlText w:val=""/>
      <w:lvlJc w:val="left"/>
      <w:pPr>
        <w:ind w:left="1425" w:hanging="360"/>
      </w:pPr>
      <w:rPr>
        <w:rFonts w:ascii="Symbol" w:hAnsi="Symbol" w:hint="default"/>
      </w:rPr>
    </w:lvl>
    <w:lvl w:ilvl="1" w:tplc="240A0003" w:tentative="1">
      <w:start w:val="1"/>
      <w:numFmt w:val="bullet"/>
      <w:lvlText w:val="o"/>
      <w:lvlJc w:val="left"/>
      <w:pPr>
        <w:ind w:left="2145" w:hanging="360"/>
      </w:pPr>
      <w:rPr>
        <w:rFonts w:ascii="Courier New" w:hAnsi="Courier New" w:cs="Courier New" w:hint="default"/>
      </w:rPr>
    </w:lvl>
    <w:lvl w:ilvl="2" w:tplc="240A0005" w:tentative="1">
      <w:start w:val="1"/>
      <w:numFmt w:val="bullet"/>
      <w:lvlText w:val=""/>
      <w:lvlJc w:val="left"/>
      <w:pPr>
        <w:ind w:left="2865" w:hanging="360"/>
      </w:pPr>
      <w:rPr>
        <w:rFonts w:ascii="Wingdings" w:hAnsi="Wingdings" w:hint="default"/>
      </w:rPr>
    </w:lvl>
    <w:lvl w:ilvl="3" w:tplc="240A0001" w:tentative="1">
      <w:start w:val="1"/>
      <w:numFmt w:val="bullet"/>
      <w:lvlText w:val=""/>
      <w:lvlJc w:val="left"/>
      <w:pPr>
        <w:ind w:left="3585" w:hanging="360"/>
      </w:pPr>
      <w:rPr>
        <w:rFonts w:ascii="Symbol" w:hAnsi="Symbol" w:hint="default"/>
      </w:rPr>
    </w:lvl>
    <w:lvl w:ilvl="4" w:tplc="240A0003" w:tentative="1">
      <w:start w:val="1"/>
      <w:numFmt w:val="bullet"/>
      <w:lvlText w:val="o"/>
      <w:lvlJc w:val="left"/>
      <w:pPr>
        <w:ind w:left="4305" w:hanging="360"/>
      </w:pPr>
      <w:rPr>
        <w:rFonts w:ascii="Courier New" w:hAnsi="Courier New" w:cs="Courier New" w:hint="default"/>
      </w:rPr>
    </w:lvl>
    <w:lvl w:ilvl="5" w:tplc="240A0005" w:tentative="1">
      <w:start w:val="1"/>
      <w:numFmt w:val="bullet"/>
      <w:lvlText w:val=""/>
      <w:lvlJc w:val="left"/>
      <w:pPr>
        <w:ind w:left="5025" w:hanging="360"/>
      </w:pPr>
      <w:rPr>
        <w:rFonts w:ascii="Wingdings" w:hAnsi="Wingdings" w:hint="default"/>
      </w:rPr>
    </w:lvl>
    <w:lvl w:ilvl="6" w:tplc="240A0001" w:tentative="1">
      <w:start w:val="1"/>
      <w:numFmt w:val="bullet"/>
      <w:lvlText w:val=""/>
      <w:lvlJc w:val="left"/>
      <w:pPr>
        <w:ind w:left="5745" w:hanging="360"/>
      </w:pPr>
      <w:rPr>
        <w:rFonts w:ascii="Symbol" w:hAnsi="Symbol" w:hint="default"/>
      </w:rPr>
    </w:lvl>
    <w:lvl w:ilvl="7" w:tplc="240A0003" w:tentative="1">
      <w:start w:val="1"/>
      <w:numFmt w:val="bullet"/>
      <w:lvlText w:val="o"/>
      <w:lvlJc w:val="left"/>
      <w:pPr>
        <w:ind w:left="6465" w:hanging="360"/>
      </w:pPr>
      <w:rPr>
        <w:rFonts w:ascii="Courier New" w:hAnsi="Courier New" w:cs="Courier New" w:hint="default"/>
      </w:rPr>
    </w:lvl>
    <w:lvl w:ilvl="8" w:tplc="240A0005" w:tentative="1">
      <w:start w:val="1"/>
      <w:numFmt w:val="bullet"/>
      <w:lvlText w:val=""/>
      <w:lvlJc w:val="left"/>
      <w:pPr>
        <w:ind w:left="7185" w:hanging="360"/>
      </w:pPr>
      <w:rPr>
        <w:rFonts w:ascii="Wingdings" w:hAnsi="Wingdings" w:hint="default"/>
      </w:rPr>
    </w:lvl>
  </w:abstractNum>
  <w:abstractNum w:abstractNumId="4" w15:restartNumberingAfterBreak="0">
    <w:nsid w:val="0D0663DA"/>
    <w:multiLevelType w:val="hybridMultilevel"/>
    <w:tmpl w:val="821CCD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E3112B6"/>
    <w:multiLevelType w:val="hybridMultilevel"/>
    <w:tmpl w:val="279E646C"/>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6"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 w15:restartNumberingAfterBreak="0">
    <w:nsid w:val="15DE29A3"/>
    <w:multiLevelType w:val="hybridMultilevel"/>
    <w:tmpl w:val="380453F8"/>
    <w:lvl w:ilvl="0" w:tplc="240A0017">
      <w:start w:val="1"/>
      <w:numFmt w:val="lowerLetter"/>
      <w:lvlText w:val="%1)"/>
      <w:lvlJc w:val="left"/>
      <w:pPr>
        <w:ind w:left="2145" w:hanging="360"/>
      </w:pPr>
    </w:lvl>
    <w:lvl w:ilvl="1" w:tplc="240A0019" w:tentative="1">
      <w:start w:val="1"/>
      <w:numFmt w:val="lowerLetter"/>
      <w:lvlText w:val="%2."/>
      <w:lvlJc w:val="left"/>
      <w:pPr>
        <w:ind w:left="2865" w:hanging="360"/>
      </w:pPr>
    </w:lvl>
    <w:lvl w:ilvl="2" w:tplc="240A001B" w:tentative="1">
      <w:start w:val="1"/>
      <w:numFmt w:val="lowerRoman"/>
      <w:lvlText w:val="%3."/>
      <w:lvlJc w:val="right"/>
      <w:pPr>
        <w:ind w:left="3585" w:hanging="180"/>
      </w:pPr>
    </w:lvl>
    <w:lvl w:ilvl="3" w:tplc="240A000F" w:tentative="1">
      <w:start w:val="1"/>
      <w:numFmt w:val="decimal"/>
      <w:lvlText w:val="%4."/>
      <w:lvlJc w:val="left"/>
      <w:pPr>
        <w:ind w:left="4305" w:hanging="360"/>
      </w:pPr>
    </w:lvl>
    <w:lvl w:ilvl="4" w:tplc="240A0019" w:tentative="1">
      <w:start w:val="1"/>
      <w:numFmt w:val="lowerLetter"/>
      <w:lvlText w:val="%5."/>
      <w:lvlJc w:val="left"/>
      <w:pPr>
        <w:ind w:left="5025" w:hanging="360"/>
      </w:pPr>
    </w:lvl>
    <w:lvl w:ilvl="5" w:tplc="240A001B" w:tentative="1">
      <w:start w:val="1"/>
      <w:numFmt w:val="lowerRoman"/>
      <w:lvlText w:val="%6."/>
      <w:lvlJc w:val="right"/>
      <w:pPr>
        <w:ind w:left="5745" w:hanging="180"/>
      </w:pPr>
    </w:lvl>
    <w:lvl w:ilvl="6" w:tplc="240A000F" w:tentative="1">
      <w:start w:val="1"/>
      <w:numFmt w:val="decimal"/>
      <w:lvlText w:val="%7."/>
      <w:lvlJc w:val="left"/>
      <w:pPr>
        <w:ind w:left="6465" w:hanging="360"/>
      </w:pPr>
    </w:lvl>
    <w:lvl w:ilvl="7" w:tplc="240A0019" w:tentative="1">
      <w:start w:val="1"/>
      <w:numFmt w:val="lowerLetter"/>
      <w:lvlText w:val="%8."/>
      <w:lvlJc w:val="left"/>
      <w:pPr>
        <w:ind w:left="7185" w:hanging="360"/>
      </w:pPr>
    </w:lvl>
    <w:lvl w:ilvl="8" w:tplc="240A001B" w:tentative="1">
      <w:start w:val="1"/>
      <w:numFmt w:val="lowerRoman"/>
      <w:lvlText w:val="%9."/>
      <w:lvlJc w:val="right"/>
      <w:pPr>
        <w:ind w:left="7905" w:hanging="180"/>
      </w:pPr>
    </w:lvl>
  </w:abstractNum>
  <w:abstractNum w:abstractNumId="8" w15:restartNumberingAfterBreak="0">
    <w:nsid w:val="1C603747"/>
    <w:multiLevelType w:val="hybridMultilevel"/>
    <w:tmpl w:val="0BB0B7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214EB2"/>
    <w:multiLevelType w:val="hybridMultilevel"/>
    <w:tmpl w:val="723870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F910BB3"/>
    <w:multiLevelType w:val="hybridMultilevel"/>
    <w:tmpl w:val="0F0A45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C52684"/>
    <w:multiLevelType w:val="hybridMultilevel"/>
    <w:tmpl w:val="744868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AA3156C"/>
    <w:multiLevelType w:val="hybridMultilevel"/>
    <w:tmpl w:val="08E487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097475E"/>
    <w:multiLevelType w:val="hybridMultilevel"/>
    <w:tmpl w:val="B1EE660E"/>
    <w:lvl w:ilvl="0" w:tplc="1644A092">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29643A1"/>
    <w:multiLevelType w:val="hybridMultilevel"/>
    <w:tmpl w:val="B64E41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096438708">
    <w:abstractNumId w:val="14"/>
  </w:num>
  <w:num w:numId="2" w16cid:durableId="701782949">
    <w:abstractNumId w:val="2"/>
  </w:num>
  <w:num w:numId="3" w16cid:durableId="940453497">
    <w:abstractNumId w:val="12"/>
  </w:num>
  <w:num w:numId="4" w16cid:durableId="1509495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9032933">
    <w:abstractNumId w:val="2"/>
  </w:num>
  <w:num w:numId="6" w16cid:durableId="1549799124">
    <w:abstractNumId w:val="23"/>
  </w:num>
  <w:num w:numId="7" w16cid:durableId="1313020297">
    <w:abstractNumId w:val="13"/>
  </w:num>
  <w:num w:numId="8" w16cid:durableId="861629903">
    <w:abstractNumId w:val="22"/>
  </w:num>
  <w:num w:numId="9" w16cid:durableId="539637189">
    <w:abstractNumId w:val="15"/>
  </w:num>
  <w:num w:numId="10" w16cid:durableId="1497646969">
    <w:abstractNumId w:val="21"/>
  </w:num>
  <w:num w:numId="11" w16cid:durableId="1580599449">
    <w:abstractNumId w:val="16"/>
  </w:num>
  <w:num w:numId="12" w16cid:durableId="524909145">
    <w:abstractNumId w:val="1"/>
  </w:num>
  <w:num w:numId="13" w16cid:durableId="189270173">
    <w:abstractNumId w:val="9"/>
  </w:num>
  <w:num w:numId="14" w16cid:durableId="1276643142">
    <w:abstractNumId w:val="24"/>
  </w:num>
  <w:num w:numId="15" w16cid:durableId="1701318709">
    <w:abstractNumId w:val="20"/>
  </w:num>
  <w:num w:numId="16" w16cid:durableId="103331295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1670339">
    <w:abstractNumId w:val="6"/>
  </w:num>
  <w:num w:numId="18" w16cid:durableId="2079207702">
    <w:abstractNumId w:val="25"/>
  </w:num>
  <w:num w:numId="19" w16cid:durableId="1753819687">
    <w:abstractNumId w:val="10"/>
  </w:num>
  <w:num w:numId="20" w16cid:durableId="577249486">
    <w:abstractNumId w:val="8"/>
  </w:num>
  <w:num w:numId="21" w16cid:durableId="313026957">
    <w:abstractNumId w:val="19"/>
  </w:num>
  <w:num w:numId="22" w16cid:durableId="661203135">
    <w:abstractNumId w:val="17"/>
  </w:num>
  <w:num w:numId="23" w16cid:durableId="756749082">
    <w:abstractNumId w:val="4"/>
  </w:num>
  <w:num w:numId="24" w16cid:durableId="959993459">
    <w:abstractNumId w:val="11"/>
  </w:num>
  <w:num w:numId="25" w16cid:durableId="1005324365">
    <w:abstractNumId w:val="3"/>
  </w:num>
  <w:num w:numId="26" w16cid:durableId="543101220">
    <w:abstractNumId w:val="7"/>
  </w:num>
  <w:num w:numId="27" w16cid:durableId="2018773175">
    <w:abstractNumId w:val="18"/>
  </w:num>
  <w:num w:numId="28" w16cid:durableId="15336863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49E1"/>
    <w:rsid w:val="00033B5B"/>
    <w:rsid w:val="00061B2A"/>
    <w:rsid w:val="00082362"/>
    <w:rsid w:val="00090298"/>
    <w:rsid w:val="000A683E"/>
    <w:rsid w:val="000B19B9"/>
    <w:rsid w:val="000B4E4B"/>
    <w:rsid w:val="000D0334"/>
    <w:rsid w:val="000D18AE"/>
    <w:rsid w:val="000D639E"/>
    <w:rsid w:val="000D7EB3"/>
    <w:rsid w:val="000F6486"/>
    <w:rsid w:val="000F6E91"/>
    <w:rsid w:val="001004E7"/>
    <w:rsid w:val="00125105"/>
    <w:rsid w:val="00127233"/>
    <w:rsid w:val="00135052"/>
    <w:rsid w:val="00150420"/>
    <w:rsid w:val="001A63E9"/>
    <w:rsid w:val="001B65AF"/>
    <w:rsid w:val="001C5C59"/>
    <w:rsid w:val="001E4177"/>
    <w:rsid w:val="001F7DC6"/>
    <w:rsid w:val="00217629"/>
    <w:rsid w:val="00220FBE"/>
    <w:rsid w:val="002421BB"/>
    <w:rsid w:val="0025796E"/>
    <w:rsid w:val="002670DF"/>
    <w:rsid w:val="002707A2"/>
    <w:rsid w:val="00276FFC"/>
    <w:rsid w:val="002951A0"/>
    <w:rsid w:val="002962BC"/>
    <w:rsid w:val="002A093D"/>
    <w:rsid w:val="002A0DD0"/>
    <w:rsid w:val="002A49AC"/>
    <w:rsid w:val="002A64FD"/>
    <w:rsid w:val="002C7A84"/>
    <w:rsid w:val="002D38CB"/>
    <w:rsid w:val="002D61A0"/>
    <w:rsid w:val="002E4FD9"/>
    <w:rsid w:val="002F79FC"/>
    <w:rsid w:val="00312B55"/>
    <w:rsid w:val="0031535C"/>
    <w:rsid w:val="00322A85"/>
    <w:rsid w:val="00324168"/>
    <w:rsid w:val="003448F4"/>
    <w:rsid w:val="003541A4"/>
    <w:rsid w:val="00374F5E"/>
    <w:rsid w:val="00377C58"/>
    <w:rsid w:val="00377E3E"/>
    <w:rsid w:val="00383F4D"/>
    <w:rsid w:val="003A26D1"/>
    <w:rsid w:val="003A779E"/>
    <w:rsid w:val="003A7836"/>
    <w:rsid w:val="003C5E8B"/>
    <w:rsid w:val="003D0F4D"/>
    <w:rsid w:val="003D4374"/>
    <w:rsid w:val="003D5B0D"/>
    <w:rsid w:val="003E0499"/>
    <w:rsid w:val="003F3941"/>
    <w:rsid w:val="003F3DAE"/>
    <w:rsid w:val="00405D9E"/>
    <w:rsid w:val="00406575"/>
    <w:rsid w:val="0042722E"/>
    <w:rsid w:val="0043737D"/>
    <w:rsid w:val="0044528D"/>
    <w:rsid w:val="00473BAE"/>
    <w:rsid w:val="004A1847"/>
    <w:rsid w:val="004A305D"/>
    <w:rsid w:val="004F21C4"/>
    <w:rsid w:val="004F685F"/>
    <w:rsid w:val="00513E22"/>
    <w:rsid w:val="005201EA"/>
    <w:rsid w:val="00526738"/>
    <w:rsid w:val="005566E8"/>
    <w:rsid w:val="00574867"/>
    <w:rsid w:val="00586819"/>
    <w:rsid w:val="00591460"/>
    <w:rsid w:val="00592628"/>
    <w:rsid w:val="005B20E6"/>
    <w:rsid w:val="005C3777"/>
    <w:rsid w:val="005C5CDC"/>
    <w:rsid w:val="005D476C"/>
    <w:rsid w:val="005D544A"/>
    <w:rsid w:val="00603290"/>
    <w:rsid w:val="00610812"/>
    <w:rsid w:val="006219F8"/>
    <w:rsid w:val="006448CD"/>
    <w:rsid w:val="00650FF7"/>
    <w:rsid w:val="00657AA8"/>
    <w:rsid w:val="00665D70"/>
    <w:rsid w:val="00671DAC"/>
    <w:rsid w:val="00686DAF"/>
    <w:rsid w:val="006900D9"/>
    <w:rsid w:val="006A0A49"/>
    <w:rsid w:val="006A5B46"/>
    <w:rsid w:val="006D12F8"/>
    <w:rsid w:val="006F41AC"/>
    <w:rsid w:val="00706C16"/>
    <w:rsid w:val="0075368F"/>
    <w:rsid w:val="00756841"/>
    <w:rsid w:val="007649AB"/>
    <w:rsid w:val="00771D0C"/>
    <w:rsid w:val="007833AC"/>
    <w:rsid w:val="007956C4"/>
    <w:rsid w:val="007B268C"/>
    <w:rsid w:val="007B7171"/>
    <w:rsid w:val="007C08AD"/>
    <w:rsid w:val="007C0C0F"/>
    <w:rsid w:val="007C3DC2"/>
    <w:rsid w:val="007C5EAC"/>
    <w:rsid w:val="007D751F"/>
    <w:rsid w:val="007E5497"/>
    <w:rsid w:val="007F2C5B"/>
    <w:rsid w:val="007F3140"/>
    <w:rsid w:val="00806F5F"/>
    <w:rsid w:val="00820278"/>
    <w:rsid w:val="00881BD9"/>
    <w:rsid w:val="008843B6"/>
    <w:rsid w:val="00890AA3"/>
    <w:rsid w:val="00891928"/>
    <w:rsid w:val="00893852"/>
    <w:rsid w:val="008A446D"/>
    <w:rsid w:val="008D180B"/>
    <w:rsid w:val="008F0EA7"/>
    <w:rsid w:val="00923EEF"/>
    <w:rsid w:val="00935383"/>
    <w:rsid w:val="009419F9"/>
    <w:rsid w:val="0095685E"/>
    <w:rsid w:val="00961B09"/>
    <w:rsid w:val="00962EFE"/>
    <w:rsid w:val="00965334"/>
    <w:rsid w:val="0097093E"/>
    <w:rsid w:val="009A0DFA"/>
    <w:rsid w:val="009B2D26"/>
    <w:rsid w:val="009C27A9"/>
    <w:rsid w:val="009C71FA"/>
    <w:rsid w:val="009C72E7"/>
    <w:rsid w:val="009D3058"/>
    <w:rsid w:val="009D7037"/>
    <w:rsid w:val="009F3A13"/>
    <w:rsid w:val="00A058E4"/>
    <w:rsid w:val="00A122D3"/>
    <w:rsid w:val="00A17F13"/>
    <w:rsid w:val="00A20739"/>
    <w:rsid w:val="00A25801"/>
    <w:rsid w:val="00A33C78"/>
    <w:rsid w:val="00A62207"/>
    <w:rsid w:val="00A70DAA"/>
    <w:rsid w:val="00AB0ADB"/>
    <w:rsid w:val="00AD1836"/>
    <w:rsid w:val="00AE22E2"/>
    <w:rsid w:val="00B01B1A"/>
    <w:rsid w:val="00B72CD3"/>
    <w:rsid w:val="00B72FFF"/>
    <w:rsid w:val="00BA03CF"/>
    <w:rsid w:val="00BB0035"/>
    <w:rsid w:val="00BC3D36"/>
    <w:rsid w:val="00BC44B2"/>
    <w:rsid w:val="00BD7F72"/>
    <w:rsid w:val="00BE4D61"/>
    <w:rsid w:val="00BF3074"/>
    <w:rsid w:val="00C04FB3"/>
    <w:rsid w:val="00C330EB"/>
    <w:rsid w:val="00C376DE"/>
    <w:rsid w:val="00C544F7"/>
    <w:rsid w:val="00C5560E"/>
    <w:rsid w:val="00C7067D"/>
    <w:rsid w:val="00C754BE"/>
    <w:rsid w:val="00C76B1C"/>
    <w:rsid w:val="00C942FE"/>
    <w:rsid w:val="00C973D4"/>
    <w:rsid w:val="00CB6357"/>
    <w:rsid w:val="00CC1B26"/>
    <w:rsid w:val="00D01C41"/>
    <w:rsid w:val="00D2527F"/>
    <w:rsid w:val="00D423A2"/>
    <w:rsid w:val="00D520D8"/>
    <w:rsid w:val="00D63AC2"/>
    <w:rsid w:val="00D7383B"/>
    <w:rsid w:val="00DA231B"/>
    <w:rsid w:val="00DA23A0"/>
    <w:rsid w:val="00DC39FC"/>
    <w:rsid w:val="00DC77A4"/>
    <w:rsid w:val="00DF0C19"/>
    <w:rsid w:val="00DF5254"/>
    <w:rsid w:val="00E16408"/>
    <w:rsid w:val="00E20894"/>
    <w:rsid w:val="00E245AB"/>
    <w:rsid w:val="00E2764C"/>
    <w:rsid w:val="00E27F2E"/>
    <w:rsid w:val="00E413EA"/>
    <w:rsid w:val="00E50AFE"/>
    <w:rsid w:val="00E62E4B"/>
    <w:rsid w:val="00E75C92"/>
    <w:rsid w:val="00E771DC"/>
    <w:rsid w:val="00E8772A"/>
    <w:rsid w:val="00E90F6B"/>
    <w:rsid w:val="00E92C27"/>
    <w:rsid w:val="00EA0E3D"/>
    <w:rsid w:val="00EB3CE4"/>
    <w:rsid w:val="00EC38A7"/>
    <w:rsid w:val="00ED310C"/>
    <w:rsid w:val="00EE1AA8"/>
    <w:rsid w:val="00F31EDC"/>
    <w:rsid w:val="00F3462F"/>
    <w:rsid w:val="00F43152"/>
    <w:rsid w:val="00F462B3"/>
    <w:rsid w:val="00F5664F"/>
    <w:rsid w:val="00F661EB"/>
    <w:rsid w:val="00F666C4"/>
    <w:rsid w:val="00F67133"/>
    <w:rsid w:val="00F76AFC"/>
    <w:rsid w:val="00F86AD5"/>
    <w:rsid w:val="00FA0886"/>
    <w:rsid w:val="00FA47C0"/>
    <w:rsid w:val="00FB5DD1"/>
    <w:rsid w:val="00FC2B5D"/>
    <w:rsid w:val="00FE71D5"/>
    <w:rsid w:val="00FF1449"/>
    <w:rsid w:val="00FF786B"/>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33B5B"/>
    <w:rPr>
      <w:rFonts w:ascii="Geomanist Light" w:hAnsi="Geomanist Light"/>
      <w:lang w:val="es-ES"/>
    </w:rPr>
  </w:style>
  <w:style w:type="paragraph" w:customStyle="1" w:styleId="Appelnotedebasde">
    <w:name w:val="Appel note de bas de..."/>
    <w:basedOn w:val="Normal"/>
    <w:link w:val="Refdenotaalpie"/>
    <w:uiPriority w:val="99"/>
    <w:rsid w:val="00033B5B"/>
    <w:pPr>
      <w:spacing w:line="240" w:lineRule="exact"/>
    </w:pPr>
    <w:rPr>
      <w:vertAlign w:val="superscript"/>
    </w:rPr>
  </w:style>
  <w:style w:type="paragraph" w:styleId="Textoindependiente">
    <w:name w:val="Body Text"/>
    <w:basedOn w:val="Normal"/>
    <w:link w:val="TextoindependienteCar"/>
    <w:uiPriority w:val="1"/>
    <w:qFormat/>
    <w:rsid w:val="006F41AC"/>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6F41AC"/>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488974">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4685609">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67937473">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99452937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codigo-civil-ley-84-de-1873/" TargetMode="External"/><Relationship Id="rId18" Type="http://schemas.openxmlformats.org/officeDocument/2006/relationships/hyperlink" Target="https://www.colombiacompra.gov.co/sala-de-prensa/boletin-digita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relatoria.colombiacompra.gov.co/normativa/codigo-de-comercio-decreto-410-de-1971/" TargetMode="External"/><Relationship Id="rId17" Type="http://schemas.openxmlformats.org/officeDocument/2006/relationships/hyperlink" Target="https://www.colombiacompra.gov.co/sala-de-prensa/boletin-digital" TargetMode="External"/><Relationship Id="rId2" Type="http://schemas.openxmlformats.org/officeDocument/2006/relationships/customXml" Target="../customXml/item2.xml"/><Relationship Id="rId16" Type="http://schemas.openxmlformats.org/officeDocument/2006/relationships/hyperlink" Target="https://relatoria.colombiacompra.gov.co/providencias/73001-23-31-000-1999-03028-01_3161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orteconstitucional.gov.co/relatoria/2001/C-949-01.ht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2160-de-2021/"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Gustavo Hinestroza Martinez</DisplayName>
        <AccountId>7801</AccountId>
        <AccountType/>
      </UserInfo>
      <UserInfo>
        <DisplayName>Cielo Victoria Gonzalez Meza</DisplayName>
        <AccountId>7679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699592BA-D281-474E-97F2-44745BDE6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8F4E2D3-8261-4768-85B1-D238BA4CD2BF}">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16</Pages>
  <Words>4912</Words>
  <Characters>27022</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90</cp:revision>
  <cp:lastPrinted>2023-01-10T21:18:00Z</cp:lastPrinted>
  <dcterms:created xsi:type="dcterms:W3CDTF">2024-07-02T13:39:00Z</dcterms:created>
  <dcterms:modified xsi:type="dcterms:W3CDTF">2024-08-01T23:12:00Z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