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7B78E6"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B78E6">
        <w:rPr>
          <w:rFonts w:ascii="Arial" w:hAnsi="Arial" w:cs="Arial"/>
          <w:bCs/>
          <w:color w:val="000000" w:themeColor="text1"/>
          <w:sz w:val="16"/>
          <w:szCs w:val="16"/>
          <w:lang w:val="es-ES_tradnl" w:eastAsia="es-ES"/>
        </w:rPr>
        <w:t>CCE-DES-FM-17</w:t>
      </w:r>
      <w:bookmarkEnd w:id="0"/>
      <w:bookmarkEnd w:id="1"/>
    </w:p>
    <w:p w14:paraId="55FBD910" w14:textId="77777777" w:rsidR="008536BB" w:rsidRPr="007B78E6" w:rsidRDefault="008536BB" w:rsidP="00B95C30">
      <w:pPr>
        <w:spacing w:line="276" w:lineRule="auto"/>
        <w:jc w:val="both"/>
        <w:rPr>
          <w:rFonts w:ascii="Arial" w:hAnsi="Arial" w:cs="Arial"/>
          <w:noProof/>
          <w:color w:val="000000" w:themeColor="text1"/>
          <w:sz w:val="22"/>
          <w:lang w:val="es-ES_tradnl"/>
        </w:rPr>
      </w:pPr>
    </w:p>
    <w:p w14:paraId="6A654097" w14:textId="523CAACE" w:rsidR="00C978D4" w:rsidRPr="007B78E6" w:rsidRDefault="00272945" w:rsidP="00C978D4">
      <w:pPr>
        <w:jc w:val="both"/>
        <w:rPr>
          <w:rFonts w:ascii="Arial" w:eastAsia="Calibri" w:hAnsi="Arial" w:cs="Arial"/>
          <w:b/>
          <w:sz w:val="22"/>
          <w:lang w:val="es-ES_tradnl"/>
        </w:rPr>
      </w:pPr>
      <w:r w:rsidRPr="007B78E6">
        <w:rPr>
          <w:rFonts w:ascii="Arial" w:eastAsia="Calibri" w:hAnsi="Arial" w:cs="Arial"/>
          <w:b/>
          <w:sz w:val="22"/>
          <w:lang w:val="es-ES_tradnl"/>
        </w:rPr>
        <w:t>SELECCIÓN OBJETIVA</w:t>
      </w:r>
      <w:r w:rsidR="00C978D4" w:rsidRPr="007B78E6">
        <w:rPr>
          <w:rFonts w:ascii="Arial" w:eastAsia="Calibri" w:hAnsi="Arial" w:cs="Arial"/>
          <w:b/>
          <w:sz w:val="22"/>
          <w:lang w:val="es-ES_tradnl"/>
        </w:rPr>
        <w:t xml:space="preserve"> </w:t>
      </w:r>
      <w:r w:rsidR="00C978D4" w:rsidRPr="007B78E6">
        <w:rPr>
          <w:rFonts w:ascii="Arial" w:eastAsia="Calibri" w:hAnsi="Arial" w:cs="Arial"/>
          <w:b/>
          <w:color w:val="000000" w:themeColor="text1"/>
          <w:sz w:val="22"/>
          <w:lang w:val="es-ES_tradnl"/>
        </w:rPr>
        <w:t>–</w:t>
      </w:r>
      <w:r w:rsidR="00C978D4" w:rsidRPr="007B78E6">
        <w:rPr>
          <w:rFonts w:ascii="Arial" w:eastAsia="Calibri" w:hAnsi="Arial" w:cs="Arial"/>
          <w:b/>
          <w:sz w:val="22"/>
          <w:lang w:val="es-ES_tradnl"/>
        </w:rPr>
        <w:t xml:space="preserve"> </w:t>
      </w:r>
      <w:r w:rsidR="00003D39" w:rsidRPr="007B78E6">
        <w:rPr>
          <w:rFonts w:ascii="Arial" w:eastAsia="Calibri" w:hAnsi="Arial" w:cs="Arial"/>
          <w:b/>
          <w:sz w:val="22"/>
          <w:lang w:val="es-ES_tradnl"/>
        </w:rPr>
        <w:t>Contratación estatal</w:t>
      </w:r>
      <w:r w:rsidR="00616D7F" w:rsidRPr="007B78E6">
        <w:rPr>
          <w:rFonts w:ascii="Arial" w:eastAsia="Calibri" w:hAnsi="Arial" w:cs="Arial"/>
          <w:b/>
          <w:sz w:val="22"/>
          <w:lang w:val="es-ES_tradnl"/>
        </w:rPr>
        <w:t xml:space="preserve"> </w:t>
      </w:r>
      <w:r w:rsidR="00C978D4" w:rsidRPr="007B78E6">
        <w:rPr>
          <w:rFonts w:ascii="Arial" w:eastAsia="Calibri" w:hAnsi="Arial" w:cs="Arial"/>
          <w:b/>
          <w:color w:val="000000" w:themeColor="text1"/>
          <w:sz w:val="22"/>
          <w:lang w:val="es-ES_tradnl"/>
        </w:rPr>
        <w:t xml:space="preserve">– </w:t>
      </w:r>
      <w:r w:rsidRPr="007B78E6">
        <w:rPr>
          <w:rFonts w:ascii="Arial" w:eastAsia="Calibri" w:hAnsi="Arial" w:cs="Arial"/>
          <w:b/>
          <w:color w:val="000000" w:themeColor="text1"/>
          <w:sz w:val="22"/>
          <w:lang w:val="es-ES_tradnl"/>
        </w:rPr>
        <w:t>Concepto</w:t>
      </w:r>
    </w:p>
    <w:p w14:paraId="4AAB8DDD" w14:textId="537B898C" w:rsidR="00C978D4" w:rsidRPr="007B78E6" w:rsidRDefault="00C978D4" w:rsidP="0099531F">
      <w:pPr>
        <w:jc w:val="both"/>
        <w:rPr>
          <w:rFonts w:ascii="Arial" w:eastAsia="Calibri" w:hAnsi="Arial" w:cs="Arial"/>
          <w:b/>
          <w:sz w:val="22"/>
          <w:lang w:val="es-ES_tradnl"/>
        </w:rPr>
      </w:pPr>
    </w:p>
    <w:p w14:paraId="51D76961" w14:textId="77777777" w:rsidR="0098709E" w:rsidRPr="007B78E6" w:rsidRDefault="0098709E" w:rsidP="0098709E">
      <w:pPr>
        <w:jc w:val="both"/>
        <w:rPr>
          <w:rFonts w:ascii="Arial" w:eastAsia="Calibri" w:hAnsi="Arial" w:cs="Arial"/>
          <w:sz w:val="20"/>
          <w:szCs w:val="20"/>
          <w:lang w:val="es-ES_tradnl"/>
        </w:rPr>
      </w:pPr>
      <w:r w:rsidRPr="007B78E6">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7B78E6">
        <w:rPr>
          <w:rFonts w:ascii="Arial" w:eastAsia="Calibri" w:hAnsi="Arial" w:cs="Arial"/>
          <w:sz w:val="20"/>
          <w:szCs w:val="20"/>
          <w:lang w:val="es-ES_tradnl"/>
        </w:rPr>
        <w:t>equivalentes,</w:t>
      </w:r>
      <w:proofErr w:type="gramEnd"/>
      <w:r w:rsidRPr="007B78E6">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33E10CCB" w14:textId="73477A66" w:rsidR="00636F88" w:rsidRPr="007B78E6" w:rsidRDefault="00636F88" w:rsidP="0099531F">
      <w:pPr>
        <w:jc w:val="both"/>
        <w:rPr>
          <w:rFonts w:ascii="Arial" w:eastAsia="Calibri" w:hAnsi="Arial" w:cs="Arial"/>
          <w:b/>
          <w:sz w:val="22"/>
          <w:lang w:val="es-ES_tradnl"/>
        </w:rPr>
      </w:pPr>
    </w:p>
    <w:p w14:paraId="73365DCF" w14:textId="63E2A713" w:rsidR="00272945" w:rsidRPr="007B78E6" w:rsidRDefault="00B54215" w:rsidP="00272945">
      <w:pPr>
        <w:jc w:val="both"/>
        <w:rPr>
          <w:rFonts w:ascii="Arial" w:eastAsia="Calibri" w:hAnsi="Arial" w:cs="Arial"/>
          <w:b/>
          <w:sz w:val="22"/>
          <w:lang w:val="es-ES_tradnl"/>
        </w:rPr>
      </w:pPr>
      <w:r w:rsidRPr="007B78E6">
        <w:rPr>
          <w:rFonts w:ascii="Arial" w:eastAsia="Calibri" w:hAnsi="Arial" w:cs="Arial"/>
          <w:b/>
          <w:sz w:val="22"/>
          <w:lang w:val="es-ES_tradnl"/>
        </w:rPr>
        <w:t>EMPATE</w:t>
      </w:r>
      <w:r w:rsidR="00272945" w:rsidRPr="007B78E6">
        <w:rPr>
          <w:rFonts w:ascii="Arial" w:eastAsia="Calibri" w:hAnsi="Arial" w:cs="Arial"/>
          <w:b/>
          <w:sz w:val="22"/>
          <w:lang w:val="es-ES_tradnl"/>
        </w:rPr>
        <w:t xml:space="preserve"> </w:t>
      </w:r>
      <w:r w:rsidR="00272945" w:rsidRPr="007B78E6">
        <w:rPr>
          <w:rFonts w:ascii="Arial" w:eastAsia="Calibri" w:hAnsi="Arial" w:cs="Arial"/>
          <w:b/>
          <w:color w:val="000000" w:themeColor="text1"/>
          <w:sz w:val="22"/>
          <w:lang w:val="es-ES_tradnl"/>
        </w:rPr>
        <w:t>–</w:t>
      </w:r>
      <w:r w:rsidR="00272945" w:rsidRPr="007B78E6">
        <w:rPr>
          <w:rFonts w:ascii="Arial" w:eastAsia="Calibri" w:hAnsi="Arial" w:cs="Arial"/>
          <w:b/>
          <w:sz w:val="22"/>
          <w:lang w:val="es-ES_tradnl"/>
        </w:rPr>
        <w:t xml:space="preserve"> </w:t>
      </w:r>
      <w:r w:rsidRPr="007B78E6">
        <w:rPr>
          <w:rFonts w:ascii="Arial" w:eastAsia="Calibri" w:hAnsi="Arial" w:cs="Arial"/>
          <w:b/>
          <w:sz w:val="22"/>
          <w:lang w:val="es-ES_tradnl"/>
        </w:rPr>
        <w:t>Procedimiento de selección</w:t>
      </w:r>
      <w:r w:rsidR="00272945" w:rsidRPr="007B78E6">
        <w:rPr>
          <w:rFonts w:ascii="Arial" w:eastAsia="Calibri" w:hAnsi="Arial" w:cs="Arial"/>
          <w:b/>
          <w:sz w:val="22"/>
          <w:lang w:val="es-ES_tradnl"/>
        </w:rPr>
        <w:t xml:space="preserve"> </w:t>
      </w:r>
      <w:r w:rsidR="00272945" w:rsidRPr="007B78E6">
        <w:rPr>
          <w:rFonts w:ascii="Arial" w:eastAsia="Calibri" w:hAnsi="Arial" w:cs="Arial"/>
          <w:b/>
          <w:color w:val="000000" w:themeColor="text1"/>
          <w:sz w:val="22"/>
          <w:lang w:val="es-ES_tradnl"/>
        </w:rPr>
        <w:t>– Concepto</w:t>
      </w:r>
    </w:p>
    <w:p w14:paraId="182F8CB9" w14:textId="246E5B50" w:rsidR="00272945" w:rsidRPr="007B78E6" w:rsidRDefault="00272945" w:rsidP="0099531F">
      <w:pPr>
        <w:jc w:val="both"/>
        <w:rPr>
          <w:rFonts w:ascii="Arial" w:eastAsia="Calibri" w:hAnsi="Arial" w:cs="Arial"/>
          <w:b/>
          <w:sz w:val="22"/>
          <w:lang w:val="es-ES_tradnl"/>
        </w:rPr>
      </w:pPr>
    </w:p>
    <w:p w14:paraId="3AD8423B" w14:textId="77777777" w:rsidR="007342BB" w:rsidRPr="007B78E6" w:rsidRDefault="007342BB" w:rsidP="007342BB">
      <w:pPr>
        <w:jc w:val="both"/>
        <w:rPr>
          <w:rFonts w:ascii="Arial" w:hAnsi="Arial" w:cs="Arial"/>
          <w:noProof/>
          <w:color w:val="000000" w:themeColor="text1"/>
          <w:sz w:val="22"/>
          <w:lang w:val="es-ES_tradnl"/>
        </w:rPr>
      </w:pPr>
      <w:r w:rsidRPr="007B78E6">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9DD8E0A" w14:textId="5F79A1BF" w:rsidR="006F71F5" w:rsidRPr="007B78E6" w:rsidRDefault="006F71F5" w:rsidP="00B95C30">
      <w:pPr>
        <w:spacing w:line="276" w:lineRule="auto"/>
        <w:jc w:val="both"/>
        <w:rPr>
          <w:rFonts w:ascii="Arial" w:hAnsi="Arial" w:cs="Arial"/>
          <w:noProof/>
          <w:color w:val="000000" w:themeColor="text1"/>
          <w:sz w:val="22"/>
          <w:lang w:val="es-ES_tradnl"/>
        </w:rPr>
      </w:pPr>
    </w:p>
    <w:p w14:paraId="04086EC5" w14:textId="04F7FF6D" w:rsidR="00DF71EA" w:rsidRPr="007B78E6" w:rsidRDefault="00D73881" w:rsidP="00DF71EA">
      <w:pPr>
        <w:jc w:val="both"/>
        <w:rPr>
          <w:rFonts w:ascii="Arial" w:eastAsia="Calibri" w:hAnsi="Arial" w:cs="Arial"/>
          <w:b/>
          <w:sz w:val="22"/>
          <w:lang w:val="es-ES_tradnl"/>
        </w:rPr>
      </w:pPr>
      <w:r w:rsidRPr="007B78E6">
        <w:rPr>
          <w:rFonts w:ascii="Arial" w:eastAsia="Calibri" w:hAnsi="Arial" w:cs="Arial"/>
          <w:b/>
          <w:sz w:val="22"/>
          <w:lang w:val="es-ES_tradnl"/>
        </w:rPr>
        <w:t>FACTORES DE DESEMPATE</w:t>
      </w:r>
      <w:r w:rsidR="00DF71EA" w:rsidRPr="007B78E6">
        <w:rPr>
          <w:rFonts w:ascii="Arial" w:eastAsia="Calibri" w:hAnsi="Arial" w:cs="Arial"/>
          <w:b/>
          <w:sz w:val="22"/>
          <w:lang w:val="es-ES_tradnl"/>
        </w:rPr>
        <w:t xml:space="preserve"> </w:t>
      </w:r>
      <w:r w:rsidR="00DF71EA" w:rsidRPr="007B78E6">
        <w:rPr>
          <w:rFonts w:ascii="Arial" w:eastAsia="Calibri" w:hAnsi="Arial" w:cs="Arial"/>
          <w:b/>
          <w:color w:val="000000" w:themeColor="text1"/>
          <w:sz w:val="22"/>
          <w:lang w:val="es-ES_tradnl"/>
        </w:rPr>
        <w:t>–</w:t>
      </w:r>
      <w:r w:rsidR="00DF71EA" w:rsidRPr="007B78E6">
        <w:rPr>
          <w:rFonts w:ascii="Arial" w:eastAsia="Calibri" w:hAnsi="Arial" w:cs="Arial"/>
          <w:b/>
          <w:sz w:val="22"/>
          <w:lang w:val="es-ES_tradnl"/>
        </w:rPr>
        <w:t xml:space="preserve"> </w:t>
      </w:r>
      <w:r w:rsidRPr="007B78E6">
        <w:rPr>
          <w:rFonts w:ascii="Arial" w:eastAsia="Calibri" w:hAnsi="Arial" w:cs="Arial"/>
          <w:b/>
          <w:sz w:val="22"/>
          <w:lang w:val="es-ES_tradnl"/>
        </w:rPr>
        <w:t>Características</w:t>
      </w:r>
      <w:r w:rsidR="00DF71EA" w:rsidRPr="007B78E6">
        <w:rPr>
          <w:rFonts w:ascii="Arial" w:eastAsia="Calibri" w:hAnsi="Arial" w:cs="Arial"/>
          <w:b/>
          <w:sz w:val="22"/>
          <w:lang w:val="es-ES_tradnl"/>
        </w:rPr>
        <w:t xml:space="preserve"> </w:t>
      </w:r>
      <w:r w:rsidR="00DF71EA" w:rsidRPr="007B78E6">
        <w:rPr>
          <w:rFonts w:ascii="Arial" w:eastAsia="Calibri" w:hAnsi="Arial" w:cs="Arial"/>
          <w:b/>
          <w:color w:val="000000" w:themeColor="text1"/>
          <w:sz w:val="22"/>
          <w:lang w:val="es-ES_tradnl"/>
        </w:rPr>
        <w:t xml:space="preserve">– </w:t>
      </w:r>
      <w:r w:rsidRPr="007B78E6">
        <w:rPr>
          <w:rFonts w:ascii="Arial" w:eastAsia="Calibri" w:hAnsi="Arial" w:cs="Arial"/>
          <w:b/>
          <w:color w:val="000000" w:themeColor="text1"/>
          <w:sz w:val="22"/>
          <w:lang w:val="es-ES_tradnl"/>
        </w:rPr>
        <w:t>Límites</w:t>
      </w:r>
    </w:p>
    <w:p w14:paraId="583F00A4" w14:textId="390EB1EB" w:rsidR="00DF71EA" w:rsidRPr="007B78E6" w:rsidRDefault="00DF71EA" w:rsidP="00B95C30">
      <w:pPr>
        <w:spacing w:line="276" w:lineRule="auto"/>
        <w:jc w:val="both"/>
        <w:rPr>
          <w:rFonts w:ascii="Arial" w:hAnsi="Arial" w:cs="Arial"/>
          <w:noProof/>
          <w:color w:val="000000" w:themeColor="text1"/>
          <w:sz w:val="22"/>
          <w:lang w:val="es-ES_tradnl"/>
        </w:rPr>
      </w:pPr>
    </w:p>
    <w:p w14:paraId="3C240600" w14:textId="77777777" w:rsidR="0026051E" w:rsidRPr="007B78E6" w:rsidRDefault="0026051E" w:rsidP="0026051E">
      <w:pPr>
        <w:jc w:val="both"/>
        <w:rPr>
          <w:rFonts w:ascii="Arial" w:eastAsia="Calibri" w:hAnsi="Arial" w:cs="Arial"/>
          <w:sz w:val="20"/>
          <w:szCs w:val="20"/>
          <w:lang w:val="es-ES_tradnl"/>
        </w:rPr>
      </w:pPr>
      <w:r w:rsidRPr="007B78E6">
        <w:rPr>
          <w:rFonts w:ascii="Arial" w:eastAsia="Calibri" w:hAnsi="Arial" w:cs="Arial"/>
          <w:sz w:val="20"/>
          <w:szCs w:val="20"/>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2069 de 2020. La jurisprudencia comparte la idea de que los criterios de desempate deben estar establecidos de antemano y constituyen un límite a la discrecionalidad administrativa en los procedimientos de selección.</w:t>
      </w:r>
    </w:p>
    <w:p w14:paraId="4D06F5C8" w14:textId="77777777" w:rsidR="0026051E" w:rsidRPr="007B78E6" w:rsidRDefault="0026051E" w:rsidP="0026051E">
      <w:pPr>
        <w:jc w:val="both"/>
        <w:rPr>
          <w:rFonts w:ascii="Arial" w:eastAsia="Calibri" w:hAnsi="Arial" w:cs="Arial"/>
          <w:sz w:val="20"/>
          <w:szCs w:val="20"/>
          <w:lang w:val="es-ES_tradnl"/>
        </w:rPr>
      </w:pPr>
    </w:p>
    <w:p w14:paraId="1F0FD3F2" w14:textId="77777777" w:rsidR="0026051E" w:rsidRPr="007B78E6" w:rsidRDefault="0026051E" w:rsidP="0026051E">
      <w:pPr>
        <w:jc w:val="both"/>
        <w:rPr>
          <w:rFonts w:ascii="Arial" w:eastAsia="Calibri" w:hAnsi="Arial" w:cs="Arial"/>
          <w:sz w:val="20"/>
          <w:szCs w:val="20"/>
          <w:lang w:val="es-ES_tradnl"/>
        </w:rPr>
      </w:pPr>
      <w:r w:rsidRPr="007B78E6">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7B78E6">
        <w:rPr>
          <w:rFonts w:ascii="Arial" w:eastAsia="Calibri" w:hAnsi="Arial" w:cs="Arial"/>
          <w:sz w:val="20"/>
          <w:szCs w:val="20"/>
          <w:lang w:val="es-ES_tradnl"/>
        </w:rPr>
        <w:t>inaplicarlos</w:t>
      </w:r>
      <w:proofErr w:type="spellEnd"/>
      <w:r w:rsidRPr="007B78E6">
        <w:rPr>
          <w:rFonts w:ascii="Arial" w:eastAsia="Calibri" w:hAnsi="Arial" w:cs="Arial"/>
          <w:sz w:val="20"/>
          <w:szCs w:val="20"/>
          <w:lang w:val="es-ES_tradnl"/>
        </w:rPr>
        <w:t xml:space="preserve">,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03CC5C7E" w14:textId="460BCC05" w:rsidR="00D73881" w:rsidRPr="007B78E6" w:rsidRDefault="00D73881" w:rsidP="00B95C30">
      <w:pPr>
        <w:spacing w:line="276" w:lineRule="auto"/>
        <w:jc w:val="both"/>
        <w:rPr>
          <w:rFonts w:ascii="Arial" w:hAnsi="Arial" w:cs="Arial"/>
          <w:noProof/>
          <w:color w:val="000000" w:themeColor="text1"/>
          <w:sz w:val="22"/>
          <w:lang w:val="es-ES_tradnl"/>
        </w:rPr>
      </w:pPr>
    </w:p>
    <w:p w14:paraId="197D1E99" w14:textId="77777777" w:rsidR="0026051E" w:rsidRPr="007B78E6" w:rsidRDefault="0026051E" w:rsidP="00D73881">
      <w:pPr>
        <w:jc w:val="both"/>
        <w:rPr>
          <w:rFonts w:ascii="Arial" w:eastAsia="Calibri" w:hAnsi="Arial" w:cs="Arial"/>
          <w:b/>
          <w:sz w:val="22"/>
          <w:lang w:val="es-ES_tradnl"/>
        </w:rPr>
      </w:pPr>
    </w:p>
    <w:p w14:paraId="07AD6094" w14:textId="77777777" w:rsidR="0026051E" w:rsidRPr="007B78E6" w:rsidRDefault="0026051E" w:rsidP="00D73881">
      <w:pPr>
        <w:jc w:val="both"/>
        <w:rPr>
          <w:rFonts w:ascii="Arial" w:eastAsia="Calibri" w:hAnsi="Arial" w:cs="Arial"/>
          <w:b/>
          <w:sz w:val="22"/>
          <w:lang w:val="es-ES_tradnl"/>
        </w:rPr>
      </w:pPr>
    </w:p>
    <w:p w14:paraId="7144E95B" w14:textId="76DD9ABA" w:rsidR="00D73881" w:rsidRPr="007B78E6" w:rsidRDefault="00D73881" w:rsidP="00D73881">
      <w:pPr>
        <w:jc w:val="both"/>
        <w:rPr>
          <w:rFonts w:ascii="Arial" w:eastAsia="Calibri" w:hAnsi="Arial" w:cs="Arial"/>
          <w:b/>
          <w:sz w:val="22"/>
          <w:lang w:val="es-ES_tradnl"/>
        </w:rPr>
      </w:pPr>
      <w:r w:rsidRPr="007B78E6">
        <w:rPr>
          <w:rFonts w:ascii="Arial" w:eastAsia="Calibri" w:hAnsi="Arial" w:cs="Arial"/>
          <w:b/>
          <w:sz w:val="22"/>
          <w:lang w:val="es-ES_tradnl"/>
        </w:rPr>
        <w:lastRenderedPageBreak/>
        <w:t xml:space="preserve">LEY DE EMPRENDIMIENTO </w:t>
      </w:r>
      <w:r w:rsidRPr="007B78E6">
        <w:rPr>
          <w:rFonts w:ascii="Arial" w:eastAsia="Calibri" w:hAnsi="Arial" w:cs="Arial"/>
          <w:b/>
          <w:color w:val="000000" w:themeColor="text1"/>
          <w:sz w:val="22"/>
          <w:lang w:val="es-ES_tradnl"/>
        </w:rPr>
        <w:t>–</w:t>
      </w:r>
      <w:r w:rsidRPr="007B78E6">
        <w:rPr>
          <w:rFonts w:ascii="Arial" w:eastAsia="Calibri" w:hAnsi="Arial" w:cs="Arial"/>
          <w:b/>
          <w:sz w:val="22"/>
          <w:lang w:val="es-ES_tradnl"/>
        </w:rPr>
        <w:t xml:space="preserve"> Ley </w:t>
      </w:r>
      <w:r w:rsidR="006F0F34" w:rsidRPr="007B78E6">
        <w:rPr>
          <w:rFonts w:ascii="Arial" w:eastAsia="Calibri" w:hAnsi="Arial" w:cs="Arial"/>
          <w:b/>
          <w:sz w:val="22"/>
          <w:lang w:val="es-ES_tradnl"/>
        </w:rPr>
        <w:t>2069</w:t>
      </w:r>
      <w:r w:rsidRPr="007B78E6">
        <w:rPr>
          <w:rFonts w:ascii="Arial" w:eastAsia="Calibri" w:hAnsi="Arial" w:cs="Arial"/>
          <w:b/>
          <w:sz w:val="22"/>
          <w:lang w:val="es-ES_tradnl"/>
        </w:rPr>
        <w:t xml:space="preserve"> de 2020 </w:t>
      </w:r>
      <w:r w:rsidRPr="007B78E6">
        <w:rPr>
          <w:rFonts w:ascii="Arial" w:eastAsia="Calibri" w:hAnsi="Arial" w:cs="Arial"/>
          <w:b/>
          <w:color w:val="000000" w:themeColor="text1"/>
          <w:sz w:val="22"/>
          <w:lang w:val="es-ES_tradnl"/>
        </w:rPr>
        <w:t xml:space="preserve">– Vigencia </w:t>
      </w:r>
    </w:p>
    <w:p w14:paraId="0D3B8DEB" w14:textId="33C83BCF" w:rsidR="00D73881" w:rsidRPr="007B78E6" w:rsidRDefault="00D73881" w:rsidP="00D73881">
      <w:pPr>
        <w:jc w:val="both"/>
        <w:rPr>
          <w:rFonts w:ascii="Arial" w:eastAsia="Calibri" w:hAnsi="Arial" w:cs="Arial"/>
          <w:b/>
          <w:sz w:val="22"/>
          <w:lang w:val="es-ES_tradnl"/>
        </w:rPr>
      </w:pPr>
    </w:p>
    <w:p w14:paraId="097E383C" w14:textId="77777777" w:rsidR="006A2829" w:rsidRPr="007B78E6" w:rsidRDefault="006A2829" w:rsidP="006A2829">
      <w:pPr>
        <w:jc w:val="both"/>
        <w:rPr>
          <w:rFonts w:ascii="Arial" w:eastAsia="Calibri" w:hAnsi="Arial" w:cs="Arial"/>
          <w:sz w:val="20"/>
          <w:szCs w:val="20"/>
          <w:lang w:val="es-ES_tradnl"/>
        </w:rPr>
      </w:pPr>
      <w:r w:rsidRPr="007B78E6">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4A4015B6" w14:textId="77777777" w:rsidR="006A2829" w:rsidRPr="007B78E6" w:rsidRDefault="006A2829" w:rsidP="006A2829">
      <w:pPr>
        <w:jc w:val="both"/>
        <w:rPr>
          <w:rFonts w:ascii="Arial" w:eastAsia="Calibri" w:hAnsi="Arial" w:cs="Arial"/>
          <w:sz w:val="20"/>
          <w:szCs w:val="20"/>
          <w:lang w:val="es-ES_tradnl"/>
        </w:rPr>
      </w:pPr>
    </w:p>
    <w:p w14:paraId="178DBEA3" w14:textId="77777777" w:rsidR="006A2829" w:rsidRPr="007B78E6" w:rsidRDefault="006A2829" w:rsidP="006A2829">
      <w:pPr>
        <w:jc w:val="both"/>
        <w:rPr>
          <w:rFonts w:ascii="Arial" w:eastAsia="Calibri" w:hAnsi="Arial" w:cs="Arial"/>
          <w:sz w:val="20"/>
          <w:szCs w:val="20"/>
          <w:lang w:val="es-ES_tradnl"/>
        </w:rPr>
      </w:pPr>
      <w:r w:rsidRPr="007B78E6">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7B78E6">
        <w:rPr>
          <w:rFonts w:ascii="Arial" w:eastAsia="Calibri" w:hAnsi="Arial" w:cs="Arial"/>
          <w:sz w:val="20"/>
          <w:szCs w:val="20"/>
          <w:lang w:val="es-ES_tradnl"/>
        </w:rPr>
        <w:t>de acuerdo a</w:t>
      </w:r>
      <w:proofErr w:type="gramEnd"/>
      <w:r w:rsidRPr="007B78E6">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7B78E6">
        <w:rPr>
          <w:rFonts w:ascii="Arial" w:eastAsia="Calibri" w:hAnsi="Arial" w:cs="Arial"/>
          <w:sz w:val="20"/>
          <w:szCs w:val="20"/>
          <w:lang w:val="es-ES_tradnl"/>
        </w:rPr>
        <w:t>mipymes</w:t>
      </w:r>
      <w:proofErr w:type="spellEnd"/>
      <w:r w:rsidRPr="007B78E6">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B24A529" w14:textId="77777777" w:rsidR="008410B1" w:rsidRPr="007B78E6" w:rsidRDefault="008410B1" w:rsidP="008410B1">
      <w:pPr>
        <w:jc w:val="both"/>
        <w:rPr>
          <w:rFonts w:ascii="Arial" w:eastAsia="Calibri" w:hAnsi="Arial" w:cs="Arial"/>
          <w:b/>
          <w:sz w:val="22"/>
          <w:lang w:val="es-ES_tradnl"/>
        </w:rPr>
      </w:pPr>
    </w:p>
    <w:p w14:paraId="5C894141" w14:textId="27D48B57" w:rsidR="00D73881" w:rsidRPr="007B78E6" w:rsidRDefault="00D06CA3" w:rsidP="00D73881">
      <w:pPr>
        <w:jc w:val="both"/>
        <w:rPr>
          <w:rFonts w:ascii="Arial" w:eastAsia="Calibri" w:hAnsi="Arial" w:cs="Arial"/>
          <w:b/>
          <w:sz w:val="22"/>
          <w:lang w:val="es-ES_tradnl"/>
        </w:rPr>
      </w:pPr>
      <w:r w:rsidRPr="007B78E6">
        <w:rPr>
          <w:rFonts w:ascii="Arial" w:eastAsia="Calibri" w:hAnsi="Arial" w:cs="Arial"/>
          <w:b/>
          <w:sz w:val="22"/>
          <w:lang w:val="es-ES_tradnl"/>
        </w:rPr>
        <w:t>DECRETO 1082 DE 2015</w:t>
      </w:r>
      <w:r w:rsidR="00D73881" w:rsidRPr="007B78E6">
        <w:rPr>
          <w:rFonts w:ascii="Arial" w:eastAsia="Calibri" w:hAnsi="Arial" w:cs="Arial"/>
          <w:b/>
          <w:sz w:val="22"/>
          <w:lang w:val="es-ES_tradnl"/>
        </w:rPr>
        <w:t xml:space="preserve"> </w:t>
      </w:r>
      <w:r w:rsidR="00D73881" w:rsidRPr="007B78E6">
        <w:rPr>
          <w:rFonts w:ascii="Arial" w:eastAsia="Calibri" w:hAnsi="Arial" w:cs="Arial"/>
          <w:b/>
          <w:color w:val="000000" w:themeColor="text1"/>
          <w:sz w:val="22"/>
          <w:lang w:val="es-ES_tradnl"/>
        </w:rPr>
        <w:t>–</w:t>
      </w:r>
      <w:r w:rsidR="00D73881" w:rsidRPr="007B78E6">
        <w:rPr>
          <w:rFonts w:ascii="Arial" w:eastAsia="Calibri" w:hAnsi="Arial" w:cs="Arial"/>
          <w:b/>
          <w:sz w:val="22"/>
          <w:lang w:val="es-ES_tradnl"/>
        </w:rPr>
        <w:t xml:space="preserve"> </w:t>
      </w:r>
      <w:r w:rsidR="008120AC" w:rsidRPr="007B78E6">
        <w:rPr>
          <w:rFonts w:ascii="Arial" w:eastAsia="Calibri" w:hAnsi="Arial" w:cs="Arial"/>
          <w:b/>
          <w:sz w:val="22"/>
          <w:lang w:val="es-ES_tradnl"/>
        </w:rPr>
        <w:t>Factores de desempate – Mínima cuantía</w:t>
      </w:r>
      <w:r w:rsidR="00D73881" w:rsidRPr="007B78E6">
        <w:rPr>
          <w:rFonts w:ascii="Arial" w:eastAsia="Calibri" w:hAnsi="Arial" w:cs="Arial"/>
          <w:b/>
          <w:sz w:val="22"/>
          <w:lang w:val="es-ES_tradnl"/>
        </w:rPr>
        <w:t xml:space="preserve"> </w:t>
      </w:r>
      <w:r w:rsidR="00D73881" w:rsidRPr="007B78E6">
        <w:rPr>
          <w:rFonts w:ascii="Arial" w:eastAsia="Calibri" w:hAnsi="Arial" w:cs="Arial"/>
          <w:b/>
          <w:color w:val="000000" w:themeColor="text1"/>
          <w:sz w:val="22"/>
          <w:lang w:val="es-ES_tradnl"/>
        </w:rPr>
        <w:t xml:space="preserve">– </w:t>
      </w:r>
      <w:r w:rsidRPr="007B78E6">
        <w:rPr>
          <w:rFonts w:ascii="Arial" w:eastAsia="Calibri" w:hAnsi="Arial" w:cs="Arial"/>
          <w:b/>
          <w:color w:val="000000" w:themeColor="text1"/>
          <w:sz w:val="22"/>
          <w:lang w:val="es-ES_tradnl"/>
        </w:rPr>
        <w:t>Derogatoria</w:t>
      </w:r>
      <w:r w:rsidR="00D73881" w:rsidRPr="007B78E6">
        <w:rPr>
          <w:rFonts w:ascii="Arial" w:eastAsia="Calibri" w:hAnsi="Arial" w:cs="Arial"/>
          <w:b/>
          <w:color w:val="000000" w:themeColor="text1"/>
          <w:sz w:val="22"/>
          <w:lang w:val="es-ES_tradnl"/>
        </w:rPr>
        <w:t xml:space="preserve"> – </w:t>
      </w:r>
      <w:r w:rsidRPr="007B78E6">
        <w:rPr>
          <w:rFonts w:ascii="Arial" w:eastAsia="Calibri" w:hAnsi="Arial" w:cs="Arial"/>
          <w:b/>
          <w:color w:val="000000" w:themeColor="text1"/>
          <w:sz w:val="22"/>
          <w:lang w:val="es-ES_tradnl"/>
        </w:rPr>
        <w:t>Decaimiento</w:t>
      </w:r>
    </w:p>
    <w:p w14:paraId="4D9EB4C1" w14:textId="20D03020" w:rsidR="00D73881" w:rsidRPr="007B78E6" w:rsidRDefault="00D73881" w:rsidP="00B95C30">
      <w:pPr>
        <w:spacing w:line="276" w:lineRule="auto"/>
        <w:jc w:val="both"/>
        <w:rPr>
          <w:rFonts w:ascii="Arial" w:hAnsi="Arial" w:cs="Arial"/>
          <w:noProof/>
          <w:color w:val="000000" w:themeColor="text1"/>
          <w:sz w:val="22"/>
          <w:lang w:val="es-ES_tradnl"/>
        </w:rPr>
      </w:pPr>
    </w:p>
    <w:p w14:paraId="2CA58020" w14:textId="26F01600" w:rsidR="00D06CA3" w:rsidRPr="007B78E6" w:rsidRDefault="00D06CA3" w:rsidP="00D06CA3">
      <w:pPr>
        <w:jc w:val="both"/>
        <w:rPr>
          <w:rFonts w:ascii="Arial" w:hAnsi="Arial" w:cs="Arial"/>
          <w:color w:val="000000" w:themeColor="text1"/>
          <w:sz w:val="20"/>
          <w:szCs w:val="20"/>
          <w:lang w:val="es-ES_tradnl"/>
        </w:rPr>
      </w:pPr>
      <w:r w:rsidRPr="007B78E6">
        <w:rPr>
          <w:rFonts w:ascii="Arial" w:hAnsi="Arial" w:cs="Arial"/>
          <w:color w:val="000000" w:themeColor="text1"/>
          <w:sz w:val="20"/>
          <w:szCs w:val="20"/>
          <w:lang w:val="es-ES_tradnl"/>
        </w:rPr>
        <w:t xml:space="preserve">Ahora bien, hasta la promulgación de la Ley </w:t>
      </w:r>
      <w:r w:rsidR="006F0F34" w:rsidRPr="007B78E6">
        <w:rPr>
          <w:rFonts w:ascii="Arial" w:hAnsi="Arial" w:cs="Arial"/>
          <w:color w:val="000000" w:themeColor="text1"/>
          <w:sz w:val="20"/>
          <w:szCs w:val="20"/>
          <w:lang w:val="es-ES_tradnl"/>
        </w:rPr>
        <w:t>2069</w:t>
      </w:r>
      <w:r w:rsidRPr="007B78E6">
        <w:rPr>
          <w:rFonts w:ascii="Arial" w:hAnsi="Arial" w:cs="Arial"/>
          <w:color w:val="000000" w:themeColor="text1"/>
          <w:sz w:val="20"/>
          <w:szCs w:val="20"/>
          <w:lang w:val="es-ES_tradnl"/>
        </w:rPr>
        <w:t xml:space="preserve"> de 2020, el artículo 2.2.1.1.2.2.9. del Decreto 1082 de 2015 regulaba los factores de desempate que debían aplicarse en los procesos de selección. En criterio de esta </w:t>
      </w:r>
      <w:r w:rsidR="00D7536A" w:rsidRPr="007B78E6">
        <w:rPr>
          <w:rFonts w:ascii="Arial" w:hAnsi="Arial" w:cs="Arial"/>
          <w:color w:val="000000" w:themeColor="text1"/>
          <w:sz w:val="20"/>
          <w:szCs w:val="20"/>
          <w:lang w:val="es-ES_tradnl"/>
        </w:rPr>
        <w:t>Agencia</w:t>
      </w:r>
      <w:r w:rsidRPr="007B78E6">
        <w:rPr>
          <w:rFonts w:ascii="Arial" w:hAnsi="Arial" w:cs="Arial"/>
          <w:color w:val="000000" w:themeColor="text1"/>
          <w:sz w:val="20"/>
          <w:szCs w:val="20"/>
          <w:lang w:val="es-ES_tradnl"/>
        </w:rPr>
        <w:t xml:space="preserve">, dicha norma debe entenderse derogada por el artículo 35 de la Ley </w:t>
      </w:r>
      <w:r w:rsidR="006F0F34" w:rsidRPr="007B78E6">
        <w:rPr>
          <w:rFonts w:ascii="Arial" w:hAnsi="Arial" w:cs="Arial"/>
          <w:color w:val="000000" w:themeColor="text1"/>
          <w:sz w:val="20"/>
          <w:szCs w:val="20"/>
          <w:lang w:val="es-ES_tradnl"/>
        </w:rPr>
        <w:t>2069</w:t>
      </w:r>
      <w:r w:rsidRPr="007B78E6">
        <w:rPr>
          <w:rFonts w:ascii="Arial" w:hAnsi="Arial" w:cs="Arial"/>
          <w:color w:val="000000" w:themeColor="text1"/>
          <w:sz w:val="20"/>
          <w:szCs w:val="20"/>
          <w:lang w:val="es-ES_tradnl"/>
        </w:rPr>
        <w:t xml:space="preserve"> de 2020. Ello no solo porque el artículo 84 de esta Ley dice que «rige a partir del momento de su promulgación», es decir, desde el 31 de diciembre de 2020, sino además porque la misma disposición señala que la Ley </w:t>
      </w:r>
      <w:r w:rsidR="006F0F34" w:rsidRPr="007B78E6">
        <w:rPr>
          <w:rFonts w:ascii="Arial" w:hAnsi="Arial" w:cs="Arial"/>
          <w:color w:val="000000" w:themeColor="text1"/>
          <w:sz w:val="20"/>
          <w:szCs w:val="20"/>
          <w:lang w:val="es-ES_tradnl"/>
        </w:rPr>
        <w:t>2069</w:t>
      </w:r>
      <w:r w:rsidRPr="007B78E6">
        <w:rPr>
          <w:rFonts w:ascii="Arial" w:hAnsi="Arial" w:cs="Arial"/>
          <w:color w:val="000000" w:themeColor="text1"/>
          <w:sz w:val="20"/>
          <w:szCs w:val="20"/>
          <w:lang w:val="es-ES_tradnl"/>
        </w:rPr>
        <w:t xml:space="preserve"> de 2020 deroga «[…] todas las disposiciones que le sean contrarias». Se presenta una antinomia o contradicción normativa cuando dos o más disposiciones normativas regulan en sentido diferente un tema. Bajo esta consideración, como el artículo 35 de la Ley </w:t>
      </w:r>
      <w:r w:rsidR="006F0F34" w:rsidRPr="007B78E6">
        <w:rPr>
          <w:rFonts w:ascii="Arial" w:hAnsi="Arial" w:cs="Arial"/>
          <w:color w:val="000000" w:themeColor="text1"/>
          <w:sz w:val="20"/>
          <w:szCs w:val="20"/>
          <w:lang w:val="es-ES_tradnl"/>
        </w:rPr>
        <w:t>2069</w:t>
      </w:r>
      <w:r w:rsidRPr="007B78E6">
        <w:rPr>
          <w:rFonts w:ascii="Arial" w:hAnsi="Arial" w:cs="Arial"/>
          <w:color w:val="000000" w:themeColor="text1"/>
          <w:sz w:val="20"/>
          <w:szCs w:val="20"/>
          <w:lang w:val="es-ES_tradnl"/>
        </w:rPr>
        <w:t xml:space="preserve"> de 2020 regula en forma distinta a como lo hacía el artículo 2.2.1.1.2.2.9. del Decreto 1082 de 2015 la aplicación de los factores de desempate, aquel debe entenderse derogado. </w:t>
      </w:r>
    </w:p>
    <w:p w14:paraId="44FA67DF" w14:textId="77777777" w:rsidR="00D06CA3" w:rsidRPr="007B78E6" w:rsidRDefault="00D06CA3" w:rsidP="00D06CA3">
      <w:pPr>
        <w:jc w:val="both"/>
        <w:rPr>
          <w:rFonts w:ascii="Arial" w:hAnsi="Arial" w:cs="Arial"/>
          <w:color w:val="000000" w:themeColor="text1"/>
          <w:sz w:val="20"/>
          <w:szCs w:val="20"/>
          <w:lang w:val="es-ES_tradnl"/>
        </w:rPr>
      </w:pPr>
    </w:p>
    <w:p w14:paraId="643109D0" w14:textId="08DA97B3" w:rsidR="00D06CA3" w:rsidRPr="007B78E6" w:rsidRDefault="00D06CA3" w:rsidP="00D06CA3">
      <w:pPr>
        <w:jc w:val="both"/>
        <w:rPr>
          <w:rFonts w:ascii="Arial" w:hAnsi="Arial" w:cs="Arial"/>
          <w:color w:val="000000" w:themeColor="text1"/>
          <w:sz w:val="20"/>
          <w:szCs w:val="20"/>
          <w:lang w:val="es-ES_tradnl"/>
        </w:rPr>
      </w:pPr>
      <w:r w:rsidRPr="007B78E6">
        <w:rPr>
          <w:rFonts w:ascii="Arial" w:hAnsi="Arial" w:cs="Arial"/>
          <w:color w:val="000000" w:themeColor="text1"/>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7B78E6">
        <w:rPr>
          <w:rFonts w:ascii="Arial" w:hAnsi="Arial" w:cs="Arial"/>
          <w:i/>
          <w:iCs/>
          <w:color w:val="000000" w:themeColor="text1"/>
          <w:sz w:val="20"/>
          <w:szCs w:val="20"/>
          <w:lang w:val="es-ES_tradnl"/>
        </w:rPr>
        <w:t>secundum</w:t>
      </w:r>
      <w:proofErr w:type="spellEnd"/>
      <w:r w:rsidRPr="007B78E6">
        <w:rPr>
          <w:rFonts w:ascii="Arial" w:hAnsi="Arial" w:cs="Arial"/>
          <w:i/>
          <w:iCs/>
          <w:color w:val="000000" w:themeColor="text1"/>
          <w:sz w:val="20"/>
          <w:szCs w:val="20"/>
          <w:lang w:val="es-ES_tradnl"/>
        </w:rPr>
        <w:t xml:space="preserve"> </w:t>
      </w:r>
      <w:proofErr w:type="spellStart"/>
      <w:r w:rsidRPr="007B78E6">
        <w:rPr>
          <w:rFonts w:ascii="Arial" w:hAnsi="Arial" w:cs="Arial"/>
          <w:i/>
          <w:iCs/>
          <w:color w:val="000000" w:themeColor="text1"/>
          <w:sz w:val="20"/>
          <w:szCs w:val="20"/>
          <w:lang w:val="es-ES_tradnl"/>
        </w:rPr>
        <w:t>legem</w:t>
      </w:r>
      <w:proofErr w:type="spellEnd"/>
      <w:r w:rsidRPr="007B78E6">
        <w:rPr>
          <w:rFonts w:ascii="Arial" w:hAnsi="Arial" w:cs="Arial"/>
          <w:color w:val="000000" w:themeColor="text1"/>
          <w:sz w:val="20"/>
          <w:szCs w:val="20"/>
          <w:lang w:val="es-ES_tradnl"/>
        </w:rPr>
        <w:t xml:space="preserve"> –es decir, que desarrolla la ley–, la expedición de una ley en sentido formal –es decir, de un precepto que se ubica en un nivel superior de la jerarquía normativa–, que modifica la materia reglamentada, hace que la disposición reglamentaria decaiga.      </w:t>
      </w:r>
    </w:p>
    <w:p w14:paraId="53B8D6C5" w14:textId="7A55D90A" w:rsidR="003C5E8A" w:rsidRPr="007B78E6" w:rsidRDefault="003C5E8A" w:rsidP="003C5E8A">
      <w:pPr>
        <w:jc w:val="both"/>
        <w:rPr>
          <w:rFonts w:ascii="Arial" w:eastAsia="Calibri" w:hAnsi="Arial" w:cs="Arial"/>
          <w:sz w:val="20"/>
          <w:szCs w:val="20"/>
          <w:lang w:val="es-ES_tradnl"/>
        </w:rPr>
      </w:pPr>
    </w:p>
    <w:p w14:paraId="0EC7CCA7" w14:textId="7C450D1C" w:rsidR="00C5587F" w:rsidRPr="007B78E6" w:rsidRDefault="00C5587F" w:rsidP="00C5587F">
      <w:pPr>
        <w:jc w:val="both"/>
        <w:rPr>
          <w:rFonts w:ascii="Arial" w:eastAsia="Calibri" w:hAnsi="Arial" w:cs="Arial"/>
          <w:sz w:val="20"/>
          <w:szCs w:val="20"/>
          <w:lang w:val="es-ES_tradnl"/>
        </w:rPr>
      </w:pPr>
      <w:r w:rsidRPr="007B78E6">
        <w:rPr>
          <w:rFonts w:ascii="Arial" w:eastAsia="Calibri" w:hAnsi="Arial" w:cs="Arial"/>
          <w:sz w:val="20"/>
          <w:szCs w:val="20"/>
          <w:lang w:val="es-ES_tradnl"/>
        </w:rPr>
        <w:t xml:space="preserve">Lo explicado en los párrafos precedentes también aplica </w:t>
      </w:r>
      <w:r w:rsidRPr="007B78E6">
        <w:rPr>
          <w:rFonts w:ascii="Arial" w:eastAsia="Calibri" w:hAnsi="Arial" w:cs="Arial"/>
          <w:i/>
          <w:iCs/>
          <w:sz w:val="20"/>
          <w:szCs w:val="20"/>
          <w:lang w:val="es-ES_tradnl"/>
        </w:rPr>
        <w:t>mutatis mutandis</w:t>
      </w:r>
      <w:r w:rsidRPr="007B78E6">
        <w:rPr>
          <w:rFonts w:ascii="Arial" w:eastAsia="Calibri" w:hAnsi="Arial" w:cs="Arial"/>
          <w:sz w:val="20"/>
          <w:szCs w:val="20"/>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w:t>
      </w:r>
      <w:r w:rsidRPr="007B78E6">
        <w:rPr>
          <w:rFonts w:ascii="Arial" w:eastAsia="Calibri" w:hAnsi="Arial" w:cs="Arial"/>
          <w:sz w:val="20"/>
          <w:szCs w:val="20"/>
          <w:lang w:val="es-ES_tradnl"/>
        </w:rPr>
        <w:lastRenderedPageBreak/>
        <w:t xml:space="preserve">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r w:rsidR="002B2DD9" w:rsidRPr="007B78E6">
        <w:rPr>
          <w:rFonts w:ascii="Arial" w:eastAsia="Calibri" w:hAnsi="Arial" w:cs="Arial"/>
          <w:sz w:val="20"/>
          <w:szCs w:val="20"/>
          <w:lang w:val="es-ES_tradnl"/>
        </w:rPr>
        <w:t>Por tratarse de una norma transversal al sistema de compras y contratación pública, el artículo 35 de la Ley 2069 de 2020 es aplicable al procedimiento de mínima cuantía, presentándose tanto la derogación como el decaimiento de los criterios de desempate previstos en el Decreto 1082 de 2015 para esta modalidad de selección. En esta medida, dado que el artículo 35 eleva los factores de desempate a rango de ley, no es posible fijarlos autónomamente en las invitaciones</w:t>
      </w:r>
      <w:r w:rsidRPr="007B78E6">
        <w:rPr>
          <w:rFonts w:ascii="Arial" w:eastAsia="Calibri" w:hAnsi="Arial" w:cs="Arial"/>
          <w:sz w:val="20"/>
          <w:szCs w:val="20"/>
          <w:lang w:val="es-ES_tradnl"/>
        </w:rPr>
        <w:t xml:space="preserve">. </w:t>
      </w:r>
    </w:p>
    <w:p w14:paraId="61D57B80" w14:textId="77777777" w:rsidR="00C5587F" w:rsidRPr="007B78E6" w:rsidRDefault="00C5587F">
      <w:pPr>
        <w:spacing w:after="200" w:line="276" w:lineRule="auto"/>
        <w:rPr>
          <w:rFonts w:ascii="Arial" w:eastAsia="Calibri" w:hAnsi="Arial" w:cs="Arial"/>
          <w:sz w:val="20"/>
          <w:szCs w:val="20"/>
          <w:lang w:val="es-ES_tradnl"/>
        </w:rPr>
      </w:pPr>
      <w:r w:rsidRPr="007B78E6">
        <w:rPr>
          <w:rFonts w:ascii="Arial" w:eastAsia="Calibri" w:hAnsi="Arial" w:cs="Arial"/>
          <w:sz w:val="20"/>
          <w:szCs w:val="20"/>
          <w:lang w:val="es-ES_tradnl"/>
        </w:rPr>
        <w:br w:type="page"/>
      </w:r>
    </w:p>
    <w:p w14:paraId="48252F19" w14:textId="247033FF" w:rsidR="009172B1" w:rsidRPr="007B78E6" w:rsidRDefault="009172B1" w:rsidP="009172B1">
      <w:pPr>
        <w:rPr>
          <w:rFonts w:ascii="Arial" w:hAnsi="Arial" w:cs="Arial"/>
          <w:sz w:val="22"/>
          <w:szCs w:val="20"/>
        </w:rPr>
      </w:pPr>
    </w:p>
    <w:p w14:paraId="7F8781BE" w14:textId="3F27FE05" w:rsidR="00C5587F" w:rsidRDefault="0045786A" w:rsidP="0045786A">
      <w:pPr>
        <w:jc w:val="right"/>
        <w:rPr>
          <w:rFonts w:ascii="Arial" w:hAnsi="Arial" w:cs="Arial"/>
          <w:sz w:val="22"/>
          <w:szCs w:val="20"/>
        </w:rPr>
      </w:pPr>
      <w:r w:rsidRPr="0045786A">
        <w:rPr>
          <w:rFonts w:ascii="Arial" w:hAnsi="Arial" w:cs="Arial"/>
          <w:sz w:val="22"/>
          <w:szCs w:val="20"/>
        </w:rPr>
        <w:drawing>
          <wp:inline distT="0" distB="0" distL="0" distR="0" wp14:anchorId="7C48D6A9" wp14:editId="48616247">
            <wp:extent cx="2847975" cy="757561"/>
            <wp:effectExtent l="0" t="0" r="0" b="444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882494" cy="766743"/>
                    </a:xfrm>
                    <a:prstGeom prst="rect">
                      <a:avLst/>
                    </a:prstGeom>
                  </pic:spPr>
                </pic:pic>
              </a:graphicData>
            </a:graphic>
          </wp:inline>
        </w:drawing>
      </w:r>
    </w:p>
    <w:p w14:paraId="59F6E006" w14:textId="6EFD300D" w:rsidR="0045786A" w:rsidRDefault="0045786A" w:rsidP="009172B1">
      <w:pPr>
        <w:rPr>
          <w:rFonts w:ascii="Arial" w:hAnsi="Arial" w:cs="Arial"/>
          <w:sz w:val="22"/>
          <w:szCs w:val="20"/>
        </w:rPr>
      </w:pPr>
    </w:p>
    <w:p w14:paraId="13457E8A" w14:textId="3C3B3C63" w:rsidR="00D82183" w:rsidRPr="007B78E6" w:rsidRDefault="00D82183" w:rsidP="0045786A">
      <w:pPr>
        <w:rPr>
          <w:rFonts w:ascii="Arial" w:hAnsi="Arial" w:cs="Arial"/>
          <w:b/>
          <w:color w:val="000000" w:themeColor="text1"/>
          <w:sz w:val="22"/>
        </w:rPr>
      </w:pPr>
      <w:r w:rsidRPr="007B78E6">
        <w:rPr>
          <w:rFonts w:ascii="Arial" w:hAnsi="Arial" w:cs="Arial"/>
          <w:color w:val="000000" w:themeColor="text1"/>
          <w:sz w:val="22"/>
        </w:rPr>
        <w:t xml:space="preserve">Bogotá D.C., </w:t>
      </w:r>
      <w:r w:rsidR="00711830" w:rsidRPr="00711830">
        <w:rPr>
          <w:rFonts w:ascii="Arial" w:hAnsi="Arial" w:cs="Arial"/>
          <w:b/>
          <w:color w:val="000000" w:themeColor="text1"/>
          <w:sz w:val="22"/>
        </w:rPr>
        <w:t>15/04/2021 20:08</w:t>
      </w:r>
    </w:p>
    <w:p w14:paraId="69C424CD" w14:textId="6D91F53D" w:rsidR="009172B1" w:rsidRPr="007B78E6" w:rsidRDefault="009172B1" w:rsidP="009172B1">
      <w:pPr>
        <w:jc w:val="right"/>
        <w:rPr>
          <w:rFonts w:ascii="Arial" w:hAnsi="Arial" w:cs="Arial"/>
          <w:b/>
          <w:sz w:val="22"/>
          <w:szCs w:val="20"/>
        </w:rPr>
      </w:pPr>
    </w:p>
    <w:p w14:paraId="6A8A869B" w14:textId="52C72B05" w:rsidR="00B95C30" w:rsidRPr="007B78E6" w:rsidRDefault="00B95C30" w:rsidP="00B95C30">
      <w:pPr>
        <w:jc w:val="both"/>
        <w:rPr>
          <w:rFonts w:ascii="Arial" w:hAnsi="Arial" w:cs="Arial"/>
          <w:b/>
          <w:color w:val="000000" w:themeColor="text1"/>
          <w:sz w:val="22"/>
          <w:lang w:val="es-ES_tradnl"/>
        </w:rPr>
      </w:pPr>
    </w:p>
    <w:p w14:paraId="3DCA4D09" w14:textId="77777777" w:rsidR="0031674D" w:rsidRPr="007B78E6" w:rsidRDefault="0031674D" w:rsidP="00B95C30">
      <w:pPr>
        <w:jc w:val="both"/>
        <w:rPr>
          <w:rFonts w:ascii="Arial" w:hAnsi="Arial" w:cs="Arial"/>
          <w:b/>
          <w:color w:val="000000" w:themeColor="text1"/>
          <w:sz w:val="22"/>
          <w:lang w:val="es-ES_tradnl"/>
        </w:rPr>
      </w:pPr>
    </w:p>
    <w:p w14:paraId="5F5AE9EF" w14:textId="773E0623" w:rsidR="00B95C30" w:rsidRPr="007B78E6" w:rsidRDefault="00BE4FBF" w:rsidP="00B95C30">
      <w:pPr>
        <w:jc w:val="both"/>
        <w:rPr>
          <w:rFonts w:ascii="Arial" w:eastAsia="Calibri" w:hAnsi="Arial" w:cs="Arial"/>
          <w:color w:val="000000" w:themeColor="text1"/>
          <w:sz w:val="22"/>
          <w:lang w:val="es-ES_tradnl"/>
        </w:rPr>
      </w:pPr>
      <w:r w:rsidRPr="007B78E6">
        <w:rPr>
          <w:rFonts w:ascii="Arial" w:eastAsia="Calibri" w:hAnsi="Arial" w:cs="Arial"/>
          <w:color w:val="000000" w:themeColor="text1"/>
          <w:sz w:val="22"/>
          <w:lang w:val="es-ES_tradnl"/>
        </w:rPr>
        <w:t>Señor</w:t>
      </w:r>
      <w:r w:rsidR="001472EF" w:rsidRPr="007B78E6">
        <w:rPr>
          <w:rFonts w:ascii="Arial" w:eastAsia="Calibri" w:hAnsi="Arial" w:cs="Arial"/>
          <w:color w:val="000000" w:themeColor="text1"/>
          <w:sz w:val="22"/>
          <w:lang w:val="es-ES_tradnl"/>
        </w:rPr>
        <w:t>a</w:t>
      </w:r>
    </w:p>
    <w:p w14:paraId="136B4744" w14:textId="589622B4" w:rsidR="00043399" w:rsidRPr="007B78E6" w:rsidRDefault="001472EF" w:rsidP="00B95C30">
      <w:pPr>
        <w:jc w:val="both"/>
        <w:rPr>
          <w:rFonts w:ascii="Arial" w:eastAsia="Calibri" w:hAnsi="Arial" w:cs="Arial"/>
          <w:b/>
          <w:color w:val="000000" w:themeColor="text1"/>
          <w:sz w:val="22"/>
          <w:lang w:val="es-ES_tradnl"/>
        </w:rPr>
      </w:pPr>
      <w:r w:rsidRPr="007B78E6">
        <w:rPr>
          <w:rFonts w:ascii="Arial" w:eastAsia="Calibri" w:hAnsi="Arial" w:cs="Arial"/>
          <w:b/>
          <w:color w:val="000000" w:themeColor="text1"/>
          <w:sz w:val="22"/>
          <w:lang w:val="es-ES_tradnl"/>
        </w:rPr>
        <w:t xml:space="preserve">Luisa Fernanda </w:t>
      </w:r>
      <w:bookmarkStart w:id="2" w:name="_Hlk69293924"/>
      <w:r w:rsidRPr="007B78E6">
        <w:rPr>
          <w:rFonts w:ascii="Arial" w:eastAsia="Calibri" w:hAnsi="Arial" w:cs="Arial"/>
          <w:b/>
          <w:color w:val="000000" w:themeColor="text1"/>
          <w:sz w:val="22"/>
          <w:lang w:val="es-ES_tradnl"/>
        </w:rPr>
        <w:t>Castro Torres</w:t>
      </w:r>
      <w:bookmarkEnd w:id="2"/>
    </w:p>
    <w:p w14:paraId="09D4AEA8" w14:textId="41376EE5" w:rsidR="00B95C30" w:rsidRPr="007B78E6" w:rsidRDefault="009172B1" w:rsidP="00B95C30">
      <w:pPr>
        <w:jc w:val="both"/>
        <w:rPr>
          <w:rFonts w:ascii="Arial" w:eastAsia="Calibri" w:hAnsi="Arial" w:cs="Arial"/>
          <w:color w:val="000000" w:themeColor="text1"/>
          <w:sz w:val="22"/>
          <w:lang w:val="es-ES_tradnl"/>
        </w:rPr>
      </w:pPr>
      <w:r w:rsidRPr="007B78E6">
        <w:rPr>
          <w:rFonts w:ascii="Arial" w:eastAsia="Calibri" w:hAnsi="Arial" w:cs="Arial"/>
          <w:color w:val="000000" w:themeColor="text1"/>
          <w:sz w:val="22"/>
          <w:lang w:val="es-ES_tradnl"/>
        </w:rPr>
        <w:t>Bogotá D.C.</w:t>
      </w:r>
    </w:p>
    <w:p w14:paraId="3F3D1203" w14:textId="087EB4C8" w:rsidR="00B95C30" w:rsidRPr="007B78E6" w:rsidRDefault="00B95C30" w:rsidP="00B95C30">
      <w:pPr>
        <w:jc w:val="both"/>
        <w:rPr>
          <w:rFonts w:ascii="Arial" w:eastAsia="Calibri" w:hAnsi="Arial" w:cs="Arial"/>
          <w:color w:val="000000" w:themeColor="text1"/>
          <w:sz w:val="22"/>
          <w:lang w:val="es-ES_tradnl"/>
        </w:rPr>
      </w:pPr>
    </w:p>
    <w:p w14:paraId="7FEA18D2" w14:textId="77777777" w:rsidR="0031674D" w:rsidRPr="007B78E6" w:rsidRDefault="0031674D" w:rsidP="00B95C30">
      <w:pPr>
        <w:jc w:val="both"/>
        <w:rPr>
          <w:rFonts w:ascii="Arial" w:eastAsia="Calibri" w:hAnsi="Arial" w:cs="Arial"/>
          <w:color w:val="000000" w:themeColor="text1"/>
          <w:sz w:val="22"/>
          <w:lang w:val="es-ES_tradnl"/>
        </w:rPr>
      </w:pPr>
    </w:p>
    <w:p w14:paraId="12E66182" w14:textId="63AB2ABF" w:rsidR="00B95C30" w:rsidRPr="007B78E6" w:rsidRDefault="0031674D" w:rsidP="006E3937">
      <w:pPr>
        <w:rPr>
          <w:rFonts w:ascii="Arial" w:eastAsia="Calibri" w:hAnsi="Arial" w:cs="Arial"/>
          <w:b/>
          <w:bCs/>
          <w:color w:val="000000" w:themeColor="text1"/>
          <w:sz w:val="22"/>
          <w:lang w:val="es-ES_tradnl"/>
        </w:rPr>
      </w:pPr>
      <w:r w:rsidRPr="007B78E6">
        <w:rPr>
          <w:rFonts w:ascii="Arial" w:eastAsia="Calibri" w:hAnsi="Arial" w:cs="Arial"/>
          <w:b/>
          <w:bCs/>
          <w:color w:val="000000" w:themeColor="text1"/>
          <w:sz w:val="22"/>
          <w:lang w:val="es-ES_tradnl"/>
        </w:rPr>
        <w:t xml:space="preserve">                                            </w:t>
      </w:r>
      <w:r w:rsidR="00B95C30" w:rsidRPr="007B78E6">
        <w:rPr>
          <w:rFonts w:ascii="Arial" w:eastAsia="Calibri" w:hAnsi="Arial" w:cs="Arial"/>
          <w:b/>
          <w:bCs/>
          <w:color w:val="000000" w:themeColor="text1"/>
          <w:sz w:val="22"/>
          <w:lang w:val="es-ES_tradnl"/>
        </w:rPr>
        <w:t xml:space="preserve">Concepto C ‒ </w:t>
      </w:r>
      <w:r w:rsidR="000F466E" w:rsidRPr="007B78E6">
        <w:rPr>
          <w:rFonts w:ascii="Arial" w:eastAsia="Calibri" w:hAnsi="Arial" w:cs="Arial"/>
          <w:b/>
          <w:bCs/>
          <w:color w:val="000000" w:themeColor="text1"/>
          <w:sz w:val="22"/>
          <w:lang w:val="es-ES_tradnl"/>
        </w:rPr>
        <w:t>158</w:t>
      </w:r>
      <w:r w:rsidR="00B95C30" w:rsidRPr="007B78E6">
        <w:rPr>
          <w:rFonts w:ascii="Arial" w:eastAsia="Calibri" w:hAnsi="Arial" w:cs="Arial"/>
          <w:b/>
          <w:bCs/>
          <w:color w:val="000000" w:themeColor="text1"/>
          <w:sz w:val="22"/>
          <w:lang w:val="es-ES_tradnl"/>
        </w:rPr>
        <w:t xml:space="preserve"> de 202</w:t>
      </w:r>
      <w:r w:rsidR="005E781C" w:rsidRPr="007B78E6">
        <w:rPr>
          <w:rFonts w:ascii="Arial" w:eastAsia="Calibri" w:hAnsi="Arial" w:cs="Arial"/>
          <w:b/>
          <w:bCs/>
          <w:color w:val="000000" w:themeColor="text1"/>
          <w:sz w:val="22"/>
          <w:lang w:val="es-ES_tradnl"/>
        </w:rPr>
        <w:t>1</w:t>
      </w:r>
    </w:p>
    <w:p w14:paraId="1BD594F9" w14:textId="77777777" w:rsidR="00B95C30" w:rsidRPr="007B78E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7B78E6" w14:paraId="19DFC051" w14:textId="77777777" w:rsidTr="008F4163">
        <w:tc>
          <w:tcPr>
            <w:tcW w:w="2689" w:type="dxa"/>
          </w:tcPr>
          <w:p w14:paraId="6BC0D1AC" w14:textId="77777777" w:rsidR="00B95C30" w:rsidRPr="007B78E6" w:rsidRDefault="00B95C30" w:rsidP="008F4163">
            <w:pPr>
              <w:jc w:val="both"/>
              <w:rPr>
                <w:rFonts w:ascii="Arial" w:eastAsia="Calibri" w:hAnsi="Arial" w:cs="Arial"/>
                <w:color w:val="000000" w:themeColor="text1"/>
                <w:sz w:val="22"/>
                <w:lang w:val="es-ES_tradnl"/>
              </w:rPr>
            </w:pPr>
            <w:r w:rsidRPr="007B78E6">
              <w:rPr>
                <w:rFonts w:ascii="Arial" w:eastAsia="Calibri" w:hAnsi="Arial" w:cs="Arial"/>
                <w:b/>
                <w:color w:val="000000" w:themeColor="text1"/>
                <w:sz w:val="22"/>
                <w:lang w:val="es-ES_tradnl"/>
              </w:rPr>
              <w:t>Temas:</w:t>
            </w:r>
            <w:r w:rsidRPr="007B78E6">
              <w:rPr>
                <w:rFonts w:ascii="Arial" w:eastAsia="Calibri" w:hAnsi="Arial" w:cs="Arial"/>
                <w:color w:val="000000" w:themeColor="text1"/>
                <w:sz w:val="22"/>
                <w:lang w:val="es-ES_tradnl"/>
              </w:rPr>
              <w:t xml:space="preserve">                                      </w:t>
            </w:r>
          </w:p>
        </w:tc>
        <w:tc>
          <w:tcPr>
            <w:tcW w:w="6237" w:type="dxa"/>
          </w:tcPr>
          <w:p w14:paraId="5F389CAF" w14:textId="1FF25F99" w:rsidR="00B95C30" w:rsidRPr="007B78E6" w:rsidRDefault="008B63FE" w:rsidP="008F4163">
            <w:pPr>
              <w:jc w:val="both"/>
              <w:rPr>
                <w:rFonts w:ascii="Arial" w:eastAsia="Calibri" w:hAnsi="Arial" w:cs="Arial"/>
                <w:color w:val="000000" w:themeColor="text1"/>
                <w:sz w:val="22"/>
                <w:lang w:val="es-ES_tradnl"/>
              </w:rPr>
            </w:pPr>
            <w:r w:rsidRPr="007B78E6">
              <w:rPr>
                <w:rFonts w:ascii="Arial" w:eastAsia="Calibri" w:hAnsi="Arial" w:cs="Arial"/>
                <w:bCs/>
                <w:sz w:val="22"/>
                <w:lang w:val="es-ES_tradnl"/>
              </w:rPr>
              <w:t xml:space="preserve">SELECCIÓN OBJETIVA – Contratación estatal – Concepto </w:t>
            </w:r>
            <w:r w:rsidR="00B95C30" w:rsidRPr="007B78E6">
              <w:rPr>
                <w:rFonts w:ascii="Arial" w:eastAsia="Calibri" w:hAnsi="Arial" w:cs="Arial"/>
                <w:bCs/>
                <w:sz w:val="22"/>
                <w:lang w:val="es-ES_tradnl"/>
              </w:rPr>
              <w:t>/</w:t>
            </w:r>
            <w:r w:rsidRPr="007B78E6">
              <w:rPr>
                <w:rFonts w:ascii="Arial" w:eastAsia="Calibri" w:hAnsi="Arial" w:cs="Arial"/>
                <w:bCs/>
                <w:sz w:val="22"/>
                <w:lang w:val="es-ES_tradnl"/>
              </w:rPr>
              <w:t xml:space="preserve"> EMPATE – Procedimiento de selección – Concepto / FACTORES DE DESEMPATE – Características – Límites / LEY DE EMPRENDIMIENTO – Ley </w:t>
            </w:r>
            <w:r w:rsidR="006F0F34" w:rsidRPr="007B78E6">
              <w:rPr>
                <w:rFonts w:ascii="Arial" w:eastAsia="Calibri" w:hAnsi="Arial" w:cs="Arial"/>
                <w:bCs/>
                <w:sz w:val="22"/>
                <w:lang w:val="es-ES_tradnl"/>
              </w:rPr>
              <w:t>2069</w:t>
            </w:r>
            <w:r w:rsidRPr="007B78E6">
              <w:rPr>
                <w:rFonts w:ascii="Arial" w:eastAsia="Calibri" w:hAnsi="Arial" w:cs="Arial"/>
                <w:bCs/>
                <w:sz w:val="22"/>
                <w:lang w:val="es-ES_tradnl"/>
              </w:rPr>
              <w:t xml:space="preserve"> de 2020 – Vigencia / </w:t>
            </w:r>
            <w:r w:rsidR="008120AC" w:rsidRPr="007B78E6">
              <w:rPr>
                <w:rFonts w:ascii="Arial" w:eastAsia="Calibri" w:hAnsi="Arial" w:cs="Arial"/>
                <w:bCs/>
                <w:sz w:val="22"/>
                <w:lang w:val="es-ES_tradnl"/>
              </w:rPr>
              <w:t>DECRETO 1082 DE 2015 – Factores de desempate – Mínima cuantía – Derogatoria – Decaimiento</w:t>
            </w:r>
            <w:r w:rsidR="00B95C30" w:rsidRPr="007B78E6">
              <w:rPr>
                <w:rFonts w:ascii="Arial" w:eastAsia="Arial" w:hAnsi="Arial" w:cs="Arial"/>
                <w:sz w:val="22"/>
                <w:lang w:val="es-ES_tradnl"/>
              </w:rPr>
              <w:t>.</w:t>
            </w:r>
          </w:p>
        </w:tc>
      </w:tr>
      <w:tr w:rsidR="00B95C30" w:rsidRPr="007B78E6" w14:paraId="27CD52AB" w14:textId="77777777" w:rsidTr="008F4163">
        <w:tc>
          <w:tcPr>
            <w:tcW w:w="2689" w:type="dxa"/>
          </w:tcPr>
          <w:p w14:paraId="37E195A1" w14:textId="1BA218D5" w:rsidR="00B95C30" w:rsidRPr="007B78E6" w:rsidRDefault="00B95C30" w:rsidP="008F4163">
            <w:pPr>
              <w:spacing w:before="120"/>
              <w:jc w:val="both"/>
              <w:rPr>
                <w:rFonts w:ascii="Arial" w:eastAsia="Calibri" w:hAnsi="Arial" w:cs="Arial"/>
                <w:b/>
                <w:color w:val="000000" w:themeColor="text1"/>
                <w:sz w:val="22"/>
                <w:lang w:val="es-ES_tradnl"/>
              </w:rPr>
            </w:pPr>
            <w:r w:rsidRPr="007B78E6">
              <w:rPr>
                <w:rFonts w:ascii="Arial" w:eastAsia="Calibri" w:hAnsi="Arial" w:cs="Arial"/>
                <w:b/>
                <w:color w:val="000000" w:themeColor="text1"/>
                <w:sz w:val="22"/>
                <w:lang w:val="es-ES_tradnl"/>
              </w:rPr>
              <w:t>Radicación:</w:t>
            </w:r>
            <w:r w:rsidRPr="007B78E6">
              <w:rPr>
                <w:rFonts w:ascii="Arial" w:eastAsia="Calibri" w:hAnsi="Arial" w:cs="Arial"/>
                <w:color w:val="000000" w:themeColor="text1"/>
                <w:sz w:val="22"/>
                <w:lang w:val="es-ES_tradnl"/>
              </w:rPr>
              <w:t xml:space="preserve">                              </w:t>
            </w:r>
          </w:p>
        </w:tc>
        <w:tc>
          <w:tcPr>
            <w:tcW w:w="6237" w:type="dxa"/>
          </w:tcPr>
          <w:p w14:paraId="09088B1B" w14:textId="531567DA" w:rsidR="00B95C30" w:rsidRPr="007B78E6" w:rsidRDefault="00B95C30" w:rsidP="008F4163">
            <w:pPr>
              <w:spacing w:before="120"/>
              <w:jc w:val="both"/>
              <w:rPr>
                <w:rFonts w:ascii="Arial" w:eastAsia="Calibri" w:hAnsi="Arial" w:cs="Arial"/>
                <w:color w:val="000000" w:themeColor="text1"/>
                <w:sz w:val="22"/>
                <w:lang w:val="es-ES_tradnl"/>
              </w:rPr>
            </w:pPr>
            <w:r w:rsidRPr="007B78E6">
              <w:rPr>
                <w:rFonts w:ascii="Arial" w:eastAsia="Calibri" w:hAnsi="Arial" w:cs="Arial"/>
                <w:color w:val="000000" w:themeColor="text1"/>
                <w:sz w:val="22"/>
                <w:lang w:val="es-ES_tradnl"/>
              </w:rPr>
              <w:t xml:space="preserve">Respuesta a consulta # </w:t>
            </w:r>
            <w:r w:rsidR="001472EF" w:rsidRPr="007B78E6">
              <w:rPr>
                <w:rFonts w:ascii="Arial" w:eastAsia="Calibri" w:hAnsi="Arial" w:cs="Arial"/>
                <w:color w:val="000000" w:themeColor="text1"/>
                <w:sz w:val="22"/>
                <w:lang w:val="es-ES_tradnl"/>
              </w:rPr>
              <w:t>P20210301001671</w:t>
            </w:r>
          </w:p>
        </w:tc>
      </w:tr>
    </w:tbl>
    <w:p w14:paraId="69729BEF" w14:textId="77777777" w:rsidR="00096D30" w:rsidRPr="007B78E6" w:rsidRDefault="00096D30" w:rsidP="003C3339">
      <w:pPr>
        <w:jc w:val="both"/>
        <w:rPr>
          <w:rFonts w:ascii="Arial" w:eastAsia="Calibri" w:hAnsi="Arial" w:cs="Arial"/>
          <w:color w:val="000000" w:themeColor="text1"/>
          <w:sz w:val="22"/>
          <w:lang w:val="es-ES_tradnl"/>
        </w:rPr>
      </w:pPr>
    </w:p>
    <w:p w14:paraId="43664A51" w14:textId="77777777" w:rsidR="00096D30" w:rsidRPr="007B78E6" w:rsidRDefault="00096D30" w:rsidP="003C3339">
      <w:pPr>
        <w:jc w:val="both"/>
        <w:rPr>
          <w:rFonts w:ascii="Arial" w:eastAsia="Calibri" w:hAnsi="Arial" w:cs="Arial"/>
          <w:color w:val="000000" w:themeColor="text1"/>
          <w:sz w:val="22"/>
          <w:lang w:val="es-ES_tradnl"/>
        </w:rPr>
      </w:pPr>
    </w:p>
    <w:p w14:paraId="1CF4AEA0" w14:textId="0B37960A" w:rsidR="003C3339" w:rsidRPr="007B78E6" w:rsidRDefault="003C3339" w:rsidP="003C3339">
      <w:pPr>
        <w:jc w:val="both"/>
        <w:rPr>
          <w:rFonts w:ascii="Arial" w:eastAsia="Calibri" w:hAnsi="Arial" w:cs="Arial"/>
          <w:color w:val="000000" w:themeColor="text1"/>
          <w:sz w:val="22"/>
          <w:lang w:val="es-ES_tradnl"/>
        </w:rPr>
      </w:pPr>
      <w:r w:rsidRPr="007B78E6">
        <w:rPr>
          <w:rFonts w:ascii="Arial" w:eastAsia="Calibri" w:hAnsi="Arial" w:cs="Arial"/>
          <w:color w:val="000000" w:themeColor="text1"/>
          <w:sz w:val="22"/>
          <w:lang w:val="es-ES_tradnl"/>
        </w:rPr>
        <w:t>Estimad</w:t>
      </w:r>
      <w:r w:rsidR="001472EF" w:rsidRPr="007B78E6">
        <w:rPr>
          <w:rFonts w:ascii="Arial" w:eastAsia="Calibri" w:hAnsi="Arial" w:cs="Arial"/>
          <w:color w:val="000000" w:themeColor="text1"/>
          <w:sz w:val="22"/>
          <w:lang w:val="es-ES_tradnl"/>
        </w:rPr>
        <w:t>a</w:t>
      </w:r>
      <w:r w:rsidRPr="007B78E6">
        <w:rPr>
          <w:rFonts w:ascii="Arial" w:eastAsia="Calibri" w:hAnsi="Arial" w:cs="Arial"/>
          <w:color w:val="000000" w:themeColor="text1"/>
          <w:sz w:val="22"/>
          <w:lang w:val="es-ES_tradnl"/>
        </w:rPr>
        <w:t xml:space="preserve"> </w:t>
      </w:r>
      <w:r w:rsidR="0063732C" w:rsidRPr="007B78E6">
        <w:rPr>
          <w:rFonts w:ascii="Arial" w:eastAsia="Calibri" w:hAnsi="Arial" w:cs="Arial"/>
          <w:color w:val="000000" w:themeColor="text1"/>
          <w:sz w:val="22"/>
          <w:lang w:val="es-ES_tradnl"/>
        </w:rPr>
        <w:t>señor</w:t>
      </w:r>
      <w:r w:rsidR="001472EF" w:rsidRPr="007B78E6">
        <w:rPr>
          <w:rFonts w:ascii="Arial" w:eastAsia="Calibri" w:hAnsi="Arial" w:cs="Arial"/>
          <w:color w:val="000000" w:themeColor="text1"/>
          <w:sz w:val="22"/>
          <w:lang w:val="es-ES_tradnl"/>
        </w:rPr>
        <w:t>a</w:t>
      </w:r>
      <w:r w:rsidR="00BE4FBF" w:rsidRPr="007B78E6">
        <w:rPr>
          <w:rFonts w:ascii="Arial" w:eastAsia="Calibri" w:hAnsi="Arial" w:cs="Arial"/>
          <w:color w:val="000000" w:themeColor="text1"/>
          <w:sz w:val="22"/>
          <w:lang w:val="es-ES_tradnl"/>
        </w:rPr>
        <w:t xml:space="preserve"> </w:t>
      </w:r>
      <w:r w:rsidR="001472EF" w:rsidRPr="007B78E6">
        <w:rPr>
          <w:rFonts w:ascii="Arial" w:eastAsia="Calibri" w:hAnsi="Arial" w:cs="Arial"/>
          <w:color w:val="000000" w:themeColor="text1"/>
          <w:sz w:val="22"/>
          <w:lang w:val="es-ES_tradnl"/>
        </w:rPr>
        <w:t>Castro Torres</w:t>
      </w:r>
      <w:r w:rsidRPr="007B78E6">
        <w:rPr>
          <w:rFonts w:ascii="Arial" w:eastAsia="Calibri" w:hAnsi="Arial" w:cs="Arial"/>
          <w:color w:val="000000" w:themeColor="text1"/>
          <w:sz w:val="22"/>
          <w:lang w:val="es-ES_tradnl"/>
        </w:rPr>
        <w:t>:</w:t>
      </w:r>
    </w:p>
    <w:p w14:paraId="1EAE5543" w14:textId="77777777" w:rsidR="00DD5B04" w:rsidRPr="007B78E6" w:rsidRDefault="00DD5B04" w:rsidP="00DF76A2">
      <w:pPr>
        <w:jc w:val="both"/>
        <w:rPr>
          <w:rFonts w:ascii="Arial" w:eastAsia="Calibri" w:hAnsi="Arial" w:cs="Arial"/>
          <w:color w:val="000000" w:themeColor="text1"/>
          <w:sz w:val="22"/>
          <w:lang w:val="es-ES_tradnl"/>
        </w:rPr>
      </w:pPr>
    </w:p>
    <w:p w14:paraId="2109B2D3" w14:textId="06E053B4" w:rsidR="00DD5B04" w:rsidRPr="007B78E6" w:rsidRDefault="00DD5B04" w:rsidP="00DF76A2">
      <w:pPr>
        <w:spacing w:line="276" w:lineRule="auto"/>
        <w:jc w:val="both"/>
        <w:rPr>
          <w:rFonts w:ascii="Arial" w:eastAsia="Calibri" w:hAnsi="Arial" w:cs="Arial"/>
          <w:color w:val="000000" w:themeColor="text1"/>
          <w:sz w:val="22"/>
          <w:lang w:val="es-ES_tradnl"/>
        </w:rPr>
      </w:pPr>
      <w:r w:rsidRPr="007B78E6">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sidRPr="007B78E6">
        <w:rPr>
          <w:rFonts w:ascii="Arial" w:eastAsia="Calibri" w:hAnsi="Arial" w:cs="Arial"/>
          <w:color w:val="000000" w:themeColor="text1"/>
          <w:sz w:val="22"/>
          <w:lang w:val="es-ES_tradnl"/>
        </w:rPr>
        <w:t>–</w:t>
      </w:r>
      <w:r w:rsidRPr="007B78E6">
        <w:rPr>
          <w:rFonts w:ascii="Arial" w:eastAsia="Calibri" w:hAnsi="Arial" w:cs="Arial"/>
          <w:color w:val="000000" w:themeColor="text1"/>
          <w:sz w:val="22"/>
          <w:lang w:val="es-ES_tradnl"/>
        </w:rPr>
        <w:t xml:space="preserve"> Colombia Compra Eficiente</w:t>
      </w:r>
      <w:r w:rsidR="008C3C57" w:rsidRPr="007B78E6">
        <w:rPr>
          <w:rFonts w:ascii="Arial" w:eastAsia="Calibri" w:hAnsi="Arial" w:cs="Arial"/>
          <w:color w:val="000000" w:themeColor="text1"/>
          <w:sz w:val="22"/>
          <w:lang w:val="es-ES_tradnl"/>
        </w:rPr>
        <w:t xml:space="preserve"> </w:t>
      </w:r>
      <w:r w:rsidRPr="007B78E6">
        <w:rPr>
          <w:rFonts w:ascii="Arial" w:eastAsia="Calibri" w:hAnsi="Arial" w:cs="Arial"/>
          <w:color w:val="000000" w:themeColor="text1"/>
          <w:sz w:val="22"/>
          <w:lang w:val="es-ES_tradnl"/>
        </w:rPr>
        <w:t xml:space="preserve">responde su consulta del </w:t>
      </w:r>
      <w:r w:rsidR="001472EF" w:rsidRPr="007B78E6">
        <w:rPr>
          <w:rFonts w:ascii="Arial" w:eastAsia="Calibri" w:hAnsi="Arial" w:cs="Arial"/>
          <w:color w:val="000000" w:themeColor="text1"/>
          <w:sz w:val="22"/>
          <w:lang w:val="es-ES_tradnl"/>
        </w:rPr>
        <w:t>1° de marzo</w:t>
      </w:r>
      <w:r w:rsidRPr="007B78E6">
        <w:rPr>
          <w:rFonts w:ascii="Arial" w:eastAsia="Calibri" w:hAnsi="Arial" w:cs="Arial"/>
          <w:color w:val="000000" w:themeColor="text1"/>
          <w:sz w:val="22"/>
          <w:lang w:val="es-ES_tradnl"/>
        </w:rPr>
        <w:t xml:space="preserve"> del</w:t>
      </w:r>
      <w:r w:rsidR="007E74BF" w:rsidRPr="007B78E6">
        <w:rPr>
          <w:rFonts w:ascii="Arial" w:eastAsia="Calibri" w:hAnsi="Arial" w:cs="Arial"/>
          <w:color w:val="000000" w:themeColor="text1"/>
          <w:sz w:val="22"/>
          <w:lang w:val="es-ES_tradnl"/>
        </w:rPr>
        <w:t xml:space="preserve"> </w:t>
      </w:r>
      <w:r w:rsidRPr="007B78E6">
        <w:rPr>
          <w:rFonts w:ascii="Arial" w:eastAsia="Calibri" w:hAnsi="Arial" w:cs="Arial"/>
          <w:color w:val="000000" w:themeColor="text1"/>
          <w:sz w:val="22"/>
          <w:lang w:val="es-ES_tradnl"/>
        </w:rPr>
        <w:t>202</w:t>
      </w:r>
      <w:r w:rsidR="00FB0880" w:rsidRPr="007B78E6">
        <w:rPr>
          <w:rFonts w:ascii="Arial" w:eastAsia="Calibri" w:hAnsi="Arial" w:cs="Arial"/>
          <w:color w:val="000000" w:themeColor="text1"/>
          <w:sz w:val="22"/>
          <w:lang w:val="es-ES_tradnl"/>
        </w:rPr>
        <w:t>1</w:t>
      </w:r>
      <w:r w:rsidR="008C3C57" w:rsidRPr="007B78E6">
        <w:rPr>
          <w:rFonts w:ascii="Arial" w:eastAsia="Calibri" w:hAnsi="Arial" w:cs="Arial"/>
          <w:color w:val="000000" w:themeColor="text1"/>
          <w:sz w:val="22"/>
          <w:lang w:val="es-ES_tradnl"/>
        </w:rPr>
        <w:t>.</w:t>
      </w:r>
    </w:p>
    <w:p w14:paraId="0C1E0712" w14:textId="77777777" w:rsidR="00DD5B04" w:rsidRPr="007B78E6"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B78E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B78E6">
        <w:rPr>
          <w:rFonts w:ascii="Arial" w:eastAsia="Calibri" w:hAnsi="Arial" w:cs="Arial"/>
          <w:b/>
          <w:color w:val="000000" w:themeColor="text1"/>
          <w:sz w:val="22"/>
          <w:lang w:val="es-ES_tradnl"/>
        </w:rPr>
        <w:t xml:space="preserve">Problema planteado </w:t>
      </w:r>
    </w:p>
    <w:p w14:paraId="224B43D3" w14:textId="77777777" w:rsidR="00DD5B04" w:rsidRPr="007B78E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5747ED2" w:rsidR="00443B55" w:rsidRPr="007B78E6" w:rsidRDefault="00A72CDE" w:rsidP="009172B1">
      <w:pPr>
        <w:spacing w:line="276" w:lineRule="auto"/>
        <w:jc w:val="both"/>
        <w:rPr>
          <w:rFonts w:ascii="Arial" w:hAnsi="Arial" w:cs="Arial"/>
          <w:color w:val="000000" w:themeColor="text1"/>
          <w:sz w:val="22"/>
          <w:lang w:val="es-ES_tradnl"/>
        </w:rPr>
      </w:pPr>
      <w:r w:rsidRPr="007B78E6">
        <w:rPr>
          <w:rFonts w:ascii="Arial" w:hAnsi="Arial" w:cs="Arial"/>
          <w:color w:val="000000" w:themeColor="text1"/>
          <w:sz w:val="22"/>
          <w:lang w:val="es-ES_tradnl"/>
        </w:rPr>
        <w:t>Respecto a la Ley de Emprendimiento, u</w:t>
      </w:r>
      <w:r w:rsidR="00DD5B04" w:rsidRPr="007B78E6">
        <w:rPr>
          <w:rFonts w:ascii="Arial" w:hAnsi="Arial" w:cs="Arial"/>
          <w:color w:val="000000" w:themeColor="text1"/>
          <w:sz w:val="22"/>
          <w:lang w:val="es-ES_tradnl"/>
        </w:rPr>
        <w:t xml:space="preserve">sted </w:t>
      </w:r>
      <w:r w:rsidR="00B422C0" w:rsidRPr="007B78E6">
        <w:rPr>
          <w:rFonts w:ascii="Arial" w:hAnsi="Arial" w:cs="Arial"/>
          <w:color w:val="000000" w:themeColor="text1"/>
          <w:sz w:val="22"/>
          <w:lang w:val="es-ES_tradnl"/>
        </w:rPr>
        <w:t>formula</w:t>
      </w:r>
      <w:r w:rsidR="006D46A3" w:rsidRPr="007B78E6">
        <w:rPr>
          <w:rFonts w:ascii="Arial" w:hAnsi="Arial" w:cs="Arial"/>
          <w:color w:val="000000" w:themeColor="text1"/>
          <w:sz w:val="22"/>
          <w:lang w:val="es-ES_tradnl"/>
        </w:rPr>
        <w:t xml:space="preserve"> la siguiente</w:t>
      </w:r>
      <w:r w:rsidR="00C028F5" w:rsidRPr="007B78E6">
        <w:rPr>
          <w:rFonts w:ascii="Arial" w:hAnsi="Arial" w:cs="Arial"/>
          <w:color w:val="000000" w:themeColor="text1"/>
          <w:sz w:val="22"/>
          <w:lang w:val="es-ES_tradnl"/>
        </w:rPr>
        <w:t xml:space="preserve"> </w:t>
      </w:r>
      <w:r w:rsidR="009172B1" w:rsidRPr="007B78E6">
        <w:rPr>
          <w:rFonts w:ascii="Arial" w:hAnsi="Arial" w:cs="Arial"/>
          <w:color w:val="000000" w:themeColor="text1"/>
          <w:sz w:val="22"/>
          <w:lang w:val="es-ES_tradnl"/>
        </w:rPr>
        <w:t>consulta</w:t>
      </w:r>
      <w:r w:rsidR="00B422C0" w:rsidRPr="007B78E6">
        <w:rPr>
          <w:rFonts w:ascii="Arial" w:hAnsi="Arial" w:cs="Arial"/>
          <w:color w:val="000000" w:themeColor="text1"/>
          <w:sz w:val="22"/>
          <w:lang w:val="es-ES_tradnl"/>
        </w:rPr>
        <w:t>:</w:t>
      </w:r>
      <w:r w:rsidR="009172B1" w:rsidRPr="007B78E6">
        <w:rPr>
          <w:rFonts w:ascii="Arial" w:hAnsi="Arial" w:cs="Arial"/>
          <w:color w:val="000000" w:themeColor="text1"/>
          <w:sz w:val="22"/>
          <w:lang w:val="es-ES_tradnl"/>
        </w:rPr>
        <w:t xml:space="preserve"> </w:t>
      </w:r>
      <w:bookmarkStart w:id="3" w:name="_Hlk64300916"/>
      <w:r w:rsidR="009172B1" w:rsidRPr="007B78E6">
        <w:rPr>
          <w:rFonts w:ascii="Arial" w:hAnsi="Arial" w:cs="Arial"/>
          <w:color w:val="000000" w:themeColor="text1"/>
          <w:sz w:val="22"/>
          <w:lang w:val="es-ES_tradnl"/>
        </w:rPr>
        <w:t>«</w:t>
      </w:r>
      <w:r w:rsidRPr="007B78E6">
        <w:rPr>
          <w:rFonts w:ascii="Arial" w:hAnsi="Arial" w:cs="Arial"/>
          <w:color w:val="000000" w:themeColor="text1"/>
          <w:sz w:val="22"/>
          <w:lang w:val="es-ES_tradnl"/>
        </w:rPr>
        <w:t>¿</w:t>
      </w:r>
      <w:r w:rsidRPr="007B78E6">
        <w:rPr>
          <w:rFonts w:ascii="Arial" w:hAnsi="Arial" w:cs="Arial"/>
          <w:color w:val="000000" w:themeColor="text1"/>
          <w:sz w:val="22"/>
        </w:rPr>
        <w:t>En los procesos de mínima cuantía se debe dar aplicación a los criterios de desempate indicados en el artículo 35 de la ley 2069 de 2020 o al tener este un procedimiento especial fijado por el artículo 30 de la misma ley, el criterio de desempate lo fija cada entidad en sus invitaciones?</w:t>
      </w:r>
      <w:r w:rsidR="009172B1" w:rsidRPr="007B78E6">
        <w:rPr>
          <w:rFonts w:ascii="Arial" w:hAnsi="Arial" w:cs="Arial"/>
          <w:color w:val="000000" w:themeColor="text1"/>
          <w:sz w:val="22"/>
          <w:lang w:val="es-ES_tradnl"/>
        </w:rPr>
        <w:t>»</w:t>
      </w:r>
      <w:r w:rsidR="00CC3995" w:rsidRPr="007B78E6">
        <w:rPr>
          <w:rFonts w:ascii="Arial" w:hAnsi="Arial" w:cs="Arial"/>
          <w:color w:val="000000" w:themeColor="text1"/>
          <w:sz w:val="22"/>
          <w:lang w:val="es-ES_tradnl"/>
        </w:rPr>
        <w:t>.</w:t>
      </w:r>
      <w:bookmarkEnd w:id="3"/>
      <w:r w:rsidR="007E18DF" w:rsidRPr="007B78E6">
        <w:rPr>
          <w:rFonts w:ascii="Arial" w:hAnsi="Arial" w:cs="Arial"/>
          <w:color w:val="000000" w:themeColor="text1"/>
          <w:sz w:val="22"/>
          <w:lang w:val="es-ES_tradnl"/>
        </w:rPr>
        <w:t xml:space="preserve"> </w:t>
      </w:r>
    </w:p>
    <w:p w14:paraId="5E7EF83A" w14:textId="77777777" w:rsidR="00F80411" w:rsidRPr="007B78E6" w:rsidRDefault="00F80411" w:rsidP="009172B1">
      <w:pPr>
        <w:ind w:right="709"/>
        <w:jc w:val="both"/>
        <w:rPr>
          <w:rFonts w:ascii="Arial" w:hAnsi="Arial" w:cs="Arial"/>
          <w:color w:val="000000" w:themeColor="text1"/>
          <w:sz w:val="21"/>
          <w:szCs w:val="21"/>
          <w:lang w:val="es-ES_tradnl"/>
        </w:rPr>
      </w:pPr>
    </w:p>
    <w:p w14:paraId="4805B484" w14:textId="77777777" w:rsidR="00F80411" w:rsidRPr="007B78E6"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B78E6">
        <w:rPr>
          <w:rFonts w:ascii="Arial" w:eastAsia="Calibri" w:hAnsi="Arial" w:cs="Arial"/>
          <w:b/>
          <w:color w:val="000000" w:themeColor="text1"/>
          <w:sz w:val="22"/>
          <w:lang w:val="es-ES_tradnl"/>
        </w:rPr>
        <w:t>Consideraciones</w:t>
      </w:r>
    </w:p>
    <w:p w14:paraId="1DEB17ED" w14:textId="77777777" w:rsidR="00F80411" w:rsidRPr="007B78E6" w:rsidRDefault="00F80411" w:rsidP="00F80411">
      <w:pPr>
        <w:spacing w:line="276" w:lineRule="auto"/>
        <w:jc w:val="both"/>
        <w:rPr>
          <w:rFonts w:ascii="Arial" w:eastAsia="Calibri" w:hAnsi="Arial" w:cs="Arial"/>
          <w:color w:val="000000" w:themeColor="text1"/>
          <w:sz w:val="22"/>
          <w:szCs w:val="22"/>
          <w:lang w:val="es-ES_tradnl"/>
        </w:rPr>
      </w:pPr>
    </w:p>
    <w:p w14:paraId="5F01AF1F" w14:textId="77777777" w:rsidR="00F80411" w:rsidRPr="007B78E6" w:rsidRDefault="00F80411" w:rsidP="00191AE3">
      <w:pPr>
        <w:spacing w:after="120" w:line="276" w:lineRule="auto"/>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lastRenderedPageBreak/>
        <w:t xml:space="preserve">La Subdirección de Gestión Contractual responderá la consulta, luego de analizar los siguientes temas: i) definición de los criterios de desempate en la contratación estatal, </w:t>
      </w:r>
      <w:proofErr w:type="spellStart"/>
      <w:r w:rsidRPr="007B78E6">
        <w:rPr>
          <w:rFonts w:ascii="Arial" w:eastAsia="Calibri" w:hAnsi="Arial" w:cs="Arial"/>
          <w:color w:val="000000" w:themeColor="text1"/>
          <w:sz w:val="22"/>
          <w:szCs w:val="22"/>
          <w:lang w:val="es-ES_tradnl"/>
        </w:rPr>
        <w:t>ii</w:t>
      </w:r>
      <w:proofErr w:type="spellEnd"/>
      <w:r w:rsidRPr="007B78E6">
        <w:rPr>
          <w:rFonts w:ascii="Arial" w:eastAsia="Calibri" w:hAnsi="Arial" w:cs="Arial"/>
          <w:color w:val="000000" w:themeColor="text1"/>
          <w:sz w:val="22"/>
          <w:szCs w:val="22"/>
          <w:lang w:val="es-ES_tradnl"/>
        </w:rPr>
        <w:t xml:space="preserve">) vigencia y ámbito de aplicación de la Ley 2069 de 2020 y </w:t>
      </w:r>
      <w:proofErr w:type="spellStart"/>
      <w:r w:rsidRPr="007B78E6">
        <w:rPr>
          <w:rFonts w:ascii="Arial" w:eastAsia="Calibri" w:hAnsi="Arial" w:cs="Arial"/>
          <w:color w:val="000000" w:themeColor="text1"/>
          <w:sz w:val="22"/>
          <w:szCs w:val="22"/>
          <w:lang w:val="es-ES_tradnl"/>
        </w:rPr>
        <w:t>iii</w:t>
      </w:r>
      <w:proofErr w:type="spellEnd"/>
      <w:r w:rsidRPr="007B78E6">
        <w:rPr>
          <w:rFonts w:ascii="Arial" w:eastAsia="Calibri" w:hAnsi="Arial" w:cs="Arial"/>
          <w:color w:val="000000" w:themeColor="text1"/>
          <w:sz w:val="22"/>
          <w:szCs w:val="22"/>
          <w:lang w:val="es-ES_tradnl"/>
        </w:rPr>
        <w:t>) forma de acreditación de los factores de desempate consagrados en el artículo 35 de la mencionada Ley.</w:t>
      </w:r>
    </w:p>
    <w:p w14:paraId="5EA811CD" w14:textId="363B4448" w:rsidR="00F80411" w:rsidRPr="007B78E6" w:rsidRDefault="00191AE3" w:rsidP="00035FA2">
      <w:pPr>
        <w:tabs>
          <w:tab w:val="left" w:pos="426"/>
        </w:tabs>
        <w:spacing w:line="276" w:lineRule="auto"/>
        <w:jc w:val="both"/>
        <w:rPr>
          <w:rFonts w:ascii="Arial" w:eastAsia="Calibri" w:hAnsi="Arial" w:cs="Arial"/>
          <w:bCs/>
          <w:color w:val="000000" w:themeColor="text1"/>
          <w:sz w:val="22"/>
          <w:szCs w:val="22"/>
          <w:lang w:eastAsia="en-US"/>
        </w:rPr>
      </w:pPr>
      <w:r w:rsidRPr="007B78E6">
        <w:rPr>
          <w:rFonts w:ascii="Arial" w:eastAsia="Calibri" w:hAnsi="Arial" w:cs="Arial"/>
          <w:color w:val="000000" w:themeColor="text1"/>
          <w:sz w:val="22"/>
          <w:szCs w:val="22"/>
          <w:lang w:val="es-ES_tradnl"/>
        </w:rPr>
        <w:tab/>
      </w:r>
      <w:r w:rsidRPr="007B78E6">
        <w:rPr>
          <w:rFonts w:ascii="Arial" w:eastAsia="Calibri" w:hAnsi="Arial" w:cs="Arial"/>
          <w:color w:val="000000" w:themeColor="text1"/>
          <w:sz w:val="22"/>
          <w:szCs w:val="22"/>
          <w:lang w:val="es-ES_tradnl"/>
        </w:rPr>
        <w:tab/>
      </w:r>
      <w:r w:rsidR="00F80411" w:rsidRPr="007B78E6">
        <w:rPr>
          <w:rFonts w:ascii="Arial" w:eastAsia="Calibri" w:hAnsi="Arial" w:cs="Arial"/>
          <w:color w:val="000000" w:themeColor="text1"/>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w:t>
      </w:r>
      <w:r w:rsidR="00035FA2" w:rsidRPr="007B78E6">
        <w:rPr>
          <w:rFonts w:ascii="Arial" w:eastAsia="Calibri" w:hAnsi="Arial" w:cs="Arial"/>
          <w:color w:val="000000" w:themeColor="text1"/>
          <w:sz w:val="22"/>
          <w:szCs w:val="22"/>
          <w:lang w:val="es-ES_tradnl"/>
        </w:rPr>
        <w:t xml:space="preserve"> </w:t>
      </w:r>
      <w:r w:rsidR="004D2B97" w:rsidRPr="007B78E6">
        <w:rPr>
          <w:rFonts w:ascii="Arial" w:hAnsi="Arial" w:cs="Arial"/>
          <w:color w:val="000000"/>
          <w:sz w:val="22"/>
          <w:szCs w:val="22"/>
          <w:shd w:val="clear" w:color="auto" w:fill="FFFFFF"/>
        </w:rPr>
        <w:t>Igualmente, en los Conceptos C-009, 012, 013, 015, 016, 026 del 4 de febrero de 2021, así como en los Conceptos C-006 del 5 de febrero de 2021, C-043 del 9 de febrero de 2021, C-005 y C-007 del 16 de febrero de 2021, C-035 y C-040 del 2 de marzo de 2021,</w:t>
      </w:r>
      <w:r w:rsidR="00314ADB" w:rsidRPr="007B78E6">
        <w:rPr>
          <w:rFonts w:ascii="Arial" w:hAnsi="Arial" w:cs="Arial"/>
          <w:color w:val="000000"/>
          <w:sz w:val="22"/>
          <w:szCs w:val="22"/>
          <w:shd w:val="clear" w:color="auto" w:fill="FFFFFF"/>
        </w:rPr>
        <w:t xml:space="preserve"> C-141 y </w:t>
      </w:r>
      <w:r w:rsidR="00CB1D24" w:rsidRPr="007B78E6">
        <w:rPr>
          <w:rFonts w:ascii="Arial" w:hAnsi="Arial" w:cs="Arial"/>
          <w:color w:val="000000"/>
          <w:sz w:val="22"/>
          <w:szCs w:val="22"/>
          <w:shd w:val="clear" w:color="auto" w:fill="FFFFFF"/>
        </w:rPr>
        <w:t>C-</w:t>
      </w:r>
      <w:r w:rsidR="00314ADB" w:rsidRPr="007B78E6">
        <w:rPr>
          <w:rFonts w:ascii="Arial" w:hAnsi="Arial" w:cs="Arial"/>
          <w:color w:val="000000"/>
          <w:sz w:val="22"/>
          <w:szCs w:val="22"/>
          <w:shd w:val="clear" w:color="auto" w:fill="FFFFFF"/>
        </w:rPr>
        <w:t>199 del 8 de abril de 2021,</w:t>
      </w:r>
      <w:r w:rsidR="004D2B97" w:rsidRPr="007B78E6">
        <w:rPr>
          <w:rFonts w:ascii="Arial" w:hAnsi="Arial" w:cs="Arial"/>
          <w:color w:val="000000"/>
          <w:sz w:val="22"/>
          <w:szCs w:val="22"/>
          <w:shd w:val="clear" w:color="auto" w:fill="FFFFFF"/>
        </w:rPr>
        <w:t xml:space="preserve"> se analizaron algunos aspectos sobre la aplicación de la Ley de Emprendimiento</w:t>
      </w:r>
      <w:r w:rsidR="00035FA2" w:rsidRPr="007B78E6">
        <w:rPr>
          <w:rFonts w:ascii="Arial" w:eastAsia="Calibri" w:hAnsi="Arial" w:cs="Arial"/>
          <w:bCs/>
          <w:color w:val="000000" w:themeColor="text1"/>
          <w:sz w:val="22"/>
        </w:rPr>
        <w:t>.</w:t>
      </w:r>
      <w:r w:rsidR="00F80411" w:rsidRPr="007B78E6">
        <w:rPr>
          <w:rFonts w:ascii="Arial" w:eastAsia="Calibri" w:hAnsi="Arial" w:cs="Arial"/>
          <w:color w:val="000000" w:themeColor="text1"/>
          <w:sz w:val="22"/>
          <w:szCs w:val="22"/>
          <w:lang w:val="es-ES_tradnl"/>
        </w:rPr>
        <w:t xml:space="preserve"> </w:t>
      </w:r>
      <w:r w:rsidR="00035FA2" w:rsidRPr="007B78E6">
        <w:rPr>
          <w:rFonts w:ascii="Arial" w:eastAsia="Calibri" w:hAnsi="Arial" w:cs="Arial"/>
          <w:bCs/>
          <w:color w:val="000000" w:themeColor="text1"/>
          <w:sz w:val="22"/>
        </w:rPr>
        <w:t>En lo pertinente, la tesis desarrollada en estos conceptos se reitera a continuación:</w:t>
      </w:r>
    </w:p>
    <w:p w14:paraId="70BFC1A2" w14:textId="77777777" w:rsidR="00F80411" w:rsidRPr="007B78E6" w:rsidRDefault="00F80411" w:rsidP="00F80411">
      <w:pPr>
        <w:spacing w:line="276" w:lineRule="auto"/>
        <w:jc w:val="both"/>
        <w:rPr>
          <w:rFonts w:ascii="Arial" w:eastAsia="Calibri" w:hAnsi="Arial" w:cs="Arial"/>
          <w:color w:val="000000" w:themeColor="text1"/>
          <w:sz w:val="22"/>
          <w:szCs w:val="22"/>
          <w:lang w:val="es-ES_tradnl"/>
        </w:rPr>
      </w:pPr>
    </w:p>
    <w:p w14:paraId="07744DBB" w14:textId="77777777" w:rsidR="00F80411" w:rsidRPr="007B78E6" w:rsidRDefault="00F80411" w:rsidP="00F80411">
      <w:pPr>
        <w:spacing w:line="276" w:lineRule="auto"/>
        <w:jc w:val="both"/>
        <w:rPr>
          <w:rFonts w:ascii="Arial" w:eastAsia="Calibri" w:hAnsi="Arial" w:cs="Arial"/>
          <w:b/>
          <w:bCs/>
          <w:color w:val="000000" w:themeColor="text1"/>
          <w:sz w:val="22"/>
          <w:szCs w:val="22"/>
          <w:lang w:val="es-ES_tradnl"/>
        </w:rPr>
      </w:pPr>
      <w:r w:rsidRPr="007B78E6">
        <w:rPr>
          <w:rFonts w:ascii="Arial" w:eastAsia="Calibri" w:hAnsi="Arial" w:cs="Arial"/>
          <w:b/>
          <w:bCs/>
          <w:color w:val="000000" w:themeColor="text1"/>
          <w:sz w:val="22"/>
          <w:szCs w:val="22"/>
          <w:lang w:val="es-ES_tradnl"/>
        </w:rPr>
        <w:t>2.1. Factores de desempate en la contratación estatal: concepto y características</w:t>
      </w:r>
    </w:p>
    <w:p w14:paraId="13D6A560" w14:textId="77777777" w:rsidR="00F80411" w:rsidRPr="007B78E6" w:rsidRDefault="00F80411" w:rsidP="00F80411">
      <w:pPr>
        <w:spacing w:line="276" w:lineRule="auto"/>
        <w:jc w:val="both"/>
        <w:rPr>
          <w:rFonts w:ascii="Arial" w:eastAsia="Calibri" w:hAnsi="Arial" w:cs="Arial"/>
          <w:color w:val="000000" w:themeColor="text1"/>
          <w:sz w:val="22"/>
          <w:szCs w:val="22"/>
          <w:lang w:val="es-ES_tradnl"/>
        </w:rPr>
      </w:pPr>
    </w:p>
    <w:p w14:paraId="2C930E52" w14:textId="2A6F92F7" w:rsidR="00F80411" w:rsidRPr="007B78E6" w:rsidRDefault="00F80411" w:rsidP="00F80411">
      <w:pPr>
        <w:spacing w:line="276" w:lineRule="auto"/>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7B78E6">
        <w:rPr>
          <w:rFonts w:ascii="Arial" w:eastAsia="Calibri" w:hAnsi="Arial" w:cs="Arial"/>
          <w:color w:val="000000" w:themeColor="text1"/>
          <w:sz w:val="22"/>
          <w:szCs w:val="22"/>
          <w:lang w:val="es-ES_tradnl"/>
        </w:rPr>
        <w:t>equivalentes,</w:t>
      </w:r>
      <w:proofErr w:type="gramEnd"/>
      <w:r w:rsidRPr="007B78E6">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20992D58" w14:textId="77777777" w:rsidR="00F80411" w:rsidRPr="007B78E6"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w:t>
      </w:r>
      <w:r w:rsidRPr="007B78E6">
        <w:rPr>
          <w:rFonts w:ascii="Arial" w:eastAsia="Calibri" w:hAnsi="Arial" w:cs="Arial"/>
          <w:color w:val="000000" w:themeColor="text1"/>
          <w:sz w:val="22"/>
          <w:szCs w:val="22"/>
          <w:lang w:val="es-ES_tradnl"/>
        </w:rPr>
        <w:lastRenderedPageBreak/>
        <w:t xml:space="preserve">dos o más oferentes alcanzan una puntuación similar, al ponderarse los criterios de calificación que, en principio, aplican al procedimiento de selección. </w:t>
      </w:r>
    </w:p>
    <w:p w14:paraId="2F6D3C5F" w14:textId="227FDB25" w:rsidR="00F80411" w:rsidRPr="007B78E6" w:rsidRDefault="00FA7AE7" w:rsidP="00F80411">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Sin embargo</w:t>
      </w:r>
      <w:r w:rsidR="00F80411" w:rsidRPr="007B78E6">
        <w:rPr>
          <w:rFonts w:ascii="Arial" w:eastAsia="Calibri" w:hAnsi="Arial" w:cs="Arial"/>
          <w:color w:val="000000" w:themeColor="text1"/>
          <w:sz w:val="22"/>
          <w:szCs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sidR="007B770F" w:rsidRPr="007B78E6">
        <w:rPr>
          <w:rFonts w:ascii="Arial" w:eastAsia="Calibri" w:hAnsi="Arial" w:cs="Arial"/>
          <w:color w:val="000000" w:themeColor="text1"/>
          <w:sz w:val="22"/>
          <w:szCs w:val="22"/>
          <w:lang w:val="es-ES_tradnl"/>
        </w:rPr>
        <w:t xml:space="preserve">, entre las que se </w:t>
      </w:r>
      <w:r w:rsidR="00A25748" w:rsidRPr="007B78E6">
        <w:rPr>
          <w:rFonts w:ascii="Arial" w:eastAsia="Calibri" w:hAnsi="Arial" w:cs="Arial"/>
          <w:color w:val="000000" w:themeColor="text1"/>
          <w:sz w:val="22"/>
          <w:szCs w:val="22"/>
          <w:lang w:val="es-ES_tradnl"/>
        </w:rPr>
        <w:t>cuenta el</w:t>
      </w:r>
      <w:r w:rsidR="00F80411" w:rsidRPr="007B78E6">
        <w:rPr>
          <w:rFonts w:ascii="Arial" w:eastAsia="Calibri" w:hAnsi="Arial" w:cs="Arial"/>
          <w:color w:val="000000" w:themeColor="text1"/>
          <w:sz w:val="22"/>
          <w:szCs w:val="22"/>
          <w:lang w:val="es-ES_tradnl"/>
        </w:rPr>
        <w:t xml:space="preserve"> artículo 35 de la Ley 2069 de 2020. La jurisprudencia comparte la idea de que los criterios de desempate deben estar establecidos de antemano y constituyen un límite a la discrecionalidad administrativa en los procedimientos de selección</w:t>
      </w:r>
      <w:r w:rsidR="00F80411" w:rsidRPr="007B78E6">
        <w:rPr>
          <w:rStyle w:val="Refdenotaalpie"/>
          <w:rFonts w:ascii="Arial" w:hAnsi="Arial" w:cs="Arial"/>
          <w:sz w:val="21"/>
          <w:szCs w:val="21"/>
          <w:lang w:val="es-ES_tradnl"/>
        </w:rPr>
        <w:footnoteReference w:id="2"/>
      </w:r>
      <w:r w:rsidR="00F80411" w:rsidRPr="007B78E6">
        <w:rPr>
          <w:rFonts w:ascii="Arial" w:eastAsia="Calibri" w:hAnsi="Arial" w:cs="Arial"/>
          <w:color w:val="000000" w:themeColor="text1"/>
          <w:sz w:val="22"/>
          <w:szCs w:val="22"/>
          <w:lang w:val="es-ES_tradnl"/>
        </w:rPr>
        <w:t xml:space="preserve">. </w:t>
      </w:r>
    </w:p>
    <w:p w14:paraId="0CB1D338" w14:textId="24E2A1F1" w:rsidR="00F80411" w:rsidRPr="007B78E6"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7B78E6">
        <w:rPr>
          <w:rFonts w:ascii="Arial" w:eastAsia="Calibri" w:hAnsi="Arial" w:cs="Arial"/>
          <w:color w:val="000000" w:themeColor="text1"/>
          <w:sz w:val="22"/>
          <w:szCs w:val="22"/>
          <w:lang w:val="es-ES_tradnl"/>
        </w:rPr>
        <w:t>inaplicarlos</w:t>
      </w:r>
      <w:proofErr w:type="spellEnd"/>
      <w:r w:rsidRPr="007B78E6">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7B78E6">
        <w:rPr>
          <w:rStyle w:val="Refdenotaalpie"/>
          <w:rFonts w:ascii="Arial" w:eastAsia="Calibri" w:hAnsi="Arial" w:cs="Arial"/>
          <w:color w:val="000000" w:themeColor="text1"/>
          <w:sz w:val="22"/>
          <w:szCs w:val="22"/>
          <w:lang w:val="es-ES_tradnl"/>
        </w:rPr>
        <w:footnoteReference w:id="3"/>
      </w:r>
      <w:r w:rsidRPr="007B78E6">
        <w:rPr>
          <w:rFonts w:ascii="Arial" w:eastAsia="Calibri" w:hAnsi="Arial" w:cs="Arial"/>
          <w:color w:val="000000" w:themeColor="text1"/>
          <w:sz w:val="22"/>
          <w:szCs w:val="22"/>
          <w:lang w:val="es-ES_tradnl"/>
        </w:rPr>
        <w:t xml:space="preserve">. </w:t>
      </w:r>
      <w:r w:rsidR="007B770F" w:rsidRPr="007B78E6">
        <w:rPr>
          <w:rFonts w:ascii="Arial" w:eastAsia="Calibri" w:hAnsi="Arial" w:cs="Arial"/>
          <w:color w:val="000000" w:themeColor="text1"/>
          <w:sz w:val="22"/>
          <w:szCs w:val="22"/>
          <w:lang w:val="es-ES_tradnl"/>
        </w:rPr>
        <w:t>Más aún</w:t>
      </w:r>
      <w:r w:rsidRPr="007B78E6">
        <w:rPr>
          <w:rFonts w:ascii="Arial" w:eastAsia="Calibri" w:hAnsi="Arial" w:cs="Arial"/>
          <w:color w:val="000000" w:themeColor="text1"/>
          <w:sz w:val="22"/>
          <w:szCs w:val="22"/>
          <w:lang w:val="es-ES_tradnl"/>
        </w:rPr>
        <w:t>, según el Consejo de Estado, ir en contra de los factores de desempate establecidos expresamente genera la nulidad del contrato, conforme al artículo 44, inciso 1º de la Ley 80 de 1993</w:t>
      </w:r>
      <w:r w:rsidRPr="007B78E6">
        <w:rPr>
          <w:rStyle w:val="Refdenotaalpie"/>
          <w:rFonts w:ascii="Arial" w:eastAsia="Calibri" w:hAnsi="Arial" w:cs="Arial"/>
          <w:color w:val="000000" w:themeColor="text1"/>
          <w:sz w:val="22"/>
          <w:szCs w:val="22"/>
          <w:lang w:val="es-ES_tradnl"/>
        </w:rPr>
        <w:footnoteReference w:id="4"/>
      </w:r>
      <w:r w:rsidRPr="007B78E6">
        <w:rPr>
          <w:rFonts w:ascii="Arial" w:eastAsia="Calibri" w:hAnsi="Arial" w:cs="Arial"/>
          <w:color w:val="000000" w:themeColor="text1"/>
          <w:sz w:val="22"/>
          <w:szCs w:val="22"/>
          <w:lang w:val="es-ES_tradnl"/>
        </w:rPr>
        <w:t>.</w:t>
      </w:r>
    </w:p>
    <w:p w14:paraId="1D00C27E" w14:textId="77777777" w:rsidR="00F80411" w:rsidRPr="007B78E6"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Ahora bien, en cumplimiento de los principios de reciprocidad y de </w:t>
      </w:r>
      <w:r w:rsidRPr="007B78E6">
        <w:rPr>
          <w:rFonts w:ascii="Arial" w:eastAsia="Calibri" w:hAnsi="Arial" w:cs="Arial"/>
          <w:i/>
          <w:iCs/>
          <w:color w:val="000000" w:themeColor="text1"/>
          <w:sz w:val="22"/>
          <w:szCs w:val="22"/>
          <w:lang w:val="es-ES_tradnl"/>
        </w:rPr>
        <w:t xml:space="preserve">pacta sunt </w:t>
      </w:r>
      <w:proofErr w:type="spellStart"/>
      <w:r w:rsidRPr="007B78E6">
        <w:rPr>
          <w:rFonts w:ascii="Arial" w:eastAsia="Calibri" w:hAnsi="Arial" w:cs="Arial"/>
          <w:i/>
          <w:iCs/>
          <w:color w:val="000000" w:themeColor="text1"/>
          <w:sz w:val="22"/>
          <w:szCs w:val="22"/>
          <w:lang w:val="es-ES_tradnl"/>
        </w:rPr>
        <w:t>servanda</w:t>
      </w:r>
      <w:proofErr w:type="spellEnd"/>
      <w:r w:rsidRPr="007B78E6">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413229A0" w14:textId="77777777" w:rsidR="00F80411" w:rsidRPr="007B78E6" w:rsidRDefault="00F80411" w:rsidP="00F80411">
      <w:pPr>
        <w:spacing w:line="276" w:lineRule="auto"/>
        <w:rPr>
          <w:rFonts w:ascii="Arial" w:eastAsia="Calibri" w:hAnsi="Arial" w:cs="Arial"/>
          <w:color w:val="000000" w:themeColor="text1"/>
          <w:sz w:val="22"/>
          <w:szCs w:val="22"/>
          <w:lang w:val="es-ES_tradnl"/>
        </w:rPr>
      </w:pPr>
    </w:p>
    <w:p w14:paraId="3C73AE66" w14:textId="77777777" w:rsidR="00F80411" w:rsidRPr="007B78E6" w:rsidRDefault="00F80411" w:rsidP="00F80411">
      <w:pPr>
        <w:spacing w:line="276" w:lineRule="auto"/>
        <w:jc w:val="both"/>
        <w:rPr>
          <w:rFonts w:ascii="Arial" w:eastAsia="Calibri" w:hAnsi="Arial" w:cs="Arial"/>
          <w:b/>
          <w:bCs/>
          <w:color w:val="000000" w:themeColor="text1"/>
          <w:sz w:val="22"/>
          <w:szCs w:val="22"/>
          <w:lang w:val="es-ES_tradnl"/>
        </w:rPr>
      </w:pPr>
      <w:r w:rsidRPr="007B78E6">
        <w:rPr>
          <w:rFonts w:ascii="Arial" w:eastAsia="Calibri" w:hAnsi="Arial" w:cs="Arial"/>
          <w:b/>
          <w:bCs/>
          <w:color w:val="000000" w:themeColor="text1"/>
          <w:sz w:val="22"/>
          <w:szCs w:val="22"/>
          <w:lang w:val="es-ES_tradnl"/>
        </w:rPr>
        <w:t>2.2. Vigencia y ámbito de aplicación de la Ley 2069 de 2020</w:t>
      </w:r>
    </w:p>
    <w:p w14:paraId="3CF65FA3" w14:textId="77777777" w:rsidR="00F80411" w:rsidRPr="007B78E6" w:rsidRDefault="00F80411" w:rsidP="00F80411">
      <w:pPr>
        <w:spacing w:line="276" w:lineRule="auto"/>
        <w:jc w:val="both"/>
        <w:rPr>
          <w:rFonts w:ascii="Arial" w:eastAsia="Calibri" w:hAnsi="Arial" w:cs="Arial"/>
          <w:color w:val="000000" w:themeColor="text1"/>
          <w:sz w:val="22"/>
          <w:szCs w:val="22"/>
          <w:lang w:val="es-ES_tradnl"/>
        </w:rPr>
      </w:pPr>
    </w:p>
    <w:p w14:paraId="52BFCF39" w14:textId="77777777" w:rsidR="00F80411" w:rsidRPr="007B78E6" w:rsidRDefault="00F80411" w:rsidP="00F80411">
      <w:pPr>
        <w:spacing w:line="276" w:lineRule="auto"/>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lastRenderedPageBreak/>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37DA3D6" w14:textId="256B5239" w:rsidR="00F80411" w:rsidRPr="007B78E6"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7B78E6">
        <w:rPr>
          <w:rFonts w:ascii="Arial" w:eastAsia="Calibri" w:hAnsi="Arial" w:cs="Arial"/>
          <w:color w:val="000000" w:themeColor="text1"/>
          <w:sz w:val="22"/>
          <w:szCs w:val="22"/>
          <w:lang w:val="es-ES_tradnl"/>
        </w:rPr>
        <w:t>de acuerdo a</w:t>
      </w:r>
      <w:proofErr w:type="gramEnd"/>
      <w:r w:rsidRPr="007B78E6">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7B78E6">
        <w:rPr>
          <w:rFonts w:ascii="Arial" w:eastAsia="Calibri" w:hAnsi="Arial" w:cs="Arial"/>
          <w:color w:val="000000" w:themeColor="text1"/>
          <w:sz w:val="22"/>
          <w:szCs w:val="22"/>
          <w:lang w:val="es-ES_tradnl"/>
        </w:rPr>
        <w:t>mipymes</w:t>
      </w:r>
      <w:proofErr w:type="spellEnd"/>
      <w:r w:rsidRPr="007B78E6">
        <w:rPr>
          <w:rFonts w:ascii="Arial" w:eastAsia="Calibri" w:hAnsi="Arial" w:cs="Arial"/>
          <w:color w:val="000000" w:themeColor="text1"/>
          <w:sz w:val="22"/>
          <w:szCs w:val="22"/>
          <w:lang w:val="es-ES_tradnl"/>
        </w:rPr>
        <w:t>–, mediante la racionalización y simplificación de los trámites y tarifas</w:t>
      </w:r>
      <w:r w:rsidRPr="007B78E6">
        <w:rPr>
          <w:rStyle w:val="Refdenotaalpie"/>
          <w:rFonts w:ascii="Arial" w:eastAsia="Calibri" w:hAnsi="Arial" w:cs="Arial"/>
          <w:color w:val="000000" w:themeColor="text1"/>
          <w:sz w:val="22"/>
          <w:szCs w:val="22"/>
          <w:lang w:val="es-ES_tradnl"/>
        </w:rPr>
        <w:footnoteReference w:id="5"/>
      </w:r>
      <w:r w:rsidRPr="007B78E6">
        <w:rPr>
          <w:rFonts w:ascii="Arial" w:eastAsia="Calibri" w:hAnsi="Arial" w:cs="Arial"/>
          <w:color w:val="000000" w:themeColor="text1"/>
          <w:sz w:val="22"/>
          <w:szCs w:val="22"/>
          <w:lang w:val="es-ES_tradnl"/>
        </w:rPr>
        <w:t>, así como incentivos a favor de aquellas dentro del sistema de compras y contratación pública</w:t>
      </w:r>
      <w:r w:rsidRPr="007B78E6">
        <w:rPr>
          <w:rStyle w:val="Refdenotaalpie"/>
          <w:rFonts w:ascii="Arial" w:eastAsia="Calibri" w:hAnsi="Arial" w:cs="Arial"/>
          <w:color w:val="000000" w:themeColor="text1"/>
          <w:sz w:val="22"/>
          <w:szCs w:val="22"/>
          <w:lang w:val="es-ES_tradnl"/>
        </w:rPr>
        <w:footnoteReference w:id="6"/>
      </w:r>
      <w:r w:rsidRPr="007B78E6">
        <w:rPr>
          <w:rFonts w:ascii="Arial" w:eastAsia="Calibri" w:hAnsi="Arial" w:cs="Arial"/>
          <w:color w:val="000000" w:themeColor="text1"/>
          <w:sz w:val="22"/>
          <w:szCs w:val="22"/>
          <w:lang w:val="es-ES_tradnl"/>
        </w:rPr>
        <w:t xml:space="preserve">. </w:t>
      </w:r>
      <w:r w:rsidR="007B770F" w:rsidRPr="007B78E6">
        <w:rPr>
          <w:rFonts w:ascii="Arial" w:eastAsia="Calibri" w:hAnsi="Arial" w:cs="Arial"/>
          <w:color w:val="000000" w:themeColor="text1"/>
          <w:sz w:val="22"/>
          <w:szCs w:val="22"/>
          <w:lang w:val="es-ES_tradnl"/>
        </w:rPr>
        <w:t>De igual forma,</w:t>
      </w:r>
      <w:r w:rsidRPr="007B78E6">
        <w:rPr>
          <w:rFonts w:ascii="Arial" w:eastAsia="Calibri" w:hAnsi="Arial" w:cs="Arial"/>
          <w:color w:val="000000" w:themeColor="text1"/>
          <w:sz w:val="22"/>
          <w:szCs w:val="22"/>
          <w:lang w:val="es-ES_tradnl"/>
        </w:rPr>
        <w:t xml:space="preserve"> se consagran mecanismos de acceso al financiamiento</w:t>
      </w:r>
      <w:r w:rsidRPr="007B78E6">
        <w:rPr>
          <w:rStyle w:val="Refdenotaalpie"/>
          <w:rFonts w:ascii="Arial" w:eastAsia="Calibri" w:hAnsi="Arial" w:cs="Arial"/>
          <w:color w:val="000000" w:themeColor="text1"/>
          <w:sz w:val="22"/>
          <w:szCs w:val="22"/>
          <w:lang w:val="es-ES_tradnl"/>
        </w:rPr>
        <w:footnoteReference w:id="7"/>
      </w:r>
      <w:r w:rsidRPr="007B78E6">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7B78E6">
        <w:rPr>
          <w:rStyle w:val="Refdenotaalpie"/>
          <w:rFonts w:ascii="Arial" w:eastAsia="Calibri" w:hAnsi="Arial" w:cs="Arial"/>
          <w:color w:val="000000" w:themeColor="text1"/>
          <w:sz w:val="22"/>
          <w:szCs w:val="22"/>
          <w:lang w:val="es-ES_tradnl"/>
        </w:rPr>
        <w:footnoteReference w:id="8"/>
      </w:r>
      <w:r w:rsidRPr="007B78E6">
        <w:rPr>
          <w:rFonts w:ascii="Arial" w:eastAsia="Calibri" w:hAnsi="Arial" w:cs="Arial"/>
          <w:color w:val="000000" w:themeColor="text1"/>
          <w:sz w:val="22"/>
          <w:szCs w:val="22"/>
          <w:lang w:val="es-ES_tradnl"/>
        </w:rPr>
        <w:t xml:space="preserve"> y se prevén medidas de educación para el emprendimiento y la innovación</w:t>
      </w:r>
      <w:r w:rsidRPr="007B78E6">
        <w:rPr>
          <w:rStyle w:val="Refdenotaalpie"/>
          <w:rFonts w:ascii="Arial" w:eastAsia="Calibri" w:hAnsi="Arial" w:cs="Arial"/>
          <w:color w:val="000000" w:themeColor="text1"/>
          <w:sz w:val="22"/>
          <w:szCs w:val="22"/>
          <w:lang w:val="es-ES_tradnl"/>
        </w:rPr>
        <w:footnoteReference w:id="9"/>
      </w:r>
      <w:r w:rsidRPr="007B78E6">
        <w:rPr>
          <w:rFonts w:ascii="Arial" w:eastAsia="Calibri" w:hAnsi="Arial" w:cs="Arial"/>
          <w:color w:val="000000" w:themeColor="text1"/>
          <w:sz w:val="22"/>
          <w:szCs w:val="22"/>
          <w:lang w:val="es-ES_tradnl"/>
        </w:rPr>
        <w:t>.</w:t>
      </w:r>
    </w:p>
    <w:p w14:paraId="3F42E22F" w14:textId="3B893FF7" w:rsidR="001B0F40" w:rsidRPr="007B78E6" w:rsidRDefault="00F80411" w:rsidP="009B0101">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7B78E6">
        <w:rPr>
          <w:rFonts w:ascii="Arial" w:eastAsia="Calibri" w:hAnsi="Arial" w:cs="Arial"/>
          <w:color w:val="000000" w:themeColor="text1"/>
          <w:sz w:val="22"/>
          <w:szCs w:val="22"/>
          <w:lang w:val="es-ES_tradnl"/>
        </w:rPr>
        <w:t>mipymes</w:t>
      </w:r>
      <w:proofErr w:type="spellEnd"/>
      <w:r w:rsidRPr="007B78E6">
        <w:rPr>
          <w:rFonts w:ascii="Arial" w:eastAsia="Calibri" w:hAnsi="Arial" w:cs="Arial"/>
          <w:color w:val="000000" w:themeColor="text1"/>
          <w:sz w:val="22"/>
          <w:szCs w:val="22"/>
          <w:lang w:val="es-ES_tradnl"/>
        </w:rPr>
        <w:t xml:space="preserve"> en el procedimiento de mínima cuantía, </w:t>
      </w:r>
      <w:proofErr w:type="spellStart"/>
      <w:r w:rsidRPr="007B78E6">
        <w:rPr>
          <w:rFonts w:ascii="Arial" w:eastAsia="Calibri" w:hAnsi="Arial" w:cs="Arial"/>
          <w:color w:val="000000" w:themeColor="text1"/>
          <w:sz w:val="22"/>
          <w:szCs w:val="22"/>
          <w:lang w:val="es-ES_tradnl"/>
        </w:rPr>
        <w:t>ii</w:t>
      </w:r>
      <w:proofErr w:type="spellEnd"/>
      <w:r w:rsidRPr="007B78E6">
        <w:rPr>
          <w:rFonts w:ascii="Arial" w:eastAsia="Calibri" w:hAnsi="Arial" w:cs="Arial"/>
          <w:color w:val="000000" w:themeColor="text1"/>
          <w:sz w:val="22"/>
          <w:szCs w:val="22"/>
          <w:lang w:val="es-ES_tradnl"/>
        </w:rPr>
        <w:t xml:space="preserve">) criterios diferenciales para </w:t>
      </w:r>
      <w:proofErr w:type="spellStart"/>
      <w:r w:rsidRPr="007B78E6">
        <w:rPr>
          <w:rFonts w:ascii="Arial" w:eastAsia="Calibri" w:hAnsi="Arial" w:cs="Arial"/>
          <w:color w:val="000000" w:themeColor="text1"/>
          <w:sz w:val="22"/>
          <w:szCs w:val="22"/>
          <w:lang w:val="es-ES_tradnl"/>
        </w:rPr>
        <w:t>mipymes</w:t>
      </w:r>
      <w:proofErr w:type="spellEnd"/>
      <w:r w:rsidRPr="007B78E6">
        <w:rPr>
          <w:rFonts w:ascii="Arial" w:eastAsia="Calibri" w:hAnsi="Arial" w:cs="Arial"/>
          <w:color w:val="000000" w:themeColor="text1"/>
          <w:sz w:val="22"/>
          <w:szCs w:val="22"/>
          <w:lang w:val="es-ES_tradnl"/>
        </w:rPr>
        <w:t xml:space="preserve"> en el sistema de compras públicas, </w:t>
      </w:r>
      <w:proofErr w:type="spellStart"/>
      <w:r w:rsidRPr="007B78E6">
        <w:rPr>
          <w:rFonts w:ascii="Arial" w:eastAsia="Calibri" w:hAnsi="Arial" w:cs="Arial"/>
          <w:color w:val="000000" w:themeColor="text1"/>
          <w:sz w:val="22"/>
          <w:szCs w:val="22"/>
          <w:lang w:val="es-ES_tradnl"/>
        </w:rPr>
        <w:t>iii</w:t>
      </w:r>
      <w:proofErr w:type="spellEnd"/>
      <w:r w:rsidRPr="007B78E6">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7B78E6">
        <w:rPr>
          <w:rFonts w:ascii="Arial" w:eastAsia="Calibri" w:hAnsi="Arial" w:cs="Arial"/>
          <w:color w:val="000000" w:themeColor="text1"/>
          <w:sz w:val="22"/>
          <w:szCs w:val="22"/>
          <w:lang w:val="es-ES_tradnl"/>
        </w:rPr>
        <w:t>iv</w:t>
      </w:r>
      <w:proofErr w:type="spellEnd"/>
      <w:r w:rsidRPr="007B78E6">
        <w:rPr>
          <w:rFonts w:ascii="Arial" w:eastAsia="Calibri" w:hAnsi="Arial" w:cs="Arial"/>
          <w:color w:val="000000" w:themeColor="text1"/>
          <w:sz w:val="22"/>
          <w:szCs w:val="22"/>
          <w:lang w:val="es-ES_tradnl"/>
        </w:rPr>
        <w:t xml:space="preserve">) promoción del acceso de las </w:t>
      </w:r>
      <w:proofErr w:type="spellStart"/>
      <w:r w:rsidRPr="007B78E6">
        <w:rPr>
          <w:rFonts w:ascii="Arial" w:eastAsia="Calibri" w:hAnsi="Arial" w:cs="Arial"/>
          <w:color w:val="000000" w:themeColor="text1"/>
          <w:sz w:val="22"/>
          <w:szCs w:val="22"/>
          <w:lang w:val="es-ES_tradnl"/>
        </w:rPr>
        <w:t>mipymes</w:t>
      </w:r>
      <w:proofErr w:type="spellEnd"/>
      <w:r w:rsidRPr="007B78E6">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proofErr w:type="gramStart"/>
      <w:r w:rsidRPr="007B78E6">
        <w:rPr>
          <w:rFonts w:ascii="Arial" w:eastAsia="Calibri" w:hAnsi="Arial" w:cs="Arial"/>
          <w:color w:val="000000" w:themeColor="text1"/>
          <w:sz w:val="22"/>
          <w:szCs w:val="22"/>
          <w:lang w:val="es-ES_tradnl"/>
        </w:rPr>
        <w:t>continuación</w:t>
      </w:r>
      <w:proofErr w:type="gramEnd"/>
      <w:r w:rsidRPr="007B78E6">
        <w:rPr>
          <w:rFonts w:ascii="Arial" w:eastAsia="Calibri" w:hAnsi="Arial" w:cs="Arial"/>
          <w:color w:val="000000" w:themeColor="text1"/>
          <w:sz w:val="22"/>
          <w:szCs w:val="22"/>
          <w:lang w:val="es-ES_tradnl"/>
        </w:rPr>
        <w:t xml:space="preserve"> se estudiará el contenido y alcance de dicha norma.  </w:t>
      </w:r>
    </w:p>
    <w:p w14:paraId="0F9968F1" w14:textId="77777777" w:rsidR="001B0F40" w:rsidRPr="007B78E6" w:rsidRDefault="001B0F40" w:rsidP="00833ADA">
      <w:pPr>
        <w:spacing w:line="276" w:lineRule="auto"/>
        <w:jc w:val="both"/>
        <w:rPr>
          <w:rFonts w:ascii="Arial" w:eastAsia="Calibri" w:hAnsi="Arial" w:cs="Arial"/>
          <w:b/>
          <w:bCs/>
          <w:color w:val="000000" w:themeColor="text1"/>
          <w:sz w:val="22"/>
          <w:szCs w:val="22"/>
          <w:lang w:val="es-ES_tradnl"/>
        </w:rPr>
      </w:pPr>
    </w:p>
    <w:p w14:paraId="2C2833A6" w14:textId="213E2CFA" w:rsidR="00833ADA" w:rsidRPr="007B78E6" w:rsidRDefault="00523F41" w:rsidP="00833ADA">
      <w:pPr>
        <w:spacing w:line="276" w:lineRule="auto"/>
        <w:jc w:val="both"/>
        <w:rPr>
          <w:rFonts w:ascii="Arial" w:eastAsia="Calibri" w:hAnsi="Arial" w:cs="Arial"/>
          <w:b/>
          <w:bCs/>
          <w:color w:val="000000" w:themeColor="text1"/>
          <w:sz w:val="22"/>
          <w:szCs w:val="22"/>
          <w:lang w:val="es-ES_tradnl"/>
        </w:rPr>
      </w:pPr>
      <w:r w:rsidRPr="007B78E6">
        <w:rPr>
          <w:rFonts w:ascii="Arial" w:eastAsia="Calibri" w:hAnsi="Arial" w:cs="Arial"/>
          <w:b/>
          <w:bCs/>
          <w:color w:val="000000" w:themeColor="text1"/>
          <w:sz w:val="22"/>
          <w:szCs w:val="22"/>
          <w:lang w:val="es-ES_tradnl"/>
        </w:rPr>
        <w:t>2.3.</w:t>
      </w:r>
      <w:r w:rsidR="00833ADA" w:rsidRPr="007B78E6">
        <w:rPr>
          <w:rFonts w:ascii="Arial" w:eastAsia="Calibri" w:hAnsi="Arial" w:cs="Arial"/>
          <w:b/>
          <w:bCs/>
          <w:color w:val="000000" w:themeColor="text1"/>
          <w:sz w:val="22"/>
          <w:szCs w:val="22"/>
          <w:lang w:val="es-ES_tradnl"/>
        </w:rPr>
        <w:t xml:space="preserve"> </w:t>
      </w:r>
      <w:r w:rsidR="000A43B0" w:rsidRPr="007B78E6">
        <w:rPr>
          <w:rFonts w:ascii="Arial" w:eastAsia="Calibri" w:hAnsi="Arial" w:cs="Arial"/>
          <w:b/>
          <w:bCs/>
          <w:color w:val="000000" w:themeColor="text1"/>
          <w:sz w:val="22"/>
          <w:szCs w:val="22"/>
          <w:lang w:val="es-ES_tradnl"/>
        </w:rPr>
        <w:t xml:space="preserve">Derogatoria producida por el artículo 35 de la Ley </w:t>
      </w:r>
      <w:r w:rsidR="006F0F34" w:rsidRPr="007B78E6">
        <w:rPr>
          <w:rFonts w:ascii="Arial" w:eastAsia="Calibri" w:hAnsi="Arial" w:cs="Arial"/>
          <w:b/>
          <w:bCs/>
          <w:color w:val="000000" w:themeColor="text1"/>
          <w:sz w:val="22"/>
          <w:szCs w:val="22"/>
          <w:lang w:val="es-ES_tradnl"/>
        </w:rPr>
        <w:t>2069</w:t>
      </w:r>
      <w:r w:rsidR="000A43B0" w:rsidRPr="007B78E6">
        <w:rPr>
          <w:rFonts w:ascii="Arial" w:eastAsia="Calibri" w:hAnsi="Arial" w:cs="Arial"/>
          <w:b/>
          <w:bCs/>
          <w:color w:val="000000" w:themeColor="text1"/>
          <w:sz w:val="22"/>
          <w:szCs w:val="22"/>
          <w:lang w:val="es-ES_tradnl"/>
        </w:rPr>
        <w:t xml:space="preserve"> de 2020 </w:t>
      </w:r>
      <w:r w:rsidR="00035FA2" w:rsidRPr="007B78E6">
        <w:rPr>
          <w:rFonts w:ascii="Arial" w:eastAsia="Calibri" w:hAnsi="Arial" w:cs="Arial"/>
          <w:b/>
          <w:bCs/>
          <w:color w:val="000000" w:themeColor="text1"/>
          <w:sz w:val="22"/>
          <w:szCs w:val="22"/>
          <w:lang w:val="es-ES_tradnl"/>
        </w:rPr>
        <w:t>a los factores de desempate del Decreto</w:t>
      </w:r>
      <w:r w:rsidR="000A43B0" w:rsidRPr="007B78E6">
        <w:rPr>
          <w:rFonts w:ascii="Arial" w:eastAsia="Calibri" w:hAnsi="Arial" w:cs="Arial"/>
          <w:b/>
          <w:bCs/>
          <w:color w:val="000000" w:themeColor="text1"/>
          <w:sz w:val="22"/>
          <w:szCs w:val="22"/>
          <w:lang w:val="es-ES_tradnl"/>
        </w:rPr>
        <w:t xml:space="preserve"> 1082 de 2015</w:t>
      </w:r>
    </w:p>
    <w:p w14:paraId="39B77F09" w14:textId="77777777" w:rsidR="00FC6DB9" w:rsidRPr="007B78E6" w:rsidRDefault="00FC6DB9" w:rsidP="00271230">
      <w:pPr>
        <w:spacing w:line="276" w:lineRule="auto"/>
        <w:jc w:val="both"/>
        <w:rPr>
          <w:rFonts w:ascii="Arial" w:eastAsia="Calibri" w:hAnsi="Arial" w:cs="Arial"/>
          <w:color w:val="000000" w:themeColor="text1"/>
          <w:sz w:val="22"/>
          <w:szCs w:val="22"/>
          <w:lang w:val="es-ES_tradnl"/>
        </w:rPr>
      </w:pPr>
    </w:p>
    <w:p w14:paraId="5A4EC232" w14:textId="38BF6B8D" w:rsidR="008C6A49" w:rsidRPr="007B78E6" w:rsidRDefault="008C6A49" w:rsidP="008C6A49">
      <w:pPr>
        <w:spacing w:line="276" w:lineRule="auto"/>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w:t>
      </w:r>
      <w:r w:rsidR="00035FA2" w:rsidRPr="007B78E6">
        <w:rPr>
          <w:rFonts w:ascii="Arial" w:eastAsia="Calibri" w:hAnsi="Arial" w:cs="Arial"/>
          <w:color w:val="000000" w:themeColor="text1"/>
          <w:sz w:val="22"/>
          <w:szCs w:val="22"/>
          <w:lang w:val="es-ES_tradnl"/>
        </w:rPr>
        <w:t>.</w:t>
      </w:r>
      <w:r w:rsidRPr="007B78E6">
        <w:rPr>
          <w:rFonts w:ascii="Arial" w:eastAsia="Calibri" w:hAnsi="Arial" w:cs="Arial"/>
          <w:color w:val="000000" w:themeColor="text1"/>
          <w:sz w:val="22"/>
          <w:szCs w:val="22"/>
          <w:lang w:val="es-ES_tradnl"/>
        </w:rPr>
        <w:t xml:space="preserve"> </w:t>
      </w:r>
      <w:r w:rsidR="00035FA2" w:rsidRPr="007B78E6">
        <w:rPr>
          <w:rFonts w:ascii="Arial" w:eastAsia="Calibri" w:hAnsi="Arial" w:cs="Arial"/>
          <w:color w:val="000000" w:themeColor="text1"/>
          <w:sz w:val="22"/>
          <w:szCs w:val="22"/>
          <w:lang w:val="es-ES_tradnl"/>
        </w:rPr>
        <w:t>L</w:t>
      </w:r>
      <w:r w:rsidRPr="007B78E6">
        <w:rPr>
          <w:rFonts w:ascii="Arial" w:eastAsia="Calibri" w:hAnsi="Arial" w:cs="Arial"/>
          <w:color w:val="000000" w:themeColor="text1"/>
          <w:sz w:val="22"/>
          <w:szCs w:val="22"/>
          <w:lang w:val="es-ES_tradnl"/>
        </w:rPr>
        <w:t xml:space="preserve">a </w:t>
      </w:r>
      <w:r w:rsidR="00D7536A" w:rsidRPr="007B78E6">
        <w:rPr>
          <w:rFonts w:ascii="Arial" w:eastAsia="Calibri" w:hAnsi="Arial" w:cs="Arial"/>
          <w:color w:val="000000" w:themeColor="text1"/>
          <w:sz w:val="22"/>
          <w:szCs w:val="22"/>
          <w:lang w:val="es-ES_tradnl"/>
        </w:rPr>
        <w:t>Agencia</w:t>
      </w:r>
      <w:r w:rsidRPr="007B78E6">
        <w:rPr>
          <w:rFonts w:ascii="Arial" w:eastAsia="Calibri" w:hAnsi="Arial" w:cs="Arial"/>
          <w:color w:val="000000" w:themeColor="text1"/>
          <w:sz w:val="22"/>
          <w:szCs w:val="22"/>
          <w:lang w:val="es-ES_tradnl"/>
        </w:rPr>
        <w:t xml:space="preserve"> se pronunciará sobre el alcance que otorga a tales disposiciones, sin pasar por alto la novedad de la Ley 2069 de 2020 –dada su reciente </w:t>
      </w:r>
      <w:proofErr w:type="gramStart"/>
      <w:r w:rsidRPr="007B78E6">
        <w:rPr>
          <w:rFonts w:ascii="Arial" w:eastAsia="Calibri" w:hAnsi="Arial" w:cs="Arial"/>
          <w:color w:val="000000" w:themeColor="text1"/>
          <w:sz w:val="22"/>
          <w:szCs w:val="22"/>
          <w:lang w:val="es-ES_tradnl"/>
        </w:rPr>
        <w:t>entrada en vigencia</w:t>
      </w:r>
      <w:proofErr w:type="gramEnd"/>
      <w:r w:rsidRPr="007B78E6">
        <w:rPr>
          <w:rFonts w:ascii="Arial" w:eastAsia="Calibri" w:hAnsi="Arial" w:cs="Arial"/>
          <w:color w:val="000000" w:themeColor="text1"/>
          <w:sz w:val="22"/>
          <w:szCs w:val="22"/>
          <w:lang w:val="es-ES_tradnl"/>
        </w:rPr>
        <w:t>– y la ausencia de pronunciamientos jurisprudenciales o estudios doctrinarios sobre el tema, que seguramente contribuirán a decantar la interpretación de las normas en comento.</w:t>
      </w:r>
    </w:p>
    <w:p w14:paraId="7041E5AE" w14:textId="0D5CCB0F" w:rsidR="00337296" w:rsidRPr="007B78E6" w:rsidRDefault="00337296" w:rsidP="00337296">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Al respecto, </w:t>
      </w:r>
      <w:r w:rsidRPr="007B78E6">
        <w:rPr>
          <w:rFonts w:ascii="Arial" w:eastAsia="Calibri" w:hAnsi="Arial" w:cs="Arial"/>
          <w:sz w:val="22"/>
          <w:szCs w:val="22"/>
          <w:lang w:val="es-ES_tradnl"/>
        </w:rPr>
        <w:t>pese a que el parágrafo 3 dispone que el Gobierno Nacional podrá regular los supuestos en que concurran dos o más factores de desempate,</w:t>
      </w:r>
      <w:r w:rsidRPr="007B78E6">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42911686" w14:textId="77777777" w:rsidR="008C6A49" w:rsidRPr="007B78E6"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7B78E6">
        <w:rPr>
          <w:rFonts w:ascii="Arial" w:eastAsia="Calibri" w:hAnsi="Arial" w:cs="Arial"/>
          <w:color w:val="000000" w:themeColor="text1"/>
          <w:sz w:val="22"/>
          <w:szCs w:val="22"/>
          <w:lang w:val="es-ES_tradnl"/>
        </w:rPr>
        <w:t>mipymes</w:t>
      </w:r>
      <w:proofErr w:type="spellEnd"/>
      <w:r w:rsidRPr="007B78E6">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7B78E6">
        <w:rPr>
          <w:rFonts w:ascii="Arial" w:eastAsia="Calibri" w:hAnsi="Arial" w:cs="Arial"/>
          <w:color w:val="000000" w:themeColor="text1"/>
          <w:sz w:val="22"/>
          <w:szCs w:val="22"/>
          <w:lang w:val="es-ES_tradnl"/>
        </w:rPr>
        <w:t>Mipymes</w:t>
      </w:r>
      <w:proofErr w:type="spellEnd"/>
      <w:r w:rsidRPr="007B78E6">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5319FCED" w14:textId="77777777" w:rsidR="008C6A49" w:rsidRPr="007B78E6"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021F0A3C" w14:textId="77777777" w:rsidR="0047771F" w:rsidRPr="007B78E6" w:rsidRDefault="0047771F" w:rsidP="0047771F">
      <w:pPr>
        <w:spacing w:before="120" w:line="276" w:lineRule="auto"/>
        <w:ind w:firstLine="708"/>
        <w:jc w:val="both"/>
        <w:rPr>
          <w:rFonts w:ascii="Arial" w:eastAsia="Calibri" w:hAnsi="Arial" w:cs="Arial"/>
          <w:sz w:val="22"/>
          <w:szCs w:val="22"/>
          <w:lang w:val="es-ES_tradnl"/>
        </w:rPr>
      </w:pPr>
      <w:r w:rsidRPr="007B78E6">
        <w:rPr>
          <w:rFonts w:ascii="Arial" w:eastAsia="Calibri" w:hAnsi="Arial" w:cs="Arial"/>
          <w:color w:val="000000" w:themeColor="text1"/>
          <w:sz w:val="22"/>
          <w:szCs w:val="22"/>
          <w:lang w:val="es-ES_tradnl"/>
        </w:rPr>
        <w:lastRenderedPageBreak/>
        <w:t xml:space="preserve">Lo mismo no sucede con el artículo 35. </w:t>
      </w:r>
      <w:r w:rsidRPr="007B78E6">
        <w:rPr>
          <w:rFonts w:ascii="Arial" w:eastAsia="Calibri" w:hAnsi="Arial" w:cs="Arial"/>
          <w:sz w:val="22"/>
          <w:szCs w:val="22"/>
          <w:lang w:val="es-ES_tradnl"/>
        </w:rPr>
        <w:t xml:space="preserve">En efecto, </w:t>
      </w:r>
      <w:r w:rsidRPr="007B78E6">
        <w:rPr>
          <w:rFonts w:ascii="Arial" w:hAnsi="Arial" w:cs="Arial"/>
          <w:color w:val="000000" w:themeColor="text1"/>
          <w:sz w:val="22"/>
          <w:szCs w:val="22"/>
          <w:lang w:val="es-ES_tradnl"/>
        </w:rPr>
        <w:t>si bien los factores de desempate regulados en el artículo 35 deben aplicarse «</w:t>
      </w:r>
      <w:r w:rsidRPr="007B78E6">
        <w:rPr>
          <w:rFonts w:ascii="Arial" w:hAnsi="Arial" w:cs="Arial"/>
          <w:lang w:val="es-ES_tradnl"/>
        </w:rPr>
        <w:t xml:space="preserve">[…] </w:t>
      </w:r>
      <w:r w:rsidRPr="007B78E6">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7B78E6">
        <w:rPr>
          <w:rFonts w:ascii="Arial" w:eastAsia="Calibri" w:hAnsi="Arial" w:cs="Arial"/>
          <w:color w:val="000000" w:themeColor="text1"/>
          <w:sz w:val="22"/>
          <w:szCs w:val="22"/>
          <w:lang w:val="es-ES_tradnl"/>
        </w:rPr>
        <w:t xml:space="preserve"> </w:t>
      </w:r>
    </w:p>
    <w:p w14:paraId="1F45085B" w14:textId="77777777" w:rsidR="008C6A49" w:rsidRPr="007B78E6"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7B78E6">
        <w:rPr>
          <w:rFonts w:ascii="Arial" w:eastAsia="Calibri" w:hAnsi="Arial" w:cs="Arial"/>
          <w:i/>
          <w:iCs/>
          <w:color w:val="000000" w:themeColor="text1"/>
          <w:sz w:val="22"/>
          <w:szCs w:val="22"/>
          <w:lang w:val="es-ES_tradnl"/>
        </w:rPr>
        <w:t>podrá reglamentar</w:t>
      </w:r>
      <w:r w:rsidRPr="007B78E6">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365E5E9B" w14:textId="0AFFD78A" w:rsidR="008C6A49" w:rsidRPr="007B78E6"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w:t>
      </w:r>
      <w:r w:rsidR="00E65A79" w:rsidRPr="007B78E6">
        <w:rPr>
          <w:rFonts w:ascii="Arial" w:eastAsia="Calibri" w:hAnsi="Arial" w:cs="Arial"/>
          <w:color w:val="000000" w:themeColor="text1"/>
          <w:sz w:val="22"/>
          <w:szCs w:val="22"/>
          <w:lang w:val="es-ES_tradnl"/>
        </w:rPr>
        <w:t xml:space="preserve">sin perjuicio de que el Gobierno Nacional ejerza la potestad reglamentaria para regular los casos en que concurren dos o más de los factores de desempate, </w:t>
      </w:r>
      <w:r w:rsidRPr="007B78E6">
        <w:rPr>
          <w:rFonts w:ascii="Arial" w:eastAsia="Calibri" w:hAnsi="Arial" w:cs="Arial"/>
          <w:color w:val="000000" w:themeColor="text1"/>
          <w:sz w:val="22"/>
          <w:szCs w:val="22"/>
          <w:lang w:val="es-ES_tradnl"/>
        </w:rPr>
        <w:t>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2739984E" w14:textId="60A496B2" w:rsidR="006A4F85" w:rsidRPr="007B78E6" w:rsidRDefault="0018007F" w:rsidP="00AC4AD2">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Además, s</w:t>
      </w:r>
      <w:r w:rsidR="00FD5443" w:rsidRPr="007B78E6">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6F0F34" w:rsidRPr="007B78E6">
        <w:rPr>
          <w:rFonts w:ascii="Arial" w:hAnsi="Arial" w:cs="Arial"/>
          <w:color w:val="000000" w:themeColor="text1"/>
          <w:sz w:val="22"/>
          <w:szCs w:val="22"/>
          <w:lang w:val="es-ES_tradnl"/>
        </w:rPr>
        <w:t>2069</w:t>
      </w:r>
      <w:r w:rsidR="00FD5443" w:rsidRPr="007B78E6">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041BB6BB" w14:textId="563A9295" w:rsidR="008E26D9" w:rsidRPr="007B78E6" w:rsidRDefault="006A4F85" w:rsidP="00AC4AD2">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 xml:space="preserve">Ahora bien, </w:t>
      </w:r>
      <w:r w:rsidR="00A46B4B" w:rsidRPr="007B78E6">
        <w:rPr>
          <w:rFonts w:ascii="Arial" w:hAnsi="Arial" w:cs="Arial"/>
          <w:color w:val="000000" w:themeColor="text1"/>
          <w:sz w:val="22"/>
          <w:szCs w:val="22"/>
          <w:lang w:val="es-ES_tradnl"/>
        </w:rPr>
        <w:t xml:space="preserve">hasta la promulgación de la Ley </w:t>
      </w:r>
      <w:r w:rsidR="006F0F34" w:rsidRPr="007B78E6">
        <w:rPr>
          <w:rFonts w:ascii="Arial" w:hAnsi="Arial" w:cs="Arial"/>
          <w:color w:val="000000" w:themeColor="text1"/>
          <w:sz w:val="22"/>
          <w:szCs w:val="22"/>
          <w:lang w:val="es-ES_tradnl"/>
        </w:rPr>
        <w:t>2069</w:t>
      </w:r>
      <w:r w:rsidR="00530059" w:rsidRPr="007B78E6">
        <w:rPr>
          <w:rFonts w:ascii="Arial" w:hAnsi="Arial" w:cs="Arial"/>
          <w:color w:val="000000" w:themeColor="text1"/>
          <w:sz w:val="22"/>
          <w:szCs w:val="22"/>
          <w:lang w:val="es-ES_tradnl"/>
        </w:rPr>
        <w:t xml:space="preserve"> de 2020</w:t>
      </w:r>
      <w:r w:rsidR="00D65861" w:rsidRPr="007B78E6">
        <w:rPr>
          <w:rFonts w:ascii="Arial" w:hAnsi="Arial" w:cs="Arial"/>
          <w:color w:val="000000" w:themeColor="text1"/>
          <w:sz w:val="22"/>
          <w:szCs w:val="22"/>
          <w:lang w:val="es-ES_tradnl"/>
        </w:rPr>
        <w:t>,</w:t>
      </w:r>
      <w:r w:rsidR="00530059" w:rsidRPr="007B78E6">
        <w:rPr>
          <w:rFonts w:ascii="Arial" w:hAnsi="Arial" w:cs="Arial"/>
          <w:color w:val="000000" w:themeColor="text1"/>
          <w:sz w:val="22"/>
          <w:szCs w:val="22"/>
          <w:lang w:val="es-ES_tradnl"/>
        </w:rPr>
        <w:t xml:space="preserve"> </w:t>
      </w:r>
      <w:r w:rsidRPr="007B78E6">
        <w:rPr>
          <w:rFonts w:ascii="Arial" w:hAnsi="Arial" w:cs="Arial"/>
          <w:color w:val="000000" w:themeColor="text1"/>
          <w:sz w:val="22"/>
          <w:szCs w:val="22"/>
          <w:lang w:val="es-ES_tradnl"/>
        </w:rPr>
        <w:t xml:space="preserve">el artículo </w:t>
      </w:r>
      <w:r w:rsidR="00A46B4B" w:rsidRPr="007B78E6">
        <w:rPr>
          <w:rFonts w:ascii="Arial" w:hAnsi="Arial" w:cs="Arial"/>
          <w:color w:val="000000" w:themeColor="text1"/>
          <w:sz w:val="22"/>
          <w:szCs w:val="22"/>
          <w:lang w:val="es-ES_tradnl"/>
        </w:rPr>
        <w:t xml:space="preserve">2.2.1.1.2.2.9. del Decreto 1082 de 2015 </w:t>
      </w:r>
      <w:r w:rsidR="001F10BD" w:rsidRPr="007B78E6">
        <w:rPr>
          <w:rFonts w:ascii="Arial" w:hAnsi="Arial" w:cs="Arial"/>
          <w:color w:val="000000" w:themeColor="text1"/>
          <w:sz w:val="22"/>
          <w:szCs w:val="22"/>
          <w:lang w:val="es-ES_tradnl"/>
        </w:rPr>
        <w:t>regulaba</w:t>
      </w:r>
      <w:r w:rsidR="00530059" w:rsidRPr="007B78E6">
        <w:rPr>
          <w:rFonts w:ascii="Arial" w:hAnsi="Arial" w:cs="Arial"/>
          <w:color w:val="000000" w:themeColor="text1"/>
          <w:sz w:val="22"/>
          <w:szCs w:val="22"/>
          <w:lang w:val="es-ES_tradnl"/>
        </w:rPr>
        <w:t xml:space="preserve"> los factores de desempate que debían aplicarse en los </w:t>
      </w:r>
      <w:r w:rsidR="00530059" w:rsidRPr="007B78E6">
        <w:rPr>
          <w:rFonts w:ascii="Arial" w:hAnsi="Arial" w:cs="Arial"/>
          <w:color w:val="000000" w:themeColor="text1"/>
          <w:sz w:val="22"/>
          <w:szCs w:val="22"/>
          <w:lang w:val="es-ES_tradnl"/>
        </w:rPr>
        <w:lastRenderedPageBreak/>
        <w:t>procesos de selección</w:t>
      </w:r>
      <w:r w:rsidR="00530059" w:rsidRPr="007B78E6">
        <w:rPr>
          <w:rStyle w:val="Refdenotaalpie"/>
          <w:rFonts w:ascii="Arial" w:hAnsi="Arial" w:cs="Arial"/>
          <w:color w:val="000000" w:themeColor="text1"/>
          <w:sz w:val="22"/>
          <w:szCs w:val="22"/>
          <w:lang w:val="es-ES_tradnl"/>
        </w:rPr>
        <w:footnoteReference w:id="10"/>
      </w:r>
      <w:r w:rsidR="00530059" w:rsidRPr="007B78E6">
        <w:rPr>
          <w:rFonts w:ascii="Arial" w:hAnsi="Arial" w:cs="Arial"/>
          <w:color w:val="000000" w:themeColor="text1"/>
          <w:sz w:val="22"/>
          <w:szCs w:val="22"/>
          <w:lang w:val="es-ES_tradnl"/>
        </w:rPr>
        <w:t>.</w:t>
      </w:r>
      <w:r w:rsidR="00D65861" w:rsidRPr="007B78E6">
        <w:rPr>
          <w:rFonts w:ascii="Arial" w:hAnsi="Arial" w:cs="Arial"/>
          <w:color w:val="000000" w:themeColor="text1"/>
          <w:sz w:val="22"/>
          <w:szCs w:val="22"/>
          <w:lang w:val="es-ES_tradnl"/>
        </w:rPr>
        <w:t xml:space="preserve"> En </w:t>
      </w:r>
      <w:r w:rsidR="00817661" w:rsidRPr="007B78E6">
        <w:rPr>
          <w:rFonts w:ascii="Arial" w:hAnsi="Arial" w:cs="Arial"/>
          <w:color w:val="000000" w:themeColor="text1"/>
          <w:sz w:val="22"/>
          <w:szCs w:val="22"/>
          <w:lang w:val="es-ES_tradnl"/>
        </w:rPr>
        <w:t xml:space="preserve">criterio de esta </w:t>
      </w:r>
      <w:r w:rsidR="009962B0" w:rsidRPr="007B78E6">
        <w:rPr>
          <w:rFonts w:ascii="Arial" w:hAnsi="Arial" w:cs="Arial"/>
          <w:color w:val="000000" w:themeColor="text1"/>
          <w:sz w:val="22"/>
          <w:szCs w:val="22"/>
          <w:lang w:val="es-ES_tradnl"/>
        </w:rPr>
        <w:t>Agencia</w:t>
      </w:r>
      <w:r w:rsidR="00817661" w:rsidRPr="007B78E6">
        <w:rPr>
          <w:rFonts w:ascii="Arial" w:hAnsi="Arial" w:cs="Arial"/>
          <w:color w:val="000000" w:themeColor="text1"/>
          <w:sz w:val="22"/>
          <w:szCs w:val="22"/>
          <w:lang w:val="es-ES_tradnl"/>
        </w:rPr>
        <w:t xml:space="preserve">, dicha norma debe entenderse derogada por el artículo 35 de la Ley </w:t>
      </w:r>
      <w:r w:rsidR="006F0F34" w:rsidRPr="007B78E6">
        <w:rPr>
          <w:rFonts w:ascii="Arial" w:hAnsi="Arial" w:cs="Arial"/>
          <w:color w:val="000000" w:themeColor="text1"/>
          <w:sz w:val="22"/>
          <w:szCs w:val="22"/>
          <w:lang w:val="es-ES_tradnl"/>
        </w:rPr>
        <w:t>2069</w:t>
      </w:r>
      <w:r w:rsidR="00817661" w:rsidRPr="007B78E6">
        <w:rPr>
          <w:rFonts w:ascii="Arial" w:hAnsi="Arial" w:cs="Arial"/>
          <w:color w:val="000000" w:themeColor="text1"/>
          <w:sz w:val="22"/>
          <w:szCs w:val="22"/>
          <w:lang w:val="es-ES_tradnl"/>
        </w:rPr>
        <w:t xml:space="preserve"> de 2020.</w:t>
      </w:r>
      <w:r w:rsidR="008D021B" w:rsidRPr="007B78E6">
        <w:rPr>
          <w:rFonts w:ascii="Arial" w:hAnsi="Arial" w:cs="Arial"/>
          <w:color w:val="000000" w:themeColor="text1"/>
          <w:sz w:val="22"/>
          <w:szCs w:val="22"/>
          <w:lang w:val="es-ES_tradnl"/>
        </w:rPr>
        <w:t xml:space="preserve"> Ello no solo porque el artículo </w:t>
      </w:r>
      <w:r w:rsidR="000B1057" w:rsidRPr="007B78E6">
        <w:rPr>
          <w:rFonts w:ascii="Arial" w:hAnsi="Arial" w:cs="Arial"/>
          <w:color w:val="000000" w:themeColor="text1"/>
          <w:sz w:val="22"/>
          <w:szCs w:val="22"/>
          <w:lang w:val="es-ES_tradnl"/>
        </w:rPr>
        <w:t xml:space="preserve">84 de esta </w:t>
      </w:r>
      <w:r w:rsidR="00A72CDE" w:rsidRPr="007B78E6">
        <w:rPr>
          <w:rFonts w:ascii="Arial" w:hAnsi="Arial" w:cs="Arial"/>
          <w:color w:val="000000" w:themeColor="text1"/>
          <w:sz w:val="22"/>
          <w:szCs w:val="22"/>
          <w:lang w:val="es-ES_tradnl"/>
        </w:rPr>
        <w:t>ley dispone</w:t>
      </w:r>
      <w:r w:rsidR="000B1057" w:rsidRPr="007B78E6">
        <w:rPr>
          <w:rFonts w:ascii="Arial" w:hAnsi="Arial" w:cs="Arial"/>
          <w:color w:val="000000" w:themeColor="text1"/>
          <w:sz w:val="22"/>
          <w:szCs w:val="22"/>
          <w:lang w:val="es-ES_tradnl"/>
        </w:rPr>
        <w:t xml:space="preserve"> que «rige a partir del momento de su promulgación», es decir, desde el 31 de diciembre de 2020, sino además porque </w:t>
      </w:r>
      <w:r w:rsidR="00AE5899" w:rsidRPr="007B78E6">
        <w:rPr>
          <w:rFonts w:ascii="Arial" w:hAnsi="Arial" w:cs="Arial"/>
          <w:color w:val="000000" w:themeColor="text1"/>
          <w:sz w:val="22"/>
          <w:szCs w:val="22"/>
          <w:lang w:val="es-ES_tradnl"/>
        </w:rPr>
        <w:t xml:space="preserve">la misma disposición señala que </w:t>
      </w:r>
      <w:r w:rsidR="00EF07FB" w:rsidRPr="007B78E6">
        <w:rPr>
          <w:rFonts w:ascii="Arial" w:hAnsi="Arial" w:cs="Arial"/>
          <w:color w:val="000000" w:themeColor="text1"/>
          <w:sz w:val="22"/>
          <w:szCs w:val="22"/>
          <w:lang w:val="es-ES_tradnl"/>
        </w:rPr>
        <w:t xml:space="preserve">la Ley </w:t>
      </w:r>
      <w:r w:rsidR="006F0F34" w:rsidRPr="007B78E6">
        <w:rPr>
          <w:rFonts w:ascii="Arial" w:hAnsi="Arial" w:cs="Arial"/>
          <w:color w:val="000000" w:themeColor="text1"/>
          <w:sz w:val="22"/>
          <w:szCs w:val="22"/>
          <w:lang w:val="es-ES_tradnl"/>
        </w:rPr>
        <w:t>2069</w:t>
      </w:r>
      <w:r w:rsidR="00EF07FB" w:rsidRPr="007B78E6">
        <w:rPr>
          <w:rFonts w:ascii="Arial" w:hAnsi="Arial" w:cs="Arial"/>
          <w:color w:val="000000" w:themeColor="text1"/>
          <w:sz w:val="22"/>
          <w:szCs w:val="22"/>
          <w:lang w:val="es-ES_tradnl"/>
        </w:rPr>
        <w:t xml:space="preserve"> de 2020 deroga «[…] todas las disposiciones que le sean contrarias». Se presenta una antinomia o contradicción normativa cuando dos o más disposiciones normativas regulan en sentido diferente un tema.</w:t>
      </w:r>
      <w:r w:rsidR="00583E07" w:rsidRPr="007B78E6">
        <w:rPr>
          <w:rFonts w:ascii="Arial" w:hAnsi="Arial" w:cs="Arial"/>
          <w:color w:val="000000" w:themeColor="text1"/>
          <w:sz w:val="22"/>
          <w:szCs w:val="22"/>
          <w:lang w:val="es-ES_tradnl"/>
        </w:rPr>
        <w:t xml:space="preserve"> Bajo esta consideración, como el artículo 35 de la Ley </w:t>
      </w:r>
      <w:r w:rsidR="006F0F34" w:rsidRPr="007B78E6">
        <w:rPr>
          <w:rFonts w:ascii="Arial" w:hAnsi="Arial" w:cs="Arial"/>
          <w:color w:val="000000" w:themeColor="text1"/>
          <w:sz w:val="22"/>
          <w:szCs w:val="22"/>
          <w:lang w:val="es-ES_tradnl"/>
        </w:rPr>
        <w:t>2069</w:t>
      </w:r>
      <w:r w:rsidR="00583E07" w:rsidRPr="007B78E6">
        <w:rPr>
          <w:rFonts w:ascii="Arial" w:hAnsi="Arial" w:cs="Arial"/>
          <w:color w:val="000000" w:themeColor="text1"/>
          <w:sz w:val="22"/>
          <w:szCs w:val="22"/>
          <w:lang w:val="es-ES_tradnl"/>
        </w:rPr>
        <w:t xml:space="preserve"> de 2020 regula en forma distinta</w:t>
      </w:r>
      <w:r w:rsidR="00AB24F8" w:rsidRPr="007B78E6">
        <w:rPr>
          <w:rFonts w:ascii="Arial" w:hAnsi="Arial" w:cs="Arial"/>
          <w:color w:val="000000" w:themeColor="text1"/>
          <w:sz w:val="22"/>
          <w:szCs w:val="22"/>
          <w:lang w:val="es-ES_tradnl"/>
        </w:rPr>
        <w:t xml:space="preserve"> a como lo hacía el artículo 2.2.1.1.2.2.9. del Decreto 1082 de 2015 </w:t>
      </w:r>
      <w:r w:rsidR="00397C34" w:rsidRPr="007B78E6">
        <w:rPr>
          <w:rFonts w:ascii="Arial" w:hAnsi="Arial" w:cs="Arial"/>
          <w:color w:val="000000" w:themeColor="text1"/>
          <w:sz w:val="22"/>
          <w:szCs w:val="22"/>
          <w:lang w:val="es-ES_tradnl"/>
        </w:rPr>
        <w:t>la aplicación de los factores de desempate,</w:t>
      </w:r>
      <w:r w:rsidR="00AB24F8" w:rsidRPr="007B78E6">
        <w:rPr>
          <w:rFonts w:ascii="Arial" w:hAnsi="Arial" w:cs="Arial"/>
          <w:color w:val="000000" w:themeColor="text1"/>
          <w:sz w:val="22"/>
          <w:szCs w:val="22"/>
          <w:lang w:val="es-ES_tradnl"/>
        </w:rPr>
        <w:t xml:space="preserve"> </w:t>
      </w:r>
      <w:r w:rsidR="0018007F" w:rsidRPr="007B78E6">
        <w:rPr>
          <w:rFonts w:ascii="Arial" w:hAnsi="Arial" w:cs="Arial"/>
          <w:color w:val="000000" w:themeColor="text1"/>
          <w:sz w:val="22"/>
          <w:szCs w:val="22"/>
          <w:lang w:val="es-ES_tradnl"/>
        </w:rPr>
        <w:t xml:space="preserve">este último </w:t>
      </w:r>
      <w:r w:rsidR="00AB24F8" w:rsidRPr="007B78E6">
        <w:rPr>
          <w:rFonts w:ascii="Arial" w:hAnsi="Arial" w:cs="Arial"/>
          <w:color w:val="000000" w:themeColor="text1"/>
          <w:sz w:val="22"/>
          <w:szCs w:val="22"/>
          <w:lang w:val="es-ES_tradnl"/>
        </w:rPr>
        <w:t xml:space="preserve">debe entenderse derogado. </w:t>
      </w:r>
    </w:p>
    <w:p w14:paraId="06AA9677" w14:textId="77777777" w:rsidR="006C572F" w:rsidRPr="007B78E6" w:rsidRDefault="00AB24F8" w:rsidP="00AC4AD2">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w:t>
      </w:r>
      <w:r w:rsidR="00A639A9" w:rsidRPr="007B78E6">
        <w:rPr>
          <w:rFonts w:ascii="Arial" w:hAnsi="Arial" w:cs="Arial"/>
          <w:color w:val="000000" w:themeColor="text1"/>
          <w:sz w:val="22"/>
          <w:szCs w:val="22"/>
          <w:lang w:val="es-ES_tradnl"/>
        </w:rPr>
        <w:t>2 del artículo 91 de la Ley 1437 de 2011.</w:t>
      </w:r>
      <w:r w:rsidR="005907D4" w:rsidRPr="007B78E6">
        <w:rPr>
          <w:rFonts w:ascii="Arial" w:hAnsi="Arial" w:cs="Arial"/>
          <w:color w:val="000000" w:themeColor="text1"/>
          <w:sz w:val="22"/>
          <w:szCs w:val="22"/>
          <w:lang w:val="es-ES_tradnl"/>
        </w:rPr>
        <w:t xml:space="preserve"> </w:t>
      </w:r>
      <w:r w:rsidR="00A639A9" w:rsidRPr="007B78E6">
        <w:rPr>
          <w:rFonts w:ascii="Arial" w:hAnsi="Arial" w:cs="Arial"/>
          <w:color w:val="000000" w:themeColor="text1"/>
          <w:sz w:val="22"/>
          <w:szCs w:val="22"/>
          <w:lang w:val="es-ES_tradnl"/>
        </w:rPr>
        <w:t xml:space="preserve">Esta norma señala que los actos administrativos pierden fuerza ejecutoria </w:t>
      </w:r>
      <w:r w:rsidR="0064194F" w:rsidRPr="007B78E6">
        <w:rPr>
          <w:rFonts w:ascii="Arial" w:hAnsi="Arial" w:cs="Arial"/>
          <w:color w:val="000000" w:themeColor="text1"/>
          <w:sz w:val="22"/>
          <w:szCs w:val="22"/>
          <w:lang w:val="es-ES_tradnl"/>
        </w:rPr>
        <w:t xml:space="preserve">«Cuando desaparezcan sus fundamentos de hecho o de derecho». </w:t>
      </w:r>
      <w:bookmarkStart w:id="4" w:name="_Hlk62546732"/>
      <w:r w:rsidR="0064194F" w:rsidRPr="007B78E6">
        <w:rPr>
          <w:rFonts w:ascii="Arial" w:hAnsi="Arial" w:cs="Arial"/>
          <w:color w:val="000000" w:themeColor="text1"/>
          <w:sz w:val="22"/>
          <w:szCs w:val="22"/>
          <w:lang w:val="es-ES_tradnl"/>
        </w:rPr>
        <w:t xml:space="preserve">Dado que el Decreto 1082 de 2015 es un reglamento </w:t>
      </w:r>
      <w:proofErr w:type="spellStart"/>
      <w:r w:rsidR="0064194F" w:rsidRPr="007B78E6">
        <w:rPr>
          <w:rFonts w:ascii="Arial" w:hAnsi="Arial" w:cs="Arial"/>
          <w:i/>
          <w:iCs/>
          <w:color w:val="000000" w:themeColor="text1"/>
          <w:sz w:val="22"/>
          <w:szCs w:val="22"/>
          <w:lang w:val="es-ES_tradnl"/>
        </w:rPr>
        <w:t>secundum</w:t>
      </w:r>
      <w:proofErr w:type="spellEnd"/>
      <w:r w:rsidR="0064194F" w:rsidRPr="007B78E6">
        <w:rPr>
          <w:rFonts w:ascii="Arial" w:hAnsi="Arial" w:cs="Arial"/>
          <w:i/>
          <w:iCs/>
          <w:color w:val="000000" w:themeColor="text1"/>
          <w:sz w:val="22"/>
          <w:szCs w:val="22"/>
          <w:lang w:val="es-ES_tradnl"/>
        </w:rPr>
        <w:t xml:space="preserve"> </w:t>
      </w:r>
      <w:proofErr w:type="spellStart"/>
      <w:r w:rsidR="0064194F" w:rsidRPr="007B78E6">
        <w:rPr>
          <w:rFonts w:ascii="Arial" w:hAnsi="Arial" w:cs="Arial"/>
          <w:i/>
          <w:iCs/>
          <w:color w:val="000000" w:themeColor="text1"/>
          <w:sz w:val="22"/>
          <w:szCs w:val="22"/>
          <w:lang w:val="es-ES_tradnl"/>
        </w:rPr>
        <w:t>legem</w:t>
      </w:r>
      <w:proofErr w:type="spellEnd"/>
      <w:r w:rsidR="0064194F" w:rsidRPr="007B78E6">
        <w:rPr>
          <w:rFonts w:ascii="Arial" w:hAnsi="Arial" w:cs="Arial"/>
          <w:color w:val="000000" w:themeColor="text1"/>
          <w:sz w:val="22"/>
          <w:szCs w:val="22"/>
          <w:lang w:val="es-ES_tradnl"/>
        </w:rPr>
        <w:t xml:space="preserve"> </w:t>
      </w:r>
      <w:r w:rsidR="00E305A8" w:rsidRPr="007B78E6">
        <w:rPr>
          <w:rFonts w:ascii="Arial" w:hAnsi="Arial" w:cs="Arial"/>
          <w:color w:val="000000" w:themeColor="text1"/>
          <w:sz w:val="22"/>
          <w:szCs w:val="22"/>
          <w:lang w:val="es-ES_tradnl"/>
        </w:rPr>
        <w:t xml:space="preserve">–es decir, que desarrolla </w:t>
      </w:r>
      <w:r w:rsidR="00F44120" w:rsidRPr="007B78E6">
        <w:rPr>
          <w:rFonts w:ascii="Arial" w:hAnsi="Arial" w:cs="Arial"/>
          <w:color w:val="000000" w:themeColor="text1"/>
          <w:sz w:val="22"/>
          <w:szCs w:val="22"/>
          <w:lang w:val="es-ES_tradnl"/>
        </w:rPr>
        <w:t>una norma de mayor jerarquía</w:t>
      </w:r>
      <w:r w:rsidR="00E305A8" w:rsidRPr="007B78E6">
        <w:rPr>
          <w:rFonts w:ascii="Arial" w:hAnsi="Arial" w:cs="Arial"/>
          <w:color w:val="000000" w:themeColor="text1"/>
          <w:sz w:val="22"/>
          <w:szCs w:val="22"/>
          <w:lang w:val="es-ES_tradnl"/>
        </w:rPr>
        <w:t>–</w:t>
      </w:r>
      <w:r w:rsidR="004B6EF5" w:rsidRPr="007B78E6">
        <w:rPr>
          <w:rFonts w:ascii="Arial" w:hAnsi="Arial" w:cs="Arial"/>
          <w:color w:val="000000" w:themeColor="text1"/>
          <w:sz w:val="22"/>
          <w:szCs w:val="22"/>
          <w:lang w:val="es-ES_tradnl"/>
        </w:rPr>
        <w:t>, la expedición de una ley</w:t>
      </w:r>
      <w:r w:rsidR="008E26D9" w:rsidRPr="007B78E6">
        <w:rPr>
          <w:rFonts w:ascii="Arial" w:hAnsi="Arial" w:cs="Arial"/>
          <w:color w:val="000000" w:themeColor="text1"/>
          <w:sz w:val="22"/>
          <w:szCs w:val="22"/>
          <w:lang w:val="es-ES_tradnl"/>
        </w:rPr>
        <w:t xml:space="preserve"> en sentido formal</w:t>
      </w:r>
      <w:r w:rsidR="00C03664" w:rsidRPr="007B78E6">
        <w:rPr>
          <w:rFonts w:ascii="Arial" w:hAnsi="Arial" w:cs="Arial"/>
          <w:color w:val="000000" w:themeColor="text1"/>
          <w:sz w:val="22"/>
          <w:szCs w:val="22"/>
          <w:lang w:val="es-ES_tradnl"/>
        </w:rPr>
        <w:t xml:space="preserve"> –</w:t>
      </w:r>
      <w:r w:rsidR="008E26D9" w:rsidRPr="007B78E6">
        <w:rPr>
          <w:rFonts w:ascii="Arial" w:hAnsi="Arial" w:cs="Arial"/>
          <w:color w:val="000000" w:themeColor="text1"/>
          <w:sz w:val="22"/>
          <w:szCs w:val="22"/>
          <w:lang w:val="es-ES_tradnl"/>
        </w:rPr>
        <w:t xml:space="preserve">es decir, </w:t>
      </w:r>
      <w:r w:rsidR="00F44120" w:rsidRPr="007B78E6">
        <w:rPr>
          <w:rFonts w:ascii="Arial" w:hAnsi="Arial" w:cs="Arial"/>
          <w:color w:val="000000" w:themeColor="text1"/>
          <w:sz w:val="22"/>
          <w:szCs w:val="22"/>
          <w:lang w:val="es-ES_tradnl"/>
        </w:rPr>
        <w:t>una fuente que condiciona el contenido de este último</w:t>
      </w:r>
      <w:r w:rsidR="00C03664" w:rsidRPr="007B78E6">
        <w:rPr>
          <w:rFonts w:ascii="Arial" w:hAnsi="Arial" w:cs="Arial"/>
          <w:color w:val="000000" w:themeColor="text1"/>
          <w:sz w:val="22"/>
          <w:szCs w:val="22"/>
          <w:lang w:val="es-ES_tradnl"/>
        </w:rPr>
        <w:t>–</w:t>
      </w:r>
      <w:r w:rsidR="008E26D9" w:rsidRPr="007B78E6">
        <w:rPr>
          <w:rFonts w:ascii="Arial" w:hAnsi="Arial" w:cs="Arial"/>
          <w:color w:val="000000" w:themeColor="text1"/>
          <w:sz w:val="22"/>
          <w:szCs w:val="22"/>
          <w:lang w:val="es-ES_tradnl"/>
        </w:rPr>
        <w:t>, hace que la disposición reglamentaria decaiga</w:t>
      </w:r>
      <w:bookmarkEnd w:id="4"/>
      <w:r w:rsidR="008E26D9" w:rsidRPr="007B78E6">
        <w:rPr>
          <w:rFonts w:ascii="Arial" w:hAnsi="Arial" w:cs="Arial"/>
          <w:color w:val="000000" w:themeColor="text1"/>
          <w:sz w:val="22"/>
          <w:szCs w:val="22"/>
          <w:lang w:val="es-ES_tradnl"/>
        </w:rPr>
        <w:t xml:space="preserve">. </w:t>
      </w:r>
      <w:r w:rsidR="00397C34" w:rsidRPr="007B78E6">
        <w:rPr>
          <w:rFonts w:ascii="Arial" w:hAnsi="Arial" w:cs="Arial"/>
          <w:color w:val="000000" w:themeColor="text1"/>
          <w:sz w:val="22"/>
          <w:szCs w:val="22"/>
          <w:lang w:val="es-ES_tradnl"/>
        </w:rPr>
        <w:t xml:space="preserve"> </w:t>
      </w:r>
      <w:r w:rsidR="00817661" w:rsidRPr="007B78E6">
        <w:rPr>
          <w:rFonts w:ascii="Arial" w:hAnsi="Arial" w:cs="Arial"/>
          <w:color w:val="000000" w:themeColor="text1"/>
          <w:sz w:val="22"/>
          <w:szCs w:val="22"/>
          <w:lang w:val="es-ES_tradnl"/>
        </w:rPr>
        <w:t xml:space="preserve"> </w:t>
      </w:r>
    </w:p>
    <w:p w14:paraId="2C6C13B2" w14:textId="3034A28D" w:rsidR="00AA3088" w:rsidRPr="007B78E6" w:rsidRDefault="006C572F" w:rsidP="00AC4AD2">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lastRenderedPageBreak/>
        <w:t xml:space="preserve">Lo expuesto en los dos (2) párrafos precedentes también aplica </w:t>
      </w:r>
      <w:r w:rsidRPr="007B78E6">
        <w:rPr>
          <w:rFonts w:ascii="Arial" w:hAnsi="Arial" w:cs="Arial"/>
          <w:i/>
          <w:iCs/>
          <w:color w:val="000000" w:themeColor="text1"/>
          <w:sz w:val="22"/>
          <w:szCs w:val="22"/>
          <w:lang w:val="es-ES_tradnl"/>
        </w:rPr>
        <w:t>mutatis mutandis</w:t>
      </w:r>
      <w:r w:rsidRPr="007B78E6">
        <w:rPr>
          <w:rFonts w:ascii="Arial" w:hAnsi="Arial" w:cs="Arial"/>
          <w:color w:val="000000" w:themeColor="text1"/>
          <w:sz w:val="22"/>
          <w:szCs w:val="22"/>
          <w:lang w:val="es-ES_tradnl"/>
        </w:rPr>
        <w:t xml:space="preserve"> a</w:t>
      </w:r>
      <w:r w:rsidR="00CC3995" w:rsidRPr="007B78E6">
        <w:rPr>
          <w:rFonts w:ascii="Arial" w:hAnsi="Arial" w:cs="Arial"/>
          <w:color w:val="000000" w:themeColor="text1"/>
          <w:sz w:val="22"/>
          <w:szCs w:val="22"/>
          <w:lang w:val="es-ES_tradnl"/>
        </w:rPr>
        <w:t xml:space="preserve"> </w:t>
      </w:r>
      <w:r w:rsidRPr="007B78E6">
        <w:rPr>
          <w:rFonts w:ascii="Arial" w:hAnsi="Arial" w:cs="Arial"/>
          <w:color w:val="000000" w:themeColor="text1"/>
          <w:sz w:val="22"/>
          <w:szCs w:val="22"/>
          <w:lang w:val="es-ES_tradnl"/>
        </w:rPr>
        <w:t>l</w:t>
      </w:r>
      <w:r w:rsidR="00CC3995" w:rsidRPr="007B78E6">
        <w:rPr>
          <w:rFonts w:ascii="Arial" w:hAnsi="Arial" w:cs="Arial"/>
          <w:color w:val="000000" w:themeColor="text1"/>
          <w:sz w:val="22"/>
          <w:szCs w:val="22"/>
          <w:lang w:val="es-ES_tradnl"/>
        </w:rPr>
        <w:t>os</w:t>
      </w:r>
      <w:r w:rsidRPr="007B78E6">
        <w:rPr>
          <w:rFonts w:ascii="Arial" w:hAnsi="Arial" w:cs="Arial"/>
          <w:color w:val="000000" w:themeColor="text1"/>
          <w:sz w:val="22"/>
          <w:szCs w:val="22"/>
          <w:lang w:val="es-ES_tradnl"/>
        </w:rPr>
        <w:t xml:space="preserve"> </w:t>
      </w:r>
      <w:r w:rsidR="00CC3995" w:rsidRPr="007B78E6">
        <w:rPr>
          <w:rFonts w:ascii="Arial" w:hAnsi="Arial" w:cs="Arial"/>
          <w:color w:val="000000" w:themeColor="text1"/>
          <w:sz w:val="22"/>
          <w:szCs w:val="22"/>
          <w:lang w:val="es-ES_tradnl"/>
        </w:rPr>
        <w:t>factores de desempate previstos en el Decreto</w:t>
      </w:r>
      <w:r w:rsidR="00AA3088" w:rsidRPr="007B78E6">
        <w:rPr>
          <w:rFonts w:ascii="Arial" w:hAnsi="Arial" w:cs="Arial"/>
          <w:color w:val="000000" w:themeColor="text1"/>
          <w:sz w:val="22"/>
          <w:szCs w:val="22"/>
          <w:lang w:val="es-ES_tradnl"/>
        </w:rPr>
        <w:t xml:space="preserve"> Único Reglamentario del Sector Administrativo de Planeación Nacional</w:t>
      </w:r>
      <w:r w:rsidR="00CC3995" w:rsidRPr="007B78E6">
        <w:rPr>
          <w:rFonts w:ascii="Arial" w:hAnsi="Arial" w:cs="Arial"/>
          <w:color w:val="000000" w:themeColor="text1"/>
          <w:sz w:val="22"/>
          <w:szCs w:val="22"/>
          <w:lang w:val="es-ES_tradnl"/>
        </w:rPr>
        <w:t xml:space="preserve"> para el procedimiento de mínima cuantía</w:t>
      </w:r>
      <w:r w:rsidRPr="007B78E6">
        <w:rPr>
          <w:rFonts w:ascii="Arial" w:hAnsi="Arial" w:cs="Arial"/>
          <w:color w:val="000000" w:themeColor="text1"/>
          <w:sz w:val="22"/>
          <w:szCs w:val="22"/>
          <w:lang w:val="es-ES_tradnl"/>
        </w:rPr>
        <w:t xml:space="preserve">. En efecto, si bien </w:t>
      </w:r>
      <w:r w:rsidR="00CC3995" w:rsidRPr="007B78E6">
        <w:rPr>
          <w:rFonts w:ascii="Arial" w:hAnsi="Arial" w:cs="Arial"/>
          <w:color w:val="000000" w:themeColor="text1"/>
          <w:sz w:val="22"/>
          <w:szCs w:val="22"/>
          <w:lang w:val="es-ES_tradnl"/>
        </w:rPr>
        <w:t>el parágrafo 2 del artículo 30 de la Ley de Emprendimiento dispone que «La contratación a que se refiere el presente artículo se realizará exclusivamente con las reglas en él contempladas y en su reglamentación […]</w:t>
      </w:r>
      <w:r w:rsidR="00010F9A" w:rsidRPr="007B78E6">
        <w:rPr>
          <w:rFonts w:ascii="Arial" w:hAnsi="Arial" w:cs="Arial"/>
          <w:color w:val="000000" w:themeColor="text1"/>
          <w:sz w:val="22"/>
          <w:szCs w:val="22"/>
          <w:lang w:val="es-ES_tradnl"/>
        </w:rPr>
        <w:t xml:space="preserve">, </w:t>
      </w:r>
      <w:r w:rsidR="00615875" w:rsidRPr="007B78E6">
        <w:rPr>
          <w:rFonts w:ascii="Arial" w:hAnsi="Arial" w:cs="Arial"/>
          <w:color w:val="000000" w:themeColor="text1"/>
          <w:sz w:val="22"/>
          <w:szCs w:val="22"/>
          <w:lang w:val="es-ES_tradnl"/>
        </w:rPr>
        <w:t>las causales</w:t>
      </w:r>
      <w:r w:rsidR="00010F9A" w:rsidRPr="007B78E6">
        <w:rPr>
          <w:rFonts w:ascii="Arial" w:hAnsi="Arial" w:cs="Arial"/>
          <w:color w:val="000000" w:themeColor="text1"/>
          <w:sz w:val="22"/>
          <w:szCs w:val="22"/>
          <w:lang w:val="es-ES_tradnl"/>
        </w:rPr>
        <w:t xml:space="preserve"> del artículo 35 de la Ley </w:t>
      </w:r>
      <w:r w:rsidR="00AA3088" w:rsidRPr="007B78E6">
        <w:rPr>
          <w:rFonts w:ascii="Arial" w:hAnsi="Arial" w:cs="Arial"/>
          <w:color w:val="000000" w:themeColor="text1"/>
          <w:sz w:val="22"/>
          <w:szCs w:val="22"/>
          <w:lang w:val="es-ES_tradnl"/>
        </w:rPr>
        <w:t>2069 de 2020</w:t>
      </w:r>
      <w:r w:rsidR="00010F9A" w:rsidRPr="007B78E6">
        <w:rPr>
          <w:rFonts w:ascii="Arial" w:hAnsi="Arial" w:cs="Arial"/>
          <w:color w:val="000000" w:themeColor="text1"/>
          <w:sz w:val="22"/>
          <w:szCs w:val="22"/>
          <w:lang w:val="es-ES_tradnl"/>
        </w:rPr>
        <w:t xml:space="preserve"> </w:t>
      </w:r>
      <w:r w:rsidR="00B53899" w:rsidRPr="007B78E6">
        <w:rPr>
          <w:rFonts w:ascii="Arial" w:hAnsi="Arial" w:cs="Arial"/>
          <w:color w:val="000000" w:themeColor="text1"/>
          <w:sz w:val="22"/>
          <w:szCs w:val="22"/>
          <w:lang w:val="es-ES_tradnl"/>
        </w:rPr>
        <w:t>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r w:rsidR="00CF6296" w:rsidRPr="007B78E6">
        <w:rPr>
          <w:rFonts w:ascii="Arial" w:hAnsi="Arial" w:cs="Arial"/>
          <w:color w:val="000000" w:themeColor="text1"/>
          <w:sz w:val="22"/>
          <w:szCs w:val="22"/>
          <w:lang w:val="es-ES_tradnl"/>
        </w:rPr>
        <w:t>.</w:t>
      </w:r>
      <w:r w:rsidRPr="007B78E6">
        <w:rPr>
          <w:rFonts w:ascii="Arial" w:hAnsi="Arial" w:cs="Arial"/>
          <w:color w:val="000000" w:themeColor="text1"/>
          <w:sz w:val="22"/>
          <w:szCs w:val="22"/>
          <w:lang w:val="es-ES_tradnl"/>
        </w:rPr>
        <w:t xml:space="preserve">  </w:t>
      </w:r>
    </w:p>
    <w:p w14:paraId="56199B0C" w14:textId="72A0BF82" w:rsidR="00F77DD4" w:rsidRPr="007B78E6" w:rsidRDefault="00AA3088" w:rsidP="00F77DD4">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En efecto, una interpretación exegética del parágrafo 2 del artículo 30 de la Ley de Emprendimiento desconoce</w:t>
      </w:r>
      <w:r w:rsidR="004F4D5A" w:rsidRPr="007B78E6">
        <w:rPr>
          <w:rFonts w:ascii="Arial" w:hAnsi="Arial" w:cs="Arial"/>
          <w:color w:val="000000" w:themeColor="text1"/>
          <w:sz w:val="22"/>
          <w:szCs w:val="22"/>
          <w:lang w:val="es-ES_tradnl"/>
        </w:rPr>
        <w:t>ría</w:t>
      </w:r>
      <w:r w:rsidRPr="007B78E6">
        <w:rPr>
          <w:rFonts w:ascii="Arial" w:hAnsi="Arial" w:cs="Arial"/>
          <w:color w:val="000000" w:themeColor="text1"/>
          <w:sz w:val="22"/>
          <w:szCs w:val="22"/>
          <w:lang w:val="es-ES_tradnl"/>
        </w:rPr>
        <w:t xml:space="preserve"> la aplicación de normas transversales al sistema de compras y contratación pública, tales como </w:t>
      </w:r>
      <w:r w:rsidR="00513170" w:rsidRPr="007B78E6">
        <w:rPr>
          <w:rFonts w:ascii="Arial" w:hAnsi="Arial" w:cs="Arial"/>
          <w:color w:val="000000" w:themeColor="text1"/>
          <w:sz w:val="22"/>
          <w:szCs w:val="22"/>
          <w:lang w:val="es-ES_tradnl"/>
        </w:rPr>
        <w:t xml:space="preserve">la capacidad de los consorcios y las uniones temporales, </w:t>
      </w:r>
      <w:r w:rsidRPr="007B78E6">
        <w:rPr>
          <w:rFonts w:ascii="Arial" w:hAnsi="Arial" w:cs="Arial"/>
          <w:color w:val="000000" w:themeColor="text1"/>
          <w:sz w:val="22"/>
          <w:szCs w:val="22"/>
          <w:lang w:val="es-ES_tradnl"/>
        </w:rPr>
        <w:t>el régimen de inhabilidades e incompatibilidades</w:t>
      </w:r>
      <w:r w:rsidR="00513170" w:rsidRPr="007B78E6">
        <w:rPr>
          <w:rFonts w:ascii="Arial" w:hAnsi="Arial" w:cs="Arial"/>
          <w:color w:val="000000" w:themeColor="text1"/>
          <w:sz w:val="22"/>
          <w:szCs w:val="22"/>
          <w:lang w:val="es-ES_tradnl"/>
        </w:rPr>
        <w:t xml:space="preserve">, </w:t>
      </w:r>
      <w:r w:rsidR="00F77DD4" w:rsidRPr="007B78E6">
        <w:rPr>
          <w:rFonts w:ascii="Arial" w:hAnsi="Arial" w:cs="Arial"/>
          <w:color w:val="000000" w:themeColor="text1"/>
          <w:sz w:val="22"/>
          <w:szCs w:val="22"/>
          <w:lang w:val="es-ES_tradnl"/>
        </w:rPr>
        <w:t>los requisitos para ejercer</w:t>
      </w:r>
      <w:r w:rsidR="00513170" w:rsidRPr="007B78E6">
        <w:rPr>
          <w:rFonts w:ascii="Arial" w:hAnsi="Arial" w:cs="Arial"/>
          <w:color w:val="000000" w:themeColor="text1"/>
          <w:sz w:val="22"/>
          <w:szCs w:val="22"/>
          <w:lang w:val="es-ES_tradnl"/>
        </w:rPr>
        <w:t xml:space="preserve"> las potestades exorbitantes</w:t>
      </w:r>
      <w:r w:rsidRPr="007B78E6">
        <w:rPr>
          <w:rFonts w:ascii="Arial" w:hAnsi="Arial" w:cs="Arial"/>
          <w:color w:val="000000" w:themeColor="text1"/>
          <w:sz w:val="22"/>
          <w:szCs w:val="22"/>
          <w:lang w:val="es-ES_tradnl"/>
        </w:rPr>
        <w:t xml:space="preserve"> o los principios de la contratación estatal –art</w:t>
      </w:r>
      <w:r w:rsidR="00513170" w:rsidRPr="007B78E6">
        <w:rPr>
          <w:rFonts w:ascii="Arial" w:hAnsi="Arial" w:cs="Arial"/>
          <w:color w:val="000000" w:themeColor="text1"/>
          <w:sz w:val="22"/>
          <w:szCs w:val="22"/>
          <w:lang w:val="es-ES_tradnl"/>
        </w:rPr>
        <w:t>s</w:t>
      </w:r>
      <w:r w:rsidRPr="007B78E6">
        <w:rPr>
          <w:rFonts w:ascii="Arial" w:hAnsi="Arial" w:cs="Arial"/>
          <w:color w:val="000000" w:themeColor="text1"/>
          <w:sz w:val="22"/>
          <w:szCs w:val="22"/>
          <w:lang w:val="es-ES_tradnl"/>
        </w:rPr>
        <w:t xml:space="preserve">. </w:t>
      </w:r>
      <w:r w:rsidR="00513170" w:rsidRPr="007B78E6">
        <w:rPr>
          <w:rFonts w:ascii="Arial" w:hAnsi="Arial" w:cs="Arial"/>
          <w:color w:val="000000" w:themeColor="text1"/>
          <w:sz w:val="22"/>
          <w:szCs w:val="22"/>
          <w:lang w:val="es-ES_tradnl"/>
        </w:rPr>
        <w:t xml:space="preserve">6, 8, 14.2 y </w:t>
      </w:r>
      <w:r w:rsidRPr="007B78E6">
        <w:rPr>
          <w:rFonts w:ascii="Arial" w:hAnsi="Arial" w:cs="Arial"/>
          <w:color w:val="000000" w:themeColor="text1"/>
          <w:sz w:val="22"/>
          <w:szCs w:val="22"/>
          <w:lang w:val="es-ES_tradnl"/>
        </w:rPr>
        <w:t>23 de la Ley 80 de 1993</w:t>
      </w:r>
      <w:r w:rsidR="00513170" w:rsidRPr="007B78E6">
        <w:rPr>
          <w:rFonts w:ascii="Arial" w:hAnsi="Arial" w:cs="Arial"/>
          <w:color w:val="000000" w:themeColor="text1"/>
          <w:sz w:val="22"/>
          <w:szCs w:val="22"/>
          <w:lang w:val="es-ES_tradnl"/>
        </w:rPr>
        <w:t xml:space="preserve">, respectivamente–. Llevada al </w:t>
      </w:r>
      <w:r w:rsidR="00850C34" w:rsidRPr="007B78E6">
        <w:rPr>
          <w:rFonts w:ascii="Arial" w:hAnsi="Arial" w:cs="Arial"/>
          <w:color w:val="000000" w:themeColor="text1"/>
          <w:sz w:val="22"/>
          <w:szCs w:val="22"/>
          <w:lang w:val="es-ES_tradnl"/>
        </w:rPr>
        <w:t>extremo</w:t>
      </w:r>
      <w:r w:rsidR="00513170" w:rsidRPr="007B78E6">
        <w:rPr>
          <w:rFonts w:ascii="Arial" w:hAnsi="Arial" w:cs="Arial"/>
          <w:color w:val="000000" w:themeColor="text1"/>
          <w:sz w:val="22"/>
          <w:szCs w:val="22"/>
          <w:lang w:val="es-ES_tradnl"/>
        </w:rPr>
        <w:t>, la idea de que el procedimiento de mínima cuantía solo se regula por el artículo 30 de la Ley 2069 de 2020 y su correspondiente reglamentación genera consecuencia</w:t>
      </w:r>
      <w:r w:rsidR="00F77DD4" w:rsidRPr="007B78E6">
        <w:rPr>
          <w:rFonts w:ascii="Arial" w:hAnsi="Arial" w:cs="Arial"/>
          <w:color w:val="000000" w:themeColor="text1"/>
          <w:sz w:val="22"/>
          <w:szCs w:val="22"/>
          <w:lang w:val="es-ES_tradnl"/>
        </w:rPr>
        <w:t>s</w:t>
      </w:r>
      <w:r w:rsidR="00513170" w:rsidRPr="007B78E6">
        <w:rPr>
          <w:rFonts w:ascii="Arial" w:hAnsi="Arial" w:cs="Arial"/>
          <w:color w:val="000000" w:themeColor="text1"/>
          <w:sz w:val="22"/>
          <w:szCs w:val="22"/>
          <w:lang w:val="es-ES_tradnl"/>
        </w:rPr>
        <w:t xml:space="preserve"> absurdas</w:t>
      </w:r>
      <w:r w:rsidR="00F77DD4" w:rsidRPr="007B78E6">
        <w:rPr>
          <w:rFonts w:ascii="Arial" w:hAnsi="Arial" w:cs="Arial"/>
          <w:color w:val="000000" w:themeColor="text1"/>
          <w:sz w:val="22"/>
          <w:szCs w:val="22"/>
          <w:lang w:val="es-ES_tradnl"/>
        </w:rPr>
        <w:t>, pues da</w:t>
      </w:r>
      <w:r w:rsidR="007B2820" w:rsidRPr="007B78E6">
        <w:rPr>
          <w:rFonts w:ascii="Arial" w:hAnsi="Arial" w:cs="Arial"/>
          <w:color w:val="000000" w:themeColor="text1"/>
          <w:sz w:val="22"/>
          <w:szCs w:val="22"/>
          <w:lang w:val="es-ES_tradnl"/>
        </w:rPr>
        <w:t>ría</w:t>
      </w:r>
      <w:r w:rsidR="00F77DD4" w:rsidRPr="007B78E6">
        <w:rPr>
          <w:rFonts w:ascii="Arial" w:hAnsi="Arial" w:cs="Arial"/>
          <w:color w:val="000000" w:themeColor="text1"/>
          <w:sz w:val="22"/>
          <w:szCs w:val="22"/>
          <w:lang w:val="es-ES_tradnl"/>
        </w:rPr>
        <w:t xml:space="preserve"> a entender que el reglamento p</w:t>
      </w:r>
      <w:r w:rsidR="007B2820" w:rsidRPr="007B78E6">
        <w:rPr>
          <w:rFonts w:ascii="Arial" w:hAnsi="Arial" w:cs="Arial"/>
          <w:color w:val="000000" w:themeColor="text1"/>
          <w:sz w:val="22"/>
          <w:szCs w:val="22"/>
          <w:lang w:val="es-ES_tradnl"/>
        </w:rPr>
        <w:t>odría llegar a</w:t>
      </w:r>
      <w:r w:rsidR="00F77DD4" w:rsidRPr="007B78E6">
        <w:rPr>
          <w:rFonts w:ascii="Arial" w:hAnsi="Arial" w:cs="Arial"/>
          <w:color w:val="000000" w:themeColor="text1"/>
          <w:sz w:val="22"/>
          <w:szCs w:val="22"/>
          <w:lang w:val="es-ES_tradnl"/>
        </w:rPr>
        <w:t xml:space="preserve"> modificar aspectos elevados a rango de ley</w:t>
      </w:r>
      <w:r w:rsidR="007B2820" w:rsidRPr="007B78E6">
        <w:rPr>
          <w:rFonts w:ascii="Arial" w:hAnsi="Arial" w:cs="Arial"/>
          <w:color w:val="000000" w:themeColor="text1"/>
          <w:sz w:val="22"/>
          <w:szCs w:val="22"/>
          <w:lang w:val="es-ES_tradnl"/>
        </w:rPr>
        <w:t>, como lo son los criterios de desempate previstos en el artículo 35 de la Ley 2069 de 2020</w:t>
      </w:r>
      <w:r w:rsidR="00F77DD4" w:rsidRPr="007B78E6">
        <w:rPr>
          <w:rFonts w:ascii="Arial" w:hAnsi="Arial" w:cs="Arial"/>
          <w:color w:val="000000" w:themeColor="text1"/>
          <w:sz w:val="22"/>
          <w:szCs w:val="22"/>
          <w:lang w:val="es-ES_tradnl"/>
        </w:rPr>
        <w:t xml:space="preserve">. </w:t>
      </w:r>
    </w:p>
    <w:p w14:paraId="7B114987" w14:textId="77777777" w:rsidR="003165A4" w:rsidRPr="007B78E6" w:rsidRDefault="00F77DD4" w:rsidP="00F77DD4">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 xml:space="preserve">Además, aunque el artículo 5.1 de la Ley 57 de 1887 consagra la regla </w:t>
      </w:r>
      <w:r w:rsidRPr="007B78E6">
        <w:rPr>
          <w:rFonts w:ascii="Arial" w:hAnsi="Arial" w:cs="Arial"/>
          <w:i/>
          <w:iCs/>
          <w:color w:val="000000" w:themeColor="text1"/>
          <w:sz w:val="22"/>
          <w:szCs w:val="22"/>
          <w:lang w:val="es-ES_tradnl"/>
        </w:rPr>
        <w:t xml:space="preserve">lex </w:t>
      </w:r>
      <w:proofErr w:type="spellStart"/>
      <w:r w:rsidRPr="007B78E6">
        <w:rPr>
          <w:rFonts w:ascii="Arial" w:hAnsi="Arial" w:cs="Arial"/>
          <w:i/>
          <w:iCs/>
          <w:color w:val="000000" w:themeColor="text1"/>
          <w:sz w:val="22"/>
          <w:szCs w:val="22"/>
          <w:lang w:val="es-ES_tradnl"/>
        </w:rPr>
        <w:t>specialis</w:t>
      </w:r>
      <w:proofErr w:type="spellEnd"/>
      <w:r w:rsidRPr="007B78E6">
        <w:rPr>
          <w:rFonts w:ascii="Arial" w:hAnsi="Arial" w:cs="Arial"/>
          <w:i/>
          <w:iCs/>
          <w:color w:val="000000" w:themeColor="text1"/>
          <w:sz w:val="22"/>
          <w:szCs w:val="22"/>
          <w:lang w:val="es-ES_tradnl"/>
        </w:rPr>
        <w:t xml:space="preserve"> </w:t>
      </w:r>
      <w:proofErr w:type="spellStart"/>
      <w:r w:rsidRPr="007B78E6">
        <w:rPr>
          <w:rFonts w:ascii="Arial" w:hAnsi="Arial" w:cs="Arial"/>
          <w:i/>
          <w:iCs/>
          <w:color w:val="000000" w:themeColor="text1"/>
          <w:sz w:val="22"/>
          <w:szCs w:val="22"/>
          <w:lang w:val="es-ES_tradnl"/>
        </w:rPr>
        <w:t>derogat</w:t>
      </w:r>
      <w:proofErr w:type="spellEnd"/>
      <w:r w:rsidRPr="007B78E6">
        <w:rPr>
          <w:rFonts w:ascii="Arial" w:hAnsi="Arial" w:cs="Arial"/>
          <w:i/>
          <w:iCs/>
          <w:color w:val="000000" w:themeColor="text1"/>
          <w:sz w:val="22"/>
          <w:szCs w:val="22"/>
          <w:lang w:val="es-ES_tradnl"/>
        </w:rPr>
        <w:t xml:space="preserve"> </w:t>
      </w:r>
      <w:proofErr w:type="spellStart"/>
      <w:r w:rsidRPr="007B78E6">
        <w:rPr>
          <w:rFonts w:ascii="Arial" w:hAnsi="Arial" w:cs="Arial"/>
          <w:i/>
          <w:iCs/>
          <w:color w:val="000000" w:themeColor="text1"/>
          <w:sz w:val="22"/>
          <w:szCs w:val="22"/>
          <w:lang w:val="es-ES_tradnl"/>
        </w:rPr>
        <w:t>legi</w:t>
      </w:r>
      <w:proofErr w:type="spellEnd"/>
      <w:r w:rsidRPr="007B78E6">
        <w:rPr>
          <w:rFonts w:ascii="Arial" w:hAnsi="Arial" w:cs="Arial"/>
          <w:i/>
          <w:iCs/>
          <w:color w:val="000000" w:themeColor="text1"/>
          <w:sz w:val="22"/>
          <w:szCs w:val="22"/>
          <w:lang w:val="es-ES_tradnl"/>
        </w:rPr>
        <w:t xml:space="preserve"> </w:t>
      </w:r>
      <w:proofErr w:type="spellStart"/>
      <w:r w:rsidRPr="007B78E6">
        <w:rPr>
          <w:rFonts w:ascii="Arial" w:hAnsi="Arial" w:cs="Arial"/>
          <w:i/>
          <w:iCs/>
          <w:color w:val="000000" w:themeColor="text1"/>
          <w:sz w:val="22"/>
          <w:szCs w:val="22"/>
          <w:lang w:val="es-ES_tradnl"/>
        </w:rPr>
        <w:t>generali</w:t>
      </w:r>
      <w:proofErr w:type="spellEnd"/>
      <w:r w:rsidR="00231293" w:rsidRPr="007B78E6">
        <w:rPr>
          <w:rStyle w:val="Refdenotaalpie"/>
          <w:rFonts w:ascii="Arial" w:hAnsi="Arial" w:cs="Arial"/>
          <w:color w:val="000000" w:themeColor="text1"/>
          <w:sz w:val="22"/>
          <w:szCs w:val="22"/>
          <w:lang w:val="es-ES_tradnl"/>
        </w:rPr>
        <w:footnoteReference w:id="11"/>
      </w:r>
      <w:r w:rsidRPr="007B78E6">
        <w:rPr>
          <w:rFonts w:ascii="Arial" w:hAnsi="Arial" w:cs="Arial"/>
          <w:color w:val="000000" w:themeColor="text1"/>
          <w:sz w:val="22"/>
          <w:szCs w:val="22"/>
          <w:lang w:val="es-ES_tradnl"/>
        </w:rPr>
        <w:t xml:space="preserve">, este criterio para la resolución de antinomias carece de aplicación matemática para concluir que los factores de desempate </w:t>
      </w:r>
      <w:r w:rsidR="00D56A53" w:rsidRPr="007B78E6">
        <w:rPr>
          <w:rFonts w:ascii="Arial" w:hAnsi="Arial" w:cs="Arial"/>
          <w:color w:val="000000" w:themeColor="text1"/>
          <w:sz w:val="22"/>
          <w:szCs w:val="22"/>
          <w:lang w:val="es-ES_tradnl"/>
        </w:rPr>
        <w:t xml:space="preserve">para la mínima cuantía </w:t>
      </w:r>
      <w:r w:rsidRPr="007B78E6">
        <w:rPr>
          <w:rFonts w:ascii="Arial" w:hAnsi="Arial" w:cs="Arial"/>
          <w:color w:val="000000" w:themeColor="text1"/>
          <w:sz w:val="22"/>
          <w:szCs w:val="22"/>
          <w:lang w:val="es-ES_tradnl"/>
        </w:rPr>
        <w:t>se rigen por las normas especiales previstas en el reglamento</w:t>
      </w:r>
      <w:r w:rsidR="00231293" w:rsidRPr="007B78E6">
        <w:rPr>
          <w:rFonts w:ascii="Arial" w:hAnsi="Arial" w:cs="Arial"/>
          <w:color w:val="000000" w:themeColor="text1"/>
          <w:sz w:val="22"/>
          <w:szCs w:val="22"/>
          <w:lang w:val="es-ES_tradnl"/>
        </w:rPr>
        <w:t xml:space="preserve">. </w:t>
      </w:r>
      <w:r w:rsidR="00FF5E27" w:rsidRPr="007B78E6">
        <w:rPr>
          <w:rFonts w:ascii="Arial" w:hAnsi="Arial" w:cs="Arial"/>
          <w:color w:val="000000" w:themeColor="text1"/>
          <w:sz w:val="22"/>
          <w:szCs w:val="22"/>
          <w:lang w:val="es-ES_tradnl"/>
        </w:rPr>
        <w:t>De esta manera, los</w:t>
      </w:r>
      <w:r w:rsidR="00231293" w:rsidRPr="007B78E6">
        <w:rPr>
          <w:rFonts w:ascii="Arial" w:hAnsi="Arial" w:cs="Arial"/>
          <w:color w:val="000000" w:themeColor="text1"/>
          <w:sz w:val="22"/>
          <w:szCs w:val="22"/>
          <w:lang w:val="es-ES_tradnl"/>
        </w:rPr>
        <w:t xml:space="preserve"> límites de esta regla hay que verificarlos en cada caso teniendo en cuenta la intención del legislador, por lo cual es posible </w:t>
      </w:r>
      <w:r w:rsidR="00FF5E27" w:rsidRPr="007B78E6">
        <w:rPr>
          <w:rFonts w:ascii="Arial" w:hAnsi="Arial" w:cs="Arial"/>
          <w:color w:val="000000" w:themeColor="text1"/>
          <w:sz w:val="22"/>
          <w:szCs w:val="22"/>
          <w:lang w:val="es-ES_tradnl"/>
        </w:rPr>
        <w:t>la existencia de una regla general que no tolere excepciones</w:t>
      </w:r>
      <w:r w:rsidR="00231293" w:rsidRPr="007B78E6">
        <w:rPr>
          <w:rStyle w:val="Refdenotaalpie"/>
          <w:rFonts w:ascii="Arial" w:hAnsi="Arial" w:cs="Arial"/>
          <w:color w:val="000000" w:themeColor="text1"/>
          <w:sz w:val="22"/>
          <w:szCs w:val="22"/>
          <w:lang w:val="es-ES_tradnl"/>
        </w:rPr>
        <w:footnoteReference w:id="12"/>
      </w:r>
      <w:r w:rsidRPr="007B78E6">
        <w:rPr>
          <w:rFonts w:ascii="Arial" w:hAnsi="Arial" w:cs="Arial"/>
          <w:color w:val="000000" w:themeColor="text1"/>
          <w:sz w:val="22"/>
          <w:szCs w:val="22"/>
          <w:lang w:val="es-ES_tradnl"/>
        </w:rPr>
        <w:t>.</w:t>
      </w:r>
      <w:r w:rsidR="00231293" w:rsidRPr="007B78E6">
        <w:rPr>
          <w:rFonts w:ascii="Arial" w:hAnsi="Arial" w:cs="Arial"/>
          <w:color w:val="000000" w:themeColor="text1"/>
          <w:sz w:val="22"/>
          <w:szCs w:val="22"/>
          <w:lang w:val="es-ES_tradnl"/>
        </w:rPr>
        <w:t xml:space="preserve"> Al respecto, la doctrina considera que:</w:t>
      </w:r>
      <w:r w:rsidRPr="007B78E6">
        <w:rPr>
          <w:rFonts w:ascii="Arial" w:hAnsi="Arial" w:cs="Arial"/>
          <w:color w:val="000000" w:themeColor="text1"/>
          <w:sz w:val="22"/>
          <w:szCs w:val="22"/>
          <w:lang w:val="es-ES_tradnl"/>
        </w:rPr>
        <w:t xml:space="preserve"> </w:t>
      </w:r>
    </w:p>
    <w:p w14:paraId="7A90DE71" w14:textId="4937C1C4" w:rsidR="00FF5E27" w:rsidRPr="007B78E6" w:rsidRDefault="00513170" w:rsidP="003165A4">
      <w:pPr>
        <w:spacing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lastRenderedPageBreak/>
        <w:t xml:space="preserve">  </w:t>
      </w:r>
    </w:p>
    <w:p w14:paraId="180D3A54" w14:textId="77DB4E67" w:rsidR="003165A4" w:rsidRPr="007B78E6" w:rsidRDefault="00FF5E27" w:rsidP="003165A4">
      <w:pPr>
        <w:ind w:left="709" w:right="758"/>
        <w:jc w:val="both"/>
        <w:rPr>
          <w:rFonts w:ascii="Arial" w:hAnsi="Arial" w:cs="Arial"/>
          <w:color w:val="000000" w:themeColor="text1"/>
          <w:sz w:val="21"/>
          <w:szCs w:val="21"/>
          <w:lang w:val="es-ES_tradnl"/>
        </w:rPr>
      </w:pPr>
      <w:r w:rsidRPr="007B78E6">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7B78E6">
        <w:rPr>
          <w:rFonts w:ascii="Arial" w:hAnsi="Arial" w:cs="Arial"/>
          <w:i/>
          <w:iCs/>
          <w:color w:val="000000" w:themeColor="text1"/>
          <w:sz w:val="21"/>
          <w:szCs w:val="21"/>
        </w:rPr>
        <w:t xml:space="preserve">lex posterior </w:t>
      </w:r>
      <w:proofErr w:type="spellStart"/>
      <w:r w:rsidRPr="007B78E6">
        <w:rPr>
          <w:rFonts w:ascii="Arial" w:hAnsi="Arial" w:cs="Arial"/>
          <w:i/>
          <w:iCs/>
          <w:color w:val="000000" w:themeColor="text1"/>
          <w:sz w:val="21"/>
          <w:szCs w:val="21"/>
        </w:rPr>
        <w:t>generalis</w:t>
      </w:r>
      <w:proofErr w:type="spellEnd"/>
      <w:r w:rsidRPr="007B78E6">
        <w:rPr>
          <w:rFonts w:ascii="Arial" w:hAnsi="Arial" w:cs="Arial"/>
          <w:color w:val="000000" w:themeColor="text1"/>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7B78E6">
        <w:rPr>
          <w:rFonts w:ascii="Arial" w:hAnsi="Arial" w:cs="Arial"/>
          <w:i/>
          <w:iCs/>
          <w:color w:val="000000" w:themeColor="text1"/>
          <w:sz w:val="21"/>
          <w:szCs w:val="21"/>
        </w:rPr>
        <w:t xml:space="preserve">lex posterior </w:t>
      </w:r>
      <w:proofErr w:type="spellStart"/>
      <w:r w:rsidRPr="007B78E6">
        <w:rPr>
          <w:rFonts w:ascii="Arial" w:hAnsi="Arial" w:cs="Arial"/>
          <w:i/>
          <w:iCs/>
          <w:color w:val="000000" w:themeColor="text1"/>
          <w:sz w:val="21"/>
          <w:szCs w:val="21"/>
        </w:rPr>
        <w:t>generalis</w:t>
      </w:r>
      <w:proofErr w:type="spellEnd"/>
      <w:r w:rsidRPr="007B78E6">
        <w:rPr>
          <w:rFonts w:ascii="Arial" w:hAnsi="Arial" w:cs="Arial"/>
          <w:i/>
          <w:iCs/>
          <w:color w:val="000000" w:themeColor="text1"/>
          <w:sz w:val="21"/>
          <w:szCs w:val="21"/>
        </w:rPr>
        <w:t xml:space="preserve"> non </w:t>
      </w:r>
      <w:proofErr w:type="spellStart"/>
      <w:r w:rsidRPr="007B78E6">
        <w:rPr>
          <w:rFonts w:ascii="Arial" w:hAnsi="Arial" w:cs="Arial"/>
          <w:i/>
          <w:iCs/>
          <w:color w:val="000000" w:themeColor="text1"/>
          <w:sz w:val="21"/>
          <w:szCs w:val="21"/>
        </w:rPr>
        <w:t>derogat</w:t>
      </w:r>
      <w:proofErr w:type="spellEnd"/>
      <w:r w:rsidRPr="007B78E6">
        <w:rPr>
          <w:rFonts w:ascii="Arial" w:hAnsi="Arial" w:cs="Arial"/>
          <w:i/>
          <w:iCs/>
          <w:color w:val="000000" w:themeColor="text1"/>
          <w:sz w:val="21"/>
          <w:szCs w:val="21"/>
        </w:rPr>
        <w:t xml:space="preserve"> </w:t>
      </w:r>
      <w:proofErr w:type="spellStart"/>
      <w:r w:rsidRPr="007B78E6">
        <w:rPr>
          <w:rFonts w:ascii="Arial" w:hAnsi="Arial" w:cs="Arial"/>
          <w:i/>
          <w:iCs/>
          <w:color w:val="000000" w:themeColor="text1"/>
          <w:sz w:val="21"/>
          <w:szCs w:val="21"/>
        </w:rPr>
        <w:t>legi</w:t>
      </w:r>
      <w:proofErr w:type="spellEnd"/>
      <w:r w:rsidRPr="007B78E6">
        <w:rPr>
          <w:rFonts w:ascii="Arial" w:hAnsi="Arial" w:cs="Arial"/>
          <w:i/>
          <w:iCs/>
          <w:color w:val="000000" w:themeColor="text1"/>
          <w:sz w:val="21"/>
          <w:szCs w:val="21"/>
        </w:rPr>
        <w:t xml:space="preserve"> priori </w:t>
      </w:r>
      <w:proofErr w:type="spellStart"/>
      <w:r w:rsidRPr="007B78E6">
        <w:rPr>
          <w:rFonts w:ascii="Arial" w:hAnsi="Arial" w:cs="Arial"/>
          <w:i/>
          <w:iCs/>
          <w:color w:val="000000" w:themeColor="text1"/>
          <w:sz w:val="21"/>
          <w:szCs w:val="21"/>
        </w:rPr>
        <w:t>speciali</w:t>
      </w:r>
      <w:proofErr w:type="spellEnd"/>
      <w:r w:rsidRPr="007B78E6">
        <w:rPr>
          <w:rFonts w:ascii="Arial" w:hAnsi="Arial" w:cs="Arial"/>
          <w:color w:val="000000" w:themeColor="text1"/>
          <w:sz w:val="21"/>
          <w:szCs w:val="21"/>
        </w:rPr>
        <w:t xml:space="preserve"> opera como una mera presunción hermenéutica, que puede ser destruida por una clara </w:t>
      </w:r>
      <w:proofErr w:type="spellStart"/>
      <w:r w:rsidRPr="007B78E6">
        <w:rPr>
          <w:rFonts w:ascii="Arial" w:hAnsi="Arial" w:cs="Arial"/>
          <w:i/>
          <w:iCs/>
          <w:color w:val="000000" w:themeColor="text1"/>
          <w:sz w:val="21"/>
          <w:szCs w:val="21"/>
        </w:rPr>
        <w:t>voluntas</w:t>
      </w:r>
      <w:proofErr w:type="spellEnd"/>
      <w:r w:rsidRPr="007B78E6">
        <w:rPr>
          <w:rFonts w:ascii="Arial" w:hAnsi="Arial" w:cs="Arial"/>
          <w:i/>
          <w:iCs/>
          <w:color w:val="000000" w:themeColor="text1"/>
          <w:sz w:val="21"/>
          <w:szCs w:val="21"/>
        </w:rPr>
        <w:t xml:space="preserve"> </w:t>
      </w:r>
      <w:proofErr w:type="spellStart"/>
      <w:r w:rsidRPr="007B78E6">
        <w:rPr>
          <w:rFonts w:ascii="Arial" w:hAnsi="Arial" w:cs="Arial"/>
          <w:i/>
          <w:iCs/>
          <w:color w:val="000000" w:themeColor="text1"/>
          <w:sz w:val="21"/>
          <w:szCs w:val="21"/>
        </w:rPr>
        <w:t>legis</w:t>
      </w:r>
      <w:proofErr w:type="spellEnd"/>
      <w:r w:rsidRPr="007B78E6">
        <w:rPr>
          <w:rFonts w:ascii="Arial" w:hAnsi="Arial" w:cs="Arial"/>
          <w:color w:val="000000" w:themeColor="text1"/>
          <w:sz w:val="21"/>
          <w:szCs w:val="21"/>
        </w:rPr>
        <w:t xml:space="preserve"> de sentido contrario</w:t>
      </w:r>
      <w:r w:rsidRPr="007B78E6">
        <w:rPr>
          <w:rStyle w:val="Refdenotaalpie"/>
          <w:rFonts w:ascii="Arial" w:hAnsi="Arial" w:cs="Arial"/>
          <w:color w:val="000000" w:themeColor="text1"/>
          <w:sz w:val="21"/>
          <w:szCs w:val="21"/>
        </w:rPr>
        <w:footnoteReference w:id="13"/>
      </w:r>
      <w:r w:rsidRPr="007B78E6">
        <w:rPr>
          <w:rFonts w:ascii="Arial" w:hAnsi="Arial" w:cs="Arial"/>
          <w:color w:val="000000" w:themeColor="text1"/>
          <w:sz w:val="21"/>
          <w:szCs w:val="21"/>
        </w:rPr>
        <w:t>.</w:t>
      </w:r>
      <w:r w:rsidR="00AA3088" w:rsidRPr="007B78E6">
        <w:rPr>
          <w:rFonts w:ascii="Arial" w:hAnsi="Arial" w:cs="Arial"/>
          <w:color w:val="000000" w:themeColor="text1"/>
          <w:sz w:val="21"/>
          <w:szCs w:val="21"/>
          <w:lang w:val="es-ES_tradnl"/>
        </w:rPr>
        <w:t xml:space="preserve"> </w:t>
      </w:r>
    </w:p>
    <w:p w14:paraId="335BABD9" w14:textId="77777777" w:rsidR="003165A4" w:rsidRPr="007B78E6" w:rsidRDefault="003165A4" w:rsidP="003165A4">
      <w:pPr>
        <w:spacing w:line="276" w:lineRule="auto"/>
        <w:jc w:val="both"/>
        <w:rPr>
          <w:rFonts w:ascii="Arial" w:hAnsi="Arial" w:cs="Arial"/>
          <w:color w:val="000000" w:themeColor="text1"/>
          <w:sz w:val="22"/>
          <w:szCs w:val="22"/>
          <w:lang w:val="es-ES_tradnl"/>
        </w:rPr>
      </w:pPr>
    </w:p>
    <w:p w14:paraId="17526575" w14:textId="5650D3EE" w:rsidR="002B2DD9" w:rsidRPr="007B78E6" w:rsidRDefault="003165A4" w:rsidP="00623346">
      <w:pPr>
        <w:spacing w:after="120" w:line="276" w:lineRule="auto"/>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7B78E6">
        <w:rPr>
          <w:rFonts w:ascii="Arial" w:eastAsia="Calibri" w:hAnsi="Arial" w:cs="Arial"/>
          <w:bCs/>
          <w:color w:val="000000" w:themeColor="text1"/>
          <w:sz w:val="22"/>
        </w:rPr>
        <w:t>conforme a la exposición de motivos, la ley «</w:t>
      </w:r>
      <w:r w:rsidRPr="007B78E6">
        <w:rPr>
          <w:rFonts w:ascii="Arial" w:hAnsi="Arial" w:cs="Arial"/>
          <w:sz w:val="22"/>
        </w:rPr>
        <w:t xml:space="preserve">[…] </w:t>
      </w:r>
      <w:r w:rsidRPr="007B78E6">
        <w:rPr>
          <w:rFonts w:ascii="Arial" w:eastAsia="Calibri" w:hAnsi="Arial" w:cs="Arial"/>
          <w:bCs/>
          <w:color w:val="000000" w:themeColor="text1"/>
          <w:sz w:val="22"/>
        </w:rPr>
        <w:t xml:space="preserve">propone facilitar el acceso de las </w:t>
      </w:r>
      <w:proofErr w:type="spellStart"/>
      <w:r w:rsidRPr="007B78E6">
        <w:rPr>
          <w:rFonts w:ascii="Arial" w:eastAsia="Calibri" w:hAnsi="Arial" w:cs="Arial"/>
          <w:bCs/>
          <w:color w:val="000000" w:themeColor="text1"/>
          <w:sz w:val="22"/>
        </w:rPr>
        <w:t>Mipymes</w:t>
      </w:r>
      <w:proofErr w:type="spellEnd"/>
      <w:r w:rsidRPr="007B78E6">
        <w:rPr>
          <w:rFonts w:ascii="Arial" w:eastAsia="Calibri" w:hAnsi="Arial" w:cs="Arial"/>
          <w:bCs/>
          <w:color w:val="000000" w:themeColor="text1"/>
          <w:sz w:val="22"/>
        </w:rPr>
        <w:t xml:space="preserve"> a la modalidad de contratación de mínima cuantía, la limitación de estos procesos a </w:t>
      </w:r>
      <w:proofErr w:type="spellStart"/>
      <w:r w:rsidRPr="007B78E6">
        <w:rPr>
          <w:rFonts w:ascii="Arial" w:eastAsia="Calibri" w:hAnsi="Arial" w:cs="Arial"/>
          <w:bCs/>
          <w:color w:val="000000" w:themeColor="text1"/>
          <w:sz w:val="22"/>
        </w:rPr>
        <w:t>Mipymes</w:t>
      </w:r>
      <w:proofErr w:type="spellEnd"/>
      <w:r w:rsidRPr="007B78E6">
        <w:rPr>
          <w:rFonts w:ascii="Arial" w:eastAsia="Calibri" w:hAnsi="Arial" w:cs="Arial"/>
          <w:bCs/>
          <w:color w:val="000000" w:themeColor="text1"/>
          <w:sz w:val="22"/>
        </w:rPr>
        <w:t xml:space="preserve">, […] y </w:t>
      </w:r>
      <w:r w:rsidRPr="007B78E6">
        <w:rPr>
          <w:rFonts w:ascii="Arial" w:eastAsia="Calibri" w:hAnsi="Arial" w:cs="Arial"/>
          <w:bCs/>
          <w:i/>
          <w:iCs/>
          <w:color w:val="000000" w:themeColor="text1"/>
          <w:sz w:val="22"/>
        </w:rPr>
        <w:t>define la inclusión de factores de desempate en los procesos de contratación pública que priorizan este segmento</w:t>
      </w:r>
      <w:r w:rsidRPr="007B78E6">
        <w:rPr>
          <w:rFonts w:ascii="Arial" w:eastAsia="Calibri" w:hAnsi="Arial" w:cs="Arial"/>
          <w:bCs/>
          <w:color w:val="000000" w:themeColor="text1"/>
          <w:sz w:val="22"/>
        </w:rPr>
        <w:t>» (Énfasis fuera de texto)</w:t>
      </w:r>
      <w:r w:rsidRPr="007B78E6">
        <w:rPr>
          <w:rStyle w:val="Refdenotaalpie"/>
          <w:rFonts w:ascii="Arial" w:eastAsia="Calibri" w:hAnsi="Arial" w:cs="Arial"/>
          <w:bCs/>
          <w:color w:val="000000" w:themeColor="text1"/>
          <w:sz w:val="22"/>
        </w:rPr>
        <w:footnoteReference w:id="14"/>
      </w:r>
      <w:r w:rsidRPr="007B78E6">
        <w:rPr>
          <w:rFonts w:ascii="Arial" w:eastAsia="Calibri" w:hAnsi="Arial" w:cs="Arial"/>
          <w:bCs/>
          <w:color w:val="000000" w:themeColor="text1"/>
          <w:sz w:val="22"/>
        </w:rPr>
        <w:t xml:space="preserve">. En esta medida, carece de sentido </w:t>
      </w:r>
      <w:r w:rsidR="00623346" w:rsidRPr="007B78E6">
        <w:rPr>
          <w:rFonts w:ascii="Arial" w:eastAsia="Calibri" w:hAnsi="Arial" w:cs="Arial"/>
          <w:bCs/>
          <w:color w:val="000000" w:themeColor="text1"/>
          <w:sz w:val="22"/>
        </w:rPr>
        <w:t>que los criterios de desempate</w:t>
      </w:r>
      <w:r w:rsidRPr="007B78E6">
        <w:rPr>
          <w:rFonts w:ascii="Arial" w:eastAsia="Calibri" w:hAnsi="Arial" w:cs="Arial"/>
          <w:bCs/>
          <w:color w:val="000000" w:themeColor="text1"/>
          <w:sz w:val="22"/>
        </w:rPr>
        <w:t xml:space="preserve"> sean inaplicables </w:t>
      </w:r>
      <w:r w:rsidR="00623346" w:rsidRPr="007B78E6">
        <w:rPr>
          <w:rFonts w:ascii="Arial" w:eastAsia="Calibri" w:hAnsi="Arial" w:cs="Arial"/>
          <w:bCs/>
          <w:color w:val="000000" w:themeColor="text1"/>
          <w:sz w:val="22"/>
        </w:rPr>
        <w:t>a la</w:t>
      </w:r>
      <w:r w:rsidRPr="007B78E6">
        <w:rPr>
          <w:rFonts w:ascii="Arial" w:eastAsia="Calibri" w:hAnsi="Arial" w:cs="Arial"/>
          <w:bCs/>
          <w:color w:val="000000" w:themeColor="text1"/>
          <w:sz w:val="22"/>
        </w:rPr>
        <w:t xml:space="preserve"> mínima cuantía, cuando la regla </w:t>
      </w:r>
      <w:r w:rsidR="001B28B8" w:rsidRPr="007B78E6">
        <w:rPr>
          <w:rFonts w:ascii="Arial" w:eastAsia="Calibri" w:hAnsi="Arial" w:cs="Arial"/>
          <w:bCs/>
          <w:color w:val="000000" w:themeColor="text1"/>
          <w:sz w:val="22"/>
        </w:rPr>
        <w:t>p</w:t>
      </w:r>
      <w:r w:rsidRPr="007B78E6">
        <w:rPr>
          <w:rFonts w:ascii="Arial" w:eastAsia="Calibri" w:hAnsi="Arial" w:cs="Arial"/>
          <w:bCs/>
          <w:color w:val="000000" w:themeColor="text1"/>
          <w:sz w:val="22"/>
        </w:rPr>
        <w:t xml:space="preserve">revista en el artículo citado </w:t>
      </w:r>
      <w:r w:rsidR="00623346" w:rsidRPr="007B78E6">
        <w:rPr>
          <w:rFonts w:ascii="Arial" w:eastAsia="Calibri" w:hAnsi="Arial" w:cs="Arial"/>
          <w:bCs/>
          <w:color w:val="000000" w:themeColor="text1"/>
          <w:sz w:val="22"/>
        </w:rPr>
        <w:t>obliga</w:t>
      </w:r>
      <w:r w:rsidRPr="007B78E6">
        <w:rPr>
          <w:rFonts w:ascii="Arial" w:eastAsia="Calibri" w:hAnsi="Arial" w:cs="Arial"/>
          <w:bCs/>
          <w:color w:val="000000" w:themeColor="text1"/>
          <w:sz w:val="22"/>
        </w:rPr>
        <w:t xml:space="preserve"> a todas las entidades exceptuadas sin consideración al valor del presupuesto oficial estimado</w:t>
      </w:r>
      <w:bookmarkStart w:id="5" w:name="_Hlk64307901"/>
      <w:r w:rsidR="00623346" w:rsidRPr="007B78E6">
        <w:rPr>
          <w:rFonts w:ascii="Arial" w:hAnsi="Arial" w:cs="Arial"/>
          <w:color w:val="000000" w:themeColor="text1"/>
          <w:sz w:val="22"/>
          <w:szCs w:val="22"/>
          <w:lang w:val="es-ES_tradnl"/>
        </w:rPr>
        <w:t>.</w:t>
      </w:r>
    </w:p>
    <w:p w14:paraId="4F0AEFD4" w14:textId="77777777" w:rsidR="002B2DD9" w:rsidRPr="007B78E6" w:rsidRDefault="002B2DD9" w:rsidP="002B2DD9">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 xml:space="preserve">Por tratarse de una norma transversal al sistema de compras y contratación pública, el artículo 35 de la Ley 2069 de 2020 es aplicable al procedimiento de mínima cuantía, presentándose tanto la derogación como el decaimiento de los criterios de desempate previstos en el Decreto 1082 de 2015 para esta modalidad de selección. En esta medida, dado que el artículo 35 eleva los factores de desempate a rango de ley, no es posible fijarlos autónomamente en las invitaciones.          </w:t>
      </w:r>
    </w:p>
    <w:p w14:paraId="29CE965B" w14:textId="2E5B9C82" w:rsidR="00AC4AD2" w:rsidRPr="007B78E6" w:rsidRDefault="003165A4" w:rsidP="002B2DD9">
      <w:pPr>
        <w:spacing w:line="276" w:lineRule="auto"/>
        <w:jc w:val="both"/>
        <w:rPr>
          <w:rFonts w:ascii="Arial" w:eastAsia="Calibri" w:hAnsi="Arial" w:cs="Arial"/>
          <w:bCs/>
          <w:color w:val="000000" w:themeColor="text1"/>
          <w:sz w:val="22"/>
        </w:rPr>
      </w:pPr>
      <w:r w:rsidRPr="007B78E6">
        <w:rPr>
          <w:rFonts w:ascii="Arial" w:eastAsia="Calibri" w:hAnsi="Arial" w:cs="Arial"/>
          <w:bCs/>
          <w:color w:val="000000" w:themeColor="text1"/>
          <w:sz w:val="22"/>
        </w:rPr>
        <w:t xml:space="preserve"> </w:t>
      </w:r>
      <w:r w:rsidRPr="007B78E6">
        <w:rPr>
          <w:rFonts w:ascii="Arial" w:hAnsi="Arial" w:cs="Arial"/>
          <w:color w:val="000000" w:themeColor="text1"/>
          <w:sz w:val="22"/>
          <w:szCs w:val="22"/>
          <w:lang w:val="es-ES_tradnl"/>
        </w:rPr>
        <w:t xml:space="preserve">  </w:t>
      </w:r>
      <w:r w:rsidR="00AA3088" w:rsidRPr="007B78E6">
        <w:rPr>
          <w:rFonts w:ascii="Arial" w:hAnsi="Arial" w:cs="Arial"/>
          <w:color w:val="000000" w:themeColor="text1"/>
          <w:sz w:val="22"/>
          <w:szCs w:val="22"/>
          <w:lang w:val="es-ES_tradnl"/>
        </w:rPr>
        <w:t xml:space="preserve">   </w:t>
      </w:r>
      <w:bookmarkEnd w:id="5"/>
    </w:p>
    <w:p w14:paraId="37CA9805" w14:textId="74A99BE5" w:rsidR="00DD5B04" w:rsidRPr="007B78E6" w:rsidRDefault="004177A6" w:rsidP="00510DE9">
      <w:pPr>
        <w:tabs>
          <w:tab w:val="left" w:pos="0"/>
        </w:tabs>
        <w:jc w:val="both"/>
        <w:rPr>
          <w:rFonts w:ascii="Arial" w:eastAsia="Calibri" w:hAnsi="Arial" w:cs="Arial"/>
          <w:b/>
          <w:color w:val="000000" w:themeColor="text1"/>
          <w:sz w:val="22"/>
          <w:lang w:val="es-ES_tradnl"/>
        </w:rPr>
      </w:pPr>
      <w:r w:rsidRPr="007B78E6">
        <w:rPr>
          <w:rFonts w:ascii="Arial" w:eastAsia="Calibri" w:hAnsi="Arial" w:cs="Arial"/>
          <w:b/>
          <w:color w:val="000000" w:themeColor="text1"/>
          <w:sz w:val="22"/>
          <w:lang w:val="es-ES_tradnl"/>
        </w:rPr>
        <w:t>3</w:t>
      </w:r>
      <w:r w:rsidR="00B011A9" w:rsidRPr="007B78E6">
        <w:rPr>
          <w:rFonts w:ascii="Arial" w:eastAsia="Calibri" w:hAnsi="Arial" w:cs="Arial"/>
          <w:b/>
          <w:color w:val="000000" w:themeColor="text1"/>
          <w:sz w:val="22"/>
          <w:lang w:val="es-ES_tradnl"/>
        </w:rPr>
        <w:t xml:space="preserve">. </w:t>
      </w:r>
      <w:r w:rsidR="00DD5B04" w:rsidRPr="007B78E6">
        <w:rPr>
          <w:rFonts w:ascii="Arial" w:eastAsia="Calibri" w:hAnsi="Arial" w:cs="Arial"/>
          <w:b/>
          <w:color w:val="000000" w:themeColor="text1"/>
          <w:sz w:val="22"/>
          <w:lang w:val="es-ES_tradnl"/>
        </w:rPr>
        <w:t>Respuesta</w:t>
      </w:r>
      <w:r w:rsidR="002A7D84" w:rsidRPr="007B78E6">
        <w:rPr>
          <w:rFonts w:ascii="Arial" w:eastAsia="Calibri" w:hAnsi="Arial" w:cs="Arial"/>
          <w:b/>
          <w:color w:val="000000" w:themeColor="text1"/>
          <w:sz w:val="22"/>
          <w:lang w:val="es-ES_tradnl"/>
        </w:rPr>
        <w:t>s</w:t>
      </w:r>
    </w:p>
    <w:p w14:paraId="0B74D5B8" w14:textId="7F0A7F13" w:rsidR="00C4581D" w:rsidRPr="007B78E6" w:rsidRDefault="00C4581D" w:rsidP="00510DE9">
      <w:pPr>
        <w:tabs>
          <w:tab w:val="left" w:pos="0"/>
        </w:tabs>
        <w:jc w:val="both"/>
        <w:rPr>
          <w:rFonts w:ascii="Arial" w:eastAsia="Calibri" w:hAnsi="Arial" w:cs="Arial"/>
          <w:color w:val="000000" w:themeColor="text1"/>
          <w:sz w:val="22"/>
          <w:lang w:val="es-ES_tradnl"/>
        </w:rPr>
      </w:pPr>
    </w:p>
    <w:p w14:paraId="3EB5F4C3" w14:textId="781CBA08" w:rsidR="00905336" w:rsidRPr="007B78E6" w:rsidRDefault="00A72CDE" w:rsidP="00905336">
      <w:pPr>
        <w:ind w:left="709" w:right="709"/>
        <w:jc w:val="both"/>
        <w:rPr>
          <w:rFonts w:ascii="Arial" w:hAnsi="Arial" w:cs="Arial"/>
          <w:color w:val="000000" w:themeColor="text1"/>
          <w:sz w:val="21"/>
          <w:szCs w:val="21"/>
          <w:lang w:val="es-ES_tradnl"/>
        </w:rPr>
      </w:pPr>
      <w:r w:rsidRPr="007B78E6">
        <w:rPr>
          <w:rFonts w:ascii="Arial" w:hAnsi="Arial" w:cs="Arial"/>
          <w:color w:val="000000" w:themeColor="text1"/>
          <w:sz w:val="21"/>
          <w:szCs w:val="21"/>
          <w:lang w:val="es-ES_tradnl"/>
        </w:rPr>
        <w:t>«¿En los procesos de mínima cuantía se debe dar aplicación a los criterios de desempate indicados en el artículo 35 de la ley 2069 de 2020 o al tener este un procedimiento especial fijado por el artículo 30 de la misma ley, el criterio de desempate lo fija cada entidad en sus invitaciones?»</w:t>
      </w:r>
      <w:r w:rsidR="00CC3995" w:rsidRPr="007B78E6">
        <w:rPr>
          <w:rFonts w:ascii="Arial" w:hAnsi="Arial" w:cs="Arial"/>
          <w:color w:val="000000" w:themeColor="text1"/>
          <w:sz w:val="21"/>
          <w:szCs w:val="21"/>
          <w:lang w:val="es-ES_tradnl"/>
        </w:rPr>
        <w:t>.</w:t>
      </w:r>
    </w:p>
    <w:p w14:paraId="35D2EB08" w14:textId="77777777" w:rsidR="00F740A0" w:rsidRPr="007B78E6" w:rsidRDefault="00F740A0" w:rsidP="00DF76A2">
      <w:pPr>
        <w:spacing w:line="276" w:lineRule="auto"/>
        <w:jc w:val="both"/>
        <w:rPr>
          <w:rFonts w:ascii="Arial" w:eastAsia="Calibri" w:hAnsi="Arial" w:cs="Arial"/>
          <w:color w:val="000000" w:themeColor="text1"/>
          <w:sz w:val="22"/>
          <w:szCs w:val="22"/>
          <w:lang w:val="es-ES_tradnl"/>
        </w:rPr>
      </w:pPr>
    </w:p>
    <w:p w14:paraId="43708F48" w14:textId="052A1613" w:rsidR="00CA5E65" w:rsidRPr="007B78E6" w:rsidRDefault="00F740A0" w:rsidP="00DF76A2">
      <w:pPr>
        <w:spacing w:line="276" w:lineRule="auto"/>
        <w:jc w:val="both"/>
        <w:rPr>
          <w:rFonts w:ascii="Arial" w:eastAsia="Calibri" w:hAnsi="Arial" w:cs="Arial"/>
          <w:color w:val="000000" w:themeColor="text1"/>
          <w:sz w:val="22"/>
          <w:szCs w:val="22"/>
          <w:lang w:val="es-ES_tradnl"/>
        </w:rPr>
      </w:pPr>
      <w:r w:rsidRPr="007B78E6">
        <w:rPr>
          <w:rFonts w:ascii="Arial" w:eastAsia="Calibri" w:hAnsi="Arial" w:cs="Arial"/>
          <w:color w:val="000000" w:themeColor="text1"/>
          <w:sz w:val="22"/>
          <w:szCs w:val="22"/>
          <w:lang w:val="es-ES_tradnl"/>
        </w:rPr>
        <w:t xml:space="preserve">El artículo 35 de la Ley </w:t>
      </w:r>
      <w:r w:rsidR="006F0F34" w:rsidRPr="007B78E6">
        <w:rPr>
          <w:rFonts w:ascii="Arial" w:eastAsia="Calibri" w:hAnsi="Arial" w:cs="Arial"/>
          <w:color w:val="000000" w:themeColor="text1"/>
          <w:sz w:val="22"/>
          <w:szCs w:val="22"/>
          <w:lang w:val="es-ES_tradnl"/>
        </w:rPr>
        <w:t>2069</w:t>
      </w:r>
      <w:r w:rsidRPr="007B78E6">
        <w:rPr>
          <w:rFonts w:ascii="Arial" w:eastAsia="Calibri" w:hAnsi="Arial" w:cs="Arial"/>
          <w:color w:val="000000" w:themeColor="text1"/>
          <w:sz w:val="22"/>
          <w:szCs w:val="22"/>
          <w:lang w:val="es-ES_tradnl"/>
        </w:rPr>
        <w:t xml:space="preserve"> de 2020, que modifica el régimen de los factores de desempate en la contratación estatal, se encuentra vigente y goza de aplicación directa desde la fecha de su promulgación, </w:t>
      </w:r>
      <w:r w:rsidR="0018007F" w:rsidRPr="007B78E6">
        <w:rPr>
          <w:rFonts w:ascii="Arial" w:eastAsia="Calibri" w:hAnsi="Arial" w:cs="Arial"/>
          <w:color w:val="000000" w:themeColor="text1"/>
          <w:sz w:val="22"/>
          <w:szCs w:val="22"/>
          <w:lang w:val="es-ES_tradnl"/>
        </w:rPr>
        <w:t>es decir,</w:t>
      </w:r>
      <w:r w:rsidRPr="007B78E6">
        <w:rPr>
          <w:rFonts w:ascii="Arial" w:eastAsia="Calibri" w:hAnsi="Arial" w:cs="Arial"/>
          <w:color w:val="000000" w:themeColor="text1"/>
          <w:sz w:val="22"/>
          <w:szCs w:val="22"/>
          <w:lang w:val="es-ES_tradnl"/>
        </w:rPr>
        <w:t xml:space="preserve"> no requiere de una reglamentación previa como presupuesto </w:t>
      </w:r>
      <w:r w:rsidRPr="007B78E6">
        <w:rPr>
          <w:rFonts w:ascii="Arial" w:eastAsia="Calibri" w:hAnsi="Arial" w:cs="Arial"/>
          <w:color w:val="000000" w:themeColor="text1"/>
          <w:sz w:val="22"/>
          <w:szCs w:val="22"/>
          <w:lang w:val="es-ES_tradnl"/>
        </w:rPr>
        <w:lastRenderedPageBreak/>
        <w:t>para su eficacia.</w:t>
      </w:r>
      <w:r w:rsidR="00470552" w:rsidRPr="007B78E6">
        <w:rPr>
          <w:rFonts w:ascii="Arial" w:eastAsia="Calibri" w:hAnsi="Arial" w:cs="Arial"/>
          <w:color w:val="000000" w:themeColor="text1"/>
          <w:sz w:val="22"/>
          <w:szCs w:val="22"/>
          <w:lang w:val="es-ES_tradnl"/>
        </w:rPr>
        <w:t xml:space="preserve"> </w:t>
      </w:r>
      <w:r w:rsidR="0018007F" w:rsidRPr="007B78E6">
        <w:rPr>
          <w:rFonts w:ascii="Arial" w:eastAsia="Calibri" w:hAnsi="Arial" w:cs="Arial"/>
          <w:color w:val="000000" w:themeColor="text1"/>
          <w:sz w:val="22"/>
          <w:szCs w:val="22"/>
          <w:lang w:val="es-ES_tradnl"/>
        </w:rPr>
        <w:t>Estos</w:t>
      </w:r>
      <w:r w:rsidR="009E41E5" w:rsidRPr="007B78E6">
        <w:rPr>
          <w:rFonts w:ascii="Arial" w:eastAsia="Calibri" w:hAnsi="Arial" w:cs="Arial"/>
          <w:color w:val="000000" w:themeColor="text1"/>
          <w:sz w:val="22"/>
          <w:szCs w:val="22"/>
          <w:lang w:val="es-ES_tradnl"/>
        </w:rPr>
        <w:t xml:space="preserve"> criterios de desempate </w:t>
      </w:r>
      <w:r w:rsidR="0018007F" w:rsidRPr="007B78E6">
        <w:rPr>
          <w:rFonts w:ascii="Arial" w:eastAsia="Calibri" w:hAnsi="Arial" w:cs="Arial"/>
          <w:color w:val="000000" w:themeColor="text1"/>
          <w:sz w:val="22"/>
          <w:szCs w:val="22"/>
          <w:lang w:val="es-ES_tradnl"/>
        </w:rPr>
        <w:t>actualmente</w:t>
      </w:r>
      <w:r w:rsidR="0018007F" w:rsidRPr="007B78E6" w:rsidDel="0018007F">
        <w:rPr>
          <w:rFonts w:ascii="Arial" w:eastAsia="Calibri" w:hAnsi="Arial" w:cs="Arial"/>
          <w:color w:val="000000" w:themeColor="text1"/>
          <w:sz w:val="22"/>
          <w:szCs w:val="22"/>
          <w:lang w:val="es-ES_tradnl"/>
        </w:rPr>
        <w:t xml:space="preserve"> </w:t>
      </w:r>
      <w:r w:rsidR="009E41E5" w:rsidRPr="007B78E6">
        <w:rPr>
          <w:rFonts w:ascii="Arial" w:eastAsia="Calibri" w:hAnsi="Arial" w:cs="Arial"/>
          <w:color w:val="000000" w:themeColor="text1"/>
          <w:sz w:val="22"/>
          <w:szCs w:val="22"/>
          <w:lang w:val="es-ES_tradnl"/>
        </w:rPr>
        <w:t>son</w:t>
      </w:r>
      <w:r w:rsidR="00DB31EE" w:rsidRPr="007B78E6">
        <w:rPr>
          <w:rFonts w:ascii="Arial" w:eastAsia="Calibri" w:hAnsi="Arial" w:cs="Arial"/>
          <w:color w:val="000000" w:themeColor="text1"/>
          <w:sz w:val="22"/>
          <w:szCs w:val="22"/>
          <w:lang w:val="es-ES_tradnl"/>
        </w:rPr>
        <w:t xml:space="preserve"> </w:t>
      </w:r>
      <w:r w:rsidR="009E41E5" w:rsidRPr="007B78E6">
        <w:rPr>
          <w:rFonts w:ascii="Arial" w:eastAsia="Calibri" w:hAnsi="Arial" w:cs="Arial"/>
          <w:color w:val="000000" w:themeColor="text1"/>
          <w:sz w:val="22"/>
          <w:szCs w:val="22"/>
          <w:lang w:val="es-ES_tradnl"/>
        </w:rPr>
        <w:t>aplicables</w:t>
      </w:r>
      <w:r w:rsidR="00DB31EE" w:rsidRPr="007B78E6">
        <w:rPr>
          <w:rFonts w:ascii="Arial" w:eastAsia="Calibri" w:hAnsi="Arial" w:cs="Arial"/>
          <w:color w:val="000000" w:themeColor="text1"/>
          <w:sz w:val="22"/>
          <w:szCs w:val="22"/>
          <w:lang w:val="es-ES_tradnl"/>
        </w:rPr>
        <w:t xml:space="preserve"> </w:t>
      </w:r>
      <w:r w:rsidR="009E41E5" w:rsidRPr="007B78E6">
        <w:rPr>
          <w:rFonts w:ascii="Arial" w:eastAsia="Calibri" w:hAnsi="Arial" w:cs="Arial"/>
          <w:color w:val="000000" w:themeColor="text1"/>
          <w:sz w:val="22"/>
          <w:szCs w:val="22"/>
          <w:lang w:val="es-ES_tradnl"/>
        </w:rPr>
        <w:t>a todas las entidades estatales</w:t>
      </w:r>
      <w:r w:rsidR="00DB31EE" w:rsidRPr="007B78E6">
        <w:rPr>
          <w:rFonts w:ascii="Arial" w:eastAsia="Calibri" w:hAnsi="Arial" w:cs="Arial"/>
          <w:color w:val="000000" w:themeColor="text1"/>
          <w:sz w:val="22"/>
          <w:szCs w:val="22"/>
          <w:lang w:val="es-ES_tradnl"/>
        </w:rPr>
        <w:t>, independientemente de su régimen de contratación.</w:t>
      </w:r>
    </w:p>
    <w:p w14:paraId="18FD7E98" w14:textId="4827E9F1" w:rsidR="00791744" w:rsidRPr="007B78E6" w:rsidRDefault="00C440B6" w:rsidP="00791744">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Además, s</w:t>
      </w:r>
      <w:r w:rsidR="00791744" w:rsidRPr="007B78E6">
        <w:rPr>
          <w:rFonts w:ascii="Arial" w:hAnsi="Arial" w:cs="Arial"/>
          <w:color w:val="000000" w:themeColor="text1"/>
          <w:sz w:val="22"/>
          <w:szCs w:val="22"/>
          <w:lang w:val="es-ES_tradnl"/>
        </w:rPr>
        <w:t>i bien los factores de desempate regulados en el artículo 35 deben aplicarse «</w:t>
      </w:r>
      <w:r w:rsidR="00791744" w:rsidRPr="007B78E6">
        <w:rPr>
          <w:rFonts w:ascii="Arial" w:hAnsi="Arial" w:cs="Arial"/>
          <w:sz w:val="22"/>
          <w:szCs w:val="22"/>
          <w:lang w:val="es-ES_tradnl"/>
        </w:rPr>
        <w:t xml:space="preserve">[…] </w:t>
      </w:r>
      <w:r w:rsidR="00791744" w:rsidRPr="007B78E6">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355AC078" w14:textId="5744B0B5" w:rsidR="00C440B6" w:rsidRPr="007B78E6" w:rsidRDefault="00C440B6" w:rsidP="00C440B6">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 xml:space="preserve">Ahora bien, hasta la promulgación de la Ley </w:t>
      </w:r>
      <w:r w:rsidR="006F0F34" w:rsidRPr="007B78E6">
        <w:rPr>
          <w:rFonts w:ascii="Arial" w:hAnsi="Arial" w:cs="Arial"/>
          <w:color w:val="000000" w:themeColor="text1"/>
          <w:sz w:val="22"/>
          <w:szCs w:val="22"/>
          <w:lang w:val="es-ES_tradnl"/>
        </w:rPr>
        <w:t>2069</w:t>
      </w:r>
      <w:r w:rsidRPr="007B78E6">
        <w:rPr>
          <w:rFonts w:ascii="Arial" w:hAnsi="Arial" w:cs="Arial"/>
          <w:color w:val="000000" w:themeColor="text1"/>
          <w:sz w:val="22"/>
          <w:szCs w:val="22"/>
          <w:lang w:val="es-ES_tradnl"/>
        </w:rPr>
        <w:t xml:space="preserve"> de 2020, el artículo 2.2.1.1.2.2.9. del Decreto 1082 de 2015 </w:t>
      </w:r>
      <w:r w:rsidR="001F10BD" w:rsidRPr="007B78E6">
        <w:rPr>
          <w:rFonts w:ascii="Arial" w:hAnsi="Arial" w:cs="Arial"/>
          <w:color w:val="000000" w:themeColor="text1"/>
          <w:sz w:val="22"/>
          <w:szCs w:val="22"/>
          <w:lang w:val="es-ES_tradnl"/>
        </w:rPr>
        <w:t>regulaba</w:t>
      </w:r>
      <w:r w:rsidRPr="007B78E6">
        <w:rPr>
          <w:rFonts w:ascii="Arial" w:hAnsi="Arial" w:cs="Arial"/>
          <w:color w:val="000000" w:themeColor="text1"/>
          <w:sz w:val="22"/>
          <w:szCs w:val="22"/>
          <w:lang w:val="es-ES_tradnl"/>
        </w:rPr>
        <w:t xml:space="preserve"> los factores de desempate que debían aplicarse en los procesos de selección. En criterio de esta </w:t>
      </w:r>
      <w:r w:rsidR="009962B0" w:rsidRPr="007B78E6">
        <w:rPr>
          <w:rFonts w:ascii="Arial" w:hAnsi="Arial" w:cs="Arial"/>
          <w:color w:val="000000" w:themeColor="text1"/>
          <w:sz w:val="22"/>
          <w:szCs w:val="22"/>
          <w:lang w:val="es-ES_tradnl"/>
        </w:rPr>
        <w:t>Agencia</w:t>
      </w:r>
      <w:r w:rsidRPr="007B78E6">
        <w:rPr>
          <w:rFonts w:ascii="Arial" w:hAnsi="Arial" w:cs="Arial"/>
          <w:color w:val="000000" w:themeColor="text1"/>
          <w:sz w:val="22"/>
          <w:szCs w:val="22"/>
          <w:lang w:val="es-ES_tradnl"/>
        </w:rPr>
        <w:t xml:space="preserve">, dicha norma debe entenderse derogada por el artículo 35 de la Ley </w:t>
      </w:r>
      <w:r w:rsidR="006F0F34" w:rsidRPr="007B78E6">
        <w:rPr>
          <w:rFonts w:ascii="Arial" w:hAnsi="Arial" w:cs="Arial"/>
          <w:color w:val="000000" w:themeColor="text1"/>
          <w:sz w:val="22"/>
          <w:szCs w:val="22"/>
          <w:lang w:val="es-ES_tradnl"/>
        </w:rPr>
        <w:t>2069</w:t>
      </w:r>
      <w:r w:rsidRPr="007B78E6">
        <w:rPr>
          <w:rFonts w:ascii="Arial" w:hAnsi="Arial" w:cs="Arial"/>
          <w:color w:val="000000" w:themeColor="text1"/>
          <w:sz w:val="22"/>
          <w:szCs w:val="22"/>
          <w:lang w:val="es-ES_tradnl"/>
        </w:rPr>
        <w:t xml:space="preserve"> de 2020. Ello no solo porque el artículo 84 de esta </w:t>
      </w:r>
      <w:r w:rsidR="00A72CDE" w:rsidRPr="007B78E6">
        <w:rPr>
          <w:rFonts w:ascii="Arial" w:hAnsi="Arial" w:cs="Arial"/>
          <w:color w:val="000000" w:themeColor="text1"/>
          <w:sz w:val="22"/>
          <w:szCs w:val="22"/>
          <w:lang w:val="es-ES_tradnl"/>
        </w:rPr>
        <w:t xml:space="preserve">ley dispone </w:t>
      </w:r>
      <w:r w:rsidRPr="007B78E6">
        <w:rPr>
          <w:rFonts w:ascii="Arial" w:hAnsi="Arial" w:cs="Arial"/>
          <w:color w:val="000000" w:themeColor="text1"/>
          <w:sz w:val="22"/>
          <w:szCs w:val="22"/>
          <w:lang w:val="es-ES_tradnl"/>
        </w:rPr>
        <w:t xml:space="preserve">que «rige a partir del momento de su promulgación», es decir, desde el 31 de diciembre de 2020, sino además porque la misma disposición señala que la Ley </w:t>
      </w:r>
      <w:r w:rsidR="006F0F34" w:rsidRPr="007B78E6">
        <w:rPr>
          <w:rFonts w:ascii="Arial" w:hAnsi="Arial" w:cs="Arial"/>
          <w:color w:val="000000" w:themeColor="text1"/>
          <w:sz w:val="22"/>
          <w:szCs w:val="22"/>
          <w:lang w:val="es-ES_tradnl"/>
        </w:rPr>
        <w:t>2069</w:t>
      </w:r>
      <w:r w:rsidRPr="007B78E6">
        <w:rPr>
          <w:rFonts w:ascii="Arial" w:hAnsi="Arial" w:cs="Arial"/>
          <w:color w:val="000000" w:themeColor="text1"/>
          <w:sz w:val="22"/>
          <w:szCs w:val="22"/>
          <w:lang w:val="es-ES_tradnl"/>
        </w:rPr>
        <w:t xml:space="preserve"> de 2020 deroga «[…] todas las disposiciones que le sean contrarias». </w:t>
      </w:r>
    </w:p>
    <w:p w14:paraId="749640EA" w14:textId="6233E8F2" w:rsidR="00623346" w:rsidRPr="007B78E6" w:rsidRDefault="00C440B6" w:rsidP="00C440B6">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w:t>
      </w:r>
      <w:r w:rsidR="005F5694" w:rsidRPr="007B78E6">
        <w:rPr>
          <w:rFonts w:ascii="Arial" w:hAnsi="Arial" w:cs="Arial"/>
          <w:color w:val="000000" w:themeColor="text1"/>
          <w:sz w:val="22"/>
          <w:szCs w:val="22"/>
          <w:lang w:val="es-ES_tradnl"/>
        </w:rPr>
        <w:t xml:space="preserve">Dado que el Decreto 1082 de 2015 es un reglamento </w:t>
      </w:r>
      <w:proofErr w:type="spellStart"/>
      <w:r w:rsidR="005F5694" w:rsidRPr="007B78E6">
        <w:rPr>
          <w:rFonts w:ascii="Arial" w:hAnsi="Arial" w:cs="Arial"/>
          <w:i/>
          <w:iCs/>
          <w:color w:val="000000" w:themeColor="text1"/>
          <w:sz w:val="22"/>
          <w:szCs w:val="22"/>
          <w:lang w:val="es-ES_tradnl"/>
        </w:rPr>
        <w:t>secundum</w:t>
      </w:r>
      <w:proofErr w:type="spellEnd"/>
      <w:r w:rsidR="005F5694" w:rsidRPr="007B78E6">
        <w:rPr>
          <w:rFonts w:ascii="Arial" w:hAnsi="Arial" w:cs="Arial"/>
          <w:i/>
          <w:iCs/>
          <w:color w:val="000000" w:themeColor="text1"/>
          <w:sz w:val="22"/>
          <w:szCs w:val="22"/>
          <w:lang w:val="es-ES_tradnl"/>
        </w:rPr>
        <w:t xml:space="preserve"> </w:t>
      </w:r>
      <w:proofErr w:type="spellStart"/>
      <w:r w:rsidR="005F5694" w:rsidRPr="007B78E6">
        <w:rPr>
          <w:rFonts w:ascii="Arial" w:hAnsi="Arial" w:cs="Arial"/>
          <w:i/>
          <w:iCs/>
          <w:color w:val="000000" w:themeColor="text1"/>
          <w:sz w:val="22"/>
          <w:szCs w:val="22"/>
          <w:lang w:val="es-ES_tradnl"/>
        </w:rPr>
        <w:t>legem</w:t>
      </w:r>
      <w:proofErr w:type="spellEnd"/>
      <w:r w:rsidR="005F5694" w:rsidRPr="007B78E6">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r w:rsidRPr="007B78E6">
        <w:rPr>
          <w:rFonts w:ascii="Arial" w:hAnsi="Arial" w:cs="Arial"/>
          <w:color w:val="000000" w:themeColor="text1"/>
          <w:sz w:val="22"/>
          <w:szCs w:val="22"/>
          <w:lang w:val="es-ES_tradnl"/>
        </w:rPr>
        <w:t xml:space="preserve">.  </w:t>
      </w:r>
    </w:p>
    <w:p w14:paraId="3C0965B0" w14:textId="77777777" w:rsidR="00A72CDE" w:rsidRPr="007B78E6" w:rsidRDefault="00623346" w:rsidP="00C5587F">
      <w:pPr>
        <w:spacing w:before="120" w:line="276" w:lineRule="auto"/>
        <w:ind w:firstLine="709"/>
        <w:jc w:val="both"/>
        <w:rPr>
          <w:rFonts w:ascii="Arial" w:hAnsi="Arial" w:cs="Arial"/>
          <w:color w:val="000000" w:themeColor="text1"/>
          <w:sz w:val="22"/>
          <w:szCs w:val="22"/>
          <w:lang w:val="es-ES_tradnl"/>
        </w:rPr>
      </w:pPr>
      <w:bookmarkStart w:id="6" w:name="_Hlk64308251"/>
      <w:r w:rsidRPr="007B78E6">
        <w:rPr>
          <w:rFonts w:ascii="Arial" w:hAnsi="Arial" w:cs="Arial"/>
          <w:color w:val="000000" w:themeColor="text1"/>
          <w:sz w:val="22"/>
          <w:szCs w:val="22"/>
          <w:lang w:val="es-ES_tradnl"/>
        </w:rPr>
        <w:t xml:space="preserve">Lo explicado en los párrafos precedentes también aplica </w:t>
      </w:r>
      <w:r w:rsidRPr="007B78E6">
        <w:rPr>
          <w:rFonts w:ascii="Arial" w:hAnsi="Arial" w:cs="Arial"/>
          <w:i/>
          <w:iCs/>
          <w:color w:val="000000" w:themeColor="text1"/>
          <w:sz w:val="22"/>
          <w:szCs w:val="22"/>
          <w:lang w:val="es-ES_tradnl"/>
        </w:rPr>
        <w:t>mutatis mutandis</w:t>
      </w:r>
      <w:r w:rsidRPr="007B78E6">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5F044810" w14:textId="3C20CE02" w:rsidR="00623346" w:rsidRPr="007B78E6" w:rsidRDefault="00A72CDE" w:rsidP="00C5587F">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P</w:t>
      </w:r>
      <w:r w:rsidR="00C5587F" w:rsidRPr="007B78E6">
        <w:rPr>
          <w:rFonts w:ascii="Arial" w:hAnsi="Arial" w:cs="Arial"/>
          <w:color w:val="000000" w:themeColor="text1"/>
          <w:sz w:val="22"/>
          <w:szCs w:val="22"/>
          <w:lang w:val="es-ES_tradnl"/>
        </w:rPr>
        <w:t>or tratarse de</w:t>
      </w:r>
      <w:r w:rsidR="00623346" w:rsidRPr="007B78E6">
        <w:rPr>
          <w:rFonts w:ascii="Arial" w:hAnsi="Arial" w:cs="Arial"/>
          <w:color w:val="000000" w:themeColor="text1"/>
          <w:sz w:val="22"/>
          <w:szCs w:val="22"/>
          <w:lang w:val="es-ES_tradnl"/>
        </w:rPr>
        <w:t xml:space="preserve"> una norma transversal al sistema de compras y contratación pública</w:t>
      </w:r>
      <w:r w:rsidR="00C5587F" w:rsidRPr="007B78E6">
        <w:rPr>
          <w:rFonts w:ascii="Arial" w:hAnsi="Arial" w:cs="Arial"/>
          <w:color w:val="000000" w:themeColor="text1"/>
          <w:sz w:val="22"/>
          <w:szCs w:val="22"/>
          <w:lang w:val="es-ES_tradnl"/>
        </w:rPr>
        <w:t xml:space="preserve">, </w:t>
      </w:r>
      <w:r w:rsidR="00623346" w:rsidRPr="007B78E6">
        <w:rPr>
          <w:rFonts w:ascii="Arial" w:hAnsi="Arial" w:cs="Arial"/>
          <w:color w:val="000000" w:themeColor="text1"/>
          <w:sz w:val="22"/>
          <w:szCs w:val="22"/>
          <w:lang w:val="es-ES_tradnl"/>
        </w:rPr>
        <w:t xml:space="preserve">el artículo 35 de la Ley 2069 de 2020 es aplicable al procedimiento de mínima cuantía, </w:t>
      </w:r>
      <w:r w:rsidR="00C5587F" w:rsidRPr="007B78E6">
        <w:rPr>
          <w:rFonts w:ascii="Arial" w:hAnsi="Arial" w:cs="Arial"/>
          <w:color w:val="000000" w:themeColor="text1"/>
          <w:sz w:val="22"/>
          <w:szCs w:val="22"/>
          <w:lang w:val="es-ES_tradnl"/>
        </w:rPr>
        <w:t>presentándose</w:t>
      </w:r>
      <w:r w:rsidR="00623346" w:rsidRPr="007B78E6">
        <w:rPr>
          <w:rFonts w:ascii="Arial" w:hAnsi="Arial" w:cs="Arial"/>
          <w:color w:val="000000" w:themeColor="text1"/>
          <w:sz w:val="22"/>
          <w:szCs w:val="22"/>
          <w:lang w:val="es-ES_tradnl"/>
        </w:rPr>
        <w:t xml:space="preserve"> tanto la derogación como el decaimiento de </w:t>
      </w:r>
      <w:r w:rsidR="00C5587F" w:rsidRPr="007B78E6">
        <w:rPr>
          <w:rFonts w:ascii="Arial" w:hAnsi="Arial" w:cs="Arial"/>
          <w:color w:val="000000" w:themeColor="text1"/>
          <w:sz w:val="22"/>
          <w:szCs w:val="22"/>
          <w:lang w:val="es-ES_tradnl"/>
        </w:rPr>
        <w:t xml:space="preserve">los criterios de desempate </w:t>
      </w:r>
      <w:r w:rsidR="00C5587F" w:rsidRPr="007B78E6">
        <w:rPr>
          <w:rFonts w:ascii="Arial" w:hAnsi="Arial" w:cs="Arial"/>
          <w:color w:val="000000" w:themeColor="text1"/>
          <w:sz w:val="22"/>
          <w:szCs w:val="22"/>
          <w:lang w:val="es-ES_tradnl"/>
        </w:rPr>
        <w:lastRenderedPageBreak/>
        <w:t>previstos</w:t>
      </w:r>
      <w:r w:rsidR="00623346" w:rsidRPr="007B78E6">
        <w:rPr>
          <w:rFonts w:ascii="Arial" w:hAnsi="Arial" w:cs="Arial"/>
          <w:color w:val="000000" w:themeColor="text1"/>
          <w:sz w:val="22"/>
          <w:szCs w:val="22"/>
          <w:lang w:val="es-ES_tradnl"/>
        </w:rPr>
        <w:t xml:space="preserve"> en el Decreto 1082 de 2015 para esta modalidad de selección.</w:t>
      </w:r>
      <w:r w:rsidRPr="007B78E6">
        <w:rPr>
          <w:rFonts w:ascii="Arial" w:hAnsi="Arial" w:cs="Arial"/>
          <w:color w:val="000000" w:themeColor="text1"/>
          <w:sz w:val="22"/>
          <w:szCs w:val="22"/>
          <w:lang w:val="es-ES_tradnl"/>
        </w:rPr>
        <w:t xml:space="preserve"> En esta medida, dado que el artículo 35 eleva los factores de desempate a rango de ley</w:t>
      </w:r>
      <w:r w:rsidR="002B2DD9" w:rsidRPr="007B78E6">
        <w:rPr>
          <w:rFonts w:ascii="Arial" w:hAnsi="Arial" w:cs="Arial"/>
          <w:color w:val="000000" w:themeColor="text1"/>
          <w:sz w:val="22"/>
          <w:szCs w:val="22"/>
          <w:lang w:val="es-ES_tradnl"/>
        </w:rPr>
        <w:t>, no es posible fijarlos autónomamente en las invitaciones.</w:t>
      </w:r>
      <w:r w:rsidRPr="007B78E6">
        <w:rPr>
          <w:rFonts w:ascii="Arial" w:hAnsi="Arial" w:cs="Arial"/>
          <w:color w:val="000000" w:themeColor="text1"/>
          <w:sz w:val="22"/>
          <w:szCs w:val="22"/>
          <w:lang w:val="es-ES_tradnl"/>
        </w:rPr>
        <w:t xml:space="preserve"> </w:t>
      </w:r>
      <w:r w:rsidR="00623346" w:rsidRPr="007B78E6">
        <w:rPr>
          <w:rFonts w:ascii="Arial" w:hAnsi="Arial" w:cs="Arial"/>
          <w:color w:val="000000" w:themeColor="text1"/>
          <w:sz w:val="22"/>
          <w:szCs w:val="22"/>
          <w:lang w:val="es-ES_tradnl"/>
        </w:rPr>
        <w:t xml:space="preserve">         </w:t>
      </w:r>
    </w:p>
    <w:bookmarkEnd w:id="6"/>
    <w:p w14:paraId="37091687" w14:textId="1DE1AD53" w:rsidR="00F740A0" w:rsidRPr="007B78E6" w:rsidRDefault="00C440B6" w:rsidP="00C5587F">
      <w:pPr>
        <w:spacing w:before="120" w:line="276" w:lineRule="auto"/>
        <w:ind w:firstLine="709"/>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 xml:space="preserve">    </w:t>
      </w:r>
    </w:p>
    <w:p w14:paraId="7B2C921D" w14:textId="6360A462" w:rsidR="00DD5B04" w:rsidRPr="007B78E6" w:rsidRDefault="00DD5B04" w:rsidP="00DF76A2">
      <w:pPr>
        <w:spacing w:line="276" w:lineRule="auto"/>
        <w:jc w:val="both"/>
        <w:rPr>
          <w:rFonts w:ascii="Arial" w:hAnsi="Arial" w:cs="Arial"/>
          <w:color w:val="000000" w:themeColor="text1"/>
          <w:sz w:val="22"/>
          <w:lang w:val="es-ES_tradnl"/>
        </w:rPr>
      </w:pPr>
      <w:r w:rsidRPr="007B78E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B78E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7B78E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B78E6">
        <w:rPr>
          <w:rFonts w:ascii="Arial" w:hAnsi="Arial" w:cs="Arial"/>
          <w:color w:val="000000" w:themeColor="text1"/>
          <w:sz w:val="22"/>
          <w:szCs w:val="22"/>
          <w:lang w:val="es-ES_tradnl"/>
        </w:rPr>
        <w:t>Atentamente,</w:t>
      </w:r>
    </w:p>
    <w:p w14:paraId="692FC307" w14:textId="210AA6B5" w:rsidR="00921304" w:rsidRPr="007B78E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4A17F22" w:rsidR="00921304" w:rsidRPr="007B78E6" w:rsidRDefault="00251DBC"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229721A1" wp14:editId="1AF1F502">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p>
    <w:p w14:paraId="5CBAE239" w14:textId="77777777" w:rsidR="00425C43" w:rsidRPr="007B78E6" w:rsidRDefault="00425C43"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B78E6" w14:paraId="0C7DC5F7" w14:textId="77777777" w:rsidTr="008F4163">
        <w:trPr>
          <w:trHeight w:val="315"/>
        </w:trPr>
        <w:tc>
          <w:tcPr>
            <w:tcW w:w="812" w:type="dxa"/>
            <w:vAlign w:val="center"/>
            <w:hideMark/>
          </w:tcPr>
          <w:p w14:paraId="5BDB1AC9" w14:textId="77777777" w:rsidR="00DD5B04" w:rsidRPr="007B78E6" w:rsidRDefault="00DD5B04" w:rsidP="00DF76A2">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7777777" w:rsidR="00B253CE" w:rsidRPr="007B78E6" w:rsidRDefault="00B253CE" w:rsidP="00B253CE">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Juan David Montoya Penagos</w:t>
            </w:r>
          </w:p>
          <w:p w14:paraId="240C71FD" w14:textId="2B0872C4" w:rsidR="00DD5B04" w:rsidRPr="007B78E6" w:rsidRDefault="00B253CE" w:rsidP="00DF76A2">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Gestor T1-15 de la Subdirección de Gestión Contractual</w:t>
            </w:r>
          </w:p>
        </w:tc>
      </w:tr>
      <w:tr w:rsidR="00DD5B04" w:rsidRPr="007B78E6" w14:paraId="2F8FD650" w14:textId="77777777" w:rsidTr="008F4163">
        <w:trPr>
          <w:trHeight w:val="330"/>
        </w:trPr>
        <w:tc>
          <w:tcPr>
            <w:tcW w:w="812" w:type="dxa"/>
            <w:vAlign w:val="center"/>
            <w:hideMark/>
          </w:tcPr>
          <w:p w14:paraId="50203A0B" w14:textId="77777777" w:rsidR="00DD5B04" w:rsidRPr="007B78E6" w:rsidRDefault="00DD5B04" w:rsidP="00DF76A2">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644C63" w14:textId="77777777" w:rsidR="00B253CE" w:rsidRPr="007B78E6" w:rsidRDefault="00B253CE" w:rsidP="00B253CE">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Jorge Augusto Tirado Navarro</w:t>
            </w:r>
          </w:p>
          <w:p w14:paraId="130B3228" w14:textId="1489CC90" w:rsidR="00DD5B04" w:rsidRPr="007B78E6" w:rsidRDefault="00B253CE" w:rsidP="00C05A61">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Subdirector de Gestión Contractual ANCP – CCE</w:t>
            </w:r>
            <w:r w:rsidRPr="007B78E6" w:rsidDel="00B253CE">
              <w:rPr>
                <w:rFonts w:ascii="Arial" w:hAnsi="Arial" w:cs="Arial"/>
                <w:color w:val="000000" w:themeColor="text1"/>
                <w:sz w:val="16"/>
                <w:szCs w:val="16"/>
                <w:lang w:val="es-ES_tradnl" w:eastAsia="es-ES"/>
              </w:rPr>
              <w:t xml:space="preserve"> </w:t>
            </w:r>
          </w:p>
        </w:tc>
      </w:tr>
      <w:tr w:rsidR="00DD5B04" w:rsidRPr="00C440B6" w14:paraId="0FCBCA4A" w14:textId="77777777" w:rsidTr="008F4163">
        <w:trPr>
          <w:trHeight w:val="300"/>
        </w:trPr>
        <w:tc>
          <w:tcPr>
            <w:tcW w:w="812" w:type="dxa"/>
            <w:vAlign w:val="center"/>
            <w:hideMark/>
          </w:tcPr>
          <w:p w14:paraId="3C1D943A" w14:textId="77777777" w:rsidR="00DD5B04" w:rsidRPr="007B78E6" w:rsidRDefault="00DD5B04" w:rsidP="00DF76A2">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7B78E6" w:rsidRDefault="00C05A61" w:rsidP="00DF76A2">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 xml:space="preserve">Jorge </w:t>
            </w:r>
            <w:r w:rsidR="00647A36" w:rsidRPr="007B78E6">
              <w:rPr>
                <w:rFonts w:ascii="Arial" w:hAnsi="Arial" w:cs="Arial"/>
                <w:color w:val="000000" w:themeColor="text1"/>
                <w:sz w:val="16"/>
                <w:szCs w:val="16"/>
                <w:lang w:val="es-ES_tradnl" w:eastAsia="es-ES"/>
              </w:rPr>
              <w:t xml:space="preserve">Augusto </w:t>
            </w:r>
            <w:r w:rsidRPr="007B78E6">
              <w:rPr>
                <w:rFonts w:ascii="Arial" w:hAnsi="Arial" w:cs="Arial"/>
                <w:color w:val="000000" w:themeColor="text1"/>
                <w:sz w:val="16"/>
                <w:szCs w:val="16"/>
                <w:lang w:val="es-ES_tradnl" w:eastAsia="es-ES"/>
              </w:rPr>
              <w:t>Tirado Navarro</w:t>
            </w:r>
          </w:p>
          <w:p w14:paraId="1ADC483B" w14:textId="0B6A3583" w:rsidR="00DD5B04" w:rsidRPr="00C440B6" w:rsidRDefault="00DD5B04" w:rsidP="00DF76A2">
            <w:pPr>
              <w:jc w:val="both"/>
              <w:rPr>
                <w:rFonts w:ascii="Arial" w:hAnsi="Arial" w:cs="Arial"/>
                <w:color w:val="000000" w:themeColor="text1"/>
                <w:sz w:val="16"/>
                <w:szCs w:val="16"/>
                <w:lang w:val="es-ES_tradnl" w:eastAsia="es-ES"/>
              </w:rPr>
            </w:pPr>
            <w:r w:rsidRPr="007B78E6">
              <w:rPr>
                <w:rFonts w:ascii="Arial" w:hAnsi="Arial" w:cs="Arial"/>
                <w:color w:val="000000" w:themeColor="text1"/>
                <w:sz w:val="16"/>
                <w:szCs w:val="16"/>
                <w:lang w:val="es-ES_tradnl" w:eastAsia="es-ES"/>
              </w:rPr>
              <w:t>Subdirector de Gestión Contractual</w:t>
            </w:r>
            <w:r w:rsidR="005F5694" w:rsidRPr="007B78E6">
              <w:rPr>
                <w:rFonts w:ascii="Arial" w:hAnsi="Arial" w:cs="Arial"/>
                <w:color w:val="000000" w:themeColor="text1"/>
                <w:sz w:val="16"/>
                <w:szCs w:val="16"/>
                <w:lang w:val="es-ES_tradnl" w:eastAsia="es-ES"/>
              </w:rPr>
              <w:t xml:space="preserve"> ANCP – CCE</w:t>
            </w:r>
          </w:p>
        </w:tc>
      </w:tr>
    </w:tbl>
    <w:p w14:paraId="35B56F46" w14:textId="77777777" w:rsidR="00746E08" w:rsidRPr="00C440B6" w:rsidRDefault="00746E08" w:rsidP="00215B8E">
      <w:pPr>
        <w:jc w:val="both"/>
        <w:rPr>
          <w:rFonts w:ascii="Arial" w:hAnsi="Arial" w:cs="Arial"/>
          <w:lang w:val="es-ES_tradnl"/>
        </w:rPr>
      </w:pPr>
    </w:p>
    <w:sectPr w:rsidR="00746E08" w:rsidRPr="00C440B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DF24B" w14:textId="77777777" w:rsidR="006639B6" w:rsidRDefault="006639B6">
      <w:r>
        <w:separator/>
      </w:r>
    </w:p>
  </w:endnote>
  <w:endnote w:type="continuationSeparator" w:id="0">
    <w:p w14:paraId="13AB2DF0" w14:textId="77777777" w:rsidR="006639B6" w:rsidRDefault="006639B6">
      <w:r>
        <w:continuationSeparator/>
      </w:r>
    </w:p>
  </w:endnote>
  <w:endnote w:type="continuationNotice" w:id="1">
    <w:p w14:paraId="19A6C2D2" w14:textId="77777777" w:rsidR="006639B6" w:rsidRDefault="00663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5BA92" w14:textId="77777777" w:rsidR="006639B6" w:rsidRDefault="006639B6">
      <w:r>
        <w:separator/>
      </w:r>
    </w:p>
  </w:footnote>
  <w:footnote w:type="continuationSeparator" w:id="0">
    <w:p w14:paraId="22A5A3CE" w14:textId="77777777" w:rsidR="006639B6" w:rsidRDefault="006639B6">
      <w:r>
        <w:continuationSeparator/>
      </w:r>
    </w:p>
  </w:footnote>
  <w:footnote w:type="continuationNotice" w:id="1">
    <w:p w14:paraId="0D52E459" w14:textId="77777777" w:rsidR="006639B6" w:rsidRDefault="006639B6"/>
  </w:footnote>
  <w:footnote w:id="2">
    <w:p w14:paraId="5EE2BBDD" w14:textId="77777777" w:rsidR="00F80411" w:rsidRPr="00EA10E4" w:rsidRDefault="00F80411" w:rsidP="00F80411">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3B4DF297" w14:textId="77777777" w:rsidR="00F80411" w:rsidRPr="00EA10E4" w:rsidRDefault="00F80411" w:rsidP="00F80411">
      <w:pPr>
        <w:pStyle w:val="Textonotapie"/>
        <w:ind w:firstLine="709"/>
        <w:jc w:val="both"/>
        <w:rPr>
          <w:rFonts w:ascii="Arial" w:hAnsi="Arial" w:cs="Arial"/>
          <w:sz w:val="19"/>
          <w:szCs w:val="19"/>
          <w:lang w:val="es-ES"/>
        </w:rPr>
      </w:pPr>
    </w:p>
  </w:footnote>
  <w:footnote w:id="3">
    <w:p w14:paraId="3860548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6296EE45" w14:textId="77777777" w:rsidR="00F80411" w:rsidRPr="008640C4" w:rsidRDefault="00F80411" w:rsidP="00F80411">
      <w:pPr>
        <w:pStyle w:val="Textonotapie"/>
        <w:ind w:firstLine="709"/>
        <w:jc w:val="both"/>
        <w:rPr>
          <w:rFonts w:ascii="Arial" w:hAnsi="Arial" w:cs="Arial"/>
          <w:sz w:val="19"/>
          <w:szCs w:val="19"/>
          <w:lang w:val="es-ES"/>
        </w:rPr>
      </w:pPr>
    </w:p>
  </w:footnote>
  <w:footnote w:id="4">
    <w:p w14:paraId="533FAE3F"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D0C9747" w14:textId="77777777" w:rsidR="00F80411" w:rsidRPr="008640C4" w:rsidRDefault="00F80411" w:rsidP="00F80411">
      <w:pPr>
        <w:pStyle w:val="Textonotapie"/>
        <w:ind w:firstLine="709"/>
        <w:jc w:val="both"/>
        <w:rPr>
          <w:rFonts w:ascii="Arial" w:hAnsi="Arial" w:cs="Arial"/>
          <w:sz w:val="19"/>
          <w:szCs w:val="19"/>
          <w:lang w:val="es-CO"/>
        </w:rPr>
      </w:pPr>
    </w:p>
  </w:footnote>
  <w:footnote w:id="5">
    <w:p w14:paraId="77146A50"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653F7200" w14:textId="77777777" w:rsidR="00F80411" w:rsidRPr="008640C4" w:rsidRDefault="00F80411" w:rsidP="00F80411">
      <w:pPr>
        <w:pStyle w:val="Textonotapie"/>
        <w:ind w:firstLine="709"/>
        <w:jc w:val="both"/>
        <w:rPr>
          <w:rFonts w:ascii="Arial" w:hAnsi="Arial" w:cs="Arial"/>
          <w:sz w:val="19"/>
          <w:szCs w:val="19"/>
          <w:lang w:val="es-ES"/>
        </w:rPr>
      </w:pPr>
    </w:p>
  </w:footnote>
  <w:footnote w:id="6">
    <w:p w14:paraId="4E055C6A"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3EB7365C" w14:textId="77777777" w:rsidR="00F80411" w:rsidRPr="008640C4" w:rsidRDefault="00F80411" w:rsidP="00F80411">
      <w:pPr>
        <w:pStyle w:val="Textonotapie"/>
        <w:ind w:firstLine="709"/>
        <w:jc w:val="both"/>
        <w:rPr>
          <w:rFonts w:ascii="Arial" w:hAnsi="Arial" w:cs="Arial"/>
          <w:sz w:val="19"/>
          <w:szCs w:val="19"/>
          <w:lang w:val="es-ES"/>
        </w:rPr>
      </w:pPr>
    </w:p>
  </w:footnote>
  <w:footnote w:id="7">
    <w:p w14:paraId="15AD37D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3143494F" w14:textId="77777777" w:rsidR="00F80411" w:rsidRPr="008640C4" w:rsidRDefault="00F80411" w:rsidP="00F80411">
      <w:pPr>
        <w:pStyle w:val="Textonotapie"/>
        <w:ind w:firstLine="709"/>
        <w:jc w:val="both"/>
        <w:rPr>
          <w:rFonts w:ascii="Arial" w:hAnsi="Arial" w:cs="Arial"/>
          <w:sz w:val="19"/>
          <w:szCs w:val="19"/>
          <w:lang w:val="es-ES"/>
        </w:rPr>
      </w:pPr>
    </w:p>
  </w:footnote>
  <w:footnote w:id="8">
    <w:p w14:paraId="7D602341"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6C35605C" w14:textId="77777777" w:rsidR="00F80411" w:rsidRPr="008640C4" w:rsidRDefault="00F80411" w:rsidP="00F80411">
      <w:pPr>
        <w:pStyle w:val="Textonotapie"/>
        <w:ind w:firstLine="709"/>
        <w:jc w:val="both"/>
        <w:rPr>
          <w:rFonts w:ascii="Arial" w:hAnsi="Arial" w:cs="Arial"/>
          <w:sz w:val="19"/>
          <w:szCs w:val="19"/>
          <w:lang w:val="es-ES"/>
        </w:rPr>
      </w:pPr>
    </w:p>
  </w:footnote>
  <w:footnote w:id="9">
    <w:p w14:paraId="56BE8B0D"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6E965A2" w14:textId="77777777" w:rsidR="00F80411" w:rsidRPr="008640C4" w:rsidRDefault="00F80411" w:rsidP="00F80411">
      <w:pPr>
        <w:pStyle w:val="Textonotapie"/>
        <w:ind w:firstLine="709"/>
        <w:jc w:val="both"/>
        <w:rPr>
          <w:rFonts w:ascii="Arial" w:hAnsi="Arial" w:cs="Arial"/>
          <w:sz w:val="19"/>
          <w:szCs w:val="19"/>
          <w:lang w:val="es-ES"/>
        </w:rPr>
      </w:pPr>
    </w:p>
  </w:footnote>
  <w:footnote w:id="10">
    <w:p w14:paraId="7BEBE4BC" w14:textId="0B820A13" w:rsidR="00530059" w:rsidRPr="0064696D" w:rsidRDefault="00530059" w:rsidP="009949CE">
      <w:pPr>
        <w:pStyle w:val="Textonotapie"/>
        <w:ind w:firstLine="709"/>
        <w:jc w:val="both"/>
        <w:rPr>
          <w:rFonts w:ascii="Arial" w:hAnsi="Arial" w:cs="Arial"/>
          <w:sz w:val="19"/>
          <w:szCs w:val="19"/>
          <w:lang w:val="es-ES"/>
        </w:rPr>
      </w:pPr>
      <w:r w:rsidRPr="0064696D">
        <w:rPr>
          <w:rStyle w:val="Refdenotaalpie"/>
          <w:rFonts w:ascii="Arial" w:hAnsi="Arial" w:cs="Arial"/>
          <w:sz w:val="19"/>
          <w:szCs w:val="19"/>
        </w:rPr>
        <w:footnoteRef/>
      </w:r>
      <w:r w:rsidRPr="0064696D">
        <w:rPr>
          <w:rFonts w:ascii="Arial" w:hAnsi="Arial" w:cs="Arial"/>
          <w:sz w:val="19"/>
          <w:szCs w:val="19"/>
        </w:rPr>
        <w:t xml:space="preserve"> </w:t>
      </w:r>
      <w:r w:rsidRPr="0064696D">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186A106" w14:textId="03EE071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4DFE72EE" w14:textId="07C46650"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1.</w:t>
      </w:r>
      <w:r>
        <w:rPr>
          <w:rFonts w:ascii="Arial" w:hAnsi="Arial" w:cs="Arial"/>
          <w:sz w:val="19"/>
          <w:szCs w:val="19"/>
          <w:lang w:val="es-ES"/>
        </w:rPr>
        <w:t xml:space="preserve"> </w:t>
      </w:r>
      <w:r w:rsidR="00530059" w:rsidRPr="0064696D">
        <w:rPr>
          <w:rFonts w:ascii="Arial" w:hAnsi="Arial" w:cs="Arial"/>
          <w:sz w:val="19"/>
          <w:szCs w:val="19"/>
          <w:lang w:val="es-ES"/>
        </w:rPr>
        <w:t>Preferir la oferta de bienes o servicios nacionales frente a la oferta de bienes o servicios extranjeros.</w:t>
      </w:r>
    </w:p>
    <w:p w14:paraId="55EE1E60" w14:textId="019C69CF"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2.</w:t>
      </w:r>
      <w:r>
        <w:rPr>
          <w:rFonts w:ascii="Arial" w:hAnsi="Arial" w:cs="Arial"/>
          <w:sz w:val="19"/>
          <w:szCs w:val="19"/>
          <w:lang w:val="es-ES"/>
        </w:rPr>
        <w:t xml:space="preserve"> </w:t>
      </w:r>
      <w:r w:rsidR="00530059" w:rsidRPr="0064696D">
        <w:rPr>
          <w:rFonts w:ascii="Arial" w:hAnsi="Arial" w:cs="Arial"/>
          <w:sz w:val="19"/>
          <w:szCs w:val="19"/>
          <w:lang w:val="es-ES"/>
        </w:rPr>
        <w:t>Preferir las ofertas presentada por una Mipyme nacional.</w:t>
      </w:r>
    </w:p>
    <w:p w14:paraId="24F6B951" w14:textId="78F6340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3.</w:t>
      </w:r>
      <w:r>
        <w:rPr>
          <w:rFonts w:ascii="Arial" w:hAnsi="Arial" w:cs="Arial"/>
          <w:sz w:val="19"/>
          <w:szCs w:val="19"/>
          <w:lang w:val="es-ES"/>
        </w:rPr>
        <w:t xml:space="preserve"> </w:t>
      </w:r>
      <w:r w:rsidR="00530059" w:rsidRPr="0064696D">
        <w:rPr>
          <w:rFonts w:ascii="Arial" w:hAnsi="Arial" w:cs="Arial"/>
          <w:sz w:val="19"/>
          <w:szCs w:val="19"/>
          <w:lang w:val="es-ES"/>
        </w:rPr>
        <w:t>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5BC30F59" w14:textId="518BE03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4.</w:t>
      </w:r>
      <w:r>
        <w:rPr>
          <w:rFonts w:ascii="Arial" w:hAnsi="Arial" w:cs="Arial"/>
          <w:sz w:val="19"/>
          <w:szCs w:val="19"/>
          <w:lang w:val="es-ES"/>
        </w:rPr>
        <w:t xml:space="preserve"> </w:t>
      </w:r>
      <w:r w:rsidR="00530059" w:rsidRPr="0064696D">
        <w:rPr>
          <w:rFonts w:ascii="Arial" w:hAnsi="Arial" w:cs="Arial"/>
          <w:sz w:val="19"/>
          <w:szCs w:val="19"/>
          <w:lang w:val="es-ES"/>
        </w:rPr>
        <w:t>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762F4336" w14:textId="04C31981" w:rsidR="00530059" w:rsidRPr="0064696D" w:rsidRDefault="009949CE" w:rsidP="0064696D">
      <w:pPr>
        <w:pStyle w:val="Textonotapie"/>
        <w:ind w:firstLine="709"/>
        <w:jc w:val="both"/>
        <w:rPr>
          <w:rFonts w:ascii="Arial" w:hAnsi="Arial" w:cs="Arial"/>
          <w:sz w:val="19"/>
          <w:szCs w:val="19"/>
          <w:lang w:val="es-CO"/>
        </w:rPr>
      </w:pPr>
      <w:r>
        <w:rPr>
          <w:rFonts w:ascii="Arial" w:hAnsi="Arial" w:cs="Arial"/>
          <w:sz w:val="19"/>
          <w:szCs w:val="19"/>
          <w:lang w:val="es-ES"/>
        </w:rPr>
        <w:t>»</w:t>
      </w:r>
      <w:r w:rsidR="00530059" w:rsidRPr="0064696D">
        <w:rPr>
          <w:rFonts w:ascii="Arial" w:hAnsi="Arial" w:cs="Arial"/>
          <w:sz w:val="19"/>
          <w:szCs w:val="19"/>
          <w:lang w:val="es-ES"/>
        </w:rPr>
        <w:t>5.</w:t>
      </w:r>
      <w:r>
        <w:rPr>
          <w:rFonts w:ascii="Arial" w:hAnsi="Arial" w:cs="Arial"/>
          <w:sz w:val="19"/>
          <w:szCs w:val="19"/>
          <w:lang w:val="es-ES"/>
        </w:rPr>
        <w:t xml:space="preserve"> </w:t>
      </w:r>
      <w:r w:rsidR="00530059" w:rsidRPr="0064696D">
        <w:rPr>
          <w:rFonts w:ascii="Arial" w:hAnsi="Arial" w:cs="Arial"/>
          <w:sz w:val="19"/>
          <w:szCs w:val="19"/>
          <w:lang w:val="es-ES"/>
        </w:rPr>
        <w:t>Utilizar un método aleatorio para seleccionar el oferente, método que deberá haber sido previsto en los pliegos de condiciones del Proceso de Contratación</w:t>
      </w:r>
      <w:r>
        <w:rPr>
          <w:rFonts w:ascii="Arial" w:hAnsi="Arial" w:cs="Arial"/>
          <w:sz w:val="19"/>
          <w:szCs w:val="19"/>
          <w:lang w:val="es-ES"/>
        </w:rPr>
        <w:t>»</w:t>
      </w:r>
      <w:r w:rsidR="00530059" w:rsidRPr="0064696D">
        <w:rPr>
          <w:rFonts w:ascii="Arial" w:hAnsi="Arial" w:cs="Arial"/>
          <w:sz w:val="19"/>
          <w:szCs w:val="19"/>
          <w:lang w:val="es-ES"/>
        </w:rPr>
        <w:t>.</w:t>
      </w:r>
    </w:p>
  </w:footnote>
  <w:footnote w:id="11">
    <w:p w14:paraId="5847D64B" w14:textId="77777777" w:rsidR="00231293" w:rsidRPr="00F175E1" w:rsidRDefault="00231293" w:rsidP="00231293">
      <w:pPr>
        <w:jc w:val="both"/>
        <w:rPr>
          <w:rFonts w:ascii="Arial" w:hAnsi="Arial" w:cs="Arial"/>
          <w:sz w:val="19"/>
          <w:szCs w:val="19"/>
        </w:rPr>
      </w:pPr>
      <w:r w:rsidRPr="00F77DD4">
        <w:rPr>
          <w:rStyle w:val="Refdenotaalpie"/>
          <w:rFonts w:ascii="Arial" w:hAnsi="Arial" w:cs="Arial"/>
          <w:sz w:val="19"/>
          <w:szCs w:val="19"/>
        </w:rPr>
        <w:footnoteRef/>
      </w:r>
      <w:r w:rsidRPr="00F77DD4">
        <w:rPr>
          <w:rFonts w:ascii="Arial" w:hAnsi="Arial" w:cs="Arial"/>
          <w:sz w:val="19"/>
          <w:szCs w:val="19"/>
        </w:rPr>
        <w:t xml:space="preserve"> </w:t>
      </w:r>
      <w:r>
        <w:rPr>
          <w:rFonts w:ascii="Arial" w:hAnsi="Arial" w:cs="Arial"/>
          <w:sz w:val="19"/>
          <w:szCs w:val="19"/>
        </w:rPr>
        <w:t xml:space="preserve">El artículo 5 de la Ley 57 de 1887 dispone que </w:t>
      </w:r>
      <w:r w:rsidRPr="00F175E1">
        <w:rPr>
          <w:rFonts w:ascii="Arial" w:hAnsi="Arial" w:cs="Arial"/>
          <w:sz w:val="19"/>
          <w:szCs w:val="19"/>
        </w:rPr>
        <w:t xml:space="preserve">«Cuando haya incompatibilidad entre una disposición constitucional y una legal, preferirá aquélla. </w:t>
      </w:r>
    </w:p>
    <w:p w14:paraId="56F4D349" w14:textId="77777777" w:rsidR="00231293" w:rsidRPr="00F175E1" w:rsidRDefault="00231293" w:rsidP="00231293">
      <w:pPr>
        <w:ind w:firstLine="708"/>
        <w:jc w:val="both"/>
        <w:rPr>
          <w:rFonts w:ascii="Arial" w:hAnsi="Arial" w:cs="Arial"/>
          <w:sz w:val="19"/>
          <w:szCs w:val="19"/>
        </w:rPr>
      </w:pPr>
      <w:r w:rsidRPr="00F175E1">
        <w:rPr>
          <w:rFonts w:ascii="Arial" w:hAnsi="Arial" w:cs="Arial"/>
          <w:sz w:val="19"/>
          <w:szCs w:val="19"/>
        </w:rPr>
        <w:t xml:space="preserve">»Si en los Códigos que se adoptan se hallaren algunas disposiciones incompatibles entre sí, se observarán en su aplicación las reglas siguientes: </w:t>
      </w:r>
    </w:p>
    <w:p w14:paraId="095A81C6" w14:textId="77777777" w:rsidR="00231293" w:rsidRPr="00F175E1" w:rsidRDefault="00231293" w:rsidP="00231293">
      <w:pPr>
        <w:ind w:firstLine="708"/>
        <w:jc w:val="both"/>
        <w:rPr>
          <w:rFonts w:ascii="Arial" w:hAnsi="Arial" w:cs="Arial"/>
          <w:sz w:val="19"/>
          <w:szCs w:val="19"/>
        </w:rPr>
      </w:pPr>
      <w:r w:rsidRPr="00F175E1">
        <w:rPr>
          <w:rFonts w:ascii="Arial" w:hAnsi="Arial" w:cs="Arial"/>
          <w:sz w:val="19"/>
          <w:szCs w:val="19"/>
        </w:rPr>
        <w:t xml:space="preserve">»1ª La disposición relativa a un asunto especial prefiere a la que tenga carácter general; </w:t>
      </w:r>
    </w:p>
    <w:p w14:paraId="70312BC5" w14:textId="3B167DC8" w:rsidR="00231293" w:rsidRDefault="00231293" w:rsidP="00231293">
      <w:pPr>
        <w:ind w:firstLine="708"/>
        <w:jc w:val="both"/>
        <w:rPr>
          <w:rFonts w:ascii="Arial" w:hAnsi="Arial" w:cs="Arial"/>
          <w:sz w:val="19"/>
          <w:szCs w:val="19"/>
        </w:rPr>
      </w:pPr>
      <w:r w:rsidRPr="00F175E1">
        <w:rPr>
          <w:rFonts w:ascii="Arial" w:hAnsi="Arial" w:cs="Arial"/>
          <w:sz w:val="19"/>
          <w:szCs w:val="19"/>
        </w:rPr>
        <w:t xml:space="preserve">»2ª Cuando las disposiciones tengan una misma especialidad </w:t>
      </w:r>
      <w:r w:rsidR="003165A4">
        <w:rPr>
          <w:rFonts w:ascii="Arial" w:hAnsi="Arial" w:cs="Arial"/>
          <w:sz w:val="19"/>
          <w:szCs w:val="19"/>
        </w:rPr>
        <w:t>o</w:t>
      </w:r>
      <w:r w:rsidRPr="00F175E1">
        <w:rPr>
          <w:rFonts w:ascii="Arial" w:hAnsi="Arial" w:cs="Arial"/>
          <w:sz w:val="19"/>
          <w:szCs w:val="19"/>
        </w:rPr>
        <w:t xml:space="preserve">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5608D3C2" w14:textId="77777777" w:rsidR="00231293" w:rsidRPr="00D56A53" w:rsidRDefault="00231293" w:rsidP="00231293">
      <w:pPr>
        <w:ind w:firstLine="708"/>
        <w:jc w:val="both"/>
        <w:rPr>
          <w:rFonts w:ascii="Arial" w:hAnsi="Arial" w:cs="Arial"/>
          <w:sz w:val="19"/>
          <w:szCs w:val="19"/>
        </w:rPr>
      </w:pPr>
    </w:p>
  </w:footnote>
  <w:footnote w:id="12">
    <w:p w14:paraId="44CA3952" w14:textId="0EE90D48" w:rsidR="00231293" w:rsidRPr="00231293" w:rsidRDefault="00231293" w:rsidP="00231293">
      <w:pPr>
        <w:pStyle w:val="Textonotapie"/>
        <w:ind w:firstLine="708"/>
        <w:jc w:val="both"/>
        <w:rPr>
          <w:rFonts w:ascii="Arial" w:hAnsi="Arial" w:cs="Arial"/>
          <w:sz w:val="19"/>
          <w:szCs w:val="19"/>
          <w:lang w:val="es-ES"/>
        </w:rPr>
      </w:pPr>
      <w:r w:rsidRPr="00231293">
        <w:rPr>
          <w:rStyle w:val="Refdenotaalpie"/>
          <w:rFonts w:ascii="Arial" w:hAnsi="Arial" w:cs="Arial"/>
          <w:sz w:val="19"/>
          <w:szCs w:val="19"/>
        </w:rPr>
        <w:footnoteRef/>
      </w:r>
      <w:r w:rsidRPr="00231293">
        <w:rPr>
          <w:rFonts w:ascii="Arial" w:hAnsi="Arial" w:cs="Arial"/>
          <w:sz w:val="19"/>
          <w:szCs w:val="19"/>
        </w:rPr>
        <w:t xml:space="preserve"> </w:t>
      </w:r>
      <w:r>
        <w:rPr>
          <w:rFonts w:ascii="Arial" w:hAnsi="Arial" w:cs="Arial"/>
          <w:sz w:val="19"/>
          <w:szCs w:val="19"/>
        </w:rPr>
        <w:t xml:space="preserve">Cfr. </w:t>
      </w:r>
      <w:r w:rsidRPr="00231293">
        <w:rPr>
          <w:rFonts w:ascii="Arial" w:hAnsi="Arial" w:cs="Arial"/>
          <w:sz w:val="19"/>
          <w:szCs w:val="19"/>
        </w:rPr>
        <w:t>GUASTINI, Riccardo</w:t>
      </w:r>
      <w:r>
        <w:rPr>
          <w:rFonts w:ascii="Arial" w:hAnsi="Arial" w:cs="Arial"/>
          <w:sz w:val="19"/>
          <w:szCs w:val="19"/>
        </w:rPr>
        <w:t>. Interpretar y argumentar. Madrid: Centro de Estudios Constitucionales, 2014. p. 134.</w:t>
      </w:r>
    </w:p>
  </w:footnote>
  <w:footnote w:id="13">
    <w:p w14:paraId="3CDBBF78" w14:textId="6FCD0856" w:rsidR="00FF5E27" w:rsidRPr="00FF5E27" w:rsidRDefault="00FF5E27" w:rsidP="00FF5E27">
      <w:pPr>
        <w:pStyle w:val="Textonotapie"/>
        <w:ind w:firstLine="708"/>
        <w:jc w:val="both"/>
        <w:rPr>
          <w:rFonts w:ascii="Arial" w:hAnsi="Arial" w:cs="Arial"/>
          <w:sz w:val="19"/>
          <w:szCs w:val="19"/>
          <w:lang w:val="es-ES"/>
        </w:rPr>
      </w:pPr>
      <w:r w:rsidRPr="00FF5E27">
        <w:rPr>
          <w:rStyle w:val="Refdenotaalpie"/>
          <w:rFonts w:ascii="Arial" w:hAnsi="Arial" w:cs="Arial"/>
          <w:sz w:val="19"/>
          <w:szCs w:val="19"/>
        </w:rPr>
        <w:footnoteRef/>
      </w:r>
      <w:r w:rsidRPr="00FF5E27">
        <w:rPr>
          <w:rFonts w:ascii="Arial" w:hAnsi="Arial" w:cs="Arial"/>
          <w:sz w:val="19"/>
          <w:szCs w:val="19"/>
        </w:rPr>
        <w:t xml:space="preserve"> </w:t>
      </w:r>
      <w:r>
        <w:rPr>
          <w:rFonts w:ascii="Arial" w:hAnsi="Arial" w:cs="Arial"/>
          <w:sz w:val="19"/>
          <w:szCs w:val="19"/>
        </w:rPr>
        <w:t>DÍEZ-PICAZO, Luis María. La derogación de las leyes. Madrid: Editorial Civita, 1990. p. 363.</w:t>
      </w:r>
    </w:p>
  </w:footnote>
  <w:footnote w:id="14">
    <w:p w14:paraId="30F85CFC" w14:textId="77777777" w:rsidR="003165A4" w:rsidRDefault="003165A4" w:rsidP="003165A4">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4314050A" w14:textId="77777777" w:rsidR="003165A4" w:rsidRPr="00F32C99" w:rsidRDefault="003165A4" w:rsidP="003165A4">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474640767">
    <w:abstractNumId w:val="9"/>
  </w:num>
  <w:num w:numId="2" w16cid:durableId="555051427">
    <w:abstractNumId w:val="7"/>
  </w:num>
  <w:num w:numId="3" w16cid:durableId="573783900">
    <w:abstractNumId w:val="12"/>
  </w:num>
  <w:num w:numId="4" w16cid:durableId="874544495">
    <w:abstractNumId w:val="15"/>
  </w:num>
  <w:num w:numId="5" w16cid:durableId="1300264409">
    <w:abstractNumId w:val="19"/>
  </w:num>
  <w:num w:numId="6" w16cid:durableId="4256303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5126793">
    <w:abstractNumId w:val="17"/>
  </w:num>
  <w:num w:numId="8" w16cid:durableId="2014913066">
    <w:abstractNumId w:val="0"/>
  </w:num>
  <w:num w:numId="9" w16cid:durableId="1068650965">
    <w:abstractNumId w:val="3"/>
  </w:num>
  <w:num w:numId="10" w16cid:durableId="3940873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74912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9636027">
    <w:abstractNumId w:val="8"/>
  </w:num>
  <w:num w:numId="13" w16cid:durableId="549417105">
    <w:abstractNumId w:val="11"/>
  </w:num>
  <w:num w:numId="14" w16cid:durableId="156386335">
    <w:abstractNumId w:val="6"/>
  </w:num>
  <w:num w:numId="15" w16cid:durableId="168643999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380928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3740570">
    <w:abstractNumId w:val="21"/>
  </w:num>
  <w:num w:numId="18" w16cid:durableId="1289356198">
    <w:abstractNumId w:val="13"/>
  </w:num>
  <w:num w:numId="19" w16cid:durableId="701786333">
    <w:abstractNumId w:val="2"/>
  </w:num>
  <w:num w:numId="20" w16cid:durableId="1372455046">
    <w:abstractNumId w:val="22"/>
  </w:num>
  <w:num w:numId="21" w16cid:durableId="1921744276">
    <w:abstractNumId w:val="14"/>
  </w:num>
  <w:num w:numId="22" w16cid:durableId="2086217430">
    <w:abstractNumId w:val="5"/>
  </w:num>
  <w:num w:numId="23" w16cid:durableId="677079276">
    <w:abstractNumId w:val="4"/>
  </w:num>
  <w:num w:numId="24" w16cid:durableId="1591355033">
    <w:abstractNumId w:val="20"/>
  </w:num>
  <w:num w:numId="25" w16cid:durableId="18457043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048"/>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5C26"/>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66336"/>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66E"/>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2EF"/>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BE2"/>
    <w:rsid w:val="00175E49"/>
    <w:rsid w:val="0017649F"/>
    <w:rsid w:val="0017655B"/>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28B8"/>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1DBC"/>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2DD9"/>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4ADB"/>
    <w:rsid w:val="003151FE"/>
    <w:rsid w:val="00315365"/>
    <w:rsid w:val="00315457"/>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A52"/>
    <w:rsid w:val="00452663"/>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5786A"/>
    <w:rsid w:val="00460915"/>
    <w:rsid w:val="00460946"/>
    <w:rsid w:val="004614A9"/>
    <w:rsid w:val="00461E97"/>
    <w:rsid w:val="0046268F"/>
    <w:rsid w:val="0046284F"/>
    <w:rsid w:val="00462B10"/>
    <w:rsid w:val="00462C04"/>
    <w:rsid w:val="00462E1D"/>
    <w:rsid w:val="0046320A"/>
    <w:rsid w:val="00463347"/>
    <w:rsid w:val="004636CC"/>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2B97"/>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55"/>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5A"/>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9B6"/>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1830"/>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0F0"/>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70F"/>
    <w:rsid w:val="007B78E6"/>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447A"/>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738"/>
    <w:rsid w:val="00947E6E"/>
    <w:rsid w:val="009512FA"/>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3FB6"/>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5748"/>
    <w:rsid w:val="00A25B0F"/>
    <w:rsid w:val="00A25BBB"/>
    <w:rsid w:val="00A27FB6"/>
    <w:rsid w:val="00A30121"/>
    <w:rsid w:val="00A30368"/>
    <w:rsid w:val="00A3043A"/>
    <w:rsid w:val="00A30E02"/>
    <w:rsid w:val="00A30F6A"/>
    <w:rsid w:val="00A31060"/>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2CDE"/>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1D24"/>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A3"/>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183"/>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E0E"/>
    <w:rsid w:val="00DF4FFB"/>
    <w:rsid w:val="00DF5236"/>
    <w:rsid w:val="00DF651F"/>
    <w:rsid w:val="00DF6F43"/>
    <w:rsid w:val="00DF71EA"/>
    <w:rsid w:val="00DF752F"/>
    <w:rsid w:val="00DF76A2"/>
    <w:rsid w:val="00E00B25"/>
    <w:rsid w:val="00E00B7A"/>
    <w:rsid w:val="00E016BF"/>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B48"/>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387F"/>
    <w:rsid w:val="00F44120"/>
    <w:rsid w:val="00F452E9"/>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A7AE7"/>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BD5"/>
    <w:rsid w:val="00FE5C5A"/>
    <w:rsid w:val="00FE601E"/>
    <w:rsid w:val="00FE6432"/>
    <w:rsid w:val="00FE72A0"/>
    <w:rsid w:val="00FF0050"/>
    <w:rsid w:val="00FF045F"/>
    <w:rsid w:val="00FF13D4"/>
    <w:rsid w:val="00FF2053"/>
    <w:rsid w:val="00FF3B37"/>
    <w:rsid w:val="00FF3CC7"/>
    <w:rsid w:val="00FF3D6F"/>
    <w:rsid w:val="00FF441A"/>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14</Pages>
  <Words>5143</Words>
  <Characters>28292</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2021-02-16T19:00:00Z</cp:lastPrinted>
  <dcterms:created xsi:type="dcterms:W3CDTF">2022-04-07T14:39:00Z</dcterms:created>
  <dcterms:modified xsi:type="dcterms:W3CDTF">2022-04-07T14:39:00Z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