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32C18" w14:textId="63444884" w:rsidR="00DA63DC" w:rsidRPr="008E5CDD" w:rsidRDefault="00DA63DC" w:rsidP="000D3C8D">
      <w:pPr>
        <w:spacing w:after="0" w:line="240" w:lineRule="auto"/>
        <w:jc w:val="both"/>
        <w:rPr>
          <w:rFonts w:ascii="Verdana" w:eastAsia="Calibri" w:hAnsi="Verdana" w:cs="Arial"/>
          <w:b/>
          <w:bCs/>
          <w:color w:val="000000" w:themeColor="text1"/>
          <w:lang w:val="es-ES"/>
        </w:rPr>
      </w:pPr>
      <w:bookmarkStart w:id="0" w:name="_Hlk186494164"/>
      <w:r w:rsidRPr="008E5CDD">
        <w:rPr>
          <w:rFonts w:ascii="Verdana" w:eastAsia="Calibri" w:hAnsi="Verdana" w:cs="Arial"/>
          <w:b/>
          <w:bCs/>
          <w:color w:val="000000" w:themeColor="text1"/>
          <w:lang w:val="es-ES"/>
        </w:rPr>
        <w:t>CONTRATO DE OBRA PÚBLICA – Tipología – Confección de obra material –Arrendamiento</w:t>
      </w:r>
    </w:p>
    <w:p w14:paraId="75AD00F3" w14:textId="77777777" w:rsidR="000D3C8D" w:rsidRPr="000D3C8D" w:rsidRDefault="000D3C8D" w:rsidP="000D3C8D">
      <w:pPr>
        <w:spacing w:after="0" w:line="240" w:lineRule="auto"/>
        <w:jc w:val="both"/>
        <w:rPr>
          <w:rFonts w:ascii="Verdana" w:eastAsia="Calibri" w:hAnsi="Verdana" w:cs="Arial"/>
          <w:b/>
          <w:bCs/>
          <w:color w:val="000000" w:themeColor="text1"/>
          <w:sz w:val="20"/>
          <w:szCs w:val="20"/>
        </w:rPr>
      </w:pPr>
    </w:p>
    <w:p w14:paraId="47704744" w14:textId="72932DAE" w:rsidR="00DA63DC" w:rsidRDefault="00DA63DC" w:rsidP="000D3C8D">
      <w:pPr>
        <w:spacing w:after="0" w:line="240" w:lineRule="auto"/>
        <w:jc w:val="both"/>
        <w:rPr>
          <w:rFonts w:ascii="Verdana" w:eastAsia="Calibri" w:hAnsi="Verdana" w:cs="Arial"/>
          <w:color w:val="000000" w:themeColor="text1"/>
          <w:sz w:val="20"/>
          <w:szCs w:val="20"/>
          <w:lang w:val="es-ES_tradnl"/>
        </w:rPr>
      </w:pPr>
      <w:r w:rsidRPr="000D3C8D">
        <w:rPr>
          <w:rFonts w:ascii="Verdana" w:eastAsia="Calibri" w:hAnsi="Verdana" w:cs="Arial"/>
          <w:color w:val="000000" w:themeColor="text1"/>
          <w:sz w:val="20"/>
          <w:szCs w:val="20"/>
          <w:lang w:val="es-ES_tradnl"/>
        </w:rPr>
        <w:t xml:space="preserve">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 [E]n el derecho privado brilla por la ausencia una definición del contrato de obra. El artículo 2053 del Código Civil lo tipifica como una de las clases de arrendamiento, y establece reglas para diferenciarlo de la compraventa, para lo cual dispone que </w:t>
      </w:r>
      <w:r w:rsidR="00F34245">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Si al artífice suministra la materia para la confección de una obra material, el contrato es de venta; pero no se perfecciona sino por la aprobación del que ordenó la obra</w:t>
      </w:r>
      <w:r w:rsidR="00F34245">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 Por el contrario, </w:t>
      </w:r>
      <w:r w:rsidR="00D727D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Si la materia es suministrada por la persona que encargó la obra, el contrato es de arrendamiento</w:t>
      </w:r>
      <w:r w:rsidR="00D727D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 pero </w:t>
      </w:r>
      <w:r w:rsidR="00D727D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Si la materia principal es suministrada por el que ha ordenado la obra, poniendo el artífice lo demás, el contrato es de arrendamiento; en el caso contrario, de venta</w:t>
      </w:r>
      <w:r w:rsidR="00D727D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En todo caso, en la medida en que los artículos 2060 y 2061 del Código disponen reglas especiales para los contratos de construcción y de arquitectura, es claro que la realización de trabajos materiales recae tanto sobre bienes muebles como inmuebles.</w:t>
      </w:r>
    </w:p>
    <w:p w14:paraId="6B5C93C7" w14:textId="77777777" w:rsidR="000D3C8D" w:rsidRPr="000D3C8D" w:rsidRDefault="000D3C8D" w:rsidP="000D3C8D">
      <w:pPr>
        <w:spacing w:after="0" w:line="240" w:lineRule="auto"/>
        <w:jc w:val="both"/>
        <w:rPr>
          <w:rFonts w:ascii="Verdana" w:eastAsia="Calibri" w:hAnsi="Verdana" w:cs="Arial"/>
          <w:color w:val="000000" w:themeColor="text1"/>
          <w:sz w:val="20"/>
          <w:szCs w:val="20"/>
          <w:lang w:val="es-ES_tradnl"/>
        </w:rPr>
      </w:pPr>
    </w:p>
    <w:p w14:paraId="52EDE2E6" w14:textId="4151B0E0" w:rsidR="00DA63DC" w:rsidRPr="008E5CDD" w:rsidRDefault="00DA63DC" w:rsidP="000D3C8D">
      <w:pPr>
        <w:spacing w:after="0" w:line="240" w:lineRule="auto"/>
        <w:jc w:val="both"/>
        <w:rPr>
          <w:rFonts w:ascii="Verdana" w:eastAsia="Calibri" w:hAnsi="Verdana" w:cs="Arial"/>
          <w:b/>
          <w:bCs/>
          <w:color w:val="000000" w:themeColor="text1"/>
          <w:lang w:val="es-ES_tradnl"/>
        </w:rPr>
      </w:pPr>
      <w:bookmarkStart w:id="1" w:name="_Hlk81428782"/>
      <w:r w:rsidRPr="008E5CDD">
        <w:rPr>
          <w:rFonts w:ascii="Verdana" w:eastAsia="Calibri" w:hAnsi="Verdana" w:cs="Arial"/>
          <w:b/>
          <w:bCs/>
          <w:color w:val="000000" w:themeColor="text1"/>
          <w:lang w:val="es-ES_tradnl"/>
        </w:rPr>
        <w:t xml:space="preserve">CONTRATO DE OBRA PÚBLICA </w:t>
      </w:r>
      <w:bookmarkEnd w:id="1"/>
      <w:r w:rsidRPr="008E5CDD">
        <w:rPr>
          <w:rFonts w:ascii="Verdana" w:eastAsia="Calibri" w:hAnsi="Verdana" w:cs="Arial"/>
          <w:b/>
          <w:bCs/>
          <w:color w:val="000000" w:themeColor="text1"/>
          <w:lang w:val="es-ES_tradnl"/>
        </w:rPr>
        <w:t xml:space="preserve">– Definición – Bienes inmuebles </w:t>
      </w:r>
    </w:p>
    <w:p w14:paraId="21EBDEAF" w14:textId="77777777" w:rsidR="000D3C8D" w:rsidRPr="000D3C8D" w:rsidRDefault="000D3C8D" w:rsidP="000D3C8D">
      <w:pPr>
        <w:spacing w:after="0" w:line="240" w:lineRule="auto"/>
        <w:jc w:val="both"/>
        <w:rPr>
          <w:rFonts w:ascii="Verdana" w:eastAsia="Calibri" w:hAnsi="Verdana" w:cs="Arial"/>
          <w:b/>
          <w:bCs/>
          <w:color w:val="000000" w:themeColor="text1"/>
          <w:sz w:val="20"/>
          <w:szCs w:val="20"/>
          <w:lang w:val="es-ES_tradnl"/>
        </w:rPr>
      </w:pPr>
    </w:p>
    <w:p w14:paraId="5E7F5601" w14:textId="4AB8E1C2" w:rsidR="00DA63DC" w:rsidRDefault="00DA63DC" w:rsidP="000D3C8D">
      <w:pPr>
        <w:spacing w:after="0" w:line="240" w:lineRule="auto"/>
        <w:jc w:val="both"/>
        <w:rPr>
          <w:rFonts w:ascii="Verdana" w:eastAsia="Calibri" w:hAnsi="Verdana" w:cs="Arial"/>
          <w:color w:val="000000" w:themeColor="text1"/>
          <w:sz w:val="20"/>
          <w:szCs w:val="20"/>
          <w:lang w:val="es-ES_tradnl"/>
        </w:rPr>
      </w:pPr>
      <w:r w:rsidRPr="000D3C8D">
        <w:rPr>
          <w:rFonts w:ascii="Verdana" w:eastAsia="Calibri" w:hAnsi="Verdana" w:cs="Arial"/>
          <w:color w:val="000000" w:themeColor="text1"/>
          <w:sz w:val="20"/>
          <w:szCs w:val="20"/>
          <w:lang w:val="es-ES_tradnl"/>
        </w:rPr>
        <w:t xml:space="preserve">El numeral 1 del artículo 32 de la Ley 80 de 1993 opta por un </w:t>
      </w:r>
      <w:r w:rsidRPr="000D3C8D">
        <w:rPr>
          <w:rFonts w:ascii="Verdana" w:eastAsia="Calibri" w:hAnsi="Verdana" w:cs="Arial"/>
          <w:i/>
          <w:iCs/>
          <w:color w:val="000000" w:themeColor="text1"/>
          <w:sz w:val="20"/>
          <w:szCs w:val="20"/>
          <w:lang w:val="es-ES_tradnl"/>
        </w:rPr>
        <w:t>sentido restringido</w:t>
      </w:r>
      <w:r w:rsidRPr="000D3C8D">
        <w:rPr>
          <w:rFonts w:ascii="Verdana" w:eastAsia="Calibri" w:hAnsi="Verdana" w:cs="Arial"/>
          <w:color w:val="000000" w:themeColor="text1"/>
          <w:sz w:val="20"/>
          <w:szCs w:val="20"/>
          <w:lang w:val="es-ES_tradnl"/>
        </w:rPr>
        <w:t xml:space="preserve">, al disponer que </w:t>
      </w:r>
      <w:r w:rsidR="00D727D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Son contratos de obra los que celebren las entidades estatales para la construcción, mantenimiento, instalación y, en general, para la realización de cualquier otro trabajo material sobre bienes inmuebles, cualquiera que sea la modalidad de ejecución y pago</w:t>
      </w:r>
      <w:r w:rsidR="00D727D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0A8722C4" w14:textId="77777777" w:rsidR="000D3C8D" w:rsidRPr="000D3C8D" w:rsidRDefault="000D3C8D" w:rsidP="000D3C8D">
      <w:pPr>
        <w:spacing w:after="0" w:line="240" w:lineRule="auto"/>
        <w:jc w:val="both"/>
        <w:rPr>
          <w:rFonts w:ascii="Verdana" w:eastAsia="Calibri" w:hAnsi="Verdana" w:cs="Arial"/>
          <w:color w:val="000000" w:themeColor="text1"/>
          <w:sz w:val="20"/>
          <w:szCs w:val="20"/>
          <w:lang w:val="es-ES_tradnl"/>
        </w:rPr>
      </w:pPr>
    </w:p>
    <w:p w14:paraId="3EBE5A9A" w14:textId="36D8E71E" w:rsidR="00DA63DC" w:rsidRPr="008E5CDD" w:rsidRDefault="00DA63DC" w:rsidP="000D3C8D">
      <w:pPr>
        <w:spacing w:after="0" w:line="240" w:lineRule="auto"/>
        <w:jc w:val="both"/>
        <w:rPr>
          <w:rFonts w:ascii="Verdana" w:eastAsia="Calibri" w:hAnsi="Verdana" w:cs="Arial"/>
          <w:b/>
          <w:bCs/>
          <w:color w:val="000000" w:themeColor="text1"/>
          <w:lang w:val="es-ES_tradnl"/>
        </w:rPr>
      </w:pPr>
      <w:r w:rsidRPr="008E5CDD">
        <w:rPr>
          <w:rFonts w:ascii="Verdana" w:eastAsia="Calibri" w:hAnsi="Verdana" w:cs="Arial"/>
          <w:b/>
          <w:bCs/>
          <w:color w:val="000000" w:themeColor="text1"/>
          <w:lang w:val="es-ES_tradnl"/>
        </w:rPr>
        <w:t xml:space="preserve">CONTRATO DE OBRA PÚBLICA – Tipos de inmuebles – Por adhesión – Por destinación </w:t>
      </w:r>
    </w:p>
    <w:p w14:paraId="206B8892" w14:textId="77777777" w:rsidR="000D3C8D" w:rsidRPr="000D3C8D" w:rsidRDefault="000D3C8D" w:rsidP="000D3C8D">
      <w:pPr>
        <w:spacing w:after="0" w:line="240" w:lineRule="auto"/>
        <w:jc w:val="both"/>
        <w:rPr>
          <w:rFonts w:ascii="Verdana" w:eastAsia="Calibri" w:hAnsi="Verdana" w:cs="Arial"/>
          <w:b/>
          <w:bCs/>
          <w:color w:val="000000" w:themeColor="text1"/>
          <w:sz w:val="20"/>
          <w:szCs w:val="20"/>
          <w:lang w:val="es-ES_tradnl"/>
        </w:rPr>
      </w:pPr>
    </w:p>
    <w:p w14:paraId="3D1EE145" w14:textId="6197A642" w:rsidR="00DA63DC" w:rsidRDefault="00DA63DC" w:rsidP="000D3C8D">
      <w:pPr>
        <w:spacing w:after="0" w:line="240" w:lineRule="auto"/>
        <w:jc w:val="both"/>
        <w:rPr>
          <w:rFonts w:ascii="Verdana" w:eastAsia="Calibri" w:hAnsi="Verdana" w:cs="Arial"/>
          <w:color w:val="000000" w:themeColor="text1"/>
          <w:sz w:val="20"/>
          <w:szCs w:val="20"/>
          <w:lang w:val="es-ES_tradnl"/>
        </w:rPr>
      </w:pPr>
      <w:r w:rsidRPr="000D3C8D">
        <w:rPr>
          <w:rFonts w:ascii="Verdana" w:eastAsia="Calibri" w:hAnsi="Verdana" w:cs="Arial"/>
          <w:color w:val="000000" w:themeColor="text1"/>
          <w:sz w:val="20"/>
          <w:szCs w:val="20"/>
          <w:lang w:val="es-ES_tradnl"/>
        </w:rPr>
        <w:t xml:space="preserve">[E]l artículo 656 dispone que </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inmuebles o fincas o bienes raíces son las cosas que no pueden transportarse de un lugar a otro; como las tierras y minas, y las que adhieren permanentemente a ellas, como los edificios, los árboles</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 En concordancia, el artículo 657 prescribe lo siguiente: </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Las plantas son inmuebles, mientras adhieren al suelo por sus raíces, a menos que estén en macetas o cajones que puedan transportarse de un lugar a otro</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 Estos bienes se denominan inmuebles por adhesión y la doctrina los caracteriza como </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 bienes muebles por naturaleza, adheridos permanente y </w:t>
      </w:r>
      <w:r w:rsidRPr="000D3C8D">
        <w:rPr>
          <w:rFonts w:ascii="Verdana" w:eastAsia="Calibri" w:hAnsi="Verdana" w:cs="Arial"/>
          <w:color w:val="000000" w:themeColor="text1"/>
          <w:sz w:val="20"/>
          <w:szCs w:val="20"/>
          <w:lang w:val="es-ES_tradnl"/>
        </w:rPr>
        <w:lastRenderedPageBreak/>
        <w:t>materialmente a un inmueble, incorporados por el propietario o por una persona distinta de él, que por una ficción jurídica del legislador se transforman en bienes inmuebles</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 […] Por otra parte, el artículo 658 del Código Civil crea la categoría de </w:t>
      </w:r>
      <w:r w:rsidRPr="000D3C8D">
        <w:rPr>
          <w:rFonts w:ascii="Verdana" w:eastAsia="Calibri" w:hAnsi="Verdana" w:cs="Arial"/>
          <w:i/>
          <w:iCs/>
          <w:color w:val="000000" w:themeColor="text1"/>
          <w:sz w:val="20"/>
          <w:szCs w:val="20"/>
          <w:lang w:val="es-ES_tradnl"/>
        </w:rPr>
        <w:t>inmuebles por destinación</w:t>
      </w:r>
      <w:r w:rsidRPr="000D3C8D">
        <w:rPr>
          <w:rFonts w:ascii="Verdana" w:eastAsia="Calibri" w:hAnsi="Verdana" w:cs="Arial"/>
          <w:color w:val="000000" w:themeColor="text1"/>
          <w:sz w:val="20"/>
          <w:szCs w:val="20"/>
          <w:lang w:val="es-ES_tradnl"/>
        </w:rPr>
        <w:t xml:space="preserve">, disponiendo que </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Se reputan inmuebles, aunque por su naturaleza no lo sean, las cosas que están permanentemente destinadas al uso, cultivo y beneficio de un inmueble, sin embargo de que puedan separarse sin detrimento</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w:t>
      </w:r>
      <w:r w:rsidRPr="000D3C8D">
        <w:rPr>
          <w:rFonts w:ascii="Verdana" w:hAnsi="Verdana" w:cs="Arial"/>
          <w:sz w:val="20"/>
          <w:szCs w:val="20"/>
        </w:rPr>
        <w:t xml:space="preserve"> […] </w:t>
      </w:r>
      <w:r w:rsidRPr="000D3C8D">
        <w:rPr>
          <w:rFonts w:ascii="Verdana" w:eastAsia="Calibri" w:hAnsi="Verdana" w:cs="Arial"/>
          <w:color w:val="000000" w:themeColor="text1"/>
          <w:sz w:val="20"/>
          <w:szCs w:val="20"/>
          <w:lang w:val="es-ES_tradnl"/>
        </w:rPr>
        <w:t xml:space="preserve">Así las cosas, para que clasifiquen dentro de esta categoría se requiere que los muebles sirvan para prestar un servicio útil al inmueble por naturaleza, que el servicio sea permanente, además de que ambos sean del mismo propietario. En esta medida: </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Por excepción al criterio extraído de la naturaleza física de las cosas, los redactores del Código Civil han considerado como inmuebles las cosas trasladables: las clasifican entre los inmuebles </w:t>
      </w:r>
      <w:proofErr w:type="gramStart"/>
      <w:r w:rsidRPr="000D3C8D">
        <w:rPr>
          <w:rFonts w:ascii="Verdana" w:eastAsia="Calibri" w:hAnsi="Verdana" w:cs="Arial"/>
          <w:color w:val="000000" w:themeColor="text1"/>
          <w:sz w:val="20"/>
          <w:szCs w:val="20"/>
          <w:lang w:val="es-ES_tradnl"/>
        </w:rPr>
        <w:t>en razón de</w:t>
      </w:r>
      <w:proofErr w:type="gramEnd"/>
      <w:r w:rsidRPr="000D3C8D">
        <w:rPr>
          <w:rFonts w:ascii="Verdana" w:eastAsia="Calibri" w:hAnsi="Verdana" w:cs="Arial"/>
          <w:color w:val="000000" w:themeColor="text1"/>
          <w:sz w:val="20"/>
          <w:szCs w:val="20"/>
          <w:lang w:val="es-ES_tradnl"/>
        </w:rPr>
        <w:t xml:space="preserv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r w:rsidR="00B54794" w:rsidRPr="000D3C8D">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xml:space="preserve"> términos del Estatuto General de Contratación de la Administración Pública. […] En ese sentido, la naturaleza inmueble del bien sobre el que se realizan el mantenimiento es determinante para saber si está ante un contrato de obra pública, ya que de este tipo contractual se encuentran excluidos trabajos materiales realizados sobre bienes muebles, por lo que estos corresponderían a un tipo contractual diferente.</w:t>
      </w:r>
    </w:p>
    <w:p w14:paraId="6D12F0DC" w14:textId="77777777" w:rsidR="000D3C8D" w:rsidRPr="000D3C8D" w:rsidRDefault="000D3C8D" w:rsidP="000D3C8D">
      <w:pPr>
        <w:spacing w:after="0" w:line="240" w:lineRule="auto"/>
        <w:jc w:val="both"/>
        <w:rPr>
          <w:rFonts w:ascii="Verdana" w:eastAsia="Calibri" w:hAnsi="Verdana" w:cs="Arial"/>
          <w:color w:val="000000" w:themeColor="text1"/>
          <w:sz w:val="20"/>
          <w:szCs w:val="20"/>
          <w:lang w:val="es-ES_tradnl"/>
        </w:rPr>
      </w:pPr>
    </w:p>
    <w:p w14:paraId="77CF1CFB" w14:textId="77777777" w:rsidR="000D3C8D" w:rsidRPr="000D3C8D" w:rsidRDefault="00DA63DC" w:rsidP="000D3C8D">
      <w:pPr>
        <w:spacing w:after="0" w:line="240" w:lineRule="auto"/>
        <w:jc w:val="both"/>
        <w:rPr>
          <w:rFonts w:ascii="Verdana" w:eastAsia="Calibri" w:hAnsi="Verdana" w:cs="Arial"/>
          <w:b/>
          <w:bCs/>
          <w:color w:val="000000" w:themeColor="text1"/>
          <w:lang w:val="es-ES_tradnl"/>
        </w:rPr>
      </w:pPr>
      <w:r w:rsidRPr="000D3C8D">
        <w:rPr>
          <w:rFonts w:ascii="Verdana" w:eastAsia="Calibri" w:hAnsi="Verdana" w:cs="Arial"/>
          <w:b/>
          <w:bCs/>
          <w:color w:val="000000" w:themeColor="text1"/>
          <w:lang w:val="es-ES_tradnl"/>
        </w:rPr>
        <w:t>INSTALACIÓN – Obra – Contrato mixto – Prestación principal</w:t>
      </w:r>
    </w:p>
    <w:p w14:paraId="0DA17D3D" w14:textId="0AAF07E9" w:rsidR="00DA63DC" w:rsidRPr="000D3C8D" w:rsidRDefault="00DA63DC" w:rsidP="000D3C8D">
      <w:pPr>
        <w:spacing w:after="0" w:line="240" w:lineRule="auto"/>
        <w:jc w:val="both"/>
        <w:rPr>
          <w:rFonts w:ascii="Verdana" w:eastAsia="Calibri" w:hAnsi="Verdana" w:cs="Arial"/>
          <w:b/>
          <w:bCs/>
          <w:color w:val="000000" w:themeColor="text1"/>
          <w:sz w:val="20"/>
          <w:szCs w:val="20"/>
          <w:lang w:val="es-ES_tradnl"/>
        </w:rPr>
      </w:pPr>
      <w:r w:rsidRPr="000D3C8D">
        <w:rPr>
          <w:rFonts w:ascii="Verdana" w:eastAsia="Calibri" w:hAnsi="Verdana" w:cs="Arial"/>
          <w:b/>
          <w:bCs/>
          <w:color w:val="000000" w:themeColor="text1"/>
          <w:sz w:val="20"/>
          <w:szCs w:val="20"/>
          <w:lang w:val="es-ES_tradnl"/>
        </w:rPr>
        <w:t xml:space="preserve"> </w:t>
      </w:r>
    </w:p>
    <w:p w14:paraId="645063DE" w14:textId="5210D3BF" w:rsidR="00B93538" w:rsidRPr="000D3C8D" w:rsidRDefault="00DA63DC" w:rsidP="000D3C8D">
      <w:pPr>
        <w:spacing w:after="0" w:line="240" w:lineRule="auto"/>
        <w:jc w:val="both"/>
        <w:rPr>
          <w:rFonts w:ascii="Verdana" w:eastAsia="Calibri" w:hAnsi="Verdana" w:cs="Arial"/>
          <w:color w:val="000000" w:themeColor="text1"/>
          <w:sz w:val="20"/>
          <w:szCs w:val="20"/>
          <w:lang w:val="es-ES_tradnl"/>
        </w:rPr>
      </w:pPr>
      <w:r w:rsidRPr="000D3C8D">
        <w:rPr>
          <w:rFonts w:ascii="Verdana" w:eastAsia="Calibri" w:hAnsi="Verdana" w:cs="Arial"/>
          <w:color w:val="000000" w:themeColor="text1"/>
          <w:sz w:val="20"/>
          <w:szCs w:val="20"/>
          <w:lang w:val="es-ES_tradnl"/>
        </w:rPr>
        <w:t xml:space="preserve">La obligación de instalar un bien mueble en un inmueble –convirtiendo a aquel en un inmueble por adhesión o por destinación– </w:t>
      </w:r>
      <w:r w:rsidRPr="000D3C8D">
        <w:rPr>
          <w:rFonts w:ascii="Verdana" w:eastAsia="Calibri" w:hAnsi="Verdana" w:cs="Arial"/>
          <w:i/>
          <w:iCs/>
          <w:color w:val="000000" w:themeColor="text1"/>
          <w:sz w:val="20"/>
          <w:szCs w:val="20"/>
          <w:lang w:val="es-ES_tradnl"/>
        </w:rPr>
        <w:t>no</w:t>
      </w:r>
      <w:r w:rsidRPr="000D3C8D">
        <w:rPr>
          <w:rFonts w:ascii="Verdana" w:eastAsia="Calibri" w:hAnsi="Verdana" w:cs="Arial"/>
          <w:color w:val="000000" w:themeColor="text1"/>
          <w:sz w:val="20"/>
          <w:szCs w:val="20"/>
          <w:lang w:val="es-ES_tradnl"/>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–para lo cual un criterio puede ser cuál es la prestación que tiene el mayor valor–, </w:t>
      </w:r>
      <w:proofErr w:type="spellStart"/>
      <w:r w:rsidRPr="000D3C8D">
        <w:rPr>
          <w:rFonts w:ascii="Verdana" w:eastAsia="Calibri" w:hAnsi="Verdana" w:cs="Arial"/>
          <w:color w:val="000000" w:themeColor="text1"/>
          <w:sz w:val="20"/>
          <w:szCs w:val="20"/>
          <w:lang w:val="es-ES_tradnl"/>
        </w:rPr>
        <w:t>ii</w:t>
      </w:r>
      <w:proofErr w:type="spellEnd"/>
      <w:r w:rsidRPr="000D3C8D">
        <w:rPr>
          <w:rFonts w:ascii="Verdana" w:eastAsia="Calibri" w:hAnsi="Verdana" w:cs="Arial"/>
          <w:color w:val="000000" w:themeColor="text1"/>
          <w:sz w:val="20"/>
          <w:szCs w:val="20"/>
          <w:lang w:val="es-ES_tradnl"/>
        </w:rPr>
        <w:t xml:space="preserve">) la finalidad de las partes y </w:t>
      </w:r>
      <w:proofErr w:type="spellStart"/>
      <w:r w:rsidRPr="000D3C8D">
        <w:rPr>
          <w:rFonts w:ascii="Verdana" w:eastAsia="Calibri" w:hAnsi="Verdana" w:cs="Arial"/>
          <w:color w:val="000000" w:themeColor="text1"/>
          <w:sz w:val="20"/>
          <w:szCs w:val="20"/>
          <w:lang w:val="es-ES_tradnl"/>
        </w:rPr>
        <w:t>iii</w:t>
      </w:r>
      <w:proofErr w:type="spellEnd"/>
      <w:r w:rsidRPr="000D3C8D">
        <w:rPr>
          <w:rFonts w:ascii="Verdana" w:eastAsia="Calibri" w:hAnsi="Verdana" w:cs="Arial"/>
          <w:color w:val="000000" w:themeColor="text1"/>
          <w:sz w:val="20"/>
          <w:szCs w:val="20"/>
          <w:lang w:val="es-ES_tradnl"/>
        </w:rPr>
        <w:t xml:space="preserve">) si se trata de prestaciones mixtas, </w:t>
      </w:r>
      <w:r w:rsidR="00E16333">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w:t>
      </w:r>
      <w:r w:rsidR="00E16333">
        <w:rPr>
          <w:rFonts w:ascii="Verdana" w:eastAsia="Calibri" w:hAnsi="Verdana" w:cs="Arial"/>
          <w:color w:val="000000" w:themeColor="text1"/>
          <w:sz w:val="20"/>
          <w:szCs w:val="20"/>
          <w:lang w:val="es-ES_tradnl"/>
        </w:rPr>
        <w:t>”</w:t>
      </w:r>
      <w:r w:rsidRPr="000D3C8D">
        <w:rPr>
          <w:rFonts w:ascii="Verdana" w:eastAsia="Calibri" w:hAnsi="Verdana" w:cs="Arial"/>
          <w:color w:val="000000" w:themeColor="text1"/>
          <w:sz w:val="20"/>
          <w:szCs w:val="20"/>
          <w:lang w:val="es-ES_tradnl"/>
        </w:rPr>
        <w:t>. Este es un análisis que, por tanto, debe realizarse en cada caso, considerando los datos técnicos y económicos del objeto contractual</w:t>
      </w:r>
      <w:r w:rsidR="008E5CDD">
        <w:rPr>
          <w:rFonts w:ascii="Verdana" w:eastAsia="Calibri" w:hAnsi="Verdana" w:cs="Arial"/>
          <w:color w:val="000000" w:themeColor="text1"/>
          <w:sz w:val="20"/>
          <w:szCs w:val="20"/>
          <w:lang w:val="es-ES_tradnl"/>
        </w:rPr>
        <w:t>.</w:t>
      </w:r>
    </w:p>
    <w:p w14:paraId="51AD8C71" w14:textId="77777777" w:rsidR="00DA63DC" w:rsidRDefault="00DA63DC" w:rsidP="00DA63DC">
      <w:pPr>
        <w:jc w:val="both"/>
        <w:rPr>
          <w:rFonts w:ascii="Arial" w:eastAsia="Calibri" w:hAnsi="Arial" w:cs="Arial"/>
          <w:color w:val="000000" w:themeColor="text1"/>
          <w:sz w:val="20"/>
          <w:szCs w:val="20"/>
          <w:lang w:val="es-ES_tradnl"/>
        </w:rPr>
      </w:pPr>
    </w:p>
    <w:p w14:paraId="5921EF2C" w14:textId="77777777" w:rsidR="009E39ED" w:rsidRDefault="009E39ED" w:rsidP="00291670">
      <w:pPr>
        <w:spacing w:after="0" w:line="240" w:lineRule="auto"/>
        <w:rPr>
          <w:rFonts w:ascii="Verdana" w:eastAsia="Geomanist Light" w:hAnsi="Verdana" w:cs="Arial"/>
          <w:color w:val="000000" w:themeColor="text1"/>
        </w:rPr>
      </w:pPr>
    </w:p>
    <w:p w14:paraId="2EA41E1E" w14:textId="77777777" w:rsidR="009E39ED" w:rsidRDefault="009E39ED" w:rsidP="00291670">
      <w:pPr>
        <w:spacing w:after="0" w:line="240" w:lineRule="auto"/>
        <w:rPr>
          <w:rFonts w:ascii="Verdana" w:eastAsia="Geomanist Light" w:hAnsi="Verdana" w:cs="Arial"/>
          <w:color w:val="000000" w:themeColor="text1"/>
        </w:rPr>
      </w:pPr>
    </w:p>
    <w:p w14:paraId="2841D74D" w14:textId="77777777" w:rsidR="000D3C8D" w:rsidRDefault="000D3C8D" w:rsidP="00291670">
      <w:pPr>
        <w:spacing w:after="0" w:line="240" w:lineRule="auto"/>
        <w:rPr>
          <w:rFonts w:ascii="Verdana" w:eastAsia="Geomanist Light" w:hAnsi="Verdana" w:cs="Arial"/>
          <w:color w:val="000000" w:themeColor="text1"/>
        </w:rPr>
      </w:pPr>
    </w:p>
    <w:p w14:paraId="2DB75652" w14:textId="77777777" w:rsidR="000D3C8D" w:rsidRDefault="000D3C8D" w:rsidP="00291670">
      <w:pPr>
        <w:spacing w:after="0" w:line="240" w:lineRule="auto"/>
        <w:rPr>
          <w:rFonts w:ascii="Verdana" w:eastAsia="Geomanist Light" w:hAnsi="Verdana" w:cs="Arial"/>
          <w:color w:val="000000" w:themeColor="text1"/>
        </w:rPr>
      </w:pPr>
    </w:p>
    <w:p w14:paraId="14938113" w14:textId="77777777" w:rsidR="000D3C8D" w:rsidRDefault="000D3C8D" w:rsidP="00291670">
      <w:pPr>
        <w:spacing w:after="0" w:line="240" w:lineRule="auto"/>
        <w:rPr>
          <w:rFonts w:ascii="Verdana" w:eastAsia="Geomanist Light" w:hAnsi="Verdana" w:cs="Arial"/>
          <w:color w:val="000000" w:themeColor="text1"/>
        </w:rPr>
      </w:pPr>
    </w:p>
    <w:p w14:paraId="0D2EAD8D" w14:textId="77777777" w:rsidR="000D3C8D" w:rsidRDefault="000D3C8D" w:rsidP="00291670">
      <w:pPr>
        <w:spacing w:after="0" w:line="240" w:lineRule="auto"/>
        <w:rPr>
          <w:rFonts w:ascii="Verdana" w:eastAsia="Geomanist Light" w:hAnsi="Verdana" w:cs="Arial"/>
          <w:color w:val="000000" w:themeColor="text1"/>
        </w:rPr>
      </w:pPr>
    </w:p>
    <w:p w14:paraId="5CC18F49" w14:textId="77777777" w:rsidR="000D3C8D" w:rsidRDefault="000D3C8D" w:rsidP="00291670">
      <w:pPr>
        <w:spacing w:after="0" w:line="240" w:lineRule="auto"/>
        <w:rPr>
          <w:rFonts w:ascii="Verdana" w:eastAsia="Geomanist Light" w:hAnsi="Verdana" w:cs="Arial"/>
          <w:color w:val="000000" w:themeColor="text1"/>
        </w:rPr>
      </w:pPr>
    </w:p>
    <w:p w14:paraId="69B6DC85" w14:textId="77777777" w:rsidR="000D3C8D" w:rsidRDefault="000D3C8D" w:rsidP="00291670">
      <w:pPr>
        <w:spacing w:after="0" w:line="240" w:lineRule="auto"/>
        <w:rPr>
          <w:rFonts w:ascii="Verdana" w:eastAsia="Geomanist Light" w:hAnsi="Verdana" w:cs="Arial"/>
          <w:color w:val="000000" w:themeColor="text1"/>
        </w:rPr>
      </w:pPr>
    </w:p>
    <w:p w14:paraId="1B86E22A" w14:textId="413291EA" w:rsidR="00291670" w:rsidRDefault="00291670" w:rsidP="00291670">
      <w:pPr>
        <w:spacing w:after="0" w:line="240" w:lineRule="auto"/>
        <w:rPr>
          <w:rFonts w:ascii="Verdana" w:eastAsia="Geomanist Light" w:hAnsi="Verdana" w:cs="Arial"/>
          <w:color w:val="201F1E"/>
        </w:rPr>
      </w:pPr>
      <w:r>
        <w:rPr>
          <w:rFonts w:ascii="Verdana" w:eastAsia="Geomanist Light" w:hAnsi="Verdana" w:cs="Arial"/>
          <w:color w:val="000000" w:themeColor="text1"/>
        </w:rPr>
        <w:t>Bogotá D.C., </w:t>
      </w:r>
      <w:r w:rsidR="00997483">
        <w:rPr>
          <w:rFonts w:ascii="Verdana" w:eastAsia="Geomanist Light" w:hAnsi="Verdana" w:cs="Arial"/>
          <w:color w:val="201F1E"/>
        </w:rPr>
        <w:t>4 de diciembre de 2025</w:t>
      </w:r>
    </w:p>
    <w:p w14:paraId="14B81CA0" w14:textId="3AB6E0EE" w:rsidR="00291670" w:rsidRDefault="00291670" w:rsidP="00997483">
      <w:pPr>
        <w:spacing w:after="0" w:line="240" w:lineRule="auto"/>
        <w:jc w:val="right"/>
        <w:rPr>
          <w:rFonts w:ascii="Verdana" w:eastAsia="Calibri" w:hAnsi="Verdana" w:cs="Arial"/>
          <w:color w:val="000000"/>
        </w:rPr>
      </w:pPr>
    </w:p>
    <w:p w14:paraId="762ED70D" w14:textId="14DFDF22" w:rsidR="00291670" w:rsidRDefault="008E5CDD" w:rsidP="00291670">
      <w:pPr>
        <w:spacing w:after="0" w:line="240" w:lineRule="auto"/>
        <w:jc w:val="both"/>
        <w:rPr>
          <w:rFonts w:ascii="Verdana" w:eastAsia="Calibri" w:hAnsi="Verdana" w:cs="Arial"/>
          <w:lang w:eastAsia="es-ES"/>
        </w:rPr>
      </w:pPr>
      <w:r w:rsidRPr="00997483">
        <w:rPr>
          <w:rFonts w:ascii="Verdana" w:eastAsia="Calibri" w:hAnsi="Verdana" w:cs="Arial"/>
          <w:noProof/>
          <w:color w:val="000000"/>
        </w:rPr>
        <w:drawing>
          <wp:anchor distT="0" distB="0" distL="114300" distR="114300" simplePos="0" relativeHeight="251658240" behindDoc="0" locked="0" layoutInCell="1" allowOverlap="1" wp14:anchorId="19E370EF" wp14:editId="6B7FD891">
            <wp:simplePos x="0" y="0"/>
            <wp:positionH relativeFrom="margin">
              <wp:align>right</wp:align>
            </wp:positionH>
            <wp:positionV relativeFrom="paragraph">
              <wp:posOffset>9525</wp:posOffset>
            </wp:positionV>
            <wp:extent cx="2552065" cy="659130"/>
            <wp:effectExtent l="0" t="0" r="635" b="7620"/>
            <wp:wrapSquare wrapText="bothSides"/>
            <wp:docPr id="12860871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065" cy="659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1670">
        <w:rPr>
          <w:rFonts w:ascii="Verdana" w:eastAsia="Calibri" w:hAnsi="Verdana" w:cs="Arial"/>
          <w:lang w:eastAsia="es-ES"/>
        </w:rPr>
        <w:t>Señor</w:t>
      </w:r>
    </w:p>
    <w:p w14:paraId="7DFCFF03" w14:textId="77777777" w:rsidR="00291670" w:rsidRDefault="00291670" w:rsidP="00291670">
      <w:pPr>
        <w:spacing w:after="0" w:line="240" w:lineRule="auto"/>
        <w:rPr>
          <w:rFonts w:ascii="Verdana" w:eastAsia="Calibri" w:hAnsi="Verdana" w:cs="Arial"/>
          <w:b/>
          <w:lang w:eastAsia="es-ES"/>
        </w:rPr>
      </w:pPr>
      <w:r>
        <w:rPr>
          <w:rFonts w:ascii="Verdana" w:eastAsia="Calibri" w:hAnsi="Verdana" w:cs="Arial"/>
          <w:b/>
          <w:lang w:eastAsia="es-ES"/>
        </w:rPr>
        <w:t xml:space="preserve">José Manuel Ramírez rincón </w:t>
      </w:r>
    </w:p>
    <w:p w14:paraId="6DD00881" w14:textId="77777777" w:rsidR="00291670" w:rsidRDefault="00291670" w:rsidP="00291670">
      <w:pPr>
        <w:spacing w:after="0" w:line="240" w:lineRule="auto"/>
        <w:rPr>
          <w:rFonts w:ascii="Verdana" w:hAnsi="Verdana"/>
        </w:rPr>
      </w:pPr>
      <w:hyperlink r:id="rId12" w:history="1">
        <w:r>
          <w:rPr>
            <w:rStyle w:val="Hipervnculo"/>
            <w:rFonts w:ascii="Verdana" w:hAnsi="Verdana"/>
          </w:rPr>
          <w:t>joserami144@gmail.com</w:t>
        </w:r>
      </w:hyperlink>
      <w:r>
        <w:rPr>
          <w:rFonts w:ascii="Verdana" w:hAnsi="Verdana"/>
        </w:rPr>
        <w:t xml:space="preserve"> </w:t>
      </w:r>
    </w:p>
    <w:p w14:paraId="60E324CA" w14:textId="77777777" w:rsidR="00291670" w:rsidRDefault="00291670" w:rsidP="00291670">
      <w:pPr>
        <w:spacing w:after="0" w:line="240" w:lineRule="auto"/>
        <w:rPr>
          <w:rFonts w:ascii="Verdana" w:hAnsi="Verdana"/>
        </w:rPr>
      </w:pPr>
      <w:r>
        <w:rPr>
          <w:rFonts w:ascii="Verdana" w:hAnsi="Verdana"/>
        </w:rPr>
        <w:t xml:space="preserve">Bogotá </w:t>
      </w:r>
    </w:p>
    <w:p w14:paraId="050730D4" w14:textId="77777777" w:rsidR="00291670" w:rsidRDefault="00291670" w:rsidP="00291670">
      <w:pPr>
        <w:spacing w:after="0" w:line="240" w:lineRule="auto"/>
        <w:rPr>
          <w:rFonts w:ascii="Verdana" w:eastAsia="Calibri" w:hAnsi="Verdana" w:cs="Arial"/>
          <w:lang w:eastAsia="es-ES"/>
        </w:rPr>
      </w:pPr>
    </w:p>
    <w:p w14:paraId="7FE8E784" w14:textId="77777777" w:rsidR="00291670" w:rsidRDefault="00291670" w:rsidP="00291670">
      <w:pPr>
        <w:spacing w:after="0" w:line="240" w:lineRule="auto"/>
        <w:rPr>
          <w:rFonts w:ascii="Verdana" w:eastAsia="Calibri" w:hAnsi="Verdana" w:cs="Arial"/>
          <w:b/>
          <w:bCs/>
          <w:color w:val="000000"/>
          <w:lang w:eastAsia="es-ES_tradnl"/>
        </w:rPr>
      </w:pPr>
    </w:p>
    <w:p w14:paraId="25069D21" w14:textId="77777777" w:rsidR="00291670" w:rsidRDefault="00291670" w:rsidP="00291670">
      <w:pPr>
        <w:spacing w:after="0" w:line="240" w:lineRule="auto"/>
        <w:jc w:val="center"/>
        <w:rPr>
          <w:rFonts w:ascii="Verdana" w:eastAsia="Calibri" w:hAnsi="Verdana" w:cs="Arial"/>
          <w:b/>
          <w:bCs/>
          <w:lang w:eastAsia="es-ES"/>
        </w:rPr>
      </w:pPr>
      <w:r>
        <w:rPr>
          <w:rFonts w:ascii="Verdana" w:eastAsia="Calibri" w:hAnsi="Verdana" w:cs="Arial"/>
          <w:b/>
          <w:bCs/>
          <w:lang w:eastAsia="es-ES"/>
        </w:rPr>
        <w:t>Concepto C – 1580 de 2025</w:t>
      </w:r>
    </w:p>
    <w:p w14:paraId="09C6BD4E" w14:textId="77777777" w:rsidR="00291670" w:rsidRDefault="00291670" w:rsidP="00291670">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91670" w14:paraId="5E81320F" w14:textId="77777777">
        <w:trPr>
          <w:trHeight w:val="884"/>
        </w:trPr>
        <w:tc>
          <w:tcPr>
            <w:tcW w:w="2689" w:type="dxa"/>
            <w:hideMark/>
          </w:tcPr>
          <w:p w14:paraId="2859034C" w14:textId="77777777" w:rsidR="00291670" w:rsidRDefault="00291670">
            <w:pPr>
              <w:jc w:val="both"/>
              <w:rPr>
                <w:rFonts w:ascii="Verdana" w:eastAsia="Calibri" w:hAnsi="Verdana" w:cs="Arial"/>
                <w:color w:val="000000"/>
                <w:lang w:eastAsia="es-ES_tradnl"/>
              </w:rPr>
            </w:pPr>
            <w:r>
              <w:rPr>
                <w:rFonts w:ascii="Verdana" w:eastAsia="Calibri" w:hAnsi="Verdana" w:cs="Arial"/>
                <w:b/>
                <w:color w:val="000000"/>
                <w:lang w:eastAsia="es-ES_tradnl"/>
              </w:rPr>
              <w:t>Temas:</w:t>
            </w:r>
            <w:r>
              <w:rPr>
                <w:rFonts w:ascii="Verdana" w:eastAsia="Calibri" w:hAnsi="Verdana" w:cs="Arial"/>
                <w:color w:val="000000"/>
                <w:lang w:eastAsia="es-ES_tradnl"/>
              </w:rPr>
              <w:t xml:space="preserve">                   </w:t>
            </w:r>
          </w:p>
        </w:tc>
        <w:tc>
          <w:tcPr>
            <w:tcW w:w="6100" w:type="dxa"/>
          </w:tcPr>
          <w:p w14:paraId="79E049A8" w14:textId="77777777" w:rsidR="00291670" w:rsidRDefault="00291670">
            <w:pPr>
              <w:spacing w:line="276" w:lineRule="auto"/>
              <w:jc w:val="both"/>
              <w:rPr>
                <w:rFonts w:ascii="Verdana" w:eastAsia="Times New Roman" w:hAnsi="Verdana"/>
                <w:shd w:val="clear" w:color="auto" w:fill="FFFFFF"/>
                <w:lang w:eastAsia="es-ES_tradnl"/>
              </w:rPr>
            </w:pPr>
            <w:r>
              <w:rPr>
                <w:rFonts w:ascii="Verdana" w:eastAsia="Times New Roman" w:hAnsi="Verdana"/>
                <w:lang w:val="es-ES_tradnl" w:eastAsia="es-ES_tradnl"/>
              </w:rPr>
              <w:t xml:space="preserve">CONTRATO DE OBRA PÚBLICA – Tipología – Confección de obra material –Arrendamiento / CONTRATO DE OBRA PÚBLICA – Definición – Bienes inmuebles / CONTRATO DE OBRA PÚBLICA – Tipos de inmuebles – Por adhesión – Por destinación / INSTALACIÓN – Obra – Contrato mixto – Prestación principal </w:t>
            </w:r>
          </w:p>
          <w:p w14:paraId="2C76A413" w14:textId="77777777" w:rsidR="00291670" w:rsidRDefault="00291670">
            <w:pPr>
              <w:jc w:val="both"/>
              <w:rPr>
                <w:rFonts w:ascii="Verdana" w:eastAsia="Calibri" w:hAnsi="Verdana" w:cs="Arial"/>
                <w:lang w:eastAsia="es-ES"/>
              </w:rPr>
            </w:pPr>
          </w:p>
        </w:tc>
      </w:tr>
      <w:tr w:rsidR="00291670" w14:paraId="564B9559" w14:textId="77777777">
        <w:tc>
          <w:tcPr>
            <w:tcW w:w="2689" w:type="dxa"/>
            <w:hideMark/>
          </w:tcPr>
          <w:p w14:paraId="1D6A5C64" w14:textId="77777777" w:rsidR="00291670" w:rsidRDefault="00291670">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hideMark/>
          </w:tcPr>
          <w:p w14:paraId="1467343C" w14:textId="77777777" w:rsidR="00291670" w:rsidRDefault="00291670">
            <w:pPr>
              <w:jc w:val="both"/>
              <w:rPr>
                <w:rFonts w:ascii="Verdana" w:eastAsia="Calibri" w:hAnsi="Verdana" w:cs="Arial"/>
                <w:lang w:eastAsia="es-ES_tradnl"/>
              </w:rPr>
            </w:pPr>
            <w:r>
              <w:rPr>
                <w:rFonts w:ascii="Verdana" w:eastAsia="Calibri" w:hAnsi="Verdana" w:cs="Arial"/>
                <w:lang w:eastAsia="es-ES_tradnl"/>
              </w:rPr>
              <w:t>Respuesta a la consulta con radicado No. 1_2025_10_27_012067</w:t>
            </w:r>
          </w:p>
        </w:tc>
      </w:tr>
    </w:tbl>
    <w:p w14:paraId="2CAD4FF9" w14:textId="77777777" w:rsidR="00291670" w:rsidRDefault="00291670" w:rsidP="00291670">
      <w:pPr>
        <w:spacing w:after="0" w:line="240" w:lineRule="auto"/>
        <w:jc w:val="both"/>
        <w:rPr>
          <w:rFonts w:ascii="Verdana" w:eastAsia="Calibri" w:hAnsi="Verdana" w:cs="Arial"/>
          <w:color w:val="000000"/>
          <w:lang w:eastAsia="es-ES_tradnl"/>
        </w:rPr>
      </w:pPr>
    </w:p>
    <w:p w14:paraId="0FE1D8BB" w14:textId="77777777" w:rsidR="00291670" w:rsidRDefault="00291670" w:rsidP="00291670">
      <w:pPr>
        <w:spacing w:after="0" w:line="240" w:lineRule="auto"/>
        <w:jc w:val="both"/>
        <w:rPr>
          <w:rFonts w:ascii="Verdana" w:eastAsia="Calibri" w:hAnsi="Verdana" w:cs="Arial"/>
          <w:color w:val="000000"/>
          <w:lang w:eastAsia="es-ES_tradnl"/>
        </w:rPr>
      </w:pPr>
    </w:p>
    <w:p w14:paraId="6644262B" w14:textId="77777777" w:rsidR="00291670" w:rsidRDefault="00291670" w:rsidP="00291670">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Ramírez: </w:t>
      </w:r>
    </w:p>
    <w:p w14:paraId="5F792E37" w14:textId="77777777" w:rsidR="00291670" w:rsidRDefault="00291670" w:rsidP="00291670">
      <w:pPr>
        <w:tabs>
          <w:tab w:val="left" w:pos="3768"/>
        </w:tabs>
        <w:spacing w:after="0" w:line="276" w:lineRule="auto"/>
        <w:jc w:val="both"/>
        <w:rPr>
          <w:rFonts w:ascii="Verdana" w:eastAsia="Calibri" w:hAnsi="Verdana" w:cs="Arial"/>
          <w:color w:val="000000" w:themeColor="text1"/>
          <w:lang w:eastAsia="es-ES"/>
        </w:rPr>
      </w:pPr>
      <w:r>
        <w:rPr>
          <w:rFonts w:ascii="Verdana" w:eastAsia="Calibri" w:hAnsi="Verdana" w:cs="Arial"/>
          <w:color w:val="000000" w:themeColor="text1"/>
          <w:lang w:eastAsia="es-ES"/>
        </w:rPr>
        <w:tab/>
      </w:r>
    </w:p>
    <w:p w14:paraId="46EED1B7" w14:textId="77777777" w:rsidR="00291670" w:rsidRDefault="00291670" w:rsidP="00291670">
      <w:pPr>
        <w:spacing w:after="0" w:line="276" w:lineRule="auto"/>
        <w:jc w:val="both"/>
        <w:rPr>
          <w:rFonts w:ascii="Verdana" w:eastAsia="Calibri" w:hAnsi="Verdana" w:cs="Arial"/>
          <w:i/>
          <w:iCs/>
          <w:lang w:eastAsia="es-ES"/>
        </w:rPr>
      </w:pPr>
      <w:r>
        <w:rPr>
          <w:rFonts w:ascii="Verdana" w:eastAsia="Calibri" w:hAnsi="Verdana" w:cs="Arial"/>
          <w:color w:val="000000" w:themeColor="text1"/>
          <w:lang w:eastAsia="es-ES"/>
        </w:rPr>
        <w:t>En ejercicio de la competencia otorgada por los artículos 3, numeral 5º, y 11, numeral 8º, del Decreto Ley 4170 de 2011,</w:t>
      </w:r>
      <w:r>
        <w:rPr>
          <w:rFonts w:ascii="Verdana" w:eastAsia="Arial MT" w:hAnsi="Verdana" w:cs="Arial MT"/>
          <w:lang w:eastAsia="es-ES"/>
        </w:rPr>
        <w:t xml:space="preserve"> </w:t>
      </w:r>
      <w:r>
        <w:rPr>
          <w:rFonts w:ascii="Verdana" w:hAnsi="Verdana" w:cs="Arial"/>
          <w:lang w:val="es-ES_tradnl"/>
        </w:rPr>
        <w:t>así como lo establecido en</w:t>
      </w:r>
      <w:r>
        <w:rPr>
          <w:rFonts w:ascii="Verdana" w:hAnsi="Verdana" w:cs="Arial"/>
        </w:rPr>
        <w:t xml:space="preserve"> la Resolución 469 de 2025 expedida por esta Entidad, </w:t>
      </w:r>
      <w:r>
        <w:rPr>
          <w:rFonts w:ascii="Verdana" w:eastAsia="Calibri" w:hAnsi="Verdana" w:cs="Arial"/>
          <w:color w:val="000000" w:themeColor="text1"/>
          <w:lang w:eastAsia="es-ES"/>
        </w:rPr>
        <w:t>la Agencia Nacional de Contratación Pública – Colombia Compra Eficiente responde su solicitud de concepto del 27 de octubre de 2025,</w:t>
      </w:r>
      <w:r>
        <w:rPr>
          <w:rFonts w:ascii="Verdana" w:eastAsia="Calibri" w:hAnsi="Verdana" w:cs="Arial"/>
          <w:lang w:eastAsia="es-ES"/>
        </w:rPr>
        <w:t xml:space="preserve"> en la cual consulta sobre lo siguiente:</w:t>
      </w:r>
      <w:r>
        <w:rPr>
          <w:rFonts w:ascii="Verdana" w:eastAsia="Calibri" w:hAnsi="Verdana" w:cs="Arial"/>
          <w:i/>
          <w:iCs/>
          <w:lang w:eastAsia="es-ES"/>
        </w:rPr>
        <w:t xml:space="preserve"> </w:t>
      </w:r>
      <w:bookmarkStart w:id="2" w:name="_Hlk95313578"/>
    </w:p>
    <w:p w14:paraId="52F03C3C" w14:textId="77777777" w:rsidR="00291670" w:rsidRDefault="00291670" w:rsidP="00291670">
      <w:pPr>
        <w:spacing w:after="0" w:line="276" w:lineRule="auto"/>
        <w:jc w:val="both"/>
        <w:rPr>
          <w:rFonts w:ascii="Verdana" w:eastAsia="Calibri" w:hAnsi="Verdana" w:cs="Arial"/>
          <w:i/>
          <w:iCs/>
          <w:lang w:eastAsia="es-ES"/>
        </w:rPr>
      </w:pPr>
    </w:p>
    <w:p w14:paraId="6543B312" w14:textId="759D339D" w:rsidR="00291670" w:rsidRDefault="00291670" w:rsidP="00291670">
      <w:pPr>
        <w:spacing w:after="0" w:line="240" w:lineRule="auto"/>
        <w:ind w:left="709" w:right="709"/>
        <w:jc w:val="both"/>
        <w:rPr>
          <w:rFonts w:ascii="Verdana" w:eastAsia="Arial" w:hAnsi="Verdana" w:cs="Arial"/>
          <w:i/>
          <w:color w:val="000000"/>
          <w:sz w:val="20"/>
          <w:szCs w:val="20"/>
        </w:rPr>
      </w:pPr>
      <w:r>
        <w:rPr>
          <w:rFonts w:ascii="Verdana" w:eastAsia="Arial" w:hAnsi="Verdana" w:cs="Arial"/>
          <w:i/>
          <w:color w:val="000000"/>
          <w:sz w:val="20"/>
          <w:szCs w:val="20"/>
        </w:rPr>
        <w:t>“</w:t>
      </w:r>
      <w:bookmarkEnd w:id="2"/>
      <w:r>
        <w:rPr>
          <w:rFonts w:ascii="Verdana" w:eastAsia="Arial" w:hAnsi="Verdana" w:cs="Arial"/>
          <w:i/>
          <w:color w:val="000000"/>
          <w:sz w:val="20"/>
          <w:szCs w:val="20"/>
        </w:rPr>
        <w:t>Solicito respetuosamente se resuelva la siguiente consulta: ¿</w:t>
      </w:r>
      <w:proofErr w:type="gramStart"/>
      <w:r>
        <w:rPr>
          <w:rFonts w:ascii="Verdana" w:eastAsia="Arial" w:hAnsi="Verdana" w:cs="Arial"/>
          <w:i/>
          <w:color w:val="000000"/>
          <w:sz w:val="20"/>
          <w:szCs w:val="20"/>
        </w:rPr>
        <w:t>De acuerdo al</w:t>
      </w:r>
      <w:proofErr w:type="gramEnd"/>
      <w:r>
        <w:rPr>
          <w:rFonts w:ascii="Verdana" w:eastAsia="Arial" w:hAnsi="Verdana" w:cs="Arial"/>
          <w:i/>
          <w:color w:val="000000"/>
          <w:sz w:val="20"/>
          <w:szCs w:val="20"/>
        </w:rPr>
        <w:t xml:space="preserve"> artículo 32 numeral 1 de la ley 80 de 1993 puede considerarse que el SUMINISTRO E INSTALACIÓN de aires acondicionados es un contrato de obra </w:t>
      </w:r>
      <w:r w:rsidR="00F34245">
        <w:rPr>
          <w:rFonts w:ascii="Verdana" w:eastAsia="Arial" w:hAnsi="Verdana" w:cs="Arial"/>
          <w:i/>
          <w:color w:val="000000"/>
          <w:sz w:val="20"/>
          <w:szCs w:val="20"/>
        </w:rPr>
        <w:t>pública</w:t>
      </w:r>
      <w:r>
        <w:rPr>
          <w:rFonts w:ascii="Verdana" w:eastAsia="Arial" w:hAnsi="Verdana" w:cs="Arial"/>
          <w:i/>
          <w:color w:val="000000"/>
          <w:sz w:val="20"/>
          <w:szCs w:val="20"/>
        </w:rPr>
        <w:t>?”</w:t>
      </w:r>
    </w:p>
    <w:p w14:paraId="71399B3E" w14:textId="77777777" w:rsidR="00291670" w:rsidRDefault="00291670" w:rsidP="00291670">
      <w:pPr>
        <w:spacing w:after="0" w:line="240" w:lineRule="auto"/>
        <w:ind w:left="709" w:right="709"/>
        <w:jc w:val="both"/>
      </w:pPr>
    </w:p>
    <w:p w14:paraId="4A059455" w14:textId="77777777" w:rsidR="00291670" w:rsidRDefault="00291670" w:rsidP="00291670">
      <w:pPr>
        <w:spacing w:after="120" w:line="276" w:lineRule="auto"/>
        <w:ind w:firstLine="709"/>
        <w:jc w:val="both"/>
        <w:rPr>
          <w:rFonts w:ascii="Verdana" w:eastAsia="Calibri" w:hAnsi="Verdana" w:cs="Arial"/>
          <w:color w:val="000000"/>
          <w:lang w:eastAsia="es-ES"/>
        </w:rPr>
      </w:pPr>
      <w:r>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Pr>
          <w:rFonts w:ascii="Verdana" w:eastAsia="Calibri" w:hAnsi="Verdana" w:cs="Arial"/>
          <w:color w:val="000000"/>
          <w:lang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eastAsia="es-ES_tradnl"/>
        </w:rPr>
        <w:tab/>
      </w:r>
    </w:p>
    <w:p w14:paraId="53184FA1" w14:textId="77777777" w:rsidR="00291670" w:rsidRDefault="00291670" w:rsidP="00291670">
      <w:pPr>
        <w:spacing w:after="0" w:line="276" w:lineRule="auto"/>
        <w:ind w:firstLine="709"/>
        <w:jc w:val="both"/>
        <w:rPr>
          <w:rFonts w:ascii="Verdana" w:eastAsia="Calibri" w:hAnsi="Verdana" w:cs="Arial"/>
          <w:color w:val="000000"/>
          <w:lang w:eastAsia="es-ES"/>
        </w:rPr>
      </w:pPr>
      <w:r>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Pr>
          <w:rFonts w:ascii="Verdana" w:eastAsia="Calibri" w:hAnsi="Verdana" w:cs="Arial"/>
          <w:color w:val="7030A0"/>
          <w:lang w:eastAsia="es-ES"/>
        </w:rPr>
        <w:t xml:space="preserve"> </w:t>
      </w:r>
      <w:r>
        <w:rPr>
          <w:rFonts w:ascii="Verdana" w:eastAsia="Calibri" w:hAnsi="Verdana" w:cs="Arial"/>
          <w:color w:val="000000"/>
          <w:lang w:eastAsia="es-ES"/>
        </w:rPr>
        <w:t>problemas</w:t>
      </w:r>
      <w:r>
        <w:rPr>
          <w:rFonts w:ascii="Verdana" w:eastAsia="Calibri" w:hAnsi="Verdana" w:cs="Arial"/>
          <w:color w:val="7030A0"/>
          <w:lang w:eastAsia="es-ES"/>
        </w:rPr>
        <w:t xml:space="preserve"> </w:t>
      </w:r>
      <w:r>
        <w:rPr>
          <w:rFonts w:ascii="Verdana" w:eastAsia="Calibri" w:hAnsi="Verdana" w:cs="Arial"/>
          <w:color w:val="000000"/>
          <w:lang w:eastAsia="es-ES"/>
        </w:rPr>
        <w:t>jurídicos</w:t>
      </w:r>
      <w:r>
        <w:rPr>
          <w:rFonts w:ascii="Verdana" w:eastAsia="Calibri" w:hAnsi="Verdana" w:cs="Arial"/>
          <w:color w:val="7030A0"/>
          <w:lang w:eastAsia="es-ES"/>
        </w:rPr>
        <w:t xml:space="preserve"> </w:t>
      </w:r>
      <w:r>
        <w:rPr>
          <w:rFonts w:ascii="Verdana" w:eastAsia="Calibri" w:hAnsi="Verdana" w:cs="Arial"/>
          <w:color w:val="000000"/>
          <w:lang w:eastAsia="es-ES"/>
        </w:rPr>
        <w:t xml:space="preserve">de su consulta. </w:t>
      </w:r>
    </w:p>
    <w:p w14:paraId="66B3A9A7" w14:textId="77777777" w:rsidR="00291670" w:rsidRDefault="00291670" w:rsidP="00291670">
      <w:pPr>
        <w:spacing w:after="0" w:line="276" w:lineRule="auto"/>
        <w:ind w:firstLine="709"/>
        <w:jc w:val="both"/>
        <w:rPr>
          <w:rFonts w:ascii="Verdana" w:eastAsia="Calibri" w:hAnsi="Verdana" w:cs="Arial"/>
          <w:color w:val="000000"/>
          <w:lang w:eastAsia="es-ES"/>
        </w:rPr>
      </w:pPr>
    </w:p>
    <w:p w14:paraId="15806787" w14:textId="77777777" w:rsidR="00291670" w:rsidRDefault="00291670" w:rsidP="00291670">
      <w:pPr>
        <w:numPr>
          <w:ilvl w:val="0"/>
          <w:numId w:val="37"/>
        </w:num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Problemas planteados:</w:t>
      </w:r>
    </w:p>
    <w:p w14:paraId="7A10632E" w14:textId="77777777" w:rsidR="00291670" w:rsidRDefault="00291670" w:rsidP="00291670">
      <w:pPr>
        <w:tabs>
          <w:tab w:val="left" w:pos="426"/>
        </w:tabs>
        <w:spacing w:after="0" w:line="276" w:lineRule="auto"/>
        <w:jc w:val="both"/>
        <w:rPr>
          <w:rFonts w:ascii="Verdana" w:eastAsia="Century Gothic" w:hAnsi="Verdana" w:cs="Century Gothic"/>
        </w:rPr>
      </w:pPr>
    </w:p>
    <w:p w14:paraId="61B9E44E" w14:textId="77777777" w:rsidR="00291670" w:rsidRDefault="00291670" w:rsidP="00291670">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 ¿De acuerdo con el artículo 32 numeral 1 de la Ley 80 de 1993 puede considerarse que el suministro e instalación de aires acondicionados es un contrato de obra pública?</w:t>
      </w:r>
    </w:p>
    <w:p w14:paraId="33786345" w14:textId="77777777" w:rsidR="00291670" w:rsidRDefault="00291670" w:rsidP="00291670">
      <w:pPr>
        <w:spacing w:after="0" w:line="276" w:lineRule="auto"/>
        <w:jc w:val="both"/>
        <w:rPr>
          <w:rFonts w:ascii="Verdana" w:eastAsia="Calibri" w:hAnsi="Verdana" w:cs="Arial"/>
          <w:color w:val="7030A0"/>
        </w:rPr>
      </w:pPr>
    </w:p>
    <w:p w14:paraId="2C852D3A" w14:textId="77777777" w:rsidR="00291670" w:rsidRDefault="00291670" w:rsidP="00291670">
      <w:pPr>
        <w:numPr>
          <w:ilvl w:val="0"/>
          <w:numId w:val="37"/>
        </w:num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Respuestas:</w:t>
      </w:r>
    </w:p>
    <w:p w14:paraId="0C24D7C6" w14:textId="77777777" w:rsidR="00291670" w:rsidRDefault="00291670" w:rsidP="0029167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91670" w14:paraId="61D022C2" w14:textId="77777777">
        <w:trPr>
          <w:jc w:val="center"/>
        </w:trPr>
        <w:tc>
          <w:tcPr>
            <w:tcW w:w="8828" w:type="dxa"/>
            <w:tcBorders>
              <w:top w:val="dotted" w:sz="4" w:space="0" w:color="auto"/>
              <w:left w:val="dotted" w:sz="4" w:space="0" w:color="auto"/>
              <w:bottom w:val="dotted" w:sz="4" w:space="0" w:color="auto"/>
              <w:right w:val="dotted" w:sz="4" w:space="0" w:color="auto"/>
            </w:tcBorders>
            <w:hideMark/>
          </w:tcPr>
          <w:p w14:paraId="7C768844" w14:textId="77777777" w:rsidR="00291670" w:rsidRDefault="00291670">
            <w:pPr>
              <w:spacing w:after="120" w:line="276" w:lineRule="auto"/>
              <w:jc w:val="both"/>
              <w:rPr>
                <w:rFonts w:ascii="Verdana" w:hAnsi="Verdana" w:cs="Arial"/>
                <w:lang w:eastAsia="es-ES_tradnl"/>
              </w:rPr>
            </w:pPr>
            <w:bookmarkStart w:id="3" w:name="_Hlk171694685"/>
            <w:r>
              <w:rPr>
                <w:rFonts w:ascii="Verdana" w:hAnsi="Verdana" w:cs="Arial"/>
                <w:lang w:eastAsia="es-ES_tradnl"/>
              </w:rPr>
              <w:t xml:space="preserve">No es posible afirmar de manera categórica que el suministro e instalación de bienes mueble como los aires acondicionados en un inmueble deba clasificarse, en todos los casos, como un contrato de obra pública. Para establecer la naturaleza jurídica de este tipo de contratos, la entidad estatal debe analizar las circunstancias particulares de cada caso y considerar los criterios fijados que permitan identificar la prestación principal, la finalidad de las partes y la relación de conexidad de las prestaciones.  </w:t>
            </w:r>
          </w:p>
          <w:p w14:paraId="6A568187" w14:textId="77777777" w:rsidR="00291670" w:rsidRDefault="00291670">
            <w:pPr>
              <w:spacing w:after="120" w:line="276" w:lineRule="auto"/>
              <w:ind w:firstLine="709"/>
              <w:jc w:val="both"/>
              <w:rPr>
                <w:rFonts w:ascii="Verdana" w:hAnsi="Verdana" w:cs="Arial"/>
                <w:lang w:val="es-ES_tradnl"/>
              </w:rPr>
            </w:pPr>
            <w:r>
              <w:rPr>
                <w:rFonts w:ascii="Verdana" w:hAnsi="Verdana" w:cs="Arial"/>
                <w:lang w:eastAsia="es-ES_tradnl"/>
              </w:rPr>
              <w:t>Atendiendo a lo señalado por l</w:t>
            </w:r>
            <w:r>
              <w:rPr>
                <w:rFonts w:ascii="Verdana" w:hAnsi="Verdana" w:cs="Arial"/>
                <w:lang w:val="es-ES_tradnl"/>
              </w:rPr>
              <w:t>a Sala de Consulta y Servicio Civil del Consejo de Estado,</w:t>
            </w:r>
            <w:r>
              <w:rPr>
                <w:rFonts w:ascii="Verdana" w:eastAsia="Calibri" w:hAnsi="Verdana"/>
                <w:color w:val="000000" w:themeColor="text1"/>
              </w:rPr>
              <w:t xml:space="preserve"> adhiriéndose al método de absorción para efectos de integrar el régimen jurídico aplicable,</w:t>
            </w:r>
            <w:r>
              <w:rPr>
                <w:rFonts w:ascii="Verdana" w:hAnsi="Verdana" w:cs="Arial"/>
                <w:lang w:val="es-ES_tradnl"/>
              </w:rPr>
              <w:t xml:space="preserve"> se considera que en el caso referido es fundamental determinar la prestación principal para establecer dicho </w:t>
            </w:r>
            <w:r>
              <w:rPr>
                <w:rFonts w:ascii="Verdana" w:hAnsi="Verdana" w:cs="Arial"/>
                <w:lang w:eastAsia="es-ES_tradnl"/>
              </w:rPr>
              <w:t>régimen</w:t>
            </w:r>
            <w:r>
              <w:rPr>
                <w:rFonts w:ascii="Verdana" w:hAnsi="Verdana" w:cs="Arial"/>
                <w:lang w:val="es-ES_tradnl"/>
              </w:rPr>
              <w:t xml:space="preserve">, </w:t>
            </w:r>
            <w:r>
              <w:rPr>
                <w:rFonts w:ascii="Verdana" w:hAnsi="Verdana" w:cs="Arial"/>
                <w:lang w:eastAsia="es-ES_tradnl"/>
              </w:rPr>
              <w:lastRenderedPageBreak/>
              <w:t xml:space="preserve">teniendo en cuenta que la tipología contractual </w:t>
            </w:r>
            <w:r>
              <w:rPr>
                <w:rFonts w:ascii="Verdana" w:hAnsi="Verdana" w:cs="Arial"/>
                <w:lang w:val="es-ES" w:eastAsia="es-ES_tradnl"/>
              </w:rPr>
              <w:t xml:space="preserve">es importante para definir aspectos como la modalidad de selección que debe utilizar la entidad y los requisitos habilitantes o ponderables que deben incorporar en el pliego de condiciones para la selección objetiva de la mejor oferta. </w:t>
            </w:r>
          </w:p>
          <w:p w14:paraId="13B3F661" w14:textId="77777777" w:rsidR="00291670" w:rsidRDefault="00291670">
            <w:pPr>
              <w:spacing w:after="120" w:line="276" w:lineRule="auto"/>
              <w:ind w:firstLine="709"/>
              <w:jc w:val="both"/>
              <w:rPr>
                <w:rFonts w:ascii="Verdana" w:hAnsi="Verdana" w:cs="Arial"/>
                <w:lang w:eastAsia="es-ES_tradnl"/>
              </w:rPr>
            </w:pPr>
            <w:r>
              <w:rPr>
                <w:rFonts w:ascii="Verdana" w:hAnsi="Verdana" w:cs="Arial"/>
                <w:lang w:eastAsia="es-ES_tradnl"/>
              </w:rPr>
              <w:t xml:space="preserve">Para tales efectos, la entidad estatal podría determinar </w:t>
            </w:r>
            <w:r>
              <w:rPr>
                <w:rFonts w:ascii="Verdana" w:eastAsia="Calibri" w:hAnsi="Verdana" w:cs="Arial"/>
                <w:color w:val="000000" w:themeColor="text1"/>
                <w:lang w:val="es-ES_tradnl"/>
              </w:rPr>
              <w:t>el régimen del contrato típico al que pertenece</w:t>
            </w:r>
            <w:r>
              <w:rPr>
                <w:rFonts w:ascii="Verdana" w:hAnsi="Verdana" w:cs="Arial"/>
                <w:lang w:eastAsia="es-ES_tradnl"/>
              </w:rPr>
              <w:t xml:space="preserve"> atendiendo a cuál de las obligaciones - suministro o instalación -,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el aire acondicionado. </w:t>
            </w:r>
          </w:p>
          <w:p w14:paraId="79FFB503" w14:textId="77777777" w:rsidR="00291670" w:rsidRDefault="00291670">
            <w:pPr>
              <w:spacing w:after="120" w:line="276" w:lineRule="auto"/>
              <w:ind w:firstLine="709"/>
              <w:jc w:val="both"/>
              <w:rPr>
                <w:rFonts w:ascii="Verdana" w:hAnsi="Verdana" w:cs="Arial"/>
                <w:lang w:eastAsia="es-ES_tradnl"/>
              </w:rPr>
            </w:pPr>
            <w:r>
              <w:rPr>
                <w:rFonts w:ascii="Verdana" w:hAnsi="Verdana" w:cs="Arial"/>
                <w:lang w:eastAsia="es-ES_tradnl"/>
              </w:rPr>
              <w:t xml:space="preserve">En esta línea, uno de los criterios que podrían ser utilizados consiste en identificar el porcentaje del presupuesto destinado a las actividades de instalación e intervención del inmueble respecto del valor total del contrato. Otro criterio también está relacionado con la complejidad técnica y física de las labores de instalación. De esta manera, si por ejemplo, el valor de las actividades de instalación supera significativamente, más del 50 % del presupuesto, o si dichas actividades constituyen la esencia del negocio jurídico, o confluyen ambos criterios, podría concluirse que se trata de un contrato de obra y no de un simple contrato de suministro. </w:t>
            </w:r>
          </w:p>
        </w:tc>
      </w:tr>
    </w:tbl>
    <w:p w14:paraId="08D25142" w14:textId="77777777" w:rsidR="00291670" w:rsidRDefault="00291670" w:rsidP="00291670">
      <w:pPr>
        <w:tabs>
          <w:tab w:val="left" w:pos="142"/>
          <w:tab w:val="left" w:pos="284"/>
        </w:tabs>
        <w:spacing w:after="0" w:line="276" w:lineRule="auto"/>
        <w:jc w:val="both"/>
        <w:rPr>
          <w:rFonts w:ascii="Verdana" w:eastAsia="Century Gothic" w:hAnsi="Verdana" w:cs="Century Gothic"/>
          <w:b/>
          <w:bCs/>
        </w:rPr>
      </w:pPr>
    </w:p>
    <w:bookmarkEnd w:id="3"/>
    <w:p w14:paraId="07841038" w14:textId="77777777" w:rsidR="00291670" w:rsidRDefault="00291670" w:rsidP="00291670">
      <w:pPr>
        <w:numPr>
          <w:ilvl w:val="0"/>
          <w:numId w:val="37"/>
        </w:num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Razones de las respuestas:</w:t>
      </w:r>
    </w:p>
    <w:p w14:paraId="706EF381" w14:textId="77777777" w:rsidR="00291670" w:rsidRDefault="00291670" w:rsidP="00291670">
      <w:pPr>
        <w:spacing w:after="0" w:line="276" w:lineRule="auto"/>
        <w:jc w:val="both"/>
        <w:rPr>
          <w:rFonts w:ascii="Verdana" w:eastAsia="Calibri" w:hAnsi="Verdana" w:cs="Arial"/>
          <w:color w:val="7030A0"/>
        </w:rPr>
      </w:pPr>
    </w:p>
    <w:p w14:paraId="6B80A0C9" w14:textId="77777777" w:rsidR="00291670" w:rsidRDefault="00291670" w:rsidP="00291670">
      <w:pPr>
        <w:spacing w:after="0" w:line="276" w:lineRule="auto"/>
        <w:jc w:val="both"/>
        <w:rPr>
          <w:rFonts w:ascii="Verdana" w:eastAsia="Calibri" w:hAnsi="Verdana" w:cs="Arial"/>
        </w:rPr>
      </w:pPr>
      <w:r>
        <w:rPr>
          <w:rFonts w:ascii="Verdana" w:eastAsia="Calibri" w:hAnsi="Verdana" w:cs="Arial"/>
        </w:rPr>
        <w:t>Lo anterior se sustenta en las siguientes consideraciones:</w:t>
      </w:r>
    </w:p>
    <w:p w14:paraId="40A521DA" w14:textId="77777777" w:rsidR="00291670" w:rsidRDefault="00291670" w:rsidP="00291670">
      <w:pPr>
        <w:spacing w:after="0" w:line="276" w:lineRule="auto"/>
        <w:jc w:val="both"/>
        <w:rPr>
          <w:rFonts w:ascii="Verdana" w:eastAsia="Calibri" w:hAnsi="Verdana" w:cs="Arial"/>
        </w:rPr>
      </w:pPr>
    </w:p>
    <w:p w14:paraId="1A107227" w14:textId="77777777" w:rsidR="00291670" w:rsidRDefault="00291670" w:rsidP="00291670">
      <w:pPr>
        <w:widowControl w:val="0"/>
        <w:autoSpaceDE w:val="0"/>
        <w:autoSpaceDN w:val="0"/>
        <w:spacing w:line="276" w:lineRule="auto"/>
        <w:jc w:val="both"/>
        <w:rPr>
          <w:rFonts w:ascii="Verdana" w:eastAsia="Calibri" w:hAnsi="Verdana" w:cs="Arial"/>
          <w:color w:val="000000"/>
          <w:lang w:val="es-ES_tradnl" w:eastAsia="es-ES" w:bidi="es-ES"/>
        </w:rPr>
      </w:pPr>
      <w:r>
        <w:rPr>
          <w:rFonts w:ascii="Verdana" w:eastAsia="Calibri" w:hAnsi="Verdana" w:cs="Arial"/>
          <w:color w:val="000000"/>
          <w:lang w:val="es-ES_tradnl" w:eastAsia="es-ES" w:bidi="es-ES"/>
        </w:rPr>
        <w:t xml:space="preserve">i. 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03F8005D" w14:textId="77777777" w:rsidR="00291670" w:rsidRDefault="00291670" w:rsidP="00291670">
      <w:pPr>
        <w:widowControl w:val="0"/>
        <w:autoSpaceDE w:val="0"/>
        <w:autoSpaceDN w:val="0"/>
        <w:spacing w:before="120" w:line="276" w:lineRule="auto"/>
        <w:ind w:firstLine="708"/>
        <w:jc w:val="both"/>
        <w:rPr>
          <w:rFonts w:ascii="Verdana" w:eastAsia="Calibri" w:hAnsi="Verdana" w:cs="Arial"/>
          <w:color w:val="000000"/>
          <w:lang w:val="es-ES_tradnl" w:eastAsia="es-ES" w:bidi="es-ES"/>
        </w:rPr>
      </w:pPr>
      <w:r>
        <w:rPr>
          <w:rFonts w:ascii="Verdana" w:eastAsia="Calibri" w:hAnsi="Verdana" w:cs="Arial"/>
          <w:color w:val="000000"/>
          <w:lang w:val="es-ES_tradnl" w:eastAsia="es-ES" w:bidi="es-ES"/>
        </w:rPr>
        <w:t xml:space="preserve">En efecto, </w:t>
      </w:r>
      <w:bookmarkStart w:id="4" w:name="_Hlk81432298"/>
      <w:r>
        <w:rPr>
          <w:rFonts w:ascii="Verdana" w:eastAsia="Calibri" w:hAnsi="Verdana" w:cs="Arial"/>
          <w:color w:val="000000"/>
          <w:lang w:val="es-ES_tradnl" w:eastAsia="es-ES" w:bidi="es-ES"/>
        </w:rPr>
        <w:t xml:space="preserve">en el derecho privado brilla por la ausencia una definición del contrato de obra. El artículo 2053 del Código Civil lo tipifica como una de las </w:t>
      </w:r>
      <w:r>
        <w:rPr>
          <w:rFonts w:ascii="Verdana" w:eastAsia="Calibri" w:hAnsi="Verdana" w:cs="Arial"/>
          <w:color w:val="000000"/>
          <w:lang w:val="es-ES_tradnl" w:eastAsia="es-ES" w:bidi="es-ES"/>
        </w:rPr>
        <w:lastRenderedPageBreak/>
        <w:t xml:space="preserve">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4"/>
      <w:r>
        <w:rPr>
          <w:rFonts w:ascii="Verdana" w:eastAsia="Calibri" w:hAnsi="Verdana" w:cs="Arial"/>
          <w:color w:val="000000"/>
          <w:lang w:val="es-ES_tradnl" w:eastAsia="es-ES" w:bidi="es-ES"/>
        </w:rPr>
        <w:t>Así, la doctrina considera que:</w:t>
      </w:r>
    </w:p>
    <w:p w14:paraId="5C329A1E" w14:textId="77777777" w:rsidR="00291670" w:rsidRDefault="00291670" w:rsidP="00291670">
      <w:pPr>
        <w:widowControl w:val="0"/>
        <w:autoSpaceDE w:val="0"/>
        <w:autoSpaceDN w:val="0"/>
        <w:spacing w:after="0" w:line="240" w:lineRule="auto"/>
        <w:ind w:left="709" w:right="709"/>
        <w:jc w:val="both"/>
        <w:rPr>
          <w:rFonts w:ascii="Verdana" w:eastAsia="Calibri" w:hAnsi="Verdana" w:cs="Arial"/>
          <w:color w:val="000000"/>
          <w:sz w:val="20"/>
          <w:szCs w:val="20"/>
          <w:lang w:val="es-ES_tradnl" w:eastAsia="es-ES" w:bidi="es-ES"/>
        </w:rPr>
      </w:pPr>
      <w:r>
        <w:rPr>
          <w:rFonts w:ascii="Verdana" w:eastAsia="Calibri" w:hAnsi="Verdana" w:cs="Arial"/>
          <w:color w:val="000000"/>
          <w:sz w:val="20"/>
          <w:szCs w:val="20"/>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1C4F62CB" w14:textId="77777777" w:rsidR="00291670" w:rsidRDefault="00291670" w:rsidP="00291670">
      <w:pPr>
        <w:widowControl w:val="0"/>
        <w:autoSpaceDE w:val="0"/>
        <w:autoSpaceDN w:val="0"/>
        <w:spacing w:after="0" w:line="240" w:lineRule="auto"/>
        <w:ind w:left="709" w:right="709"/>
        <w:jc w:val="both"/>
        <w:rPr>
          <w:rFonts w:ascii="Verdana" w:eastAsia="Calibri" w:hAnsi="Verdana" w:cs="Arial"/>
          <w:color w:val="000000"/>
          <w:sz w:val="20"/>
          <w:szCs w:val="20"/>
          <w:lang w:val="es-ES_tradnl" w:eastAsia="es-ES" w:bidi="es-ES"/>
        </w:rPr>
      </w:pPr>
    </w:p>
    <w:p w14:paraId="2C8DBCD2" w14:textId="77777777" w:rsidR="00291670" w:rsidRDefault="00291670" w:rsidP="00291670">
      <w:pPr>
        <w:widowControl w:val="0"/>
        <w:autoSpaceDE w:val="0"/>
        <w:autoSpaceDN w:val="0"/>
        <w:spacing w:after="0" w:line="240" w:lineRule="auto"/>
        <w:ind w:left="709" w:right="709"/>
        <w:jc w:val="both"/>
        <w:rPr>
          <w:rFonts w:ascii="Verdana" w:eastAsia="Calibri" w:hAnsi="Verdana" w:cs="Arial"/>
          <w:color w:val="000000"/>
          <w:sz w:val="20"/>
          <w:szCs w:val="20"/>
          <w:lang w:val="es-ES_tradnl" w:eastAsia="es-ES" w:bidi="es-ES"/>
        </w:rPr>
      </w:pPr>
      <w:r>
        <w:rPr>
          <w:rFonts w:ascii="Verdana" w:eastAsia="Calibri" w:hAnsi="Verdana" w:cs="Arial"/>
          <w:color w:val="000000"/>
          <w:sz w:val="20"/>
          <w:szCs w:val="20"/>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Pr>
          <w:vertAlign w:val="superscript"/>
        </w:rPr>
        <w:footnoteReference w:id="2"/>
      </w:r>
      <w:r>
        <w:rPr>
          <w:rFonts w:ascii="Verdana" w:eastAsia="Calibri" w:hAnsi="Verdana" w:cs="Arial"/>
          <w:color w:val="000000"/>
          <w:sz w:val="20"/>
          <w:szCs w:val="20"/>
          <w:lang w:val="es-ES_tradnl" w:eastAsia="es-ES" w:bidi="es-ES"/>
        </w:rPr>
        <w:t xml:space="preserve">.  </w:t>
      </w:r>
    </w:p>
    <w:p w14:paraId="54918B2C" w14:textId="77777777" w:rsidR="00291670" w:rsidRDefault="00291670" w:rsidP="00291670">
      <w:pPr>
        <w:widowControl w:val="0"/>
        <w:autoSpaceDE w:val="0"/>
        <w:autoSpaceDN w:val="0"/>
        <w:spacing w:after="0" w:line="240" w:lineRule="auto"/>
        <w:ind w:left="709" w:right="709"/>
        <w:jc w:val="both"/>
        <w:rPr>
          <w:rFonts w:ascii="Verdana" w:eastAsia="Calibri" w:hAnsi="Verdana" w:cs="Arial"/>
          <w:color w:val="000000"/>
          <w:sz w:val="20"/>
          <w:szCs w:val="20"/>
          <w:lang w:val="es-ES_tradnl" w:eastAsia="es-ES" w:bidi="es-ES"/>
        </w:rPr>
      </w:pPr>
      <w:r>
        <w:rPr>
          <w:rFonts w:ascii="Verdana" w:eastAsia="Calibri" w:hAnsi="Verdana" w:cs="Arial"/>
          <w:color w:val="000000"/>
          <w:sz w:val="20"/>
          <w:szCs w:val="20"/>
          <w:lang w:val="es-ES_tradnl" w:eastAsia="es-ES" w:bidi="es-ES"/>
        </w:rPr>
        <w:t xml:space="preserve">    </w:t>
      </w:r>
    </w:p>
    <w:p w14:paraId="6E94EA61" w14:textId="77777777" w:rsidR="00291670" w:rsidRDefault="00291670" w:rsidP="00291670">
      <w:pPr>
        <w:widowControl w:val="0"/>
        <w:autoSpaceDE w:val="0"/>
        <w:autoSpaceDN w:val="0"/>
        <w:spacing w:line="276" w:lineRule="auto"/>
        <w:ind w:firstLine="708"/>
        <w:jc w:val="both"/>
        <w:rPr>
          <w:rFonts w:ascii="Verdana" w:eastAsia="Calibri" w:hAnsi="Verdana" w:cs="Arial"/>
          <w:color w:val="000000"/>
          <w:lang w:val="es-ES_tradnl" w:eastAsia="es-ES" w:bidi="es-ES"/>
        </w:rPr>
      </w:pPr>
      <w:bookmarkStart w:id="5" w:name="_Hlk35420344"/>
      <w:r>
        <w:rPr>
          <w:rFonts w:ascii="Verdana" w:eastAsia="Calibri" w:hAnsi="Verdana" w:cs="Arial"/>
          <w:color w:val="000000"/>
          <w:lang w:val="es-ES_tradnl" w:eastAsia="es-ES" w:bidi="es-ES"/>
        </w:rPr>
        <w:t xml:space="preserve">En </w:t>
      </w:r>
      <w:r>
        <w:rPr>
          <w:rFonts w:ascii="Verdana" w:eastAsia="Calibri" w:hAnsi="Verdana" w:cs="Arial"/>
          <w:i/>
          <w:iCs/>
          <w:color w:val="000000"/>
          <w:lang w:val="es-ES_tradnl" w:eastAsia="es-ES" w:bidi="es-ES"/>
        </w:rPr>
        <w:t>sentido amplio</w:t>
      </w:r>
      <w:r>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6" w:name="_Hlk81428563"/>
      <w:r>
        <w:rPr>
          <w:rFonts w:ascii="Verdana" w:eastAsia="Calibri" w:hAnsi="Verdana" w:cs="Arial"/>
          <w:color w:val="000000"/>
          <w:lang w:val="es-ES_tradnl" w:eastAsia="es-ES" w:bidi="es-ES"/>
        </w:rPr>
        <w:t xml:space="preserve">el numeral 1 del artículo 32 de la Ley 80 de 1993 opta por un </w:t>
      </w:r>
      <w:r>
        <w:rPr>
          <w:rFonts w:ascii="Verdana" w:eastAsia="Calibri" w:hAnsi="Verdana" w:cs="Arial"/>
          <w:i/>
          <w:iCs/>
          <w:color w:val="000000"/>
          <w:lang w:val="es-ES_tradnl" w:eastAsia="es-ES" w:bidi="es-ES"/>
        </w:rPr>
        <w:t>sentido restringido</w:t>
      </w:r>
      <w:r>
        <w:rPr>
          <w:rFonts w:ascii="Verdana" w:eastAsia="Calibri" w:hAnsi="Verdana" w:cs="Arial"/>
          <w:color w:val="000000"/>
          <w:lang w:val="es-ES_tradnl" w:eastAsia="es-ES" w:bidi="es-ES"/>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w:t>
      </w:r>
      <w:r>
        <w:rPr>
          <w:rFonts w:ascii="Verdana" w:eastAsia="Calibri" w:hAnsi="Verdana" w:cs="Arial"/>
          <w:color w:val="000000"/>
          <w:lang w:val="es-ES_tradnl" w:eastAsia="es-ES" w:bidi="es-ES"/>
        </w:rPr>
        <w:lastRenderedPageBreak/>
        <w:t>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5"/>
      <w:bookmarkEnd w:id="6"/>
      <w:r>
        <w:rPr>
          <w:rFonts w:ascii="Verdana" w:eastAsia="Calibri" w:hAnsi="Verdana" w:cs="Arial"/>
          <w:color w:val="000000"/>
          <w:vertAlign w:val="superscript"/>
          <w:lang w:val="es-ES_tradnl" w:eastAsia="es-ES" w:bidi="es-ES"/>
        </w:rPr>
        <w:footnoteReference w:id="3"/>
      </w:r>
      <w:r>
        <w:rPr>
          <w:rFonts w:ascii="Verdana" w:eastAsia="Calibri" w:hAnsi="Verdana" w:cs="Arial"/>
          <w:color w:val="000000"/>
          <w:lang w:val="es-ES_tradnl" w:eastAsia="es-ES" w:bidi="es-ES"/>
        </w:rPr>
        <w:t>. De esta manera:</w:t>
      </w:r>
    </w:p>
    <w:p w14:paraId="61F06B72" w14:textId="77777777" w:rsidR="00291670" w:rsidRDefault="00291670" w:rsidP="00291670">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5F56D6F1" w14:textId="77777777" w:rsidR="00291670" w:rsidRDefault="00291670" w:rsidP="00291670">
      <w:pPr>
        <w:widowControl w:val="0"/>
        <w:autoSpaceDE w:val="0"/>
        <w:autoSpaceDN w:val="0"/>
        <w:spacing w:after="0" w:line="240" w:lineRule="auto"/>
        <w:ind w:left="709" w:right="709"/>
        <w:jc w:val="both"/>
        <w:rPr>
          <w:rFonts w:ascii="Verdana" w:eastAsia="Calibri" w:hAnsi="Verdana" w:cs="Arial"/>
          <w:color w:val="000000"/>
          <w:sz w:val="20"/>
          <w:szCs w:val="20"/>
          <w:lang w:val="es-ES_tradnl" w:eastAsia="es-ES" w:bidi="es-ES"/>
        </w:rPr>
      </w:pPr>
      <w:r>
        <w:rPr>
          <w:rFonts w:ascii="Verdana" w:eastAsia="Calibri" w:hAnsi="Verdana" w:cs="Arial"/>
          <w:color w:val="000000"/>
          <w:sz w:val="20"/>
          <w:szCs w:val="20"/>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2180D649" w14:textId="77777777" w:rsidR="00291670" w:rsidRDefault="00291670" w:rsidP="00291670">
      <w:pPr>
        <w:widowControl w:val="0"/>
        <w:autoSpaceDE w:val="0"/>
        <w:autoSpaceDN w:val="0"/>
        <w:spacing w:before="120" w:after="0" w:line="240" w:lineRule="auto"/>
        <w:ind w:left="709" w:right="709"/>
        <w:jc w:val="both"/>
        <w:rPr>
          <w:rFonts w:ascii="Verdana" w:eastAsia="Calibri" w:hAnsi="Verdana" w:cs="Arial"/>
          <w:color w:val="000000"/>
          <w:sz w:val="20"/>
          <w:szCs w:val="20"/>
          <w:lang w:val="es-ES_tradnl" w:eastAsia="es-ES" w:bidi="es-ES"/>
        </w:rPr>
      </w:pPr>
      <w:r>
        <w:rPr>
          <w:rFonts w:ascii="Verdana" w:eastAsia="Calibri" w:hAnsi="Verdana" w:cs="Arial"/>
          <w:color w:val="000000"/>
          <w:sz w:val="20"/>
          <w:szCs w:val="20"/>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Pr>
          <w:vertAlign w:val="superscript"/>
        </w:rPr>
        <w:footnoteReference w:id="4"/>
      </w:r>
      <w:r>
        <w:rPr>
          <w:rFonts w:ascii="Verdana" w:eastAsia="Calibri" w:hAnsi="Verdana" w:cs="Arial"/>
          <w:color w:val="000000"/>
          <w:sz w:val="20"/>
          <w:szCs w:val="20"/>
          <w:lang w:val="es-ES_tradnl" w:eastAsia="es-ES" w:bidi="es-ES"/>
        </w:rPr>
        <w:t>.</w:t>
      </w:r>
    </w:p>
    <w:p w14:paraId="66A97639" w14:textId="77777777" w:rsidR="00291670" w:rsidRDefault="00291670" w:rsidP="00291670">
      <w:pPr>
        <w:widowControl w:val="0"/>
        <w:autoSpaceDE w:val="0"/>
        <w:autoSpaceDN w:val="0"/>
        <w:spacing w:after="0" w:line="276" w:lineRule="auto"/>
        <w:ind w:left="709" w:right="709"/>
        <w:jc w:val="both"/>
        <w:rPr>
          <w:rFonts w:ascii="Verdana" w:eastAsia="Calibri" w:hAnsi="Verdana" w:cs="Arial"/>
          <w:color w:val="000000"/>
          <w:sz w:val="21"/>
          <w:szCs w:val="21"/>
          <w:lang w:val="es-ES_tradnl" w:eastAsia="es-ES" w:bidi="es-ES"/>
        </w:rPr>
      </w:pPr>
    </w:p>
    <w:p w14:paraId="0E296265" w14:textId="77777777" w:rsidR="00291670" w:rsidRDefault="00291670" w:rsidP="00291670">
      <w:pPr>
        <w:widowControl w:val="0"/>
        <w:autoSpaceDE w:val="0"/>
        <w:autoSpaceDN w:val="0"/>
        <w:spacing w:after="120" w:line="276" w:lineRule="auto"/>
        <w:ind w:firstLine="708"/>
        <w:jc w:val="both"/>
        <w:rPr>
          <w:rFonts w:ascii="Verdana" w:eastAsia="Calibri" w:hAnsi="Verdana" w:cs="Arial"/>
          <w:color w:val="000000"/>
          <w:lang w:val="es-ES_tradnl" w:eastAsia="es-ES" w:bidi="es-ES"/>
        </w:rPr>
      </w:pPr>
      <w:r>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64B06F91" w14:textId="77777777" w:rsidR="00291670" w:rsidRDefault="00291670" w:rsidP="00291670">
      <w:pPr>
        <w:widowControl w:val="0"/>
        <w:autoSpaceDE w:val="0"/>
        <w:autoSpaceDN w:val="0"/>
        <w:spacing w:after="120" w:line="276" w:lineRule="auto"/>
        <w:ind w:firstLine="708"/>
        <w:jc w:val="both"/>
        <w:rPr>
          <w:rFonts w:ascii="Verdana" w:eastAsia="Calibri" w:hAnsi="Verdana" w:cs="Arial"/>
          <w:color w:val="000000"/>
          <w:lang w:val="es-ES_tradnl" w:eastAsia="es-ES" w:bidi="es-ES"/>
        </w:rPr>
      </w:pPr>
      <w:r>
        <w:rPr>
          <w:rFonts w:ascii="Verdana" w:eastAsia="Calibri" w:hAnsi="Verdana" w:cs="Arial"/>
          <w:color w:val="000000"/>
          <w:lang w:val="es-ES_tradnl" w:eastAsia="es-ES" w:bidi="es-ES"/>
        </w:rPr>
        <w:t xml:space="preserve">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w:t>
      </w:r>
      <w:r>
        <w:rPr>
          <w:rFonts w:ascii="Verdana" w:eastAsia="Calibri" w:hAnsi="Verdana" w:cs="Arial"/>
          <w:color w:val="000000"/>
          <w:lang w:val="es-ES_tradnl" w:eastAsia="es-ES" w:bidi="es-ES"/>
        </w:rPr>
        <w:lastRenderedPageBreak/>
        <w:t xml:space="preserve">inmuebles debe entenderse que se extiende a los inmuebles anteriormente mencionados, razón por la cual la tipicidad del contrato de obra incluye cualquier clase de trabajo sobre inmuebles por adhesión o por destinación. </w:t>
      </w:r>
    </w:p>
    <w:p w14:paraId="5FB4F453" w14:textId="77777777" w:rsidR="00291670" w:rsidRDefault="00291670" w:rsidP="00291670">
      <w:pPr>
        <w:widowControl w:val="0"/>
        <w:autoSpaceDE w:val="0"/>
        <w:autoSpaceDN w:val="0"/>
        <w:spacing w:after="120" w:line="276" w:lineRule="auto"/>
        <w:ind w:firstLine="708"/>
        <w:jc w:val="both"/>
        <w:rPr>
          <w:rFonts w:ascii="Verdana" w:eastAsia="Calibri" w:hAnsi="Verdana" w:cs="Arial"/>
          <w:color w:val="000000"/>
          <w:lang w:val="es-ES_tradnl" w:eastAsia="es-ES" w:bidi="es-ES"/>
        </w:rPr>
      </w:pPr>
      <w:r>
        <w:rPr>
          <w:rFonts w:ascii="Verdana" w:eastAsia="Calibri" w:hAnsi="Verdana" w:cs="Arial"/>
          <w:color w:val="000000"/>
          <w:lang w:val="es-ES_tradnl" w:eastAsia="es-ES" w:bidi="es-ES"/>
        </w:rPr>
        <w:t xml:space="preserve">Teniendo en cuenta la remisión de los artículos 13, 32 y 40 del Estatuto General de Contratación al Código Civil, </w:t>
      </w:r>
      <w:bookmarkStart w:id="7" w:name="_Hlk81428905"/>
      <w:r>
        <w:rPr>
          <w:rFonts w:ascii="Verdana" w:eastAsia="Calibri" w:hAnsi="Verdana" w:cs="Arial"/>
          <w:color w:val="000000"/>
          <w:lang w:val="es-ES_tradnl" w:eastAsia="es-ES" w:bidi="es-ES"/>
        </w:rPr>
        <w:t xml:space="preserve">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Pr>
          <w:rFonts w:ascii="Verdana" w:eastAsia="Calibri" w:hAnsi="Verdana" w:cs="Arial"/>
          <w:i/>
          <w:iCs/>
          <w:color w:val="000000"/>
          <w:lang w:val="es-ES_tradnl" w:eastAsia="es-ES" w:bidi="es-ES"/>
        </w:rPr>
        <w:t>inmuebles por adhesión</w:t>
      </w:r>
      <w:r>
        <w:rPr>
          <w:rFonts w:ascii="Verdana" w:eastAsia="Calibri" w:hAnsi="Verdana" w:cs="Arial"/>
          <w:color w:val="000000"/>
          <w:lang w:val="es-ES_tradnl" w:eastAsia="es-ES" w:bidi="es-ES"/>
        </w:rPr>
        <w:t xml:space="preserve"> y la doctrina los caracteriza como “[…] bienes muebles por naturaleza, adheridos permanente y materialmente a un inmueble, incorporados por el propietario o por una persona distinta de él, que por una ficción jurídica del legislador se transforman en bienes inmuebles”</w:t>
      </w:r>
      <w:r>
        <w:rPr>
          <w:vertAlign w:val="superscript"/>
        </w:rPr>
        <w:footnoteReference w:id="5"/>
      </w:r>
      <w:r>
        <w:rPr>
          <w:rFonts w:ascii="Verdana" w:eastAsia="Calibri" w:hAnsi="Verdana" w:cs="Arial"/>
          <w:color w:val="000000"/>
          <w:lang w:val="es-ES_tradnl" w:eastAsia="es-ES" w:bidi="es-ES"/>
        </w:rPr>
        <w:t xml:space="preserve">.   </w:t>
      </w:r>
    </w:p>
    <w:p w14:paraId="3C0E0E83" w14:textId="77777777" w:rsidR="00291670" w:rsidRDefault="00291670" w:rsidP="00291670">
      <w:pPr>
        <w:widowControl w:val="0"/>
        <w:autoSpaceDE w:val="0"/>
        <w:autoSpaceDN w:val="0"/>
        <w:spacing w:after="120" w:line="276" w:lineRule="auto"/>
        <w:ind w:firstLine="708"/>
        <w:jc w:val="both"/>
        <w:rPr>
          <w:rFonts w:ascii="Verdana" w:eastAsia="Calibri" w:hAnsi="Verdana" w:cs="Arial"/>
          <w:color w:val="000000"/>
          <w:lang w:val="es-ES" w:eastAsia="es-ES" w:bidi="es-ES"/>
        </w:rPr>
      </w:pPr>
      <w:bookmarkStart w:id="9" w:name="_Hlk81428960"/>
      <w:bookmarkEnd w:id="7"/>
      <w:r>
        <w:rPr>
          <w:rFonts w:ascii="Verdana" w:eastAsia="Calibri" w:hAnsi="Verdana" w:cs="Arial"/>
          <w:color w:val="000000" w:themeColor="text1"/>
          <w:lang w:val="es-ES" w:eastAsia="es-ES" w:bidi="es-ES"/>
        </w:rPr>
        <w:t xml:space="preserve">Por otra parte, el artículo 658 del Código Civil crea la categoría de </w:t>
      </w:r>
      <w:r>
        <w:rPr>
          <w:rFonts w:ascii="Verdana" w:eastAsia="Calibri" w:hAnsi="Verdana" w:cs="Arial"/>
          <w:i/>
          <w:color w:val="000000" w:themeColor="text1"/>
          <w:lang w:val="es-ES" w:eastAsia="es-ES" w:bidi="es-ES"/>
        </w:rPr>
        <w:t>inmuebles por destinación</w:t>
      </w:r>
      <w:r>
        <w:rPr>
          <w:rFonts w:ascii="Verdana" w:eastAsia="Calibri" w:hAnsi="Verdana" w:cs="Arial"/>
          <w:color w:val="000000" w:themeColor="text1"/>
          <w:lang w:val="es-ES" w:eastAsia="es-ES" w:bidi="es-ES"/>
        </w:rPr>
        <w:t>, disponiendo que “Se reputan inmuebles, aunque por su naturaleza no lo sean, las cosas que están permanentemente destinadas al uso, cultivo y beneficio de un inmueble, sin embargo de que puedan separarse sin detrimento”.</w:t>
      </w:r>
      <w:bookmarkEnd w:id="9"/>
      <w:r>
        <w:rPr>
          <w:rFonts w:ascii="Verdana" w:eastAsia="Calibri" w:hAnsi="Verdana" w:cs="Arial"/>
          <w:color w:val="000000" w:themeColor="text1"/>
          <w:lang w:val="es-ES" w:eastAsia="es-ES" w:bidi="es-ES"/>
        </w:rPr>
        <w:t xml:space="preserve"> El mismo artículo crea una lista enunciativa de estos bienes, dentro de los cuales se encuentran: i) las losas de un pavimento; </w:t>
      </w:r>
      <w:proofErr w:type="spellStart"/>
      <w:r>
        <w:rPr>
          <w:rFonts w:ascii="Verdana" w:eastAsia="Calibri" w:hAnsi="Verdana" w:cs="Arial"/>
          <w:color w:val="000000" w:themeColor="text1"/>
          <w:lang w:val="es-ES" w:eastAsia="es-ES" w:bidi="es-ES"/>
        </w:rPr>
        <w:t>ii</w:t>
      </w:r>
      <w:proofErr w:type="spellEnd"/>
      <w:r>
        <w:rPr>
          <w:rFonts w:ascii="Verdana" w:eastAsia="Calibri" w:hAnsi="Verdana" w:cs="Arial"/>
          <w:color w:val="000000" w:themeColor="text1"/>
          <w:lang w:val="es-ES" w:eastAsia="es-ES" w:bidi="es-ES"/>
        </w:rPr>
        <w:t xml:space="preserve">) los tubos de las cañerías; </w:t>
      </w:r>
      <w:proofErr w:type="spellStart"/>
      <w:r>
        <w:rPr>
          <w:rFonts w:ascii="Verdana" w:eastAsia="Calibri" w:hAnsi="Verdana" w:cs="Arial"/>
          <w:color w:val="000000" w:themeColor="text1"/>
          <w:lang w:val="es-ES" w:eastAsia="es-ES" w:bidi="es-ES"/>
        </w:rPr>
        <w:t>iii</w:t>
      </w:r>
      <w:proofErr w:type="spellEnd"/>
      <w:r>
        <w:rPr>
          <w:rFonts w:ascii="Verdana" w:eastAsia="Calibri" w:hAnsi="Verdana" w:cs="Arial"/>
          <w:color w:val="000000" w:themeColor="text1"/>
          <w:lang w:val="es-ES" w:eastAsia="es-ES" w:bidi="es-ES"/>
        </w:rPr>
        <w:t xml:space="preserve">) los utensilios de labranza o minería, y los animales actualmente destinados al cultivo o beneficio de una finca, con tal que hayan sido puestos en ella por el dueño de la finca; </w:t>
      </w:r>
      <w:proofErr w:type="spellStart"/>
      <w:r>
        <w:rPr>
          <w:rFonts w:ascii="Verdana" w:eastAsia="Calibri" w:hAnsi="Verdana" w:cs="Arial"/>
          <w:color w:val="000000" w:themeColor="text1"/>
          <w:lang w:val="es-ES" w:eastAsia="es-ES" w:bidi="es-ES"/>
        </w:rPr>
        <w:t>iv</w:t>
      </w:r>
      <w:proofErr w:type="spellEnd"/>
      <w:r>
        <w:rPr>
          <w:rFonts w:ascii="Verdana" w:eastAsia="Calibri" w:hAnsi="Verdana" w:cs="Arial"/>
          <w:color w:val="000000" w:themeColor="text1"/>
          <w:lang w:val="es-ES" w:eastAsia="es-ES" w:bidi="es-ES"/>
        </w:rPr>
        <w:t xml:space="preserve">)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p>
    <w:p w14:paraId="024F82D2" w14:textId="77777777" w:rsidR="00291670" w:rsidRDefault="00291670" w:rsidP="00291670">
      <w:pPr>
        <w:widowControl w:val="0"/>
        <w:autoSpaceDE w:val="0"/>
        <w:autoSpaceDN w:val="0"/>
        <w:spacing w:after="120" w:line="276" w:lineRule="auto"/>
        <w:ind w:firstLine="708"/>
        <w:jc w:val="both"/>
        <w:rPr>
          <w:rFonts w:ascii="Verdana" w:eastAsia="Calibri" w:hAnsi="Verdana" w:cs="Arial"/>
          <w:color w:val="000000"/>
          <w:lang w:val="es-ES" w:eastAsia="es-ES" w:bidi="es-ES"/>
        </w:rPr>
      </w:pPr>
      <w:bookmarkStart w:id="10" w:name="_Hlk81429063"/>
      <w:r>
        <w:rPr>
          <w:rFonts w:ascii="Verdana" w:eastAsia="Calibri" w:hAnsi="Verdana" w:cs="Arial"/>
          <w:color w:val="000000"/>
          <w:lang w:val="es-ES" w:eastAsia="es-ES" w:bidi="es-ES"/>
        </w:rPr>
        <w:t xml:space="preserve">Así las cosas, para que clasifiquen dentro de esta categoría se requiere que los muebles sirvan para prestar un servicio útil al inmueble por naturaleza, que el servicio sea permanente, además de que ambos sean del mismo </w:t>
      </w:r>
      <w:r>
        <w:rPr>
          <w:rFonts w:ascii="Verdana" w:eastAsia="Calibri" w:hAnsi="Verdana" w:cs="Arial"/>
          <w:color w:val="000000"/>
          <w:lang w:val="es-ES" w:eastAsia="es-ES" w:bidi="es-ES"/>
        </w:rPr>
        <w:lastRenderedPageBreak/>
        <w:t xml:space="preserve">propietario. En esta medida: “Por excepción al criterio extraído de la naturaleza física de las cosas, los redactores del Código Civil han considerado como inmuebles las cosas trasladables: las clasifican entre los inmuebles </w:t>
      </w:r>
      <w:proofErr w:type="gramStart"/>
      <w:r>
        <w:rPr>
          <w:rFonts w:ascii="Verdana" w:eastAsia="Calibri" w:hAnsi="Verdana" w:cs="Arial"/>
          <w:color w:val="000000"/>
          <w:lang w:val="es-ES" w:eastAsia="es-ES" w:bidi="es-ES"/>
        </w:rPr>
        <w:t>en razón de</w:t>
      </w:r>
      <w:proofErr w:type="gramEnd"/>
      <w:r>
        <w:rPr>
          <w:rFonts w:ascii="Verdana" w:eastAsia="Calibri" w:hAnsi="Verdana" w:cs="Arial"/>
          <w:color w:val="000000"/>
          <w:lang w:val="es-ES" w:eastAsia="es-ES" w:bidi="es-ES"/>
        </w:rPr>
        <w:t xml:space="preserv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bookmarkEnd w:id="10"/>
      <w:r>
        <w:rPr>
          <w:rFonts w:ascii="Verdana" w:eastAsia="Calibri" w:hAnsi="Verdana" w:cs="Arial"/>
          <w:color w:val="000000"/>
          <w:vertAlign w:val="superscript"/>
          <w:lang w:val="es-ES" w:eastAsia="es-ES" w:bidi="es-ES"/>
        </w:rPr>
        <w:footnoteReference w:id="6"/>
      </w:r>
      <w:r>
        <w:rPr>
          <w:rFonts w:ascii="Verdana" w:eastAsia="Calibri" w:hAnsi="Verdana" w:cs="Arial"/>
          <w:color w:val="000000"/>
          <w:lang w:val="es-ES" w:eastAsia="es-ES" w:bidi="es-ES"/>
        </w:rPr>
        <w:t xml:space="preserve">.  </w:t>
      </w:r>
    </w:p>
    <w:p w14:paraId="3F5A73DA" w14:textId="77777777" w:rsidR="00291670" w:rsidRDefault="00291670" w:rsidP="00291670">
      <w:pPr>
        <w:widowControl w:val="0"/>
        <w:autoSpaceDE w:val="0"/>
        <w:autoSpaceDN w:val="0"/>
        <w:spacing w:after="120" w:line="276" w:lineRule="auto"/>
        <w:ind w:firstLine="708"/>
        <w:jc w:val="both"/>
        <w:rPr>
          <w:rFonts w:ascii="Verdana" w:eastAsia="Calibri" w:hAnsi="Verdana" w:cs="Arial"/>
          <w:color w:val="000000"/>
          <w:lang w:val="es-ES" w:eastAsia="es-ES" w:bidi="es-ES"/>
        </w:rPr>
      </w:pPr>
      <w:r>
        <w:rPr>
          <w:rFonts w:ascii="Verdana" w:eastAsia="Calibri" w:hAnsi="Verdana" w:cs="Arial"/>
          <w:color w:val="000000" w:themeColor="text1"/>
          <w:lang w:val="es-ES" w:eastAsia="es-ES" w:bidi="es-ES"/>
        </w:rPr>
        <w:t xml:space="preserve">Las diferencias entre ambos tipos de bienes se derivan de que: i) mientras la incorporación de los </w:t>
      </w:r>
      <w:r>
        <w:rPr>
          <w:rFonts w:ascii="Verdana" w:eastAsia="Calibri" w:hAnsi="Verdana" w:cs="Arial"/>
          <w:i/>
          <w:color w:val="000000" w:themeColor="text1"/>
          <w:lang w:val="es-ES" w:eastAsia="es-ES" w:bidi="es-ES"/>
        </w:rPr>
        <w:t>inmuebles por adhesión</w:t>
      </w:r>
      <w:r>
        <w:rPr>
          <w:rFonts w:ascii="Verdana" w:eastAsia="Calibri" w:hAnsi="Verdana" w:cs="Arial"/>
          <w:color w:val="000000" w:themeColor="text1"/>
          <w:lang w:val="es-ES" w:eastAsia="es-ES" w:bidi="es-ES"/>
        </w:rPr>
        <w:t xml:space="preserve"> es material, la de los </w:t>
      </w:r>
      <w:r>
        <w:rPr>
          <w:rFonts w:ascii="Verdana" w:eastAsia="Calibri" w:hAnsi="Verdana" w:cs="Arial"/>
          <w:i/>
          <w:color w:val="000000" w:themeColor="text1"/>
          <w:lang w:val="es-ES" w:eastAsia="es-ES" w:bidi="es-ES"/>
        </w:rPr>
        <w:t xml:space="preserve">inmuebles por destinación </w:t>
      </w:r>
      <w:r>
        <w:rPr>
          <w:rFonts w:ascii="Verdana" w:eastAsia="Calibri" w:hAnsi="Verdana" w:cs="Arial"/>
          <w:color w:val="000000" w:themeColor="text1"/>
          <w:lang w:val="es-ES" w:eastAsia="es-ES" w:bidi="es-ES"/>
        </w:rPr>
        <w:t xml:space="preserve">es intelectual; </w:t>
      </w:r>
      <w:proofErr w:type="spellStart"/>
      <w:r>
        <w:rPr>
          <w:rFonts w:ascii="Verdana" w:eastAsia="Calibri" w:hAnsi="Verdana" w:cs="Arial"/>
          <w:color w:val="000000" w:themeColor="text1"/>
          <w:lang w:val="es-ES" w:eastAsia="es-ES" w:bidi="es-ES"/>
        </w:rPr>
        <w:t>ii</w:t>
      </w:r>
      <w:proofErr w:type="spellEnd"/>
      <w:r>
        <w:rPr>
          <w:rFonts w:ascii="Verdana" w:eastAsia="Calibri" w:hAnsi="Verdana" w:cs="Arial"/>
          <w:color w:val="000000" w:themeColor="text1"/>
          <w:lang w:val="es-ES" w:eastAsia="es-ES" w:bidi="es-ES"/>
        </w:rPr>
        <w:t xml:space="preserve">) mientras los primeros son incorporados por el dueño o por terceras personas, en los segundos es necesaria la identidad del propietario; finalmente, </w:t>
      </w:r>
      <w:proofErr w:type="spellStart"/>
      <w:r>
        <w:rPr>
          <w:rFonts w:ascii="Verdana" w:eastAsia="Calibri" w:hAnsi="Verdana" w:cs="Arial"/>
          <w:color w:val="000000" w:themeColor="text1"/>
          <w:lang w:val="es-ES" w:eastAsia="es-ES" w:bidi="es-ES"/>
        </w:rPr>
        <w:t>iii</w:t>
      </w:r>
      <w:proofErr w:type="spellEnd"/>
      <w:r>
        <w:rPr>
          <w:rFonts w:ascii="Verdana" w:eastAsia="Calibri" w:hAnsi="Verdana" w:cs="Arial"/>
          <w:color w:val="000000" w:themeColor="text1"/>
          <w:lang w:val="es-ES" w:eastAsia="es-ES" w:bidi="es-ES"/>
        </w:rPr>
        <w:t xml:space="preserve">)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w:t>
      </w:r>
      <w:bookmarkStart w:id="11" w:name="_Hlk81429290"/>
      <w:r>
        <w:rPr>
          <w:rFonts w:ascii="Verdana" w:eastAsia="Calibri" w:hAnsi="Verdana" w:cs="Arial"/>
          <w:color w:val="000000" w:themeColor="text1"/>
          <w:lang w:val="es-ES" w:eastAsia="es-ES" w:bidi="es-ES"/>
        </w:rPr>
        <w:t xml:space="preserve">términos del Estatuto General de Contratación de la Administración Pública. </w:t>
      </w:r>
    </w:p>
    <w:p w14:paraId="0C1B4991" w14:textId="77777777" w:rsidR="00291670" w:rsidRDefault="00291670" w:rsidP="00291670">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r>
        <w:rPr>
          <w:rFonts w:ascii="Verdana" w:eastAsia="Calibri" w:hAnsi="Verdana" w:cs="Arial"/>
          <w:color w:val="000000"/>
          <w:lang w:val="es-ES_tradnl" w:eastAsia="es-ES" w:bidi="es-ES"/>
        </w:rPr>
        <w:t xml:space="preserve">En ese sentido, la naturaleza inmueble del bien sobre el que se realizan el mantenimiento es determinante para saber si está ante un contrato de obra pública, ya que de este tipo contractual se encuentran excluidos trabajos materiales realizados sobre bienes muebles, por lo que estos corresponderían a un tipo contractual diferente. </w:t>
      </w:r>
      <w:bookmarkEnd w:id="11"/>
      <w:r>
        <w:rPr>
          <w:rFonts w:ascii="Verdana" w:eastAsia="Calibri" w:hAnsi="Verdana" w:cs="Arial"/>
          <w:color w:val="000000"/>
          <w:lang w:val="es-ES_tradnl" w:eastAsia="es-ES" w:bidi="es-ES"/>
        </w:rPr>
        <w:t xml:space="preserve">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p>
    <w:p w14:paraId="0DE20237" w14:textId="77777777" w:rsidR="00291670" w:rsidRDefault="00291670" w:rsidP="00291670">
      <w:pPr>
        <w:spacing w:after="120" w:line="276" w:lineRule="auto"/>
        <w:jc w:val="both"/>
        <w:rPr>
          <w:rFonts w:ascii="Verdana" w:hAnsi="Verdana" w:cs="Arial"/>
          <w:lang w:val="es-ES"/>
        </w:rPr>
      </w:pPr>
      <w:proofErr w:type="spellStart"/>
      <w:r>
        <w:rPr>
          <w:rFonts w:ascii="Verdana" w:hAnsi="Verdana" w:cs="Arial"/>
          <w:lang w:val="es-ES"/>
        </w:rPr>
        <w:lastRenderedPageBreak/>
        <w:t>ii</w:t>
      </w:r>
      <w:proofErr w:type="spellEnd"/>
      <w:r>
        <w:rPr>
          <w:rFonts w:ascii="Verdana" w:hAnsi="Verdana" w:cs="Arial"/>
          <w:lang w:val="es-ES"/>
        </w:rPr>
        <w:t xml:space="preserve">. Ahora bien, teniendo en cuenta que el objeto de la consulta incluye la actividad de instalación, la cual, como se indicó, es constitutiva del objeto de contrato de obra pública, es importante hacer algunas precisiones en torno al alcance de este concepto. Como lo ha indicado la Sala de Consulta y Servicio Civil del Consejo de Estado, dentro del contrato de obra pública se considera incluido “[…], todo trabajo que tiene por objeto, crear, construir, conservar o modificar bienes inmuebles incorporándose a dicho concepto trabajos como la construcción, </w:t>
      </w:r>
      <w:r>
        <w:rPr>
          <w:rFonts w:ascii="Verdana" w:hAnsi="Verdana" w:cs="Arial"/>
          <w:i/>
          <w:lang w:val="es-ES"/>
        </w:rPr>
        <w:t>instalación</w:t>
      </w:r>
      <w:r>
        <w:rPr>
          <w:rFonts w:ascii="Verdana" w:hAnsi="Verdana" w:cs="Arial"/>
          <w:lang w:val="es-ES"/>
        </w:rPr>
        <w:t xml:space="preserve">, conservación, mantenimiento, reparación y demolición de los bienes inmuebles, así como la construcción, </w:t>
      </w:r>
      <w:r>
        <w:rPr>
          <w:rFonts w:ascii="Verdana" w:hAnsi="Verdana" w:cs="Arial"/>
          <w:i/>
          <w:lang w:val="es-ES"/>
        </w:rPr>
        <w:t>instalación</w:t>
      </w:r>
      <w:r>
        <w:rPr>
          <w:rFonts w:ascii="Verdana" w:hAnsi="Verdana" w:cs="Arial"/>
          <w:lang w:val="es-ES"/>
        </w:rPr>
        <w:t>, conservación, mantenimiento, reparación y demolición de aquellos bienes destinados a un servicio público o al uso común”</w:t>
      </w:r>
      <w:r>
        <w:rPr>
          <w:vertAlign w:val="superscript"/>
        </w:rPr>
        <w:footnoteReference w:id="7"/>
      </w:r>
      <w:r>
        <w:rPr>
          <w:rFonts w:ascii="Verdana" w:hAnsi="Verdana" w:cs="Arial"/>
          <w:lang w:val="es-ES"/>
        </w:rPr>
        <w:t xml:space="preserve"> (énfasis fuera de texto).</w:t>
      </w:r>
    </w:p>
    <w:p w14:paraId="327BB6D9" w14:textId="77777777" w:rsidR="00291670" w:rsidRDefault="00291670" w:rsidP="00291670">
      <w:pPr>
        <w:spacing w:after="120" w:line="276" w:lineRule="auto"/>
        <w:ind w:firstLine="709"/>
        <w:jc w:val="both"/>
        <w:rPr>
          <w:rFonts w:ascii="Verdana" w:hAnsi="Verdana" w:cs="Arial"/>
          <w:lang w:val="es-ES_tradnl"/>
        </w:rPr>
      </w:pPr>
      <w:r>
        <w:rPr>
          <w:rFonts w:ascii="Verdana" w:hAnsi="Verdana" w:cs="Arial"/>
          <w:lang w:val="es-ES_tradnl"/>
        </w:rPr>
        <w:t>Según el Diccionario de la Lengua Española, “instalar” es “Poner o colocar en el lugar debido a alguien o algo”, así como “Colocar en un lugar o edificio los enseres y servicios que en él se hayan de utilizar; como en una fábrica, los conductos de agua, aparatos para la luz, etc.”</w:t>
      </w:r>
      <w:r>
        <w:rPr>
          <w:vertAlign w:val="superscript"/>
        </w:rPr>
        <w:footnoteReference w:id="8"/>
      </w:r>
      <w:r>
        <w:rPr>
          <w:rFonts w:ascii="Verdana" w:hAnsi="Verdana" w:cs="Arial"/>
          <w:lang w:val="es-ES_tradnl"/>
        </w:rPr>
        <w:t>. Por tanto, la instalación de cosas –como redes, equipos u otros elementos– en los bienes inmuebles es, en principio, una actividad que ingresa dentro de los contratos de obra celebrados por las entidades estatales, pues comporta la realización de un trabajo material.</w:t>
      </w:r>
    </w:p>
    <w:p w14:paraId="4F226585" w14:textId="77777777" w:rsidR="00291670" w:rsidRDefault="00291670" w:rsidP="00291670">
      <w:pPr>
        <w:spacing w:after="120" w:line="276" w:lineRule="auto"/>
        <w:ind w:firstLine="709"/>
        <w:jc w:val="both"/>
        <w:rPr>
          <w:rFonts w:ascii="Verdana" w:hAnsi="Verdana" w:cs="Arial"/>
          <w:lang w:val="es-ES_tradnl"/>
        </w:rPr>
      </w:pPr>
      <w:r>
        <w:rPr>
          <w:rFonts w:ascii="Verdana" w:hAnsi="Verdana" w:cs="Arial"/>
          <w:lang w:val="es-ES_tradnl"/>
        </w:rPr>
        <w:t xml:space="preserve">Sin embargo, esto no quiere decir que </w:t>
      </w:r>
      <w:r>
        <w:rPr>
          <w:rFonts w:ascii="Verdana" w:hAnsi="Verdana" w:cs="Arial"/>
          <w:i/>
          <w:iCs/>
          <w:lang w:val="es-ES_tradnl"/>
        </w:rPr>
        <w:t>toda</w:t>
      </w:r>
      <w:r>
        <w:rPr>
          <w:rFonts w:ascii="Verdana" w:hAnsi="Verdana" w:cs="Arial"/>
          <w:lang w:val="es-ES_tradnl"/>
        </w:rPr>
        <w:t xml:space="preserve"> instalación que se pacte, como obligación a cargo del contratista, permita clasificar el negocio jurídico como un contrato de obra pública. Así lo reconoció también la Sala de Consulta y Servicio Civil en el concepto al que se hizo referencia con anterioridad, indicando que “En la práctica se encuentran contratos para el suministro de equipos que involucran prestaciones adicionales relacionadas con su instalación, servicios de mantenimiento, y de capacitación tendientes a la entrega para la puesta en funcionamiento por parte de la entidad estatal”</w:t>
      </w:r>
      <w:r>
        <w:rPr>
          <w:vertAlign w:val="superscript"/>
        </w:rPr>
        <w:footnoteReference w:id="9"/>
      </w:r>
      <w:r>
        <w:rPr>
          <w:rFonts w:ascii="Verdana" w:hAnsi="Verdana" w:cs="Arial"/>
          <w:lang w:val="es-ES_tradnl"/>
        </w:rPr>
        <w:t>, agregando que “En el caso citado, no existe un contrato de compraventa o suministro de bienes muebles, un contrato de obra y un contrato de prestación de servicios. Se trata de un solo contrato con una prestación principal y unas accesorias relacionadas directamente con el primero”</w:t>
      </w:r>
      <w:r>
        <w:rPr>
          <w:vertAlign w:val="superscript"/>
        </w:rPr>
        <w:footnoteReference w:id="10"/>
      </w:r>
      <w:r>
        <w:rPr>
          <w:rFonts w:ascii="Verdana" w:hAnsi="Verdana" w:cs="Arial"/>
          <w:lang w:val="es-ES_tradnl"/>
        </w:rPr>
        <w:t>.</w:t>
      </w:r>
    </w:p>
    <w:p w14:paraId="759D6C1D" w14:textId="77777777" w:rsidR="00291670" w:rsidRDefault="00291670" w:rsidP="00291670">
      <w:pPr>
        <w:spacing w:after="120" w:line="276" w:lineRule="auto"/>
        <w:ind w:firstLine="709"/>
        <w:jc w:val="both"/>
        <w:rPr>
          <w:rFonts w:ascii="Verdana" w:hAnsi="Verdana" w:cs="Arial"/>
          <w:lang w:val="es-ES_tradnl"/>
        </w:rPr>
      </w:pPr>
      <w:r>
        <w:rPr>
          <w:rFonts w:ascii="Verdana" w:hAnsi="Verdana" w:cs="Arial"/>
          <w:lang w:val="es-ES_tradnl"/>
        </w:rPr>
        <w:lastRenderedPageBreak/>
        <w:t>En otras palabras, para la Sala, es posible que las entidades públicas, en ejercicio de su autonomía de la voluntad, celebren contratos estatales que involucren prestaciones mixtas, también denominados “contratos mixtos” –modalidad de contratos atípicos–, siempre que “las prestaciones correspondientes que pretendan fusionarse se encuentren directamente vinculadas entre sí, de tal manera que mantengan relaciones de complemento y que permitan predicar su tratamiento solo como una unidad funcional dirigida a la satisfacción de la necesidad de la entidad”</w:t>
      </w:r>
      <w:r>
        <w:rPr>
          <w:vertAlign w:val="superscript"/>
        </w:rPr>
        <w:footnoteReference w:id="11"/>
      </w:r>
      <w:r>
        <w:rPr>
          <w:rFonts w:ascii="Verdana" w:hAnsi="Verdana" w:cs="Arial"/>
          <w:lang w:val="es-ES_tradnl"/>
        </w:rPr>
        <w:t xml:space="preserve">. </w:t>
      </w:r>
    </w:p>
    <w:p w14:paraId="33499BB5" w14:textId="77777777" w:rsidR="00291670" w:rsidRDefault="00291670" w:rsidP="00291670">
      <w:pPr>
        <w:spacing w:after="120" w:line="276" w:lineRule="auto"/>
        <w:ind w:firstLine="709"/>
        <w:jc w:val="both"/>
        <w:rPr>
          <w:rFonts w:ascii="Verdana" w:hAnsi="Verdana" w:cs="Arial"/>
          <w:lang w:val="es-ES_tradnl"/>
        </w:rPr>
      </w:pPr>
      <w:r>
        <w:rPr>
          <w:rFonts w:ascii="Verdana" w:hAnsi="Verdana" w:cs="Arial"/>
          <w:lang w:val="es-ES_tradnl"/>
        </w:rPr>
        <w:t xml:space="preserve">La Agencia Nacional de Contratación Pública – Colombia Compra Eficiente comparte la tesis de la Sala de Consulta y Servicio Civil, pues considera que aquella se sustenta en dos argumentos: primero, en que el artículo 32 de la Ley 80 de 1993 no establece un listado taxativo de contratos estatales, sino que afirma que también lo son los “derivados del ejercicio de la autonomía de la voluntad”; y segundo, en que el artículo 40 ratifica lo anterior, al señalar que “Las entidades podrán celebrar los contratos y acuerdos que permitan la autonomía de la voluntad y requieran el cumplimiento de los fines estatales”. En consecuencia, las entidades estatales pueden celebrar contratos atípicos mixtos, respetando los límites del principio de legalidad, una de cuyas expresiones es la tipificación de los contratos estatales. </w:t>
      </w:r>
    </w:p>
    <w:p w14:paraId="29E73C4E" w14:textId="77777777" w:rsidR="00291670" w:rsidRDefault="00291670" w:rsidP="00291670">
      <w:pPr>
        <w:spacing w:after="120" w:line="276" w:lineRule="auto"/>
        <w:ind w:firstLine="709"/>
        <w:jc w:val="both"/>
        <w:rPr>
          <w:rFonts w:ascii="Verdana" w:hAnsi="Verdana" w:cs="Arial"/>
        </w:rPr>
      </w:pPr>
      <w:r>
        <w:rPr>
          <w:rFonts w:ascii="Verdana" w:hAnsi="Verdana" w:cs="Arial"/>
          <w:lang w:val="es-ES_tradnl"/>
        </w:rPr>
        <w:t xml:space="preserve">Expresado de otro modo, cuando el legislador haya establecido el contenido de un contrato, para tipificarlo y predicar, a partir de esta calificación, consecuencias jurídicas como la modalidad de selección aplicable, requisitos habilitantes o gravámenes tributarios, prevalece la caracterización establecida en la ley, en lugar de la definición convencional estipulada entre las partes. Sin embargo, esto no se opone, como se ha dicho, a que las entidades estatales y los particulares celebren contratos que mezclen elementos de distintas tipologías contractuales, como, por ejemplo, el suministro o la compraventa con la instalación, o el diseño con la construcción. En estos casos se perfeccionan contratos mixtos, denominados por la Sala de Consulta y Servicio Civil, “contratos atípicos con tipicidad social”, porque en ellos se “conjugan los </w:t>
      </w:r>
      <w:r>
        <w:rPr>
          <w:rFonts w:ascii="Verdana" w:hAnsi="Verdana" w:cs="Arial"/>
          <w:lang w:val="es-ES_tradnl"/>
        </w:rPr>
        <w:lastRenderedPageBreak/>
        <w:t>elementos de diversos contratos típicos en un solo contrato el cual tomará la denominación de contrato mixto”</w:t>
      </w:r>
      <w:r>
        <w:rPr>
          <w:vertAlign w:val="superscript"/>
        </w:rPr>
        <w:footnoteReference w:id="12"/>
      </w:r>
      <w:r>
        <w:rPr>
          <w:rFonts w:ascii="Verdana" w:hAnsi="Verdana" w:cs="Arial"/>
          <w:lang w:val="es-ES_tradnl"/>
        </w:rPr>
        <w:t>.</w:t>
      </w:r>
    </w:p>
    <w:p w14:paraId="2701561A" w14:textId="77777777" w:rsidR="00291670" w:rsidRDefault="00291670" w:rsidP="00291670">
      <w:pPr>
        <w:spacing w:after="120" w:line="276" w:lineRule="auto"/>
        <w:ind w:firstLine="709"/>
        <w:jc w:val="both"/>
        <w:rPr>
          <w:rFonts w:ascii="Verdana" w:hAnsi="Verdana" w:cs="Arial"/>
          <w:lang w:val="es-ES_tradnl"/>
        </w:rPr>
      </w:pPr>
      <w:r>
        <w:rPr>
          <w:rFonts w:ascii="Verdana" w:hAnsi="Verdana" w:cs="Arial"/>
          <w:lang w:val="es-ES_tradnl"/>
        </w:rPr>
        <w:t>Esta idea, de cualquier manera, no deja de generar interrogantes en el caso concreto. ¿Cómo se puede determinar en un caso concreto si el contrato es típico o mixto? Por ejemplo, para el supuesto de la instalación de equipos de aire acondicionado o mobiliario, ¿cómo se sabe si el contrato es o no uno de obra pública, teniendo en cuenta que el artículo 32, numeral 1, de la Ley 80 de 1993, dispone que la “instalación” de elementos sobre bienes inmuebles es constitutivo de esta tipología contractual? La Sala de Consulta y Servicio Civil del Consejo de Estado sugiere el siguiente criterio hermenéutico: “Ante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w:t>
      </w:r>
      <w:r>
        <w:rPr>
          <w:vertAlign w:val="superscript"/>
        </w:rPr>
        <w:footnoteReference w:id="13"/>
      </w:r>
      <w:r>
        <w:rPr>
          <w:rFonts w:ascii="Verdana" w:hAnsi="Verdana" w:cs="Arial"/>
          <w:lang w:val="es-ES_tradnl"/>
        </w:rPr>
        <w:t xml:space="preserve">. </w:t>
      </w:r>
    </w:p>
    <w:p w14:paraId="7950EE25" w14:textId="77777777" w:rsidR="00291670" w:rsidRDefault="00291670" w:rsidP="00291670">
      <w:pPr>
        <w:spacing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En similar sentido, de acuerdo con la jurisprudencia de la Sala de Casación Civil de la Corte Suprema de Justicia, el régimen contractual de los </w:t>
      </w:r>
      <w:r>
        <w:rPr>
          <w:rFonts w:ascii="Verdana" w:eastAsia="Calibri" w:hAnsi="Verdana" w:cs="Arial"/>
          <w:i/>
          <w:iCs/>
          <w:color w:val="000000" w:themeColor="text1"/>
          <w:lang w:val="es-ES_tradnl"/>
        </w:rPr>
        <w:t>contratos mixtos</w:t>
      </w:r>
      <w:r>
        <w:rPr>
          <w:rFonts w:ascii="Verdana" w:eastAsia="Calibri" w:hAnsi="Verdana" w:cs="Arial"/>
          <w:color w:val="000000" w:themeColor="text1"/>
          <w:lang w:val="es-ES_tradnl"/>
        </w:rPr>
        <w:t xml:space="preserve"> se ha determinado por el método de absorción. Conforme a este criterio, debe identificarse el objeto principal de la prestación para aplicar el régimen del contrato típico al que pertenece, es decir, las reglas que disciplinan el acuerdo en su conjunto se someten al contrato nominado del objeto principal. Por ello, “en el contrato mixto habría siempre un elemento prevalente que absorbe los elementos secundarios; esta circunstancia permitiría regular el contrato entero con las normas del contrato nominado correspondiente, el que estaría dotado de una fuerza de expansión respecto de las figuras contractuales que estén provistas de una función económica análoga”</w:t>
      </w:r>
      <w:r>
        <w:rPr>
          <w:vertAlign w:val="superscript"/>
        </w:rPr>
        <w:footnoteReference w:id="14"/>
      </w:r>
      <w:r>
        <w:rPr>
          <w:rFonts w:ascii="Verdana" w:eastAsia="Calibri" w:hAnsi="Verdana" w:cs="Arial"/>
          <w:color w:val="000000" w:themeColor="text1"/>
          <w:lang w:val="es-ES_tradnl"/>
        </w:rPr>
        <w:t xml:space="preserve">. </w:t>
      </w:r>
    </w:p>
    <w:p w14:paraId="30CD0551" w14:textId="77777777" w:rsidR="00291670" w:rsidRDefault="00291670" w:rsidP="00291670">
      <w:pPr>
        <w:spacing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La jurisprudencia citada también explica los métodos de analogía y combinación. El primero alude a que el contrato atípico se rige por las normas que disciplinan la figura contractual típica más parecida. El segundo, por su parte, considera que, si un contrato comprende prestaciones de diferentes tipologías, deben aplicarse las normas correspondientes a cada figura. Para la Corte Suprema de Justicia, los criterios de absorción y combinación se reducen a la analogía</w:t>
      </w:r>
      <w:r>
        <w:rPr>
          <w:vertAlign w:val="superscript"/>
        </w:rPr>
        <w:footnoteReference w:id="15"/>
      </w:r>
      <w:r>
        <w:rPr>
          <w:rFonts w:ascii="Verdana" w:eastAsia="Calibri" w:hAnsi="Verdana" w:cs="Arial"/>
          <w:color w:val="000000" w:themeColor="text1"/>
          <w:lang w:val="es-ES_tradnl"/>
        </w:rPr>
        <w:t>. En todo caso, la doctrina advierte que:</w:t>
      </w:r>
    </w:p>
    <w:p w14:paraId="4451C247" w14:textId="77777777" w:rsidR="00291670" w:rsidRDefault="00291670" w:rsidP="00291670">
      <w:pPr>
        <w:tabs>
          <w:tab w:val="left" w:pos="2208"/>
        </w:tabs>
        <w:spacing w:after="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r>
    </w:p>
    <w:p w14:paraId="0F96ED12" w14:textId="77777777" w:rsidR="00291670" w:rsidRDefault="00291670" w:rsidP="00291670">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“la afinidad con otros tipos no excluye una relevancia original y autónoma del contrato”. Por tanto, se hace necesario auscultar también el interés y la intención de las partes en el contrato atípico.</w:t>
      </w:r>
      <w:r>
        <w:rPr>
          <w:rFonts w:ascii="Verdana" w:hAnsi="Verdana" w:cs="Arial"/>
          <w:sz w:val="20"/>
          <w:szCs w:val="20"/>
        </w:rPr>
        <w:t xml:space="preserve"> </w:t>
      </w:r>
      <w:r>
        <w:rPr>
          <w:rFonts w:ascii="Verdana" w:eastAsia="Calibri" w:hAnsi="Verdana" w:cs="Arial"/>
          <w:color w:val="000000" w:themeColor="text1"/>
          <w:sz w:val="20"/>
          <w:szCs w:val="20"/>
        </w:rPr>
        <w:t>En últimas es la autonomía negocial la que da origen a los contratos innominados. La creación de un nuevo tipo contractual no es sino una adecuación progresiva del fenómeno de la autonomía negocial a los intereses específicos de los sujetos. La creación de un nuevo tipo contractual no es sino la adecuación progresiva del fenómeno de la autonomía negocial a los intereses específicos de los sujetos</w:t>
      </w:r>
      <w:r>
        <w:rPr>
          <w:vertAlign w:val="superscript"/>
        </w:rPr>
        <w:footnoteReference w:id="16"/>
      </w:r>
      <w:r>
        <w:rPr>
          <w:rFonts w:ascii="Verdana" w:eastAsia="Calibri" w:hAnsi="Verdana" w:cs="Arial"/>
          <w:color w:val="000000" w:themeColor="text1"/>
          <w:sz w:val="20"/>
          <w:szCs w:val="20"/>
        </w:rPr>
        <w:t>.</w:t>
      </w:r>
    </w:p>
    <w:p w14:paraId="2C1185C3" w14:textId="77777777" w:rsidR="00291670" w:rsidRDefault="00291670" w:rsidP="00291670">
      <w:pPr>
        <w:spacing w:after="0" w:line="240" w:lineRule="auto"/>
        <w:ind w:left="709" w:right="709"/>
        <w:jc w:val="both"/>
        <w:rPr>
          <w:rFonts w:ascii="Verdana" w:eastAsia="Calibri" w:hAnsi="Verdana" w:cs="Arial"/>
          <w:color w:val="000000" w:themeColor="text1"/>
          <w:sz w:val="20"/>
          <w:szCs w:val="20"/>
        </w:rPr>
      </w:pPr>
    </w:p>
    <w:p w14:paraId="3745427D" w14:textId="77777777" w:rsidR="00291670" w:rsidRDefault="00291670" w:rsidP="00291670">
      <w:pPr>
        <w:spacing w:after="120" w:line="276" w:lineRule="auto"/>
        <w:ind w:firstLine="709"/>
        <w:jc w:val="both"/>
        <w:rPr>
          <w:rFonts w:ascii="Verdana" w:hAnsi="Verdana" w:cs="Arial"/>
          <w:lang w:val="es-ES"/>
        </w:rPr>
      </w:pPr>
      <w:r>
        <w:rPr>
          <w:rFonts w:ascii="Verdana" w:hAnsi="Verdana" w:cs="Arial"/>
          <w:lang w:val="es-ES"/>
        </w:rPr>
        <w:t xml:space="preserve">Con fundamento en lo anterior, puede decirse que la obligación de instalar un bien mueble en un inmueble –convirtiendo a aquel en un inmueble por adhesión o por destinación– </w:t>
      </w:r>
      <w:r>
        <w:rPr>
          <w:rFonts w:ascii="Verdana" w:hAnsi="Verdana" w:cs="Arial"/>
          <w:i/>
          <w:lang w:val="es-ES"/>
        </w:rPr>
        <w:t>no</w:t>
      </w:r>
      <w:r>
        <w:rPr>
          <w:rFonts w:ascii="Verdana" w:hAnsi="Verdana" w:cs="Arial"/>
          <w:lang w:val="es-ES"/>
        </w:rPr>
        <w:t xml:space="preserve"> es privativa del contrato de obra pública, pues puede estar presente también en un contrato de suministro, de compraventa o en un contrato mixto (atípico). Lo que determinará cuál es la tipología contractual o la existencia del contrato mixto será la valoración de los siguientes elementos: i) la definición de cuál es la prestación principal del contrato, </w:t>
      </w:r>
      <w:proofErr w:type="spellStart"/>
      <w:r>
        <w:rPr>
          <w:rFonts w:ascii="Verdana" w:hAnsi="Verdana" w:cs="Arial"/>
          <w:lang w:val="es-ES"/>
        </w:rPr>
        <w:t>ii</w:t>
      </w:r>
      <w:proofErr w:type="spellEnd"/>
      <w:r>
        <w:rPr>
          <w:rFonts w:ascii="Verdana" w:hAnsi="Verdana" w:cs="Arial"/>
          <w:lang w:val="es-ES"/>
        </w:rPr>
        <w:t xml:space="preserve">) la finalidad de las partes y </w:t>
      </w:r>
      <w:proofErr w:type="spellStart"/>
      <w:r>
        <w:rPr>
          <w:rFonts w:ascii="Verdana" w:hAnsi="Verdana" w:cs="Arial"/>
          <w:lang w:val="es-ES"/>
        </w:rPr>
        <w:t>iii</w:t>
      </w:r>
      <w:proofErr w:type="spellEnd"/>
      <w:r>
        <w:rPr>
          <w:rFonts w:ascii="Verdana" w:hAnsi="Verdana" w:cs="Arial"/>
          <w:lang w:val="es-ES"/>
        </w:rPr>
        <w:t xml:space="preserve">) si se trata de prestaciones mixtas, “que las prestaciones correspondientes que pretendan fusionarse se encuentren </w:t>
      </w:r>
      <w:r>
        <w:rPr>
          <w:rFonts w:ascii="Verdana" w:hAnsi="Verdana" w:cs="Arial"/>
          <w:lang w:val="es-ES"/>
        </w:rPr>
        <w:lastRenderedPageBreak/>
        <w:t>directamente vinculadas entre sí, de tal manera que mantengan relaciones de complemento y que permitan predicar su tratamiento solo como una unidad funcional dirigida a la satisfacción de la necesidad de la entidad”</w:t>
      </w:r>
      <w:r>
        <w:rPr>
          <w:vertAlign w:val="superscript"/>
        </w:rPr>
        <w:footnoteReference w:id="17"/>
      </w:r>
      <w:r>
        <w:rPr>
          <w:rFonts w:ascii="Verdana" w:hAnsi="Verdana" w:cs="Arial"/>
          <w:lang w:val="es-ES"/>
        </w:rPr>
        <w:t>. Este es un análisis que, por tanto, debe realizarse en cada caso concreto, considerando los datos técnicos y económicos del objeto contractual.</w:t>
      </w:r>
    </w:p>
    <w:p w14:paraId="7714752C" w14:textId="77777777" w:rsidR="00291670" w:rsidRDefault="00291670" w:rsidP="00291670">
      <w:pPr>
        <w:spacing w:after="120" w:line="276" w:lineRule="auto"/>
        <w:ind w:firstLine="709"/>
        <w:jc w:val="both"/>
        <w:rPr>
          <w:rFonts w:ascii="Verdana" w:hAnsi="Verdana" w:cs="Arial"/>
          <w:lang w:eastAsia="es-ES_tradnl"/>
        </w:rPr>
      </w:pPr>
      <w:r>
        <w:rPr>
          <w:rFonts w:ascii="Verdana" w:hAnsi="Verdana" w:cs="Arial"/>
          <w:lang w:val="es-ES" w:eastAsia="es-ES_tradnl"/>
        </w:rPr>
        <w:t xml:space="preserve">En este contexto, </w:t>
      </w:r>
      <w:r>
        <w:rPr>
          <w:rFonts w:ascii="Verdana" w:hAnsi="Verdana" w:cs="Arial"/>
          <w:lang w:eastAsia="es-ES_tradnl"/>
        </w:rPr>
        <w:t xml:space="preserve">no es posible afirmar de manera categórica que el suministro e instalación de bienes mueble como los aires acondicionados en un inmueble deba clasificarse, en todos los casos, como un contrato de obra. Para establecer la naturaleza jurídica de este tipo de contratos, la entidad estatal debe analizar las circunstancias particulares de cada caso y considerar los criterios fijados que permitan identificar la prestación principal, la finalidad de las partes y la relación de conexidad de las prestaciones.  </w:t>
      </w:r>
    </w:p>
    <w:p w14:paraId="66E008ED" w14:textId="77777777" w:rsidR="00291670" w:rsidRDefault="00291670" w:rsidP="00291670">
      <w:pPr>
        <w:spacing w:after="120" w:line="276" w:lineRule="auto"/>
        <w:ind w:firstLine="709"/>
        <w:jc w:val="both"/>
        <w:rPr>
          <w:rFonts w:ascii="Verdana" w:hAnsi="Verdana" w:cs="Arial"/>
          <w:lang w:val="es-ES_tradnl"/>
        </w:rPr>
      </w:pPr>
      <w:r>
        <w:rPr>
          <w:rFonts w:ascii="Verdana" w:hAnsi="Verdana" w:cs="Arial"/>
          <w:lang w:eastAsia="es-ES_tradnl"/>
        </w:rPr>
        <w:t>Atendiendo a lo señalado por l</w:t>
      </w:r>
      <w:r>
        <w:rPr>
          <w:rFonts w:ascii="Verdana" w:hAnsi="Verdana" w:cs="Arial"/>
          <w:lang w:val="es-ES_tradnl"/>
        </w:rPr>
        <w:t>a Sala de Consulta y Servicio Civil del Consejo de Estado,</w:t>
      </w:r>
      <w:r>
        <w:rPr>
          <w:rFonts w:ascii="Verdana" w:eastAsia="Calibri" w:hAnsi="Verdana"/>
          <w:color w:val="000000" w:themeColor="text1"/>
        </w:rPr>
        <w:t xml:space="preserve"> adhiriéndose al método de absorción para efectos de integrar el régimen jurídico aplicable,</w:t>
      </w:r>
      <w:r>
        <w:rPr>
          <w:rFonts w:ascii="Verdana" w:hAnsi="Verdana" w:cs="Arial"/>
          <w:lang w:val="es-ES_tradnl"/>
        </w:rPr>
        <w:t xml:space="preserve"> se considera que en el caso referido es fundamental determinar la prestación principal para establecer dicho </w:t>
      </w:r>
      <w:r>
        <w:rPr>
          <w:rFonts w:ascii="Verdana" w:hAnsi="Verdana" w:cs="Arial"/>
          <w:lang w:eastAsia="es-ES_tradnl"/>
        </w:rPr>
        <w:t>régimen</w:t>
      </w:r>
      <w:r>
        <w:rPr>
          <w:rFonts w:ascii="Verdana" w:hAnsi="Verdana" w:cs="Arial"/>
          <w:lang w:val="es-ES_tradnl"/>
        </w:rPr>
        <w:t xml:space="preserve">, </w:t>
      </w:r>
      <w:r>
        <w:rPr>
          <w:rFonts w:ascii="Verdana" w:hAnsi="Verdana" w:cs="Arial"/>
          <w:lang w:eastAsia="es-ES_tradnl"/>
        </w:rPr>
        <w:t xml:space="preserve">teniendo en cuenta que la tipología contractual </w:t>
      </w:r>
      <w:r>
        <w:rPr>
          <w:rFonts w:ascii="Verdana" w:hAnsi="Verdana" w:cs="Arial"/>
          <w:lang w:val="es-ES" w:eastAsia="es-ES_tradnl"/>
        </w:rPr>
        <w:t xml:space="preserve">es importante para definir aspectos como la modalidad de selección que debe utilizar la entidad y los requisitos habilitantes o ponderables que deben incorporar en el pliego de condiciones para la selección objetiva de la mejor oferta. </w:t>
      </w:r>
    </w:p>
    <w:p w14:paraId="3BC35453" w14:textId="77777777" w:rsidR="00291670" w:rsidRDefault="00291670" w:rsidP="00291670">
      <w:pPr>
        <w:spacing w:after="120" w:line="276" w:lineRule="auto"/>
        <w:ind w:firstLine="709"/>
        <w:jc w:val="both"/>
        <w:rPr>
          <w:rFonts w:ascii="Verdana" w:hAnsi="Verdana" w:cs="Arial"/>
          <w:lang w:eastAsia="es-ES_tradnl"/>
        </w:rPr>
      </w:pPr>
      <w:r>
        <w:rPr>
          <w:rFonts w:ascii="Verdana" w:hAnsi="Verdana" w:cs="Arial"/>
          <w:lang w:eastAsia="es-ES_tradnl"/>
        </w:rPr>
        <w:t xml:space="preserve">Para tales efectos, la entidad estatal podría determinar </w:t>
      </w:r>
      <w:r>
        <w:rPr>
          <w:rFonts w:ascii="Verdana" w:eastAsia="Calibri" w:hAnsi="Verdana" w:cs="Arial"/>
          <w:color w:val="000000" w:themeColor="text1"/>
          <w:lang w:val="es-ES_tradnl"/>
        </w:rPr>
        <w:t>el régimen del contrato típico al que pertenece</w:t>
      </w:r>
      <w:r>
        <w:rPr>
          <w:rFonts w:ascii="Verdana" w:hAnsi="Verdana" w:cs="Arial"/>
          <w:lang w:eastAsia="es-ES_tradnl"/>
        </w:rPr>
        <w:t xml:space="preserve"> atendiendo a cuál de las obligaciones - suministro o instalación -,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el aire acondicionado. </w:t>
      </w:r>
    </w:p>
    <w:p w14:paraId="4F86C107" w14:textId="77777777" w:rsidR="00291670" w:rsidRDefault="00291670" w:rsidP="00291670">
      <w:pPr>
        <w:spacing w:after="120" w:line="276" w:lineRule="auto"/>
        <w:ind w:firstLine="709"/>
        <w:jc w:val="both"/>
        <w:rPr>
          <w:rFonts w:ascii="Verdana" w:hAnsi="Verdana" w:cs="Arial"/>
          <w:lang w:eastAsia="es-ES_tradnl"/>
        </w:rPr>
      </w:pPr>
      <w:r>
        <w:rPr>
          <w:rFonts w:ascii="Verdana" w:hAnsi="Verdana" w:cs="Arial"/>
          <w:lang w:eastAsia="es-ES_tradnl"/>
        </w:rPr>
        <w:t xml:space="preserve">En esta línea, uno de los criterios que podrían ser utilizados consiste en identificar el porcentaje del presupuesto destinado a las actividades de instalación e intervención del inmueble respecto del valor total del contrato. Otro criterio también está relacionado con la complejidad técnica y física de las labores de instalación. De esta manera, si por ejemplo, el valor de las actividades </w:t>
      </w:r>
      <w:r>
        <w:rPr>
          <w:rFonts w:ascii="Verdana" w:hAnsi="Verdana" w:cs="Arial"/>
          <w:lang w:eastAsia="es-ES_tradnl"/>
        </w:rPr>
        <w:lastRenderedPageBreak/>
        <w:t xml:space="preserve">de instalación supera significativamente, más del 50 % del presupuesto, o si dichas actividades constituyen la esencia del negocio jurídico, o confluyen ambos criterios, podría concluirse que se trata de un contrato de obra y no de un simple contrato de suministro. </w:t>
      </w:r>
    </w:p>
    <w:p w14:paraId="7FA81151" w14:textId="39BC7D7D" w:rsidR="00291670" w:rsidRDefault="00291670" w:rsidP="00291670">
      <w:pPr>
        <w:spacing w:after="120" w:line="276" w:lineRule="auto"/>
        <w:ind w:firstLine="709"/>
        <w:jc w:val="both"/>
        <w:rPr>
          <w:rFonts w:ascii="Verdana" w:hAnsi="Verdana" w:cs="Arial"/>
          <w:lang w:eastAsia="es-ES_tradnl"/>
        </w:rPr>
      </w:pPr>
      <w:r>
        <w:rPr>
          <w:rFonts w:ascii="Verdana" w:hAnsi="Verdana" w:cs="Arial"/>
          <w:lang w:eastAsia="es-ES_tradnl"/>
        </w:rPr>
        <w:t>En contraste, si las labores de instalación son secundarias o accesorias, en su valor económico o en su complejidad técnica, y el elemento central del negocio jurídico es la entrega de los bienes muebles, la naturaleza del contrato correspondería a la de suministro. Esto podría sucede</w:t>
      </w:r>
      <w:r w:rsidR="00F34245">
        <w:rPr>
          <w:rFonts w:ascii="Verdana" w:hAnsi="Verdana" w:cs="Arial"/>
          <w:lang w:eastAsia="es-ES_tradnl"/>
        </w:rPr>
        <w:t>r</w:t>
      </w:r>
      <w:r>
        <w:rPr>
          <w:rFonts w:ascii="Verdana" w:hAnsi="Verdana" w:cs="Arial"/>
          <w:lang w:eastAsia="es-ES_tradnl"/>
        </w:rPr>
        <w:t xml:space="preserve"> cuando la instalación se limita a ajustes menores, sin afectar la estructura o funcionamiento del inmueble.</w:t>
      </w:r>
    </w:p>
    <w:p w14:paraId="6DAD4037" w14:textId="77777777" w:rsidR="00291670" w:rsidRDefault="00291670" w:rsidP="00291670">
      <w:pPr>
        <w:spacing w:after="120" w:line="276" w:lineRule="auto"/>
        <w:ind w:firstLine="709"/>
        <w:jc w:val="both"/>
        <w:rPr>
          <w:rFonts w:ascii="Verdana" w:hAnsi="Verdana" w:cs="Arial"/>
          <w:lang w:eastAsia="es-ES_tradnl"/>
        </w:rPr>
      </w:pPr>
      <w:r>
        <w:rPr>
          <w:rFonts w:ascii="Verdana" w:hAnsi="Verdana" w:cs="Arial"/>
          <w:lang w:eastAsia="es-ES_tradnl"/>
        </w:rPr>
        <w:t>En este análisis, es de especial relevancia que la entidad estatal analice escenarios en los cuales, aunque el valor de los bienes objeto de suministro supere el de las actividades de instalación, el alcance de las obras necesarias para adecuar o intervenir el inmueble es tan significativo que la esencia del contrato deja de ser la provisión de los bienes y pasa a ser la ejecución de la obra misma. 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2A857E7C" w14:textId="77777777" w:rsidR="00291670" w:rsidRDefault="00291670" w:rsidP="00291670">
      <w:pPr>
        <w:spacing w:after="120" w:line="276" w:lineRule="auto"/>
        <w:ind w:firstLine="709"/>
        <w:jc w:val="both"/>
        <w:rPr>
          <w:rFonts w:ascii="Verdana" w:hAnsi="Verdana" w:cs="Arial"/>
          <w:lang w:eastAsia="es-ES_tradnl"/>
        </w:rPr>
      </w:pPr>
      <w:r>
        <w:rPr>
          <w:rFonts w:ascii="Verdana" w:hAnsi="Verdana" w:cs="Arial"/>
          <w:lang w:eastAsia="es-ES_tradnl"/>
        </w:rPr>
        <w:t>En este contexto, a juicio de esta Agencia, es importante que la entidad realice una valoración integral de las actividades y obligaciones del contrato teniendo en cuenta los distintos criterios expuestos para para determinar el régimen contractual aplicable al contrato. En todo caso, la aplicación de los criterios para calificar el contrato no puede utilizarse con el fin de evitar las cargas tributarias que correspondan por ley, teniendo en cuenta que algunas tipologías contractuales generan obligaciones específicas en materia de impuestos u otros gravámenes. Es decir, la aplicación de estos criterios no puede ser alterada para evitar las cargas tributarias asociadas a un contrato de obra, presentándolo como un contrato de suministro cuando, en realidad, la prestación predominante evidencia que su verdadera naturaleza es la de un contrato de obra.</w:t>
      </w:r>
    </w:p>
    <w:p w14:paraId="5E52224D" w14:textId="77777777" w:rsidR="00291670" w:rsidRDefault="00291670" w:rsidP="00291670">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lastRenderedPageBreak/>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FFADA36" w14:textId="77777777" w:rsidR="00291670" w:rsidRDefault="00291670" w:rsidP="00291670">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5921539" w14:textId="77777777" w:rsidR="00291670" w:rsidRDefault="00291670" w:rsidP="00291670">
      <w:pPr>
        <w:widowControl w:val="0"/>
        <w:autoSpaceDE w:val="0"/>
        <w:autoSpaceDN w:val="0"/>
        <w:spacing w:after="0" w:line="276" w:lineRule="auto"/>
        <w:ind w:firstLine="709"/>
        <w:jc w:val="both"/>
        <w:rPr>
          <w:rFonts w:ascii="Verdana" w:eastAsia="Arial" w:hAnsi="Verdana" w:cs="Arial"/>
          <w:lang w:val="es-ES"/>
        </w:rPr>
      </w:pPr>
    </w:p>
    <w:p w14:paraId="7044E9BF" w14:textId="77777777" w:rsidR="00291670" w:rsidRDefault="00291670" w:rsidP="00291670">
      <w:pPr>
        <w:numPr>
          <w:ilvl w:val="0"/>
          <w:numId w:val="37"/>
        </w:num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Referencias normativas y jurisprudenciales:</w:t>
      </w:r>
    </w:p>
    <w:p w14:paraId="1EC82D83" w14:textId="77777777" w:rsidR="00291670" w:rsidRDefault="00291670" w:rsidP="00291670">
      <w:pPr>
        <w:widowControl w:val="0"/>
        <w:autoSpaceDE w:val="0"/>
        <w:autoSpaceDN w:val="0"/>
        <w:spacing w:after="0" w:line="276" w:lineRule="auto"/>
        <w:jc w:val="both"/>
        <w:rPr>
          <w:rFonts w:ascii="Verdana" w:hAnsi="Verdana" w:cs="Arial"/>
        </w:rPr>
      </w:pPr>
    </w:p>
    <w:tbl>
      <w:tblPr>
        <w:tblStyle w:val="Tablaconcuadrcula"/>
        <w:tblW w:w="8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91670" w14:paraId="52147D45" w14:textId="77777777">
        <w:trPr>
          <w:trHeight w:val="410"/>
          <w:jc w:val="center"/>
        </w:trPr>
        <w:tc>
          <w:tcPr>
            <w:tcW w:w="8647" w:type="dxa"/>
            <w:tcBorders>
              <w:top w:val="dotted" w:sz="4" w:space="0" w:color="auto"/>
              <w:left w:val="dotted" w:sz="4" w:space="0" w:color="auto"/>
              <w:bottom w:val="dotted" w:sz="4" w:space="0" w:color="auto"/>
              <w:right w:val="dotted" w:sz="4" w:space="0" w:color="auto"/>
            </w:tcBorders>
            <w:hideMark/>
          </w:tcPr>
          <w:p w14:paraId="0086CE70" w14:textId="77777777" w:rsidR="00291670" w:rsidRDefault="00291670" w:rsidP="00291670">
            <w:pPr>
              <w:numPr>
                <w:ilvl w:val="0"/>
                <w:numId w:val="38"/>
              </w:numPr>
              <w:spacing w:line="276" w:lineRule="auto"/>
              <w:ind w:left="360"/>
              <w:contextualSpacing/>
              <w:jc w:val="both"/>
              <w:rPr>
                <w:rFonts w:ascii="Verdana" w:hAnsi="Verdana" w:cs="Arial"/>
                <w:sz w:val="24"/>
                <w:lang w:val="es-ES"/>
              </w:rPr>
            </w:pPr>
            <w:r>
              <w:rPr>
                <w:rFonts w:ascii="Verdana" w:hAnsi="Verdana" w:cs="Arial"/>
                <w:lang w:val="es-ES"/>
              </w:rPr>
              <w:t>Ley 80 de 1993, artículos 2, 13, 32 y 40</w:t>
            </w:r>
          </w:p>
          <w:p w14:paraId="4EAA5BFA" w14:textId="77777777" w:rsidR="00291670" w:rsidRDefault="00291670" w:rsidP="00291670">
            <w:pPr>
              <w:numPr>
                <w:ilvl w:val="0"/>
                <w:numId w:val="38"/>
              </w:numPr>
              <w:spacing w:line="276" w:lineRule="auto"/>
              <w:ind w:left="360"/>
              <w:contextualSpacing/>
              <w:jc w:val="both"/>
              <w:rPr>
                <w:rFonts w:ascii="Verdana" w:hAnsi="Verdana" w:cs="Arial"/>
                <w:sz w:val="24"/>
                <w:lang w:val="es-ES"/>
              </w:rPr>
            </w:pPr>
            <w:r>
              <w:rPr>
                <w:rFonts w:ascii="Verdana" w:hAnsi="Verdana" w:cs="Arial"/>
                <w:lang w:val="es-ES"/>
              </w:rPr>
              <w:t>Código Civil: 656, 658 y 2053</w:t>
            </w:r>
          </w:p>
          <w:p w14:paraId="789775FC" w14:textId="77777777" w:rsidR="00291670" w:rsidRDefault="00291670" w:rsidP="00291670">
            <w:pPr>
              <w:numPr>
                <w:ilvl w:val="0"/>
                <w:numId w:val="38"/>
              </w:numPr>
              <w:spacing w:line="276" w:lineRule="auto"/>
              <w:ind w:left="360"/>
              <w:contextualSpacing/>
              <w:jc w:val="both"/>
              <w:rPr>
                <w:rFonts w:ascii="Verdana" w:hAnsi="Verdana" w:cs="Arial"/>
                <w:lang w:val="es-ES"/>
              </w:rPr>
            </w:pPr>
            <w:r>
              <w:rPr>
                <w:rFonts w:ascii="Verdana" w:hAnsi="Verdana" w:cs="Arial"/>
              </w:rPr>
              <w:t>Consejo de Estado. Sala de Consulta y Servicio Civil. Concepto del 5 de septiembre de 2018. Consejero Ponente: Edgar González López. Radicación interna: 2386.</w:t>
            </w:r>
          </w:p>
          <w:p w14:paraId="65964CFD" w14:textId="77777777" w:rsidR="00291670" w:rsidRDefault="00291670" w:rsidP="00291670">
            <w:pPr>
              <w:widowControl w:val="0"/>
              <w:numPr>
                <w:ilvl w:val="0"/>
                <w:numId w:val="39"/>
              </w:numPr>
              <w:autoSpaceDE w:val="0"/>
              <w:autoSpaceDN w:val="0"/>
              <w:spacing w:line="276" w:lineRule="auto"/>
              <w:ind w:left="318" w:hanging="284"/>
              <w:jc w:val="both"/>
              <w:rPr>
                <w:rFonts w:ascii="Verdana" w:hAnsi="Verdana" w:cs="Arial"/>
                <w:lang w:val="es-ES"/>
              </w:rPr>
            </w:pPr>
            <w:r>
              <w:rPr>
                <w:rFonts w:ascii="Verdana" w:hAnsi="Verdana" w:cs="Arial"/>
              </w:rPr>
              <w:t>CORTE SUPREMA DE JUSTICIA. Sala de Casación Civil. Sentencia del 5 de diciembre de 1956. M.P. Pablo Emilio Manotas</w:t>
            </w:r>
          </w:p>
        </w:tc>
      </w:tr>
    </w:tbl>
    <w:p w14:paraId="7716A777" w14:textId="77777777" w:rsidR="00291670" w:rsidRDefault="00291670" w:rsidP="00291670">
      <w:pPr>
        <w:widowControl w:val="0"/>
        <w:autoSpaceDE w:val="0"/>
        <w:autoSpaceDN w:val="0"/>
        <w:spacing w:after="0" w:line="276" w:lineRule="auto"/>
        <w:jc w:val="both"/>
        <w:rPr>
          <w:rFonts w:ascii="Verdana" w:hAnsi="Verdana" w:cs="Arial"/>
        </w:rPr>
      </w:pPr>
    </w:p>
    <w:p w14:paraId="3B23738C" w14:textId="77777777" w:rsidR="00291670" w:rsidRDefault="00291670" w:rsidP="00291670">
      <w:pPr>
        <w:numPr>
          <w:ilvl w:val="0"/>
          <w:numId w:val="37"/>
        </w:num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5A148A50" w14:textId="77777777" w:rsidR="00291670" w:rsidRDefault="00291670" w:rsidP="00291670">
      <w:pPr>
        <w:widowControl w:val="0"/>
        <w:autoSpaceDE w:val="0"/>
        <w:autoSpaceDN w:val="0"/>
        <w:spacing w:after="0" w:line="276" w:lineRule="auto"/>
        <w:jc w:val="both"/>
        <w:rPr>
          <w:rFonts w:ascii="Verdana" w:hAnsi="Verdana" w:cs="Arial"/>
        </w:rPr>
      </w:pPr>
    </w:p>
    <w:p w14:paraId="610B11B3" w14:textId="77777777" w:rsidR="00291670" w:rsidRDefault="00291670" w:rsidP="00291670">
      <w:pPr>
        <w:widowControl w:val="0"/>
        <w:autoSpaceDE w:val="0"/>
        <w:autoSpaceDN w:val="0"/>
        <w:spacing w:after="0" w:line="276" w:lineRule="auto"/>
        <w:jc w:val="both"/>
        <w:rPr>
          <w:rFonts w:ascii="Verdana" w:hAnsi="Verdana" w:cs="Arial"/>
          <w:shd w:val="clear" w:color="auto" w:fill="FFFFFF"/>
        </w:rPr>
      </w:pPr>
      <w:r>
        <w:rPr>
          <w:rFonts w:ascii="Verdana" w:hAnsi="Verdana" w:cs="Arial"/>
          <w:color w:val="000000" w:themeColor="text1"/>
          <w:shd w:val="clear" w:color="auto" w:fill="FFFFFF"/>
          <w:lang w:val="es-ES"/>
        </w:rPr>
        <w:t>La Agencia Nacional de Contratación Pública – Colombia Compra Eficiente se ha referido</w:t>
      </w:r>
      <w:r>
        <w:rPr>
          <w:rFonts w:ascii="Verdana" w:eastAsia="Calibri" w:hAnsi="Verdana" w:cs="Arial"/>
          <w:lang w:val="es-ES" w:eastAsia="es-ES_tradnl"/>
        </w:rPr>
        <w:t xml:space="preserve"> a los contratos Mixtos y objetos sociales con prestaciones mixtas en los conceptos </w:t>
      </w:r>
      <w:r>
        <w:rPr>
          <w:rFonts w:ascii="Verdana" w:eastAsia="Calibri" w:hAnsi="Verdana"/>
          <w:bCs/>
          <w:lang w:val="es-ES"/>
        </w:rPr>
        <w:t xml:space="preserve">con radicados 2201913000009572 y 2201913000009588 del 24 de </w:t>
      </w:r>
      <w:r>
        <w:rPr>
          <w:rFonts w:ascii="Verdana" w:eastAsia="Calibri" w:hAnsi="Verdana"/>
          <w:bCs/>
          <w:lang w:val="es-ES"/>
        </w:rPr>
        <w:lastRenderedPageBreak/>
        <w:t xml:space="preserve">diciembre de 2019, C-694 del 29 de diciembre de 2021, C-440 del 2 de septiembre de 2021, </w:t>
      </w:r>
      <w:r>
        <w:rPr>
          <w:rFonts w:ascii="Verdana" w:hAnsi="Verdana"/>
          <w:lang w:val="es-ES"/>
        </w:rPr>
        <w:t>C–933 de 2022</w:t>
      </w:r>
      <w:r>
        <w:rPr>
          <w:rFonts w:ascii="Verdana" w:hAnsi="Verdana" w:cs="Arial"/>
          <w:color w:val="000000" w:themeColor="text1"/>
          <w:shd w:val="clear" w:color="auto" w:fill="FFFFFF"/>
          <w:lang w:val="es-ES"/>
        </w:rPr>
        <w:t>, C</w:t>
      </w:r>
      <w:r>
        <w:rPr>
          <w:rFonts w:ascii="Verdana" w:hAnsi="Verdana"/>
          <w:lang w:val="es-ES"/>
        </w:rPr>
        <w:t>–</w:t>
      </w:r>
      <w:r>
        <w:rPr>
          <w:rFonts w:ascii="Verdana" w:hAnsi="Verdana" w:cs="Arial"/>
          <w:color w:val="000000" w:themeColor="text1"/>
          <w:shd w:val="clear" w:color="auto" w:fill="FFFFFF"/>
          <w:lang w:val="es-ES"/>
        </w:rPr>
        <w:t>484 del 09 de octubre de 2024 y C-864 del 11 de agosto de 2025.</w:t>
      </w:r>
      <w:r>
        <w:rPr>
          <w:rFonts w:ascii="Verdana" w:hAnsi="Verdana" w:cs="Arial"/>
          <w:shd w:val="clear" w:color="auto" w:fill="FFFFFF"/>
          <w:lang w:val="es-ES"/>
        </w:rPr>
        <w:t xml:space="preserve"> </w:t>
      </w:r>
      <w:r>
        <w:rPr>
          <w:rFonts w:ascii="Verdana" w:hAnsi="Verdana" w:cs="Arial"/>
          <w:shd w:val="clear" w:color="auto" w:fill="FFFFFF"/>
        </w:rPr>
        <w:t>Es</w:t>
      </w:r>
      <w:r>
        <w:rPr>
          <w:rFonts w:ascii="Verdana" w:hAnsi="Verdana"/>
        </w:rPr>
        <w:t>te y otros conceptos se encuentran disponibles para consulta en el Sistema de relatoría de la Agencia, al cual se puede acceder a través del siguiente enlace:</w:t>
      </w:r>
      <w:r>
        <w:rPr>
          <w:rFonts w:ascii="Verdana" w:hAnsi="Verdana" w:cs="Arial"/>
          <w:shd w:val="clear" w:color="auto" w:fill="FFFFFF"/>
        </w:rPr>
        <w:t xml:space="preserve"> </w:t>
      </w:r>
      <w:hyperlink r:id="rId13" w:history="1">
        <w:r>
          <w:rPr>
            <w:rStyle w:val="Hipervnculo"/>
            <w:rFonts w:ascii="Verdana" w:hAnsi="Verdana" w:cs="Arial"/>
            <w:shd w:val="clear" w:color="auto" w:fill="FFFFFF"/>
          </w:rPr>
          <w:t>https://relatoria.colombiacompra.gov.co/</w:t>
        </w:r>
      </w:hyperlink>
      <w:r>
        <w:rPr>
          <w:rFonts w:ascii="Verdana" w:hAnsi="Verdana" w:cs="Arial"/>
          <w:shd w:val="clear" w:color="auto" w:fill="FFFFFF"/>
        </w:rPr>
        <w:t xml:space="preserve"> </w:t>
      </w:r>
    </w:p>
    <w:p w14:paraId="00B2FCCA" w14:textId="77777777" w:rsidR="00291670" w:rsidRDefault="00291670" w:rsidP="00291670">
      <w:pPr>
        <w:widowControl w:val="0"/>
        <w:autoSpaceDE w:val="0"/>
        <w:autoSpaceDN w:val="0"/>
        <w:spacing w:after="0" w:line="276" w:lineRule="auto"/>
        <w:jc w:val="both"/>
        <w:rPr>
          <w:rFonts w:ascii="Verdana" w:hAnsi="Verdana" w:cs="Arial"/>
          <w:shd w:val="clear" w:color="auto" w:fill="FFFFFF"/>
        </w:rPr>
      </w:pPr>
    </w:p>
    <w:p w14:paraId="6D986F0D" w14:textId="77777777" w:rsidR="00291670" w:rsidRDefault="00291670" w:rsidP="00291670">
      <w:pPr>
        <w:shd w:val="clear" w:color="auto" w:fill="FFFFFF"/>
        <w:spacing w:after="0" w:line="276" w:lineRule="auto"/>
        <w:jc w:val="both"/>
        <w:rPr>
          <w:rFonts w:ascii="Verdana" w:hAnsi="Verdana" w:cs="Times New Roman"/>
          <w:color w:val="467886"/>
          <w:u w:val="single"/>
        </w:rPr>
      </w:pPr>
      <w:r>
        <w:rPr>
          <w:rFonts w:ascii="Verdana" w:eastAsia="Calibri" w:hAnsi="Verdana" w:cs="Times New Roman"/>
          <w:color w:val="000000"/>
        </w:rPr>
        <w:t>Te informamos que ya se encuentra disponible la </w:t>
      </w:r>
      <w:r>
        <w:rPr>
          <w:rFonts w:ascii="Verdana" w:eastAsia="Calibri" w:hAnsi="Verdana" w:cs="Times New Roman"/>
          <w:b/>
          <w:bCs/>
          <w:color w:val="000000"/>
        </w:rPr>
        <w:t>Guía de lineamientos de transparencia y selección objetiva para el departamento de La Guajira – Objetivo sexto constitucional de la Sentencia T-302 del 2017. </w:t>
      </w:r>
      <w:r>
        <w:rPr>
          <w:rFonts w:ascii="Verdana" w:eastAsia="Calibri" w:hAnsi="Verdana" w:cs="Times New Roman"/>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eastAsia="Calibri" w:hAnsi="Verdana" w:cs="Times New Roman"/>
          <w:color w:val="000000"/>
        </w:rPr>
        <w:t>Wayúu</w:t>
      </w:r>
      <w:proofErr w:type="spellEnd"/>
      <w:r>
        <w:rPr>
          <w:rFonts w:ascii="Verdana" w:eastAsia="Calibri" w:hAnsi="Verdana" w:cs="Times New Roman"/>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Pr>
            <w:rStyle w:val="Hipervnculo"/>
            <w:rFonts w:ascii="Verdana" w:eastAsia="Calibri" w:hAnsi="Verdana" w:cs="Times New Roman"/>
          </w:rPr>
          <w:t>Guía de lineamientos de transparencia y selección objetiva para el departamento de La Guajira – Objetivo sexto constitucional de la Sentencia T-302 del 2017</w:t>
        </w:r>
      </w:hyperlink>
      <w:r>
        <w:rPr>
          <w:rFonts w:ascii="Verdana" w:eastAsia="Calibri" w:hAnsi="Verdana" w:cs="Times New Roman"/>
          <w:color w:val="000000"/>
          <w:u w:val="single"/>
        </w:rPr>
        <w:t>.</w:t>
      </w:r>
    </w:p>
    <w:p w14:paraId="0BE9433B" w14:textId="77777777" w:rsidR="00291670" w:rsidRDefault="00291670" w:rsidP="00291670">
      <w:pPr>
        <w:widowControl w:val="0"/>
        <w:autoSpaceDE w:val="0"/>
        <w:autoSpaceDN w:val="0"/>
        <w:spacing w:after="0" w:line="276" w:lineRule="auto"/>
        <w:jc w:val="both"/>
        <w:rPr>
          <w:rFonts w:ascii="Verdana" w:eastAsia="Calibri" w:hAnsi="Verdana" w:cs="Arial"/>
          <w:color w:val="000000" w:themeColor="text1"/>
          <w:shd w:val="clear" w:color="auto" w:fill="FFFFFF"/>
          <w:lang w:val="es-ES_tradnl"/>
        </w:rPr>
      </w:pPr>
      <w:r>
        <w:rPr>
          <w:rFonts w:ascii="Verdana" w:eastAsia="Calibri" w:hAnsi="Verdana" w:cs="Arial"/>
          <w:color w:val="000000" w:themeColor="text1"/>
          <w:shd w:val="clear" w:color="auto" w:fill="FFFFFF"/>
          <w:lang w:val="es-ES_tradnl"/>
        </w:rPr>
        <w:t xml:space="preserve"> </w:t>
      </w:r>
    </w:p>
    <w:p w14:paraId="0EC4F70B" w14:textId="77777777" w:rsidR="00291670" w:rsidRDefault="00291670" w:rsidP="00291670">
      <w:pPr>
        <w:spacing w:after="0" w:line="254" w:lineRule="auto"/>
        <w:jc w:val="both"/>
        <w:rPr>
          <w:rFonts w:ascii="Verdana" w:eastAsia="Calibri" w:hAnsi="Verdana"/>
        </w:rPr>
      </w:pPr>
      <w:r>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54614D9" w14:textId="77777777" w:rsidR="00291670" w:rsidRDefault="00291670" w:rsidP="00291670">
      <w:pPr>
        <w:spacing w:after="0" w:line="254" w:lineRule="auto"/>
        <w:jc w:val="both"/>
        <w:rPr>
          <w:rFonts w:ascii="Verdana" w:eastAsia="Calibri" w:hAnsi="Verdana" w:cs="Times New Roman"/>
        </w:rPr>
      </w:pPr>
    </w:p>
    <w:p w14:paraId="5C9A96FB" w14:textId="77777777" w:rsidR="00291670" w:rsidRDefault="00291670" w:rsidP="00291670">
      <w:pPr>
        <w:numPr>
          <w:ilvl w:val="0"/>
          <w:numId w:val="40"/>
        </w:numPr>
        <w:spacing w:after="0" w:line="240" w:lineRule="auto"/>
        <w:contextualSpacing/>
        <w:jc w:val="both"/>
        <w:rPr>
          <w:rFonts w:ascii="Verdana" w:eastAsia="Verdana" w:hAnsi="Verdana" w:cs="Verdana"/>
          <w:color w:val="4472C4" w:themeColor="accent1"/>
          <w:u w:val="single"/>
          <w:lang w:val="es-MX"/>
        </w:rPr>
      </w:pPr>
      <w:r>
        <w:rPr>
          <w:rFonts w:ascii="Verdana" w:eastAsia="Verdana" w:hAnsi="Verdana" w:cs="Verdana"/>
          <w:lang w:val="es-MX"/>
        </w:rPr>
        <w:t xml:space="preserve">Línea nacional gratuita o servicio a la ciudadanía (Mesa de servicio): </w:t>
      </w:r>
      <w:r>
        <w:rPr>
          <w:rFonts w:ascii="Verdana" w:eastAsia="Calibri" w:hAnsi="Verdana" w:cs="Times New Roman"/>
          <w:color w:val="0000FF"/>
          <w:u w:val="single"/>
          <w:lang w:val="es-ES"/>
        </w:rPr>
        <w:t>01800 0520808</w:t>
      </w:r>
    </w:p>
    <w:p w14:paraId="319F0655" w14:textId="77777777" w:rsidR="00291670" w:rsidRDefault="00291670" w:rsidP="00291670">
      <w:pPr>
        <w:numPr>
          <w:ilvl w:val="0"/>
          <w:numId w:val="40"/>
        </w:numPr>
        <w:spacing w:after="0" w:line="254" w:lineRule="auto"/>
        <w:contextualSpacing/>
        <w:rPr>
          <w:rFonts w:ascii="Verdana" w:eastAsia="Verdana" w:hAnsi="Verdana" w:cs="Verdana"/>
          <w:color w:val="4472C4" w:themeColor="accent1"/>
          <w:u w:val="single"/>
          <w:lang w:val="es-MX"/>
        </w:rPr>
      </w:pPr>
      <w:r>
        <w:rPr>
          <w:rFonts w:ascii="Verdana" w:eastAsia="Verdana" w:hAnsi="Verdana" w:cs="Verdana"/>
          <w:lang w:val="es-MX"/>
        </w:rPr>
        <w:t>Línea en Bogotá (Mesa de servicio</w:t>
      </w:r>
      <w:proofErr w:type="gramStart"/>
      <w:r>
        <w:rPr>
          <w:rFonts w:ascii="Verdana" w:eastAsia="Verdana" w:hAnsi="Verdana" w:cs="Verdana"/>
          <w:lang w:val="es-MX"/>
        </w:rPr>
        <w:t>):</w:t>
      </w:r>
      <w:r>
        <w:rPr>
          <w:rFonts w:ascii="Verdana" w:eastAsia="Calibri" w:hAnsi="Verdana" w:cs="Times New Roman"/>
          <w:color w:val="0000FF"/>
          <w:u w:val="single"/>
          <w:lang w:val="es-ES"/>
        </w:rPr>
        <w:t>+</w:t>
      </w:r>
      <w:proofErr w:type="gramEnd"/>
      <w:r>
        <w:rPr>
          <w:rFonts w:ascii="Verdana" w:eastAsia="Calibri" w:hAnsi="Verdana" w:cs="Times New Roman"/>
          <w:color w:val="0000FF"/>
          <w:u w:val="single"/>
          <w:lang w:val="es-ES"/>
        </w:rPr>
        <w:t>57 601 7456788</w:t>
      </w:r>
    </w:p>
    <w:p w14:paraId="3CC2BAFA" w14:textId="77777777" w:rsidR="00291670" w:rsidRDefault="00291670" w:rsidP="00291670">
      <w:pPr>
        <w:numPr>
          <w:ilvl w:val="0"/>
          <w:numId w:val="40"/>
        </w:numPr>
        <w:spacing w:after="0" w:line="254" w:lineRule="auto"/>
        <w:contextualSpacing/>
        <w:rPr>
          <w:rFonts w:ascii="Verdana" w:eastAsia="Verdana" w:hAnsi="Verdana" w:cs="Verdana"/>
          <w:color w:val="0000FF"/>
          <w:u w:val="single"/>
          <w:lang w:val="es-MX"/>
        </w:rPr>
      </w:pPr>
      <w:r>
        <w:rPr>
          <w:rFonts w:ascii="Verdana" w:eastAsia="Verdana" w:hAnsi="Verdana" w:cs="Verdana"/>
          <w:lang w:val="es-MX"/>
        </w:rPr>
        <w:t xml:space="preserve">Correo de radicación de correspondencia: </w:t>
      </w:r>
      <w:hyperlink r:id="rId15" w:history="1">
        <w:r>
          <w:rPr>
            <w:rStyle w:val="Hipervnculo"/>
            <w:rFonts w:ascii="Verdana" w:eastAsia="Verdana" w:hAnsi="Verdana" w:cs="Verdana"/>
            <w:lang w:val="es-MX"/>
          </w:rPr>
          <w:t>ventanilladeradicacion@colombiacompra.gov.co</w:t>
        </w:r>
      </w:hyperlink>
    </w:p>
    <w:p w14:paraId="158BE955" w14:textId="77777777" w:rsidR="00291670" w:rsidRDefault="00291670" w:rsidP="00291670">
      <w:pPr>
        <w:numPr>
          <w:ilvl w:val="0"/>
          <w:numId w:val="40"/>
        </w:numPr>
        <w:spacing w:after="0" w:line="254" w:lineRule="auto"/>
        <w:contextualSpacing/>
        <w:rPr>
          <w:rFonts w:ascii="Verdana" w:eastAsia="Verdana" w:hAnsi="Verdana" w:cs="Verdana"/>
          <w:color w:val="0000FF"/>
          <w:u w:val="single"/>
          <w:lang w:val="es-MX"/>
        </w:rPr>
      </w:pPr>
      <w:r>
        <w:rPr>
          <w:rFonts w:ascii="Verdana" w:eastAsia="Verdana" w:hAnsi="Verdana" w:cs="Verdana"/>
          <w:lang w:val="es-ES"/>
        </w:rPr>
        <w:t xml:space="preserve">Formulario web para PQRSD: </w:t>
      </w:r>
      <w:hyperlink r:id="rId16" w:history="1">
        <w:r>
          <w:rPr>
            <w:rStyle w:val="Hipervnculo"/>
            <w:rFonts w:ascii="Verdana" w:eastAsia="Verdana" w:hAnsi="Verdana" w:cs="Verdana"/>
            <w:lang w:val="es-MX"/>
          </w:rPr>
          <w:t>https://www.colombiacompra.gov.co/pqrsd/informacion-importante-antes-de-formular-una-pqrsd</w:t>
        </w:r>
      </w:hyperlink>
    </w:p>
    <w:p w14:paraId="3383138F" w14:textId="77777777" w:rsidR="00291670" w:rsidRDefault="00291670" w:rsidP="00291670">
      <w:pPr>
        <w:spacing w:after="0" w:line="240" w:lineRule="auto"/>
        <w:ind w:left="720"/>
        <w:jc w:val="both"/>
        <w:rPr>
          <w:rFonts w:ascii="Verdana" w:hAnsi="Verdana"/>
        </w:rPr>
      </w:pPr>
    </w:p>
    <w:p w14:paraId="469218D6" w14:textId="1D9541DB" w:rsidR="00291670" w:rsidRDefault="00291670" w:rsidP="00291670">
      <w:pPr>
        <w:spacing w:after="0" w:line="240" w:lineRule="auto"/>
        <w:rPr>
          <w:rFonts w:ascii="Verdana" w:eastAsia="Calibri" w:hAnsi="Verdana" w:cs="Times New Roman"/>
        </w:rPr>
      </w:pPr>
      <w:r>
        <w:rPr>
          <w:rFonts w:ascii="Verdana" w:eastAsia="Calibri" w:hAnsi="Verdana" w:cs="Times New Roman"/>
        </w:rPr>
        <w:t xml:space="preserve">Evalúa el servicio que ofrece la Agencia por el canal de atención de PQRSD en el siguiente </w:t>
      </w:r>
      <w:proofErr w:type="spellStart"/>
      <w:r>
        <w:rPr>
          <w:rFonts w:ascii="Verdana" w:eastAsia="Calibri" w:hAnsi="Verdana" w:cs="Times New Roman"/>
        </w:rPr>
        <w:t>enlace:</w:t>
      </w:r>
      <w:hyperlink r:id="rId17" w:tgtFrame="_blank" w:tooltip="https://forms.office.com/r/pphywvs2sz" w:history="1">
        <w:r>
          <w:rPr>
            <w:rStyle w:val="Hipervnculo"/>
            <w:rFonts w:ascii="Verdana" w:eastAsia="Calibri" w:hAnsi="Verdana" w:cs="Times New Roman"/>
          </w:rPr>
          <w:t>https</w:t>
        </w:r>
        <w:proofErr w:type="spellEnd"/>
        <w:r>
          <w:rPr>
            <w:rStyle w:val="Hipervnculo"/>
            <w:rFonts w:ascii="Verdana" w:eastAsia="Calibri" w:hAnsi="Verdana" w:cs="Times New Roman"/>
          </w:rPr>
          <w:t>://forms.office.com/r/pPHyWVs2SZ</w:t>
        </w:r>
      </w:hyperlink>
      <w:r>
        <w:rPr>
          <w:rFonts w:ascii="Verdana" w:eastAsia="Calibri" w:hAnsi="Verdana" w:cs="Times New Roman"/>
        </w:rPr>
        <w:t xml:space="preserve"> .¡Ayúdanos a mejorar porque el compromiso es de todos!</w:t>
      </w:r>
    </w:p>
    <w:p w14:paraId="6DCF92F2" w14:textId="77777777" w:rsidR="00291670" w:rsidRDefault="00291670" w:rsidP="00291670">
      <w:pPr>
        <w:spacing w:after="0" w:line="240" w:lineRule="auto"/>
        <w:rPr>
          <w:rFonts w:ascii="Verdana" w:eastAsia="Calibri" w:hAnsi="Verdana" w:cs="Times New Roman"/>
        </w:rPr>
      </w:pPr>
    </w:p>
    <w:p w14:paraId="4F453983" w14:textId="77777777" w:rsidR="00291670" w:rsidRDefault="00291670" w:rsidP="00291670">
      <w:pPr>
        <w:spacing w:after="0" w:line="240" w:lineRule="auto"/>
        <w:jc w:val="both"/>
        <w:rPr>
          <w:rFonts w:ascii="Verdana" w:eastAsia="Calibri" w:hAnsi="Verdana" w:cs="Times New Roman"/>
        </w:rPr>
      </w:pPr>
      <w:r>
        <w:rPr>
          <w:rFonts w:ascii="Verdana" w:eastAsia="Calibri" w:hAnsi="Verdana" w:cs="Times New Roman"/>
        </w:rPr>
        <w:lastRenderedPageBreak/>
        <w:t xml:space="preserve">Por último, lo invitamos a seguirnos en las redes sociales en las cuales se difunde información institucional: </w:t>
      </w:r>
    </w:p>
    <w:p w14:paraId="2DBC2A23" w14:textId="77777777" w:rsidR="00291670" w:rsidRDefault="00291670" w:rsidP="00291670">
      <w:pPr>
        <w:spacing w:after="0" w:line="240" w:lineRule="auto"/>
        <w:jc w:val="both"/>
        <w:rPr>
          <w:rFonts w:ascii="Verdana" w:eastAsia="Calibri" w:hAnsi="Verdana" w:cs="Times New Roman"/>
        </w:rPr>
      </w:pPr>
    </w:p>
    <w:p w14:paraId="26A9487F" w14:textId="77777777" w:rsidR="00291670" w:rsidRDefault="00291670" w:rsidP="00291670">
      <w:pPr>
        <w:spacing w:after="0" w:line="240" w:lineRule="auto"/>
        <w:jc w:val="both"/>
        <w:rPr>
          <w:rFonts w:ascii="Verdana" w:eastAsia="Calibri" w:hAnsi="Verdana" w:cs="Times New Roman"/>
        </w:rPr>
      </w:pPr>
      <w:r>
        <w:rPr>
          <w:rFonts w:ascii="Verdana" w:eastAsia="Calibri" w:hAnsi="Verdana" w:cs="Times New Roman"/>
        </w:rPr>
        <w:t xml:space="preserve">Twitter: </w:t>
      </w:r>
      <w:r>
        <w:rPr>
          <w:rFonts w:ascii="Verdana" w:eastAsia="Calibri" w:hAnsi="Verdana" w:cs="Times New Roman"/>
          <w:color w:val="0000FF"/>
          <w:u w:val="single"/>
        </w:rPr>
        <w:t>@colombiacompra</w:t>
      </w:r>
      <w:r>
        <w:rPr>
          <w:rFonts w:ascii="Verdana" w:eastAsia="Calibri" w:hAnsi="Verdana" w:cs="Times New Roman"/>
        </w:rPr>
        <w:t xml:space="preserve"> </w:t>
      </w:r>
    </w:p>
    <w:p w14:paraId="474F0A6D" w14:textId="77777777" w:rsidR="00291670" w:rsidRDefault="00291670" w:rsidP="00291670">
      <w:pPr>
        <w:spacing w:after="0" w:line="240" w:lineRule="auto"/>
        <w:jc w:val="both"/>
        <w:rPr>
          <w:rFonts w:ascii="Verdana" w:eastAsia="Calibri" w:hAnsi="Verdana" w:cs="Times New Roman"/>
        </w:rPr>
      </w:pPr>
      <w:r>
        <w:rPr>
          <w:rFonts w:ascii="Verdana" w:eastAsia="Calibri" w:hAnsi="Verdana" w:cs="Times New Roman"/>
        </w:rPr>
        <w:t xml:space="preserve">Facebook: </w:t>
      </w:r>
      <w:proofErr w:type="spellStart"/>
      <w:r>
        <w:rPr>
          <w:rFonts w:ascii="Verdana" w:eastAsia="Calibri" w:hAnsi="Verdana" w:cs="Times New Roman"/>
          <w:color w:val="0000FF"/>
          <w:u w:val="single"/>
        </w:rPr>
        <w:t>ColombiaCompraEficiente</w:t>
      </w:r>
      <w:proofErr w:type="spellEnd"/>
    </w:p>
    <w:p w14:paraId="3E4FCCB7" w14:textId="77777777" w:rsidR="00291670" w:rsidRDefault="00291670" w:rsidP="00291670">
      <w:pPr>
        <w:spacing w:after="0" w:line="240" w:lineRule="auto"/>
        <w:jc w:val="both"/>
        <w:rPr>
          <w:rFonts w:ascii="Verdana" w:eastAsia="Calibri" w:hAnsi="Verdana" w:cs="Times New Roman"/>
        </w:rPr>
      </w:pPr>
      <w:r>
        <w:rPr>
          <w:rFonts w:ascii="Verdana" w:eastAsia="Calibri" w:hAnsi="Verdana" w:cs="Times New Roman"/>
        </w:rPr>
        <w:t xml:space="preserve">LinkedIn: </w:t>
      </w:r>
      <w:r>
        <w:rPr>
          <w:rFonts w:ascii="Verdana" w:eastAsia="Calibri" w:hAnsi="Verdana" w:cs="Times New Roman"/>
          <w:color w:val="0000FF"/>
          <w:u w:val="single"/>
        </w:rPr>
        <w:t>Agencia Nacional de Contratación Pública - Colombia Compra Eficiente</w:t>
      </w:r>
      <w:r>
        <w:rPr>
          <w:rFonts w:ascii="Verdana" w:eastAsia="Calibri" w:hAnsi="Verdana" w:cs="Times New Roman"/>
        </w:rPr>
        <w:t xml:space="preserve"> Instagram: </w:t>
      </w:r>
      <w:r>
        <w:rPr>
          <w:rFonts w:ascii="Verdana" w:eastAsia="Calibri" w:hAnsi="Verdana" w:cs="Times New Roman"/>
          <w:color w:val="0000FF"/>
          <w:u w:val="single"/>
        </w:rPr>
        <w:t>@colombiacompraeficiente_cce</w:t>
      </w:r>
    </w:p>
    <w:p w14:paraId="166D6F82" w14:textId="77777777" w:rsidR="00291670" w:rsidRDefault="00291670" w:rsidP="00291670">
      <w:pPr>
        <w:widowControl w:val="0"/>
        <w:autoSpaceDE w:val="0"/>
        <w:autoSpaceDN w:val="0"/>
        <w:spacing w:after="120" w:line="276" w:lineRule="auto"/>
        <w:jc w:val="both"/>
        <w:rPr>
          <w:rFonts w:ascii="Verdana" w:eastAsia="Calibri" w:hAnsi="Verdana" w:cs="Arial"/>
          <w:color w:val="FF0000"/>
          <w:shd w:val="clear" w:color="auto" w:fill="FFFFFF"/>
          <w:lang w:val="es-ES_tradnl"/>
        </w:rPr>
      </w:pPr>
      <w:r>
        <w:rPr>
          <w:rFonts w:ascii="Verdana" w:eastAsia="Calibri" w:hAnsi="Verdana" w:cs="Arial"/>
          <w:color w:val="FF0000"/>
          <w:shd w:val="clear" w:color="auto" w:fill="FFFFFF"/>
          <w:lang w:val="es-ES_tradnl"/>
        </w:rPr>
        <w:t xml:space="preserve">        </w:t>
      </w:r>
    </w:p>
    <w:p w14:paraId="7F5B9EB2" w14:textId="77777777" w:rsidR="00291670" w:rsidRDefault="00291670" w:rsidP="00291670">
      <w:pPr>
        <w:widowControl w:val="0"/>
        <w:autoSpaceDE w:val="0"/>
        <w:autoSpaceDN w:val="0"/>
        <w:spacing w:after="0" w:line="276" w:lineRule="auto"/>
        <w:jc w:val="both"/>
        <w:rPr>
          <w:rFonts w:ascii="Verdana" w:eastAsia="Calibri" w:hAnsi="Verdana" w:cs="Arial"/>
          <w:lang w:val="es-ES_tradnl"/>
        </w:rPr>
      </w:pPr>
      <w:r>
        <w:rPr>
          <w:rFonts w:ascii="Verdana" w:eastAsia="Calibri"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78E41603" w14:textId="77777777" w:rsidR="00291670" w:rsidRDefault="00291670" w:rsidP="00291670">
      <w:pPr>
        <w:widowControl w:val="0"/>
        <w:autoSpaceDE w:val="0"/>
        <w:autoSpaceDN w:val="0"/>
        <w:spacing w:after="0" w:line="276" w:lineRule="auto"/>
        <w:jc w:val="both"/>
        <w:rPr>
          <w:rFonts w:ascii="Verdana" w:eastAsia="Calibri" w:hAnsi="Verdana" w:cs="Arial"/>
          <w:lang w:val="es-ES_tradnl"/>
        </w:rPr>
      </w:pPr>
    </w:p>
    <w:p w14:paraId="612D5AF6" w14:textId="77777777" w:rsidR="00291670" w:rsidRDefault="00291670" w:rsidP="00291670">
      <w:pPr>
        <w:spacing w:after="0" w:line="240" w:lineRule="auto"/>
        <w:rPr>
          <w:rFonts w:ascii="Verdana" w:eastAsia="Calibri" w:hAnsi="Verdana" w:cs="Arial"/>
          <w:lang w:val="es-ES_tradnl" w:eastAsia="es-CO"/>
        </w:rPr>
      </w:pPr>
      <w:r>
        <w:rPr>
          <w:rFonts w:ascii="Verdana" w:eastAsia="Times New Roman" w:hAnsi="Verdana" w:cs="Arial"/>
          <w:lang w:val="es-ES_tradnl" w:eastAsia="es-CO"/>
        </w:rPr>
        <w:t>Atentamente,</w:t>
      </w:r>
      <w:r>
        <w:rPr>
          <w:rFonts w:ascii="Verdana" w:eastAsia="Calibri" w:hAnsi="Verdana" w:cs="Arial"/>
          <w:lang w:val="es-ES_tradnl" w:eastAsia="es-CO"/>
        </w:rPr>
        <w:t xml:space="preserve"> </w:t>
      </w:r>
    </w:p>
    <w:p w14:paraId="24078289" w14:textId="2E7B9047" w:rsidR="00291670" w:rsidRDefault="0008076A" w:rsidP="00291670">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555ACD7B" wp14:editId="1789D1C9">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318444"/>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291670" w14:paraId="7F31E0AF" w14:textId="77777777">
        <w:trPr>
          <w:trHeight w:val="315"/>
        </w:trPr>
        <w:tc>
          <w:tcPr>
            <w:tcW w:w="893" w:type="dxa"/>
            <w:vAlign w:val="center"/>
            <w:hideMark/>
          </w:tcPr>
          <w:p w14:paraId="4F277C37" w14:textId="77777777" w:rsidR="00291670" w:rsidRDefault="00291670">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8D51788" w14:textId="77777777" w:rsidR="00291670" w:rsidRDefault="00291670">
            <w:pPr>
              <w:spacing w:after="255" w:line="254" w:lineRule="auto"/>
              <w:contextualSpacing/>
              <w:rPr>
                <w:rFonts w:ascii="Verdana" w:eastAsia="Calibri" w:hAnsi="Verdana" w:cs="Times New Roman"/>
                <w:sz w:val="16"/>
                <w:szCs w:val="16"/>
              </w:rPr>
            </w:pPr>
            <w:r>
              <w:rPr>
                <w:rFonts w:ascii="Verdana" w:eastAsia="Calibri" w:hAnsi="Verdana" w:cs="Times New Roman"/>
                <w:sz w:val="16"/>
                <w:szCs w:val="16"/>
              </w:rPr>
              <w:t>Tatiana Baquero Iguarán</w:t>
            </w:r>
          </w:p>
          <w:p w14:paraId="61F4962B" w14:textId="77777777" w:rsidR="00291670" w:rsidRDefault="00291670">
            <w:pPr>
              <w:spacing w:after="255" w:line="254" w:lineRule="auto"/>
              <w:contextualSpacing/>
              <w:rPr>
                <w:rFonts w:ascii="Verdana" w:hAnsi="Verdana"/>
                <w:sz w:val="16"/>
                <w:szCs w:val="16"/>
              </w:rPr>
            </w:pPr>
            <w:r>
              <w:rPr>
                <w:rFonts w:ascii="Verdana" w:eastAsia="Calibri" w:hAnsi="Verdana" w:cs="Times New Roman"/>
                <w:sz w:val="16"/>
                <w:szCs w:val="16"/>
              </w:rPr>
              <w:t>Contratista de la Subdirección de Gestión Contractual</w:t>
            </w:r>
          </w:p>
        </w:tc>
      </w:tr>
      <w:tr w:rsidR="00291670" w14:paraId="008D0E6D" w14:textId="77777777">
        <w:trPr>
          <w:trHeight w:val="330"/>
        </w:trPr>
        <w:tc>
          <w:tcPr>
            <w:tcW w:w="893" w:type="dxa"/>
            <w:vAlign w:val="center"/>
            <w:hideMark/>
          </w:tcPr>
          <w:p w14:paraId="37859D73" w14:textId="77777777" w:rsidR="00291670" w:rsidRDefault="00291670">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F612A1" w14:textId="77777777" w:rsidR="00291670" w:rsidRDefault="00291670">
            <w:pPr>
              <w:spacing w:before="100" w:beforeAutospacing="1" w:after="100" w:afterAutospacing="1" w:line="254" w:lineRule="auto"/>
              <w:contextualSpacing/>
              <w:textAlignment w:val="baseline"/>
              <w:rPr>
                <w:rFonts w:ascii="Verdana" w:eastAsia="Times New Roman" w:hAnsi="Verdana"/>
                <w:sz w:val="16"/>
                <w:szCs w:val="16"/>
                <w:lang w:eastAsia="es-ES_tradnl"/>
              </w:rPr>
            </w:pPr>
            <w:r>
              <w:rPr>
                <w:rFonts w:ascii="Verdana" w:eastAsia="Times New Roman" w:hAnsi="Verdana"/>
                <w:sz w:val="16"/>
                <w:szCs w:val="16"/>
                <w:lang w:eastAsia="es-ES_tradnl"/>
              </w:rPr>
              <w:t>Alejandro Sarmiento Cantillo</w:t>
            </w:r>
          </w:p>
          <w:p w14:paraId="4A3579C3" w14:textId="77777777" w:rsidR="00291670" w:rsidRDefault="00291670">
            <w:pPr>
              <w:spacing w:after="255" w:line="254" w:lineRule="auto"/>
              <w:contextualSpacing/>
              <w:textAlignment w:val="baseline"/>
              <w:rPr>
                <w:rFonts w:ascii="Verdana" w:eastAsia="Times New Roman" w:hAnsi="Verdana" w:cs="Segoe UI"/>
                <w:sz w:val="16"/>
                <w:szCs w:val="16"/>
                <w:lang w:eastAsia="es-ES_tradnl"/>
              </w:rPr>
            </w:pPr>
            <w:r>
              <w:rPr>
                <w:rFonts w:ascii="Verdana" w:eastAsia="Times New Roman" w:hAnsi="Verdana"/>
                <w:sz w:val="16"/>
                <w:szCs w:val="16"/>
                <w:lang w:eastAsia="es-ES_tradnl"/>
              </w:rPr>
              <w:t>Gestor T1 ‒ 15 de la Subdirección de Gestión Contractual </w:t>
            </w:r>
          </w:p>
        </w:tc>
      </w:tr>
      <w:tr w:rsidR="00291670" w14:paraId="4492192D" w14:textId="77777777">
        <w:trPr>
          <w:trHeight w:val="300"/>
        </w:trPr>
        <w:tc>
          <w:tcPr>
            <w:tcW w:w="893" w:type="dxa"/>
            <w:vAlign w:val="center"/>
            <w:hideMark/>
          </w:tcPr>
          <w:p w14:paraId="3E6F243E" w14:textId="77777777" w:rsidR="00291670" w:rsidRDefault="00291670">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CE44A7" w14:textId="77777777" w:rsidR="00291670" w:rsidRDefault="00291670">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val="pt-BR" w:eastAsia="es-ES"/>
              </w:rPr>
              <w:t xml:space="preserve">Carolina Quintero </w:t>
            </w:r>
            <w:proofErr w:type="spellStart"/>
            <w:r>
              <w:rPr>
                <w:rFonts w:ascii="Verdana" w:eastAsia="Calibri" w:hAnsi="Verdana"/>
                <w:sz w:val="16"/>
                <w:szCs w:val="16"/>
                <w:lang w:val="pt-BR" w:eastAsia="es-ES"/>
              </w:rPr>
              <w:t>Gacharná</w:t>
            </w:r>
            <w:proofErr w:type="spellEnd"/>
          </w:p>
          <w:p w14:paraId="2C2C8FB7" w14:textId="77777777" w:rsidR="00291670" w:rsidRDefault="00291670">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eastAsia="es-ES"/>
              </w:rPr>
              <w:t>Subdirectora</w:t>
            </w:r>
            <w:r>
              <w:rPr>
                <w:rFonts w:ascii="Verdana" w:eastAsia="Calibri" w:hAnsi="Verdana"/>
                <w:sz w:val="16"/>
                <w:szCs w:val="16"/>
                <w:lang w:val="pt-BR" w:eastAsia="es-ES"/>
              </w:rPr>
              <w:t xml:space="preserve"> de Gestión Contratual ANCP – CCE</w:t>
            </w:r>
          </w:p>
        </w:tc>
      </w:tr>
    </w:tbl>
    <w:p w14:paraId="33DCA7F1" w14:textId="77777777" w:rsidR="00291670" w:rsidRDefault="00291670" w:rsidP="00291670">
      <w:pPr>
        <w:spacing w:after="0" w:line="240" w:lineRule="auto"/>
        <w:rPr>
          <w:rFonts w:ascii="Verdana" w:eastAsia="Times New Roman" w:hAnsi="Verdana" w:cs="Arial"/>
          <w:sz w:val="24"/>
          <w:szCs w:val="24"/>
          <w:lang w:eastAsia="es-ES"/>
        </w:rPr>
      </w:pPr>
    </w:p>
    <w:p w14:paraId="3323A52A" w14:textId="77777777" w:rsidR="00291670" w:rsidRDefault="00291670" w:rsidP="00291670"/>
    <w:p w14:paraId="79840336" w14:textId="77777777" w:rsidR="00291670" w:rsidRDefault="00291670" w:rsidP="00291670">
      <w:pPr>
        <w:spacing w:after="0" w:line="240" w:lineRule="auto"/>
        <w:rPr>
          <w:rFonts w:ascii="Verdana" w:eastAsia="Calibri" w:hAnsi="Verdana" w:cs="Arial"/>
          <w:b/>
          <w:bCs/>
          <w:lang w:val="es-ES" w:eastAsia="es-ES"/>
        </w:rPr>
      </w:pPr>
    </w:p>
    <w:p w14:paraId="587C2F58" w14:textId="77777777" w:rsidR="00291670" w:rsidRDefault="00291670" w:rsidP="00291670"/>
    <w:bookmarkEnd w:id="0"/>
    <w:p w14:paraId="16161317" w14:textId="77777777" w:rsidR="00DA63DC" w:rsidRPr="00DA63DC" w:rsidRDefault="00DA63DC" w:rsidP="00DA63DC">
      <w:pPr>
        <w:jc w:val="both"/>
        <w:rPr>
          <w:rFonts w:ascii="Arial" w:eastAsia="Calibri" w:hAnsi="Arial" w:cs="Arial"/>
          <w:color w:val="000000" w:themeColor="text1"/>
          <w:sz w:val="20"/>
          <w:szCs w:val="20"/>
          <w:lang w:val="es-ES_tradnl"/>
        </w:rPr>
      </w:pPr>
    </w:p>
    <w:sectPr w:rsidR="00DA63DC" w:rsidRPr="00DA63DC"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BC9E" w14:textId="77777777" w:rsidR="00973C50" w:rsidRPr="009B7987" w:rsidRDefault="00973C50" w:rsidP="00B30448">
      <w:pPr>
        <w:spacing w:after="0" w:line="240" w:lineRule="auto"/>
      </w:pPr>
      <w:r w:rsidRPr="009B7987">
        <w:separator/>
      </w:r>
    </w:p>
  </w:endnote>
  <w:endnote w:type="continuationSeparator" w:id="0">
    <w:p w14:paraId="2C1D2EF0" w14:textId="77777777" w:rsidR="00973C50" w:rsidRPr="009B7987" w:rsidRDefault="00973C50" w:rsidP="00B30448">
      <w:pPr>
        <w:spacing w:after="0" w:line="240" w:lineRule="auto"/>
      </w:pPr>
      <w:r w:rsidRPr="009B7987">
        <w:continuationSeparator/>
      </w:r>
    </w:p>
  </w:endnote>
  <w:endnote w:type="continuationNotice" w:id="1">
    <w:p w14:paraId="3AD72768" w14:textId="77777777" w:rsidR="00973C50" w:rsidRPr="009B7987" w:rsidRDefault="00973C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1CA54" w14:textId="77777777" w:rsidR="00973C50" w:rsidRPr="009B7987" w:rsidRDefault="00973C50" w:rsidP="00B30448">
      <w:pPr>
        <w:spacing w:after="0" w:line="240" w:lineRule="auto"/>
      </w:pPr>
      <w:r w:rsidRPr="009B7987">
        <w:separator/>
      </w:r>
    </w:p>
  </w:footnote>
  <w:footnote w:type="continuationSeparator" w:id="0">
    <w:p w14:paraId="59C32F9D" w14:textId="77777777" w:rsidR="00973C50" w:rsidRPr="009B7987" w:rsidRDefault="00973C50" w:rsidP="00B30448">
      <w:pPr>
        <w:spacing w:after="0" w:line="240" w:lineRule="auto"/>
      </w:pPr>
      <w:r w:rsidRPr="009B7987">
        <w:continuationSeparator/>
      </w:r>
    </w:p>
  </w:footnote>
  <w:footnote w:type="continuationNotice" w:id="1">
    <w:p w14:paraId="060202BC" w14:textId="77777777" w:rsidR="00973C50" w:rsidRPr="009B7987" w:rsidRDefault="00973C50">
      <w:pPr>
        <w:spacing w:after="0" w:line="240" w:lineRule="auto"/>
      </w:pPr>
    </w:p>
  </w:footnote>
  <w:footnote w:id="2">
    <w:p w14:paraId="2F311F35" w14:textId="77777777" w:rsidR="00291670" w:rsidRDefault="00291670" w:rsidP="00291670">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ALESSANDRI RODRÍGUEZ, Arturo. De los contratos. Santiago de Chile: Editorial Jurídica EDIAR-CONOCSUR LTDA, 1988. p. 182. </w:t>
      </w:r>
    </w:p>
  </w:footnote>
  <w:footnote w:id="3">
    <w:p w14:paraId="0A86FEBC" w14:textId="77777777" w:rsidR="00291670" w:rsidRDefault="00291670" w:rsidP="00291670">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OSPINA MENA, Jesús Marino. Régimen de la Contratación Estatal. Un salto a la contratación liquida. Bogotá: Dike, 2020. p. 168.</w:t>
      </w:r>
    </w:p>
  </w:footnote>
  <w:footnote w:id="4">
    <w:p w14:paraId="77E73AE6" w14:textId="77777777" w:rsidR="00291670" w:rsidRDefault="00291670" w:rsidP="00291670">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CONSEJO DE ESTADO. Sala de Consulta y Servicio Civil. Concepto del 5 de septiembre de 2018. Rad. 2.386. C.P. Edgar González López.</w:t>
      </w:r>
    </w:p>
    <w:p w14:paraId="7CCB8A21" w14:textId="77777777" w:rsidR="00291670" w:rsidRDefault="00291670" w:rsidP="00291670">
      <w:pPr>
        <w:pStyle w:val="Textonotapie"/>
        <w:ind w:firstLine="709"/>
        <w:jc w:val="both"/>
        <w:rPr>
          <w:rFonts w:ascii="Verdana" w:hAnsi="Verdana" w:cs="Arial"/>
          <w:color w:val="000000"/>
          <w:sz w:val="16"/>
          <w:szCs w:val="16"/>
        </w:rPr>
      </w:pPr>
    </w:p>
  </w:footnote>
  <w:footnote w:id="5">
    <w:p w14:paraId="277F0881" w14:textId="77777777" w:rsidR="00291670" w:rsidRDefault="00291670" w:rsidP="00291670">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w:t>
      </w:r>
      <w:bookmarkStart w:id="8" w:name="_Hlk35341897"/>
      <w:r>
        <w:rPr>
          <w:rFonts w:ascii="Verdana" w:hAnsi="Verdana" w:cs="Arial"/>
          <w:color w:val="000000"/>
          <w:sz w:val="16"/>
          <w:szCs w:val="16"/>
        </w:rPr>
        <w:t>VELÁSQUEZ JARAMILLO, Luis Guillermo. Bienes. Duodécima edición. Bogotá: Temis, 2010. p. 22</w:t>
      </w:r>
      <w:bookmarkEnd w:id="8"/>
      <w:r>
        <w:rPr>
          <w:rFonts w:ascii="Verdana" w:hAnsi="Verdana" w:cs="Arial"/>
          <w:color w:val="000000"/>
          <w:sz w:val="16"/>
          <w:szCs w:val="16"/>
        </w:rPr>
        <w:t>.</w:t>
      </w:r>
    </w:p>
    <w:p w14:paraId="4F7601B9" w14:textId="77777777" w:rsidR="00291670" w:rsidRDefault="00291670" w:rsidP="00291670">
      <w:pPr>
        <w:pStyle w:val="Textonotapie"/>
        <w:ind w:firstLine="709"/>
        <w:jc w:val="both"/>
        <w:rPr>
          <w:rFonts w:ascii="Verdana" w:hAnsi="Verdana" w:cs="Arial"/>
          <w:color w:val="000000"/>
          <w:sz w:val="16"/>
          <w:szCs w:val="16"/>
        </w:rPr>
      </w:pPr>
    </w:p>
  </w:footnote>
  <w:footnote w:id="6">
    <w:p w14:paraId="7D2CED45" w14:textId="77777777" w:rsidR="00291670" w:rsidRDefault="00291670" w:rsidP="00291670">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MAZEUD, Henri, MAZEUD, León y MAZEUD, Jean. Lecciones de derecho civil. Parte Primera. Volumen I. Buenos Aires: EJEA, 1976. p. 305-306.</w:t>
      </w:r>
    </w:p>
    <w:p w14:paraId="3F9772D1" w14:textId="77777777" w:rsidR="00291670" w:rsidRDefault="00291670" w:rsidP="00291670">
      <w:pPr>
        <w:pStyle w:val="Textonotapie"/>
        <w:ind w:firstLine="709"/>
        <w:jc w:val="both"/>
        <w:rPr>
          <w:rFonts w:ascii="Verdana" w:hAnsi="Verdana" w:cs="Arial"/>
          <w:color w:val="000000"/>
          <w:sz w:val="16"/>
          <w:szCs w:val="16"/>
        </w:rPr>
      </w:pPr>
    </w:p>
  </w:footnote>
  <w:footnote w:id="7">
    <w:p w14:paraId="301C946B" w14:textId="77777777" w:rsidR="00291670" w:rsidRDefault="00291670" w:rsidP="00291670">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5 de septiembre de 2018. Consejero Ponente: Edgar González López. Radicación interna: 2386.</w:t>
      </w:r>
    </w:p>
  </w:footnote>
  <w:footnote w:id="8">
    <w:p w14:paraId="53769434" w14:textId="77777777" w:rsidR="00291670" w:rsidRDefault="00291670" w:rsidP="00291670">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En: https://dle.rae.es/instalar?m=form</w:t>
      </w:r>
    </w:p>
  </w:footnote>
  <w:footnote w:id="9">
    <w:p w14:paraId="072065BC" w14:textId="77777777" w:rsidR="00291670" w:rsidRDefault="00291670" w:rsidP="00291670">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Ibíd. </w:t>
      </w:r>
    </w:p>
  </w:footnote>
  <w:footnote w:id="10">
    <w:p w14:paraId="00EBA4C8" w14:textId="77777777" w:rsidR="00291670" w:rsidRDefault="00291670" w:rsidP="00291670">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Ibíd.</w:t>
      </w:r>
    </w:p>
  </w:footnote>
  <w:footnote w:id="11">
    <w:p w14:paraId="6B1D4B12" w14:textId="77777777" w:rsidR="00291670" w:rsidRDefault="00291670" w:rsidP="00291670">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lang w:val="es-ES"/>
        </w:rPr>
        <w:t>Ibíd.</w:t>
      </w:r>
    </w:p>
  </w:footnote>
  <w:footnote w:id="12">
    <w:p w14:paraId="5DD5D724" w14:textId="77777777" w:rsidR="00291670" w:rsidRDefault="00291670" w:rsidP="00291670">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Ibíd. En similar sentido, </w:t>
      </w:r>
      <w:r>
        <w:rPr>
          <w:rFonts w:ascii="Verdana" w:hAnsi="Verdana" w:cs="Arial"/>
          <w:sz w:val="16"/>
          <w:szCs w:val="16"/>
        </w:rPr>
        <w:t>SUÁREZ BELTRÁN, Gonzalo. Estudios de derecho público contractual: Bogotá: Legis, 2014. p. 238. Al respecto, también se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w:t>
      </w:r>
    </w:p>
  </w:footnote>
  <w:footnote w:id="13">
    <w:p w14:paraId="6FAB7124" w14:textId="77777777" w:rsidR="00291670" w:rsidRDefault="00291670" w:rsidP="00291670">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5 de septiembre de 2018. Consejero Ponente: Edgar González López. Radicación interna: 2386.</w:t>
      </w:r>
    </w:p>
    <w:p w14:paraId="1F2075F4" w14:textId="77777777" w:rsidR="00291670" w:rsidRDefault="00291670" w:rsidP="00291670">
      <w:pPr>
        <w:pStyle w:val="Textonotapie"/>
        <w:ind w:firstLine="709"/>
        <w:jc w:val="both"/>
        <w:rPr>
          <w:rFonts w:ascii="Verdana" w:hAnsi="Verdana" w:cs="Arial"/>
          <w:sz w:val="16"/>
          <w:szCs w:val="16"/>
          <w:lang w:val="es-ES"/>
        </w:rPr>
      </w:pPr>
    </w:p>
  </w:footnote>
  <w:footnote w:id="14">
    <w:p w14:paraId="3B59DF7E" w14:textId="77777777" w:rsidR="00291670" w:rsidRDefault="00291670" w:rsidP="00291670">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CORTE SUPREMA DE JUSTICIA. Sala de Casación Civil. Sentencia del 5 de diciembre de 1956. M.P. Pablo Emilio Manotas. Decisión publicada en el Gaceta Judicial LXXXIV, No. 2177-2180. p. 317. Este criterio se adoptó explícitamente en el derogado artículo 3.3.1.1 del Decreto 734 de 2012. Concretamente, el inciso cuarto disponía que «En el caso de que el objeto contractual incluya los servicios de consultoría y otras obligaciones principales, como por ejemplo en el caso de ejecución de proyectos que incluyen diseño y construcción de la obra, la escogencia del contratista deberá adelantarse mediante licitación pública y selección abreviada, según corresponda de conformidad con lo señalado en la ley y en el presente decreto, sin perjuicio de lo previsto para la mínima cuantía. En todo caso, el equipo de profesionales y expertos propuestos deberá ser aprobado por la entidad».</w:t>
      </w:r>
    </w:p>
  </w:footnote>
  <w:footnote w:id="15">
    <w:p w14:paraId="01DFB40D" w14:textId="77777777" w:rsidR="00291670" w:rsidRDefault="00291670" w:rsidP="00291670">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Por ello, explica que «[…] todos estos criterios de interpretación no son, en último análisis más que especificaciones del principio de la analogía, inspiradas en las peculiaridades de cada materia. De aquí, también, que el criterio de interpretación más serio, respecto del contrato innominado mixto, es, además de la aplicación directa de las reglas generales sobre los contratos, el de la aplicación analógica de las singulares relativas al contrato nominado dado, que se manifiesten como las más adecuadas al contrato mixto que se debe interpretar, y si éstas no existen, entonces recurrir a las de la analogía iuris» (</w:t>
      </w:r>
      <w:r>
        <w:rPr>
          <w:rFonts w:ascii="Verdana" w:hAnsi="Verdana" w:cs="Arial"/>
          <w:i/>
          <w:iCs/>
          <w:sz w:val="16"/>
          <w:szCs w:val="16"/>
        </w:rPr>
        <w:t>ibidem</w:t>
      </w:r>
      <w:r>
        <w:rPr>
          <w:rFonts w:ascii="Verdana" w:hAnsi="Verdana" w:cs="Arial"/>
          <w:sz w:val="16"/>
          <w:szCs w:val="16"/>
        </w:rPr>
        <w:t>).</w:t>
      </w:r>
    </w:p>
    <w:p w14:paraId="7E0B10F0" w14:textId="77777777" w:rsidR="00291670" w:rsidRDefault="00291670" w:rsidP="00291670">
      <w:pPr>
        <w:pStyle w:val="Textonotapie"/>
        <w:ind w:firstLine="709"/>
        <w:jc w:val="both"/>
        <w:rPr>
          <w:rFonts w:ascii="Verdana" w:hAnsi="Verdana" w:cs="Arial"/>
          <w:sz w:val="16"/>
          <w:szCs w:val="16"/>
        </w:rPr>
      </w:pPr>
    </w:p>
  </w:footnote>
  <w:footnote w:id="16">
    <w:p w14:paraId="0995CC91" w14:textId="77777777" w:rsidR="00291670" w:rsidRDefault="00291670" w:rsidP="00291670">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RENGIFO GARCÍA, Ernesto. Interpretación del contrato atípico a la luz de la jurisprudencia colombiana. En: Los contratos en el derecho privado. Bogotá: Legis – Universidad del Rosario, 2009. p. 48. </w:t>
      </w:r>
    </w:p>
    <w:p w14:paraId="52D58727" w14:textId="77777777" w:rsidR="00291670" w:rsidRDefault="00291670" w:rsidP="00291670">
      <w:pPr>
        <w:pStyle w:val="Textonotapie"/>
        <w:ind w:firstLine="709"/>
        <w:jc w:val="both"/>
        <w:rPr>
          <w:rFonts w:ascii="Verdana" w:hAnsi="Verdana" w:cs="Arial"/>
          <w:sz w:val="16"/>
          <w:szCs w:val="16"/>
        </w:rPr>
      </w:pPr>
    </w:p>
  </w:footnote>
  <w:footnote w:id="17">
    <w:p w14:paraId="64AED103" w14:textId="77777777" w:rsidR="00291670" w:rsidRDefault="00291670" w:rsidP="00291670">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5 de septiembre de 2018. Consejero Ponente: Edgar González López. Radicación interna: 2386.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5"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8" w15:restartNumberingAfterBreak="0">
    <w:nsid w:val="2BC96B99"/>
    <w:multiLevelType w:val="multilevel"/>
    <w:tmpl w:val="2F16E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B3B25D2"/>
    <w:multiLevelType w:val="multilevel"/>
    <w:tmpl w:val="57FA6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B5505CE"/>
    <w:multiLevelType w:val="multilevel"/>
    <w:tmpl w:val="CEA8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9"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7"/>
  </w:num>
  <w:num w:numId="5" w16cid:durableId="1982299905">
    <w:abstractNumId w:val="35"/>
  </w:num>
  <w:num w:numId="6" w16cid:durableId="130758360">
    <w:abstractNumId w:val="19"/>
  </w:num>
  <w:num w:numId="7" w16cid:durableId="262541512">
    <w:abstractNumId w:val="32"/>
  </w:num>
  <w:num w:numId="8" w16cid:durableId="1947226218">
    <w:abstractNumId w:val="15"/>
  </w:num>
  <w:num w:numId="9" w16cid:durableId="1180706126">
    <w:abstractNumId w:val="18"/>
  </w:num>
  <w:num w:numId="10" w16cid:durableId="2097506960">
    <w:abstractNumId w:val="26"/>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7"/>
  </w:num>
  <w:num w:numId="19" w16cid:durableId="1910656144">
    <w:abstractNumId w:val="3"/>
  </w:num>
  <w:num w:numId="20" w16cid:durableId="947545103">
    <w:abstractNumId w:val="13"/>
  </w:num>
  <w:num w:numId="21" w16cid:durableId="1851335222">
    <w:abstractNumId w:val="34"/>
  </w:num>
  <w:num w:numId="22" w16cid:durableId="578707994">
    <w:abstractNumId w:val="4"/>
  </w:num>
  <w:num w:numId="23" w16cid:durableId="876742304">
    <w:abstractNumId w:val="11"/>
  </w:num>
  <w:num w:numId="24" w16cid:durableId="1994095851">
    <w:abstractNumId w:val="5"/>
  </w:num>
  <w:num w:numId="25" w16cid:durableId="1567109325">
    <w:abstractNumId w:val="29"/>
  </w:num>
  <w:num w:numId="26" w16cid:durableId="1116487847">
    <w:abstractNumId w:val="20"/>
  </w:num>
  <w:num w:numId="27" w16cid:durableId="611326471">
    <w:abstractNumId w:val="30"/>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3"/>
  </w:num>
  <w:num w:numId="30" w16cid:durableId="363991975">
    <w:abstractNumId w:val="31"/>
  </w:num>
  <w:num w:numId="31" w16cid:durableId="1509440290">
    <w:abstractNumId w:val="25"/>
  </w:num>
  <w:num w:numId="32" w16cid:durableId="1601723362">
    <w:abstractNumId w:val="6"/>
  </w:num>
  <w:num w:numId="33" w16cid:durableId="431320769">
    <w:abstractNumId w:val="8"/>
  </w:num>
  <w:num w:numId="34" w16cid:durableId="5964020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2217889">
    <w:abstractNumId w:val="24"/>
  </w:num>
  <w:num w:numId="36" w16cid:durableId="390349800">
    <w:abstractNumId w:val="28"/>
  </w:num>
  <w:num w:numId="37" w16cid:durableId="10064471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952079">
    <w:abstractNumId w:val="6"/>
  </w:num>
  <w:num w:numId="39" w16cid:durableId="2111657886">
    <w:abstractNumId w:val="16"/>
  </w:num>
  <w:num w:numId="40" w16cid:durableId="203037600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079B8"/>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029B"/>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209C"/>
    <w:rsid w:val="00033390"/>
    <w:rsid w:val="0003424A"/>
    <w:rsid w:val="000361EA"/>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4E9F"/>
    <w:rsid w:val="00065973"/>
    <w:rsid w:val="00065C6D"/>
    <w:rsid w:val="000665D3"/>
    <w:rsid w:val="00066646"/>
    <w:rsid w:val="00066C7A"/>
    <w:rsid w:val="00066CF1"/>
    <w:rsid w:val="0007144A"/>
    <w:rsid w:val="000716AB"/>
    <w:rsid w:val="00071AB8"/>
    <w:rsid w:val="0007243A"/>
    <w:rsid w:val="0007288A"/>
    <w:rsid w:val="000756F1"/>
    <w:rsid w:val="000762C0"/>
    <w:rsid w:val="00076737"/>
    <w:rsid w:val="00076C2B"/>
    <w:rsid w:val="00076C73"/>
    <w:rsid w:val="00076F81"/>
    <w:rsid w:val="000772B1"/>
    <w:rsid w:val="000779DE"/>
    <w:rsid w:val="000800B6"/>
    <w:rsid w:val="0008076A"/>
    <w:rsid w:val="00081B03"/>
    <w:rsid w:val="00083AEF"/>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0ACF"/>
    <w:rsid w:val="000A1828"/>
    <w:rsid w:val="000A1D06"/>
    <w:rsid w:val="000A1F38"/>
    <w:rsid w:val="000A2030"/>
    <w:rsid w:val="000A301A"/>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4874"/>
    <w:rsid w:val="000C50D6"/>
    <w:rsid w:val="000C557B"/>
    <w:rsid w:val="000C5A85"/>
    <w:rsid w:val="000C5F29"/>
    <w:rsid w:val="000C5F48"/>
    <w:rsid w:val="000C66BF"/>
    <w:rsid w:val="000C7B0A"/>
    <w:rsid w:val="000C7D5F"/>
    <w:rsid w:val="000C7FF8"/>
    <w:rsid w:val="000D0372"/>
    <w:rsid w:val="000D0ADE"/>
    <w:rsid w:val="000D16F5"/>
    <w:rsid w:val="000D1A8F"/>
    <w:rsid w:val="000D2914"/>
    <w:rsid w:val="000D2E60"/>
    <w:rsid w:val="000D2F50"/>
    <w:rsid w:val="000D3275"/>
    <w:rsid w:val="000D3A1B"/>
    <w:rsid w:val="000D3B86"/>
    <w:rsid w:val="000D3C8D"/>
    <w:rsid w:val="000D4E64"/>
    <w:rsid w:val="000D5008"/>
    <w:rsid w:val="000D570C"/>
    <w:rsid w:val="000D5A0F"/>
    <w:rsid w:val="000D5B1E"/>
    <w:rsid w:val="000D5D9B"/>
    <w:rsid w:val="000D5E3F"/>
    <w:rsid w:val="000D6532"/>
    <w:rsid w:val="000D6E33"/>
    <w:rsid w:val="000D7976"/>
    <w:rsid w:val="000E0622"/>
    <w:rsid w:val="000E07AA"/>
    <w:rsid w:val="000E1D6F"/>
    <w:rsid w:val="000E2A37"/>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BA5"/>
    <w:rsid w:val="00110F73"/>
    <w:rsid w:val="00111E35"/>
    <w:rsid w:val="001128B4"/>
    <w:rsid w:val="00112EBD"/>
    <w:rsid w:val="001132C2"/>
    <w:rsid w:val="0011382D"/>
    <w:rsid w:val="00113AF2"/>
    <w:rsid w:val="00113C17"/>
    <w:rsid w:val="00113FDD"/>
    <w:rsid w:val="00114051"/>
    <w:rsid w:val="00114973"/>
    <w:rsid w:val="00114CFF"/>
    <w:rsid w:val="00114FDF"/>
    <w:rsid w:val="00115C47"/>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0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A27"/>
    <w:rsid w:val="00136E87"/>
    <w:rsid w:val="00140793"/>
    <w:rsid w:val="0014203B"/>
    <w:rsid w:val="001422BD"/>
    <w:rsid w:val="0014286D"/>
    <w:rsid w:val="00143B8E"/>
    <w:rsid w:val="00143CD6"/>
    <w:rsid w:val="00143F21"/>
    <w:rsid w:val="0014420C"/>
    <w:rsid w:val="001446C3"/>
    <w:rsid w:val="00144AA2"/>
    <w:rsid w:val="001461A7"/>
    <w:rsid w:val="00146946"/>
    <w:rsid w:val="00146E7C"/>
    <w:rsid w:val="00147F8C"/>
    <w:rsid w:val="00150492"/>
    <w:rsid w:val="001513CE"/>
    <w:rsid w:val="00151465"/>
    <w:rsid w:val="00151AD8"/>
    <w:rsid w:val="00151E77"/>
    <w:rsid w:val="00152B1C"/>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DC6"/>
    <w:rsid w:val="00165F2E"/>
    <w:rsid w:val="0016646A"/>
    <w:rsid w:val="0016793B"/>
    <w:rsid w:val="00167C43"/>
    <w:rsid w:val="001706C9"/>
    <w:rsid w:val="001708AA"/>
    <w:rsid w:val="0017120C"/>
    <w:rsid w:val="0017150D"/>
    <w:rsid w:val="001727D7"/>
    <w:rsid w:val="00172834"/>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1FA"/>
    <w:rsid w:val="00182338"/>
    <w:rsid w:val="00182348"/>
    <w:rsid w:val="001839D5"/>
    <w:rsid w:val="00183F50"/>
    <w:rsid w:val="0018402A"/>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6D8D"/>
    <w:rsid w:val="00196E44"/>
    <w:rsid w:val="00197205"/>
    <w:rsid w:val="00197632"/>
    <w:rsid w:val="0019793F"/>
    <w:rsid w:val="00197A9D"/>
    <w:rsid w:val="001A08E7"/>
    <w:rsid w:val="001A17D7"/>
    <w:rsid w:val="001A1846"/>
    <w:rsid w:val="001A1A67"/>
    <w:rsid w:val="001A1FDD"/>
    <w:rsid w:val="001A2D8F"/>
    <w:rsid w:val="001A393B"/>
    <w:rsid w:val="001A3963"/>
    <w:rsid w:val="001A3D89"/>
    <w:rsid w:val="001A3E0A"/>
    <w:rsid w:val="001A5458"/>
    <w:rsid w:val="001A545B"/>
    <w:rsid w:val="001A54DA"/>
    <w:rsid w:val="001A5E69"/>
    <w:rsid w:val="001A6861"/>
    <w:rsid w:val="001A6FEC"/>
    <w:rsid w:val="001A78AA"/>
    <w:rsid w:val="001B08B5"/>
    <w:rsid w:val="001B143B"/>
    <w:rsid w:val="001B1532"/>
    <w:rsid w:val="001B15D3"/>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38B1"/>
    <w:rsid w:val="001D392C"/>
    <w:rsid w:val="001D3E7C"/>
    <w:rsid w:val="001D4006"/>
    <w:rsid w:val="001D54BD"/>
    <w:rsid w:val="001D5C72"/>
    <w:rsid w:val="001D626E"/>
    <w:rsid w:val="001D6F5D"/>
    <w:rsid w:val="001D733B"/>
    <w:rsid w:val="001D73CF"/>
    <w:rsid w:val="001D7E8C"/>
    <w:rsid w:val="001E0902"/>
    <w:rsid w:val="001E1801"/>
    <w:rsid w:val="001E1B8B"/>
    <w:rsid w:val="001E1C73"/>
    <w:rsid w:val="001E1E05"/>
    <w:rsid w:val="001E2254"/>
    <w:rsid w:val="001E22D2"/>
    <w:rsid w:val="001E2343"/>
    <w:rsid w:val="001E3A17"/>
    <w:rsid w:val="001E3FCB"/>
    <w:rsid w:val="001E50C0"/>
    <w:rsid w:val="001E52DF"/>
    <w:rsid w:val="001E5500"/>
    <w:rsid w:val="001E6BCB"/>
    <w:rsid w:val="001E783B"/>
    <w:rsid w:val="001E7FBC"/>
    <w:rsid w:val="001F0822"/>
    <w:rsid w:val="001F08CB"/>
    <w:rsid w:val="001F105B"/>
    <w:rsid w:val="001F15F6"/>
    <w:rsid w:val="001F179C"/>
    <w:rsid w:val="001F24B7"/>
    <w:rsid w:val="001F2649"/>
    <w:rsid w:val="001F2E4E"/>
    <w:rsid w:val="001F3496"/>
    <w:rsid w:val="001F41CA"/>
    <w:rsid w:val="001F4355"/>
    <w:rsid w:val="001F4819"/>
    <w:rsid w:val="001F48BD"/>
    <w:rsid w:val="001F4B69"/>
    <w:rsid w:val="001F5034"/>
    <w:rsid w:val="001F61DE"/>
    <w:rsid w:val="001F63AA"/>
    <w:rsid w:val="001F69C8"/>
    <w:rsid w:val="001F7054"/>
    <w:rsid w:val="001F71FD"/>
    <w:rsid w:val="001F77E5"/>
    <w:rsid w:val="001F7DB7"/>
    <w:rsid w:val="002000AA"/>
    <w:rsid w:val="002009B7"/>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8D1"/>
    <w:rsid w:val="00211DCE"/>
    <w:rsid w:val="00212390"/>
    <w:rsid w:val="00212897"/>
    <w:rsid w:val="0021386A"/>
    <w:rsid w:val="00213C44"/>
    <w:rsid w:val="002147EE"/>
    <w:rsid w:val="00214D99"/>
    <w:rsid w:val="00215516"/>
    <w:rsid w:val="002158DC"/>
    <w:rsid w:val="002159D5"/>
    <w:rsid w:val="00215B4B"/>
    <w:rsid w:val="00215B64"/>
    <w:rsid w:val="00215C05"/>
    <w:rsid w:val="002161E3"/>
    <w:rsid w:val="00216DF5"/>
    <w:rsid w:val="00216EFA"/>
    <w:rsid w:val="0021798E"/>
    <w:rsid w:val="00217CA1"/>
    <w:rsid w:val="00217DEE"/>
    <w:rsid w:val="002203BF"/>
    <w:rsid w:val="00220C4C"/>
    <w:rsid w:val="00220E0F"/>
    <w:rsid w:val="00220E95"/>
    <w:rsid w:val="002217FE"/>
    <w:rsid w:val="0022180C"/>
    <w:rsid w:val="00221C72"/>
    <w:rsid w:val="002223E1"/>
    <w:rsid w:val="002225AB"/>
    <w:rsid w:val="00222955"/>
    <w:rsid w:val="002231B0"/>
    <w:rsid w:val="002250D1"/>
    <w:rsid w:val="002267D2"/>
    <w:rsid w:val="00227D33"/>
    <w:rsid w:val="00230839"/>
    <w:rsid w:val="00230EE8"/>
    <w:rsid w:val="00231179"/>
    <w:rsid w:val="00231ADB"/>
    <w:rsid w:val="00232178"/>
    <w:rsid w:val="00232248"/>
    <w:rsid w:val="00232D12"/>
    <w:rsid w:val="00233236"/>
    <w:rsid w:val="00233616"/>
    <w:rsid w:val="00233975"/>
    <w:rsid w:val="00233B8C"/>
    <w:rsid w:val="002353E3"/>
    <w:rsid w:val="00235CC0"/>
    <w:rsid w:val="00235F30"/>
    <w:rsid w:val="00236287"/>
    <w:rsid w:val="002363FF"/>
    <w:rsid w:val="00236D10"/>
    <w:rsid w:val="002407CE"/>
    <w:rsid w:val="00242325"/>
    <w:rsid w:val="00243A38"/>
    <w:rsid w:val="002441FF"/>
    <w:rsid w:val="0024474F"/>
    <w:rsid w:val="00244761"/>
    <w:rsid w:val="002450F2"/>
    <w:rsid w:val="00245B7F"/>
    <w:rsid w:val="002469C2"/>
    <w:rsid w:val="00247BDE"/>
    <w:rsid w:val="00247DE2"/>
    <w:rsid w:val="00247E6C"/>
    <w:rsid w:val="002505DE"/>
    <w:rsid w:val="002514FA"/>
    <w:rsid w:val="00251DAF"/>
    <w:rsid w:val="00252503"/>
    <w:rsid w:val="002529A0"/>
    <w:rsid w:val="00252ED7"/>
    <w:rsid w:val="0025393C"/>
    <w:rsid w:val="002549E7"/>
    <w:rsid w:val="00254A7A"/>
    <w:rsid w:val="00254EA4"/>
    <w:rsid w:val="0025509C"/>
    <w:rsid w:val="002552F8"/>
    <w:rsid w:val="0025575F"/>
    <w:rsid w:val="0025695E"/>
    <w:rsid w:val="002571E3"/>
    <w:rsid w:val="002573DA"/>
    <w:rsid w:val="00260496"/>
    <w:rsid w:val="00260542"/>
    <w:rsid w:val="00260BAD"/>
    <w:rsid w:val="0026224C"/>
    <w:rsid w:val="002624B6"/>
    <w:rsid w:val="002635FD"/>
    <w:rsid w:val="00264C7C"/>
    <w:rsid w:val="0026650F"/>
    <w:rsid w:val="00266DC3"/>
    <w:rsid w:val="00267736"/>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5F9A"/>
    <w:rsid w:val="00276261"/>
    <w:rsid w:val="00276944"/>
    <w:rsid w:val="00276964"/>
    <w:rsid w:val="002769AE"/>
    <w:rsid w:val="00276CA7"/>
    <w:rsid w:val="0028032E"/>
    <w:rsid w:val="0028146C"/>
    <w:rsid w:val="002816DD"/>
    <w:rsid w:val="002817A6"/>
    <w:rsid w:val="002821E8"/>
    <w:rsid w:val="00282F1D"/>
    <w:rsid w:val="00283215"/>
    <w:rsid w:val="002833F3"/>
    <w:rsid w:val="0028391C"/>
    <w:rsid w:val="00284203"/>
    <w:rsid w:val="00284719"/>
    <w:rsid w:val="00285007"/>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670"/>
    <w:rsid w:val="00291CB7"/>
    <w:rsid w:val="0029280F"/>
    <w:rsid w:val="00292E91"/>
    <w:rsid w:val="002930AD"/>
    <w:rsid w:val="00293254"/>
    <w:rsid w:val="00295002"/>
    <w:rsid w:val="0029568E"/>
    <w:rsid w:val="00295E8C"/>
    <w:rsid w:val="002971C7"/>
    <w:rsid w:val="002971F2"/>
    <w:rsid w:val="00297785"/>
    <w:rsid w:val="00297CAE"/>
    <w:rsid w:val="00297E05"/>
    <w:rsid w:val="002A0444"/>
    <w:rsid w:val="002A0F8D"/>
    <w:rsid w:val="002A1311"/>
    <w:rsid w:val="002A1377"/>
    <w:rsid w:val="002A211A"/>
    <w:rsid w:val="002A222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303"/>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71C"/>
    <w:rsid w:val="002D5FD5"/>
    <w:rsid w:val="002D68F4"/>
    <w:rsid w:val="002D7395"/>
    <w:rsid w:val="002D7417"/>
    <w:rsid w:val="002D782B"/>
    <w:rsid w:val="002E0D9C"/>
    <w:rsid w:val="002E1247"/>
    <w:rsid w:val="002E26E8"/>
    <w:rsid w:val="002E33FF"/>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3DC4"/>
    <w:rsid w:val="00304676"/>
    <w:rsid w:val="003051A7"/>
    <w:rsid w:val="00306BE7"/>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A74"/>
    <w:rsid w:val="00322E18"/>
    <w:rsid w:val="00322F43"/>
    <w:rsid w:val="00323BBB"/>
    <w:rsid w:val="00323C3D"/>
    <w:rsid w:val="00323D1D"/>
    <w:rsid w:val="00323F8A"/>
    <w:rsid w:val="00324752"/>
    <w:rsid w:val="00324D73"/>
    <w:rsid w:val="00325575"/>
    <w:rsid w:val="00326011"/>
    <w:rsid w:val="0032643D"/>
    <w:rsid w:val="003268D0"/>
    <w:rsid w:val="00326D02"/>
    <w:rsid w:val="00327069"/>
    <w:rsid w:val="00327812"/>
    <w:rsid w:val="00327AFB"/>
    <w:rsid w:val="00327BAD"/>
    <w:rsid w:val="00327BAF"/>
    <w:rsid w:val="00327D10"/>
    <w:rsid w:val="00331894"/>
    <w:rsid w:val="00332CB8"/>
    <w:rsid w:val="00333428"/>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CE6"/>
    <w:rsid w:val="00345F01"/>
    <w:rsid w:val="0034654F"/>
    <w:rsid w:val="00346B28"/>
    <w:rsid w:val="00347685"/>
    <w:rsid w:val="003509A5"/>
    <w:rsid w:val="003515FD"/>
    <w:rsid w:val="0035178C"/>
    <w:rsid w:val="003518A4"/>
    <w:rsid w:val="00351E21"/>
    <w:rsid w:val="00352327"/>
    <w:rsid w:val="003526A9"/>
    <w:rsid w:val="00354062"/>
    <w:rsid w:val="00354405"/>
    <w:rsid w:val="00354AED"/>
    <w:rsid w:val="00355A76"/>
    <w:rsid w:val="00355DEC"/>
    <w:rsid w:val="0035635F"/>
    <w:rsid w:val="00356BF0"/>
    <w:rsid w:val="00356E0F"/>
    <w:rsid w:val="0035700C"/>
    <w:rsid w:val="003575A9"/>
    <w:rsid w:val="0036027B"/>
    <w:rsid w:val="003607EE"/>
    <w:rsid w:val="00360BC8"/>
    <w:rsid w:val="00360E35"/>
    <w:rsid w:val="00361106"/>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4F6C"/>
    <w:rsid w:val="003751C7"/>
    <w:rsid w:val="00375C84"/>
    <w:rsid w:val="00376524"/>
    <w:rsid w:val="00376E3B"/>
    <w:rsid w:val="003776FE"/>
    <w:rsid w:val="00377A56"/>
    <w:rsid w:val="00380424"/>
    <w:rsid w:val="00380868"/>
    <w:rsid w:val="00380B9B"/>
    <w:rsid w:val="003818B3"/>
    <w:rsid w:val="003819F5"/>
    <w:rsid w:val="00381A52"/>
    <w:rsid w:val="00381B57"/>
    <w:rsid w:val="00381D47"/>
    <w:rsid w:val="003821CC"/>
    <w:rsid w:val="00382210"/>
    <w:rsid w:val="003835F0"/>
    <w:rsid w:val="00383CC1"/>
    <w:rsid w:val="003853B1"/>
    <w:rsid w:val="003853ED"/>
    <w:rsid w:val="0038628F"/>
    <w:rsid w:val="00386421"/>
    <w:rsid w:val="0038704C"/>
    <w:rsid w:val="003874D7"/>
    <w:rsid w:val="00387AA1"/>
    <w:rsid w:val="0039082A"/>
    <w:rsid w:val="0039101F"/>
    <w:rsid w:val="00392EDB"/>
    <w:rsid w:val="00392FAE"/>
    <w:rsid w:val="003931AA"/>
    <w:rsid w:val="00393EEE"/>
    <w:rsid w:val="003941C0"/>
    <w:rsid w:val="00394737"/>
    <w:rsid w:val="00394D45"/>
    <w:rsid w:val="00395132"/>
    <w:rsid w:val="00395D99"/>
    <w:rsid w:val="003968DF"/>
    <w:rsid w:val="003976C3"/>
    <w:rsid w:val="00397A03"/>
    <w:rsid w:val="00397A64"/>
    <w:rsid w:val="003A099A"/>
    <w:rsid w:val="003A1372"/>
    <w:rsid w:val="003A1D46"/>
    <w:rsid w:val="003A1E38"/>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CFF"/>
    <w:rsid w:val="003B3D8E"/>
    <w:rsid w:val="003B3FED"/>
    <w:rsid w:val="003B3FF1"/>
    <w:rsid w:val="003B4217"/>
    <w:rsid w:val="003B59A1"/>
    <w:rsid w:val="003B6D11"/>
    <w:rsid w:val="003B74F1"/>
    <w:rsid w:val="003B7541"/>
    <w:rsid w:val="003B7966"/>
    <w:rsid w:val="003B7F07"/>
    <w:rsid w:val="003B7FCE"/>
    <w:rsid w:val="003C0600"/>
    <w:rsid w:val="003C0C21"/>
    <w:rsid w:val="003C0F87"/>
    <w:rsid w:val="003C141E"/>
    <w:rsid w:val="003C17C5"/>
    <w:rsid w:val="003C1B83"/>
    <w:rsid w:val="003C2008"/>
    <w:rsid w:val="003C210E"/>
    <w:rsid w:val="003C21B3"/>
    <w:rsid w:val="003C30AD"/>
    <w:rsid w:val="003C3503"/>
    <w:rsid w:val="003C3B99"/>
    <w:rsid w:val="003C40DE"/>
    <w:rsid w:val="003C4851"/>
    <w:rsid w:val="003C4C96"/>
    <w:rsid w:val="003C55E0"/>
    <w:rsid w:val="003C5E39"/>
    <w:rsid w:val="003C683A"/>
    <w:rsid w:val="003D0079"/>
    <w:rsid w:val="003D017D"/>
    <w:rsid w:val="003D04D6"/>
    <w:rsid w:val="003D10EC"/>
    <w:rsid w:val="003D28A0"/>
    <w:rsid w:val="003D28DE"/>
    <w:rsid w:val="003D29B9"/>
    <w:rsid w:val="003D3500"/>
    <w:rsid w:val="003D37B6"/>
    <w:rsid w:val="003D3C68"/>
    <w:rsid w:val="003D450D"/>
    <w:rsid w:val="003D4D72"/>
    <w:rsid w:val="003D503A"/>
    <w:rsid w:val="003D6505"/>
    <w:rsid w:val="003D71A6"/>
    <w:rsid w:val="003D7709"/>
    <w:rsid w:val="003E004C"/>
    <w:rsid w:val="003E0294"/>
    <w:rsid w:val="003E0BAF"/>
    <w:rsid w:val="003E0E25"/>
    <w:rsid w:val="003E1409"/>
    <w:rsid w:val="003E16F2"/>
    <w:rsid w:val="003E2195"/>
    <w:rsid w:val="003E36A5"/>
    <w:rsid w:val="003E4A52"/>
    <w:rsid w:val="003E5CBA"/>
    <w:rsid w:val="003E78A9"/>
    <w:rsid w:val="003E7912"/>
    <w:rsid w:val="003E7CA1"/>
    <w:rsid w:val="003F04E6"/>
    <w:rsid w:val="003F2CDD"/>
    <w:rsid w:val="003F430F"/>
    <w:rsid w:val="003F45D7"/>
    <w:rsid w:val="003F5660"/>
    <w:rsid w:val="003F5717"/>
    <w:rsid w:val="003F5A39"/>
    <w:rsid w:val="003F5B56"/>
    <w:rsid w:val="003F5B9F"/>
    <w:rsid w:val="003F5C1A"/>
    <w:rsid w:val="003F6A6A"/>
    <w:rsid w:val="003F738D"/>
    <w:rsid w:val="003F7554"/>
    <w:rsid w:val="003F7845"/>
    <w:rsid w:val="003F7FA1"/>
    <w:rsid w:val="003F7FA4"/>
    <w:rsid w:val="00400003"/>
    <w:rsid w:val="004006EA"/>
    <w:rsid w:val="004008DE"/>
    <w:rsid w:val="00400B4E"/>
    <w:rsid w:val="0040130D"/>
    <w:rsid w:val="00402967"/>
    <w:rsid w:val="00402E56"/>
    <w:rsid w:val="00403634"/>
    <w:rsid w:val="00403A99"/>
    <w:rsid w:val="00404592"/>
    <w:rsid w:val="00404B58"/>
    <w:rsid w:val="0040544F"/>
    <w:rsid w:val="00405537"/>
    <w:rsid w:val="0040625C"/>
    <w:rsid w:val="004069D2"/>
    <w:rsid w:val="004076FF"/>
    <w:rsid w:val="004109CC"/>
    <w:rsid w:val="00411B17"/>
    <w:rsid w:val="00411FFF"/>
    <w:rsid w:val="0041222D"/>
    <w:rsid w:val="004124F2"/>
    <w:rsid w:val="00412E6F"/>
    <w:rsid w:val="004134BE"/>
    <w:rsid w:val="00413C5C"/>
    <w:rsid w:val="0041413F"/>
    <w:rsid w:val="0041567A"/>
    <w:rsid w:val="00415BAB"/>
    <w:rsid w:val="00415BCF"/>
    <w:rsid w:val="00416297"/>
    <w:rsid w:val="00417083"/>
    <w:rsid w:val="00417E36"/>
    <w:rsid w:val="0042057C"/>
    <w:rsid w:val="00420BDF"/>
    <w:rsid w:val="00421608"/>
    <w:rsid w:val="0042188F"/>
    <w:rsid w:val="004218E5"/>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B10"/>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3EFC"/>
    <w:rsid w:val="00444140"/>
    <w:rsid w:val="00444BF5"/>
    <w:rsid w:val="00444F43"/>
    <w:rsid w:val="00447B4D"/>
    <w:rsid w:val="00447C0A"/>
    <w:rsid w:val="00447C23"/>
    <w:rsid w:val="00450744"/>
    <w:rsid w:val="00450BE7"/>
    <w:rsid w:val="00450FE8"/>
    <w:rsid w:val="004518D0"/>
    <w:rsid w:val="0045213A"/>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2A4"/>
    <w:rsid w:val="0046153C"/>
    <w:rsid w:val="004624D2"/>
    <w:rsid w:val="004625C8"/>
    <w:rsid w:val="004626A2"/>
    <w:rsid w:val="00462DCE"/>
    <w:rsid w:val="0046442A"/>
    <w:rsid w:val="00464BF1"/>
    <w:rsid w:val="00464DA5"/>
    <w:rsid w:val="00465D73"/>
    <w:rsid w:val="00466078"/>
    <w:rsid w:val="0046626B"/>
    <w:rsid w:val="004676E4"/>
    <w:rsid w:val="00467AFF"/>
    <w:rsid w:val="00470183"/>
    <w:rsid w:val="004708C9"/>
    <w:rsid w:val="00470C48"/>
    <w:rsid w:val="0047139F"/>
    <w:rsid w:val="00471429"/>
    <w:rsid w:val="004722B1"/>
    <w:rsid w:val="004733B7"/>
    <w:rsid w:val="0047388C"/>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4EF6"/>
    <w:rsid w:val="00485058"/>
    <w:rsid w:val="00485702"/>
    <w:rsid w:val="004867EC"/>
    <w:rsid w:val="00486A37"/>
    <w:rsid w:val="00486BB5"/>
    <w:rsid w:val="00487662"/>
    <w:rsid w:val="004876C6"/>
    <w:rsid w:val="00487D7B"/>
    <w:rsid w:val="00487F9E"/>
    <w:rsid w:val="00490A79"/>
    <w:rsid w:val="00490F7A"/>
    <w:rsid w:val="00490FD5"/>
    <w:rsid w:val="00491241"/>
    <w:rsid w:val="00491813"/>
    <w:rsid w:val="00493278"/>
    <w:rsid w:val="00493855"/>
    <w:rsid w:val="004951D8"/>
    <w:rsid w:val="004952C1"/>
    <w:rsid w:val="00496BAD"/>
    <w:rsid w:val="00497575"/>
    <w:rsid w:val="004A006F"/>
    <w:rsid w:val="004A078B"/>
    <w:rsid w:val="004A12C0"/>
    <w:rsid w:val="004A169A"/>
    <w:rsid w:val="004A180B"/>
    <w:rsid w:val="004A18C9"/>
    <w:rsid w:val="004A191A"/>
    <w:rsid w:val="004A1A70"/>
    <w:rsid w:val="004A4027"/>
    <w:rsid w:val="004A419E"/>
    <w:rsid w:val="004A4688"/>
    <w:rsid w:val="004A6463"/>
    <w:rsid w:val="004A6B58"/>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2776"/>
    <w:rsid w:val="004C3C25"/>
    <w:rsid w:val="004C3CBC"/>
    <w:rsid w:val="004C3EEA"/>
    <w:rsid w:val="004C4EA2"/>
    <w:rsid w:val="004C5846"/>
    <w:rsid w:val="004C596B"/>
    <w:rsid w:val="004C5E41"/>
    <w:rsid w:val="004C60E7"/>
    <w:rsid w:val="004C664D"/>
    <w:rsid w:val="004C6E0B"/>
    <w:rsid w:val="004C7BDE"/>
    <w:rsid w:val="004D0090"/>
    <w:rsid w:val="004D020F"/>
    <w:rsid w:val="004D03D1"/>
    <w:rsid w:val="004D10B0"/>
    <w:rsid w:val="004D11AF"/>
    <w:rsid w:val="004D2E58"/>
    <w:rsid w:val="004D37D9"/>
    <w:rsid w:val="004D41A2"/>
    <w:rsid w:val="004D4E55"/>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1F8"/>
    <w:rsid w:val="004F590E"/>
    <w:rsid w:val="004F5966"/>
    <w:rsid w:val="004F5E69"/>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DC3"/>
    <w:rsid w:val="00511F8F"/>
    <w:rsid w:val="0051215A"/>
    <w:rsid w:val="00512A7E"/>
    <w:rsid w:val="00513291"/>
    <w:rsid w:val="00513C86"/>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6AE0"/>
    <w:rsid w:val="00536D99"/>
    <w:rsid w:val="005374FE"/>
    <w:rsid w:val="005378BC"/>
    <w:rsid w:val="0054053D"/>
    <w:rsid w:val="0054126C"/>
    <w:rsid w:val="00541368"/>
    <w:rsid w:val="005415DD"/>
    <w:rsid w:val="00541D12"/>
    <w:rsid w:val="005423F3"/>
    <w:rsid w:val="005426DB"/>
    <w:rsid w:val="005442F1"/>
    <w:rsid w:val="005449DD"/>
    <w:rsid w:val="00544A24"/>
    <w:rsid w:val="0054583C"/>
    <w:rsid w:val="00546227"/>
    <w:rsid w:val="005468E2"/>
    <w:rsid w:val="00546D83"/>
    <w:rsid w:val="00550113"/>
    <w:rsid w:val="0055019B"/>
    <w:rsid w:val="005504BE"/>
    <w:rsid w:val="0055082B"/>
    <w:rsid w:val="0055093A"/>
    <w:rsid w:val="00550F00"/>
    <w:rsid w:val="00551BC9"/>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0F4A"/>
    <w:rsid w:val="00562A61"/>
    <w:rsid w:val="00562E78"/>
    <w:rsid w:val="005638A2"/>
    <w:rsid w:val="00564E45"/>
    <w:rsid w:val="005652D5"/>
    <w:rsid w:val="00565E52"/>
    <w:rsid w:val="00567227"/>
    <w:rsid w:val="00567CD0"/>
    <w:rsid w:val="00570C7B"/>
    <w:rsid w:val="00571C77"/>
    <w:rsid w:val="0057273D"/>
    <w:rsid w:val="00572D5B"/>
    <w:rsid w:val="00574614"/>
    <w:rsid w:val="00574A70"/>
    <w:rsid w:val="00574D35"/>
    <w:rsid w:val="00574F5B"/>
    <w:rsid w:val="00575C75"/>
    <w:rsid w:val="005762CA"/>
    <w:rsid w:val="005770CF"/>
    <w:rsid w:val="00577904"/>
    <w:rsid w:val="00577922"/>
    <w:rsid w:val="00577AC3"/>
    <w:rsid w:val="00580577"/>
    <w:rsid w:val="005815A8"/>
    <w:rsid w:val="005818BD"/>
    <w:rsid w:val="00581915"/>
    <w:rsid w:val="0058307E"/>
    <w:rsid w:val="00583431"/>
    <w:rsid w:val="005846C0"/>
    <w:rsid w:val="00584D04"/>
    <w:rsid w:val="005853F5"/>
    <w:rsid w:val="0058567E"/>
    <w:rsid w:val="00585DE1"/>
    <w:rsid w:val="0058659E"/>
    <w:rsid w:val="00586613"/>
    <w:rsid w:val="005869EE"/>
    <w:rsid w:val="005872B7"/>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6CF5"/>
    <w:rsid w:val="00597108"/>
    <w:rsid w:val="005976DB"/>
    <w:rsid w:val="005A2126"/>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377"/>
    <w:rsid w:val="005C066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1CE"/>
    <w:rsid w:val="005E1218"/>
    <w:rsid w:val="005E18EC"/>
    <w:rsid w:val="005E1A55"/>
    <w:rsid w:val="005E1B6B"/>
    <w:rsid w:val="005E1F61"/>
    <w:rsid w:val="005E2281"/>
    <w:rsid w:val="005E236C"/>
    <w:rsid w:val="005E2D9E"/>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28DC"/>
    <w:rsid w:val="005F3CE8"/>
    <w:rsid w:val="005F4F41"/>
    <w:rsid w:val="005F566D"/>
    <w:rsid w:val="005F5A85"/>
    <w:rsid w:val="005F648F"/>
    <w:rsid w:val="005F68C3"/>
    <w:rsid w:val="005F79CF"/>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1C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4C2"/>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1DC"/>
    <w:rsid w:val="006472F8"/>
    <w:rsid w:val="00647680"/>
    <w:rsid w:val="00647743"/>
    <w:rsid w:val="006510C0"/>
    <w:rsid w:val="00651DA0"/>
    <w:rsid w:val="00652092"/>
    <w:rsid w:val="00652472"/>
    <w:rsid w:val="00652F31"/>
    <w:rsid w:val="006535E5"/>
    <w:rsid w:val="0065394E"/>
    <w:rsid w:val="00653B38"/>
    <w:rsid w:val="00654D37"/>
    <w:rsid w:val="00656385"/>
    <w:rsid w:val="00656F19"/>
    <w:rsid w:val="00657BB7"/>
    <w:rsid w:val="00660299"/>
    <w:rsid w:val="00660552"/>
    <w:rsid w:val="0066090C"/>
    <w:rsid w:val="00660DBE"/>
    <w:rsid w:val="00661113"/>
    <w:rsid w:val="0066127D"/>
    <w:rsid w:val="00661AB0"/>
    <w:rsid w:val="006623A4"/>
    <w:rsid w:val="006627B5"/>
    <w:rsid w:val="00662E8E"/>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1A65"/>
    <w:rsid w:val="00672895"/>
    <w:rsid w:val="00672A8A"/>
    <w:rsid w:val="00673524"/>
    <w:rsid w:val="00673F50"/>
    <w:rsid w:val="00674EEA"/>
    <w:rsid w:val="0067549D"/>
    <w:rsid w:val="006759B0"/>
    <w:rsid w:val="00677012"/>
    <w:rsid w:val="006771EA"/>
    <w:rsid w:val="00677CBF"/>
    <w:rsid w:val="00680407"/>
    <w:rsid w:val="00680D0E"/>
    <w:rsid w:val="00680F00"/>
    <w:rsid w:val="006821FD"/>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26B6"/>
    <w:rsid w:val="006A3293"/>
    <w:rsid w:val="006A36DF"/>
    <w:rsid w:val="006A3C8A"/>
    <w:rsid w:val="006A3D94"/>
    <w:rsid w:val="006A3E61"/>
    <w:rsid w:val="006A5213"/>
    <w:rsid w:val="006A5866"/>
    <w:rsid w:val="006A6003"/>
    <w:rsid w:val="006A6737"/>
    <w:rsid w:val="006A7AAD"/>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2AEE"/>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4BA8"/>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AE"/>
    <w:rsid w:val="006E50E4"/>
    <w:rsid w:val="006E6F30"/>
    <w:rsid w:val="006E6FE9"/>
    <w:rsid w:val="006E7082"/>
    <w:rsid w:val="006E709F"/>
    <w:rsid w:val="006E7F73"/>
    <w:rsid w:val="006F030F"/>
    <w:rsid w:val="006F193C"/>
    <w:rsid w:val="006F1B58"/>
    <w:rsid w:val="006F27DC"/>
    <w:rsid w:val="006F2B89"/>
    <w:rsid w:val="006F36F1"/>
    <w:rsid w:val="006F3B81"/>
    <w:rsid w:val="006F4A0F"/>
    <w:rsid w:val="006F4D59"/>
    <w:rsid w:val="006F4F79"/>
    <w:rsid w:val="006F4F80"/>
    <w:rsid w:val="006F5532"/>
    <w:rsid w:val="006F5ADA"/>
    <w:rsid w:val="006F62CC"/>
    <w:rsid w:val="006F644B"/>
    <w:rsid w:val="006F66C1"/>
    <w:rsid w:val="006F681D"/>
    <w:rsid w:val="006F731E"/>
    <w:rsid w:val="006F78E9"/>
    <w:rsid w:val="0070235F"/>
    <w:rsid w:val="00702BC3"/>
    <w:rsid w:val="00702EA5"/>
    <w:rsid w:val="00702FF3"/>
    <w:rsid w:val="007032AC"/>
    <w:rsid w:val="00703496"/>
    <w:rsid w:val="007036FE"/>
    <w:rsid w:val="00703AB1"/>
    <w:rsid w:val="00704614"/>
    <w:rsid w:val="00704C5F"/>
    <w:rsid w:val="00704DEB"/>
    <w:rsid w:val="00704FA9"/>
    <w:rsid w:val="00705623"/>
    <w:rsid w:val="00705B37"/>
    <w:rsid w:val="00706460"/>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6CD3"/>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1F36"/>
    <w:rsid w:val="00742606"/>
    <w:rsid w:val="007441FF"/>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31CA"/>
    <w:rsid w:val="00754252"/>
    <w:rsid w:val="007549AE"/>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533"/>
    <w:rsid w:val="00764AF9"/>
    <w:rsid w:val="007650AD"/>
    <w:rsid w:val="007658DC"/>
    <w:rsid w:val="00765D18"/>
    <w:rsid w:val="0076640B"/>
    <w:rsid w:val="007673DE"/>
    <w:rsid w:val="00770C54"/>
    <w:rsid w:val="00771344"/>
    <w:rsid w:val="0077213A"/>
    <w:rsid w:val="00772613"/>
    <w:rsid w:val="00772B41"/>
    <w:rsid w:val="00772CED"/>
    <w:rsid w:val="00772E13"/>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318"/>
    <w:rsid w:val="00784926"/>
    <w:rsid w:val="00784DB8"/>
    <w:rsid w:val="00784FDD"/>
    <w:rsid w:val="0078508F"/>
    <w:rsid w:val="00786448"/>
    <w:rsid w:val="007875D7"/>
    <w:rsid w:val="00787782"/>
    <w:rsid w:val="0079015D"/>
    <w:rsid w:val="007906B2"/>
    <w:rsid w:val="0079134E"/>
    <w:rsid w:val="007925F0"/>
    <w:rsid w:val="0079278E"/>
    <w:rsid w:val="00792DCA"/>
    <w:rsid w:val="00792E3C"/>
    <w:rsid w:val="007930C1"/>
    <w:rsid w:val="0079315D"/>
    <w:rsid w:val="00793B45"/>
    <w:rsid w:val="0079477A"/>
    <w:rsid w:val="00795706"/>
    <w:rsid w:val="007960E3"/>
    <w:rsid w:val="00796D3A"/>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565"/>
    <w:rsid w:val="007B18C6"/>
    <w:rsid w:val="007B20C2"/>
    <w:rsid w:val="007B25D5"/>
    <w:rsid w:val="007B27E4"/>
    <w:rsid w:val="007B2910"/>
    <w:rsid w:val="007B301D"/>
    <w:rsid w:val="007B3264"/>
    <w:rsid w:val="007B35F6"/>
    <w:rsid w:val="007B3F87"/>
    <w:rsid w:val="007B404F"/>
    <w:rsid w:val="007B44A6"/>
    <w:rsid w:val="007B494E"/>
    <w:rsid w:val="007B4C5E"/>
    <w:rsid w:val="007B4D1F"/>
    <w:rsid w:val="007B7462"/>
    <w:rsid w:val="007B770B"/>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342"/>
    <w:rsid w:val="007D6EA8"/>
    <w:rsid w:val="007D7AF1"/>
    <w:rsid w:val="007D7B3C"/>
    <w:rsid w:val="007E05DB"/>
    <w:rsid w:val="007E1247"/>
    <w:rsid w:val="007E1A44"/>
    <w:rsid w:val="007E2419"/>
    <w:rsid w:val="007E3FF5"/>
    <w:rsid w:val="007E4219"/>
    <w:rsid w:val="007E560D"/>
    <w:rsid w:val="007E577E"/>
    <w:rsid w:val="007E635E"/>
    <w:rsid w:val="007E6A9C"/>
    <w:rsid w:val="007E6C0C"/>
    <w:rsid w:val="007E7300"/>
    <w:rsid w:val="007E767B"/>
    <w:rsid w:val="007E7B54"/>
    <w:rsid w:val="007F005B"/>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2D4B"/>
    <w:rsid w:val="0081398E"/>
    <w:rsid w:val="00813F02"/>
    <w:rsid w:val="008149D8"/>
    <w:rsid w:val="00815714"/>
    <w:rsid w:val="00815A2A"/>
    <w:rsid w:val="00817161"/>
    <w:rsid w:val="0081724D"/>
    <w:rsid w:val="0081788A"/>
    <w:rsid w:val="00817927"/>
    <w:rsid w:val="00817CFC"/>
    <w:rsid w:val="00817E82"/>
    <w:rsid w:val="00820A3F"/>
    <w:rsid w:val="00821D81"/>
    <w:rsid w:val="00822A52"/>
    <w:rsid w:val="00823654"/>
    <w:rsid w:val="008237F3"/>
    <w:rsid w:val="00823A90"/>
    <w:rsid w:val="008247C9"/>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248"/>
    <w:rsid w:val="008354B9"/>
    <w:rsid w:val="00835DCB"/>
    <w:rsid w:val="00836090"/>
    <w:rsid w:val="00836921"/>
    <w:rsid w:val="00837237"/>
    <w:rsid w:val="008376C0"/>
    <w:rsid w:val="00837E7E"/>
    <w:rsid w:val="0084035D"/>
    <w:rsid w:val="008405F6"/>
    <w:rsid w:val="008405F9"/>
    <w:rsid w:val="0084060B"/>
    <w:rsid w:val="0084139B"/>
    <w:rsid w:val="0084143B"/>
    <w:rsid w:val="008417D4"/>
    <w:rsid w:val="00842547"/>
    <w:rsid w:val="00842610"/>
    <w:rsid w:val="008427D3"/>
    <w:rsid w:val="008429CF"/>
    <w:rsid w:val="008431FD"/>
    <w:rsid w:val="0084324C"/>
    <w:rsid w:val="0084389E"/>
    <w:rsid w:val="00843B9B"/>
    <w:rsid w:val="008451F8"/>
    <w:rsid w:val="008457D2"/>
    <w:rsid w:val="00846212"/>
    <w:rsid w:val="008468E0"/>
    <w:rsid w:val="0084767E"/>
    <w:rsid w:val="0084790F"/>
    <w:rsid w:val="00847BE7"/>
    <w:rsid w:val="00847D23"/>
    <w:rsid w:val="00850EAB"/>
    <w:rsid w:val="00851C80"/>
    <w:rsid w:val="00851D70"/>
    <w:rsid w:val="008529B3"/>
    <w:rsid w:val="00852ADD"/>
    <w:rsid w:val="0085368F"/>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707A3"/>
    <w:rsid w:val="00870A36"/>
    <w:rsid w:val="008711AE"/>
    <w:rsid w:val="00871A36"/>
    <w:rsid w:val="00872DF4"/>
    <w:rsid w:val="00872F21"/>
    <w:rsid w:val="00873736"/>
    <w:rsid w:val="0087378E"/>
    <w:rsid w:val="008737DF"/>
    <w:rsid w:val="008755E7"/>
    <w:rsid w:val="00875A46"/>
    <w:rsid w:val="00875E16"/>
    <w:rsid w:val="00876380"/>
    <w:rsid w:val="00877D03"/>
    <w:rsid w:val="00877E96"/>
    <w:rsid w:val="0088023D"/>
    <w:rsid w:val="008803CE"/>
    <w:rsid w:val="008816E6"/>
    <w:rsid w:val="00882077"/>
    <w:rsid w:val="008820D9"/>
    <w:rsid w:val="00883613"/>
    <w:rsid w:val="00883894"/>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0CCC"/>
    <w:rsid w:val="008A1D0E"/>
    <w:rsid w:val="008A25EA"/>
    <w:rsid w:val="008A276E"/>
    <w:rsid w:val="008A31C7"/>
    <w:rsid w:val="008A3215"/>
    <w:rsid w:val="008A3630"/>
    <w:rsid w:val="008A3946"/>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2FED"/>
    <w:rsid w:val="008B3627"/>
    <w:rsid w:val="008B3EAD"/>
    <w:rsid w:val="008B49B6"/>
    <w:rsid w:val="008B56A0"/>
    <w:rsid w:val="008B5AA1"/>
    <w:rsid w:val="008B5E61"/>
    <w:rsid w:val="008B64CE"/>
    <w:rsid w:val="008B68B4"/>
    <w:rsid w:val="008B756F"/>
    <w:rsid w:val="008B7914"/>
    <w:rsid w:val="008C0BF4"/>
    <w:rsid w:val="008C0D0C"/>
    <w:rsid w:val="008C127A"/>
    <w:rsid w:val="008C18BD"/>
    <w:rsid w:val="008C1932"/>
    <w:rsid w:val="008C1CC8"/>
    <w:rsid w:val="008C2C7F"/>
    <w:rsid w:val="008C2F0D"/>
    <w:rsid w:val="008C364D"/>
    <w:rsid w:val="008C3CDD"/>
    <w:rsid w:val="008C41C2"/>
    <w:rsid w:val="008C500C"/>
    <w:rsid w:val="008C5D2A"/>
    <w:rsid w:val="008C6754"/>
    <w:rsid w:val="008C6C16"/>
    <w:rsid w:val="008C74FB"/>
    <w:rsid w:val="008C7AF4"/>
    <w:rsid w:val="008C7D00"/>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CDD"/>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9C0"/>
    <w:rsid w:val="008F7C0A"/>
    <w:rsid w:val="00901DBB"/>
    <w:rsid w:val="009026CB"/>
    <w:rsid w:val="00902876"/>
    <w:rsid w:val="00902B63"/>
    <w:rsid w:val="009036E9"/>
    <w:rsid w:val="009038F6"/>
    <w:rsid w:val="00903FB2"/>
    <w:rsid w:val="00904038"/>
    <w:rsid w:val="009041AF"/>
    <w:rsid w:val="009042AA"/>
    <w:rsid w:val="009049AB"/>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993"/>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A97"/>
    <w:rsid w:val="00923DCE"/>
    <w:rsid w:val="00924119"/>
    <w:rsid w:val="009243F2"/>
    <w:rsid w:val="00925120"/>
    <w:rsid w:val="009255FA"/>
    <w:rsid w:val="009262E4"/>
    <w:rsid w:val="009266D2"/>
    <w:rsid w:val="00927D4E"/>
    <w:rsid w:val="00927E9F"/>
    <w:rsid w:val="00927F89"/>
    <w:rsid w:val="00930AC2"/>
    <w:rsid w:val="00930D2A"/>
    <w:rsid w:val="009312BF"/>
    <w:rsid w:val="00931680"/>
    <w:rsid w:val="00931B84"/>
    <w:rsid w:val="009322B2"/>
    <w:rsid w:val="009328DA"/>
    <w:rsid w:val="00932E7E"/>
    <w:rsid w:val="0093442D"/>
    <w:rsid w:val="00934CD2"/>
    <w:rsid w:val="00935A35"/>
    <w:rsid w:val="0093604F"/>
    <w:rsid w:val="009375E5"/>
    <w:rsid w:val="0093768E"/>
    <w:rsid w:val="00937BC5"/>
    <w:rsid w:val="00937D30"/>
    <w:rsid w:val="00941848"/>
    <w:rsid w:val="0094337A"/>
    <w:rsid w:val="009437F2"/>
    <w:rsid w:val="009442E8"/>
    <w:rsid w:val="00944BA7"/>
    <w:rsid w:val="00944D63"/>
    <w:rsid w:val="0094636D"/>
    <w:rsid w:val="0094644D"/>
    <w:rsid w:val="00947222"/>
    <w:rsid w:val="0094759C"/>
    <w:rsid w:val="009503FE"/>
    <w:rsid w:val="00950448"/>
    <w:rsid w:val="009506AA"/>
    <w:rsid w:val="009507D4"/>
    <w:rsid w:val="00950ACD"/>
    <w:rsid w:val="00950E37"/>
    <w:rsid w:val="00951666"/>
    <w:rsid w:val="0095182F"/>
    <w:rsid w:val="00952524"/>
    <w:rsid w:val="0095270E"/>
    <w:rsid w:val="0095278F"/>
    <w:rsid w:val="009537A4"/>
    <w:rsid w:val="00953D2D"/>
    <w:rsid w:val="00953EAF"/>
    <w:rsid w:val="0095426C"/>
    <w:rsid w:val="00954900"/>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3C50"/>
    <w:rsid w:val="009747AA"/>
    <w:rsid w:val="00974AD1"/>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6E8F"/>
    <w:rsid w:val="00987298"/>
    <w:rsid w:val="00987B34"/>
    <w:rsid w:val="00987C73"/>
    <w:rsid w:val="00990769"/>
    <w:rsid w:val="00991DF8"/>
    <w:rsid w:val="00992499"/>
    <w:rsid w:val="00992986"/>
    <w:rsid w:val="009936E2"/>
    <w:rsid w:val="00994B55"/>
    <w:rsid w:val="009958FF"/>
    <w:rsid w:val="00995D86"/>
    <w:rsid w:val="00995FB2"/>
    <w:rsid w:val="00997483"/>
    <w:rsid w:val="0099781E"/>
    <w:rsid w:val="00997A68"/>
    <w:rsid w:val="009A0071"/>
    <w:rsid w:val="009A00EA"/>
    <w:rsid w:val="009A0587"/>
    <w:rsid w:val="009A0DA2"/>
    <w:rsid w:val="009A1CC7"/>
    <w:rsid w:val="009A1F6B"/>
    <w:rsid w:val="009A2616"/>
    <w:rsid w:val="009A2C4C"/>
    <w:rsid w:val="009A2DD8"/>
    <w:rsid w:val="009A30DE"/>
    <w:rsid w:val="009A3D29"/>
    <w:rsid w:val="009A509F"/>
    <w:rsid w:val="009A5453"/>
    <w:rsid w:val="009A5FAD"/>
    <w:rsid w:val="009A6A7B"/>
    <w:rsid w:val="009A748F"/>
    <w:rsid w:val="009A7532"/>
    <w:rsid w:val="009A7883"/>
    <w:rsid w:val="009B0596"/>
    <w:rsid w:val="009B0999"/>
    <w:rsid w:val="009B1D50"/>
    <w:rsid w:val="009B237F"/>
    <w:rsid w:val="009B2760"/>
    <w:rsid w:val="009B308D"/>
    <w:rsid w:val="009B38D5"/>
    <w:rsid w:val="009B3B62"/>
    <w:rsid w:val="009B3C8D"/>
    <w:rsid w:val="009B4E85"/>
    <w:rsid w:val="009B4FFB"/>
    <w:rsid w:val="009B53C7"/>
    <w:rsid w:val="009B7489"/>
    <w:rsid w:val="009B7987"/>
    <w:rsid w:val="009B7B0A"/>
    <w:rsid w:val="009C07C9"/>
    <w:rsid w:val="009C08D7"/>
    <w:rsid w:val="009C0DC5"/>
    <w:rsid w:val="009C1866"/>
    <w:rsid w:val="009C1FDE"/>
    <w:rsid w:val="009C23FE"/>
    <w:rsid w:val="009C24C8"/>
    <w:rsid w:val="009C375C"/>
    <w:rsid w:val="009C43FC"/>
    <w:rsid w:val="009C4E0D"/>
    <w:rsid w:val="009C4F1B"/>
    <w:rsid w:val="009C503B"/>
    <w:rsid w:val="009C5793"/>
    <w:rsid w:val="009C5816"/>
    <w:rsid w:val="009C61EA"/>
    <w:rsid w:val="009C63EC"/>
    <w:rsid w:val="009C7DAC"/>
    <w:rsid w:val="009D077D"/>
    <w:rsid w:val="009D0883"/>
    <w:rsid w:val="009D08A6"/>
    <w:rsid w:val="009D1915"/>
    <w:rsid w:val="009D1B69"/>
    <w:rsid w:val="009D1EB3"/>
    <w:rsid w:val="009D25DE"/>
    <w:rsid w:val="009D2ABF"/>
    <w:rsid w:val="009D3AD2"/>
    <w:rsid w:val="009D3E06"/>
    <w:rsid w:val="009D5843"/>
    <w:rsid w:val="009D638D"/>
    <w:rsid w:val="009D6393"/>
    <w:rsid w:val="009D6B6C"/>
    <w:rsid w:val="009E0885"/>
    <w:rsid w:val="009E0A6F"/>
    <w:rsid w:val="009E0B57"/>
    <w:rsid w:val="009E1CC8"/>
    <w:rsid w:val="009E2827"/>
    <w:rsid w:val="009E2863"/>
    <w:rsid w:val="009E30D2"/>
    <w:rsid w:val="009E39ED"/>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E10"/>
    <w:rsid w:val="00A02FA8"/>
    <w:rsid w:val="00A03F1A"/>
    <w:rsid w:val="00A03F74"/>
    <w:rsid w:val="00A03F88"/>
    <w:rsid w:val="00A046BF"/>
    <w:rsid w:val="00A05312"/>
    <w:rsid w:val="00A05B25"/>
    <w:rsid w:val="00A05C04"/>
    <w:rsid w:val="00A05EC0"/>
    <w:rsid w:val="00A06254"/>
    <w:rsid w:val="00A06842"/>
    <w:rsid w:val="00A07459"/>
    <w:rsid w:val="00A07D78"/>
    <w:rsid w:val="00A07DB6"/>
    <w:rsid w:val="00A10972"/>
    <w:rsid w:val="00A11406"/>
    <w:rsid w:val="00A11A5E"/>
    <w:rsid w:val="00A13205"/>
    <w:rsid w:val="00A132A1"/>
    <w:rsid w:val="00A13422"/>
    <w:rsid w:val="00A14D26"/>
    <w:rsid w:val="00A15132"/>
    <w:rsid w:val="00A1554D"/>
    <w:rsid w:val="00A15792"/>
    <w:rsid w:val="00A158E3"/>
    <w:rsid w:val="00A1591A"/>
    <w:rsid w:val="00A172E0"/>
    <w:rsid w:val="00A17527"/>
    <w:rsid w:val="00A211C5"/>
    <w:rsid w:val="00A221A3"/>
    <w:rsid w:val="00A223D5"/>
    <w:rsid w:val="00A235E4"/>
    <w:rsid w:val="00A23F41"/>
    <w:rsid w:val="00A25547"/>
    <w:rsid w:val="00A255D4"/>
    <w:rsid w:val="00A25F76"/>
    <w:rsid w:val="00A3003E"/>
    <w:rsid w:val="00A31E14"/>
    <w:rsid w:val="00A3325E"/>
    <w:rsid w:val="00A34276"/>
    <w:rsid w:val="00A34524"/>
    <w:rsid w:val="00A345B6"/>
    <w:rsid w:val="00A3502D"/>
    <w:rsid w:val="00A357A4"/>
    <w:rsid w:val="00A35AF5"/>
    <w:rsid w:val="00A35CDF"/>
    <w:rsid w:val="00A36453"/>
    <w:rsid w:val="00A36B05"/>
    <w:rsid w:val="00A37970"/>
    <w:rsid w:val="00A37A68"/>
    <w:rsid w:val="00A37B0C"/>
    <w:rsid w:val="00A37CE6"/>
    <w:rsid w:val="00A37D1C"/>
    <w:rsid w:val="00A37E4D"/>
    <w:rsid w:val="00A37FFE"/>
    <w:rsid w:val="00A404BE"/>
    <w:rsid w:val="00A40ECF"/>
    <w:rsid w:val="00A411C9"/>
    <w:rsid w:val="00A41FEF"/>
    <w:rsid w:val="00A42476"/>
    <w:rsid w:val="00A433CA"/>
    <w:rsid w:val="00A43A1A"/>
    <w:rsid w:val="00A43D48"/>
    <w:rsid w:val="00A43F3C"/>
    <w:rsid w:val="00A447A5"/>
    <w:rsid w:val="00A44ACD"/>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3C0"/>
    <w:rsid w:val="00A556B7"/>
    <w:rsid w:val="00A564A6"/>
    <w:rsid w:val="00A56819"/>
    <w:rsid w:val="00A568AC"/>
    <w:rsid w:val="00A57B07"/>
    <w:rsid w:val="00A6025F"/>
    <w:rsid w:val="00A60E9C"/>
    <w:rsid w:val="00A61196"/>
    <w:rsid w:val="00A6131E"/>
    <w:rsid w:val="00A616AF"/>
    <w:rsid w:val="00A61879"/>
    <w:rsid w:val="00A628B4"/>
    <w:rsid w:val="00A6295C"/>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98F"/>
    <w:rsid w:val="00A9301E"/>
    <w:rsid w:val="00A93E3A"/>
    <w:rsid w:val="00A95186"/>
    <w:rsid w:val="00A951AD"/>
    <w:rsid w:val="00A961BD"/>
    <w:rsid w:val="00A9652F"/>
    <w:rsid w:val="00A973B1"/>
    <w:rsid w:val="00AA027E"/>
    <w:rsid w:val="00AA1224"/>
    <w:rsid w:val="00AA14F2"/>
    <w:rsid w:val="00AA180B"/>
    <w:rsid w:val="00AA1D43"/>
    <w:rsid w:val="00AA2358"/>
    <w:rsid w:val="00AA2469"/>
    <w:rsid w:val="00AA2CD7"/>
    <w:rsid w:val="00AA2F52"/>
    <w:rsid w:val="00AA2FA4"/>
    <w:rsid w:val="00AA3301"/>
    <w:rsid w:val="00AA3360"/>
    <w:rsid w:val="00AA386B"/>
    <w:rsid w:val="00AA4C2E"/>
    <w:rsid w:val="00AA6384"/>
    <w:rsid w:val="00AA6615"/>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C0D"/>
    <w:rsid w:val="00AC0D8E"/>
    <w:rsid w:val="00AC175B"/>
    <w:rsid w:val="00AC1AA3"/>
    <w:rsid w:val="00AC1F8E"/>
    <w:rsid w:val="00AC22C1"/>
    <w:rsid w:val="00AC275A"/>
    <w:rsid w:val="00AC374B"/>
    <w:rsid w:val="00AC3798"/>
    <w:rsid w:val="00AC3ED5"/>
    <w:rsid w:val="00AC3FBA"/>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BA4"/>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A7"/>
    <w:rsid w:val="00AF6AC5"/>
    <w:rsid w:val="00AF7809"/>
    <w:rsid w:val="00AF7922"/>
    <w:rsid w:val="00AF7CA7"/>
    <w:rsid w:val="00AF7DEB"/>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0AA"/>
    <w:rsid w:val="00B1524F"/>
    <w:rsid w:val="00B15A54"/>
    <w:rsid w:val="00B15ECF"/>
    <w:rsid w:val="00B16081"/>
    <w:rsid w:val="00B169CD"/>
    <w:rsid w:val="00B16C0A"/>
    <w:rsid w:val="00B17F60"/>
    <w:rsid w:val="00B2039A"/>
    <w:rsid w:val="00B20AC8"/>
    <w:rsid w:val="00B215D5"/>
    <w:rsid w:val="00B21D55"/>
    <w:rsid w:val="00B225CB"/>
    <w:rsid w:val="00B22870"/>
    <w:rsid w:val="00B22A22"/>
    <w:rsid w:val="00B22AA6"/>
    <w:rsid w:val="00B22AEA"/>
    <w:rsid w:val="00B237C4"/>
    <w:rsid w:val="00B23D1A"/>
    <w:rsid w:val="00B23F4C"/>
    <w:rsid w:val="00B24233"/>
    <w:rsid w:val="00B246DD"/>
    <w:rsid w:val="00B248D8"/>
    <w:rsid w:val="00B24BA7"/>
    <w:rsid w:val="00B25A6F"/>
    <w:rsid w:val="00B25CD9"/>
    <w:rsid w:val="00B25E8C"/>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376FB"/>
    <w:rsid w:val="00B40162"/>
    <w:rsid w:val="00B4054D"/>
    <w:rsid w:val="00B40903"/>
    <w:rsid w:val="00B40FDB"/>
    <w:rsid w:val="00B41C6D"/>
    <w:rsid w:val="00B420B2"/>
    <w:rsid w:val="00B42800"/>
    <w:rsid w:val="00B42832"/>
    <w:rsid w:val="00B42863"/>
    <w:rsid w:val="00B430F6"/>
    <w:rsid w:val="00B43511"/>
    <w:rsid w:val="00B43CE6"/>
    <w:rsid w:val="00B45528"/>
    <w:rsid w:val="00B46212"/>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4794"/>
    <w:rsid w:val="00B55852"/>
    <w:rsid w:val="00B560A9"/>
    <w:rsid w:val="00B56866"/>
    <w:rsid w:val="00B56CC4"/>
    <w:rsid w:val="00B57177"/>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346"/>
    <w:rsid w:val="00B6793A"/>
    <w:rsid w:val="00B67AC3"/>
    <w:rsid w:val="00B70658"/>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C8A"/>
    <w:rsid w:val="00B80F4E"/>
    <w:rsid w:val="00B814CF"/>
    <w:rsid w:val="00B81A33"/>
    <w:rsid w:val="00B8256C"/>
    <w:rsid w:val="00B82B2D"/>
    <w:rsid w:val="00B83117"/>
    <w:rsid w:val="00B8319C"/>
    <w:rsid w:val="00B83F77"/>
    <w:rsid w:val="00B90351"/>
    <w:rsid w:val="00B906F2"/>
    <w:rsid w:val="00B90D9B"/>
    <w:rsid w:val="00B91259"/>
    <w:rsid w:val="00B91B81"/>
    <w:rsid w:val="00B91FF0"/>
    <w:rsid w:val="00B926A8"/>
    <w:rsid w:val="00B92FFF"/>
    <w:rsid w:val="00B93325"/>
    <w:rsid w:val="00B93538"/>
    <w:rsid w:val="00B936F8"/>
    <w:rsid w:val="00B939D6"/>
    <w:rsid w:val="00B9456E"/>
    <w:rsid w:val="00B9492E"/>
    <w:rsid w:val="00B960DB"/>
    <w:rsid w:val="00B96799"/>
    <w:rsid w:val="00B96DE5"/>
    <w:rsid w:val="00B97A76"/>
    <w:rsid w:val="00BA0166"/>
    <w:rsid w:val="00BA02B6"/>
    <w:rsid w:val="00BA0584"/>
    <w:rsid w:val="00BA0755"/>
    <w:rsid w:val="00BA1E9D"/>
    <w:rsid w:val="00BA249D"/>
    <w:rsid w:val="00BA3C66"/>
    <w:rsid w:val="00BA4D00"/>
    <w:rsid w:val="00BA4F9B"/>
    <w:rsid w:val="00BA5665"/>
    <w:rsid w:val="00BA6825"/>
    <w:rsid w:val="00BA72D9"/>
    <w:rsid w:val="00BB0A80"/>
    <w:rsid w:val="00BB0AB5"/>
    <w:rsid w:val="00BB195B"/>
    <w:rsid w:val="00BB1BBA"/>
    <w:rsid w:val="00BB204A"/>
    <w:rsid w:val="00BB2BD1"/>
    <w:rsid w:val="00BB31DF"/>
    <w:rsid w:val="00BB33E9"/>
    <w:rsid w:val="00BB34B7"/>
    <w:rsid w:val="00BB3BE4"/>
    <w:rsid w:val="00BB44DB"/>
    <w:rsid w:val="00BB57D3"/>
    <w:rsid w:val="00BB58EE"/>
    <w:rsid w:val="00BB64EC"/>
    <w:rsid w:val="00BB726C"/>
    <w:rsid w:val="00BB7589"/>
    <w:rsid w:val="00BB7668"/>
    <w:rsid w:val="00BB7E42"/>
    <w:rsid w:val="00BC077E"/>
    <w:rsid w:val="00BC0DE5"/>
    <w:rsid w:val="00BC0E57"/>
    <w:rsid w:val="00BC148E"/>
    <w:rsid w:val="00BC1F5F"/>
    <w:rsid w:val="00BC21BE"/>
    <w:rsid w:val="00BC2465"/>
    <w:rsid w:val="00BC3E36"/>
    <w:rsid w:val="00BC4B2D"/>
    <w:rsid w:val="00BC4CE8"/>
    <w:rsid w:val="00BC4D54"/>
    <w:rsid w:val="00BC5BDF"/>
    <w:rsid w:val="00BC6E2F"/>
    <w:rsid w:val="00BC6EAF"/>
    <w:rsid w:val="00BC728A"/>
    <w:rsid w:val="00BC7632"/>
    <w:rsid w:val="00BC77A4"/>
    <w:rsid w:val="00BC7C9E"/>
    <w:rsid w:val="00BD1E79"/>
    <w:rsid w:val="00BD236D"/>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3FB"/>
    <w:rsid w:val="00BE66FC"/>
    <w:rsid w:val="00BE6F25"/>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1B9"/>
    <w:rsid w:val="00C0083F"/>
    <w:rsid w:val="00C00976"/>
    <w:rsid w:val="00C020CD"/>
    <w:rsid w:val="00C02715"/>
    <w:rsid w:val="00C02DDE"/>
    <w:rsid w:val="00C0362D"/>
    <w:rsid w:val="00C0367B"/>
    <w:rsid w:val="00C04E51"/>
    <w:rsid w:val="00C05074"/>
    <w:rsid w:val="00C05472"/>
    <w:rsid w:val="00C05AF9"/>
    <w:rsid w:val="00C0606E"/>
    <w:rsid w:val="00C060A3"/>
    <w:rsid w:val="00C060B0"/>
    <w:rsid w:val="00C06D2C"/>
    <w:rsid w:val="00C072F0"/>
    <w:rsid w:val="00C07344"/>
    <w:rsid w:val="00C079A3"/>
    <w:rsid w:val="00C07C1F"/>
    <w:rsid w:val="00C07C79"/>
    <w:rsid w:val="00C11A79"/>
    <w:rsid w:val="00C1211E"/>
    <w:rsid w:val="00C12F80"/>
    <w:rsid w:val="00C13607"/>
    <w:rsid w:val="00C137B1"/>
    <w:rsid w:val="00C13811"/>
    <w:rsid w:val="00C13B43"/>
    <w:rsid w:val="00C15E81"/>
    <w:rsid w:val="00C174C9"/>
    <w:rsid w:val="00C17B6E"/>
    <w:rsid w:val="00C200BA"/>
    <w:rsid w:val="00C20748"/>
    <w:rsid w:val="00C20754"/>
    <w:rsid w:val="00C21378"/>
    <w:rsid w:val="00C220A5"/>
    <w:rsid w:val="00C22307"/>
    <w:rsid w:val="00C2299F"/>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2B39"/>
    <w:rsid w:val="00C32BCB"/>
    <w:rsid w:val="00C3394C"/>
    <w:rsid w:val="00C34581"/>
    <w:rsid w:val="00C34AD7"/>
    <w:rsid w:val="00C3516D"/>
    <w:rsid w:val="00C351E4"/>
    <w:rsid w:val="00C353D8"/>
    <w:rsid w:val="00C361A6"/>
    <w:rsid w:val="00C365C5"/>
    <w:rsid w:val="00C3670F"/>
    <w:rsid w:val="00C36E1A"/>
    <w:rsid w:val="00C371DF"/>
    <w:rsid w:val="00C37818"/>
    <w:rsid w:val="00C37C94"/>
    <w:rsid w:val="00C37EFC"/>
    <w:rsid w:val="00C37FF9"/>
    <w:rsid w:val="00C40126"/>
    <w:rsid w:val="00C4055E"/>
    <w:rsid w:val="00C41099"/>
    <w:rsid w:val="00C41425"/>
    <w:rsid w:val="00C41B4A"/>
    <w:rsid w:val="00C4213A"/>
    <w:rsid w:val="00C42C11"/>
    <w:rsid w:val="00C43344"/>
    <w:rsid w:val="00C43ADB"/>
    <w:rsid w:val="00C44949"/>
    <w:rsid w:val="00C44A87"/>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5383"/>
    <w:rsid w:val="00C66306"/>
    <w:rsid w:val="00C66CE8"/>
    <w:rsid w:val="00C70074"/>
    <w:rsid w:val="00C70D51"/>
    <w:rsid w:val="00C70DF4"/>
    <w:rsid w:val="00C71252"/>
    <w:rsid w:val="00C7277F"/>
    <w:rsid w:val="00C73C07"/>
    <w:rsid w:val="00C74930"/>
    <w:rsid w:val="00C74B47"/>
    <w:rsid w:val="00C74D80"/>
    <w:rsid w:val="00C754BD"/>
    <w:rsid w:val="00C75D3A"/>
    <w:rsid w:val="00C75E10"/>
    <w:rsid w:val="00C769A9"/>
    <w:rsid w:val="00C774C9"/>
    <w:rsid w:val="00C77F1B"/>
    <w:rsid w:val="00C80987"/>
    <w:rsid w:val="00C80A3F"/>
    <w:rsid w:val="00C8180E"/>
    <w:rsid w:val="00C818A9"/>
    <w:rsid w:val="00C82436"/>
    <w:rsid w:val="00C82933"/>
    <w:rsid w:val="00C82BE2"/>
    <w:rsid w:val="00C833CC"/>
    <w:rsid w:val="00C84BBF"/>
    <w:rsid w:val="00C84BE9"/>
    <w:rsid w:val="00C85D38"/>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15B0"/>
    <w:rsid w:val="00CA1C71"/>
    <w:rsid w:val="00CA1D4C"/>
    <w:rsid w:val="00CA1D50"/>
    <w:rsid w:val="00CA1DAB"/>
    <w:rsid w:val="00CA20E0"/>
    <w:rsid w:val="00CA2598"/>
    <w:rsid w:val="00CA3347"/>
    <w:rsid w:val="00CA523D"/>
    <w:rsid w:val="00CA5DA9"/>
    <w:rsid w:val="00CA6E3E"/>
    <w:rsid w:val="00CA6FDA"/>
    <w:rsid w:val="00CA77CF"/>
    <w:rsid w:val="00CA7B58"/>
    <w:rsid w:val="00CB0836"/>
    <w:rsid w:val="00CB0CB9"/>
    <w:rsid w:val="00CB1413"/>
    <w:rsid w:val="00CB18D4"/>
    <w:rsid w:val="00CB2518"/>
    <w:rsid w:val="00CB3920"/>
    <w:rsid w:val="00CB49CB"/>
    <w:rsid w:val="00CB4C4C"/>
    <w:rsid w:val="00CB6413"/>
    <w:rsid w:val="00CB696F"/>
    <w:rsid w:val="00CB6A00"/>
    <w:rsid w:val="00CB7097"/>
    <w:rsid w:val="00CB77F4"/>
    <w:rsid w:val="00CB780D"/>
    <w:rsid w:val="00CC0F1C"/>
    <w:rsid w:val="00CC1983"/>
    <w:rsid w:val="00CC259D"/>
    <w:rsid w:val="00CC299A"/>
    <w:rsid w:val="00CC3039"/>
    <w:rsid w:val="00CC32B7"/>
    <w:rsid w:val="00CC36DE"/>
    <w:rsid w:val="00CC4498"/>
    <w:rsid w:val="00CC4ACB"/>
    <w:rsid w:val="00CC4D38"/>
    <w:rsid w:val="00CC4F99"/>
    <w:rsid w:val="00CC5CDC"/>
    <w:rsid w:val="00CC5FC3"/>
    <w:rsid w:val="00CC6369"/>
    <w:rsid w:val="00CC6576"/>
    <w:rsid w:val="00CC65D6"/>
    <w:rsid w:val="00CC69E2"/>
    <w:rsid w:val="00CC73F3"/>
    <w:rsid w:val="00CC7B85"/>
    <w:rsid w:val="00CD081C"/>
    <w:rsid w:val="00CD14DA"/>
    <w:rsid w:val="00CD1B5A"/>
    <w:rsid w:val="00CD1E9C"/>
    <w:rsid w:val="00CD2777"/>
    <w:rsid w:val="00CD27DB"/>
    <w:rsid w:val="00CD2E70"/>
    <w:rsid w:val="00CD386B"/>
    <w:rsid w:val="00CD3D06"/>
    <w:rsid w:val="00CD4A09"/>
    <w:rsid w:val="00CD4C67"/>
    <w:rsid w:val="00CD4C7B"/>
    <w:rsid w:val="00CD5397"/>
    <w:rsid w:val="00CD5E93"/>
    <w:rsid w:val="00CE0C7A"/>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20"/>
    <w:rsid w:val="00CF61CB"/>
    <w:rsid w:val="00CF666F"/>
    <w:rsid w:val="00CF686F"/>
    <w:rsid w:val="00CF6CA7"/>
    <w:rsid w:val="00CF6E7D"/>
    <w:rsid w:val="00D00175"/>
    <w:rsid w:val="00D00223"/>
    <w:rsid w:val="00D0045E"/>
    <w:rsid w:val="00D007F4"/>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464E"/>
    <w:rsid w:val="00D25660"/>
    <w:rsid w:val="00D2569B"/>
    <w:rsid w:val="00D258EB"/>
    <w:rsid w:val="00D25AEB"/>
    <w:rsid w:val="00D271CD"/>
    <w:rsid w:val="00D278A0"/>
    <w:rsid w:val="00D3064E"/>
    <w:rsid w:val="00D30E00"/>
    <w:rsid w:val="00D315CC"/>
    <w:rsid w:val="00D31DDA"/>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5DE4"/>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2B"/>
    <w:rsid w:val="00D63632"/>
    <w:rsid w:val="00D63732"/>
    <w:rsid w:val="00D63925"/>
    <w:rsid w:val="00D6405D"/>
    <w:rsid w:val="00D6568E"/>
    <w:rsid w:val="00D65893"/>
    <w:rsid w:val="00D658EC"/>
    <w:rsid w:val="00D65B42"/>
    <w:rsid w:val="00D6684E"/>
    <w:rsid w:val="00D6742A"/>
    <w:rsid w:val="00D67B9B"/>
    <w:rsid w:val="00D71733"/>
    <w:rsid w:val="00D718AC"/>
    <w:rsid w:val="00D719A3"/>
    <w:rsid w:val="00D71E7A"/>
    <w:rsid w:val="00D727D4"/>
    <w:rsid w:val="00D729C3"/>
    <w:rsid w:val="00D72DE7"/>
    <w:rsid w:val="00D7302F"/>
    <w:rsid w:val="00D73BB2"/>
    <w:rsid w:val="00D74575"/>
    <w:rsid w:val="00D74D14"/>
    <w:rsid w:val="00D74F3B"/>
    <w:rsid w:val="00D752E7"/>
    <w:rsid w:val="00D7574B"/>
    <w:rsid w:val="00D75843"/>
    <w:rsid w:val="00D75E82"/>
    <w:rsid w:val="00D76270"/>
    <w:rsid w:val="00D767C6"/>
    <w:rsid w:val="00D769C5"/>
    <w:rsid w:val="00D76E76"/>
    <w:rsid w:val="00D77891"/>
    <w:rsid w:val="00D77B63"/>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49A0"/>
    <w:rsid w:val="00D96D4F"/>
    <w:rsid w:val="00DA1806"/>
    <w:rsid w:val="00DA1BD1"/>
    <w:rsid w:val="00DA212B"/>
    <w:rsid w:val="00DA3A76"/>
    <w:rsid w:val="00DA5048"/>
    <w:rsid w:val="00DA5713"/>
    <w:rsid w:val="00DA5EB9"/>
    <w:rsid w:val="00DA63DC"/>
    <w:rsid w:val="00DA6856"/>
    <w:rsid w:val="00DA6D6D"/>
    <w:rsid w:val="00DA71F7"/>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19CF"/>
    <w:rsid w:val="00DC2082"/>
    <w:rsid w:val="00DC225F"/>
    <w:rsid w:val="00DC2883"/>
    <w:rsid w:val="00DC2C2D"/>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63B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374"/>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3A0"/>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07EAD"/>
    <w:rsid w:val="00E1198B"/>
    <w:rsid w:val="00E125FB"/>
    <w:rsid w:val="00E126B2"/>
    <w:rsid w:val="00E127E3"/>
    <w:rsid w:val="00E13E8F"/>
    <w:rsid w:val="00E14818"/>
    <w:rsid w:val="00E148E8"/>
    <w:rsid w:val="00E1610C"/>
    <w:rsid w:val="00E162BD"/>
    <w:rsid w:val="00E16333"/>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65D"/>
    <w:rsid w:val="00E45B2D"/>
    <w:rsid w:val="00E468F2"/>
    <w:rsid w:val="00E47A20"/>
    <w:rsid w:val="00E5084C"/>
    <w:rsid w:val="00E50871"/>
    <w:rsid w:val="00E50AD9"/>
    <w:rsid w:val="00E50B4C"/>
    <w:rsid w:val="00E512FE"/>
    <w:rsid w:val="00E52063"/>
    <w:rsid w:val="00E528BE"/>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A16"/>
    <w:rsid w:val="00E610CB"/>
    <w:rsid w:val="00E6125B"/>
    <w:rsid w:val="00E6170A"/>
    <w:rsid w:val="00E62617"/>
    <w:rsid w:val="00E62816"/>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CF9"/>
    <w:rsid w:val="00E83D4B"/>
    <w:rsid w:val="00E848F0"/>
    <w:rsid w:val="00E84D1C"/>
    <w:rsid w:val="00E84D9C"/>
    <w:rsid w:val="00E85069"/>
    <w:rsid w:val="00E8628F"/>
    <w:rsid w:val="00E86888"/>
    <w:rsid w:val="00E92C96"/>
    <w:rsid w:val="00E942B8"/>
    <w:rsid w:val="00E944ED"/>
    <w:rsid w:val="00E945AF"/>
    <w:rsid w:val="00E94A0B"/>
    <w:rsid w:val="00E94A2C"/>
    <w:rsid w:val="00E9544C"/>
    <w:rsid w:val="00E95799"/>
    <w:rsid w:val="00E95D0B"/>
    <w:rsid w:val="00E95D93"/>
    <w:rsid w:val="00E9683D"/>
    <w:rsid w:val="00E970B7"/>
    <w:rsid w:val="00E97AD1"/>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522"/>
    <w:rsid w:val="00EA761C"/>
    <w:rsid w:val="00EA7D7F"/>
    <w:rsid w:val="00EA7E73"/>
    <w:rsid w:val="00EB0810"/>
    <w:rsid w:val="00EB0B5F"/>
    <w:rsid w:val="00EB100A"/>
    <w:rsid w:val="00EB1B7C"/>
    <w:rsid w:val="00EB1CF7"/>
    <w:rsid w:val="00EB25C2"/>
    <w:rsid w:val="00EB26A5"/>
    <w:rsid w:val="00EB2B6F"/>
    <w:rsid w:val="00EB2CAD"/>
    <w:rsid w:val="00EB2FA2"/>
    <w:rsid w:val="00EB3272"/>
    <w:rsid w:val="00EB37B2"/>
    <w:rsid w:val="00EB3FF9"/>
    <w:rsid w:val="00EB4044"/>
    <w:rsid w:val="00EB516F"/>
    <w:rsid w:val="00EB5F0B"/>
    <w:rsid w:val="00EB7352"/>
    <w:rsid w:val="00EB769A"/>
    <w:rsid w:val="00EC11E4"/>
    <w:rsid w:val="00EC14E1"/>
    <w:rsid w:val="00EC19F3"/>
    <w:rsid w:val="00EC2A3F"/>
    <w:rsid w:val="00EC2E64"/>
    <w:rsid w:val="00EC3A35"/>
    <w:rsid w:val="00EC3C52"/>
    <w:rsid w:val="00EC3E5B"/>
    <w:rsid w:val="00EC3E69"/>
    <w:rsid w:val="00EC41A7"/>
    <w:rsid w:val="00EC4257"/>
    <w:rsid w:val="00EC5554"/>
    <w:rsid w:val="00EC572B"/>
    <w:rsid w:val="00EC5B8E"/>
    <w:rsid w:val="00EC7356"/>
    <w:rsid w:val="00EC75F6"/>
    <w:rsid w:val="00ED0065"/>
    <w:rsid w:val="00ED02D1"/>
    <w:rsid w:val="00ED17B5"/>
    <w:rsid w:val="00ED1BA0"/>
    <w:rsid w:val="00ED1D2D"/>
    <w:rsid w:val="00ED353D"/>
    <w:rsid w:val="00ED588C"/>
    <w:rsid w:val="00ED6E7A"/>
    <w:rsid w:val="00ED6EA1"/>
    <w:rsid w:val="00ED7A7F"/>
    <w:rsid w:val="00EE060B"/>
    <w:rsid w:val="00EE07AC"/>
    <w:rsid w:val="00EE0891"/>
    <w:rsid w:val="00EE1062"/>
    <w:rsid w:val="00EE17F2"/>
    <w:rsid w:val="00EE188A"/>
    <w:rsid w:val="00EE1B01"/>
    <w:rsid w:val="00EE1C62"/>
    <w:rsid w:val="00EE1DB8"/>
    <w:rsid w:val="00EE2746"/>
    <w:rsid w:val="00EE322F"/>
    <w:rsid w:val="00EE3256"/>
    <w:rsid w:val="00EE4397"/>
    <w:rsid w:val="00EE4759"/>
    <w:rsid w:val="00EE4C20"/>
    <w:rsid w:val="00EE4F2D"/>
    <w:rsid w:val="00EE524C"/>
    <w:rsid w:val="00EE6755"/>
    <w:rsid w:val="00EE6832"/>
    <w:rsid w:val="00EE78D6"/>
    <w:rsid w:val="00EF03DC"/>
    <w:rsid w:val="00EF0437"/>
    <w:rsid w:val="00EF0BFE"/>
    <w:rsid w:val="00EF1580"/>
    <w:rsid w:val="00EF1A16"/>
    <w:rsid w:val="00EF1DE8"/>
    <w:rsid w:val="00EF2AC7"/>
    <w:rsid w:val="00EF3397"/>
    <w:rsid w:val="00EF3722"/>
    <w:rsid w:val="00EF40BF"/>
    <w:rsid w:val="00EF4557"/>
    <w:rsid w:val="00EF493F"/>
    <w:rsid w:val="00EF5947"/>
    <w:rsid w:val="00EF5E22"/>
    <w:rsid w:val="00EF60AA"/>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1765A"/>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23BF"/>
    <w:rsid w:val="00F332D4"/>
    <w:rsid w:val="00F33B57"/>
    <w:rsid w:val="00F33CA8"/>
    <w:rsid w:val="00F33D5C"/>
    <w:rsid w:val="00F34245"/>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901"/>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5B7"/>
    <w:rsid w:val="00F5562D"/>
    <w:rsid w:val="00F55BC7"/>
    <w:rsid w:val="00F566EA"/>
    <w:rsid w:val="00F567A4"/>
    <w:rsid w:val="00F5715A"/>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76E8F"/>
    <w:rsid w:val="00F77196"/>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17F"/>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154"/>
    <w:rsid w:val="00FA0288"/>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39E"/>
    <w:rsid w:val="00FB7460"/>
    <w:rsid w:val="00FB7747"/>
    <w:rsid w:val="00FB7A10"/>
    <w:rsid w:val="00FC0F81"/>
    <w:rsid w:val="00FC3798"/>
    <w:rsid w:val="00FC59AF"/>
    <w:rsid w:val="00FC5C43"/>
    <w:rsid w:val="00FC5F72"/>
    <w:rsid w:val="00FC62B5"/>
    <w:rsid w:val="00FC6B34"/>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D783C"/>
    <w:rsid w:val="00FE0DAE"/>
    <w:rsid w:val="00FE1370"/>
    <w:rsid w:val="00FE1510"/>
    <w:rsid w:val="00FE2121"/>
    <w:rsid w:val="00FE254A"/>
    <w:rsid w:val="00FE321B"/>
    <w:rsid w:val="00FE3D07"/>
    <w:rsid w:val="00FE4411"/>
    <w:rsid w:val="00FE4B6F"/>
    <w:rsid w:val="00FE627E"/>
    <w:rsid w:val="00FE6818"/>
    <w:rsid w:val="00FE6BFB"/>
    <w:rsid w:val="00FF0C90"/>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table" w:customStyle="1" w:styleId="Tablaconcuadrcula11">
    <w:name w:val="Tabla con cuadrícula11"/>
    <w:basedOn w:val="Tablanormal"/>
    <w:next w:val="Tablaconcuadrcula"/>
    <w:uiPriority w:val="39"/>
    <w:qFormat/>
    <w:rsid w:val="00D007F4"/>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oserami144@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FCC5E2-06AE-41E4-8C22-3CF8F212C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6356</Words>
  <Characters>34134</Characters>
  <Application>Microsoft Office Word</Application>
  <DocSecurity>0</DocSecurity>
  <Lines>644</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40374</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12</cp:revision>
  <dcterms:created xsi:type="dcterms:W3CDTF">2025-12-05T03:20:00Z</dcterms:created>
  <dcterms:modified xsi:type="dcterms:W3CDTF">2025-12-09T15:39:00Z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